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B3D1B" w14:textId="3F8BBC9C" w:rsidR="002A4E3D" w:rsidRPr="002A4E3D" w:rsidRDefault="002A4E3D" w:rsidP="002A4E3D">
      <w:pPr>
        <w:spacing w:after="0"/>
        <w:jc w:val="center"/>
        <w:rPr>
          <w:b/>
          <w:i/>
          <w:sz w:val="24"/>
          <w:szCs w:val="24"/>
        </w:rPr>
      </w:pPr>
      <w:r w:rsidRPr="002A4E3D">
        <w:rPr>
          <w:b/>
          <w:i/>
          <w:sz w:val="24"/>
          <w:szCs w:val="24"/>
        </w:rPr>
        <w:t xml:space="preserve">Increased rates of sequelae </w:t>
      </w:r>
      <w:r w:rsidR="00017D17">
        <w:rPr>
          <w:b/>
          <w:i/>
          <w:sz w:val="24"/>
          <w:szCs w:val="24"/>
        </w:rPr>
        <w:t>post-</w:t>
      </w:r>
      <w:r w:rsidRPr="002A4E3D">
        <w:rPr>
          <w:b/>
          <w:i/>
          <w:sz w:val="24"/>
          <w:szCs w:val="24"/>
        </w:rPr>
        <w:t>encephalitis in individuals attending primary care practices in the United Kingdom</w:t>
      </w:r>
      <w:r w:rsidR="00E661DE">
        <w:rPr>
          <w:b/>
          <w:i/>
          <w:sz w:val="24"/>
          <w:szCs w:val="24"/>
        </w:rPr>
        <w:t>: a population-based retrospective cohort study</w:t>
      </w:r>
    </w:p>
    <w:p w14:paraId="1A14255B" w14:textId="77777777" w:rsidR="007073F5" w:rsidRPr="007B5F38" w:rsidRDefault="007073F5" w:rsidP="00A641C7">
      <w:pPr>
        <w:spacing w:after="0"/>
        <w:jc w:val="center"/>
        <w:rPr>
          <w:sz w:val="24"/>
          <w:szCs w:val="24"/>
        </w:rPr>
      </w:pPr>
    </w:p>
    <w:p w14:paraId="11E9C0CB" w14:textId="1BCD0C15" w:rsidR="007073F5" w:rsidRPr="00F75A2D" w:rsidRDefault="007073F5" w:rsidP="00A641C7">
      <w:pPr>
        <w:spacing w:after="0"/>
        <w:jc w:val="center"/>
        <w:rPr>
          <w:i/>
          <w:sz w:val="24"/>
          <w:szCs w:val="24"/>
          <w:vertAlign w:val="superscript"/>
        </w:rPr>
      </w:pPr>
      <w:r w:rsidRPr="007B5F38">
        <w:rPr>
          <w:i/>
          <w:sz w:val="24"/>
          <w:szCs w:val="24"/>
        </w:rPr>
        <w:t>J</w:t>
      </w:r>
      <w:r w:rsidR="007E53F1">
        <w:rPr>
          <w:i/>
          <w:sz w:val="24"/>
          <w:szCs w:val="24"/>
        </w:rPr>
        <w:t>ulia</w:t>
      </w:r>
      <w:r w:rsidRPr="007B5F38">
        <w:rPr>
          <w:i/>
          <w:sz w:val="24"/>
          <w:szCs w:val="24"/>
        </w:rPr>
        <w:t xml:space="preserve"> Granerod</w:t>
      </w:r>
      <w:r w:rsidR="00F75A2D" w:rsidRPr="00F75A2D">
        <w:rPr>
          <w:i/>
          <w:sz w:val="24"/>
          <w:szCs w:val="24"/>
          <w:vertAlign w:val="superscript"/>
        </w:rPr>
        <w:t>1</w:t>
      </w:r>
      <w:r w:rsidRPr="007B5F38">
        <w:rPr>
          <w:i/>
          <w:sz w:val="24"/>
          <w:szCs w:val="24"/>
        </w:rPr>
        <w:t xml:space="preserve">, </w:t>
      </w:r>
      <w:r w:rsidR="00516657">
        <w:rPr>
          <w:i/>
          <w:sz w:val="24"/>
          <w:szCs w:val="24"/>
        </w:rPr>
        <w:t>N</w:t>
      </w:r>
      <w:r w:rsidR="007E53F1">
        <w:rPr>
          <w:i/>
          <w:sz w:val="24"/>
          <w:szCs w:val="24"/>
        </w:rPr>
        <w:t xml:space="preserve">icholas </w:t>
      </w:r>
      <w:r w:rsidR="00516657">
        <w:rPr>
          <w:i/>
          <w:sz w:val="24"/>
          <w:szCs w:val="24"/>
        </w:rPr>
        <w:t>WS</w:t>
      </w:r>
      <w:r w:rsidRPr="007B5F38">
        <w:rPr>
          <w:i/>
          <w:sz w:val="24"/>
          <w:szCs w:val="24"/>
        </w:rPr>
        <w:t xml:space="preserve"> Davies</w:t>
      </w:r>
      <w:r w:rsidR="00F75A2D" w:rsidRPr="00F75A2D">
        <w:rPr>
          <w:i/>
          <w:sz w:val="24"/>
          <w:szCs w:val="24"/>
          <w:vertAlign w:val="superscript"/>
        </w:rPr>
        <w:t>2</w:t>
      </w:r>
      <w:r w:rsidRPr="007B5F38">
        <w:rPr>
          <w:i/>
          <w:sz w:val="24"/>
          <w:szCs w:val="24"/>
        </w:rPr>
        <w:t xml:space="preserve">, </w:t>
      </w:r>
      <w:proofErr w:type="spellStart"/>
      <w:r w:rsidR="00D060B4">
        <w:rPr>
          <w:i/>
          <w:sz w:val="24"/>
          <w:szCs w:val="24"/>
        </w:rPr>
        <w:t>P</w:t>
      </w:r>
      <w:r w:rsidR="007E53F1">
        <w:rPr>
          <w:i/>
          <w:sz w:val="24"/>
          <w:szCs w:val="24"/>
        </w:rPr>
        <w:t>arashar</w:t>
      </w:r>
      <w:proofErr w:type="spellEnd"/>
      <w:r w:rsidR="007E53F1">
        <w:rPr>
          <w:i/>
          <w:sz w:val="24"/>
          <w:szCs w:val="24"/>
        </w:rPr>
        <w:t xml:space="preserve"> </w:t>
      </w:r>
      <w:r w:rsidRPr="007B5F38">
        <w:rPr>
          <w:i/>
          <w:sz w:val="24"/>
          <w:szCs w:val="24"/>
        </w:rPr>
        <w:t>P Ramanuj</w:t>
      </w:r>
      <w:r w:rsidR="00F75A2D" w:rsidRPr="00F75A2D">
        <w:rPr>
          <w:i/>
          <w:sz w:val="24"/>
          <w:szCs w:val="24"/>
          <w:vertAlign w:val="superscript"/>
        </w:rPr>
        <w:t>3</w:t>
      </w:r>
      <w:r w:rsidRPr="007B5F38">
        <w:rPr>
          <w:i/>
          <w:sz w:val="24"/>
          <w:szCs w:val="24"/>
        </w:rPr>
        <w:t>, A</w:t>
      </w:r>
      <w:r w:rsidR="007E53F1">
        <w:rPr>
          <w:i/>
          <w:sz w:val="24"/>
          <w:szCs w:val="24"/>
        </w:rPr>
        <w:t>va</w:t>
      </w:r>
      <w:r w:rsidRPr="007B5F38">
        <w:rPr>
          <w:i/>
          <w:sz w:val="24"/>
          <w:szCs w:val="24"/>
        </w:rPr>
        <w:t xml:space="preserve"> Easton</w:t>
      </w:r>
      <w:r w:rsidR="00F75A2D" w:rsidRPr="00F75A2D">
        <w:rPr>
          <w:i/>
          <w:sz w:val="24"/>
          <w:szCs w:val="24"/>
          <w:vertAlign w:val="superscript"/>
        </w:rPr>
        <w:t>4</w:t>
      </w:r>
      <w:r w:rsidRPr="007B5F38">
        <w:rPr>
          <w:i/>
          <w:sz w:val="24"/>
          <w:szCs w:val="24"/>
        </w:rPr>
        <w:t>, D</w:t>
      </w:r>
      <w:r w:rsidR="007E53F1">
        <w:rPr>
          <w:i/>
          <w:sz w:val="24"/>
          <w:szCs w:val="24"/>
        </w:rPr>
        <w:t xml:space="preserve">avid </w:t>
      </w:r>
      <w:r w:rsidRPr="007B5F38">
        <w:rPr>
          <w:i/>
          <w:sz w:val="24"/>
          <w:szCs w:val="24"/>
        </w:rPr>
        <w:t>WG Brown</w:t>
      </w:r>
      <w:r w:rsidR="00F75A2D" w:rsidRPr="00F75A2D">
        <w:rPr>
          <w:i/>
          <w:sz w:val="24"/>
          <w:szCs w:val="24"/>
          <w:vertAlign w:val="superscript"/>
        </w:rPr>
        <w:t>5</w:t>
      </w:r>
      <w:r w:rsidRPr="007B5F38">
        <w:rPr>
          <w:i/>
          <w:sz w:val="24"/>
          <w:szCs w:val="24"/>
        </w:rPr>
        <w:t xml:space="preserve"> and S</w:t>
      </w:r>
      <w:r w:rsidR="007E53F1">
        <w:rPr>
          <w:i/>
          <w:sz w:val="24"/>
          <w:szCs w:val="24"/>
        </w:rPr>
        <w:t xml:space="preserve">ara </w:t>
      </w:r>
      <w:r w:rsidRPr="007B5F38">
        <w:rPr>
          <w:i/>
          <w:sz w:val="24"/>
          <w:szCs w:val="24"/>
        </w:rPr>
        <w:t>L Thomas</w:t>
      </w:r>
      <w:r w:rsidR="00F75A2D" w:rsidRPr="00F75A2D">
        <w:rPr>
          <w:i/>
          <w:sz w:val="24"/>
          <w:szCs w:val="24"/>
          <w:vertAlign w:val="superscript"/>
        </w:rPr>
        <w:t>6</w:t>
      </w:r>
    </w:p>
    <w:p w14:paraId="4F95F014" w14:textId="77777777" w:rsidR="007073F5" w:rsidRPr="007B5F38" w:rsidRDefault="007073F5" w:rsidP="00A641C7">
      <w:pPr>
        <w:spacing w:after="0"/>
        <w:rPr>
          <w:sz w:val="24"/>
          <w:szCs w:val="24"/>
        </w:rPr>
      </w:pPr>
    </w:p>
    <w:p w14:paraId="46282248" w14:textId="4BA0366E" w:rsidR="00A641C7" w:rsidRDefault="00E661DE">
      <w:pPr>
        <w:rPr>
          <w:sz w:val="24"/>
          <w:szCs w:val="24"/>
        </w:rPr>
      </w:pPr>
      <w:r w:rsidRPr="008A1647">
        <w:rPr>
          <w:sz w:val="24"/>
          <w:szCs w:val="24"/>
          <w:vertAlign w:val="superscript"/>
        </w:rPr>
        <w:t>1</w:t>
      </w:r>
      <w:r w:rsidR="00117BFD">
        <w:rPr>
          <w:sz w:val="24"/>
          <w:szCs w:val="24"/>
        </w:rPr>
        <w:t xml:space="preserve">Corresponding author </w:t>
      </w:r>
      <w:r w:rsidR="0065095E">
        <w:rPr>
          <w:sz w:val="24"/>
          <w:szCs w:val="24"/>
        </w:rPr>
        <w:t xml:space="preserve">– </w:t>
      </w:r>
      <w:r w:rsidR="004F50A1">
        <w:rPr>
          <w:sz w:val="24"/>
          <w:szCs w:val="24"/>
        </w:rPr>
        <w:t xml:space="preserve">Public Health England, </w:t>
      </w:r>
      <w:r w:rsidR="00067ECD">
        <w:rPr>
          <w:sz w:val="24"/>
          <w:szCs w:val="24"/>
        </w:rPr>
        <w:t xml:space="preserve">National Infection Service, </w:t>
      </w:r>
      <w:r w:rsidR="00852030">
        <w:rPr>
          <w:sz w:val="24"/>
          <w:szCs w:val="24"/>
        </w:rPr>
        <w:t xml:space="preserve">Virus Reference Department, </w:t>
      </w:r>
      <w:r w:rsidR="004F50A1">
        <w:rPr>
          <w:sz w:val="24"/>
          <w:szCs w:val="24"/>
        </w:rPr>
        <w:t>61 Colindale Avenue, London</w:t>
      </w:r>
      <w:r w:rsidR="00EB7470" w:rsidRPr="00EB7470">
        <w:rPr>
          <w:sz w:val="24"/>
          <w:szCs w:val="24"/>
        </w:rPr>
        <w:t xml:space="preserve"> </w:t>
      </w:r>
      <w:r w:rsidR="00EB7470">
        <w:rPr>
          <w:sz w:val="24"/>
          <w:szCs w:val="24"/>
        </w:rPr>
        <w:t>NW9 5EQ</w:t>
      </w:r>
      <w:r w:rsidR="004F50A1">
        <w:rPr>
          <w:sz w:val="24"/>
          <w:szCs w:val="24"/>
        </w:rPr>
        <w:t>, United Kingdom</w:t>
      </w:r>
      <w:r w:rsidR="004F0870">
        <w:rPr>
          <w:sz w:val="24"/>
          <w:szCs w:val="24"/>
        </w:rPr>
        <w:t xml:space="preserve">; </w:t>
      </w:r>
      <w:hyperlink r:id="rId8" w:history="1">
        <w:r w:rsidR="00117BFD" w:rsidRPr="0057685D">
          <w:rPr>
            <w:rStyle w:val="Hyperlink"/>
            <w:sz w:val="24"/>
            <w:szCs w:val="24"/>
          </w:rPr>
          <w:t>juliagranerod@hotmail.com</w:t>
        </w:r>
      </w:hyperlink>
      <w:r w:rsidR="00117BFD">
        <w:rPr>
          <w:sz w:val="24"/>
          <w:szCs w:val="24"/>
        </w:rPr>
        <w:t>; Tel. 0775984</w:t>
      </w:r>
      <w:r w:rsidR="00444A1F">
        <w:rPr>
          <w:sz w:val="24"/>
          <w:szCs w:val="24"/>
        </w:rPr>
        <w:t>1</w:t>
      </w:r>
      <w:r w:rsidR="00117BFD">
        <w:rPr>
          <w:sz w:val="24"/>
          <w:szCs w:val="24"/>
        </w:rPr>
        <w:t>221</w:t>
      </w:r>
    </w:p>
    <w:p w14:paraId="768B5A76" w14:textId="7C4456C4" w:rsidR="004F50A1" w:rsidRDefault="004F50A1">
      <w:pPr>
        <w:rPr>
          <w:sz w:val="24"/>
          <w:szCs w:val="24"/>
        </w:rPr>
      </w:pPr>
      <w:r w:rsidRPr="008A1647">
        <w:rPr>
          <w:sz w:val="24"/>
          <w:szCs w:val="24"/>
          <w:vertAlign w:val="superscript"/>
        </w:rPr>
        <w:t>2</w:t>
      </w:r>
      <w:r>
        <w:rPr>
          <w:sz w:val="24"/>
          <w:szCs w:val="24"/>
        </w:rPr>
        <w:t>Chelsea and Westminster Hos</w:t>
      </w:r>
      <w:r w:rsidR="00DE6CD4">
        <w:rPr>
          <w:sz w:val="24"/>
          <w:szCs w:val="24"/>
        </w:rPr>
        <w:t>pital, Department of Neurology</w:t>
      </w:r>
      <w:r w:rsidR="00852030">
        <w:rPr>
          <w:sz w:val="24"/>
          <w:szCs w:val="24"/>
        </w:rPr>
        <w:t xml:space="preserve">, </w:t>
      </w:r>
      <w:r w:rsidR="00EB7470">
        <w:rPr>
          <w:sz w:val="24"/>
          <w:szCs w:val="24"/>
        </w:rPr>
        <w:t>London SW10 9NH</w:t>
      </w:r>
      <w:r w:rsidR="00852030">
        <w:rPr>
          <w:sz w:val="24"/>
          <w:szCs w:val="24"/>
        </w:rPr>
        <w:t>, United Kingdom</w:t>
      </w:r>
    </w:p>
    <w:p w14:paraId="1FDCCAF1" w14:textId="6BF3C2D4" w:rsidR="004F50A1" w:rsidRDefault="004F50A1">
      <w:pPr>
        <w:rPr>
          <w:sz w:val="24"/>
          <w:szCs w:val="24"/>
        </w:rPr>
      </w:pPr>
      <w:r w:rsidRPr="00130BE0">
        <w:rPr>
          <w:sz w:val="24"/>
          <w:szCs w:val="24"/>
          <w:vertAlign w:val="superscript"/>
        </w:rPr>
        <w:t>3</w:t>
      </w:r>
      <w:r w:rsidR="00121F10" w:rsidRPr="00130BE0">
        <w:rPr>
          <w:sz w:val="24"/>
          <w:szCs w:val="24"/>
        </w:rPr>
        <w:t>New York State Psychiatric Institute</w:t>
      </w:r>
      <w:r w:rsidR="00E06AA9">
        <w:rPr>
          <w:sz w:val="24"/>
          <w:szCs w:val="24"/>
        </w:rPr>
        <w:t>, New York, NY 10032, USA</w:t>
      </w:r>
    </w:p>
    <w:p w14:paraId="2EFABB01" w14:textId="4D9AFB82" w:rsidR="004F50A1" w:rsidRDefault="004F50A1">
      <w:pPr>
        <w:rPr>
          <w:sz w:val="24"/>
          <w:szCs w:val="24"/>
        </w:rPr>
      </w:pPr>
      <w:r w:rsidRPr="008A1647">
        <w:rPr>
          <w:sz w:val="24"/>
          <w:szCs w:val="24"/>
          <w:vertAlign w:val="superscript"/>
        </w:rPr>
        <w:t>4</w:t>
      </w:r>
      <w:r w:rsidR="00DE6CD4">
        <w:rPr>
          <w:sz w:val="24"/>
          <w:szCs w:val="24"/>
        </w:rPr>
        <w:t>Encephalitis Society</w:t>
      </w:r>
      <w:r w:rsidR="00852030">
        <w:rPr>
          <w:sz w:val="24"/>
          <w:szCs w:val="24"/>
        </w:rPr>
        <w:t xml:space="preserve">, </w:t>
      </w:r>
      <w:r w:rsidR="00EB7470">
        <w:rPr>
          <w:sz w:val="24"/>
          <w:szCs w:val="24"/>
        </w:rPr>
        <w:t>Malton YO17 7DT</w:t>
      </w:r>
      <w:r w:rsidR="00852030">
        <w:rPr>
          <w:sz w:val="24"/>
          <w:szCs w:val="24"/>
        </w:rPr>
        <w:t>, United Kingdom</w:t>
      </w:r>
    </w:p>
    <w:p w14:paraId="3B1A35AF" w14:textId="3330A63C" w:rsidR="004F50A1" w:rsidRDefault="004F50A1">
      <w:pPr>
        <w:rPr>
          <w:sz w:val="24"/>
          <w:szCs w:val="24"/>
        </w:rPr>
      </w:pPr>
      <w:r w:rsidRPr="000E38A3">
        <w:rPr>
          <w:sz w:val="24"/>
          <w:szCs w:val="24"/>
          <w:vertAlign w:val="superscript"/>
        </w:rPr>
        <w:t>5</w:t>
      </w:r>
      <w:r w:rsidR="00852030" w:rsidRPr="000E38A3">
        <w:rPr>
          <w:sz w:val="24"/>
          <w:szCs w:val="24"/>
        </w:rPr>
        <w:t xml:space="preserve">Public Health England, </w:t>
      </w:r>
      <w:r w:rsidR="00067ECD" w:rsidRPr="000E38A3">
        <w:rPr>
          <w:sz w:val="24"/>
          <w:szCs w:val="24"/>
        </w:rPr>
        <w:t xml:space="preserve">National Infection Service, </w:t>
      </w:r>
      <w:r w:rsidR="00852030" w:rsidRPr="000E38A3">
        <w:rPr>
          <w:sz w:val="24"/>
          <w:szCs w:val="24"/>
        </w:rPr>
        <w:t xml:space="preserve">Virus </w:t>
      </w:r>
      <w:r w:rsidR="00AC6C89" w:rsidRPr="000E38A3">
        <w:rPr>
          <w:sz w:val="24"/>
          <w:szCs w:val="24"/>
        </w:rPr>
        <w:t>Reference</w:t>
      </w:r>
      <w:r w:rsidR="00DE6CD4" w:rsidRPr="000E38A3">
        <w:rPr>
          <w:sz w:val="24"/>
          <w:szCs w:val="24"/>
        </w:rPr>
        <w:t xml:space="preserve"> Department</w:t>
      </w:r>
      <w:r w:rsidR="00AC6C89" w:rsidRPr="000E38A3">
        <w:rPr>
          <w:sz w:val="24"/>
          <w:szCs w:val="24"/>
        </w:rPr>
        <w:t xml:space="preserve">, </w:t>
      </w:r>
      <w:r w:rsidR="00EB7470" w:rsidRPr="000E38A3">
        <w:rPr>
          <w:sz w:val="24"/>
          <w:szCs w:val="24"/>
        </w:rPr>
        <w:t>London</w:t>
      </w:r>
      <w:r w:rsidR="00EB7470">
        <w:rPr>
          <w:sz w:val="24"/>
          <w:szCs w:val="24"/>
        </w:rPr>
        <w:t xml:space="preserve"> </w:t>
      </w:r>
      <w:r w:rsidR="00AC6C89">
        <w:rPr>
          <w:sz w:val="24"/>
          <w:szCs w:val="24"/>
        </w:rPr>
        <w:t>N</w:t>
      </w:r>
      <w:r w:rsidR="00EB7470">
        <w:rPr>
          <w:sz w:val="24"/>
          <w:szCs w:val="24"/>
        </w:rPr>
        <w:t xml:space="preserve">W9 5EQ, United Kingdom &amp; Inﬂuenza </w:t>
      </w:r>
      <w:r w:rsidR="00EB7470" w:rsidRPr="00EB7470">
        <w:rPr>
          <w:sz w:val="24"/>
          <w:szCs w:val="24"/>
        </w:rPr>
        <w:t>Laboratory, Oswaldo Cruz Institute/</w:t>
      </w:r>
      <w:proofErr w:type="spellStart"/>
      <w:r w:rsidR="00EB7470" w:rsidRPr="00EB7470">
        <w:rPr>
          <w:sz w:val="24"/>
          <w:szCs w:val="24"/>
        </w:rPr>
        <w:t>Fiocruz</w:t>
      </w:r>
      <w:proofErr w:type="spellEnd"/>
      <w:r w:rsidR="00EB7470" w:rsidRPr="00EB7470">
        <w:rPr>
          <w:sz w:val="24"/>
          <w:szCs w:val="24"/>
        </w:rPr>
        <w:t xml:space="preserve">, Rio de Janeiro </w:t>
      </w:r>
      <w:r w:rsidR="00EB7470" w:rsidRPr="00EB7470">
        <w:rPr>
          <w:color w:val="000000"/>
          <w:sz w:val="24"/>
          <w:szCs w:val="24"/>
          <w:lang w:val="en"/>
        </w:rPr>
        <w:t>CEP 21040-360</w:t>
      </w:r>
      <w:r w:rsidR="00EB7470" w:rsidRPr="00EB7470">
        <w:rPr>
          <w:sz w:val="24"/>
          <w:szCs w:val="24"/>
        </w:rPr>
        <w:t>, Brazil</w:t>
      </w:r>
    </w:p>
    <w:p w14:paraId="3DB6C80E" w14:textId="19D2EC66" w:rsidR="004F50A1" w:rsidRPr="00E661DE" w:rsidRDefault="004F50A1">
      <w:pPr>
        <w:rPr>
          <w:sz w:val="24"/>
          <w:szCs w:val="24"/>
        </w:rPr>
      </w:pPr>
      <w:r w:rsidRPr="008A1647">
        <w:rPr>
          <w:sz w:val="24"/>
          <w:szCs w:val="24"/>
          <w:vertAlign w:val="superscript"/>
        </w:rPr>
        <w:t>6</w:t>
      </w:r>
      <w:r>
        <w:rPr>
          <w:sz w:val="24"/>
          <w:szCs w:val="24"/>
        </w:rPr>
        <w:t>London School of Hygiene and Tropical Medicine</w:t>
      </w:r>
      <w:r w:rsidR="006F42E3">
        <w:rPr>
          <w:sz w:val="24"/>
          <w:szCs w:val="24"/>
        </w:rPr>
        <w:t>, London WC1E 7HT, United Kingdom</w:t>
      </w:r>
    </w:p>
    <w:p w14:paraId="0F2AF97E" w14:textId="77777777" w:rsidR="003E0C07" w:rsidRDefault="003E0C07">
      <w:pPr>
        <w:rPr>
          <w:b/>
          <w:sz w:val="24"/>
          <w:szCs w:val="24"/>
        </w:rPr>
      </w:pPr>
    </w:p>
    <w:p w14:paraId="5C67059F" w14:textId="77777777" w:rsidR="00A647B7" w:rsidRDefault="003E0C07">
      <w:pPr>
        <w:rPr>
          <w:sz w:val="24"/>
          <w:szCs w:val="24"/>
        </w:rPr>
      </w:pPr>
      <w:r>
        <w:rPr>
          <w:b/>
          <w:sz w:val="24"/>
          <w:szCs w:val="24"/>
        </w:rPr>
        <w:t>Key words</w:t>
      </w:r>
      <w:r w:rsidRPr="00A647B7">
        <w:rPr>
          <w:sz w:val="32"/>
          <w:szCs w:val="24"/>
        </w:rPr>
        <w:t xml:space="preserve">: </w:t>
      </w:r>
      <w:r w:rsidRPr="003E0C07">
        <w:rPr>
          <w:sz w:val="24"/>
          <w:szCs w:val="24"/>
        </w:rPr>
        <w:t xml:space="preserve">Epidemiology; outcomes; encephalitis; </w:t>
      </w:r>
      <w:r w:rsidRPr="00BC5C7A">
        <w:rPr>
          <w:sz w:val="24"/>
          <w:szCs w:val="24"/>
        </w:rPr>
        <w:t>epilepsy</w:t>
      </w:r>
      <w:r w:rsidR="00BC5C7A" w:rsidRPr="00BC5C7A">
        <w:rPr>
          <w:sz w:val="24"/>
          <w:szCs w:val="24"/>
        </w:rPr>
        <w:t>; sequelae</w:t>
      </w:r>
    </w:p>
    <w:p w14:paraId="3D3D584F" w14:textId="353246C4" w:rsidR="00F42A91" w:rsidRDefault="00A647B7">
      <w:pPr>
        <w:rPr>
          <w:b/>
          <w:sz w:val="24"/>
          <w:szCs w:val="24"/>
        </w:rPr>
      </w:pPr>
      <w:r w:rsidRPr="000E38A3">
        <w:rPr>
          <w:b/>
          <w:sz w:val="24"/>
          <w:szCs w:val="24"/>
        </w:rPr>
        <w:t>Word count</w:t>
      </w:r>
      <w:r w:rsidR="007A6061" w:rsidRPr="000E38A3">
        <w:rPr>
          <w:sz w:val="24"/>
          <w:szCs w:val="24"/>
        </w:rPr>
        <w:t>: 3,367</w:t>
      </w:r>
      <w:r w:rsidR="00F42A91">
        <w:rPr>
          <w:b/>
          <w:sz w:val="24"/>
          <w:szCs w:val="24"/>
        </w:rPr>
        <w:br w:type="page"/>
      </w:r>
    </w:p>
    <w:p w14:paraId="4EBB0B1D" w14:textId="77777777" w:rsidR="001C0C09" w:rsidRDefault="001C0C09">
      <w:pPr>
        <w:rPr>
          <w:b/>
          <w:sz w:val="24"/>
          <w:szCs w:val="24"/>
        </w:rPr>
      </w:pPr>
      <w:r w:rsidRPr="00082A15">
        <w:rPr>
          <w:b/>
          <w:sz w:val="24"/>
          <w:szCs w:val="24"/>
        </w:rPr>
        <w:lastRenderedPageBreak/>
        <w:t>Abstract</w:t>
      </w:r>
    </w:p>
    <w:p w14:paraId="3D9F4906" w14:textId="49722C7D" w:rsidR="00297B61" w:rsidRPr="00CB38C0" w:rsidRDefault="008816F8" w:rsidP="00CB38C0">
      <w:pPr>
        <w:autoSpaceDE w:val="0"/>
        <w:autoSpaceDN w:val="0"/>
        <w:adjustRightInd w:val="0"/>
        <w:spacing w:after="0" w:line="360" w:lineRule="auto"/>
        <w:rPr>
          <w:sz w:val="24"/>
          <w:szCs w:val="24"/>
        </w:rPr>
      </w:pPr>
      <w:r>
        <w:rPr>
          <w:rFonts w:cs="Tahoma"/>
          <w:sz w:val="24"/>
          <w:szCs w:val="24"/>
        </w:rPr>
        <w:t>The</w:t>
      </w:r>
      <w:r w:rsidR="00CB38C0">
        <w:rPr>
          <w:rFonts w:cs="Tahoma"/>
          <w:sz w:val="24"/>
          <w:szCs w:val="24"/>
        </w:rPr>
        <w:t xml:space="preserve"> true extent </w:t>
      </w:r>
      <w:r>
        <w:rPr>
          <w:rFonts w:cs="Tahoma"/>
          <w:sz w:val="24"/>
          <w:szCs w:val="24"/>
        </w:rPr>
        <w:t>of</w:t>
      </w:r>
      <w:r w:rsidR="00CB38C0">
        <w:rPr>
          <w:rFonts w:cs="Tahoma"/>
          <w:sz w:val="24"/>
          <w:szCs w:val="24"/>
        </w:rPr>
        <w:t xml:space="preserve"> sequelae </w:t>
      </w:r>
      <w:r>
        <w:rPr>
          <w:rFonts w:cs="Tahoma"/>
          <w:sz w:val="24"/>
          <w:szCs w:val="24"/>
        </w:rPr>
        <w:t xml:space="preserve">in encephalitis survivors </w:t>
      </w:r>
      <w:r w:rsidR="00CB38C0">
        <w:rPr>
          <w:rFonts w:cs="Tahoma"/>
          <w:sz w:val="24"/>
          <w:szCs w:val="24"/>
        </w:rPr>
        <w:t xml:space="preserve">relative to rates within the general population is not known. </w:t>
      </w:r>
      <w:r w:rsidR="00CB38C0" w:rsidRPr="007B5F38">
        <w:rPr>
          <w:sz w:val="24"/>
          <w:szCs w:val="24"/>
        </w:rPr>
        <w:t>This study aim</w:t>
      </w:r>
      <w:r w:rsidR="00CB38C0">
        <w:rPr>
          <w:sz w:val="24"/>
          <w:szCs w:val="24"/>
        </w:rPr>
        <w:t>ed</w:t>
      </w:r>
      <w:r w:rsidR="00CB38C0" w:rsidRPr="007B5F38">
        <w:rPr>
          <w:sz w:val="24"/>
          <w:szCs w:val="24"/>
        </w:rPr>
        <w:t xml:space="preserve"> to </w:t>
      </w:r>
      <w:r w:rsidR="00CB38C0">
        <w:rPr>
          <w:sz w:val="24"/>
          <w:szCs w:val="24"/>
        </w:rPr>
        <w:t>quantify</w:t>
      </w:r>
      <w:r w:rsidR="00CB38C0" w:rsidRPr="007B5F38">
        <w:rPr>
          <w:sz w:val="24"/>
          <w:szCs w:val="24"/>
        </w:rPr>
        <w:t xml:space="preserve"> increased risks of </w:t>
      </w:r>
      <w:r w:rsidR="00F0753B">
        <w:rPr>
          <w:sz w:val="24"/>
          <w:szCs w:val="24"/>
        </w:rPr>
        <w:t>e</w:t>
      </w:r>
      <w:r w:rsidR="00F0753B" w:rsidRPr="00C84F06">
        <w:rPr>
          <w:sz w:val="24"/>
          <w:szCs w:val="24"/>
        </w:rPr>
        <w:t>pilepsy</w:t>
      </w:r>
      <w:r w:rsidR="00F0753B">
        <w:rPr>
          <w:sz w:val="24"/>
          <w:szCs w:val="24"/>
        </w:rPr>
        <w:t xml:space="preserve">, </w:t>
      </w:r>
      <w:r w:rsidR="00F0753B" w:rsidRPr="00C84F06">
        <w:rPr>
          <w:sz w:val="24"/>
          <w:szCs w:val="24"/>
        </w:rPr>
        <w:t>depressive disorders</w:t>
      </w:r>
      <w:r w:rsidR="00F0753B">
        <w:rPr>
          <w:sz w:val="24"/>
          <w:szCs w:val="24"/>
        </w:rPr>
        <w:t xml:space="preserve">, </w:t>
      </w:r>
      <w:r w:rsidR="00F0753B" w:rsidRPr="00C84F06">
        <w:rPr>
          <w:sz w:val="24"/>
          <w:szCs w:val="24"/>
        </w:rPr>
        <w:t>anxiety disorders</w:t>
      </w:r>
      <w:r w:rsidR="00F0753B">
        <w:rPr>
          <w:sz w:val="24"/>
          <w:szCs w:val="24"/>
        </w:rPr>
        <w:t>,</w:t>
      </w:r>
      <w:r w:rsidR="00F0753B" w:rsidRPr="00C84F06">
        <w:rPr>
          <w:sz w:val="24"/>
          <w:szCs w:val="24"/>
        </w:rPr>
        <w:t xml:space="preserve"> </w:t>
      </w:r>
      <w:r w:rsidR="00F0753B" w:rsidRPr="00490846">
        <w:rPr>
          <w:sz w:val="24"/>
          <w:szCs w:val="24"/>
        </w:rPr>
        <w:t>psychotic disorders</w:t>
      </w:r>
      <w:r w:rsidR="00F0753B">
        <w:rPr>
          <w:sz w:val="24"/>
          <w:szCs w:val="24"/>
        </w:rPr>
        <w:t>,</w:t>
      </w:r>
      <w:r w:rsidR="00F0753B" w:rsidRPr="00490846">
        <w:rPr>
          <w:sz w:val="24"/>
          <w:szCs w:val="24"/>
        </w:rPr>
        <w:t xml:space="preserve"> bipolar disorde</w:t>
      </w:r>
      <w:r w:rsidR="00F0753B">
        <w:rPr>
          <w:sz w:val="24"/>
          <w:szCs w:val="24"/>
        </w:rPr>
        <w:t>r,</w:t>
      </w:r>
      <w:r w:rsidR="00F0753B" w:rsidRPr="00490846">
        <w:rPr>
          <w:sz w:val="24"/>
          <w:szCs w:val="24"/>
        </w:rPr>
        <w:t xml:space="preserve"> cognitive problems</w:t>
      </w:r>
      <w:r w:rsidR="00F0753B">
        <w:rPr>
          <w:sz w:val="24"/>
          <w:szCs w:val="24"/>
        </w:rPr>
        <w:t>,</w:t>
      </w:r>
      <w:r w:rsidR="00F0753B" w:rsidRPr="00490846">
        <w:rPr>
          <w:sz w:val="24"/>
          <w:szCs w:val="24"/>
        </w:rPr>
        <w:t xml:space="preserve"> dementia</w:t>
      </w:r>
      <w:r w:rsidR="00F0753B">
        <w:rPr>
          <w:sz w:val="24"/>
          <w:szCs w:val="24"/>
        </w:rPr>
        <w:t>, headache,</w:t>
      </w:r>
      <w:r w:rsidR="00F0753B" w:rsidRPr="00490846">
        <w:rPr>
          <w:sz w:val="24"/>
          <w:szCs w:val="24"/>
        </w:rPr>
        <w:t xml:space="preserve"> and alcoh</w:t>
      </w:r>
      <w:r w:rsidR="00F0753B" w:rsidRPr="00C84F06">
        <w:rPr>
          <w:sz w:val="24"/>
          <w:szCs w:val="24"/>
        </w:rPr>
        <w:t xml:space="preserve">ol </w:t>
      </w:r>
      <w:r w:rsidR="00F0753B">
        <w:rPr>
          <w:sz w:val="24"/>
          <w:szCs w:val="24"/>
        </w:rPr>
        <w:t xml:space="preserve">abuse </w:t>
      </w:r>
      <w:r w:rsidR="00C57571">
        <w:rPr>
          <w:sz w:val="24"/>
          <w:szCs w:val="24"/>
        </w:rPr>
        <w:t>among encephalitis cases</w:t>
      </w:r>
      <w:r w:rsidR="00CB38C0">
        <w:rPr>
          <w:sz w:val="24"/>
          <w:szCs w:val="24"/>
        </w:rPr>
        <w:t xml:space="preserve">. </w:t>
      </w:r>
      <w:r w:rsidR="00DB4F0B">
        <w:rPr>
          <w:sz w:val="24"/>
          <w:szCs w:val="24"/>
        </w:rPr>
        <w:t xml:space="preserve">2,460 </w:t>
      </w:r>
      <w:r w:rsidR="00262512">
        <w:rPr>
          <w:sz w:val="24"/>
          <w:szCs w:val="24"/>
        </w:rPr>
        <w:t xml:space="preserve">exposed </w:t>
      </w:r>
      <w:r w:rsidR="00DB4F0B">
        <w:rPr>
          <w:sz w:val="24"/>
          <w:szCs w:val="24"/>
        </w:rPr>
        <w:t xml:space="preserve">individuals </w:t>
      </w:r>
      <w:r w:rsidR="00952C9B">
        <w:rPr>
          <w:sz w:val="24"/>
          <w:szCs w:val="24"/>
        </w:rPr>
        <w:t>diagnosed with</w:t>
      </w:r>
      <w:r w:rsidR="00DB4F0B">
        <w:rPr>
          <w:sz w:val="24"/>
          <w:szCs w:val="24"/>
        </w:rPr>
        <w:t xml:space="preserve"> </w:t>
      </w:r>
      <w:r w:rsidR="00CC43B3">
        <w:rPr>
          <w:sz w:val="24"/>
          <w:szCs w:val="24"/>
        </w:rPr>
        <w:t>incident encephalitis</w:t>
      </w:r>
      <w:r w:rsidR="00C57571">
        <w:rPr>
          <w:sz w:val="24"/>
          <w:szCs w:val="24"/>
        </w:rPr>
        <w:t xml:space="preserve"> </w:t>
      </w:r>
      <w:r w:rsidR="00CC43B3">
        <w:rPr>
          <w:sz w:val="24"/>
          <w:szCs w:val="24"/>
        </w:rPr>
        <w:t xml:space="preserve">in the Clinical Practice Research Datalink </w:t>
      </w:r>
      <w:r w:rsidR="00C57571">
        <w:rPr>
          <w:sz w:val="24"/>
          <w:szCs w:val="24"/>
        </w:rPr>
        <w:t>and</w:t>
      </w:r>
      <w:r w:rsidR="00952C9B">
        <w:rPr>
          <w:sz w:val="24"/>
          <w:szCs w:val="24"/>
        </w:rPr>
        <w:t xml:space="preserve"> </w:t>
      </w:r>
      <w:r w:rsidR="00DB4F0B">
        <w:rPr>
          <w:sz w:val="24"/>
          <w:szCs w:val="24"/>
        </w:rPr>
        <w:t>47,914 unexposed individuals</w:t>
      </w:r>
      <w:r w:rsidR="00952C9B">
        <w:rPr>
          <w:sz w:val="24"/>
          <w:szCs w:val="24"/>
        </w:rPr>
        <w:t xml:space="preserve"> without a history of encephalitis</w:t>
      </w:r>
      <w:r w:rsidR="00C57571">
        <w:rPr>
          <w:sz w:val="24"/>
          <w:szCs w:val="24"/>
        </w:rPr>
        <w:t xml:space="preserve"> were included</w:t>
      </w:r>
      <w:r w:rsidR="00952C9B">
        <w:rPr>
          <w:sz w:val="24"/>
          <w:szCs w:val="24"/>
        </w:rPr>
        <w:t>.</w:t>
      </w:r>
      <w:r w:rsidR="003D3F72">
        <w:rPr>
          <w:sz w:val="24"/>
          <w:szCs w:val="24"/>
        </w:rPr>
        <w:t xml:space="preserve"> </w:t>
      </w:r>
      <w:r w:rsidR="004F56EB">
        <w:rPr>
          <w:sz w:val="24"/>
          <w:szCs w:val="24"/>
        </w:rPr>
        <w:t>Multivariable Poisson regression was used t</w:t>
      </w:r>
      <w:r>
        <w:rPr>
          <w:sz w:val="24"/>
          <w:szCs w:val="24"/>
        </w:rPr>
        <w:t>o estimate adjusted rate ratios</w:t>
      </w:r>
      <w:r w:rsidR="003012DD">
        <w:rPr>
          <w:sz w:val="24"/>
          <w:szCs w:val="24"/>
        </w:rPr>
        <w:t xml:space="preserve"> </w:t>
      </w:r>
      <w:r w:rsidR="00AF527D">
        <w:rPr>
          <w:sz w:val="24"/>
          <w:szCs w:val="24"/>
        </w:rPr>
        <w:t>in individuals with encephalitis compared to the general population</w:t>
      </w:r>
      <w:r w:rsidR="003012DD">
        <w:rPr>
          <w:sz w:val="24"/>
          <w:szCs w:val="24"/>
        </w:rPr>
        <w:t xml:space="preserve"> </w:t>
      </w:r>
      <w:r w:rsidR="006236BF">
        <w:rPr>
          <w:sz w:val="24"/>
          <w:szCs w:val="24"/>
        </w:rPr>
        <w:t xml:space="preserve">and </w:t>
      </w:r>
      <w:r w:rsidR="009E08AD">
        <w:rPr>
          <w:sz w:val="24"/>
          <w:szCs w:val="24"/>
        </w:rPr>
        <w:t xml:space="preserve">to estimate </w:t>
      </w:r>
      <w:r w:rsidR="006236BF">
        <w:rPr>
          <w:sz w:val="24"/>
          <w:szCs w:val="24"/>
        </w:rPr>
        <w:t>whether the effect of the</w:t>
      </w:r>
      <w:r w:rsidR="003012DD">
        <w:rPr>
          <w:sz w:val="24"/>
          <w:szCs w:val="24"/>
        </w:rPr>
        <w:t>se</w:t>
      </w:r>
      <w:r w:rsidR="006236BF">
        <w:rPr>
          <w:sz w:val="24"/>
          <w:szCs w:val="24"/>
        </w:rPr>
        <w:t xml:space="preserve"> outcome</w:t>
      </w:r>
      <w:r w:rsidR="003012DD">
        <w:rPr>
          <w:sz w:val="24"/>
          <w:szCs w:val="24"/>
        </w:rPr>
        <w:t xml:space="preserve">s </w:t>
      </w:r>
      <w:r w:rsidR="00C57571">
        <w:rPr>
          <w:sz w:val="24"/>
          <w:szCs w:val="24"/>
        </w:rPr>
        <w:t xml:space="preserve">varied over time. </w:t>
      </w:r>
      <w:r w:rsidR="00297B61" w:rsidRPr="007B5F38">
        <w:rPr>
          <w:sz w:val="24"/>
          <w:szCs w:val="24"/>
        </w:rPr>
        <w:t>Individuals with encephalitis had an increased r</w:t>
      </w:r>
      <w:r w:rsidR="00297B61">
        <w:rPr>
          <w:sz w:val="24"/>
          <w:szCs w:val="24"/>
        </w:rPr>
        <w:t xml:space="preserve">isk </w:t>
      </w:r>
      <w:r w:rsidR="00297B61" w:rsidRPr="007B5F38">
        <w:rPr>
          <w:sz w:val="24"/>
          <w:szCs w:val="24"/>
        </w:rPr>
        <w:t xml:space="preserve">of all </w:t>
      </w:r>
      <w:r w:rsidR="00297B61">
        <w:rPr>
          <w:sz w:val="24"/>
          <w:szCs w:val="24"/>
        </w:rPr>
        <w:t xml:space="preserve">investigated </w:t>
      </w:r>
      <w:r>
        <w:rPr>
          <w:sz w:val="24"/>
          <w:szCs w:val="24"/>
        </w:rPr>
        <w:t>outcomes</w:t>
      </w:r>
      <w:r w:rsidR="00297B61" w:rsidRPr="007B5F38">
        <w:rPr>
          <w:sz w:val="24"/>
          <w:szCs w:val="24"/>
        </w:rPr>
        <w:t xml:space="preserve">. </w:t>
      </w:r>
      <w:r w:rsidR="00A61E3D">
        <w:rPr>
          <w:sz w:val="24"/>
          <w:szCs w:val="24"/>
        </w:rPr>
        <w:t>The highest RR</w:t>
      </w:r>
      <w:r w:rsidR="00DF1BA7">
        <w:rPr>
          <w:sz w:val="24"/>
          <w:szCs w:val="24"/>
        </w:rPr>
        <w:t xml:space="preserve"> was seen f</w:t>
      </w:r>
      <w:r w:rsidR="00A61E3D">
        <w:rPr>
          <w:sz w:val="24"/>
          <w:szCs w:val="24"/>
        </w:rPr>
        <w:t>or epilepsy (adjusted RR</w:t>
      </w:r>
      <w:r w:rsidR="00DF1BA7">
        <w:rPr>
          <w:sz w:val="24"/>
          <w:szCs w:val="24"/>
        </w:rPr>
        <w:t xml:space="preserve"> </w:t>
      </w:r>
      <w:r w:rsidR="00297B61" w:rsidRPr="007B5F38">
        <w:rPr>
          <w:sz w:val="24"/>
          <w:szCs w:val="24"/>
        </w:rPr>
        <w:t>31.9</w:t>
      </w:r>
      <w:r w:rsidR="00297B61">
        <w:rPr>
          <w:sz w:val="24"/>
          <w:szCs w:val="24"/>
        </w:rPr>
        <w:t>; 95%</w:t>
      </w:r>
      <w:r w:rsidR="00CC43B3">
        <w:rPr>
          <w:sz w:val="24"/>
          <w:szCs w:val="24"/>
        </w:rPr>
        <w:t xml:space="preserve"> confidence interval 25.38-</w:t>
      </w:r>
      <w:r w:rsidR="00297B61" w:rsidRPr="000D0D10">
        <w:rPr>
          <w:sz w:val="24"/>
          <w:szCs w:val="24"/>
        </w:rPr>
        <w:t>40.08</w:t>
      </w:r>
      <w:r w:rsidR="00297B61">
        <w:rPr>
          <w:sz w:val="24"/>
          <w:szCs w:val="24"/>
        </w:rPr>
        <w:t>)</w:t>
      </w:r>
      <w:r w:rsidR="00DF1BA7">
        <w:rPr>
          <w:sz w:val="24"/>
          <w:szCs w:val="24"/>
        </w:rPr>
        <w:t xml:space="preserve"> whereas the lowest </w:t>
      </w:r>
      <w:r w:rsidR="00297B61" w:rsidRPr="007B5F38">
        <w:rPr>
          <w:sz w:val="24"/>
          <w:szCs w:val="24"/>
        </w:rPr>
        <w:t>was seen for anxiety disorders</w:t>
      </w:r>
      <w:r w:rsidR="00DF1BA7">
        <w:rPr>
          <w:sz w:val="24"/>
          <w:szCs w:val="24"/>
        </w:rPr>
        <w:t xml:space="preserve"> (</w:t>
      </w:r>
      <w:r w:rsidR="00667874" w:rsidRPr="005E474B">
        <w:rPr>
          <w:sz w:val="24"/>
          <w:szCs w:val="24"/>
        </w:rPr>
        <w:t>1.46</w:t>
      </w:r>
      <w:r w:rsidR="00667874">
        <w:rPr>
          <w:sz w:val="24"/>
          <w:szCs w:val="24"/>
        </w:rPr>
        <w:t xml:space="preserve">, </w:t>
      </w:r>
      <w:r w:rsidR="00667874" w:rsidRPr="005E474B">
        <w:rPr>
          <w:sz w:val="24"/>
          <w:szCs w:val="24"/>
        </w:rPr>
        <w:t>1.27</w:t>
      </w:r>
      <w:r w:rsidR="00CC43B3">
        <w:rPr>
          <w:sz w:val="24"/>
          <w:szCs w:val="24"/>
        </w:rPr>
        <w:t>-</w:t>
      </w:r>
      <w:r w:rsidR="00667874" w:rsidRPr="005E474B">
        <w:rPr>
          <w:sz w:val="24"/>
          <w:szCs w:val="24"/>
        </w:rPr>
        <w:t>1.68</w:t>
      </w:r>
      <w:r w:rsidR="00DF1BA7">
        <w:rPr>
          <w:sz w:val="24"/>
          <w:szCs w:val="24"/>
        </w:rPr>
        <w:t xml:space="preserve">). </w:t>
      </w:r>
      <w:r w:rsidR="00297B61">
        <w:rPr>
          <w:sz w:val="24"/>
          <w:szCs w:val="24"/>
        </w:rPr>
        <w:t xml:space="preserve">The second highest </w:t>
      </w:r>
      <w:r w:rsidR="00A61E3D">
        <w:rPr>
          <w:sz w:val="24"/>
          <w:szCs w:val="24"/>
        </w:rPr>
        <w:t>RRs</w:t>
      </w:r>
      <w:r w:rsidR="00297B61">
        <w:rPr>
          <w:sz w:val="24"/>
          <w:szCs w:val="24"/>
        </w:rPr>
        <w:t xml:space="preserve"> were for particular psychiatric illnesses, </w:t>
      </w:r>
      <w:r w:rsidR="00F9656D">
        <w:rPr>
          <w:sz w:val="24"/>
          <w:szCs w:val="24"/>
        </w:rPr>
        <w:t>including</w:t>
      </w:r>
      <w:r w:rsidR="00297B61">
        <w:rPr>
          <w:sz w:val="24"/>
          <w:szCs w:val="24"/>
        </w:rPr>
        <w:t xml:space="preserve"> bipolar disorder</w:t>
      </w:r>
      <w:r w:rsidR="00667874">
        <w:rPr>
          <w:sz w:val="24"/>
          <w:szCs w:val="24"/>
        </w:rPr>
        <w:t xml:space="preserve"> (</w:t>
      </w:r>
      <w:r w:rsidR="00667874" w:rsidRPr="00BF2BB7">
        <w:rPr>
          <w:sz w:val="24"/>
          <w:szCs w:val="24"/>
        </w:rPr>
        <w:t>6.34</w:t>
      </w:r>
      <w:r w:rsidR="00CC43B3">
        <w:rPr>
          <w:sz w:val="24"/>
          <w:szCs w:val="24"/>
        </w:rPr>
        <w:t>, 3.34-</w:t>
      </w:r>
      <w:r w:rsidR="00667874" w:rsidRPr="00BF2BB7">
        <w:rPr>
          <w:sz w:val="24"/>
          <w:szCs w:val="24"/>
        </w:rPr>
        <w:t>12.04</w:t>
      </w:r>
      <w:r w:rsidR="00667874">
        <w:rPr>
          <w:sz w:val="24"/>
          <w:szCs w:val="24"/>
        </w:rPr>
        <w:t>)</w:t>
      </w:r>
      <w:r w:rsidR="00297B61">
        <w:rPr>
          <w:sz w:val="24"/>
          <w:szCs w:val="24"/>
        </w:rPr>
        <w:t xml:space="preserve"> and psychotic disorders</w:t>
      </w:r>
      <w:r w:rsidR="00667874">
        <w:rPr>
          <w:sz w:val="24"/>
          <w:szCs w:val="24"/>
        </w:rPr>
        <w:t xml:space="preserve"> (</w:t>
      </w:r>
      <w:r w:rsidR="00667874" w:rsidRPr="004D3DC1">
        <w:rPr>
          <w:sz w:val="24"/>
          <w:szCs w:val="24"/>
        </w:rPr>
        <w:t>3.48</w:t>
      </w:r>
      <w:r w:rsidR="00CC43B3">
        <w:rPr>
          <w:sz w:val="24"/>
          <w:szCs w:val="24"/>
        </w:rPr>
        <w:t>, 2.18-</w:t>
      </w:r>
      <w:r w:rsidR="00667874" w:rsidRPr="004D3DC1">
        <w:rPr>
          <w:sz w:val="24"/>
          <w:szCs w:val="24"/>
        </w:rPr>
        <w:t>5.57</w:t>
      </w:r>
      <w:r w:rsidR="00667874">
        <w:rPr>
          <w:sz w:val="24"/>
          <w:szCs w:val="24"/>
        </w:rPr>
        <w:t>)</w:t>
      </w:r>
      <w:r w:rsidR="00297B61">
        <w:rPr>
          <w:sz w:val="24"/>
          <w:szCs w:val="24"/>
        </w:rPr>
        <w:t>. T</w:t>
      </w:r>
      <w:r w:rsidR="00297B61" w:rsidRPr="007B5F38">
        <w:rPr>
          <w:sz w:val="24"/>
          <w:szCs w:val="24"/>
        </w:rPr>
        <w:t xml:space="preserve">he </w:t>
      </w:r>
      <w:r w:rsidR="00A61E3D">
        <w:rPr>
          <w:sz w:val="24"/>
          <w:szCs w:val="24"/>
        </w:rPr>
        <w:t>RR</w:t>
      </w:r>
      <w:r w:rsidR="00297B61">
        <w:rPr>
          <w:sz w:val="24"/>
          <w:szCs w:val="24"/>
        </w:rPr>
        <w:t xml:space="preserve"> </w:t>
      </w:r>
      <w:r w:rsidR="00297B61" w:rsidRPr="007B5F38">
        <w:rPr>
          <w:sz w:val="24"/>
          <w:szCs w:val="24"/>
        </w:rPr>
        <w:t xml:space="preserve">was highest in the first year of </w:t>
      </w:r>
      <w:r w:rsidR="00297B61">
        <w:rPr>
          <w:sz w:val="24"/>
          <w:szCs w:val="24"/>
        </w:rPr>
        <w:t xml:space="preserve">follow </w:t>
      </w:r>
      <w:r w:rsidR="00297B61" w:rsidRPr="008C0308">
        <w:rPr>
          <w:sz w:val="24"/>
          <w:szCs w:val="24"/>
        </w:rPr>
        <w:t>up for all outcomes except headache</w:t>
      </w:r>
      <w:r w:rsidR="00DF7E4E">
        <w:rPr>
          <w:sz w:val="24"/>
          <w:szCs w:val="24"/>
        </w:rPr>
        <w:t>; this was particularly true</w:t>
      </w:r>
      <w:r w:rsidR="00630372">
        <w:rPr>
          <w:sz w:val="24"/>
          <w:szCs w:val="24"/>
        </w:rPr>
        <w:t xml:space="preserve"> f</w:t>
      </w:r>
      <w:r w:rsidR="00A61E3D">
        <w:rPr>
          <w:sz w:val="24"/>
          <w:szCs w:val="24"/>
        </w:rPr>
        <w:t>or epilepsy (adjusted RR</w:t>
      </w:r>
      <w:r w:rsidR="00630372">
        <w:rPr>
          <w:sz w:val="24"/>
          <w:szCs w:val="24"/>
        </w:rPr>
        <w:t xml:space="preserve"> in first year of follow up </w:t>
      </w:r>
      <w:r w:rsidR="00297B61" w:rsidRPr="008C0308">
        <w:rPr>
          <w:sz w:val="24"/>
          <w:szCs w:val="24"/>
        </w:rPr>
        <w:t>139.6</w:t>
      </w:r>
      <w:r w:rsidR="00CC43B3">
        <w:rPr>
          <w:sz w:val="24"/>
          <w:szCs w:val="24"/>
        </w:rPr>
        <w:t>, 90.62-</w:t>
      </w:r>
      <w:r w:rsidR="00297B61" w:rsidRPr="008C0308">
        <w:rPr>
          <w:sz w:val="24"/>
          <w:szCs w:val="24"/>
        </w:rPr>
        <w:t>215.03)</w:t>
      </w:r>
      <w:r w:rsidR="00630372">
        <w:rPr>
          <w:sz w:val="24"/>
          <w:szCs w:val="24"/>
        </w:rPr>
        <w:t>.</w:t>
      </w:r>
      <w:r w:rsidR="003D3F72">
        <w:rPr>
          <w:sz w:val="24"/>
          <w:szCs w:val="24"/>
        </w:rPr>
        <w:t xml:space="preserve"> </w:t>
      </w:r>
      <w:r w:rsidR="00BC78C8">
        <w:rPr>
          <w:rFonts w:cs="AdvPED1282"/>
          <w:sz w:val="24"/>
          <w:szCs w:val="24"/>
        </w:rPr>
        <w:t>T</w:t>
      </w:r>
      <w:r w:rsidR="00297B61" w:rsidRPr="008255B9">
        <w:rPr>
          <w:rFonts w:cs="AdvPED1282"/>
          <w:sz w:val="24"/>
          <w:szCs w:val="24"/>
        </w:rPr>
        <w:t>his study shows that sequelae are common in survivors of encephalitis. We confirm the presence of outcomes more commonly linked to encephalitis</w:t>
      </w:r>
      <w:r w:rsidR="00F44F20">
        <w:rPr>
          <w:rFonts w:cs="AdvPED1282"/>
          <w:sz w:val="24"/>
          <w:szCs w:val="24"/>
        </w:rPr>
        <w:t xml:space="preserve"> </w:t>
      </w:r>
      <w:r w:rsidR="00297B61">
        <w:rPr>
          <w:rFonts w:cs="AdvPED1282"/>
          <w:sz w:val="24"/>
          <w:szCs w:val="24"/>
        </w:rPr>
        <w:t xml:space="preserve">and describe those less commonly identified as being associated with encephalitis. </w:t>
      </w:r>
      <w:r w:rsidR="00297B61" w:rsidRPr="00206BE7">
        <w:rPr>
          <w:rFonts w:cs="AdvPED1282"/>
          <w:sz w:val="24"/>
          <w:szCs w:val="24"/>
        </w:rPr>
        <w:t>Th</w:t>
      </w:r>
      <w:r w:rsidR="00297B61">
        <w:rPr>
          <w:rFonts w:cs="AdvPED1282"/>
          <w:sz w:val="24"/>
          <w:szCs w:val="24"/>
        </w:rPr>
        <w:t>e</w:t>
      </w:r>
      <w:r w:rsidR="00297B61" w:rsidRPr="00206BE7">
        <w:rPr>
          <w:rFonts w:cs="AdvPED1282"/>
          <w:sz w:val="24"/>
          <w:szCs w:val="24"/>
        </w:rPr>
        <w:t xml:space="preserve"> </w:t>
      </w:r>
      <w:r w:rsidR="00297B61">
        <w:rPr>
          <w:rFonts w:cs="AdvPED1282"/>
          <w:sz w:val="24"/>
          <w:szCs w:val="24"/>
        </w:rPr>
        <w:t xml:space="preserve">results of this study have </w:t>
      </w:r>
      <w:r w:rsidR="00297B61" w:rsidRPr="00206BE7">
        <w:rPr>
          <w:rFonts w:cs="AdvPED1282"/>
          <w:sz w:val="24"/>
          <w:szCs w:val="24"/>
        </w:rPr>
        <w:t xml:space="preserve">important implications for the </w:t>
      </w:r>
      <w:r w:rsidR="00297B61">
        <w:rPr>
          <w:rFonts w:cs="AdvPED1282"/>
          <w:sz w:val="24"/>
          <w:szCs w:val="24"/>
        </w:rPr>
        <w:t>management of encephalitis</w:t>
      </w:r>
      <w:r w:rsidR="00297B61" w:rsidRPr="00206BE7">
        <w:rPr>
          <w:rFonts w:cs="AdvPED1282"/>
          <w:sz w:val="24"/>
          <w:szCs w:val="24"/>
        </w:rPr>
        <w:t xml:space="preserve"> patients</w:t>
      </w:r>
      <w:r w:rsidR="00297B61" w:rsidRPr="00F61C15">
        <w:rPr>
          <w:rFonts w:cs="AdvPED1282"/>
          <w:sz w:val="24"/>
          <w:szCs w:val="24"/>
        </w:rPr>
        <w:t xml:space="preserve"> </w:t>
      </w:r>
      <w:r w:rsidR="00297B61" w:rsidRPr="00251DC6">
        <w:rPr>
          <w:rFonts w:cs="AdvPED1282"/>
          <w:sz w:val="24"/>
          <w:szCs w:val="24"/>
        </w:rPr>
        <w:t>and for the design of tertiary prevention strategies</w:t>
      </w:r>
      <w:r w:rsidR="00297B61">
        <w:rPr>
          <w:rFonts w:cs="AdvPED1282"/>
          <w:sz w:val="24"/>
          <w:szCs w:val="24"/>
        </w:rPr>
        <w:t xml:space="preserve">, as </w:t>
      </w:r>
      <w:r w:rsidR="00297B61" w:rsidRPr="00251DC6">
        <w:rPr>
          <w:rFonts w:cs="AdvPED1282"/>
          <w:sz w:val="24"/>
          <w:szCs w:val="24"/>
        </w:rPr>
        <w:t>many of these sequelae are treatable.</w:t>
      </w:r>
      <w:r w:rsidR="00297B61">
        <w:rPr>
          <w:rFonts w:cs="AdvPED1282"/>
          <w:sz w:val="24"/>
          <w:szCs w:val="24"/>
        </w:rPr>
        <w:t xml:space="preserve"> </w:t>
      </w:r>
    </w:p>
    <w:p w14:paraId="62710CD9" w14:textId="77777777" w:rsidR="000739E5" w:rsidRDefault="000739E5">
      <w:pPr>
        <w:rPr>
          <w:rFonts w:asciiTheme="majorHAnsi" w:eastAsiaTheme="majorEastAsia" w:hAnsiTheme="majorHAnsi" w:cstheme="majorBidi"/>
          <w:color w:val="243F60" w:themeColor="accent1" w:themeShade="7F"/>
          <w:sz w:val="24"/>
          <w:szCs w:val="24"/>
          <w:lang w:val="en"/>
        </w:rPr>
      </w:pPr>
      <w:r>
        <w:rPr>
          <w:lang w:val="en"/>
        </w:rPr>
        <w:br w:type="page"/>
      </w:r>
    </w:p>
    <w:p w14:paraId="0CB7F708" w14:textId="6974304E" w:rsidR="00785078" w:rsidRPr="007B5F38" w:rsidRDefault="009E1D15">
      <w:pPr>
        <w:rPr>
          <w:b/>
          <w:sz w:val="24"/>
          <w:szCs w:val="24"/>
        </w:rPr>
      </w:pPr>
      <w:r>
        <w:rPr>
          <w:b/>
          <w:sz w:val="24"/>
          <w:szCs w:val="24"/>
        </w:rPr>
        <w:lastRenderedPageBreak/>
        <w:t>INTRODUCTION</w:t>
      </w:r>
    </w:p>
    <w:p w14:paraId="088C9D57" w14:textId="24E63F6C" w:rsidR="000F5D0E" w:rsidRDefault="006D2628" w:rsidP="00CD4873">
      <w:pPr>
        <w:autoSpaceDE w:val="0"/>
        <w:autoSpaceDN w:val="0"/>
        <w:adjustRightInd w:val="0"/>
        <w:spacing w:after="0" w:line="360" w:lineRule="auto"/>
        <w:rPr>
          <w:rFonts w:cs="Tahoma"/>
          <w:sz w:val="24"/>
          <w:szCs w:val="24"/>
          <w:highlight w:val="yellow"/>
        </w:rPr>
      </w:pPr>
      <w:r w:rsidRPr="007B5F38">
        <w:rPr>
          <w:rFonts w:cs="Tahoma"/>
          <w:sz w:val="24"/>
          <w:szCs w:val="24"/>
        </w:rPr>
        <w:t>Encephalitis, meaning inflammation of the brain</w:t>
      </w:r>
      <w:r w:rsidR="000F546C">
        <w:rPr>
          <w:rFonts w:cs="Tahoma"/>
          <w:sz w:val="24"/>
          <w:szCs w:val="24"/>
        </w:rPr>
        <w:t xml:space="preserve"> parenchyma</w:t>
      </w:r>
      <w:r w:rsidRPr="007B5F38">
        <w:rPr>
          <w:rFonts w:cs="Tahoma"/>
          <w:sz w:val="24"/>
          <w:szCs w:val="24"/>
        </w:rPr>
        <w:t xml:space="preserve">, is a </w:t>
      </w:r>
      <w:r w:rsidR="00D820E0">
        <w:rPr>
          <w:rFonts w:cs="Tahoma"/>
          <w:sz w:val="24"/>
          <w:szCs w:val="24"/>
        </w:rPr>
        <w:t>potentially life-threatening neurological syndrome</w:t>
      </w:r>
      <w:r w:rsidRPr="007B5F38">
        <w:rPr>
          <w:rFonts w:cs="Tahoma"/>
          <w:sz w:val="24"/>
          <w:szCs w:val="24"/>
        </w:rPr>
        <w:t xml:space="preserve">. </w:t>
      </w:r>
      <w:r w:rsidR="001602E5">
        <w:rPr>
          <w:rFonts w:cs="Tahoma"/>
          <w:sz w:val="24"/>
          <w:szCs w:val="24"/>
        </w:rPr>
        <w:t xml:space="preserve">It affects all age groups. </w:t>
      </w:r>
      <w:r w:rsidRPr="007B5F38">
        <w:rPr>
          <w:rFonts w:cs="Tahoma"/>
          <w:sz w:val="24"/>
          <w:szCs w:val="24"/>
        </w:rPr>
        <w:t>Both direct infection of the brain and immune-mediated mechanisms can cause encephalitis</w:t>
      </w:r>
      <w:r w:rsidR="009E4CF7">
        <w:rPr>
          <w:rFonts w:cs="Tahoma"/>
          <w:sz w:val="24"/>
          <w:szCs w:val="24"/>
        </w:rPr>
        <w:t xml:space="preserve">; however, </w:t>
      </w:r>
      <w:r w:rsidR="00516657">
        <w:rPr>
          <w:rFonts w:cs="Tahoma"/>
          <w:sz w:val="24"/>
          <w:szCs w:val="24"/>
        </w:rPr>
        <w:t xml:space="preserve">aetiology </w:t>
      </w:r>
      <w:r w:rsidR="009E4CF7">
        <w:rPr>
          <w:rFonts w:cs="Tahoma"/>
          <w:sz w:val="24"/>
          <w:szCs w:val="24"/>
        </w:rPr>
        <w:t>remains unknown in a large proportion of ca</w:t>
      </w:r>
      <w:r w:rsidR="009E4CF7" w:rsidRPr="006C47FA">
        <w:rPr>
          <w:rFonts w:cs="Tahoma"/>
          <w:sz w:val="24"/>
          <w:szCs w:val="24"/>
        </w:rPr>
        <w:t>ses.</w:t>
      </w:r>
      <w:r w:rsidR="005F5BF2">
        <w:rPr>
          <w:rFonts w:cs="Tahoma"/>
          <w:sz w:val="24"/>
          <w:szCs w:val="24"/>
        </w:rPr>
        <w:t>[1]</w:t>
      </w:r>
      <w:r w:rsidR="009E4CF7" w:rsidRPr="006C47FA">
        <w:rPr>
          <w:rFonts w:cs="Tahoma"/>
          <w:sz w:val="24"/>
          <w:szCs w:val="24"/>
        </w:rPr>
        <w:t xml:space="preserve"> </w:t>
      </w:r>
      <w:r w:rsidR="00CD4873" w:rsidRPr="006C47FA">
        <w:rPr>
          <w:rFonts w:cs="Tahoma"/>
          <w:sz w:val="24"/>
          <w:szCs w:val="24"/>
        </w:rPr>
        <w:t xml:space="preserve">The </w:t>
      </w:r>
      <w:r w:rsidR="00516657">
        <w:rPr>
          <w:rFonts w:cs="Tahoma"/>
          <w:sz w:val="24"/>
          <w:szCs w:val="24"/>
        </w:rPr>
        <w:t xml:space="preserve">public, clinical and scientific </w:t>
      </w:r>
      <w:r w:rsidR="00CD4873" w:rsidRPr="006C47FA">
        <w:rPr>
          <w:rFonts w:cs="Tahoma"/>
          <w:sz w:val="24"/>
          <w:szCs w:val="24"/>
        </w:rPr>
        <w:t>profile</w:t>
      </w:r>
      <w:r w:rsidR="00516657">
        <w:rPr>
          <w:rFonts w:cs="Tahoma"/>
          <w:sz w:val="24"/>
          <w:szCs w:val="24"/>
        </w:rPr>
        <w:t>s</w:t>
      </w:r>
      <w:r w:rsidR="00CD4873" w:rsidRPr="006C47FA">
        <w:rPr>
          <w:rFonts w:cs="Tahoma"/>
          <w:sz w:val="24"/>
          <w:szCs w:val="24"/>
        </w:rPr>
        <w:t xml:space="preserve"> of encephalitis ha</w:t>
      </w:r>
      <w:r w:rsidR="00516657">
        <w:rPr>
          <w:rFonts w:cs="Tahoma"/>
          <w:sz w:val="24"/>
          <w:szCs w:val="24"/>
        </w:rPr>
        <w:t>ve</w:t>
      </w:r>
      <w:r w:rsidR="00CD4873" w:rsidRPr="006C47FA">
        <w:rPr>
          <w:rFonts w:cs="Tahoma"/>
          <w:sz w:val="24"/>
          <w:szCs w:val="24"/>
        </w:rPr>
        <w:t xml:space="preserve"> </w:t>
      </w:r>
      <w:r w:rsidR="00516657">
        <w:rPr>
          <w:rFonts w:cs="Tahoma"/>
          <w:sz w:val="24"/>
          <w:szCs w:val="24"/>
        </w:rPr>
        <w:t>risen</w:t>
      </w:r>
      <w:r w:rsidR="00CD4873" w:rsidRPr="006C47FA">
        <w:rPr>
          <w:rFonts w:cs="Tahoma"/>
          <w:sz w:val="24"/>
          <w:szCs w:val="24"/>
        </w:rPr>
        <w:t xml:space="preserve"> in recent years </w:t>
      </w:r>
      <w:r w:rsidR="00516657">
        <w:rPr>
          <w:rFonts w:cs="Tahoma"/>
          <w:sz w:val="24"/>
          <w:szCs w:val="24"/>
        </w:rPr>
        <w:t>spurred by</w:t>
      </w:r>
      <w:r w:rsidR="00516657" w:rsidRPr="006C47FA">
        <w:rPr>
          <w:rFonts w:cs="Tahoma"/>
          <w:sz w:val="24"/>
          <w:szCs w:val="24"/>
        </w:rPr>
        <w:t xml:space="preserve"> </w:t>
      </w:r>
      <w:r w:rsidR="00CD4873" w:rsidRPr="006C47FA">
        <w:rPr>
          <w:rFonts w:cs="Tahoma"/>
          <w:sz w:val="24"/>
          <w:szCs w:val="24"/>
        </w:rPr>
        <w:t xml:space="preserve">the </w:t>
      </w:r>
      <w:r w:rsidR="00516657">
        <w:rPr>
          <w:rFonts w:cs="Tahoma"/>
          <w:sz w:val="24"/>
          <w:szCs w:val="24"/>
        </w:rPr>
        <w:t>recognition</w:t>
      </w:r>
      <w:r w:rsidR="00CD4873" w:rsidRPr="006C47FA">
        <w:rPr>
          <w:rFonts w:cs="Tahoma"/>
          <w:sz w:val="24"/>
          <w:szCs w:val="24"/>
        </w:rPr>
        <w:t xml:space="preserve"> of emerging infections </w:t>
      </w:r>
      <w:r w:rsidR="007B6EFF">
        <w:rPr>
          <w:rFonts w:cs="Tahoma"/>
          <w:sz w:val="24"/>
          <w:szCs w:val="24"/>
        </w:rPr>
        <w:t xml:space="preserve">that can cause encephalitis </w:t>
      </w:r>
      <w:r w:rsidR="00CD4873" w:rsidRPr="006C47FA">
        <w:rPr>
          <w:rFonts w:cs="Tahoma"/>
          <w:sz w:val="24"/>
          <w:szCs w:val="24"/>
        </w:rPr>
        <w:t>and</w:t>
      </w:r>
      <w:r w:rsidR="00516657" w:rsidRPr="006C47FA">
        <w:rPr>
          <w:rFonts w:eastAsia="TimesNewRomanPSMT" w:cs="TimesNewRomanPSMT"/>
          <w:sz w:val="24"/>
          <w:szCs w:val="24"/>
        </w:rPr>
        <w:t xml:space="preserve"> </w:t>
      </w:r>
      <w:r w:rsidR="00CD4873" w:rsidRPr="006C47FA">
        <w:rPr>
          <w:rFonts w:eastAsia="TimesNewRomanPSMT" w:cs="TimesNewRomanPSMT"/>
          <w:sz w:val="24"/>
          <w:szCs w:val="24"/>
        </w:rPr>
        <w:t xml:space="preserve">recognition of novel immune-mediated forms of </w:t>
      </w:r>
      <w:r w:rsidR="00A52B82" w:rsidRPr="006C47FA">
        <w:rPr>
          <w:rFonts w:eastAsia="TimesNewRomanPSMT" w:cs="TimesNewRomanPSMT"/>
          <w:sz w:val="24"/>
          <w:szCs w:val="24"/>
        </w:rPr>
        <w:t xml:space="preserve">the </w:t>
      </w:r>
      <w:r w:rsidR="00516657">
        <w:rPr>
          <w:rFonts w:eastAsia="TimesNewRomanPSMT" w:cs="TimesNewRomanPSMT"/>
          <w:sz w:val="24"/>
          <w:szCs w:val="24"/>
        </w:rPr>
        <w:t>condition</w:t>
      </w:r>
      <w:r w:rsidR="009E4CF7" w:rsidRPr="006C47FA">
        <w:rPr>
          <w:rFonts w:eastAsia="TimesNewRomanPSMT" w:cs="TimesNewRomanPSMT"/>
          <w:sz w:val="24"/>
          <w:szCs w:val="24"/>
        </w:rPr>
        <w:t>.</w:t>
      </w:r>
      <w:r w:rsidR="005F5BF2">
        <w:rPr>
          <w:rFonts w:eastAsia="TimesNewRomanPSMT" w:cs="TimesNewRomanPSMT"/>
          <w:sz w:val="24"/>
          <w:szCs w:val="24"/>
        </w:rPr>
        <w:t>[2-3]</w:t>
      </w:r>
      <w:r w:rsidR="009E4CF7" w:rsidRPr="006C47FA">
        <w:rPr>
          <w:rFonts w:eastAsia="TimesNewRomanPSMT" w:cs="TimesNewRomanPSMT"/>
          <w:sz w:val="24"/>
          <w:szCs w:val="24"/>
        </w:rPr>
        <w:t xml:space="preserve"> </w:t>
      </w:r>
      <w:r w:rsidR="00516657">
        <w:rPr>
          <w:rFonts w:cs="Tahoma"/>
          <w:sz w:val="24"/>
          <w:szCs w:val="24"/>
        </w:rPr>
        <w:t>R</w:t>
      </w:r>
      <w:r w:rsidR="00755538">
        <w:rPr>
          <w:rFonts w:cs="Tahoma"/>
          <w:sz w:val="24"/>
          <w:szCs w:val="24"/>
        </w:rPr>
        <w:t xml:space="preserve">esearch has shown </w:t>
      </w:r>
      <w:r w:rsidR="0052584B">
        <w:rPr>
          <w:rFonts w:cs="Tahoma"/>
          <w:sz w:val="24"/>
          <w:szCs w:val="24"/>
        </w:rPr>
        <w:t xml:space="preserve">that </w:t>
      </w:r>
      <w:r w:rsidR="00755538">
        <w:rPr>
          <w:rFonts w:cs="Tahoma"/>
          <w:sz w:val="24"/>
          <w:szCs w:val="24"/>
        </w:rPr>
        <w:t xml:space="preserve">encephalitis in England is more common than previously thought with an incidence of </w:t>
      </w:r>
      <w:r w:rsidR="00754794">
        <w:rPr>
          <w:rFonts w:cs="Tahoma"/>
          <w:sz w:val="24"/>
          <w:szCs w:val="24"/>
        </w:rPr>
        <w:t>5-8/100,00</w:t>
      </w:r>
      <w:r w:rsidR="00755538">
        <w:rPr>
          <w:rFonts w:cs="Tahoma"/>
          <w:sz w:val="24"/>
          <w:szCs w:val="24"/>
        </w:rPr>
        <w:t>0 population</w:t>
      </w:r>
      <w:r w:rsidR="00F92469">
        <w:rPr>
          <w:rFonts w:cs="Tahoma"/>
          <w:sz w:val="24"/>
          <w:szCs w:val="24"/>
        </w:rPr>
        <w:t xml:space="preserve">, </w:t>
      </w:r>
      <w:r w:rsidR="0004023A">
        <w:rPr>
          <w:rFonts w:cs="Tahoma"/>
          <w:sz w:val="24"/>
          <w:szCs w:val="24"/>
        </w:rPr>
        <w:t>commoner</w:t>
      </w:r>
      <w:r w:rsidR="0004023A" w:rsidRPr="000F5D0E">
        <w:rPr>
          <w:rFonts w:cs="Tahoma"/>
          <w:sz w:val="24"/>
          <w:szCs w:val="24"/>
        </w:rPr>
        <w:t xml:space="preserve"> </w:t>
      </w:r>
      <w:r w:rsidR="000F5D0E" w:rsidRPr="000F5D0E">
        <w:rPr>
          <w:rFonts w:cs="Tahoma"/>
          <w:sz w:val="24"/>
          <w:szCs w:val="24"/>
        </w:rPr>
        <w:t>than that of other neurological conditions</w:t>
      </w:r>
      <w:r w:rsidR="00B54612">
        <w:rPr>
          <w:rFonts w:cs="Tahoma"/>
          <w:sz w:val="24"/>
          <w:szCs w:val="24"/>
        </w:rPr>
        <w:t xml:space="preserve"> with a higher profile and public focus </w:t>
      </w:r>
      <w:r w:rsidR="000F5D0E" w:rsidRPr="000F5D0E">
        <w:rPr>
          <w:rFonts w:cs="Tahoma"/>
          <w:sz w:val="24"/>
          <w:szCs w:val="24"/>
        </w:rPr>
        <w:t>such as meningococcal meningitis and motor neuron</w:t>
      </w:r>
      <w:r w:rsidR="00F35890">
        <w:rPr>
          <w:rFonts w:cs="Tahoma"/>
          <w:sz w:val="24"/>
          <w:szCs w:val="24"/>
        </w:rPr>
        <w:t>e</w:t>
      </w:r>
      <w:r w:rsidR="000F5D0E" w:rsidRPr="000F5D0E">
        <w:rPr>
          <w:rFonts w:cs="Tahoma"/>
          <w:sz w:val="24"/>
          <w:szCs w:val="24"/>
        </w:rPr>
        <w:t xml:space="preserve"> disease.</w:t>
      </w:r>
      <w:r w:rsidR="005F5BF2">
        <w:rPr>
          <w:rFonts w:cs="Tahoma"/>
          <w:sz w:val="24"/>
          <w:szCs w:val="24"/>
        </w:rPr>
        <w:t>[4-5]</w:t>
      </w:r>
    </w:p>
    <w:p w14:paraId="157CC543" w14:textId="77777777" w:rsidR="000F5D0E" w:rsidRDefault="000F5D0E" w:rsidP="00CD4873">
      <w:pPr>
        <w:autoSpaceDE w:val="0"/>
        <w:autoSpaceDN w:val="0"/>
        <w:adjustRightInd w:val="0"/>
        <w:spacing w:after="0" w:line="360" w:lineRule="auto"/>
        <w:rPr>
          <w:rFonts w:cs="Tahoma"/>
          <w:sz w:val="24"/>
          <w:szCs w:val="24"/>
          <w:highlight w:val="yellow"/>
        </w:rPr>
      </w:pPr>
    </w:p>
    <w:p w14:paraId="6EA846B9" w14:textId="01AF40C2" w:rsidR="002E7C8F" w:rsidRPr="00A20728" w:rsidRDefault="00CD4873" w:rsidP="002E7C8F">
      <w:pPr>
        <w:autoSpaceDE w:val="0"/>
        <w:autoSpaceDN w:val="0"/>
        <w:adjustRightInd w:val="0"/>
        <w:spacing w:after="0" w:line="360" w:lineRule="auto"/>
        <w:rPr>
          <w:rFonts w:cs="AdvPS94BA"/>
          <w:sz w:val="24"/>
          <w:szCs w:val="24"/>
        </w:rPr>
      </w:pPr>
      <w:r>
        <w:rPr>
          <w:rFonts w:cs="Tahoma"/>
          <w:sz w:val="24"/>
          <w:szCs w:val="24"/>
        </w:rPr>
        <w:t xml:space="preserve">Encephalitis is associated with high morbidity and mortality. </w:t>
      </w:r>
      <w:r w:rsidR="00006000">
        <w:rPr>
          <w:rFonts w:cs="Tahoma"/>
          <w:sz w:val="24"/>
          <w:szCs w:val="24"/>
        </w:rPr>
        <w:t>A multicentre prospective study of ~200 English encephalitis patients reported a 12%</w:t>
      </w:r>
      <w:r w:rsidR="00D820E0">
        <w:rPr>
          <w:rFonts w:cs="Tahoma"/>
          <w:sz w:val="24"/>
          <w:szCs w:val="24"/>
        </w:rPr>
        <w:t xml:space="preserve"> mortality rate; a further </w:t>
      </w:r>
      <w:r w:rsidR="00250FAF">
        <w:rPr>
          <w:rFonts w:cs="Tahoma"/>
          <w:sz w:val="24"/>
          <w:szCs w:val="24"/>
        </w:rPr>
        <w:t>45</w:t>
      </w:r>
      <w:r w:rsidR="00D820E0">
        <w:rPr>
          <w:rFonts w:cs="Tahoma"/>
          <w:sz w:val="24"/>
          <w:szCs w:val="24"/>
        </w:rPr>
        <w:t xml:space="preserve">% </w:t>
      </w:r>
      <w:r w:rsidR="00006000">
        <w:rPr>
          <w:rFonts w:cs="Tahoma"/>
          <w:sz w:val="24"/>
          <w:szCs w:val="24"/>
        </w:rPr>
        <w:t xml:space="preserve">of </w:t>
      </w:r>
      <w:r w:rsidR="00487300">
        <w:rPr>
          <w:rFonts w:cs="Tahoma"/>
          <w:sz w:val="24"/>
          <w:szCs w:val="24"/>
        </w:rPr>
        <w:t>patients</w:t>
      </w:r>
      <w:r w:rsidR="00006000">
        <w:rPr>
          <w:rFonts w:cs="Tahoma"/>
          <w:sz w:val="24"/>
          <w:szCs w:val="24"/>
        </w:rPr>
        <w:t xml:space="preserve"> </w:t>
      </w:r>
      <w:r w:rsidR="00D820E0">
        <w:rPr>
          <w:rFonts w:cs="Tahoma"/>
          <w:sz w:val="24"/>
          <w:szCs w:val="24"/>
        </w:rPr>
        <w:t>had severe or moderate disabilities.</w:t>
      </w:r>
      <w:r w:rsidR="00971B61">
        <w:rPr>
          <w:rFonts w:cs="Tahoma"/>
          <w:sz w:val="24"/>
          <w:szCs w:val="24"/>
        </w:rPr>
        <w:t>[6]</w:t>
      </w:r>
      <w:r w:rsidR="00250FAF">
        <w:rPr>
          <w:rFonts w:cs="Tahoma"/>
          <w:sz w:val="24"/>
          <w:szCs w:val="24"/>
        </w:rPr>
        <w:t xml:space="preserve"> </w:t>
      </w:r>
      <w:r w:rsidR="006D2628" w:rsidRPr="007B5F38">
        <w:rPr>
          <w:rFonts w:cs="Tahoma"/>
          <w:sz w:val="24"/>
          <w:szCs w:val="24"/>
        </w:rPr>
        <w:t>Survivors of encephalitis often suffer physical, cognitive, emotional, behavioural and social difficulties.</w:t>
      </w:r>
      <w:r w:rsidR="00971B61">
        <w:rPr>
          <w:rFonts w:cs="Tahoma"/>
          <w:sz w:val="24"/>
          <w:szCs w:val="24"/>
        </w:rPr>
        <w:t>[7]</w:t>
      </w:r>
      <w:r w:rsidR="006D2628" w:rsidRPr="007B5F38">
        <w:rPr>
          <w:rFonts w:cs="Tahoma"/>
          <w:sz w:val="24"/>
          <w:szCs w:val="24"/>
        </w:rPr>
        <w:t xml:space="preserve"> An outcome study in Sweden reported post-encephalitic epilepsy in 24% of survivors of </w:t>
      </w:r>
      <w:r w:rsidR="00E5222F">
        <w:rPr>
          <w:rFonts w:cs="Tahoma"/>
          <w:sz w:val="24"/>
          <w:szCs w:val="24"/>
        </w:rPr>
        <w:t>herpes simplex encephalitis (</w:t>
      </w:r>
      <w:r w:rsidR="006D2628" w:rsidRPr="007B5F38">
        <w:rPr>
          <w:rFonts w:cs="Tahoma"/>
          <w:sz w:val="24"/>
          <w:szCs w:val="24"/>
        </w:rPr>
        <w:t>HSE</w:t>
      </w:r>
      <w:r w:rsidR="0038526C" w:rsidRPr="007B5F38">
        <w:rPr>
          <w:rFonts w:cs="Tahoma"/>
          <w:sz w:val="24"/>
          <w:szCs w:val="24"/>
        </w:rPr>
        <w:t>)</w:t>
      </w:r>
      <w:r w:rsidR="002E7C8F">
        <w:rPr>
          <w:rFonts w:cs="Tahoma"/>
          <w:sz w:val="24"/>
          <w:szCs w:val="24"/>
        </w:rPr>
        <w:t xml:space="preserve">, while an </w:t>
      </w:r>
      <w:r w:rsidR="006D2628" w:rsidRPr="007B5F38">
        <w:rPr>
          <w:rFonts w:cs="Tahoma"/>
          <w:sz w:val="24"/>
          <w:szCs w:val="24"/>
        </w:rPr>
        <w:t>Austrian study described a high frequency of depressive symptoms among survivors of HSE.</w:t>
      </w:r>
      <w:r w:rsidR="00971B61">
        <w:rPr>
          <w:rFonts w:cs="Tahoma"/>
          <w:sz w:val="24"/>
          <w:szCs w:val="24"/>
        </w:rPr>
        <w:t>[8-9]</w:t>
      </w:r>
      <w:r w:rsidR="006D2628" w:rsidRPr="007B5F38">
        <w:rPr>
          <w:rFonts w:cs="Tahoma"/>
          <w:sz w:val="24"/>
          <w:szCs w:val="24"/>
        </w:rPr>
        <w:t xml:space="preserve"> </w:t>
      </w:r>
      <w:r w:rsidR="009130E3">
        <w:rPr>
          <w:rFonts w:cs="Tahoma"/>
          <w:sz w:val="24"/>
          <w:szCs w:val="24"/>
        </w:rPr>
        <w:t>L</w:t>
      </w:r>
      <w:r w:rsidR="00A261D8" w:rsidRPr="00A20728">
        <w:rPr>
          <w:rFonts w:cs="AdvPS94BA"/>
          <w:sz w:val="24"/>
          <w:szCs w:val="24"/>
        </w:rPr>
        <w:t>ong-term sequelae</w:t>
      </w:r>
      <w:r w:rsidR="002E7C8F" w:rsidRPr="00A20728">
        <w:rPr>
          <w:rFonts w:cs="AdvPS94BA"/>
          <w:sz w:val="24"/>
          <w:szCs w:val="24"/>
        </w:rPr>
        <w:t xml:space="preserve"> </w:t>
      </w:r>
      <w:r w:rsidR="006F6EE4">
        <w:rPr>
          <w:rFonts w:cs="AdvPS94BA"/>
          <w:sz w:val="24"/>
          <w:szCs w:val="24"/>
        </w:rPr>
        <w:t>w</w:t>
      </w:r>
      <w:r w:rsidR="00162756">
        <w:rPr>
          <w:rFonts w:cs="AdvPS94BA"/>
          <w:sz w:val="24"/>
          <w:szCs w:val="24"/>
        </w:rPr>
        <w:t>ere</w:t>
      </w:r>
      <w:r w:rsidR="006F6EE4">
        <w:rPr>
          <w:rFonts w:cs="AdvPS94BA"/>
          <w:sz w:val="24"/>
          <w:szCs w:val="24"/>
        </w:rPr>
        <w:t xml:space="preserve"> assessed </w:t>
      </w:r>
      <w:r w:rsidR="00A261D8" w:rsidRPr="00A20728">
        <w:rPr>
          <w:rFonts w:cs="AdvPS94BA"/>
          <w:sz w:val="24"/>
          <w:szCs w:val="24"/>
        </w:rPr>
        <w:t xml:space="preserve">in a cohort of 176 </w:t>
      </w:r>
      <w:r w:rsidR="009130E3">
        <w:rPr>
          <w:rFonts w:cs="AdvPS94BA"/>
          <w:sz w:val="24"/>
          <w:szCs w:val="24"/>
        </w:rPr>
        <w:t xml:space="preserve">French </w:t>
      </w:r>
      <w:r w:rsidR="00A261D8" w:rsidRPr="00A20728">
        <w:rPr>
          <w:rFonts w:cs="AdvPS94BA"/>
          <w:sz w:val="24"/>
          <w:szCs w:val="24"/>
        </w:rPr>
        <w:t xml:space="preserve">patients with </w:t>
      </w:r>
      <w:r w:rsidR="009576A2">
        <w:rPr>
          <w:rFonts w:cs="AdvPS94BA"/>
          <w:sz w:val="24"/>
          <w:szCs w:val="24"/>
        </w:rPr>
        <w:t xml:space="preserve">all-cause </w:t>
      </w:r>
      <w:r w:rsidR="00A261D8" w:rsidRPr="00A20728">
        <w:rPr>
          <w:rFonts w:cs="AdvPS94BA"/>
          <w:sz w:val="24"/>
          <w:szCs w:val="24"/>
        </w:rPr>
        <w:t>encephalitis three</w:t>
      </w:r>
      <w:r w:rsidR="002E7C8F" w:rsidRPr="00A20728">
        <w:rPr>
          <w:rFonts w:cs="AdvPS94BA"/>
          <w:sz w:val="24"/>
          <w:szCs w:val="24"/>
        </w:rPr>
        <w:t xml:space="preserve"> years after hospital discharge</w:t>
      </w:r>
      <w:r w:rsidR="000D7A43">
        <w:rPr>
          <w:rFonts w:cs="AdvPS94BA"/>
          <w:sz w:val="24"/>
          <w:szCs w:val="24"/>
        </w:rPr>
        <w:t>:</w:t>
      </w:r>
      <w:r w:rsidR="006F6EE4">
        <w:rPr>
          <w:rFonts w:cs="AdvPS94BA"/>
          <w:sz w:val="24"/>
          <w:szCs w:val="24"/>
        </w:rPr>
        <w:t xml:space="preserve"> </w:t>
      </w:r>
      <w:r w:rsidR="009130E3">
        <w:rPr>
          <w:rFonts w:cs="AdvPS94BA"/>
          <w:sz w:val="24"/>
          <w:szCs w:val="24"/>
        </w:rPr>
        <w:t>p</w:t>
      </w:r>
      <w:r w:rsidR="00A261D8" w:rsidRPr="00A20728">
        <w:rPr>
          <w:rFonts w:cs="AdvPS94BA"/>
          <w:sz w:val="24"/>
          <w:szCs w:val="24"/>
        </w:rPr>
        <w:t xml:space="preserve">ersisting symptoms or impaired quality of life </w:t>
      </w:r>
      <w:r w:rsidR="006F6EE4">
        <w:rPr>
          <w:rFonts w:cs="AdvPS94BA"/>
          <w:sz w:val="24"/>
          <w:szCs w:val="24"/>
        </w:rPr>
        <w:t xml:space="preserve">was present </w:t>
      </w:r>
      <w:r w:rsidR="009130E3">
        <w:rPr>
          <w:rFonts w:cs="AdvPS94BA"/>
          <w:sz w:val="24"/>
          <w:szCs w:val="24"/>
        </w:rPr>
        <w:t>i</w:t>
      </w:r>
      <w:r w:rsidR="00A261D8" w:rsidRPr="00A20728">
        <w:rPr>
          <w:rFonts w:cs="AdvPS94BA"/>
          <w:sz w:val="24"/>
          <w:szCs w:val="24"/>
        </w:rPr>
        <w:t xml:space="preserve">n 61% of patients, most frequently </w:t>
      </w:r>
      <w:r w:rsidR="002E7C8F" w:rsidRPr="00A20728">
        <w:rPr>
          <w:rFonts w:cs="AdvPS94BA"/>
          <w:color w:val="000000"/>
          <w:sz w:val="24"/>
          <w:szCs w:val="24"/>
        </w:rPr>
        <w:t>concentration and behavioural disorders, emotional disorders and depress</w:t>
      </w:r>
      <w:r w:rsidR="00A261D8" w:rsidRPr="00A20728">
        <w:rPr>
          <w:rFonts w:cs="AdvPS94BA"/>
          <w:color w:val="000000"/>
          <w:sz w:val="24"/>
          <w:szCs w:val="24"/>
        </w:rPr>
        <w:t>ion</w:t>
      </w:r>
      <w:r w:rsidR="002E7C8F" w:rsidRPr="00A20728">
        <w:rPr>
          <w:rFonts w:cs="AdvPS94BA"/>
          <w:color w:val="000000"/>
          <w:sz w:val="24"/>
          <w:szCs w:val="24"/>
        </w:rPr>
        <w:t>.</w:t>
      </w:r>
      <w:r w:rsidR="00971B61">
        <w:rPr>
          <w:rFonts w:cs="AdvPS94BA"/>
          <w:color w:val="000000"/>
          <w:sz w:val="24"/>
          <w:szCs w:val="24"/>
        </w:rPr>
        <w:t>[10]</w:t>
      </w:r>
      <w:r w:rsidR="00C32729">
        <w:rPr>
          <w:rFonts w:cs="AdvPS94BA"/>
          <w:color w:val="000000"/>
          <w:sz w:val="24"/>
          <w:szCs w:val="24"/>
        </w:rPr>
        <w:t xml:space="preserve"> </w:t>
      </w:r>
    </w:p>
    <w:p w14:paraId="48AE0791" w14:textId="77777777" w:rsidR="002E7C8F" w:rsidRDefault="002E7C8F" w:rsidP="00250FAF">
      <w:pPr>
        <w:autoSpaceDE w:val="0"/>
        <w:autoSpaceDN w:val="0"/>
        <w:adjustRightInd w:val="0"/>
        <w:spacing w:after="0" w:line="360" w:lineRule="auto"/>
        <w:rPr>
          <w:rFonts w:cs="Tahoma"/>
          <w:sz w:val="24"/>
          <w:szCs w:val="24"/>
        </w:rPr>
      </w:pPr>
    </w:p>
    <w:p w14:paraId="57650FEE" w14:textId="77777777" w:rsidR="00B735CB" w:rsidRPr="007B5F38" w:rsidRDefault="000659D8" w:rsidP="002E7C8F">
      <w:pPr>
        <w:autoSpaceDE w:val="0"/>
        <w:autoSpaceDN w:val="0"/>
        <w:adjustRightInd w:val="0"/>
        <w:spacing w:after="0" w:line="360" w:lineRule="auto"/>
        <w:rPr>
          <w:sz w:val="24"/>
          <w:szCs w:val="24"/>
        </w:rPr>
      </w:pPr>
      <w:r>
        <w:rPr>
          <w:rFonts w:cs="Tahoma"/>
          <w:sz w:val="24"/>
          <w:szCs w:val="24"/>
        </w:rPr>
        <w:t xml:space="preserve">Although </w:t>
      </w:r>
      <w:r w:rsidR="00E5222F">
        <w:rPr>
          <w:rFonts w:cs="Tahoma"/>
          <w:sz w:val="24"/>
          <w:szCs w:val="24"/>
        </w:rPr>
        <w:t xml:space="preserve">it is clear </w:t>
      </w:r>
      <w:r w:rsidR="0048300F">
        <w:rPr>
          <w:rFonts w:cs="Tahoma"/>
          <w:sz w:val="24"/>
          <w:szCs w:val="24"/>
        </w:rPr>
        <w:t>from the l</w:t>
      </w:r>
      <w:r>
        <w:rPr>
          <w:rFonts w:cs="Tahoma"/>
          <w:sz w:val="24"/>
          <w:szCs w:val="24"/>
        </w:rPr>
        <w:t>it</w:t>
      </w:r>
      <w:r w:rsidR="0048300F">
        <w:rPr>
          <w:rFonts w:cs="Tahoma"/>
          <w:sz w:val="24"/>
          <w:szCs w:val="24"/>
        </w:rPr>
        <w:t>erature</w:t>
      </w:r>
      <w:r>
        <w:rPr>
          <w:rFonts w:cs="Tahoma"/>
          <w:sz w:val="24"/>
          <w:szCs w:val="24"/>
        </w:rPr>
        <w:t xml:space="preserve"> that sequelae are </w:t>
      </w:r>
      <w:r w:rsidR="001B43D9">
        <w:rPr>
          <w:rFonts w:cs="Tahoma"/>
          <w:sz w:val="24"/>
          <w:szCs w:val="24"/>
        </w:rPr>
        <w:t xml:space="preserve">common </w:t>
      </w:r>
      <w:r>
        <w:rPr>
          <w:rFonts w:cs="Tahoma"/>
          <w:sz w:val="24"/>
          <w:szCs w:val="24"/>
        </w:rPr>
        <w:t xml:space="preserve">in </w:t>
      </w:r>
      <w:r w:rsidR="00BE113B">
        <w:rPr>
          <w:rFonts w:cs="Tahoma"/>
          <w:sz w:val="24"/>
          <w:szCs w:val="24"/>
        </w:rPr>
        <w:t xml:space="preserve">survivors of </w:t>
      </w:r>
      <w:r>
        <w:rPr>
          <w:rFonts w:cs="Tahoma"/>
          <w:sz w:val="24"/>
          <w:szCs w:val="24"/>
        </w:rPr>
        <w:t xml:space="preserve">encephalitis, the </w:t>
      </w:r>
      <w:r w:rsidR="001B43D9">
        <w:rPr>
          <w:rFonts w:cs="Tahoma"/>
          <w:sz w:val="24"/>
          <w:szCs w:val="24"/>
        </w:rPr>
        <w:t xml:space="preserve">true </w:t>
      </w:r>
      <w:r>
        <w:rPr>
          <w:rFonts w:cs="Tahoma"/>
          <w:sz w:val="24"/>
          <w:szCs w:val="24"/>
        </w:rPr>
        <w:t xml:space="preserve">extent </w:t>
      </w:r>
      <w:r w:rsidR="001B43D9">
        <w:rPr>
          <w:rFonts w:cs="Tahoma"/>
          <w:sz w:val="24"/>
          <w:szCs w:val="24"/>
        </w:rPr>
        <w:t xml:space="preserve">of these sequelae </w:t>
      </w:r>
      <w:r w:rsidR="00EA60BE">
        <w:rPr>
          <w:rFonts w:cs="Tahoma"/>
          <w:sz w:val="24"/>
          <w:szCs w:val="24"/>
        </w:rPr>
        <w:t>relative to</w:t>
      </w:r>
      <w:r w:rsidR="001B43D9">
        <w:rPr>
          <w:rFonts w:cs="Tahoma"/>
          <w:sz w:val="24"/>
          <w:szCs w:val="24"/>
        </w:rPr>
        <w:t xml:space="preserve"> rates </w:t>
      </w:r>
      <w:r w:rsidR="00EA60BE">
        <w:rPr>
          <w:rFonts w:cs="Tahoma"/>
          <w:sz w:val="24"/>
          <w:szCs w:val="24"/>
        </w:rPr>
        <w:t xml:space="preserve">within </w:t>
      </w:r>
      <w:r w:rsidR="001B43D9">
        <w:rPr>
          <w:rFonts w:cs="Tahoma"/>
          <w:sz w:val="24"/>
          <w:szCs w:val="24"/>
        </w:rPr>
        <w:t xml:space="preserve">the </w:t>
      </w:r>
      <w:r>
        <w:rPr>
          <w:rFonts w:cs="Tahoma"/>
          <w:sz w:val="24"/>
          <w:szCs w:val="24"/>
        </w:rPr>
        <w:t>general population</w:t>
      </w:r>
      <w:r w:rsidR="00EA60BE">
        <w:rPr>
          <w:rFonts w:cs="Tahoma"/>
          <w:sz w:val="24"/>
          <w:szCs w:val="24"/>
        </w:rPr>
        <w:t xml:space="preserve"> is not known</w:t>
      </w:r>
      <w:r>
        <w:rPr>
          <w:rFonts w:cs="Tahoma"/>
          <w:sz w:val="24"/>
          <w:szCs w:val="24"/>
        </w:rPr>
        <w:t xml:space="preserve">. </w:t>
      </w:r>
      <w:r w:rsidR="00E5222F">
        <w:rPr>
          <w:rFonts w:cs="Tahoma"/>
          <w:sz w:val="24"/>
          <w:szCs w:val="24"/>
        </w:rPr>
        <w:t xml:space="preserve">Most encephalitis outcome studies </w:t>
      </w:r>
      <w:r w:rsidR="009B01E1">
        <w:rPr>
          <w:rFonts w:cs="Tahoma"/>
          <w:sz w:val="24"/>
          <w:szCs w:val="24"/>
        </w:rPr>
        <w:t>have focussed on HSE and/or</w:t>
      </w:r>
      <w:r w:rsidR="009A7CC5">
        <w:rPr>
          <w:rFonts w:cs="Tahoma"/>
          <w:sz w:val="24"/>
          <w:szCs w:val="24"/>
        </w:rPr>
        <w:t xml:space="preserve"> </w:t>
      </w:r>
      <w:r w:rsidR="00E5222F">
        <w:rPr>
          <w:rFonts w:cs="Tahoma"/>
          <w:sz w:val="24"/>
          <w:szCs w:val="24"/>
        </w:rPr>
        <w:t xml:space="preserve">are short case series </w:t>
      </w:r>
      <w:r w:rsidR="00B31C37">
        <w:rPr>
          <w:rFonts w:cs="Tahoma"/>
          <w:sz w:val="24"/>
          <w:szCs w:val="24"/>
        </w:rPr>
        <w:t>(with no comparison group to quantify increased risk)</w:t>
      </w:r>
      <w:r w:rsidR="009A7CC5">
        <w:rPr>
          <w:rFonts w:cs="Tahoma"/>
          <w:sz w:val="24"/>
          <w:szCs w:val="24"/>
        </w:rPr>
        <w:t>.</w:t>
      </w:r>
      <w:r w:rsidR="00B31C37">
        <w:rPr>
          <w:rFonts w:cs="Tahoma"/>
          <w:sz w:val="24"/>
          <w:szCs w:val="24"/>
        </w:rPr>
        <w:t xml:space="preserve"> </w:t>
      </w:r>
      <w:r w:rsidR="006D2628" w:rsidRPr="007B5F38">
        <w:rPr>
          <w:rFonts w:cs="Tahoma"/>
          <w:sz w:val="24"/>
          <w:szCs w:val="24"/>
        </w:rPr>
        <w:t xml:space="preserve">There are little data on post-encephalitic morbidities in the </w:t>
      </w:r>
      <w:r w:rsidR="00E508DC" w:rsidRPr="007B5F38">
        <w:rPr>
          <w:rFonts w:cs="Tahoma"/>
          <w:sz w:val="24"/>
          <w:szCs w:val="24"/>
        </w:rPr>
        <w:t>U</w:t>
      </w:r>
      <w:r w:rsidR="009576A2">
        <w:rPr>
          <w:rFonts w:cs="Tahoma"/>
          <w:sz w:val="24"/>
          <w:szCs w:val="24"/>
        </w:rPr>
        <w:t xml:space="preserve">nited </w:t>
      </w:r>
      <w:r w:rsidR="00E508DC" w:rsidRPr="007B5F38">
        <w:rPr>
          <w:rFonts w:cs="Tahoma"/>
          <w:sz w:val="24"/>
          <w:szCs w:val="24"/>
        </w:rPr>
        <w:t>K</w:t>
      </w:r>
      <w:r w:rsidR="009576A2">
        <w:rPr>
          <w:rFonts w:cs="Tahoma"/>
          <w:sz w:val="24"/>
          <w:szCs w:val="24"/>
        </w:rPr>
        <w:t>ingdom (UK)</w:t>
      </w:r>
      <w:r w:rsidR="006D2628" w:rsidRPr="007B5F38">
        <w:rPr>
          <w:rFonts w:cs="Tahoma"/>
          <w:sz w:val="24"/>
          <w:szCs w:val="24"/>
        </w:rPr>
        <w:t>. It is important to assess specific long-term needs of survivors, so that tertiary prevention strategies can be designed accordingly.</w:t>
      </w:r>
      <w:r w:rsidR="002E7C8F">
        <w:rPr>
          <w:rFonts w:cs="Tahoma"/>
          <w:sz w:val="24"/>
          <w:szCs w:val="24"/>
        </w:rPr>
        <w:t xml:space="preserve"> </w:t>
      </w:r>
      <w:r w:rsidR="00B735CB" w:rsidRPr="007B5F38">
        <w:rPr>
          <w:sz w:val="24"/>
          <w:szCs w:val="24"/>
        </w:rPr>
        <w:t>This study aim</w:t>
      </w:r>
      <w:r w:rsidR="007B7B63">
        <w:rPr>
          <w:sz w:val="24"/>
          <w:szCs w:val="24"/>
        </w:rPr>
        <w:t>ed</w:t>
      </w:r>
      <w:r w:rsidR="00B735CB" w:rsidRPr="007B5F38">
        <w:rPr>
          <w:sz w:val="24"/>
          <w:szCs w:val="24"/>
        </w:rPr>
        <w:t xml:space="preserve"> to </w:t>
      </w:r>
      <w:r w:rsidR="007B7B63">
        <w:rPr>
          <w:sz w:val="24"/>
          <w:szCs w:val="24"/>
        </w:rPr>
        <w:t>quantify</w:t>
      </w:r>
      <w:r w:rsidR="007B7B63" w:rsidRPr="007B5F38">
        <w:rPr>
          <w:sz w:val="24"/>
          <w:szCs w:val="24"/>
        </w:rPr>
        <w:t xml:space="preserve"> </w:t>
      </w:r>
      <w:r w:rsidR="00B735CB" w:rsidRPr="007B5F38">
        <w:rPr>
          <w:sz w:val="24"/>
          <w:szCs w:val="24"/>
        </w:rPr>
        <w:t xml:space="preserve">increased risks of specific outcomes among </w:t>
      </w:r>
      <w:r w:rsidR="00B735CB" w:rsidRPr="007B5F38">
        <w:rPr>
          <w:sz w:val="24"/>
          <w:szCs w:val="24"/>
        </w:rPr>
        <w:lastRenderedPageBreak/>
        <w:t xml:space="preserve">encephalitis cases, including epilepsy, psychiatric </w:t>
      </w:r>
      <w:r w:rsidR="00BD787F">
        <w:rPr>
          <w:sz w:val="24"/>
          <w:szCs w:val="24"/>
        </w:rPr>
        <w:t>disorders</w:t>
      </w:r>
      <w:r w:rsidR="00B735CB" w:rsidRPr="007B5F38">
        <w:rPr>
          <w:sz w:val="24"/>
          <w:szCs w:val="24"/>
        </w:rPr>
        <w:t>, cognitive problems, headache, and alcohol abuse</w:t>
      </w:r>
      <w:r w:rsidR="00365F33">
        <w:rPr>
          <w:sz w:val="24"/>
          <w:szCs w:val="24"/>
        </w:rPr>
        <w:t>, compared to the general population</w:t>
      </w:r>
      <w:r w:rsidR="00A318F5">
        <w:rPr>
          <w:sz w:val="24"/>
          <w:szCs w:val="24"/>
        </w:rPr>
        <w:t>.</w:t>
      </w:r>
    </w:p>
    <w:p w14:paraId="5B20F786" w14:textId="77777777" w:rsidR="00A52555" w:rsidRPr="00645EA2" w:rsidRDefault="00A52555" w:rsidP="00645EA2">
      <w:pPr>
        <w:spacing w:after="0" w:line="360" w:lineRule="auto"/>
        <w:rPr>
          <w:sz w:val="24"/>
          <w:szCs w:val="24"/>
        </w:rPr>
      </w:pPr>
    </w:p>
    <w:p w14:paraId="1AC4B642" w14:textId="76E208D3" w:rsidR="00785078" w:rsidRPr="007B5F38" w:rsidRDefault="00B86232">
      <w:pPr>
        <w:rPr>
          <w:b/>
          <w:sz w:val="24"/>
          <w:szCs w:val="24"/>
        </w:rPr>
      </w:pPr>
      <w:r>
        <w:rPr>
          <w:b/>
          <w:sz w:val="24"/>
          <w:szCs w:val="24"/>
        </w:rPr>
        <w:t>METHODS</w:t>
      </w:r>
    </w:p>
    <w:p w14:paraId="0790CF02" w14:textId="77777777" w:rsidR="0093302F" w:rsidRPr="005D345B" w:rsidRDefault="004002B7" w:rsidP="00406E95">
      <w:pPr>
        <w:spacing w:after="0" w:line="360" w:lineRule="auto"/>
        <w:rPr>
          <w:b/>
          <w:sz w:val="24"/>
          <w:szCs w:val="24"/>
        </w:rPr>
      </w:pPr>
      <w:r w:rsidRPr="005D345B">
        <w:rPr>
          <w:b/>
          <w:sz w:val="24"/>
          <w:szCs w:val="24"/>
        </w:rPr>
        <w:t xml:space="preserve">Study design and </w:t>
      </w:r>
      <w:r w:rsidR="00EA6DC3" w:rsidRPr="005D345B">
        <w:rPr>
          <w:b/>
          <w:sz w:val="24"/>
          <w:szCs w:val="24"/>
        </w:rPr>
        <w:t>data source</w:t>
      </w:r>
      <w:r w:rsidR="00032E48" w:rsidRPr="005D345B">
        <w:rPr>
          <w:b/>
          <w:sz w:val="24"/>
          <w:szCs w:val="24"/>
        </w:rPr>
        <w:t>s</w:t>
      </w:r>
    </w:p>
    <w:p w14:paraId="596228B6" w14:textId="25E81194" w:rsidR="004065CB" w:rsidRPr="007B5F38" w:rsidRDefault="00E94291" w:rsidP="00406E95">
      <w:pPr>
        <w:spacing w:after="0" w:line="360" w:lineRule="auto"/>
        <w:rPr>
          <w:sz w:val="24"/>
          <w:szCs w:val="24"/>
        </w:rPr>
      </w:pPr>
      <w:r w:rsidRPr="007B5F38">
        <w:rPr>
          <w:sz w:val="24"/>
          <w:szCs w:val="24"/>
        </w:rPr>
        <w:t xml:space="preserve">A </w:t>
      </w:r>
      <w:r w:rsidR="00B55AD1">
        <w:rPr>
          <w:sz w:val="24"/>
          <w:szCs w:val="24"/>
        </w:rPr>
        <w:t xml:space="preserve">population-based </w:t>
      </w:r>
      <w:r w:rsidR="00850AA6">
        <w:rPr>
          <w:sz w:val="24"/>
          <w:szCs w:val="24"/>
        </w:rPr>
        <w:t xml:space="preserve">retrospective </w:t>
      </w:r>
      <w:r w:rsidRPr="007B5F38">
        <w:rPr>
          <w:sz w:val="24"/>
          <w:szCs w:val="24"/>
        </w:rPr>
        <w:t xml:space="preserve">cohort study was conducted using data from the </w:t>
      </w:r>
      <w:r w:rsidR="004065CB" w:rsidRPr="007B5F38">
        <w:rPr>
          <w:sz w:val="24"/>
          <w:szCs w:val="24"/>
        </w:rPr>
        <w:t>Clinical Practice Research Datalink</w:t>
      </w:r>
      <w:r w:rsidRPr="007B5F38">
        <w:rPr>
          <w:sz w:val="24"/>
          <w:szCs w:val="24"/>
        </w:rPr>
        <w:t xml:space="preserve"> (CPRD)</w:t>
      </w:r>
      <w:r w:rsidR="00485C0B">
        <w:rPr>
          <w:sz w:val="24"/>
          <w:szCs w:val="24"/>
        </w:rPr>
        <w:t xml:space="preserve"> collected between</w:t>
      </w:r>
      <w:r w:rsidR="00161232" w:rsidRPr="007B5F38">
        <w:rPr>
          <w:sz w:val="24"/>
          <w:szCs w:val="24"/>
        </w:rPr>
        <w:t xml:space="preserve"> 1988 </w:t>
      </w:r>
      <w:r w:rsidR="00485C0B">
        <w:rPr>
          <w:sz w:val="24"/>
          <w:szCs w:val="24"/>
        </w:rPr>
        <w:t>and</w:t>
      </w:r>
      <w:r w:rsidR="00161232" w:rsidRPr="007B5F38">
        <w:rPr>
          <w:sz w:val="24"/>
          <w:szCs w:val="24"/>
        </w:rPr>
        <w:t xml:space="preserve"> 2012</w:t>
      </w:r>
      <w:r w:rsidRPr="007B5F38">
        <w:rPr>
          <w:sz w:val="24"/>
          <w:szCs w:val="24"/>
        </w:rPr>
        <w:t>.</w:t>
      </w:r>
      <w:r w:rsidR="0004023A">
        <w:rPr>
          <w:sz w:val="24"/>
          <w:szCs w:val="24"/>
        </w:rPr>
        <w:t xml:space="preserve"> The CPRD has been described comprehensively by </w:t>
      </w:r>
      <w:proofErr w:type="spellStart"/>
      <w:r w:rsidR="0004023A">
        <w:rPr>
          <w:sz w:val="24"/>
          <w:szCs w:val="24"/>
        </w:rPr>
        <w:t>Herrett</w:t>
      </w:r>
      <w:proofErr w:type="spellEnd"/>
      <w:r w:rsidR="0004023A">
        <w:rPr>
          <w:sz w:val="24"/>
          <w:szCs w:val="24"/>
        </w:rPr>
        <w:t xml:space="preserve"> </w:t>
      </w:r>
      <w:r w:rsidR="0004023A" w:rsidRPr="00BE1F5D">
        <w:rPr>
          <w:i/>
          <w:sz w:val="24"/>
          <w:szCs w:val="24"/>
        </w:rPr>
        <w:t>et al</w:t>
      </w:r>
      <w:proofErr w:type="gramStart"/>
      <w:r w:rsidR="0004023A">
        <w:rPr>
          <w:sz w:val="24"/>
          <w:szCs w:val="24"/>
        </w:rPr>
        <w:t>,</w:t>
      </w:r>
      <w:r w:rsidR="00971B61">
        <w:rPr>
          <w:sz w:val="24"/>
          <w:szCs w:val="24"/>
        </w:rPr>
        <w:t>[</w:t>
      </w:r>
      <w:proofErr w:type="gramEnd"/>
      <w:r w:rsidR="00971B61">
        <w:rPr>
          <w:sz w:val="24"/>
          <w:szCs w:val="24"/>
        </w:rPr>
        <w:t>11]</w:t>
      </w:r>
      <w:r w:rsidR="0004023A">
        <w:rPr>
          <w:sz w:val="24"/>
          <w:szCs w:val="24"/>
        </w:rPr>
        <w:t xml:space="preserve"> but in summary</w:t>
      </w:r>
      <w:r w:rsidRPr="007B5F38">
        <w:rPr>
          <w:sz w:val="24"/>
          <w:szCs w:val="24"/>
        </w:rPr>
        <w:t xml:space="preserve"> </w:t>
      </w:r>
      <w:r w:rsidR="00AD44E5">
        <w:rPr>
          <w:sz w:val="24"/>
          <w:szCs w:val="24"/>
        </w:rPr>
        <w:t xml:space="preserve">it contains </w:t>
      </w:r>
      <w:r w:rsidR="002B2A81">
        <w:rPr>
          <w:sz w:val="24"/>
          <w:szCs w:val="24"/>
        </w:rPr>
        <w:t xml:space="preserve">anonymised </w:t>
      </w:r>
      <w:r w:rsidR="00AD44E5">
        <w:rPr>
          <w:sz w:val="24"/>
          <w:szCs w:val="24"/>
        </w:rPr>
        <w:t>primary care d</w:t>
      </w:r>
      <w:r w:rsidR="0004023A">
        <w:rPr>
          <w:sz w:val="24"/>
          <w:szCs w:val="24"/>
        </w:rPr>
        <w:t xml:space="preserve">ata for more than 4 million </w:t>
      </w:r>
      <w:r w:rsidR="00AD44E5">
        <w:rPr>
          <w:sz w:val="24"/>
          <w:szCs w:val="24"/>
        </w:rPr>
        <w:t>patients</w:t>
      </w:r>
      <w:r w:rsidR="0004023A">
        <w:rPr>
          <w:sz w:val="24"/>
          <w:szCs w:val="24"/>
        </w:rPr>
        <w:t xml:space="preserve"> </w:t>
      </w:r>
      <w:r w:rsidR="00DF2989" w:rsidRPr="007B5F38">
        <w:rPr>
          <w:sz w:val="24"/>
          <w:szCs w:val="24"/>
        </w:rPr>
        <w:t xml:space="preserve">from </w:t>
      </w:r>
      <w:r w:rsidR="00DF2989">
        <w:rPr>
          <w:sz w:val="24"/>
          <w:szCs w:val="24"/>
        </w:rPr>
        <w:t>684</w:t>
      </w:r>
      <w:r w:rsidR="00DF2989" w:rsidRPr="007B5F38">
        <w:rPr>
          <w:sz w:val="24"/>
          <w:szCs w:val="24"/>
        </w:rPr>
        <w:t xml:space="preserve"> general practices</w:t>
      </w:r>
      <w:r w:rsidR="009E1D81">
        <w:rPr>
          <w:sz w:val="24"/>
          <w:szCs w:val="24"/>
        </w:rPr>
        <w:t xml:space="preserve"> (GPs)</w:t>
      </w:r>
      <w:r w:rsidR="00DF2989" w:rsidRPr="007B5F38">
        <w:rPr>
          <w:sz w:val="24"/>
          <w:szCs w:val="24"/>
        </w:rPr>
        <w:t xml:space="preserve"> in the UK</w:t>
      </w:r>
      <w:r w:rsidR="00AD44E5">
        <w:rPr>
          <w:sz w:val="24"/>
          <w:szCs w:val="24"/>
        </w:rPr>
        <w:t>. These</w:t>
      </w:r>
      <w:r w:rsidR="00DF2989">
        <w:rPr>
          <w:sz w:val="24"/>
          <w:szCs w:val="24"/>
        </w:rPr>
        <w:t xml:space="preserve"> </w:t>
      </w:r>
      <w:r w:rsidR="00AD44E5">
        <w:rPr>
          <w:sz w:val="24"/>
          <w:szCs w:val="24"/>
        </w:rPr>
        <w:t xml:space="preserve">data, </w:t>
      </w:r>
      <w:r w:rsidR="00AD44E5" w:rsidRPr="008B23BD">
        <w:rPr>
          <w:sz w:val="24"/>
          <w:szCs w:val="24"/>
        </w:rPr>
        <w:t>present in 10 sets of files which include clinical, referral, test and other files</w:t>
      </w:r>
      <w:r w:rsidR="00701502">
        <w:rPr>
          <w:sz w:val="24"/>
          <w:szCs w:val="24"/>
        </w:rPr>
        <w:t>,</w:t>
      </w:r>
      <w:r w:rsidR="00AD44E5">
        <w:rPr>
          <w:sz w:val="24"/>
          <w:szCs w:val="24"/>
        </w:rPr>
        <w:t xml:space="preserve"> contain</w:t>
      </w:r>
      <w:r w:rsidR="00AD44E5" w:rsidRPr="007B5F38" w:rsidDel="00AD44E5">
        <w:rPr>
          <w:sz w:val="24"/>
          <w:szCs w:val="24"/>
        </w:rPr>
        <w:t xml:space="preserve"> </w:t>
      </w:r>
      <w:r w:rsidR="00956BCC" w:rsidRPr="007B5F38">
        <w:rPr>
          <w:sz w:val="24"/>
          <w:szCs w:val="24"/>
        </w:rPr>
        <w:t xml:space="preserve">information </w:t>
      </w:r>
      <w:r w:rsidR="00387BFA" w:rsidRPr="007B5F38">
        <w:rPr>
          <w:sz w:val="24"/>
          <w:szCs w:val="24"/>
        </w:rPr>
        <w:t>on</w:t>
      </w:r>
      <w:r w:rsidR="00956BCC" w:rsidRPr="007B5F38">
        <w:rPr>
          <w:sz w:val="24"/>
          <w:szCs w:val="24"/>
        </w:rPr>
        <w:t xml:space="preserve"> </w:t>
      </w:r>
      <w:r w:rsidR="002E05E1" w:rsidRPr="007B5F38">
        <w:rPr>
          <w:sz w:val="24"/>
          <w:szCs w:val="24"/>
        </w:rPr>
        <w:t xml:space="preserve">demographic and lifestyle parameters, clinical events, referrals to </w:t>
      </w:r>
      <w:r w:rsidR="00E524B6">
        <w:rPr>
          <w:sz w:val="24"/>
          <w:szCs w:val="24"/>
        </w:rPr>
        <w:t xml:space="preserve">and feedback from </w:t>
      </w:r>
      <w:r w:rsidR="002E05E1" w:rsidRPr="007B5F38">
        <w:rPr>
          <w:sz w:val="24"/>
          <w:szCs w:val="24"/>
        </w:rPr>
        <w:t xml:space="preserve">specialists, prescriptions </w:t>
      </w:r>
      <w:r w:rsidR="002E05E1" w:rsidRPr="006F251E">
        <w:rPr>
          <w:sz w:val="24"/>
          <w:szCs w:val="24"/>
        </w:rPr>
        <w:t>and immunisation records</w:t>
      </w:r>
      <w:r w:rsidR="002E05E1" w:rsidRPr="008B23BD">
        <w:rPr>
          <w:sz w:val="24"/>
          <w:szCs w:val="24"/>
        </w:rPr>
        <w:t>.</w:t>
      </w:r>
      <w:r w:rsidR="00AD44E5">
        <w:rPr>
          <w:sz w:val="24"/>
          <w:szCs w:val="24"/>
        </w:rPr>
        <w:t xml:space="preserve"> </w:t>
      </w:r>
      <w:r w:rsidR="007146D1" w:rsidRPr="006F251E">
        <w:rPr>
          <w:sz w:val="24"/>
          <w:szCs w:val="24"/>
        </w:rPr>
        <w:t>The data are representative of the UK population</w:t>
      </w:r>
      <w:r w:rsidR="007146D1" w:rsidRPr="006F251E">
        <w:rPr>
          <w:sz w:val="24"/>
          <w:szCs w:val="24"/>
          <w:vertAlign w:val="superscript"/>
        </w:rPr>
        <w:t xml:space="preserve"> </w:t>
      </w:r>
      <w:r w:rsidR="004002B7" w:rsidRPr="006F251E">
        <w:rPr>
          <w:sz w:val="24"/>
          <w:szCs w:val="24"/>
        </w:rPr>
        <w:t xml:space="preserve">and are </w:t>
      </w:r>
      <w:r w:rsidR="00CE62AF" w:rsidRPr="006F251E">
        <w:rPr>
          <w:sz w:val="24"/>
          <w:szCs w:val="24"/>
        </w:rPr>
        <w:t xml:space="preserve">subject to </w:t>
      </w:r>
      <w:r w:rsidR="00E24456">
        <w:rPr>
          <w:sz w:val="24"/>
          <w:szCs w:val="24"/>
        </w:rPr>
        <w:t xml:space="preserve">CPRD-imposed </w:t>
      </w:r>
      <w:r w:rsidR="00CE62AF" w:rsidRPr="006F251E">
        <w:rPr>
          <w:sz w:val="24"/>
          <w:szCs w:val="24"/>
        </w:rPr>
        <w:t>quality</w:t>
      </w:r>
      <w:r w:rsidR="00CE62AF" w:rsidRPr="007B5F38">
        <w:rPr>
          <w:sz w:val="24"/>
          <w:szCs w:val="24"/>
        </w:rPr>
        <w:t xml:space="preserve"> checks</w:t>
      </w:r>
      <w:proofErr w:type="gramStart"/>
      <w:r w:rsidR="00AD44E5">
        <w:rPr>
          <w:sz w:val="24"/>
          <w:szCs w:val="24"/>
        </w:rPr>
        <w:t>.</w:t>
      </w:r>
      <w:r w:rsidR="00971B61">
        <w:rPr>
          <w:sz w:val="24"/>
          <w:szCs w:val="24"/>
        </w:rPr>
        <w:t>[</w:t>
      </w:r>
      <w:proofErr w:type="gramEnd"/>
      <w:r w:rsidR="00971B61">
        <w:rPr>
          <w:sz w:val="24"/>
          <w:szCs w:val="24"/>
        </w:rPr>
        <w:t>11]</w:t>
      </w:r>
      <w:r w:rsidR="00AD44E5">
        <w:rPr>
          <w:sz w:val="24"/>
          <w:szCs w:val="24"/>
        </w:rPr>
        <w:t xml:space="preserve"> Data of continuous high quality considered to be suitable for research are designated</w:t>
      </w:r>
      <w:r w:rsidR="00CE62AF" w:rsidRPr="007B5F38">
        <w:rPr>
          <w:sz w:val="24"/>
          <w:szCs w:val="24"/>
        </w:rPr>
        <w:t xml:space="preserve"> ‘up-to-standard’ </w:t>
      </w:r>
      <w:r w:rsidR="00BE1F5D">
        <w:rPr>
          <w:sz w:val="24"/>
          <w:szCs w:val="24"/>
        </w:rPr>
        <w:t>(UTS) data</w:t>
      </w:r>
      <w:r w:rsidR="00AD44E5">
        <w:rPr>
          <w:sz w:val="24"/>
          <w:szCs w:val="24"/>
        </w:rPr>
        <w:t xml:space="preserve">. </w:t>
      </w:r>
      <w:r w:rsidR="008E4486">
        <w:rPr>
          <w:sz w:val="24"/>
          <w:szCs w:val="24"/>
        </w:rPr>
        <w:t>D</w:t>
      </w:r>
      <w:r w:rsidR="006C1783">
        <w:rPr>
          <w:sz w:val="24"/>
          <w:szCs w:val="24"/>
        </w:rPr>
        <w:t xml:space="preserve">ata in the </w:t>
      </w:r>
      <w:r w:rsidR="008E4486">
        <w:rPr>
          <w:sz w:val="24"/>
          <w:szCs w:val="24"/>
        </w:rPr>
        <w:t xml:space="preserve">CPRD are </w:t>
      </w:r>
      <w:r w:rsidR="006C1783">
        <w:rPr>
          <w:sz w:val="24"/>
          <w:szCs w:val="24"/>
        </w:rPr>
        <w:t xml:space="preserve">recorded for the most part using </w:t>
      </w:r>
      <w:r w:rsidR="008E4486" w:rsidRPr="000F2ECC">
        <w:rPr>
          <w:sz w:val="24"/>
          <w:szCs w:val="24"/>
        </w:rPr>
        <w:t>Read codes</w:t>
      </w:r>
      <w:proofErr w:type="gramStart"/>
      <w:r w:rsidR="008E4486" w:rsidRPr="000F2ECC">
        <w:rPr>
          <w:sz w:val="24"/>
          <w:szCs w:val="24"/>
        </w:rPr>
        <w:t>.</w:t>
      </w:r>
      <w:r w:rsidR="00971B61">
        <w:rPr>
          <w:sz w:val="24"/>
          <w:szCs w:val="24"/>
        </w:rPr>
        <w:t>[</w:t>
      </w:r>
      <w:proofErr w:type="gramEnd"/>
      <w:r w:rsidR="00971B61">
        <w:rPr>
          <w:sz w:val="24"/>
          <w:szCs w:val="24"/>
        </w:rPr>
        <w:t>11]</w:t>
      </w:r>
      <w:r w:rsidR="008E4486">
        <w:rPr>
          <w:sz w:val="24"/>
          <w:szCs w:val="24"/>
        </w:rPr>
        <w:t xml:space="preserve"> </w:t>
      </w:r>
      <w:r w:rsidR="00CE62AF" w:rsidRPr="007B5F38">
        <w:rPr>
          <w:sz w:val="24"/>
          <w:szCs w:val="24"/>
        </w:rPr>
        <w:t>Numerous studies have utilised CPRD for research</w:t>
      </w:r>
      <w:r w:rsidR="008C707A">
        <w:rPr>
          <w:sz w:val="24"/>
          <w:szCs w:val="24"/>
        </w:rPr>
        <w:t>,</w:t>
      </w:r>
      <w:r w:rsidR="00CE62AF" w:rsidRPr="007B5F38">
        <w:rPr>
          <w:sz w:val="24"/>
          <w:szCs w:val="24"/>
        </w:rPr>
        <w:t xml:space="preserve"> and </w:t>
      </w:r>
      <w:r w:rsidR="005E15F3">
        <w:rPr>
          <w:sz w:val="24"/>
          <w:szCs w:val="24"/>
        </w:rPr>
        <w:t xml:space="preserve">a wide range of </w:t>
      </w:r>
      <w:r w:rsidR="00CE62AF" w:rsidRPr="007B5F38">
        <w:rPr>
          <w:sz w:val="24"/>
          <w:szCs w:val="24"/>
        </w:rPr>
        <w:t>diagnos</w:t>
      </w:r>
      <w:r w:rsidR="00F00654">
        <w:rPr>
          <w:sz w:val="24"/>
          <w:szCs w:val="24"/>
        </w:rPr>
        <w:t>es</w:t>
      </w:r>
      <w:r w:rsidR="00CE62AF" w:rsidRPr="007B5F38">
        <w:rPr>
          <w:sz w:val="24"/>
          <w:szCs w:val="24"/>
        </w:rPr>
        <w:t xml:space="preserve"> have been</w:t>
      </w:r>
      <w:r w:rsidR="00C73971">
        <w:rPr>
          <w:sz w:val="24"/>
          <w:szCs w:val="24"/>
        </w:rPr>
        <w:t xml:space="preserve"> </w:t>
      </w:r>
      <w:r w:rsidR="00CE62AF" w:rsidRPr="007B5F38">
        <w:rPr>
          <w:sz w:val="24"/>
          <w:szCs w:val="24"/>
        </w:rPr>
        <w:t>validated</w:t>
      </w:r>
      <w:r w:rsidR="005B6B63">
        <w:rPr>
          <w:sz w:val="24"/>
          <w:szCs w:val="24"/>
        </w:rPr>
        <w:t>.</w:t>
      </w:r>
      <w:r w:rsidR="00971B61">
        <w:rPr>
          <w:sz w:val="24"/>
          <w:szCs w:val="24"/>
        </w:rPr>
        <w:t>[12-13]</w:t>
      </w:r>
      <w:r w:rsidR="008B2121" w:rsidRPr="007B5F38">
        <w:rPr>
          <w:sz w:val="24"/>
          <w:szCs w:val="24"/>
        </w:rPr>
        <w:t xml:space="preserve"> </w:t>
      </w:r>
    </w:p>
    <w:p w14:paraId="25C0B5AC" w14:textId="77777777" w:rsidR="002F27C9" w:rsidRPr="00937173" w:rsidRDefault="002F27C9" w:rsidP="00937173">
      <w:pPr>
        <w:spacing w:after="0" w:line="360" w:lineRule="auto"/>
        <w:rPr>
          <w:sz w:val="24"/>
          <w:szCs w:val="24"/>
        </w:rPr>
      </w:pPr>
    </w:p>
    <w:p w14:paraId="6D063C02" w14:textId="08C805C3" w:rsidR="003D0839" w:rsidRDefault="00D2381D" w:rsidP="000E48E8">
      <w:pPr>
        <w:autoSpaceDE w:val="0"/>
        <w:autoSpaceDN w:val="0"/>
        <w:adjustRightInd w:val="0"/>
        <w:spacing w:after="0" w:line="360" w:lineRule="auto"/>
        <w:rPr>
          <w:rFonts w:eastAsia="TimesNewRomanPSMT" w:cs="TimesNewRomanPSMT"/>
          <w:sz w:val="24"/>
          <w:szCs w:val="24"/>
        </w:rPr>
      </w:pPr>
      <w:r>
        <w:rPr>
          <w:sz w:val="24"/>
          <w:szCs w:val="24"/>
        </w:rPr>
        <w:t>Patient r</w:t>
      </w:r>
      <w:r w:rsidR="00D27E15">
        <w:rPr>
          <w:sz w:val="24"/>
          <w:szCs w:val="24"/>
        </w:rPr>
        <w:t xml:space="preserve">ecords </w:t>
      </w:r>
      <w:r w:rsidR="007B2FDB" w:rsidRPr="00A021FC">
        <w:rPr>
          <w:sz w:val="24"/>
          <w:szCs w:val="24"/>
        </w:rPr>
        <w:t>f</w:t>
      </w:r>
      <w:r>
        <w:rPr>
          <w:sz w:val="24"/>
          <w:szCs w:val="24"/>
        </w:rPr>
        <w:t>rom</w:t>
      </w:r>
      <w:r w:rsidR="007B2FDB" w:rsidRPr="00A021FC">
        <w:rPr>
          <w:sz w:val="24"/>
          <w:szCs w:val="24"/>
        </w:rPr>
        <w:t xml:space="preserve"> 58% of the contributing CPRD UK practices </w:t>
      </w:r>
      <w:r>
        <w:rPr>
          <w:sz w:val="24"/>
          <w:szCs w:val="24"/>
        </w:rPr>
        <w:t xml:space="preserve">were provided </w:t>
      </w:r>
      <w:r w:rsidR="007B2FDB">
        <w:rPr>
          <w:sz w:val="24"/>
          <w:szCs w:val="24"/>
        </w:rPr>
        <w:t xml:space="preserve">linked </w:t>
      </w:r>
      <w:r w:rsidR="00A021FC" w:rsidRPr="00A021FC">
        <w:rPr>
          <w:sz w:val="24"/>
          <w:szCs w:val="24"/>
        </w:rPr>
        <w:t>to</w:t>
      </w:r>
      <w:r w:rsidR="003F7C56" w:rsidRPr="00A021FC">
        <w:rPr>
          <w:sz w:val="24"/>
          <w:szCs w:val="24"/>
        </w:rPr>
        <w:t xml:space="preserve"> </w:t>
      </w:r>
      <w:r>
        <w:rPr>
          <w:sz w:val="24"/>
          <w:szCs w:val="24"/>
        </w:rPr>
        <w:t xml:space="preserve">data (1997 onwards) from </w:t>
      </w:r>
      <w:r w:rsidR="007B2FDB">
        <w:rPr>
          <w:sz w:val="24"/>
          <w:szCs w:val="24"/>
        </w:rPr>
        <w:t xml:space="preserve">the </w:t>
      </w:r>
      <w:r w:rsidR="003F7C56" w:rsidRPr="00A021FC">
        <w:rPr>
          <w:sz w:val="24"/>
          <w:szCs w:val="24"/>
        </w:rPr>
        <w:t>Hospital Episode Statistics (HES)</w:t>
      </w:r>
      <w:r w:rsidR="007B2FDB">
        <w:rPr>
          <w:sz w:val="24"/>
          <w:szCs w:val="24"/>
        </w:rPr>
        <w:t xml:space="preserve"> database.</w:t>
      </w:r>
      <w:r w:rsidR="003F7C56" w:rsidRPr="00A021FC">
        <w:rPr>
          <w:sz w:val="24"/>
          <w:szCs w:val="24"/>
        </w:rPr>
        <w:t xml:space="preserve">  </w:t>
      </w:r>
      <w:r w:rsidR="00E60EF3">
        <w:rPr>
          <w:sz w:val="24"/>
          <w:szCs w:val="24"/>
        </w:rPr>
        <w:t>HES</w:t>
      </w:r>
      <w:r w:rsidR="00C72D43">
        <w:rPr>
          <w:sz w:val="24"/>
          <w:szCs w:val="24"/>
        </w:rPr>
        <w:t xml:space="preserve"> </w:t>
      </w:r>
      <w:r w:rsidR="00E74D99">
        <w:rPr>
          <w:sz w:val="24"/>
          <w:szCs w:val="24"/>
        </w:rPr>
        <w:t xml:space="preserve">data </w:t>
      </w:r>
      <w:r w:rsidR="00357236">
        <w:rPr>
          <w:sz w:val="24"/>
          <w:szCs w:val="24"/>
        </w:rPr>
        <w:t xml:space="preserve">include </w:t>
      </w:r>
      <w:r w:rsidR="003D0839" w:rsidRPr="00A021FC">
        <w:rPr>
          <w:sz w:val="24"/>
          <w:szCs w:val="24"/>
        </w:rPr>
        <w:t>all a</w:t>
      </w:r>
      <w:r w:rsidR="003D0839" w:rsidRPr="00A021FC">
        <w:rPr>
          <w:rFonts w:eastAsia="TimesNewRomanPSMT" w:cs="TimesNewRomanPSMT"/>
          <w:sz w:val="24"/>
          <w:szCs w:val="24"/>
        </w:rPr>
        <w:t>dmissions to N</w:t>
      </w:r>
      <w:r w:rsidR="008907E5">
        <w:rPr>
          <w:rFonts w:eastAsia="TimesNewRomanPSMT" w:cs="TimesNewRomanPSMT"/>
          <w:sz w:val="24"/>
          <w:szCs w:val="24"/>
        </w:rPr>
        <w:t xml:space="preserve">ational </w:t>
      </w:r>
      <w:r w:rsidR="003D0839" w:rsidRPr="00A021FC">
        <w:rPr>
          <w:rFonts w:eastAsia="TimesNewRomanPSMT" w:cs="TimesNewRomanPSMT"/>
          <w:sz w:val="24"/>
          <w:szCs w:val="24"/>
        </w:rPr>
        <w:t>H</w:t>
      </w:r>
      <w:r w:rsidR="008907E5">
        <w:rPr>
          <w:rFonts w:eastAsia="TimesNewRomanPSMT" w:cs="TimesNewRomanPSMT"/>
          <w:sz w:val="24"/>
          <w:szCs w:val="24"/>
        </w:rPr>
        <w:t xml:space="preserve">ealth </w:t>
      </w:r>
      <w:r w:rsidR="003D0839" w:rsidRPr="00A021FC">
        <w:rPr>
          <w:rFonts w:eastAsia="TimesNewRomanPSMT" w:cs="TimesNewRomanPSMT"/>
          <w:sz w:val="24"/>
          <w:szCs w:val="24"/>
        </w:rPr>
        <w:t>S</w:t>
      </w:r>
      <w:r w:rsidR="008907E5">
        <w:rPr>
          <w:rFonts w:eastAsia="TimesNewRomanPSMT" w:cs="TimesNewRomanPSMT"/>
          <w:sz w:val="24"/>
          <w:szCs w:val="24"/>
        </w:rPr>
        <w:t>ervice</w:t>
      </w:r>
      <w:r w:rsidR="003D0839" w:rsidRPr="00A021FC">
        <w:rPr>
          <w:rFonts w:eastAsia="TimesNewRomanPSMT" w:cs="TimesNewRomanPSMT"/>
          <w:sz w:val="24"/>
          <w:szCs w:val="24"/>
        </w:rPr>
        <w:t xml:space="preserve"> hospitals in England</w:t>
      </w:r>
      <w:r w:rsidR="009F4603" w:rsidRPr="00A021FC">
        <w:rPr>
          <w:rFonts w:eastAsia="TimesNewRomanPSMT" w:cs="TimesNewRomanPSMT"/>
          <w:sz w:val="24"/>
          <w:szCs w:val="24"/>
        </w:rPr>
        <w:t>.</w:t>
      </w:r>
      <w:r w:rsidR="003D0839" w:rsidRPr="007B5F38">
        <w:rPr>
          <w:rFonts w:eastAsia="TimesNewRomanPSMT" w:cs="TimesNewRomanPSMT"/>
          <w:sz w:val="24"/>
          <w:szCs w:val="24"/>
        </w:rPr>
        <w:t xml:space="preserve"> </w:t>
      </w:r>
      <w:r w:rsidR="000E48E8" w:rsidRPr="000E48E8">
        <w:rPr>
          <w:rFonts w:eastAsia="TimesNewRomanPSMT" w:cs="TimesNewRomanPSMT"/>
          <w:sz w:val="24"/>
          <w:szCs w:val="24"/>
        </w:rPr>
        <w:t>Each record represents</w:t>
      </w:r>
      <w:r w:rsidR="000E48E8">
        <w:rPr>
          <w:rFonts w:eastAsia="TimesNewRomanPSMT" w:cs="TimesNewRomanPSMT"/>
          <w:sz w:val="24"/>
          <w:szCs w:val="24"/>
        </w:rPr>
        <w:t xml:space="preserve"> </w:t>
      </w:r>
      <w:r w:rsidR="000E48E8" w:rsidRPr="000E48E8">
        <w:rPr>
          <w:rFonts w:eastAsia="TimesNewRomanPSMT" w:cs="TimesNewRomanPSMT"/>
          <w:sz w:val="24"/>
          <w:szCs w:val="24"/>
        </w:rPr>
        <w:t>an episode</w:t>
      </w:r>
      <w:r w:rsidR="00901735">
        <w:rPr>
          <w:rFonts w:eastAsia="TimesNewRomanPSMT" w:cs="TimesNewRomanPSMT"/>
          <w:sz w:val="24"/>
          <w:szCs w:val="24"/>
        </w:rPr>
        <w:t>,</w:t>
      </w:r>
      <w:r w:rsidR="00357236">
        <w:rPr>
          <w:rFonts w:eastAsia="TimesNewRomanPSMT" w:cs="TimesNewRomanPSMT"/>
          <w:sz w:val="24"/>
          <w:szCs w:val="24"/>
        </w:rPr>
        <w:t xml:space="preserve"> defined as</w:t>
      </w:r>
      <w:r w:rsidR="000E48E8" w:rsidRPr="000E48E8">
        <w:rPr>
          <w:rFonts w:eastAsia="TimesNewRomanPSMT" w:cs="TimesNewRomanPSMT"/>
          <w:sz w:val="24"/>
          <w:szCs w:val="24"/>
        </w:rPr>
        <w:t xml:space="preserve"> a continuous period of hospital care under </w:t>
      </w:r>
      <w:r w:rsidR="000E48E8">
        <w:rPr>
          <w:rFonts w:eastAsia="TimesNewRomanPSMT" w:cs="TimesNewRomanPSMT"/>
          <w:sz w:val="24"/>
          <w:szCs w:val="24"/>
        </w:rPr>
        <w:t xml:space="preserve">one </w:t>
      </w:r>
      <w:r w:rsidR="000E48E8" w:rsidRPr="000E48E8">
        <w:rPr>
          <w:rFonts w:eastAsia="TimesNewRomanPSMT" w:cs="TimesNewRomanPSMT"/>
          <w:sz w:val="24"/>
          <w:szCs w:val="24"/>
        </w:rPr>
        <w:t>consultant</w:t>
      </w:r>
      <w:r w:rsidR="00100B88">
        <w:rPr>
          <w:rFonts w:eastAsia="TimesNewRomanPSMT" w:cs="TimesNewRomanPSMT"/>
          <w:sz w:val="24"/>
          <w:szCs w:val="24"/>
        </w:rPr>
        <w:t>. P</w:t>
      </w:r>
      <w:r w:rsidR="000E48E8" w:rsidRPr="000E48E8">
        <w:rPr>
          <w:rFonts w:eastAsia="TimesNewRomanPSMT" w:cs="TimesNewRomanPSMT"/>
          <w:sz w:val="24"/>
          <w:szCs w:val="24"/>
        </w:rPr>
        <w:t xml:space="preserve">atients may have multiple episodes within </w:t>
      </w:r>
      <w:r w:rsidR="000E48E8">
        <w:rPr>
          <w:rFonts w:eastAsia="TimesNewRomanPSMT" w:cs="TimesNewRomanPSMT"/>
          <w:sz w:val="24"/>
          <w:szCs w:val="24"/>
        </w:rPr>
        <w:t xml:space="preserve">one </w:t>
      </w:r>
      <w:r w:rsidR="000E48E8" w:rsidRPr="000E48E8">
        <w:rPr>
          <w:rFonts w:eastAsia="TimesNewRomanPSMT" w:cs="TimesNewRomanPSMT"/>
          <w:sz w:val="24"/>
          <w:szCs w:val="24"/>
        </w:rPr>
        <w:t>hospitalization. Each episode</w:t>
      </w:r>
      <w:r w:rsidR="000E48E8">
        <w:rPr>
          <w:rFonts w:eastAsia="TimesNewRomanPSMT" w:cs="TimesNewRomanPSMT"/>
          <w:sz w:val="24"/>
          <w:szCs w:val="24"/>
        </w:rPr>
        <w:t xml:space="preserve"> </w:t>
      </w:r>
      <w:r w:rsidR="000E48E8" w:rsidRPr="000E48E8">
        <w:rPr>
          <w:rFonts w:eastAsia="TimesNewRomanPSMT" w:cs="TimesNewRomanPSMT"/>
          <w:sz w:val="24"/>
          <w:szCs w:val="24"/>
        </w:rPr>
        <w:t xml:space="preserve">has </w:t>
      </w:r>
      <w:r w:rsidR="00945B29">
        <w:rPr>
          <w:rFonts w:eastAsia="TimesNewRomanPSMT" w:cs="TimesNewRomanPSMT"/>
          <w:sz w:val="24"/>
          <w:szCs w:val="24"/>
        </w:rPr>
        <w:t xml:space="preserve">up to 20 diagnoses, recorded </w:t>
      </w:r>
      <w:r w:rsidR="000E48E8" w:rsidRPr="000E48E8">
        <w:rPr>
          <w:rFonts w:eastAsia="TimesNewRomanPSMT" w:cs="TimesNewRomanPSMT"/>
          <w:sz w:val="24"/>
          <w:szCs w:val="24"/>
        </w:rPr>
        <w:t>using codes from</w:t>
      </w:r>
      <w:r w:rsidR="000E48E8">
        <w:rPr>
          <w:rFonts w:eastAsia="TimesNewRomanPSMT" w:cs="TimesNewRomanPSMT"/>
          <w:sz w:val="24"/>
          <w:szCs w:val="24"/>
        </w:rPr>
        <w:t xml:space="preserve"> </w:t>
      </w:r>
      <w:r w:rsidR="005E76A9" w:rsidRPr="007B5F38">
        <w:rPr>
          <w:rFonts w:eastAsia="TimesNewRomanPSMT" w:cs="TimesNewRomanPSMT"/>
          <w:sz w:val="24"/>
          <w:szCs w:val="24"/>
        </w:rPr>
        <w:t xml:space="preserve">the International Classification of Diseases, 10th Revision </w:t>
      </w:r>
      <w:r w:rsidR="009F4603">
        <w:rPr>
          <w:rFonts w:eastAsia="TimesNewRomanPSMT" w:cs="TimesNewRomanPSMT"/>
          <w:sz w:val="24"/>
          <w:szCs w:val="24"/>
        </w:rPr>
        <w:t>(</w:t>
      </w:r>
      <w:r w:rsidR="003D0839" w:rsidRPr="007B5F38">
        <w:rPr>
          <w:rFonts w:eastAsia="TimesNewRomanPSMT" w:cs="TimesNewRomanPSMT"/>
          <w:sz w:val="24"/>
          <w:szCs w:val="24"/>
        </w:rPr>
        <w:t>ICD-10 codes</w:t>
      </w:r>
      <w:r w:rsidR="009F4603">
        <w:rPr>
          <w:rFonts w:eastAsia="TimesNewRomanPSMT" w:cs="TimesNewRomanPSMT"/>
          <w:sz w:val="24"/>
          <w:szCs w:val="24"/>
        </w:rPr>
        <w:t>)</w:t>
      </w:r>
      <w:r w:rsidR="003D0839" w:rsidRPr="007B5F38">
        <w:rPr>
          <w:rFonts w:eastAsia="TimesNewRomanPSMT" w:cs="TimesNewRomanPSMT"/>
          <w:sz w:val="24"/>
          <w:szCs w:val="24"/>
        </w:rPr>
        <w:t>.</w:t>
      </w:r>
    </w:p>
    <w:p w14:paraId="10561773" w14:textId="13FB3123" w:rsidR="00B0364C" w:rsidRDefault="00B0364C" w:rsidP="0093302F">
      <w:pPr>
        <w:spacing w:after="0" w:line="360" w:lineRule="auto"/>
        <w:outlineLvl w:val="0"/>
        <w:rPr>
          <w:b/>
          <w:i/>
          <w:sz w:val="24"/>
          <w:szCs w:val="24"/>
        </w:rPr>
      </w:pPr>
    </w:p>
    <w:p w14:paraId="5CA4407D" w14:textId="4364E29A" w:rsidR="0093302F" w:rsidRPr="005D345B" w:rsidRDefault="0093302F" w:rsidP="0093302F">
      <w:pPr>
        <w:spacing w:after="0" w:line="360" w:lineRule="auto"/>
        <w:outlineLvl w:val="0"/>
        <w:rPr>
          <w:b/>
          <w:sz w:val="24"/>
          <w:szCs w:val="24"/>
        </w:rPr>
      </w:pPr>
      <w:r w:rsidRPr="005D345B">
        <w:rPr>
          <w:b/>
          <w:sz w:val="24"/>
          <w:szCs w:val="24"/>
        </w:rPr>
        <w:t xml:space="preserve">Study </w:t>
      </w:r>
      <w:r w:rsidR="008F72DF" w:rsidRPr="005D345B">
        <w:rPr>
          <w:b/>
          <w:sz w:val="24"/>
          <w:szCs w:val="24"/>
        </w:rPr>
        <w:t>population</w:t>
      </w:r>
    </w:p>
    <w:p w14:paraId="244AF53F" w14:textId="77777777" w:rsidR="003722C1" w:rsidRPr="005D345B" w:rsidRDefault="00161232" w:rsidP="008B78AD">
      <w:pPr>
        <w:spacing w:after="0" w:line="360" w:lineRule="auto"/>
        <w:rPr>
          <w:sz w:val="24"/>
          <w:szCs w:val="24"/>
        </w:rPr>
      </w:pPr>
      <w:r w:rsidRPr="005D345B">
        <w:rPr>
          <w:sz w:val="24"/>
          <w:szCs w:val="24"/>
        </w:rPr>
        <w:t>Exposed</w:t>
      </w:r>
      <w:r w:rsidR="007947FA" w:rsidRPr="005D345B">
        <w:rPr>
          <w:sz w:val="24"/>
          <w:szCs w:val="24"/>
        </w:rPr>
        <w:t xml:space="preserve"> individuals</w:t>
      </w:r>
    </w:p>
    <w:p w14:paraId="6AAF32B3" w14:textId="139AFC98" w:rsidR="008B78AD" w:rsidRDefault="00901735" w:rsidP="001B7E21">
      <w:pPr>
        <w:spacing w:line="360" w:lineRule="auto"/>
        <w:contextualSpacing/>
        <w:rPr>
          <w:rFonts w:eastAsia="Times New Roman" w:cs="Segoe UI"/>
          <w:sz w:val="24"/>
          <w:szCs w:val="24"/>
        </w:rPr>
      </w:pPr>
      <w:r>
        <w:rPr>
          <w:sz w:val="24"/>
          <w:szCs w:val="24"/>
        </w:rPr>
        <w:t xml:space="preserve">Incident cases of encephalitis constituted the exposed group. </w:t>
      </w:r>
      <w:r w:rsidR="0077429C">
        <w:rPr>
          <w:sz w:val="24"/>
          <w:szCs w:val="24"/>
        </w:rPr>
        <w:t>Read codes and ICD</w:t>
      </w:r>
      <w:r w:rsidR="00E27E16">
        <w:rPr>
          <w:sz w:val="24"/>
          <w:szCs w:val="24"/>
        </w:rPr>
        <w:t>-</w:t>
      </w:r>
      <w:r w:rsidR="0077429C">
        <w:rPr>
          <w:sz w:val="24"/>
          <w:szCs w:val="24"/>
        </w:rPr>
        <w:t>10 codes for encephalitis were drawn up and agreed by two of the study authors</w:t>
      </w:r>
      <w:r w:rsidR="00852AAE">
        <w:rPr>
          <w:sz w:val="24"/>
          <w:szCs w:val="24"/>
        </w:rPr>
        <w:t>, an epidemiologist and a neurologist</w:t>
      </w:r>
      <w:r w:rsidR="0077429C">
        <w:rPr>
          <w:sz w:val="24"/>
          <w:szCs w:val="24"/>
        </w:rPr>
        <w:t xml:space="preserve"> (JG and </w:t>
      </w:r>
      <w:r w:rsidR="0077429C" w:rsidRPr="009864B4">
        <w:rPr>
          <w:sz w:val="24"/>
          <w:szCs w:val="24"/>
        </w:rPr>
        <w:t>ND</w:t>
      </w:r>
      <w:r w:rsidR="00F92E58" w:rsidRPr="009864B4">
        <w:rPr>
          <w:sz w:val="24"/>
          <w:szCs w:val="24"/>
        </w:rPr>
        <w:t xml:space="preserve">; </w:t>
      </w:r>
      <w:r w:rsidR="00F92E58" w:rsidRPr="009864B4">
        <w:rPr>
          <w:b/>
          <w:sz w:val="24"/>
          <w:szCs w:val="24"/>
        </w:rPr>
        <w:t>Appendix 1</w:t>
      </w:r>
      <w:r w:rsidR="0077429C" w:rsidRPr="009864B4">
        <w:rPr>
          <w:sz w:val="24"/>
          <w:szCs w:val="24"/>
        </w:rPr>
        <w:t xml:space="preserve">).  </w:t>
      </w:r>
      <w:r w:rsidR="00C516C0" w:rsidRPr="009B0BDF">
        <w:rPr>
          <w:sz w:val="24"/>
          <w:szCs w:val="24"/>
        </w:rPr>
        <w:t xml:space="preserve">Data </w:t>
      </w:r>
      <w:r w:rsidR="00CC69CF" w:rsidRPr="009B0BDF">
        <w:rPr>
          <w:sz w:val="24"/>
          <w:szCs w:val="24"/>
        </w:rPr>
        <w:t xml:space="preserve">were extracted for </w:t>
      </w:r>
      <w:r w:rsidR="00C516C0" w:rsidRPr="009B0BDF">
        <w:rPr>
          <w:sz w:val="24"/>
          <w:szCs w:val="24"/>
        </w:rPr>
        <w:t>i</w:t>
      </w:r>
      <w:r w:rsidR="001E4902" w:rsidRPr="009B0BDF">
        <w:rPr>
          <w:sz w:val="24"/>
          <w:szCs w:val="24"/>
        </w:rPr>
        <w:t xml:space="preserve">ndividuals </w:t>
      </w:r>
      <w:r w:rsidR="00F97F82" w:rsidRPr="009B0BDF">
        <w:rPr>
          <w:sz w:val="24"/>
          <w:szCs w:val="24"/>
        </w:rPr>
        <w:t xml:space="preserve">with one or </w:t>
      </w:r>
      <w:r w:rsidR="00F97F82" w:rsidRPr="009B0BDF">
        <w:rPr>
          <w:sz w:val="24"/>
          <w:szCs w:val="24"/>
        </w:rPr>
        <w:lastRenderedPageBreak/>
        <w:t xml:space="preserve">more encephalitis-specific code </w:t>
      </w:r>
      <w:r w:rsidR="003E1ADC" w:rsidRPr="009B0BDF">
        <w:rPr>
          <w:sz w:val="24"/>
          <w:szCs w:val="24"/>
        </w:rPr>
        <w:t xml:space="preserve">in their </w:t>
      </w:r>
      <w:r w:rsidR="00F97F82" w:rsidRPr="009B0BDF">
        <w:rPr>
          <w:sz w:val="24"/>
          <w:szCs w:val="24"/>
        </w:rPr>
        <w:t xml:space="preserve">CPRD </w:t>
      </w:r>
      <w:r w:rsidR="003E1ADC" w:rsidRPr="009B0BDF">
        <w:rPr>
          <w:sz w:val="24"/>
          <w:szCs w:val="24"/>
        </w:rPr>
        <w:t>record</w:t>
      </w:r>
      <w:r w:rsidR="009B0BDF">
        <w:rPr>
          <w:sz w:val="24"/>
          <w:szCs w:val="24"/>
        </w:rPr>
        <w:t>s</w:t>
      </w:r>
      <w:r w:rsidR="003E1ADC" w:rsidRPr="009B0BDF">
        <w:rPr>
          <w:sz w:val="24"/>
          <w:szCs w:val="24"/>
        </w:rPr>
        <w:t xml:space="preserve"> </w:t>
      </w:r>
      <w:r w:rsidR="00F97F82" w:rsidRPr="009B0BDF">
        <w:rPr>
          <w:sz w:val="24"/>
          <w:szCs w:val="24"/>
        </w:rPr>
        <w:t>and</w:t>
      </w:r>
      <w:r w:rsidR="003E1ADC" w:rsidRPr="009B0BDF">
        <w:rPr>
          <w:sz w:val="24"/>
          <w:szCs w:val="24"/>
        </w:rPr>
        <w:t>/or in</w:t>
      </w:r>
      <w:r w:rsidR="00F97F82" w:rsidRPr="009B0BDF">
        <w:rPr>
          <w:sz w:val="24"/>
          <w:szCs w:val="24"/>
        </w:rPr>
        <w:t xml:space="preserve"> </w:t>
      </w:r>
      <w:r w:rsidR="008D1E9E" w:rsidRPr="009B0BDF">
        <w:rPr>
          <w:sz w:val="24"/>
          <w:szCs w:val="24"/>
        </w:rPr>
        <w:t>the</w:t>
      </w:r>
      <w:r w:rsidR="003E1ADC" w:rsidRPr="009B0BDF">
        <w:rPr>
          <w:sz w:val="24"/>
          <w:szCs w:val="24"/>
        </w:rPr>
        <w:t>ir</w:t>
      </w:r>
      <w:r w:rsidR="008D1E9E" w:rsidRPr="009B0BDF">
        <w:rPr>
          <w:sz w:val="24"/>
          <w:szCs w:val="24"/>
        </w:rPr>
        <w:t xml:space="preserve"> </w:t>
      </w:r>
      <w:r w:rsidR="00F405A3" w:rsidRPr="009B0BDF">
        <w:rPr>
          <w:sz w:val="24"/>
          <w:szCs w:val="24"/>
        </w:rPr>
        <w:t xml:space="preserve">linked </w:t>
      </w:r>
      <w:r w:rsidR="00B82728" w:rsidRPr="009B0BDF">
        <w:rPr>
          <w:sz w:val="24"/>
          <w:szCs w:val="24"/>
        </w:rPr>
        <w:t>HES</w:t>
      </w:r>
      <w:r w:rsidR="00146120" w:rsidRPr="009B0BDF">
        <w:rPr>
          <w:sz w:val="24"/>
          <w:szCs w:val="24"/>
        </w:rPr>
        <w:t xml:space="preserve"> data</w:t>
      </w:r>
      <w:r w:rsidR="00F368AC" w:rsidRPr="009B0BDF">
        <w:rPr>
          <w:sz w:val="24"/>
          <w:szCs w:val="24"/>
        </w:rPr>
        <w:t xml:space="preserve"> </w:t>
      </w:r>
      <w:r w:rsidR="003E1ADC" w:rsidRPr="009B0BDF">
        <w:rPr>
          <w:sz w:val="24"/>
          <w:szCs w:val="24"/>
        </w:rPr>
        <w:t xml:space="preserve">(in any of the 20 </w:t>
      </w:r>
      <w:r w:rsidR="003F6381" w:rsidRPr="009B0BDF">
        <w:rPr>
          <w:sz w:val="24"/>
          <w:szCs w:val="24"/>
        </w:rPr>
        <w:t xml:space="preserve">HES </w:t>
      </w:r>
      <w:r w:rsidR="003E1ADC" w:rsidRPr="009B0BDF">
        <w:rPr>
          <w:sz w:val="24"/>
          <w:szCs w:val="24"/>
        </w:rPr>
        <w:t>diagnostic fields</w:t>
      </w:r>
      <w:r w:rsidR="00251DC6" w:rsidRPr="009B0BDF">
        <w:rPr>
          <w:sz w:val="24"/>
          <w:szCs w:val="24"/>
        </w:rPr>
        <w:t>) during the study period</w:t>
      </w:r>
      <w:r w:rsidR="00F97F82">
        <w:rPr>
          <w:sz w:val="24"/>
          <w:szCs w:val="24"/>
        </w:rPr>
        <w:t xml:space="preserve">. </w:t>
      </w:r>
      <w:r w:rsidR="004417FD">
        <w:rPr>
          <w:sz w:val="24"/>
          <w:szCs w:val="24"/>
        </w:rPr>
        <w:t>I</w:t>
      </w:r>
      <w:r w:rsidR="00975E12" w:rsidRPr="007B5F38">
        <w:rPr>
          <w:sz w:val="24"/>
          <w:szCs w:val="24"/>
        </w:rPr>
        <w:t>ncident cases were defined as individuals of any age who had the</w:t>
      </w:r>
      <w:r w:rsidR="00F405A3">
        <w:rPr>
          <w:sz w:val="24"/>
          <w:szCs w:val="24"/>
        </w:rPr>
        <w:t>ir</w:t>
      </w:r>
      <w:r w:rsidR="00975E12" w:rsidRPr="007B5F38">
        <w:rPr>
          <w:sz w:val="24"/>
          <w:szCs w:val="24"/>
        </w:rPr>
        <w:t xml:space="preserve"> first encephalitis </w:t>
      </w:r>
      <w:r w:rsidR="00C42781">
        <w:rPr>
          <w:sz w:val="24"/>
          <w:szCs w:val="24"/>
        </w:rPr>
        <w:t xml:space="preserve">code </w:t>
      </w:r>
      <w:r w:rsidR="00275667">
        <w:rPr>
          <w:sz w:val="24"/>
          <w:szCs w:val="24"/>
        </w:rPr>
        <w:t xml:space="preserve">(in CPRD or in HES) </w:t>
      </w:r>
      <w:r w:rsidR="00975E12" w:rsidRPr="007B5F38">
        <w:rPr>
          <w:sz w:val="24"/>
          <w:szCs w:val="24"/>
        </w:rPr>
        <w:t>during their UTS period</w:t>
      </w:r>
      <w:r w:rsidR="003E0EE0">
        <w:rPr>
          <w:sz w:val="24"/>
          <w:szCs w:val="24"/>
        </w:rPr>
        <w:t xml:space="preserve"> </w:t>
      </w:r>
      <w:r w:rsidR="00820BBE" w:rsidRPr="007B5F38">
        <w:rPr>
          <w:sz w:val="24"/>
          <w:szCs w:val="24"/>
        </w:rPr>
        <w:t>and at least one year after they first registered with the practice. Th</w:t>
      </w:r>
      <w:r w:rsidR="00513E9E">
        <w:rPr>
          <w:sz w:val="24"/>
          <w:szCs w:val="24"/>
        </w:rPr>
        <w:t xml:space="preserve">e latter </w:t>
      </w:r>
      <w:r w:rsidR="00820BBE" w:rsidRPr="007B5F38">
        <w:rPr>
          <w:sz w:val="24"/>
          <w:szCs w:val="24"/>
        </w:rPr>
        <w:t xml:space="preserve">was </w:t>
      </w:r>
      <w:r w:rsidR="00F405A3">
        <w:rPr>
          <w:sz w:val="24"/>
          <w:szCs w:val="24"/>
        </w:rPr>
        <w:t>because</w:t>
      </w:r>
      <w:r w:rsidR="00F405A3" w:rsidRPr="007B5F38">
        <w:rPr>
          <w:sz w:val="24"/>
          <w:szCs w:val="24"/>
        </w:rPr>
        <w:t xml:space="preserve"> </w:t>
      </w:r>
      <w:r w:rsidR="00820BBE" w:rsidRPr="007B5F38">
        <w:rPr>
          <w:sz w:val="24"/>
          <w:szCs w:val="24"/>
        </w:rPr>
        <w:t>individuals with prevalent or past encephalitis may have had their encephalitis recorded retrospectively in the few months after they join</w:t>
      </w:r>
      <w:r w:rsidR="00F405A3">
        <w:rPr>
          <w:sz w:val="24"/>
          <w:szCs w:val="24"/>
        </w:rPr>
        <w:t>ed</w:t>
      </w:r>
      <w:r w:rsidR="00820BBE" w:rsidRPr="007B5F38">
        <w:rPr>
          <w:sz w:val="24"/>
          <w:szCs w:val="24"/>
        </w:rPr>
        <w:t xml:space="preserve"> the CPRD practice</w:t>
      </w:r>
      <w:r w:rsidR="00033721">
        <w:rPr>
          <w:sz w:val="24"/>
          <w:szCs w:val="24"/>
        </w:rPr>
        <w:t>.</w:t>
      </w:r>
      <w:r w:rsidR="00971B61">
        <w:rPr>
          <w:sz w:val="24"/>
          <w:szCs w:val="24"/>
        </w:rPr>
        <w:t>[14]</w:t>
      </w:r>
      <w:r w:rsidR="00837980" w:rsidRPr="007B5F38">
        <w:rPr>
          <w:sz w:val="24"/>
          <w:szCs w:val="24"/>
        </w:rPr>
        <w:t xml:space="preserve"> </w:t>
      </w:r>
      <w:r w:rsidR="001A6F93" w:rsidRPr="007B5F38">
        <w:rPr>
          <w:sz w:val="24"/>
          <w:szCs w:val="24"/>
        </w:rPr>
        <w:t xml:space="preserve">For </w:t>
      </w:r>
      <w:r w:rsidR="00CC47BA">
        <w:rPr>
          <w:sz w:val="24"/>
          <w:szCs w:val="24"/>
        </w:rPr>
        <w:t xml:space="preserve">incident </w:t>
      </w:r>
      <w:r w:rsidR="001A6F93" w:rsidRPr="007B5F38">
        <w:rPr>
          <w:sz w:val="24"/>
          <w:szCs w:val="24"/>
        </w:rPr>
        <w:t xml:space="preserve">cases </w:t>
      </w:r>
      <w:r w:rsidR="00CC47BA">
        <w:rPr>
          <w:sz w:val="24"/>
          <w:szCs w:val="24"/>
        </w:rPr>
        <w:t>with a</w:t>
      </w:r>
      <w:r w:rsidR="00072A53">
        <w:rPr>
          <w:sz w:val="24"/>
          <w:szCs w:val="24"/>
        </w:rPr>
        <w:t>n encephalitis</w:t>
      </w:r>
      <w:r w:rsidR="00CC47BA">
        <w:rPr>
          <w:sz w:val="24"/>
          <w:szCs w:val="24"/>
        </w:rPr>
        <w:t xml:space="preserve"> record present in both the </w:t>
      </w:r>
      <w:r w:rsidR="001A6F93" w:rsidRPr="007B5F38">
        <w:rPr>
          <w:sz w:val="24"/>
          <w:szCs w:val="24"/>
        </w:rPr>
        <w:t xml:space="preserve">CPRD and HES </w:t>
      </w:r>
      <w:r w:rsidR="00CC47BA">
        <w:rPr>
          <w:sz w:val="24"/>
          <w:szCs w:val="24"/>
        </w:rPr>
        <w:t xml:space="preserve">datasets, </w:t>
      </w:r>
      <w:r w:rsidR="001A6F93" w:rsidRPr="007B5F38">
        <w:rPr>
          <w:sz w:val="24"/>
          <w:szCs w:val="24"/>
        </w:rPr>
        <w:t>t</w:t>
      </w:r>
      <w:r w:rsidR="004722A8">
        <w:rPr>
          <w:sz w:val="24"/>
          <w:szCs w:val="24"/>
        </w:rPr>
        <w:t>he earlie</w:t>
      </w:r>
      <w:r w:rsidR="00072A53">
        <w:rPr>
          <w:sz w:val="24"/>
          <w:szCs w:val="24"/>
        </w:rPr>
        <w:t>r</w:t>
      </w:r>
      <w:r w:rsidR="004722A8">
        <w:rPr>
          <w:sz w:val="24"/>
          <w:szCs w:val="24"/>
        </w:rPr>
        <w:t xml:space="preserve"> of the consultation or </w:t>
      </w:r>
      <w:r w:rsidR="001A6F93" w:rsidRPr="007B5F38">
        <w:rPr>
          <w:sz w:val="24"/>
          <w:szCs w:val="24"/>
        </w:rPr>
        <w:t>admission date was used as the date of encephalitis</w:t>
      </w:r>
      <w:r w:rsidR="003E7F15">
        <w:rPr>
          <w:sz w:val="24"/>
          <w:szCs w:val="24"/>
        </w:rPr>
        <w:t xml:space="preserve"> (index date)</w:t>
      </w:r>
      <w:r w:rsidR="001A6F93" w:rsidRPr="007B5F38">
        <w:rPr>
          <w:sz w:val="24"/>
          <w:szCs w:val="24"/>
        </w:rPr>
        <w:t>.</w:t>
      </w:r>
      <w:r w:rsidR="008B78AD" w:rsidRPr="007B5F38">
        <w:rPr>
          <w:sz w:val="24"/>
          <w:szCs w:val="24"/>
        </w:rPr>
        <w:t xml:space="preserve"> </w:t>
      </w:r>
      <w:r w:rsidR="00685B7C">
        <w:rPr>
          <w:sz w:val="24"/>
          <w:szCs w:val="24"/>
        </w:rPr>
        <w:t>I</w:t>
      </w:r>
      <w:r w:rsidR="001447FB" w:rsidRPr="00B31D31">
        <w:rPr>
          <w:rFonts w:eastAsia="Times New Roman" w:cs="Segoe UI"/>
          <w:sz w:val="24"/>
          <w:szCs w:val="24"/>
        </w:rPr>
        <w:t xml:space="preserve">ndividuals were </w:t>
      </w:r>
      <w:r w:rsidR="001447FB">
        <w:rPr>
          <w:rFonts w:eastAsia="Times New Roman" w:cs="Segoe UI"/>
          <w:sz w:val="24"/>
          <w:szCs w:val="24"/>
        </w:rPr>
        <w:t>ex</w:t>
      </w:r>
      <w:r w:rsidR="001447FB" w:rsidRPr="00B31D31">
        <w:rPr>
          <w:rFonts w:eastAsia="Times New Roman" w:cs="Segoe UI"/>
          <w:sz w:val="24"/>
          <w:szCs w:val="24"/>
        </w:rPr>
        <w:t xml:space="preserve">cluded if they </w:t>
      </w:r>
      <w:r w:rsidR="001447FB">
        <w:rPr>
          <w:rFonts w:eastAsia="Times New Roman" w:cs="Segoe UI"/>
          <w:sz w:val="24"/>
          <w:szCs w:val="24"/>
        </w:rPr>
        <w:t xml:space="preserve">did not </w:t>
      </w:r>
      <w:r w:rsidR="001447FB" w:rsidRPr="00B31D31">
        <w:rPr>
          <w:rFonts w:eastAsia="Times New Roman" w:cs="Segoe UI"/>
          <w:sz w:val="24"/>
          <w:szCs w:val="24"/>
        </w:rPr>
        <w:t>ha</w:t>
      </w:r>
      <w:r w:rsidR="001447FB">
        <w:rPr>
          <w:rFonts w:eastAsia="Times New Roman" w:cs="Segoe UI"/>
          <w:sz w:val="24"/>
          <w:szCs w:val="24"/>
        </w:rPr>
        <w:t xml:space="preserve">ve </w:t>
      </w:r>
      <w:r w:rsidR="001447FB" w:rsidRPr="00B31D31">
        <w:rPr>
          <w:rFonts w:eastAsia="Times New Roman" w:cs="Segoe UI"/>
          <w:sz w:val="24"/>
          <w:szCs w:val="24"/>
        </w:rPr>
        <w:t xml:space="preserve">at least one </w:t>
      </w:r>
      <w:r w:rsidR="00953D70">
        <w:rPr>
          <w:rFonts w:eastAsia="Times New Roman" w:cs="Segoe UI"/>
          <w:sz w:val="24"/>
          <w:szCs w:val="24"/>
        </w:rPr>
        <w:t>contact with the surgery</w:t>
      </w:r>
      <w:r w:rsidR="001447FB" w:rsidRPr="00B31D31">
        <w:rPr>
          <w:rFonts w:eastAsia="Times New Roman" w:cs="Segoe UI"/>
          <w:sz w:val="24"/>
          <w:szCs w:val="24"/>
        </w:rPr>
        <w:t xml:space="preserve"> in the two years aft</w:t>
      </w:r>
      <w:r w:rsidR="00996DC4">
        <w:rPr>
          <w:rFonts w:eastAsia="Times New Roman" w:cs="Segoe UI"/>
          <w:sz w:val="24"/>
          <w:szCs w:val="24"/>
        </w:rPr>
        <w:t xml:space="preserve">er the </w:t>
      </w:r>
      <w:r w:rsidR="00072A53">
        <w:rPr>
          <w:rFonts w:eastAsia="Times New Roman" w:cs="Segoe UI"/>
          <w:sz w:val="24"/>
          <w:szCs w:val="24"/>
        </w:rPr>
        <w:t xml:space="preserve">index </w:t>
      </w:r>
      <w:r w:rsidR="00996DC4">
        <w:rPr>
          <w:rFonts w:eastAsia="Times New Roman" w:cs="Segoe UI"/>
          <w:sz w:val="24"/>
          <w:szCs w:val="24"/>
        </w:rPr>
        <w:t xml:space="preserve">date </w:t>
      </w:r>
      <w:r w:rsidR="0043580A">
        <w:rPr>
          <w:rFonts w:eastAsia="Times New Roman" w:cs="Segoe UI"/>
          <w:sz w:val="24"/>
          <w:szCs w:val="24"/>
        </w:rPr>
        <w:t>to minimise under</w:t>
      </w:r>
      <w:r w:rsidR="001C64E7">
        <w:rPr>
          <w:rFonts w:eastAsia="Times New Roman" w:cs="Segoe UI"/>
          <w:sz w:val="24"/>
          <w:szCs w:val="24"/>
        </w:rPr>
        <w:t>-</w:t>
      </w:r>
      <w:r w:rsidR="00953D70">
        <w:rPr>
          <w:rFonts w:eastAsia="Times New Roman" w:cs="Segoe UI"/>
          <w:sz w:val="24"/>
          <w:szCs w:val="24"/>
        </w:rPr>
        <w:t xml:space="preserve">ascertainment of </w:t>
      </w:r>
      <w:r w:rsidR="00996DC4">
        <w:rPr>
          <w:rFonts w:eastAsia="Times New Roman" w:cs="Segoe UI"/>
          <w:sz w:val="24"/>
          <w:szCs w:val="24"/>
        </w:rPr>
        <w:t>the outcomes</w:t>
      </w:r>
      <w:r w:rsidR="000243C0">
        <w:rPr>
          <w:rFonts w:eastAsia="Times New Roman" w:cs="Segoe UI"/>
          <w:sz w:val="24"/>
          <w:szCs w:val="24"/>
        </w:rPr>
        <w:t xml:space="preserve"> of interest</w:t>
      </w:r>
      <w:r w:rsidR="00996DC4">
        <w:rPr>
          <w:rFonts w:eastAsia="Times New Roman" w:cs="Segoe UI"/>
          <w:sz w:val="24"/>
          <w:szCs w:val="24"/>
        </w:rPr>
        <w:t xml:space="preserve">. </w:t>
      </w:r>
    </w:p>
    <w:p w14:paraId="5E38DB6F" w14:textId="77777777" w:rsidR="00406E95" w:rsidRPr="007B5F38" w:rsidRDefault="00406E95" w:rsidP="00820BBE">
      <w:pPr>
        <w:spacing w:after="0" w:line="360" w:lineRule="auto"/>
        <w:rPr>
          <w:sz w:val="24"/>
          <w:szCs w:val="24"/>
        </w:rPr>
      </w:pPr>
    </w:p>
    <w:p w14:paraId="46472C6E" w14:textId="77777777" w:rsidR="00E652A8" w:rsidRPr="005D345B" w:rsidRDefault="00161232" w:rsidP="00406E95">
      <w:pPr>
        <w:spacing w:after="0" w:line="360" w:lineRule="auto"/>
        <w:rPr>
          <w:sz w:val="24"/>
          <w:szCs w:val="24"/>
        </w:rPr>
      </w:pPr>
      <w:r w:rsidRPr="005D345B">
        <w:rPr>
          <w:sz w:val="24"/>
          <w:szCs w:val="24"/>
        </w:rPr>
        <w:t>Unexposed</w:t>
      </w:r>
      <w:r w:rsidR="007947FA" w:rsidRPr="005D345B">
        <w:rPr>
          <w:sz w:val="24"/>
          <w:szCs w:val="24"/>
        </w:rPr>
        <w:t xml:space="preserve"> individuals</w:t>
      </w:r>
    </w:p>
    <w:p w14:paraId="33806283" w14:textId="41E53F68" w:rsidR="00C51886" w:rsidRDefault="00355783" w:rsidP="007F112A">
      <w:pPr>
        <w:spacing w:after="0" w:line="360" w:lineRule="auto"/>
        <w:rPr>
          <w:sz w:val="24"/>
          <w:szCs w:val="24"/>
        </w:rPr>
      </w:pPr>
      <w:r>
        <w:rPr>
          <w:sz w:val="24"/>
          <w:szCs w:val="24"/>
        </w:rPr>
        <w:t xml:space="preserve">Up to </w:t>
      </w:r>
      <w:r w:rsidR="0043626A">
        <w:rPr>
          <w:sz w:val="24"/>
          <w:szCs w:val="24"/>
        </w:rPr>
        <w:t>20</w:t>
      </w:r>
      <w:r w:rsidR="00A12930" w:rsidRPr="007B5F38">
        <w:rPr>
          <w:sz w:val="24"/>
          <w:szCs w:val="24"/>
        </w:rPr>
        <w:t xml:space="preserve"> unexposed individuals without a history of encephalitis </w:t>
      </w:r>
      <w:r w:rsidR="009C557B">
        <w:rPr>
          <w:sz w:val="24"/>
          <w:szCs w:val="24"/>
        </w:rPr>
        <w:t>were selected</w:t>
      </w:r>
      <w:r w:rsidR="00013E37" w:rsidRPr="00013E37">
        <w:rPr>
          <w:sz w:val="24"/>
          <w:szCs w:val="24"/>
        </w:rPr>
        <w:t xml:space="preserve"> </w:t>
      </w:r>
      <w:r w:rsidR="00013E37">
        <w:rPr>
          <w:sz w:val="24"/>
          <w:szCs w:val="24"/>
        </w:rPr>
        <w:t>f</w:t>
      </w:r>
      <w:r w:rsidR="00013E37" w:rsidRPr="007B5F38">
        <w:rPr>
          <w:sz w:val="24"/>
          <w:szCs w:val="24"/>
        </w:rPr>
        <w:t xml:space="preserve">or each </w:t>
      </w:r>
      <w:r w:rsidR="00013E37">
        <w:rPr>
          <w:sz w:val="24"/>
          <w:szCs w:val="24"/>
        </w:rPr>
        <w:t>exposed encephalitis patient</w:t>
      </w:r>
      <w:r>
        <w:rPr>
          <w:sz w:val="24"/>
          <w:szCs w:val="24"/>
        </w:rPr>
        <w:t xml:space="preserve"> using concurrent sampling</w:t>
      </w:r>
      <w:r w:rsidR="00841CDB">
        <w:rPr>
          <w:sz w:val="24"/>
          <w:szCs w:val="24"/>
        </w:rPr>
        <w:t xml:space="preserve">. These individuals were </w:t>
      </w:r>
      <w:r w:rsidR="00A12930" w:rsidRPr="007B5F38">
        <w:rPr>
          <w:sz w:val="24"/>
          <w:szCs w:val="24"/>
        </w:rPr>
        <w:t xml:space="preserve">matched to the encephalitis case by age (within 5 years), sex and </w:t>
      </w:r>
      <w:r w:rsidR="009E1D81">
        <w:rPr>
          <w:sz w:val="24"/>
          <w:szCs w:val="24"/>
        </w:rPr>
        <w:t>GP</w:t>
      </w:r>
      <w:r w:rsidR="00A12930" w:rsidRPr="007B5F38">
        <w:rPr>
          <w:sz w:val="24"/>
          <w:szCs w:val="24"/>
        </w:rPr>
        <w:t xml:space="preserve"> and were active in the CPRD at the </w:t>
      </w:r>
      <w:r w:rsidR="00A21B22">
        <w:rPr>
          <w:sz w:val="24"/>
          <w:szCs w:val="24"/>
        </w:rPr>
        <w:t xml:space="preserve">same </w:t>
      </w:r>
      <w:r w:rsidR="00A12930" w:rsidRPr="007B5F38">
        <w:rPr>
          <w:sz w:val="24"/>
          <w:szCs w:val="24"/>
        </w:rPr>
        <w:t xml:space="preserve">time that the </w:t>
      </w:r>
      <w:r w:rsidR="00A21B22">
        <w:rPr>
          <w:sz w:val="24"/>
          <w:szCs w:val="24"/>
        </w:rPr>
        <w:t xml:space="preserve">exposed </w:t>
      </w:r>
      <w:r w:rsidR="00A12930" w:rsidRPr="007B5F38">
        <w:rPr>
          <w:sz w:val="24"/>
          <w:szCs w:val="24"/>
        </w:rPr>
        <w:t xml:space="preserve">case </w:t>
      </w:r>
      <w:r w:rsidR="00A21B22">
        <w:rPr>
          <w:sz w:val="24"/>
          <w:szCs w:val="24"/>
        </w:rPr>
        <w:t>developed encephal</w:t>
      </w:r>
      <w:r w:rsidR="0069082A">
        <w:rPr>
          <w:sz w:val="24"/>
          <w:szCs w:val="24"/>
        </w:rPr>
        <w:t>i</w:t>
      </w:r>
      <w:r w:rsidR="00A21B22">
        <w:rPr>
          <w:sz w:val="24"/>
          <w:szCs w:val="24"/>
        </w:rPr>
        <w:t>tis</w:t>
      </w:r>
      <w:r w:rsidR="00017A92">
        <w:rPr>
          <w:sz w:val="24"/>
          <w:szCs w:val="24"/>
        </w:rPr>
        <w:t>, and</w:t>
      </w:r>
      <w:r>
        <w:rPr>
          <w:sz w:val="24"/>
          <w:szCs w:val="24"/>
        </w:rPr>
        <w:t xml:space="preserve"> with at least one year’s prior UTS data</w:t>
      </w:r>
      <w:r w:rsidR="00A12930" w:rsidRPr="007B5F38">
        <w:rPr>
          <w:sz w:val="24"/>
          <w:szCs w:val="24"/>
        </w:rPr>
        <w:t xml:space="preserve">. </w:t>
      </w:r>
      <w:r w:rsidR="00776F26">
        <w:rPr>
          <w:sz w:val="24"/>
          <w:szCs w:val="24"/>
        </w:rPr>
        <w:t>The index date for the unexposed individual was the date of encephalitis of the</w:t>
      </w:r>
      <w:r>
        <w:rPr>
          <w:sz w:val="24"/>
          <w:szCs w:val="24"/>
        </w:rPr>
        <w:t xml:space="preserve"> matched</w:t>
      </w:r>
      <w:r w:rsidR="00776F26">
        <w:rPr>
          <w:sz w:val="24"/>
          <w:szCs w:val="24"/>
        </w:rPr>
        <w:t xml:space="preserve"> exposed patient. </w:t>
      </w:r>
      <w:r w:rsidR="0049283F">
        <w:rPr>
          <w:sz w:val="24"/>
          <w:szCs w:val="24"/>
        </w:rPr>
        <w:t>Unexposed i</w:t>
      </w:r>
      <w:r w:rsidR="0049283F" w:rsidRPr="00B31D31">
        <w:rPr>
          <w:rFonts w:eastAsia="Times New Roman" w:cs="Segoe UI"/>
          <w:sz w:val="24"/>
          <w:szCs w:val="24"/>
        </w:rPr>
        <w:t xml:space="preserve">ndividuals were </w:t>
      </w:r>
      <w:r w:rsidR="0049283F">
        <w:rPr>
          <w:rFonts w:eastAsia="Times New Roman" w:cs="Segoe UI"/>
          <w:sz w:val="24"/>
          <w:szCs w:val="24"/>
        </w:rPr>
        <w:t>ex</w:t>
      </w:r>
      <w:r w:rsidR="0049283F" w:rsidRPr="00B31D31">
        <w:rPr>
          <w:rFonts w:eastAsia="Times New Roman" w:cs="Segoe UI"/>
          <w:sz w:val="24"/>
          <w:szCs w:val="24"/>
        </w:rPr>
        <w:t xml:space="preserve">cluded if they </w:t>
      </w:r>
      <w:r w:rsidR="0049283F">
        <w:rPr>
          <w:rFonts w:eastAsia="Times New Roman" w:cs="Segoe UI"/>
          <w:sz w:val="24"/>
          <w:szCs w:val="24"/>
        </w:rPr>
        <w:t xml:space="preserve">did not </w:t>
      </w:r>
      <w:r w:rsidR="0049283F" w:rsidRPr="00B31D31">
        <w:rPr>
          <w:rFonts w:eastAsia="Times New Roman" w:cs="Segoe UI"/>
          <w:sz w:val="24"/>
          <w:szCs w:val="24"/>
        </w:rPr>
        <w:t>ha</w:t>
      </w:r>
      <w:r w:rsidR="0049283F">
        <w:rPr>
          <w:rFonts w:eastAsia="Times New Roman" w:cs="Segoe UI"/>
          <w:sz w:val="24"/>
          <w:szCs w:val="24"/>
        </w:rPr>
        <w:t xml:space="preserve">ve </w:t>
      </w:r>
      <w:r w:rsidR="0049283F" w:rsidRPr="00B31D31">
        <w:rPr>
          <w:rFonts w:eastAsia="Times New Roman" w:cs="Segoe UI"/>
          <w:sz w:val="24"/>
          <w:szCs w:val="24"/>
        </w:rPr>
        <w:t xml:space="preserve">at least one </w:t>
      </w:r>
      <w:r w:rsidR="002F6CB2">
        <w:rPr>
          <w:rFonts w:eastAsia="Times New Roman" w:cs="Segoe UI"/>
          <w:sz w:val="24"/>
          <w:szCs w:val="24"/>
        </w:rPr>
        <w:t xml:space="preserve">contact with the surgery </w:t>
      </w:r>
      <w:r w:rsidR="0049283F" w:rsidRPr="00B31D31">
        <w:rPr>
          <w:rFonts w:eastAsia="Times New Roman" w:cs="Segoe UI"/>
          <w:sz w:val="24"/>
          <w:szCs w:val="24"/>
        </w:rPr>
        <w:t xml:space="preserve">in the six months before to two years after the </w:t>
      </w:r>
      <w:r w:rsidR="0079294E">
        <w:rPr>
          <w:rFonts w:eastAsia="Times New Roman" w:cs="Segoe UI"/>
          <w:sz w:val="24"/>
          <w:szCs w:val="24"/>
        </w:rPr>
        <w:t>index date</w:t>
      </w:r>
      <w:r w:rsidR="0049283F">
        <w:rPr>
          <w:rFonts w:eastAsia="Times New Roman" w:cs="Segoe UI"/>
          <w:sz w:val="24"/>
          <w:szCs w:val="24"/>
        </w:rPr>
        <w:t>.</w:t>
      </w:r>
      <w:r w:rsidR="0049283F" w:rsidRPr="004810AD">
        <w:rPr>
          <w:rFonts w:eastAsia="Times New Roman" w:cs="Segoe UI"/>
          <w:sz w:val="24"/>
          <w:szCs w:val="24"/>
        </w:rPr>
        <w:t> </w:t>
      </w:r>
    </w:p>
    <w:p w14:paraId="5F4FFA4E" w14:textId="77777777" w:rsidR="00406E95" w:rsidRPr="007B5F38" w:rsidRDefault="00406E95" w:rsidP="00406E95">
      <w:pPr>
        <w:spacing w:after="0" w:line="360" w:lineRule="auto"/>
        <w:rPr>
          <w:sz w:val="24"/>
          <w:szCs w:val="24"/>
        </w:rPr>
      </w:pPr>
    </w:p>
    <w:p w14:paraId="1A425D74" w14:textId="77777777" w:rsidR="00560322" w:rsidRPr="005D345B" w:rsidRDefault="00560322" w:rsidP="006A4885">
      <w:pPr>
        <w:spacing w:after="0" w:line="360" w:lineRule="auto"/>
        <w:outlineLvl w:val="0"/>
        <w:rPr>
          <w:b/>
          <w:sz w:val="24"/>
          <w:szCs w:val="24"/>
        </w:rPr>
      </w:pPr>
      <w:r w:rsidRPr="005D345B">
        <w:rPr>
          <w:b/>
          <w:sz w:val="24"/>
          <w:szCs w:val="24"/>
        </w:rPr>
        <w:t>Outcomes</w:t>
      </w:r>
    </w:p>
    <w:p w14:paraId="7F07D9D1" w14:textId="77777777" w:rsidR="00C84F06" w:rsidRPr="00C84F06" w:rsidRDefault="00560322" w:rsidP="00560322">
      <w:pPr>
        <w:spacing w:after="0" w:line="360" w:lineRule="auto"/>
        <w:rPr>
          <w:sz w:val="24"/>
          <w:szCs w:val="24"/>
        </w:rPr>
      </w:pPr>
      <w:r w:rsidRPr="007B5F38">
        <w:rPr>
          <w:sz w:val="24"/>
          <w:szCs w:val="24"/>
        </w:rPr>
        <w:t>The main sequelae of interest were</w:t>
      </w:r>
      <w:r w:rsidR="00C84F06">
        <w:rPr>
          <w:sz w:val="24"/>
          <w:szCs w:val="24"/>
        </w:rPr>
        <w:t xml:space="preserve"> e</w:t>
      </w:r>
      <w:r w:rsidRPr="00C84F06">
        <w:rPr>
          <w:sz w:val="24"/>
          <w:szCs w:val="24"/>
        </w:rPr>
        <w:t>pilepsy</w:t>
      </w:r>
      <w:r w:rsidR="00C84F06">
        <w:rPr>
          <w:sz w:val="24"/>
          <w:szCs w:val="24"/>
        </w:rPr>
        <w:t xml:space="preserve">; </w:t>
      </w:r>
      <w:r w:rsidR="00C84F06" w:rsidRPr="00C84F06">
        <w:rPr>
          <w:sz w:val="24"/>
          <w:szCs w:val="24"/>
        </w:rPr>
        <w:t>depressive disorders</w:t>
      </w:r>
      <w:r w:rsidR="00C84F06">
        <w:rPr>
          <w:sz w:val="24"/>
          <w:szCs w:val="24"/>
        </w:rPr>
        <w:t xml:space="preserve">; </w:t>
      </w:r>
      <w:r w:rsidRPr="00C84F06">
        <w:rPr>
          <w:sz w:val="24"/>
          <w:szCs w:val="24"/>
        </w:rPr>
        <w:t>anxiety disorders</w:t>
      </w:r>
      <w:r w:rsidR="00C84F06" w:rsidRPr="00C84F06">
        <w:rPr>
          <w:sz w:val="24"/>
          <w:szCs w:val="24"/>
        </w:rPr>
        <w:t xml:space="preserve"> (</w:t>
      </w:r>
      <w:r w:rsidR="00C84F06">
        <w:rPr>
          <w:sz w:val="24"/>
          <w:szCs w:val="24"/>
        </w:rPr>
        <w:t xml:space="preserve">including </w:t>
      </w:r>
      <w:r w:rsidR="00993FBF">
        <w:rPr>
          <w:sz w:val="24"/>
          <w:szCs w:val="24"/>
        </w:rPr>
        <w:t xml:space="preserve">both </w:t>
      </w:r>
      <w:r w:rsidR="009D4027">
        <w:rPr>
          <w:sz w:val="24"/>
          <w:szCs w:val="24"/>
        </w:rPr>
        <w:t>symptom</w:t>
      </w:r>
      <w:r w:rsidR="00993FBF">
        <w:rPr>
          <w:sz w:val="24"/>
          <w:szCs w:val="24"/>
        </w:rPr>
        <w:t xml:space="preserve"> codes and </w:t>
      </w:r>
      <w:r w:rsidR="009D4027">
        <w:rPr>
          <w:sz w:val="24"/>
          <w:szCs w:val="24"/>
        </w:rPr>
        <w:t xml:space="preserve">diagnoses such as </w:t>
      </w:r>
      <w:r w:rsidR="00C84F06" w:rsidRPr="00C84F06">
        <w:rPr>
          <w:sz w:val="24"/>
          <w:szCs w:val="24"/>
        </w:rPr>
        <w:t>generalised anxiety disorder, panic disorder, post-traumatic stress disorder</w:t>
      </w:r>
      <w:r w:rsidR="00C95E83">
        <w:rPr>
          <w:sz w:val="24"/>
          <w:szCs w:val="24"/>
        </w:rPr>
        <w:t xml:space="preserve"> and</w:t>
      </w:r>
      <w:r w:rsidR="00C84F06" w:rsidRPr="00C84F06">
        <w:rPr>
          <w:sz w:val="24"/>
          <w:szCs w:val="24"/>
        </w:rPr>
        <w:t xml:space="preserve"> obsessive compulsive disorder); </w:t>
      </w:r>
      <w:r w:rsidRPr="00490846">
        <w:rPr>
          <w:sz w:val="24"/>
          <w:szCs w:val="24"/>
        </w:rPr>
        <w:t>psychotic disorders</w:t>
      </w:r>
      <w:r w:rsidR="00C84F06" w:rsidRPr="00490846">
        <w:rPr>
          <w:sz w:val="24"/>
          <w:szCs w:val="24"/>
        </w:rPr>
        <w:t xml:space="preserve"> (</w:t>
      </w:r>
      <w:r w:rsidR="00993FBF">
        <w:rPr>
          <w:sz w:val="24"/>
          <w:szCs w:val="24"/>
        </w:rPr>
        <w:t>i</w:t>
      </w:r>
      <w:r w:rsidR="00C84F06" w:rsidRPr="00490846">
        <w:rPr>
          <w:sz w:val="24"/>
          <w:szCs w:val="24"/>
        </w:rPr>
        <w:t xml:space="preserve">ncluding </w:t>
      </w:r>
      <w:r w:rsidR="00993FBF">
        <w:rPr>
          <w:sz w:val="24"/>
          <w:szCs w:val="24"/>
        </w:rPr>
        <w:t xml:space="preserve">unspecified psychosis or diagnoses </w:t>
      </w:r>
      <w:r w:rsidR="00473704">
        <w:rPr>
          <w:sz w:val="24"/>
          <w:szCs w:val="24"/>
        </w:rPr>
        <w:t>such as</w:t>
      </w:r>
      <w:r w:rsidR="00993FBF">
        <w:rPr>
          <w:sz w:val="24"/>
          <w:szCs w:val="24"/>
        </w:rPr>
        <w:t xml:space="preserve"> </w:t>
      </w:r>
      <w:r w:rsidR="00C84F06" w:rsidRPr="00490846">
        <w:rPr>
          <w:sz w:val="24"/>
          <w:szCs w:val="24"/>
        </w:rPr>
        <w:t xml:space="preserve">schizophrenia); </w:t>
      </w:r>
      <w:r w:rsidRPr="00490846">
        <w:rPr>
          <w:sz w:val="24"/>
          <w:szCs w:val="24"/>
        </w:rPr>
        <w:t>bipolar disorde</w:t>
      </w:r>
      <w:r w:rsidR="007E0D79" w:rsidRPr="00490846">
        <w:rPr>
          <w:sz w:val="24"/>
          <w:szCs w:val="24"/>
        </w:rPr>
        <w:t>r; cognitive problems</w:t>
      </w:r>
      <w:r w:rsidR="00597136" w:rsidRPr="00490846">
        <w:rPr>
          <w:sz w:val="24"/>
          <w:szCs w:val="24"/>
        </w:rPr>
        <w:t xml:space="preserve"> (including </w:t>
      </w:r>
      <w:r w:rsidR="00DD76AF" w:rsidRPr="00490846">
        <w:rPr>
          <w:sz w:val="24"/>
          <w:szCs w:val="24"/>
        </w:rPr>
        <w:t xml:space="preserve">memory loss, aphasia, difficulty processing information, difficulty </w:t>
      </w:r>
      <w:r w:rsidR="00733DBE">
        <w:rPr>
          <w:sz w:val="24"/>
          <w:szCs w:val="24"/>
        </w:rPr>
        <w:t>reasoning</w:t>
      </w:r>
      <w:r w:rsidR="00C574B3">
        <w:rPr>
          <w:sz w:val="24"/>
          <w:szCs w:val="24"/>
        </w:rPr>
        <w:t xml:space="preserve">, difficulty </w:t>
      </w:r>
      <w:r w:rsidR="00733DBE">
        <w:rPr>
          <w:sz w:val="24"/>
          <w:szCs w:val="24"/>
        </w:rPr>
        <w:t>concentrating</w:t>
      </w:r>
      <w:r w:rsidR="00C95E83">
        <w:rPr>
          <w:sz w:val="24"/>
          <w:szCs w:val="24"/>
        </w:rPr>
        <w:t xml:space="preserve"> and</w:t>
      </w:r>
      <w:r w:rsidR="00733DBE">
        <w:rPr>
          <w:sz w:val="24"/>
          <w:szCs w:val="24"/>
        </w:rPr>
        <w:t xml:space="preserve"> </w:t>
      </w:r>
      <w:r w:rsidR="00DD76AF" w:rsidRPr="00490846">
        <w:rPr>
          <w:sz w:val="24"/>
          <w:szCs w:val="24"/>
        </w:rPr>
        <w:t>learning disability</w:t>
      </w:r>
      <w:r w:rsidR="00597136" w:rsidRPr="00490846">
        <w:rPr>
          <w:sz w:val="24"/>
          <w:szCs w:val="24"/>
        </w:rPr>
        <w:t>)</w:t>
      </w:r>
      <w:r w:rsidR="007E0D79" w:rsidRPr="00490846">
        <w:rPr>
          <w:sz w:val="24"/>
          <w:szCs w:val="24"/>
        </w:rPr>
        <w:t xml:space="preserve">; </w:t>
      </w:r>
      <w:r w:rsidRPr="00490846">
        <w:rPr>
          <w:sz w:val="24"/>
          <w:szCs w:val="24"/>
        </w:rPr>
        <w:t>dementia</w:t>
      </w:r>
      <w:r w:rsidR="00597136" w:rsidRPr="00490846">
        <w:rPr>
          <w:sz w:val="24"/>
          <w:szCs w:val="24"/>
        </w:rPr>
        <w:t xml:space="preserve"> (including </w:t>
      </w:r>
      <w:r w:rsidR="00490846" w:rsidRPr="00490846">
        <w:rPr>
          <w:sz w:val="24"/>
          <w:szCs w:val="24"/>
        </w:rPr>
        <w:t xml:space="preserve">diagnoses such as Alzheimer’s disease, </w:t>
      </w:r>
      <w:proofErr w:type="spellStart"/>
      <w:r w:rsidR="00490846" w:rsidRPr="00490846">
        <w:rPr>
          <w:sz w:val="24"/>
          <w:szCs w:val="24"/>
        </w:rPr>
        <w:t>presenile</w:t>
      </w:r>
      <w:proofErr w:type="spellEnd"/>
      <w:r w:rsidR="00490846" w:rsidRPr="00490846">
        <w:rPr>
          <w:sz w:val="24"/>
          <w:szCs w:val="24"/>
        </w:rPr>
        <w:t xml:space="preserve"> dementia, arteriosclerotic dementia</w:t>
      </w:r>
      <w:r w:rsidR="004E0244">
        <w:rPr>
          <w:sz w:val="24"/>
          <w:szCs w:val="24"/>
        </w:rPr>
        <w:t xml:space="preserve"> or dementia of unspecified type</w:t>
      </w:r>
      <w:r w:rsidR="00597136" w:rsidRPr="00490846">
        <w:rPr>
          <w:sz w:val="24"/>
          <w:szCs w:val="24"/>
        </w:rPr>
        <w:t>)</w:t>
      </w:r>
      <w:r w:rsidRPr="00490846">
        <w:rPr>
          <w:sz w:val="24"/>
          <w:szCs w:val="24"/>
        </w:rPr>
        <w:t xml:space="preserve">; headache; </w:t>
      </w:r>
      <w:r w:rsidR="00C84F06" w:rsidRPr="00490846">
        <w:rPr>
          <w:sz w:val="24"/>
          <w:szCs w:val="24"/>
        </w:rPr>
        <w:t xml:space="preserve">and </w:t>
      </w:r>
      <w:r w:rsidRPr="00490846">
        <w:rPr>
          <w:sz w:val="24"/>
          <w:szCs w:val="24"/>
        </w:rPr>
        <w:t>alcoh</w:t>
      </w:r>
      <w:r w:rsidRPr="00C84F06">
        <w:rPr>
          <w:sz w:val="24"/>
          <w:szCs w:val="24"/>
        </w:rPr>
        <w:t xml:space="preserve">ol </w:t>
      </w:r>
      <w:r w:rsidRPr="00441CE2">
        <w:rPr>
          <w:sz w:val="24"/>
          <w:szCs w:val="24"/>
        </w:rPr>
        <w:t>abuse</w:t>
      </w:r>
      <w:r w:rsidR="00597136" w:rsidRPr="00441CE2">
        <w:rPr>
          <w:sz w:val="24"/>
          <w:szCs w:val="24"/>
        </w:rPr>
        <w:t xml:space="preserve"> (including</w:t>
      </w:r>
      <w:r w:rsidR="0047551E" w:rsidRPr="00441CE2">
        <w:rPr>
          <w:sz w:val="24"/>
          <w:szCs w:val="24"/>
        </w:rPr>
        <w:t xml:space="preserve"> alcoholism</w:t>
      </w:r>
      <w:r w:rsidR="00441CE2">
        <w:rPr>
          <w:sz w:val="24"/>
          <w:szCs w:val="24"/>
        </w:rPr>
        <w:t xml:space="preserve"> and alcohol misuse</w:t>
      </w:r>
      <w:r w:rsidR="00597136">
        <w:rPr>
          <w:sz w:val="24"/>
          <w:szCs w:val="24"/>
        </w:rPr>
        <w:t>)</w:t>
      </w:r>
      <w:r w:rsidRPr="00C84F06">
        <w:rPr>
          <w:sz w:val="24"/>
          <w:szCs w:val="24"/>
        </w:rPr>
        <w:t xml:space="preserve">. </w:t>
      </w:r>
    </w:p>
    <w:p w14:paraId="6B3C2D58" w14:textId="77777777" w:rsidR="00C84F06" w:rsidRDefault="00C84F06" w:rsidP="00560322">
      <w:pPr>
        <w:spacing w:after="0" w:line="360" w:lineRule="auto"/>
        <w:rPr>
          <w:sz w:val="24"/>
          <w:szCs w:val="24"/>
        </w:rPr>
      </w:pPr>
    </w:p>
    <w:p w14:paraId="7EA48413" w14:textId="3A970D79" w:rsidR="00DC5769" w:rsidRDefault="00560322" w:rsidP="00560322">
      <w:pPr>
        <w:spacing w:after="0" w:line="360" w:lineRule="auto"/>
        <w:rPr>
          <w:sz w:val="24"/>
          <w:szCs w:val="24"/>
        </w:rPr>
      </w:pPr>
      <w:r w:rsidRPr="007B5F38">
        <w:rPr>
          <w:sz w:val="24"/>
          <w:szCs w:val="24"/>
        </w:rPr>
        <w:lastRenderedPageBreak/>
        <w:t xml:space="preserve">Code lists for each outcome were </w:t>
      </w:r>
      <w:r w:rsidR="008E7560">
        <w:rPr>
          <w:sz w:val="24"/>
          <w:szCs w:val="24"/>
        </w:rPr>
        <w:t>developed</w:t>
      </w:r>
      <w:r w:rsidR="00F509FD" w:rsidRPr="007B5F38">
        <w:rPr>
          <w:sz w:val="24"/>
          <w:szCs w:val="24"/>
        </w:rPr>
        <w:t xml:space="preserve"> </w:t>
      </w:r>
      <w:r w:rsidR="00355783">
        <w:rPr>
          <w:sz w:val="24"/>
          <w:szCs w:val="24"/>
        </w:rPr>
        <w:t>by the study authors (</w:t>
      </w:r>
      <w:r w:rsidR="00D93AD4">
        <w:rPr>
          <w:sz w:val="24"/>
          <w:szCs w:val="24"/>
        </w:rPr>
        <w:t>ND, PR</w:t>
      </w:r>
      <w:r w:rsidR="00355783">
        <w:rPr>
          <w:sz w:val="24"/>
          <w:szCs w:val="24"/>
        </w:rPr>
        <w:t xml:space="preserve">, ST and JG) </w:t>
      </w:r>
      <w:r w:rsidR="00DC5769">
        <w:rPr>
          <w:sz w:val="24"/>
          <w:szCs w:val="24"/>
        </w:rPr>
        <w:t>using Read codes</w:t>
      </w:r>
      <w:r w:rsidR="00355783">
        <w:rPr>
          <w:sz w:val="24"/>
          <w:szCs w:val="24"/>
        </w:rPr>
        <w:t xml:space="preserve"> and (for </w:t>
      </w:r>
      <w:r w:rsidR="00420FE7">
        <w:rPr>
          <w:sz w:val="24"/>
          <w:szCs w:val="24"/>
        </w:rPr>
        <w:t>epilepsy</w:t>
      </w:r>
      <w:r w:rsidR="00355783">
        <w:rPr>
          <w:sz w:val="24"/>
          <w:szCs w:val="24"/>
        </w:rPr>
        <w:t>) using prescription codes</w:t>
      </w:r>
      <w:r w:rsidR="00824C4C">
        <w:rPr>
          <w:sz w:val="24"/>
          <w:szCs w:val="24"/>
        </w:rPr>
        <w:t xml:space="preserve"> </w:t>
      </w:r>
      <w:r w:rsidR="007B544E">
        <w:rPr>
          <w:sz w:val="24"/>
          <w:szCs w:val="24"/>
        </w:rPr>
        <w:t>use</w:t>
      </w:r>
      <w:r w:rsidR="00D913EF">
        <w:rPr>
          <w:sz w:val="24"/>
          <w:szCs w:val="24"/>
        </w:rPr>
        <w:t>d</w:t>
      </w:r>
      <w:r w:rsidR="007B544E">
        <w:rPr>
          <w:sz w:val="24"/>
          <w:szCs w:val="24"/>
        </w:rPr>
        <w:t xml:space="preserve"> </w:t>
      </w:r>
      <w:r w:rsidR="00824C4C">
        <w:rPr>
          <w:sz w:val="24"/>
          <w:szCs w:val="24"/>
        </w:rPr>
        <w:t>in the CPRD data</w:t>
      </w:r>
      <w:r w:rsidR="009F5D37">
        <w:rPr>
          <w:sz w:val="24"/>
          <w:szCs w:val="24"/>
        </w:rPr>
        <w:t>.</w:t>
      </w:r>
      <w:r w:rsidRPr="007B5F38">
        <w:rPr>
          <w:sz w:val="24"/>
          <w:szCs w:val="24"/>
        </w:rPr>
        <w:t xml:space="preserve"> </w:t>
      </w:r>
      <w:r w:rsidR="00DC5769">
        <w:rPr>
          <w:sz w:val="24"/>
          <w:szCs w:val="24"/>
        </w:rPr>
        <w:t>Code lists for epilepsy, bipolar affective disorder, psychotic disorders and dementia were</w:t>
      </w:r>
      <w:r w:rsidR="00F6747C">
        <w:rPr>
          <w:sz w:val="24"/>
          <w:szCs w:val="24"/>
        </w:rPr>
        <w:t xml:space="preserve"> also developed using ICD-10 </w:t>
      </w:r>
      <w:r w:rsidR="00824C4C">
        <w:rPr>
          <w:sz w:val="24"/>
          <w:szCs w:val="24"/>
        </w:rPr>
        <w:t xml:space="preserve">for </w:t>
      </w:r>
      <w:r w:rsidR="007B544E">
        <w:rPr>
          <w:sz w:val="24"/>
          <w:szCs w:val="24"/>
        </w:rPr>
        <w:t xml:space="preserve">use in </w:t>
      </w:r>
      <w:r w:rsidR="00824C4C">
        <w:rPr>
          <w:sz w:val="24"/>
          <w:szCs w:val="24"/>
        </w:rPr>
        <w:t>the HES data</w:t>
      </w:r>
      <w:r w:rsidR="00683929">
        <w:rPr>
          <w:sz w:val="24"/>
          <w:szCs w:val="24"/>
        </w:rPr>
        <w:t>,</w:t>
      </w:r>
      <w:r w:rsidR="00824C4C">
        <w:rPr>
          <w:sz w:val="24"/>
          <w:szCs w:val="24"/>
        </w:rPr>
        <w:t xml:space="preserve"> </w:t>
      </w:r>
      <w:r w:rsidR="00E7739D">
        <w:rPr>
          <w:sz w:val="24"/>
          <w:szCs w:val="24"/>
        </w:rPr>
        <w:t>as patients with these condi</w:t>
      </w:r>
      <w:r w:rsidR="00E7739D" w:rsidRPr="00F639DC">
        <w:rPr>
          <w:sz w:val="24"/>
          <w:szCs w:val="24"/>
        </w:rPr>
        <w:t xml:space="preserve">tions </w:t>
      </w:r>
      <w:r w:rsidR="00AA33E8" w:rsidRPr="00F639DC">
        <w:rPr>
          <w:sz w:val="24"/>
          <w:szCs w:val="24"/>
        </w:rPr>
        <w:t xml:space="preserve">were considered </w:t>
      </w:r>
      <w:r w:rsidR="00987F61">
        <w:rPr>
          <w:sz w:val="24"/>
          <w:szCs w:val="24"/>
        </w:rPr>
        <w:t>also</w:t>
      </w:r>
      <w:r w:rsidR="00AE031E" w:rsidRPr="00F639DC">
        <w:rPr>
          <w:sz w:val="24"/>
          <w:szCs w:val="24"/>
        </w:rPr>
        <w:t xml:space="preserve"> </w:t>
      </w:r>
      <w:r w:rsidR="00E7739D" w:rsidRPr="00F639DC">
        <w:rPr>
          <w:sz w:val="24"/>
          <w:szCs w:val="24"/>
        </w:rPr>
        <w:t xml:space="preserve">likely to </w:t>
      </w:r>
      <w:r w:rsidR="00AA33E8" w:rsidRPr="00F639DC">
        <w:rPr>
          <w:sz w:val="24"/>
          <w:szCs w:val="24"/>
        </w:rPr>
        <w:t xml:space="preserve">be admitted to </w:t>
      </w:r>
      <w:r w:rsidR="00E7739D" w:rsidRPr="00F639DC">
        <w:rPr>
          <w:sz w:val="24"/>
          <w:szCs w:val="24"/>
        </w:rPr>
        <w:t>hospital</w:t>
      </w:r>
      <w:r w:rsidR="00F6747C" w:rsidRPr="00F639DC">
        <w:rPr>
          <w:sz w:val="24"/>
          <w:szCs w:val="24"/>
        </w:rPr>
        <w:t xml:space="preserve">. </w:t>
      </w:r>
      <w:r w:rsidR="00670529" w:rsidRPr="00F639DC">
        <w:rPr>
          <w:rFonts w:eastAsia="Times New Roman" w:cs="Segoe UI"/>
          <w:sz w:val="24"/>
          <w:szCs w:val="24"/>
        </w:rPr>
        <w:t xml:space="preserve">All code </w:t>
      </w:r>
      <w:r w:rsidR="00670529">
        <w:rPr>
          <w:rFonts w:eastAsia="Times New Roman" w:cs="Segoe UI"/>
          <w:sz w:val="24"/>
          <w:szCs w:val="24"/>
        </w:rPr>
        <w:t>lists are available from the study authors.</w:t>
      </w:r>
    </w:p>
    <w:p w14:paraId="086BB787" w14:textId="77777777" w:rsidR="00F509FD" w:rsidRPr="007B5F38" w:rsidRDefault="00F509FD" w:rsidP="00560322">
      <w:pPr>
        <w:spacing w:after="0" w:line="360" w:lineRule="auto"/>
        <w:rPr>
          <w:sz w:val="24"/>
          <w:szCs w:val="24"/>
        </w:rPr>
      </w:pPr>
    </w:p>
    <w:p w14:paraId="276C7BCE" w14:textId="64687C41" w:rsidR="00407F6C" w:rsidRDefault="00BD0FC9" w:rsidP="0010122F">
      <w:pPr>
        <w:spacing w:after="0" w:line="360" w:lineRule="auto"/>
        <w:rPr>
          <w:rFonts w:cs="Calibri"/>
          <w:sz w:val="24"/>
        </w:rPr>
      </w:pPr>
      <w:r>
        <w:rPr>
          <w:sz w:val="24"/>
          <w:szCs w:val="24"/>
        </w:rPr>
        <w:t>To identify incident cases of the outcomes, a series of</w:t>
      </w:r>
      <w:r w:rsidR="00292A04" w:rsidRPr="007B5F38">
        <w:rPr>
          <w:sz w:val="24"/>
          <w:szCs w:val="24"/>
        </w:rPr>
        <w:t xml:space="preserve"> rules</w:t>
      </w:r>
      <w:r w:rsidR="00265BEA">
        <w:rPr>
          <w:sz w:val="24"/>
          <w:szCs w:val="24"/>
        </w:rPr>
        <w:t xml:space="preserve"> were applied</w:t>
      </w:r>
      <w:r w:rsidR="00532D2D">
        <w:rPr>
          <w:sz w:val="24"/>
          <w:szCs w:val="24"/>
        </w:rPr>
        <w:t xml:space="preserve">, taking into account whether conditions were potentially recurrent and whether they could also be presenting symptoms of </w:t>
      </w:r>
      <w:r w:rsidR="00532D2D" w:rsidRPr="00AE2284">
        <w:rPr>
          <w:sz w:val="24"/>
          <w:szCs w:val="24"/>
        </w:rPr>
        <w:t>the encephalitis episode itself.</w:t>
      </w:r>
      <w:r w:rsidRPr="00AE2284">
        <w:rPr>
          <w:sz w:val="24"/>
          <w:szCs w:val="24"/>
        </w:rPr>
        <w:t xml:space="preserve">  </w:t>
      </w:r>
      <w:r w:rsidR="00AA33E8" w:rsidRPr="00AE2284">
        <w:rPr>
          <w:sz w:val="24"/>
        </w:rPr>
        <w:t>For bipolar disorder, dementia and alcohol abuse, t</w:t>
      </w:r>
      <w:r w:rsidR="00175DE0" w:rsidRPr="00AE2284">
        <w:rPr>
          <w:sz w:val="24"/>
        </w:rPr>
        <w:t xml:space="preserve">he </w:t>
      </w:r>
      <w:r w:rsidR="0010122F" w:rsidRPr="00AE2284">
        <w:rPr>
          <w:sz w:val="24"/>
        </w:rPr>
        <w:t>first-</w:t>
      </w:r>
      <w:r w:rsidR="0013193B" w:rsidRPr="00AE2284">
        <w:rPr>
          <w:sz w:val="24"/>
        </w:rPr>
        <w:t xml:space="preserve">ever </w:t>
      </w:r>
      <w:r w:rsidR="00836BD9" w:rsidRPr="00AE2284">
        <w:rPr>
          <w:sz w:val="24"/>
        </w:rPr>
        <w:t xml:space="preserve">code </w:t>
      </w:r>
      <w:r w:rsidR="00CF0A06" w:rsidRPr="00AE2284">
        <w:rPr>
          <w:sz w:val="24"/>
        </w:rPr>
        <w:t>had to occur</w:t>
      </w:r>
      <w:r w:rsidR="00836BD9" w:rsidRPr="00AE2284">
        <w:rPr>
          <w:sz w:val="24"/>
        </w:rPr>
        <w:t xml:space="preserve"> after the </w:t>
      </w:r>
      <w:r w:rsidR="00E0696B" w:rsidRPr="00AE2284">
        <w:rPr>
          <w:sz w:val="24"/>
        </w:rPr>
        <w:t>index date</w:t>
      </w:r>
      <w:r w:rsidR="000F41E4" w:rsidRPr="00AE2284">
        <w:rPr>
          <w:sz w:val="24"/>
        </w:rPr>
        <w:t xml:space="preserve">. </w:t>
      </w:r>
      <w:r w:rsidR="00AA33E8" w:rsidRPr="00AE2284">
        <w:rPr>
          <w:sz w:val="24"/>
        </w:rPr>
        <w:t>For cognitive problems and psychotic disorders</w:t>
      </w:r>
      <w:r w:rsidR="00C11038" w:rsidRPr="00AE2284">
        <w:rPr>
          <w:sz w:val="24"/>
        </w:rPr>
        <w:t>,</w:t>
      </w:r>
      <w:r w:rsidR="00AA33E8" w:rsidRPr="00AE2284">
        <w:rPr>
          <w:sz w:val="24"/>
        </w:rPr>
        <w:t xml:space="preserve"> t</w:t>
      </w:r>
      <w:r w:rsidR="00175DE0" w:rsidRPr="00AE2284">
        <w:rPr>
          <w:sz w:val="24"/>
        </w:rPr>
        <w:t>he</w:t>
      </w:r>
      <w:r w:rsidR="0010122F" w:rsidRPr="00AE2284">
        <w:rPr>
          <w:sz w:val="24"/>
        </w:rPr>
        <w:t xml:space="preserve"> first-</w:t>
      </w:r>
      <w:r w:rsidR="0013193B" w:rsidRPr="00AE2284">
        <w:rPr>
          <w:sz w:val="24"/>
        </w:rPr>
        <w:t xml:space="preserve">ever </w:t>
      </w:r>
      <w:r w:rsidR="004906D9" w:rsidRPr="00AE2284">
        <w:rPr>
          <w:sz w:val="24"/>
        </w:rPr>
        <w:t xml:space="preserve">code </w:t>
      </w:r>
      <w:r w:rsidR="00C11038" w:rsidRPr="00AE2284">
        <w:rPr>
          <w:sz w:val="24"/>
        </w:rPr>
        <w:t>had to occur ≥1 month after the index date, to allow differentiation between sequelae and presenting illness (as patients with encephalitis can present with psychosis</w:t>
      </w:r>
      <w:r w:rsidR="00B84F51">
        <w:rPr>
          <w:sz w:val="24"/>
        </w:rPr>
        <w:t xml:space="preserve"> or </w:t>
      </w:r>
      <w:r w:rsidR="001A2C92">
        <w:rPr>
          <w:sz w:val="24"/>
        </w:rPr>
        <w:t>impaired cognition</w:t>
      </w:r>
      <w:r w:rsidR="00C11038" w:rsidRPr="00AE2284">
        <w:rPr>
          <w:sz w:val="24"/>
        </w:rPr>
        <w:t xml:space="preserve">). </w:t>
      </w:r>
      <w:r w:rsidR="00460CA7" w:rsidRPr="00CC7FF2">
        <w:rPr>
          <w:sz w:val="24"/>
        </w:rPr>
        <w:t>For more common, recurrent conditions (</w:t>
      </w:r>
      <w:r w:rsidR="00523554" w:rsidRPr="00CC7FF2">
        <w:rPr>
          <w:sz w:val="24"/>
        </w:rPr>
        <w:t>depression</w:t>
      </w:r>
      <w:r w:rsidR="00460CA7" w:rsidRPr="00CC7FF2">
        <w:rPr>
          <w:sz w:val="24"/>
        </w:rPr>
        <w:t xml:space="preserve"> and </w:t>
      </w:r>
      <w:r w:rsidR="00523554" w:rsidRPr="00CC7FF2">
        <w:rPr>
          <w:sz w:val="24"/>
        </w:rPr>
        <w:t>anxiety</w:t>
      </w:r>
      <w:r w:rsidR="00460CA7" w:rsidRPr="00CC7FF2">
        <w:rPr>
          <w:sz w:val="24"/>
        </w:rPr>
        <w:t xml:space="preserve"> disorders)</w:t>
      </w:r>
      <w:r w:rsidR="007E0EFA">
        <w:rPr>
          <w:sz w:val="24"/>
        </w:rPr>
        <w:t>,</w:t>
      </w:r>
      <w:r w:rsidR="00460CA7" w:rsidRPr="00CC7FF2">
        <w:rPr>
          <w:sz w:val="24"/>
        </w:rPr>
        <w:t xml:space="preserve"> </w:t>
      </w:r>
      <w:r w:rsidRPr="00CC7FF2">
        <w:rPr>
          <w:sz w:val="24"/>
        </w:rPr>
        <w:t>the</w:t>
      </w:r>
      <w:r w:rsidR="00523554" w:rsidRPr="00CC7FF2">
        <w:rPr>
          <w:sz w:val="24"/>
        </w:rPr>
        <w:t xml:space="preserve"> </w:t>
      </w:r>
      <w:r w:rsidR="00B559FE" w:rsidRPr="00CC7FF2">
        <w:rPr>
          <w:sz w:val="24"/>
        </w:rPr>
        <w:t xml:space="preserve">code </w:t>
      </w:r>
      <w:r w:rsidR="00A23A33" w:rsidRPr="00CC7FF2">
        <w:rPr>
          <w:sz w:val="24"/>
        </w:rPr>
        <w:t xml:space="preserve">had to occur </w:t>
      </w:r>
      <w:r w:rsidR="00B559FE" w:rsidRPr="00CC7FF2">
        <w:rPr>
          <w:sz w:val="24"/>
        </w:rPr>
        <w:t xml:space="preserve">after the </w:t>
      </w:r>
      <w:r w:rsidR="001F750F" w:rsidRPr="00CC7FF2">
        <w:rPr>
          <w:sz w:val="24"/>
        </w:rPr>
        <w:t xml:space="preserve">index date </w:t>
      </w:r>
      <w:r w:rsidR="00460CA7" w:rsidRPr="00CC7FF2">
        <w:rPr>
          <w:sz w:val="24"/>
        </w:rPr>
        <w:t>with</w:t>
      </w:r>
      <w:r w:rsidR="00B559FE" w:rsidRPr="00CC7FF2">
        <w:rPr>
          <w:sz w:val="24"/>
        </w:rPr>
        <w:t xml:space="preserve"> no</w:t>
      </w:r>
      <w:r w:rsidR="001A5526" w:rsidRPr="00CC7FF2">
        <w:rPr>
          <w:sz w:val="24"/>
        </w:rPr>
        <w:t xml:space="preserve"> </w:t>
      </w:r>
      <w:r w:rsidR="00B559FE" w:rsidRPr="00CC7FF2">
        <w:rPr>
          <w:sz w:val="24"/>
        </w:rPr>
        <w:t xml:space="preserve">other </w:t>
      </w:r>
      <w:r w:rsidR="00B559FE" w:rsidRPr="0027630C">
        <w:rPr>
          <w:sz w:val="24"/>
        </w:rPr>
        <w:t xml:space="preserve">codes in the year prior to the </w:t>
      </w:r>
      <w:r w:rsidR="001F750F" w:rsidRPr="0027630C">
        <w:rPr>
          <w:sz w:val="24"/>
        </w:rPr>
        <w:t>index date</w:t>
      </w:r>
      <w:r w:rsidR="00E300CA">
        <w:rPr>
          <w:sz w:val="24"/>
        </w:rPr>
        <w:t>,</w:t>
      </w:r>
      <w:r w:rsidR="003B0F59" w:rsidRPr="003B0F59">
        <w:rPr>
          <w:sz w:val="24"/>
        </w:rPr>
        <w:t xml:space="preserve"> </w:t>
      </w:r>
      <w:r w:rsidR="003B0F59">
        <w:rPr>
          <w:sz w:val="24"/>
        </w:rPr>
        <w:t xml:space="preserve">in order to separate individuals </w:t>
      </w:r>
      <w:r w:rsidR="00E300CA">
        <w:rPr>
          <w:sz w:val="24"/>
        </w:rPr>
        <w:t xml:space="preserve">with a “true” relapse or new diagnosis as a result of the encephalitis from those </w:t>
      </w:r>
      <w:r w:rsidR="003B0F59">
        <w:rPr>
          <w:sz w:val="24"/>
        </w:rPr>
        <w:t>with on</w:t>
      </w:r>
      <w:r w:rsidR="00E300CA">
        <w:rPr>
          <w:sz w:val="24"/>
        </w:rPr>
        <w:t>-</w:t>
      </w:r>
      <w:r w:rsidR="003B0F59">
        <w:rPr>
          <w:sz w:val="24"/>
        </w:rPr>
        <w:t>going depression</w:t>
      </w:r>
      <w:r w:rsidR="00F57CB2">
        <w:rPr>
          <w:sz w:val="24"/>
        </w:rPr>
        <w:t>/anxiety</w:t>
      </w:r>
      <w:r w:rsidR="00536570" w:rsidRPr="0027630C">
        <w:rPr>
          <w:sz w:val="24"/>
        </w:rPr>
        <w:t>.</w:t>
      </w:r>
      <w:r w:rsidRPr="0027630C">
        <w:rPr>
          <w:sz w:val="24"/>
        </w:rPr>
        <w:t xml:space="preserve"> </w:t>
      </w:r>
      <w:r w:rsidR="00B917BD" w:rsidRPr="0027630C">
        <w:rPr>
          <w:sz w:val="24"/>
        </w:rPr>
        <w:t>For headache (which could also be a presenting symptom of the encephalitis episode), a</w:t>
      </w:r>
      <w:r w:rsidR="00B917BD" w:rsidRPr="0027630C">
        <w:rPr>
          <w:rFonts w:cs="Calibri"/>
          <w:sz w:val="24"/>
        </w:rPr>
        <w:t xml:space="preserve"> diagnostic</w:t>
      </w:r>
      <w:r w:rsidR="007F4467" w:rsidRPr="0027630C">
        <w:rPr>
          <w:rFonts w:cs="Calibri"/>
          <w:sz w:val="24"/>
        </w:rPr>
        <w:t xml:space="preserve"> code </w:t>
      </w:r>
      <w:r w:rsidR="005E268F" w:rsidRPr="0027630C">
        <w:rPr>
          <w:rFonts w:cs="Calibri"/>
          <w:sz w:val="24"/>
        </w:rPr>
        <w:t xml:space="preserve">had to </w:t>
      </w:r>
      <w:r w:rsidR="007F4467" w:rsidRPr="0027630C">
        <w:rPr>
          <w:rFonts w:cs="Calibri"/>
          <w:sz w:val="24"/>
        </w:rPr>
        <w:t xml:space="preserve">occur </w:t>
      </w:r>
      <w:r w:rsidR="007F4467" w:rsidRPr="0027630C">
        <w:rPr>
          <w:sz w:val="24"/>
        </w:rPr>
        <w:t xml:space="preserve">≥1 month </w:t>
      </w:r>
      <w:r w:rsidR="007F4467" w:rsidRPr="0027630C">
        <w:rPr>
          <w:rFonts w:cs="Calibri"/>
          <w:sz w:val="24"/>
        </w:rPr>
        <w:t xml:space="preserve">after the </w:t>
      </w:r>
      <w:r w:rsidR="001F750F" w:rsidRPr="0027630C">
        <w:rPr>
          <w:sz w:val="24"/>
        </w:rPr>
        <w:t xml:space="preserve">index date </w:t>
      </w:r>
      <w:r w:rsidR="00B917BD" w:rsidRPr="0027630C">
        <w:rPr>
          <w:rFonts w:cs="Calibri"/>
          <w:sz w:val="24"/>
        </w:rPr>
        <w:t>with</w:t>
      </w:r>
      <w:r w:rsidR="007F4467" w:rsidRPr="0027630C">
        <w:rPr>
          <w:rFonts w:cs="Calibri"/>
          <w:sz w:val="24"/>
        </w:rPr>
        <w:t xml:space="preserve"> no code </w:t>
      </w:r>
      <w:r w:rsidR="00BB3D0B" w:rsidRPr="0027630C">
        <w:rPr>
          <w:rFonts w:cs="Calibri"/>
          <w:sz w:val="24"/>
        </w:rPr>
        <w:t>occur</w:t>
      </w:r>
      <w:r w:rsidR="007B01FD" w:rsidRPr="0027630C">
        <w:rPr>
          <w:rFonts w:cs="Calibri"/>
          <w:sz w:val="24"/>
        </w:rPr>
        <w:t>ring</w:t>
      </w:r>
      <w:r w:rsidR="00BB3D0B" w:rsidRPr="0027630C">
        <w:rPr>
          <w:rFonts w:cs="Calibri"/>
          <w:sz w:val="24"/>
        </w:rPr>
        <w:t xml:space="preserve"> </w:t>
      </w:r>
      <w:r w:rsidR="007F4467" w:rsidRPr="0027630C">
        <w:rPr>
          <w:rFonts w:cs="Calibri"/>
          <w:sz w:val="24"/>
        </w:rPr>
        <w:t>between 1 month an</w:t>
      </w:r>
      <w:r w:rsidR="002D2F24" w:rsidRPr="0027630C">
        <w:rPr>
          <w:rFonts w:cs="Calibri"/>
          <w:sz w:val="24"/>
        </w:rPr>
        <w:t xml:space="preserve">d 1 year before the </w:t>
      </w:r>
      <w:r w:rsidR="001F750F" w:rsidRPr="0027630C">
        <w:rPr>
          <w:sz w:val="24"/>
        </w:rPr>
        <w:t>index date</w:t>
      </w:r>
      <w:r w:rsidR="007F4467" w:rsidRPr="0027630C">
        <w:rPr>
          <w:rFonts w:cs="Calibri"/>
          <w:sz w:val="24"/>
        </w:rPr>
        <w:t>.</w:t>
      </w:r>
      <w:r w:rsidR="00B84F51" w:rsidRPr="0027630C">
        <w:rPr>
          <w:sz w:val="24"/>
        </w:rPr>
        <w:t xml:space="preserve"> Similarly, for epilepsy (given seizures </w:t>
      </w:r>
      <w:r w:rsidR="00811B7B">
        <w:rPr>
          <w:sz w:val="24"/>
        </w:rPr>
        <w:t>are</w:t>
      </w:r>
      <w:r w:rsidR="00B84F51" w:rsidRPr="0027630C">
        <w:rPr>
          <w:sz w:val="24"/>
        </w:rPr>
        <w:t xml:space="preserve"> a common presenting feature of encephalitis patients), </w:t>
      </w:r>
      <w:r w:rsidR="0027630C" w:rsidRPr="0027630C">
        <w:rPr>
          <w:sz w:val="24"/>
        </w:rPr>
        <w:t xml:space="preserve">a diagnostic code had to occur ≥1 month </w:t>
      </w:r>
      <w:r w:rsidR="0027630C" w:rsidRPr="0027630C">
        <w:rPr>
          <w:rFonts w:cs="Calibri"/>
          <w:sz w:val="24"/>
        </w:rPr>
        <w:t xml:space="preserve">after the </w:t>
      </w:r>
      <w:r w:rsidR="0027630C" w:rsidRPr="0027630C">
        <w:rPr>
          <w:sz w:val="24"/>
        </w:rPr>
        <w:t xml:space="preserve">index date </w:t>
      </w:r>
      <w:r w:rsidR="0027630C" w:rsidRPr="0027630C">
        <w:rPr>
          <w:rFonts w:cs="Calibri"/>
          <w:sz w:val="24"/>
        </w:rPr>
        <w:t xml:space="preserve">with no code occurring &gt;1 month before the index date; </w:t>
      </w:r>
      <w:r w:rsidR="00B84F51" w:rsidRPr="0027630C">
        <w:rPr>
          <w:rFonts w:cs="Calibri"/>
          <w:sz w:val="24"/>
        </w:rPr>
        <w:t>a prescription for an anti-</w:t>
      </w:r>
      <w:proofErr w:type="spellStart"/>
      <w:r w:rsidR="00B84F51" w:rsidRPr="0027630C">
        <w:rPr>
          <w:rFonts w:cs="Calibri"/>
          <w:sz w:val="24"/>
        </w:rPr>
        <w:t>convulsant</w:t>
      </w:r>
      <w:proofErr w:type="spellEnd"/>
      <w:r w:rsidR="00B84F51" w:rsidRPr="0027630C">
        <w:rPr>
          <w:rFonts w:cs="Calibri"/>
          <w:sz w:val="24"/>
        </w:rPr>
        <w:t xml:space="preserve"> in the post-index date period was also required. </w:t>
      </w:r>
      <w:r w:rsidR="00656D5B">
        <w:rPr>
          <w:sz w:val="24"/>
          <w:szCs w:val="24"/>
        </w:rPr>
        <w:t xml:space="preserve">Unlike epilepsy, we did not use prescription </w:t>
      </w:r>
      <w:r w:rsidR="00656D5B" w:rsidRPr="000540E0">
        <w:rPr>
          <w:sz w:val="24"/>
          <w:szCs w:val="24"/>
        </w:rPr>
        <w:t xml:space="preserve">codes </w:t>
      </w:r>
      <w:r w:rsidR="00656D5B">
        <w:rPr>
          <w:sz w:val="24"/>
          <w:szCs w:val="24"/>
        </w:rPr>
        <w:t>in addition to a depression code as a necessary component of our depression definition, as</w:t>
      </w:r>
      <w:r w:rsidR="00736649">
        <w:rPr>
          <w:sz w:val="24"/>
          <w:szCs w:val="24"/>
        </w:rPr>
        <w:t xml:space="preserve"> antidepressants are often prescribed inappropriately in subthreshold or non-depression conditions and </w:t>
      </w:r>
      <w:r w:rsidR="00AA0D24">
        <w:rPr>
          <w:sz w:val="24"/>
          <w:szCs w:val="24"/>
        </w:rPr>
        <w:t>not recommended</w:t>
      </w:r>
      <w:r w:rsidR="00656D5B">
        <w:rPr>
          <w:sz w:val="24"/>
          <w:szCs w:val="24"/>
        </w:rPr>
        <w:t xml:space="preserve"> </w:t>
      </w:r>
      <w:r w:rsidR="00656D5B" w:rsidRPr="000540E0">
        <w:rPr>
          <w:sz w:val="24"/>
          <w:szCs w:val="24"/>
        </w:rPr>
        <w:t>for</w:t>
      </w:r>
      <w:r w:rsidR="00AA0D24">
        <w:rPr>
          <w:sz w:val="24"/>
          <w:szCs w:val="24"/>
        </w:rPr>
        <w:t xml:space="preserve"> the treatment of</w:t>
      </w:r>
      <w:r w:rsidR="00656D5B" w:rsidRPr="000540E0">
        <w:rPr>
          <w:sz w:val="24"/>
          <w:szCs w:val="24"/>
        </w:rPr>
        <w:t xml:space="preserve"> mild </w:t>
      </w:r>
      <w:r w:rsidR="00FC41DB">
        <w:rPr>
          <w:sz w:val="24"/>
          <w:szCs w:val="24"/>
        </w:rPr>
        <w:t>depression</w:t>
      </w:r>
      <w:proofErr w:type="gramStart"/>
      <w:r w:rsidR="00656D5B" w:rsidRPr="005403F1">
        <w:rPr>
          <w:sz w:val="24"/>
          <w:szCs w:val="24"/>
        </w:rPr>
        <w:t>.</w:t>
      </w:r>
      <w:r w:rsidR="00971B61">
        <w:rPr>
          <w:sz w:val="24"/>
          <w:szCs w:val="24"/>
        </w:rPr>
        <w:t>[</w:t>
      </w:r>
      <w:proofErr w:type="gramEnd"/>
      <w:r w:rsidR="00971B61">
        <w:rPr>
          <w:sz w:val="24"/>
          <w:szCs w:val="24"/>
        </w:rPr>
        <w:t>15-16]</w:t>
      </w:r>
    </w:p>
    <w:p w14:paraId="07D64570" w14:textId="77777777" w:rsidR="00756FFC" w:rsidRPr="007B5F38" w:rsidRDefault="00756FFC" w:rsidP="00560322">
      <w:pPr>
        <w:spacing w:after="0" w:line="360" w:lineRule="auto"/>
        <w:rPr>
          <w:rFonts w:eastAsia="Times New Roman" w:cs="Calibri"/>
          <w:sz w:val="24"/>
          <w:szCs w:val="24"/>
        </w:rPr>
      </w:pPr>
    </w:p>
    <w:p w14:paraId="4232849F" w14:textId="77777777" w:rsidR="00406E95" w:rsidRPr="005D345B" w:rsidRDefault="00406E95" w:rsidP="006A4885">
      <w:pPr>
        <w:spacing w:after="0" w:line="360" w:lineRule="auto"/>
        <w:outlineLvl w:val="0"/>
        <w:rPr>
          <w:b/>
          <w:sz w:val="24"/>
          <w:szCs w:val="24"/>
        </w:rPr>
      </w:pPr>
      <w:r w:rsidRPr="005D345B">
        <w:rPr>
          <w:b/>
          <w:sz w:val="24"/>
          <w:szCs w:val="24"/>
        </w:rPr>
        <w:t>Data analysis</w:t>
      </w:r>
    </w:p>
    <w:p w14:paraId="2716A4AD" w14:textId="6176D9E8" w:rsidR="003A4B12" w:rsidRDefault="00AB3EB9" w:rsidP="0049348B">
      <w:pPr>
        <w:spacing w:after="0" w:line="360" w:lineRule="auto"/>
        <w:rPr>
          <w:sz w:val="24"/>
          <w:szCs w:val="24"/>
        </w:rPr>
      </w:pPr>
      <w:r>
        <w:rPr>
          <w:sz w:val="24"/>
          <w:szCs w:val="24"/>
        </w:rPr>
        <w:t xml:space="preserve">The start of follow </w:t>
      </w:r>
      <w:r w:rsidR="00FE75D6">
        <w:rPr>
          <w:sz w:val="24"/>
          <w:szCs w:val="24"/>
        </w:rPr>
        <w:t>up for each patient was their index date</w:t>
      </w:r>
      <w:r w:rsidR="00FE75D6" w:rsidRPr="00B31D31">
        <w:rPr>
          <w:sz w:val="24"/>
          <w:szCs w:val="24"/>
        </w:rPr>
        <w:t xml:space="preserve">. End of </w:t>
      </w:r>
      <w:r>
        <w:rPr>
          <w:sz w:val="24"/>
          <w:szCs w:val="24"/>
        </w:rPr>
        <w:t xml:space="preserve">follow </w:t>
      </w:r>
      <w:r w:rsidR="00FE75D6">
        <w:rPr>
          <w:sz w:val="24"/>
          <w:szCs w:val="24"/>
        </w:rPr>
        <w:t>up was</w:t>
      </w:r>
      <w:r w:rsidR="00FE75D6" w:rsidRPr="00B31D31">
        <w:rPr>
          <w:sz w:val="24"/>
          <w:szCs w:val="24"/>
        </w:rPr>
        <w:t xml:space="preserve"> defined as the earliest date </w:t>
      </w:r>
      <w:r w:rsidR="004F4A0C">
        <w:rPr>
          <w:sz w:val="24"/>
          <w:szCs w:val="24"/>
        </w:rPr>
        <w:t>at which</w:t>
      </w:r>
      <w:r w:rsidR="00FE75D6" w:rsidRPr="00B31D31">
        <w:rPr>
          <w:sz w:val="24"/>
          <w:szCs w:val="24"/>
        </w:rPr>
        <w:t xml:space="preserve"> the patient developed the outcome of interest, transferred out of the practice, died, or the practice</w:t>
      </w:r>
      <w:r w:rsidR="00FE75D6">
        <w:rPr>
          <w:sz w:val="24"/>
          <w:szCs w:val="24"/>
        </w:rPr>
        <w:t xml:space="preserve">’s last </w:t>
      </w:r>
      <w:r w:rsidR="004F4A0C">
        <w:rPr>
          <w:sz w:val="24"/>
          <w:szCs w:val="24"/>
        </w:rPr>
        <w:t xml:space="preserve">data </w:t>
      </w:r>
      <w:r w:rsidR="00FE75D6">
        <w:rPr>
          <w:sz w:val="24"/>
          <w:szCs w:val="24"/>
        </w:rPr>
        <w:t>collection date</w:t>
      </w:r>
      <w:r w:rsidR="00FE75D6" w:rsidRPr="00B31D31">
        <w:rPr>
          <w:sz w:val="24"/>
          <w:szCs w:val="24"/>
        </w:rPr>
        <w:t>.</w:t>
      </w:r>
      <w:r w:rsidR="003A4B12">
        <w:rPr>
          <w:sz w:val="24"/>
          <w:szCs w:val="24"/>
        </w:rPr>
        <w:t xml:space="preserve">  </w:t>
      </w:r>
      <w:r w:rsidR="00EB3894" w:rsidRPr="00B226A2">
        <w:rPr>
          <w:sz w:val="24"/>
          <w:szCs w:val="24"/>
        </w:rPr>
        <w:t xml:space="preserve">For each outcome of interest, </w:t>
      </w:r>
      <w:r w:rsidR="00084D26">
        <w:rPr>
          <w:sz w:val="24"/>
          <w:szCs w:val="24"/>
        </w:rPr>
        <w:t xml:space="preserve">the study population was restricted to those who were identified as </w:t>
      </w:r>
      <w:r w:rsidR="000C7100">
        <w:rPr>
          <w:sz w:val="24"/>
          <w:szCs w:val="24"/>
        </w:rPr>
        <w:t xml:space="preserve">at risk of </w:t>
      </w:r>
      <w:r w:rsidR="00084D26">
        <w:rPr>
          <w:sz w:val="24"/>
          <w:szCs w:val="24"/>
        </w:rPr>
        <w:t>having a new-</w:t>
      </w:r>
      <w:r w:rsidR="00084D26">
        <w:rPr>
          <w:sz w:val="24"/>
          <w:szCs w:val="24"/>
        </w:rPr>
        <w:lastRenderedPageBreak/>
        <w:t>onset sequela (as described in Outcomes, above).  T</w:t>
      </w:r>
      <w:r w:rsidR="00EB3894" w:rsidRPr="00B226A2">
        <w:rPr>
          <w:sz w:val="24"/>
          <w:szCs w:val="24"/>
        </w:rPr>
        <w:t xml:space="preserve">he crude rate </w:t>
      </w:r>
      <w:r w:rsidR="00084D26">
        <w:rPr>
          <w:sz w:val="24"/>
          <w:szCs w:val="24"/>
        </w:rPr>
        <w:t xml:space="preserve">for each outcome </w:t>
      </w:r>
      <w:r w:rsidR="00EB3894" w:rsidRPr="00B226A2">
        <w:rPr>
          <w:sz w:val="24"/>
          <w:szCs w:val="24"/>
        </w:rPr>
        <w:t xml:space="preserve">per 1,000 </w:t>
      </w:r>
      <w:r w:rsidR="002548B0" w:rsidRPr="00B226A2">
        <w:rPr>
          <w:sz w:val="24"/>
          <w:szCs w:val="24"/>
        </w:rPr>
        <w:t>person-years</w:t>
      </w:r>
      <w:r w:rsidR="00EB3894" w:rsidRPr="00B226A2">
        <w:rPr>
          <w:sz w:val="24"/>
          <w:szCs w:val="24"/>
        </w:rPr>
        <w:t xml:space="preserve"> </w:t>
      </w:r>
      <w:r w:rsidR="00872D0B" w:rsidRPr="00B226A2">
        <w:rPr>
          <w:sz w:val="24"/>
          <w:szCs w:val="24"/>
        </w:rPr>
        <w:t xml:space="preserve">(PY) </w:t>
      </w:r>
      <w:r w:rsidR="00EB3894" w:rsidRPr="00B226A2">
        <w:rPr>
          <w:sz w:val="24"/>
          <w:szCs w:val="24"/>
        </w:rPr>
        <w:t>was estimated in</w:t>
      </w:r>
      <w:r w:rsidR="00EB3894">
        <w:rPr>
          <w:sz w:val="24"/>
          <w:szCs w:val="24"/>
        </w:rPr>
        <w:t xml:space="preserve"> the exposed and unexposed groups.</w:t>
      </w:r>
      <w:r w:rsidR="003A4B12">
        <w:rPr>
          <w:sz w:val="24"/>
          <w:szCs w:val="24"/>
        </w:rPr>
        <w:t xml:space="preserve"> Mul</w:t>
      </w:r>
      <w:r w:rsidR="00A57822">
        <w:rPr>
          <w:sz w:val="24"/>
          <w:szCs w:val="24"/>
        </w:rPr>
        <w:t>ti</w:t>
      </w:r>
      <w:r w:rsidR="003A4B12">
        <w:rPr>
          <w:sz w:val="24"/>
          <w:szCs w:val="24"/>
        </w:rPr>
        <w:t xml:space="preserve">variable </w:t>
      </w:r>
      <w:r w:rsidR="00406E95" w:rsidRPr="007B5F38">
        <w:rPr>
          <w:sz w:val="24"/>
          <w:szCs w:val="24"/>
        </w:rPr>
        <w:t>Poisson regression w</w:t>
      </w:r>
      <w:r w:rsidR="00450CF7" w:rsidRPr="007B5F38">
        <w:rPr>
          <w:sz w:val="24"/>
          <w:szCs w:val="24"/>
        </w:rPr>
        <w:t xml:space="preserve">as </w:t>
      </w:r>
      <w:r w:rsidR="003A4B12">
        <w:rPr>
          <w:sz w:val="24"/>
          <w:szCs w:val="24"/>
        </w:rPr>
        <w:t xml:space="preserve">then </w:t>
      </w:r>
      <w:r w:rsidR="00406E95" w:rsidRPr="007B5F38">
        <w:rPr>
          <w:sz w:val="24"/>
          <w:szCs w:val="24"/>
        </w:rPr>
        <w:t xml:space="preserve">used to estimate </w:t>
      </w:r>
      <w:r w:rsidR="00450CF7" w:rsidRPr="007B5F38">
        <w:rPr>
          <w:sz w:val="24"/>
          <w:szCs w:val="24"/>
        </w:rPr>
        <w:t>rate ratios</w:t>
      </w:r>
      <w:r w:rsidR="00715C03">
        <w:rPr>
          <w:sz w:val="24"/>
          <w:szCs w:val="24"/>
        </w:rPr>
        <w:t xml:space="preserve"> (RR)</w:t>
      </w:r>
      <w:r w:rsidR="00EB3894">
        <w:rPr>
          <w:sz w:val="24"/>
          <w:szCs w:val="24"/>
        </w:rPr>
        <w:t xml:space="preserve"> for each outcome</w:t>
      </w:r>
      <w:r w:rsidR="00406E95" w:rsidRPr="007B5F38">
        <w:rPr>
          <w:sz w:val="24"/>
          <w:szCs w:val="24"/>
        </w:rPr>
        <w:t xml:space="preserve">, adjusted for </w:t>
      </w:r>
      <w:r w:rsidR="00034B23">
        <w:rPr>
          <w:sz w:val="24"/>
          <w:szCs w:val="24"/>
        </w:rPr>
        <w:t xml:space="preserve">current </w:t>
      </w:r>
      <w:r w:rsidR="00406E95" w:rsidRPr="007B5F38">
        <w:rPr>
          <w:sz w:val="24"/>
          <w:szCs w:val="24"/>
        </w:rPr>
        <w:t xml:space="preserve">age, sex, </w:t>
      </w:r>
      <w:r w:rsidR="00450CF7" w:rsidRPr="007B5F38">
        <w:rPr>
          <w:sz w:val="24"/>
          <w:szCs w:val="24"/>
        </w:rPr>
        <w:t xml:space="preserve">and </w:t>
      </w:r>
      <w:r w:rsidR="00847AFD">
        <w:rPr>
          <w:sz w:val="24"/>
          <w:szCs w:val="24"/>
        </w:rPr>
        <w:t xml:space="preserve">calendar </w:t>
      </w:r>
      <w:r w:rsidR="003E3DAB">
        <w:rPr>
          <w:sz w:val="24"/>
          <w:szCs w:val="24"/>
        </w:rPr>
        <w:t>year</w:t>
      </w:r>
      <w:r w:rsidR="00847AFD">
        <w:rPr>
          <w:sz w:val="24"/>
          <w:szCs w:val="24"/>
        </w:rPr>
        <w:t xml:space="preserve"> at index date</w:t>
      </w:r>
      <w:r w:rsidR="003A4B12">
        <w:rPr>
          <w:sz w:val="24"/>
          <w:szCs w:val="24"/>
        </w:rPr>
        <w:t xml:space="preserve"> (pre-1995, 1995-2005, post-2005)</w:t>
      </w:r>
      <w:r w:rsidR="003E3DAB">
        <w:rPr>
          <w:sz w:val="24"/>
          <w:szCs w:val="24"/>
        </w:rPr>
        <w:t xml:space="preserve">. </w:t>
      </w:r>
    </w:p>
    <w:p w14:paraId="2AB83D51" w14:textId="77777777" w:rsidR="000526D4" w:rsidRDefault="000526D4" w:rsidP="0049348B">
      <w:pPr>
        <w:spacing w:after="0" w:line="360" w:lineRule="auto"/>
        <w:rPr>
          <w:sz w:val="24"/>
          <w:szCs w:val="24"/>
        </w:rPr>
      </w:pPr>
    </w:p>
    <w:p w14:paraId="7915164D" w14:textId="77777777" w:rsidR="00AC2A30" w:rsidRDefault="00803B81" w:rsidP="0049348B">
      <w:pPr>
        <w:spacing w:after="0" w:line="360" w:lineRule="auto"/>
        <w:rPr>
          <w:sz w:val="24"/>
          <w:szCs w:val="24"/>
        </w:rPr>
      </w:pPr>
      <w:r>
        <w:rPr>
          <w:sz w:val="24"/>
          <w:szCs w:val="24"/>
        </w:rPr>
        <w:t xml:space="preserve">As a secondary analysis, </w:t>
      </w:r>
      <w:r w:rsidR="00695C68">
        <w:rPr>
          <w:sz w:val="24"/>
          <w:szCs w:val="24"/>
        </w:rPr>
        <w:t xml:space="preserve">we </w:t>
      </w:r>
      <w:r w:rsidR="000526D4">
        <w:rPr>
          <w:sz w:val="24"/>
          <w:szCs w:val="24"/>
        </w:rPr>
        <w:t>assess</w:t>
      </w:r>
      <w:r w:rsidR="00695C68">
        <w:rPr>
          <w:sz w:val="24"/>
          <w:szCs w:val="24"/>
        </w:rPr>
        <w:t>ed</w:t>
      </w:r>
      <w:r w:rsidR="000526D4">
        <w:rPr>
          <w:sz w:val="24"/>
          <w:szCs w:val="24"/>
        </w:rPr>
        <w:t xml:space="preserve"> whether the effect of the outcomes of interest varied over time</w:t>
      </w:r>
      <w:r w:rsidR="004B7036">
        <w:rPr>
          <w:sz w:val="24"/>
          <w:szCs w:val="24"/>
        </w:rPr>
        <w:t>. To do this</w:t>
      </w:r>
      <w:r w:rsidR="000526D4">
        <w:rPr>
          <w:sz w:val="24"/>
          <w:szCs w:val="24"/>
        </w:rPr>
        <w:t xml:space="preserve">, </w:t>
      </w:r>
      <w:r w:rsidR="004B7036">
        <w:rPr>
          <w:sz w:val="24"/>
          <w:szCs w:val="24"/>
        </w:rPr>
        <w:t xml:space="preserve">we added </w:t>
      </w:r>
      <w:r w:rsidR="000526D4">
        <w:rPr>
          <w:sz w:val="24"/>
          <w:szCs w:val="24"/>
        </w:rPr>
        <w:t>a</w:t>
      </w:r>
      <w:r w:rsidR="003E3DAB">
        <w:rPr>
          <w:sz w:val="24"/>
          <w:szCs w:val="24"/>
        </w:rPr>
        <w:t>n interaction term fo</w:t>
      </w:r>
      <w:r w:rsidR="009913EE">
        <w:rPr>
          <w:sz w:val="24"/>
          <w:szCs w:val="24"/>
        </w:rPr>
        <w:t xml:space="preserve">r </w:t>
      </w:r>
      <w:r w:rsidR="00FD0CE5">
        <w:rPr>
          <w:sz w:val="24"/>
          <w:szCs w:val="24"/>
        </w:rPr>
        <w:t xml:space="preserve">time since </w:t>
      </w:r>
      <w:r w:rsidR="000526D4">
        <w:rPr>
          <w:sz w:val="24"/>
          <w:szCs w:val="24"/>
        </w:rPr>
        <w:t>the index date</w:t>
      </w:r>
      <w:r w:rsidR="009913EE">
        <w:rPr>
          <w:sz w:val="24"/>
          <w:szCs w:val="24"/>
        </w:rPr>
        <w:t xml:space="preserve"> (&lt;1</w:t>
      </w:r>
      <w:r w:rsidR="003E3DAB">
        <w:rPr>
          <w:sz w:val="24"/>
          <w:szCs w:val="24"/>
        </w:rPr>
        <w:t xml:space="preserve">, 1-5 years, </w:t>
      </w:r>
      <w:r w:rsidR="009913EE">
        <w:rPr>
          <w:sz w:val="24"/>
          <w:szCs w:val="24"/>
        </w:rPr>
        <w:t>&gt;</w:t>
      </w:r>
      <w:r w:rsidR="003E3DAB">
        <w:rPr>
          <w:sz w:val="24"/>
          <w:szCs w:val="24"/>
        </w:rPr>
        <w:t xml:space="preserve">5 years) </w:t>
      </w:r>
      <w:r w:rsidR="000526D4">
        <w:rPr>
          <w:sz w:val="24"/>
          <w:szCs w:val="24"/>
        </w:rPr>
        <w:t xml:space="preserve">to the multivariable model and </w:t>
      </w:r>
      <w:r w:rsidR="003E3DAB">
        <w:rPr>
          <w:sz w:val="24"/>
          <w:szCs w:val="24"/>
        </w:rPr>
        <w:t xml:space="preserve">tested </w:t>
      </w:r>
      <w:r w:rsidR="000526D4">
        <w:rPr>
          <w:sz w:val="24"/>
          <w:szCs w:val="24"/>
        </w:rPr>
        <w:t xml:space="preserve">using likelihood ratio tests.  When there was evidence of interaction, </w:t>
      </w:r>
      <w:r w:rsidR="003E3DAB">
        <w:rPr>
          <w:sz w:val="24"/>
          <w:szCs w:val="24"/>
        </w:rPr>
        <w:t>the analyses were stratified and presented accordingly.</w:t>
      </w:r>
      <w:r w:rsidR="00E81936">
        <w:rPr>
          <w:sz w:val="24"/>
          <w:szCs w:val="24"/>
        </w:rPr>
        <w:t xml:space="preserve"> </w:t>
      </w:r>
      <w:r w:rsidR="00AC2A30">
        <w:rPr>
          <w:sz w:val="24"/>
          <w:szCs w:val="24"/>
        </w:rPr>
        <w:t xml:space="preserve">A sensitivity analysis was </w:t>
      </w:r>
      <w:r w:rsidR="000526D4">
        <w:rPr>
          <w:sz w:val="24"/>
          <w:szCs w:val="24"/>
        </w:rPr>
        <w:t xml:space="preserve">also </w:t>
      </w:r>
      <w:r w:rsidR="00AC2A30">
        <w:rPr>
          <w:sz w:val="24"/>
          <w:szCs w:val="24"/>
        </w:rPr>
        <w:t xml:space="preserve">conducted </w:t>
      </w:r>
      <w:r w:rsidR="000526D4">
        <w:rPr>
          <w:sz w:val="24"/>
          <w:szCs w:val="24"/>
        </w:rPr>
        <w:t xml:space="preserve">in which </w:t>
      </w:r>
      <w:r w:rsidR="001420F8">
        <w:rPr>
          <w:sz w:val="24"/>
          <w:szCs w:val="24"/>
        </w:rPr>
        <w:t>length</w:t>
      </w:r>
      <w:r w:rsidR="00AC2A30">
        <w:rPr>
          <w:sz w:val="24"/>
          <w:szCs w:val="24"/>
        </w:rPr>
        <w:t xml:space="preserve"> of </w:t>
      </w:r>
      <w:r w:rsidR="0009090E">
        <w:rPr>
          <w:sz w:val="24"/>
          <w:szCs w:val="24"/>
        </w:rPr>
        <w:t xml:space="preserve">follow up </w:t>
      </w:r>
      <w:r w:rsidR="00AC2A30">
        <w:rPr>
          <w:sz w:val="24"/>
          <w:szCs w:val="24"/>
        </w:rPr>
        <w:t xml:space="preserve">was adjusted for in the main model. This was to ensure that </w:t>
      </w:r>
      <w:r w:rsidR="001420F8">
        <w:rPr>
          <w:sz w:val="24"/>
          <w:szCs w:val="24"/>
        </w:rPr>
        <w:t>any</w:t>
      </w:r>
      <w:r w:rsidR="00AC2A30">
        <w:rPr>
          <w:sz w:val="24"/>
          <w:szCs w:val="24"/>
        </w:rPr>
        <w:t xml:space="preserve"> difference in </w:t>
      </w:r>
      <w:r w:rsidR="001420F8">
        <w:rPr>
          <w:sz w:val="24"/>
          <w:szCs w:val="24"/>
        </w:rPr>
        <w:t xml:space="preserve">length of </w:t>
      </w:r>
      <w:r w:rsidR="0009090E">
        <w:rPr>
          <w:sz w:val="24"/>
          <w:szCs w:val="24"/>
        </w:rPr>
        <w:t xml:space="preserve">follow up </w:t>
      </w:r>
      <w:r w:rsidR="00AC2A30">
        <w:rPr>
          <w:sz w:val="24"/>
          <w:szCs w:val="24"/>
        </w:rPr>
        <w:t xml:space="preserve">between exposed and unexposed </w:t>
      </w:r>
      <w:r w:rsidR="001420F8">
        <w:rPr>
          <w:sz w:val="24"/>
          <w:szCs w:val="24"/>
        </w:rPr>
        <w:t>individuals</w:t>
      </w:r>
      <w:r w:rsidR="00AC2A30">
        <w:rPr>
          <w:sz w:val="24"/>
          <w:szCs w:val="24"/>
        </w:rPr>
        <w:t xml:space="preserve"> did not affect the results.</w:t>
      </w:r>
    </w:p>
    <w:p w14:paraId="39058BEC" w14:textId="77777777" w:rsidR="000526D4" w:rsidRDefault="000526D4" w:rsidP="00FE75D6">
      <w:pPr>
        <w:spacing w:after="0" w:line="360" w:lineRule="auto"/>
        <w:rPr>
          <w:sz w:val="24"/>
          <w:szCs w:val="24"/>
        </w:rPr>
      </w:pPr>
    </w:p>
    <w:p w14:paraId="24D5B1A1" w14:textId="77777777" w:rsidR="00FE75D6" w:rsidRDefault="00FE75D6" w:rsidP="00FE75D6">
      <w:pPr>
        <w:spacing w:after="0" w:line="360" w:lineRule="auto"/>
        <w:rPr>
          <w:sz w:val="24"/>
          <w:szCs w:val="24"/>
        </w:rPr>
      </w:pPr>
      <w:r>
        <w:rPr>
          <w:sz w:val="24"/>
          <w:szCs w:val="24"/>
        </w:rPr>
        <w:t>All statistical analyses were conducted using Stata 13 (</w:t>
      </w:r>
      <w:proofErr w:type="spellStart"/>
      <w:r>
        <w:rPr>
          <w:sz w:val="24"/>
          <w:szCs w:val="24"/>
        </w:rPr>
        <w:t>StataCorp</w:t>
      </w:r>
      <w:proofErr w:type="spellEnd"/>
      <w:r>
        <w:rPr>
          <w:sz w:val="24"/>
          <w:szCs w:val="24"/>
        </w:rPr>
        <w:t>, College Station, TX).</w:t>
      </w:r>
    </w:p>
    <w:p w14:paraId="3940D791" w14:textId="23E9F9BC" w:rsidR="00561986" w:rsidRDefault="00561986">
      <w:pPr>
        <w:rPr>
          <w:b/>
          <w:sz w:val="24"/>
          <w:szCs w:val="24"/>
        </w:rPr>
      </w:pPr>
    </w:p>
    <w:p w14:paraId="68A66037" w14:textId="2131AFF0" w:rsidR="00785078" w:rsidRPr="007B5F38" w:rsidRDefault="005D345B">
      <w:pPr>
        <w:rPr>
          <w:b/>
          <w:sz w:val="24"/>
          <w:szCs w:val="24"/>
        </w:rPr>
      </w:pPr>
      <w:r>
        <w:rPr>
          <w:b/>
          <w:sz w:val="24"/>
          <w:szCs w:val="24"/>
        </w:rPr>
        <w:t>RESULTS</w:t>
      </w:r>
    </w:p>
    <w:p w14:paraId="51C60B13" w14:textId="77777777" w:rsidR="00FE3D6F" w:rsidRDefault="003212F7" w:rsidP="00864A61">
      <w:pPr>
        <w:spacing w:after="0" w:line="360" w:lineRule="auto"/>
        <w:rPr>
          <w:sz w:val="24"/>
          <w:szCs w:val="24"/>
        </w:rPr>
      </w:pPr>
      <w:r>
        <w:rPr>
          <w:sz w:val="24"/>
          <w:szCs w:val="24"/>
        </w:rPr>
        <w:t xml:space="preserve">A total of </w:t>
      </w:r>
      <w:r w:rsidR="00D867C1" w:rsidRPr="007B5F38">
        <w:rPr>
          <w:sz w:val="24"/>
          <w:szCs w:val="24"/>
        </w:rPr>
        <w:t xml:space="preserve">8,988 </w:t>
      </w:r>
      <w:r>
        <w:rPr>
          <w:sz w:val="24"/>
          <w:szCs w:val="24"/>
        </w:rPr>
        <w:t>individuals</w:t>
      </w:r>
      <w:r w:rsidR="00D867C1" w:rsidRPr="007B5F38">
        <w:rPr>
          <w:sz w:val="24"/>
          <w:szCs w:val="24"/>
        </w:rPr>
        <w:t xml:space="preserve"> had a</w:t>
      </w:r>
      <w:r w:rsidR="0029724E">
        <w:rPr>
          <w:sz w:val="24"/>
          <w:szCs w:val="24"/>
        </w:rPr>
        <w:t>n</w:t>
      </w:r>
      <w:r w:rsidR="00D867C1" w:rsidRPr="007B5F38">
        <w:rPr>
          <w:sz w:val="24"/>
          <w:szCs w:val="24"/>
        </w:rPr>
        <w:t xml:space="preserve"> </w:t>
      </w:r>
      <w:r w:rsidR="0029724E">
        <w:rPr>
          <w:sz w:val="24"/>
          <w:szCs w:val="24"/>
        </w:rPr>
        <w:t xml:space="preserve">encephalitis-specific </w:t>
      </w:r>
      <w:r w:rsidR="00D867C1" w:rsidRPr="007B5F38">
        <w:rPr>
          <w:sz w:val="24"/>
          <w:szCs w:val="24"/>
        </w:rPr>
        <w:t>code</w:t>
      </w:r>
      <w:r>
        <w:rPr>
          <w:sz w:val="24"/>
          <w:szCs w:val="24"/>
        </w:rPr>
        <w:t xml:space="preserve"> in CPRD for the relevant time period</w:t>
      </w:r>
      <w:r w:rsidR="00881C5B">
        <w:rPr>
          <w:sz w:val="24"/>
          <w:szCs w:val="24"/>
        </w:rPr>
        <w:t>; 725 of these matched to HES</w:t>
      </w:r>
      <w:r w:rsidR="0029724E" w:rsidRPr="00A119D6">
        <w:rPr>
          <w:sz w:val="24"/>
          <w:szCs w:val="24"/>
        </w:rPr>
        <w:t xml:space="preserve">. </w:t>
      </w:r>
      <w:r w:rsidR="00D21790" w:rsidRPr="00A119D6">
        <w:rPr>
          <w:sz w:val="24"/>
          <w:szCs w:val="24"/>
        </w:rPr>
        <w:t xml:space="preserve">One hundred and eleven patients with a post-hepatitis A/B vaccination encephalitis code in the test or referral files only were excluded because of concern about </w:t>
      </w:r>
      <w:r w:rsidR="004035CF" w:rsidRPr="00A119D6">
        <w:rPr>
          <w:sz w:val="24"/>
          <w:szCs w:val="24"/>
        </w:rPr>
        <w:t xml:space="preserve">the </w:t>
      </w:r>
      <w:r w:rsidR="00D21790" w:rsidRPr="00A119D6">
        <w:rPr>
          <w:sz w:val="24"/>
          <w:szCs w:val="24"/>
        </w:rPr>
        <w:t xml:space="preserve">uncertainty of </w:t>
      </w:r>
      <w:r w:rsidR="004035CF" w:rsidRPr="00A119D6">
        <w:rPr>
          <w:sz w:val="24"/>
          <w:szCs w:val="24"/>
        </w:rPr>
        <w:t>that</w:t>
      </w:r>
      <w:r w:rsidR="004035CF">
        <w:rPr>
          <w:sz w:val="24"/>
          <w:szCs w:val="24"/>
        </w:rPr>
        <w:t xml:space="preserve"> </w:t>
      </w:r>
      <w:r w:rsidR="00D21790" w:rsidRPr="00D21790">
        <w:rPr>
          <w:sz w:val="24"/>
          <w:szCs w:val="24"/>
        </w:rPr>
        <w:t>diagnoses.</w:t>
      </w:r>
      <w:r w:rsidR="00D21790">
        <w:rPr>
          <w:sz w:val="24"/>
          <w:szCs w:val="24"/>
        </w:rPr>
        <w:t xml:space="preserve"> </w:t>
      </w:r>
      <w:r w:rsidR="00D867C1" w:rsidRPr="007B5F38">
        <w:rPr>
          <w:sz w:val="24"/>
          <w:szCs w:val="24"/>
        </w:rPr>
        <w:t>A further 2,482 patients had an encephalitis</w:t>
      </w:r>
      <w:r w:rsidR="0029724E">
        <w:rPr>
          <w:sz w:val="24"/>
          <w:szCs w:val="24"/>
        </w:rPr>
        <w:t xml:space="preserve">-specific </w:t>
      </w:r>
      <w:r w:rsidR="00D867C1" w:rsidRPr="007B5F38">
        <w:rPr>
          <w:sz w:val="24"/>
          <w:szCs w:val="24"/>
        </w:rPr>
        <w:t xml:space="preserve">code in HES </w:t>
      </w:r>
      <w:r w:rsidR="0029724E">
        <w:rPr>
          <w:sz w:val="24"/>
          <w:szCs w:val="24"/>
        </w:rPr>
        <w:t>only</w:t>
      </w:r>
      <w:r w:rsidR="00D867C1" w:rsidRPr="007B5F38">
        <w:rPr>
          <w:sz w:val="24"/>
          <w:szCs w:val="24"/>
        </w:rPr>
        <w:t xml:space="preserve">. After excluding prevalent cases of encephalitis, </w:t>
      </w:r>
      <w:r w:rsidR="009E4DCB">
        <w:rPr>
          <w:sz w:val="24"/>
          <w:szCs w:val="24"/>
        </w:rPr>
        <w:t xml:space="preserve">those with no </w:t>
      </w:r>
      <w:r w:rsidR="00CF580C" w:rsidRPr="00AB3EB9">
        <w:rPr>
          <w:sz w:val="24"/>
          <w:szCs w:val="24"/>
        </w:rPr>
        <w:t>follow</w:t>
      </w:r>
      <w:r w:rsidR="00AB3EB9" w:rsidRPr="00AB3EB9">
        <w:rPr>
          <w:sz w:val="24"/>
          <w:szCs w:val="24"/>
        </w:rPr>
        <w:t xml:space="preserve"> </w:t>
      </w:r>
      <w:r w:rsidR="00CF580C" w:rsidRPr="00AB3EB9">
        <w:rPr>
          <w:sz w:val="24"/>
          <w:szCs w:val="24"/>
        </w:rPr>
        <w:t xml:space="preserve">up during the study period </w:t>
      </w:r>
      <w:r w:rsidR="009E4DCB" w:rsidRPr="00AB3EB9">
        <w:rPr>
          <w:sz w:val="24"/>
          <w:szCs w:val="24"/>
        </w:rPr>
        <w:t xml:space="preserve">and those with no </w:t>
      </w:r>
      <w:r w:rsidR="00CF580C" w:rsidRPr="00AB3EB9">
        <w:rPr>
          <w:sz w:val="24"/>
          <w:szCs w:val="24"/>
        </w:rPr>
        <w:t>contact with the surgery</w:t>
      </w:r>
      <w:r w:rsidR="009E4DCB" w:rsidRPr="00AB3EB9">
        <w:rPr>
          <w:sz w:val="24"/>
          <w:szCs w:val="24"/>
        </w:rPr>
        <w:t xml:space="preserve"> in the two y</w:t>
      </w:r>
      <w:r w:rsidR="009E4DCB">
        <w:rPr>
          <w:sz w:val="24"/>
          <w:szCs w:val="24"/>
        </w:rPr>
        <w:t xml:space="preserve">ears after the encephalitis </w:t>
      </w:r>
      <w:r w:rsidR="004C5BBE">
        <w:rPr>
          <w:sz w:val="24"/>
          <w:szCs w:val="24"/>
        </w:rPr>
        <w:t>date,</w:t>
      </w:r>
      <w:r w:rsidR="009E4DCB">
        <w:rPr>
          <w:sz w:val="24"/>
          <w:szCs w:val="24"/>
        </w:rPr>
        <w:t xml:space="preserve"> </w:t>
      </w:r>
      <w:r w:rsidR="00D867C1" w:rsidRPr="007B5F38">
        <w:rPr>
          <w:sz w:val="24"/>
          <w:szCs w:val="24"/>
        </w:rPr>
        <w:t>2,460 exposed incident encephalitis cases</w:t>
      </w:r>
      <w:r w:rsidR="00D03C7E" w:rsidRPr="007B5F38">
        <w:rPr>
          <w:sz w:val="24"/>
          <w:szCs w:val="24"/>
        </w:rPr>
        <w:t xml:space="preserve"> </w:t>
      </w:r>
      <w:r w:rsidR="003E49BB">
        <w:rPr>
          <w:sz w:val="24"/>
          <w:szCs w:val="24"/>
        </w:rPr>
        <w:t xml:space="preserve">were included in the </w:t>
      </w:r>
      <w:r w:rsidR="003E49BB" w:rsidRPr="00251DC6">
        <w:rPr>
          <w:sz w:val="24"/>
          <w:szCs w:val="24"/>
        </w:rPr>
        <w:t xml:space="preserve">analyses </w:t>
      </w:r>
      <w:r w:rsidR="00D03C7E" w:rsidRPr="00251DC6">
        <w:rPr>
          <w:sz w:val="24"/>
          <w:szCs w:val="24"/>
        </w:rPr>
        <w:t>(</w:t>
      </w:r>
      <w:r w:rsidR="00D03C7E" w:rsidRPr="00251DC6">
        <w:rPr>
          <w:b/>
          <w:sz w:val="24"/>
          <w:szCs w:val="24"/>
        </w:rPr>
        <w:t>Figure 1</w:t>
      </w:r>
      <w:r w:rsidR="00D03C7E" w:rsidRPr="00251DC6">
        <w:rPr>
          <w:sz w:val="24"/>
          <w:szCs w:val="24"/>
        </w:rPr>
        <w:t>)</w:t>
      </w:r>
      <w:r w:rsidR="00D867C1" w:rsidRPr="00251DC6">
        <w:rPr>
          <w:sz w:val="24"/>
          <w:szCs w:val="24"/>
        </w:rPr>
        <w:t>.</w:t>
      </w:r>
      <w:r w:rsidR="00FE3D6F" w:rsidRPr="007B5F38">
        <w:rPr>
          <w:sz w:val="24"/>
          <w:szCs w:val="24"/>
        </w:rPr>
        <w:t xml:space="preserve"> </w:t>
      </w:r>
      <w:r w:rsidR="003E49BB">
        <w:rPr>
          <w:sz w:val="24"/>
          <w:szCs w:val="24"/>
        </w:rPr>
        <w:t xml:space="preserve">The unexposed group included a total of </w:t>
      </w:r>
      <w:r w:rsidR="009A2913" w:rsidRPr="007B5F38">
        <w:rPr>
          <w:sz w:val="24"/>
          <w:szCs w:val="24"/>
        </w:rPr>
        <w:t xml:space="preserve">47,914 </w:t>
      </w:r>
      <w:r w:rsidR="003E49BB">
        <w:rPr>
          <w:sz w:val="24"/>
          <w:szCs w:val="24"/>
        </w:rPr>
        <w:t>individuals</w:t>
      </w:r>
      <w:r w:rsidR="009A2913" w:rsidRPr="007B5F38">
        <w:rPr>
          <w:sz w:val="24"/>
          <w:szCs w:val="24"/>
        </w:rPr>
        <w:t>.</w:t>
      </w:r>
    </w:p>
    <w:p w14:paraId="35A3C3BA" w14:textId="77777777" w:rsidR="008B23BD" w:rsidRPr="007B5F38" w:rsidRDefault="008B23BD" w:rsidP="00864A61">
      <w:pPr>
        <w:spacing w:after="0" w:line="360" w:lineRule="auto"/>
        <w:rPr>
          <w:sz w:val="24"/>
          <w:szCs w:val="24"/>
        </w:rPr>
      </w:pPr>
    </w:p>
    <w:p w14:paraId="0259A6D1" w14:textId="51554EC4" w:rsidR="00C615D5" w:rsidRDefault="00863DBF" w:rsidP="00864A61">
      <w:pPr>
        <w:spacing w:after="0" w:line="360" w:lineRule="auto"/>
        <w:rPr>
          <w:sz w:val="24"/>
          <w:szCs w:val="24"/>
        </w:rPr>
      </w:pPr>
      <w:r>
        <w:rPr>
          <w:sz w:val="24"/>
          <w:szCs w:val="24"/>
        </w:rPr>
        <w:t xml:space="preserve">The </w:t>
      </w:r>
      <w:r w:rsidR="00DF5356">
        <w:rPr>
          <w:sz w:val="24"/>
          <w:szCs w:val="24"/>
        </w:rPr>
        <w:t>distribution of the matching variables (</w:t>
      </w:r>
      <w:r>
        <w:rPr>
          <w:sz w:val="24"/>
          <w:szCs w:val="24"/>
        </w:rPr>
        <w:t>demographics</w:t>
      </w:r>
      <w:r w:rsidR="00DF5356">
        <w:rPr>
          <w:sz w:val="24"/>
          <w:szCs w:val="24"/>
        </w:rPr>
        <w:t xml:space="preserve"> and calendar year at index date) </w:t>
      </w:r>
      <w:r>
        <w:rPr>
          <w:sz w:val="24"/>
          <w:szCs w:val="24"/>
        </w:rPr>
        <w:t>w</w:t>
      </w:r>
      <w:r w:rsidR="0063361E">
        <w:rPr>
          <w:sz w:val="24"/>
          <w:szCs w:val="24"/>
        </w:rPr>
        <w:t>as</w:t>
      </w:r>
      <w:r>
        <w:rPr>
          <w:sz w:val="24"/>
          <w:szCs w:val="24"/>
        </w:rPr>
        <w:t xml:space="preserve"> similar between the exposed and unexposed groups</w:t>
      </w:r>
      <w:r w:rsidR="007C1BA3">
        <w:rPr>
          <w:sz w:val="24"/>
          <w:szCs w:val="24"/>
        </w:rPr>
        <w:t xml:space="preserve"> (</w:t>
      </w:r>
      <w:r w:rsidR="007C1BA3" w:rsidRPr="007C1BA3">
        <w:rPr>
          <w:b/>
          <w:sz w:val="24"/>
          <w:szCs w:val="24"/>
        </w:rPr>
        <w:t>Table 1</w:t>
      </w:r>
      <w:r w:rsidR="007C1BA3">
        <w:rPr>
          <w:sz w:val="24"/>
          <w:szCs w:val="24"/>
        </w:rPr>
        <w:t xml:space="preserve">). </w:t>
      </w:r>
      <w:r w:rsidR="00F27EA6" w:rsidRPr="007B5F38">
        <w:rPr>
          <w:sz w:val="24"/>
          <w:szCs w:val="24"/>
        </w:rPr>
        <w:t xml:space="preserve">Almost 60% of </w:t>
      </w:r>
      <w:r w:rsidR="00DF5356">
        <w:rPr>
          <w:sz w:val="24"/>
          <w:szCs w:val="24"/>
        </w:rPr>
        <w:t xml:space="preserve">study participants </w:t>
      </w:r>
      <w:r w:rsidR="00F27EA6" w:rsidRPr="007B5F38">
        <w:rPr>
          <w:sz w:val="24"/>
          <w:szCs w:val="24"/>
        </w:rPr>
        <w:t>were aged between 20-65 years of age. There were slightly more females than males</w:t>
      </w:r>
      <w:r w:rsidR="00FA4E12" w:rsidRPr="007B5F38">
        <w:rPr>
          <w:sz w:val="24"/>
          <w:szCs w:val="24"/>
        </w:rPr>
        <w:t xml:space="preserve"> (53% versus 47%)</w:t>
      </w:r>
      <w:r w:rsidR="00CD6F7C" w:rsidRPr="007B5F38">
        <w:rPr>
          <w:sz w:val="24"/>
          <w:szCs w:val="24"/>
        </w:rPr>
        <w:t>. Over 90% of the encephalitis diagnoses were made after 1995</w:t>
      </w:r>
      <w:r w:rsidR="00865D80">
        <w:rPr>
          <w:sz w:val="24"/>
          <w:szCs w:val="24"/>
        </w:rPr>
        <w:t xml:space="preserve"> in </w:t>
      </w:r>
      <w:r w:rsidR="00865D80">
        <w:rPr>
          <w:sz w:val="24"/>
          <w:szCs w:val="24"/>
        </w:rPr>
        <w:lastRenderedPageBreak/>
        <w:t>both groups</w:t>
      </w:r>
      <w:r w:rsidR="00CD6F7C" w:rsidRPr="00B145D1">
        <w:rPr>
          <w:sz w:val="24"/>
          <w:szCs w:val="24"/>
        </w:rPr>
        <w:t>.</w:t>
      </w:r>
      <w:r w:rsidR="00663823" w:rsidRPr="00B145D1">
        <w:rPr>
          <w:sz w:val="24"/>
          <w:szCs w:val="24"/>
        </w:rPr>
        <w:t xml:space="preserve"> </w:t>
      </w:r>
      <w:r w:rsidR="00E7608E" w:rsidRPr="00B145D1">
        <w:rPr>
          <w:sz w:val="24"/>
          <w:szCs w:val="24"/>
        </w:rPr>
        <w:t xml:space="preserve">The median length of follow up </w:t>
      </w:r>
      <w:r w:rsidR="00245EF7" w:rsidRPr="00B145D1">
        <w:rPr>
          <w:sz w:val="24"/>
          <w:szCs w:val="24"/>
        </w:rPr>
        <w:t xml:space="preserve">was 3.5 and 4.5 years, </w:t>
      </w:r>
      <w:r w:rsidR="005B78EB" w:rsidRPr="00B145D1">
        <w:rPr>
          <w:sz w:val="24"/>
          <w:szCs w:val="24"/>
        </w:rPr>
        <w:t xml:space="preserve">in </w:t>
      </w:r>
      <w:r w:rsidR="0074739B" w:rsidRPr="00B145D1">
        <w:rPr>
          <w:sz w:val="24"/>
          <w:szCs w:val="24"/>
        </w:rPr>
        <w:t>the</w:t>
      </w:r>
      <w:r w:rsidR="00B27B3D" w:rsidRPr="00B145D1">
        <w:rPr>
          <w:sz w:val="24"/>
          <w:szCs w:val="24"/>
        </w:rPr>
        <w:t xml:space="preserve"> exposed and unexposed</w:t>
      </w:r>
      <w:r w:rsidR="00865D80" w:rsidRPr="00B145D1">
        <w:rPr>
          <w:sz w:val="24"/>
          <w:szCs w:val="24"/>
        </w:rPr>
        <w:t xml:space="preserve"> groups</w:t>
      </w:r>
      <w:r w:rsidR="00DF5356" w:rsidRPr="00B145D1">
        <w:rPr>
          <w:sz w:val="24"/>
          <w:szCs w:val="24"/>
        </w:rPr>
        <w:t xml:space="preserve"> respectively</w:t>
      </w:r>
      <w:r w:rsidR="0074739B" w:rsidRPr="00B145D1">
        <w:rPr>
          <w:sz w:val="24"/>
          <w:szCs w:val="24"/>
        </w:rPr>
        <w:t>.</w:t>
      </w:r>
    </w:p>
    <w:p w14:paraId="31109E97" w14:textId="603DF63E" w:rsidR="00BE59D8" w:rsidRPr="00BE59D8" w:rsidRDefault="00BE59D8" w:rsidP="00BE59D8">
      <w:pPr>
        <w:rPr>
          <w:b/>
          <w:sz w:val="24"/>
          <w:szCs w:val="24"/>
        </w:rPr>
      </w:pPr>
      <w:r w:rsidRPr="003944B7">
        <w:rPr>
          <w:b/>
          <w:sz w:val="24"/>
          <w:szCs w:val="24"/>
        </w:rPr>
        <w:t xml:space="preserve">Table 1. Demographics and characteristics of </w:t>
      </w:r>
      <w:r>
        <w:rPr>
          <w:b/>
          <w:sz w:val="24"/>
          <w:szCs w:val="24"/>
        </w:rPr>
        <w:t>patients with and without encephalitis</w:t>
      </w:r>
    </w:p>
    <w:tbl>
      <w:tblPr>
        <w:tblStyle w:val="TableGrid"/>
        <w:tblW w:w="0" w:type="auto"/>
        <w:tblLook w:val="04A0" w:firstRow="1" w:lastRow="0" w:firstColumn="1" w:lastColumn="0" w:noHBand="0" w:noVBand="1"/>
      </w:tblPr>
      <w:tblGrid>
        <w:gridCol w:w="2996"/>
        <w:gridCol w:w="3010"/>
        <w:gridCol w:w="3010"/>
      </w:tblGrid>
      <w:tr w:rsidR="00BE59D8" w14:paraId="42C35ACD" w14:textId="77777777" w:rsidTr="003B6FA5">
        <w:tc>
          <w:tcPr>
            <w:tcW w:w="2996" w:type="dxa"/>
          </w:tcPr>
          <w:p w14:paraId="65A0D933" w14:textId="77777777" w:rsidR="00BE59D8" w:rsidRDefault="00BE59D8" w:rsidP="008F3E0F">
            <w:pPr>
              <w:rPr>
                <w:sz w:val="24"/>
                <w:szCs w:val="24"/>
              </w:rPr>
            </w:pPr>
          </w:p>
        </w:tc>
        <w:tc>
          <w:tcPr>
            <w:tcW w:w="3010" w:type="dxa"/>
          </w:tcPr>
          <w:p w14:paraId="66B96B44" w14:textId="77777777" w:rsidR="00BE59D8" w:rsidRPr="0044611C" w:rsidRDefault="00BE59D8" w:rsidP="008F3E0F">
            <w:pPr>
              <w:jc w:val="center"/>
              <w:rPr>
                <w:b/>
                <w:sz w:val="24"/>
                <w:szCs w:val="24"/>
              </w:rPr>
            </w:pPr>
            <w:r w:rsidRPr="0044611C">
              <w:rPr>
                <w:b/>
                <w:sz w:val="24"/>
                <w:szCs w:val="24"/>
              </w:rPr>
              <w:t>E</w:t>
            </w:r>
            <w:r>
              <w:rPr>
                <w:b/>
                <w:sz w:val="24"/>
                <w:szCs w:val="24"/>
              </w:rPr>
              <w:t>ncephalitis</w:t>
            </w:r>
            <w:r w:rsidRPr="0044611C">
              <w:rPr>
                <w:b/>
                <w:sz w:val="24"/>
                <w:szCs w:val="24"/>
              </w:rPr>
              <w:t xml:space="preserve"> (n=2,460)</w:t>
            </w:r>
          </w:p>
        </w:tc>
        <w:tc>
          <w:tcPr>
            <w:tcW w:w="3010" w:type="dxa"/>
          </w:tcPr>
          <w:p w14:paraId="72550590" w14:textId="77777777" w:rsidR="00BE59D8" w:rsidRPr="00771842" w:rsidRDefault="00BE59D8" w:rsidP="008F3E0F">
            <w:pPr>
              <w:jc w:val="center"/>
              <w:rPr>
                <w:b/>
                <w:sz w:val="24"/>
                <w:szCs w:val="24"/>
              </w:rPr>
            </w:pPr>
            <w:r>
              <w:rPr>
                <w:b/>
                <w:sz w:val="24"/>
                <w:szCs w:val="24"/>
              </w:rPr>
              <w:t>Non-encephalitis</w:t>
            </w:r>
            <w:r w:rsidRPr="00771842">
              <w:rPr>
                <w:b/>
                <w:sz w:val="24"/>
                <w:szCs w:val="24"/>
              </w:rPr>
              <w:t xml:space="preserve"> (n=</w:t>
            </w:r>
            <w:r>
              <w:rPr>
                <w:b/>
                <w:sz w:val="24"/>
                <w:szCs w:val="24"/>
              </w:rPr>
              <w:t>47,914</w:t>
            </w:r>
            <w:r w:rsidRPr="00771842">
              <w:rPr>
                <w:b/>
                <w:sz w:val="24"/>
                <w:szCs w:val="24"/>
              </w:rPr>
              <w:t>)</w:t>
            </w:r>
          </w:p>
        </w:tc>
      </w:tr>
      <w:tr w:rsidR="00BE59D8" w14:paraId="5E59FDB2" w14:textId="77777777" w:rsidTr="003B6FA5">
        <w:tc>
          <w:tcPr>
            <w:tcW w:w="2996" w:type="dxa"/>
          </w:tcPr>
          <w:p w14:paraId="5B7F3D1E" w14:textId="77777777" w:rsidR="00BE59D8" w:rsidRPr="00771842" w:rsidRDefault="00BE59D8" w:rsidP="008F3E0F">
            <w:pPr>
              <w:rPr>
                <w:b/>
                <w:sz w:val="24"/>
                <w:szCs w:val="24"/>
              </w:rPr>
            </w:pPr>
            <w:r w:rsidRPr="00771842">
              <w:rPr>
                <w:b/>
                <w:sz w:val="24"/>
                <w:szCs w:val="24"/>
              </w:rPr>
              <w:t>Age</w:t>
            </w:r>
            <w:r>
              <w:rPr>
                <w:b/>
                <w:sz w:val="24"/>
                <w:szCs w:val="24"/>
              </w:rPr>
              <w:t xml:space="preserve"> (Years)</w:t>
            </w:r>
          </w:p>
        </w:tc>
        <w:tc>
          <w:tcPr>
            <w:tcW w:w="3010" w:type="dxa"/>
          </w:tcPr>
          <w:p w14:paraId="3B588F26" w14:textId="77777777" w:rsidR="00BE59D8" w:rsidRPr="00771842" w:rsidRDefault="00BE59D8" w:rsidP="008F3E0F">
            <w:pPr>
              <w:jc w:val="center"/>
              <w:rPr>
                <w:sz w:val="24"/>
                <w:szCs w:val="24"/>
              </w:rPr>
            </w:pPr>
          </w:p>
        </w:tc>
        <w:tc>
          <w:tcPr>
            <w:tcW w:w="3010" w:type="dxa"/>
          </w:tcPr>
          <w:p w14:paraId="4F788A2F" w14:textId="77777777" w:rsidR="00BE59D8" w:rsidRDefault="00BE59D8" w:rsidP="008F3E0F">
            <w:pPr>
              <w:jc w:val="center"/>
              <w:rPr>
                <w:sz w:val="24"/>
                <w:szCs w:val="24"/>
              </w:rPr>
            </w:pPr>
          </w:p>
        </w:tc>
      </w:tr>
      <w:tr w:rsidR="00BE59D8" w14:paraId="73949F59" w14:textId="77777777" w:rsidTr="003B6FA5">
        <w:tc>
          <w:tcPr>
            <w:tcW w:w="2996" w:type="dxa"/>
          </w:tcPr>
          <w:p w14:paraId="3D668096" w14:textId="77777777" w:rsidR="00BE59D8" w:rsidRPr="00771842" w:rsidRDefault="00BE59D8" w:rsidP="008F3E0F">
            <w:pPr>
              <w:jc w:val="right"/>
              <w:rPr>
                <w:i/>
                <w:sz w:val="24"/>
                <w:szCs w:val="24"/>
              </w:rPr>
            </w:pPr>
            <w:r w:rsidRPr="00771842">
              <w:rPr>
                <w:i/>
                <w:sz w:val="24"/>
                <w:szCs w:val="24"/>
              </w:rPr>
              <w:t>&lt;</w:t>
            </w:r>
            <w:r>
              <w:rPr>
                <w:i/>
                <w:sz w:val="24"/>
                <w:szCs w:val="24"/>
              </w:rPr>
              <w:t>5</w:t>
            </w:r>
          </w:p>
        </w:tc>
        <w:tc>
          <w:tcPr>
            <w:tcW w:w="3010" w:type="dxa"/>
          </w:tcPr>
          <w:p w14:paraId="205FDC0D" w14:textId="77777777" w:rsidR="00BE59D8" w:rsidRPr="00771842" w:rsidRDefault="00BE59D8" w:rsidP="008F3E0F">
            <w:pPr>
              <w:jc w:val="center"/>
              <w:rPr>
                <w:sz w:val="24"/>
                <w:szCs w:val="24"/>
              </w:rPr>
            </w:pPr>
            <w:r>
              <w:rPr>
                <w:sz w:val="24"/>
                <w:szCs w:val="24"/>
              </w:rPr>
              <w:t>163 (7%)</w:t>
            </w:r>
          </w:p>
        </w:tc>
        <w:tc>
          <w:tcPr>
            <w:tcW w:w="3010" w:type="dxa"/>
          </w:tcPr>
          <w:p w14:paraId="1889A53C" w14:textId="77777777" w:rsidR="00BE59D8" w:rsidRDefault="00BE59D8" w:rsidP="008F3E0F">
            <w:pPr>
              <w:jc w:val="center"/>
              <w:rPr>
                <w:sz w:val="24"/>
                <w:szCs w:val="24"/>
              </w:rPr>
            </w:pPr>
            <w:r>
              <w:rPr>
                <w:sz w:val="24"/>
                <w:szCs w:val="24"/>
              </w:rPr>
              <w:t>3,242 (7%)</w:t>
            </w:r>
          </w:p>
        </w:tc>
      </w:tr>
      <w:tr w:rsidR="00BE59D8" w14:paraId="317C8E7F" w14:textId="77777777" w:rsidTr="003B6FA5">
        <w:tc>
          <w:tcPr>
            <w:tcW w:w="2996" w:type="dxa"/>
          </w:tcPr>
          <w:p w14:paraId="27B20E26" w14:textId="77777777" w:rsidR="00BE59D8" w:rsidRPr="00771842" w:rsidRDefault="00BE59D8" w:rsidP="008F3E0F">
            <w:pPr>
              <w:jc w:val="right"/>
              <w:rPr>
                <w:i/>
                <w:sz w:val="24"/>
                <w:szCs w:val="24"/>
              </w:rPr>
            </w:pPr>
            <w:r w:rsidRPr="00771842">
              <w:rPr>
                <w:i/>
                <w:sz w:val="24"/>
                <w:szCs w:val="24"/>
              </w:rPr>
              <w:t>5-19</w:t>
            </w:r>
          </w:p>
        </w:tc>
        <w:tc>
          <w:tcPr>
            <w:tcW w:w="3010" w:type="dxa"/>
          </w:tcPr>
          <w:p w14:paraId="74D5822C" w14:textId="77777777" w:rsidR="00BE59D8" w:rsidRPr="00771842" w:rsidRDefault="00BE59D8" w:rsidP="008F3E0F">
            <w:pPr>
              <w:jc w:val="center"/>
              <w:rPr>
                <w:sz w:val="24"/>
                <w:szCs w:val="24"/>
              </w:rPr>
            </w:pPr>
            <w:r>
              <w:rPr>
                <w:sz w:val="24"/>
                <w:szCs w:val="24"/>
              </w:rPr>
              <w:t>345 (14%)</w:t>
            </w:r>
          </w:p>
        </w:tc>
        <w:tc>
          <w:tcPr>
            <w:tcW w:w="3010" w:type="dxa"/>
          </w:tcPr>
          <w:p w14:paraId="3DEFBEEE" w14:textId="77777777" w:rsidR="00BE59D8" w:rsidRDefault="00BE59D8" w:rsidP="008F3E0F">
            <w:pPr>
              <w:jc w:val="center"/>
              <w:rPr>
                <w:sz w:val="24"/>
                <w:szCs w:val="24"/>
              </w:rPr>
            </w:pPr>
            <w:r>
              <w:rPr>
                <w:sz w:val="24"/>
                <w:szCs w:val="24"/>
              </w:rPr>
              <w:t>6,397 (13%)</w:t>
            </w:r>
          </w:p>
        </w:tc>
      </w:tr>
      <w:tr w:rsidR="00BE59D8" w14:paraId="3DF54F3A" w14:textId="77777777" w:rsidTr="003B6FA5">
        <w:tc>
          <w:tcPr>
            <w:tcW w:w="2996" w:type="dxa"/>
          </w:tcPr>
          <w:p w14:paraId="12737668" w14:textId="77777777" w:rsidR="00BE59D8" w:rsidRPr="00771842" w:rsidRDefault="00BE59D8" w:rsidP="008F3E0F">
            <w:pPr>
              <w:jc w:val="right"/>
              <w:rPr>
                <w:i/>
                <w:sz w:val="24"/>
                <w:szCs w:val="24"/>
              </w:rPr>
            </w:pPr>
            <w:r w:rsidRPr="00771842">
              <w:rPr>
                <w:i/>
                <w:sz w:val="24"/>
                <w:szCs w:val="24"/>
              </w:rPr>
              <w:t>20-44</w:t>
            </w:r>
          </w:p>
        </w:tc>
        <w:tc>
          <w:tcPr>
            <w:tcW w:w="3010" w:type="dxa"/>
          </w:tcPr>
          <w:p w14:paraId="72922635" w14:textId="77777777" w:rsidR="00BE59D8" w:rsidRPr="00771842" w:rsidRDefault="00BE59D8" w:rsidP="008F3E0F">
            <w:pPr>
              <w:jc w:val="center"/>
              <w:rPr>
                <w:sz w:val="24"/>
                <w:szCs w:val="24"/>
              </w:rPr>
            </w:pPr>
            <w:r>
              <w:rPr>
                <w:sz w:val="24"/>
                <w:szCs w:val="24"/>
              </w:rPr>
              <w:t>687 (28%)</w:t>
            </w:r>
          </w:p>
        </w:tc>
        <w:tc>
          <w:tcPr>
            <w:tcW w:w="3010" w:type="dxa"/>
          </w:tcPr>
          <w:p w14:paraId="6BD0A275" w14:textId="77777777" w:rsidR="00BE59D8" w:rsidRDefault="00BE59D8" w:rsidP="008F3E0F">
            <w:pPr>
              <w:jc w:val="center"/>
              <w:rPr>
                <w:sz w:val="24"/>
                <w:szCs w:val="24"/>
              </w:rPr>
            </w:pPr>
            <w:r>
              <w:rPr>
                <w:sz w:val="24"/>
                <w:szCs w:val="24"/>
              </w:rPr>
              <w:t>12,635 (26%)</w:t>
            </w:r>
          </w:p>
        </w:tc>
      </w:tr>
      <w:tr w:rsidR="00BE59D8" w14:paraId="61724BBB" w14:textId="77777777" w:rsidTr="003B6FA5">
        <w:tc>
          <w:tcPr>
            <w:tcW w:w="2996" w:type="dxa"/>
          </w:tcPr>
          <w:p w14:paraId="06ED2D21" w14:textId="77777777" w:rsidR="00BE59D8" w:rsidRPr="00771842" w:rsidRDefault="00BE59D8" w:rsidP="008F3E0F">
            <w:pPr>
              <w:jc w:val="right"/>
              <w:rPr>
                <w:i/>
                <w:sz w:val="24"/>
                <w:szCs w:val="24"/>
              </w:rPr>
            </w:pPr>
            <w:r w:rsidRPr="00771842">
              <w:rPr>
                <w:i/>
                <w:sz w:val="24"/>
                <w:szCs w:val="24"/>
              </w:rPr>
              <w:t>45-65</w:t>
            </w:r>
          </w:p>
        </w:tc>
        <w:tc>
          <w:tcPr>
            <w:tcW w:w="3010" w:type="dxa"/>
          </w:tcPr>
          <w:p w14:paraId="53E90249" w14:textId="77777777" w:rsidR="00BE59D8" w:rsidRPr="00771842" w:rsidRDefault="00BE59D8" w:rsidP="008F3E0F">
            <w:pPr>
              <w:jc w:val="center"/>
              <w:rPr>
                <w:sz w:val="24"/>
                <w:szCs w:val="24"/>
              </w:rPr>
            </w:pPr>
            <w:r>
              <w:rPr>
                <w:sz w:val="24"/>
                <w:szCs w:val="24"/>
              </w:rPr>
              <w:t>695 (28%)</w:t>
            </w:r>
          </w:p>
        </w:tc>
        <w:tc>
          <w:tcPr>
            <w:tcW w:w="3010" w:type="dxa"/>
          </w:tcPr>
          <w:p w14:paraId="2D09864F" w14:textId="77777777" w:rsidR="00BE59D8" w:rsidRDefault="00BE59D8" w:rsidP="008F3E0F">
            <w:pPr>
              <w:jc w:val="center"/>
              <w:rPr>
                <w:sz w:val="24"/>
                <w:szCs w:val="24"/>
              </w:rPr>
            </w:pPr>
            <w:r>
              <w:rPr>
                <w:sz w:val="24"/>
                <w:szCs w:val="24"/>
              </w:rPr>
              <w:t>14,060 (29%)</w:t>
            </w:r>
          </w:p>
        </w:tc>
      </w:tr>
      <w:tr w:rsidR="00BE59D8" w14:paraId="394F997C" w14:textId="77777777" w:rsidTr="003B6FA5">
        <w:tc>
          <w:tcPr>
            <w:tcW w:w="2996" w:type="dxa"/>
          </w:tcPr>
          <w:p w14:paraId="78D02643" w14:textId="77777777" w:rsidR="00BE59D8" w:rsidRPr="00771842" w:rsidRDefault="00BE59D8" w:rsidP="008F3E0F">
            <w:pPr>
              <w:jc w:val="right"/>
              <w:rPr>
                <w:i/>
                <w:sz w:val="24"/>
                <w:szCs w:val="24"/>
              </w:rPr>
            </w:pPr>
            <w:r w:rsidRPr="00771842">
              <w:rPr>
                <w:i/>
                <w:sz w:val="24"/>
                <w:szCs w:val="24"/>
              </w:rPr>
              <w:t>&gt;65</w:t>
            </w:r>
          </w:p>
        </w:tc>
        <w:tc>
          <w:tcPr>
            <w:tcW w:w="3010" w:type="dxa"/>
          </w:tcPr>
          <w:p w14:paraId="6458D6AB" w14:textId="77777777" w:rsidR="00BE59D8" w:rsidRPr="00771842" w:rsidRDefault="00BE59D8" w:rsidP="008F3E0F">
            <w:pPr>
              <w:jc w:val="center"/>
              <w:rPr>
                <w:sz w:val="24"/>
                <w:szCs w:val="24"/>
              </w:rPr>
            </w:pPr>
            <w:r>
              <w:rPr>
                <w:sz w:val="24"/>
                <w:szCs w:val="24"/>
              </w:rPr>
              <w:t>570 (23%)</w:t>
            </w:r>
          </w:p>
        </w:tc>
        <w:tc>
          <w:tcPr>
            <w:tcW w:w="3010" w:type="dxa"/>
          </w:tcPr>
          <w:p w14:paraId="3F30418D" w14:textId="77777777" w:rsidR="00BE59D8" w:rsidRDefault="00BE59D8" w:rsidP="008F3E0F">
            <w:pPr>
              <w:jc w:val="center"/>
              <w:rPr>
                <w:sz w:val="24"/>
                <w:szCs w:val="24"/>
              </w:rPr>
            </w:pPr>
            <w:r>
              <w:rPr>
                <w:sz w:val="24"/>
                <w:szCs w:val="24"/>
              </w:rPr>
              <w:t>11,580 (24%)</w:t>
            </w:r>
          </w:p>
        </w:tc>
      </w:tr>
      <w:tr w:rsidR="00BE59D8" w14:paraId="786DDFC5" w14:textId="77777777" w:rsidTr="003B6FA5">
        <w:tc>
          <w:tcPr>
            <w:tcW w:w="2996" w:type="dxa"/>
          </w:tcPr>
          <w:p w14:paraId="3DC00D07" w14:textId="77777777" w:rsidR="00BE59D8" w:rsidRPr="00BB0E5E" w:rsidRDefault="00BE59D8" w:rsidP="008F3E0F">
            <w:pPr>
              <w:jc w:val="right"/>
              <w:rPr>
                <w:i/>
                <w:sz w:val="24"/>
                <w:szCs w:val="24"/>
              </w:rPr>
            </w:pPr>
            <w:r w:rsidRPr="00BB0E5E">
              <w:rPr>
                <w:i/>
                <w:sz w:val="24"/>
                <w:szCs w:val="24"/>
              </w:rPr>
              <w:t>Me</w:t>
            </w:r>
            <w:r>
              <w:rPr>
                <w:i/>
                <w:sz w:val="24"/>
                <w:szCs w:val="24"/>
              </w:rPr>
              <w:t>dian</w:t>
            </w:r>
            <w:r w:rsidRPr="00BB0E5E">
              <w:rPr>
                <w:i/>
                <w:sz w:val="24"/>
                <w:szCs w:val="24"/>
              </w:rPr>
              <w:t xml:space="preserve"> (IQR)</w:t>
            </w:r>
          </w:p>
        </w:tc>
        <w:tc>
          <w:tcPr>
            <w:tcW w:w="3010" w:type="dxa"/>
          </w:tcPr>
          <w:p w14:paraId="0BC09D5D" w14:textId="77777777" w:rsidR="00BE59D8" w:rsidRPr="0044611C" w:rsidRDefault="00BE59D8" w:rsidP="008F3E0F">
            <w:pPr>
              <w:jc w:val="center"/>
              <w:rPr>
                <w:sz w:val="24"/>
                <w:szCs w:val="24"/>
              </w:rPr>
            </w:pPr>
            <w:r w:rsidRPr="0044611C">
              <w:rPr>
                <w:sz w:val="24"/>
                <w:szCs w:val="24"/>
              </w:rPr>
              <w:t>45 (25-63)</w:t>
            </w:r>
          </w:p>
        </w:tc>
        <w:tc>
          <w:tcPr>
            <w:tcW w:w="3010" w:type="dxa"/>
          </w:tcPr>
          <w:p w14:paraId="7761A7C3" w14:textId="77777777" w:rsidR="00BE59D8" w:rsidRDefault="00BE59D8" w:rsidP="008F3E0F">
            <w:pPr>
              <w:jc w:val="center"/>
              <w:rPr>
                <w:sz w:val="24"/>
                <w:szCs w:val="24"/>
              </w:rPr>
            </w:pPr>
            <w:r>
              <w:rPr>
                <w:sz w:val="24"/>
                <w:szCs w:val="24"/>
              </w:rPr>
              <w:t>47 (26-65)</w:t>
            </w:r>
          </w:p>
        </w:tc>
      </w:tr>
      <w:tr w:rsidR="00BE59D8" w14:paraId="24E866DE" w14:textId="77777777" w:rsidTr="003B6FA5">
        <w:tc>
          <w:tcPr>
            <w:tcW w:w="2996" w:type="dxa"/>
          </w:tcPr>
          <w:p w14:paraId="4AD34076" w14:textId="77777777" w:rsidR="00BE59D8" w:rsidRPr="00771842" w:rsidRDefault="00BE59D8" w:rsidP="008F3E0F">
            <w:pPr>
              <w:rPr>
                <w:b/>
                <w:sz w:val="24"/>
                <w:szCs w:val="24"/>
              </w:rPr>
            </w:pPr>
            <w:r>
              <w:rPr>
                <w:b/>
                <w:sz w:val="24"/>
                <w:szCs w:val="24"/>
              </w:rPr>
              <w:t>Sex</w:t>
            </w:r>
          </w:p>
        </w:tc>
        <w:tc>
          <w:tcPr>
            <w:tcW w:w="3010" w:type="dxa"/>
          </w:tcPr>
          <w:p w14:paraId="255CD1B3" w14:textId="77777777" w:rsidR="00BE59D8" w:rsidRPr="00771842" w:rsidRDefault="00BE59D8" w:rsidP="008F3E0F">
            <w:pPr>
              <w:jc w:val="center"/>
              <w:rPr>
                <w:sz w:val="24"/>
                <w:szCs w:val="24"/>
              </w:rPr>
            </w:pPr>
          </w:p>
        </w:tc>
        <w:tc>
          <w:tcPr>
            <w:tcW w:w="3010" w:type="dxa"/>
          </w:tcPr>
          <w:p w14:paraId="74E589E7" w14:textId="77777777" w:rsidR="00BE59D8" w:rsidRDefault="00BE59D8" w:rsidP="008F3E0F">
            <w:pPr>
              <w:jc w:val="center"/>
              <w:rPr>
                <w:sz w:val="24"/>
                <w:szCs w:val="24"/>
              </w:rPr>
            </w:pPr>
          </w:p>
        </w:tc>
      </w:tr>
      <w:tr w:rsidR="00BE59D8" w14:paraId="6C052BA9" w14:textId="77777777" w:rsidTr="003B6FA5">
        <w:tc>
          <w:tcPr>
            <w:tcW w:w="2996" w:type="dxa"/>
          </w:tcPr>
          <w:p w14:paraId="02BF278C" w14:textId="77777777" w:rsidR="00BE59D8" w:rsidRPr="00771842" w:rsidRDefault="00BE59D8" w:rsidP="008F3E0F">
            <w:pPr>
              <w:jc w:val="right"/>
              <w:rPr>
                <w:i/>
                <w:sz w:val="24"/>
                <w:szCs w:val="24"/>
              </w:rPr>
            </w:pPr>
            <w:r w:rsidRPr="00771842">
              <w:rPr>
                <w:i/>
                <w:sz w:val="24"/>
                <w:szCs w:val="24"/>
              </w:rPr>
              <w:t>Male</w:t>
            </w:r>
          </w:p>
        </w:tc>
        <w:tc>
          <w:tcPr>
            <w:tcW w:w="3010" w:type="dxa"/>
          </w:tcPr>
          <w:p w14:paraId="7A5CD19D" w14:textId="77777777" w:rsidR="00BE59D8" w:rsidRPr="00771842" w:rsidRDefault="00BE59D8" w:rsidP="008F3E0F">
            <w:pPr>
              <w:jc w:val="center"/>
              <w:rPr>
                <w:sz w:val="24"/>
                <w:szCs w:val="24"/>
              </w:rPr>
            </w:pPr>
            <w:r>
              <w:rPr>
                <w:sz w:val="24"/>
                <w:szCs w:val="24"/>
              </w:rPr>
              <w:t>1,167 (47%)</w:t>
            </w:r>
          </w:p>
        </w:tc>
        <w:tc>
          <w:tcPr>
            <w:tcW w:w="3010" w:type="dxa"/>
          </w:tcPr>
          <w:p w14:paraId="55E2773C" w14:textId="77777777" w:rsidR="00BE59D8" w:rsidRDefault="00BE59D8" w:rsidP="008F3E0F">
            <w:pPr>
              <w:jc w:val="center"/>
              <w:rPr>
                <w:sz w:val="24"/>
                <w:szCs w:val="24"/>
              </w:rPr>
            </w:pPr>
            <w:r>
              <w:rPr>
                <w:sz w:val="24"/>
                <w:szCs w:val="24"/>
              </w:rPr>
              <w:t>21,922 (46%)</w:t>
            </w:r>
          </w:p>
        </w:tc>
      </w:tr>
      <w:tr w:rsidR="00BE59D8" w14:paraId="6EB11804" w14:textId="77777777" w:rsidTr="003B6FA5">
        <w:tc>
          <w:tcPr>
            <w:tcW w:w="2996" w:type="dxa"/>
          </w:tcPr>
          <w:p w14:paraId="1D68DDB2" w14:textId="77777777" w:rsidR="00BE59D8" w:rsidRPr="00771842" w:rsidRDefault="00BE59D8" w:rsidP="008F3E0F">
            <w:pPr>
              <w:jc w:val="right"/>
              <w:rPr>
                <w:i/>
                <w:sz w:val="24"/>
                <w:szCs w:val="24"/>
              </w:rPr>
            </w:pPr>
            <w:r w:rsidRPr="00771842">
              <w:rPr>
                <w:i/>
                <w:sz w:val="24"/>
                <w:szCs w:val="24"/>
              </w:rPr>
              <w:t>Female</w:t>
            </w:r>
          </w:p>
        </w:tc>
        <w:tc>
          <w:tcPr>
            <w:tcW w:w="3010" w:type="dxa"/>
          </w:tcPr>
          <w:p w14:paraId="5B0DAD56" w14:textId="77777777" w:rsidR="00BE59D8" w:rsidRPr="00771842" w:rsidRDefault="00BE59D8" w:rsidP="008F3E0F">
            <w:pPr>
              <w:jc w:val="center"/>
              <w:rPr>
                <w:sz w:val="24"/>
                <w:szCs w:val="24"/>
              </w:rPr>
            </w:pPr>
            <w:r>
              <w:rPr>
                <w:sz w:val="24"/>
                <w:szCs w:val="24"/>
              </w:rPr>
              <w:t>1,293 (53%)</w:t>
            </w:r>
          </w:p>
        </w:tc>
        <w:tc>
          <w:tcPr>
            <w:tcW w:w="3010" w:type="dxa"/>
          </w:tcPr>
          <w:p w14:paraId="36BF9482" w14:textId="77777777" w:rsidR="00BE59D8" w:rsidRDefault="00BE59D8" w:rsidP="008F3E0F">
            <w:pPr>
              <w:jc w:val="center"/>
              <w:rPr>
                <w:sz w:val="24"/>
                <w:szCs w:val="24"/>
              </w:rPr>
            </w:pPr>
            <w:r>
              <w:rPr>
                <w:sz w:val="24"/>
                <w:szCs w:val="24"/>
              </w:rPr>
              <w:t>25,992 (54%)</w:t>
            </w:r>
          </w:p>
        </w:tc>
      </w:tr>
      <w:tr w:rsidR="00BE59D8" w14:paraId="76A7FDAE" w14:textId="77777777" w:rsidTr="003B6FA5">
        <w:tc>
          <w:tcPr>
            <w:tcW w:w="2996" w:type="dxa"/>
          </w:tcPr>
          <w:p w14:paraId="4AB4BCCB" w14:textId="77777777" w:rsidR="00BE59D8" w:rsidRPr="00771842" w:rsidRDefault="00BE59D8" w:rsidP="008F3E0F">
            <w:pPr>
              <w:rPr>
                <w:b/>
                <w:sz w:val="24"/>
                <w:szCs w:val="24"/>
              </w:rPr>
            </w:pPr>
            <w:r w:rsidRPr="00771842">
              <w:rPr>
                <w:b/>
                <w:sz w:val="24"/>
                <w:szCs w:val="24"/>
              </w:rPr>
              <w:t>Calendar year at index date</w:t>
            </w:r>
          </w:p>
        </w:tc>
        <w:tc>
          <w:tcPr>
            <w:tcW w:w="3010" w:type="dxa"/>
          </w:tcPr>
          <w:p w14:paraId="12BB9C87" w14:textId="77777777" w:rsidR="00BE59D8" w:rsidRPr="00771842" w:rsidRDefault="00BE59D8" w:rsidP="008F3E0F">
            <w:pPr>
              <w:jc w:val="center"/>
              <w:rPr>
                <w:sz w:val="24"/>
                <w:szCs w:val="24"/>
              </w:rPr>
            </w:pPr>
          </w:p>
        </w:tc>
        <w:tc>
          <w:tcPr>
            <w:tcW w:w="3010" w:type="dxa"/>
          </w:tcPr>
          <w:p w14:paraId="4270A648" w14:textId="77777777" w:rsidR="00BE59D8" w:rsidRDefault="00BE59D8" w:rsidP="008F3E0F">
            <w:pPr>
              <w:jc w:val="center"/>
              <w:rPr>
                <w:sz w:val="24"/>
                <w:szCs w:val="24"/>
              </w:rPr>
            </w:pPr>
          </w:p>
        </w:tc>
      </w:tr>
      <w:tr w:rsidR="00BE59D8" w14:paraId="1FBE8A3A" w14:textId="77777777" w:rsidTr="003B6FA5">
        <w:tc>
          <w:tcPr>
            <w:tcW w:w="2996" w:type="dxa"/>
          </w:tcPr>
          <w:p w14:paraId="25BC0123" w14:textId="77777777" w:rsidR="00BE59D8" w:rsidRPr="00DA392E" w:rsidRDefault="00BE59D8" w:rsidP="008F3E0F">
            <w:pPr>
              <w:jc w:val="right"/>
              <w:rPr>
                <w:i/>
                <w:sz w:val="24"/>
                <w:szCs w:val="24"/>
              </w:rPr>
            </w:pPr>
            <w:r w:rsidRPr="00DA392E">
              <w:rPr>
                <w:i/>
                <w:sz w:val="24"/>
                <w:szCs w:val="24"/>
              </w:rPr>
              <w:t>Pre-1995</w:t>
            </w:r>
          </w:p>
        </w:tc>
        <w:tc>
          <w:tcPr>
            <w:tcW w:w="3010" w:type="dxa"/>
          </w:tcPr>
          <w:p w14:paraId="3884582F" w14:textId="77777777" w:rsidR="00BE59D8" w:rsidRPr="00771842" w:rsidRDefault="00BE59D8" w:rsidP="008F3E0F">
            <w:pPr>
              <w:jc w:val="center"/>
              <w:rPr>
                <w:sz w:val="24"/>
                <w:szCs w:val="24"/>
              </w:rPr>
            </w:pPr>
            <w:r>
              <w:rPr>
                <w:sz w:val="24"/>
                <w:szCs w:val="24"/>
              </w:rPr>
              <w:t>170 (7%)</w:t>
            </w:r>
          </w:p>
        </w:tc>
        <w:tc>
          <w:tcPr>
            <w:tcW w:w="3010" w:type="dxa"/>
          </w:tcPr>
          <w:p w14:paraId="4837CCF4" w14:textId="77777777" w:rsidR="00BE59D8" w:rsidRDefault="00BE59D8" w:rsidP="008F3E0F">
            <w:pPr>
              <w:jc w:val="center"/>
              <w:rPr>
                <w:sz w:val="24"/>
                <w:szCs w:val="24"/>
              </w:rPr>
            </w:pPr>
            <w:r>
              <w:rPr>
                <w:sz w:val="24"/>
                <w:szCs w:val="24"/>
              </w:rPr>
              <w:t>3,222 (7%)</w:t>
            </w:r>
          </w:p>
        </w:tc>
      </w:tr>
      <w:tr w:rsidR="00BE59D8" w14:paraId="13488670" w14:textId="77777777" w:rsidTr="003B6FA5">
        <w:tc>
          <w:tcPr>
            <w:tcW w:w="2996" w:type="dxa"/>
          </w:tcPr>
          <w:p w14:paraId="6BC9A7E3" w14:textId="77777777" w:rsidR="00BE59D8" w:rsidRPr="00DA392E" w:rsidRDefault="00BE59D8" w:rsidP="008F3E0F">
            <w:pPr>
              <w:jc w:val="right"/>
              <w:rPr>
                <w:i/>
                <w:sz w:val="24"/>
                <w:szCs w:val="24"/>
              </w:rPr>
            </w:pPr>
            <w:r w:rsidRPr="00DA392E">
              <w:rPr>
                <w:i/>
                <w:sz w:val="24"/>
                <w:szCs w:val="24"/>
              </w:rPr>
              <w:t>1995-2005</w:t>
            </w:r>
          </w:p>
        </w:tc>
        <w:tc>
          <w:tcPr>
            <w:tcW w:w="3010" w:type="dxa"/>
          </w:tcPr>
          <w:p w14:paraId="323AA0FB" w14:textId="77777777" w:rsidR="00BE59D8" w:rsidRPr="00771842" w:rsidRDefault="00BE59D8" w:rsidP="008F3E0F">
            <w:pPr>
              <w:jc w:val="center"/>
              <w:rPr>
                <w:sz w:val="24"/>
                <w:szCs w:val="24"/>
              </w:rPr>
            </w:pPr>
            <w:r>
              <w:rPr>
                <w:sz w:val="24"/>
                <w:szCs w:val="24"/>
              </w:rPr>
              <w:t>1,069 (43%)</w:t>
            </w:r>
          </w:p>
        </w:tc>
        <w:tc>
          <w:tcPr>
            <w:tcW w:w="3010" w:type="dxa"/>
          </w:tcPr>
          <w:p w14:paraId="0E3E9E38" w14:textId="77777777" w:rsidR="00BE59D8" w:rsidRDefault="00BE59D8" w:rsidP="008F3E0F">
            <w:pPr>
              <w:jc w:val="center"/>
              <w:rPr>
                <w:sz w:val="24"/>
                <w:szCs w:val="24"/>
              </w:rPr>
            </w:pPr>
            <w:r>
              <w:rPr>
                <w:sz w:val="24"/>
                <w:szCs w:val="24"/>
              </w:rPr>
              <w:t>20,722 (43%)</w:t>
            </w:r>
          </w:p>
        </w:tc>
      </w:tr>
      <w:tr w:rsidR="00BE59D8" w14:paraId="56A34494" w14:textId="77777777" w:rsidTr="003B6FA5">
        <w:tc>
          <w:tcPr>
            <w:tcW w:w="2996" w:type="dxa"/>
          </w:tcPr>
          <w:p w14:paraId="605A4416" w14:textId="77777777" w:rsidR="00BE59D8" w:rsidRPr="00DA392E" w:rsidRDefault="00BE59D8" w:rsidP="008F3E0F">
            <w:pPr>
              <w:jc w:val="right"/>
              <w:rPr>
                <w:i/>
                <w:sz w:val="24"/>
                <w:szCs w:val="24"/>
              </w:rPr>
            </w:pPr>
            <w:r w:rsidRPr="00DA392E">
              <w:rPr>
                <w:i/>
                <w:sz w:val="24"/>
                <w:szCs w:val="24"/>
              </w:rPr>
              <w:t>Post-2005</w:t>
            </w:r>
          </w:p>
        </w:tc>
        <w:tc>
          <w:tcPr>
            <w:tcW w:w="3010" w:type="dxa"/>
          </w:tcPr>
          <w:p w14:paraId="01F2F230" w14:textId="77777777" w:rsidR="00BE59D8" w:rsidRPr="00771842" w:rsidRDefault="00BE59D8" w:rsidP="008F3E0F">
            <w:pPr>
              <w:jc w:val="center"/>
              <w:rPr>
                <w:sz w:val="24"/>
                <w:szCs w:val="24"/>
              </w:rPr>
            </w:pPr>
            <w:r>
              <w:rPr>
                <w:sz w:val="24"/>
                <w:szCs w:val="24"/>
              </w:rPr>
              <w:t>1,221 (50%)</w:t>
            </w:r>
          </w:p>
        </w:tc>
        <w:tc>
          <w:tcPr>
            <w:tcW w:w="3010" w:type="dxa"/>
          </w:tcPr>
          <w:p w14:paraId="6041C805" w14:textId="77777777" w:rsidR="00BE59D8" w:rsidRDefault="00BE59D8" w:rsidP="008F3E0F">
            <w:pPr>
              <w:jc w:val="center"/>
              <w:rPr>
                <w:sz w:val="24"/>
                <w:szCs w:val="24"/>
              </w:rPr>
            </w:pPr>
            <w:r>
              <w:rPr>
                <w:sz w:val="24"/>
                <w:szCs w:val="24"/>
              </w:rPr>
              <w:t>23,970 (50%)</w:t>
            </w:r>
          </w:p>
        </w:tc>
      </w:tr>
      <w:tr w:rsidR="00BE59D8" w14:paraId="1CB9DF54" w14:textId="77777777" w:rsidTr="003B6FA5">
        <w:tc>
          <w:tcPr>
            <w:tcW w:w="2996" w:type="dxa"/>
          </w:tcPr>
          <w:p w14:paraId="396354E9" w14:textId="77777777" w:rsidR="00BE59D8" w:rsidRPr="00771842" w:rsidRDefault="00BE59D8" w:rsidP="008F3E0F">
            <w:pPr>
              <w:rPr>
                <w:b/>
                <w:sz w:val="24"/>
                <w:szCs w:val="24"/>
              </w:rPr>
            </w:pPr>
            <w:r>
              <w:rPr>
                <w:b/>
                <w:sz w:val="24"/>
                <w:szCs w:val="24"/>
              </w:rPr>
              <w:t>Median</w:t>
            </w:r>
            <w:r w:rsidRPr="00771842">
              <w:rPr>
                <w:b/>
                <w:sz w:val="24"/>
                <w:szCs w:val="24"/>
              </w:rPr>
              <w:t xml:space="preserve"> </w:t>
            </w:r>
            <w:r>
              <w:rPr>
                <w:b/>
                <w:sz w:val="24"/>
                <w:szCs w:val="24"/>
              </w:rPr>
              <w:t xml:space="preserve">length of </w:t>
            </w:r>
            <w:r w:rsidRPr="00771842">
              <w:rPr>
                <w:b/>
                <w:sz w:val="24"/>
                <w:szCs w:val="24"/>
              </w:rPr>
              <w:t>follow-up</w:t>
            </w:r>
            <w:r>
              <w:rPr>
                <w:b/>
                <w:sz w:val="24"/>
                <w:szCs w:val="24"/>
              </w:rPr>
              <w:t xml:space="preserve"> in years (IQR)</w:t>
            </w:r>
          </w:p>
        </w:tc>
        <w:tc>
          <w:tcPr>
            <w:tcW w:w="3010" w:type="dxa"/>
          </w:tcPr>
          <w:p w14:paraId="32BD47BC" w14:textId="77777777" w:rsidR="00BE59D8" w:rsidRPr="00771842" w:rsidRDefault="00BE59D8" w:rsidP="008F3E0F">
            <w:pPr>
              <w:jc w:val="center"/>
              <w:rPr>
                <w:sz w:val="24"/>
                <w:szCs w:val="24"/>
              </w:rPr>
            </w:pPr>
            <w:r>
              <w:rPr>
                <w:sz w:val="24"/>
                <w:szCs w:val="24"/>
              </w:rPr>
              <w:t>3.5 (1.3-7.9)</w:t>
            </w:r>
          </w:p>
        </w:tc>
        <w:tc>
          <w:tcPr>
            <w:tcW w:w="3010" w:type="dxa"/>
          </w:tcPr>
          <w:p w14:paraId="2275D004" w14:textId="77777777" w:rsidR="00BE59D8" w:rsidRDefault="00BE59D8" w:rsidP="008F3E0F">
            <w:pPr>
              <w:jc w:val="center"/>
              <w:rPr>
                <w:sz w:val="24"/>
                <w:szCs w:val="24"/>
              </w:rPr>
            </w:pPr>
            <w:r>
              <w:rPr>
                <w:sz w:val="24"/>
                <w:szCs w:val="24"/>
              </w:rPr>
              <w:t>4.5 (2.0-8.6)</w:t>
            </w:r>
          </w:p>
        </w:tc>
      </w:tr>
    </w:tbl>
    <w:p w14:paraId="19EB5CFA" w14:textId="77777777" w:rsidR="00BE59D8" w:rsidRPr="007B5F38" w:rsidRDefault="00BE59D8" w:rsidP="00864A61">
      <w:pPr>
        <w:spacing w:after="0" w:line="360" w:lineRule="auto"/>
        <w:rPr>
          <w:sz w:val="24"/>
          <w:szCs w:val="24"/>
        </w:rPr>
      </w:pPr>
    </w:p>
    <w:p w14:paraId="446154FA" w14:textId="158551D6" w:rsidR="00E15747" w:rsidRDefault="001913CD" w:rsidP="00864A61">
      <w:pPr>
        <w:spacing w:after="0" w:line="360" w:lineRule="auto"/>
        <w:rPr>
          <w:sz w:val="24"/>
          <w:szCs w:val="24"/>
        </w:rPr>
      </w:pPr>
      <w:r>
        <w:rPr>
          <w:sz w:val="24"/>
          <w:szCs w:val="24"/>
        </w:rPr>
        <w:t xml:space="preserve">The crude (unadjusted) </w:t>
      </w:r>
      <w:r w:rsidR="00C9309A">
        <w:rPr>
          <w:sz w:val="24"/>
          <w:szCs w:val="24"/>
        </w:rPr>
        <w:t>rate</w:t>
      </w:r>
      <w:r>
        <w:rPr>
          <w:sz w:val="24"/>
          <w:szCs w:val="24"/>
        </w:rPr>
        <w:t xml:space="preserve"> </w:t>
      </w:r>
      <w:r w:rsidR="00BE174C">
        <w:rPr>
          <w:sz w:val="24"/>
          <w:szCs w:val="24"/>
        </w:rPr>
        <w:t>of</w:t>
      </w:r>
      <w:r>
        <w:rPr>
          <w:sz w:val="24"/>
          <w:szCs w:val="24"/>
        </w:rPr>
        <w:t xml:space="preserve"> all outcomes for exposed and unexposed individuals are displayed in </w:t>
      </w:r>
      <w:r w:rsidRPr="001913CD">
        <w:rPr>
          <w:b/>
          <w:sz w:val="24"/>
          <w:szCs w:val="24"/>
        </w:rPr>
        <w:t>Table 2</w:t>
      </w:r>
      <w:r>
        <w:rPr>
          <w:sz w:val="24"/>
          <w:szCs w:val="24"/>
        </w:rPr>
        <w:t xml:space="preserve">. </w:t>
      </w:r>
      <w:r w:rsidR="00D54932">
        <w:rPr>
          <w:sz w:val="24"/>
          <w:szCs w:val="24"/>
        </w:rPr>
        <w:t>The rates range</w:t>
      </w:r>
      <w:r w:rsidR="000E6D4D">
        <w:rPr>
          <w:sz w:val="24"/>
          <w:szCs w:val="24"/>
        </w:rPr>
        <w:t>d</w:t>
      </w:r>
      <w:r w:rsidR="00D54932">
        <w:rPr>
          <w:sz w:val="24"/>
          <w:szCs w:val="24"/>
        </w:rPr>
        <w:t xml:space="preserve"> from 1/1,000 </w:t>
      </w:r>
      <w:r w:rsidR="000D1E0E">
        <w:rPr>
          <w:sz w:val="24"/>
          <w:szCs w:val="24"/>
        </w:rPr>
        <w:t xml:space="preserve">PY </w:t>
      </w:r>
      <w:r w:rsidR="00D54932">
        <w:rPr>
          <w:sz w:val="24"/>
          <w:szCs w:val="24"/>
        </w:rPr>
        <w:t xml:space="preserve">for bipolar disorder to 33.7/1,000 </w:t>
      </w:r>
      <w:r w:rsidR="000D1E0E">
        <w:rPr>
          <w:sz w:val="24"/>
          <w:szCs w:val="24"/>
        </w:rPr>
        <w:t xml:space="preserve">PY </w:t>
      </w:r>
      <w:r w:rsidR="00D54932">
        <w:rPr>
          <w:sz w:val="24"/>
          <w:szCs w:val="24"/>
        </w:rPr>
        <w:t xml:space="preserve">for depressive disorders in the exposed group. Rates were lower in the unexposed group, ranging from 0.1/1,000 </w:t>
      </w:r>
      <w:r w:rsidR="000D1E0E">
        <w:rPr>
          <w:sz w:val="24"/>
          <w:szCs w:val="24"/>
        </w:rPr>
        <w:t xml:space="preserve">PY </w:t>
      </w:r>
      <w:r w:rsidR="00D54932">
        <w:rPr>
          <w:sz w:val="24"/>
          <w:szCs w:val="24"/>
        </w:rPr>
        <w:t>for bipolar disorder to 18.3/1,000</w:t>
      </w:r>
      <w:r w:rsidR="000D1E0E">
        <w:rPr>
          <w:sz w:val="24"/>
          <w:szCs w:val="24"/>
        </w:rPr>
        <w:t xml:space="preserve"> PY</w:t>
      </w:r>
      <w:r w:rsidR="00D54932">
        <w:rPr>
          <w:sz w:val="24"/>
          <w:szCs w:val="24"/>
        </w:rPr>
        <w:t xml:space="preserve"> for depressive disorders.</w:t>
      </w:r>
      <w:r w:rsidR="00AF3FDC">
        <w:rPr>
          <w:sz w:val="24"/>
          <w:szCs w:val="24"/>
        </w:rPr>
        <w:t xml:space="preserve"> </w:t>
      </w:r>
      <w:r w:rsidR="00844452" w:rsidRPr="007B5F38">
        <w:rPr>
          <w:sz w:val="24"/>
          <w:szCs w:val="24"/>
        </w:rPr>
        <w:t>Individuals with encephalitis had an increased r</w:t>
      </w:r>
      <w:r w:rsidR="000D0805">
        <w:rPr>
          <w:sz w:val="24"/>
          <w:szCs w:val="24"/>
        </w:rPr>
        <w:t>isk</w:t>
      </w:r>
      <w:r w:rsidR="001372D9">
        <w:rPr>
          <w:sz w:val="24"/>
          <w:szCs w:val="24"/>
        </w:rPr>
        <w:t xml:space="preserve"> </w:t>
      </w:r>
      <w:r w:rsidR="00844452" w:rsidRPr="007B5F38">
        <w:rPr>
          <w:sz w:val="24"/>
          <w:szCs w:val="24"/>
        </w:rPr>
        <w:t xml:space="preserve">of all </w:t>
      </w:r>
      <w:r w:rsidR="00EC0497">
        <w:rPr>
          <w:sz w:val="24"/>
          <w:szCs w:val="24"/>
        </w:rPr>
        <w:t xml:space="preserve">investigated </w:t>
      </w:r>
      <w:r w:rsidR="00844452" w:rsidRPr="007B5F38">
        <w:rPr>
          <w:sz w:val="24"/>
          <w:szCs w:val="24"/>
        </w:rPr>
        <w:t>outcomes compared to those without encephalitis</w:t>
      </w:r>
      <w:r w:rsidR="003B2DC2" w:rsidRPr="007B5F38">
        <w:rPr>
          <w:sz w:val="24"/>
          <w:szCs w:val="24"/>
        </w:rPr>
        <w:t xml:space="preserve"> </w:t>
      </w:r>
      <w:r w:rsidR="00F11A22" w:rsidRPr="007B5F38">
        <w:rPr>
          <w:sz w:val="24"/>
          <w:szCs w:val="24"/>
        </w:rPr>
        <w:t xml:space="preserve">after adjusting for current age, sex and </w:t>
      </w:r>
      <w:r w:rsidR="00AF3FDC">
        <w:rPr>
          <w:sz w:val="24"/>
          <w:szCs w:val="24"/>
        </w:rPr>
        <w:t>calendar year at index date</w:t>
      </w:r>
      <w:r w:rsidR="00F11A22" w:rsidRPr="007B5F38">
        <w:rPr>
          <w:sz w:val="24"/>
          <w:szCs w:val="24"/>
        </w:rPr>
        <w:t xml:space="preserve"> </w:t>
      </w:r>
      <w:r w:rsidR="003B2DC2" w:rsidRPr="007B5F38">
        <w:rPr>
          <w:sz w:val="24"/>
          <w:szCs w:val="24"/>
        </w:rPr>
        <w:t>(</w:t>
      </w:r>
      <w:r w:rsidR="000D1E0E" w:rsidRPr="000D1E0E">
        <w:rPr>
          <w:b/>
          <w:sz w:val="24"/>
          <w:szCs w:val="24"/>
        </w:rPr>
        <w:t>Figure 2;</w:t>
      </w:r>
      <w:r w:rsidR="000D1E0E">
        <w:rPr>
          <w:sz w:val="24"/>
          <w:szCs w:val="24"/>
        </w:rPr>
        <w:t xml:space="preserve"> </w:t>
      </w:r>
      <w:bookmarkStart w:id="0" w:name="_GoBack"/>
      <w:bookmarkEnd w:id="0"/>
      <w:r w:rsidR="003B2DC2" w:rsidRPr="00B145D1">
        <w:rPr>
          <w:b/>
          <w:sz w:val="24"/>
          <w:szCs w:val="24"/>
        </w:rPr>
        <w:t>Table 2</w:t>
      </w:r>
      <w:r w:rsidR="003B2DC2" w:rsidRPr="00B145D1">
        <w:rPr>
          <w:sz w:val="24"/>
          <w:szCs w:val="24"/>
        </w:rPr>
        <w:t>)</w:t>
      </w:r>
      <w:r w:rsidR="00844452" w:rsidRPr="00B145D1">
        <w:rPr>
          <w:sz w:val="24"/>
          <w:szCs w:val="24"/>
        </w:rPr>
        <w:t xml:space="preserve">. </w:t>
      </w:r>
      <w:r w:rsidR="00E23293" w:rsidRPr="00B145D1">
        <w:rPr>
          <w:sz w:val="24"/>
          <w:szCs w:val="24"/>
        </w:rPr>
        <w:t xml:space="preserve">The results remained </w:t>
      </w:r>
      <w:r w:rsidR="002A7F83" w:rsidRPr="00B145D1">
        <w:rPr>
          <w:sz w:val="24"/>
          <w:szCs w:val="24"/>
        </w:rPr>
        <w:t>the same</w:t>
      </w:r>
      <w:r w:rsidR="00E23293" w:rsidRPr="00B145D1">
        <w:rPr>
          <w:sz w:val="24"/>
          <w:szCs w:val="24"/>
        </w:rPr>
        <w:t xml:space="preserve"> when length of </w:t>
      </w:r>
      <w:r w:rsidR="00FA25EA" w:rsidRPr="00B145D1">
        <w:rPr>
          <w:sz w:val="24"/>
          <w:szCs w:val="24"/>
        </w:rPr>
        <w:t>follow up</w:t>
      </w:r>
      <w:r w:rsidR="00E23293" w:rsidRPr="00B145D1">
        <w:rPr>
          <w:sz w:val="24"/>
          <w:szCs w:val="24"/>
        </w:rPr>
        <w:t xml:space="preserve"> was added to the model (data not shown). </w:t>
      </w:r>
      <w:r w:rsidR="00FB3317" w:rsidRPr="00B145D1">
        <w:rPr>
          <w:sz w:val="24"/>
          <w:szCs w:val="24"/>
        </w:rPr>
        <w:t>The</w:t>
      </w:r>
      <w:r w:rsidR="00FB3317" w:rsidRPr="007B5F38">
        <w:rPr>
          <w:sz w:val="24"/>
          <w:szCs w:val="24"/>
        </w:rPr>
        <w:t xml:space="preserve"> highest RR was seen for epilepsy (RR = 31.9</w:t>
      </w:r>
      <w:r w:rsidR="00D6141C">
        <w:rPr>
          <w:sz w:val="24"/>
          <w:szCs w:val="24"/>
        </w:rPr>
        <w:t>; 95%CI</w:t>
      </w:r>
      <w:r w:rsidR="00FA25EA">
        <w:rPr>
          <w:sz w:val="24"/>
          <w:szCs w:val="24"/>
        </w:rPr>
        <w:t>:</w:t>
      </w:r>
      <w:r w:rsidR="00D6141C">
        <w:rPr>
          <w:sz w:val="24"/>
          <w:szCs w:val="24"/>
        </w:rPr>
        <w:t xml:space="preserve"> </w:t>
      </w:r>
      <w:r w:rsidR="00D6141C" w:rsidRPr="000D0D10">
        <w:rPr>
          <w:sz w:val="24"/>
          <w:szCs w:val="24"/>
        </w:rPr>
        <w:t>25.38-40.08</w:t>
      </w:r>
      <w:r w:rsidR="00D6141C">
        <w:rPr>
          <w:sz w:val="24"/>
          <w:szCs w:val="24"/>
        </w:rPr>
        <w:t>)</w:t>
      </w:r>
      <w:r w:rsidR="00FB3317" w:rsidRPr="007B5F38">
        <w:rPr>
          <w:sz w:val="24"/>
          <w:szCs w:val="24"/>
        </w:rPr>
        <w:t xml:space="preserve"> whereas the lowest RR was seen for anxiety disorders; however</w:t>
      </w:r>
      <w:r w:rsidR="00175078">
        <w:rPr>
          <w:sz w:val="24"/>
          <w:szCs w:val="24"/>
        </w:rPr>
        <w:t>,</w:t>
      </w:r>
      <w:r w:rsidR="00FB3317" w:rsidRPr="007B5F38">
        <w:rPr>
          <w:sz w:val="24"/>
          <w:szCs w:val="24"/>
        </w:rPr>
        <w:t xml:space="preserve"> the exposed</w:t>
      </w:r>
      <w:r w:rsidR="00744F3F" w:rsidRPr="007B5F38">
        <w:rPr>
          <w:sz w:val="24"/>
          <w:szCs w:val="24"/>
        </w:rPr>
        <w:t xml:space="preserve"> individuals still had a 46% increased rate of anxiety disorders compared to individuals without encephalitis.</w:t>
      </w:r>
      <w:r w:rsidR="00245EC3" w:rsidRPr="007B5F38">
        <w:rPr>
          <w:sz w:val="24"/>
          <w:szCs w:val="24"/>
        </w:rPr>
        <w:t xml:space="preserve"> </w:t>
      </w:r>
      <w:r w:rsidR="0062499D">
        <w:rPr>
          <w:sz w:val="24"/>
          <w:szCs w:val="24"/>
        </w:rPr>
        <w:t xml:space="preserve">The </w:t>
      </w:r>
      <w:r w:rsidR="00B86CBF">
        <w:rPr>
          <w:sz w:val="24"/>
          <w:szCs w:val="24"/>
        </w:rPr>
        <w:t xml:space="preserve">second highest </w:t>
      </w:r>
      <w:r w:rsidR="0062499D">
        <w:rPr>
          <w:sz w:val="24"/>
          <w:szCs w:val="24"/>
        </w:rPr>
        <w:t xml:space="preserve">RRs </w:t>
      </w:r>
      <w:r w:rsidR="00B86CBF">
        <w:rPr>
          <w:sz w:val="24"/>
          <w:szCs w:val="24"/>
        </w:rPr>
        <w:t xml:space="preserve">were </w:t>
      </w:r>
      <w:r w:rsidR="0062499D">
        <w:rPr>
          <w:sz w:val="24"/>
          <w:szCs w:val="24"/>
        </w:rPr>
        <w:t xml:space="preserve">for </w:t>
      </w:r>
      <w:r w:rsidR="00DE577B">
        <w:rPr>
          <w:sz w:val="24"/>
          <w:szCs w:val="24"/>
        </w:rPr>
        <w:t xml:space="preserve">particular </w:t>
      </w:r>
      <w:r w:rsidR="0062499D">
        <w:rPr>
          <w:sz w:val="24"/>
          <w:szCs w:val="24"/>
        </w:rPr>
        <w:t>psychiatric illnesses</w:t>
      </w:r>
      <w:r w:rsidR="00FA25EA">
        <w:rPr>
          <w:sz w:val="24"/>
          <w:szCs w:val="24"/>
        </w:rPr>
        <w:t>, with more than six-fold rates for</w:t>
      </w:r>
      <w:r w:rsidR="0062499D">
        <w:rPr>
          <w:sz w:val="24"/>
          <w:szCs w:val="24"/>
        </w:rPr>
        <w:t xml:space="preserve"> bipolar disorder and </w:t>
      </w:r>
      <w:r w:rsidR="00FA25EA">
        <w:rPr>
          <w:sz w:val="24"/>
          <w:szCs w:val="24"/>
        </w:rPr>
        <w:t>more than three-fold rates</w:t>
      </w:r>
      <w:r w:rsidR="0062499D">
        <w:rPr>
          <w:sz w:val="24"/>
          <w:szCs w:val="24"/>
        </w:rPr>
        <w:t xml:space="preserve"> for psychotic disorder</w:t>
      </w:r>
      <w:r w:rsidR="005C587B">
        <w:rPr>
          <w:sz w:val="24"/>
          <w:szCs w:val="24"/>
        </w:rPr>
        <w:t>s</w:t>
      </w:r>
      <w:r w:rsidR="0062499D">
        <w:rPr>
          <w:sz w:val="24"/>
          <w:szCs w:val="24"/>
        </w:rPr>
        <w:t xml:space="preserve">. </w:t>
      </w:r>
    </w:p>
    <w:p w14:paraId="4B8F0D06" w14:textId="5BC61356" w:rsidR="00BE59D8" w:rsidRDefault="00BE59D8" w:rsidP="00864A61">
      <w:pPr>
        <w:spacing w:after="0" w:line="360" w:lineRule="auto"/>
        <w:rPr>
          <w:sz w:val="24"/>
          <w:szCs w:val="24"/>
        </w:rPr>
      </w:pPr>
    </w:p>
    <w:p w14:paraId="58E0B3F7" w14:textId="3F64EFE2" w:rsidR="00BE59D8" w:rsidRDefault="00BE59D8" w:rsidP="00864A61">
      <w:pPr>
        <w:spacing w:after="0" w:line="360" w:lineRule="auto"/>
        <w:rPr>
          <w:sz w:val="24"/>
          <w:szCs w:val="24"/>
        </w:rPr>
      </w:pPr>
    </w:p>
    <w:p w14:paraId="1E53932F" w14:textId="77777777" w:rsidR="00BE59D8" w:rsidRDefault="00BE59D8" w:rsidP="00864A61">
      <w:pPr>
        <w:spacing w:after="0" w:line="360" w:lineRule="auto"/>
        <w:rPr>
          <w:sz w:val="24"/>
          <w:szCs w:val="24"/>
        </w:rPr>
        <w:sectPr w:rsidR="00BE59D8" w:rsidSect="00BA68C7">
          <w:footerReference w:type="default" r:id="rId9"/>
          <w:pgSz w:w="11906" w:h="16838"/>
          <w:pgMar w:top="1440" w:right="1440" w:bottom="1440" w:left="1440" w:header="708" w:footer="708" w:gutter="0"/>
          <w:cols w:space="708"/>
          <w:docGrid w:linePitch="360"/>
        </w:sectPr>
      </w:pPr>
    </w:p>
    <w:p w14:paraId="07424300" w14:textId="77777777" w:rsidR="00BE59D8" w:rsidRDefault="00BE59D8" w:rsidP="00BE59D8">
      <w:pPr>
        <w:rPr>
          <w:b/>
          <w:sz w:val="24"/>
          <w:szCs w:val="24"/>
        </w:rPr>
      </w:pPr>
      <w:r w:rsidRPr="003944B7">
        <w:rPr>
          <w:b/>
          <w:sz w:val="24"/>
          <w:szCs w:val="24"/>
        </w:rPr>
        <w:lastRenderedPageBreak/>
        <w:t xml:space="preserve">Table </w:t>
      </w:r>
      <w:r>
        <w:rPr>
          <w:b/>
          <w:sz w:val="24"/>
          <w:szCs w:val="24"/>
        </w:rPr>
        <w:t>2</w:t>
      </w:r>
      <w:r w:rsidRPr="003944B7">
        <w:rPr>
          <w:b/>
          <w:sz w:val="24"/>
          <w:szCs w:val="24"/>
        </w:rPr>
        <w:t xml:space="preserve">. </w:t>
      </w:r>
      <w:r>
        <w:rPr>
          <w:b/>
          <w:sz w:val="24"/>
          <w:szCs w:val="24"/>
        </w:rPr>
        <w:t>Adjusted and unadjusted rate ratios for outcomes</w:t>
      </w:r>
    </w:p>
    <w:p w14:paraId="14111113" w14:textId="77777777" w:rsidR="00BE59D8" w:rsidRDefault="00BE59D8" w:rsidP="00BE59D8">
      <w:pPr>
        <w:rPr>
          <w:b/>
          <w:sz w:val="24"/>
          <w:szCs w:val="24"/>
        </w:rPr>
      </w:pPr>
    </w:p>
    <w:tbl>
      <w:tblPr>
        <w:tblStyle w:val="TableGrid"/>
        <w:tblW w:w="14283" w:type="dxa"/>
        <w:tblLayout w:type="fixed"/>
        <w:tblLook w:val="04A0" w:firstRow="1" w:lastRow="0" w:firstColumn="1" w:lastColumn="0" w:noHBand="0" w:noVBand="1"/>
      </w:tblPr>
      <w:tblGrid>
        <w:gridCol w:w="2660"/>
        <w:gridCol w:w="1417"/>
        <w:gridCol w:w="1560"/>
        <w:gridCol w:w="1984"/>
        <w:gridCol w:w="2268"/>
        <w:gridCol w:w="2268"/>
        <w:gridCol w:w="2126"/>
      </w:tblGrid>
      <w:tr w:rsidR="00BE59D8" w14:paraId="600CCC1B" w14:textId="77777777" w:rsidTr="008F3E0F">
        <w:tc>
          <w:tcPr>
            <w:tcW w:w="2660" w:type="dxa"/>
          </w:tcPr>
          <w:p w14:paraId="6DC8B09C" w14:textId="77777777" w:rsidR="00BE59D8" w:rsidRDefault="00BE59D8" w:rsidP="008F3E0F">
            <w:pPr>
              <w:rPr>
                <w:b/>
                <w:sz w:val="24"/>
                <w:szCs w:val="24"/>
              </w:rPr>
            </w:pPr>
            <w:r>
              <w:rPr>
                <w:b/>
                <w:sz w:val="24"/>
                <w:szCs w:val="24"/>
              </w:rPr>
              <w:t>Outcome</w:t>
            </w:r>
          </w:p>
        </w:tc>
        <w:tc>
          <w:tcPr>
            <w:tcW w:w="2977" w:type="dxa"/>
            <w:gridSpan w:val="2"/>
          </w:tcPr>
          <w:p w14:paraId="472C3F0B" w14:textId="77777777" w:rsidR="00BE59D8" w:rsidRDefault="00BE59D8" w:rsidP="008F3E0F">
            <w:pPr>
              <w:jc w:val="center"/>
              <w:rPr>
                <w:b/>
                <w:sz w:val="24"/>
                <w:szCs w:val="24"/>
              </w:rPr>
            </w:pPr>
            <w:r>
              <w:rPr>
                <w:b/>
                <w:sz w:val="24"/>
                <w:szCs w:val="24"/>
              </w:rPr>
              <w:t>Number of events (%)</w:t>
            </w:r>
          </w:p>
        </w:tc>
        <w:tc>
          <w:tcPr>
            <w:tcW w:w="4252" w:type="dxa"/>
            <w:gridSpan w:val="2"/>
          </w:tcPr>
          <w:p w14:paraId="077B51E8" w14:textId="77777777" w:rsidR="00BE59D8" w:rsidRDefault="00BE59D8" w:rsidP="008F3E0F">
            <w:pPr>
              <w:jc w:val="center"/>
              <w:rPr>
                <w:b/>
                <w:sz w:val="24"/>
                <w:szCs w:val="24"/>
              </w:rPr>
            </w:pPr>
            <w:r>
              <w:rPr>
                <w:b/>
                <w:sz w:val="24"/>
                <w:szCs w:val="24"/>
              </w:rPr>
              <w:t xml:space="preserve">Crude rate per 1,000 person-years </w:t>
            </w:r>
          </w:p>
          <w:p w14:paraId="2101DAA5" w14:textId="77777777" w:rsidR="00BE59D8" w:rsidRDefault="00BE59D8" w:rsidP="008F3E0F">
            <w:pPr>
              <w:jc w:val="center"/>
              <w:rPr>
                <w:b/>
                <w:sz w:val="24"/>
                <w:szCs w:val="24"/>
              </w:rPr>
            </w:pPr>
            <w:r>
              <w:rPr>
                <w:b/>
                <w:sz w:val="24"/>
                <w:szCs w:val="24"/>
              </w:rPr>
              <w:t>(95% CI)</w:t>
            </w:r>
          </w:p>
        </w:tc>
        <w:tc>
          <w:tcPr>
            <w:tcW w:w="2268" w:type="dxa"/>
          </w:tcPr>
          <w:p w14:paraId="5F2DA99B" w14:textId="77777777" w:rsidR="00BE59D8" w:rsidRDefault="00BE59D8" w:rsidP="008F3E0F">
            <w:pPr>
              <w:jc w:val="center"/>
              <w:rPr>
                <w:b/>
                <w:sz w:val="24"/>
                <w:szCs w:val="24"/>
              </w:rPr>
            </w:pPr>
            <w:r>
              <w:rPr>
                <w:b/>
                <w:sz w:val="24"/>
                <w:szCs w:val="24"/>
              </w:rPr>
              <w:t>Unadjusted RR</w:t>
            </w:r>
          </w:p>
          <w:p w14:paraId="75D08BF4" w14:textId="77777777" w:rsidR="00BE59D8" w:rsidRDefault="00BE59D8" w:rsidP="008F3E0F">
            <w:pPr>
              <w:jc w:val="center"/>
              <w:rPr>
                <w:b/>
                <w:sz w:val="24"/>
                <w:szCs w:val="24"/>
              </w:rPr>
            </w:pPr>
            <w:r>
              <w:rPr>
                <w:b/>
                <w:sz w:val="24"/>
                <w:szCs w:val="24"/>
              </w:rPr>
              <w:t>(95% CI)</w:t>
            </w:r>
          </w:p>
        </w:tc>
        <w:tc>
          <w:tcPr>
            <w:tcW w:w="2126" w:type="dxa"/>
          </w:tcPr>
          <w:p w14:paraId="5C95F804" w14:textId="77777777" w:rsidR="00BE59D8" w:rsidRDefault="00BE59D8" w:rsidP="008F3E0F">
            <w:pPr>
              <w:jc w:val="center"/>
              <w:rPr>
                <w:b/>
                <w:sz w:val="24"/>
                <w:szCs w:val="24"/>
              </w:rPr>
            </w:pPr>
            <w:r>
              <w:rPr>
                <w:b/>
                <w:sz w:val="24"/>
                <w:szCs w:val="24"/>
              </w:rPr>
              <w:t xml:space="preserve">Adjusted RR </w:t>
            </w:r>
          </w:p>
          <w:p w14:paraId="00588C58" w14:textId="77777777" w:rsidR="00BE59D8" w:rsidRDefault="00BE59D8" w:rsidP="008F3E0F">
            <w:pPr>
              <w:jc w:val="center"/>
              <w:rPr>
                <w:b/>
                <w:sz w:val="24"/>
                <w:szCs w:val="24"/>
              </w:rPr>
            </w:pPr>
            <w:r>
              <w:rPr>
                <w:b/>
                <w:sz w:val="24"/>
                <w:szCs w:val="24"/>
              </w:rPr>
              <w:t>(95% CI)*</w:t>
            </w:r>
          </w:p>
        </w:tc>
      </w:tr>
      <w:tr w:rsidR="00BE59D8" w14:paraId="5922EC6C" w14:textId="77777777" w:rsidTr="008F3E0F">
        <w:tc>
          <w:tcPr>
            <w:tcW w:w="2660" w:type="dxa"/>
          </w:tcPr>
          <w:p w14:paraId="65FF143B" w14:textId="77777777" w:rsidR="00BE59D8" w:rsidRDefault="00BE59D8" w:rsidP="008F3E0F">
            <w:pPr>
              <w:rPr>
                <w:b/>
                <w:sz w:val="24"/>
                <w:szCs w:val="24"/>
              </w:rPr>
            </w:pPr>
          </w:p>
        </w:tc>
        <w:tc>
          <w:tcPr>
            <w:tcW w:w="1417" w:type="dxa"/>
          </w:tcPr>
          <w:p w14:paraId="05B7FD4B" w14:textId="77777777" w:rsidR="00BE59D8" w:rsidRDefault="00BE59D8" w:rsidP="008F3E0F">
            <w:pPr>
              <w:jc w:val="center"/>
              <w:rPr>
                <w:b/>
                <w:sz w:val="24"/>
                <w:szCs w:val="24"/>
              </w:rPr>
            </w:pPr>
            <w:r>
              <w:rPr>
                <w:b/>
                <w:sz w:val="24"/>
                <w:szCs w:val="24"/>
              </w:rPr>
              <w:t xml:space="preserve">Encephalitis </w:t>
            </w:r>
            <w:r w:rsidRPr="0080703A">
              <w:rPr>
                <w:b/>
                <w:sz w:val="20"/>
                <w:szCs w:val="20"/>
              </w:rPr>
              <w:t>(n=2,460)</w:t>
            </w:r>
          </w:p>
        </w:tc>
        <w:tc>
          <w:tcPr>
            <w:tcW w:w="1560" w:type="dxa"/>
          </w:tcPr>
          <w:p w14:paraId="7E7CE243" w14:textId="77777777" w:rsidR="00BE59D8" w:rsidRDefault="00BE59D8" w:rsidP="008F3E0F">
            <w:pPr>
              <w:jc w:val="center"/>
              <w:rPr>
                <w:b/>
                <w:sz w:val="24"/>
                <w:szCs w:val="24"/>
              </w:rPr>
            </w:pPr>
            <w:r>
              <w:rPr>
                <w:b/>
                <w:sz w:val="24"/>
                <w:szCs w:val="24"/>
              </w:rPr>
              <w:t xml:space="preserve">Non-encephalitis </w:t>
            </w:r>
            <w:r w:rsidRPr="0080703A">
              <w:rPr>
                <w:b/>
                <w:sz w:val="20"/>
                <w:szCs w:val="20"/>
              </w:rPr>
              <w:t>(n=47,914)</w:t>
            </w:r>
          </w:p>
        </w:tc>
        <w:tc>
          <w:tcPr>
            <w:tcW w:w="1984" w:type="dxa"/>
          </w:tcPr>
          <w:p w14:paraId="18011123" w14:textId="77777777" w:rsidR="00BE59D8" w:rsidRDefault="00BE59D8" w:rsidP="008F3E0F">
            <w:pPr>
              <w:jc w:val="center"/>
              <w:rPr>
                <w:b/>
                <w:sz w:val="24"/>
                <w:szCs w:val="24"/>
              </w:rPr>
            </w:pPr>
            <w:r>
              <w:rPr>
                <w:b/>
                <w:sz w:val="24"/>
                <w:szCs w:val="24"/>
              </w:rPr>
              <w:t>Encephalitis</w:t>
            </w:r>
          </w:p>
        </w:tc>
        <w:tc>
          <w:tcPr>
            <w:tcW w:w="2268" w:type="dxa"/>
          </w:tcPr>
          <w:p w14:paraId="7BFB3BA9" w14:textId="77777777" w:rsidR="00BE59D8" w:rsidRPr="000C2E1A" w:rsidRDefault="00BE59D8" w:rsidP="008F3E0F">
            <w:pPr>
              <w:jc w:val="center"/>
              <w:rPr>
                <w:b/>
                <w:sz w:val="24"/>
                <w:szCs w:val="24"/>
              </w:rPr>
            </w:pPr>
            <w:r>
              <w:rPr>
                <w:b/>
                <w:sz w:val="24"/>
                <w:szCs w:val="24"/>
              </w:rPr>
              <w:t>Non-encephalitis</w:t>
            </w:r>
          </w:p>
        </w:tc>
        <w:tc>
          <w:tcPr>
            <w:tcW w:w="2268" w:type="dxa"/>
          </w:tcPr>
          <w:p w14:paraId="702CBB54" w14:textId="77777777" w:rsidR="00BE59D8" w:rsidRDefault="00BE59D8" w:rsidP="008F3E0F">
            <w:pPr>
              <w:jc w:val="center"/>
              <w:rPr>
                <w:sz w:val="24"/>
                <w:szCs w:val="24"/>
              </w:rPr>
            </w:pPr>
          </w:p>
        </w:tc>
        <w:tc>
          <w:tcPr>
            <w:tcW w:w="2126" w:type="dxa"/>
          </w:tcPr>
          <w:p w14:paraId="7F1B65F2" w14:textId="77777777" w:rsidR="00BE59D8" w:rsidRDefault="00BE59D8" w:rsidP="008F3E0F">
            <w:pPr>
              <w:jc w:val="center"/>
              <w:rPr>
                <w:sz w:val="24"/>
                <w:szCs w:val="24"/>
              </w:rPr>
            </w:pPr>
          </w:p>
        </w:tc>
      </w:tr>
      <w:tr w:rsidR="00BE59D8" w14:paraId="0487126F" w14:textId="77777777" w:rsidTr="008F3E0F">
        <w:tc>
          <w:tcPr>
            <w:tcW w:w="2660" w:type="dxa"/>
          </w:tcPr>
          <w:p w14:paraId="2BD4E0A6" w14:textId="77777777" w:rsidR="00BE59D8" w:rsidRDefault="00BE59D8" w:rsidP="008F3E0F">
            <w:pPr>
              <w:rPr>
                <w:b/>
                <w:sz w:val="24"/>
                <w:szCs w:val="24"/>
              </w:rPr>
            </w:pPr>
            <w:r>
              <w:rPr>
                <w:b/>
                <w:sz w:val="24"/>
                <w:szCs w:val="24"/>
              </w:rPr>
              <w:t>Alcohol abuse</w:t>
            </w:r>
          </w:p>
        </w:tc>
        <w:tc>
          <w:tcPr>
            <w:tcW w:w="1417" w:type="dxa"/>
          </w:tcPr>
          <w:p w14:paraId="20BB0BFC" w14:textId="77777777" w:rsidR="00BE59D8" w:rsidRPr="004C2340" w:rsidRDefault="00BE59D8" w:rsidP="008F3E0F">
            <w:pPr>
              <w:jc w:val="center"/>
              <w:rPr>
                <w:sz w:val="24"/>
                <w:szCs w:val="24"/>
              </w:rPr>
            </w:pPr>
            <w:r>
              <w:rPr>
                <w:sz w:val="24"/>
                <w:szCs w:val="24"/>
              </w:rPr>
              <w:t>32 (1)</w:t>
            </w:r>
          </w:p>
        </w:tc>
        <w:tc>
          <w:tcPr>
            <w:tcW w:w="1560" w:type="dxa"/>
          </w:tcPr>
          <w:p w14:paraId="42C7878E" w14:textId="77777777" w:rsidR="00BE59D8" w:rsidRPr="004C2340" w:rsidRDefault="00BE59D8" w:rsidP="008F3E0F">
            <w:pPr>
              <w:jc w:val="center"/>
              <w:rPr>
                <w:sz w:val="24"/>
                <w:szCs w:val="24"/>
              </w:rPr>
            </w:pPr>
            <w:r>
              <w:rPr>
                <w:sz w:val="24"/>
                <w:szCs w:val="24"/>
              </w:rPr>
              <w:t>441 (1)</w:t>
            </w:r>
          </w:p>
        </w:tc>
        <w:tc>
          <w:tcPr>
            <w:tcW w:w="1984" w:type="dxa"/>
          </w:tcPr>
          <w:p w14:paraId="7BA83796" w14:textId="77777777" w:rsidR="00BE59D8" w:rsidRPr="004C2340" w:rsidRDefault="00BE59D8" w:rsidP="008F3E0F">
            <w:pPr>
              <w:jc w:val="center"/>
              <w:rPr>
                <w:sz w:val="24"/>
                <w:szCs w:val="24"/>
              </w:rPr>
            </w:pPr>
            <w:r w:rsidRPr="00D317B4">
              <w:rPr>
                <w:sz w:val="24"/>
                <w:szCs w:val="24"/>
              </w:rPr>
              <w:t>2</w:t>
            </w:r>
            <w:r>
              <w:rPr>
                <w:sz w:val="24"/>
                <w:szCs w:val="24"/>
              </w:rPr>
              <w:t>.</w:t>
            </w:r>
            <w:r w:rsidRPr="00D317B4">
              <w:rPr>
                <w:sz w:val="24"/>
                <w:szCs w:val="24"/>
              </w:rPr>
              <w:t xml:space="preserve">5 </w:t>
            </w:r>
            <w:r w:rsidRPr="008B68B3">
              <w:rPr>
                <w:sz w:val="24"/>
                <w:szCs w:val="24"/>
              </w:rPr>
              <w:t>(</w:t>
            </w:r>
            <w:r>
              <w:rPr>
                <w:sz w:val="24"/>
                <w:szCs w:val="24"/>
              </w:rPr>
              <w:t>1.8-3.6</w:t>
            </w:r>
            <w:r w:rsidRPr="008B68B3">
              <w:rPr>
                <w:sz w:val="24"/>
                <w:szCs w:val="24"/>
              </w:rPr>
              <w:t>)</w:t>
            </w:r>
          </w:p>
        </w:tc>
        <w:tc>
          <w:tcPr>
            <w:tcW w:w="2268" w:type="dxa"/>
          </w:tcPr>
          <w:p w14:paraId="7F696FFF" w14:textId="77777777" w:rsidR="00BE59D8" w:rsidRPr="004C2340" w:rsidRDefault="00BE59D8" w:rsidP="008F3E0F">
            <w:pPr>
              <w:jc w:val="center"/>
              <w:rPr>
                <w:sz w:val="24"/>
                <w:szCs w:val="24"/>
              </w:rPr>
            </w:pPr>
            <w:r>
              <w:rPr>
                <w:sz w:val="24"/>
                <w:szCs w:val="24"/>
              </w:rPr>
              <w:t xml:space="preserve">1.6 </w:t>
            </w:r>
            <w:r w:rsidRPr="0015209A">
              <w:rPr>
                <w:sz w:val="24"/>
                <w:szCs w:val="24"/>
              </w:rPr>
              <w:t>(</w:t>
            </w:r>
            <w:r>
              <w:rPr>
                <w:sz w:val="24"/>
                <w:szCs w:val="24"/>
              </w:rPr>
              <w:t>1.4-1.7)</w:t>
            </w:r>
          </w:p>
        </w:tc>
        <w:tc>
          <w:tcPr>
            <w:tcW w:w="2268" w:type="dxa"/>
          </w:tcPr>
          <w:p w14:paraId="0AFA893E" w14:textId="77777777" w:rsidR="00BE59D8" w:rsidRDefault="00BE59D8" w:rsidP="008F3E0F">
            <w:pPr>
              <w:jc w:val="center"/>
              <w:rPr>
                <w:b/>
                <w:sz w:val="24"/>
                <w:szCs w:val="24"/>
              </w:rPr>
            </w:pPr>
            <w:r>
              <w:rPr>
                <w:sz w:val="24"/>
                <w:szCs w:val="24"/>
              </w:rPr>
              <w:t>1.61 (1.12-2.30)</w:t>
            </w:r>
          </w:p>
        </w:tc>
        <w:tc>
          <w:tcPr>
            <w:tcW w:w="2126" w:type="dxa"/>
          </w:tcPr>
          <w:p w14:paraId="486FCFE3" w14:textId="77777777" w:rsidR="00BE59D8" w:rsidRDefault="00BE59D8" w:rsidP="008F3E0F">
            <w:pPr>
              <w:jc w:val="center"/>
              <w:rPr>
                <w:b/>
                <w:sz w:val="24"/>
                <w:szCs w:val="24"/>
              </w:rPr>
            </w:pPr>
            <w:r>
              <w:rPr>
                <w:sz w:val="24"/>
                <w:szCs w:val="24"/>
              </w:rPr>
              <w:t>1.60</w:t>
            </w:r>
            <w:r w:rsidRPr="006E2C7F">
              <w:rPr>
                <w:sz w:val="24"/>
                <w:szCs w:val="24"/>
              </w:rPr>
              <w:t xml:space="preserve"> (</w:t>
            </w:r>
            <w:r>
              <w:rPr>
                <w:sz w:val="24"/>
                <w:szCs w:val="24"/>
              </w:rPr>
              <w:t>1.12-2.29)</w:t>
            </w:r>
          </w:p>
        </w:tc>
      </w:tr>
      <w:tr w:rsidR="00BE59D8" w14:paraId="5B68049B" w14:textId="77777777" w:rsidTr="008F3E0F">
        <w:tc>
          <w:tcPr>
            <w:tcW w:w="2660" w:type="dxa"/>
          </w:tcPr>
          <w:p w14:paraId="4CDACD11" w14:textId="77777777" w:rsidR="00BE59D8" w:rsidRDefault="00BE59D8" w:rsidP="008F3E0F">
            <w:pPr>
              <w:rPr>
                <w:b/>
                <w:sz w:val="24"/>
                <w:szCs w:val="24"/>
              </w:rPr>
            </w:pPr>
            <w:r>
              <w:rPr>
                <w:b/>
                <w:sz w:val="24"/>
                <w:szCs w:val="24"/>
              </w:rPr>
              <w:t>Cognitive problems</w:t>
            </w:r>
          </w:p>
        </w:tc>
        <w:tc>
          <w:tcPr>
            <w:tcW w:w="1417" w:type="dxa"/>
          </w:tcPr>
          <w:p w14:paraId="00F9ED7B" w14:textId="77777777" w:rsidR="00BE59D8" w:rsidRPr="004C2340" w:rsidRDefault="00BE59D8" w:rsidP="008F3E0F">
            <w:pPr>
              <w:jc w:val="center"/>
              <w:rPr>
                <w:sz w:val="24"/>
                <w:szCs w:val="24"/>
              </w:rPr>
            </w:pPr>
            <w:r>
              <w:rPr>
                <w:sz w:val="24"/>
                <w:szCs w:val="24"/>
              </w:rPr>
              <w:t>119 (5)</w:t>
            </w:r>
          </w:p>
        </w:tc>
        <w:tc>
          <w:tcPr>
            <w:tcW w:w="1560" w:type="dxa"/>
          </w:tcPr>
          <w:p w14:paraId="0F18352B" w14:textId="77777777" w:rsidR="00BE59D8" w:rsidRPr="004C2340" w:rsidRDefault="00BE59D8" w:rsidP="008F3E0F">
            <w:pPr>
              <w:jc w:val="center"/>
              <w:rPr>
                <w:sz w:val="24"/>
                <w:szCs w:val="24"/>
              </w:rPr>
            </w:pPr>
            <w:r>
              <w:rPr>
                <w:sz w:val="24"/>
                <w:szCs w:val="24"/>
              </w:rPr>
              <w:t>1,024 (2)</w:t>
            </w:r>
          </w:p>
        </w:tc>
        <w:tc>
          <w:tcPr>
            <w:tcW w:w="1984" w:type="dxa"/>
          </w:tcPr>
          <w:p w14:paraId="2EBC6FEA" w14:textId="77777777" w:rsidR="00BE59D8" w:rsidRPr="004C2340" w:rsidRDefault="00BE59D8" w:rsidP="008F3E0F">
            <w:pPr>
              <w:jc w:val="center"/>
              <w:rPr>
                <w:sz w:val="24"/>
                <w:szCs w:val="24"/>
              </w:rPr>
            </w:pPr>
            <w:r>
              <w:rPr>
                <w:sz w:val="24"/>
                <w:szCs w:val="24"/>
              </w:rPr>
              <w:t>9.8</w:t>
            </w:r>
            <w:r w:rsidRPr="00D317B4">
              <w:rPr>
                <w:sz w:val="24"/>
                <w:szCs w:val="24"/>
              </w:rPr>
              <w:t xml:space="preserve"> </w:t>
            </w:r>
            <w:r w:rsidRPr="008B68B3">
              <w:rPr>
                <w:sz w:val="24"/>
                <w:szCs w:val="24"/>
              </w:rPr>
              <w:t>(</w:t>
            </w:r>
            <w:r>
              <w:rPr>
                <w:sz w:val="24"/>
                <w:szCs w:val="24"/>
              </w:rPr>
              <w:t>8.2-11.7</w:t>
            </w:r>
            <w:r w:rsidRPr="008B68B3">
              <w:rPr>
                <w:sz w:val="24"/>
                <w:szCs w:val="24"/>
              </w:rPr>
              <w:t>)</w:t>
            </w:r>
          </w:p>
        </w:tc>
        <w:tc>
          <w:tcPr>
            <w:tcW w:w="2268" w:type="dxa"/>
          </w:tcPr>
          <w:p w14:paraId="0E1E3951" w14:textId="77777777" w:rsidR="00BE59D8" w:rsidRPr="004C2340" w:rsidRDefault="00BE59D8" w:rsidP="008F3E0F">
            <w:pPr>
              <w:jc w:val="center"/>
              <w:rPr>
                <w:sz w:val="24"/>
                <w:szCs w:val="24"/>
              </w:rPr>
            </w:pPr>
            <w:r>
              <w:rPr>
                <w:sz w:val="24"/>
                <w:szCs w:val="24"/>
              </w:rPr>
              <w:t>3.7</w:t>
            </w:r>
            <w:r w:rsidRPr="0015209A">
              <w:rPr>
                <w:sz w:val="24"/>
                <w:szCs w:val="24"/>
              </w:rPr>
              <w:t xml:space="preserve"> (</w:t>
            </w:r>
            <w:r>
              <w:rPr>
                <w:sz w:val="24"/>
                <w:szCs w:val="24"/>
              </w:rPr>
              <w:t>3.5-3.9)</w:t>
            </w:r>
          </w:p>
        </w:tc>
        <w:tc>
          <w:tcPr>
            <w:tcW w:w="2268" w:type="dxa"/>
          </w:tcPr>
          <w:p w14:paraId="38899754" w14:textId="77777777" w:rsidR="00BE59D8" w:rsidRDefault="00BE59D8" w:rsidP="008F3E0F">
            <w:pPr>
              <w:jc w:val="center"/>
              <w:rPr>
                <w:b/>
                <w:sz w:val="24"/>
                <w:szCs w:val="24"/>
              </w:rPr>
            </w:pPr>
            <w:r>
              <w:rPr>
                <w:sz w:val="24"/>
                <w:szCs w:val="24"/>
              </w:rPr>
              <w:t>2.64 (2.18-3.19)</w:t>
            </w:r>
          </w:p>
        </w:tc>
        <w:tc>
          <w:tcPr>
            <w:tcW w:w="2126" w:type="dxa"/>
          </w:tcPr>
          <w:p w14:paraId="117F4ADF" w14:textId="77777777" w:rsidR="00BE59D8" w:rsidRDefault="00BE59D8" w:rsidP="008F3E0F">
            <w:pPr>
              <w:jc w:val="center"/>
              <w:rPr>
                <w:b/>
                <w:sz w:val="24"/>
                <w:szCs w:val="24"/>
              </w:rPr>
            </w:pPr>
            <w:r>
              <w:rPr>
                <w:sz w:val="24"/>
                <w:szCs w:val="24"/>
              </w:rPr>
              <w:t>3.07 (2.54-3.71)</w:t>
            </w:r>
          </w:p>
        </w:tc>
      </w:tr>
      <w:tr w:rsidR="00BE59D8" w14:paraId="3546E9EB" w14:textId="77777777" w:rsidTr="008F3E0F">
        <w:tc>
          <w:tcPr>
            <w:tcW w:w="2660" w:type="dxa"/>
          </w:tcPr>
          <w:p w14:paraId="4085A5F8" w14:textId="77777777" w:rsidR="00BE59D8" w:rsidRDefault="00BE59D8" w:rsidP="008F3E0F">
            <w:pPr>
              <w:rPr>
                <w:b/>
                <w:sz w:val="24"/>
                <w:szCs w:val="24"/>
              </w:rPr>
            </w:pPr>
            <w:r>
              <w:rPr>
                <w:b/>
                <w:sz w:val="24"/>
                <w:szCs w:val="24"/>
              </w:rPr>
              <w:t>Dementia</w:t>
            </w:r>
          </w:p>
        </w:tc>
        <w:tc>
          <w:tcPr>
            <w:tcW w:w="1417" w:type="dxa"/>
          </w:tcPr>
          <w:p w14:paraId="623CF801" w14:textId="77777777" w:rsidR="00BE59D8" w:rsidRPr="004C2340" w:rsidRDefault="00BE59D8" w:rsidP="008F3E0F">
            <w:pPr>
              <w:jc w:val="center"/>
              <w:rPr>
                <w:sz w:val="24"/>
                <w:szCs w:val="24"/>
              </w:rPr>
            </w:pPr>
            <w:r>
              <w:rPr>
                <w:sz w:val="24"/>
                <w:szCs w:val="24"/>
              </w:rPr>
              <w:t>42 (2)</w:t>
            </w:r>
          </w:p>
        </w:tc>
        <w:tc>
          <w:tcPr>
            <w:tcW w:w="1560" w:type="dxa"/>
          </w:tcPr>
          <w:p w14:paraId="58032131" w14:textId="77777777" w:rsidR="00BE59D8" w:rsidRPr="004C2340" w:rsidRDefault="00BE59D8" w:rsidP="008F3E0F">
            <w:pPr>
              <w:jc w:val="center"/>
              <w:rPr>
                <w:sz w:val="24"/>
                <w:szCs w:val="24"/>
              </w:rPr>
            </w:pPr>
            <w:r>
              <w:rPr>
                <w:sz w:val="24"/>
                <w:szCs w:val="24"/>
              </w:rPr>
              <w:t>470 (1)</w:t>
            </w:r>
          </w:p>
        </w:tc>
        <w:tc>
          <w:tcPr>
            <w:tcW w:w="1984" w:type="dxa"/>
          </w:tcPr>
          <w:p w14:paraId="0B1D450C" w14:textId="77777777" w:rsidR="00BE59D8" w:rsidRPr="004C2340" w:rsidRDefault="00BE59D8" w:rsidP="008F3E0F">
            <w:pPr>
              <w:jc w:val="center"/>
              <w:rPr>
                <w:sz w:val="24"/>
                <w:szCs w:val="24"/>
              </w:rPr>
            </w:pPr>
            <w:r>
              <w:rPr>
                <w:sz w:val="24"/>
                <w:szCs w:val="24"/>
              </w:rPr>
              <w:t>4.5</w:t>
            </w:r>
            <w:r w:rsidRPr="00D317B4">
              <w:rPr>
                <w:sz w:val="24"/>
                <w:szCs w:val="24"/>
              </w:rPr>
              <w:t xml:space="preserve"> </w:t>
            </w:r>
            <w:r w:rsidRPr="008B68B3">
              <w:rPr>
                <w:sz w:val="24"/>
                <w:szCs w:val="24"/>
              </w:rPr>
              <w:t>(</w:t>
            </w:r>
            <w:r>
              <w:rPr>
                <w:sz w:val="24"/>
                <w:szCs w:val="24"/>
              </w:rPr>
              <w:t>3.4-6.2</w:t>
            </w:r>
            <w:r w:rsidRPr="008B68B3">
              <w:rPr>
                <w:sz w:val="24"/>
                <w:szCs w:val="24"/>
              </w:rPr>
              <w:t>)</w:t>
            </w:r>
          </w:p>
        </w:tc>
        <w:tc>
          <w:tcPr>
            <w:tcW w:w="2268" w:type="dxa"/>
          </w:tcPr>
          <w:p w14:paraId="7CEE9494" w14:textId="77777777" w:rsidR="00BE59D8" w:rsidRPr="004C2340" w:rsidRDefault="00BE59D8" w:rsidP="008F3E0F">
            <w:pPr>
              <w:jc w:val="center"/>
              <w:rPr>
                <w:sz w:val="24"/>
                <w:szCs w:val="24"/>
              </w:rPr>
            </w:pPr>
            <w:r>
              <w:rPr>
                <w:sz w:val="24"/>
                <w:szCs w:val="24"/>
              </w:rPr>
              <w:t>2.2</w:t>
            </w:r>
            <w:r w:rsidRPr="0015209A">
              <w:rPr>
                <w:sz w:val="24"/>
                <w:szCs w:val="24"/>
              </w:rPr>
              <w:t xml:space="preserve"> (</w:t>
            </w:r>
            <w:r>
              <w:rPr>
                <w:sz w:val="24"/>
                <w:szCs w:val="24"/>
              </w:rPr>
              <w:t>2.0-2.4)</w:t>
            </w:r>
          </w:p>
        </w:tc>
        <w:tc>
          <w:tcPr>
            <w:tcW w:w="2268" w:type="dxa"/>
          </w:tcPr>
          <w:p w14:paraId="67C6ECF2" w14:textId="77777777" w:rsidR="00BE59D8" w:rsidRDefault="00BE59D8" w:rsidP="008F3E0F">
            <w:pPr>
              <w:jc w:val="center"/>
              <w:rPr>
                <w:b/>
                <w:sz w:val="24"/>
                <w:szCs w:val="24"/>
              </w:rPr>
            </w:pPr>
            <w:r>
              <w:rPr>
                <w:sz w:val="24"/>
                <w:szCs w:val="24"/>
              </w:rPr>
              <w:t>2.08 (1.51-2.84)</w:t>
            </w:r>
          </w:p>
        </w:tc>
        <w:tc>
          <w:tcPr>
            <w:tcW w:w="2126" w:type="dxa"/>
          </w:tcPr>
          <w:p w14:paraId="557CF16E" w14:textId="77777777" w:rsidR="00BE59D8" w:rsidRDefault="00BE59D8" w:rsidP="008F3E0F">
            <w:pPr>
              <w:jc w:val="center"/>
              <w:rPr>
                <w:b/>
                <w:sz w:val="24"/>
                <w:szCs w:val="24"/>
              </w:rPr>
            </w:pPr>
            <w:r w:rsidRPr="0037254C">
              <w:rPr>
                <w:sz w:val="24"/>
                <w:szCs w:val="24"/>
              </w:rPr>
              <w:t>2.66</w:t>
            </w:r>
            <w:r>
              <w:rPr>
                <w:sz w:val="24"/>
                <w:szCs w:val="24"/>
              </w:rPr>
              <w:t xml:space="preserve"> (</w:t>
            </w:r>
            <w:r w:rsidRPr="0037254C">
              <w:rPr>
                <w:sz w:val="24"/>
                <w:szCs w:val="24"/>
              </w:rPr>
              <w:t>1.94-3</w:t>
            </w:r>
            <w:r>
              <w:rPr>
                <w:sz w:val="24"/>
                <w:szCs w:val="24"/>
              </w:rPr>
              <w:t>.65)</w:t>
            </w:r>
          </w:p>
        </w:tc>
      </w:tr>
      <w:tr w:rsidR="00BE59D8" w14:paraId="75BAA624" w14:textId="77777777" w:rsidTr="008F3E0F">
        <w:tc>
          <w:tcPr>
            <w:tcW w:w="2660" w:type="dxa"/>
          </w:tcPr>
          <w:p w14:paraId="7C88B7DB" w14:textId="77777777" w:rsidR="00BE59D8" w:rsidRDefault="00BE59D8" w:rsidP="008F3E0F">
            <w:pPr>
              <w:rPr>
                <w:b/>
                <w:sz w:val="24"/>
                <w:szCs w:val="24"/>
              </w:rPr>
            </w:pPr>
            <w:r>
              <w:rPr>
                <w:b/>
                <w:sz w:val="24"/>
                <w:szCs w:val="24"/>
              </w:rPr>
              <w:t>Epilepsy</w:t>
            </w:r>
          </w:p>
        </w:tc>
        <w:tc>
          <w:tcPr>
            <w:tcW w:w="1417" w:type="dxa"/>
          </w:tcPr>
          <w:p w14:paraId="24024472" w14:textId="77777777" w:rsidR="00BE59D8" w:rsidRPr="004C2340" w:rsidRDefault="00BE59D8" w:rsidP="008F3E0F">
            <w:pPr>
              <w:jc w:val="center"/>
              <w:rPr>
                <w:sz w:val="24"/>
                <w:szCs w:val="24"/>
              </w:rPr>
            </w:pPr>
            <w:r w:rsidRPr="004C2340">
              <w:rPr>
                <w:sz w:val="24"/>
                <w:szCs w:val="24"/>
              </w:rPr>
              <w:t>170</w:t>
            </w:r>
            <w:r>
              <w:rPr>
                <w:sz w:val="24"/>
                <w:szCs w:val="24"/>
              </w:rPr>
              <w:t xml:space="preserve"> (7)</w:t>
            </w:r>
          </w:p>
        </w:tc>
        <w:tc>
          <w:tcPr>
            <w:tcW w:w="1560" w:type="dxa"/>
          </w:tcPr>
          <w:p w14:paraId="060894DF" w14:textId="77777777" w:rsidR="00BE59D8" w:rsidRPr="004C2340" w:rsidRDefault="00BE59D8" w:rsidP="008F3E0F">
            <w:pPr>
              <w:jc w:val="center"/>
              <w:rPr>
                <w:sz w:val="24"/>
                <w:szCs w:val="24"/>
              </w:rPr>
            </w:pPr>
            <w:r>
              <w:rPr>
                <w:sz w:val="24"/>
                <w:szCs w:val="24"/>
              </w:rPr>
              <w:t>102 (0.2)</w:t>
            </w:r>
          </w:p>
        </w:tc>
        <w:tc>
          <w:tcPr>
            <w:tcW w:w="1984" w:type="dxa"/>
          </w:tcPr>
          <w:p w14:paraId="1243DF1E" w14:textId="77777777" w:rsidR="00BE59D8" w:rsidRPr="004C2340" w:rsidRDefault="00BE59D8" w:rsidP="008F3E0F">
            <w:pPr>
              <w:jc w:val="center"/>
              <w:rPr>
                <w:sz w:val="24"/>
                <w:szCs w:val="24"/>
              </w:rPr>
            </w:pPr>
            <w:r w:rsidRPr="002A4E40">
              <w:rPr>
                <w:sz w:val="24"/>
                <w:szCs w:val="24"/>
              </w:rPr>
              <w:t>14</w:t>
            </w:r>
            <w:r>
              <w:rPr>
                <w:sz w:val="24"/>
                <w:szCs w:val="24"/>
              </w:rPr>
              <w:t>.</w:t>
            </w:r>
            <w:r w:rsidRPr="002A4E40">
              <w:rPr>
                <w:sz w:val="24"/>
                <w:szCs w:val="24"/>
              </w:rPr>
              <w:t>3</w:t>
            </w:r>
            <w:r>
              <w:rPr>
                <w:sz w:val="24"/>
                <w:szCs w:val="24"/>
              </w:rPr>
              <w:t xml:space="preserve"> (</w:t>
            </w:r>
            <w:r w:rsidRPr="002A4E40">
              <w:rPr>
                <w:sz w:val="24"/>
                <w:szCs w:val="24"/>
              </w:rPr>
              <w:t>12</w:t>
            </w:r>
            <w:r>
              <w:rPr>
                <w:sz w:val="24"/>
                <w:szCs w:val="24"/>
              </w:rPr>
              <w:t>.</w:t>
            </w:r>
            <w:r w:rsidRPr="002A4E40">
              <w:rPr>
                <w:sz w:val="24"/>
                <w:szCs w:val="24"/>
              </w:rPr>
              <w:t>3</w:t>
            </w:r>
            <w:r>
              <w:rPr>
                <w:sz w:val="24"/>
                <w:szCs w:val="24"/>
              </w:rPr>
              <w:t>-</w:t>
            </w:r>
            <w:r w:rsidRPr="002A4E40">
              <w:rPr>
                <w:sz w:val="24"/>
                <w:szCs w:val="24"/>
              </w:rPr>
              <w:t>16</w:t>
            </w:r>
            <w:r>
              <w:rPr>
                <w:sz w:val="24"/>
                <w:szCs w:val="24"/>
              </w:rPr>
              <w:t>.</w:t>
            </w:r>
            <w:r w:rsidRPr="002A4E40">
              <w:rPr>
                <w:sz w:val="24"/>
                <w:szCs w:val="24"/>
              </w:rPr>
              <w:t>6</w:t>
            </w:r>
            <w:r>
              <w:rPr>
                <w:sz w:val="24"/>
                <w:szCs w:val="24"/>
              </w:rPr>
              <w:t>)</w:t>
            </w:r>
          </w:p>
        </w:tc>
        <w:tc>
          <w:tcPr>
            <w:tcW w:w="2268" w:type="dxa"/>
          </w:tcPr>
          <w:p w14:paraId="50D34CE7" w14:textId="77777777" w:rsidR="00BE59D8" w:rsidRPr="004C2340" w:rsidRDefault="00BE59D8" w:rsidP="008F3E0F">
            <w:pPr>
              <w:jc w:val="center"/>
              <w:rPr>
                <w:sz w:val="24"/>
                <w:szCs w:val="24"/>
              </w:rPr>
            </w:pPr>
            <w:r>
              <w:rPr>
                <w:sz w:val="24"/>
                <w:szCs w:val="24"/>
              </w:rPr>
              <w:t>0.5 (</w:t>
            </w:r>
            <w:r w:rsidRPr="002A4E40">
              <w:rPr>
                <w:sz w:val="24"/>
                <w:szCs w:val="24"/>
              </w:rPr>
              <w:t>0.</w:t>
            </w:r>
            <w:r>
              <w:rPr>
                <w:sz w:val="24"/>
                <w:szCs w:val="24"/>
              </w:rPr>
              <w:t>4-0.6)</w:t>
            </w:r>
          </w:p>
        </w:tc>
        <w:tc>
          <w:tcPr>
            <w:tcW w:w="2268" w:type="dxa"/>
          </w:tcPr>
          <w:p w14:paraId="553A0CF0" w14:textId="77777777" w:rsidR="00BE59D8" w:rsidRDefault="00BE59D8" w:rsidP="008F3E0F">
            <w:pPr>
              <w:jc w:val="center"/>
              <w:rPr>
                <w:b/>
                <w:sz w:val="24"/>
                <w:szCs w:val="24"/>
              </w:rPr>
            </w:pPr>
            <w:r>
              <w:rPr>
                <w:sz w:val="24"/>
                <w:szCs w:val="24"/>
              </w:rPr>
              <w:t>30.21 (24.06-37.92)</w:t>
            </w:r>
          </w:p>
        </w:tc>
        <w:tc>
          <w:tcPr>
            <w:tcW w:w="2126" w:type="dxa"/>
          </w:tcPr>
          <w:p w14:paraId="2F0F36EB" w14:textId="77777777" w:rsidR="00BE59D8" w:rsidRDefault="00BE59D8" w:rsidP="008F3E0F">
            <w:pPr>
              <w:jc w:val="center"/>
              <w:rPr>
                <w:b/>
                <w:sz w:val="24"/>
                <w:szCs w:val="24"/>
              </w:rPr>
            </w:pPr>
            <w:r w:rsidRPr="000D0D10">
              <w:rPr>
                <w:sz w:val="24"/>
                <w:szCs w:val="24"/>
              </w:rPr>
              <w:t>31.90 (25.38-40.08</w:t>
            </w:r>
            <w:r>
              <w:rPr>
                <w:sz w:val="24"/>
                <w:szCs w:val="24"/>
              </w:rPr>
              <w:t>)</w:t>
            </w:r>
          </w:p>
        </w:tc>
      </w:tr>
      <w:tr w:rsidR="00BE59D8" w14:paraId="504BF971" w14:textId="77777777" w:rsidTr="008F3E0F">
        <w:tc>
          <w:tcPr>
            <w:tcW w:w="2660" w:type="dxa"/>
          </w:tcPr>
          <w:p w14:paraId="1484ABF1" w14:textId="77777777" w:rsidR="00BE59D8" w:rsidRDefault="00BE59D8" w:rsidP="008F3E0F">
            <w:pPr>
              <w:rPr>
                <w:b/>
                <w:sz w:val="24"/>
                <w:szCs w:val="24"/>
              </w:rPr>
            </w:pPr>
            <w:r>
              <w:rPr>
                <w:b/>
                <w:sz w:val="24"/>
                <w:szCs w:val="24"/>
              </w:rPr>
              <w:t>Headache</w:t>
            </w:r>
          </w:p>
        </w:tc>
        <w:tc>
          <w:tcPr>
            <w:tcW w:w="1417" w:type="dxa"/>
          </w:tcPr>
          <w:p w14:paraId="40C4EF94" w14:textId="77777777" w:rsidR="00BE59D8" w:rsidRPr="004C2340" w:rsidRDefault="00BE59D8" w:rsidP="008F3E0F">
            <w:pPr>
              <w:jc w:val="center"/>
              <w:rPr>
                <w:sz w:val="24"/>
                <w:szCs w:val="24"/>
              </w:rPr>
            </w:pPr>
            <w:r>
              <w:rPr>
                <w:sz w:val="24"/>
                <w:szCs w:val="24"/>
              </w:rPr>
              <w:t>236 (10)</w:t>
            </w:r>
          </w:p>
        </w:tc>
        <w:tc>
          <w:tcPr>
            <w:tcW w:w="1560" w:type="dxa"/>
          </w:tcPr>
          <w:p w14:paraId="5E27CEFD" w14:textId="77777777" w:rsidR="00BE59D8" w:rsidRPr="004C2340" w:rsidRDefault="00BE59D8" w:rsidP="008F3E0F">
            <w:pPr>
              <w:jc w:val="center"/>
              <w:rPr>
                <w:sz w:val="24"/>
                <w:szCs w:val="24"/>
              </w:rPr>
            </w:pPr>
            <w:r>
              <w:rPr>
                <w:sz w:val="24"/>
                <w:szCs w:val="24"/>
              </w:rPr>
              <w:t>3,144 (7)</w:t>
            </w:r>
          </w:p>
        </w:tc>
        <w:tc>
          <w:tcPr>
            <w:tcW w:w="1984" w:type="dxa"/>
          </w:tcPr>
          <w:p w14:paraId="383CB207" w14:textId="77777777" w:rsidR="00BE59D8" w:rsidRPr="00975301" w:rsidRDefault="00BE59D8" w:rsidP="008F3E0F">
            <w:pPr>
              <w:jc w:val="center"/>
              <w:rPr>
                <w:sz w:val="24"/>
                <w:szCs w:val="24"/>
                <w:highlight w:val="yellow"/>
              </w:rPr>
            </w:pPr>
            <w:r w:rsidRPr="00A106A9">
              <w:rPr>
                <w:sz w:val="24"/>
                <w:szCs w:val="24"/>
              </w:rPr>
              <w:t>19.4 (17.1-22.1)</w:t>
            </w:r>
          </w:p>
        </w:tc>
        <w:tc>
          <w:tcPr>
            <w:tcW w:w="2268" w:type="dxa"/>
          </w:tcPr>
          <w:p w14:paraId="0B868286" w14:textId="77777777" w:rsidR="00BE59D8" w:rsidRDefault="00BE59D8" w:rsidP="008F3E0F">
            <w:pPr>
              <w:jc w:val="center"/>
              <w:rPr>
                <w:sz w:val="24"/>
                <w:szCs w:val="24"/>
              </w:rPr>
            </w:pPr>
            <w:r w:rsidRPr="006141E8">
              <w:rPr>
                <w:sz w:val="24"/>
                <w:szCs w:val="24"/>
              </w:rPr>
              <w:t>12.0 (11.5-12.4)</w:t>
            </w:r>
          </w:p>
          <w:p w14:paraId="424A0933" w14:textId="77777777" w:rsidR="00BE59D8" w:rsidRPr="006141E8" w:rsidRDefault="00BE59D8" w:rsidP="008F3E0F">
            <w:pPr>
              <w:jc w:val="center"/>
              <w:rPr>
                <w:sz w:val="24"/>
                <w:szCs w:val="24"/>
              </w:rPr>
            </w:pPr>
          </w:p>
        </w:tc>
        <w:tc>
          <w:tcPr>
            <w:tcW w:w="2268" w:type="dxa"/>
          </w:tcPr>
          <w:p w14:paraId="2D4FBE0C" w14:textId="77777777" w:rsidR="00BE59D8" w:rsidRDefault="00BE59D8" w:rsidP="008F3E0F">
            <w:pPr>
              <w:jc w:val="center"/>
              <w:rPr>
                <w:b/>
                <w:sz w:val="24"/>
                <w:szCs w:val="24"/>
              </w:rPr>
            </w:pPr>
            <w:r>
              <w:rPr>
                <w:sz w:val="24"/>
                <w:szCs w:val="24"/>
              </w:rPr>
              <w:t>1.62 (1.42-1.85)</w:t>
            </w:r>
          </w:p>
        </w:tc>
        <w:tc>
          <w:tcPr>
            <w:tcW w:w="2126" w:type="dxa"/>
          </w:tcPr>
          <w:p w14:paraId="673AA800" w14:textId="77777777" w:rsidR="00BE59D8" w:rsidRDefault="00BE59D8" w:rsidP="008F3E0F">
            <w:pPr>
              <w:jc w:val="center"/>
              <w:rPr>
                <w:b/>
                <w:sz w:val="24"/>
                <w:szCs w:val="24"/>
              </w:rPr>
            </w:pPr>
            <w:r>
              <w:rPr>
                <w:sz w:val="24"/>
                <w:szCs w:val="24"/>
              </w:rPr>
              <w:t>1.57 (1.37-1.79)</w:t>
            </w:r>
          </w:p>
        </w:tc>
      </w:tr>
      <w:tr w:rsidR="00BE59D8" w14:paraId="01F7975D" w14:textId="77777777" w:rsidTr="008F3E0F">
        <w:tc>
          <w:tcPr>
            <w:tcW w:w="2660" w:type="dxa"/>
          </w:tcPr>
          <w:p w14:paraId="0DAD3E0B" w14:textId="77777777" w:rsidR="00BE59D8" w:rsidRDefault="00BE59D8" w:rsidP="008F3E0F">
            <w:pPr>
              <w:rPr>
                <w:b/>
                <w:sz w:val="24"/>
                <w:szCs w:val="24"/>
              </w:rPr>
            </w:pPr>
            <w:r>
              <w:rPr>
                <w:b/>
                <w:sz w:val="24"/>
                <w:szCs w:val="24"/>
              </w:rPr>
              <w:t>Psychiatric sequelae</w:t>
            </w:r>
          </w:p>
        </w:tc>
        <w:tc>
          <w:tcPr>
            <w:tcW w:w="1417" w:type="dxa"/>
          </w:tcPr>
          <w:p w14:paraId="4A31E53E" w14:textId="77777777" w:rsidR="00BE59D8" w:rsidRPr="004C2340" w:rsidRDefault="00BE59D8" w:rsidP="008F3E0F">
            <w:pPr>
              <w:jc w:val="center"/>
              <w:rPr>
                <w:sz w:val="24"/>
                <w:szCs w:val="24"/>
              </w:rPr>
            </w:pPr>
          </w:p>
        </w:tc>
        <w:tc>
          <w:tcPr>
            <w:tcW w:w="1560" w:type="dxa"/>
          </w:tcPr>
          <w:p w14:paraId="77344CAB" w14:textId="77777777" w:rsidR="00BE59D8" w:rsidRPr="004C2340" w:rsidRDefault="00BE59D8" w:rsidP="008F3E0F">
            <w:pPr>
              <w:jc w:val="center"/>
              <w:rPr>
                <w:sz w:val="24"/>
                <w:szCs w:val="24"/>
              </w:rPr>
            </w:pPr>
          </w:p>
        </w:tc>
        <w:tc>
          <w:tcPr>
            <w:tcW w:w="1984" w:type="dxa"/>
          </w:tcPr>
          <w:p w14:paraId="2C6E3176" w14:textId="77777777" w:rsidR="00BE59D8" w:rsidRPr="004C2340" w:rsidRDefault="00BE59D8" w:rsidP="008F3E0F">
            <w:pPr>
              <w:jc w:val="center"/>
              <w:rPr>
                <w:sz w:val="24"/>
                <w:szCs w:val="24"/>
              </w:rPr>
            </w:pPr>
          </w:p>
        </w:tc>
        <w:tc>
          <w:tcPr>
            <w:tcW w:w="2268" w:type="dxa"/>
          </w:tcPr>
          <w:p w14:paraId="1A6C40BB" w14:textId="77777777" w:rsidR="00BE59D8" w:rsidRPr="004C2340" w:rsidRDefault="00BE59D8" w:rsidP="008F3E0F">
            <w:pPr>
              <w:jc w:val="center"/>
              <w:rPr>
                <w:sz w:val="24"/>
                <w:szCs w:val="24"/>
              </w:rPr>
            </w:pPr>
          </w:p>
        </w:tc>
        <w:tc>
          <w:tcPr>
            <w:tcW w:w="2268" w:type="dxa"/>
          </w:tcPr>
          <w:p w14:paraId="45FBF6A3" w14:textId="77777777" w:rsidR="00BE59D8" w:rsidRDefault="00BE59D8" w:rsidP="008F3E0F">
            <w:pPr>
              <w:jc w:val="center"/>
              <w:rPr>
                <w:b/>
                <w:sz w:val="24"/>
                <w:szCs w:val="24"/>
              </w:rPr>
            </w:pPr>
          </w:p>
        </w:tc>
        <w:tc>
          <w:tcPr>
            <w:tcW w:w="2126" w:type="dxa"/>
          </w:tcPr>
          <w:p w14:paraId="6E31A799" w14:textId="77777777" w:rsidR="00BE59D8" w:rsidRDefault="00BE59D8" w:rsidP="008F3E0F">
            <w:pPr>
              <w:jc w:val="center"/>
              <w:rPr>
                <w:b/>
                <w:sz w:val="24"/>
                <w:szCs w:val="24"/>
              </w:rPr>
            </w:pPr>
          </w:p>
        </w:tc>
      </w:tr>
      <w:tr w:rsidR="00BE59D8" w14:paraId="0C49A0F5" w14:textId="77777777" w:rsidTr="008F3E0F">
        <w:tc>
          <w:tcPr>
            <w:tcW w:w="2660" w:type="dxa"/>
          </w:tcPr>
          <w:p w14:paraId="12768B27" w14:textId="77777777" w:rsidR="00BE59D8" w:rsidRPr="00693C2C" w:rsidRDefault="00BE59D8" w:rsidP="008F3E0F">
            <w:pPr>
              <w:jc w:val="right"/>
              <w:rPr>
                <w:i/>
                <w:sz w:val="24"/>
                <w:szCs w:val="24"/>
              </w:rPr>
            </w:pPr>
            <w:r w:rsidRPr="00693C2C">
              <w:rPr>
                <w:i/>
                <w:sz w:val="24"/>
                <w:szCs w:val="24"/>
              </w:rPr>
              <w:t>Anxiety disorders</w:t>
            </w:r>
          </w:p>
        </w:tc>
        <w:tc>
          <w:tcPr>
            <w:tcW w:w="1417" w:type="dxa"/>
          </w:tcPr>
          <w:p w14:paraId="68C50BC5" w14:textId="77777777" w:rsidR="00BE59D8" w:rsidRPr="004C2340" w:rsidRDefault="00BE59D8" w:rsidP="008F3E0F">
            <w:pPr>
              <w:jc w:val="center"/>
              <w:rPr>
                <w:sz w:val="24"/>
                <w:szCs w:val="24"/>
              </w:rPr>
            </w:pPr>
            <w:r>
              <w:rPr>
                <w:sz w:val="24"/>
                <w:szCs w:val="24"/>
              </w:rPr>
              <w:t>207 (8)</w:t>
            </w:r>
          </w:p>
        </w:tc>
        <w:tc>
          <w:tcPr>
            <w:tcW w:w="1560" w:type="dxa"/>
          </w:tcPr>
          <w:p w14:paraId="6A6162AD" w14:textId="77777777" w:rsidR="00BE59D8" w:rsidRPr="004C2340" w:rsidRDefault="00BE59D8" w:rsidP="008F3E0F">
            <w:pPr>
              <w:jc w:val="center"/>
              <w:rPr>
                <w:sz w:val="24"/>
                <w:szCs w:val="24"/>
              </w:rPr>
            </w:pPr>
            <w:r>
              <w:rPr>
                <w:sz w:val="24"/>
                <w:szCs w:val="24"/>
              </w:rPr>
              <w:t>3,258 (7)</w:t>
            </w:r>
          </w:p>
        </w:tc>
        <w:tc>
          <w:tcPr>
            <w:tcW w:w="1984" w:type="dxa"/>
          </w:tcPr>
          <w:p w14:paraId="35136615" w14:textId="77777777" w:rsidR="00BE59D8" w:rsidRPr="004C2340" w:rsidRDefault="00BE59D8" w:rsidP="008F3E0F">
            <w:pPr>
              <w:jc w:val="center"/>
              <w:rPr>
                <w:sz w:val="24"/>
                <w:szCs w:val="24"/>
              </w:rPr>
            </w:pPr>
            <w:r>
              <w:rPr>
                <w:sz w:val="24"/>
                <w:szCs w:val="24"/>
              </w:rPr>
              <w:t>17.8</w:t>
            </w:r>
            <w:r w:rsidRPr="00D317B4">
              <w:rPr>
                <w:sz w:val="24"/>
                <w:szCs w:val="24"/>
              </w:rPr>
              <w:t xml:space="preserve"> </w:t>
            </w:r>
            <w:r w:rsidRPr="008B68B3">
              <w:rPr>
                <w:sz w:val="24"/>
                <w:szCs w:val="24"/>
              </w:rPr>
              <w:t>(</w:t>
            </w:r>
            <w:r>
              <w:rPr>
                <w:sz w:val="24"/>
                <w:szCs w:val="24"/>
              </w:rPr>
              <w:t>15.6-20.4</w:t>
            </w:r>
            <w:r w:rsidRPr="008B68B3">
              <w:rPr>
                <w:sz w:val="24"/>
                <w:szCs w:val="24"/>
              </w:rPr>
              <w:t>)</w:t>
            </w:r>
          </w:p>
        </w:tc>
        <w:tc>
          <w:tcPr>
            <w:tcW w:w="2268" w:type="dxa"/>
          </w:tcPr>
          <w:p w14:paraId="4440084C" w14:textId="77777777" w:rsidR="00BE59D8" w:rsidRPr="004C2340" w:rsidRDefault="00BE59D8" w:rsidP="008F3E0F">
            <w:pPr>
              <w:jc w:val="center"/>
              <w:rPr>
                <w:sz w:val="24"/>
                <w:szCs w:val="24"/>
              </w:rPr>
            </w:pPr>
            <w:r>
              <w:rPr>
                <w:sz w:val="24"/>
                <w:szCs w:val="24"/>
              </w:rPr>
              <w:t>12.3</w:t>
            </w:r>
            <w:r w:rsidRPr="0015209A">
              <w:rPr>
                <w:sz w:val="24"/>
                <w:szCs w:val="24"/>
              </w:rPr>
              <w:t xml:space="preserve"> (</w:t>
            </w:r>
            <w:r>
              <w:rPr>
                <w:sz w:val="24"/>
                <w:szCs w:val="24"/>
              </w:rPr>
              <w:t>11.9-12.8)</w:t>
            </w:r>
          </w:p>
        </w:tc>
        <w:tc>
          <w:tcPr>
            <w:tcW w:w="2268" w:type="dxa"/>
          </w:tcPr>
          <w:p w14:paraId="678B2F30" w14:textId="77777777" w:rsidR="00BE59D8" w:rsidRDefault="00BE59D8" w:rsidP="008F3E0F">
            <w:pPr>
              <w:jc w:val="center"/>
              <w:rPr>
                <w:b/>
                <w:sz w:val="24"/>
                <w:szCs w:val="24"/>
              </w:rPr>
            </w:pPr>
            <w:r>
              <w:rPr>
                <w:sz w:val="24"/>
                <w:szCs w:val="24"/>
              </w:rPr>
              <w:t>1.44 (1.25-1.66)</w:t>
            </w:r>
          </w:p>
        </w:tc>
        <w:tc>
          <w:tcPr>
            <w:tcW w:w="2126" w:type="dxa"/>
          </w:tcPr>
          <w:p w14:paraId="619E2DA3" w14:textId="77777777" w:rsidR="00BE59D8" w:rsidRDefault="00BE59D8" w:rsidP="008F3E0F">
            <w:pPr>
              <w:jc w:val="center"/>
              <w:rPr>
                <w:b/>
                <w:sz w:val="24"/>
                <w:szCs w:val="24"/>
              </w:rPr>
            </w:pPr>
            <w:r w:rsidRPr="005E474B">
              <w:rPr>
                <w:sz w:val="24"/>
                <w:szCs w:val="24"/>
              </w:rPr>
              <w:t>1.46</w:t>
            </w:r>
            <w:r>
              <w:rPr>
                <w:sz w:val="24"/>
                <w:szCs w:val="24"/>
              </w:rPr>
              <w:t xml:space="preserve"> (</w:t>
            </w:r>
            <w:r w:rsidRPr="005E474B">
              <w:rPr>
                <w:sz w:val="24"/>
                <w:szCs w:val="24"/>
              </w:rPr>
              <w:t>1.27-1.68</w:t>
            </w:r>
            <w:r>
              <w:rPr>
                <w:sz w:val="24"/>
                <w:szCs w:val="24"/>
              </w:rPr>
              <w:t>)</w:t>
            </w:r>
          </w:p>
        </w:tc>
      </w:tr>
      <w:tr w:rsidR="00BE59D8" w14:paraId="794C8F78" w14:textId="77777777" w:rsidTr="008F3E0F">
        <w:tc>
          <w:tcPr>
            <w:tcW w:w="2660" w:type="dxa"/>
          </w:tcPr>
          <w:p w14:paraId="7FB08934" w14:textId="77777777" w:rsidR="00BE59D8" w:rsidRPr="00693C2C" w:rsidRDefault="00BE59D8" w:rsidP="008F3E0F">
            <w:pPr>
              <w:jc w:val="right"/>
              <w:rPr>
                <w:i/>
                <w:sz w:val="24"/>
                <w:szCs w:val="24"/>
              </w:rPr>
            </w:pPr>
            <w:r w:rsidRPr="00693C2C">
              <w:rPr>
                <w:i/>
                <w:sz w:val="24"/>
                <w:szCs w:val="24"/>
              </w:rPr>
              <w:t>Bipolar affective disorder</w:t>
            </w:r>
          </w:p>
        </w:tc>
        <w:tc>
          <w:tcPr>
            <w:tcW w:w="1417" w:type="dxa"/>
          </w:tcPr>
          <w:p w14:paraId="328C848E" w14:textId="77777777" w:rsidR="00BE59D8" w:rsidRPr="004C2340" w:rsidRDefault="00BE59D8" w:rsidP="008F3E0F">
            <w:pPr>
              <w:jc w:val="center"/>
              <w:rPr>
                <w:sz w:val="24"/>
                <w:szCs w:val="24"/>
              </w:rPr>
            </w:pPr>
            <w:r>
              <w:rPr>
                <w:sz w:val="24"/>
                <w:szCs w:val="24"/>
              </w:rPr>
              <w:t>12 (0.5)</w:t>
            </w:r>
          </w:p>
        </w:tc>
        <w:tc>
          <w:tcPr>
            <w:tcW w:w="1560" w:type="dxa"/>
          </w:tcPr>
          <w:p w14:paraId="53C60E61" w14:textId="77777777" w:rsidR="00BE59D8" w:rsidRPr="004C2340" w:rsidRDefault="00BE59D8" w:rsidP="008F3E0F">
            <w:pPr>
              <w:jc w:val="center"/>
              <w:rPr>
                <w:sz w:val="24"/>
                <w:szCs w:val="24"/>
              </w:rPr>
            </w:pPr>
            <w:r>
              <w:rPr>
                <w:sz w:val="24"/>
                <w:szCs w:val="24"/>
              </w:rPr>
              <w:t>43 (0.1)</w:t>
            </w:r>
          </w:p>
        </w:tc>
        <w:tc>
          <w:tcPr>
            <w:tcW w:w="1984" w:type="dxa"/>
          </w:tcPr>
          <w:p w14:paraId="7022946C" w14:textId="77777777" w:rsidR="00BE59D8" w:rsidRPr="004C2340" w:rsidRDefault="00BE59D8" w:rsidP="008F3E0F">
            <w:pPr>
              <w:jc w:val="center"/>
              <w:rPr>
                <w:sz w:val="24"/>
                <w:szCs w:val="24"/>
              </w:rPr>
            </w:pPr>
            <w:r>
              <w:rPr>
                <w:sz w:val="24"/>
                <w:szCs w:val="24"/>
              </w:rPr>
              <w:t>1.0</w:t>
            </w:r>
            <w:r w:rsidRPr="00D317B4">
              <w:rPr>
                <w:sz w:val="24"/>
                <w:szCs w:val="24"/>
              </w:rPr>
              <w:t xml:space="preserve"> </w:t>
            </w:r>
            <w:r w:rsidRPr="008B68B3">
              <w:rPr>
                <w:sz w:val="24"/>
                <w:szCs w:val="24"/>
              </w:rPr>
              <w:t>(</w:t>
            </w:r>
            <w:r>
              <w:rPr>
                <w:sz w:val="24"/>
                <w:szCs w:val="24"/>
              </w:rPr>
              <w:t>0.5-1.7</w:t>
            </w:r>
            <w:r w:rsidRPr="008B68B3">
              <w:rPr>
                <w:sz w:val="24"/>
                <w:szCs w:val="24"/>
              </w:rPr>
              <w:t>)</w:t>
            </w:r>
          </w:p>
        </w:tc>
        <w:tc>
          <w:tcPr>
            <w:tcW w:w="2268" w:type="dxa"/>
          </w:tcPr>
          <w:p w14:paraId="79A4F6BB" w14:textId="77777777" w:rsidR="00BE59D8" w:rsidRPr="004C2340" w:rsidRDefault="00BE59D8" w:rsidP="008F3E0F">
            <w:pPr>
              <w:jc w:val="center"/>
              <w:rPr>
                <w:sz w:val="24"/>
                <w:szCs w:val="24"/>
              </w:rPr>
            </w:pPr>
            <w:r>
              <w:rPr>
                <w:sz w:val="24"/>
                <w:szCs w:val="24"/>
              </w:rPr>
              <w:t>0.1</w:t>
            </w:r>
            <w:r w:rsidRPr="0015209A">
              <w:rPr>
                <w:sz w:val="24"/>
                <w:szCs w:val="24"/>
              </w:rPr>
              <w:t xml:space="preserve"> (</w:t>
            </w:r>
            <w:r>
              <w:rPr>
                <w:sz w:val="24"/>
                <w:szCs w:val="24"/>
              </w:rPr>
              <w:t>0.1-0.2)</w:t>
            </w:r>
          </w:p>
        </w:tc>
        <w:tc>
          <w:tcPr>
            <w:tcW w:w="2268" w:type="dxa"/>
          </w:tcPr>
          <w:p w14:paraId="489A5BBE" w14:textId="77777777" w:rsidR="00BE59D8" w:rsidRDefault="00BE59D8" w:rsidP="008F3E0F">
            <w:pPr>
              <w:jc w:val="center"/>
              <w:rPr>
                <w:b/>
                <w:sz w:val="24"/>
                <w:szCs w:val="24"/>
              </w:rPr>
            </w:pPr>
            <w:r>
              <w:rPr>
                <w:sz w:val="24"/>
                <w:szCs w:val="24"/>
              </w:rPr>
              <w:t>6.18 (3.26-11.72)</w:t>
            </w:r>
          </w:p>
        </w:tc>
        <w:tc>
          <w:tcPr>
            <w:tcW w:w="2126" w:type="dxa"/>
          </w:tcPr>
          <w:p w14:paraId="64BE72F2" w14:textId="77777777" w:rsidR="00BE59D8" w:rsidRDefault="00BE59D8" w:rsidP="008F3E0F">
            <w:pPr>
              <w:jc w:val="center"/>
              <w:rPr>
                <w:b/>
                <w:sz w:val="24"/>
                <w:szCs w:val="24"/>
              </w:rPr>
            </w:pPr>
            <w:r w:rsidRPr="00BF2BB7">
              <w:rPr>
                <w:sz w:val="24"/>
                <w:szCs w:val="24"/>
              </w:rPr>
              <w:t>6.34</w:t>
            </w:r>
            <w:r>
              <w:rPr>
                <w:sz w:val="24"/>
                <w:szCs w:val="24"/>
              </w:rPr>
              <w:t xml:space="preserve"> (</w:t>
            </w:r>
            <w:r w:rsidRPr="00BF2BB7">
              <w:rPr>
                <w:sz w:val="24"/>
                <w:szCs w:val="24"/>
              </w:rPr>
              <w:t>3.34-12.04</w:t>
            </w:r>
            <w:r>
              <w:rPr>
                <w:sz w:val="24"/>
                <w:szCs w:val="24"/>
              </w:rPr>
              <w:t>)</w:t>
            </w:r>
          </w:p>
        </w:tc>
      </w:tr>
      <w:tr w:rsidR="00BE59D8" w14:paraId="7FD205E9" w14:textId="77777777" w:rsidTr="008F3E0F">
        <w:tc>
          <w:tcPr>
            <w:tcW w:w="2660" w:type="dxa"/>
          </w:tcPr>
          <w:p w14:paraId="0928DB78" w14:textId="77777777" w:rsidR="00BE59D8" w:rsidRPr="00693C2C" w:rsidRDefault="00BE59D8" w:rsidP="008F3E0F">
            <w:pPr>
              <w:jc w:val="right"/>
              <w:rPr>
                <w:i/>
                <w:sz w:val="24"/>
                <w:szCs w:val="24"/>
              </w:rPr>
            </w:pPr>
            <w:r w:rsidRPr="00693C2C">
              <w:rPr>
                <w:i/>
                <w:sz w:val="24"/>
                <w:szCs w:val="24"/>
              </w:rPr>
              <w:t>Depressive disorders</w:t>
            </w:r>
          </w:p>
        </w:tc>
        <w:tc>
          <w:tcPr>
            <w:tcW w:w="1417" w:type="dxa"/>
          </w:tcPr>
          <w:p w14:paraId="7F783B38" w14:textId="77777777" w:rsidR="00BE59D8" w:rsidRPr="004C2340" w:rsidRDefault="00BE59D8" w:rsidP="008F3E0F">
            <w:pPr>
              <w:jc w:val="center"/>
              <w:rPr>
                <w:sz w:val="24"/>
                <w:szCs w:val="24"/>
              </w:rPr>
            </w:pPr>
            <w:r>
              <w:rPr>
                <w:sz w:val="24"/>
                <w:szCs w:val="24"/>
              </w:rPr>
              <w:t>367 (15)</w:t>
            </w:r>
          </w:p>
        </w:tc>
        <w:tc>
          <w:tcPr>
            <w:tcW w:w="1560" w:type="dxa"/>
          </w:tcPr>
          <w:p w14:paraId="4284CF20" w14:textId="77777777" w:rsidR="00BE59D8" w:rsidRPr="004C2340" w:rsidRDefault="00BE59D8" w:rsidP="008F3E0F">
            <w:pPr>
              <w:jc w:val="center"/>
              <w:rPr>
                <w:sz w:val="24"/>
                <w:szCs w:val="24"/>
              </w:rPr>
            </w:pPr>
            <w:r>
              <w:rPr>
                <w:sz w:val="24"/>
                <w:szCs w:val="24"/>
              </w:rPr>
              <w:t>4,716 (10)</w:t>
            </w:r>
          </w:p>
        </w:tc>
        <w:tc>
          <w:tcPr>
            <w:tcW w:w="1984" w:type="dxa"/>
          </w:tcPr>
          <w:p w14:paraId="7C0ADB28" w14:textId="77777777" w:rsidR="00BE59D8" w:rsidRPr="004C2340" w:rsidRDefault="00BE59D8" w:rsidP="008F3E0F">
            <w:pPr>
              <w:jc w:val="center"/>
              <w:rPr>
                <w:sz w:val="24"/>
                <w:szCs w:val="24"/>
              </w:rPr>
            </w:pPr>
            <w:r w:rsidRPr="005D0277">
              <w:rPr>
                <w:sz w:val="24"/>
                <w:szCs w:val="24"/>
              </w:rPr>
              <w:t>33</w:t>
            </w:r>
            <w:r>
              <w:rPr>
                <w:sz w:val="24"/>
                <w:szCs w:val="24"/>
              </w:rPr>
              <w:t>.7</w:t>
            </w:r>
            <w:r w:rsidRPr="005D0277">
              <w:rPr>
                <w:sz w:val="24"/>
                <w:szCs w:val="24"/>
              </w:rPr>
              <w:t xml:space="preserve"> </w:t>
            </w:r>
            <w:r>
              <w:rPr>
                <w:sz w:val="24"/>
                <w:szCs w:val="24"/>
              </w:rPr>
              <w:t>(</w:t>
            </w:r>
            <w:r w:rsidRPr="005D0277">
              <w:rPr>
                <w:sz w:val="24"/>
                <w:szCs w:val="24"/>
              </w:rPr>
              <w:t>30</w:t>
            </w:r>
            <w:r>
              <w:rPr>
                <w:sz w:val="24"/>
                <w:szCs w:val="24"/>
              </w:rPr>
              <w:t>.</w:t>
            </w:r>
            <w:r w:rsidRPr="005D0277">
              <w:rPr>
                <w:sz w:val="24"/>
                <w:szCs w:val="24"/>
              </w:rPr>
              <w:t>4</w:t>
            </w:r>
            <w:r>
              <w:rPr>
                <w:sz w:val="24"/>
                <w:szCs w:val="24"/>
              </w:rPr>
              <w:t>-</w:t>
            </w:r>
            <w:r w:rsidRPr="005D0277">
              <w:rPr>
                <w:sz w:val="24"/>
                <w:szCs w:val="24"/>
              </w:rPr>
              <w:t>37</w:t>
            </w:r>
            <w:r>
              <w:rPr>
                <w:sz w:val="24"/>
                <w:szCs w:val="24"/>
              </w:rPr>
              <w:t>.</w:t>
            </w:r>
            <w:r w:rsidRPr="005D0277">
              <w:rPr>
                <w:sz w:val="24"/>
                <w:szCs w:val="24"/>
              </w:rPr>
              <w:t>3</w:t>
            </w:r>
            <w:r>
              <w:rPr>
                <w:sz w:val="24"/>
                <w:szCs w:val="24"/>
              </w:rPr>
              <w:t>)</w:t>
            </w:r>
          </w:p>
        </w:tc>
        <w:tc>
          <w:tcPr>
            <w:tcW w:w="2268" w:type="dxa"/>
          </w:tcPr>
          <w:p w14:paraId="47869A3F" w14:textId="77777777" w:rsidR="00BE59D8" w:rsidRPr="004C2340" w:rsidRDefault="00BE59D8" w:rsidP="008F3E0F">
            <w:pPr>
              <w:jc w:val="center"/>
              <w:rPr>
                <w:sz w:val="24"/>
                <w:szCs w:val="24"/>
              </w:rPr>
            </w:pPr>
            <w:r w:rsidRPr="00CE67D7">
              <w:rPr>
                <w:sz w:val="24"/>
                <w:szCs w:val="24"/>
              </w:rPr>
              <w:t>18</w:t>
            </w:r>
            <w:r>
              <w:rPr>
                <w:sz w:val="24"/>
                <w:szCs w:val="24"/>
              </w:rPr>
              <w:t>.</w:t>
            </w:r>
            <w:r w:rsidRPr="00CE67D7">
              <w:rPr>
                <w:sz w:val="24"/>
                <w:szCs w:val="24"/>
              </w:rPr>
              <w:t>3</w:t>
            </w:r>
            <w:r>
              <w:rPr>
                <w:sz w:val="24"/>
                <w:szCs w:val="24"/>
              </w:rPr>
              <w:t xml:space="preserve"> (</w:t>
            </w:r>
            <w:r w:rsidRPr="00CE67D7">
              <w:rPr>
                <w:sz w:val="24"/>
                <w:szCs w:val="24"/>
              </w:rPr>
              <w:t>17</w:t>
            </w:r>
            <w:r>
              <w:rPr>
                <w:sz w:val="24"/>
                <w:szCs w:val="24"/>
              </w:rPr>
              <w:t>.</w:t>
            </w:r>
            <w:r w:rsidRPr="00CE67D7">
              <w:rPr>
                <w:sz w:val="24"/>
                <w:szCs w:val="24"/>
              </w:rPr>
              <w:t>8</w:t>
            </w:r>
            <w:r>
              <w:rPr>
                <w:sz w:val="24"/>
                <w:szCs w:val="24"/>
              </w:rPr>
              <w:t>-</w:t>
            </w:r>
            <w:r w:rsidRPr="00CE67D7">
              <w:rPr>
                <w:sz w:val="24"/>
                <w:szCs w:val="24"/>
              </w:rPr>
              <w:t>18</w:t>
            </w:r>
            <w:r>
              <w:rPr>
                <w:sz w:val="24"/>
                <w:szCs w:val="24"/>
              </w:rPr>
              <w:t>.9)</w:t>
            </w:r>
          </w:p>
        </w:tc>
        <w:tc>
          <w:tcPr>
            <w:tcW w:w="2268" w:type="dxa"/>
          </w:tcPr>
          <w:p w14:paraId="11D84186" w14:textId="77777777" w:rsidR="00BE59D8" w:rsidRDefault="00BE59D8" w:rsidP="008F3E0F">
            <w:pPr>
              <w:jc w:val="center"/>
              <w:rPr>
                <w:b/>
                <w:sz w:val="24"/>
                <w:szCs w:val="24"/>
              </w:rPr>
            </w:pPr>
            <w:r>
              <w:rPr>
                <w:sz w:val="24"/>
                <w:szCs w:val="24"/>
              </w:rPr>
              <w:t>1.84 (1.65-2.04)</w:t>
            </w:r>
          </w:p>
        </w:tc>
        <w:tc>
          <w:tcPr>
            <w:tcW w:w="2126" w:type="dxa"/>
          </w:tcPr>
          <w:p w14:paraId="305674F7" w14:textId="77777777" w:rsidR="00BE59D8" w:rsidRDefault="00BE59D8" w:rsidP="008F3E0F">
            <w:pPr>
              <w:jc w:val="center"/>
              <w:rPr>
                <w:b/>
                <w:sz w:val="24"/>
                <w:szCs w:val="24"/>
              </w:rPr>
            </w:pPr>
            <w:r>
              <w:rPr>
                <w:sz w:val="24"/>
                <w:szCs w:val="24"/>
              </w:rPr>
              <w:t>1.88 (</w:t>
            </w:r>
            <w:r w:rsidRPr="0010530B">
              <w:rPr>
                <w:sz w:val="24"/>
                <w:szCs w:val="24"/>
              </w:rPr>
              <w:t>1.69-2.09</w:t>
            </w:r>
            <w:r>
              <w:rPr>
                <w:sz w:val="24"/>
                <w:szCs w:val="24"/>
              </w:rPr>
              <w:t>)</w:t>
            </w:r>
          </w:p>
        </w:tc>
      </w:tr>
      <w:tr w:rsidR="00BE59D8" w14:paraId="4141E164" w14:textId="77777777" w:rsidTr="008F3E0F">
        <w:tc>
          <w:tcPr>
            <w:tcW w:w="2660" w:type="dxa"/>
          </w:tcPr>
          <w:p w14:paraId="3739C836" w14:textId="77777777" w:rsidR="00BE59D8" w:rsidRPr="00693C2C" w:rsidRDefault="00BE59D8" w:rsidP="008F3E0F">
            <w:pPr>
              <w:jc w:val="right"/>
              <w:rPr>
                <w:i/>
                <w:sz w:val="24"/>
                <w:szCs w:val="24"/>
              </w:rPr>
            </w:pPr>
            <w:r w:rsidRPr="00693C2C">
              <w:rPr>
                <w:i/>
                <w:sz w:val="24"/>
                <w:szCs w:val="24"/>
              </w:rPr>
              <w:t>Psychotic disorders</w:t>
            </w:r>
          </w:p>
        </w:tc>
        <w:tc>
          <w:tcPr>
            <w:tcW w:w="1417" w:type="dxa"/>
          </w:tcPr>
          <w:p w14:paraId="3EC2902A" w14:textId="77777777" w:rsidR="00BE59D8" w:rsidRPr="004C2340" w:rsidRDefault="00BE59D8" w:rsidP="008F3E0F">
            <w:pPr>
              <w:jc w:val="center"/>
              <w:rPr>
                <w:sz w:val="24"/>
                <w:szCs w:val="24"/>
              </w:rPr>
            </w:pPr>
            <w:r>
              <w:rPr>
                <w:sz w:val="24"/>
                <w:szCs w:val="24"/>
              </w:rPr>
              <w:t>20 (1)</w:t>
            </w:r>
          </w:p>
        </w:tc>
        <w:tc>
          <w:tcPr>
            <w:tcW w:w="1560" w:type="dxa"/>
          </w:tcPr>
          <w:p w14:paraId="49217F36" w14:textId="77777777" w:rsidR="00BE59D8" w:rsidRPr="004C2340" w:rsidRDefault="00BE59D8" w:rsidP="008F3E0F">
            <w:pPr>
              <w:jc w:val="center"/>
              <w:rPr>
                <w:sz w:val="24"/>
                <w:szCs w:val="24"/>
              </w:rPr>
            </w:pPr>
            <w:r>
              <w:rPr>
                <w:sz w:val="24"/>
                <w:szCs w:val="24"/>
              </w:rPr>
              <w:t>143 (0.3)</w:t>
            </w:r>
          </w:p>
        </w:tc>
        <w:tc>
          <w:tcPr>
            <w:tcW w:w="1984" w:type="dxa"/>
          </w:tcPr>
          <w:p w14:paraId="251A204C" w14:textId="77777777" w:rsidR="00BE59D8" w:rsidRPr="004C2340" w:rsidRDefault="00BE59D8" w:rsidP="008F3E0F">
            <w:pPr>
              <w:jc w:val="center"/>
              <w:rPr>
                <w:sz w:val="24"/>
                <w:szCs w:val="24"/>
              </w:rPr>
            </w:pPr>
            <w:r w:rsidRPr="008B68B3">
              <w:rPr>
                <w:sz w:val="24"/>
                <w:szCs w:val="24"/>
              </w:rPr>
              <w:t>1</w:t>
            </w:r>
            <w:r>
              <w:rPr>
                <w:sz w:val="24"/>
                <w:szCs w:val="24"/>
              </w:rPr>
              <w:t>.</w:t>
            </w:r>
            <w:r w:rsidRPr="008B68B3">
              <w:rPr>
                <w:sz w:val="24"/>
                <w:szCs w:val="24"/>
              </w:rPr>
              <w:t xml:space="preserve">6 </w:t>
            </w:r>
            <w:r>
              <w:rPr>
                <w:sz w:val="24"/>
                <w:szCs w:val="24"/>
              </w:rPr>
              <w:t>(</w:t>
            </w:r>
            <w:r w:rsidRPr="008B68B3">
              <w:rPr>
                <w:sz w:val="24"/>
                <w:szCs w:val="24"/>
              </w:rPr>
              <w:t>1</w:t>
            </w:r>
            <w:r>
              <w:rPr>
                <w:sz w:val="24"/>
                <w:szCs w:val="24"/>
              </w:rPr>
              <w:t>.</w:t>
            </w:r>
            <w:r w:rsidRPr="008B68B3">
              <w:rPr>
                <w:sz w:val="24"/>
                <w:szCs w:val="24"/>
              </w:rPr>
              <w:t>0-2</w:t>
            </w:r>
            <w:r>
              <w:rPr>
                <w:sz w:val="24"/>
                <w:szCs w:val="24"/>
              </w:rPr>
              <w:t>.</w:t>
            </w:r>
            <w:r w:rsidRPr="008B68B3">
              <w:rPr>
                <w:sz w:val="24"/>
                <w:szCs w:val="24"/>
              </w:rPr>
              <w:t>5)</w:t>
            </w:r>
          </w:p>
        </w:tc>
        <w:tc>
          <w:tcPr>
            <w:tcW w:w="2268" w:type="dxa"/>
          </w:tcPr>
          <w:p w14:paraId="7655C9BD" w14:textId="77777777" w:rsidR="00BE59D8" w:rsidRPr="004C2340" w:rsidRDefault="00BE59D8" w:rsidP="008F3E0F">
            <w:pPr>
              <w:jc w:val="center"/>
              <w:rPr>
                <w:sz w:val="24"/>
                <w:szCs w:val="24"/>
              </w:rPr>
            </w:pPr>
            <w:r>
              <w:rPr>
                <w:sz w:val="24"/>
                <w:szCs w:val="24"/>
              </w:rPr>
              <w:t>0.</w:t>
            </w:r>
            <w:r w:rsidRPr="004D3DC1">
              <w:rPr>
                <w:sz w:val="24"/>
                <w:szCs w:val="24"/>
              </w:rPr>
              <w:t xml:space="preserve">5 </w:t>
            </w:r>
            <w:r>
              <w:rPr>
                <w:sz w:val="24"/>
                <w:szCs w:val="24"/>
              </w:rPr>
              <w:t>(0.4-0.</w:t>
            </w:r>
            <w:r w:rsidRPr="004D3DC1">
              <w:rPr>
                <w:sz w:val="24"/>
                <w:szCs w:val="24"/>
              </w:rPr>
              <w:t>6)</w:t>
            </w:r>
          </w:p>
        </w:tc>
        <w:tc>
          <w:tcPr>
            <w:tcW w:w="2268" w:type="dxa"/>
          </w:tcPr>
          <w:p w14:paraId="54295876" w14:textId="77777777" w:rsidR="00BE59D8" w:rsidRDefault="00BE59D8" w:rsidP="008F3E0F">
            <w:pPr>
              <w:jc w:val="center"/>
              <w:rPr>
                <w:b/>
                <w:sz w:val="24"/>
                <w:szCs w:val="24"/>
              </w:rPr>
            </w:pPr>
            <w:r>
              <w:rPr>
                <w:sz w:val="24"/>
                <w:szCs w:val="24"/>
              </w:rPr>
              <w:t>3.11 (1.95-4.96)</w:t>
            </w:r>
          </w:p>
        </w:tc>
        <w:tc>
          <w:tcPr>
            <w:tcW w:w="2126" w:type="dxa"/>
          </w:tcPr>
          <w:p w14:paraId="513389FF" w14:textId="77777777" w:rsidR="00BE59D8" w:rsidRDefault="00BE59D8" w:rsidP="008F3E0F">
            <w:pPr>
              <w:jc w:val="center"/>
              <w:rPr>
                <w:b/>
                <w:sz w:val="24"/>
                <w:szCs w:val="24"/>
              </w:rPr>
            </w:pPr>
            <w:r w:rsidRPr="004D3DC1">
              <w:rPr>
                <w:sz w:val="24"/>
                <w:szCs w:val="24"/>
              </w:rPr>
              <w:t>3.48 (2.18-5.57</w:t>
            </w:r>
            <w:r>
              <w:rPr>
                <w:sz w:val="24"/>
                <w:szCs w:val="24"/>
              </w:rPr>
              <w:t>)</w:t>
            </w:r>
          </w:p>
        </w:tc>
      </w:tr>
    </w:tbl>
    <w:p w14:paraId="52E20047" w14:textId="6427F3AF" w:rsidR="00BE59D8" w:rsidRPr="00BE59D8" w:rsidRDefault="00BE59D8" w:rsidP="00BE59D8">
      <w:pPr>
        <w:rPr>
          <w:b/>
          <w:sz w:val="24"/>
          <w:szCs w:val="24"/>
        </w:rPr>
        <w:sectPr w:rsidR="00BE59D8" w:rsidRPr="00BE59D8" w:rsidSect="000C2E1A">
          <w:pgSz w:w="16838" w:h="11906" w:orient="landscape"/>
          <w:pgMar w:top="1440" w:right="1440" w:bottom="1440" w:left="1440" w:header="708" w:footer="708" w:gutter="0"/>
          <w:cols w:space="708"/>
          <w:docGrid w:linePitch="360"/>
        </w:sectPr>
      </w:pPr>
      <w:r>
        <w:rPr>
          <w:b/>
          <w:sz w:val="24"/>
          <w:szCs w:val="24"/>
        </w:rPr>
        <w:t>*</w:t>
      </w:r>
      <w:r w:rsidRPr="009972C6">
        <w:rPr>
          <w:sz w:val="24"/>
          <w:szCs w:val="24"/>
        </w:rPr>
        <w:t>Adjusted for</w:t>
      </w:r>
      <w:r>
        <w:rPr>
          <w:b/>
          <w:sz w:val="24"/>
          <w:szCs w:val="24"/>
        </w:rPr>
        <w:t xml:space="preserve"> </w:t>
      </w:r>
      <w:r>
        <w:rPr>
          <w:sz w:val="24"/>
          <w:szCs w:val="24"/>
        </w:rPr>
        <w:t xml:space="preserve">current </w:t>
      </w:r>
      <w:r w:rsidRPr="007B5F38">
        <w:rPr>
          <w:sz w:val="24"/>
          <w:szCs w:val="24"/>
        </w:rPr>
        <w:t xml:space="preserve">age, sex, and </w:t>
      </w:r>
      <w:r>
        <w:rPr>
          <w:sz w:val="24"/>
          <w:szCs w:val="24"/>
        </w:rPr>
        <w:t>calendar year at index date</w:t>
      </w:r>
    </w:p>
    <w:p w14:paraId="2971DA74" w14:textId="43318739" w:rsidR="003A6613" w:rsidRPr="008C0308" w:rsidRDefault="00F25621" w:rsidP="00864A61">
      <w:pPr>
        <w:spacing w:after="0" w:line="360" w:lineRule="auto"/>
        <w:rPr>
          <w:sz w:val="24"/>
          <w:szCs w:val="24"/>
        </w:rPr>
      </w:pPr>
      <w:r w:rsidRPr="006778C4">
        <w:rPr>
          <w:sz w:val="24"/>
          <w:szCs w:val="24"/>
        </w:rPr>
        <w:lastRenderedPageBreak/>
        <w:t xml:space="preserve">There was evidence that the </w:t>
      </w:r>
      <w:r w:rsidR="00341DA9" w:rsidRPr="006778C4">
        <w:rPr>
          <w:sz w:val="24"/>
          <w:szCs w:val="24"/>
        </w:rPr>
        <w:t>RR</w:t>
      </w:r>
      <w:r w:rsidR="00E32EA5" w:rsidRPr="006778C4">
        <w:rPr>
          <w:sz w:val="24"/>
          <w:szCs w:val="24"/>
        </w:rPr>
        <w:t xml:space="preserve">s </w:t>
      </w:r>
      <w:r w:rsidR="001567CA" w:rsidRPr="006778C4">
        <w:rPr>
          <w:sz w:val="24"/>
          <w:szCs w:val="24"/>
        </w:rPr>
        <w:t xml:space="preserve">varied by </w:t>
      </w:r>
      <w:r w:rsidR="00525988">
        <w:rPr>
          <w:sz w:val="24"/>
          <w:szCs w:val="24"/>
        </w:rPr>
        <w:t>time since diagnos</w:t>
      </w:r>
      <w:r w:rsidR="000C5686">
        <w:rPr>
          <w:sz w:val="24"/>
          <w:szCs w:val="24"/>
        </w:rPr>
        <w:t>i</w:t>
      </w:r>
      <w:r w:rsidR="00525988">
        <w:rPr>
          <w:sz w:val="24"/>
          <w:szCs w:val="24"/>
        </w:rPr>
        <w:t xml:space="preserve">s/start </w:t>
      </w:r>
      <w:r w:rsidR="00E7250C">
        <w:rPr>
          <w:sz w:val="24"/>
          <w:szCs w:val="24"/>
        </w:rPr>
        <w:t>of follow up</w:t>
      </w:r>
      <w:r w:rsidR="001567CA" w:rsidRPr="006778C4">
        <w:rPr>
          <w:sz w:val="24"/>
          <w:szCs w:val="24"/>
        </w:rPr>
        <w:t xml:space="preserve"> for all outcomes except </w:t>
      </w:r>
      <w:r w:rsidR="00CF4C41" w:rsidRPr="006778C4">
        <w:rPr>
          <w:sz w:val="24"/>
          <w:szCs w:val="24"/>
        </w:rPr>
        <w:t>alcohol</w:t>
      </w:r>
      <w:r w:rsidR="00CF4C41" w:rsidRPr="007B5F38">
        <w:rPr>
          <w:sz w:val="24"/>
          <w:szCs w:val="24"/>
        </w:rPr>
        <w:t xml:space="preserve"> </w:t>
      </w:r>
      <w:r w:rsidR="001567CA" w:rsidRPr="007B5F38">
        <w:rPr>
          <w:sz w:val="24"/>
          <w:szCs w:val="24"/>
        </w:rPr>
        <w:t xml:space="preserve">abuse </w:t>
      </w:r>
      <w:r w:rsidR="00CF4C41" w:rsidRPr="007B5F38">
        <w:rPr>
          <w:sz w:val="24"/>
          <w:szCs w:val="24"/>
        </w:rPr>
        <w:t>and bipolar</w:t>
      </w:r>
      <w:r w:rsidR="001567CA" w:rsidRPr="007B5F38">
        <w:rPr>
          <w:sz w:val="24"/>
          <w:szCs w:val="24"/>
        </w:rPr>
        <w:t xml:space="preserve"> affective disorder</w:t>
      </w:r>
      <w:r w:rsidR="00C07F73" w:rsidRPr="007B5F38">
        <w:rPr>
          <w:sz w:val="24"/>
          <w:szCs w:val="24"/>
        </w:rPr>
        <w:t xml:space="preserve"> (</w:t>
      </w:r>
      <w:r w:rsidR="00C07F73" w:rsidRPr="007B5F38">
        <w:rPr>
          <w:b/>
          <w:sz w:val="24"/>
          <w:szCs w:val="24"/>
        </w:rPr>
        <w:t>Table 3</w:t>
      </w:r>
      <w:r w:rsidR="00C07F73" w:rsidRPr="007B5F38">
        <w:rPr>
          <w:sz w:val="24"/>
          <w:szCs w:val="24"/>
        </w:rPr>
        <w:t>)</w:t>
      </w:r>
      <w:r w:rsidR="001567CA" w:rsidRPr="007B5F38">
        <w:rPr>
          <w:sz w:val="24"/>
          <w:szCs w:val="24"/>
        </w:rPr>
        <w:t>.</w:t>
      </w:r>
      <w:r w:rsidR="00C07F73" w:rsidRPr="007B5F38">
        <w:rPr>
          <w:sz w:val="24"/>
          <w:szCs w:val="24"/>
        </w:rPr>
        <w:t xml:space="preserve"> </w:t>
      </w:r>
      <w:r w:rsidR="00A279F4">
        <w:rPr>
          <w:sz w:val="24"/>
          <w:szCs w:val="24"/>
        </w:rPr>
        <w:t>T</w:t>
      </w:r>
      <w:r w:rsidR="00A279F4" w:rsidRPr="007B5F38">
        <w:rPr>
          <w:sz w:val="24"/>
          <w:szCs w:val="24"/>
        </w:rPr>
        <w:t xml:space="preserve">he </w:t>
      </w:r>
      <w:r w:rsidR="00A279F4">
        <w:rPr>
          <w:sz w:val="24"/>
          <w:szCs w:val="24"/>
        </w:rPr>
        <w:t xml:space="preserve">RR </w:t>
      </w:r>
      <w:r w:rsidR="00A279F4" w:rsidRPr="007B5F38">
        <w:rPr>
          <w:sz w:val="24"/>
          <w:szCs w:val="24"/>
        </w:rPr>
        <w:t xml:space="preserve">was highest in the first year of </w:t>
      </w:r>
      <w:r w:rsidR="00E7250C">
        <w:rPr>
          <w:sz w:val="24"/>
          <w:szCs w:val="24"/>
        </w:rPr>
        <w:t xml:space="preserve">follow </w:t>
      </w:r>
      <w:r w:rsidR="00E7250C" w:rsidRPr="008C0308">
        <w:rPr>
          <w:sz w:val="24"/>
          <w:szCs w:val="24"/>
        </w:rPr>
        <w:t>up</w:t>
      </w:r>
      <w:r w:rsidR="00A279F4" w:rsidRPr="008C0308">
        <w:rPr>
          <w:sz w:val="24"/>
          <w:szCs w:val="24"/>
        </w:rPr>
        <w:t xml:space="preserve"> f</w:t>
      </w:r>
      <w:r w:rsidR="00261CF2" w:rsidRPr="008C0308">
        <w:rPr>
          <w:sz w:val="24"/>
          <w:szCs w:val="24"/>
        </w:rPr>
        <w:t xml:space="preserve">or all outcomes except </w:t>
      </w:r>
      <w:r w:rsidR="00A279F4" w:rsidRPr="008C0308">
        <w:rPr>
          <w:sz w:val="24"/>
          <w:szCs w:val="24"/>
        </w:rPr>
        <w:t>headache</w:t>
      </w:r>
      <w:r w:rsidR="00261CF2" w:rsidRPr="008C0308">
        <w:rPr>
          <w:sz w:val="24"/>
          <w:szCs w:val="24"/>
        </w:rPr>
        <w:t xml:space="preserve">. </w:t>
      </w:r>
      <w:r w:rsidR="00535460" w:rsidRPr="008C0308">
        <w:rPr>
          <w:sz w:val="24"/>
          <w:szCs w:val="24"/>
        </w:rPr>
        <w:t xml:space="preserve">The RR </w:t>
      </w:r>
      <w:r w:rsidR="00A416D2" w:rsidRPr="008C0308">
        <w:rPr>
          <w:sz w:val="24"/>
          <w:szCs w:val="24"/>
        </w:rPr>
        <w:t>was 139.6</w:t>
      </w:r>
      <w:r w:rsidR="00096A76" w:rsidRPr="008C0308">
        <w:rPr>
          <w:sz w:val="24"/>
          <w:szCs w:val="24"/>
        </w:rPr>
        <w:t xml:space="preserve"> (95%CI</w:t>
      </w:r>
      <w:r w:rsidR="00CC6EAE" w:rsidRPr="008C0308">
        <w:rPr>
          <w:sz w:val="24"/>
          <w:szCs w:val="24"/>
        </w:rPr>
        <w:t>:</w:t>
      </w:r>
      <w:r w:rsidR="00096A76" w:rsidRPr="008C0308">
        <w:rPr>
          <w:sz w:val="24"/>
          <w:szCs w:val="24"/>
        </w:rPr>
        <w:t xml:space="preserve"> 90.62-215.03)</w:t>
      </w:r>
      <w:r w:rsidR="00A416D2" w:rsidRPr="008C0308">
        <w:rPr>
          <w:sz w:val="24"/>
          <w:szCs w:val="24"/>
        </w:rPr>
        <w:t xml:space="preserve"> for epilepsy in the </w:t>
      </w:r>
      <w:r w:rsidR="00535460" w:rsidRPr="008C0308">
        <w:rPr>
          <w:sz w:val="24"/>
          <w:szCs w:val="24"/>
        </w:rPr>
        <w:t>first year</w:t>
      </w:r>
      <w:r w:rsidR="00A416D2" w:rsidRPr="008C0308">
        <w:rPr>
          <w:sz w:val="24"/>
          <w:szCs w:val="24"/>
        </w:rPr>
        <w:t xml:space="preserve">, </w:t>
      </w:r>
      <w:r w:rsidR="00913DBE" w:rsidRPr="008C0308">
        <w:rPr>
          <w:sz w:val="24"/>
          <w:szCs w:val="24"/>
        </w:rPr>
        <w:t xml:space="preserve">over </w:t>
      </w:r>
      <w:r w:rsidR="00A416D2" w:rsidRPr="008C0308">
        <w:rPr>
          <w:sz w:val="24"/>
          <w:szCs w:val="24"/>
        </w:rPr>
        <w:t xml:space="preserve">four times higher than the overall </w:t>
      </w:r>
      <w:r w:rsidR="00535460" w:rsidRPr="008C0308">
        <w:rPr>
          <w:sz w:val="24"/>
          <w:szCs w:val="24"/>
        </w:rPr>
        <w:t xml:space="preserve">RR </w:t>
      </w:r>
      <w:r w:rsidR="00A416D2" w:rsidRPr="008C0308">
        <w:rPr>
          <w:sz w:val="24"/>
          <w:szCs w:val="24"/>
        </w:rPr>
        <w:t xml:space="preserve">of </w:t>
      </w:r>
      <w:r w:rsidR="00535460" w:rsidRPr="008C0308">
        <w:rPr>
          <w:sz w:val="24"/>
          <w:szCs w:val="24"/>
        </w:rPr>
        <w:t xml:space="preserve">31.9. </w:t>
      </w:r>
      <w:r w:rsidR="004052EE" w:rsidRPr="008C0308">
        <w:rPr>
          <w:sz w:val="24"/>
          <w:szCs w:val="24"/>
        </w:rPr>
        <w:t xml:space="preserve">For </w:t>
      </w:r>
      <w:r w:rsidR="00261CF2" w:rsidRPr="008C0308">
        <w:rPr>
          <w:sz w:val="24"/>
          <w:szCs w:val="24"/>
        </w:rPr>
        <w:t>cognitive problems</w:t>
      </w:r>
      <w:r w:rsidR="004052EE" w:rsidRPr="008C0308">
        <w:rPr>
          <w:sz w:val="24"/>
          <w:szCs w:val="24"/>
        </w:rPr>
        <w:t xml:space="preserve">, </w:t>
      </w:r>
      <w:r w:rsidR="00846A6F" w:rsidRPr="008C0308">
        <w:rPr>
          <w:sz w:val="24"/>
          <w:szCs w:val="24"/>
        </w:rPr>
        <w:t>the RR decreased after the first year</w:t>
      </w:r>
      <w:r w:rsidR="008B09A2" w:rsidRPr="008C0308">
        <w:rPr>
          <w:sz w:val="24"/>
          <w:szCs w:val="24"/>
        </w:rPr>
        <w:t xml:space="preserve"> but then increased again after five years of follow up</w:t>
      </w:r>
      <w:r w:rsidR="00F254C4" w:rsidRPr="008C0308">
        <w:rPr>
          <w:sz w:val="24"/>
          <w:szCs w:val="24"/>
        </w:rPr>
        <w:t xml:space="preserve">. </w:t>
      </w:r>
      <w:r w:rsidR="00C42618" w:rsidRPr="008C0308">
        <w:rPr>
          <w:sz w:val="24"/>
          <w:szCs w:val="24"/>
        </w:rPr>
        <w:t>T</w:t>
      </w:r>
      <w:r w:rsidR="00846A6F" w:rsidRPr="008C0308">
        <w:rPr>
          <w:sz w:val="24"/>
          <w:szCs w:val="24"/>
        </w:rPr>
        <w:t xml:space="preserve">he highest RR </w:t>
      </w:r>
      <w:r w:rsidR="00C42618" w:rsidRPr="008C0308">
        <w:rPr>
          <w:sz w:val="24"/>
          <w:szCs w:val="24"/>
        </w:rPr>
        <w:t xml:space="preserve">for headache (RR </w:t>
      </w:r>
      <w:r w:rsidR="00846A6F" w:rsidRPr="008C0308">
        <w:rPr>
          <w:sz w:val="24"/>
          <w:szCs w:val="24"/>
        </w:rPr>
        <w:t>2.46</w:t>
      </w:r>
      <w:r w:rsidR="00096A76" w:rsidRPr="008C0308">
        <w:rPr>
          <w:sz w:val="24"/>
          <w:szCs w:val="24"/>
        </w:rPr>
        <w:t xml:space="preserve"> [2.05-2.96]</w:t>
      </w:r>
      <w:r w:rsidR="00C42618" w:rsidRPr="008C0308">
        <w:rPr>
          <w:sz w:val="24"/>
          <w:szCs w:val="24"/>
        </w:rPr>
        <w:t>)</w:t>
      </w:r>
      <w:r w:rsidR="00846A6F" w:rsidRPr="008C0308">
        <w:rPr>
          <w:sz w:val="24"/>
          <w:szCs w:val="24"/>
        </w:rPr>
        <w:t xml:space="preserve"> was seen after five years of </w:t>
      </w:r>
      <w:r w:rsidR="00E7250C" w:rsidRPr="008C0308">
        <w:rPr>
          <w:sz w:val="24"/>
          <w:szCs w:val="24"/>
        </w:rPr>
        <w:t>follow</w:t>
      </w:r>
      <w:r w:rsidR="00AB3EB9" w:rsidRPr="008C0308">
        <w:rPr>
          <w:sz w:val="24"/>
          <w:szCs w:val="24"/>
        </w:rPr>
        <w:t xml:space="preserve"> </w:t>
      </w:r>
      <w:r w:rsidR="00E7250C" w:rsidRPr="008C0308">
        <w:rPr>
          <w:sz w:val="24"/>
          <w:szCs w:val="24"/>
        </w:rPr>
        <w:t>up</w:t>
      </w:r>
      <w:r w:rsidR="00846A6F" w:rsidRPr="008C0308">
        <w:rPr>
          <w:sz w:val="24"/>
          <w:szCs w:val="24"/>
        </w:rPr>
        <w:t>.</w:t>
      </w:r>
    </w:p>
    <w:p w14:paraId="0FD6612C" w14:textId="3D7C051F" w:rsidR="00470C73" w:rsidRDefault="00470C73" w:rsidP="00864A61">
      <w:pPr>
        <w:spacing w:after="0"/>
        <w:rPr>
          <w:b/>
          <w:sz w:val="24"/>
          <w:szCs w:val="24"/>
        </w:rPr>
      </w:pPr>
    </w:p>
    <w:p w14:paraId="1984F090" w14:textId="77777777" w:rsidR="00BE59D8" w:rsidRDefault="00BE59D8" w:rsidP="00BE59D8">
      <w:pPr>
        <w:rPr>
          <w:b/>
          <w:sz w:val="24"/>
          <w:szCs w:val="24"/>
        </w:rPr>
      </w:pPr>
      <w:r w:rsidRPr="003944B7">
        <w:rPr>
          <w:b/>
          <w:sz w:val="24"/>
          <w:szCs w:val="24"/>
        </w:rPr>
        <w:t xml:space="preserve">Table </w:t>
      </w:r>
      <w:r>
        <w:rPr>
          <w:b/>
          <w:sz w:val="24"/>
          <w:szCs w:val="24"/>
        </w:rPr>
        <w:t>3</w:t>
      </w:r>
      <w:r w:rsidRPr="003944B7">
        <w:rPr>
          <w:b/>
          <w:sz w:val="24"/>
          <w:szCs w:val="24"/>
        </w:rPr>
        <w:t xml:space="preserve">. </w:t>
      </w:r>
      <w:r>
        <w:rPr>
          <w:b/>
          <w:sz w:val="24"/>
          <w:szCs w:val="24"/>
        </w:rPr>
        <w:t>Rate ratios for outcomes by time since index date (diagnosis/start of follow up)</w:t>
      </w:r>
    </w:p>
    <w:tbl>
      <w:tblPr>
        <w:tblStyle w:val="TableGrid"/>
        <w:tblW w:w="0" w:type="auto"/>
        <w:tblLook w:val="04A0" w:firstRow="1" w:lastRow="0" w:firstColumn="1" w:lastColumn="0" w:noHBand="0" w:noVBand="1"/>
      </w:tblPr>
      <w:tblGrid>
        <w:gridCol w:w="1819"/>
        <w:gridCol w:w="2299"/>
        <w:gridCol w:w="1927"/>
        <w:gridCol w:w="1791"/>
        <w:gridCol w:w="1180"/>
      </w:tblGrid>
      <w:tr w:rsidR="00BE59D8" w14:paraId="7C9520E7" w14:textId="77777777" w:rsidTr="008F3E0F">
        <w:tc>
          <w:tcPr>
            <w:tcW w:w="1848" w:type="dxa"/>
          </w:tcPr>
          <w:p w14:paraId="1C0D7146" w14:textId="77777777" w:rsidR="00BE59D8" w:rsidRPr="00B96E86" w:rsidRDefault="00BE59D8" w:rsidP="008F3E0F">
            <w:pPr>
              <w:rPr>
                <w:b/>
              </w:rPr>
            </w:pPr>
            <w:r w:rsidRPr="00B96E86">
              <w:rPr>
                <w:b/>
                <w:sz w:val="24"/>
                <w:szCs w:val="24"/>
              </w:rPr>
              <w:t>Outcome</w:t>
            </w:r>
          </w:p>
        </w:tc>
        <w:tc>
          <w:tcPr>
            <w:tcW w:w="6198" w:type="dxa"/>
            <w:gridSpan w:val="3"/>
          </w:tcPr>
          <w:p w14:paraId="4ABF3D4E" w14:textId="77777777" w:rsidR="00BE59D8" w:rsidRPr="00B96E86" w:rsidRDefault="00BE59D8" w:rsidP="008F3E0F">
            <w:pPr>
              <w:jc w:val="center"/>
              <w:rPr>
                <w:b/>
                <w:sz w:val="24"/>
                <w:szCs w:val="24"/>
              </w:rPr>
            </w:pPr>
            <w:r w:rsidRPr="00B96E86">
              <w:rPr>
                <w:b/>
                <w:sz w:val="24"/>
                <w:szCs w:val="24"/>
              </w:rPr>
              <w:t>Time</w:t>
            </w:r>
            <w:r>
              <w:rPr>
                <w:b/>
                <w:sz w:val="24"/>
                <w:szCs w:val="24"/>
              </w:rPr>
              <w:t xml:space="preserve"> since diagnosis/start follow-up</w:t>
            </w:r>
          </w:p>
        </w:tc>
        <w:tc>
          <w:tcPr>
            <w:tcW w:w="1196" w:type="dxa"/>
          </w:tcPr>
          <w:p w14:paraId="259FBFFD" w14:textId="77777777" w:rsidR="00BE59D8" w:rsidRPr="00B96E86" w:rsidRDefault="00BE59D8" w:rsidP="008F3E0F">
            <w:pPr>
              <w:jc w:val="center"/>
              <w:rPr>
                <w:b/>
                <w:sz w:val="24"/>
                <w:szCs w:val="24"/>
              </w:rPr>
            </w:pPr>
            <w:r w:rsidRPr="00B96E86">
              <w:rPr>
                <w:b/>
                <w:sz w:val="24"/>
                <w:szCs w:val="24"/>
              </w:rPr>
              <w:t>P-value</w:t>
            </w:r>
            <w:r>
              <w:rPr>
                <w:b/>
                <w:sz w:val="24"/>
                <w:szCs w:val="24"/>
              </w:rPr>
              <w:t>*</w:t>
            </w:r>
          </w:p>
        </w:tc>
      </w:tr>
      <w:tr w:rsidR="00BE59D8" w14:paraId="5C1CAFF4" w14:textId="77777777" w:rsidTr="008F3E0F">
        <w:tc>
          <w:tcPr>
            <w:tcW w:w="1848" w:type="dxa"/>
          </w:tcPr>
          <w:p w14:paraId="001C2F83" w14:textId="77777777" w:rsidR="00BE59D8" w:rsidRDefault="00BE59D8" w:rsidP="008F3E0F">
            <w:pPr>
              <w:rPr>
                <w:b/>
                <w:sz w:val="24"/>
                <w:szCs w:val="24"/>
              </w:rPr>
            </w:pPr>
          </w:p>
        </w:tc>
        <w:tc>
          <w:tcPr>
            <w:tcW w:w="2371" w:type="dxa"/>
          </w:tcPr>
          <w:p w14:paraId="54577627" w14:textId="77777777" w:rsidR="00BE59D8" w:rsidRPr="00B96E86" w:rsidRDefault="00BE59D8" w:rsidP="008F3E0F">
            <w:pPr>
              <w:jc w:val="center"/>
              <w:rPr>
                <w:i/>
              </w:rPr>
            </w:pPr>
            <w:r w:rsidRPr="00B96E86">
              <w:rPr>
                <w:i/>
              </w:rPr>
              <w:t>First year</w:t>
            </w:r>
          </w:p>
        </w:tc>
        <w:tc>
          <w:tcPr>
            <w:tcW w:w="1985" w:type="dxa"/>
          </w:tcPr>
          <w:p w14:paraId="3A5C8D89" w14:textId="77777777" w:rsidR="00BE59D8" w:rsidRPr="00B96E86" w:rsidRDefault="00BE59D8" w:rsidP="008F3E0F">
            <w:pPr>
              <w:jc w:val="center"/>
              <w:rPr>
                <w:i/>
              </w:rPr>
            </w:pPr>
            <w:r w:rsidRPr="00B96E86">
              <w:rPr>
                <w:i/>
              </w:rPr>
              <w:t>1-5 years</w:t>
            </w:r>
          </w:p>
        </w:tc>
        <w:tc>
          <w:tcPr>
            <w:tcW w:w="1842" w:type="dxa"/>
          </w:tcPr>
          <w:p w14:paraId="0BAEA10E" w14:textId="77777777" w:rsidR="00BE59D8" w:rsidRPr="00B96E86" w:rsidRDefault="00BE59D8" w:rsidP="008F3E0F">
            <w:pPr>
              <w:jc w:val="center"/>
              <w:rPr>
                <w:i/>
              </w:rPr>
            </w:pPr>
            <w:r w:rsidRPr="00B96E86">
              <w:rPr>
                <w:i/>
              </w:rPr>
              <w:t>After 5 years</w:t>
            </w:r>
          </w:p>
        </w:tc>
        <w:tc>
          <w:tcPr>
            <w:tcW w:w="1196" w:type="dxa"/>
          </w:tcPr>
          <w:p w14:paraId="45655939" w14:textId="77777777" w:rsidR="00BE59D8" w:rsidRDefault="00BE59D8" w:rsidP="008F3E0F">
            <w:pPr>
              <w:jc w:val="center"/>
            </w:pPr>
          </w:p>
        </w:tc>
      </w:tr>
      <w:tr w:rsidR="00BE59D8" w14:paraId="6CC1B304" w14:textId="77777777" w:rsidTr="008F3E0F">
        <w:tc>
          <w:tcPr>
            <w:tcW w:w="1848" w:type="dxa"/>
          </w:tcPr>
          <w:p w14:paraId="53971216" w14:textId="77777777" w:rsidR="00BE59D8" w:rsidRDefault="00BE59D8" w:rsidP="008F3E0F">
            <w:pPr>
              <w:rPr>
                <w:b/>
                <w:sz w:val="24"/>
                <w:szCs w:val="24"/>
              </w:rPr>
            </w:pPr>
            <w:r>
              <w:rPr>
                <w:b/>
                <w:sz w:val="24"/>
                <w:szCs w:val="24"/>
              </w:rPr>
              <w:t>Alcohol abuse</w:t>
            </w:r>
          </w:p>
        </w:tc>
        <w:tc>
          <w:tcPr>
            <w:tcW w:w="2371" w:type="dxa"/>
          </w:tcPr>
          <w:p w14:paraId="659DA5CA" w14:textId="77777777" w:rsidR="00BE59D8" w:rsidRPr="00D76159" w:rsidRDefault="00BE59D8" w:rsidP="008F3E0F">
            <w:pPr>
              <w:jc w:val="center"/>
              <w:rPr>
                <w:highlight w:val="yellow"/>
              </w:rPr>
            </w:pPr>
            <w:r>
              <w:rPr>
                <w:sz w:val="24"/>
                <w:szCs w:val="24"/>
              </w:rPr>
              <w:t>2.21 (1.02-4.83)</w:t>
            </w:r>
          </w:p>
        </w:tc>
        <w:tc>
          <w:tcPr>
            <w:tcW w:w="1985" w:type="dxa"/>
          </w:tcPr>
          <w:p w14:paraId="6BEE2161" w14:textId="77777777" w:rsidR="00BE59D8" w:rsidRPr="00D76159" w:rsidRDefault="00BE59D8" w:rsidP="008F3E0F">
            <w:pPr>
              <w:jc w:val="center"/>
              <w:rPr>
                <w:highlight w:val="yellow"/>
              </w:rPr>
            </w:pPr>
            <w:r>
              <w:rPr>
                <w:sz w:val="24"/>
                <w:szCs w:val="24"/>
              </w:rPr>
              <w:t>1.72 (1.03-2.85)</w:t>
            </w:r>
          </w:p>
        </w:tc>
        <w:tc>
          <w:tcPr>
            <w:tcW w:w="1842" w:type="dxa"/>
          </w:tcPr>
          <w:p w14:paraId="29836EC4" w14:textId="77777777" w:rsidR="00BE59D8" w:rsidRPr="00D76159" w:rsidRDefault="00BE59D8" w:rsidP="008F3E0F">
            <w:pPr>
              <w:jc w:val="center"/>
              <w:rPr>
                <w:highlight w:val="yellow"/>
              </w:rPr>
            </w:pPr>
            <w:r>
              <w:rPr>
                <w:sz w:val="24"/>
                <w:szCs w:val="24"/>
              </w:rPr>
              <w:t>1.20 (0.61-2.35)</w:t>
            </w:r>
          </w:p>
        </w:tc>
        <w:tc>
          <w:tcPr>
            <w:tcW w:w="1196" w:type="dxa"/>
          </w:tcPr>
          <w:p w14:paraId="323D17AA" w14:textId="77777777" w:rsidR="00BE59D8" w:rsidRPr="00B322D0" w:rsidRDefault="00BE59D8" w:rsidP="008F3E0F">
            <w:pPr>
              <w:jc w:val="center"/>
            </w:pPr>
            <w:r w:rsidRPr="00B322D0">
              <w:t>0.52</w:t>
            </w:r>
          </w:p>
        </w:tc>
      </w:tr>
      <w:tr w:rsidR="00BE59D8" w14:paraId="5D1F769D" w14:textId="77777777" w:rsidTr="008F3E0F">
        <w:tc>
          <w:tcPr>
            <w:tcW w:w="1848" w:type="dxa"/>
          </w:tcPr>
          <w:p w14:paraId="5DFD8D9F" w14:textId="77777777" w:rsidR="00BE59D8" w:rsidRDefault="00BE59D8" w:rsidP="008F3E0F">
            <w:pPr>
              <w:rPr>
                <w:b/>
                <w:sz w:val="24"/>
                <w:szCs w:val="24"/>
              </w:rPr>
            </w:pPr>
            <w:r>
              <w:rPr>
                <w:b/>
                <w:sz w:val="24"/>
                <w:szCs w:val="24"/>
              </w:rPr>
              <w:t>Cognitive problems</w:t>
            </w:r>
          </w:p>
        </w:tc>
        <w:tc>
          <w:tcPr>
            <w:tcW w:w="2371" w:type="dxa"/>
          </w:tcPr>
          <w:p w14:paraId="632EFFA0" w14:textId="77777777" w:rsidR="00BE59D8" w:rsidRPr="00BD26F0" w:rsidRDefault="00BE59D8" w:rsidP="008F3E0F">
            <w:pPr>
              <w:rPr>
                <w:sz w:val="24"/>
                <w:szCs w:val="24"/>
              </w:rPr>
            </w:pPr>
            <w:r w:rsidRPr="00BD26F0">
              <w:rPr>
                <w:sz w:val="24"/>
                <w:szCs w:val="24"/>
              </w:rPr>
              <w:t>5.68 (4.02-8.02)</w:t>
            </w:r>
          </w:p>
          <w:p w14:paraId="1D11886D" w14:textId="77777777" w:rsidR="00BE59D8" w:rsidRDefault="00BE59D8" w:rsidP="008F3E0F"/>
        </w:tc>
        <w:tc>
          <w:tcPr>
            <w:tcW w:w="1985" w:type="dxa"/>
          </w:tcPr>
          <w:p w14:paraId="44AB7545" w14:textId="77777777" w:rsidR="00BE59D8" w:rsidRPr="00BD26F0" w:rsidRDefault="00BE59D8" w:rsidP="008F3E0F">
            <w:pPr>
              <w:rPr>
                <w:sz w:val="24"/>
                <w:szCs w:val="24"/>
              </w:rPr>
            </w:pPr>
            <w:r w:rsidRPr="00BD26F0">
              <w:rPr>
                <w:sz w:val="24"/>
                <w:szCs w:val="24"/>
              </w:rPr>
              <w:t>2.35 (1.69-3.28)</w:t>
            </w:r>
          </w:p>
          <w:p w14:paraId="00BEB056" w14:textId="77777777" w:rsidR="00BE59D8" w:rsidRDefault="00BE59D8" w:rsidP="008F3E0F">
            <w:pPr>
              <w:jc w:val="center"/>
            </w:pPr>
          </w:p>
        </w:tc>
        <w:tc>
          <w:tcPr>
            <w:tcW w:w="1842" w:type="dxa"/>
          </w:tcPr>
          <w:p w14:paraId="2E7F85AC" w14:textId="77777777" w:rsidR="00BE59D8" w:rsidRPr="00BD26F0" w:rsidRDefault="00BE59D8" w:rsidP="008F3E0F">
            <w:pPr>
              <w:rPr>
                <w:sz w:val="24"/>
                <w:szCs w:val="24"/>
              </w:rPr>
            </w:pPr>
            <w:r w:rsidRPr="00BD26F0">
              <w:rPr>
                <w:sz w:val="24"/>
                <w:szCs w:val="24"/>
              </w:rPr>
              <w:t>2.67 (1.94-3.68)</w:t>
            </w:r>
          </w:p>
          <w:p w14:paraId="6D37D453" w14:textId="77777777" w:rsidR="00BE59D8" w:rsidRDefault="00BE59D8" w:rsidP="008F3E0F">
            <w:pPr>
              <w:jc w:val="center"/>
            </w:pPr>
          </w:p>
        </w:tc>
        <w:tc>
          <w:tcPr>
            <w:tcW w:w="1196" w:type="dxa"/>
          </w:tcPr>
          <w:p w14:paraId="11D96C61" w14:textId="77777777" w:rsidR="00BE59D8" w:rsidRDefault="00BE59D8" w:rsidP="008F3E0F">
            <w:pPr>
              <w:jc w:val="center"/>
            </w:pPr>
            <w:r>
              <w:t>&lt;0.001</w:t>
            </w:r>
          </w:p>
        </w:tc>
      </w:tr>
      <w:tr w:rsidR="00BE59D8" w14:paraId="6ACB5DA9" w14:textId="77777777" w:rsidTr="008F3E0F">
        <w:tc>
          <w:tcPr>
            <w:tcW w:w="1848" w:type="dxa"/>
          </w:tcPr>
          <w:p w14:paraId="1B1659C7" w14:textId="77777777" w:rsidR="00BE59D8" w:rsidRDefault="00BE59D8" w:rsidP="008F3E0F">
            <w:pPr>
              <w:rPr>
                <w:b/>
                <w:sz w:val="24"/>
                <w:szCs w:val="24"/>
              </w:rPr>
            </w:pPr>
            <w:r>
              <w:rPr>
                <w:b/>
                <w:sz w:val="24"/>
                <w:szCs w:val="24"/>
              </w:rPr>
              <w:t>Dementia</w:t>
            </w:r>
          </w:p>
        </w:tc>
        <w:tc>
          <w:tcPr>
            <w:tcW w:w="2371" w:type="dxa"/>
          </w:tcPr>
          <w:p w14:paraId="437EDA9E" w14:textId="77777777" w:rsidR="00BE59D8" w:rsidRDefault="00BE59D8" w:rsidP="008F3E0F">
            <w:r w:rsidRPr="005F375F">
              <w:rPr>
                <w:sz w:val="24"/>
                <w:szCs w:val="24"/>
              </w:rPr>
              <w:t>4.28 (2.44-7.54)</w:t>
            </w:r>
          </w:p>
        </w:tc>
        <w:tc>
          <w:tcPr>
            <w:tcW w:w="1985" w:type="dxa"/>
          </w:tcPr>
          <w:p w14:paraId="7495C97E" w14:textId="77777777" w:rsidR="00BE59D8" w:rsidRDefault="00BE59D8" w:rsidP="008F3E0F">
            <w:r w:rsidRPr="005F375F">
              <w:rPr>
                <w:sz w:val="24"/>
                <w:szCs w:val="24"/>
              </w:rPr>
              <w:t>2.79 (1.70-4.58)</w:t>
            </w:r>
          </w:p>
        </w:tc>
        <w:tc>
          <w:tcPr>
            <w:tcW w:w="1842" w:type="dxa"/>
          </w:tcPr>
          <w:p w14:paraId="315FEEC5" w14:textId="77777777" w:rsidR="00BE59D8" w:rsidRDefault="00BE59D8" w:rsidP="008F3E0F">
            <w:r w:rsidRPr="005F375F">
              <w:rPr>
                <w:sz w:val="24"/>
                <w:szCs w:val="24"/>
              </w:rPr>
              <w:t>1.72 (0.94-3.15)</w:t>
            </w:r>
          </w:p>
        </w:tc>
        <w:tc>
          <w:tcPr>
            <w:tcW w:w="1196" w:type="dxa"/>
          </w:tcPr>
          <w:p w14:paraId="4857C91E" w14:textId="77777777" w:rsidR="00BE59D8" w:rsidRDefault="00BE59D8" w:rsidP="008F3E0F">
            <w:pPr>
              <w:jc w:val="center"/>
            </w:pPr>
            <w:r>
              <w:t>0.03</w:t>
            </w:r>
          </w:p>
        </w:tc>
      </w:tr>
      <w:tr w:rsidR="00BE59D8" w14:paraId="7F62C6E4" w14:textId="77777777" w:rsidTr="008F3E0F">
        <w:tc>
          <w:tcPr>
            <w:tcW w:w="1848" w:type="dxa"/>
          </w:tcPr>
          <w:p w14:paraId="16D50D77" w14:textId="77777777" w:rsidR="00BE59D8" w:rsidRDefault="00BE59D8" w:rsidP="008F3E0F">
            <w:pPr>
              <w:rPr>
                <w:b/>
                <w:sz w:val="24"/>
                <w:szCs w:val="24"/>
              </w:rPr>
            </w:pPr>
            <w:r>
              <w:rPr>
                <w:b/>
                <w:sz w:val="24"/>
                <w:szCs w:val="24"/>
              </w:rPr>
              <w:t>Epilepsy</w:t>
            </w:r>
          </w:p>
        </w:tc>
        <w:tc>
          <w:tcPr>
            <w:tcW w:w="2371" w:type="dxa"/>
          </w:tcPr>
          <w:p w14:paraId="06724575" w14:textId="77777777" w:rsidR="00BE59D8" w:rsidRDefault="00BE59D8" w:rsidP="008F3E0F">
            <w:r w:rsidRPr="00B7451C">
              <w:rPr>
                <w:sz w:val="24"/>
                <w:szCs w:val="24"/>
              </w:rPr>
              <w:t>139.59 (90.62-215.03)</w:t>
            </w:r>
          </w:p>
        </w:tc>
        <w:tc>
          <w:tcPr>
            <w:tcW w:w="1985" w:type="dxa"/>
          </w:tcPr>
          <w:p w14:paraId="68DF47F5" w14:textId="77777777" w:rsidR="00BE59D8" w:rsidRDefault="00BE59D8" w:rsidP="008F3E0F">
            <w:r w:rsidRPr="00B7451C">
              <w:rPr>
                <w:sz w:val="24"/>
                <w:szCs w:val="24"/>
              </w:rPr>
              <w:t>6.95 (4.06-11.90)</w:t>
            </w:r>
          </w:p>
        </w:tc>
        <w:tc>
          <w:tcPr>
            <w:tcW w:w="1842" w:type="dxa"/>
          </w:tcPr>
          <w:p w14:paraId="58D87385" w14:textId="77777777" w:rsidR="00BE59D8" w:rsidRPr="00B7451C" w:rsidRDefault="00BE59D8" w:rsidP="008F3E0F">
            <w:pPr>
              <w:rPr>
                <w:sz w:val="24"/>
                <w:szCs w:val="24"/>
              </w:rPr>
            </w:pPr>
            <w:r w:rsidRPr="00B7451C">
              <w:rPr>
                <w:sz w:val="24"/>
                <w:szCs w:val="24"/>
              </w:rPr>
              <w:t>3.67 (1.66-8.13)</w:t>
            </w:r>
          </w:p>
          <w:p w14:paraId="02D49647" w14:textId="77777777" w:rsidR="00BE59D8" w:rsidRDefault="00BE59D8" w:rsidP="008F3E0F">
            <w:pPr>
              <w:jc w:val="center"/>
            </w:pPr>
          </w:p>
        </w:tc>
        <w:tc>
          <w:tcPr>
            <w:tcW w:w="1196" w:type="dxa"/>
          </w:tcPr>
          <w:p w14:paraId="3095D6EB" w14:textId="77777777" w:rsidR="00BE59D8" w:rsidRDefault="00BE59D8" w:rsidP="008F3E0F">
            <w:pPr>
              <w:jc w:val="center"/>
            </w:pPr>
            <w:r>
              <w:t>&lt;0.001</w:t>
            </w:r>
          </w:p>
        </w:tc>
      </w:tr>
      <w:tr w:rsidR="00BE59D8" w14:paraId="15C7BE64" w14:textId="77777777" w:rsidTr="008F3E0F">
        <w:tc>
          <w:tcPr>
            <w:tcW w:w="1848" w:type="dxa"/>
          </w:tcPr>
          <w:p w14:paraId="0B7521A7" w14:textId="77777777" w:rsidR="00BE59D8" w:rsidRDefault="00BE59D8" w:rsidP="008F3E0F">
            <w:pPr>
              <w:rPr>
                <w:b/>
                <w:sz w:val="24"/>
                <w:szCs w:val="24"/>
              </w:rPr>
            </w:pPr>
            <w:r>
              <w:rPr>
                <w:b/>
                <w:sz w:val="24"/>
                <w:szCs w:val="24"/>
              </w:rPr>
              <w:t>Headache</w:t>
            </w:r>
          </w:p>
        </w:tc>
        <w:tc>
          <w:tcPr>
            <w:tcW w:w="2371" w:type="dxa"/>
          </w:tcPr>
          <w:p w14:paraId="2798AADB" w14:textId="77777777" w:rsidR="00BE59D8" w:rsidRDefault="00BE59D8" w:rsidP="008F3E0F">
            <w:r w:rsidRPr="005F375F">
              <w:rPr>
                <w:sz w:val="24"/>
                <w:szCs w:val="24"/>
              </w:rPr>
              <w:t>1.23 (0.88-1.73)</w:t>
            </w:r>
          </w:p>
        </w:tc>
        <w:tc>
          <w:tcPr>
            <w:tcW w:w="1985" w:type="dxa"/>
          </w:tcPr>
          <w:p w14:paraId="26DF6D53" w14:textId="77777777" w:rsidR="00BE59D8" w:rsidRDefault="00BE59D8" w:rsidP="008F3E0F">
            <w:r w:rsidRPr="005F375F">
              <w:rPr>
                <w:sz w:val="24"/>
                <w:szCs w:val="24"/>
              </w:rPr>
              <w:t>1.05 (0.83-1.33)</w:t>
            </w:r>
          </w:p>
        </w:tc>
        <w:tc>
          <w:tcPr>
            <w:tcW w:w="1842" w:type="dxa"/>
          </w:tcPr>
          <w:p w14:paraId="6471D3DB" w14:textId="77777777" w:rsidR="00BE59D8" w:rsidRDefault="00BE59D8" w:rsidP="008F3E0F">
            <w:r w:rsidRPr="005F375F">
              <w:rPr>
                <w:sz w:val="24"/>
                <w:szCs w:val="24"/>
              </w:rPr>
              <w:t>2.46 (2.05-2.96)</w:t>
            </w:r>
          </w:p>
        </w:tc>
        <w:tc>
          <w:tcPr>
            <w:tcW w:w="1196" w:type="dxa"/>
          </w:tcPr>
          <w:p w14:paraId="7DD95611" w14:textId="77777777" w:rsidR="00BE59D8" w:rsidRDefault="00BE59D8" w:rsidP="008F3E0F">
            <w:pPr>
              <w:jc w:val="center"/>
            </w:pPr>
            <w:r>
              <w:t>&lt;0.001</w:t>
            </w:r>
          </w:p>
        </w:tc>
      </w:tr>
      <w:tr w:rsidR="00BE59D8" w14:paraId="6C97C5E9" w14:textId="77777777" w:rsidTr="008F3E0F">
        <w:tc>
          <w:tcPr>
            <w:tcW w:w="1848" w:type="dxa"/>
          </w:tcPr>
          <w:p w14:paraId="2ADFD1AE" w14:textId="77777777" w:rsidR="00BE59D8" w:rsidRDefault="00BE59D8" w:rsidP="008F3E0F">
            <w:pPr>
              <w:rPr>
                <w:b/>
                <w:sz w:val="24"/>
                <w:szCs w:val="24"/>
              </w:rPr>
            </w:pPr>
            <w:r>
              <w:rPr>
                <w:b/>
                <w:sz w:val="24"/>
                <w:szCs w:val="24"/>
              </w:rPr>
              <w:t>Psychiatric sequelae</w:t>
            </w:r>
          </w:p>
        </w:tc>
        <w:tc>
          <w:tcPr>
            <w:tcW w:w="2371" w:type="dxa"/>
          </w:tcPr>
          <w:p w14:paraId="677BC165" w14:textId="77777777" w:rsidR="00BE59D8" w:rsidRDefault="00BE59D8" w:rsidP="008F3E0F">
            <w:pPr>
              <w:jc w:val="center"/>
            </w:pPr>
          </w:p>
        </w:tc>
        <w:tc>
          <w:tcPr>
            <w:tcW w:w="1985" w:type="dxa"/>
          </w:tcPr>
          <w:p w14:paraId="11B740F2" w14:textId="77777777" w:rsidR="00BE59D8" w:rsidRDefault="00BE59D8" w:rsidP="008F3E0F">
            <w:pPr>
              <w:jc w:val="center"/>
            </w:pPr>
          </w:p>
        </w:tc>
        <w:tc>
          <w:tcPr>
            <w:tcW w:w="1842" w:type="dxa"/>
          </w:tcPr>
          <w:p w14:paraId="3E43440E" w14:textId="77777777" w:rsidR="00BE59D8" w:rsidRDefault="00BE59D8" w:rsidP="008F3E0F">
            <w:pPr>
              <w:jc w:val="center"/>
            </w:pPr>
          </w:p>
        </w:tc>
        <w:tc>
          <w:tcPr>
            <w:tcW w:w="1196" w:type="dxa"/>
          </w:tcPr>
          <w:p w14:paraId="35969325" w14:textId="77777777" w:rsidR="00BE59D8" w:rsidRDefault="00BE59D8" w:rsidP="008F3E0F">
            <w:pPr>
              <w:jc w:val="center"/>
            </w:pPr>
          </w:p>
        </w:tc>
      </w:tr>
      <w:tr w:rsidR="00BE59D8" w14:paraId="7C2598C7" w14:textId="77777777" w:rsidTr="008F3E0F">
        <w:tc>
          <w:tcPr>
            <w:tcW w:w="1848" w:type="dxa"/>
          </w:tcPr>
          <w:p w14:paraId="159062D3" w14:textId="77777777" w:rsidR="00BE59D8" w:rsidRPr="00693C2C" w:rsidRDefault="00BE59D8" w:rsidP="008F3E0F">
            <w:pPr>
              <w:jc w:val="right"/>
              <w:rPr>
                <w:i/>
                <w:sz w:val="24"/>
                <w:szCs w:val="24"/>
              </w:rPr>
            </w:pPr>
            <w:r w:rsidRPr="00693C2C">
              <w:rPr>
                <w:i/>
                <w:sz w:val="24"/>
                <w:szCs w:val="24"/>
              </w:rPr>
              <w:t>Anxiety disorders</w:t>
            </w:r>
          </w:p>
        </w:tc>
        <w:tc>
          <w:tcPr>
            <w:tcW w:w="2371" w:type="dxa"/>
          </w:tcPr>
          <w:p w14:paraId="5F2BF0C6" w14:textId="77777777" w:rsidR="00BE59D8" w:rsidRPr="00972DD1" w:rsidRDefault="00BE59D8" w:rsidP="008F3E0F">
            <w:pPr>
              <w:rPr>
                <w:sz w:val="24"/>
                <w:szCs w:val="24"/>
              </w:rPr>
            </w:pPr>
            <w:r w:rsidRPr="00972DD1">
              <w:rPr>
                <w:sz w:val="24"/>
                <w:szCs w:val="24"/>
              </w:rPr>
              <w:t>2.12 (1.63-2.75)</w:t>
            </w:r>
          </w:p>
          <w:p w14:paraId="33C0B7A5" w14:textId="77777777" w:rsidR="00BE59D8" w:rsidRDefault="00BE59D8" w:rsidP="008F3E0F"/>
        </w:tc>
        <w:tc>
          <w:tcPr>
            <w:tcW w:w="1985" w:type="dxa"/>
          </w:tcPr>
          <w:p w14:paraId="0351F502" w14:textId="77777777" w:rsidR="00BE59D8" w:rsidRPr="00972DD1" w:rsidRDefault="00BE59D8" w:rsidP="008F3E0F">
            <w:pPr>
              <w:rPr>
                <w:sz w:val="24"/>
                <w:szCs w:val="24"/>
              </w:rPr>
            </w:pPr>
            <w:r w:rsidRPr="00972DD1">
              <w:rPr>
                <w:sz w:val="24"/>
                <w:szCs w:val="24"/>
              </w:rPr>
              <w:t>1.34 (1.08-1.67)</w:t>
            </w:r>
          </w:p>
          <w:p w14:paraId="7A310CD0" w14:textId="77777777" w:rsidR="00BE59D8" w:rsidRDefault="00BE59D8" w:rsidP="008F3E0F">
            <w:pPr>
              <w:jc w:val="center"/>
            </w:pPr>
          </w:p>
        </w:tc>
        <w:tc>
          <w:tcPr>
            <w:tcW w:w="1842" w:type="dxa"/>
          </w:tcPr>
          <w:p w14:paraId="46C58585" w14:textId="77777777" w:rsidR="00BE59D8" w:rsidRPr="00972DD1" w:rsidRDefault="00BE59D8" w:rsidP="008F3E0F">
            <w:pPr>
              <w:rPr>
                <w:sz w:val="24"/>
                <w:szCs w:val="24"/>
              </w:rPr>
            </w:pPr>
            <w:r w:rsidRPr="00972DD1">
              <w:rPr>
                <w:sz w:val="24"/>
                <w:szCs w:val="24"/>
              </w:rPr>
              <w:t>1.21 (0.93-1.58</w:t>
            </w:r>
            <w:r>
              <w:rPr>
                <w:sz w:val="24"/>
                <w:szCs w:val="24"/>
              </w:rPr>
              <w:t>)</w:t>
            </w:r>
          </w:p>
          <w:p w14:paraId="22A016C3" w14:textId="77777777" w:rsidR="00BE59D8" w:rsidRDefault="00BE59D8" w:rsidP="008F3E0F">
            <w:pPr>
              <w:jc w:val="center"/>
            </w:pPr>
          </w:p>
        </w:tc>
        <w:tc>
          <w:tcPr>
            <w:tcW w:w="1196" w:type="dxa"/>
          </w:tcPr>
          <w:p w14:paraId="7295E957" w14:textId="77777777" w:rsidR="00BE59D8" w:rsidRDefault="00BE59D8" w:rsidP="008F3E0F">
            <w:pPr>
              <w:jc w:val="center"/>
            </w:pPr>
            <w:r>
              <w:t>&lt;0.001</w:t>
            </w:r>
          </w:p>
        </w:tc>
      </w:tr>
      <w:tr w:rsidR="00BE59D8" w14:paraId="2446B754" w14:textId="77777777" w:rsidTr="008F3E0F">
        <w:tc>
          <w:tcPr>
            <w:tcW w:w="1848" w:type="dxa"/>
          </w:tcPr>
          <w:p w14:paraId="4962F2F8" w14:textId="77777777" w:rsidR="00BE59D8" w:rsidRPr="00693C2C" w:rsidRDefault="00BE59D8" w:rsidP="008F3E0F">
            <w:pPr>
              <w:jc w:val="right"/>
              <w:rPr>
                <w:i/>
                <w:sz w:val="24"/>
                <w:szCs w:val="24"/>
              </w:rPr>
            </w:pPr>
            <w:r w:rsidRPr="00693C2C">
              <w:rPr>
                <w:i/>
                <w:sz w:val="24"/>
                <w:szCs w:val="24"/>
              </w:rPr>
              <w:t>Bipolar affective disorder</w:t>
            </w:r>
          </w:p>
        </w:tc>
        <w:tc>
          <w:tcPr>
            <w:tcW w:w="2371" w:type="dxa"/>
          </w:tcPr>
          <w:p w14:paraId="740FE47D" w14:textId="77777777" w:rsidR="00BE59D8" w:rsidRPr="00D76159" w:rsidRDefault="00BE59D8" w:rsidP="008F3E0F">
            <w:pPr>
              <w:jc w:val="center"/>
              <w:rPr>
                <w:highlight w:val="yellow"/>
              </w:rPr>
            </w:pPr>
            <w:r>
              <w:rPr>
                <w:sz w:val="24"/>
                <w:szCs w:val="24"/>
              </w:rPr>
              <w:t>8.89 (3.13-25.25)</w:t>
            </w:r>
          </w:p>
        </w:tc>
        <w:tc>
          <w:tcPr>
            <w:tcW w:w="1985" w:type="dxa"/>
          </w:tcPr>
          <w:p w14:paraId="20BD8BCB" w14:textId="77777777" w:rsidR="00BE59D8" w:rsidRPr="00D76159" w:rsidRDefault="00BE59D8" w:rsidP="008F3E0F">
            <w:pPr>
              <w:jc w:val="center"/>
              <w:rPr>
                <w:highlight w:val="yellow"/>
              </w:rPr>
            </w:pPr>
            <w:r>
              <w:rPr>
                <w:sz w:val="24"/>
                <w:szCs w:val="24"/>
              </w:rPr>
              <w:t>5.49 (2.07-14.57)</w:t>
            </w:r>
          </w:p>
        </w:tc>
        <w:tc>
          <w:tcPr>
            <w:tcW w:w="1842" w:type="dxa"/>
          </w:tcPr>
          <w:p w14:paraId="22A8B24E" w14:textId="77777777" w:rsidR="00BE59D8" w:rsidRPr="00D76159" w:rsidRDefault="00BE59D8" w:rsidP="008F3E0F">
            <w:pPr>
              <w:jc w:val="center"/>
              <w:rPr>
                <w:highlight w:val="yellow"/>
              </w:rPr>
            </w:pPr>
            <w:r>
              <w:rPr>
                <w:sz w:val="24"/>
                <w:szCs w:val="24"/>
              </w:rPr>
              <w:t>4.55 (1.0-20.79)</w:t>
            </w:r>
          </w:p>
        </w:tc>
        <w:tc>
          <w:tcPr>
            <w:tcW w:w="1196" w:type="dxa"/>
          </w:tcPr>
          <w:p w14:paraId="3CCD1FB8" w14:textId="77777777" w:rsidR="00BE59D8" w:rsidRPr="00B322D0" w:rsidRDefault="00BE59D8" w:rsidP="008F3E0F">
            <w:pPr>
              <w:jc w:val="center"/>
            </w:pPr>
            <w:r w:rsidRPr="00B322D0">
              <w:t>0.71</w:t>
            </w:r>
          </w:p>
        </w:tc>
      </w:tr>
      <w:tr w:rsidR="00BE59D8" w14:paraId="4634C3DF" w14:textId="77777777" w:rsidTr="008F3E0F">
        <w:tc>
          <w:tcPr>
            <w:tcW w:w="1848" w:type="dxa"/>
          </w:tcPr>
          <w:p w14:paraId="47F3D10E" w14:textId="77777777" w:rsidR="00BE59D8" w:rsidRPr="00693C2C" w:rsidRDefault="00BE59D8" w:rsidP="008F3E0F">
            <w:pPr>
              <w:jc w:val="right"/>
              <w:rPr>
                <w:i/>
                <w:sz w:val="24"/>
                <w:szCs w:val="24"/>
              </w:rPr>
            </w:pPr>
            <w:r w:rsidRPr="00693C2C">
              <w:rPr>
                <w:i/>
                <w:sz w:val="24"/>
                <w:szCs w:val="24"/>
              </w:rPr>
              <w:t>Depressive disorders</w:t>
            </w:r>
          </w:p>
        </w:tc>
        <w:tc>
          <w:tcPr>
            <w:tcW w:w="2371" w:type="dxa"/>
          </w:tcPr>
          <w:p w14:paraId="6FA7E11F" w14:textId="77777777" w:rsidR="00BE59D8" w:rsidRDefault="00BE59D8" w:rsidP="008F3E0F">
            <w:r w:rsidRPr="004D1771">
              <w:rPr>
                <w:sz w:val="24"/>
                <w:szCs w:val="24"/>
              </w:rPr>
              <w:t>2.60 (2.16-3.14)</w:t>
            </w:r>
          </w:p>
        </w:tc>
        <w:tc>
          <w:tcPr>
            <w:tcW w:w="1985" w:type="dxa"/>
          </w:tcPr>
          <w:p w14:paraId="167456B4" w14:textId="77777777" w:rsidR="00BE59D8" w:rsidRDefault="00BE59D8" w:rsidP="008F3E0F">
            <w:r w:rsidRPr="004D1771">
              <w:rPr>
                <w:sz w:val="24"/>
                <w:szCs w:val="24"/>
              </w:rPr>
              <w:t>1.79 (1.53-2.09)</w:t>
            </w:r>
          </w:p>
        </w:tc>
        <w:tc>
          <w:tcPr>
            <w:tcW w:w="1842" w:type="dxa"/>
          </w:tcPr>
          <w:p w14:paraId="082EF55C" w14:textId="77777777" w:rsidR="00BE59D8" w:rsidRDefault="00BE59D8" w:rsidP="008F3E0F">
            <w:pPr>
              <w:jc w:val="center"/>
            </w:pPr>
            <w:r>
              <w:rPr>
                <w:sz w:val="24"/>
                <w:szCs w:val="24"/>
              </w:rPr>
              <w:t>1.37 (1.09-1.72)</w:t>
            </w:r>
          </w:p>
        </w:tc>
        <w:tc>
          <w:tcPr>
            <w:tcW w:w="1196" w:type="dxa"/>
          </w:tcPr>
          <w:p w14:paraId="0C878638" w14:textId="77777777" w:rsidR="00BE59D8" w:rsidRDefault="00BE59D8" w:rsidP="008F3E0F">
            <w:pPr>
              <w:jc w:val="center"/>
            </w:pPr>
            <w:r>
              <w:t>&lt;0.001</w:t>
            </w:r>
          </w:p>
        </w:tc>
      </w:tr>
      <w:tr w:rsidR="00BE59D8" w14:paraId="2B6E1A88" w14:textId="77777777" w:rsidTr="008F3E0F">
        <w:tc>
          <w:tcPr>
            <w:tcW w:w="1848" w:type="dxa"/>
          </w:tcPr>
          <w:p w14:paraId="714B1E52" w14:textId="77777777" w:rsidR="00BE59D8" w:rsidRPr="00693C2C" w:rsidRDefault="00BE59D8" w:rsidP="008F3E0F">
            <w:pPr>
              <w:jc w:val="right"/>
              <w:rPr>
                <w:i/>
                <w:sz w:val="24"/>
                <w:szCs w:val="24"/>
              </w:rPr>
            </w:pPr>
            <w:r w:rsidRPr="00693C2C">
              <w:rPr>
                <w:i/>
                <w:sz w:val="24"/>
                <w:szCs w:val="24"/>
              </w:rPr>
              <w:t>Psychotic disorders</w:t>
            </w:r>
          </w:p>
        </w:tc>
        <w:tc>
          <w:tcPr>
            <w:tcW w:w="2371" w:type="dxa"/>
          </w:tcPr>
          <w:p w14:paraId="69D72799" w14:textId="77777777" w:rsidR="00BE59D8" w:rsidRPr="00552DD8" w:rsidRDefault="00BE59D8" w:rsidP="008F3E0F">
            <w:pPr>
              <w:contextualSpacing/>
              <w:rPr>
                <w:rFonts w:eastAsiaTheme="minorHAnsi"/>
                <w:sz w:val="24"/>
                <w:szCs w:val="24"/>
              </w:rPr>
            </w:pPr>
            <w:r w:rsidRPr="00552DD8">
              <w:rPr>
                <w:rFonts w:eastAsiaTheme="minorHAnsi"/>
                <w:sz w:val="24"/>
                <w:szCs w:val="24"/>
              </w:rPr>
              <w:t>11.52 (5.39-24.62)</w:t>
            </w:r>
          </w:p>
          <w:p w14:paraId="7E170380" w14:textId="77777777" w:rsidR="00BE59D8" w:rsidRDefault="00BE59D8" w:rsidP="008F3E0F">
            <w:pPr>
              <w:contextualSpacing/>
            </w:pPr>
          </w:p>
        </w:tc>
        <w:tc>
          <w:tcPr>
            <w:tcW w:w="1985" w:type="dxa"/>
          </w:tcPr>
          <w:p w14:paraId="53EE4D6B" w14:textId="77777777" w:rsidR="00BE59D8" w:rsidRPr="00552DD8" w:rsidRDefault="00BE59D8" w:rsidP="008F3E0F">
            <w:pPr>
              <w:contextualSpacing/>
              <w:rPr>
                <w:rFonts w:eastAsiaTheme="minorHAnsi"/>
                <w:sz w:val="24"/>
                <w:szCs w:val="24"/>
              </w:rPr>
            </w:pPr>
            <w:r w:rsidRPr="00552DD8">
              <w:rPr>
                <w:rFonts w:eastAsiaTheme="minorHAnsi"/>
                <w:sz w:val="24"/>
                <w:szCs w:val="24"/>
              </w:rPr>
              <w:t>2.87 (1.38-5.97)</w:t>
            </w:r>
          </w:p>
          <w:p w14:paraId="781CEEE3" w14:textId="77777777" w:rsidR="00BE59D8" w:rsidRDefault="00BE59D8" w:rsidP="008F3E0F">
            <w:pPr>
              <w:jc w:val="center"/>
            </w:pPr>
          </w:p>
        </w:tc>
        <w:tc>
          <w:tcPr>
            <w:tcW w:w="1842" w:type="dxa"/>
          </w:tcPr>
          <w:p w14:paraId="090585AF" w14:textId="77777777" w:rsidR="00BE59D8" w:rsidRPr="00552DD8" w:rsidRDefault="00BE59D8" w:rsidP="008F3E0F">
            <w:pPr>
              <w:contextualSpacing/>
              <w:rPr>
                <w:rFonts w:eastAsiaTheme="minorHAnsi"/>
                <w:sz w:val="24"/>
                <w:szCs w:val="24"/>
              </w:rPr>
            </w:pPr>
            <w:r w:rsidRPr="00552DD8">
              <w:rPr>
                <w:rFonts w:eastAsiaTheme="minorHAnsi"/>
                <w:sz w:val="24"/>
                <w:szCs w:val="24"/>
              </w:rPr>
              <w:t>0.96 (0.23-3.95)</w:t>
            </w:r>
          </w:p>
          <w:p w14:paraId="33E650EF" w14:textId="77777777" w:rsidR="00BE59D8" w:rsidRDefault="00BE59D8" w:rsidP="008F3E0F">
            <w:pPr>
              <w:jc w:val="center"/>
            </w:pPr>
          </w:p>
        </w:tc>
        <w:tc>
          <w:tcPr>
            <w:tcW w:w="1196" w:type="dxa"/>
          </w:tcPr>
          <w:p w14:paraId="25BBA9CE" w14:textId="77777777" w:rsidR="00BE59D8" w:rsidRDefault="00BE59D8" w:rsidP="008F3E0F">
            <w:pPr>
              <w:jc w:val="center"/>
            </w:pPr>
            <w:r>
              <w:t>0.005</w:t>
            </w:r>
          </w:p>
        </w:tc>
      </w:tr>
    </w:tbl>
    <w:p w14:paraId="39FC8CF4" w14:textId="77777777" w:rsidR="00BE59D8" w:rsidRPr="00864266" w:rsidRDefault="00BE59D8" w:rsidP="00BE59D8">
      <w:pPr>
        <w:rPr>
          <w:sz w:val="24"/>
          <w:szCs w:val="24"/>
        </w:rPr>
      </w:pPr>
      <w:r w:rsidRPr="00864266">
        <w:rPr>
          <w:sz w:val="24"/>
          <w:szCs w:val="24"/>
        </w:rPr>
        <w:t>*P-value for interaction</w:t>
      </w:r>
    </w:p>
    <w:p w14:paraId="59DD4AA1" w14:textId="77777777" w:rsidR="00BE59D8" w:rsidRPr="008C0308" w:rsidRDefault="00BE59D8" w:rsidP="00864A61">
      <w:pPr>
        <w:spacing w:after="0"/>
        <w:rPr>
          <w:b/>
          <w:sz w:val="24"/>
          <w:szCs w:val="24"/>
        </w:rPr>
      </w:pPr>
    </w:p>
    <w:p w14:paraId="2E5A7DF9" w14:textId="38687218" w:rsidR="0028677A" w:rsidRPr="007B5F38" w:rsidRDefault="002F72F0" w:rsidP="0028677A">
      <w:pPr>
        <w:rPr>
          <w:b/>
          <w:sz w:val="24"/>
          <w:szCs w:val="24"/>
        </w:rPr>
      </w:pPr>
      <w:r>
        <w:rPr>
          <w:b/>
          <w:sz w:val="24"/>
          <w:szCs w:val="24"/>
        </w:rPr>
        <w:t>DISCUSSION</w:t>
      </w:r>
    </w:p>
    <w:p w14:paraId="609F7AA5" w14:textId="77777777" w:rsidR="00886866" w:rsidRPr="00886866" w:rsidRDefault="00252A52" w:rsidP="00D421BD">
      <w:pPr>
        <w:spacing w:after="0" w:line="360" w:lineRule="auto"/>
        <w:rPr>
          <w:sz w:val="24"/>
          <w:szCs w:val="24"/>
        </w:rPr>
      </w:pPr>
      <w:r>
        <w:rPr>
          <w:sz w:val="24"/>
          <w:szCs w:val="24"/>
        </w:rPr>
        <w:t xml:space="preserve">This is </w:t>
      </w:r>
      <w:r w:rsidR="0051507C">
        <w:rPr>
          <w:sz w:val="24"/>
          <w:szCs w:val="24"/>
        </w:rPr>
        <w:t xml:space="preserve">to our knowledge the largest </w:t>
      </w:r>
      <w:r w:rsidR="0046398E">
        <w:rPr>
          <w:sz w:val="24"/>
          <w:szCs w:val="24"/>
        </w:rPr>
        <w:t xml:space="preserve">ever </w:t>
      </w:r>
      <w:r w:rsidR="00725BCB">
        <w:rPr>
          <w:sz w:val="24"/>
          <w:szCs w:val="24"/>
        </w:rPr>
        <w:t xml:space="preserve">study </w:t>
      </w:r>
      <w:r w:rsidR="007614D6">
        <w:rPr>
          <w:sz w:val="24"/>
          <w:szCs w:val="24"/>
        </w:rPr>
        <w:t>to investigate</w:t>
      </w:r>
      <w:r w:rsidR="0046398E">
        <w:rPr>
          <w:sz w:val="24"/>
          <w:szCs w:val="24"/>
        </w:rPr>
        <w:t xml:space="preserve"> </w:t>
      </w:r>
      <w:r w:rsidR="0051507C">
        <w:rPr>
          <w:sz w:val="24"/>
          <w:szCs w:val="24"/>
        </w:rPr>
        <w:t xml:space="preserve">sequelae post-encephalitis and the first </w:t>
      </w:r>
      <w:r>
        <w:rPr>
          <w:sz w:val="24"/>
          <w:szCs w:val="24"/>
        </w:rPr>
        <w:t xml:space="preserve">to </w:t>
      </w:r>
      <w:r w:rsidR="0051507C">
        <w:rPr>
          <w:sz w:val="24"/>
          <w:szCs w:val="24"/>
        </w:rPr>
        <w:t xml:space="preserve">consider rates of </w:t>
      </w:r>
      <w:r w:rsidR="00725BCB">
        <w:rPr>
          <w:sz w:val="24"/>
          <w:szCs w:val="24"/>
        </w:rPr>
        <w:t xml:space="preserve">specific </w:t>
      </w:r>
      <w:r w:rsidR="0051507C">
        <w:rPr>
          <w:sz w:val="24"/>
          <w:szCs w:val="24"/>
        </w:rPr>
        <w:t>sequelae amongst encephalitis survivors compared to the general population.</w:t>
      </w:r>
      <w:r w:rsidR="007A4DB6">
        <w:rPr>
          <w:sz w:val="24"/>
          <w:szCs w:val="24"/>
        </w:rPr>
        <w:t xml:space="preserve"> </w:t>
      </w:r>
      <w:r w:rsidR="008B1633">
        <w:rPr>
          <w:sz w:val="24"/>
          <w:szCs w:val="24"/>
        </w:rPr>
        <w:t xml:space="preserve">We report </w:t>
      </w:r>
      <w:r w:rsidR="0051507C">
        <w:rPr>
          <w:sz w:val="24"/>
          <w:szCs w:val="24"/>
        </w:rPr>
        <w:t xml:space="preserve">an increased risk </w:t>
      </w:r>
      <w:r w:rsidR="0046398E">
        <w:rPr>
          <w:sz w:val="24"/>
          <w:szCs w:val="24"/>
        </w:rPr>
        <w:t xml:space="preserve">of all outcomes, including </w:t>
      </w:r>
      <w:r w:rsidR="0051507C">
        <w:rPr>
          <w:sz w:val="24"/>
          <w:szCs w:val="24"/>
        </w:rPr>
        <w:t>epilepsy, headache, cognitive problems and dementia, psychiatric problems and alcohol abuse</w:t>
      </w:r>
      <w:r w:rsidR="0046398E">
        <w:rPr>
          <w:sz w:val="24"/>
          <w:szCs w:val="24"/>
        </w:rPr>
        <w:t>,</w:t>
      </w:r>
      <w:r w:rsidR="0051507C">
        <w:rPr>
          <w:sz w:val="24"/>
          <w:szCs w:val="24"/>
        </w:rPr>
        <w:t xml:space="preserve"> </w:t>
      </w:r>
      <w:r w:rsidR="007A4DB6">
        <w:rPr>
          <w:sz w:val="24"/>
          <w:szCs w:val="24"/>
        </w:rPr>
        <w:t>in encephalitis patients.</w:t>
      </w:r>
    </w:p>
    <w:p w14:paraId="6130E6D4" w14:textId="77777777" w:rsidR="00886866" w:rsidRDefault="00886866" w:rsidP="00D421BD">
      <w:pPr>
        <w:spacing w:after="0" w:line="360" w:lineRule="auto"/>
        <w:rPr>
          <w:b/>
          <w:i/>
          <w:sz w:val="24"/>
          <w:szCs w:val="24"/>
        </w:rPr>
      </w:pPr>
    </w:p>
    <w:p w14:paraId="153DE253" w14:textId="77777777" w:rsidR="00922368" w:rsidRDefault="0028752D" w:rsidP="004F0C01">
      <w:pPr>
        <w:spacing w:after="0" w:line="360" w:lineRule="auto"/>
        <w:rPr>
          <w:rFonts w:eastAsia="Times New Roman"/>
          <w:sz w:val="24"/>
          <w:szCs w:val="24"/>
        </w:rPr>
      </w:pPr>
      <w:r>
        <w:rPr>
          <w:rFonts w:eastAsia="Times New Roman"/>
          <w:sz w:val="24"/>
          <w:szCs w:val="24"/>
        </w:rPr>
        <w:lastRenderedPageBreak/>
        <w:t>E</w:t>
      </w:r>
      <w:r w:rsidR="00CB0F65">
        <w:rPr>
          <w:rFonts w:eastAsia="Times New Roman"/>
          <w:sz w:val="24"/>
          <w:szCs w:val="24"/>
        </w:rPr>
        <w:t xml:space="preserve">pilepsy </w:t>
      </w:r>
      <w:r w:rsidR="00783AAF">
        <w:rPr>
          <w:rFonts w:eastAsia="Times New Roman"/>
          <w:sz w:val="24"/>
          <w:szCs w:val="24"/>
        </w:rPr>
        <w:t>is</w:t>
      </w:r>
      <w:r w:rsidR="00F24C21">
        <w:rPr>
          <w:rFonts w:eastAsia="Times New Roman"/>
          <w:sz w:val="24"/>
          <w:szCs w:val="24"/>
        </w:rPr>
        <w:t xml:space="preserve"> </w:t>
      </w:r>
      <w:r w:rsidR="004A2F26">
        <w:rPr>
          <w:rFonts w:eastAsia="Times New Roman"/>
          <w:sz w:val="24"/>
          <w:szCs w:val="24"/>
        </w:rPr>
        <w:t>a well</w:t>
      </w:r>
      <w:r w:rsidR="00F345A4">
        <w:rPr>
          <w:rFonts w:eastAsia="Times New Roman"/>
          <w:sz w:val="24"/>
          <w:szCs w:val="24"/>
        </w:rPr>
        <w:t>-</w:t>
      </w:r>
      <w:r w:rsidR="004A2F26">
        <w:rPr>
          <w:rFonts w:eastAsia="Times New Roman"/>
          <w:sz w:val="24"/>
          <w:szCs w:val="24"/>
        </w:rPr>
        <w:t xml:space="preserve">known </w:t>
      </w:r>
      <w:r w:rsidR="00036D51">
        <w:rPr>
          <w:rFonts w:eastAsia="Times New Roman"/>
          <w:sz w:val="24"/>
          <w:szCs w:val="24"/>
        </w:rPr>
        <w:t xml:space="preserve">complication </w:t>
      </w:r>
      <w:r w:rsidR="004A2F26">
        <w:rPr>
          <w:rFonts w:eastAsia="Times New Roman"/>
          <w:sz w:val="24"/>
          <w:szCs w:val="24"/>
        </w:rPr>
        <w:t xml:space="preserve">of </w:t>
      </w:r>
      <w:r w:rsidR="00F24C21">
        <w:rPr>
          <w:rFonts w:eastAsia="Times New Roman"/>
          <w:sz w:val="24"/>
          <w:szCs w:val="24"/>
        </w:rPr>
        <w:t>encephalitis</w:t>
      </w:r>
      <w:r w:rsidR="00F345A4">
        <w:rPr>
          <w:rFonts w:eastAsia="Times New Roman"/>
          <w:sz w:val="24"/>
          <w:szCs w:val="24"/>
        </w:rPr>
        <w:t>. P</w:t>
      </w:r>
      <w:r w:rsidR="00B054D7">
        <w:rPr>
          <w:rFonts w:eastAsia="Times New Roman"/>
          <w:sz w:val="24"/>
          <w:szCs w:val="24"/>
        </w:rPr>
        <w:t>ost-</w:t>
      </w:r>
      <w:r w:rsidR="005F17C5">
        <w:rPr>
          <w:rFonts w:eastAsia="Times New Roman"/>
          <w:sz w:val="24"/>
          <w:szCs w:val="24"/>
        </w:rPr>
        <w:t xml:space="preserve">encephalitic epilepsy and drug-resistant epilepsy was reported in 21% </w:t>
      </w:r>
      <w:r w:rsidR="00713A58">
        <w:rPr>
          <w:rFonts w:eastAsia="Times New Roman"/>
          <w:sz w:val="24"/>
          <w:szCs w:val="24"/>
        </w:rPr>
        <w:t>(</w:t>
      </w:r>
      <w:r w:rsidR="00387916">
        <w:rPr>
          <w:rFonts w:eastAsia="Times New Roman"/>
          <w:sz w:val="24"/>
          <w:szCs w:val="24"/>
        </w:rPr>
        <w:t>31</w:t>
      </w:r>
      <w:r w:rsidR="00713A58">
        <w:rPr>
          <w:rFonts w:eastAsia="Times New Roman"/>
          <w:sz w:val="24"/>
          <w:szCs w:val="24"/>
        </w:rPr>
        <w:t xml:space="preserve">/147) </w:t>
      </w:r>
      <w:r w:rsidR="005F17C5">
        <w:rPr>
          <w:rFonts w:eastAsia="Times New Roman"/>
          <w:sz w:val="24"/>
          <w:szCs w:val="24"/>
        </w:rPr>
        <w:t>and 10%</w:t>
      </w:r>
      <w:r w:rsidR="00713A58">
        <w:rPr>
          <w:rFonts w:eastAsia="Times New Roman"/>
          <w:sz w:val="24"/>
          <w:szCs w:val="24"/>
        </w:rPr>
        <w:t xml:space="preserve"> (</w:t>
      </w:r>
      <w:r w:rsidR="00387916">
        <w:rPr>
          <w:rFonts w:eastAsia="Times New Roman"/>
          <w:sz w:val="24"/>
          <w:szCs w:val="24"/>
        </w:rPr>
        <w:t>15</w:t>
      </w:r>
      <w:r w:rsidR="00713A58">
        <w:rPr>
          <w:rFonts w:eastAsia="Times New Roman"/>
          <w:sz w:val="24"/>
          <w:szCs w:val="24"/>
        </w:rPr>
        <w:t>/147)</w:t>
      </w:r>
      <w:r w:rsidR="00387916">
        <w:rPr>
          <w:rFonts w:eastAsia="Times New Roman"/>
          <w:sz w:val="24"/>
          <w:szCs w:val="24"/>
        </w:rPr>
        <w:t xml:space="preserve"> of Australian children </w:t>
      </w:r>
      <w:r w:rsidR="005F17C5">
        <w:rPr>
          <w:rFonts w:eastAsia="Times New Roman"/>
          <w:sz w:val="24"/>
          <w:szCs w:val="24"/>
        </w:rPr>
        <w:t>wi</w:t>
      </w:r>
      <w:r w:rsidR="003B0710">
        <w:rPr>
          <w:rFonts w:eastAsia="Times New Roman"/>
          <w:sz w:val="24"/>
          <w:szCs w:val="24"/>
        </w:rPr>
        <w:t xml:space="preserve">th acute encephalitis and </w:t>
      </w:r>
      <w:r w:rsidR="005F17C5">
        <w:rPr>
          <w:rFonts w:eastAsia="Times New Roman"/>
          <w:sz w:val="24"/>
          <w:szCs w:val="24"/>
        </w:rPr>
        <w:t xml:space="preserve">median </w:t>
      </w:r>
      <w:r w:rsidR="00AB3EB9">
        <w:rPr>
          <w:rFonts w:eastAsia="Times New Roman"/>
          <w:sz w:val="24"/>
          <w:szCs w:val="24"/>
        </w:rPr>
        <w:t>follow up</w:t>
      </w:r>
      <w:r w:rsidR="003B0710">
        <w:rPr>
          <w:rFonts w:eastAsia="Times New Roman"/>
          <w:sz w:val="24"/>
          <w:szCs w:val="24"/>
        </w:rPr>
        <w:t xml:space="preserve"> of</w:t>
      </w:r>
      <w:r w:rsidR="005F17C5">
        <w:rPr>
          <w:rFonts w:eastAsia="Times New Roman"/>
          <w:sz w:val="24"/>
          <w:szCs w:val="24"/>
        </w:rPr>
        <w:t xml:space="preserve"> seven years</w:t>
      </w:r>
      <w:proofErr w:type="gramStart"/>
      <w:r w:rsidR="005F17C5">
        <w:rPr>
          <w:rFonts w:eastAsia="Times New Roman"/>
          <w:sz w:val="24"/>
          <w:szCs w:val="24"/>
        </w:rPr>
        <w:t>.</w:t>
      </w:r>
      <w:r w:rsidR="00971B61">
        <w:rPr>
          <w:rFonts w:eastAsia="Times New Roman"/>
          <w:sz w:val="24"/>
          <w:szCs w:val="24"/>
        </w:rPr>
        <w:t>[</w:t>
      </w:r>
      <w:proofErr w:type="gramEnd"/>
      <w:r w:rsidR="00971B61">
        <w:rPr>
          <w:rFonts w:eastAsia="Times New Roman"/>
          <w:sz w:val="24"/>
          <w:szCs w:val="24"/>
        </w:rPr>
        <w:t>17]</w:t>
      </w:r>
      <w:r w:rsidR="00942565">
        <w:rPr>
          <w:rFonts w:eastAsia="Times New Roman"/>
          <w:sz w:val="24"/>
          <w:szCs w:val="24"/>
        </w:rPr>
        <w:t xml:space="preserve"> </w:t>
      </w:r>
      <w:r w:rsidR="008911F8">
        <w:rPr>
          <w:rFonts w:eastAsia="Times New Roman"/>
          <w:sz w:val="24"/>
          <w:szCs w:val="24"/>
        </w:rPr>
        <w:t xml:space="preserve">Our study confirms these </w:t>
      </w:r>
      <w:r w:rsidR="00942565">
        <w:rPr>
          <w:rFonts w:eastAsia="Times New Roman"/>
          <w:sz w:val="24"/>
          <w:szCs w:val="24"/>
        </w:rPr>
        <w:t>findings</w:t>
      </w:r>
      <w:r w:rsidR="001B23F3">
        <w:rPr>
          <w:rFonts w:eastAsia="Times New Roman"/>
          <w:sz w:val="24"/>
          <w:szCs w:val="24"/>
        </w:rPr>
        <w:t>:</w:t>
      </w:r>
      <w:r w:rsidR="00727CCB">
        <w:rPr>
          <w:rFonts w:eastAsia="Times New Roman"/>
          <w:sz w:val="24"/>
          <w:szCs w:val="24"/>
        </w:rPr>
        <w:t xml:space="preserve"> epilepsy occurred in 7% of </w:t>
      </w:r>
      <w:r w:rsidR="004F1A74">
        <w:rPr>
          <w:rFonts w:eastAsia="Times New Roman"/>
          <w:sz w:val="24"/>
          <w:szCs w:val="24"/>
        </w:rPr>
        <w:t xml:space="preserve">survivors </w:t>
      </w:r>
      <w:r w:rsidR="00727CCB">
        <w:rPr>
          <w:rFonts w:eastAsia="Times New Roman"/>
          <w:sz w:val="24"/>
          <w:szCs w:val="24"/>
        </w:rPr>
        <w:t>of all ages</w:t>
      </w:r>
      <w:r w:rsidR="00A3171C">
        <w:rPr>
          <w:rFonts w:eastAsia="Times New Roman"/>
          <w:sz w:val="24"/>
          <w:szCs w:val="24"/>
        </w:rPr>
        <w:t>.</w:t>
      </w:r>
      <w:r w:rsidR="008911F8">
        <w:rPr>
          <w:rFonts w:eastAsia="Times New Roman"/>
          <w:sz w:val="24"/>
          <w:szCs w:val="24"/>
        </w:rPr>
        <w:t xml:space="preserve"> Furthermore, we </w:t>
      </w:r>
      <w:r w:rsidR="00F654BA">
        <w:rPr>
          <w:rFonts w:eastAsia="Times New Roman"/>
          <w:sz w:val="24"/>
          <w:szCs w:val="24"/>
        </w:rPr>
        <w:t>show</w:t>
      </w:r>
      <w:r w:rsidR="008911F8">
        <w:rPr>
          <w:rFonts w:eastAsia="Times New Roman"/>
          <w:sz w:val="24"/>
          <w:szCs w:val="24"/>
        </w:rPr>
        <w:t xml:space="preserve"> that </w:t>
      </w:r>
      <w:r w:rsidR="00942565">
        <w:rPr>
          <w:rFonts w:eastAsia="Times New Roman"/>
          <w:sz w:val="24"/>
          <w:szCs w:val="24"/>
        </w:rPr>
        <w:t xml:space="preserve">the rate of epilepsy </w:t>
      </w:r>
      <w:r w:rsidR="003F20CC">
        <w:rPr>
          <w:rFonts w:eastAsia="Times New Roman"/>
          <w:sz w:val="24"/>
          <w:szCs w:val="24"/>
        </w:rPr>
        <w:t xml:space="preserve">in </w:t>
      </w:r>
      <w:r w:rsidR="00942565">
        <w:rPr>
          <w:rFonts w:eastAsia="Times New Roman"/>
          <w:sz w:val="24"/>
          <w:szCs w:val="24"/>
        </w:rPr>
        <w:t xml:space="preserve">individuals with encephalitis was over 30 times higher than </w:t>
      </w:r>
      <w:r w:rsidR="008911F8">
        <w:rPr>
          <w:rFonts w:eastAsia="Times New Roman"/>
          <w:sz w:val="24"/>
          <w:szCs w:val="24"/>
        </w:rPr>
        <w:t xml:space="preserve">that of </w:t>
      </w:r>
      <w:r w:rsidR="003F20CC">
        <w:rPr>
          <w:rFonts w:eastAsia="Times New Roman"/>
          <w:sz w:val="24"/>
          <w:szCs w:val="24"/>
        </w:rPr>
        <w:t>the general population</w:t>
      </w:r>
      <w:r w:rsidR="00942565">
        <w:rPr>
          <w:rFonts w:eastAsia="Times New Roman"/>
          <w:sz w:val="24"/>
          <w:szCs w:val="24"/>
        </w:rPr>
        <w:t xml:space="preserve">, and this risk was </w:t>
      </w:r>
      <w:r w:rsidR="00FF2D9D">
        <w:rPr>
          <w:rFonts w:eastAsia="Times New Roman"/>
          <w:sz w:val="24"/>
          <w:szCs w:val="24"/>
        </w:rPr>
        <w:t xml:space="preserve">particularly </w:t>
      </w:r>
      <w:r w:rsidR="00942565">
        <w:rPr>
          <w:rFonts w:eastAsia="Times New Roman"/>
          <w:sz w:val="24"/>
          <w:szCs w:val="24"/>
        </w:rPr>
        <w:t>high in t</w:t>
      </w:r>
      <w:r w:rsidR="003F20CC">
        <w:rPr>
          <w:rFonts w:eastAsia="Times New Roman"/>
          <w:sz w:val="24"/>
          <w:szCs w:val="24"/>
        </w:rPr>
        <w:t>he first year</w:t>
      </w:r>
      <w:r w:rsidR="00942565">
        <w:rPr>
          <w:rFonts w:eastAsia="Times New Roman"/>
          <w:sz w:val="24"/>
          <w:szCs w:val="24"/>
        </w:rPr>
        <w:t xml:space="preserve">. </w:t>
      </w:r>
      <w:r w:rsidR="008911F8">
        <w:rPr>
          <w:rFonts w:eastAsia="Times New Roman"/>
          <w:sz w:val="24"/>
          <w:szCs w:val="24"/>
        </w:rPr>
        <w:t xml:space="preserve">This has implications for </w:t>
      </w:r>
      <w:r w:rsidR="003C10A2">
        <w:rPr>
          <w:rFonts w:eastAsia="Times New Roman"/>
          <w:sz w:val="24"/>
          <w:szCs w:val="24"/>
        </w:rPr>
        <w:t xml:space="preserve">patient </w:t>
      </w:r>
      <w:r w:rsidR="008911F8">
        <w:rPr>
          <w:rFonts w:eastAsia="Times New Roman"/>
          <w:sz w:val="24"/>
          <w:szCs w:val="24"/>
        </w:rPr>
        <w:t>management</w:t>
      </w:r>
      <w:r w:rsidR="003C10A2">
        <w:rPr>
          <w:rFonts w:eastAsia="Times New Roman"/>
          <w:sz w:val="24"/>
          <w:szCs w:val="24"/>
        </w:rPr>
        <w:t xml:space="preserve">; </w:t>
      </w:r>
      <w:r w:rsidR="008911F8" w:rsidRPr="008911F8">
        <w:rPr>
          <w:rFonts w:eastAsia="Times New Roman"/>
          <w:sz w:val="24"/>
          <w:szCs w:val="24"/>
        </w:rPr>
        <w:t>s</w:t>
      </w:r>
      <w:r w:rsidR="003F20CC" w:rsidRPr="008911F8">
        <w:rPr>
          <w:rFonts w:eastAsia="Times New Roman"/>
          <w:sz w:val="24"/>
          <w:szCs w:val="24"/>
        </w:rPr>
        <w:t xml:space="preserve">urvivors </w:t>
      </w:r>
      <w:r w:rsidR="00942565" w:rsidRPr="008911F8">
        <w:rPr>
          <w:rFonts w:eastAsia="Times New Roman"/>
          <w:sz w:val="24"/>
          <w:szCs w:val="24"/>
        </w:rPr>
        <w:t>should be carefully monitored for seizures and epilepsy</w:t>
      </w:r>
      <w:r w:rsidR="00DE577B">
        <w:rPr>
          <w:rFonts w:eastAsia="Times New Roman"/>
          <w:sz w:val="24"/>
          <w:szCs w:val="24"/>
        </w:rPr>
        <w:t>, particularly</w:t>
      </w:r>
      <w:r w:rsidR="00942565" w:rsidRPr="008911F8">
        <w:rPr>
          <w:rFonts w:eastAsia="Times New Roman"/>
          <w:sz w:val="24"/>
          <w:szCs w:val="24"/>
        </w:rPr>
        <w:t xml:space="preserve"> </w:t>
      </w:r>
      <w:r w:rsidR="00BB0450">
        <w:rPr>
          <w:rFonts w:eastAsia="Times New Roman"/>
          <w:sz w:val="24"/>
          <w:szCs w:val="24"/>
        </w:rPr>
        <w:t>i</w:t>
      </w:r>
      <w:r w:rsidR="00942565" w:rsidRPr="008911F8">
        <w:rPr>
          <w:rFonts w:eastAsia="Times New Roman"/>
          <w:sz w:val="24"/>
          <w:szCs w:val="24"/>
        </w:rPr>
        <w:t>n the first year after</w:t>
      </w:r>
      <w:r w:rsidR="003F20CC" w:rsidRPr="008911F8">
        <w:rPr>
          <w:rFonts w:eastAsia="Times New Roman"/>
          <w:sz w:val="24"/>
          <w:szCs w:val="24"/>
        </w:rPr>
        <w:t xml:space="preserve"> the illness</w:t>
      </w:r>
      <w:r w:rsidR="008911F8" w:rsidRPr="008911F8">
        <w:rPr>
          <w:rFonts w:eastAsia="Times New Roman"/>
          <w:sz w:val="24"/>
          <w:szCs w:val="24"/>
        </w:rPr>
        <w:t>. This is especially</w:t>
      </w:r>
      <w:r w:rsidR="00942565" w:rsidRPr="008911F8">
        <w:rPr>
          <w:rFonts w:eastAsia="Times New Roman"/>
          <w:sz w:val="24"/>
          <w:szCs w:val="24"/>
        </w:rPr>
        <w:t xml:space="preserve"> true for patients who </w:t>
      </w:r>
      <w:r w:rsidR="008911F8" w:rsidRPr="00B63DC1">
        <w:rPr>
          <w:rFonts w:eastAsia="Times New Roman"/>
          <w:sz w:val="24"/>
          <w:szCs w:val="24"/>
        </w:rPr>
        <w:t xml:space="preserve">also </w:t>
      </w:r>
      <w:r w:rsidR="00942565" w:rsidRPr="00B63DC1">
        <w:rPr>
          <w:rFonts w:eastAsia="Times New Roman"/>
          <w:sz w:val="24"/>
          <w:szCs w:val="24"/>
        </w:rPr>
        <w:t>initially presented with seizures</w:t>
      </w:r>
      <w:r w:rsidR="008911F8" w:rsidRPr="00B63DC1">
        <w:rPr>
          <w:rFonts w:eastAsia="Times New Roman"/>
          <w:sz w:val="24"/>
          <w:szCs w:val="24"/>
        </w:rPr>
        <w:t>, as studies have shown a</w:t>
      </w:r>
      <w:r w:rsidR="00756450" w:rsidRPr="00B63DC1">
        <w:rPr>
          <w:rFonts w:eastAsia="Times New Roman"/>
          <w:sz w:val="24"/>
          <w:szCs w:val="24"/>
        </w:rPr>
        <w:t xml:space="preserve"> further </w:t>
      </w:r>
      <w:r w:rsidR="008911F8" w:rsidRPr="00B63DC1">
        <w:rPr>
          <w:rFonts w:eastAsia="Times New Roman"/>
          <w:sz w:val="24"/>
          <w:szCs w:val="24"/>
        </w:rPr>
        <w:t>increased risk in this group</w:t>
      </w:r>
      <w:proofErr w:type="gramStart"/>
      <w:r w:rsidR="00942565" w:rsidRPr="00B63DC1">
        <w:rPr>
          <w:rFonts w:eastAsia="Times New Roman"/>
          <w:sz w:val="24"/>
          <w:szCs w:val="24"/>
        </w:rPr>
        <w:t>.</w:t>
      </w:r>
      <w:r w:rsidR="00971B61">
        <w:rPr>
          <w:rFonts w:eastAsia="Times New Roman"/>
          <w:sz w:val="24"/>
          <w:szCs w:val="24"/>
        </w:rPr>
        <w:t>[</w:t>
      </w:r>
      <w:proofErr w:type="gramEnd"/>
      <w:r w:rsidR="00971B61">
        <w:rPr>
          <w:rFonts w:eastAsia="Times New Roman"/>
          <w:sz w:val="24"/>
          <w:szCs w:val="24"/>
        </w:rPr>
        <w:t>18]</w:t>
      </w:r>
      <w:r w:rsidR="004F0C01">
        <w:rPr>
          <w:rFonts w:eastAsia="Times New Roman"/>
          <w:sz w:val="24"/>
          <w:szCs w:val="24"/>
        </w:rPr>
        <w:t xml:space="preserve"> </w:t>
      </w:r>
    </w:p>
    <w:p w14:paraId="29E91B29" w14:textId="77777777" w:rsidR="00922368" w:rsidRDefault="00922368" w:rsidP="004F0C01">
      <w:pPr>
        <w:spacing w:after="0" w:line="360" w:lineRule="auto"/>
        <w:rPr>
          <w:rFonts w:eastAsia="Times New Roman"/>
          <w:sz w:val="24"/>
          <w:szCs w:val="24"/>
        </w:rPr>
      </w:pPr>
    </w:p>
    <w:p w14:paraId="68A74EBF" w14:textId="77777777" w:rsidR="00922368" w:rsidRDefault="00C17FD4" w:rsidP="004F0C01">
      <w:pPr>
        <w:spacing w:after="0" w:line="360" w:lineRule="auto"/>
        <w:rPr>
          <w:rFonts w:cs="Helvetica"/>
          <w:sz w:val="24"/>
          <w:szCs w:val="24"/>
          <w:lang w:val="en"/>
        </w:rPr>
      </w:pPr>
      <w:r>
        <w:rPr>
          <w:rFonts w:eastAsia="Times New Roman"/>
          <w:sz w:val="24"/>
          <w:szCs w:val="24"/>
        </w:rPr>
        <w:t xml:space="preserve">Depression </w:t>
      </w:r>
      <w:r w:rsidR="00372F3E">
        <w:rPr>
          <w:rFonts w:eastAsia="Times New Roman"/>
          <w:sz w:val="24"/>
          <w:szCs w:val="24"/>
        </w:rPr>
        <w:t xml:space="preserve">has been reported </w:t>
      </w:r>
      <w:r w:rsidR="00F53759">
        <w:rPr>
          <w:rFonts w:eastAsia="Times New Roman"/>
          <w:sz w:val="24"/>
          <w:szCs w:val="24"/>
        </w:rPr>
        <w:t xml:space="preserve">to varying degrees </w:t>
      </w:r>
      <w:r w:rsidR="007A4A49">
        <w:rPr>
          <w:rFonts w:eastAsia="Times New Roman"/>
          <w:sz w:val="24"/>
          <w:szCs w:val="24"/>
        </w:rPr>
        <w:t xml:space="preserve">in </w:t>
      </w:r>
      <w:r w:rsidR="007A4A49" w:rsidRPr="00160641">
        <w:rPr>
          <w:rFonts w:eastAsia="Times New Roman"/>
          <w:sz w:val="24"/>
          <w:szCs w:val="24"/>
        </w:rPr>
        <w:t>survivors of encephalitis</w:t>
      </w:r>
      <w:proofErr w:type="gramStart"/>
      <w:r w:rsidRPr="00160641">
        <w:rPr>
          <w:rFonts w:eastAsia="Times New Roman"/>
          <w:sz w:val="24"/>
          <w:szCs w:val="24"/>
        </w:rPr>
        <w:t>.</w:t>
      </w:r>
      <w:r w:rsidR="00971B61">
        <w:rPr>
          <w:rFonts w:eastAsia="Times New Roman"/>
          <w:sz w:val="24"/>
          <w:szCs w:val="24"/>
        </w:rPr>
        <w:t>[</w:t>
      </w:r>
      <w:proofErr w:type="gramEnd"/>
      <w:r w:rsidR="00971B61">
        <w:rPr>
          <w:rFonts w:eastAsia="Times New Roman"/>
          <w:sz w:val="24"/>
          <w:szCs w:val="24"/>
        </w:rPr>
        <w:t>9-10]</w:t>
      </w:r>
      <w:r w:rsidR="002429A6" w:rsidRPr="00160641">
        <w:rPr>
          <w:rFonts w:eastAsia="Times New Roman"/>
          <w:sz w:val="24"/>
          <w:szCs w:val="24"/>
        </w:rPr>
        <w:t xml:space="preserve"> </w:t>
      </w:r>
      <w:r w:rsidR="00160641" w:rsidRPr="00351C5E">
        <w:rPr>
          <w:rFonts w:cs="Helvetica"/>
          <w:sz w:val="24"/>
          <w:szCs w:val="24"/>
          <w:lang w:val="en"/>
        </w:rPr>
        <w:t xml:space="preserve">Encephalitis </w:t>
      </w:r>
      <w:r w:rsidR="008D4116">
        <w:rPr>
          <w:rFonts w:cs="Helvetica"/>
          <w:sz w:val="24"/>
          <w:szCs w:val="24"/>
          <w:lang w:val="en"/>
        </w:rPr>
        <w:t>clearly impact</w:t>
      </w:r>
      <w:r w:rsidR="00682668">
        <w:rPr>
          <w:rFonts w:cs="Helvetica"/>
          <w:sz w:val="24"/>
          <w:szCs w:val="24"/>
          <w:lang w:val="en"/>
        </w:rPr>
        <w:t>s</w:t>
      </w:r>
      <w:r w:rsidR="008D4116">
        <w:rPr>
          <w:rFonts w:cs="Helvetica"/>
          <w:sz w:val="24"/>
          <w:szCs w:val="24"/>
          <w:lang w:val="en"/>
        </w:rPr>
        <w:t xml:space="preserve"> on brain functioning and may result in depression through</w:t>
      </w:r>
      <w:r w:rsidR="00585959">
        <w:rPr>
          <w:rFonts w:cs="Helvetica"/>
          <w:sz w:val="24"/>
          <w:szCs w:val="24"/>
          <w:lang w:val="en"/>
        </w:rPr>
        <w:t xml:space="preserve"> </w:t>
      </w:r>
      <w:r w:rsidR="0026181F">
        <w:rPr>
          <w:rFonts w:cs="Helvetica"/>
          <w:sz w:val="24"/>
          <w:szCs w:val="24"/>
          <w:lang w:val="en"/>
        </w:rPr>
        <w:t>disruption of neurotra</w:t>
      </w:r>
      <w:r w:rsidR="008602FB">
        <w:rPr>
          <w:rFonts w:cs="Helvetica"/>
          <w:sz w:val="24"/>
          <w:szCs w:val="24"/>
          <w:lang w:val="en"/>
        </w:rPr>
        <w:t xml:space="preserve">nsmitter </w:t>
      </w:r>
      <w:r w:rsidR="008100E9">
        <w:rPr>
          <w:rFonts w:cs="Helvetica"/>
          <w:sz w:val="24"/>
          <w:szCs w:val="24"/>
          <w:lang w:val="en"/>
        </w:rPr>
        <w:t xml:space="preserve">mechanisms or </w:t>
      </w:r>
      <w:r w:rsidR="00706FB3">
        <w:rPr>
          <w:rFonts w:cs="Helvetica"/>
          <w:sz w:val="24"/>
          <w:szCs w:val="24"/>
          <w:lang w:val="en"/>
        </w:rPr>
        <w:t>pathways associated with</w:t>
      </w:r>
      <w:r w:rsidR="00661B50">
        <w:rPr>
          <w:rFonts w:cs="Helvetica"/>
          <w:sz w:val="24"/>
          <w:szCs w:val="24"/>
          <w:lang w:val="en"/>
        </w:rPr>
        <w:t xml:space="preserve"> </w:t>
      </w:r>
      <w:r w:rsidR="00F74547">
        <w:rPr>
          <w:rFonts w:cs="Helvetica"/>
          <w:sz w:val="24"/>
          <w:szCs w:val="24"/>
          <w:lang w:val="en"/>
        </w:rPr>
        <w:t>emotional</w:t>
      </w:r>
      <w:r w:rsidR="00924CBA">
        <w:rPr>
          <w:rFonts w:cs="Helvetica"/>
          <w:sz w:val="24"/>
          <w:szCs w:val="24"/>
          <w:lang w:val="en"/>
        </w:rPr>
        <w:t xml:space="preserve"> regulation</w:t>
      </w:r>
      <w:r w:rsidR="00160641" w:rsidRPr="00351C5E">
        <w:rPr>
          <w:rFonts w:cs="Helvetica"/>
          <w:sz w:val="24"/>
          <w:szCs w:val="24"/>
          <w:lang w:val="en"/>
        </w:rPr>
        <w:t>. Depression can also arise as a person struggles to adjust to life after encephalitis, perhaps with a disability or a role change within the family and society</w:t>
      </w:r>
      <w:proofErr w:type="gramStart"/>
      <w:r w:rsidR="00160641" w:rsidRPr="00351C5E">
        <w:rPr>
          <w:rFonts w:cs="Helvetica"/>
          <w:sz w:val="24"/>
          <w:szCs w:val="24"/>
          <w:lang w:val="en"/>
        </w:rPr>
        <w:t>.</w:t>
      </w:r>
      <w:r w:rsidR="00971B61">
        <w:rPr>
          <w:rFonts w:cs="Helvetica"/>
          <w:sz w:val="24"/>
          <w:szCs w:val="24"/>
          <w:lang w:val="en"/>
        </w:rPr>
        <w:t>[</w:t>
      </w:r>
      <w:proofErr w:type="gramEnd"/>
      <w:r w:rsidR="00971B61">
        <w:rPr>
          <w:rFonts w:cs="Helvetica"/>
          <w:sz w:val="24"/>
          <w:szCs w:val="24"/>
          <w:lang w:val="en"/>
        </w:rPr>
        <w:t>19]</w:t>
      </w:r>
      <w:r w:rsidR="00EA20E2">
        <w:rPr>
          <w:rFonts w:cs="Helvetica"/>
          <w:sz w:val="24"/>
          <w:szCs w:val="24"/>
          <w:lang w:val="en"/>
        </w:rPr>
        <w:t xml:space="preserve"> </w:t>
      </w:r>
      <w:r w:rsidR="00D947D9" w:rsidRPr="00160641">
        <w:rPr>
          <w:rFonts w:eastAsia="Times New Roman"/>
          <w:sz w:val="24"/>
          <w:szCs w:val="24"/>
        </w:rPr>
        <w:t>We show that the rate</w:t>
      </w:r>
      <w:r w:rsidR="00F61C15">
        <w:rPr>
          <w:rFonts w:eastAsia="Times New Roman"/>
          <w:sz w:val="24"/>
          <w:szCs w:val="24"/>
        </w:rPr>
        <w:t>s</w:t>
      </w:r>
      <w:r w:rsidR="00D947D9" w:rsidRPr="00160641">
        <w:rPr>
          <w:rFonts w:eastAsia="Times New Roman"/>
          <w:sz w:val="24"/>
          <w:szCs w:val="24"/>
        </w:rPr>
        <w:t xml:space="preserve"> of depression</w:t>
      </w:r>
      <w:r w:rsidR="00F61C15">
        <w:rPr>
          <w:rFonts w:eastAsia="Times New Roman"/>
          <w:sz w:val="24"/>
          <w:szCs w:val="24"/>
        </w:rPr>
        <w:t>, either relapse or new-onset depression</w:t>
      </w:r>
      <w:r w:rsidR="00D947D9" w:rsidRPr="00160641">
        <w:rPr>
          <w:rFonts w:eastAsia="Times New Roman"/>
          <w:sz w:val="24"/>
          <w:szCs w:val="24"/>
        </w:rPr>
        <w:t xml:space="preserve"> after encepha</w:t>
      </w:r>
      <w:r w:rsidR="00D947D9">
        <w:rPr>
          <w:rFonts w:eastAsia="Times New Roman"/>
          <w:sz w:val="24"/>
          <w:szCs w:val="24"/>
        </w:rPr>
        <w:t xml:space="preserve">litis is almost twice as high as </w:t>
      </w:r>
      <w:r w:rsidR="00F61C15">
        <w:rPr>
          <w:rFonts w:eastAsia="Times New Roman"/>
          <w:sz w:val="24"/>
          <w:szCs w:val="24"/>
        </w:rPr>
        <w:t xml:space="preserve">similar presentations </w:t>
      </w:r>
      <w:r w:rsidR="00D947D9">
        <w:rPr>
          <w:rFonts w:eastAsia="Times New Roman"/>
          <w:sz w:val="24"/>
          <w:szCs w:val="24"/>
        </w:rPr>
        <w:t xml:space="preserve">in </w:t>
      </w:r>
      <w:r w:rsidR="00EF5C11">
        <w:rPr>
          <w:rFonts w:eastAsia="Times New Roman"/>
          <w:sz w:val="24"/>
          <w:szCs w:val="24"/>
        </w:rPr>
        <w:t>the general population</w:t>
      </w:r>
      <w:r w:rsidR="00D947D9">
        <w:rPr>
          <w:rFonts w:eastAsia="Times New Roman"/>
          <w:sz w:val="24"/>
          <w:szCs w:val="24"/>
        </w:rPr>
        <w:t xml:space="preserve">. </w:t>
      </w:r>
      <w:r w:rsidR="00F61C15">
        <w:rPr>
          <w:rFonts w:eastAsia="Times New Roman"/>
          <w:sz w:val="24"/>
          <w:szCs w:val="24"/>
        </w:rPr>
        <w:t>T</w:t>
      </w:r>
      <w:r w:rsidR="00DE577B">
        <w:rPr>
          <w:rFonts w:eastAsia="Times New Roman"/>
          <w:sz w:val="24"/>
          <w:szCs w:val="24"/>
        </w:rPr>
        <w:t>his may</w:t>
      </w:r>
      <w:r w:rsidR="00FF2D9D">
        <w:rPr>
          <w:rFonts w:eastAsia="Times New Roman"/>
          <w:sz w:val="24"/>
          <w:szCs w:val="24"/>
        </w:rPr>
        <w:t xml:space="preserve"> be an </w:t>
      </w:r>
      <w:r w:rsidR="00DC4F21">
        <w:rPr>
          <w:rFonts w:eastAsia="Times New Roman"/>
          <w:sz w:val="24"/>
          <w:szCs w:val="24"/>
        </w:rPr>
        <w:t>underestimate</w:t>
      </w:r>
      <w:r w:rsidR="00DE577B">
        <w:rPr>
          <w:rFonts w:eastAsia="Times New Roman"/>
          <w:sz w:val="24"/>
          <w:szCs w:val="24"/>
        </w:rPr>
        <w:t>:</w:t>
      </w:r>
      <w:r w:rsidR="00D947D9">
        <w:rPr>
          <w:rFonts w:eastAsia="Times New Roman"/>
          <w:sz w:val="24"/>
          <w:szCs w:val="24"/>
        </w:rPr>
        <w:t xml:space="preserve"> </w:t>
      </w:r>
      <w:r w:rsidR="00F61C15">
        <w:rPr>
          <w:rFonts w:eastAsia="Times New Roman"/>
          <w:sz w:val="24"/>
          <w:szCs w:val="24"/>
        </w:rPr>
        <w:t>m</w:t>
      </w:r>
      <w:r w:rsidR="00DE577B" w:rsidRPr="00371C5C">
        <w:rPr>
          <w:rFonts w:eastAsia="Times New Roman"/>
          <w:sz w:val="24"/>
          <w:szCs w:val="24"/>
        </w:rPr>
        <w:t xml:space="preserve">ild depression </w:t>
      </w:r>
      <w:r w:rsidR="00DE577B">
        <w:rPr>
          <w:rFonts w:eastAsia="Times New Roman"/>
          <w:sz w:val="24"/>
          <w:szCs w:val="24"/>
        </w:rPr>
        <w:t xml:space="preserve">can be difficult to distinguish from </w:t>
      </w:r>
      <w:r w:rsidR="00DE577B">
        <w:rPr>
          <w:sz w:val="24"/>
          <w:szCs w:val="24"/>
        </w:rPr>
        <w:t xml:space="preserve">an expected reactive process to </w:t>
      </w:r>
      <w:r w:rsidR="00DE577B" w:rsidRPr="00371C5C">
        <w:rPr>
          <w:sz w:val="24"/>
          <w:szCs w:val="24"/>
        </w:rPr>
        <w:t>a traumatic experience like encephali</w:t>
      </w:r>
      <w:r w:rsidR="00DE577B">
        <w:rPr>
          <w:sz w:val="24"/>
          <w:szCs w:val="24"/>
        </w:rPr>
        <w:t>tis or a functional impairment.</w:t>
      </w:r>
      <w:r w:rsidR="00103932">
        <w:rPr>
          <w:sz w:val="24"/>
          <w:szCs w:val="24"/>
        </w:rPr>
        <w:t xml:space="preserve"> </w:t>
      </w:r>
      <w:r w:rsidR="00DE577B">
        <w:rPr>
          <w:rFonts w:eastAsia="Times New Roman"/>
          <w:sz w:val="24"/>
          <w:szCs w:val="24"/>
        </w:rPr>
        <w:t>A</w:t>
      </w:r>
      <w:r w:rsidR="00031720">
        <w:rPr>
          <w:rFonts w:eastAsia="Times New Roman"/>
          <w:sz w:val="24"/>
          <w:szCs w:val="24"/>
        </w:rPr>
        <w:t xml:space="preserve">ny communication or mobility problems </w:t>
      </w:r>
      <w:r w:rsidR="00DE577B">
        <w:rPr>
          <w:rFonts w:eastAsia="Times New Roman"/>
          <w:sz w:val="24"/>
          <w:szCs w:val="24"/>
        </w:rPr>
        <w:t xml:space="preserve">also </w:t>
      </w:r>
      <w:r w:rsidR="00031720">
        <w:rPr>
          <w:rFonts w:eastAsia="Times New Roman"/>
          <w:sz w:val="24"/>
          <w:szCs w:val="24"/>
        </w:rPr>
        <w:t>may impede ascertainment of depression.</w:t>
      </w:r>
      <w:r w:rsidR="00DE577B">
        <w:rPr>
          <w:rFonts w:eastAsia="Times New Roman"/>
          <w:sz w:val="24"/>
          <w:szCs w:val="24"/>
        </w:rPr>
        <w:t xml:space="preserve"> Yet clinical depression is treatable with anti-depressant drugs, psychotherapy or a combination of both and so the recognition and diagnosis of this condition is important.</w:t>
      </w:r>
      <w:r w:rsidR="004F0C01">
        <w:rPr>
          <w:rFonts w:cs="Helvetica"/>
          <w:sz w:val="24"/>
          <w:szCs w:val="24"/>
          <w:lang w:val="en"/>
        </w:rPr>
        <w:t xml:space="preserve"> </w:t>
      </w:r>
    </w:p>
    <w:p w14:paraId="05591B5D" w14:textId="77777777" w:rsidR="00922368" w:rsidRDefault="00922368" w:rsidP="004F0C01">
      <w:pPr>
        <w:spacing w:after="0" w:line="360" w:lineRule="auto"/>
        <w:rPr>
          <w:rFonts w:cs="Helvetica"/>
          <w:sz w:val="24"/>
          <w:szCs w:val="24"/>
          <w:lang w:val="en"/>
        </w:rPr>
      </w:pPr>
    </w:p>
    <w:p w14:paraId="094E40D8" w14:textId="77777777" w:rsidR="00922368" w:rsidRDefault="00B62F29" w:rsidP="004F0C01">
      <w:pPr>
        <w:spacing w:after="0" w:line="360" w:lineRule="auto"/>
        <w:rPr>
          <w:rFonts w:cs="Arial"/>
          <w:sz w:val="24"/>
          <w:szCs w:val="24"/>
        </w:rPr>
      </w:pPr>
      <w:r>
        <w:rPr>
          <w:rFonts w:eastAsia="Times New Roman"/>
          <w:sz w:val="24"/>
          <w:szCs w:val="24"/>
        </w:rPr>
        <w:t xml:space="preserve">Psychiatric illnesses such as </w:t>
      </w:r>
      <w:r w:rsidR="00530EDB">
        <w:rPr>
          <w:rFonts w:eastAsia="Times New Roman"/>
          <w:sz w:val="24"/>
          <w:szCs w:val="24"/>
        </w:rPr>
        <w:t>psychotic and bipolar disorders</w:t>
      </w:r>
      <w:r>
        <w:rPr>
          <w:rFonts w:eastAsia="Times New Roman"/>
          <w:sz w:val="24"/>
          <w:szCs w:val="24"/>
        </w:rPr>
        <w:t xml:space="preserve"> and dementia have been rarely assessed in </w:t>
      </w:r>
      <w:r w:rsidR="006A3A42">
        <w:rPr>
          <w:rFonts w:eastAsia="Times New Roman"/>
          <w:sz w:val="24"/>
          <w:szCs w:val="24"/>
        </w:rPr>
        <w:t xml:space="preserve">cohorts of encephalitis </w:t>
      </w:r>
      <w:r>
        <w:rPr>
          <w:rFonts w:eastAsia="Times New Roman"/>
          <w:sz w:val="24"/>
          <w:szCs w:val="24"/>
        </w:rPr>
        <w:t>patients. W</w:t>
      </w:r>
      <w:r w:rsidR="00476168">
        <w:rPr>
          <w:rFonts w:eastAsia="Times New Roman"/>
          <w:sz w:val="24"/>
          <w:szCs w:val="24"/>
        </w:rPr>
        <w:t>e report</w:t>
      </w:r>
      <w:r w:rsidR="0052740C">
        <w:rPr>
          <w:rFonts w:eastAsia="Times New Roman"/>
          <w:sz w:val="24"/>
          <w:szCs w:val="24"/>
        </w:rPr>
        <w:t xml:space="preserve"> </w:t>
      </w:r>
      <w:r w:rsidR="00C16F92">
        <w:rPr>
          <w:rFonts w:eastAsia="Times New Roman"/>
          <w:sz w:val="24"/>
          <w:szCs w:val="24"/>
        </w:rPr>
        <w:t xml:space="preserve">higher rates </w:t>
      </w:r>
      <w:r w:rsidR="0052740C">
        <w:rPr>
          <w:rFonts w:eastAsia="Times New Roman"/>
          <w:sz w:val="24"/>
          <w:szCs w:val="24"/>
        </w:rPr>
        <w:t xml:space="preserve">of </w:t>
      </w:r>
      <w:r>
        <w:rPr>
          <w:rFonts w:eastAsia="Times New Roman"/>
          <w:sz w:val="24"/>
          <w:szCs w:val="24"/>
        </w:rPr>
        <w:t xml:space="preserve">all of these </w:t>
      </w:r>
      <w:r w:rsidR="00C16F92">
        <w:rPr>
          <w:rFonts w:eastAsia="Times New Roman"/>
          <w:sz w:val="24"/>
          <w:szCs w:val="24"/>
        </w:rPr>
        <w:t xml:space="preserve">outcomes </w:t>
      </w:r>
      <w:r w:rsidR="005C0B01" w:rsidRPr="006A3A42">
        <w:rPr>
          <w:rFonts w:eastAsia="Times New Roman"/>
          <w:sz w:val="24"/>
          <w:szCs w:val="24"/>
        </w:rPr>
        <w:t>in encephalitis</w:t>
      </w:r>
      <w:r w:rsidRPr="006A3A42">
        <w:rPr>
          <w:rFonts w:eastAsia="Times New Roman"/>
          <w:sz w:val="24"/>
          <w:szCs w:val="24"/>
        </w:rPr>
        <w:t xml:space="preserve"> survivors than in the general population</w:t>
      </w:r>
      <w:r w:rsidR="005E7107" w:rsidRPr="006A3A42">
        <w:rPr>
          <w:rFonts w:eastAsia="Times New Roman"/>
          <w:sz w:val="24"/>
          <w:szCs w:val="24"/>
        </w:rPr>
        <w:t xml:space="preserve">. </w:t>
      </w:r>
      <w:r w:rsidR="00180568" w:rsidRPr="006A3A42">
        <w:rPr>
          <w:rFonts w:eastAsia="Times New Roman"/>
          <w:sz w:val="24"/>
          <w:szCs w:val="24"/>
        </w:rPr>
        <w:t xml:space="preserve">Patients with </w:t>
      </w:r>
      <w:r w:rsidR="00EC0C8E" w:rsidRPr="006A3A42">
        <w:rPr>
          <w:rFonts w:eastAsia="Times New Roman"/>
          <w:i/>
          <w:sz w:val="24"/>
          <w:szCs w:val="24"/>
        </w:rPr>
        <w:t>N</w:t>
      </w:r>
      <w:r w:rsidR="00FF414E" w:rsidRPr="006A3A42">
        <w:rPr>
          <w:rFonts w:eastAsia="Times New Roman"/>
          <w:sz w:val="24"/>
          <w:szCs w:val="24"/>
        </w:rPr>
        <w:t>-methyl-</w:t>
      </w:r>
      <w:r w:rsidR="00FF414E" w:rsidRPr="006A3A42">
        <w:rPr>
          <w:rFonts w:eastAsia="Times New Roman"/>
          <w:i/>
          <w:sz w:val="24"/>
          <w:szCs w:val="24"/>
        </w:rPr>
        <w:t>D</w:t>
      </w:r>
      <w:r w:rsidR="00FF414E" w:rsidRPr="006A3A42">
        <w:rPr>
          <w:rFonts w:eastAsia="Times New Roman"/>
          <w:sz w:val="24"/>
          <w:szCs w:val="24"/>
        </w:rPr>
        <w:t>-aspartate-</w:t>
      </w:r>
      <w:r w:rsidR="00FF414E">
        <w:rPr>
          <w:rFonts w:eastAsia="Times New Roman"/>
          <w:sz w:val="24"/>
          <w:szCs w:val="24"/>
        </w:rPr>
        <w:t xml:space="preserve">receptor </w:t>
      </w:r>
      <w:r w:rsidR="001B23F3">
        <w:rPr>
          <w:rFonts w:eastAsia="Times New Roman"/>
          <w:sz w:val="24"/>
          <w:szCs w:val="24"/>
        </w:rPr>
        <w:t xml:space="preserve">antibody </w:t>
      </w:r>
      <w:r w:rsidR="00EC0C8E">
        <w:rPr>
          <w:rFonts w:eastAsia="Times New Roman"/>
          <w:sz w:val="24"/>
          <w:szCs w:val="24"/>
        </w:rPr>
        <w:t>encephalitis</w:t>
      </w:r>
      <w:r w:rsidR="00180568">
        <w:rPr>
          <w:rFonts w:eastAsia="Times New Roman"/>
          <w:sz w:val="24"/>
          <w:szCs w:val="24"/>
        </w:rPr>
        <w:t xml:space="preserve"> </w:t>
      </w:r>
      <w:r w:rsidR="009F31D1">
        <w:rPr>
          <w:rFonts w:eastAsia="Times New Roman"/>
          <w:sz w:val="24"/>
          <w:szCs w:val="24"/>
        </w:rPr>
        <w:t>can</w:t>
      </w:r>
      <w:r w:rsidR="00180568">
        <w:rPr>
          <w:rFonts w:eastAsia="Times New Roman"/>
          <w:sz w:val="24"/>
          <w:szCs w:val="24"/>
        </w:rPr>
        <w:t xml:space="preserve"> present with psychosis</w:t>
      </w:r>
      <w:r w:rsidR="00122883">
        <w:rPr>
          <w:rFonts w:eastAsia="Times New Roman"/>
          <w:sz w:val="24"/>
          <w:szCs w:val="24"/>
        </w:rPr>
        <w:t xml:space="preserve">; however, </w:t>
      </w:r>
      <w:r w:rsidR="00180568">
        <w:rPr>
          <w:rFonts w:eastAsia="Times New Roman"/>
          <w:sz w:val="24"/>
          <w:szCs w:val="24"/>
        </w:rPr>
        <w:t xml:space="preserve">to </w:t>
      </w:r>
      <w:r w:rsidR="00FF2D9D">
        <w:rPr>
          <w:rFonts w:eastAsia="Times New Roman"/>
          <w:sz w:val="24"/>
          <w:szCs w:val="24"/>
        </w:rPr>
        <w:t xml:space="preserve">be </w:t>
      </w:r>
      <w:r w:rsidR="00180568">
        <w:rPr>
          <w:rFonts w:eastAsia="Times New Roman"/>
          <w:sz w:val="24"/>
          <w:szCs w:val="24"/>
        </w:rPr>
        <w:t>classif</w:t>
      </w:r>
      <w:r w:rsidR="00FF2D9D">
        <w:rPr>
          <w:rFonts w:eastAsia="Times New Roman"/>
          <w:sz w:val="24"/>
          <w:szCs w:val="24"/>
        </w:rPr>
        <w:t>ied</w:t>
      </w:r>
      <w:r w:rsidR="00180568">
        <w:rPr>
          <w:rFonts w:eastAsia="Times New Roman"/>
          <w:sz w:val="24"/>
          <w:szCs w:val="24"/>
        </w:rPr>
        <w:t xml:space="preserve"> as having </w:t>
      </w:r>
      <w:r w:rsidR="00FF2D9D">
        <w:rPr>
          <w:rFonts w:eastAsia="Times New Roman"/>
          <w:sz w:val="24"/>
          <w:szCs w:val="24"/>
        </w:rPr>
        <w:t xml:space="preserve">a </w:t>
      </w:r>
      <w:r w:rsidR="00180568">
        <w:rPr>
          <w:rFonts w:eastAsia="Times New Roman"/>
          <w:sz w:val="24"/>
          <w:szCs w:val="24"/>
        </w:rPr>
        <w:t xml:space="preserve">psychotic disorder </w:t>
      </w:r>
      <w:r w:rsidR="006B5F2D">
        <w:rPr>
          <w:rFonts w:eastAsia="Times New Roman"/>
          <w:sz w:val="24"/>
          <w:szCs w:val="24"/>
        </w:rPr>
        <w:t xml:space="preserve">as an outcome </w:t>
      </w:r>
      <w:r w:rsidR="00180568">
        <w:rPr>
          <w:rFonts w:eastAsia="Times New Roman"/>
          <w:sz w:val="24"/>
          <w:szCs w:val="24"/>
        </w:rPr>
        <w:t xml:space="preserve">in our study </w:t>
      </w:r>
      <w:r w:rsidR="00860A1E">
        <w:rPr>
          <w:rFonts w:eastAsia="Times New Roman"/>
          <w:sz w:val="24"/>
          <w:szCs w:val="24"/>
        </w:rPr>
        <w:t>patient</w:t>
      </w:r>
      <w:r w:rsidR="00D9776A">
        <w:rPr>
          <w:rFonts w:eastAsia="Times New Roman"/>
          <w:sz w:val="24"/>
          <w:szCs w:val="24"/>
        </w:rPr>
        <w:t xml:space="preserve">s needed </w:t>
      </w:r>
      <w:r w:rsidR="00860A1E">
        <w:rPr>
          <w:rFonts w:eastAsia="Times New Roman"/>
          <w:sz w:val="24"/>
          <w:szCs w:val="24"/>
        </w:rPr>
        <w:t>to have the</w:t>
      </w:r>
      <w:r w:rsidR="001B23F3">
        <w:rPr>
          <w:rFonts w:eastAsia="Times New Roman"/>
          <w:sz w:val="24"/>
          <w:szCs w:val="24"/>
        </w:rPr>
        <w:t>ir</w:t>
      </w:r>
      <w:r w:rsidR="00860A1E">
        <w:rPr>
          <w:rFonts w:eastAsia="Times New Roman"/>
          <w:sz w:val="24"/>
          <w:szCs w:val="24"/>
        </w:rPr>
        <w:t xml:space="preserve"> first-</w:t>
      </w:r>
      <w:r w:rsidR="006B5F2D">
        <w:rPr>
          <w:rFonts w:eastAsia="Times New Roman"/>
          <w:sz w:val="24"/>
          <w:szCs w:val="24"/>
        </w:rPr>
        <w:t xml:space="preserve">ever </w:t>
      </w:r>
      <w:r w:rsidR="00EC0C8E">
        <w:rPr>
          <w:rFonts w:eastAsia="Times New Roman"/>
          <w:sz w:val="24"/>
          <w:szCs w:val="24"/>
        </w:rPr>
        <w:t>episode of psychosis at least a month after the encephalitis</w:t>
      </w:r>
      <w:r w:rsidR="00122883">
        <w:rPr>
          <w:rFonts w:eastAsia="Times New Roman"/>
          <w:sz w:val="24"/>
          <w:szCs w:val="24"/>
        </w:rPr>
        <w:t xml:space="preserve"> diagnosis</w:t>
      </w:r>
      <w:r w:rsidR="00180568">
        <w:rPr>
          <w:rFonts w:eastAsia="Times New Roman"/>
          <w:sz w:val="24"/>
          <w:szCs w:val="24"/>
        </w:rPr>
        <w:t>.</w:t>
      </w:r>
      <w:r w:rsidR="00EC0C8E">
        <w:rPr>
          <w:rFonts w:eastAsia="Times New Roman"/>
          <w:sz w:val="24"/>
          <w:szCs w:val="24"/>
        </w:rPr>
        <w:t xml:space="preserve"> </w:t>
      </w:r>
      <w:r w:rsidR="00180568">
        <w:rPr>
          <w:rFonts w:eastAsia="Times New Roman"/>
          <w:sz w:val="24"/>
          <w:szCs w:val="24"/>
        </w:rPr>
        <w:t xml:space="preserve">Hence </w:t>
      </w:r>
      <w:r w:rsidR="00122883">
        <w:rPr>
          <w:rFonts w:eastAsia="Times New Roman"/>
          <w:sz w:val="24"/>
          <w:szCs w:val="24"/>
        </w:rPr>
        <w:t xml:space="preserve">the increased RR </w:t>
      </w:r>
      <w:r w:rsidR="00FF2D9D">
        <w:rPr>
          <w:rFonts w:eastAsia="Times New Roman"/>
          <w:sz w:val="24"/>
          <w:szCs w:val="24"/>
        </w:rPr>
        <w:t xml:space="preserve">is </w:t>
      </w:r>
      <w:r w:rsidR="00122883">
        <w:rPr>
          <w:rFonts w:eastAsia="Times New Roman"/>
          <w:sz w:val="24"/>
          <w:szCs w:val="24"/>
        </w:rPr>
        <w:t xml:space="preserve">likely </w:t>
      </w:r>
      <w:r w:rsidR="00FF2D9D">
        <w:rPr>
          <w:rFonts w:eastAsia="Times New Roman"/>
          <w:sz w:val="24"/>
          <w:szCs w:val="24"/>
        </w:rPr>
        <w:t xml:space="preserve">to </w:t>
      </w:r>
      <w:r w:rsidR="00122883">
        <w:rPr>
          <w:rFonts w:eastAsia="Times New Roman"/>
          <w:sz w:val="24"/>
          <w:szCs w:val="24"/>
        </w:rPr>
        <w:t>reflect</w:t>
      </w:r>
      <w:r w:rsidR="006B5F2D">
        <w:rPr>
          <w:rFonts w:eastAsia="Times New Roman"/>
          <w:sz w:val="24"/>
          <w:szCs w:val="24"/>
        </w:rPr>
        <w:t xml:space="preserve"> </w:t>
      </w:r>
      <w:r w:rsidR="00122883">
        <w:rPr>
          <w:rFonts w:eastAsia="Times New Roman"/>
          <w:sz w:val="24"/>
          <w:szCs w:val="24"/>
        </w:rPr>
        <w:t xml:space="preserve">psychosis as a </w:t>
      </w:r>
      <w:r w:rsidR="006B5F2D">
        <w:rPr>
          <w:rFonts w:eastAsia="Times New Roman"/>
          <w:sz w:val="24"/>
          <w:szCs w:val="24"/>
        </w:rPr>
        <w:t xml:space="preserve">true </w:t>
      </w:r>
      <w:r w:rsidR="00122883">
        <w:rPr>
          <w:rFonts w:eastAsia="Times New Roman"/>
          <w:sz w:val="24"/>
          <w:szCs w:val="24"/>
        </w:rPr>
        <w:t xml:space="preserve">sequela </w:t>
      </w:r>
      <w:r w:rsidR="006B5F2D">
        <w:rPr>
          <w:rFonts w:eastAsia="Times New Roman"/>
          <w:sz w:val="24"/>
          <w:szCs w:val="24"/>
        </w:rPr>
        <w:t xml:space="preserve">of encephalitis </w:t>
      </w:r>
      <w:r w:rsidR="00122883">
        <w:rPr>
          <w:rFonts w:eastAsia="Times New Roman"/>
          <w:sz w:val="24"/>
          <w:szCs w:val="24"/>
        </w:rPr>
        <w:t>rather than just a presenting symptom. I</w:t>
      </w:r>
      <w:r w:rsidR="005E7107">
        <w:rPr>
          <w:rFonts w:eastAsia="Times New Roman"/>
          <w:sz w:val="24"/>
          <w:szCs w:val="24"/>
        </w:rPr>
        <w:t xml:space="preserve">nterestingly, </w:t>
      </w:r>
      <w:r w:rsidR="00EC7C59" w:rsidRPr="007B5F38">
        <w:rPr>
          <w:rFonts w:eastAsia="Times New Roman"/>
          <w:sz w:val="24"/>
          <w:szCs w:val="24"/>
        </w:rPr>
        <w:t xml:space="preserve">Scandinavian population cohort studies have shown a </w:t>
      </w:r>
      <w:r w:rsidR="00EC7C59" w:rsidRPr="007B5F38">
        <w:rPr>
          <w:rFonts w:eastAsia="Times New Roman"/>
          <w:sz w:val="24"/>
          <w:szCs w:val="24"/>
        </w:rPr>
        <w:lastRenderedPageBreak/>
        <w:t>linear relationship between admissions with infection and diagnosis of psychosis</w:t>
      </w:r>
      <w:proofErr w:type="gramStart"/>
      <w:r w:rsidR="005E7107">
        <w:rPr>
          <w:rFonts w:eastAsia="Times New Roman"/>
          <w:sz w:val="24"/>
          <w:szCs w:val="24"/>
        </w:rPr>
        <w:t>.</w:t>
      </w:r>
      <w:r w:rsidR="00971B61">
        <w:rPr>
          <w:rFonts w:eastAsia="Times New Roman"/>
          <w:sz w:val="24"/>
          <w:szCs w:val="24"/>
        </w:rPr>
        <w:t>[</w:t>
      </w:r>
      <w:proofErr w:type="gramEnd"/>
      <w:r w:rsidR="00971B61">
        <w:rPr>
          <w:rFonts w:eastAsia="Times New Roman"/>
          <w:sz w:val="24"/>
          <w:szCs w:val="24"/>
        </w:rPr>
        <w:t>20-21]</w:t>
      </w:r>
      <w:r w:rsidR="00F21F98">
        <w:rPr>
          <w:rFonts w:eastAsia="Times New Roman"/>
          <w:sz w:val="24"/>
          <w:szCs w:val="24"/>
        </w:rPr>
        <w:t xml:space="preserve"> </w:t>
      </w:r>
      <w:r w:rsidR="007E2C03">
        <w:rPr>
          <w:rFonts w:eastAsia="Times New Roman"/>
          <w:sz w:val="24"/>
          <w:szCs w:val="24"/>
        </w:rPr>
        <w:t xml:space="preserve">Bipolar disorder has been reported, but very infrequently, as an outcome of encephalitis. </w:t>
      </w:r>
      <w:r w:rsidR="00071E2D">
        <w:rPr>
          <w:rFonts w:eastAsia="Times New Roman"/>
          <w:sz w:val="24"/>
          <w:szCs w:val="24"/>
        </w:rPr>
        <w:t xml:space="preserve">A Finnish </w:t>
      </w:r>
      <w:r w:rsidR="00F254C4">
        <w:rPr>
          <w:rFonts w:eastAsia="Times New Roman"/>
          <w:sz w:val="24"/>
          <w:szCs w:val="24"/>
        </w:rPr>
        <w:t xml:space="preserve">follow up </w:t>
      </w:r>
      <w:r w:rsidR="00071E2D">
        <w:rPr>
          <w:rFonts w:eastAsia="Times New Roman"/>
          <w:sz w:val="24"/>
          <w:szCs w:val="24"/>
        </w:rPr>
        <w:t xml:space="preserve">study </w:t>
      </w:r>
      <w:r w:rsidR="00DD1C9B">
        <w:rPr>
          <w:rFonts w:eastAsia="Times New Roman"/>
          <w:sz w:val="24"/>
          <w:szCs w:val="24"/>
        </w:rPr>
        <w:t xml:space="preserve">of 45 patients with acute encephalitis </w:t>
      </w:r>
      <w:r w:rsidR="00142602">
        <w:rPr>
          <w:rFonts w:eastAsia="Times New Roman"/>
          <w:sz w:val="24"/>
          <w:szCs w:val="24"/>
        </w:rPr>
        <w:t xml:space="preserve">reported </w:t>
      </w:r>
      <w:r w:rsidR="0068174A">
        <w:rPr>
          <w:rFonts w:eastAsia="Times New Roman"/>
          <w:sz w:val="24"/>
          <w:szCs w:val="24"/>
        </w:rPr>
        <w:t>emotional instability or personality change</w:t>
      </w:r>
      <w:r w:rsidR="001771E5">
        <w:rPr>
          <w:rFonts w:eastAsia="Times New Roman"/>
          <w:sz w:val="24"/>
          <w:szCs w:val="24"/>
        </w:rPr>
        <w:t xml:space="preserve"> in eight patients,</w:t>
      </w:r>
      <w:r w:rsidR="0068174A">
        <w:rPr>
          <w:rFonts w:eastAsia="Times New Roman"/>
          <w:sz w:val="24"/>
          <w:szCs w:val="24"/>
        </w:rPr>
        <w:t xml:space="preserve"> including panic disorder and anxiety, bipolar </w:t>
      </w:r>
      <w:r w:rsidR="0068174A" w:rsidRPr="00201BA9">
        <w:rPr>
          <w:rFonts w:eastAsia="Times New Roman"/>
          <w:sz w:val="24"/>
          <w:szCs w:val="24"/>
        </w:rPr>
        <w:t xml:space="preserve">affective disorder, </w:t>
      </w:r>
      <w:r w:rsidR="0068174A" w:rsidRPr="00D21790">
        <w:rPr>
          <w:rFonts w:eastAsia="Times New Roman"/>
          <w:sz w:val="24"/>
          <w:szCs w:val="24"/>
        </w:rPr>
        <w:t>aggressive outbursts and irritability, and depression.</w:t>
      </w:r>
      <w:r w:rsidR="00971B61">
        <w:rPr>
          <w:rFonts w:eastAsia="Times New Roman"/>
          <w:sz w:val="24"/>
          <w:szCs w:val="24"/>
        </w:rPr>
        <w:t>[22]</w:t>
      </w:r>
      <w:r w:rsidR="0068174A" w:rsidRPr="00D21790">
        <w:rPr>
          <w:rFonts w:eastAsia="Times New Roman"/>
          <w:sz w:val="24"/>
          <w:szCs w:val="24"/>
        </w:rPr>
        <w:t xml:space="preserve"> In the same study </w:t>
      </w:r>
      <w:r w:rsidR="006F11B7" w:rsidRPr="00D21790">
        <w:rPr>
          <w:rFonts w:eastAsia="Times New Roman"/>
          <w:sz w:val="24"/>
          <w:szCs w:val="24"/>
        </w:rPr>
        <w:t>1</w:t>
      </w:r>
      <w:r w:rsidR="007E2C03" w:rsidRPr="00D21790">
        <w:rPr>
          <w:rFonts w:eastAsia="Times New Roman"/>
          <w:sz w:val="24"/>
          <w:szCs w:val="24"/>
        </w:rPr>
        <w:t>1</w:t>
      </w:r>
      <w:r w:rsidR="0068174A" w:rsidRPr="00D21790">
        <w:rPr>
          <w:rFonts w:eastAsia="Times New Roman"/>
          <w:sz w:val="24"/>
          <w:szCs w:val="24"/>
        </w:rPr>
        <w:t>% of patients had dementia.</w:t>
      </w:r>
      <w:r w:rsidR="00971B61">
        <w:rPr>
          <w:rFonts w:eastAsia="Times New Roman"/>
          <w:sz w:val="24"/>
          <w:szCs w:val="24"/>
        </w:rPr>
        <w:t>[22]</w:t>
      </w:r>
      <w:r w:rsidR="00A83A0E" w:rsidRPr="00D21790">
        <w:rPr>
          <w:rFonts w:eastAsia="Times New Roman"/>
          <w:sz w:val="24"/>
          <w:szCs w:val="24"/>
        </w:rPr>
        <w:t xml:space="preserve"> </w:t>
      </w:r>
      <w:r w:rsidR="00201BA9" w:rsidRPr="00D21790">
        <w:rPr>
          <w:sz w:val="24"/>
          <w:szCs w:val="24"/>
        </w:rPr>
        <w:t>There is evidence that head injuries and repeated head trauma are risk factors for amyloid brain deposition.</w:t>
      </w:r>
      <w:r w:rsidR="00971B61">
        <w:rPr>
          <w:sz w:val="24"/>
          <w:szCs w:val="24"/>
        </w:rPr>
        <w:t>[23]</w:t>
      </w:r>
      <w:r w:rsidR="00201BA9" w:rsidRPr="00D21790">
        <w:rPr>
          <w:sz w:val="24"/>
          <w:szCs w:val="24"/>
        </w:rPr>
        <w:t xml:space="preserve"> </w:t>
      </w:r>
      <w:r w:rsidR="00CA4403" w:rsidRPr="00D21790">
        <w:rPr>
          <w:sz w:val="24"/>
          <w:szCs w:val="24"/>
        </w:rPr>
        <w:t>The</w:t>
      </w:r>
      <w:r w:rsidR="000C7E51" w:rsidRPr="00D21790">
        <w:rPr>
          <w:sz w:val="24"/>
          <w:szCs w:val="24"/>
        </w:rPr>
        <w:t xml:space="preserve"> higher rate of dementia in the first year after encephalitis </w:t>
      </w:r>
      <w:r w:rsidR="00CA4403" w:rsidRPr="00D21790">
        <w:rPr>
          <w:sz w:val="24"/>
          <w:szCs w:val="24"/>
        </w:rPr>
        <w:t>was surprising</w:t>
      </w:r>
      <w:r w:rsidR="00D21790" w:rsidRPr="00D21790">
        <w:rPr>
          <w:sz w:val="24"/>
          <w:szCs w:val="24"/>
        </w:rPr>
        <w:t>. Mi</w:t>
      </w:r>
      <w:r w:rsidR="00CA4403" w:rsidRPr="00D21790">
        <w:rPr>
          <w:sz w:val="24"/>
          <w:szCs w:val="24"/>
        </w:rPr>
        <w:t>slabelling of cognitive prob</w:t>
      </w:r>
      <w:r w:rsidR="00D21790" w:rsidRPr="00D21790">
        <w:rPr>
          <w:sz w:val="24"/>
          <w:szCs w:val="24"/>
        </w:rPr>
        <w:t>lem</w:t>
      </w:r>
      <w:r w:rsidR="00CA4403" w:rsidRPr="00D21790">
        <w:rPr>
          <w:sz w:val="24"/>
          <w:szCs w:val="24"/>
        </w:rPr>
        <w:t>s as dementia should be considered</w:t>
      </w:r>
      <w:r w:rsidR="00D21790" w:rsidRPr="00D21790">
        <w:rPr>
          <w:sz w:val="24"/>
          <w:szCs w:val="24"/>
        </w:rPr>
        <w:t>;</w:t>
      </w:r>
      <w:r w:rsidR="00CA4403" w:rsidRPr="00D21790">
        <w:rPr>
          <w:sz w:val="24"/>
          <w:szCs w:val="24"/>
        </w:rPr>
        <w:t xml:space="preserve"> however</w:t>
      </w:r>
      <w:r w:rsidR="00D21790" w:rsidRPr="00D21790">
        <w:rPr>
          <w:sz w:val="24"/>
          <w:szCs w:val="24"/>
        </w:rPr>
        <w:t>,</w:t>
      </w:r>
      <w:r w:rsidR="00CA4403" w:rsidRPr="00D21790">
        <w:rPr>
          <w:sz w:val="24"/>
          <w:szCs w:val="24"/>
        </w:rPr>
        <w:t xml:space="preserve"> we were careful to </w:t>
      </w:r>
      <w:r w:rsidR="000C7E51" w:rsidRPr="00D21790">
        <w:rPr>
          <w:sz w:val="24"/>
          <w:szCs w:val="24"/>
        </w:rPr>
        <w:t>use</w:t>
      </w:r>
      <w:r w:rsidR="00CA4403" w:rsidRPr="00D21790">
        <w:rPr>
          <w:sz w:val="24"/>
          <w:szCs w:val="24"/>
        </w:rPr>
        <w:t xml:space="preserve"> codes that specify </w:t>
      </w:r>
      <w:r w:rsidR="000C7E51" w:rsidRPr="00D21790">
        <w:rPr>
          <w:sz w:val="24"/>
          <w:szCs w:val="24"/>
        </w:rPr>
        <w:t>dementia</w:t>
      </w:r>
      <w:r w:rsidR="00CA4403" w:rsidRPr="00D21790">
        <w:rPr>
          <w:sz w:val="24"/>
          <w:szCs w:val="24"/>
        </w:rPr>
        <w:t xml:space="preserve"> and we think </w:t>
      </w:r>
      <w:r w:rsidR="00D21790" w:rsidRPr="00D21790">
        <w:rPr>
          <w:sz w:val="24"/>
          <w:szCs w:val="24"/>
        </w:rPr>
        <w:t xml:space="preserve">it is </w:t>
      </w:r>
      <w:r w:rsidR="00CA4403" w:rsidRPr="00D21790">
        <w:rPr>
          <w:sz w:val="24"/>
          <w:szCs w:val="24"/>
        </w:rPr>
        <w:t xml:space="preserve">unlikely </w:t>
      </w:r>
      <w:r w:rsidR="00D21790" w:rsidRPr="00D21790">
        <w:rPr>
          <w:sz w:val="24"/>
          <w:szCs w:val="24"/>
        </w:rPr>
        <w:t>that GPs</w:t>
      </w:r>
      <w:r w:rsidR="00CA4403" w:rsidRPr="00D21790">
        <w:rPr>
          <w:sz w:val="24"/>
          <w:szCs w:val="24"/>
        </w:rPr>
        <w:t xml:space="preserve"> would use</w:t>
      </w:r>
      <w:r w:rsidR="00D21790" w:rsidRPr="00D21790">
        <w:rPr>
          <w:sz w:val="24"/>
          <w:szCs w:val="24"/>
        </w:rPr>
        <w:t xml:space="preserve"> dementia</w:t>
      </w:r>
      <w:r w:rsidR="00CA4403" w:rsidRPr="00D21790">
        <w:rPr>
          <w:sz w:val="24"/>
          <w:szCs w:val="24"/>
        </w:rPr>
        <w:t xml:space="preserve"> code</w:t>
      </w:r>
      <w:r w:rsidR="00D21790" w:rsidRPr="00D21790">
        <w:rPr>
          <w:sz w:val="24"/>
          <w:szCs w:val="24"/>
        </w:rPr>
        <w:t>s</w:t>
      </w:r>
      <w:r w:rsidR="00CA4403" w:rsidRPr="00D21790">
        <w:rPr>
          <w:sz w:val="24"/>
          <w:szCs w:val="24"/>
        </w:rPr>
        <w:t xml:space="preserve"> when describing other cognitive problems</w:t>
      </w:r>
      <w:r w:rsidR="000C7E51" w:rsidRPr="00D21790">
        <w:rPr>
          <w:sz w:val="24"/>
          <w:szCs w:val="24"/>
        </w:rPr>
        <w:t>.</w:t>
      </w:r>
      <w:r w:rsidR="004F0C01">
        <w:rPr>
          <w:rFonts w:cs="Helvetica"/>
          <w:sz w:val="24"/>
          <w:szCs w:val="24"/>
          <w:lang w:val="en"/>
        </w:rPr>
        <w:t xml:space="preserve"> </w:t>
      </w:r>
      <w:r w:rsidR="0083250D">
        <w:rPr>
          <w:rFonts w:cs="Arial"/>
          <w:sz w:val="24"/>
          <w:szCs w:val="24"/>
        </w:rPr>
        <w:t xml:space="preserve">A recent longitudinal study showed 71% and 91% with posttraumatic headache after moderate/severe and mild </w:t>
      </w:r>
      <w:r w:rsidR="007323F5">
        <w:rPr>
          <w:rFonts w:cs="Arial"/>
          <w:sz w:val="24"/>
          <w:szCs w:val="24"/>
        </w:rPr>
        <w:t>traumatic brain injury</w:t>
      </w:r>
      <w:r w:rsidR="0083250D">
        <w:rPr>
          <w:rFonts w:cs="Arial"/>
          <w:sz w:val="24"/>
          <w:szCs w:val="24"/>
        </w:rPr>
        <w:t>, resp</w:t>
      </w:r>
      <w:r w:rsidR="00971B61">
        <w:rPr>
          <w:rFonts w:cs="Arial"/>
          <w:sz w:val="24"/>
          <w:szCs w:val="24"/>
        </w:rPr>
        <w:t>ectively, one year after injury</w:t>
      </w:r>
      <w:proofErr w:type="gramStart"/>
      <w:r w:rsidR="0083250D">
        <w:rPr>
          <w:rFonts w:cs="Arial"/>
          <w:sz w:val="24"/>
          <w:szCs w:val="24"/>
        </w:rPr>
        <w:t>.</w:t>
      </w:r>
      <w:r w:rsidR="00971B61">
        <w:rPr>
          <w:rFonts w:cs="Arial"/>
          <w:sz w:val="24"/>
          <w:szCs w:val="24"/>
        </w:rPr>
        <w:t>[</w:t>
      </w:r>
      <w:proofErr w:type="gramEnd"/>
      <w:r w:rsidR="00971B61">
        <w:rPr>
          <w:rFonts w:cs="Arial"/>
          <w:sz w:val="24"/>
          <w:szCs w:val="24"/>
        </w:rPr>
        <w:t>24]</w:t>
      </w:r>
      <w:r w:rsidR="00D9776A">
        <w:rPr>
          <w:rFonts w:cs="Arial"/>
          <w:sz w:val="24"/>
          <w:szCs w:val="24"/>
        </w:rPr>
        <w:t xml:space="preserve"> </w:t>
      </w:r>
    </w:p>
    <w:p w14:paraId="7D005704" w14:textId="77777777" w:rsidR="00922368" w:rsidRDefault="00922368" w:rsidP="004F0C01">
      <w:pPr>
        <w:spacing w:after="0" w:line="360" w:lineRule="auto"/>
        <w:rPr>
          <w:rFonts w:cs="Arial"/>
          <w:sz w:val="24"/>
          <w:szCs w:val="24"/>
        </w:rPr>
      </w:pPr>
    </w:p>
    <w:p w14:paraId="70B733BC" w14:textId="1A1A461C" w:rsidR="00000B37" w:rsidRPr="004F0C01" w:rsidRDefault="00D9776A" w:rsidP="004F0C01">
      <w:pPr>
        <w:spacing w:after="0" w:line="360" w:lineRule="auto"/>
        <w:rPr>
          <w:rFonts w:eastAsia="Times New Roman"/>
          <w:sz w:val="24"/>
          <w:szCs w:val="24"/>
        </w:rPr>
      </w:pPr>
      <w:r>
        <w:rPr>
          <w:rFonts w:cs="Arial"/>
          <w:sz w:val="24"/>
          <w:szCs w:val="24"/>
        </w:rPr>
        <w:t>F</w:t>
      </w:r>
      <w:r w:rsidR="008A4645">
        <w:rPr>
          <w:rFonts w:cs="Arial"/>
          <w:sz w:val="24"/>
          <w:szCs w:val="24"/>
        </w:rPr>
        <w:t>or most outcomes</w:t>
      </w:r>
      <w:r>
        <w:rPr>
          <w:rFonts w:cs="Arial"/>
          <w:sz w:val="24"/>
          <w:szCs w:val="24"/>
        </w:rPr>
        <w:t xml:space="preserve"> in our study,</w:t>
      </w:r>
      <w:r w:rsidR="008A4645">
        <w:rPr>
          <w:rFonts w:cs="Arial"/>
          <w:sz w:val="24"/>
          <w:szCs w:val="24"/>
        </w:rPr>
        <w:t xml:space="preserve"> </w:t>
      </w:r>
      <w:r w:rsidR="000855BD">
        <w:rPr>
          <w:rFonts w:cs="Arial"/>
          <w:sz w:val="24"/>
          <w:szCs w:val="24"/>
        </w:rPr>
        <w:t xml:space="preserve">the risk was highest in the </w:t>
      </w:r>
      <w:r w:rsidR="00EE4394">
        <w:rPr>
          <w:rFonts w:cs="Arial"/>
          <w:sz w:val="24"/>
          <w:szCs w:val="24"/>
        </w:rPr>
        <w:t>first</w:t>
      </w:r>
      <w:r w:rsidR="000855BD">
        <w:rPr>
          <w:rFonts w:cs="Arial"/>
          <w:sz w:val="24"/>
          <w:szCs w:val="24"/>
        </w:rPr>
        <w:t xml:space="preserve"> year after the </w:t>
      </w:r>
      <w:r w:rsidR="00BA2375">
        <w:rPr>
          <w:rFonts w:cs="Arial"/>
          <w:sz w:val="24"/>
          <w:szCs w:val="24"/>
        </w:rPr>
        <w:t xml:space="preserve">encephalitis diagnosis. </w:t>
      </w:r>
      <w:r w:rsidR="00D13499">
        <w:rPr>
          <w:rFonts w:cs="Arial"/>
          <w:sz w:val="24"/>
          <w:szCs w:val="24"/>
        </w:rPr>
        <w:t>For headache however</w:t>
      </w:r>
      <w:r w:rsidR="00E223CE">
        <w:rPr>
          <w:rFonts w:cs="Arial"/>
          <w:sz w:val="24"/>
          <w:szCs w:val="24"/>
        </w:rPr>
        <w:t>,</w:t>
      </w:r>
      <w:r w:rsidR="00D13499">
        <w:rPr>
          <w:rFonts w:cs="Arial"/>
          <w:sz w:val="24"/>
          <w:szCs w:val="24"/>
        </w:rPr>
        <w:t xml:space="preserve"> the risk doubled five years after the illness compared to the </w:t>
      </w:r>
      <w:r w:rsidR="00EE4394">
        <w:rPr>
          <w:rFonts w:cs="Arial"/>
          <w:sz w:val="24"/>
          <w:szCs w:val="24"/>
        </w:rPr>
        <w:t>first</w:t>
      </w:r>
      <w:r w:rsidR="00CF1E2B">
        <w:rPr>
          <w:rFonts w:cs="Arial"/>
          <w:sz w:val="24"/>
          <w:szCs w:val="24"/>
        </w:rPr>
        <w:t xml:space="preserve"> </w:t>
      </w:r>
      <w:r w:rsidR="003B3AFE">
        <w:rPr>
          <w:rFonts w:cs="Arial"/>
          <w:sz w:val="24"/>
          <w:szCs w:val="24"/>
        </w:rPr>
        <w:t>year</w:t>
      </w:r>
      <w:r w:rsidR="00D13499">
        <w:rPr>
          <w:rFonts w:cs="Arial"/>
          <w:sz w:val="24"/>
          <w:szCs w:val="24"/>
        </w:rPr>
        <w:t>. This might be artefact</w:t>
      </w:r>
      <w:r w:rsidR="00E223CE">
        <w:rPr>
          <w:rFonts w:cs="Arial"/>
          <w:sz w:val="24"/>
          <w:szCs w:val="24"/>
        </w:rPr>
        <w:t xml:space="preserve">; </w:t>
      </w:r>
      <w:r w:rsidR="00CF1E2B">
        <w:rPr>
          <w:rFonts w:cs="Arial"/>
          <w:sz w:val="24"/>
          <w:szCs w:val="24"/>
        </w:rPr>
        <w:t xml:space="preserve">people with encephalitis might </w:t>
      </w:r>
      <w:r w:rsidR="00E223CE">
        <w:rPr>
          <w:rFonts w:cs="Arial"/>
          <w:sz w:val="24"/>
          <w:szCs w:val="24"/>
        </w:rPr>
        <w:t>see</w:t>
      </w:r>
      <w:r w:rsidR="0063546F">
        <w:rPr>
          <w:rFonts w:cs="Arial"/>
          <w:sz w:val="24"/>
          <w:szCs w:val="24"/>
        </w:rPr>
        <w:t xml:space="preserve"> their general practitioner</w:t>
      </w:r>
      <w:r w:rsidR="00ED3085">
        <w:rPr>
          <w:rFonts w:cs="Arial"/>
          <w:sz w:val="24"/>
          <w:szCs w:val="24"/>
        </w:rPr>
        <w:t xml:space="preserve"> </w:t>
      </w:r>
      <w:r w:rsidR="00CF1E2B">
        <w:rPr>
          <w:rFonts w:cs="Arial"/>
          <w:sz w:val="24"/>
          <w:szCs w:val="24"/>
        </w:rPr>
        <w:t xml:space="preserve">for more </w:t>
      </w:r>
      <w:r w:rsidR="00C87543">
        <w:rPr>
          <w:rFonts w:cs="Arial"/>
          <w:sz w:val="24"/>
          <w:szCs w:val="24"/>
        </w:rPr>
        <w:t>acute</w:t>
      </w:r>
      <w:r w:rsidR="00CF1E2B">
        <w:rPr>
          <w:rFonts w:cs="Arial"/>
          <w:sz w:val="24"/>
          <w:szCs w:val="24"/>
        </w:rPr>
        <w:t xml:space="preserve"> sequelae and not consider headache </w:t>
      </w:r>
      <w:r w:rsidR="00C87543">
        <w:rPr>
          <w:rFonts w:cs="Arial"/>
          <w:sz w:val="24"/>
          <w:szCs w:val="24"/>
        </w:rPr>
        <w:t xml:space="preserve">as </w:t>
      </w:r>
      <w:r w:rsidR="00CF1E2B">
        <w:rPr>
          <w:rFonts w:cs="Arial"/>
          <w:sz w:val="24"/>
          <w:szCs w:val="24"/>
        </w:rPr>
        <w:t>important</w:t>
      </w:r>
      <w:r w:rsidR="00F61C15">
        <w:rPr>
          <w:rFonts w:cs="Arial"/>
          <w:sz w:val="24"/>
          <w:szCs w:val="24"/>
        </w:rPr>
        <w:t xml:space="preserve"> as these</w:t>
      </w:r>
      <w:r w:rsidR="00CF1E2B">
        <w:rPr>
          <w:rFonts w:cs="Arial"/>
          <w:sz w:val="24"/>
          <w:szCs w:val="24"/>
        </w:rPr>
        <w:t xml:space="preserve"> that soon after the acute phase of the </w:t>
      </w:r>
      <w:r w:rsidR="00C87543">
        <w:rPr>
          <w:rFonts w:cs="Arial"/>
          <w:sz w:val="24"/>
          <w:szCs w:val="24"/>
        </w:rPr>
        <w:t>illness</w:t>
      </w:r>
      <w:r w:rsidR="00CF1E2B">
        <w:rPr>
          <w:rFonts w:cs="Arial"/>
          <w:sz w:val="24"/>
          <w:szCs w:val="24"/>
        </w:rPr>
        <w:t>.</w:t>
      </w:r>
      <w:r w:rsidR="004E3074">
        <w:rPr>
          <w:rFonts w:cs="Arial"/>
          <w:sz w:val="24"/>
          <w:szCs w:val="24"/>
        </w:rPr>
        <w:t xml:space="preserve"> Also, patients may see the</w:t>
      </w:r>
      <w:r w:rsidR="009F5EF0">
        <w:rPr>
          <w:rFonts w:cs="Arial"/>
          <w:sz w:val="24"/>
          <w:szCs w:val="24"/>
        </w:rPr>
        <w:t>ir</w:t>
      </w:r>
      <w:r w:rsidR="004E3074">
        <w:rPr>
          <w:rFonts w:cs="Arial"/>
          <w:sz w:val="24"/>
          <w:szCs w:val="24"/>
        </w:rPr>
        <w:t xml:space="preserve"> headache as an accentuation of pre-existing primary headaches rather than a new onset </w:t>
      </w:r>
      <w:r w:rsidR="00325BAF">
        <w:rPr>
          <w:rFonts w:cs="Arial"/>
          <w:sz w:val="24"/>
          <w:szCs w:val="24"/>
        </w:rPr>
        <w:t xml:space="preserve">symptom </w:t>
      </w:r>
      <w:r w:rsidR="004E3074">
        <w:rPr>
          <w:rFonts w:cs="Arial"/>
          <w:sz w:val="24"/>
          <w:szCs w:val="24"/>
        </w:rPr>
        <w:t>directly related to the</w:t>
      </w:r>
      <w:r w:rsidR="00325BAF">
        <w:rPr>
          <w:rFonts w:cs="Arial"/>
          <w:sz w:val="24"/>
          <w:szCs w:val="24"/>
        </w:rPr>
        <w:t>ir</w:t>
      </w:r>
      <w:r w:rsidR="004E3074">
        <w:rPr>
          <w:rFonts w:cs="Arial"/>
          <w:sz w:val="24"/>
          <w:szCs w:val="24"/>
        </w:rPr>
        <w:t xml:space="preserve"> encephalitis and thus </w:t>
      </w:r>
      <w:r w:rsidR="00325BAF">
        <w:rPr>
          <w:rFonts w:cs="Arial"/>
          <w:sz w:val="24"/>
          <w:szCs w:val="24"/>
        </w:rPr>
        <w:t xml:space="preserve">may </w:t>
      </w:r>
      <w:r w:rsidR="004E3074">
        <w:rPr>
          <w:rFonts w:cs="Arial"/>
          <w:sz w:val="24"/>
          <w:szCs w:val="24"/>
        </w:rPr>
        <w:t>delay seeking help.</w:t>
      </w:r>
      <w:r w:rsidR="00461838">
        <w:rPr>
          <w:rFonts w:cs="Arial"/>
          <w:sz w:val="24"/>
          <w:szCs w:val="24"/>
        </w:rPr>
        <w:t>[25]</w:t>
      </w:r>
      <w:r w:rsidR="00B60784">
        <w:rPr>
          <w:rFonts w:cs="Arial"/>
          <w:sz w:val="24"/>
          <w:szCs w:val="24"/>
        </w:rPr>
        <w:t xml:space="preserve"> </w:t>
      </w:r>
      <w:r w:rsidR="00D13EFC">
        <w:rPr>
          <w:rFonts w:cs="Arial"/>
          <w:sz w:val="24"/>
          <w:szCs w:val="24"/>
        </w:rPr>
        <w:t xml:space="preserve">However, </w:t>
      </w:r>
      <w:r w:rsidR="003A4317">
        <w:rPr>
          <w:rFonts w:cs="Arial"/>
          <w:sz w:val="24"/>
          <w:szCs w:val="24"/>
        </w:rPr>
        <w:t xml:space="preserve">it is important for these patients to seek help as </w:t>
      </w:r>
      <w:r w:rsidR="00D13EFC">
        <w:rPr>
          <w:rFonts w:cs="Arial"/>
          <w:sz w:val="24"/>
          <w:szCs w:val="24"/>
        </w:rPr>
        <w:t xml:space="preserve">headaches have a disproportionately large impact upon quality of life but </w:t>
      </w:r>
      <w:r w:rsidR="003A4317">
        <w:rPr>
          <w:rFonts w:cs="Arial"/>
          <w:sz w:val="24"/>
          <w:szCs w:val="24"/>
        </w:rPr>
        <w:t xml:space="preserve">they </w:t>
      </w:r>
      <w:r w:rsidR="00C44C41">
        <w:rPr>
          <w:rFonts w:cs="Arial"/>
          <w:sz w:val="24"/>
          <w:szCs w:val="24"/>
        </w:rPr>
        <w:t>are</w:t>
      </w:r>
      <w:r w:rsidR="00D13EFC">
        <w:rPr>
          <w:rFonts w:cs="Arial"/>
          <w:sz w:val="24"/>
          <w:szCs w:val="24"/>
        </w:rPr>
        <w:t xml:space="preserve"> treatable.</w:t>
      </w:r>
    </w:p>
    <w:p w14:paraId="3F489860" w14:textId="77777777" w:rsidR="0083250D" w:rsidRDefault="0083250D" w:rsidP="0079531E">
      <w:pPr>
        <w:spacing w:after="0" w:line="360" w:lineRule="auto"/>
        <w:rPr>
          <w:rFonts w:cs="Arial"/>
          <w:sz w:val="24"/>
          <w:szCs w:val="24"/>
        </w:rPr>
      </w:pPr>
    </w:p>
    <w:p w14:paraId="0B56B1C8" w14:textId="77777777" w:rsidR="00C63F8C" w:rsidRDefault="002A107E" w:rsidP="00393BA3">
      <w:pPr>
        <w:spacing w:after="0" w:line="360" w:lineRule="auto"/>
        <w:rPr>
          <w:sz w:val="24"/>
          <w:szCs w:val="24"/>
        </w:rPr>
      </w:pPr>
      <w:r>
        <w:rPr>
          <w:sz w:val="24"/>
          <w:szCs w:val="24"/>
        </w:rPr>
        <w:t>The strength</w:t>
      </w:r>
      <w:r w:rsidR="00325BAF">
        <w:rPr>
          <w:sz w:val="24"/>
          <w:szCs w:val="24"/>
        </w:rPr>
        <w:t>s</w:t>
      </w:r>
      <w:r>
        <w:rPr>
          <w:sz w:val="24"/>
          <w:szCs w:val="24"/>
        </w:rPr>
        <w:t xml:space="preserve"> of our</w:t>
      </w:r>
      <w:r w:rsidR="00AE319C">
        <w:rPr>
          <w:sz w:val="24"/>
          <w:szCs w:val="24"/>
        </w:rPr>
        <w:t xml:space="preserve"> study </w:t>
      </w:r>
      <w:r w:rsidR="00325BAF">
        <w:rPr>
          <w:sz w:val="24"/>
          <w:szCs w:val="24"/>
        </w:rPr>
        <w:t xml:space="preserve">include </w:t>
      </w:r>
      <w:r w:rsidR="00AE319C">
        <w:rPr>
          <w:sz w:val="24"/>
          <w:szCs w:val="24"/>
        </w:rPr>
        <w:t>the large sample size</w:t>
      </w:r>
      <w:r w:rsidR="00325BAF">
        <w:rPr>
          <w:sz w:val="24"/>
          <w:szCs w:val="24"/>
        </w:rPr>
        <w:t>,</w:t>
      </w:r>
      <w:r w:rsidR="00AE319C">
        <w:rPr>
          <w:sz w:val="24"/>
          <w:szCs w:val="24"/>
        </w:rPr>
        <w:t xml:space="preserve"> the </w:t>
      </w:r>
      <w:r w:rsidR="005A3D85">
        <w:rPr>
          <w:sz w:val="24"/>
          <w:szCs w:val="24"/>
        </w:rPr>
        <w:t>pr</w:t>
      </w:r>
      <w:r w:rsidR="0003306C">
        <w:rPr>
          <w:sz w:val="24"/>
          <w:szCs w:val="24"/>
        </w:rPr>
        <w:t>esence of a comparison group</w:t>
      </w:r>
      <w:r w:rsidR="00325BAF">
        <w:rPr>
          <w:sz w:val="24"/>
          <w:szCs w:val="24"/>
        </w:rPr>
        <w:t xml:space="preserve"> and use of data that were collected prospectively</w:t>
      </w:r>
      <w:r w:rsidR="005A3D85">
        <w:rPr>
          <w:sz w:val="24"/>
          <w:szCs w:val="24"/>
        </w:rPr>
        <w:t>. We chose 20</w:t>
      </w:r>
      <w:r w:rsidR="00203588">
        <w:rPr>
          <w:sz w:val="24"/>
          <w:szCs w:val="24"/>
        </w:rPr>
        <w:t xml:space="preserve"> unexposed per exposed case to maximise</w:t>
      </w:r>
      <w:r w:rsidR="005A3D85">
        <w:rPr>
          <w:sz w:val="24"/>
          <w:szCs w:val="24"/>
        </w:rPr>
        <w:t xml:space="preserve"> the power of the study. </w:t>
      </w:r>
      <w:r w:rsidR="00777FA7">
        <w:rPr>
          <w:sz w:val="24"/>
          <w:szCs w:val="24"/>
        </w:rPr>
        <w:t>The crude rate of e</w:t>
      </w:r>
      <w:r w:rsidR="00777FA7" w:rsidRPr="007B5F38">
        <w:rPr>
          <w:sz w:val="24"/>
          <w:szCs w:val="24"/>
        </w:rPr>
        <w:t>pilepsy</w:t>
      </w:r>
      <w:r w:rsidR="00777FA7">
        <w:rPr>
          <w:sz w:val="24"/>
          <w:szCs w:val="24"/>
        </w:rPr>
        <w:t xml:space="preserve"> and</w:t>
      </w:r>
      <w:r w:rsidR="00777FA7" w:rsidRPr="007B5F38">
        <w:rPr>
          <w:sz w:val="24"/>
          <w:szCs w:val="24"/>
        </w:rPr>
        <w:t xml:space="preserve"> depression </w:t>
      </w:r>
      <w:r w:rsidR="00717ABD">
        <w:rPr>
          <w:sz w:val="24"/>
          <w:szCs w:val="24"/>
        </w:rPr>
        <w:t xml:space="preserve">estimated </w:t>
      </w:r>
      <w:r w:rsidR="00777FA7" w:rsidRPr="007B5F38">
        <w:rPr>
          <w:sz w:val="24"/>
          <w:szCs w:val="24"/>
        </w:rPr>
        <w:t xml:space="preserve">in unexposed </w:t>
      </w:r>
      <w:r w:rsidR="00777FA7">
        <w:rPr>
          <w:sz w:val="24"/>
          <w:szCs w:val="24"/>
        </w:rPr>
        <w:t>individuals in our study are similar to those reported in the literature</w:t>
      </w:r>
      <w:r w:rsidR="002600B7">
        <w:rPr>
          <w:sz w:val="24"/>
          <w:szCs w:val="24"/>
        </w:rPr>
        <w:t xml:space="preserve"> for the general population</w:t>
      </w:r>
      <w:r w:rsidR="00777FA7">
        <w:rPr>
          <w:sz w:val="24"/>
          <w:szCs w:val="24"/>
        </w:rPr>
        <w:t>.</w:t>
      </w:r>
      <w:r w:rsidR="00964E4A">
        <w:rPr>
          <w:sz w:val="24"/>
          <w:szCs w:val="24"/>
        </w:rPr>
        <w:t>[26-27]</w:t>
      </w:r>
      <w:r w:rsidR="00777FA7">
        <w:rPr>
          <w:sz w:val="24"/>
          <w:szCs w:val="24"/>
        </w:rPr>
        <w:t xml:space="preserve"> This confirms that the coding/ascertainment </w:t>
      </w:r>
      <w:r w:rsidR="00777FA7" w:rsidRPr="007B5F38">
        <w:rPr>
          <w:sz w:val="24"/>
          <w:szCs w:val="24"/>
        </w:rPr>
        <w:t xml:space="preserve">in </w:t>
      </w:r>
      <w:r w:rsidR="00777FA7">
        <w:rPr>
          <w:sz w:val="24"/>
          <w:szCs w:val="24"/>
        </w:rPr>
        <w:t xml:space="preserve">CPRD </w:t>
      </w:r>
      <w:r w:rsidR="00325BAF">
        <w:rPr>
          <w:sz w:val="24"/>
          <w:szCs w:val="24"/>
        </w:rPr>
        <w:t xml:space="preserve">appear </w:t>
      </w:r>
      <w:r w:rsidR="00777FA7">
        <w:rPr>
          <w:sz w:val="24"/>
          <w:szCs w:val="24"/>
        </w:rPr>
        <w:t>robust enough for use in re</w:t>
      </w:r>
      <w:r w:rsidR="00140AAA">
        <w:rPr>
          <w:sz w:val="24"/>
          <w:szCs w:val="24"/>
        </w:rPr>
        <w:t xml:space="preserve">search of </w:t>
      </w:r>
      <w:r w:rsidR="00140AAA" w:rsidRPr="000178F6">
        <w:rPr>
          <w:sz w:val="24"/>
          <w:szCs w:val="24"/>
        </w:rPr>
        <w:t>this nature</w:t>
      </w:r>
      <w:r w:rsidR="00777FA7" w:rsidRPr="000178F6">
        <w:rPr>
          <w:sz w:val="24"/>
          <w:szCs w:val="24"/>
        </w:rPr>
        <w:t>. Also</w:t>
      </w:r>
      <w:r w:rsidR="00E223CE" w:rsidRPr="000178F6">
        <w:rPr>
          <w:sz w:val="24"/>
          <w:szCs w:val="24"/>
        </w:rPr>
        <w:t>,</w:t>
      </w:r>
      <w:r w:rsidR="00777FA7" w:rsidRPr="000178F6">
        <w:rPr>
          <w:sz w:val="24"/>
          <w:szCs w:val="24"/>
        </w:rPr>
        <w:t xml:space="preserve"> coding for </w:t>
      </w:r>
      <w:r w:rsidR="000178F6" w:rsidRPr="000178F6">
        <w:rPr>
          <w:sz w:val="24"/>
          <w:szCs w:val="24"/>
        </w:rPr>
        <w:t>psychiatric illnesses</w:t>
      </w:r>
      <w:r w:rsidR="00777FA7" w:rsidRPr="000178F6">
        <w:rPr>
          <w:sz w:val="24"/>
          <w:szCs w:val="24"/>
        </w:rPr>
        <w:t>, among others ha</w:t>
      </w:r>
      <w:r w:rsidR="00795F87" w:rsidRPr="000178F6">
        <w:rPr>
          <w:sz w:val="24"/>
          <w:szCs w:val="24"/>
        </w:rPr>
        <w:t>s</w:t>
      </w:r>
      <w:r w:rsidR="00777FA7" w:rsidRPr="000178F6">
        <w:rPr>
          <w:sz w:val="24"/>
          <w:szCs w:val="24"/>
        </w:rPr>
        <w:t xml:space="preserve"> been validated in the CPRD</w:t>
      </w:r>
      <w:r w:rsidR="003567DB" w:rsidRPr="000178F6">
        <w:rPr>
          <w:sz w:val="24"/>
          <w:szCs w:val="24"/>
        </w:rPr>
        <w:t>, further strengthening th</w:t>
      </w:r>
      <w:r w:rsidR="00E223CE" w:rsidRPr="000178F6">
        <w:rPr>
          <w:sz w:val="24"/>
          <w:szCs w:val="24"/>
        </w:rPr>
        <w:t>e reliability of this</w:t>
      </w:r>
      <w:r w:rsidR="003567DB" w:rsidRPr="000178F6">
        <w:rPr>
          <w:sz w:val="24"/>
          <w:szCs w:val="24"/>
        </w:rPr>
        <w:t xml:space="preserve"> data source</w:t>
      </w:r>
      <w:r w:rsidR="00E223CE" w:rsidRPr="000178F6">
        <w:rPr>
          <w:sz w:val="24"/>
          <w:szCs w:val="24"/>
        </w:rPr>
        <w:t xml:space="preserve"> for research</w:t>
      </w:r>
      <w:r w:rsidR="00777FA7" w:rsidRPr="000178F6">
        <w:rPr>
          <w:sz w:val="24"/>
          <w:szCs w:val="24"/>
        </w:rPr>
        <w:t>.</w:t>
      </w:r>
      <w:r w:rsidR="00964E4A">
        <w:rPr>
          <w:sz w:val="24"/>
          <w:szCs w:val="24"/>
        </w:rPr>
        <w:t>[28]</w:t>
      </w:r>
      <w:r w:rsidR="00795F87">
        <w:rPr>
          <w:sz w:val="24"/>
          <w:szCs w:val="24"/>
        </w:rPr>
        <w:t xml:space="preserve"> </w:t>
      </w:r>
      <w:r w:rsidR="00076ACB">
        <w:rPr>
          <w:sz w:val="24"/>
          <w:szCs w:val="24"/>
        </w:rPr>
        <w:t>P</w:t>
      </w:r>
      <w:r w:rsidR="00D050A4">
        <w:rPr>
          <w:sz w:val="24"/>
          <w:szCs w:val="24"/>
        </w:rPr>
        <w:t>rimary care data were</w:t>
      </w:r>
      <w:r w:rsidR="00984A65">
        <w:rPr>
          <w:sz w:val="24"/>
          <w:szCs w:val="24"/>
        </w:rPr>
        <w:t xml:space="preserve"> linked to hospital </w:t>
      </w:r>
      <w:r w:rsidR="00957BDF">
        <w:rPr>
          <w:sz w:val="24"/>
          <w:szCs w:val="24"/>
        </w:rPr>
        <w:t xml:space="preserve">admissions </w:t>
      </w:r>
      <w:r w:rsidR="00984A65">
        <w:rPr>
          <w:sz w:val="24"/>
          <w:szCs w:val="24"/>
        </w:rPr>
        <w:lastRenderedPageBreak/>
        <w:t xml:space="preserve">data to </w:t>
      </w:r>
      <w:r w:rsidR="00325BAF">
        <w:rPr>
          <w:sz w:val="24"/>
          <w:szCs w:val="24"/>
        </w:rPr>
        <w:t>maximise ascertainment of</w:t>
      </w:r>
      <w:r w:rsidR="00984A65">
        <w:rPr>
          <w:sz w:val="24"/>
          <w:szCs w:val="24"/>
        </w:rPr>
        <w:t xml:space="preserve"> the </w:t>
      </w:r>
      <w:r w:rsidR="00984A65" w:rsidRPr="00D90621">
        <w:rPr>
          <w:sz w:val="24"/>
          <w:szCs w:val="24"/>
        </w:rPr>
        <w:t>diagnoses.</w:t>
      </w:r>
      <w:r w:rsidR="003567DB" w:rsidRPr="00D90621">
        <w:rPr>
          <w:sz w:val="24"/>
          <w:szCs w:val="24"/>
        </w:rPr>
        <w:t xml:space="preserve"> A</w:t>
      </w:r>
      <w:r w:rsidR="009D1FD6" w:rsidRPr="00D90621">
        <w:rPr>
          <w:sz w:val="24"/>
          <w:szCs w:val="24"/>
        </w:rPr>
        <w:t xml:space="preserve"> study by </w:t>
      </w:r>
      <w:proofErr w:type="spellStart"/>
      <w:r w:rsidR="009D1FD6" w:rsidRPr="00D90621">
        <w:rPr>
          <w:sz w:val="24"/>
          <w:szCs w:val="24"/>
        </w:rPr>
        <w:t>Beghi</w:t>
      </w:r>
      <w:proofErr w:type="spellEnd"/>
      <w:r w:rsidR="009D1FD6" w:rsidRPr="00D90621">
        <w:rPr>
          <w:sz w:val="24"/>
          <w:szCs w:val="24"/>
        </w:rPr>
        <w:t xml:space="preserve"> E </w:t>
      </w:r>
      <w:r w:rsidR="009D1FD6" w:rsidRPr="00D90621">
        <w:rPr>
          <w:i/>
          <w:sz w:val="24"/>
          <w:szCs w:val="24"/>
        </w:rPr>
        <w:t>et al.</w:t>
      </w:r>
      <w:r w:rsidR="009D1FD6" w:rsidRPr="00D90621">
        <w:rPr>
          <w:sz w:val="24"/>
          <w:szCs w:val="24"/>
        </w:rPr>
        <w:t xml:space="preserve"> suggested that 13% of encephalitis cases do not present to hospital and may present </w:t>
      </w:r>
      <w:r w:rsidR="00D050A4">
        <w:rPr>
          <w:sz w:val="24"/>
          <w:szCs w:val="24"/>
        </w:rPr>
        <w:t xml:space="preserve">at </w:t>
      </w:r>
      <w:r w:rsidR="009D1FD6" w:rsidRPr="00D90621">
        <w:rPr>
          <w:sz w:val="24"/>
          <w:szCs w:val="24"/>
        </w:rPr>
        <w:t xml:space="preserve">other places including </w:t>
      </w:r>
      <w:r w:rsidR="009E1D81">
        <w:rPr>
          <w:sz w:val="24"/>
          <w:szCs w:val="24"/>
        </w:rPr>
        <w:t>GPs</w:t>
      </w:r>
      <w:proofErr w:type="gramStart"/>
      <w:r w:rsidR="009D1FD6" w:rsidRPr="00D90621">
        <w:rPr>
          <w:sz w:val="24"/>
          <w:szCs w:val="24"/>
        </w:rPr>
        <w:t>.</w:t>
      </w:r>
      <w:r w:rsidR="00964E4A">
        <w:rPr>
          <w:sz w:val="24"/>
          <w:szCs w:val="24"/>
        </w:rPr>
        <w:t>[</w:t>
      </w:r>
      <w:proofErr w:type="gramEnd"/>
      <w:r w:rsidR="00964E4A">
        <w:rPr>
          <w:sz w:val="24"/>
          <w:szCs w:val="24"/>
        </w:rPr>
        <w:t>29]</w:t>
      </w:r>
      <w:r w:rsidR="009D1FD6" w:rsidRPr="00D90621">
        <w:rPr>
          <w:sz w:val="24"/>
          <w:szCs w:val="24"/>
        </w:rPr>
        <w:t xml:space="preserve"> </w:t>
      </w:r>
      <w:r w:rsidR="00DE32C2" w:rsidRPr="00D90621">
        <w:rPr>
          <w:sz w:val="24"/>
          <w:szCs w:val="24"/>
        </w:rPr>
        <w:t>B</w:t>
      </w:r>
      <w:r w:rsidR="00957BDF" w:rsidRPr="00D90621">
        <w:rPr>
          <w:sz w:val="24"/>
          <w:szCs w:val="24"/>
        </w:rPr>
        <w:t xml:space="preserve">y including cases that appeared in CPRD but not HES, </w:t>
      </w:r>
      <w:r w:rsidR="003567DB" w:rsidRPr="00D90621">
        <w:rPr>
          <w:sz w:val="24"/>
          <w:szCs w:val="24"/>
        </w:rPr>
        <w:t xml:space="preserve">this </w:t>
      </w:r>
      <w:r w:rsidR="003567DB" w:rsidRPr="00AA5D0D">
        <w:rPr>
          <w:sz w:val="24"/>
          <w:szCs w:val="24"/>
        </w:rPr>
        <w:t>study would have captured these additional cases</w:t>
      </w:r>
      <w:r w:rsidR="009D1FD6" w:rsidRPr="00AA5D0D">
        <w:rPr>
          <w:sz w:val="24"/>
          <w:szCs w:val="24"/>
        </w:rPr>
        <w:t>.</w:t>
      </w:r>
      <w:r w:rsidR="00777FA7" w:rsidRPr="00AA5D0D">
        <w:rPr>
          <w:sz w:val="24"/>
          <w:szCs w:val="24"/>
        </w:rPr>
        <w:t xml:space="preserve"> </w:t>
      </w:r>
      <w:r w:rsidR="00974B19">
        <w:rPr>
          <w:sz w:val="24"/>
          <w:szCs w:val="24"/>
        </w:rPr>
        <w:t>H</w:t>
      </w:r>
      <w:r w:rsidR="00AA5D0D" w:rsidRPr="00AA5D0D">
        <w:rPr>
          <w:sz w:val="24"/>
          <w:szCs w:val="24"/>
        </w:rPr>
        <w:t>owever, m</w:t>
      </w:r>
      <w:r w:rsidR="00D050A4">
        <w:rPr>
          <w:sz w:val="24"/>
          <w:szCs w:val="24"/>
        </w:rPr>
        <w:t>uch of the CPRD-</w:t>
      </w:r>
      <w:r w:rsidR="00D90621" w:rsidRPr="00AA5D0D">
        <w:rPr>
          <w:sz w:val="24"/>
          <w:szCs w:val="24"/>
        </w:rPr>
        <w:t>only cases were because the data were unlinked or occurred pri</w:t>
      </w:r>
      <w:r w:rsidR="00D050A4">
        <w:rPr>
          <w:sz w:val="24"/>
          <w:szCs w:val="24"/>
        </w:rPr>
        <w:t>or to 1997 (the earliest date of</w:t>
      </w:r>
      <w:r w:rsidR="00D90621" w:rsidRPr="00AA5D0D">
        <w:rPr>
          <w:sz w:val="24"/>
          <w:szCs w:val="24"/>
        </w:rPr>
        <w:t xml:space="preserve"> HES</w:t>
      </w:r>
      <w:r w:rsidR="00D050A4">
        <w:rPr>
          <w:sz w:val="24"/>
          <w:szCs w:val="24"/>
        </w:rPr>
        <w:t>-linkage</w:t>
      </w:r>
      <w:r w:rsidR="00D90621" w:rsidRPr="00AA5D0D">
        <w:rPr>
          <w:sz w:val="24"/>
          <w:szCs w:val="24"/>
        </w:rPr>
        <w:t>).</w:t>
      </w:r>
      <w:r w:rsidR="00D90621" w:rsidRPr="00D90621">
        <w:rPr>
          <w:sz w:val="24"/>
          <w:szCs w:val="24"/>
        </w:rPr>
        <w:t xml:space="preserve">  </w:t>
      </w:r>
    </w:p>
    <w:p w14:paraId="43F294E1" w14:textId="77777777" w:rsidR="00C63F8C" w:rsidRDefault="00C63F8C" w:rsidP="00393BA3">
      <w:pPr>
        <w:spacing w:after="0" w:line="360" w:lineRule="auto"/>
        <w:rPr>
          <w:sz w:val="24"/>
          <w:szCs w:val="24"/>
        </w:rPr>
      </w:pPr>
    </w:p>
    <w:p w14:paraId="15B1BD98" w14:textId="5509C846" w:rsidR="00356503" w:rsidRDefault="00D43A73" w:rsidP="00393BA3">
      <w:pPr>
        <w:spacing w:after="0" w:line="360" w:lineRule="auto"/>
        <w:rPr>
          <w:sz w:val="24"/>
          <w:szCs w:val="24"/>
        </w:rPr>
      </w:pPr>
      <w:r w:rsidRPr="00D91BAA">
        <w:rPr>
          <w:sz w:val="24"/>
          <w:szCs w:val="24"/>
        </w:rPr>
        <w:t>Possible l</w:t>
      </w:r>
      <w:r w:rsidR="00325BAF" w:rsidRPr="00D91BAA">
        <w:rPr>
          <w:sz w:val="24"/>
          <w:szCs w:val="24"/>
        </w:rPr>
        <w:t>imitations of our study also need consideration</w:t>
      </w:r>
      <w:r w:rsidR="008255B9" w:rsidRPr="00D91BAA">
        <w:rPr>
          <w:sz w:val="24"/>
          <w:szCs w:val="24"/>
        </w:rPr>
        <w:t xml:space="preserve">. </w:t>
      </w:r>
      <w:r w:rsidR="007368B9" w:rsidRPr="00D91BAA">
        <w:rPr>
          <w:sz w:val="24"/>
          <w:szCs w:val="24"/>
        </w:rPr>
        <w:t xml:space="preserve">First, the </w:t>
      </w:r>
      <w:r w:rsidR="006B7E43" w:rsidRPr="00D91BAA">
        <w:rPr>
          <w:sz w:val="24"/>
          <w:szCs w:val="24"/>
        </w:rPr>
        <w:t>study population</w:t>
      </w:r>
      <w:r w:rsidR="007368B9" w:rsidRPr="00D91BAA">
        <w:rPr>
          <w:sz w:val="24"/>
          <w:szCs w:val="24"/>
        </w:rPr>
        <w:t xml:space="preserve"> was re</w:t>
      </w:r>
      <w:r w:rsidR="008255B9" w:rsidRPr="00D91BAA">
        <w:rPr>
          <w:sz w:val="24"/>
          <w:szCs w:val="24"/>
        </w:rPr>
        <w:t xml:space="preserve">stricted to those </w:t>
      </w:r>
      <w:r w:rsidR="007368B9" w:rsidRPr="00D91BAA">
        <w:rPr>
          <w:sz w:val="24"/>
          <w:szCs w:val="24"/>
        </w:rPr>
        <w:t xml:space="preserve">individuals </w:t>
      </w:r>
      <w:r w:rsidR="008255B9" w:rsidRPr="00D91BAA">
        <w:rPr>
          <w:sz w:val="24"/>
          <w:szCs w:val="24"/>
        </w:rPr>
        <w:t xml:space="preserve">who had at least one contact with the surgery in the </w:t>
      </w:r>
      <w:r w:rsidR="007368B9" w:rsidRPr="00D91BAA">
        <w:rPr>
          <w:sz w:val="24"/>
          <w:szCs w:val="24"/>
        </w:rPr>
        <w:t xml:space="preserve">two years </w:t>
      </w:r>
      <w:r w:rsidR="008255B9" w:rsidRPr="00D91BAA">
        <w:rPr>
          <w:sz w:val="24"/>
          <w:szCs w:val="24"/>
        </w:rPr>
        <w:t>after enceph</w:t>
      </w:r>
      <w:r w:rsidR="007368B9" w:rsidRPr="00D91BAA">
        <w:rPr>
          <w:sz w:val="24"/>
          <w:szCs w:val="24"/>
        </w:rPr>
        <w:t>alitis</w:t>
      </w:r>
      <w:r w:rsidR="006B7E43" w:rsidRPr="00D91BAA">
        <w:rPr>
          <w:sz w:val="24"/>
          <w:szCs w:val="24"/>
        </w:rPr>
        <w:t xml:space="preserve">. Thus, we </w:t>
      </w:r>
      <w:r w:rsidR="008255B9" w:rsidRPr="00D91BAA">
        <w:rPr>
          <w:sz w:val="24"/>
          <w:szCs w:val="24"/>
        </w:rPr>
        <w:t>may have excluded those with severe sequelae who did not remain registered with the practice</w:t>
      </w:r>
      <w:r w:rsidR="002B2416">
        <w:rPr>
          <w:sz w:val="24"/>
          <w:szCs w:val="24"/>
        </w:rPr>
        <w:t>;</w:t>
      </w:r>
      <w:r w:rsidR="006B7E43" w:rsidRPr="00D91BAA">
        <w:rPr>
          <w:sz w:val="24"/>
          <w:szCs w:val="24"/>
        </w:rPr>
        <w:t xml:space="preserve"> </w:t>
      </w:r>
      <w:r w:rsidR="007368B9" w:rsidRPr="00D91BAA">
        <w:rPr>
          <w:sz w:val="24"/>
          <w:szCs w:val="24"/>
        </w:rPr>
        <w:t xml:space="preserve">the </w:t>
      </w:r>
      <w:r w:rsidR="008255B9" w:rsidRPr="00D91BAA">
        <w:rPr>
          <w:sz w:val="24"/>
          <w:szCs w:val="24"/>
        </w:rPr>
        <w:t>effec</w:t>
      </w:r>
      <w:r w:rsidR="00393BA3">
        <w:rPr>
          <w:sz w:val="24"/>
          <w:szCs w:val="24"/>
        </w:rPr>
        <w:t>t estimates may be even higher.</w:t>
      </w:r>
      <w:r w:rsidR="007368B9" w:rsidRPr="00D91BAA">
        <w:rPr>
          <w:sz w:val="24"/>
          <w:szCs w:val="24"/>
        </w:rPr>
        <w:t xml:space="preserve"> </w:t>
      </w:r>
      <w:r w:rsidR="008979FD">
        <w:rPr>
          <w:sz w:val="24"/>
          <w:szCs w:val="24"/>
        </w:rPr>
        <w:t xml:space="preserve">This might also explain the </w:t>
      </w:r>
      <w:r w:rsidR="008979FD" w:rsidRPr="00251DC6">
        <w:rPr>
          <w:sz w:val="24"/>
          <w:szCs w:val="24"/>
        </w:rPr>
        <w:t>slightly higher female</w:t>
      </w:r>
      <w:r w:rsidR="006C37AC">
        <w:rPr>
          <w:sz w:val="24"/>
          <w:szCs w:val="24"/>
        </w:rPr>
        <w:t xml:space="preserve"> to </w:t>
      </w:r>
      <w:r w:rsidR="008979FD" w:rsidRPr="008979FD">
        <w:rPr>
          <w:sz w:val="24"/>
          <w:szCs w:val="24"/>
        </w:rPr>
        <w:t xml:space="preserve">male ratio </w:t>
      </w:r>
      <w:r w:rsidR="006C37AC">
        <w:rPr>
          <w:sz w:val="24"/>
          <w:szCs w:val="24"/>
        </w:rPr>
        <w:t xml:space="preserve">evident </w:t>
      </w:r>
      <w:r w:rsidR="008979FD" w:rsidRPr="008979FD">
        <w:rPr>
          <w:sz w:val="24"/>
          <w:szCs w:val="24"/>
        </w:rPr>
        <w:t>in our study compared to most other studies which have shown vice versa</w:t>
      </w:r>
      <w:proofErr w:type="gramStart"/>
      <w:r w:rsidR="0005160A">
        <w:rPr>
          <w:sz w:val="24"/>
          <w:szCs w:val="24"/>
        </w:rPr>
        <w:t>.</w:t>
      </w:r>
      <w:r w:rsidR="00964E4A">
        <w:rPr>
          <w:sz w:val="24"/>
          <w:szCs w:val="24"/>
        </w:rPr>
        <w:t>[</w:t>
      </w:r>
      <w:proofErr w:type="gramEnd"/>
      <w:r w:rsidR="00964E4A">
        <w:rPr>
          <w:sz w:val="24"/>
          <w:szCs w:val="24"/>
        </w:rPr>
        <w:t>30-32]</w:t>
      </w:r>
      <w:r w:rsidR="008979FD" w:rsidRPr="008979FD">
        <w:rPr>
          <w:sz w:val="24"/>
          <w:szCs w:val="24"/>
        </w:rPr>
        <w:t xml:space="preserve"> </w:t>
      </w:r>
      <w:r w:rsidR="00FD1BF0">
        <w:rPr>
          <w:sz w:val="24"/>
          <w:szCs w:val="24"/>
        </w:rPr>
        <w:t>Women</w:t>
      </w:r>
      <w:r w:rsidR="00FD1BF0" w:rsidRPr="008979FD">
        <w:rPr>
          <w:sz w:val="24"/>
          <w:szCs w:val="24"/>
        </w:rPr>
        <w:t xml:space="preserve"> </w:t>
      </w:r>
      <w:r w:rsidR="008979FD" w:rsidRPr="008979FD">
        <w:rPr>
          <w:sz w:val="24"/>
          <w:szCs w:val="24"/>
        </w:rPr>
        <w:t xml:space="preserve">may be more likely to survive and/or remain registered with the practice after encephalitis. </w:t>
      </w:r>
      <w:r w:rsidR="006B7E43" w:rsidRPr="008979FD">
        <w:rPr>
          <w:sz w:val="24"/>
          <w:szCs w:val="24"/>
        </w:rPr>
        <w:t>Secondly,</w:t>
      </w:r>
      <w:r w:rsidR="006B7E43" w:rsidRPr="00D91BAA">
        <w:rPr>
          <w:sz w:val="24"/>
          <w:szCs w:val="24"/>
        </w:rPr>
        <w:t xml:space="preserve"> d</w:t>
      </w:r>
      <w:r w:rsidR="008255B9" w:rsidRPr="00D91BAA">
        <w:rPr>
          <w:sz w:val="24"/>
          <w:szCs w:val="24"/>
        </w:rPr>
        <w:t>espite overall high validity of diagnoses in CPRD, enceph</w:t>
      </w:r>
      <w:r w:rsidR="006B7E43" w:rsidRPr="00D91BAA">
        <w:rPr>
          <w:sz w:val="24"/>
          <w:szCs w:val="24"/>
        </w:rPr>
        <w:t>alitis</w:t>
      </w:r>
      <w:r w:rsidR="008255B9" w:rsidRPr="00D91BAA">
        <w:rPr>
          <w:sz w:val="24"/>
          <w:szCs w:val="24"/>
        </w:rPr>
        <w:t xml:space="preserve"> has not to our knowledge been formally validated</w:t>
      </w:r>
      <w:r w:rsidR="00FD1BF0">
        <w:rPr>
          <w:sz w:val="24"/>
          <w:szCs w:val="24"/>
        </w:rPr>
        <w:t xml:space="preserve"> t</w:t>
      </w:r>
      <w:r w:rsidR="008255B9" w:rsidRPr="00D91BAA">
        <w:rPr>
          <w:sz w:val="24"/>
          <w:szCs w:val="24"/>
        </w:rPr>
        <w:t xml:space="preserve">herefore </w:t>
      </w:r>
      <w:r w:rsidR="006B7E43" w:rsidRPr="00D91BAA">
        <w:rPr>
          <w:sz w:val="24"/>
          <w:szCs w:val="24"/>
        </w:rPr>
        <w:t xml:space="preserve">it is </w:t>
      </w:r>
      <w:r w:rsidR="008255B9" w:rsidRPr="00D91BAA">
        <w:rPr>
          <w:sz w:val="24"/>
          <w:szCs w:val="24"/>
        </w:rPr>
        <w:t xml:space="preserve">possible that not all cases were </w:t>
      </w:r>
      <w:r w:rsidR="006B7E43" w:rsidRPr="00D91BAA">
        <w:rPr>
          <w:sz w:val="24"/>
          <w:szCs w:val="24"/>
        </w:rPr>
        <w:t xml:space="preserve">indeed </w:t>
      </w:r>
      <w:r w:rsidR="008255B9" w:rsidRPr="00D91BAA">
        <w:rPr>
          <w:sz w:val="24"/>
          <w:szCs w:val="24"/>
        </w:rPr>
        <w:t>enceph</w:t>
      </w:r>
      <w:r w:rsidR="006B7E43" w:rsidRPr="00D91BAA">
        <w:rPr>
          <w:sz w:val="24"/>
          <w:szCs w:val="24"/>
        </w:rPr>
        <w:t>alitis</w:t>
      </w:r>
      <w:r w:rsidR="006C37AC">
        <w:rPr>
          <w:sz w:val="24"/>
          <w:szCs w:val="24"/>
        </w:rPr>
        <w:t xml:space="preserve">. </w:t>
      </w:r>
      <w:r w:rsidR="00C919D0">
        <w:rPr>
          <w:sz w:val="24"/>
          <w:szCs w:val="24"/>
        </w:rPr>
        <w:t xml:space="preserve">Also, </w:t>
      </w:r>
      <w:r w:rsidR="008255B9" w:rsidRPr="00D91BAA">
        <w:rPr>
          <w:sz w:val="24"/>
          <w:szCs w:val="24"/>
        </w:rPr>
        <w:t xml:space="preserve">some of the sequelae </w:t>
      </w:r>
      <w:r w:rsidR="00FA74DE">
        <w:rPr>
          <w:sz w:val="24"/>
          <w:szCs w:val="24"/>
        </w:rPr>
        <w:t>might</w:t>
      </w:r>
      <w:r w:rsidR="008255B9" w:rsidRPr="00D91BAA">
        <w:rPr>
          <w:sz w:val="24"/>
          <w:szCs w:val="24"/>
        </w:rPr>
        <w:t xml:space="preserve"> </w:t>
      </w:r>
      <w:r w:rsidR="00C919D0">
        <w:rPr>
          <w:sz w:val="24"/>
          <w:szCs w:val="24"/>
        </w:rPr>
        <w:t xml:space="preserve">have been </w:t>
      </w:r>
      <w:r w:rsidR="008255B9" w:rsidRPr="00D91BAA">
        <w:rPr>
          <w:sz w:val="24"/>
          <w:szCs w:val="24"/>
        </w:rPr>
        <w:t xml:space="preserve">symptoms of the acute episode itself. However, </w:t>
      </w:r>
      <w:r w:rsidR="006B7E43" w:rsidRPr="00D91BAA">
        <w:rPr>
          <w:sz w:val="24"/>
          <w:szCs w:val="24"/>
        </w:rPr>
        <w:t xml:space="preserve">this number is </w:t>
      </w:r>
      <w:r w:rsidR="008255B9" w:rsidRPr="00D91BAA">
        <w:rPr>
          <w:sz w:val="24"/>
          <w:szCs w:val="24"/>
        </w:rPr>
        <w:t>likely to be small</w:t>
      </w:r>
      <w:r w:rsidR="006B7E43" w:rsidRPr="00D91BAA">
        <w:rPr>
          <w:sz w:val="24"/>
          <w:szCs w:val="24"/>
        </w:rPr>
        <w:t xml:space="preserve"> </w:t>
      </w:r>
      <w:r w:rsidR="008255B9" w:rsidRPr="00D91BAA">
        <w:rPr>
          <w:sz w:val="24"/>
          <w:szCs w:val="24"/>
        </w:rPr>
        <w:t xml:space="preserve">because of </w:t>
      </w:r>
      <w:r w:rsidR="006B7E43" w:rsidRPr="00D91BAA">
        <w:rPr>
          <w:sz w:val="24"/>
          <w:szCs w:val="24"/>
        </w:rPr>
        <w:t xml:space="preserve">the </w:t>
      </w:r>
      <w:r w:rsidR="008255B9" w:rsidRPr="00D91BAA">
        <w:rPr>
          <w:sz w:val="24"/>
          <w:szCs w:val="24"/>
        </w:rPr>
        <w:t>exclusion period used to identify outcomes</w:t>
      </w:r>
      <w:r w:rsidR="006B7E43" w:rsidRPr="00D91BAA">
        <w:rPr>
          <w:sz w:val="24"/>
          <w:szCs w:val="24"/>
        </w:rPr>
        <w:t xml:space="preserve"> and </w:t>
      </w:r>
      <w:r w:rsidR="000205E1">
        <w:rPr>
          <w:sz w:val="24"/>
          <w:szCs w:val="24"/>
        </w:rPr>
        <w:t>because</w:t>
      </w:r>
      <w:r w:rsidR="008255B9" w:rsidRPr="00D91BAA">
        <w:rPr>
          <w:sz w:val="24"/>
          <w:szCs w:val="24"/>
        </w:rPr>
        <w:t xml:space="preserve"> the effect of almost all outcomes of interest </w:t>
      </w:r>
      <w:r w:rsidR="008255B9" w:rsidRPr="00D21790">
        <w:rPr>
          <w:sz w:val="24"/>
          <w:szCs w:val="24"/>
        </w:rPr>
        <w:t>persisted for more than a year after the enceph</w:t>
      </w:r>
      <w:r w:rsidR="006B7E43" w:rsidRPr="00D21790">
        <w:rPr>
          <w:sz w:val="24"/>
          <w:szCs w:val="24"/>
        </w:rPr>
        <w:t>alitis</w:t>
      </w:r>
      <w:r w:rsidR="008255B9" w:rsidRPr="00D21790">
        <w:rPr>
          <w:sz w:val="24"/>
          <w:szCs w:val="24"/>
        </w:rPr>
        <w:t xml:space="preserve"> diagnosis</w:t>
      </w:r>
      <w:r w:rsidR="005126B5" w:rsidRPr="00D21790">
        <w:rPr>
          <w:sz w:val="24"/>
          <w:szCs w:val="24"/>
        </w:rPr>
        <w:t>.</w:t>
      </w:r>
      <w:r w:rsidR="00923EBC" w:rsidRPr="00D21790">
        <w:rPr>
          <w:sz w:val="24"/>
          <w:szCs w:val="24"/>
        </w:rPr>
        <w:t xml:space="preserve"> Misclassification of cog</w:t>
      </w:r>
      <w:r w:rsidR="00D21790" w:rsidRPr="00D21790">
        <w:rPr>
          <w:sz w:val="24"/>
          <w:szCs w:val="24"/>
        </w:rPr>
        <w:t>nitive</w:t>
      </w:r>
      <w:r w:rsidR="00923EBC" w:rsidRPr="00D21790">
        <w:rPr>
          <w:sz w:val="24"/>
          <w:szCs w:val="24"/>
        </w:rPr>
        <w:t xml:space="preserve"> prob</w:t>
      </w:r>
      <w:r w:rsidR="00D21790" w:rsidRPr="00D21790">
        <w:rPr>
          <w:sz w:val="24"/>
          <w:szCs w:val="24"/>
        </w:rPr>
        <w:t>lems</w:t>
      </w:r>
      <w:r w:rsidR="00923EBC" w:rsidRPr="00D21790">
        <w:rPr>
          <w:sz w:val="24"/>
          <w:szCs w:val="24"/>
        </w:rPr>
        <w:t xml:space="preserve"> as dementia is a poss</w:t>
      </w:r>
      <w:r w:rsidR="00D21790" w:rsidRPr="00D21790">
        <w:rPr>
          <w:sz w:val="24"/>
          <w:szCs w:val="24"/>
        </w:rPr>
        <w:t>ibility</w:t>
      </w:r>
      <w:r w:rsidR="00923EBC" w:rsidRPr="00D21790">
        <w:rPr>
          <w:sz w:val="24"/>
          <w:szCs w:val="24"/>
        </w:rPr>
        <w:t xml:space="preserve"> bu</w:t>
      </w:r>
      <w:r w:rsidR="002F5750">
        <w:rPr>
          <w:sz w:val="24"/>
          <w:szCs w:val="24"/>
        </w:rPr>
        <w:t>t as discussed above we think it</w:t>
      </w:r>
      <w:r w:rsidR="00923EBC" w:rsidRPr="00D21790">
        <w:rPr>
          <w:sz w:val="24"/>
          <w:szCs w:val="24"/>
        </w:rPr>
        <w:t xml:space="preserve"> unlikely to be major prob</w:t>
      </w:r>
      <w:r w:rsidR="00D21790" w:rsidRPr="00D21790">
        <w:rPr>
          <w:sz w:val="24"/>
          <w:szCs w:val="24"/>
        </w:rPr>
        <w:t>lem</w:t>
      </w:r>
      <w:r w:rsidR="00923EBC" w:rsidRPr="00D21790">
        <w:rPr>
          <w:sz w:val="24"/>
          <w:szCs w:val="24"/>
        </w:rPr>
        <w:t>.</w:t>
      </w:r>
      <w:r w:rsidR="005126B5" w:rsidRPr="00D21790">
        <w:rPr>
          <w:sz w:val="24"/>
          <w:szCs w:val="24"/>
        </w:rPr>
        <w:t xml:space="preserve"> </w:t>
      </w:r>
      <w:r w:rsidR="006B7E43" w:rsidRPr="00D21790">
        <w:rPr>
          <w:sz w:val="24"/>
          <w:szCs w:val="24"/>
        </w:rPr>
        <w:t>Thirdly, a</w:t>
      </w:r>
      <w:r w:rsidR="008255B9" w:rsidRPr="00D21790">
        <w:rPr>
          <w:sz w:val="24"/>
          <w:szCs w:val="24"/>
        </w:rPr>
        <w:t xml:space="preserve">lthough </w:t>
      </w:r>
      <w:r w:rsidR="006B7E43" w:rsidRPr="00D21790">
        <w:rPr>
          <w:sz w:val="24"/>
          <w:szCs w:val="24"/>
        </w:rPr>
        <w:t xml:space="preserve">our </w:t>
      </w:r>
      <w:r w:rsidR="008255B9" w:rsidRPr="00D21790">
        <w:rPr>
          <w:sz w:val="24"/>
          <w:szCs w:val="24"/>
        </w:rPr>
        <w:t>sample size</w:t>
      </w:r>
      <w:r w:rsidR="006B7E43" w:rsidRPr="00D21790">
        <w:rPr>
          <w:sz w:val="24"/>
          <w:szCs w:val="24"/>
        </w:rPr>
        <w:t xml:space="preserve"> was very large</w:t>
      </w:r>
      <w:r w:rsidR="008255B9" w:rsidRPr="00D21790">
        <w:rPr>
          <w:sz w:val="24"/>
          <w:szCs w:val="24"/>
        </w:rPr>
        <w:t xml:space="preserve">, </w:t>
      </w:r>
      <w:r w:rsidR="006B7E43" w:rsidRPr="00D21790">
        <w:rPr>
          <w:sz w:val="24"/>
          <w:szCs w:val="24"/>
        </w:rPr>
        <w:t xml:space="preserve">we had limited </w:t>
      </w:r>
      <w:r w:rsidR="008255B9" w:rsidRPr="00D21790">
        <w:rPr>
          <w:sz w:val="24"/>
          <w:szCs w:val="24"/>
        </w:rPr>
        <w:t>power</w:t>
      </w:r>
      <w:r w:rsidR="008255B9" w:rsidRPr="00D91BAA">
        <w:rPr>
          <w:sz w:val="24"/>
          <w:szCs w:val="24"/>
        </w:rPr>
        <w:t xml:space="preserve"> to </w:t>
      </w:r>
      <w:r w:rsidR="008255B9" w:rsidRPr="00F73D66">
        <w:rPr>
          <w:sz w:val="24"/>
          <w:szCs w:val="24"/>
        </w:rPr>
        <w:t xml:space="preserve">detect whether the effect of the rarest sequelae </w:t>
      </w:r>
      <w:r w:rsidR="00EA20E2" w:rsidRPr="00F73D66">
        <w:rPr>
          <w:sz w:val="24"/>
          <w:szCs w:val="24"/>
        </w:rPr>
        <w:t xml:space="preserve">(e.g. bipolar disorder) </w:t>
      </w:r>
      <w:r w:rsidR="008255B9" w:rsidRPr="00F73D66">
        <w:rPr>
          <w:sz w:val="24"/>
          <w:szCs w:val="24"/>
        </w:rPr>
        <w:t>varied over time since diagnosis.</w:t>
      </w:r>
      <w:r w:rsidR="007C30F2">
        <w:rPr>
          <w:sz w:val="24"/>
          <w:szCs w:val="24"/>
        </w:rPr>
        <w:t xml:space="preserve"> </w:t>
      </w:r>
      <w:r w:rsidR="008255B9" w:rsidRPr="00F73D66">
        <w:rPr>
          <w:sz w:val="24"/>
          <w:szCs w:val="24"/>
        </w:rPr>
        <w:t xml:space="preserve"> </w:t>
      </w:r>
      <w:r w:rsidR="00E9298F">
        <w:rPr>
          <w:sz w:val="24"/>
          <w:szCs w:val="24"/>
        </w:rPr>
        <w:t>However, w</w:t>
      </w:r>
      <w:r w:rsidR="007C30F2" w:rsidRPr="007C30F2">
        <w:rPr>
          <w:sz w:val="24"/>
          <w:szCs w:val="24"/>
        </w:rPr>
        <w:t>e may have under</w:t>
      </w:r>
      <w:r w:rsidR="00E9298F">
        <w:rPr>
          <w:sz w:val="24"/>
          <w:szCs w:val="24"/>
        </w:rPr>
        <w:t>-</w:t>
      </w:r>
      <w:r w:rsidR="007C30F2" w:rsidRPr="007C30F2">
        <w:rPr>
          <w:sz w:val="24"/>
          <w:szCs w:val="24"/>
        </w:rPr>
        <w:t xml:space="preserve">ascertained </w:t>
      </w:r>
      <w:r w:rsidR="00E9298F">
        <w:rPr>
          <w:sz w:val="24"/>
          <w:szCs w:val="24"/>
        </w:rPr>
        <w:t xml:space="preserve">cases of bipolar disorder </w:t>
      </w:r>
      <w:r w:rsidR="007C30F2" w:rsidRPr="007C30F2">
        <w:rPr>
          <w:sz w:val="24"/>
          <w:szCs w:val="24"/>
        </w:rPr>
        <w:t>if a patient presented with bipolar depression (rather than mania) and was diagnosed as having depression, but then not followed up for long enough to display manic sympto</w:t>
      </w:r>
      <w:r w:rsidR="007C30F2">
        <w:rPr>
          <w:sz w:val="24"/>
          <w:szCs w:val="24"/>
        </w:rPr>
        <w:t>ms and be diagnosed correctly. F</w:t>
      </w:r>
      <w:r w:rsidR="007E4988" w:rsidRPr="00F73D66">
        <w:rPr>
          <w:sz w:val="24"/>
          <w:szCs w:val="24"/>
        </w:rPr>
        <w:t>ourthly</w:t>
      </w:r>
      <w:r w:rsidR="00D91BAA" w:rsidRPr="00F73D66">
        <w:rPr>
          <w:sz w:val="24"/>
          <w:szCs w:val="24"/>
        </w:rPr>
        <w:t xml:space="preserve">, </w:t>
      </w:r>
      <w:r w:rsidR="007E4988" w:rsidRPr="00F73D66">
        <w:rPr>
          <w:sz w:val="24"/>
          <w:szCs w:val="24"/>
        </w:rPr>
        <w:t xml:space="preserve">given the nine outcomes of interest </w:t>
      </w:r>
      <w:r w:rsidR="00D91BAA" w:rsidRPr="00F73D66">
        <w:rPr>
          <w:sz w:val="24"/>
          <w:szCs w:val="24"/>
        </w:rPr>
        <w:t xml:space="preserve">there was </w:t>
      </w:r>
      <w:r w:rsidR="007E4988" w:rsidRPr="00F73D66">
        <w:rPr>
          <w:sz w:val="24"/>
          <w:szCs w:val="24"/>
        </w:rPr>
        <w:t>the</w:t>
      </w:r>
      <w:r w:rsidR="00D91BAA" w:rsidRPr="00F73D66">
        <w:rPr>
          <w:sz w:val="24"/>
          <w:szCs w:val="24"/>
        </w:rPr>
        <w:t xml:space="preserve"> </w:t>
      </w:r>
      <w:r w:rsidR="008255B9" w:rsidRPr="00F73D66">
        <w:rPr>
          <w:sz w:val="24"/>
          <w:szCs w:val="24"/>
        </w:rPr>
        <w:t>potential issue of multiple testing</w:t>
      </w:r>
      <w:r w:rsidR="007E4988" w:rsidRPr="007E4988">
        <w:rPr>
          <w:sz w:val="24"/>
          <w:szCs w:val="24"/>
        </w:rPr>
        <w:t xml:space="preserve">. </w:t>
      </w:r>
      <w:r w:rsidR="008255B9" w:rsidRPr="007E4988">
        <w:rPr>
          <w:sz w:val="24"/>
          <w:szCs w:val="24"/>
        </w:rPr>
        <w:t>Therefore</w:t>
      </w:r>
      <w:r w:rsidR="007E4988" w:rsidRPr="007E4988">
        <w:rPr>
          <w:sz w:val="24"/>
          <w:szCs w:val="24"/>
        </w:rPr>
        <w:t>,</w:t>
      </w:r>
      <w:r w:rsidR="008255B9" w:rsidRPr="007E4988">
        <w:rPr>
          <w:sz w:val="24"/>
          <w:szCs w:val="24"/>
        </w:rPr>
        <w:t xml:space="preserve"> the effect estimates and 95% CI need to be </w:t>
      </w:r>
      <w:r w:rsidR="007E4988" w:rsidRPr="007E4988">
        <w:rPr>
          <w:sz w:val="24"/>
          <w:szCs w:val="24"/>
        </w:rPr>
        <w:t xml:space="preserve">used </w:t>
      </w:r>
      <w:r w:rsidR="009631D0">
        <w:rPr>
          <w:sz w:val="24"/>
          <w:szCs w:val="24"/>
        </w:rPr>
        <w:t>to guide interpretation. Also</w:t>
      </w:r>
      <w:r w:rsidR="007E4988" w:rsidRPr="007E4988">
        <w:rPr>
          <w:sz w:val="24"/>
          <w:szCs w:val="24"/>
        </w:rPr>
        <w:t>, w</w:t>
      </w:r>
      <w:r w:rsidR="003567DB" w:rsidRPr="007E4988">
        <w:rPr>
          <w:sz w:val="24"/>
          <w:szCs w:val="24"/>
        </w:rPr>
        <w:t xml:space="preserve">e </w:t>
      </w:r>
      <w:r w:rsidR="00795F87" w:rsidRPr="007E4988">
        <w:rPr>
          <w:sz w:val="24"/>
          <w:szCs w:val="24"/>
        </w:rPr>
        <w:t xml:space="preserve">will </w:t>
      </w:r>
      <w:r w:rsidR="003567DB" w:rsidRPr="007E4988">
        <w:rPr>
          <w:sz w:val="24"/>
          <w:szCs w:val="24"/>
        </w:rPr>
        <w:t xml:space="preserve">have </w:t>
      </w:r>
      <w:r w:rsidR="00795F87" w:rsidRPr="007E4988">
        <w:rPr>
          <w:sz w:val="24"/>
          <w:szCs w:val="24"/>
        </w:rPr>
        <w:t>miss</w:t>
      </w:r>
      <w:r w:rsidR="003567DB" w:rsidRPr="007E4988">
        <w:rPr>
          <w:sz w:val="24"/>
          <w:szCs w:val="24"/>
        </w:rPr>
        <w:t>ed</w:t>
      </w:r>
      <w:r w:rsidR="00795F87" w:rsidRPr="007E4988">
        <w:rPr>
          <w:sz w:val="24"/>
          <w:szCs w:val="24"/>
        </w:rPr>
        <w:t xml:space="preserve"> people whose mental illness or alcohol use for example never result</w:t>
      </w:r>
      <w:r w:rsidR="001C4FCB" w:rsidRPr="007E4988">
        <w:rPr>
          <w:sz w:val="24"/>
          <w:szCs w:val="24"/>
        </w:rPr>
        <w:t>ed</w:t>
      </w:r>
      <w:r w:rsidR="00795F87" w:rsidRPr="007E4988">
        <w:rPr>
          <w:sz w:val="24"/>
          <w:szCs w:val="24"/>
        </w:rPr>
        <w:t xml:space="preserve"> in contact with prima</w:t>
      </w:r>
      <w:r w:rsidR="00795F87" w:rsidRPr="00B145D1">
        <w:rPr>
          <w:sz w:val="24"/>
          <w:szCs w:val="24"/>
        </w:rPr>
        <w:t>ry care</w:t>
      </w:r>
      <w:r w:rsidR="003567DB" w:rsidRPr="00B145D1">
        <w:rPr>
          <w:sz w:val="24"/>
          <w:szCs w:val="24"/>
        </w:rPr>
        <w:t>.</w:t>
      </w:r>
      <w:r w:rsidR="00356503" w:rsidRPr="00B145D1">
        <w:rPr>
          <w:sz w:val="24"/>
          <w:szCs w:val="24"/>
        </w:rPr>
        <w:t xml:space="preserve"> </w:t>
      </w:r>
      <w:r w:rsidR="009631D0" w:rsidRPr="00B145D1">
        <w:rPr>
          <w:sz w:val="24"/>
          <w:szCs w:val="24"/>
        </w:rPr>
        <w:t xml:space="preserve">Finally, </w:t>
      </w:r>
      <w:r w:rsidR="00583541" w:rsidRPr="00B145D1">
        <w:rPr>
          <w:sz w:val="24"/>
          <w:szCs w:val="24"/>
        </w:rPr>
        <w:t xml:space="preserve">the </w:t>
      </w:r>
      <w:r w:rsidR="00AA37C1" w:rsidRPr="00B145D1">
        <w:rPr>
          <w:rFonts w:cs="Segoe UI"/>
          <w:sz w:val="24"/>
          <w:szCs w:val="24"/>
          <w:lang w:val="en-US"/>
        </w:rPr>
        <w:t xml:space="preserve">length of follow </w:t>
      </w:r>
      <w:r w:rsidR="00583541" w:rsidRPr="00B145D1">
        <w:rPr>
          <w:rFonts w:cs="Segoe UI"/>
          <w:sz w:val="24"/>
          <w:szCs w:val="24"/>
          <w:lang w:val="en-US"/>
        </w:rPr>
        <w:t>up was longer for unexposed compared to exposed individuals. This means that individuals without encephalitis</w:t>
      </w:r>
      <w:r w:rsidR="00AA37C1" w:rsidRPr="00B145D1">
        <w:rPr>
          <w:rFonts w:cs="Segoe UI"/>
          <w:sz w:val="24"/>
          <w:szCs w:val="24"/>
          <w:lang w:val="en-US"/>
        </w:rPr>
        <w:t xml:space="preserve"> could have longer to develop the outcomes of interest</w:t>
      </w:r>
      <w:r w:rsidR="00583541" w:rsidRPr="00B145D1">
        <w:rPr>
          <w:rFonts w:cs="Segoe UI"/>
          <w:sz w:val="24"/>
          <w:szCs w:val="24"/>
          <w:lang w:val="en-US"/>
        </w:rPr>
        <w:t xml:space="preserve"> and </w:t>
      </w:r>
      <w:r w:rsidR="00AA37C1" w:rsidRPr="00B145D1">
        <w:rPr>
          <w:rFonts w:cs="Segoe UI"/>
          <w:sz w:val="24"/>
          <w:szCs w:val="24"/>
          <w:lang w:val="en-US"/>
        </w:rPr>
        <w:t xml:space="preserve">this could underestimate </w:t>
      </w:r>
      <w:r w:rsidR="00583541" w:rsidRPr="00B145D1">
        <w:rPr>
          <w:rFonts w:cs="Segoe UI"/>
          <w:sz w:val="24"/>
          <w:szCs w:val="24"/>
          <w:lang w:val="en-US"/>
        </w:rPr>
        <w:t xml:space="preserve">the </w:t>
      </w:r>
      <w:r w:rsidR="00AA37C1" w:rsidRPr="00B145D1">
        <w:rPr>
          <w:rFonts w:cs="Segoe UI"/>
          <w:sz w:val="24"/>
          <w:szCs w:val="24"/>
          <w:lang w:val="en-US"/>
        </w:rPr>
        <w:t>effects</w:t>
      </w:r>
      <w:r w:rsidR="00583541" w:rsidRPr="00B145D1">
        <w:rPr>
          <w:rFonts w:cs="Segoe UI"/>
          <w:sz w:val="24"/>
          <w:szCs w:val="24"/>
          <w:lang w:val="en-US"/>
        </w:rPr>
        <w:t>, i.e. the RR</w:t>
      </w:r>
      <w:r w:rsidR="00AA37C1" w:rsidRPr="00B145D1">
        <w:rPr>
          <w:rFonts w:cs="Segoe UI"/>
          <w:sz w:val="24"/>
          <w:szCs w:val="24"/>
          <w:lang w:val="en-US"/>
        </w:rPr>
        <w:t xml:space="preserve">s we saw for the outcomes of interest could have been even larger. However, we did adjust for </w:t>
      </w:r>
      <w:r w:rsidR="00AA37C1" w:rsidRPr="00B145D1">
        <w:rPr>
          <w:rFonts w:cs="Segoe UI"/>
          <w:sz w:val="24"/>
          <w:szCs w:val="24"/>
          <w:lang w:val="en-US"/>
        </w:rPr>
        <w:lastRenderedPageBreak/>
        <w:t>length of follow up in sensitivity analyses and this made no difference to effect estimates.  Also, for most outcomes, the RR was highest in the first year after the index date. Thus any underestimation of effects might be restricted to outcomes such as headache that was only seen after five years of follow up.</w:t>
      </w:r>
    </w:p>
    <w:p w14:paraId="5EC31ED3" w14:textId="77777777" w:rsidR="00370895" w:rsidRPr="008255B9" w:rsidRDefault="00370895" w:rsidP="008255B9">
      <w:pPr>
        <w:autoSpaceDE w:val="0"/>
        <w:autoSpaceDN w:val="0"/>
        <w:adjustRightInd w:val="0"/>
        <w:spacing w:after="0" w:line="360" w:lineRule="auto"/>
        <w:rPr>
          <w:rFonts w:cs="AdvPED1282"/>
          <w:sz w:val="24"/>
          <w:szCs w:val="24"/>
        </w:rPr>
      </w:pPr>
    </w:p>
    <w:p w14:paraId="7E825DBD" w14:textId="152450FC" w:rsidR="00795F87" w:rsidRDefault="005D1A91" w:rsidP="008255B9">
      <w:pPr>
        <w:autoSpaceDE w:val="0"/>
        <w:autoSpaceDN w:val="0"/>
        <w:adjustRightInd w:val="0"/>
        <w:spacing w:after="0" w:line="360" w:lineRule="auto"/>
        <w:rPr>
          <w:rFonts w:cs="AdvPED1282"/>
          <w:sz w:val="24"/>
          <w:szCs w:val="24"/>
        </w:rPr>
      </w:pPr>
      <w:r w:rsidRPr="008255B9">
        <w:rPr>
          <w:rFonts w:cs="AdvPED1282"/>
          <w:sz w:val="24"/>
          <w:szCs w:val="24"/>
        </w:rPr>
        <w:t>In summary, t</w:t>
      </w:r>
      <w:r w:rsidR="00795F87" w:rsidRPr="008255B9">
        <w:rPr>
          <w:rFonts w:cs="AdvPED1282"/>
          <w:sz w:val="24"/>
          <w:szCs w:val="24"/>
        </w:rPr>
        <w:t>his study show</w:t>
      </w:r>
      <w:r w:rsidR="00303768" w:rsidRPr="008255B9">
        <w:rPr>
          <w:rFonts w:cs="AdvPED1282"/>
          <w:sz w:val="24"/>
          <w:szCs w:val="24"/>
        </w:rPr>
        <w:t>s</w:t>
      </w:r>
      <w:r w:rsidR="00795F87" w:rsidRPr="008255B9">
        <w:rPr>
          <w:rFonts w:cs="AdvPED1282"/>
          <w:sz w:val="24"/>
          <w:szCs w:val="24"/>
        </w:rPr>
        <w:t xml:space="preserve"> </w:t>
      </w:r>
      <w:r w:rsidR="007A58D5" w:rsidRPr="008255B9">
        <w:rPr>
          <w:rFonts w:cs="AdvPED1282"/>
          <w:sz w:val="24"/>
          <w:szCs w:val="24"/>
        </w:rPr>
        <w:t>that sequelae are common in survivors of encephalitis</w:t>
      </w:r>
      <w:r w:rsidR="00204592" w:rsidRPr="008255B9">
        <w:rPr>
          <w:rFonts w:cs="AdvPED1282"/>
          <w:sz w:val="24"/>
          <w:szCs w:val="24"/>
        </w:rPr>
        <w:t xml:space="preserve">. </w:t>
      </w:r>
      <w:r w:rsidR="00970933" w:rsidRPr="008255B9">
        <w:rPr>
          <w:rFonts w:cs="AdvPED1282"/>
          <w:sz w:val="24"/>
          <w:szCs w:val="24"/>
        </w:rPr>
        <w:t xml:space="preserve">We confirm the presence of </w:t>
      </w:r>
      <w:r w:rsidR="00800F00" w:rsidRPr="008255B9">
        <w:rPr>
          <w:rFonts w:cs="AdvPED1282"/>
          <w:sz w:val="24"/>
          <w:szCs w:val="24"/>
        </w:rPr>
        <w:t>outcomes</w:t>
      </w:r>
      <w:r w:rsidR="00970933" w:rsidRPr="008255B9">
        <w:rPr>
          <w:rFonts w:cs="AdvPED1282"/>
          <w:sz w:val="24"/>
          <w:szCs w:val="24"/>
        </w:rPr>
        <w:t xml:space="preserve"> more commonly linked to encephalitis</w:t>
      </w:r>
      <w:r w:rsidR="00424332" w:rsidRPr="008255B9">
        <w:rPr>
          <w:rFonts w:cs="AdvPED1282"/>
          <w:sz w:val="24"/>
          <w:szCs w:val="24"/>
        </w:rPr>
        <w:t xml:space="preserve"> (e.g. epilepsy and</w:t>
      </w:r>
      <w:r w:rsidR="00424332">
        <w:rPr>
          <w:rFonts w:cs="AdvPED1282"/>
          <w:sz w:val="24"/>
          <w:szCs w:val="24"/>
        </w:rPr>
        <w:t xml:space="preserve"> depression)</w:t>
      </w:r>
      <w:r w:rsidR="00970933">
        <w:rPr>
          <w:rFonts w:cs="AdvPED1282"/>
          <w:sz w:val="24"/>
          <w:szCs w:val="24"/>
        </w:rPr>
        <w:t xml:space="preserve"> and describe </w:t>
      </w:r>
      <w:r w:rsidR="00800F00">
        <w:rPr>
          <w:rFonts w:cs="AdvPED1282"/>
          <w:sz w:val="24"/>
          <w:szCs w:val="24"/>
        </w:rPr>
        <w:t>those</w:t>
      </w:r>
      <w:r w:rsidR="00970933">
        <w:rPr>
          <w:rFonts w:cs="AdvPED1282"/>
          <w:sz w:val="24"/>
          <w:szCs w:val="24"/>
        </w:rPr>
        <w:t xml:space="preserve"> </w:t>
      </w:r>
      <w:r w:rsidR="006E355C">
        <w:rPr>
          <w:rFonts w:cs="AdvPED1282"/>
          <w:sz w:val="24"/>
          <w:szCs w:val="24"/>
        </w:rPr>
        <w:t>less commonly</w:t>
      </w:r>
      <w:r w:rsidR="00970933">
        <w:rPr>
          <w:rFonts w:cs="AdvPED1282"/>
          <w:sz w:val="24"/>
          <w:szCs w:val="24"/>
        </w:rPr>
        <w:t xml:space="preserve"> </w:t>
      </w:r>
      <w:r w:rsidR="002F5750">
        <w:rPr>
          <w:rFonts w:cs="AdvPED1282"/>
          <w:sz w:val="24"/>
          <w:szCs w:val="24"/>
        </w:rPr>
        <w:t xml:space="preserve">identified as being </w:t>
      </w:r>
      <w:r w:rsidR="00970933">
        <w:rPr>
          <w:rFonts w:cs="AdvPED1282"/>
          <w:sz w:val="24"/>
          <w:szCs w:val="24"/>
        </w:rPr>
        <w:t>associated with encephalitis</w:t>
      </w:r>
      <w:r w:rsidR="00424332">
        <w:rPr>
          <w:rFonts w:cs="AdvPED1282"/>
          <w:sz w:val="24"/>
          <w:szCs w:val="24"/>
        </w:rPr>
        <w:t xml:space="preserve"> (e.g. psychiatric illnesses and alcohol abuse)</w:t>
      </w:r>
      <w:r w:rsidR="00970933">
        <w:rPr>
          <w:rFonts w:cs="AdvPED1282"/>
          <w:sz w:val="24"/>
          <w:szCs w:val="24"/>
        </w:rPr>
        <w:t xml:space="preserve">. </w:t>
      </w:r>
      <w:r w:rsidR="00204592" w:rsidRPr="00206BE7">
        <w:rPr>
          <w:rFonts w:cs="AdvPED1282"/>
          <w:sz w:val="24"/>
          <w:szCs w:val="24"/>
        </w:rPr>
        <w:t>Th</w:t>
      </w:r>
      <w:r w:rsidR="00970933">
        <w:rPr>
          <w:rFonts w:cs="AdvPED1282"/>
          <w:sz w:val="24"/>
          <w:szCs w:val="24"/>
        </w:rPr>
        <w:t>e</w:t>
      </w:r>
      <w:r w:rsidR="00204592" w:rsidRPr="00206BE7">
        <w:rPr>
          <w:rFonts w:cs="AdvPED1282"/>
          <w:sz w:val="24"/>
          <w:szCs w:val="24"/>
        </w:rPr>
        <w:t xml:space="preserve"> </w:t>
      </w:r>
      <w:r w:rsidR="00970933">
        <w:rPr>
          <w:rFonts w:cs="AdvPED1282"/>
          <w:sz w:val="24"/>
          <w:szCs w:val="24"/>
        </w:rPr>
        <w:t xml:space="preserve">results of this study have </w:t>
      </w:r>
      <w:r w:rsidR="00204592" w:rsidRPr="00206BE7">
        <w:rPr>
          <w:rFonts w:cs="AdvPED1282"/>
          <w:sz w:val="24"/>
          <w:szCs w:val="24"/>
        </w:rPr>
        <w:t xml:space="preserve">important implications for the </w:t>
      </w:r>
      <w:r w:rsidR="007D4849">
        <w:rPr>
          <w:rFonts w:cs="AdvPED1282"/>
          <w:sz w:val="24"/>
          <w:szCs w:val="24"/>
        </w:rPr>
        <w:t>management of encephalitis</w:t>
      </w:r>
      <w:r w:rsidR="00204592" w:rsidRPr="00206BE7">
        <w:rPr>
          <w:rFonts w:cs="AdvPED1282"/>
          <w:sz w:val="24"/>
          <w:szCs w:val="24"/>
        </w:rPr>
        <w:t xml:space="preserve"> patients</w:t>
      </w:r>
      <w:r w:rsidR="00F61C15" w:rsidRPr="00F61C15">
        <w:rPr>
          <w:rFonts w:cs="AdvPED1282"/>
          <w:sz w:val="24"/>
          <w:szCs w:val="24"/>
        </w:rPr>
        <w:t xml:space="preserve"> </w:t>
      </w:r>
      <w:r w:rsidR="00F61C15" w:rsidRPr="00251DC6">
        <w:rPr>
          <w:rFonts w:cs="AdvPED1282"/>
          <w:sz w:val="24"/>
          <w:szCs w:val="24"/>
        </w:rPr>
        <w:t>and for the design of tertiary prevention strategies</w:t>
      </w:r>
      <w:r w:rsidR="002C4C45">
        <w:rPr>
          <w:rFonts w:cs="AdvPED1282"/>
          <w:sz w:val="24"/>
          <w:szCs w:val="24"/>
        </w:rPr>
        <w:t xml:space="preserve">, as </w:t>
      </w:r>
      <w:r w:rsidR="002C4C45" w:rsidRPr="00251DC6">
        <w:rPr>
          <w:rFonts w:cs="AdvPED1282"/>
          <w:sz w:val="24"/>
          <w:szCs w:val="24"/>
        </w:rPr>
        <w:t>many of these sequelae are treatable</w:t>
      </w:r>
      <w:r w:rsidR="00610C0D" w:rsidRPr="00251DC6">
        <w:rPr>
          <w:rFonts w:cs="AdvPED1282"/>
          <w:sz w:val="24"/>
          <w:szCs w:val="24"/>
        </w:rPr>
        <w:t>.</w:t>
      </w:r>
      <w:r w:rsidR="00760727" w:rsidRPr="00251DC6">
        <w:rPr>
          <w:rFonts w:cs="AdvPED1282"/>
          <w:sz w:val="24"/>
          <w:szCs w:val="24"/>
        </w:rPr>
        <w:t xml:space="preserve"> K</w:t>
      </w:r>
      <w:r w:rsidR="00E4343E" w:rsidRPr="00251DC6">
        <w:rPr>
          <w:sz w:val="24"/>
          <w:szCs w:val="24"/>
        </w:rPr>
        <w:t xml:space="preserve">nowing these sequelae and dealing with them is </w:t>
      </w:r>
      <w:r w:rsidR="00F13ECC" w:rsidRPr="00251DC6">
        <w:rPr>
          <w:sz w:val="24"/>
          <w:szCs w:val="24"/>
        </w:rPr>
        <w:t>thus v</w:t>
      </w:r>
      <w:r w:rsidR="00871C59" w:rsidRPr="00251DC6">
        <w:rPr>
          <w:sz w:val="24"/>
          <w:szCs w:val="24"/>
        </w:rPr>
        <w:t>ery</w:t>
      </w:r>
      <w:r w:rsidR="00F13ECC" w:rsidRPr="00251DC6">
        <w:rPr>
          <w:sz w:val="24"/>
          <w:szCs w:val="24"/>
        </w:rPr>
        <w:t xml:space="preserve"> important for patients</w:t>
      </w:r>
      <w:r w:rsidR="00871C59" w:rsidRPr="00251DC6">
        <w:rPr>
          <w:sz w:val="24"/>
          <w:szCs w:val="24"/>
        </w:rPr>
        <w:t>’</w:t>
      </w:r>
      <w:r w:rsidR="00F13ECC" w:rsidRPr="00251DC6">
        <w:rPr>
          <w:sz w:val="24"/>
          <w:szCs w:val="24"/>
        </w:rPr>
        <w:t xml:space="preserve"> q</w:t>
      </w:r>
      <w:r w:rsidR="00871C59" w:rsidRPr="00251DC6">
        <w:rPr>
          <w:sz w:val="24"/>
          <w:szCs w:val="24"/>
        </w:rPr>
        <w:t xml:space="preserve">uality of life. </w:t>
      </w:r>
      <w:r w:rsidR="00610C0D" w:rsidRPr="00251DC6">
        <w:rPr>
          <w:rFonts w:cs="AdvPED1282"/>
          <w:sz w:val="24"/>
          <w:szCs w:val="24"/>
        </w:rPr>
        <w:t>Close</w:t>
      </w:r>
      <w:r w:rsidR="00610C0D" w:rsidRPr="00206BE7">
        <w:rPr>
          <w:rFonts w:cs="AdvPED1282"/>
          <w:sz w:val="24"/>
          <w:szCs w:val="24"/>
        </w:rPr>
        <w:t xml:space="preserve"> </w:t>
      </w:r>
      <w:r w:rsidR="00D43A73">
        <w:rPr>
          <w:rFonts w:cs="AdvPED1282"/>
          <w:sz w:val="24"/>
          <w:szCs w:val="24"/>
        </w:rPr>
        <w:t>follow up</w:t>
      </w:r>
      <w:r w:rsidR="00610C0D" w:rsidRPr="00206BE7">
        <w:rPr>
          <w:rFonts w:cs="AdvPED1282"/>
          <w:sz w:val="24"/>
          <w:szCs w:val="24"/>
        </w:rPr>
        <w:t xml:space="preserve"> is </w:t>
      </w:r>
      <w:r w:rsidR="00B6564A" w:rsidRPr="00206BE7">
        <w:rPr>
          <w:rFonts w:cs="AdvPED1282"/>
          <w:sz w:val="24"/>
          <w:szCs w:val="24"/>
        </w:rPr>
        <w:t>crucial</w:t>
      </w:r>
      <w:r w:rsidR="00610C0D" w:rsidRPr="00206BE7">
        <w:rPr>
          <w:rFonts w:cs="AdvPED1282"/>
          <w:sz w:val="24"/>
          <w:szCs w:val="24"/>
        </w:rPr>
        <w:t xml:space="preserve"> in the first year </w:t>
      </w:r>
      <w:r w:rsidR="00B6564A" w:rsidRPr="00206BE7">
        <w:rPr>
          <w:rFonts w:cs="AdvPED1282"/>
          <w:sz w:val="24"/>
          <w:szCs w:val="24"/>
        </w:rPr>
        <w:t xml:space="preserve">following the illness, </w:t>
      </w:r>
      <w:r w:rsidR="00610C0D" w:rsidRPr="00206BE7">
        <w:rPr>
          <w:rFonts w:cs="AdvPED1282"/>
          <w:sz w:val="24"/>
          <w:szCs w:val="24"/>
        </w:rPr>
        <w:t xml:space="preserve">but </w:t>
      </w:r>
      <w:r w:rsidR="00B6564A" w:rsidRPr="00206BE7">
        <w:rPr>
          <w:rFonts w:cs="AdvPED1282"/>
          <w:sz w:val="24"/>
          <w:szCs w:val="24"/>
        </w:rPr>
        <w:t xml:space="preserve">we demonstrate that </w:t>
      </w:r>
      <w:r w:rsidR="00610C0D" w:rsidRPr="00206BE7">
        <w:rPr>
          <w:rFonts w:cs="AdvPED1282"/>
          <w:sz w:val="24"/>
          <w:szCs w:val="24"/>
        </w:rPr>
        <w:t>sequelae ca</w:t>
      </w:r>
      <w:r w:rsidR="00B6564A" w:rsidRPr="00206BE7">
        <w:rPr>
          <w:rFonts w:cs="AdvPED1282"/>
          <w:sz w:val="24"/>
          <w:szCs w:val="24"/>
        </w:rPr>
        <w:t xml:space="preserve">n also occur </w:t>
      </w:r>
      <w:r w:rsidR="004F6404" w:rsidRPr="00206BE7">
        <w:rPr>
          <w:rFonts w:cs="AdvPED1282"/>
          <w:sz w:val="24"/>
          <w:szCs w:val="24"/>
        </w:rPr>
        <w:t xml:space="preserve">many </w:t>
      </w:r>
      <w:r w:rsidR="00B6564A" w:rsidRPr="00206BE7">
        <w:rPr>
          <w:rFonts w:cs="AdvPED1282"/>
          <w:sz w:val="24"/>
          <w:szCs w:val="24"/>
        </w:rPr>
        <w:t xml:space="preserve">years after </w:t>
      </w:r>
      <w:r w:rsidR="004F6404" w:rsidRPr="00206BE7">
        <w:rPr>
          <w:rFonts w:cs="AdvPED1282"/>
          <w:sz w:val="24"/>
          <w:szCs w:val="24"/>
        </w:rPr>
        <w:t>the initial presentation</w:t>
      </w:r>
      <w:r w:rsidR="00610C0D" w:rsidRPr="00206BE7">
        <w:rPr>
          <w:rFonts w:cs="AdvPED1282"/>
          <w:sz w:val="24"/>
          <w:szCs w:val="24"/>
        </w:rPr>
        <w:t xml:space="preserve">. </w:t>
      </w:r>
      <w:r w:rsidR="00B6564A" w:rsidRPr="00206BE7">
        <w:rPr>
          <w:rFonts w:cs="AdvPED1282"/>
          <w:sz w:val="24"/>
          <w:szCs w:val="24"/>
        </w:rPr>
        <w:t xml:space="preserve">Our results also have </w:t>
      </w:r>
      <w:r w:rsidR="007A58D5" w:rsidRPr="00206BE7">
        <w:rPr>
          <w:rFonts w:cs="AdvPED1282"/>
          <w:sz w:val="24"/>
          <w:szCs w:val="24"/>
        </w:rPr>
        <w:t xml:space="preserve">economic </w:t>
      </w:r>
      <w:r w:rsidR="00610C0D" w:rsidRPr="00206BE7">
        <w:rPr>
          <w:rFonts w:cs="AdvPED1282"/>
          <w:sz w:val="24"/>
          <w:szCs w:val="24"/>
        </w:rPr>
        <w:t>implications</w:t>
      </w:r>
      <w:r w:rsidR="007A58D5" w:rsidRPr="00206BE7">
        <w:rPr>
          <w:rFonts w:cs="AdvPED1282"/>
          <w:sz w:val="24"/>
          <w:szCs w:val="24"/>
        </w:rPr>
        <w:t xml:space="preserve"> in terms of long-term care and loss of productivity among many working-age survivors</w:t>
      </w:r>
      <w:r w:rsidR="00610C0D" w:rsidRPr="00206BE7">
        <w:rPr>
          <w:rFonts w:cs="AdvPED1282"/>
          <w:sz w:val="24"/>
          <w:szCs w:val="24"/>
        </w:rPr>
        <w:t>, especially with the recently reported higher incidence</w:t>
      </w:r>
      <w:r w:rsidR="004F6404" w:rsidRPr="00206BE7">
        <w:rPr>
          <w:rFonts w:cs="AdvPED1282"/>
          <w:sz w:val="24"/>
          <w:szCs w:val="24"/>
        </w:rPr>
        <w:t xml:space="preserve"> rate</w:t>
      </w:r>
      <w:proofErr w:type="gramStart"/>
      <w:r w:rsidR="00405F87" w:rsidRPr="00206BE7">
        <w:rPr>
          <w:rFonts w:cs="AdvPED1282"/>
          <w:sz w:val="24"/>
          <w:szCs w:val="24"/>
        </w:rPr>
        <w:t>.</w:t>
      </w:r>
      <w:r w:rsidR="00964E4A">
        <w:rPr>
          <w:rFonts w:cs="AdvPED1282"/>
          <w:sz w:val="24"/>
          <w:szCs w:val="24"/>
        </w:rPr>
        <w:t>[</w:t>
      </w:r>
      <w:proofErr w:type="gramEnd"/>
      <w:r w:rsidR="00964E4A">
        <w:rPr>
          <w:rFonts w:cs="AdvPED1282"/>
          <w:sz w:val="24"/>
          <w:szCs w:val="24"/>
        </w:rPr>
        <w:t>4]</w:t>
      </w:r>
      <w:r w:rsidR="007A58D5">
        <w:rPr>
          <w:rFonts w:cs="AdvPED1282"/>
          <w:sz w:val="24"/>
          <w:szCs w:val="24"/>
        </w:rPr>
        <w:t xml:space="preserve"> </w:t>
      </w:r>
      <w:r w:rsidR="005F1949">
        <w:rPr>
          <w:rFonts w:cs="AdvPED1282"/>
          <w:sz w:val="24"/>
          <w:szCs w:val="24"/>
        </w:rPr>
        <w:t xml:space="preserve"> </w:t>
      </w:r>
    </w:p>
    <w:p w14:paraId="46C4A153" w14:textId="77777777" w:rsidR="003048BF" w:rsidRDefault="003048BF" w:rsidP="003048BF">
      <w:pPr>
        <w:rPr>
          <w:rFonts w:cs="AdvPED1282"/>
          <w:sz w:val="24"/>
          <w:szCs w:val="24"/>
        </w:rPr>
      </w:pPr>
    </w:p>
    <w:p w14:paraId="47CE68A7" w14:textId="0798A2BE" w:rsidR="00416B86" w:rsidRPr="00A07A78" w:rsidRDefault="00B04910" w:rsidP="003048BF">
      <w:pPr>
        <w:rPr>
          <w:rFonts w:cs="AdvPED1282"/>
          <w:sz w:val="24"/>
          <w:szCs w:val="24"/>
        </w:rPr>
      </w:pPr>
      <w:r w:rsidRPr="00A07A78">
        <w:rPr>
          <w:b/>
          <w:sz w:val="24"/>
          <w:szCs w:val="24"/>
          <w:lang w:val="en"/>
        </w:rPr>
        <w:t>CONTRIBUTORS</w:t>
      </w:r>
    </w:p>
    <w:p w14:paraId="4D3B1AF8" w14:textId="5A32CD61" w:rsidR="00460497" w:rsidRDefault="00460497" w:rsidP="00416B86">
      <w:pPr>
        <w:spacing w:before="100" w:beforeAutospacing="1" w:after="100" w:afterAutospacing="1" w:line="360" w:lineRule="auto"/>
        <w:rPr>
          <w:sz w:val="24"/>
          <w:szCs w:val="24"/>
          <w:lang w:val="en"/>
        </w:rPr>
      </w:pPr>
      <w:r w:rsidRPr="00A07A78">
        <w:rPr>
          <w:sz w:val="24"/>
          <w:szCs w:val="24"/>
          <w:lang w:val="en"/>
        </w:rPr>
        <w:t xml:space="preserve">All authors were involved in the design of the study. </w:t>
      </w:r>
      <w:r w:rsidR="00416B86" w:rsidRPr="00A07A78">
        <w:rPr>
          <w:sz w:val="24"/>
          <w:szCs w:val="24"/>
          <w:lang w:val="en"/>
        </w:rPr>
        <w:t>JG</w:t>
      </w:r>
      <w:r w:rsidRPr="00A07A78">
        <w:rPr>
          <w:sz w:val="24"/>
          <w:szCs w:val="24"/>
          <w:lang w:val="en"/>
        </w:rPr>
        <w:t xml:space="preserve"> did the statistical analysis and wrote the first draft. All authors contributed to further drafts and approved the final manuscript. </w:t>
      </w:r>
      <w:r w:rsidR="00416B86" w:rsidRPr="00A07A78">
        <w:rPr>
          <w:sz w:val="24"/>
          <w:szCs w:val="24"/>
          <w:lang w:val="en"/>
        </w:rPr>
        <w:t>JG</w:t>
      </w:r>
      <w:r w:rsidRPr="00A07A78">
        <w:rPr>
          <w:sz w:val="24"/>
          <w:szCs w:val="24"/>
          <w:lang w:val="en"/>
        </w:rPr>
        <w:t xml:space="preserve"> is the guarantor.</w:t>
      </w:r>
      <w:r w:rsidRPr="00460497">
        <w:rPr>
          <w:sz w:val="24"/>
          <w:szCs w:val="24"/>
          <w:lang w:val="en"/>
        </w:rPr>
        <w:t xml:space="preserve"> </w:t>
      </w:r>
    </w:p>
    <w:p w14:paraId="5A8D414C" w14:textId="1FF18F2C" w:rsidR="00A07A78" w:rsidRDefault="00A07A78" w:rsidP="00140778">
      <w:pPr>
        <w:spacing w:before="100" w:beforeAutospacing="1" w:after="0" w:line="360" w:lineRule="auto"/>
        <w:rPr>
          <w:b/>
          <w:sz w:val="24"/>
          <w:szCs w:val="24"/>
          <w:lang w:val="en"/>
        </w:rPr>
      </w:pPr>
      <w:r>
        <w:rPr>
          <w:b/>
          <w:sz w:val="24"/>
          <w:szCs w:val="24"/>
          <w:lang w:val="en"/>
        </w:rPr>
        <w:t>ACKNOWLEDGEMENTS</w:t>
      </w:r>
    </w:p>
    <w:p w14:paraId="110E4BCD" w14:textId="14B75B38" w:rsidR="00A07A78" w:rsidRPr="00A07A78" w:rsidRDefault="0085382E" w:rsidP="00140778">
      <w:pPr>
        <w:spacing w:before="100" w:beforeAutospacing="1" w:after="0" w:line="360" w:lineRule="auto"/>
        <w:rPr>
          <w:sz w:val="24"/>
          <w:szCs w:val="24"/>
          <w:lang w:val="en"/>
        </w:rPr>
      </w:pPr>
      <w:r w:rsidRPr="0085382E">
        <w:rPr>
          <w:sz w:val="24"/>
          <w:szCs w:val="24"/>
          <w:lang w:val="en"/>
        </w:rPr>
        <w:t>The authors thank Harriet Forbes</w:t>
      </w:r>
      <w:r w:rsidR="00F733C1" w:rsidRPr="0085382E">
        <w:rPr>
          <w:sz w:val="24"/>
          <w:szCs w:val="24"/>
          <w:lang w:val="en"/>
        </w:rPr>
        <w:t xml:space="preserve"> for extraction of the data.</w:t>
      </w:r>
    </w:p>
    <w:p w14:paraId="420D5AFB" w14:textId="4AAC9998" w:rsidR="00460497" w:rsidRPr="00416B86" w:rsidRDefault="00B04910" w:rsidP="00140778">
      <w:pPr>
        <w:spacing w:before="100" w:beforeAutospacing="1" w:after="0" w:line="360" w:lineRule="auto"/>
        <w:rPr>
          <w:b/>
          <w:sz w:val="24"/>
          <w:szCs w:val="24"/>
          <w:lang w:val="en"/>
        </w:rPr>
      </w:pPr>
      <w:r>
        <w:rPr>
          <w:b/>
          <w:sz w:val="24"/>
          <w:szCs w:val="24"/>
          <w:lang w:val="en"/>
        </w:rPr>
        <w:t>FUNDING</w:t>
      </w:r>
    </w:p>
    <w:p w14:paraId="2EC27D69" w14:textId="7651FCBC" w:rsidR="00416B86" w:rsidRDefault="00416B86" w:rsidP="00416B86">
      <w:pPr>
        <w:spacing w:before="100" w:beforeAutospacing="1" w:after="100" w:afterAutospacing="1" w:line="360" w:lineRule="auto"/>
        <w:rPr>
          <w:sz w:val="24"/>
          <w:szCs w:val="24"/>
          <w:lang w:val="en"/>
        </w:rPr>
      </w:pPr>
      <w:r>
        <w:rPr>
          <w:rFonts w:cs="AdvPED1282"/>
          <w:sz w:val="24"/>
          <w:szCs w:val="24"/>
        </w:rPr>
        <w:t xml:space="preserve">This report is independent research commissioned and funded by the Department of Health Policy Research Programme (Enhanced Diagnostic and Management Strategies to Improve the Identification and Outcome of Individuals with Encephalitis, 047/1084). The views </w:t>
      </w:r>
      <w:r>
        <w:rPr>
          <w:rFonts w:cs="AdvPED1282"/>
          <w:sz w:val="24"/>
          <w:szCs w:val="24"/>
        </w:rPr>
        <w:lastRenderedPageBreak/>
        <w:t>expressed in this publication are those of the author(s) and not necessarily those of the Department of Health.</w:t>
      </w:r>
    </w:p>
    <w:p w14:paraId="5F349A85" w14:textId="03522704" w:rsidR="00A02E61" w:rsidRPr="005D345B" w:rsidRDefault="00A02E61" w:rsidP="00A02E61">
      <w:pPr>
        <w:spacing w:after="0" w:line="360" w:lineRule="auto"/>
        <w:rPr>
          <w:b/>
          <w:sz w:val="24"/>
          <w:szCs w:val="24"/>
        </w:rPr>
      </w:pPr>
      <w:r>
        <w:rPr>
          <w:b/>
          <w:sz w:val="24"/>
          <w:szCs w:val="24"/>
        </w:rPr>
        <w:t>ETHICS</w:t>
      </w:r>
    </w:p>
    <w:p w14:paraId="455B6B6A" w14:textId="5DA55A1C" w:rsidR="00A02E61" w:rsidRPr="00A02E61" w:rsidRDefault="00A02E61" w:rsidP="00A02E61">
      <w:pPr>
        <w:spacing w:after="0" w:line="360" w:lineRule="auto"/>
        <w:rPr>
          <w:sz w:val="24"/>
          <w:szCs w:val="24"/>
        </w:rPr>
      </w:pPr>
      <w:r w:rsidRPr="007B5F38">
        <w:rPr>
          <w:sz w:val="24"/>
          <w:szCs w:val="24"/>
        </w:rPr>
        <w:t>This study was approved by the Independent Scientific Advisory Committee</w:t>
      </w:r>
      <w:r>
        <w:rPr>
          <w:sz w:val="24"/>
          <w:szCs w:val="24"/>
        </w:rPr>
        <w:t xml:space="preserve"> of the Medicines and Healthcare Products Regulatory </w:t>
      </w:r>
      <w:r w:rsidRPr="002A1BED">
        <w:rPr>
          <w:sz w:val="24"/>
          <w:szCs w:val="24"/>
        </w:rPr>
        <w:t>Authority (ISAC_09_061RA2) and the Ethics Committee of the London School of Hygiene and Tropical</w:t>
      </w:r>
      <w:r w:rsidRPr="007B5F38">
        <w:rPr>
          <w:sz w:val="24"/>
          <w:szCs w:val="24"/>
        </w:rPr>
        <w:t xml:space="preserve"> Medicine.</w:t>
      </w:r>
    </w:p>
    <w:p w14:paraId="221BA31D" w14:textId="621E742A" w:rsidR="00416B86" w:rsidRPr="00416B86" w:rsidRDefault="00427A7A" w:rsidP="00140778">
      <w:pPr>
        <w:spacing w:before="100" w:beforeAutospacing="1" w:after="0" w:line="360" w:lineRule="auto"/>
        <w:rPr>
          <w:b/>
          <w:sz w:val="24"/>
          <w:szCs w:val="24"/>
          <w:lang w:val="en"/>
        </w:rPr>
      </w:pPr>
      <w:r>
        <w:rPr>
          <w:b/>
          <w:sz w:val="24"/>
          <w:szCs w:val="24"/>
          <w:lang w:val="en"/>
        </w:rPr>
        <w:t>COMPETING INTERESTS</w:t>
      </w:r>
    </w:p>
    <w:p w14:paraId="5331FFFC" w14:textId="4D07DAAB" w:rsidR="00460497" w:rsidRDefault="00820504" w:rsidP="00416B86">
      <w:pPr>
        <w:spacing w:before="100" w:beforeAutospacing="1" w:after="100" w:afterAutospacing="1" w:line="360" w:lineRule="auto"/>
        <w:rPr>
          <w:sz w:val="24"/>
          <w:szCs w:val="24"/>
          <w:lang w:val="en"/>
        </w:rPr>
      </w:pPr>
      <w:r>
        <w:rPr>
          <w:sz w:val="24"/>
          <w:szCs w:val="24"/>
          <w:lang w:val="en"/>
        </w:rPr>
        <w:t>None declared.</w:t>
      </w:r>
    </w:p>
    <w:p w14:paraId="415CA0F2" w14:textId="64CB5049" w:rsidR="00F733C1" w:rsidRPr="00F733C1" w:rsidRDefault="00F733C1" w:rsidP="00416B86">
      <w:pPr>
        <w:spacing w:before="100" w:beforeAutospacing="1" w:after="100" w:afterAutospacing="1" w:line="360" w:lineRule="auto"/>
        <w:rPr>
          <w:b/>
          <w:sz w:val="24"/>
          <w:szCs w:val="24"/>
          <w:lang w:val="en"/>
        </w:rPr>
      </w:pPr>
      <w:r w:rsidRPr="00F733C1">
        <w:rPr>
          <w:b/>
          <w:sz w:val="24"/>
          <w:szCs w:val="24"/>
          <w:lang w:val="en"/>
        </w:rPr>
        <w:t>DATASHARING</w:t>
      </w:r>
    </w:p>
    <w:p w14:paraId="66D4001F" w14:textId="428105FB" w:rsidR="00F733C1" w:rsidRDefault="00F733C1" w:rsidP="00416B86">
      <w:pPr>
        <w:spacing w:before="100" w:beforeAutospacing="1" w:after="100" w:afterAutospacing="1" w:line="360" w:lineRule="auto"/>
        <w:rPr>
          <w:sz w:val="24"/>
          <w:szCs w:val="24"/>
          <w:lang w:val="en"/>
        </w:rPr>
      </w:pPr>
      <w:r>
        <w:rPr>
          <w:sz w:val="24"/>
          <w:szCs w:val="24"/>
          <w:lang w:val="en"/>
        </w:rPr>
        <w:t>No additional data available.</w:t>
      </w:r>
    </w:p>
    <w:p w14:paraId="0E2FF32F" w14:textId="77777777" w:rsidR="003048BF" w:rsidRDefault="003048BF">
      <w:pPr>
        <w:rPr>
          <w:rFonts w:cs="AdvPED1282"/>
          <w:sz w:val="24"/>
          <w:szCs w:val="24"/>
        </w:rPr>
      </w:pPr>
      <w:r>
        <w:rPr>
          <w:rFonts w:cs="AdvPED1282"/>
          <w:sz w:val="24"/>
          <w:szCs w:val="24"/>
        </w:rPr>
        <w:br w:type="page"/>
      </w:r>
    </w:p>
    <w:p w14:paraId="1135A0E6" w14:textId="006DC51F" w:rsidR="00320054" w:rsidRDefault="00320054" w:rsidP="00320054">
      <w:pPr>
        <w:autoSpaceDE w:val="0"/>
        <w:autoSpaceDN w:val="0"/>
        <w:adjustRightInd w:val="0"/>
        <w:spacing w:after="0" w:line="360" w:lineRule="auto"/>
        <w:jc w:val="center"/>
        <w:rPr>
          <w:rFonts w:cs="AdvPED1282"/>
          <w:sz w:val="24"/>
          <w:szCs w:val="24"/>
        </w:rPr>
      </w:pPr>
      <w:r>
        <w:rPr>
          <w:rFonts w:cs="AdvPED1282"/>
          <w:sz w:val="24"/>
          <w:szCs w:val="24"/>
        </w:rPr>
        <w:lastRenderedPageBreak/>
        <w:t>References</w:t>
      </w:r>
    </w:p>
    <w:p w14:paraId="516A6208" w14:textId="77777777" w:rsidR="00320054" w:rsidRPr="0066647D" w:rsidRDefault="00320054" w:rsidP="00320054">
      <w:pPr>
        <w:autoSpaceDE w:val="0"/>
        <w:autoSpaceDN w:val="0"/>
        <w:adjustRightInd w:val="0"/>
        <w:spacing w:after="0" w:line="360" w:lineRule="auto"/>
        <w:rPr>
          <w:rFonts w:cs="AdvPED1282"/>
          <w:sz w:val="24"/>
          <w:szCs w:val="24"/>
        </w:rPr>
      </w:pPr>
    </w:p>
    <w:p w14:paraId="793FBBDF" w14:textId="77777777" w:rsidR="00320054" w:rsidRPr="005254A8" w:rsidRDefault="00320054" w:rsidP="00320054">
      <w:pPr>
        <w:numPr>
          <w:ilvl w:val="0"/>
          <w:numId w:val="9"/>
        </w:numPr>
        <w:spacing w:after="0" w:line="240" w:lineRule="auto"/>
        <w:rPr>
          <w:rFonts w:cs="Arial"/>
          <w:sz w:val="24"/>
          <w:szCs w:val="24"/>
        </w:rPr>
      </w:pPr>
      <w:proofErr w:type="spellStart"/>
      <w:r w:rsidRPr="005254A8">
        <w:rPr>
          <w:rFonts w:cs="Arial"/>
          <w:sz w:val="24"/>
          <w:szCs w:val="24"/>
        </w:rPr>
        <w:t>Granerod</w:t>
      </w:r>
      <w:proofErr w:type="spellEnd"/>
      <w:r w:rsidRPr="005254A8">
        <w:rPr>
          <w:rFonts w:cs="Arial"/>
          <w:sz w:val="24"/>
          <w:szCs w:val="24"/>
        </w:rPr>
        <w:t xml:space="preserve"> J, Tam CC, Crowcroft NS, Davies NWS, </w:t>
      </w:r>
      <w:proofErr w:type="spellStart"/>
      <w:r w:rsidRPr="005254A8">
        <w:rPr>
          <w:rFonts w:cs="Arial"/>
          <w:sz w:val="24"/>
          <w:szCs w:val="24"/>
        </w:rPr>
        <w:t>Borchert</w:t>
      </w:r>
      <w:proofErr w:type="spellEnd"/>
      <w:r w:rsidRPr="005254A8">
        <w:rPr>
          <w:rFonts w:cs="Arial"/>
          <w:sz w:val="24"/>
          <w:szCs w:val="24"/>
        </w:rPr>
        <w:t xml:space="preserve"> M, Thomas SL. Challenge of the unknown: a systematic review of acute encephalitis in non-outbreak situations. </w:t>
      </w:r>
      <w:r w:rsidRPr="005254A8">
        <w:rPr>
          <w:rFonts w:cs="Arial"/>
          <w:i/>
          <w:sz w:val="24"/>
          <w:szCs w:val="24"/>
        </w:rPr>
        <w:t>Neurology</w:t>
      </w:r>
      <w:r w:rsidRPr="005254A8">
        <w:rPr>
          <w:rFonts w:cs="Arial"/>
          <w:sz w:val="24"/>
          <w:szCs w:val="24"/>
        </w:rPr>
        <w:t xml:space="preserve"> 2010; 75(10):924-932.</w:t>
      </w:r>
    </w:p>
    <w:p w14:paraId="1D175A97" w14:textId="77777777" w:rsidR="00320054" w:rsidRPr="005254A8" w:rsidRDefault="00320054" w:rsidP="00320054">
      <w:pPr>
        <w:spacing w:after="0" w:line="240" w:lineRule="auto"/>
        <w:ind w:left="720"/>
        <w:rPr>
          <w:rFonts w:cs="Arial"/>
          <w:sz w:val="24"/>
          <w:szCs w:val="24"/>
        </w:rPr>
      </w:pPr>
    </w:p>
    <w:p w14:paraId="23FB2102" w14:textId="77777777" w:rsidR="00320054" w:rsidRPr="005254A8" w:rsidRDefault="00320054" w:rsidP="00320054">
      <w:pPr>
        <w:numPr>
          <w:ilvl w:val="0"/>
          <w:numId w:val="9"/>
        </w:numPr>
        <w:spacing w:after="0" w:line="240" w:lineRule="auto"/>
        <w:rPr>
          <w:rFonts w:cs="Arial"/>
          <w:sz w:val="24"/>
          <w:szCs w:val="24"/>
        </w:rPr>
      </w:pPr>
      <w:proofErr w:type="spellStart"/>
      <w:r w:rsidRPr="005254A8">
        <w:rPr>
          <w:rFonts w:cs="Arial"/>
          <w:sz w:val="24"/>
          <w:szCs w:val="24"/>
        </w:rPr>
        <w:t>Irani</w:t>
      </w:r>
      <w:proofErr w:type="spellEnd"/>
      <w:r w:rsidRPr="005254A8">
        <w:rPr>
          <w:rFonts w:cs="Arial"/>
          <w:sz w:val="24"/>
          <w:szCs w:val="24"/>
        </w:rPr>
        <w:t xml:space="preserve"> SR, Alexander S, Waters P, et al. Antibodies to Kv1 potassium channel-complex proteins leucine-rich, glioma inactivated 1 protein and </w:t>
      </w:r>
      <w:proofErr w:type="spellStart"/>
      <w:r w:rsidRPr="005254A8">
        <w:rPr>
          <w:rFonts w:cs="Arial"/>
          <w:sz w:val="24"/>
          <w:szCs w:val="24"/>
        </w:rPr>
        <w:t>contactin</w:t>
      </w:r>
      <w:proofErr w:type="spellEnd"/>
      <w:r w:rsidRPr="005254A8">
        <w:rPr>
          <w:rFonts w:cs="Arial"/>
          <w:sz w:val="24"/>
          <w:szCs w:val="24"/>
        </w:rPr>
        <w:t xml:space="preserve">-associated protein-2 in limbic encephalitis, </w:t>
      </w:r>
      <w:proofErr w:type="spellStart"/>
      <w:r w:rsidRPr="005254A8">
        <w:rPr>
          <w:rFonts w:cs="Arial"/>
          <w:sz w:val="24"/>
          <w:szCs w:val="24"/>
        </w:rPr>
        <w:t>Morvan’s</w:t>
      </w:r>
      <w:proofErr w:type="spellEnd"/>
      <w:r w:rsidRPr="005254A8">
        <w:rPr>
          <w:rFonts w:cs="Arial"/>
          <w:sz w:val="24"/>
          <w:szCs w:val="24"/>
        </w:rPr>
        <w:t xml:space="preserve"> syndrome and acquired </w:t>
      </w:r>
      <w:proofErr w:type="spellStart"/>
      <w:r w:rsidRPr="005254A8">
        <w:rPr>
          <w:rFonts w:cs="Arial"/>
          <w:sz w:val="24"/>
          <w:szCs w:val="24"/>
        </w:rPr>
        <w:t>neuromyotonia</w:t>
      </w:r>
      <w:proofErr w:type="spellEnd"/>
      <w:r w:rsidRPr="005254A8">
        <w:rPr>
          <w:rFonts w:cs="Arial"/>
          <w:sz w:val="24"/>
          <w:szCs w:val="24"/>
        </w:rPr>
        <w:t xml:space="preserve">. </w:t>
      </w:r>
      <w:r w:rsidRPr="005254A8">
        <w:rPr>
          <w:rFonts w:cs="Arial"/>
          <w:i/>
          <w:sz w:val="24"/>
          <w:szCs w:val="24"/>
        </w:rPr>
        <w:t>Brain</w:t>
      </w:r>
      <w:r w:rsidRPr="005254A8">
        <w:rPr>
          <w:rFonts w:cs="Arial"/>
          <w:sz w:val="24"/>
          <w:szCs w:val="24"/>
        </w:rPr>
        <w:t xml:space="preserve"> 2010; 133(9):2734-2748.</w:t>
      </w:r>
    </w:p>
    <w:p w14:paraId="742E0E82" w14:textId="77777777" w:rsidR="00320054" w:rsidRPr="005254A8" w:rsidRDefault="00320054" w:rsidP="00320054">
      <w:pPr>
        <w:pStyle w:val="ColorfulList-Accent11"/>
        <w:rPr>
          <w:rFonts w:asciiTheme="minorHAnsi" w:hAnsiTheme="minorHAnsi" w:cs="Arial"/>
          <w:sz w:val="24"/>
          <w:szCs w:val="24"/>
        </w:rPr>
      </w:pPr>
    </w:p>
    <w:p w14:paraId="25EF87B1" w14:textId="77777777" w:rsidR="00320054" w:rsidRPr="005254A8" w:rsidRDefault="00320054" w:rsidP="00320054">
      <w:pPr>
        <w:numPr>
          <w:ilvl w:val="0"/>
          <w:numId w:val="9"/>
        </w:numPr>
        <w:spacing w:after="0" w:line="240" w:lineRule="auto"/>
        <w:rPr>
          <w:rFonts w:cs="Arial"/>
          <w:sz w:val="24"/>
          <w:szCs w:val="24"/>
        </w:rPr>
      </w:pPr>
      <w:proofErr w:type="spellStart"/>
      <w:r w:rsidRPr="005254A8">
        <w:rPr>
          <w:rFonts w:cs="Arial"/>
          <w:sz w:val="24"/>
          <w:szCs w:val="24"/>
        </w:rPr>
        <w:t>Dalmau</w:t>
      </w:r>
      <w:proofErr w:type="spellEnd"/>
      <w:r w:rsidRPr="005254A8">
        <w:rPr>
          <w:rFonts w:cs="Arial"/>
          <w:sz w:val="24"/>
          <w:szCs w:val="24"/>
        </w:rPr>
        <w:t xml:space="preserve"> J, Lancaster E, Martinez-Hernandez E, Rosenfeld MR, </w:t>
      </w:r>
      <w:proofErr w:type="spellStart"/>
      <w:r w:rsidRPr="005254A8">
        <w:rPr>
          <w:rFonts w:cs="Arial"/>
          <w:sz w:val="24"/>
          <w:szCs w:val="24"/>
        </w:rPr>
        <w:t>Balice</w:t>
      </w:r>
      <w:proofErr w:type="spellEnd"/>
      <w:r w:rsidRPr="005254A8">
        <w:rPr>
          <w:rFonts w:cs="Arial"/>
          <w:sz w:val="24"/>
          <w:szCs w:val="24"/>
        </w:rPr>
        <w:t xml:space="preserve">-Gordon R. Clinical experience and laboratory investigations in patients with anti-NMDAR encephalitis. </w:t>
      </w:r>
      <w:r w:rsidRPr="005254A8">
        <w:rPr>
          <w:rFonts w:cs="Arial"/>
          <w:i/>
          <w:sz w:val="24"/>
          <w:szCs w:val="24"/>
        </w:rPr>
        <w:t xml:space="preserve">Lancet </w:t>
      </w:r>
      <w:proofErr w:type="spellStart"/>
      <w:r w:rsidRPr="005254A8">
        <w:rPr>
          <w:rFonts w:cs="Arial"/>
          <w:i/>
          <w:sz w:val="24"/>
          <w:szCs w:val="24"/>
        </w:rPr>
        <w:t>Neurol</w:t>
      </w:r>
      <w:proofErr w:type="spellEnd"/>
      <w:r w:rsidRPr="005254A8">
        <w:rPr>
          <w:rFonts w:cs="Arial"/>
          <w:i/>
          <w:sz w:val="24"/>
          <w:szCs w:val="24"/>
        </w:rPr>
        <w:t xml:space="preserve"> </w:t>
      </w:r>
      <w:r w:rsidRPr="005254A8">
        <w:rPr>
          <w:rFonts w:cs="Arial"/>
          <w:sz w:val="24"/>
          <w:szCs w:val="24"/>
        </w:rPr>
        <w:t>2011; 10(1):63-74.</w:t>
      </w:r>
    </w:p>
    <w:p w14:paraId="71354B84" w14:textId="77777777" w:rsidR="00320054" w:rsidRPr="005254A8" w:rsidRDefault="00320054" w:rsidP="00320054">
      <w:pPr>
        <w:spacing w:after="0" w:line="240" w:lineRule="auto"/>
        <w:rPr>
          <w:rFonts w:cs="Arial"/>
          <w:sz w:val="24"/>
          <w:szCs w:val="24"/>
        </w:rPr>
      </w:pPr>
    </w:p>
    <w:p w14:paraId="249F0C54" w14:textId="77777777" w:rsidR="00320054" w:rsidRPr="005254A8" w:rsidRDefault="00320054" w:rsidP="00320054">
      <w:pPr>
        <w:numPr>
          <w:ilvl w:val="0"/>
          <w:numId w:val="9"/>
        </w:numPr>
        <w:spacing w:after="0" w:line="240" w:lineRule="auto"/>
        <w:rPr>
          <w:rFonts w:cs="Arial"/>
          <w:sz w:val="24"/>
          <w:szCs w:val="24"/>
        </w:rPr>
      </w:pPr>
      <w:proofErr w:type="spellStart"/>
      <w:r w:rsidRPr="005254A8">
        <w:rPr>
          <w:rFonts w:cs="Arial"/>
          <w:sz w:val="24"/>
          <w:szCs w:val="24"/>
        </w:rPr>
        <w:t>Granerod</w:t>
      </w:r>
      <w:proofErr w:type="spellEnd"/>
      <w:r w:rsidRPr="005254A8">
        <w:rPr>
          <w:rFonts w:cs="Arial"/>
          <w:sz w:val="24"/>
          <w:szCs w:val="24"/>
        </w:rPr>
        <w:t xml:space="preserve"> J, </w:t>
      </w:r>
      <w:proofErr w:type="spellStart"/>
      <w:r w:rsidRPr="005254A8">
        <w:rPr>
          <w:rFonts w:cs="Arial"/>
          <w:sz w:val="24"/>
          <w:szCs w:val="24"/>
        </w:rPr>
        <w:t>Cousens</w:t>
      </w:r>
      <w:proofErr w:type="spellEnd"/>
      <w:r w:rsidRPr="005254A8">
        <w:rPr>
          <w:rFonts w:cs="Arial"/>
          <w:sz w:val="24"/>
          <w:szCs w:val="24"/>
        </w:rPr>
        <w:t xml:space="preserve"> S, Davies NWS, Crowcroft NS, and Thomas SL. New estimates of incidence of encephalitis in England. </w:t>
      </w:r>
      <w:proofErr w:type="spellStart"/>
      <w:r w:rsidRPr="005254A8">
        <w:rPr>
          <w:rFonts w:cs="Arial"/>
          <w:i/>
          <w:sz w:val="24"/>
          <w:szCs w:val="24"/>
        </w:rPr>
        <w:t>Emerg</w:t>
      </w:r>
      <w:proofErr w:type="spellEnd"/>
      <w:r w:rsidRPr="005254A8">
        <w:rPr>
          <w:rFonts w:cs="Arial"/>
          <w:i/>
          <w:sz w:val="24"/>
          <w:szCs w:val="24"/>
        </w:rPr>
        <w:t xml:space="preserve"> Infect Dis</w:t>
      </w:r>
      <w:r w:rsidRPr="005254A8">
        <w:rPr>
          <w:rFonts w:cs="Arial"/>
          <w:sz w:val="24"/>
          <w:szCs w:val="24"/>
        </w:rPr>
        <w:t xml:space="preserve"> 2013 </w:t>
      </w:r>
    </w:p>
    <w:p w14:paraId="04A8B249" w14:textId="77777777" w:rsidR="00320054" w:rsidRPr="005254A8" w:rsidRDefault="00320054" w:rsidP="00320054">
      <w:pPr>
        <w:spacing w:after="0" w:line="240" w:lineRule="auto"/>
        <w:ind w:left="720"/>
        <w:rPr>
          <w:rFonts w:cs="Arial"/>
          <w:sz w:val="24"/>
          <w:szCs w:val="24"/>
        </w:rPr>
      </w:pPr>
      <w:r w:rsidRPr="005254A8">
        <w:rPr>
          <w:rFonts w:cs="Arial"/>
          <w:sz w:val="24"/>
          <w:szCs w:val="24"/>
        </w:rPr>
        <w:t xml:space="preserve">19(9). </w:t>
      </w:r>
      <w:proofErr w:type="spellStart"/>
      <w:r w:rsidRPr="005254A8">
        <w:rPr>
          <w:rFonts w:cs="Arial"/>
          <w:sz w:val="24"/>
          <w:szCs w:val="24"/>
        </w:rPr>
        <w:t>doi</w:t>
      </w:r>
      <w:proofErr w:type="spellEnd"/>
      <w:r w:rsidRPr="005254A8">
        <w:rPr>
          <w:rFonts w:cs="Arial"/>
          <w:sz w:val="24"/>
          <w:szCs w:val="24"/>
        </w:rPr>
        <w:t>: 10.3201/eid1909.130064.</w:t>
      </w:r>
    </w:p>
    <w:p w14:paraId="56CC3DBC" w14:textId="77777777" w:rsidR="00320054" w:rsidRPr="005254A8" w:rsidRDefault="00320054" w:rsidP="00320054">
      <w:pPr>
        <w:spacing w:after="0" w:line="240" w:lineRule="auto"/>
        <w:ind w:left="720"/>
        <w:rPr>
          <w:rFonts w:cs="Arial"/>
          <w:sz w:val="24"/>
          <w:szCs w:val="24"/>
        </w:rPr>
      </w:pPr>
    </w:p>
    <w:p w14:paraId="74693D5F" w14:textId="77777777" w:rsidR="00320054" w:rsidRPr="005254A8" w:rsidRDefault="00320054" w:rsidP="00320054">
      <w:pPr>
        <w:pStyle w:val="ListParagraph"/>
        <w:numPr>
          <w:ilvl w:val="0"/>
          <w:numId w:val="9"/>
        </w:numPr>
        <w:rPr>
          <w:rStyle w:val="xml-lpage"/>
          <w:rFonts w:asciiTheme="minorHAnsi" w:hAnsiTheme="minorHAnsi" w:cs="Arial"/>
          <w:sz w:val="24"/>
        </w:rPr>
      </w:pPr>
      <w:r w:rsidRPr="005254A8">
        <w:rPr>
          <w:rStyle w:val="xml-surname"/>
          <w:rFonts w:asciiTheme="minorHAnsi" w:hAnsiTheme="minorHAnsi" w:cs="Helvetica"/>
          <w:color w:val="333333"/>
          <w:sz w:val="24"/>
          <w:lang w:val="en-US"/>
        </w:rPr>
        <w:t xml:space="preserve">Easton </w:t>
      </w:r>
      <w:r w:rsidRPr="005254A8">
        <w:rPr>
          <w:rStyle w:val="xml-given-names"/>
          <w:rFonts w:asciiTheme="minorHAnsi" w:hAnsiTheme="minorHAnsi" w:cs="Helvetica"/>
          <w:color w:val="333333"/>
          <w:sz w:val="24"/>
          <w:lang w:val="en-US"/>
        </w:rPr>
        <w:t>A</w:t>
      </w:r>
      <w:r w:rsidRPr="005254A8">
        <w:rPr>
          <w:rStyle w:val="journal"/>
          <w:rFonts w:asciiTheme="minorHAnsi" w:hAnsiTheme="minorHAnsi" w:cs="Helvetica"/>
          <w:color w:val="333333"/>
          <w:sz w:val="24"/>
          <w:lang w:val="en-US"/>
        </w:rPr>
        <w:t xml:space="preserve">, </w:t>
      </w:r>
      <w:r w:rsidRPr="005254A8">
        <w:rPr>
          <w:rStyle w:val="xml-surname"/>
          <w:rFonts w:asciiTheme="minorHAnsi" w:hAnsiTheme="minorHAnsi" w:cs="Helvetica"/>
          <w:color w:val="333333"/>
          <w:sz w:val="24"/>
          <w:lang w:val="en-US"/>
        </w:rPr>
        <w:t xml:space="preserve">Atkin </w:t>
      </w:r>
      <w:r w:rsidRPr="005254A8">
        <w:rPr>
          <w:rStyle w:val="xml-given-names"/>
          <w:rFonts w:asciiTheme="minorHAnsi" w:hAnsiTheme="minorHAnsi" w:cs="Helvetica"/>
          <w:color w:val="333333"/>
          <w:sz w:val="24"/>
          <w:lang w:val="en-US"/>
        </w:rPr>
        <w:t>K</w:t>
      </w:r>
      <w:r w:rsidRPr="005254A8">
        <w:rPr>
          <w:rStyle w:val="journal"/>
          <w:rFonts w:asciiTheme="minorHAnsi" w:hAnsiTheme="minorHAnsi" w:cs="Helvetica"/>
          <w:color w:val="333333"/>
          <w:sz w:val="24"/>
          <w:lang w:val="en-US"/>
        </w:rPr>
        <w:t xml:space="preserve">, </w:t>
      </w:r>
      <w:r w:rsidRPr="005254A8">
        <w:rPr>
          <w:rStyle w:val="xml-surname"/>
          <w:rFonts w:asciiTheme="minorHAnsi" w:hAnsiTheme="minorHAnsi" w:cs="Helvetica"/>
          <w:color w:val="333333"/>
          <w:sz w:val="24"/>
          <w:lang w:val="en-US"/>
        </w:rPr>
        <w:t xml:space="preserve">Dowell </w:t>
      </w:r>
      <w:r w:rsidRPr="005254A8">
        <w:rPr>
          <w:rStyle w:val="xml-given-names"/>
          <w:rFonts w:asciiTheme="minorHAnsi" w:hAnsiTheme="minorHAnsi" w:cs="Helvetica"/>
          <w:color w:val="333333"/>
          <w:sz w:val="24"/>
          <w:lang w:val="en-US"/>
        </w:rPr>
        <w:t>E</w:t>
      </w:r>
      <w:r w:rsidRPr="005254A8">
        <w:rPr>
          <w:rStyle w:val="journal"/>
          <w:rFonts w:asciiTheme="minorHAnsi" w:hAnsiTheme="minorHAnsi" w:cs="Helvetica"/>
          <w:color w:val="333333"/>
          <w:sz w:val="24"/>
          <w:lang w:val="en-US"/>
        </w:rPr>
        <w:t xml:space="preserve">. </w:t>
      </w:r>
      <w:r w:rsidRPr="005254A8">
        <w:rPr>
          <w:rStyle w:val="xml-article-title"/>
          <w:rFonts w:asciiTheme="minorHAnsi" w:hAnsiTheme="minorHAnsi" w:cs="Helvetica"/>
          <w:color w:val="333333"/>
          <w:sz w:val="24"/>
          <w:lang w:val="en-US"/>
        </w:rPr>
        <w:t>Encephalitis, a service orphan: the need for more research and access to neuropsychology.</w:t>
      </w:r>
      <w:r w:rsidRPr="005254A8">
        <w:rPr>
          <w:rStyle w:val="journal"/>
          <w:rFonts w:asciiTheme="minorHAnsi" w:hAnsiTheme="minorHAnsi" w:cs="Helvetica"/>
          <w:color w:val="333333"/>
          <w:sz w:val="24"/>
          <w:lang w:val="en-US"/>
        </w:rPr>
        <w:t xml:space="preserve"> </w:t>
      </w:r>
      <w:r w:rsidRPr="005254A8">
        <w:rPr>
          <w:rStyle w:val="xml-source"/>
          <w:rFonts w:asciiTheme="minorHAnsi" w:hAnsiTheme="minorHAnsi" w:cs="Helvetica"/>
          <w:i/>
          <w:color w:val="333333"/>
          <w:sz w:val="24"/>
          <w:lang w:val="en-US"/>
        </w:rPr>
        <w:t>British Journal of Neuroscience Nursing</w:t>
      </w:r>
      <w:r w:rsidRPr="005254A8">
        <w:rPr>
          <w:rStyle w:val="journal"/>
          <w:rFonts w:asciiTheme="minorHAnsi" w:hAnsiTheme="minorHAnsi" w:cs="Helvetica"/>
          <w:color w:val="333333"/>
          <w:sz w:val="24"/>
          <w:lang w:val="en-US"/>
        </w:rPr>
        <w:t xml:space="preserve"> </w:t>
      </w:r>
      <w:r w:rsidRPr="005254A8">
        <w:rPr>
          <w:rStyle w:val="xml-year"/>
          <w:rFonts w:asciiTheme="minorHAnsi" w:hAnsiTheme="minorHAnsi" w:cs="Helvetica"/>
          <w:color w:val="333333"/>
          <w:sz w:val="24"/>
          <w:lang w:val="en-US"/>
        </w:rPr>
        <w:t>2006</w:t>
      </w:r>
      <w:r w:rsidRPr="005254A8">
        <w:rPr>
          <w:rStyle w:val="journal"/>
          <w:rFonts w:asciiTheme="minorHAnsi" w:hAnsiTheme="minorHAnsi" w:cs="Helvetica"/>
          <w:color w:val="333333"/>
          <w:sz w:val="24"/>
          <w:lang w:val="en-US"/>
        </w:rPr>
        <w:t xml:space="preserve">; </w:t>
      </w:r>
      <w:r w:rsidRPr="005254A8">
        <w:rPr>
          <w:rStyle w:val="xml-volume"/>
          <w:rFonts w:asciiTheme="minorHAnsi" w:hAnsiTheme="minorHAnsi" w:cs="Helvetica"/>
          <w:color w:val="333333"/>
          <w:sz w:val="24"/>
          <w:lang w:val="en-US"/>
        </w:rPr>
        <w:t>2</w:t>
      </w:r>
      <w:r w:rsidRPr="005254A8">
        <w:rPr>
          <w:rStyle w:val="journal"/>
          <w:rFonts w:asciiTheme="minorHAnsi" w:hAnsiTheme="minorHAnsi" w:cs="Helvetica"/>
          <w:color w:val="333333"/>
          <w:sz w:val="24"/>
          <w:lang w:val="en-US"/>
        </w:rPr>
        <w:t>:</w:t>
      </w:r>
      <w:r w:rsidRPr="005254A8">
        <w:rPr>
          <w:rStyle w:val="xml-fpage"/>
          <w:rFonts w:asciiTheme="minorHAnsi" w:hAnsiTheme="minorHAnsi" w:cs="Helvetica"/>
          <w:color w:val="333333"/>
          <w:sz w:val="24"/>
          <w:lang w:val="en-US"/>
        </w:rPr>
        <w:t>488</w:t>
      </w:r>
      <w:r w:rsidRPr="005254A8">
        <w:rPr>
          <w:rStyle w:val="journal"/>
          <w:rFonts w:asciiTheme="minorHAnsi" w:hAnsiTheme="minorHAnsi" w:cs="Helvetica"/>
          <w:color w:val="333333"/>
          <w:sz w:val="24"/>
          <w:lang w:val="en-US"/>
        </w:rPr>
        <w:t>–4</w:t>
      </w:r>
      <w:r w:rsidRPr="005254A8">
        <w:rPr>
          <w:rStyle w:val="xml-lpage"/>
          <w:rFonts w:asciiTheme="minorHAnsi" w:hAnsiTheme="minorHAnsi" w:cs="Helvetica"/>
          <w:color w:val="333333"/>
          <w:sz w:val="24"/>
          <w:lang w:val="en-US"/>
        </w:rPr>
        <w:t>92.</w:t>
      </w:r>
    </w:p>
    <w:p w14:paraId="04644AD2" w14:textId="77777777" w:rsidR="00320054" w:rsidRPr="005254A8" w:rsidRDefault="00320054" w:rsidP="00320054">
      <w:pPr>
        <w:pStyle w:val="ListParagraph"/>
        <w:rPr>
          <w:rStyle w:val="xml-lpage"/>
          <w:rFonts w:asciiTheme="minorHAnsi" w:hAnsiTheme="minorHAnsi" w:cs="Arial"/>
          <w:sz w:val="24"/>
        </w:rPr>
      </w:pPr>
    </w:p>
    <w:p w14:paraId="1696FD95" w14:textId="77777777" w:rsidR="00320054" w:rsidRPr="00FF7985" w:rsidRDefault="00320054" w:rsidP="00320054">
      <w:pPr>
        <w:pStyle w:val="ListParagraph"/>
        <w:numPr>
          <w:ilvl w:val="0"/>
          <w:numId w:val="9"/>
        </w:numPr>
        <w:rPr>
          <w:rFonts w:asciiTheme="minorHAnsi" w:hAnsiTheme="minorHAnsi" w:cs="Arial"/>
          <w:sz w:val="24"/>
        </w:rPr>
      </w:pPr>
      <w:proofErr w:type="spellStart"/>
      <w:r w:rsidRPr="005254A8">
        <w:rPr>
          <w:rFonts w:asciiTheme="minorHAnsi" w:hAnsiTheme="minorHAnsi" w:cs="Arial"/>
          <w:sz w:val="24"/>
        </w:rPr>
        <w:t>Granerod</w:t>
      </w:r>
      <w:proofErr w:type="spellEnd"/>
      <w:r w:rsidRPr="005254A8">
        <w:rPr>
          <w:rFonts w:asciiTheme="minorHAnsi" w:hAnsiTheme="minorHAnsi" w:cs="Arial"/>
          <w:sz w:val="24"/>
        </w:rPr>
        <w:t xml:space="preserve"> J, Ambrose HE, Davies NW, et al. Causes of encephalitis and differences in their clinical presentations in England: a multicentre, population-based prospective </w:t>
      </w:r>
      <w:r w:rsidRPr="00FF7985">
        <w:rPr>
          <w:rFonts w:asciiTheme="minorHAnsi" w:hAnsiTheme="minorHAnsi" w:cs="Arial"/>
          <w:sz w:val="24"/>
        </w:rPr>
        <w:t xml:space="preserve">study. </w:t>
      </w:r>
      <w:r w:rsidRPr="00FF7985">
        <w:rPr>
          <w:rFonts w:asciiTheme="minorHAnsi" w:hAnsiTheme="minorHAnsi" w:cs="Arial"/>
          <w:i/>
          <w:sz w:val="24"/>
        </w:rPr>
        <w:t>Lancet Infect Dis</w:t>
      </w:r>
      <w:r w:rsidRPr="00FF7985">
        <w:rPr>
          <w:rFonts w:asciiTheme="minorHAnsi" w:hAnsiTheme="minorHAnsi" w:cs="Arial"/>
          <w:sz w:val="24"/>
        </w:rPr>
        <w:t xml:space="preserve"> 2010; 10(12):835-844.</w:t>
      </w:r>
    </w:p>
    <w:p w14:paraId="398B05CF" w14:textId="77777777" w:rsidR="00320054" w:rsidRPr="00FF7985" w:rsidRDefault="00320054" w:rsidP="00320054">
      <w:pPr>
        <w:pStyle w:val="ListParagraph"/>
        <w:rPr>
          <w:rFonts w:asciiTheme="minorHAnsi" w:hAnsiTheme="minorHAnsi"/>
          <w:sz w:val="24"/>
        </w:rPr>
      </w:pPr>
    </w:p>
    <w:p w14:paraId="256AB762" w14:textId="77777777" w:rsidR="00320054" w:rsidRPr="00FF7985" w:rsidRDefault="00320054" w:rsidP="00320054">
      <w:pPr>
        <w:pStyle w:val="ListParagraph"/>
        <w:numPr>
          <w:ilvl w:val="0"/>
          <w:numId w:val="9"/>
        </w:numPr>
        <w:rPr>
          <w:rFonts w:asciiTheme="minorHAnsi" w:hAnsiTheme="minorHAnsi" w:cs="Arial"/>
          <w:sz w:val="24"/>
        </w:rPr>
      </w:pPr>
      <w:r w:rsidRPr="00FF7985">
        <w:rPr>
          <w:rFonts w:asciiTheme="minorHAnsi" w:hAnsiTheme="minorHAnsi"/>
          <w:sz w:val="24"/>
        </w:rPr>
        <w:t>Easton, A. (2016) Life after encephalitis: a narrative approach. Routledge. Oxford.</w:t>
      </w:r>
    </w:p>
    <w:p w14:paraId="0A09F4A2" w14:textId="77777777" w:rsidR="00320054" w:rsidRPr="00FF7985" w:rsidRDefault="00320054" w:rsidP="00320054">
      <w:pPr>
        <w:pStyle w:val="ListParagraph"/>
        <w:rPr>
          <w:rFonts w:asciiTheme="minorHAnsi" w:hAnsiTheme="minorHAnsi"/>
          <w:bCs/>
          <w:sz w:val="24"/>
        </w:rPr>
      </w:pPr>
    </w:p>
    <w:p w14:paraId="3AFAB003" w14:textId="77777777" w:rsidR="00320054" w:rsidRPr="00FF7985" w:rsidRDefault="00320054" w:rsidP="00320054">
      <w:pPr>
        <w:pStyle w:val="ListParagraph"/>
        <w:numPr>
          <w:ilvl w:val="0"/>
          <w:numId w:val="9"/>
        </w:numPr>
        <w:rPr>
          <w:rFonts w:asciiTheme="minorHAnsi" w:hAnsiTheme="minorHAnsi" w:cs="Arial"/>
          <w:sz w:val="24"/>
        </w:rPr>
      </w:pPr>
      <w:proofErr w:type="spellStart"/>
      <w:r w:rsidRPr="00FF7985">
        <w:rPr>
          <w:rFonts w:asciiTheme="minorHAnsi" w:hAnsiTheme="minorHAnsi"/>
          <w:bCs/>
          <w:sz w:val="24"/>
        </w:rPr>
        <w:t>Hjalmarsson</w:t>
      </w:r>
      <w:proofErr w:type="spellEnd"/>
      <w:r w:rsidRPr="00FF7985">
        <w:rPr>
          <w:rFonts w:asciiTheme="minorHAnsi" w:hAnsiTheme="minorHAnsi"/>
          <w:bCs/>
          <w:sz w:val="24"/>
        </w:rPr>
        <w:t xml:space="preserve"> A, </w:t>
      </w:r>
      <w:proofErr w:type="spellStart"/>
      <w:r w:rsidRPr="00FF7985">
        <w:rPr>
          <w:rFonts w:asciiTheme="minorHAnsi" w:hAnsiTheme="minorHAnsi"/>
          <w:bCs/>
          <w:sz w:val="24"/>
        </w:rPr>
        <w:t>Blomqvist</w:t>
      </w:r>
      <w:proofErr w:type="spellEnd"/>
      <w:r w:rsidRPr="00FF7985">
        <w:rPr>
          <w:rFonts w:asciiTheme="minorHAnsi" w:hAnsiTheme="minorHAnsi"/>
          <w:bCs/>
          <w:sz w:val="24"/>
        </w:rPr>
        <w:t xml:space="preserve"> P, </w:t>
      </w:r>
      <w:proofErr w:type="spellStart"/>
      <w:r w:rsidRPr="00FF7985">
        <w:rPr>
          <w:rFonts w:asciiTheme="minorHAnsi" w:hAnsiTheme="minorHAnsi"/>
          <w:bCs/>
          <w:sz w:val="24"/>
        </w:rPr>
        <w:t>Skoldenberg</w:t>
      </w:r>
      <w:proofErr w:type="spellEnd"/>
      <w:r w:rsidRPr="00FF7985">
        <w:rPr>
          <w:rFonts w:asciiTheme="minorHAnsi" w:hAnsiTheme="minorHAnsi"/>
          <w:bCs/>
          <w:sz w:val="24"/>
        </w:rPr>
        <w:t xml:space="preserve"> B. Herpes simplex encephalitis in Sweden, 1990-2001: incidence, morbidity, and mortality. </w:t>
      </w:r>
      <w:r w:rsidRPr="00FF7985">
        <w:rPr>
          <w:rFonts w:asciiTheme="minorHAnsi" w:hAnsiTheme="minorHAnsi"/>
          <w:bCs/>
          <w:i/>
          <w:sz w:val="24"/>
          <w:lang w:val="nb-NO"/>
        </w:rPr>
        <w:t>Clin Infect Dis</w:t>
      </w:r>
      <w:r w:rsidRPr="00FF7985">
        <w:rPr>
          <w:rFonts w:asciiTheme="minorHAnsi" w:hAnsiTheme="minorHAnsi"/>
          <w:bCs/>
          <w:sz w:val="24"/>
          <w:lang w:val="nb-NO"/>
        </w:rPr>
        <w:t xml:space="preserve"> 2007; 45:875-880.</w:t>
      </w:r>
    </w:p>
    <w:p w14:paraId="3E3F2FAB" w14:textId="77777777" w:rsidR="00320054" w:rsidRPr="00FF7985" w:rsidRDefault="00320054" w:rsidP="00320054">
      <w:pPr>
        <w:pStyle w:val="ListParagraph"/>
        <w:rPr>
          <w:rFonts w:asciiTheme="minorHAnsi" w:hAnsiTheme="minorHAnsi"/>
          <w:bCs/>
          <w:sz w:val="24"/>
          <w:lang w:val="nb-NO"/>
        </w:rPr>
      </w:pPr>
    </w:p>
    <w:p w14:paraId="19147F07" w14:textId="77777777" w:rsidR="00320054" w:rsidRPr="00FF7985" w:rsidRDefault="00320054" w:rsidP="00320054">
      <w:pPr>
        <w:pStyle w:val="ListParagraph"/>
        <w:numPr>
          <w:ilvl w:val="0"/>
          <w:numId w:val="9"/>
        </w:numPr>
        <w:rPr>
          <w:rFonts w:asciiTheme="minorHAnsi" w:hAnsiTheme="minorHAnsi" w:cs="Arial"/>
          <w:sz w:val="24"/>
        </w:rPr>
      </w:pPr>
      <w:r w:rsidRPr="00FF7985">
        <w:rPr>
          <w:rFonts w:asciiTheme="minorHAnsi" w:hAnsiTheme="minorHAnsi"/>
          <w:bCs/>
          <w:sz w:val="24"/>
          <w:lang w:val="nb-NO"/>
        </w:rPr>
        <w:t xml:space="preserve">Fazekas C, Enzinger C, Wallner M, </w:t>
      </w:r>
      <w:r w:rsidRPr="00FF7985">
        <w:rPr>
          <w:rFonts w:asciiTheme="minorHAnsi" w:hAnsiTheme="minorHAnsi"/>
          <w:bCs/>
          <w:i/>
          <w:sz w:val="24"/>
          <w:lang w:val="nb-NO"/>
        </w:rPr>
        <w:t>et al</w:t>
      </w:r>
      <w:r w:rsidRPr="00FF7985">
        <w:rPr>
          <w:rFonts w:asciiTheme="minorHAnsi" w:hAnsiTheme="minorHAnsi"/>
          <w:bCs/>
          <w:sz w:val="24"/>
          <w:lang w:val="nb-NO"/>
        </w:rPr>
        <w:t xml:space="preserve">. </w:t>
      </w:r>
      <w:r w:rsidRPr="00FF7985">
        <w:rPr>
          <w:rFonts w:asciiTheme="minorHAnsi" w:hAnsiTheme="minorHAnsi"/>
          <w:bCs/>
          <w:sz w:val="24"/>
        </w:rPr>
        <w:t xml:space="preserve">Depressive symptoms following herpes simplex encephalitis--an underestimated phenomenon? </w:t>
      </w:r>
      <w:r w:rsidRPr="00FF7985">
        <w:rPr>
          <w:rFonts w:asciiTheme="minorHAnsi" w:hAnsiTheme="minorHAnsi"/>
          <w:bCs/>
          <w:i/>
          <w:sz w:val="24"/>
        </w:rPr>
        <w:t xml:space="preserve">Gen </w:t>
      </w:r>
      <w:proofErr w:type="spellStart"/>
      <w:r w:rsidRPr="00FF7985">
        <w:rPr>
          <w:rFonts w:asciiTheme="minorHAnsi" w:hAnsiTheme="minorHAnsi"/>
          <w:bCs/>
          <w:i/>
          <w:sz w:val="24"/>
        </w:rPr>
        <w:t>Hosp</w:t>
      </w:r>
      <w:proofErr w:type="spellEnd"/>
      <w:r w:rsidRPr="00FF7985">
        <w:rPr>
          <w:rFonts w:asciiTheme="minorHAnsi" w:hAnsiTheme="minorHAnsi"/>
          <w:bCs/>
          <w:i/>
          <w:sz w:val="24"/>
        </w:rPr>
        <w:t xml:space="preserve"> Psychiatry</w:t>
      </w:r>
      <w:r w:rsidRPr="00FF7985">
        <w:rPr>
          <w:rFonts w:asciiTheme="minorHAnsi" w:hAnsiTheme="minorHAnsi"/>
          <w:bCs/>
          <w:sz w:val="24"/>
        </w:rPr>
        <w:t xml:space="preserve"> 2006; 28:403-407.</w:t>
      </w:r>
    </w:p>
    <w:p w14:paraId="4259E318" w14:textId="77777777" w:rsidR="00320054" w:rsidRPr="00FF7985" w:rsidRDefault="00320054" w:rsidP="00320054">
      <w:pPr>
        <w:pStyle w:val="ListParagraph"/>
        <w:rPr>
          <w:rFonts w:asciiTheme="minorHAnsi" w:hAnsiTheme="minorHAnsi" w:cs="Arial"/>
          <w:sz w:val="24"/>
        </w:rPr>
      </w:pPr>
    </w:p>
    <w:p w14:paraId="0D69E85D" w14:textId="77777777" w:rsidR="00320054" w:rsidRPr="00FF7985" w:rsidRDefault="00320054" w:rsidP="00320054">
      <w:pPr>
        <w:pStyle w:val="ListParagraph"/>
        <w:numPr>
          <w:ilvl w:val="0"/>
          <w:numId w:val="9"/>
        </w:numPr>
        <w:rPr>
          <w:rFonts w:asciiTheme="minorHAnsi" w:hAnsiTheme="minorHAnsi" w:cs="Arial"/>
          <w:sz w:val="24"/>
        </w:rPr>
      </w:pPr>
      <w:proofErr w:type="spellStart"/>
      <w:r w:rsidRPr="00FF7985">
        <w:rPr>
          <w:rFonts w:asciiTheme="minorHAnsi" w:hAnsiTheme="minorHAnsi" w:cs="Arial"/>
          <w:sz w:val="24"/>
        </w:rPr>
        <w:t>Mailles</w:t>
      </w:r>
      <w:proofErr w:type="spellEnd"/>
      <w:r w:rsidRPr="00FF7985">
        <w:rPr>
          <w:rFonts w:asciiTheme="minorHAnsi" w:hAnsiTheme="minorHAnsi" w:cs="Arial"/>
          <w:sz w:val="24"/>
        </w:rPr>
        <w:t xml:space="preserve"> A, De </w:t>
      </w:r>
      <w:proofErr w:type="spellStart"/>
      <w:r w:rsidRPr="00FF7985">
        <w:rPr>
          <w:rFonts w:asciiTheme="minorHAnsi" w:hAnsiTheme="minorHAnsi" w:cs="Arial"/>
          <w:sz w:val="24"/>
        </w:rPr>
        <w:t>Broucker</w:t>
      </w:r>
      <w:proofErr w:type="spellEnd"/>
      <w:r w:rsidRPr="00FF7985">
        <w:rPr>
          <w:rFonts w:asciiTheme="minorHAnsi" w:hAnsiTheme="minorHAnsi" w:cs="Arial"/>
          <w:sz w:val="24"/>
        </w:rPr>
        <w:t xml:space="preserve"> T, Costanzo P, Martinez-</w:t>
      </w:r>
      <w:proofErr w:type="spellStart"/>
      <w:r w:rsidRPr="00FF7985">
        <w:rPr>
          <w:rFonts w:asciiTheme="minorHAnsi" w:hAnsiTheme="minorHAnsi" w:cs="Arial"/>
          <w:sz w:val="24"/>
        </w:rPr>
        <w:t>Almoyna</w:t>
      </w:r>
      <w:proofErr w:type="spellEnd"/>
      <w:r w:rsidRPr="00FF7985">
        <w:rPr>
          <w:rFonts w:asciiTheme="minorHAnsi" w:hAnsiTheme="minorHAnsi" w:cs="Arial"/>
          <w:sz w:val="24"/>
        </w:rPr>
        <w:t xml:space="preserve"> L, </w:t>
      </w:r>
      <w:proofErr w:type="spellStart"/>
      <w:r w:rsidRPr="00FF7985">
        <w:rPr>
          <w:rFonts w:asciiTheme="minorHAnsi" w:hAnsiTheme="minorHAnsi" w:cs="Arial"/>
          <w:sz w:val="24"/>
        </w:rPr>
        <w:t>Vaillant</w:t>
      </w:r>
      <w:proofErr w:type="spellEnd"/>
      <w:r w:rsidRPr="00FF7985">
        <w:rPr>
          <w:rFonts w:asciiTheme="minorHAnsi" w:hAnsiTheme="minorHAnsi" w:cs="Arial"/>
          <w:sz w:val="24"/>
        </w:rPr>
        <w:t xml:space="preserve"> V, Stahl JP; Steering Committee and Investigators Group. Long-term outcome of patients presenting with acute infectious encephalitis of various causes in France. </w:t>
      </w:r>
      <w:proofErr w:type="spellStart"/>
      <w:r w:rsidRPr="00FF7985">
        <w:rPr>
          <w:rFonts w:asciiTheme="minorHAnsi" w:hAnsiTheme="minorHAnsi" w:cs="Arial"/>
          <w:i/>
          <w:sz w:val="24"/>
        </w:rPr>
        <w:t>Clin</w:t>
      </w:r>
      <w:proofErr w:type="spellEnd"/>
      <w:r w:rsidRPr="00FF7985">
        <w:rPr>
          <w:rFonts w:asciiTheme="minorHAnsi" w:hAnsiTheme="minorHAnsi" w:cs="Arial"/>
          <w:i/>
          <w:sz w:val="24"/>
        </w:rPr>
        <w:t xml:space="preserve"> Infect Dis</w:t>
      </w:r>
      <w:r w:rsidRPr="00FF7985">
        <w:rPr>
          <w:rFonts w:asciiTheme="minorHAnsi" w:hAnsiTheme="minorHAnsi" w:cs="Arial"/>
          <w:sz w:val="24"/>
        </w:rPr>
        <w:t xml:space="preserve"> 2012; 54(10):1455-1464.</w:t>
      </w:r>
    </w:p>
    <w:p w14:paraId="3303E6B1" w14:textId="77777777" w:rsidR="00320054" w:rsidRPr="00FF7985" w:rsidRDefault="00320054" w:rsidP="00320054">
      <w:pPr>
        <w:spacing w:after="0" w:line="240" w:lineRule="auto"/>
        <w:ind w:left="720"/>
        <w:rPr>
          <w:rFonts w:cs="Arial"/>
          <w:sz w:val="24"/>
          <w:szCs w:val="24"/>
        </w:rPr>
      </w:pPr>
    </w:p>
    <w:p w14:paraId="37B5E2E7" w14:textId="77777777" w:rsidR="00320054" w:rsidRPr="00FF7985" w:rsidRDefault="00320054" w:rsidP="00320054">
      <w:pPr>
        <w:numPr>
          <w:ilvl w:val="0"/>
          <w:numId w:val="9"/>
        </w:numPr>
        <w:spacing w:after="0" w:line="240" w:lineRule="auto"/>
        <w:rPr>
          <w:rFonts w:cs="Arial"/>
          <w:sz w:val="24"/>
          <w:szCs w:val="24"/>
        </w:rPr>
      </w:pPr>
      <w:proofErr w:type="spellStart"/>
      <w:r w:rsidRPr="00FF7985">
        <w:rPr>
          <w:sz w:val="24"/>
          <w:szCs w:val="24"/>
        </w:rPr>
        <w:t>Herrett</w:t>
      </w:r>
      <w:proofErr w:type="spellEnd"/>
      <w:r w:rsidRPr="00FF7985">
        <w:rPr>
          <w:sz w:val="24"/>
          <w:szCs w:val="24"/>
        </w:rPr>
        <w:t xml:space="preserve"> E, Gallagher AM, </w:t>
      </w:r>
      <w:proofErr w:type="spellStart"/>
      <w:r w:rsidRPr="00FF7985">
        <w:rPr>
          <w:sz w:val="24"/>
          <w:szCs w:val="24"/>
        </w:rPr>
        <w:t>Bhaskaran</w:t>
      </w:r>
      <w:proofErr w:type="spellEnd"/>
      <w:r w:rsidRPr="00FF7985">
        <w:rPr>
          <w:sz w:val="24"/>
          <w:szCs w:val="24"/>
        </w:rPr>
        <w:t xml:space="preserve"> K, Forbes H, </w:t>
      </w:r>
      <w:proofErr w:type="spellStart"/>
      <w:r w:rsidRPr="00FF7985">
        <w:rPr>
          <w:sz w:val="24"/>
          <w:szCs w:val="24"/>
        </w:rPr>
        <w:t>Mathur</w:t>
      </w:r>
      <w:proofErr w:type="spellEnd"/>
      <w:r w:rsidRPr="00FF7985">
        <w:rPr>
          <w:sz w:val="24"/>
          <w:szCs w:val="24"/>
        </w:rPr>
        <w:t xml:space="preserve"> R, van </w:t>
      </w:r>
      <w:proofErr w:type="spellStart"/>
      <w:r w:rsidRPr="00FF7985">
        <w:rPr>
          <w:sz w:val="24"/>
          <w:szCs w:val="24"/>
        </w:rPr>
        <w:t>Staa</w:t>
      </w:r>
      <w:proofErr w:type="spellEnd"/>
      <w:r w:rsidRPr="00FF7985">
        <w:rPr>
          <w:sz w:val="24"/>
          <w:szCs w:val="24"/>
        </w:rPr>
        <w:t xml:space="preserve"> T et al. Data Resource Profile: Clinical Practice Research Datalink (CPRD). </w:t>
      </w:r>
      <w:proofErr w:type="spellStart"/>
      <w:r w:rsidRPr="00FF7985">
        <w:rPr>
          <w:i/>
          <w:sz w:val="24"/>
          <w:szCs w:val="24"/>
        </w:rPr>
        <w:t>Int</w:t>
      </w:r>
      <w:proofErr w:type="spellEnd"/>
      <w:r w:rsidRPr="00FF7985">
        <w:rPr>
          <w:i/>
          <w:sz w:val="24"/>
          <w:szCs w:val="24"/>
        </w:rPr>
        <w:t xml:space="preserve"> J </w:t>
      </w:r>
      <w:proofErr w:type="spellStart"/>
      <w:r w:rsidRPr="00FF7985">
        <w:rPr>
          <w:i/>
          <w:sz w:val="24"/>
          <w:szCs w:val="24"/>
        </w:rPr>
        <w:t>Epidemiol</w:t>
      </w:r>
      <w:proofErr w:type="spellEnd"/>
      <w:r w:rsidRPr="00FF7985">
        <w:rPr>
          <w:sz w:val="24"/>
          <w:szCs w:val="24"/>
        </w:rPr>
        <w:t xml:space="preserve"> 2015. doi:10.1093/</w:t>
      </w:r>
      <w:proofErr w:type="spellStart"/>
      <w:r w:rsidRPr="00FF7985">
        <w:rPr>
          <w:sz w:val="24"/>
          <w:szCs w:val="24"/>
        </w:rPr>
        <w:t>ije</w:t>
      </w:r>
      <w:proofErr w:type="spellEnd"/>
      <w:r w:rsidRPr="00FF7985">
        <w:rPr>
          <w:sz w:val="24"/>
          <w:szCs w:val="24"/>
        </w:rPr>
        <w:t>/dyv098.</w:t>
      </w:r>
    </w:p>
    <w:p w14:paraId="57CE8026" w14:textId="77777777" w:rsidR="00320054" w:rsidRPr="00FF7985" w:rsidRDefault="00320054" w:rsidP="00320054">
      <w:pPr>
        <w:spacing w:after="0" w:line="240" w:lineRule="auto"/>
        <w:rPr>
          <w:rFonts w:cs="Arial"/>
          <w:sz w:val="24"/>
          <w:szCs w:val="24"/>
        </w:rPr>
      </w:pPr>
    </w:p>
    <w:p w14:paraId="28170F8B" w14:textId="77777777" w:rsidR="00320054" w:rsidRPr="00FF7985" w:rsidRDefault="00320054" w:rsidP="00320054">
      <w:pPr>
        <w:pStyle w:val="CommentText"/>
        <w:numPr>
          <w:ilvl w:val="0"/>
          <w:numId w:val="9"/>
        </w:numPr>
        <w:rPr>
          <w:sz w:val="24"/>
          <w:szCs w:val="24"/>
          <w:u w:val="single"/>
        </w:rPr>
      </w:pPr>
      <w:r w:rsidRPr="00FF7985">
        <w:rPr>
          <w:sz w:val="24"/>
          <w:szCs w:val="24"/>
        </w:rPr>
        <w:t xml:space="preserve">CPRD website </w:t>
      </w:r>
      <w:hyperlink r:id="rId10" w:history="1">
        <w:r w:rsidRPr="00FF7985">
          <w:rPr>
            <w:rStyle w:val="Hyperlink"/>
            <w:color w:val="auto"/>
            <w:sz w:val="24"/>
            <w:szCs w:val="24"/>
          </w:rPr>
          <w:t>https://www.cprd.com/intro.asp</w:t>
        </w:r>
      </w:hyperlink>
    </w:p>
    <w:p w14:paraId="17BC03E4" w14:textId="77777777" w:rsidR="00320054" w:rsidRPr="00FF7985" w:rsidRDefault="00320054" w:rsidP="00320054">
      <w:pPr>
        <w:pStyle w:val="ListParagraph"/>
        <w:rPr>
          <w:rFonts w:asciiTheme="minorHAnsi" w:hAnsiTheme="minorHAnsi"/>
          <w:sz w:val="24"/>
        </w:rPr>
      </w:pPr>
    </w:p>
    <w:p w14:paraId="22EE04BE" w14:textId="77777777" w:rsidR="00320054" w:rsidRPr="00FF7985" w:rsidRDefault="00320054" w:rsidP="00320054">
      <w:pPr>
        <w:pStyle w:val="CommentText"/>
        <w:numPr>
          <w:ilvl w:val="0"/>
          <w:numId w:val="9"/>
        </w:numPr>
        <w:rPr>
          <w:color w:val="0000FF" w:themeColor="hyperlink"/>
          <w:sz w:val="24"/>
          <w:szCs w:val="24"/>
          <w:u w:val="single"/>
        </w:rPr>
      </w:pPr>
      <w:proofErr w:type="spellStart"/>
      <w:r w:rsidRPr="00FF7985">
        <w:rPr>
          <w:sz w:val="24"/>
          <w:szCs w:val="24"/>
        </w:rPr>
        <w:t>Herrett</w:t>
      </w:r>
      <w:proofErr w:type="spellEnd"/>
      <w:r w:rsidRPr="00FF7985">
        <w:rPr>
          <w:sz w:val="24"/>
          <w:szCs w:val="24"/>
        </w:rPr>
        <w:t xml:space="preserve"> E, Thomas SL, </w:t>
      </w:r>
      <w:proofErr w:type="spellStart"/>
      <w:r w:rsidRPr="00FF7985">
        <w:rPr>
          <w:sz w:val="24"/>
          <w:szCs w:val="24"/>
        </w:rPr>
        <w:t>Schoonen</w:t>
      </w:r>
      <w:proofErr w:type="spellEnd"/>
      <w:r w:rsidRPr="00FF7985">
        <w:rPr>
          <w:sz w:val="24"/>
          <w:szCs w:val="24"/>
        </w:rPr>
        <w:t xml:space="preserve"> WM, et al. Validation and validity of diagnoses in the General </w:t>
      </w:r>
      <w:r w:rsidRPr="005254A8">
        <w:rPr>
          <w:sz w:val="24"/>
          <w:szCs w:val="24"/>
        </w:rPr>
        <w:t xml:space="preserve">Practice </w:t>
      </w:r>
      <w:r w:rsidRPr="00FF7985">
        <w:rPr>
          <w:sz w:val="24"/>
          <w:szCs w:val="24"/>
        </w:rPr>
        <w:t xml:space="preserve">Research Database: a systematic review. </w:t>
      </w:r>
      <w:r w:rsidRPr="00FF7985">
        <w:rPr>
          <w:i/>
          <w:sz w:val="24"/>
          <w:szCs w:val="24"/>
        </w:rPr>
        <w:t xml:space="preserve">Br J </w:t>
      </w:r>
      <w:proofErr w:type="spellStart"/>
      <w:r w:rsidRPr="00FF7985">
        <w:rPr>
          <w:i/>
          <w:sz w:val="24"/>
          <w:szCs w:val="24"/>
        </w:rPr>
        <w:t>Clin</w:t>
      </w:r>
      <w:proofErr w:type="spellEnd"/>
      <w:r w:rsidRPr="00FF7985">
        <w:rPr>
          <w:i/>
          <w:sz w:val="24"/>
          <w:szCs w:val="24"/>
        </w:rPr>
        <w:t xml:space="preserve"> </w:t>
      </w:r>
      <w:proofErr w:type="spellStart"/>
      <w:r w:rsidRPr="00FF7985">
        <w:rPr>
          <w:i/>
          <w:sz w:val="24"/>
          <w:szCs w:val="24"/>
        </w:rPr>
        <w:t>Pharmacol</w:t>
      </w:r>
      <w:proofErr w:type="spellEnd"/>
      <w:r w:rsidRPr="00FF7985">
        <w:rPr>
          <w:sz w:val="24"/>
          <w:szCs w:val="24"/>
        </w:rPr>
        <w:t xml:space="preserve"> 2010; 69:4–14.</w:t>
      </w:r>
    </w:p>
    <w:p w14:paraId="2038A85E" w14:textId="77777777" w:rsidR="00320054" w:rsidRPr="00FF7985" w:rsidRDefault="00320054" w:rsidP="00320054">
      <w:pPr>
        <w:pStyle w:val="CommentText"/>
        <w:numPr>
          <w:ilvl w:val="0"/>
          <w:numId w:val="9"/>
        </w:numPr>
        <w:rPr>
          <w:sz w:val="24"/>
          <w:szCs w:val="24"/>
        </w:rPr>
      </w:pPr>
      <w:r w:rsidRPr="00FF7985">
        <w:rPr>
          <w:sz w:val="24"/>
          <w:szCs w:val="24"/>
        </w:rPr>
        <w:t xml:space="preserve">Lewis JD, Bilker WB, Weinstein RB, Strom BL. The relationship between time since registration and measured incidence rates in the General Practice Research Database. </w:t>
      </w:r>
      <w:proofErr w:type="spellStart"/>
      <w:r w:rsidRPr="00FF7985">
        <w:rPr>
          <w:i/>
          <w:sz w:val="24"/>
          <w:szCs w:val="24"/>
        </w:rPr>
        <w:t>Pharmacoepidemiol</w:t>
      </w:r>
      <w:proofErr w:type="spellEnd"/>
      <w:r w:rsidRPr="00FF7985">
        <w:rPr>
          <w:i/>
          <w:sz w:val="24"/>
          <w:szCs w:val="24"/>
        </w:rPr>
        <w:t xml:space="preserve"> Drug </w:t>
      </w:r>
      <w:proofErr w:type="spellStart"/>
      <w:r w:rsidRPr="00FF7985">
        <w:rPr>
          <w:i/>
          <w:sz w:val="24"/>
          <w:szCs w:val="24"/>
        </w:rPr>
        <w:t>Saf</w:t>
      </w:r>
      <w:proofErr w:type="spellEnd"/>
      <w:r w:rsidRPr="00FF7985">
        <w:rPr>
          <w:sz w:val="24"/>
          <w:szCs w:val="24"/>
        </w:rPr>
        <w:t xml:space="preserve"> 2005; 14(7):443-51. doi:10.1002/pds.1115.</w:t>
      </w:r>
    </w:p>
    <w:p w14:paraId="55187E51" w14:textId="77777777" w:rsidR="00AA0D24" w:rsidRPr="00FF7985" w:rsidRDefault="00736649" w:rsidP="00320054">
      <w:pPr>
        <w:pStyle w:val="CommentText"/>
        <w:numPr>
          <w:ilvl w:val="0"/>
          <w:numId w:val="9"/>
        </w:numPr>
        <w:rPr>
          <w:sz w:val="24"/>
          <w:szCs w:val="24"/>
        </w:rPr>
      </w:pPr>
      <w:proofErr w:type="spellStart"/>
      <w:r w:rsidRPr="00FF7985">
        <w:rPr>
          <w:sz w:val="24"/>
          <w:szCs w:val="24"/>
        </w:rPr>
        <w:t>Baumeister</w:t>
      </w:r>
      <w:proofErr w:type="spellEnd"/>
      <w:r w:rsidRPr="00FF7985">
        <w:rPr>
          <w:sz w:val="24"/>
          <w:szCs w:val="24"/>
        </w:rPr>
        <w:t xml:space="preserve"> H. Inappropriate prescriptions of antidepressant drugs in patients with subthreshold to mild depression: Time for the evidence to become practice. </w:t>
      </w:r>
      <w:r w:rsidRPr="00FF7985">
        <w:rPr>
          <w:i/>
          <w:sz w:val="24"/>
          <w:szCs w:val="24"/>
        </w:rPr>
        <w:t xml:space="preserve">J Affective Dis </w:t>
      </w:r>
      <w:r w:rsidRPr="00FF7985">
        <w:rPr>
          <w:sz w:val="24"/>
          <w:szCs w:val="24"/>
        </w:rPr>
        <w:t>2012; 139: 240-243</w:t>
      </w:r>
    </w:p>
    <w:p w14:paraId="389FF298" w14:textId="54B575AD" w:rsidR="00320054" w:rsidRPr="00FF7985" w:rsidRDefault="00AA0D24" w:rsidP="00320054">
      <w:pPr>
        <w:pStyle w:val="CommentText"/>
        <w:numPr>
          <w:ilvl w:val="0"/>
          <w:numId w:val="9"/>
        </w:numPr>
        <w:rPr>
          <w:sz w:val="24"/>
          <w:szCs w:val="24"/>
        </w:rPr>
      </w:pPr>
      <w:r w:rsidRPr="00FF7985">
        <w:rPr>
          <w:sz w:val="24"/>
          <w:szCs w:val="24"/>
        </w:rPr>
        <w:t>CG90. Depression in adults: recognition and management. National Institute for Health and Care Excellence, 2009.</w:t>
      </w:r>
    </w:p>
    <w:p w14:paraId="6B2A7FE4" w14:textId="77777777" w:rsidR="00320054" w:rsidRPr="005254A8" w:rsidRDefault="00320054" w:rsidP="00320054">
      <w:pPr>
        <w:pStyle w:val="CommentText"/>
        <w:numPr>
          <w:ilvl w:val="0"/>
          <w:numId w:val="9"/>
        </w:numPr>
        <w:rPr>
          <w:sz w:val="24"/>
          <w:szCs w:val="24"/>
        </w:rPr>
      </w:pPr>
      <w:r w:rsidRPr="00FF7985">
        <w:rPr>
          <w:rFonts w:cs="Arial"/>
          <w:bCs/>
          <w:sz w:val="24"/>
          <w:szCs w:val="24"/>
        </w:rPr>
        <w:t>Pillai SC</w:t>
      </w:r>
      <w:r w:rsidRPr="00FF7985">
        <w:rPr>
          <w:rFonts w:cs="Arial"/>
          <w:sz w:val="24"/>
          <w:szCs w:val="24"/>
        </w:rPr>
        <w:t xml:space="preserve">, Mohammad SS, </w:t>
      </w:r>
      <w:proofErr w:type="spellStart"/>
      <w:r w:rsidRPr="00FF7985">
        <w:rPr>
          <w:rFonts w:cs="Arial"/>
          <w:sz w:val="24"/>
          <w:szCs w:val="24"/>
        </w:rPr>
        <w:t>Hacohen</w:t>
      </w:r>
      <w:proofErr w:type="spellEnd"/>
      <w:r w:rsidRPr="005254A8">
        <w:rPr>
          <w:rFonts w:cs="Arial"/>
          <w:sz w:val="24"/>
          <w:szCs w:val="24"/>
        </w:rPr>
        <w:t xml:space="preserve"> Y, </w:t>
      </w:r>
      <w:proofErr w:type="spellStart"/>
      <w:r w:rsidRPr="005254A8">
        <w:rPr>
          <w:rFonts w:cs="Arial"/>
          <w:sz w:val="24"/>
          <w:szCs w:val="24"/>
        </w:rPr>
        <w:t>Tantsis</w:t>
      </w:r>
      <w:proofErr w:type="spellEnd"/>
      <w:r w:rsidRPr="005254A8">
        <w:rPr>
          <w:rFonts w:cs="Arial"/>
          <w:sz w:val="24"/>
          <w:szCs w:val="24"/>
        </w:rPr>
        <w:t xml:space="preserve"> E, Prelog K, Barnes EH, Gill D, Lim MJ, </w:t>
      </w:r>
      <w:proofErr w:type="spellStart"/>
      <w:r w:rsidRPr="005254A8">
        <w:rPr>
          <w:rFonts w:cs="Arial"/>
          <w:sz w:val="24"/>
          <w:szCs w:val="24"/>
        </w:rPr>
        <w:t>Brilot</w:t>
      </w:r>
      <w:proofErr w:type="spellEnd"/>
      <w:r w:rsidRPr="005254A8">
        <w:rPr>
          <w:rFonts w:cs="Arial"/>
          <w:sz w:val="24"/>
          <w:szCs w:val="24"/>
        </w:rPr>
        <w:t xml:space="preserve"> F, Vincent A, Dale RC. </w:t>
      </w:r>
      <w:proofErr w:type="spellStart"/>
      <w:r w:rsidRPr="005254A8">
        <w:rPr>
          <w:rFonts w:cs="Arial"/>
          <w:sz w:val="24"/>
          <w:szCs w:val="24"/>
        </w:rPr>
        <w:t>Postencephalitic</w:t>
      </w:r>
      <w:proofErr w:type="spellEnd"/>
      <w:r w:rsidRPr="005254A8">
        <w:rPr>
          <w:rFonts w:cs="Arial"/>
          <w:sz w:val="24"/>
          <w:szCs w:val="24"/>
        </w:rPr>
        <w:t xml:space="preserve"> epilepsy and drug-resistant epilepsy after infectious and antibody-associated encephalitis in childhood: clinical and etiologic risk factors. </w:t>
      </w:r>
      <w:proofErr w:type="spellStart"/>
      <w:r w:rsidRPr="005254A8">
        <w:rPr>
          <w:rFonts w:cs="Arial"/>
          <w:i/>
          <w:sz w:val="24"/>
          <w:szCs w:val="24"/>
        </w:rPr>
        <w:t>Epilepsia</w:t>
      </w:r>
      <w:proofErr w:type="spellEnd"/>
      <w:r w:rsidRPr="005254A8">
        <w:rPr>
          <w:rFonts w:cs="Arial"/>
          <w:sz w:val="24"/>
          <w:szCs w:val="24"/>
        </w:rPr>
        <w:t xml:space="preserve"> 2016; 57(1):e7-e11.</w:t>
      </w:r>
    </w:p>
    <w:p w14:paraId="58794364" w14:textId="77777777" w:rsidR="00320054" w:rsidRPr="005254A8" w:rsidRDefault="00320054" w:rsidP="00320054">
      <w:pPr>
        <w:pStyle w:val="CommentText"/>
        <w:numPr>
          <w:ilvl w:val="0"/>
          <w:numId w:val="9"/>
        </w:numPr>
        <w:rPr>
          <w:sz w:val="24"/>
          <w:szCs w:val="24"/>
        </w:rPr>
      </w:pPr>
      <w:proofErr w:type="spellStart"/>
      <w:r w:rsidRPr="005254A8">
        <w:rPr>
          <w:rFonts w:cs="Arial"/>
          <w:sz w:val="24"/>
          <w:szCs w:val="24"/>
        </w:rPr>
        <w:t>Rismanchi</w:t>
      </w:r>
      <w:proofErr w:type="spellEnd"/>
      <w:r w:rsidRPr="005254A8">
        <w:rPr>
          <w:rFonts w:cs="Arial"/>
          <w:sz w:val="24"/>
          <w:szCs w:val="24"/>
        </w:rPr>
        <w:t xml:space="preserve"> N, Gold JJ, </w:t>
      </w:r>
      <w:proofErr w:type="spellStart"/>
      <w:r w:rsidRPr="005254A8">
        <w:rPr>
          <w:rFonts w:cs="Arial"/>
          <w:sz w:val="24"/>
          <w:szCs w:val="24"/>
        </w:rPr>
        <w:t>Sattar</w:t>
      </w:r>
      <w:proofErr w:type="spellEnd"/>
      <w:r w:rsidRPr="005254A8">
        <w:rPr>
          <w:rFonts w:cs="Arial"/>
          <w:sz w:val="24"/>
          <w:szCs w:val="24"/>
        </w:rPr>
        <w:t xml:space="preserve"> S, Glaser CA, Sheriff H, Proudfoot J, Mower A, Crawford JR, </w:t>
      </w:r>
      <w:proofErr w:type="spellStart"/>
      <w:r w:rsidRPr="005254A8">
        <w:rPr>
          <w:rFonts w:cs="Arial"/>
          <w:sz w:val="24"/>
          <w:szCs w:val="24"/>
        </w:rPr>
        <w:t>Nespeca</w:t>
      </w:r>
      <w:proofErr w:type="spellEnd"/>
      <w:r w:rsidRPr="005254A8">
        <w:rPr>
          <w:rFonts w:cs="Arial"/>
          <w:sz w:val="24"/>
          <w:szCs w:val="24"/>
        </w:rPr>
        <w:t xml:space="preserve"> M, Wang SG. Epilepsy after resolution of presumed childhood encephalitis. </w:t>
      </w:r>
      <w:proofErr w:type="spellStart"/>
      <w:r w:rsidRPr="005254A8">
        <w:rPr>
          <w:rFonts w:cs="Arial"/>
          <w:i/>
          <w:sz w:val="24"/>
          <w:szCs w:val="24"/>
        </w:rPr>
        <w:t>Pediatr</w:t>
      </w:r>
      <w:proofErr w:type="spellEnd"/>
      <w:r w:rsidRPr="005254A8">
        <w:rPr>
          <w:rFonts w:cs="Arial"/>
          <w:i/>
          <w:sz w:val="24"/>
          <w:szCs w:val="24"/>
        </w:rPr>
        <w:t xml:space="preserve"> </w:t>
      </w:r>
      <w:proofErr w:type="spellStart"/>
      <w:r w:rsidRPr="005254A8">
        <w:rPr>
          <w:rFonts w:cs="Arial"/>
          <w:i/>
          <w:sz w:val="24"/>
          <w:szCs w:val="24"/>
        </w:rPr>
        <w:t>Neurol</w:t>
      </w:r>
      <w:proofErr w:type="spellEnd"/>
      <w:r w:rsidRPr="005254A8">
        <w:rPr>
          <w:rFonts w:cs="Arial"/>
          <w:sz w:val="24"/>
          <w:szCs w:val="24"/>
        </w:rPr>
        <w:t xml:space="preserve"> 2015; 53(1):65-72.</w:t>
      </w:r>
    </w:p>
    <w:p w14:paraId="3F1B2D05" w14:textId="77777777" w:rsidR="00320054" w:rsidRPr="005254A8" w:rsidRDefault="00320054" w:rsidP="00320054">
      <w:pPr>
        <w:pStyle w:val="CommentText"/>
        <w:numPr>
          <w:ilvl w:val="0"/>
          <w:numId w:val="9"/>
        </w:numPr>
        <w:rPr>
          <w:sz w:val="24"/>
          <w:szCs w:val="24"/>
        </w:rPr>
      </w:pPr>
      <w:r w:rsidRPr="005254A8">
        <w:rPr>
          <w:rFonts w:cs="Helvetica"/>
          <w:color w:val="444444"/>
          <w:sz w:val="24"/>
          <w:szCs w:val="24"/>
          <w:lang w:val="en"/>
        </w:rPr>
        <w:t xml:space="preserve">Depression after Traumatic Brain Injury was developed by J </w:t>
      </w:r>
      <w:proofErr w:type="spellStart"/>
      <w:r w:rsidRPr="005254A8">
        <w:rPr>
          <w:rFonts w:cs="Helvetica"/>
          <w:color w:val="444444"/>
          <w:sz w:val="24"/>
          <w:szCs w:val="24"/>
          <w:lang w:val="en"/>
        </w:rPr>
        <w:t>Fann</w:t>
      </w:r>
      <w:proofErr w:type="spellEnd"/>
      <w:r w:rsidRPr="005254A8">
        <w:rPr>
          <w:rFonts w:cs="Helvetica"/>
          <w:color w:val="444444"/>
          <w:sz w:val="24"/>
          <w:szCs w:val="24"/>
          <w:lang w:val="en"/>
        </w:rPr>
        <w:t xml:space="preserve"> and T Hart in collaboration with the Model Systems Knowledge Translation Center. - See more at: </w:t>
      </w:r>
      <w:hyperlink r:id="rId11" w:anchor="sthash.HlR0e0MJ.dpuf" w:history="1">
        <w:r w:rsidRPr="005254A8">
          <w:rPr>
            <w:rStyle w:val="Hyperlink"/>
            <w:rFonts w:cs="Helvetica"/>
            <w:sz w:val="24"/>
            <w:szCs w:val="24"/>
            <w:lang w:val="en"/>
          </w:rPr>
          <w:t>http://www.msktc.org/tbi/factsheets/Depression-After-Traumatic-Brain-Injury#sthash.HlR0e0MJ.dpuf</w:t>
        </w:r>
      </w:hyperlink>
    </w:p>
    <w:p w14:paraId="109ADC8E" w14:textId="77777777" w:rsidR="00320054" w:rsidRPr="005254A8" w:rsidRDefault="00320054" w:rsidP="00320054">
      <w:pPr>
        <w:pStyle w:val="CommentText"/>
        <w:numPr>
          <w:ilvl w:val="0"/>
          <w:numId w:val="9"/>
        </w:numPr>
        <w:rPr>
          <w:sz w:val="24"/>
          <w:szCs w:val="24"/>
        </w:rPr>
      </w:pPr>
      <w:proofErr w:type="spellStart"/>
      <w:r w:rsidRPr="005254A8">
        <w:rPr>
          <w:rFonts w:cs="Arial"/>
          <w:sz w:val="24"/>
          <w:szCs w:val="24"/>
        </w:rPr>
        <w:t>Blomström</w:t>
      </w:r>
      <w:proofErr w:type="spellEnd"/>
      <w:r w:rsidRPr="005254A8">
        <w:rPr>
          <w:rFonts w:cs="Arial"/>
          <w:sz w:val="24"/>
          <w:szCs w:val="24"/>
        </w:rPr>
        <w:t xml:space="preserve"> Å, </w:t>
      </w:r>
      <w:proofErr w:type="spellStart"/>
      <w:r w:rsidRPr="005254A8">
        <w:rPr>
          <w:rFonts w:cs="Arial"/>
          <w:sz w:val="24"/>
          <w:szCs w:val="24"/>
        </w:rPr>
        <w:t>Karlsson</w:t>
      </w:r>
      <w:proofErr w:type="spellEnd"/>
      <w:r w:rsidRPr="005254A8">
        <w:rPr>
          <w:rFonts w:cs="Arial"/>
          <w:sz w:val="24"/>
          <w:szCs w:val="24"/>
        </w:rPr>
        <w:t xml:space="preserve"> H, </w:t>
      </w:r>
      <w:proofErr w:type="spellStart"/>
      <w:r w:rsidRPr="005254A8">
        <w:rPr>
          <w:rFonts w:cs="Arial"/>
          <w:sz w:val="24"/>
          <w:szCs w:val="24"/>
        </w:rPr>
        <w:t>Svensson</w:t>
      </w:r>
      <w:proofErr w:type="spellEnd"/>
      <w:r w:rsidRPr="005254A8">
        <w:rPr>
          <w:rFonts w:cs="Arial"/>
          <w:sz w:val="24"/>
          <w:szCs w:val="24"/>
        </w:rPr>
        <w:t xml:space="preserve"> A, </w:t>
      </w:r>
      <w:proofErr w:type="spellStart"/>
      <w:r w:rsidRPr="005254A8">
        <w:rPr>
          <w:rFonts w:cs="Arial"/>
          <w:sz w:val="24"/>
          <w:szCs w:val="24"/>
        </w:rPr>
        <w:t>Frisell</w:t>
      </w:r>
      <w:proofErr w:type="spellEnd"/>
      <w:r w:rsidRPr="005254A8">
        <w:rPr>
          <w:rFonts w:cs="Arial"/>
          <w:sz w:val="24"/>
          <w:szCs w:val="24"/>
        </w:rPr>
        <w:t xml:space="preserve"> T, Lee BK, Dal H, Magnusson C, Dalman C. Hospital admission with infection during childhood and risk for psychotic illness – a population-based cohort study. </w:t>
      </w:r>
      <w:proofErr w:type="spellStart"/>
      <w:r w:rsidRPr="005254A8">
        <w:rPr>
          <w:rFonts w:cs="Arial"/>
          <w:i/>
          <w:sz w:val="24"/>
          <w:szCs w:val="24"/>
        </w:rPr>
        <w:t>Schizophr</w:t>
      </w:r>
      <w:proofErr w:type="spellEnd"/>
      <w:r w:rsidRPr="005254A8">
        <w:rPr>
          <w:rFonts w:cs="Arial"/>
          <w:i/>
          <w:sz w:val="24"/>
          <w:szCs w:val="24"/>
        </w:rPr>
        <w:t xml:space="preserve"> Bull</w:t>
      </w:r>
      <w:r w:rsidRPr="005254A8">
        <w:rPr>
          <w:rFonts w:cs="Arial"/>
          <w:sz w:val="24"/>
          <w:szCs w:val="24"/>
        </w:rPr>
        <w:t xml:space="preserve"> 2014; 40(6):1518-1525.</w:t>
      </w:r>
    </w:p>
    <w:p w14:paraId="200BEEDB" w14:textId="77777777" w:rsidR="00320054" w:rsidRPr="005254A8" w:rsidRDefault="00320054" w:rsidP="00320054">
      <w:pPr>
        <w:pStyle w:val="CommentText"/>
        <w:numPr>
          <w:ilvl w:val="0"/>
          <w:numId w:val="9"/>
        </w:numPr>
        <w:rPr>
          <w:sz w:val="24"/>
          <w:szCs w:val="24"/>
        </w:rPr>
      </w:pPr>
      <w:r w:rsidRPr="005254A8">
        <w:rPr>
          <w:rFonts w:cs="Arial"/>
          <w:bCs/>
          <w:sz w:val="24"/>
          <w:szCs w:val="24"/>
        </w:rPr>
        <w:t>Avramopoulos D</w:t>
      </w:r>
      <w:r w:rsidRPr="005254A8">
        <w:rPr>
          <w:rFonts w:cs="Arial"/>
          <w:sz w:val="24"/>
          <w:szCs w:val="24"/>
        </w:rPr>
        <w:t xml:space="preserve">, Pearce BD, McGrath J, </w:t>
      </w:r>
      <w:proofErr w:type="spellStart"/>
      <w:r w:rsidRPr="005254A8">
        <w:rPr>
          <w:rFonts w:cs="Arial"/>
          <w:sz w:val="24"/>
          <w:szCs w:val="24"/>
        </w:rPr>
        <w:t>Wolyniec</w:t>
      </w:r>
      <w:proofErr w:type="spellEnd"/>
      <w:r w:rsidRPr="005254A8">
        <w:rPr>
          <w:rFonts w:cs="Arial"/>
          <w:sz w:val="24"/>
          <w:szCs w:val="24"/>
        </w:rPr>
        <w:t xml:space="preserve"> P, Wang R, </w:t>
      </w:r>
      <w:proofErr w:type="spellStart"/>
      <w:r w:rsidRPr="005254A8">
        <w:rPr>
          <w:rFonts w:cs="Arial"/>
          <w:sz w:val="24"/>
          <w:szCs w:val="24"/>
        </w:rPr>
        <w:t>Eckart</w:t>
      </w:r>
      <w:proofErr w:type="spellEnd"/>
      <w:r w:rsidRPr="005254A8">
        <w:rPr>
          <w:rFonts w:cs="Arial"/>
          <w:sz w:val="24"/>
          <w:szCs w:val="24"/>
        </w:rPr>
        <w:t xml:space="preserve"> N, </w:t>
      </w:r>
      <w:proofErr w:type="spellStart"/>
      <w:r w:rsidRPr="005254A8">
        <w:rPr>
          <w:rFonts w:cs="Arial"/>
          <w:sz w:val="24"/>
          <w:szCs w:val="24"/>
        </w:rPr>
        <w:t>Hatzimanolis</w:t>
      </w:r>
      <w:proofErr w:type="spellEnd"/>
      <w:r w:rsidRPr="005254A8">
        <w:rPr>
          <w:rFonts w:cs="Arial"/>
          <w:sz w:val="24"/>
          <w:szCs w:val="24"/>
        </w:rPr>
        <w:t xml:space="preserve"> A, Goes FS, </w:t>
      </w:r>
      <w:proofErr w:type="spellStart"/>
      <w:r w:rsidRPr="005254A8">
        <w:rPr>
          <w:rFonts w:cs="Arial"/>
          <w:sz w:val="24"/>
          <w:szCs w:val="24"/>
        </w:rPr>
        <w:t>Nestadt</w:t>
      </w:r>
      <w:proofErr w:type="spellEnd"/>
      <w:r w:rsidRPr="005254A8">
        <w:rPr>
          <w:rFonts w:cs="Arial"/>
          <w:sz w:val="24"/>
          <w:szCs w:val="24"/>
        </w:rPr>
        <w:t xml:space="preserve"> G, </w:t>
      </w:r>
      <w:proofErr w:type="spellStart"/>
      <w:r w:rsidRPr="005254A8">
        <w:rPr>
          <w:rFonts w:cs="Arial"/>
          <w:sz w:val="24"/>
          <w:szCs w:val="24"/>
        </w:rPr>
        <w:t>Mulle</w:t>
      </w:r>
      <w:proofErr w:type="spellEnd"/>
      <w:r w:rsidRPr="005254A8">
        <w:rPr>
          <w:rFonts w:cs="Arial"/>
          <w:sz w:val="24"/>
          <w:szCs w:val="24"/>
        </w:rPr>
        <w:t xml:space="preserve"> J, </w:t>
      </w:r>
      <w:proofErr w:type="spellStart"/>
      <w:r w:rsidRPr="005254A8">
        <w:rPr>
          <w:rFonts w:cs="Arial"/>
          <w:sz w:val="24"/>
          <w:szCs w:val="24"/>
        </w:rPr>
        <w:t>Coneely</w:t>
      </w:r>
      <w:proofErr w:type="spellEnd"/>
      <w:r w:rsidRPr="005254A8">
        <w:rPr>
          <w:rFonts w:cs="Arial"/>
          <w:sz w:val="24"/>
          <w:szCs w:val="24"/>
        </w:rPr>
        <w:t xml:space="preserve"> K, Hopkins M, </w:t>
      </w:r>
      <w:proofErr w:type="spellStart"/>
      <w:r w:rsidRPr="005254A8">
        <w:rPr>
          <w:rFonts w:cs="Arial"/>
          <w:sz w:val="24"/>
          <w:szCs w:val="24"/>
        </w:rPr>
        <w:t>Ruczinski</w:t>
      </w:r>
      <w:proofErr w:type="spellEnd"/>
      <w:r w:rsidRPr="005254A8">
        <w:rPr>
          <w:rFonts w:cs="Arial"/>
          <w:sz w:val="24"/>
          <w:szCs w:val="24"/>
        </w:rPr>
        <w:t xml:space="preserve"> I, </w:t>
      </w:r>
      <w:proofErr w:type="spellStart"/>
      <w:r w:rsidRPr="005254A8">
        <w:rPr>
          <w:rFonts w:cs="Arial"/>
          <w:sz w:val="24"/>
          <w:szCs w:val="24"/>
        </w:rPr>
        <w:t>Yolken</w:t>
      </w:r>
      <w:proofErr w:type="spellEnd"/>
      <w:r w:rsidRPr="005254A8">
        <w:rPr>
          <w:rFonts w:cs="Arial"/>
          <w:sz w:val="24"/>
          <w:szCs w:val="24"/>
        </w:rPr>
        <w:t xml:space="preserve"> R, </w:t>
      </w:r>
      <w:proofErr w:type="spellStart"/>
      <w:r w:rsidRPr="005254A8">
        <w:rPr>
          <w:rFonts w:cs="Arial"/>
          <w:sz w:val="24"/>
          <w:szCs w:val="24"/>
        </w:rPr>
        <w:t>Pulver</w:t>
      </w:r>
      <w:proofErr w:type="spellEnd"/>
      <w:r w:rsidRPr="005254A8">
        <w:rPr>
          <w:rFonts w:cs="Arial"/>
          <w:sz w:val="24"/>
          <w:szCs w:val="24"/>
        </w:rPr>
        <w:t xml:space="preserve"> AE. Infection and inflammation in schizophrenia and bipolar disorder: a genome wide study for interactions with genetic variation. </w:t>
      </w:r>
      <w:proofErr w:type="spellStart"/>
      <w:r w:rsidRPr="005254A8">
        <w:rPr>
          <w:rFonts w:cs="Arial"/>
          <w:i/>
          <w:sz w:val="24"/>
          <w:szCs w:val="24"/>
        </w:rPr>
        <w:t>PLoS</w:t>
      </w:r>
      <w:proofErr w:type="spellEnd"/>
      <w:r w:rsidRPr="005254A8">
        <w:rPr>
          <w:rFonts w:cs="Arial"/>
          <w:i/>
          <w:sz w:val="24"/>
          <w:szCs w:val="24"/>
        </w:rPr>
        <w:t xml:space="preserve"> One</w:t>
      </w:r>
      <w:r w:rsidRPr="005254A8">
        <w:rPr>
          <w:rFonts w:cs="Arial"/>
          <w:sz w:val="24"/>
          <w:szCs w:val="24"/>
        </w:rPr>
        <w:t xml:space="preserve"> 2015; 10(3): e0116696.</w:t>
      </w:r>
    </w:p>
    <w:p w14:paraId="04D7150A" w14:textId="77777777" w:rsidR="00320054" w:rsidRPr="005254A8" w:rsidRDefault="00320054" w:rsidP="00320054">
      <w:pPr>
        <w:pStyle w:val="CommentText"/>
        <w:numPr>
          <w:ilvl w:val="0"/>
          <w:numId w:val="9"/>
        </w:numPr>
        <w:rPr>
          <w:sz w:val="24"/>
          <w:szCs w:val="24"/>
        </w:rPr>
      </w:pPr>
      <w:proofErr w:type="spellStart"/>
      <w:r w:rsidRPr="005254A8">
        <w:rPr>
          <w:sz w:val="24"/>
          <w:szCs w:val="24"/>
        </w:rPr>
        <w:t>Hokkanen</w:t>
      </w:r>
      <w:proofErr w:type="spellEnd"/>
      <w:r w:rsidRPr="005254A8">
        <w:rPr>
          <w:sz w:val="24"/>
          <w:szCs w:val="24"/>
        </w:rPr>
        <w:t xml:space="preserve"> L, </w:t>
      </w:r>
      <w:proofErr w:type="spellStart"/>
      <w:r w:rsidRPr="005254A8">
        <w:rPr>
          <w:sz w:val="24"/>
          <w:szCs w:val="24"/>
        </w:rPr>
        <w:t>Launes</w:t>
      </w:r>
      <w:proofErr w:type="spellEnd"/>
      <w:r w:rsidRPr="005254A8">
        <w:rPr>
          <w:sz w:val="24"/>
          <w:szCs w:val="24"/>
        </w:rPr>
        <w:t xml:space="preserve"> J. Cognitive recovery instead of decline after acute encephalitis: a prospective follow up study. </w:t>
      </w:r>
      <w:r w:rsidRPr="005254A8">
        <w:rPr>
          <w:i/>
          <w:sz w:val="24"/>
          <w:szCs w:val="24"/>
        </w:rPr>
        <w:t xml:space="preserve">J </w:t>
      </w:r>
      <w:proofErr w:type="spellStart"/>
      <w:r w:rsidRPr="005254A8">
        <w:rPr>
          <w:i/>
          <w:sz w:val="24"/>
          <w:szCs w:val="24"/>
        </w:rPr>
        <w:t>Neurol</w:t>
      </w:r>
      <w:proofErr w:type="spellEnd"/>
      <w:r w:rsidRPr="005254A8">
        <w:rPr>
          <w:i/>
          <w:sz w:val="24"/>
          <w:szCs w:val="24"/>
        </w:rPr>
        <w:t xml:space="preserve">, </w:t>
      </w:r>
      <w:proofErr w:type="spellStart"/>
      <w:r w:rsidRPr="005254A8">
        <w:rPr>
          <w:i/>
          <w:sz w:val="24"/>
          <w:szCs w:val="24"/>
        </w:rPr>
        <w:t>Neurosurg</w:t>
      </w:r>
      <w:proofErr w:type="spellEnd"/>
      <w:r w:rsidRPr="005254A8">
        <w:rPr>
          <w:i/>
          <w:sz w:val="24"/>
          <w:szCs w:val="24"/>
        </w:rPr>
        <w:t>, and Psychiatry</w:t>
      </w:r>
      <w:r w:rsidRPr="005254A8">
        <w:rPr>
          <w:sz w:val="24"/>
          <w:szCs w:val="24"/>
        </w:rPr>
        <w:t xml:space="preserve"> 1997; 63:222-227.</w:t>
      </w:r>
    </w:p>
    <w:p w14:paraId="4A4ECD11" w14:textId="77777777" w:rsidR="00320054" w:rsidRPr="005254A8" w:rsidRDefault="00320054" w:rsidP="00320054">
      <w:pPr>
        <w:pStyle w:val="CommentText"/>
        <w:numPr>
          <w:ilvl w:val="0"/>
          <w:numId w:val="9"/>
        </w:numPr>
        <w:rPr>
          <w:sz w:val="24"/>
          <w:szCs w:val="24"/>
        </w:rPr>
      </w:pPr>
      <w:proofErr w:type="spellStart"/>
      <w:r w:rsidRPr="005254A8">
        <w:rPr>
          <w:rFonts w:cs="Arial"/>
          <w:sz w:val="24"/>
          <w:szCs w:val="24"/>
        </w:rPr>
        <w:t>Gatson</w:t>
      </w:r>
      <w:proofErr w:type="spellEnd"/>
      <w:r w:rsidRPr="005254A8">
        <w:rPr>
          <w:rFonts w:cs="Arial"/>
          <w:sz w:val="24"/>
          <w:szCs w:val="24"/>
        </w:rPr>
        <w:t xml:space="preserve"> JW, Stebbins C, Mathews D, Harris TS, Madden C, </w:t>
      </w:r>
      <w:proofErr w:type="spellStart"/>
      <w:r w:rsidRPr="005254A8">
        <w:rPr>
          <w:rFonts w:cs="Arial"/>
          <w:sz w:val="24"/>
          <w:szCs w:val="24"/>
        </w:rPr>
        <w:t>Batjer</w:t>
      </w:r>
      <w:proofErr w:type="spellEnd"/>
      <w:r w:rsidRPr="005254A8">
        <w:rPr>
          <w:rFonts w:cs="Arial"/>
          <w:sz w:val="24"/>
          <w:szCs w:val="24"/>
        </w:rPr>
        <w:t xml:space="preserve"> H, Diaz-</w:t>
      </w:r>
      <w:proofErr w:type="spellStart"/>
      <w:r w:rsidRPr="005254A8">
        <w:rPr>
          <w:rFonts w:cs="Arial"/>
          <w:sz w:val="24"/>
          <w:szCs w:val="24"/>
        </w:rPr>
        <w:t>Arrastia</w:t>
      </w:r>
      <w:proofErr w:type="spellEnd"/>
      <w:r w:rsidRPr="005254A8">
        <w:rPr>
          <w:rFonts w:cs="Arial"/>
          <w:sz w:val="24"/>
          <w:szCs w:val="24"/>
        </w:rPr>
        <w:t xml:space="preserve"> R, </w:t>
      </w:r>
      <w:proofErr w:type="spellStart"/>
      <w:r w:rsidRPr="005254A8">
        <w:rPr>
          <w:rFonts w:cs="Arial"/>
          <w:sz w:val="24"/>
          <w:szCs w:val="24"/>
        </w:rPr>
        <w:t>Minei</w:t>
      </w:r>
      <w:proofErr w:type="spellEnd"/>
      <w:r w:rsidRPr="005254A8">
        <w:rPr>
          <w:rFonts w:cs="Arial"/>
          <w:sz w:val="24"/>
          <w:szCs w:val="24"/>
        </w:rPr>
        <w:t xml:space="preserve"> JP. Evidence of increased brain amyloid in severe TBI survivors at 1, 12, and 24 months after injury: report of 2 cases. </w:t>
      </w:r>
      <w:r w:rsidRPr="005254A8">
        <w:rPr>
          <w:rFonts w:cs="Arial"/>
          <w:i/>
          <w:sz w:val="24"/>
          <w:szCs w:val="24"/>
        </w:rPr>
        <w:t xml:space="preserve">J </w:t>
      </w:r>
      <w:proofErr w:type="spellStart"/>
      <w:r w:rsidRPr="005254A8">
        <w:rPr>
          <w:rFonts w:cs="Arial"/>
          <w:i/>
          <w:sz w:val="24"/>
          <w:szCs w:val="24"/>
        </w:rPr>
        <w:t>Neurosurg</w:t>
      </w:r>
      <w:proofErr w:type="spellEnd"/>
      <w:r w:rsidRPr="005254A8">
        <w:rPr>
          <w:rFonts w:cs="Arial"/>
          <w:sz w:val="24"/>
          <w:szCs w:val="24"/>
        </w:rPr>
        <w:t xml:space="preserve"> 2015:1-8.</w:t>
      </w:r>
    </w:p>
    <w:p w14:paraId="4C1DD400" w14:textId="77777777" w:rsidR="00320054" w:rsidRPr="005254A8" w:rsidRDefault="00320054" w:rsidP="00320054">
      <w:pPr>
        <w:pStyle w:val="CommentText"/>
        <w:numPr>
          <w:ilvl w:val="0"/>
          <w:numId w:val="9"/>
        </w:numPr>
        <w:rPr>
          <w:sz w:val="24"/>
          <w:szCs w:val="24"/>
        </w:rPr>
      </w:pPr>
      <w:r w:rsidRPr="005254A8">
        <w:rPr>
          <w:sz w:val="24"/>
          <w:szCs w:val="24"/>
        </w:rPr>
        <w:t xml:space="preserve">Lucas S. Posttraumatic headache: clinical characterization and management. </w:t>
      </w:r>
      <w:proofErr w:type="spellStart"/>
      <w:r w:rsidRPr="005254A8">
        <w:rPr>
          <w:i/>
          <w:sz w:val="24"/>
          <w:szCs w:val="24"/>
        </w:rPr>
        <w:t>Curr</w:t>
      </w:r>
      <w:proofErr w:type="spellEnd"/>
      <w:r w:rsidRPr="005254A8">
        <w:rPr>
          <w:i/>
          <w:sz w:val="24"/>
          <w:szCs w:val="24"/>
        </w:rPr>
        <w:t xml:space="preserve"> Pain Headache Rep </w:t>
      </w:r>
      <w:r w:rsidRPr="005254A8">
        <w:rPr>
          <w:sz w:val="24"/>
          <w:szCs w:val="24"/>
        </w:rPr>
        <w:t>2015; 19(10):48.</w:t>
      </w:r>
    </w:p>
    <w:p w14:paraId="2F5AE123" w14:textId="77777777" w:rsidR="00320054" w:rsidRPr="005254A8" w:rsidRDefault="00320054" w:rsidP="00320054">
      <w:pPr>
        <w:pStyle w:val="CommentText"/>
        <w:numPr>
          <w:ilvl w:val="0"/>
          <w:numId w:val="9"/>
        </w:numPr>
        <w:rPr>
          <w:sz w:val="24"/>
          <w:szCs w:val="24"/>
        </w:rPr>
      </w:pPr>
      <w:r w:rsidRPr="005254A8">
        <w:rPr>
          <w:rFonts w:cs="Arial"/>
          <w:bCs/>
          <w:sz w:val="24"/>
          <w:szCs w:val="24"/>
        </w:rPr>
        <w:t>Russo A</w:t>
      </w:r>
      <w:r w:rsidRPr="005254A8">
        <w:rPr>
          <w:rFonts w:cs="Arial"/>
          <w:sz w:val="24"/>
          <w:szCs w:val="24"/>
        </w:rPr>
        <w:t xml:space="preserve">, </w:t>
      </w:r>
      <w:proofErr w:type="spellStart"/>
      <w:r w:rsidRPr="005254A8">
        <w:rPr>
          <w:rFonts w:cs="Arial"/>
          <w:sz w:val="24"/>
          <w:szCs w:val="24"/>
        </w:rPr>
        <w:t>D'Onofrio</w:t>
      </w:r>
      <w:proofErr w:type="spellEnd"/>
      <w:r w:rsidRPr="005254A8">
        <w:rPr>
          <w:rFonts w:cs="Arial"/>
          <w:sz w:val="24"/>
          <w:szCs w:val="24"/>
        </w:rPr>
        <w:t xml:space="preserve"> F, Conte F, </w:t>
      </w:r>
      <w:proofErr w:type="spellStart"/>
      <w:r w:rsidRPr="005254A8">
        <w:rPr>
          <w:rFonts w:cs="Arial"/>
          <w:sz w:val="24"/>
          <w:szCs w:val="24"/>
        </w:rPr>
        <w:t>Petretta</w:t>
      </w:r>
      <w:proofErr w:type="spellEnd"/>
      <w:r w:rsidRPr="005254A8">
        <w:rPr>
          <w:rFonts w:cs="Arial"/>
          <w:sz w:val="24"/>
          <w:szCs w:val="24"/>
        </w:rPr>
        <w:t xml:space="preserve"> V, </w:t>
      </w:r>
      <w:proofErr w:type="spellStart"/>
      <w:r w:rsidRPr="005254A8">
        <w:rPr>
          <w:rFonts w:cs="Arial"/>
          <w:sz w:val="24"/>
          <w:szCs w:val="24"/>
        </w:rPr>
        <w:t>Tedeschi</w:t>
      </w:r>
      <w:proofErr w:type="spellEnd"/>
      <w:r w:rsidRPr="005254A8">
        <w:rPr>
          <w:rFonts w:cs="Arial"/>
          <w:sz w:val="24"/>
          <w:szCs w:val="24"/>
        </w:rPr>
        <w:t xml:space="preserve"> G, </w:t>
      </w:r>
      <w:proofErr w:type="spellStart"/>
      <w:r w:rsidRPr="005254A8">
        <w:rPr>
          <w:rFonts w:cs="Arial"/>
          <w:sz w:val="24"/>
          <w:szCs w:val="24"/>
        </w:rPr>
        <w:t>Tessitore</w:t>
      </w:r>
      <w:proofErr w:type="spellEnd"/>
      <w:r w:rsidRPr="005254A8">
        <w:rPr>
          <w:rFonts w:cs="Arial"/>
          <w:sz w:val="24"/>
          <w:szCs w:val="24"/>
        </w:rPr>
        <w:t xml:space="preserve"> A. Post-traumatic headaches: a clinical overview. </w:t>
      </w:r>
      <w:proofErr w:type="spellStart"/>
      <w:r w:rsidRPr="005254A8">
        <w:rPr>
          <w:rFonts w:cs="Arial"/>
          <w:i/>
          <w:sz w:val="24"/>
          <w:szCs w:val="24"/>
        </w:rPr>
        <w:t>Neurol</w:t>
      </w:r>
      <w:proofErr w:type="spellEnd"/>
      <w:r w:rsidRPr="005254A8">
        <w:rPr>
          <w:rFonts w:cs="Arial"/>
          <w:i/>
          <w:sz w:val="24"/>
          <w:szCs w:val="24"/>
        </w:rPr>
        <w:t xml:space="preserve"> </w:t>
      </w:r>
      <w:proofErr w:type="spellStart"/>
      <w:r w:rsidRPr="005254A8">
        <w:rPr>
          <w:rFonts w:cs="Arial"/>
          <w:i/>
          <w:sz w:val="24"/>
          <w:szCs w:val="24"/>
        </w:rPr>
        <w:t>Sci</w:t>
      </w:r>
      <w:proofErr w:type="spellEnd"/>
      <w:r w:rsidRPr="005254A8">
        <w:rPr>
          <w:rFonts w:cs="Arial"/>
          <w:sz w:val="24"/>
          <w:szCs w:val="24"/>
        </w:rPr>
        <w:t xml:space="preserve"> 2014; 35(1): 153-156.</w:t>
      </w:r>
    </w:p>
    <w:p w14:paraId="4C7BCD16" w14:textId="77777777" w:rsidR="00320054" w:rsidRPr="00905972" w:rsidRDefault="00320054" w:rsidP="00320054">
      <w:pPr>
        <w:pStyle w:val="ListParagraph"/>
        <w:numPr>
          <w:ilvl w:val="0"/>
          <w:numId w:val="9"/>
        </w:numPr>
        <w:tabs>
          <w:tab w:val="right" w:pos="360"/>
          <w:tab w:val="left" w:pos="540"/>
        </w:tabs>
        <w:spacing w:after="240"/>
        <w:contextualSpacing/>
        <w:rPr>
          <w:rFonts w:asciiTheme="minorHAnsi" w:hAnsiTheme="minorHAnsi"/>
          <w:bCs/>
          <w:sz w:val="24"/>
        </w:rPr>
      </w:pPr>
      <w:proofErr w:type="spellStart"/>
      <w:r w:rsidRPr="005254A8">
        <w:rPr>
          <w:rStyle w:val="personname"/>
          <w:rFonts w:asciiTheme="minorHAnsi" w:hAnsiTheme="minorHAnsi" w:cs="Arial"/>
          <w:color w:val="000000"/>
          <w:sz w:val="24"/>
        </w:rPr>
        <w:lastRenderedPageBreak/>
        <w:t>Neligan</w:t>
      </w:r>
      <w:proofErr w:type="spellEnd"/>
      <w:r w:rsidRPr="005254A8">
        <w:rPr>
          <w:rStyle w:val="personname"/>
          <w:rFonts w:asciiTheme="minorHAnsi" w:hAnsiTheme="minorHAnsi" w:cs="Arial"/>
          <w:color w:val="000000"/>
          <w:sz w:val="24"/>
        </w:rPr>
        <w:t xml:space="preserve"> A,</w:t>
      </w:r>
      <w:r w:rsidRPr="005254A8">
        <w:rPr>
          <w:rFonts w:asciiTheme="minorHAnsi" w:hAnsiTheme="minorHAnsi" w:cs="Arial"/>
          <w:color w:val="000000"/>
          <w:sz w:val="24"/>
        </w:rPr>
        <w:t xml:space="preserve"> </w:t>
      </w:r>
      <w:r w:rsidRPr="005254A8">
        <w:rPr>
          <w:rStyle w:val="personname"/>
          <w:rFonts w:asciiTheme="minorHAnsi" w:hAnsiTheme="minorHAnsi" w:cs="Arial"/>
          <w:color w:val="000000"/>
          <w:sz w:val="24"/>
        </w:rPr>
        <w:t>Sander JW (</w:t>
      </w:r>
      <w:r w:rsidRPr="005254A8">
        <w:rPr>
          <w:rFonts w:asciiTheme="minorHAnsi" w:hAnsiTheme="minorHAnsi" w:cs="Arial"/>
          <w:color w:val="000000"/>
          <w:sz w:val="24"/>
        </w:rPr>
        <w:t xml:space="preserve">2009) The incidence and prevalence of epilepsy. In: </w:t>
      </w:r>
      <w:r w:rsidRPr="005254A8">
        <w:rPr>
          <w:rStyle w:val="personname"/>
          <w:rFonts w:asciiTheme="minorHAnsi" w:hAnsiTheme="minorHAnsi" w:cs="Arial"/>
          <w:color w:val="000000"/>
          <w:sz w:val="24"/>
        </w:rPr>
        <w:t>Sander, JW</w:t>
      </w:r>
      <w:r w:rsidRPr="005254A8">
        <w:rPr>
          <w:rFonts w:asciiTheme="minorHAnsi" w:hAnsiTheme="minorHAnsi" w:cs="Arial"/>
          <w:color w:val="000000"/>
          <w:sz w:val="24"/>
        </w:rPr>
        <w:t xml:space="preserve"> and </w:t>
      </w:r>
      <w:proofErr w:type="spellStart"/>
      <w:r w:rsidRPr="005254A8">
        <w:rPr>
          <w:rStyle w:val="personname"/>
          <w:rFonts w:asciiTheme="minorHAnsi" w:hAnsiTheme="minorHAnsi" w:cs="Arial"/>
          <w:color w:val="000000"/>
          <w:sz w:val="24"/>
        </w:rPr>
        <w:t>Rugg</w:t>
      </w:r>
      <w:proofErr w:type="spellEnd"/>
      <w:r w:rsidRPr="005254A8">
        <w:rPr>
          <w:rStyle w:val="personname"/>
          <w:rFonts w:asciiTheme="minorHAnsi" w:hAnsiTheme="minorHAnsi" w:cs="Arial"/>
          <w:color w:val="000000"/>
          <w:sz w:val="24"/>
        </w:rPr>
        <w:t>-Gunn, FJ</w:t>
      </w:r>
      <w:r w:rsidRPr="005254A8">
        <w:rPr>
          <w:rFonts w:asciiTheme="minorHAnsi" w:hAnsiTheme="minorHAnsi" w:cs="Arial"/>
          <w:color w:val="000000"/>
          <w:sz w:val="24"/>
        </w:rPr>
        <w:t xml:space="preserve"> and </w:t>
      </w:r>
      <w:r w:rsidRPr="005254A8">
        <w:rPr>
          <w:rStyle w:val="personname"/>
          <w:rFonts w:asciiTheme="minorHAnsi" w:hAnsiTheme="minorHAnsi" w:cs="Arial"/>
          <w:color w:val="000000"/>
          <w:sz w:val="24"/>
        </w:rPr>
        <w:t>Smalls, JE</w:t>
      </w:r>
      <w:r w:rsidRPr="005254A8">
        <w:rPr>
          <w:rFonts w:asciiTheme="minorHAnsi" w:hAnsiTheme="minorHAnsi" w:cs="Arial"/>
          <w:color w:val="000000"/>
          <w:sz w:val="24"/>
        </w:rPr>
        <w:t xml:space="preserve">, (eds.) </w:t>
      </w:r>
      <w:r w:rsidRPr="005254A8">
        <w:rPr>
          <w:rStyle w:val="Strong"/>
          <w:rFonts w:asciiTheme="minorHAnsi" w:hAnsiTheme="minorHAnsi" w:cs="Arial"/>
          <w:b w:val="0"/>
          <w:color w:val="000000"/>
          <w:sz w:val="24"/>
        </w:rPr>
        <w:t xml:space="preserve">Epilepsy 2009: from </w:t>
      </w:r>
      <w:proofErr w:type="spellStart"/>
      <w:r w:rsidRPr="005254A8">
        <w:rPr>
          <w:rStyle w:val="Strong"/>
          <w:rFonts w:asciiTheme="minorHAnsi" w:hAnsiTheme="minorHAnsi" w:cs="Arial"/>
          <w:b w:val="0"/>
          <w:color w:val="000000"/>
          <w:sz w:val="24"/>
        </w:rPr>
        <w:t>benchside</w:t>
      </w:r>
      <w:proofErr w:type="spellEnd"/>
      <w:r w:rsidRPr="005254A8">
        <w:rPr>
          <w:rStyle w:val="Strong"/>
          <w:rFonts w:asciiTheme="minorHAnsi" w:hAnsiTheme="minorHAnsi" w:cs="Arial"/>
          <w:b w:val="0"/>
          <w:color w:val="000000"/>
          <w:sz w:val="24"/>
        </w:rPr>
        <w:t xml:space="preserve"> to bedside. A practical guide to epilepsy. Lecture notes from the Twelfth Epilepsy Teaching Weekend, 18-20 September 2009, St. Anne's College, Oxford.</w:t>
      </w:r>
      <w:r w:rsidRPr="005254A8">
        <w:rPr>
          <w:rFonts w:asciiTheme="minorHAnsi" w:hAnsiTheme="minorHAnsi" w:cs="Arial"/>
          <w:color w:val="000000"/>
          <w:sz w:val="24"/>
        </w:rPr>
        <w:t xml:space="preserve"> (pp. 15-21). International League Against Epilepsy (UK Chapter) and National Society for Epilepsy: Chalfont St Peter, Bucks.</w:t>
      </w:r>
    </w:p>
    <w:p w14:paraId="4477A8DF" w14:textId="77777777" w:rsidR="00320054" w:rsidRPr="005254A8" w:rsidRDefault="00320054" w:rsidP="00320054">
      <w:pPr>
        <w:pStyle w:val="ListParagraph"/>
        <w:tabs>
          <w:tab w:val="right" w:pos="360"/>
          <w:tab w:val="left" w:pos="540"/>
        </w:tabs>
        <w:contextualSpacing/>
        <w:rPr>
          <w:rFonts w:asciiTheme="minorHAnsi" w:hAnsiTheme="minorHAnsi"/>
          <w:bCs/>
          <w:sz w:val="24"/>
        </w:rPr>
      </w:pPr>
    </w:p>
    <w:p w14:paraId="3D9651B9" w14:textId="77777777" w:rsidR="00320054" w:rsidRPr="009A62A2" w:rsidRDefault="00320054" w:rsidP="00320054">
      <w:pPr>
        <w:pStyle w:val="CommentText"/>
        <w:numPr>
          <w:ilvl w:val="0"/>
          <w:numId w:val="9"/>
        </w:numPr>
        <w:spacing w:after="0"/>
        <w:rPr>
          <w:sz w:val="24"/>
          <w:szCs w:val="24"/>
        </w:rPr>
      </w:pPr>
      <w:proofErr w:type="spellStart"/>
      <w:r w:rsidRPr="009A62A2">
        <w:rPr>
          <w:rFonts w:cs="Arial"/>
          <w:bCs/>
          <w:sz w:val="24"/>
          <w:szCs w:val="24"/>
        </w:rPr>
        <w:t>Rait</w:t>
      </w:r>
      <w:proofErr w:type="spellEnd"/>
      <w:r w:rsidRPr="009A62A2">
        <w:rPr>
          <w:rFonts w:cs="Arial"/>
          <w:bCs/>
          <w:sz w:val="24"/>
          <w:szCs w:val="24"/>
        </w:rPr>
        <w:t xml:space="preserve"> G</w:t>
      </w:r>
      <w:r w:rsidRPr="009A62A2">
        <w:rPr>
          <w:rFonts w:cs="Arial"/>
          <w:sz w:val="24"/>
          <w:szCs w:val="24"/>
        </w:rPr>
        <w:t xml:space="preserve">, Walters K, Griffin M, </w:t>
      </w:r>
      <w:proofErr w:type="spellStart"/>
      <w:r w:rsidRPr="009A62A2">
        <w:rPr>
          <w:rFonts w:cs="Arial"/>
          <w:sz w:val="24"/>
          <w:szCs w:val="24"/>
        </w:rPr>
        <w:t>Buszewicz</w:t>
      </w:r>
      <w:proofErr w:type="spellEnd"/>
      <w:r w:rsidRPr="009A62A2">
        <w:rPr>
          <w:rFonts w:cs="Arial"/>
          <w:sz w:val="24"/>
          <w:szCs w:val="24"/>
        </w:rPr>
        <w:t xml:space="preserve"> M, Petersen I, Nazareth I. Recent trends in the incidence of recorded depression in primary care. </w:t>
      </w:r>
      <w:r w:rsidRPr="00D37C63">
        <w:rPr>
          <w:rFonts w:cs="Arial"/>
          <w:i/>
          <w:sz w:val="24"/>
          <w:szCs w:val="24"/>
        </w:rPr>
        <w:t>Br J Psychiatry</w:t>
      </w:r>
      <w:r w:rsidRPr="009A62A2">
        <w:rPr>
          <w:rFonts w:cs="Arial"/>
          <w:sz w:val="24"/>
          <w:szCs w:val="24"/>
        </w:rPr>
        <w:t xml:space="preserve"> 2009; 195(6):520-524.</w:t>
      </w:r>
    </w:p>
    <w:p w14:paraId="4AC9F076" w14:textId="77777777" w:rsidR="00320054" w:rsidRPr="0004282D" w:rsidRDefault="00320054" w:rsidP="00320054">
      <w:pPr>
        <w:pStyle w:val="ListParagraph"/>
        <w:rPr>
          <w:rFonts w:asciiTheme="minorHAnsi" w:hAnsiTheme="minorHAnsi" w:cs="Arial"/>
          <w:bCs/>
          <w:sz w:val="24"/>
        </w:rPr>
      </w:pPr>
    </w:p>
    <w:p w14:paraId="401AB8EE" w14:textId="77777777" w:rsidR="00320054" w:rsidRPr="005254A8" w:rsidRDefault="00320054" w:rsidP="00320054">
      <w:pPr>
        <w:pStyle w:val="ListParagraph"/>
        <w:numPr>
          <w:ilvl w:val="0"/>
          <w:numId w:val="9"/>
        </w:numPr>
        <w:tabs>
          <w:tab w:val="right" w:pos="360"/>
          <w:tab w:val="left" w:pos="540"/>
        </w:tabs>
        <w:spacing w:after="240"/>
        <w:contextualSpacing/>
        <w:rPr>
          <w:rFonts w:asciiTheme="minorHAnsi" w:hAnsiTheme="minorHAnsi"/>
          <w:bCs/>
          <w:sz w:val="24"/>
        </w:rPr>
      </w:pPr>
      <w:proofErr w:type="spellStart"/>
      <w:r w:rsidRPr="005254A8">
        <w:rPr>
          <w:rFonts w:asciiTheme="minorHAnsi" w:hAnsiTheme="minorHAnsi" w:cs="Arial"/>
          <w:bCs/>
          <w:sz w:val="24"/>
        </w:rPr>
        <w:t>Frisher</w:t>
      </w:r>
      <w:proofErr w:type="spellEnd"/>
      <w:r w:rsidRPr="005254A8">
        <w:rPr>
          <w:rFonts w:asciiTheme="minorHAnsi" w:hAnsiTheme="minorHAnsi" w:cs="Arial"/>
          <w:bCs/>
          <w:sz w:val="24"/>
        </w:rPr>
        <w:t xml:space="preserve"> M</w:t>
      </w:r>
      <w:r w:rsidRPr="005254A8">
        <w:rPr>
          <w:rFonts w:asciiTheme="minorHAnsi" w:hAnsiTheme="minorHAnsi" w:cs="Arial"/>
          <w:sz w:val="24"/>
        </w:rPr>
        <w:t xml:space="preserve">, Collins J, </w:t>
      </w:r>
      <w:proofErr w:type="spellStart"/>
      <w:r w:rsidRPr="005254A8">
        <w:rPr>
          <w:rFonts w:asciiTheme="minorHAnsi" w:hAnsiTheme="minorHAnsi" w:cs="Arial"/>
          <w:sz w:val="24"/>
        </w:rPr>
        <w:t>Millson</w:t>
      </w:r>
      <w:proofErr w:type="spellEnd"/>
      <w:r w:rsidRPr="005254A8">
        <w:rPr>
          <w:rFonts w:asciiTheme="minorHAnsi" w:hAnsiTheme="minorHAnsi" w:cs="Arial"/>
          <w:sz w:val="24"/>
        </w:rPr>
        <w:t xml:space="preserve"> D, </w:t>
      </w:r>
      <w:proofErr w:type="spellStart"/>
      <w:r w:rsidRPr="005254A8">
        <w:rPr>
          <w:rFonts w:asciiTheme="minorHAnsi" w:hAnsiTheme="minorHAnsi" w:cs="Arial"/>
          <w:sz w:val="24"/>
        </w:rPr>
        <w:t>Crome</w:t>
      </w:r>
      <w:proofErr w:type="spellEnd"/>
      <w:r w:rsidRPr="005254A8">
        <w:rPr>
          <w:rFonts w:asciiTheme="minorHAnsi" w:hAnsiTheme="minorHAnsi" w:cs="Arial"/>
          <w:sz w:val="24"/>
        </w:rPr>
        <w:t xml:space="preserve"> I, Croft P. Prevalence of comorbid psychiatric illness and substance misuse in primary care in England and Wales. </w:t>
      </w:r>
      <w:r w:rsidRPr="005254A8">
        <w:rPr>
          <w:rFonts w:asciiTheme="minorHAnsi" w:hAnsiTheme="minorHAnsi" w:cs="Arial"/>
          <w:i/>
          <w:sz w:val="24"/>
        </w:rPr>
        <w:t xml:space="preserve">J </w:t>
      </w:r>
      <w:proofErr w:type="spellStart"/>
      <w:r w:rsidRPr="005254A8">
        <w:rPr>
          <w:rFonts w:asciiTheme="minorHAnsi" w:hAnsiTheme="minorHAnsi" w:cs="Arial"/>
          <w:i/>
          <w:sz w:val="24"/>
        </w:rPr>
        <w:t>Epidemiol</w:t>
      </w:r>
      <w:proofErr w:type="spellEnd"/>
      <w:r w:rsidRPr="005254A8">
        <w:rPr>
          <w:rFonts w:asciiTheme="minorHAnsi" w:hAnsiTheme="minorHAnsi" w:cs="Arial"/>
          <w:i/>
          <w:sz w:val="24"/>
        </w:rPr>
        <w:t xml:space="preserve"> Community Health</w:t>
      </w:r>
      <w:r w:rsidRPr="005254A8">
        <w:rPr>
          <w:rFonts w:asciiTheme="minorHAnsi" w:hAnsiTheme="minorHAnsi" w:cs="Arial"/>
          <w:sz w:val="24"/>
        </w:rPr>
        <w:t xml:space="preserve"> 2004; 58(12):1036-1041.</w:t>
      </w:r>
    </w:p>
    <w:p w14:paraId="5C356909" w14:textId="77777777" w:rsidR="00320054" w:rsidRPr="005254A8" w:rsidRDefault="00320054" w:rsidP="00320054">
      <w:pPr>
        <w:pStyle w:val="ListParagraph"/>
        <w:tabs>
          <w:tab w:val="right" w:pos="360"/>
          <w:tab w:val="left" w:pos="540"/>
        </w:tabs>
        <w:spacing w:after="240"/>
        <w:contextualSpacing/>
        <w:rPr>
          <w:rFonts w:asciiTheme="minorHAnsi" w:hAnsiTheme="minorHAnsi"/>
          <w:bCs/>
          <w:sz w:val="24"/>
        </w:rPr>
      </w:pPr>
    </w:p>
    <w:p w14:paraId="080B71AA" w14:textId="77777777" w:rsidR="00320054" w:rsidRPr="005254A8" w:rsidRDefault="00320054" w:rsidP="00320054">
      <w:pPr>
        <w:pStyle w:val="ListParagraph"/>
        <w:numPr>
          <w:ilvl w:val="0"/>
          <w:numId w:val="9"/>
        </w:numPr>
        <w:tabs>
          <w:tab w:val="right" w:pos="360"/>
          <w:tab w:val="left" w:pos="540"/>
        </w:tabs>
        <w:spacing w:after="240"/>
        <w:contextualSpacing/>
        <w:rPr>
          <w:rFonts w:asciiTheme="minorHAnsi" w:hAnsiTheme="minorHAnsi"/>
          <w:bCs/>
          <w:sz w:val="24"/>
        </w:rPr>
      </w:pPr>
      <w:proofErr w:type="spellStart"/>
      <w:r w:rsidRPr="005254A8">
        <w:rPr>
          <w:rFonts w:asciiTheme="minorHAnsi" w:hAnsiTheme="minorHAnsi"/>
          <w:bCs/>
          <w:sz w:val="24"/>
        </w:rPr>
        <w:t>Beghi</w:t>
      </w:r>
      <w:proofErr w:type="spellEnd"/>
      <w:r w:rsidRPr="005254A8">
        <w:rPr>
          <w:rFonts w:asciiTheme="minorHAnsi" w:hAnsiTheme="minorHAnsi"/>
          <w:bCs/>
          <w:sz w:val="24"/>
        </w:rPr>
        <w:t xml:space="preserve"> E, </w:t>
      </w:r>
      <w:proofErr w:type="spellStart"/>
      <w:r w:rsidRPr="005254A8">
        <w:rPr>
          <w:rFonts w:asciiTheme="minorHAnsi" w:hAnsiTheme="minorHAnsi"/>
          <w:bCs/>
          <w:sz w:val="24"/>
        </w:rPr>
        <w:t>Nicolosi</w:t>
      </w:r>
      <w:proofErr w:type="spellEnd"/>
      <w:r w:rsidRPr="005254A8">
        <w:rPr>
          <w:rFonts w:asciiTheme="minorHAnsi" w:hAnsiTheme="minorHAnsi"/>
          <w:bCs/>
          <w:sz w:val="24"/>
        </w:rPr>
        <w:t xml:space="preserve"> A, Kurland LT, </w:t>
      </w:r>
      <w:r w:rsidRPr="005254A8">
        <w:rPr>
          <w:rFonts w:asciiTheme="minorHAnsi" w:hAnsiTheme="minorHAnsi"/>
          <w:bCs/>
          <w:i/>
          <w:sz w:val="24"/>
        </w:rPr>
        <w:t>et al</w:t>
      </w:r>
      <w:r w:rsidRPr="005254A8">
        <w:rPr>
          <w:rFonts w:asciiTheme="minorHAnsi" w:hAnsiTheme="minorHAnsi"/>
          <w:bCs/>
          <w:sz w:val="24"/>
        </w:rPr>
        <w:t xml:space="preserve">. Encephalitis and aseptic meningitis, Olmsted County, Minnesota, 1950-1981: I. Epidemiology. </w:t>
      </w:r>
      <w:r w:rsidRPr="005254A8">
        <w:rPr>
          <w:rFonts w:asciiTheme="minorHAnsi" w:hAnsiTheme="minorHAnsi"/>
          <w:bCs/>
          <w:i/>
          <w:sz w:val="24"/>
        </w:rPr>
        <w:t xml:space="preserve">Ann </w:t>
      </w:r>
      <w:proofErr w:type="spellStart"/>
      <w:r w:rsidRPr="005254A8">
        <w:rPr>
          <w:rFonts w:asciiTheme="minorHAnsi" w:hAnsiTheme="minorHAnsi"/>
          <w:bCs/>
          <w:i/>
          <w:sz w:val="24"/>
        </w:rPr>
        <w:t>Neurol</w:t>
      </w:r>
      <w:proofErr w:type="spellEnd"/>
      <w:r w:rsidRPr="005254A8">
        <w:rPr>
          <w:rFonts w:asciiTheme="minorHAnsi" w:hAnsiTheme="minorHAnsi"/>
          <w:bCs/>
          <w:sz w:val="24"/>
        </w:rPr>
        <w:t xml:space="preserve"> 1984; 16:283-294.</w:t>
      </w:r>
    </w:p>
    <w:p w14:paraId="3A142FBF" w14:textId="77777777" w:rsidR="00320054" w:rsidRPr="005254A8" w:rsidRDefault="00320054" w:rsidP="00320054">
      <w:pPr>
        <w:pStyle w:val="ListParagraph"/>
        <w:tabs>
          <w:tab w:val="right" w:pos="360"/>
          <w:tab w:val="left" w:pos="540"/>
        </w:tabs>
        <w:spacing w:after="240"/>
        <w:contextualSpacing/>
        <w:rPr>
          <w:rFonts w:asciiTheme="minorHAnsi" w:hAnsiTheme="minorHAnsi"/>
          <w:bCs/>
          <w:sz w:val="24"/>
        </w:rPr>
      </w:pPr>
    </w:p>
    <w:p w14:paraId="33787393" w14:textId="77777777" w:rsidR="00320054" w:rsidRPr="005254A8" w:rsidRDefault="00320054" w:rsidP="00320054">
      <w:pPr>
        <w:pStyle w:val="ListParagraph"/>
        <w:numPr>
          <w:ilvl w:val="0"/>
          <w:numId w:val="9"/>
        </w:numPr>
        <w:autoSpaceDE w:val="0"/>
        <w:autoSpaceDN w:val="0"/>
        <w:adjustRightInd w:val="0"/>
        <w:rPr>
          <w:rFonts w:asciiTheme="minorHAnsi" w:hAnsiTheme="minorHAnsi" w:cs="AdvPS6F00"/>
          <w:sz w:val="24"/>
        </w:rPr>
      </w:pPr>
      <w:proofErr w:type="spellStart"/>
      <w:r w:rsidRPr="005254A8">
        <w:rPr>
          <w:rFonts w:asciiTheme="minorHAnsi" w:hAnsiTheme="minorHAnsi" w:cs="AdvPS6F00"/>
          <w:sz w:val="24"/>
        </w:rPr>
        <w:t>Cizman</w:t>
      </w:r>
      <w:proofErr w:type="spellEnd"/>
      <w:r w:rsidRPr="005254A8">
        <w:rPr>
          <w:rFonts w:asciiTheme="minorHAnsi" w:hAnsiTheme="minorHAnsi" w:cs="AdvPS6F00"/>
          <w:sz w:val="24"/>
        </w:rPr>
        <w:t xml:space="preserve"> M &amp; </w:t>
      </w:r>
      <w:proofErr w:type="spellStart"/>
      <w:r w:rsidRPr="005254A8">
        <w:rPr>
          <w:rFonts w:asciiTheme="minorHAnsi" w:hAnsiTheme="minorHAnsi" w:cs="AdvPS6F00"/>
          <w:sz w:val="24"/>
        </w:rPr>
        <w:t>Jazbec</w:t>
      </w:r>
      <w:proofErr w:type="spellEnd"/>
      <w:r w:rsidRPr="005254A8">
        <w:rPr>
          <w:rFonts w:asciiTheme="minorHAnsi" w:hAnsiTheme="minorHAnsi" w:cs="AdvPS6F00"/>
          <w:sz w:val="24"/>
        </w:rPr>
        <w:t xml:space="preserve"> J. Aetiology of acute encephalitis in childhood in Slovenia. </w:t>
      </w:r>
      <w:proofErr w:type="spellStart"/>
      <w:r w:rsidRPr="005254A8">
        <w:rPr>
          <w:rFonts w:asciiTheme="minorHAnsi" w:hAnsiTheme="minorHAnsi" w:cs="AdvPS6F0B"/>
          <w:i/>
          <w:sz w:val="24"/>
        </w:rPr>
        <w:t>Pediatr</w:t>
      </w:r>
      <w:proofErr w:type="spellEnd"/>
      <w:r w:rsidRPr="005254A8">
        <w:rPr>
          <w:rFonts w:asciiTheme="minorHAnsi" w:hAnsiTheme="minorHAnsi" w:cs="AdvPS6F0B"/>
          <w:i/>
          <w:sz w:val="24"/>
        </w:rPr>
        <w:t xml:space="preserve"> Infect Dis J</w:t>
      </w:r>
      <w:r w:rsidRPr="005254A8">
        <w:rPr>
          <w:rFonts w:asciiTheme="minorHAnsi" w:hAnsiTheme="minorHAnsi" w:cs="AdvPS6F0B"/>
          <w:sz w:val="24"/>
        </w:rPr>
        <w:t xml:space="preserve"> 1993; 12:</w:t>
      </w:r>
      <w:r w:rsidRPr="005254A8">
        <w:rPr>
          <w:rFonts w:asciiTheme="minorHAnsi" w:hAnsiTheme="minorHAnsi" w:cs="AdvPS6F00"/>
          <w:sz w:val="24"/>
        </w:rPr>
        <w:t>903–908.</w:t>
      </w:r>
    </w:p>
    <w:p w14:paraId="2EF6A94B" w14:textId="77777777" w:rsidR="00320054" w:rsidRPr="005254A8" w:rsidRDefault="00320054" w:rsidP="00320054">
      <w:pPr>
        <w:autoSpaceDE w:val="0"/>
        <w:autoSpaceDN w:val="0"/>
        <w:adjustRightInd w:val="0"/>
        <w:spacing w:after="0"/>
        <w:rPr>
          <w:rFonts w:cs="AdvPS6F00"/>
          <w:sz w:val="24"/>
          <w:szCs w:val="24"/>
        </w:rPr>
      </w:pPr>
    </w:p>
    <w:p w14:paraId="47C96262" w14:textId="77777777" w:rsidR="00320054" w:rsidRPr="005254A8" w:rsidRDefault="00320054" w:rsidP="00320054">
      <w:pPr>
        <w:pStyle w:val="ListParagraph"/>
        <w:numPr>
          <w:ilvl w:val="0"/>
          <w:numId w:val="9"/>
        </w:numPr>
        <w:autoSpaceDE w:val="0"/>
        <w:autoSpaceDN w:val="0"/>
        <w:adjustRightInd w:val="0"/>
        <w:rPr>
          <w:rFonts w:asciiTheme="minorHAnsi" w:hAnsiTheme="minorHAnsi" w:cs="AdvPS6F00"/>
          <w:sz w:val="24"/>
        </w:rPr>
      </w:pPr>
      <w:r w:rsidRPr="005254A8">
        <w:rPr>
          <w:rFonts w:asciiTheme="minorHAnsi" w:hAnsiTheme="minorHAnsi" w:cs="AdvPS6F00"/>
          <w:sz w:val="24"/>
        </w:rPr>
        <w:t xml:space="preserve">Lee T, Tsai C, Yuan C, Wei C, </w:t>
      </w:r>
      <w:proofErr w:type="spellStart"/>
      <w:r w:rsidRPr="005254A8">
        <w:rPr>
          <w:rFonts w:asciiTheme="minorHAnsi" w:hAnsiTheme="minorHAnsi" w:cs="AdvPS6F00"/>
          <w:sz w:val="24"/>
        </w:rPr>
        <w:t>Tsao</w:t>
      </w:r>
      <w:proofErr w:type="spellEnd"/>
      <w:r w:rsidRPr="005254A8">
        <w:rPr>
          <w:rFonts w:asciiTheme="minorHAnsi" w:hAnsiTheme="minorHAnsi" w:cs="AdvPS6F00"/>
          <w:sz w:val="24"/>
        </w:rPr>
        <w:t xml:space="preserve"> W, Lee R, </w:t>
      </w:r>
      <w:proofErr w:type="spellStart"/>
      <w:r w:rsidRPr="005254A8">
        <w:rPr>
          <w:rFonts w:asciiTheme="minorHAnsi" w:hAnsiTheme="minorHAnsi" w:cs="AdvPS6F00"/>
          <w:sz w:val="24"/>
        </w:rPr>
        <w:t>Cheih</w:t>
      </w:r>
      <w:proofErr w:type="spellEnd"/>
      <w:r w:rsidRPr="005254A8">
        <w:rPr>
          <w:rFonts w:asciiTheme="minorHAnsi" w:hAnsiTheme="minorHAnsi" w:cs="AdvPS6F00"/>
          <w:sz w:val="24"/>
        </w:rPr>
        <w:t xml:space="preserve"> S, Huang I, &amp; Chen K. Encephalitis in Taiwan: A prospective hospital-based study. </w:t>
      </w:r>
      <w:proofErr w:type="spellStart"/>
      <w:r w:rsidRPr="005254A8">
        <w:rPr>
          <w:rFonts w:asciiTheme="minorHAnsi" w:hAnsiTheme="minorHAnsi" w:cs="AdvPS6F0B"/>
          <w:i/>
          <w:sz w:val="24"/>
        </w:rPr>
        <w:t>Jpn</w:t>
      </w:r>
      <w:proofErr w:type="spellEnd"/>
      <w:r w:rsidRPr="005254A8">
        <w:rPr>
          <w:rFonts w:asciiTheme="minorHAnsi" w:hAnsiTheme="minorHAnsi" w:cs="AdvPS6F0B"/>
          <w:i/>
          <w:sz w:val="24"/>
        </w:rPr>
        <w:t xml:space="preserve"> J Infect Dis</w:t>
      </w:r>
      <w:r w:rsidRPr="005254A8">
        <w:rPr>
          <w:rFonts w:asciiTheme="minorHAnsi" w:hAnsiTheme="minorHAnsi" w:cs="AdvPS6F0B"/>
          <w:sz w:val="24"/>
        </w:rPr>
        <w:t xml:space="preserve"> 2003; </w:t>
      </w:r>
      <w:r w:rsidRPr="005254A8">
        <w:rPr>
          <w:rFonts w:asciiTheme="minorHAnsi" w:hAnsiTheme="minorHAnsi" w:cs="AdvPS6F00"/>
          <w:sz w:val="24"/>
        </w:rPr>
        <w:t>56:193–199.</w:t>
      </w:r>
    </w:p>
    <w:p w14:paraId="13D03607" w14:textId="77777777" w:rsidR="00320054" w:rsidRPr="005254A8" w:rsidRDefault="00320054" w:rsidP="00320054">
      <w:pPr>
        <w:pStyle w:val="ListParagraph"/>
        <w:rPr>
          <w:rFonts w:asciiTheme="minorHAnsi" w:hAnsiTheme="minorHAnsi" w:cs="AdvPS6F00"/>
          <w:sz w:val="24"/>
        </w:rPr>
      </w:pPr>
    </w:p>
    <w:p w14:paraId="0866C06F" w14:textId="4EDD9C0C" w:rsidR="00561986" w:rsidRDefault="00320054" w:rsidP="007C7A5D">
      <w:pPr>
        <w:pStyle w:val="ListParagraph"/>
        <w:numPr>
          <w:ilvl w:val="0"/>
          <w:numId w:val="9"/>
        </w:numPr>
        <w:autoSpaceDE w:val="0"/>
        <w:autoSpaceDN w:val="0"/>
        <w:adjustRightInd w:val="0"/>
        <w:rPr>
          <w:rFonts w:asciiTheme="minorHAnsi" w:hAnsiTheme="minorHAnsi" w:cs="AdvPS6F00"/>
          <w:sz w:val="24"/>
        </w:rPr>
      </w:pPr>
      <w:proofErr w:type="spellStart"/>
      <w:r w:rsidRPr="005254A8">
        <w:rPr>
          <w:rFonts w:asciiTheme="minorHAnsi" w:hAnsiTheme="minorHAnsi" w:cs="AdvPS6F00"/>
          <w:sz w:val="24"/>
        </w:rPr>
        <w:t>Studahl</w:t>
      </w:r>
      <w:proofErr w:type="spellEnd"/>
      <w:r w:rsidRPr="005254A8">
        <w:rPr>
          <w:rFonts w:asciiTheme="minorHAnsi" w:hAnsiTheme="minorHAnsi" w:cs="AdvPS6F00"/>
          <w:sz w:val="24"/>
        </w:rPr>
        <w:t xml:space="preserve"> M, Bergstrom T, &amp; </w:t>
      </w:r>
      <w:proofErr w:type="spellStart"/>
      <w:r w:rsidRPr="005254A8">
        <w:rPr>
          <w:rFonts w:asciiTheme="minorHAnsi" w:hAnsiTheme="minorHAnsi" w:cs="AdvPS6F00"/>
          <w:sz w:val="24"/>
        </w:rPr>
        <w:t>Hagberg</w:t>
      </w:r>
      <w:proofErr w:type="spellEnd"/>
      <w:r w:rsidRPr="005254A8">
        <w:rPr>
          <w:rFonts w:asciiTheme="minorHAnsi" w:hAnsiTheme="minorHAnsi" w:cs="AdvPS6F00"/>
          <w:sz w:val="24"/>
        </w:rPr>
        <w:t xml:space="preserve"> L. Acute viral encephalitis in adults: A prospective study. </w:t>
      </w:r>
      <w:proofErr w:type="spellStart"/>
      <w:r w:rsidRPr="005254A8">
        <w:rPr>
          <w:rFonts w:asciiTheme="minorHAnsi" w:hAnsiTheme="minorHAnsi" w:cs="AdvPS6F0B"/>
          <w:i/>
          <w:sz w:val="24"/>
        </w:rPr>
        <w:t>Scand</w:t>
      </w:r>
      <w:proofErr w:type="spellEnd"/>
      <w:r w:rsidRPr="005254A8">
        <w:rPr>
          <w:rFonts w:asciiTheme="minorHAnsi" w:hAnsiTheme="minorHAnsi" w:cs="AdvPS6F0B"/>
          <w:i/>
          <w:sz w:val="24"/>
        </w:rPr>
        <w:t xml:space="preserve"> J Infect Dis</w:t>
      </w:r>
      <w:r w:rsidRPr="005254A8">
        <w:rPr>
          <w:rFonts w:asciiTheme="minorHAnsi" w:hAnsiTheme="minorHAnsi" w:cs="AdvPS6F0B"/>
          <w:sz w:val="24"/>
        </w:rPr>
        <w:t xml:space="preserve"> 1998;</w:t>
      </w:r>
      <w:r w:rsidRPr="005254A8">
        <w:rPr>
          <w:rFonts w:asciiTheme="minorHAnsi" w:hAnsiTheme="minorHAnsi" w:cs="AdvPS6F00"/>
          <w:sz w:val="24"/>
        </w:rPr>
        <w:t xml:space="preserve"> </w:t>
      </w:r>
      <w:r w:rsidRPr="005254A8">
        <w:rPr>
          <w:rFonts w:asciiTheme="minorHAnsi" w:hAnsiTheme="minorHAnsi" w:cs="AdvPS6F0B"/>
          <w:sz w:val="24"/>
        </w:rPr>
        <w:t>30:</w:t>
      </w:r>
      <w:r w:rsidRPr="005254A8">
        <w:rPr>
          <w:rFonts w:asciiTheme="minorHAnsi" w:hAnsiTheme="minorHAnsi" w:cs="AdvPS6F00"/>
          <w:sz w:val="24"/>
        </w:rPr>
        <w:t>215–220.</w:t>
      </w:r>
    </w:p>
    <w:p w14:paraId="26B862E9" w14:textId="77777777" w:rsidR="00561986" w:rsidRDefault="00561986">
      <w:pPr>
        <w:rPr>
          <w:rFonts w:eastAsia="Times New Roman" w:cs="AdvPS6F00"/>
          <w:sz w:val="24"/>
          <w:szCs w:val="24"/>
        </w:rPr>
      </w:pPr>
      <w:r>
        <w:rPr>
          <w:rFonts w:cs="AdvPS6F00"/>
          <w:sz w:val="24"/>
        </w:rPr>
        <w:br w:type="page"/>
      </w:r>
    </w:p>
    <w:p w14:paraId="486B13A6" w14:textId="5E1C6CDC" w:rsidR="00D313DC" w:rsidRPr="00B62746" w:rsidRDefault="00561986" w:rsidP="00B62746">
      <w:pPr>
        <w:rPr>
          <w:rFonts w:ascii="Calibri" w:eastAsia="Times New Roman" w:hAnsi="Calibri" w:cs="Times New Roman"/>
        </w:rPr>
      </w:pPr>
      <w:r w:rsidRPr="00B62746">
        <w:rPr>
          <w:rFonts w:cs="AdvPS6F00"/>
          <w:b/>
          <w:sz w:val="24"/>
        </w:rPr>
        <w:lastRenderedPageBreak/>
        <w:t>Figure 1</w:t>
      </w:r>
      <w:r w:rsidR="00B62746" w:rsidRPr="00B62746">
        <w:rPr>
          <w:rFonts w:cs="AdvPS6F00"/>
          <w:b/>
          <w:sz w:val="24"/>
        </w:rPr>
        <w:t>.</w:t>
      </w:r>
      <w:r w:rsidR="00B62746" w:rsidRPr="00B62746">
        <w:rPr>
          <w:rFonts w:cs="AdvPS6F00"/>
          <w:sz w:val="24"/>
        </w:rPr>
        <w:t xml:space="preserve"> </w:t>
      </w:r>
      <w:r w:rsidR="00B62746" w:rsidRPr="00B62746">
        <w:rPr>
          <w:rFonts w:ascii="Calibri" w:eastAsia="Times New Roman" w:hAnsi="Calibri" w:cs="Times New Roman"/>
          <w:bCs/>
          <w:sz w:val="24"/>
          <w:szCs w:val="24"/>
        </w:rPr>
        <w:t>Flowchart of study population</w:t>
      </w:r>
    </w:p>
    <w:p w14:paraId="6C832870" w14:textId="435F7C2B" w:rsidR="00561986" w:rsidRDefault="00561986" w:rsidP="00561986">
      <w:pPr>
        <w:autoSpaceDE w:val="0"/>
        <w:autoSpaceDN w:val="0"/>
        <w:adjustRightInd w:val="0"/>
        <w:rPr>
          <w:rFonts w:cs="AdvPS6F00"/>
          <w:sz w:val="24"/>
        </w:rPr>
      </w:pPr>
      <w:r w:rsidRPr="00B62746">
        <w:rPr>
          <w:rFonts w:cs="AdvPS6F00"/>
          <w:b/>
          <w:sz w:val="24"/>
        </w:rPr>
        <w:t>Figure 2</w:t>
      </w:r>
      <w:r w:rsidR="00B62746" w:rsidRPr="00B62746">
        <w:rPr>
          <w:rFonts w:cs="AdvPS6F00"/>
          <w:b/>
          <w:sz w:val="24"/>
        </w:rPr>
        <w:t>.</w:t>
      </w:r>
      <w:r w:rsidR="00B62746" w:rsidRPr="00B62746">
        <w:rPr>
          <w:rFonts w:cs="AdvPS6F00"/>
          <w:sz w:val="24"/>
        </w:rPr>
        <w:t xml:space="preserve"> Kaplan Meier plots for outcomes of interest</w:t>
      </w:r>
    </w:p>
    <w:p w14:paraId="401C0D9C" w14:textId="77777777" w:rsidR="00561986" w:rsidRPr="00561986" w:rsidRDefault="00561986" w:rsidP="00561986">
      <w:pPr>
        <w:autoSpaceDE w:val="0"/>
        <w:autoSpaceDN w:val="0"/>
        <w:adjustRightInd w:val="0"/>
        <w:rPr>
          <w:rFonts w:cs="AdvPS6F00"/>
          <w:sz w:val="24"/>
        </w:rPr>
      </w:pPr>
    </w:p>
    <w:sectPr w:rsidR="00561986" w:rsidRPr="00561986" w:rsidSect="00BA68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A2600" w14:textId="77777777" w:rsidR="000C2669" w:rsidRDefault="000C2669" w:rsidP="009631D0">
      <w:pPr>
        <w:spacing w:after="0" w:line="240" w:lineRule="auto"/>
      </w:pPr>
      <w:r>
        <w:separator/>
      </w:r>
    </w:p>
  </w:endnote>
  <w:endnote w:type="continuationSeparator" w:id="0">
    <w:p w14:paraId="73EE0FFD" w14:textId="77777777" w:rsidR="000C2669" w:rsidRDefault="000C2669" w:rsidP="0096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vPED1282">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AdvPS94B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AdvPS6F0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05168"/>
      <w:docPartObj>
        <w:docPartGallery w:val="Page Numbers (Bottom of Page)"/>
        <w:docPartUnique/>
      </w:docPartObj>
    </w:sdtPr>
    <w:sdtEndPr>
      <w:rPr>
        <w:noProof/>
      </w:rPr>
    </w:sdtEndPr>
    <w:sdtContent>
      <w:p w14:paraId="021D06C8" w14:textId="2068A612" w:rsidR="009631D0" w:rsidRDefault="009631D0">
        <w:pPr>
          <w:pStyle w:val="Footer"/>
          <w:jc w:val="right"/>
        </w:pPr>
        <w:r>
          <w:fldChar w:fldCharType="begin"/>
        </w:r>
        <w:r>
          <w:instrText xml:space="preserve"> PAGE   \* MERGEFORMAT </w:instrText>
        </w:r>
        <w:r>
          <w:fldChar w:fldCharType="separate"/>
        </w:r>
        <w:r w:rsidR="00B145D1">
          <w:rPr>
            <w:noProof/>
          </w:rPr>
          <w:t>19</w:t>
        </w:r>
        <w:r>
          <w:rPr>
            <w:noProof/>
          </w:rPr>
          <w:fldChar w:fldCharType="end"/>
        </w:r>
      </w:p>
    </w:sdtContent>
  </w:sdt>
  <w:p w14:paraId="11A2CA82" w14:textId="77777777" w:rsidR="009631D0" w:rsidRDefault="00963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502F1" w14:textId="77777777" w:rsidR="000C2669" w:rsidRDefault="000C2669" w:rsidP="009631D0">
      <w:pPr>
        <w:spacing w:after="0" w:line="240" w:lineRule="auto"/>
      </w:pPr>
      <w:r>
        <w:separator/>
      </w:r>
    </w:p>
  </w:footnote>
  <w:footnote w:type="continuationSeparator" w:id="0">
    <w:p w14:paraId="15D8F8CE" w14:textId="77777777" w:rsidR="000C2669" w:rsidRDefault="000C2669" w:rsidP="00963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88A"/>
    <w:multiLevelType w:val="hybridMultilevel"/>
    <w:tmpl w:val="27ECFD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7E3D8A"/>
    <w:multiLevelType w:val="multilevel"/>
    <w:tmpl w:val="3E98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2053A"/>
    <w:multiLevelType w:val="hybridMultilevel"/>
    <w:tmpl w:val="FE16498C"/>
    <w:lvl w:ilvl="0" w:tplc="B12EC9D8">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062342"/>
    <w:multiLevelType w:val="hybridMultilevel"/>
    <w:tmpl w:val="8794A6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462291"/>
    <w:multiLevelType w:val="hybridMultilevel"/>
    <w:tmpl w:val="9C948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3E37355"/>
    <w:multiLevelType w:val="hybridMultilevel"/>
    <w:tmpl w:val="CC7EA5EE"/>
    <w:lvl w:ilvl="0" w:tplc="18920598">
      <w:start w:val="1"/>
      <w:numFmt w:val="bullet"/>
      <w:lvlText w:val="•"/>
      <w:lvlJc w:val="left"/>
      <w:pPr>
        <w:tabs>
          <w:tab w:val="num" w:pos="360"/>
        </w:tabs>
        <w:ind w:left="360" w:hanging="360"/>
      </w:pPr>
      <w:rPr>
        <w:rFonts w:ascii="Arial" w:hAnsi="Arial" w:hint="default"/>
      </w:rPr>
    </w:lvl>
    <w:lvl w:ilvl="1" w:tplc="168A32DA">
      <w:start w:val="1"/>
      <w:numFmt w:val="bullet"/>
      <w:lvlText w:val="•"/>
      <w:lvlJc w:val="left"/>
      <w:pPr>
        <w:tabs>
          <w:tab w:val="num" w:pos="1080"/>
        </w:tabs>
        <w:ind w:left="1080" w:hanging="360"/>
      </w:pPr>
      <w:rPr>
        <w:rFonts w:ascii="Arial" w:hAnsi="Arial" w:hint="default"/>
      </w:rPr>
    </w:lvl>
    <w:lvl w:ilvl="2" w:tplc="374CEE3E" w:tentative="1">
      <w:start w:val="1"/>
      <w:numFmt w:val="bullet"/>
      <w:lvlText w:val="•"/>
      <w:lvlJc w:val="left"/>
      <w:pPr>
        <w:tabs>
          <w:tab w:val="num" w:pos="1800"/>
        </w:tabs>
        <w:ind w:left="1800" w:hanging="360"/>
      </w:pPr>
      <w:rPr>
        <w:rFonts w:ascii="Arial" w:hAnsi="Arial" w:hint="default"/>
      </w:rPr>
    </w:lvl>
    <w:lvl w:ilvl="3" w:tplc="77CC3240" w:tentative="1">
      <w:start w:val="1"/>
      <w:numFmt w:val="bullet"/>
      <w:lvlText w:val="•"/>
      <w:lvlJc w:val="left"/>
      <w:pPr>
        <w:tabs>
          <w:tab w:val="num" w:pos="2520"/>
        </w:tabs>
        <w:ind w:left="2520" w:hanging="360"/>
      </w:pPr>
      <w:rPr>
        <w:rFonts w:ascii="Arial" w:hAnsi="Arial" w:hint="default"/>
      </w:rPr>
    </w:lvl>
    <w:lvl w:ilvl="4" w:tplc="4E7A1C28" w:tentative="1">
      <w:start w:val="1"/>
      <w:numFmt w:val="bullet"/>
      <w:lvlText w:val="•"/>
      <w:lvlJc w:val="left"/>
      <w:pPr>
        <w:tabs>
          <w:tab w:val="num" w:pos="3240"/>
        </w:tabs>
        <w:ind w:left="3240" w:hanging="360"/>
      </w:pPr>
      <w:rPr>
        <w:rFonts w:ascii="Arial" w:hAnsi="Arial" w:hint="default"/>
      </w:rPr>
    </w:lvl>
    <w:lvl w:ilvl="5" w:tplc="9FDEA56A" w:tentative="1">
      <w:start w:val="1"/>
      <w:numFmt w:val="bullet"/>
      <w:lvlText w:val="•"/>
      <w:lvlJc w:val="left"/>
      <w:pPr>
        <w:tabs>
          <w:tab w:val="num" w:pos="3960"/>
        </w:tabs>
        <w:ind w:left="3960" w:hanging="360"/>
      </w:pPr>
      <w:rPr>
        <w:rFonts w:ascii="Arial" w:hAnsi="Arial" w:hint="default"/>
      </w:rPr>
    </w:lvl>
    <w:lvl w:ilvl="6" w:tplc="5278349E" w:tentative="1">
      <w:start w:val="1"/>
      <w:numFmt w:val="bullet"/>
      <w:lvlText w:val="•"/>
      <w:lvlJc w:val="left"/>
      <w:pPr>
        <w:tabs>
          <w:tab w:val="num" w:pos="4680"/>
        </w:tabs>
        <w:ind w:left="4680" w:hanging="360"/>
      </w:pPr>
      <w:rPr>
        <w:rFonts w:ascii="Arial" w:hAnsi="Arial" w:hint="default"/>
      </w:rPr>
    </w:lvl>
    <w:lvl w:ilvl="7" w:tplc="E06E6E20" w:tentative="1">
      <w:start w:val="1"/>
      <w:numFmt w:val="bullet"/>
      <w:lvlText w:val="•"/>
      <w:lvlJc w:val="left"/>
      <w:pPr>
        <w:tabs>
          <w:tab w:val="num" w:pos="5400"/>
        </w:tabs>
        <w:ind w:left="5400" w:hanging="360"/>
      </w:pPr>
      <w:rPr>
        <w:rFonts w:ascii="Arial" w:hAnsi="Arial" w:hint="default"/>
      </w:rPr>
    </w:lvl>
    <w:lvl w:ilvl="8" w:tplc="58D4307C" w:tentative="1">
      <w:start w:val="1"/>
      <w:numFmt w:val="bullet"/>
      <w:lvlText w:val="•"/>
      <w:lvlJc w:val="left"/>
      <w:pPr>
        <w:tabs>
          <w:tab w:val="num" w:pos="6120"/>
        </w:tabs>
        <w:ind w:left="6120" w:hanging="360"/>
      </w:pPr>
      <w:rPr>
        <w:rFonts w:ascii="Arial" w:hAnsi="Arial" w:hint="default"/>
      </w:rPr>
    </w:lvl>
  </w:abstractNum>
  <w:abstractNum w:abstractNumId="6">
    <w:nsid w:val="259A38ED"/>
    <w:multiLevelType w:val="multilevel"/>
    <w:tmpl w:val="3C28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4079F8"/>
    <w:multiLevelType w:val="hybridMultilevel"/>
    <w:tmpl w:val="4C804828"/>
    <w:lvl w:ilvl="0" w:tplc="3A927F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616F99"/>
    <w:multiLevelType w:val="hybridMultilevel"/>
    <w:tmpl w:val="272C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0C28E5"/>
    <w:multiLevelType w:val="hybridMultilevel"/>
    <w:tmpl w:val="F7A8A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0A2269"/>
    <w:multiLevelType w:val="hybridMultilevel"/>
    <w:tmpl w:val="F378E5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507B3BDB"/>
    <w:multiLevelType w:val="hybridMultilevel"/>
    <w:tmpl w:val="F550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8471AE"/>
    <w:multiLevelType w:val="multilevel"/>
    <w:tmpl w:val="EAFEB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85C7A1F"/>
    <w:multiLevelType w:val="hybridMultilevel"/>
    <w:tmpl w:val="1F8A5106"/>
    <w:lvl w:ilvl="0" w:tplc="37D66384">
      <w:start w:val="1"/>
      <w:numFmt w:val="decimal"/>
      <w:lvlText w:val="%1."/>
      <w:lvlJc w:val="left"/>
      <w:pPr>
        <w:ind w:left="720" w:hanging="360"/>
      </w:pPr>
      <w:rPr>
        <w:rFonts w:ascii="Tahoma" w:hAnsi="Tahoma" w:cs="Times New Roman" w:hint="default"/>
        <w:b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9DC169F"/>
    <w:multiLevelType w:val="hybridMultilevel"/>
    <w:tmpl w:val="6F0A38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CE0F250">
      <w:start w:val="1"/>
      <w:numFmt w:val="decimal"/>
      <w:lvlText w:val="%4."/>
      <w:lvlJc w:val="left"/>
      <w:pPr>
        <w:ind w:left="2771" w:hanging="360"/>
      </w:pPr>
      <w:rPr>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DF0EB3"/>
    <w:multiLevelType w:val="multilevel"/>
    <w:tmpl w:val="47AE4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75E85"/>
    <w:multiLevelType w:val="hybridMultilevel"/>
    <w:tmpl w:val="23FCC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7636AE"/>
    <w:multiLevelType w:val="multilevel"/>
    <w:tmpl w:val="0256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8F0432"/>
    <w:multiLevelType w:val="hybridMultilevel"/>
    <w:tmpl w:val="3192FD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6"/>
  </w:num>
  <w:num w:numId="3">
    <w:abstractNumId w:val="9"/>
  </w:num>
  <w:num w:numId="4">
    <w:abstractNumId w:val="5"/>
  </w:num>
  <w:num w:numId="5">
    <w:abstractNumId w:val="14"/>
  </w:num>
  <w:num w:numId="6">
    <w:abstractNumId w:val="4"/>
  </w:num>
  <w:num w:numId="7">
    <w:abstractNumId w:val="0"/>
  </w:num>
  <w:num w:numId="8">
    <w:abstractNumId w:val="7"/>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15"/>
  </w:num>
  <w:num w:numId="16">
    <w:abstractNumId w:val="6"/>
  </w:num>
  <w:num w:numId="17">
    <w:abstractNumId w:val="1"/>
  </w:num>
  <w:num w:numId="18">
    <w:abstractNumId w:val="8"/>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B4"/>
    <w:rsid w:val="00000B37"/>
    <w:rsid w:val="00002D8B"/>
    <w:rsid w:val="00003317"/>
    <w:rsid w:val="0000361E"/>
    <w:rsid w:val="00006000"/>
    <w:rsid w:val="00006AEB"/>
    <w:rsid w:val="00007026"/>
    <w:rsid w:val="000110EA"/>
    <w:rsid w:val="00013E37"/>
    <w:rsid w:val="00015F26"/>
    <w:rsid w:val="000172F7"/>
    <w:rsid w:val="000178F6"/>
    <w:rsid w:val="00017978"/>
    <w:rsid w:val="00017A92"/>
    <w:rsid w:val="00017D17"/>
    <w:rsid w:val="000205E1"/>
    <w:rsid w:val="00022D39"/>
    <w:rsid w:val="000243C0"/>
    <w:rsid w:val="000274F4"/>
    <w:rsid w:val="00031720"/>
    <w:rsid w:val="00032E48"/>
    <w:rsid w:val="0003306C"/>
    <w:rsid w:val="00033721"/>
    <w:rsid w:val="00034B23"/>
    <w:rsid w:val="00035712"/>
    <w:rsid w:val="000358F4"/>
    <w:rsid w:val="00036D51"/>
    <w:rsid w:val="0003701A"/>
    <w:rsid w:val="000375CF"/>
    <w:rsid w:val="0004023A"/>
    <w:rsid w:val="00040A01"/>
    <w:rsid w:val="00041F65"/>
    <w:rsid w:val="00044C2C"/>
    <w:rsid w:val="0004511F"/>
    <w:rsid w:val="00045242"/>
    <w:rsid w:val="00045CA7"/>
    <w:rsid w:val="00046DBD"/>
    <w:rsid w:val="000512A3"/>
    <w:rsid w:val="0005160A"/>
    <w:rsid w:val="000526D4"/>
    <w:rsid w:val="000540E0"/>
    <w:rsid w:val="00054255"/>
    <w:rsid w:val="000572ED"/>
    <w:rsid w:val="000574CD"/>
    <w:rsid w:val="00065637"/>
    <w:rsid w:val="00065990"/>
    <w:rsid w:val="000659D8"/>
    <w:rsid w:val="0006770B"/>
    <w:rsid w:val="00067ECD"/>
    <w:rsid w:val="00071BA8"/>
    <w:rsid w:val="00071E2D"/>
    <w:rsid w:val="00072A53"/>
    <w:rsid w:val="000739E5"/>
    <w:rsid w:val="00073FB6"/>
    <w:rsid w:val="00076ACB"/>
    <w:rsid w:val="00080DA3"/>
    <w:rsid w:val="00082A15"/>
    <w:rsid w:val="00083C59"/>
    <w:rsid w:val="00084D26"/>
    <w:rsid w:val="000851CB"/>
    <w:rsid w:val="000855BD"/>
    <w:rsid w:val="000902D8"/>
    <w:rsid w:val="00090684"/>
    <w:rsid w:val="0009090E"/>
    <w:rsid w:val="00091807"/>
    <w:rsid w:val="00095A78"/>
    <w:rsid w:val="00096A76"/>
    <w:rsid w:val="00097E6D"/>
    <w:rsid w:val="000A5D85"/>
    <w:rsid w:val="000B3BAB"/>
    <w:rsid w:val="000B6ED0"/>
    <w:rsid w:val="000C2669"/>
    <w:rsid w:val="000C2A55"/>
    <w:rsid w:val="000C5686"/>
    <w:rsid w:val="000C7100"/>
    <w:rsid w:val="000C7E51"/>
    <w:rsid w:val="000D0805"/>
    <w:rsid w:val="000D0A85"/>
    <w:rsid w:val="000D0CF3"/>
    <w:rsid w:val="000D1E0E"/>
    <w:rsid w:val="000D37D4"/>
    <w:rsid w:val="000D7A43"/>
    <w:rsid w:val="000E0EC5"/>
    <w:rsid w:val="000E2486"/>
    <w:rsid w:val="000E34EB"/>
    <w:rsid w:val="000E38A3"/>
    <w:rsid w:val="000E48E8"/>
    <w:rsid w:val="000E6D4D"/>
    <w:rsid w:val="000E799B"/>
    <w:rsid w:val="000F2ECC"/>
    <w:rsid w:val="000F41E4"/>
    <w:rsid w:val="000F4597"/>
    <w:rsid w:val="000F546C"/>
    <w:rsid w:val="000F5D0E"/>
    <w:rsid w:val="000F7002"/>
    <w:rsid w:val="000F7FD0"/>
    <w:rsid w:val="00100B88"/>
    <w:rsid w:val="00100D26"/>
    <w:rsid w:val="00100FF8"/>
    <w:rsid w:val="0010122F"/>
    <w:rsid w:val="00102568"/>
    <w:rsid w:val="00103932"/>
    <w:rsid w:val="00106399"/>
    <w:rsid w:val="00111C18"/>
    <w:rsid w:val="001153BD"/>
    <w:rsid w:val="00115906"/>
    <w:rsid w:val="001179E2"/>
    <w:rsid w:val="00117BFD"/>
    <w:rsid w:val="00120469"/>
    <w:rsid w:val="00121F10"/>
    <w:rsid w:val="00122883"/>
    <w:rsid w:val="001257D9"/>
    <w:rsid w:val="001258AB"/>
    <w:rsid w:val="00125D64"/>
    <w:rsid w:val="00130BE0"/>
    <w:rsid w:val="00130F19"/>
    <w:rsid w:val="0013193B"/>
    <w:rsid w:val="00136B31"/>
    <w:rsid w:val="001372D9"/>
    <w:rsid w:val="00140778"/>
    <w:rsid w:val="00140AAA"/>
    <w:rsid w:val="001420F8"/>
    <w:rsid w:val="00142602"/>
    <w:rsid w:val="00143C66"/>
    <w:rsid w:val="001447FB"/>
    <w:rsid w:val="00144889"/>
    <w:rsid w:val="00146120"/>
    <w:rsid w:val="00146FE7"/>
    <w:rsid w:val="001475B8"/>
    <w:rsid w:val="00150E62"/>
    <w:rsid w:val="0015194A"/>
    <w:rsid w:val="00152703"/>
    <w:rsid w:val="00155D46"/>
    <w:rsid w:val="001567CA"/>
    <w:rsid w:val="001602E5"/>
    <w:rsid w:val="00160641"/>
    <w:rsid w:val="00161232"/>
    <w:rsid w:val="00162756"/>
    <w:rsid w:val="00163B85"/>
    <w:rsid w:val="001647A9"/>
    <w:rsid w:val="00167318"/>
    <w:rsid w:val="00170402"/>
    <w:rsid w:val="00170B25"/>
    <w:rsid w:val="00171D78"/>
    <w:rsid w:val="00175078"/>
    <w:rsid w:val="00175DE0"/>
    <w:rsid w:val="00176A72"/>
    <w:rsid w:val="001771E5"/>
    <w:rsid w:val="00177347"/>
    <w:rsid w:val="00180568"/>
    <w:rsid w:val="00182FC6"/>
    <w:rsid w:val="001835C5"/>
    <w:rsid w:val="00185C06"/>
    <w:rsid w:val="00187727"/>
    <w:rsid w:val="0018798B"/>
    <w:rsid w:val="00187F43"/>
    <w:rsid w:val="001913CD"/>
    <w:rsid w:val="00191B5C"/>
    <w:rsid w:val="001923E8"/>
    <w:rsid w:val="00195106"/>
    <w:rsid w:val="001A2C03"/>
    <w:rsid w:val="001A2C92"/>
    <w:rsid w:val="001A3254"/>
    <w:rsid w:val="001A47CA"/>
    <w:rsid w:val="001A5526"/>
    <w:rsid w:val="001A6F93"/>
    <w:rsid w:val="001B0E17"/>
    <w:rsid w:val="001B1BC0"/>
    <w:rsid w:val="001B23F3"/>
    <w:rsid w:val="001B3744"/>
    <w:rsid w:val="001B43D9"/>
    <w:rsid w:val="001B5758"/>
    <w:rsid w:val="001B6813"/>
    <w:rsid w:val="001B7723"/>
    <w:rsid w:val="001B7E21"/>
    <w:rsid w:val="001C0C09"/>
    <w:rsid w:val="001C278C"/>
    <w:rsid w:val="001C2C25"/>
    <w:rsid w:val="001C30B5"/>
    <w:rsid w:val="001C4FCB"/>
    <w:rsid w:val="001C64E7"/>
    <w:rsid w:val="001C658C"/>
    <w:rsid w:val="001C6A2D"/>
    <w:rsid w:val="001D262B"/>
    <w:rsid w:val="001D3123"/>
    <w:rsid w:val="001D4ED2"/>
    <w:rsid w:val="001E13BE"/>
    <w:rsid w:val="001E26F7"/>
    <w:rsid w:val="001E4902"/>
    <w:rsid w:val="001E7152"/>
    <w:rsid w:val="001F1D95"/>
    <w:rsid w:val="001F3160"/>
    <w:rsid w:val="001F3516"/>
    <w:rsid w:val="001F3637"/>
    <w:rsid w:val="001F4794"/>
    <w:rsid w:val="001F513C"/>
    <w:rsid w:val="001F5CD3"/>
    <w:rsid w:val="001F750F"/>
    <w:rsid w:val="00200F58"/>
    <w:rsid w:val="002017D8"/>
    <w:rsid w:val="00201BA9"/>
    <w:rsid w:val="00202B09"/>
    <w:rsid w:val="00202BA7"/>
    <w:rsid w:val="00203588"/>
    <w:rsid w:val="00204280"/>
    <w:rsid w:val="0020430D"/>
    <w:rsid w:val="00204592"/>
    <w:rsid w:val="00204F84"/>
    <w:rsid w:val="002051C2"/>
    <w:rsid w:val="00206BE7"/>
    <w:rsid w:val="00210002"/>
    <w:rsid w:val="00211767"/>
    <w:rsid w:val="00213FB5"/>
    <w:rsid w:val="00214C1B"/>
    <w:rsid w:val="002164B6"/>
    <w:rsid w:val="00220C4C"/>
    <w:rsid w:val="00221AB0"/>
    <w:rsid w:val="00222675"/>
    <w:rsid w:val="0022273D"/>
    <w:rsid w:val="00226236"/>
    <w:rsid w:val="002270B5"/>
    <w:rsid w:val="00232F03"/>
    <w:rsid w:val="002334EF"/>
    <w:rsid w:val="00233C0B"/>
    <w:rsid w:val="002357E5"/>
    <w:rsid w:val="00236CD9"/>
    <w:rsid w:val="00236FB6"/>
    <w:rsid w:val="002374A3"/>
    <w:rsid w:val="002411DA"/>
    <w:rsid w:val="002429A6"/>
    <w:rsid w:val="0024342B"/>
    <w:rsid w:val="00243848"/>
    <w:rsid w:val="00244CDE"/>
    <w:rsid w:val="0024520D"/>
    <w:rsid w:val="00245C97"/>
    <w:rsid w:val="00245EC3"/>
    <w:rsid w:val="00245EF7"/>
    <w:rsid w:val="00247F11"/>
    <w:rsid w:val="00250FAF"/>
    <w:rsid w:val="00251DC6"/>
    <w:rsid w:val="00252468"/>
    <w:rsid w:val="00252A52"/>
    <w:rsid w:val="00252D78"/>
    <w:rsid w:val="002548B0"/>
    <w:rsid w:val="0025779E"/>
    <w:rsid w:val="002600B7"/>
    <w:rsid w:val="00261778"/>
    <w:rsid w:val="0026181F"/>
    <w:rsid w:val="00261CF2"/>
    <w:rsid w:val="00262512"/>
    <w:rsid w:val="00264135"/>
    <w:rsid w:val="00265BEA"/>
    <w:rsid w:val="00265E83"/>
    <w:rsid w:val="00267773"/>
    <w:rsid w:val="00267C95"/>
    <w:rsid w:val="0027061E"/>
    <w:rsid w:val="002729D8"/>
    <w:rsid w:val="00275667"/>
    <w:rsid w:val="00275F89"/>
    <w:rsid w:val="0027630C"/>
    <w:rsid w:val="002769CB"/>
    <w:rsid w:val="00276F09"/>
    <w:rsid w:val="00277823"/>
    <w:rsid w:val="0028021D"/>
    <w:rsid w:val="0028210D"/>
    <w:rsid w:val="0028677A"/>
    <w:rsid w:val="0028752D"/>
    <w:rsid w:val="0029208C"/>
    <w:rsid w:val="00292A04"/>
    <w:rsid w:val="00292A7F"/>
    <w:rsid w:val="002937AE"/>
    <w:rsid w:val="0029724E"/>
    <w:rsid w:val="002972DD"/>
    <w:rsid w:val="00297A83"/>
    <w:rsid w:val="00297B61"/>
    <w:rsid w:val="002A107E"/>
    <w:rsid w:val="002A1BED"/>
    <w:rsid w:val="002A3F8B"/>
    <w:rsid w:val="002A4AE5"/>
    <w:rsid w:val="002A4E3D"/>
    <w:rsid w:val="002A4ECB"/>
    <w:rsid w:val="002A7F83"/>
    <w:rsid w:val="002B2388"/>
    <w:rsid w:val="002B2416"/>
    <w:rsid w:val="002B2A81"/>
    <w:rsid w:val="002B3E54"/>
    <w:rsid w:val="002B484A"/>
    <w:rsid w:val="002B4B93"/>
    <w:rsid w:val="002B54B5"/>
    <w:rsid w:val="002B7984"/>
    <w:rsid w:val="002B7CC1"/>
    <w:rsid w:val="002C1651"/>
    <w:rsid w:val="002C4C45"/>
    <w:rsid w:val="002C563A"/>
    <w:rsid w:val="002D1613"/>
    <w:rsid w:val="002D1D72"/>
    <w:rsid w:val="002D1FDB"/>
    <w:rsid w:val="002D2F24"/>
    <w:rsid w:val="002D40F7"/>
    <w:rsid w:val="002D4158"/>
    <w:rsid w:val="002D487D"/>
    <w:rsid w:val="002D5A6D"/>
    <w:rsid w:val="002D728C"/>
    <w:rsid w:val="002E05E1"/>
    <w:rsid w:val="002E2CAD"/>
    <w:rsid w:val="002E2E17"/>
    <w:rsid w:val="002E5065"/>
    <w:rsid w:val="002E6D6B"/>
    <w:rsid w:val="002E7C8F"/>
    <w:rsid w:val="002E7DD3"/>
    <w:rsid w:val="002E7FD5"/>
    <w:rsid w:val="002F022E"/>
    <w:rsid w:val="002F27C9"/>
    <w:rsid w:val="002F5750"/>
    <w:rsid w:val="002F6CB2"/>
    <w:rsid w:val="002F72F0"/>
    <w:rsid w:val="003003C5"/>
    <w:rsid w:val="003003CF"/>
    <w:rsid w:val="003012DD"/>
    <w:rsid w:val="00302FE0"/>
    <w:rsid w:val="00303768"/>
    <w:rsid w:val="00303E7E"/>
    <w:rsid w:val="003048BF"/>
    <w:rsid w:val="00311090"/>
    <w:rsid w:val="00311917"/>
    <w:rsid w:val="00320054"/>
    <w:rsid w:val="003205F3"/>
    <w:rsid w:val="003211DC"/>
    <w:rsid w:val="003212F7"/>
    <w:rsid w:val="0032535F"/>
    <w:rsid w:val="00325BAF"/>
    <w:rsid w:val="0032782B"/>
    <w:rsid w:val="00327DA2"/>
    <w:rsid w:val="00335D38"/>
    <w:rsid w:val="00336CAC"/>
    <w:rsid w:val="003412AF"/>
    <w:rsid w:val="00341DA9"/>
    <w:rsid w:val="00343974"/>
    <w:rsid w:val="00345A01"/>
    <w:rsid w:val="00351C5E"/>
    <w:rsid w:val="00352E88"/>
    <w:rsid w:val="003552BF"/>
    <w:rsid w:val="00355783"/>
    <w:rsid w:val="00355F98"/>
    <w:rsid w:val="00356503"/>
    <w:rsid w:val="003567DB"/>
    <w:rsid w:val="00356C8B"/>
    <w:rsid w:val="00357236"/>
    <w:rsid w:val="0036130D"/>
    <w:rsid w:val="00361C95"/>
    <w:rsid w:val="00364E08"/>
    <w:rsid w:val="00365F33"/>
    <w:rsid w:val="003677E2"/>
    <w:rsid w:val="00370895"/>
    <w:rsid w:val="003716BB"/>
    <w:rsid w:val="00371C5C"/>
    <w:rsid w:val="003722C1"/>
    <w:rsid w:val="00372F3E"/>
    <w:rsid w:val="00374350"/>
    <w:rsid w:val="00376BCA"/>
    <w:rsid w:val="003815DC"/>
    <w:rsid w:val="0038269F"/>
    <w:rsid w:val="00382D0D"/>
    <w:rsid w:val="003847DF"/>
    <w:rsid w:val="0038526C"/>
    <w:rsid w:val="00386B89"/>
    <w:rsid w:val="00387916"/>
    <w:rsid w:val="00387BFA"/>
    <w:rsid w:val="0039050E"/>
    <w:rsid w:val="00390D9C"/>
    <w:rsid w:val="0039347F"/>
    <w:rsid w:val="00393BA3"/>
    <w:rsid w:val="003945B6"/>
    <w:rsid w:val="00394955"/>
    <w:rsid w:val="00394F4A"/>
    <w:rsid w:val="003A4317"/>
    <w:rsid w:val="003A4B12"/>
    <w:rsid w:val="003A6613"/>
    <w:rsid w:val="003A6D32"/>
    <w:rsid w:val="003A7AE6"/>
    <w:rsid w:val="003B0710"/>
    <w:rsid w:val="003B0F59"/>
    <w:rsid w:val="003B2DC2"/>
    <w:rsid w:val="003B3A9D"/>
    <w:rsid w:val="003B3AFE"/>
    <w:rsid w:val="003B46F7"/>
    <w:rsid w:val="003B5263"/>
    <w:rsid w:val="003B5C25"/>
    <w:rsid w:val="003B6FA5"/>
    <w:rsid w:val="003C0499"/>
    <w:rsid w:val="003C0B0F"/>
    <w:rsid w:val="003C10A2"/>
    <w:rsid w:val="003C19B3"/>
    <w:rsid w:val="003C2457"/>
    <w:rsid w:val="003C2DCB"/>
    <w:rsid w:val="003C4237"/>
    <w:rsid w:val="003C6EB8"/>
    <w:rsid w:val="003D0839"/>
    <w:rsid w:val="003D0FB9"/>
    <w:rsid w:val="003D15EF"/>
    <w:rsid w:val="003D3F72"/>
    <w:rsid w:val="003D496F"/>
    <w:rsid w:val="003E0571"/>
    <w:rsid w:val="003E0C07"/>
    <w:rsid w:val="003E0EE0"/>
    <w:rsid w:val="003E1ADC"/>
    <w:rsid w:val="003E32EB"/>
    <w:rsid w:val="003E3DAB"/>
    <w:rsid w:val="003E49BB"/>
    <w:rsid w:val="003E7F15"/>
    <w:rsid w:val="003F20CC"/>
    <w:rsid w:val="003F24C0"/>
    <w:rsid w:val="003F5EB0"/>
    <w:rsid w:val="003F5ECC"/>
    <w:rsid w:val="003F6381"/>
    <w:rsid w:val="003F6FD8"/>
    <w:rsid w:val="003F7C56"/>
    <w:rsid w:val="004002B7"/>
    <w:rsid w:val="0040086F"/>
    <w:rsid w:val="00401709"/>
    <w:rsid w:val="0040342E"/>
    <w:rsid w:val="004035CF"/>
    <w:rsid w:val="00403BBF"/>
    <w:rsid w:val="00404AC4"/>
    <w:rsid w:val="004052EE"/>
    <w:rsid w:val="00405E17"/>
    <w:rsid w:val="00405F87"/>
    <w:rsid w:val="004065CB"/>
    <w:rsid w:val="0040665B"/>
    <w:rsid w:val="00406E95"/>
    <w:rsid w:val="004078DA"/>
    <w:rsid w:val="00407F6C"/>
    <w:rsid w:val="00410588"/>
    <w:rsid w:val="00411430"/>
    <w:rsid w:val="0041265B"/>
    <w:rsid w:val="004156A8"/>
    <w:rsid w:val="00416B86"/>
    <w:rsid w:val="00417993"/>
    <w:rsid w:val="00420FE7"/>
    <w:rsid w:val="00421925"/>
    <w:rsid w:val="00424332"/>
    <w:rsid w:val="00424E07"/>
    <w:rsid w:val="00425986"/>
    <w:rsid w:val="00426CC5"/>
    <w:rsid w:val="00427A7A"/>
    <w:rsid w:val="00430AA1"/>
    <w:rsid w:val="00432120"/>
    <w:rsid w:val="00432A84"/>
    <w:rsid w:val="0043580A"/>
    <w:rsid w:val="0043626A"/>
    <w:rsid w:val="00440E76"/>
    <w:rsid w:val="004417FD"/>
    <w:rsid w:val="00441CE2"/>
    <w:rsid w:val="00442B5C"/>
    <w:rsid w:val="004438B4"/>
    <w:rsid w:val="00444368"/>
    <w:rsid w:val="00444A1F"/>
    <w:rsid w:val="0044546D"/>
    <w:rsid w:val="00450CF7"/>
    <w:rsid w:val="0045293A"/>
    <w:rsid w:val="00460497"/>
    <w:rsid w:val="0046094E"/>
    <w:rsid w:val="00460CA7"/>
    <w:rsid w:val="0046148F"/>
    <w:rsid w:val="00461838"/>
    <w:rsid w:val="0046398E"/>
    <w:rsid w:val="00464D6A"/>
    <w:rsid w:val="00466195"/>
    <w:rsid w:val="00470C73"/>
    <w:rsid w:val="00471B32"/>
    <w:rsid w:val="004722A8"/>
    <w:rsid w:val="00472CA1"/>
    <w:rsid w:val="00473704"/>
    <w:rsid w:val="00473FA8"/>
    <w:rsid w:val="00474751"/>
    <w:rsid w:val="00474BDF"/>
    <w:rsid w:val="00475467"/>
    <w:rsid w:val="0047551E"/>
    <w:rsid w:val="00475907"/>
    <w:rsid w:val="00476168"/>
    <w:rsid w:val="00476F15"/>
    <w:rsid w:val="00480B82"/>
    <w:rsid w:val="004810AD"/>
    <w:rsid w:val="00482BC2"/>
    <w:rsid w:val="00482E00"/>
    <w:rsid w:val="0048300F"/>
    <w:rsid w:val="00484145"/>
    <w:rsid w:val="00484879"/>
    <w:rsid w:val="00484EAE"/>
    <w:rsid w:val="004857A7"/>
    <w:rsid w:val="00485A6B"/>
    <w:rsid w:val="00485C0B"/>
    <w:rsid w:val="00486862"/>
    <w:rsid w:val="00487300"/>
    <w:rsid w:val="004906D9"/>
    <w:rsid w:val="00490846"/>
    <w:rsid w:val="0049283F"/>
    <w:rsid w:val="00492D5E"/>
    <w:rsid w:val="0049317D"/>
    <w:rsid w:val="0049348B"/>
    <w:rsid w:val="004943F0"/>
    <w:rsid w:val="00494799"/>
    <w:rsid w:val="0049532B"/>
    <w:rsid w:val="0049532D"/>
    <w:rsid w:val="004953B5"/>
    <w:rsid w:val="00495D90"/>
    <w:rsid w:val="004A0CF9"/>
    <w:rsid w:val="004A0D73"/>
    <w:rsid w:val="004A249F"/>
    <w:rsid w:val="004A2510"/>
    <w:rsid w:val="004A2F26"/>
    <w:rsid w:val="004A308C"/>
    <w:rsid w:val="004A6894"/>
    <w:rsid w:val="004A7AF8"/>
    <w:rsid w:val="004A7F59"/>
    <w:rsid w:val="004B0DE0"/>
    <w:rsid w:val="004B14A9"/>
    <w:rsid w:val="004B14C5"/>
    <w:rsid w:val="004B1BAD"/>
    <w:rsid w:val="004B5BC0"/>
    <w:rsid w:val="004B5E0D"/>
    <w:rsid w:val="004B67B5"/>
    <w:rsid w:val="004B6C43"/>
    <w:rsid w:val="004B7036"/>
    <w:rsid w:val="004B7227"/>
    <w:rsid w:val="004B7645"/>
    <w:rsid w:val="004C01D2"/>
    <w:rsid w:val="004C196C"/>
    <w:rsid w:val="004C5BBE"/>
    <w:rsid w:val="004C5ED4"/>
    <w:rsid w:val="004D022B"/>
    <w:rsid w:val="004D112B"/>
    <w:rsid w:val="004D57A2"/>
    <w:rsid w:val="004D6022"/>
    <w:rsid w:val="004D64B8"/>
    <w:rsid w:val="004E0244"/>
    <w:rsid w:val="004E0CC3"/>
    <w:rsid w:val="004E3074"/>
    <w:rsid w:val="004E3596"/>
    <w:rsid w:val="004E6347"/>
    <w:rsid w:val="004E7963"/>
    <w:rsid w:val="004E7C4E"/>
    <w:rsid w:val="004F041A"/>
    <w:rsid w:val="004F0870"/>
    <w:rsid w:val="004F0C01"/>
    <w:rsid w:val="004F1A74"/>
    <w:rsid w:val="004F21D1"/>
    <w:rsid w:val="004F2CA6"/>
    <w:rsid w:val="004F4A0C"/>
    <w:rsid w:val="004F4E39"/>
    <w:rsid w:val="004F50A1"/>
    <w:rsid w:val="004F56EB"/>
    <w:rsid w:val="004F6404"/>
    <w:rsid w:val="004F7896"/>
    <w:rsid w:val="004F7FD1"/>
    <w:rsid w:val="0050302B"/>
    <w:rsid w:val="0050513E"/>
    <w:rsid w:val="005067B2"/>
    <w:rsid w:val="00510BE4"/>
    <w:rsid w:val="00510CB2"/>
    <w:rsid w:val="005116A9"/>
    <w:rsid w:val="005126B5"/>
    <w:rsid w:val="00513E9E"/>
    <w:rsid w:val="00514AC5"/>
    <w:rsid w:val="0051507C"/>
    <w:rsid w:val="00515ECD"/>
    <w:rsid w:val="005164D6"/>
    <w:rsid w:val="00516657"/>
    <w:rsid w:val="005201FC"/>
    <w:rsid w:val="00521817"/>
    <w:rsid w:val="00523554"/>
    <w:rsid w:val="0052405C"/>
    <w:rsid w:val="005250C0"/>
    <w:rsid w:val="0052584B"/>
    <w:rsid w:val="00525988"/>
    <w:rsid w:val="0052740C"/>
    <w:rsid w:val="00527839"/>
    <w:rsid w:val="00527A1C"/>
    <w:rsid w:val="00530EDB"/>
    <w:rsid w:val="00532D2D"/>
    <w:rsid w:val="00533C53"/>
    <w:rsid w:val="005344B8"/>
    <w:rsid w:val="00535460"/>
    <w:rsid w:val="00535569"/>
    <w:rsid w:val="00535927"/>
    <w:rsid w:val="00535A85"/>
    <w:rsid w:val="00536570"/>
    <w:rsid w:val="005403F1"/>
    <w:rsid w:val="00543D05"/>
    <w:rsid w:val="00543D2D"/>
    <w:rsid w:val="0055409E"/>
    <w:rsid w:val="005542C2"/>
    <w:rsid w:val="0055455F"/>
    <w:rsid w:val="005569F6"/>
    <w:rsid w:val="00560322"/>
    <w:rsid w:val="00560656"/>
    <w:rsid w:val="00561986"/>
    <w:rsid w:val="00561F92"/>
    <w:rsid w:val="0056330B"/>
    <w:rsid w:val="0056486B"/>
    <w:rsid w:val="00566C32"/>
    <w:rsid w:val="005774BA"/>
    <w:rsid w:val="00582515"/>
    <w:rsid w:val="00583541"/>
    <w:rsid w:val="00585021"/>
    <w:rsid w:val="00585959"/>
    <w:rsid w:val="005869D8"/>
    <w:rsid w:val="00586A56"/>
    <w:rsid w:val="00590578"/>
    <w:rsid w:val="00594C2C"/>
    <w:rsid w:val="00595CBC"/>
    <w:rsid w:val="0059604A"/>
    <w:rsid w:val="00596522"/>
    <w:rsid w:val="00596B20"/>
    <w:rsid w:val="00597136"/>
    <w:rsid w:val="005A012A"/>
    <w:rsid w:val="005A063C"/>
    <w:rsid w:val="005A102C"/>
    <w:rsid w:val="005A1230"/>
    <w:rsid w:val="005A2565"/>
    <w:rsid w:val="005A3D85"/>
    <w:rsid w:val="005A45F8"/>
    <w:rsid w:val="005A6E8F"/>
    <w:rsid w:val="005A7954"/>
    <w:rsid w:val="005B5FE4"/>
    <w:rsid w:val="005B6B63"/>
    <w:rsid w:val="005B78EB"/>
    <w:rsid w:val="005C0B01"/>
    <w:rsid w:val="005C25A5"/>
    <w:rsid w:val="005C4A5F"/>
    <w:rsid w:val="005C587B"/>
    <w:rsid w:val="005C5E46"/>
    <w:rsid w:val="005C6EEF"/>
    <w:rsid w:val="005D1A91"/>
    <w:rsid w:val="005D345B"/>
    <w:rsid w:val="005D3DA2"/>
    <w:rsid w:val="005D62C1"/>
    <w:rsid w:val="005D7C43"/>
    <w:rsid w:val="005E0F46"/>
    <w:rsid w:val="005E15F3"/>
    <w:rsid w:val="005E268F"/>
    <w:rsid w:val="005E7107"/>
    <w:rsid w:val="005E76A9"/>
    <w:rsid w:val="005E76D0"/>
    <w:rsid w:val="005F176E"/>
    <w:rsid w:val="005F17C5"/>
    <w:rsid w:val="005F1949"/>
    <w:rsid w:val="005F5BF2"/>
    <w:rsid w:val="00600431"/>
    <w:rsid w:val="00603980"/>
    <w:rsid w:val="0061000F"/>
    <w:rsid w:val="00610C0D"/>
    <w:rsid w:val="006127D9"/>
    <w:rsid w:val="006143FB"/>
    <w:rsid w:val="006208A8"/>
    <w:rsid w:val="00620E67"/>
    <w:rsid w:val="00622678"/>
    <w:rsid w:val="0062349E"/>
    <w:rsid w:val="006236BF"/>
    <w:rsid w:val="00623E2D"/>
    <w:rsid w:val="0062499D"/>
    <w:rsid w:val="00625407"/>
    <w:rsid w:val="00625C8B"/>
    <w:rsid w:val="00626179"/>
    <w:rsid w:val="00630372"/>
    <w:rsid w:val="00632E57"/>
    <w:rsid w:val="0063361E"/>
    <w:rsid w:val="0063546F"/>
    <w:rsid w:val="0064128C"/>
    <w:rsid w:val="006431BA"/>
    <w:rsid w:val="00645637"/>
    <w:rsid w:val="00645EA2"/>
    <w:rsid w:val="0065095E"/>
    <w:rsid w:val="006520F4"/>
    <w:rsid w:val="00654E69"/>
    <w:rsid w:val="00655B31"/>
    <w:rsid w:val="00655D57"/>
    <w:rsid w:val="00656D5B"/>
    <w:rsid w:val="00660E6B"/>
    <w:rsid w:val="00661829"/>
    <w:rsid w:val="00661B50"/>
    <w:rsid w:val="00663823"/>
    <w:rsid w:val="00664B2B"/>
    <w:rsid w:val="006660FB"/>
    <w:rsid w:val="0066647D"/>
    <w:rsid w:val="00666E29"/>
    <w:rsid w:val="00667874"/>
    <w:rsid w:val="00670529"/>
    <w:rsid w:val="00670952"/>
    <w:rsid w:val="006737B4"/>
    <w:rsid w:val="006738DF"/>
    <w:rsid w:val="0067528F"/>
    <w:rsid w:val="00676DA3"/>
    <w:rsid w:val="006778C4"/>
    <w:rsid w:val="006803B5"/>
    <w:rsid w:val="0068174A"/>
    <w:rsid w:val="00682319"/>
    <w:rsid w:val="00682668"/>
    <w:rsid w:val="00683929"/>
    <w:rsid w:val="006849BE"/>
    <w:rsid w:val="00685B7C"/>
    <w:rsid w:val="00686271"/>
    <w:rsid w:val="00686E26"/>
    <w:rsid w:val="006872B1"/>
    <w:rsid w:val="0069082A"/>
    <w:rsid w:val="00694EDC"/>
    <w:rsid w:val="00695C68"/>
    <w:rsid w:val="0069715A"/>
    <w:rsid w:val="00697228"/>
    <w:rsid w:val="006A3A42"/>
    <w:rsid w:val="006A40CE"/>
    <w:rsid w:val="006A4885"/>
    <w:rsid w:val="006A6F1E"/>
    <w:rsid w:val="006B05C7"/>
    <w:rsid w:val="006B0BEA"/>
    <w:rsid w:val="006B15E3"/>
    <w:rsid w:val="006B2117"/>
    <w:rsid w:val="006B5F2D"/>
    <w:rsid w:val="006B649C"/>
    <w:rsid w:val="006B7888"/>
    <w:rsid w:val="006B7E43"/>
    <w:rsid w:val="006C1783"/>
    <w:rsid w:val="006C1BFB"/>
    <w:rsid w:val="006C37AC"/>
    <w:rsid w:val="006C4256"/>
    <w:rsid w:val="006C47FA"/>
    <w:rsid w:val="006C6267"/>
    <w:rsid w:val="006C6587"/>
    <w:rsid w:val="006D0F03"/>
    <w:rsid w:val="006D2628"/>
    <w:rsid w:val="006D3D97"/>
    <w:rsid w:val="006D436F"/>
    <w:rsid w:val="006E0F1D"/>
    <w:rsid w:val="006E1463"/>
    <w:rsid w:val="006E1740"/>
    <w:rsid w:val="006E20E7"/>
    <w:rsid w:val="006E355C"/>
    <w:rsid w:val="006E549B"/>
    <w:rsid w:val="006E5BDD"/>
    <w:rsid w:val="006F06E3"/>
    <w:rsid w:val="006F11B7"/>
    <w:rsid w:val="006F17B6"/>
    <w:rsid w:val="006F251E"/>
    <w:rsid w:val="006F42E3"/>
    <w:rsid w:val="006F5365"/>
    <w:rsid w:val="006F6EE4"/>
    <w:rsid w:val="00700273"/>
    <w:rsid w:val="00700D42"/>
    <w:rsid w:val="00701502"/>
    <w:rsid w:val="00701F4C"/>
    <w:rsid w:val="0070408E"/>
    <w:rsid w:val="00704691"/>
    <w:rsid w:val="00706FB3"/>
    <w:rsid w:val="007073F5"/>
    <w:rsid w:val="00711D95"/>
    <w:rsid w:val="00713A58"/>
    <w:rsid w:val="007146D1"/>
    <w:rsid w:val="00715C03"/>
    <w:rsid w:val="00717ABD"/>
    <w:rsid w:val="00720BFB"/>
    <w:rsid w:val="00725BCB"/>
    <w:rsid w:val="00727CCB"/>
    <w:rsid w:val="0073101C"/>
    <w:rsid w:val="007323F5"/>
    <w:rsid w:val="00733DBE"/>
    <w:rsid w:val="00733EE7"/>
    <w:rsid w:val="00733FC8"/>
    <w:rsid w:val="00736444"/>
    <w:rsid w:val="00736649"/>
    <w:rsid w:val="007368B9"/>
    <w:rsid w:val="0073732B"/>
    <w:rsid w:val="00740E5C"/>
    <w:rsid w:val="00741448"/>
    <w:rsid w:val="00744A82"/>
    <w:rsid w:val="00744F3F"/>
    <w:rsid w:val="0074739B"/>
    <w:rsid w:val="007476A1"/>
    <w:rsid w:val="0075362A"/>
    <w:rsid w:val="00754794"/>
    <w:rsid w:val="007554E1"/>
    <w:rsid w:val="00755538"/>
    <w:rsid w:val="00756450"/>
    <w:rsid w:val="00756FFC"/>
    <w:rsid w:val="00760727"/>
    <w:rsid w:val="007614D6"/>
    <w:rsid w:val="007615BD"/>
    <w:rsid w:val="007711E7"/>
    <w:rsid w:val="007732AD"/>
    <w:rsid w:val="00773427"/>
    <w:rsid w:val="0077429C"/>
    <w:rsid w:val="0077699A"/>
    <w:rsid w:val="00776F26"/>
    <w:rsid w:val="00777E6F"/>
    <w:rsid w:val="00777FA7"/>
    <w:rsid w:val="00780113"/>
    <w:rsid w:val="00780353"/>
    <w:rsid w:val="00783AAF"/>
    <w:rsid w:val="00785078"/>
    <w:rsid w:val="00787C7B"/>
    <w:rsid w:val="007907B3"/>
    <w:rsid w:val="0079294E"/>
    <w:rsid w:val="007938B0"/>
    <w:rsid w:val="007945C9"/>
    <w:rsid w:val="007947FA"/>
    <w:rsid w:val="0079531E"/>
    <w:rsid w:val="00795F87"/>
    <w:rsid w:val="007975C8"/>
    <w:rsid w:val="00797EA7"/>
    <w:rsid w:val="007A243A"/>
    <w:rsid w:val="007A4A49"/>
    <w:rsid w:val="007A4DB6"/>
    <w:rsid w:val="007A58D5"/>
    <w:rsid w:val="007A6061"/>
    <w:rsid w:val="007B01FD"/>
    <w:rsid w:val="007B2FDB"/>
    <w:rsid w:val="007B4D4A"/>
    <w:rsid w:val="007B50F3"/>
    <w:rsid w:val="007B544E"/>
    <w:rsid w:val="007B5F38"/>
    <w:rsid w:val="007B6EFF"/>
    <w:rsid w:val="007B7B63"/>
    <w:rsid w:val="007B7D97"/>
    <w:rsid w:val="007C1BA3"/>
    <w:rsid w:val="007C2346"/>
    <w:rsid w:val="007C30F2"/>
    <w:rsid w:val="007C7428"/>
    <w:rsid w:val="007C7A5D"/>
    <w:rsid w:val="007C7BFC"/>
    <w:rsid w:val="007D1CDC"/>
    <w:rsid w:val="007D1ED6"/>
    <w:rsid w:val="007D2F1E"/>
    <w:rsid w:val="007D4849"/>
    <w:rsid w:val="007D4F9A"/>
    <w:rsid w:val="007D553C"/>
    <w:rsid w:val="007D71F0"/>
    <w:rsid w:val="007E0D79"/>
    <w:rsid w:val="007E0EFA"/>
    <w:rsid w:val="007E2C03"/>
    <w:rsid w:val="007E3176"/>
    <w:rsid w:val="007E4988"/>
    <w:rsid w:val="007E53F1"/>
    <w:rsid w:val="007E5644"/>
    <w:rsid w:val="007F112A"/>
    <w:rsid w:val="007F32D3"/>
    <w:rsid w:val="007F4467"/>
    <w:rsid w:val="007F6A36"/>
    <w:rsid w:val="007F6B54"/>
    <w:rsid w:val="00800939"/>
    <w:rsid w:val="00800F00"/>
    <w:rsid w:val="00800F77"/>
    <w:rsid w:val="00800FB0"/>
    <w:rsid w:val="00803001"/>
    <w:rsid w:val="00803B81"/>
    <w:rsid w:val="00805E7D"/>
    <w:rsid w:val="008066A7"/>
    <w:rsid w:val="00807656"/>
    <w:rsid w:val="008100E9"/>
    <w:rsid w:val="00811826"/>
    <w:rsid w:val="00811B7B"/>
    <w:rsid w:val="008138C2"/>
    <w:rsid w:val="00815A59"/>
    <w:rsid w:val="00815CCB"/>
    <w:rsid w:val="00820504"/>
    <w:rsid w:val="00820BBE"/>
    <w:rsid w:val="0082399C"/>
    <w:rsid w:val="008248A5"/>
    <w:rsid w:val="00824C4C"/>
    <w:rsid w:val="008251B9"/>
    <w:rsid w:val="00825415"/>
    <w:rsid w:val="008255B9"/>
    <w:rsid w:val="00825901"/>
    <w:rsid w:val="0082703A"/>
    <w:rsid w:val="0083064A"/>
    <w:rsid w:val="00830B34"/>
    <w:rsid w:val="008317F7"/>
    <w:rsid w:val="0083250D"/>
    <w:rsid w:val="00836BD9"/>
    <w:rsid w:val="00837980"/>
    <w:rsid w:val="00841AB4"/>
    <w:rsid w:val="00841CDB"/>
    <w:rsid w:val="00841E62"/>
    <w:rsid w:val="00844452"/>
    <w:rsid w:val="00844748"/>
    <w:rsid w:val="00844FDD"/>
    <w:rsid w:val="00846A6F"/>
    <w:rsid w:val="00847AFD"/>
    <w:rsid w:val="00850269"/>
    <w:rsid w:val="00850AA6"/>
    <w:rsid w:val="00852030"/>
    <w:rsid w:val="00852AAE"/>
    <w:rsid w:val="0085382E"/>
    <w:rsid w:val="00857E43"/>
    <w:rsid w:val="00860004"/>
    <w:rsid w:val="008602FB"/>
    <w:rsid w:val="00860A1E"/>
    <w:rsid w:val="00861BF6"/>
    <w:rsid w:val="00862162"/>
    <w:rsid w:val="0086274E"/>
    <w:rsid w:val="00863DBF"/>
    <w:rsid w:val="008641ED"/>
    <w:rsid w:val="00864A61"/>
    <w:rsid w:val="00865CC4"/>
    <w:rsid w:val="00865D80"/>
    <w:rsid w:val="00871C59"/>
    <w:rsid w:val="00872D0B"/>
    <w:rsid w:val="0087657F"/>
    <w:rsid w:val="008770CD"/>
    <w:rsid w:val="008816F8"/>
    <w:rsid w:val="00881C5B"/>
    <w:rsid w:val="008840F8"/>
    <w:rsid w:val="0088523F"/>
    <w:rsid w:val="008855C7"/>
    <w:rsid w:val="0088581D"/>
    <w:rsid w:val="00886866"/>
    <w:rsid w:val="008907E5"/>
    <w:rsid w:val="00890F8F"/>
    <w:rsid w:val="008911F8"/>
    <w:rsid w:val="00891326"/>
    <w:rsid w:val="008939AE"/>
    <w:rsid w:val="008950BE"/>
    <w:rsid w:val="008979FD"/>
    <w:rsid w:val="008A1647"/>
    <w:rsid w:val="008A2FC8"/>
    <w:rsid w:val="008A4645"/>
    <w:rsid w:val="008A5CB5"/>
    <w:rsid w:val="008A71B8"/>
    <w:rsid w:val="008B09A2"/>
    <w:rsid w:val="008B1633"/>
    <w:rsid w:val="008B168F"/>
    <w:rsid w:val="008B2121"/>
    <w:rsid w:val="008B23BD"/>
    <w:rsid w:val="008B24CA"/>
    <w:rsid w:val="008B49A1"/>
    <w:rsid w:val="008B643D"/>
    <w:rsid w:val="008B78AD"/>
    <w:rsid w:val="008C0308"/>
    <w:rsid w:val="008C28E1"/>
    <w:rsid w:val="008C6680"/>
    <w:rsid w:val="008C695D"/>
    <w:rsid w:val="008C707A"/>
    <w:rsid w:val="008D121E"/>
    <w:rsid w:val="008D1E9E"/>
    <w:rsid w:val="008D4116"/>
    <w:rsid w:val="008D4252"/>
    <w:rsid w:val="008D4E6F"/>
    <w:rsid w:val="008D502C"/>
    <w:rsid w:val="008D57B2"/>
    <w:rsid w:val="008D6C7D"/>
    <w:rsid w:val="008D6DAE"/>
    <w:rsid w:val="008E2A25"/>
    <w:rsid w:val="008E3F53"/>
    <w:rsid w:val="008E4486"/>
    <w:rsid w:val="008E5FB4"/>
    <w:rsid w:val="008E603E"/>
    <w:rsid w:val="008E63C1"/>
    <w:rsid w:val="008E7560"/>
    <w:rsid w:val="008F15C5"/>
    <w:rsid w:val="008F35F2"/>
    <w:rsid w:val="008F3796"/>
    <w:rsid w:val="008F3CEE"/>
    <w:rsid w:val="008F72DF"/>
    <w:rsid w:val="00901735"/>
    <w:rsid w:val="00903199"/>
    <w:rsid w:val="00903B24"/>
    <w:rsid w:val="009050C0"/>
    <w:rsid w:val="009051E0"/>
    <w:rsid w:val="00910755"/>
    <w:rsid w:val="00910804"/>
    <w:rsid w:val="00911303"/>
    <w:rsid w:val="009130E3"/>
    <w:rsid w:val="00913314"/>
    <w:rsid w:val="0091376D"/>
    <w:rsid w:val="00913DBE"/>
    <w:rsid w:val="009205B8"/>
    <w:rsid w:val="00922368"/>
    <w:rsid w:val="00923EBC"/>
    <w:rsid w:val="00924CBA"/>
    <w:rsid w:val="0092575C"/>
    <w:rsid w:val="00925FCC"/>
    <w:rsid w:val="00926473"/>
    <w:rsid w:val="00927FC9"/>
    <w:rsid w:val="009314B2"/>
    <w:rsid w:val="0093302F"/>
    <w:rsid w:val="00933470"/>
    <w:rsid w:val="0093374A"/>
    <w:rsid w:val="00933951"/>
    <w:rsid w:val="009357FF"/>
    <w:rsid w:val="00935D63"/>
    <w:rsid w:val="009361FA"/>
    <w:rsid w:val="00937173"/>
    <w:rsid w:val="00940F94"/>
    <w:rsid w:val="00941A7C"/>
    <w:rsid w:val="00942565"/>
    <w:rsid w:val="009441A9"/>
    <w:rsid w:val="00945B29"/>
    <w:rsid w:val="00946352"/>
    <w:rsid w:val="009514D6"/>
    <w:rsid w:val="00951EE8"/>
    <w:rsid w:val="009521EC"/>
    <w:rsid w:val="00952C9B"/>
    <w:rsid w:val="00953D70"/>
    <w:rsid w:val="00953F16"/>
    <w:rsid w:val="00954B27"/>
    <w:rsid w:val="00955548"/>
    <w:rsid w:val="00956514"/>
    <w:rsid w:val="00956BCC"/>
    <w:rsid w:val="009576A2"/>
    <w:rsid w:val="00957BDF"/>
    <w:rsid w:val="00962C35"/>
    <w:rsid w:val="009631D0"/>
    <w:rsid w:val="00964E4A"/>
    <w:rsid w:val="009652AD"/>
    <w:rsid w:val="00966C34"/>
    <w:rsid w:val="00970933"/>
    <w:rsid w:val="0097190D"/>
    <w:rsid w:val="00971B61"/>
    <w:rsid w:val="00974B19"/>
    <w:rsid w:val="00975E12"/>
    <w:rsid w:val="00977F78"/>
    <w:rsid w:val="00982C0E"/>
    <w:rsid w:val="00984A65"/>
    <w:rsid w:val="009864B4"/>
    <w:rsid w:val="00987F61"/>
    <w:rsid w:val="0099016C"/>
    <w:rsid w:val="009913EE"/>
    <w:rsid w:val="00991B26"/>
    <w:rsid w:val="0099330F"/>
    <w:rsid w:val="00993FBF"/>
    <w:rsid w:val="00995CAB"/>
    <w:rsid w:val="00996240"/>
    <w:rsid w:val="009963B6"/>
    <w:rsid w:val="00996DC4"/>
    <w:rsid w:val="00997938"/>
    <w:rsid w:val="009A1474"/>
    <w:rsid w:val="009A20E7"/>
    <w:rsid w:val="009A268F"/>
    <w:rsid w:val="009A2913"/>
    <w:rsid w:val="009A2F33"/>
    <w:rsid w:val="009A62A2"/>
    <w:rsid w:val="009A7CC5"/>
    <w:rsid w:val="009B01E1"/>
    <w:rsid w:val="009B0BDF"/>
    <w:rsid w:val="009B17CF"/>
    <w:rsid w:val="009B4C59"/>
    <w:rsid w:val="009C05A6"/>
    <w:rsid w:val="009C15CC"/>
    <w:rsid w:val="009C2262"/>
    <w:rsid w:val="009C2B5E"/>
    <w:rsid w:val="009C3268"/>
    <w:rsid w:val="009C557B"/>
    <w:rsid w:val="009C5B7F"/>
    <w:rsid w:val="009C6CE8"/>
    <w:rsid w:val="009D1FD6"/>
    <w:rsid w:val="009D36C0"/>
    <w:rsid w:val="009D4027"/>
    <w:rsid w:val="009D4ABD"/>
    <w:rsid w:val="009D6F2F"/>
    <w:rsid w:val="009D75AD"/>
    <w:rsid w:val="009E08AD"/>
    <w:rsid w:val="009E1D15"/>
    <w:rsid w:val="009E1D81"/>
    <w:rsid w:val="009E4CF7"/>
    <w:rsid w:val="009E4DCB"/>
    <w:rsid w:val="009F20EA"/>
    <w:rsid w:val="009F21DD"/>
    <w:rsid w:val="009F31D1"/>
    <w:rsid w:val="009F4603"/>
    <w:rsid w:val="009F5D37"/>
    <w:rsid w:val="009F5EF0"/>
    <w:rsid w:val="009F6EF4"/>
    <w:rsid w:val="009F7A17"/>
    <w:rsid w:val="00A00B9B"/>
    <w:rsid w:val="00A0185F"/>
    <w:rsid w:val="00A01A57"/>
    <w:rsid w:val="00A021FC"/>
    <w:rsid w:val="00A02E61"/>
    <w:rsid w:val="00A07A78"/>
    <w:rsid w:val="00A119D6"/>
    <w:rsid w:val="00A11F0B"/>
    <w:rsid w:val="00A12930"/>
    <w:rsid w:val="00A1300A"/>
    <w:rsid w:val="00A1385A"/>
    <w:rsid w:val="00A1447B"/>
    <w:rsid w:val="00A14FE6"/>
    <w:rsid w:val="00A20728"/>
    <w:rsid w:val="00A20C1D"/>
    <w:rsid w:val="00A20FAC"/>
    <w:rsid w:val="00A21380"/>
    <w:rsid w:val="00A21B22"/>
    <w:rsid w:val="00A229AF"/>
    <w:rsid w:val="00A23A33"/>
    <w:rsid w:val="00A2513F"/>
    <w:rsid w:val="00A261D8"/>
    <w:rsid w:val="00A279F4"/>
    <w:rsid w:val="00A279FC"/>
    <w:rsid w:val="00A3171C"/>
    <w:rsid w:val="00A318F5"/>
    <w:rsid w:val="00A32733"/>
    <w:rsid w:val="00A32C47"/>
    <w:rsid w:val="00A33B00"/>
    <w:rsid w:val="00A3405B"/>
    <w:rsid w:val="00A3727F"/>
    <w:rsid w:val="00A37FBD"/>
    <w:rsid w:val="00A402A9"/>
    <w:rsid w:val="00A416D2"/>
    <w:rsid w:val="00A47745"/>
    <w:rsid w:val="00A50E66"/>
    <w:rsid w:val="00A52555"/>
    <w:rsid w:val="00A52B82"/>
    <w:rsid w:val="00A53296"/>
    <w:rsid w:val="00A5614D"/>
    <w:rsid w:val="00A57822"/>
    <w:rsid w:val="00A61E3D"/>
    <w:rsid w:val="00A637E4"/>
    <w:rsid w:val="00A641C7"/>
    <w:rsid w:val="00A64553"/>
    <w:rsid w:val="00A647B7"/>
    <w:rsid w:val="00A700EE"/>
    <w:rsid w:val="00A7039E"/>
    <w:rsid w:val="00A71072"/>
    <w:rsid w:val="00A7150B"/>
    <w:rsid w:val="00A71C33"/>
    <w:rsid w:val="00A73019"/>
    <w:rsid w:val="00A7347C"/>
    <w:rsid w:val="00A745E7"/>
    <w:rsid w:val="00A74F75"/>
    <w:rsid w:val="00A75A22"/>
    <w:rsid w:val="00A75E4E"/>
    <w:rsid w:val="00A75FE5"/>
    <w:rsid w:val="00A77D3F"/>
    <w:rsid w:val="00A835FD"/>
    <w:rsid w:val="00A83A0E"/>
    <w:rsid w:val="00A83A82"/>
    <w:rsid w:val="00A83E16"/>
    <w:rsid w:val="00A86939"/>
    <w:rsid w:val="00A901CB"/>
    <w:rsid w:val="00A91718"/>
    <w:rsid w:val="00A9198B"/>
    <w:rsid w:val="00A92772"/>
    <w:rsid w:val="00A96198"/>
    <w:rsid w:val="00A962D5"/>
    <w:rsid w:val="00AA0D24"/>
    <w:rsid w:val="00AA277A"/>
    <w:rsid w:val="00AA33E8"/>
    <w:rsid w:val="00AA35DC"/>
    <w:rsid w:val="00AA37C1"/>
    <w:rsid w:val="00AA5A50"/>
    <w:rsid w:val="00AA5D0D"/>
    <w:rsid w:val="00AA5EDD"/>
    <w:rsid w:val="00AA61A8"/>
    <w:rsid w:val="00AB023A"/>
    <w:rsid w:val="00AB1120"/>
    <w:rsid w:val="00AB14C4"/>
    <w:rsid w:val="00AB2233"/>
    <w:rsid w:val="00AB39B5"/>
    <w:rsid w:val="00AB3EB9"/>
    <w:rsid w:val="00AB4E6D"/>
    <w:rsid w:val="00AB57B2"/>
    <w:rsid w:val="00AB5A3C"/>
    <w:rsid w:val="00AB631E"/>
    <w:rsid w:val="00AC296E"/>
    <w:rsid w:val="00AC2A30"/>
    <w:rsid w:val="00AC5C0E"/>
    <w:rsid w:val="00AC6804"/>
    <w:rsid w:val="00AC6C89"/>
    <w:rsid w:val="00AD1447"/>
    <w:rsid w:val="00AD19D1"/>
    <w:rsid w:val="00AD2BF7"/>
    <w:rsid w:val="00AD2CC7"/>
    <w:rsid w:val="00AD2EC1"/>
    <w:rsid w:val="00AD41C0"/>
    <w:rsid w:val="00AD44E5"/>
    <w:rsid w:val="00AD6262"/>
    <w:rsid w:val="00AD79ED"/>
    <w:rsid w:val="00AE031E"/>
    <w:rsid w:val="00AE2114"/>
    <w:rsid w:val="00AE2284"/>
    <w:rsid w:val="00AE319C"/>
    <w:rsid w:val="00AE392C"/>
    <w:rsid w:val="00AE39A9"/>
    <w:rsid w:val="00AE3AB5"/>
    <w:rsid w:val="00AE3D00"/>
    <w:rsid w:val="00AE7462"/>
    <w:rsid w:val="00AF1E53"/>
    <w:rsid w:val="00AF2F70"/>
    <w:rsid w:val="00AF3655"/>
    <w:rsid w:val="00AF3FDC"/>
    <w:rsid w:val="00AF527D"/>
    <w:rsid w:val="00AF5C5A"/>
    <w:rsid w:val="00AF6E33"/>
    <w:rsid w:val="00B00C41"/>
    <w:rsid w:val="00B0357D"/>
    <w:rsid w:val="00B0364C"/>
    <w:rsid w:val="00B04910"/>
    <w:rsid w:val="00B054D7"/>
    <w:rsid w:val="00B13D67"/>
    <w:rsid w:val="00B145D1"/>
    <w:rsid w:val="00B1629A"/>
    <w:rsid w:val="00B1774C"/>
    <w:rsid w:val="00B205B3"/>
    <w:rsid w:val="00B217F6"/>
    <w:rsid w:val="00B226A2"/>
    <w:rsid w:val="00B22955"/>
    <w:rsid w:val="00B233CB"/>
    <w:rsid w:val="00B25AFE"/>
    <w:rsid w:val="00B27B3D"/>
    <w:rsid w:val="00B30812"/>
    <w:rsid w:val="00B30E40"/>
    <w:rsid w:val="00B31C37"/>
    <w:rsid w:val="00B31D31"/>
    <w:rsid w:val="00B339F5"/>
    <w:rsid w:val="00B33E03"/>
    <w:rsid w:val="00B34B46"/>
    <w:rsid w:val="00B42155"/>
    <w:rsid w:val="00B47EA9"/>
    <w:rsid w:val="00B47F8B"/>
    <w:rsid w:val="00B517F9"/>
    <w:rsid w:val="00B52B68"/>
    <w:rsid w:val="00B5356E"/>
    <w:rsid w:val="00B545FD"/>
    <w:rsid w:val="00B54612"/>
    <w:rsid w:val="00B559FE"/>
    <w:rsid w:val="00B55AD1"/>
    <w:rsid w:val="00B56AD7"/>
    <w:rsid w:val="00B56DEF"/>
    <w:rsid w:val="00B60784"/>
    <w:rsid w:val="00B60EFB"/>
    <w:rsid w:val="00B62746"/>
    <w:rsid w:val="00B62F29"/>
    <w:rsid w:val="00B63DC1"/>
    <w:rsid w:val="00B64F8F"/>
    <w:rsid w:val="00B6564A"/>
    <w:rsid w:val="00B675A7"/>
    <w:rsid w:val="00B7036B"/>
    <w:rsid w:val="00B7214D"/>
    <w:rsid w:val="00B735CB"/>
    <w:rsid w:val="00B73A28"/>
    <w:rsid w:val="00B76D71"/>
    <w:rsid w:val="00B77101"/>
    <w:rsid w:val="00B80780"/>
    <w:rsid w:val="00B80BB9"/>
    <w:rsid w:val="00B820C6"/>
    <w:rsid w:val="00B82728"/>
    <w:rsid w:val="00B84F51"/>
    <w:rsid w:val="00B85879"/>
    <w:rsid w:val="00B86132"/>
    <w:rsid w:val="00B86232"/>
    <w:rsid w:val="00B865B2"/>
    <w:rsid w:val="00B86909"/>
    <w:rsid w:val="00B869CB"/>
    <w:rsid w:val="00B86CBF"/>
    <w:rsid w:val="00B902FA"/>
    <w:rsid w:val="00B917BD"/>
    <w:rsid w:val="00B92DC7"/>
    <w:rsid w:val="00B95BFC"/>
    <w:rsid w:val="00B95D1F"/>
    <w:rsid w:val="00B95FD9"/>
    <w:rsid w:val="00BA2375"/>
    <w:rsid w:val="00BA5158"/>
    <w:rsid w:val="00BA6572"/>
    <w:rsid w:val="00BA68C7"/>
    <w:rsid w:val="00BB0450"/>
    <w:rsid w:val="00BB1F26"/>
    <w:rsid w:val="00BB1F76"/>
    <w:rsid w:val="00BB36D5"/>
    <w:rsid w:val="00BB3D0B"/>
    <w:rsid w:val="00BB3F3B"/>
    <w:rsid w:val="00BC067B"/>
    <w:rsid w:val="00BC5030"/>
    <w:rsid w:val="00BC5C7A"/>
    <w:rsid w:val="00BC60D5"/>
    <w:rsid w:val="00BC78C8"/>
    <w:rsid w:val="00BC7A8F"/>
    <w:rsid w:val="00BD00D4"/>
    <w:rsid w:val="00BD0FC9"/>
    <w:rsid w:val="00BD4739"/>
    <w:rsid w:val="00BD6D78"/>
    <w:rsid w:val="00BD787F"/>
    <w:rsid w:val="00BE0866"/>
    <w:rsid w:val="00BE113B"/>
    <w:rsid w:val="00BE174C"/>
    <w:rsid w:val="00BE1CE1"/>
    <w:rsid w:val="00BE1F5D"/>
    <w:rsid w:val="00BE4AE2"/>
    <w:rsid w:val="00BE59D8"/>
    <w:rsid w:val="00BF780E"/>
    <w:rsid w:val="00C02706"/>
    <w:rsid w:val="00C02AF2"/>
    <w:rsid w:val="00C02B7A"/>
    <w:rsid w:val="00C03C50"/>
    <w:rsid w:val="00C041B7"/>
    <w:rsid w:val="00C043D3"/>
    <w:rsid w:val="00C04F2E"/>
    <w:rsid w:val="00C07F73"/>
    <w:rsid w:val="00C11038"/>
    <w:rsid w:val="00C12637"/>
    <w:rsid w:val="00C12C3E"/>
    <w:rsid w:val="00C13597"/>
    <w:rsid w:val="00C13A8A"/>
    <w:rsid w:val="00C14A79"/>
    <w:rsid w:val="00C15A54"/>
    <w:rsid w:val="00C16369"/>
    <w:rsid w:val="00C16F92"/>
    <w:rsid w:val="00C17FD4"/>
    <w:rsid w:val="00C23D22"/>
    <w:rsid w:val="00C25643"/>
    <w:rsid w:val="00C305E7"/>
    <w:rsid w:val="00C31384"/>
    <w:rsid w:val="00C32729"/>
    <w:rsid w:val="00C333E8"/>
    <w:rsid w:val="00C36F6B"/>
    <w:rsid w:val="00C4079F"/>
    <w:rsid w:val="00C42618"/>
    <w:rsid w:val="00C42781"/>
    <w:rsid w:val="00C43AAF"/>
    <w:rsid w:val="00C440AB"/>
    <w:rsid w:val="00C44597"/>
    <w:rsid w:val="00C448F1"/>
    <w:rsid w:val="00C44C41"/>
    <w:rsid w:val="00C512C2"/>
    <w:rsid w:val="00C516C0"/>
    <w:rsid w:val="00C51886"/>
    <w:rsid w:val="00C5291D"/>
    <w:rsid w:val="00C55307"/>
    <w:rsid w:val="00C56C6C"/>
    <w:rsid w:val="00C574B3"/>
    <w:rsid w:val="00C57571"/>
    <w:rsid w:val="00C615D5"/>
    <w:rsid w:val="00C63F8C"/>
    <w:rsid w:val="00C65147"/>
    <w:rsid w:val="00C705ED"/>
    <w:rsid w:val="00C72D43"/>
    <w:rsid w:val="00C73971"/>
    <w:rsid w:val="00C73BEA"/>
    <w:rsid w:val="00C7414A"/>
    <w:rsid w:val="00C748D8"/>
    <w:rsid w:val="00C74DDC"/>
    <w:rsid w:val="00C76388"/>
    <w:rsid w:val="00C80B9E"/>
    <w:rsid w:val="00C83F5E"/>
    <w:rsid w:val="00C84ED2"/>
    <w:rsid w:val="00C84F06"/>
    <w:rsid w:val="00C856BE"/>
    <w:rsid w:val="00C87543"/>
    <w:rsid w:val="00C919D0"/>
    <w:rsid w:val="00C92810"/>
    <w:rsid w:val="00C9309A"/>
    <w:rsid w:val="00C93837"/>
    <w:rsid w:val="00C9506C"/>
    <w:rsid w:val="00C95E83"/>
    <w:rsid w:val="00CA1FC4"/>
    <w:rsid w:val="00CA2F51"/>
    <w:rsid w:val="00CA4403"/>
    <w:rsid w:val="00CB08FF"/>
    <w:rsid w:val="00CB0F65"/>
    <w:rsid w:val="00CB24EA"/>
    <w:rsid w:val="00CB29D1"/>
    <w:rsid w:val="00CB38C0"/>
    <w:rsid w:val="00CB608E"/>
    <w:rsid w:val="00CB6A31"/>
    <w:rsid w:val="00CB6D00"/>
    <w:rsid w:val="00CC3C44"/>
    <w:rsid w:val="00CC43B3"/>
    <w:rsid w:val="00CC47BA"/>
    <w:rsid w:val="00CC6349"/>
    <w:rsid w:val="00CC69CF"/>
    <w:rsid w:val="00CC6EAE"/>
    <w:rsid w:val="00CC7FF2"/>
    <w:rsid w:val="00CD20DB"/>
    <w:rsid w:val="00CD4040"/>
    <w:rsid w:val="00CD4873"/>
    <w:rsid w:val="00CD609B"/>
    <w:rsid w:val="00CD6F7C"/>
    <w:rsid w:val="00CD7EC2"/>
    <w:rsid w:val="00CE1A57"/>
    <w:rsid w:val="00CE2A1E"/>
    <w:rsid w:val="00CE2F89"/>
    <w:rsid w:val="00CE4412"/>
    <w:rsid w:val="00CE62AF"/>
    <w:rsid w:val="00CE6928"/>
    <w:rsid w:val="00CF0A06"/>
    <w:rsid w:val="00CF1E2B"/>
    <w:rsid w:val="00CF4C41"/>
    <w:rsid w:val="00CF580C"/>
    <w:rsid w:val="00CF7011"/>
    <w:rsid w:val="00D0036D"/>
    <w:rsid w:val="00D014C0"/>
    <w:rsid w:val="00D03C7E"/>
    <w:rsid w:val="00D047B7"/>
    <w:rsid w:val="00D050A4"/>
    <w:rsid w:val="00D060B4"/>
    <w:rsid w:val="00D119A3"/>
    <w:rsid w:val="00D12789"/>
    <w:rsid w:val="00D13499"/>
    <w:rsid w:val="00D135A6"/>
    <w:rsid w:val="00D13EFC"/>
    <w:rsid w:val="00D16357"/>
    <w:rsid w:val="00D17BED"/>
    <w:rsid w:val="00D21790"/>
    <w:rsid w:val="00D221B4"/>
    <w:rsid w:val="00D2381D"/>
    <w:rsid w:val="00D23CA9"/>
    <w:rsid w:val="00D2695E"/>
    <w:rsid w:val="00D26F87"/>
    <w:rsid w:val="00D27E15"/>
    <w:rsid w:val="00D313DC"/>
    <w:rsid w:val="00D342B8"/>
    <w:rsid w:val="00D37296"/>
    <w:rsid w:val="00D37C63"/>
    <w:rsid w:val="00D40315"/>
    <w:rsid w:val="00D421BD"/>
    <w:rsid w:val="00D438B3"/>
    <w:rsid w:val="00D43A73"/>
    <w:rsid w:val="00D43D7E"/>
    <w:rsid w:val="00D44470"/>
    <w:rsid w:val="00D46FBB"/>
    <w:rsid w:val="00D51A2A"/>
    <w:rsid w:val="00D53355"/>
    <w:rsid w:val="00D54932"/>
    <w:rsid w:val="00D54D5F"/>
    <w:rsid w:val="00D55112"/>
    <w:rsid w:val="00D57C1F"/>
    <w:rsid w:val="00D57CA1"/>
    <w:rsid w:val="00D6141C"/>
    <w:rsid w:val="00D630B0"/>
    <w:rsid w:val="00D661B8"/>
    <w:rsid w:val="00D67254"/>
    <w:rsid w:val="00D71050"/>
    <w:rsid w:val="00D71D92"/>
    <w:rsid w:val="00D74691"/>
    <w:rsid w:val="00D746B5"/>
    <w:rsid w:val="00D766A0"/>
    <w:rsid w:val="00D774DE"/>
    <w:rsid w:val="00D77AAE"/>
    <w:rsid w:val="00D813BB"/>
    <w:rsid w:val="00D820E0"/>
    <w:rsid w:val="00D867C1"/>
    <w:rsid w:val="00D87842"/>
    <w:rsid w:val="00D90355"/>
    <w:rsid w:val="00D90621"/>
    <w:rsid w:val="00D913EF"/>
    <w:rsid w:val="00D91BAA"/>
    <w:rsid w:val="00D92F60"/>
    <w:rsid w:val="00D93AD4"/>
    <w:rsid w:val="00D940C8"/>
    <w:rsid w:val="00D947D9"/>
    <w:rsid w:val="00D94BF8"/>
    <w:rsid w:val="00D95F5B"/>
    <w:rsid w:val="00D97550"/>
    <w:rsid w:val="00D9776A"/>
    <w:rsid w:val="00DA2813"/>
    <w:rsid w:val="00DA3286"/>
    <w:rsid w:val="00DA51E6"/>
    <w:rsid w:val="00DA6AE9"/>
    <w:rsid w:val="00DA7CF8"/>
    <w:rsid w:val="00DB1492"/>
    <w:rsid w:val="00DB21BE"/>
    <w:rsid w:val="00DB24E7"/>
    <w:rsid w:val="00DB3CEB"/>
    <w:rsid w:val="00DB472F"/>
    <w:rsid w:val="00DB4F0B"/>
    <w:rsid w:val="00DC1FFB"/>
    <w:rsid w:val="00DC2B98"/>
    <w:rsid w:val="00DC374E"/>
    <w:rsid w:val="00DC4F21"/>
    <w:rsid w:val="00DC503B"/>
    <w:rsid w:val="00DC5769"/>
    <w:rsid w:val="00DC6260"/>
    <w:rsid w:val="00DD1090"/>
    <w:rsid w:val="00DD11D7"/>
    <w:rsid w:val="00DD1C9B"/>
    <w:rsid w:val="00DD3DB6"/>
    <w:rsid w:val="00DD76AF"/>
    <w:rsid w:val="00DD7706"/>
    <w:rsid w:val="00DE06C2"/>
    <w:rsid w:val="00DE0899"/>
    <w:rsid w:val="00DE0F9C"/>
    <w:rsid w:val="00DE18B4"/>
    <w:rsid w:val="00DE1DCA"/>
    <w:rsid w:val="00DE32C2"/>
    <w:rsid w:val="00DE577B"/>
    <w:rsid w:val="00DE587E"/>
    <w:rsid w:val="00DE6CD4"/>
    <w:rsid w:val="00DE6D5E"/>
    <w:rsid w:val="00DF1BA7"/>
    <w:rsid w:val="00DF239B"/>
    <w:rsid w:val="00DF2989"/>
    <w:rsid w:val="00DF5356"/>
    <w:rsid w:val="00DF59BD"/>
    <w:rsid w:val="00DF61AA"/>
    <w:rsid w:val="00DF7E4E"/>
    <w:rsid w:val="00E00394"/>
    <w:rsid w:val="00E03D66"/>
    <w:rsid w:val="00E049A8"/>
    <w:rsid w:val="00E04C4C"/>
    <w:rsid w:val="00E0696B"/>
    <w:rsid w:val="00E06AA9"/>
    <w:rsid w:val="00E14AA6"/>
    <w:rsid w:val="00E151FC"/>
    <w:rsid w:val="00E15747"/>
    <w:rsid w:val="00E2022E"/>
    <w:rsid w:val="00E21FFF"/>
    <w:rsid w:val="00E223CE"/>
    <w:rsid w:val="00E22415"/>
    <w:rsid w:val="00E22502"/>
    <w:rsid w:val="00E23293"/>
    <w:rsid w:val="00E24028"/>
    <w:rsid w:val="00E24456"/>
    <w:rsid w:val="00E24DA0"/>
    <w:rsid w:val="00E24F87"/>
    <w:rsid w:val="00E27E16"/>
    <w:rsid w:val="00E300CA"/>
    <w:rsid w:val="00E32EA5"/>
    <w:rsid w:val="00E356D3"/>
    <w:rsid w:val="00E40D32"/>
    <w:rsid w:val="00E41324"/>
    <w:rsid w:val="00E41691"/>
    <w:rsid w:val="00E41B49"/>
    <w:rsid w:val="00E42114"/>
    <w:rsid w:val="00E4266C"/>
    <w:rsid w:val="00E4343E"/>
    <w:rsid w:val="00E439DB"/>
    <w:rsid w:val="00E44E54"/>
    <w:rsid w:val="00E44F3A"/>
    <w:rsid w:val="00E4631F"/>
    <w:rsid w:val="00E5047C"/>
    <w:rsid w:val="00E508DC"/>
    <w:rsid w:val="00E50E64"/>
    <w:rsid w:val="00E5222F"/>
    <w:rsid w:val="00E524B6"/>
    <w:rsid w:val="00E56432"/>
    <w:rsid w:val="00E5701D"/>
    <w:rsid w:val="00E57B31"/>
    <w:rsid w:val="00E60BD4"/>
    <w:rsid w:val="00E60EF3"/>
    <w:rsid w:val="00E61B16"/>
    <w:rsid w:val="00E62018"/>
    <w:rsid w:val="00E652A8"/>
    <w:rsid w:val="00E66159"/>
    <w:rsid w:val="00E661DE"/>
    <w:rsid w:val="00E7047D"/>
    <w:rsid w:val="00E7250C"/>
    <w:rsid w:val="00E727E7"/>
    <w:rsid w:val="00E74D99"/>
    <w:rsid w:val="00E7608E"/>
    <w:rsid w:val="00E76819"/>
    <w:rsid w:val="00E7739D"/>
    <w:rsid w:val="00E7758B"/>
    <w:rsid w:val="00E80CB6"/>
    <w:rsid w:val="00E80E6A"/>
    <w:rsid w:val="00E81936"/>
    <w:rsid w:val="00E82325"/>
    <w:rsid w:val="00E83B52"/>
    <w:rsid w:val="00E84833"/>
    <w:rsid w:val="00E84F6B"/>
    <w:rsid w:val="00E85828"/>
    <w:rsid w:val="00E86219"/>
    <w:rsid w:val="00E873F5"/>
    <w:rsid w:val="00E87935"/>
    <w:rsid w:val="00E90655"/>
    <w:rsid w:val="00E9298F"/>
    <w:rsid w:val="00E94291"/>
    <w:rsid w:val="00E94C5C"/>
    <w:rsid w:val="00E95B00"/>
    <w:rsid w:val="00E9702C"/>
    <w:rsid w:val="00EA20E2"/>
    <w:rsid w:val="00EA291F"/>
    <w:rsid w:val="00EA2A80"/>
    <w:rsid w:val="00EA30A5"/>
    <w:rsid w:val="00EA60BE"/>
    <w:rsid w:val="00EA6B49"/>
    <w:rsid w:val="00EA6DC3"/>
    <w:rsid w:val="00EA7E2F"/>
    <w:rsid w:val="00EB058E"/>
    <w:rsid w:val="00EB2089"/>
    <w:rsid w:val="00EB3894"/>
    <w:rsid w:val="00EB5171"/>
    <w:rsid w:val="00EB7470"/>
    <w:rsid w:val="00EB74EC"/>
    <w:rsid w:val="00EC0497"/>
    <w:rsid w:val="00EC0C8E"/>
    <w:rsid w:val="00EC503B"/>
    <w:rsid w:val="00EC5A7B"/>
    <w:rsid w:val="00EC63A2"/>
    <w:rsid w:val="00EC642D"/>
    <w:rsid w:val="00EC78D5"/>
    <w:rsid w:val="00EC7C59"/>
    <w:rsid w:val="00ED3085"/>
    <w:rsid w:val="00EE009C"/>
    <w:rsid w:val="00EE4394"/>
    <w:rsid w:val="00EE5C2F"/>
    <w:rsid w:val="00EE6396"/>
    <w:rsid w:val="00EE6EF8"/>
    <w:rsid w:val="00EF05A6"/>
    <w:rsid w:val="00EF34DE"/>
    <w:rsid w:val="00EF5C11"/>
    <w:rsid w:val="00EF6C97"/>
    <w:rsid w:val="00F00654"/>
    <w:rsid w:val="00F0323F"/>
    <w:rsid w:val="00F03268"/>
    <w:rsid w:val="00F06B2E"/>
    <w:rsid w:val="00F0753B"/>
    <w:rsid w:val="00F07847"/>
    <w:rsid w:val="00F07E42"/>
    <w:rsid w:val="00F07E8B"/>
    <w:rsid w:val="00F106A7"/>
    <w:rsid w:val="00F11A22"/>
    <w:rsid w:val="00F11F42"/>
    <w:rsid w:val="00F12059"/>
    <w:rsid w:val="00F12DBE"/>
    <w:rsid w:val="00F13ECC"/>
    <w:rsid w:val="00F1663B"/>
    <w:rsid w:val="00F20276"/>
    <w:rsid w:val="00F203D9"/>
    <w:rsid w:val="00F20557"/>
    <w:rsid w:val="00F2194A"/>
    <w:rsid w:val="00F21F98"/>
    <w:rsid w:val="00F24C21"/>
    <w:rsid w:val="00F254C4"/>
    <w:rsid w:val="00F25621"/>
    <w:rsid w:val="00F26A15"/>
    <w:rsid w:val="00F27234"/>
    <w:rsid w:val="00F27EA6"/>
    <w:rsid w:val="00F31C36"/>
    <w:rsid w:val="00F345A4"/>
    <w:rsid w:val="00F3485F"/>
    <w:rsid w:val="00F35890"/>
    <w:rsid w:val="00F3604E"/>
    <w:rsid w:val="00F368AC"/>
    <w:rsid w:val="00F36906"/>
    <w:rsid w:val="00F405A3"/>
    <w:rsid w:val="00F42A91"/>
    <w:rsid w:val="00F44F20"/>
    <w:rsid w:val="00F44FF8"/>
    <w:rsid w:val="00F46FFC"/>
    <w:rsid w:val="00F5062E"/>
    <w:rsid w:val="00F509FD"/>
    <w:rsid w:val="00F5204D"/>
    <w:rsid w:val="00F53759"/>
    <w:rsid w:val="00F55E09"/>
    <w:rsid w:val="00F569F9"/>
    <w:rsid w:val="00F57CB2"/>
    <w:rsid w:val="00F60A81"/>
    <w:rsid w:val="00F61C15"/>
    <w:rsid w:val="00F639DC"/>
    <w:rsid w:val="00F64393"/>
    <w:rsid w:val="00F654BA"/>
    <w:rsid w:val="00F66F8C"/>
    <w:rsid w:val="00F6747C"/>
    <w:rsid w:val="00F70CBB"/>
    <w:rsid w:val="00F733C1"/>
    <w:rsid w:val="00F736FC"/>
    <w:rsid w:val="00F73D66"/>
    <w:rsid w:val="00F74547"/>
    <w:rsid w:val="00F74A3B"/>
    <w:rsid w:val="00F75180"/>
    <w:rsid w:val="00F75A2D"/>
    <w:rsid w:val="00F76542"/>
    <w:rsid w:val="00F77019"/>
    <w:rsid w:val="00F7732B"/>
    <w:rsid w:val="00F779AA"/>
    <w:rsid w:val="00F806D3"/>
    <w:rsid w:val="00F8250A"/>
    <w:rsid w:val="00F92469"/>
    <w:rsid w:val="00F92E58"/>
    <w:rsid w:val="00F93E6B"/>
    <w:rsid w:val="00F93F03"/>
    <w:rsid w:val="00F9606B"/>
    <w:rsid w:val="00F9656D"/>
    <w:rsid w:val="00F97F82"/>
    <w:rsid w:val="00FA0E3B"/>
    <w:rsid w:val="00FA25EA"/>
    <w:rsid w:val="00FA3858"/>
    <w:rsid w:val="00FA394F"/>
    <w:rsid w:val="00FA3B8E"/>
    <w:rsid w:val="00FA3C40"/>
    <w:rsid w:val="00FA4E12"/>
    <w:rsid w:val="00FA5E29"/>
    <w:rsid w:val="00FA6AA3"/>
    <w:rsid w:val="00FA74DE"/>
    <w:rsid w:val="00FB07C0"/>
    <w:rsid w:val="00FB09C8"/>
    <w:rsid w:val="00FB3317"/>
    <w:rsid w:val="00FB480A"/>
    <w:rsid w:val="00FB54C2"/>
    <w:rsid w:val="00FB7150"/>
    <w:rsid w:val="00FC3081"/>
    <w:rsid w:val="00FC3F9A"/>
    <w:rsid w:val="00FC41DB"/>
    <w:rsid w:val="00FC5AE2"/>
    <w:rsid w:val="00FC77BC"/>
    <w:rsid w:val="00FC7979"/>
    <w:rsid w:val="00FC7F0F"/>
    <w:rsid w:val="00FD0CE5"/>
    <w:rsid w:val="00FD1BF0"/>
    <w:rsid w:val="00FD228A"/>
    <w:rsid w:val="00FD5001"/>
    <w:rsid w:val="00FE0701"/>
    <w:rsid w:val="00FE16B8"/>
    <w:rsid w:val="00FE1F5D"/>
    <w:rsid w:val="00FE369D"/>
    <w:rsid w:val="00FE3B96"/>
    <w:rsid w:val="00FE3D6F"/>
    <w:rsid w:val="00FE65C0"/>
    <w:rsid w:val="00FE7063"/>
    <w:rsid w:val="00FE75D6"/>
    <w:rsid w:val="00FE7A2B"/>
    <w:rsid w:val="00FE7E43"/>
    <w:rsid w:val="00FF1501"/>
    <w:rsid w:val="00FF1C9E"/>
    <w:rsid w:val="00FF2D9D"/>
    <w:rsid w:val="00FF414E"/>
    <w:rsid w:val="00FF5FEB"/>
    <w:rsid w:val="00FF61E6"/>
    <w:rsid w:val="00FF79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93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C7F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452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A47C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06E95"/>
    <w:pPr>
      <w:tabs>
        <w:tab w:val="center" w:pos="4153"/>
        <w:tab w:val="right" w:pos="8306"/>
      </w:tabs>
      <w:spacing w:after="0" w:line="240" w:lineRule="auto"/>
    </w:pPr>
    <w:rPr>
      <w:rFonts w:ascii="Tahoma" w:eastAsia="Times New Roman" w:hAnsi="Tahoma" w:cs="Times New Roman"/>
      <w:szCs w:val="24"/>
    </w:rPr>
  </w:style>
  <w:style w:type="character" w:customStyle="1" w:styleId="FooterChar">
    <w:name w:val="Footer Char"/>
    <w:basedOn w:val="DefaultParagraphFont"/>
    <w:link w:val="Footer"/>
    <w:uiPriority w:val="99"/>
    <w:rsid w:val="00406E95"/>
    <w:rPr>
      <w:rFonts w:ascii="Tahoma" w:eastAsia="Times New Roman" w:hAnsi="Tahoma" w:cs="Times New Roman"/>
      <w:szCs w:val="24"/>
      <w:lang w:eastAsia="en-GB"/>
    </w:rPr>
  </w:style>
  <w:style w:type="paragraph" w:styleId="ListParagraph">
    <w:name w:val="List Paragraph"/>
    <w:basedOn w:val="Normal"/>
    <w:uiPriority w:val="34"/>
    <w:qFormat/>
    <w:rsid w:val="008A2FC8"/>
    <w:pPr>
      <w:spacing w:after="0" w:line="240" w:lineRule="auto"/>
      <w:ind w:left="720"/>
    </w:pPr>
    <w:rPr>
      <w:rFonts w:ascii="Tahoma" w:eastAsia="Times New Roman" w:hAnsi="Tahoma" w:cs="Times New Roman"/>
      <w:szCs w:val="24"/>
    </w:rPr>
  </w:style>
  <w:style w:type="character" w:styleId="Emphasis">
    <w:name w:val="Emphasis"/>
    <w:uiPriority w:val="20"/>
    <w:qFormat/>
    <w:rsid w:val="008A2FC8"/>
    <w:rPr>
      <w:i/>
      <w:iCs/>
    </w:rPr>
  </w:style>
  <w:style w:type="character" w:customStyle="1" w:styleId="highlight2">
    <w:name w:val="highlight2"/>
    <w:basedOn w:val="DefaultParagraphFont"/>
    <w:rsid w:val="00D77AAE"/>
  </w:style>
  <w:style w:type="paragraph" w:styleId="PlainText">
    <w:name w:val="Plain Text"/>
    <w:basedOn w:val="Normal"/>
    <w:link w:val="PlainTextChar"/>
    <w:uiPriority w:val="99"/>
    <w:semiHidden/>
    <w:unhideWhenUsed/>
    <w:rsid w:val="00201BA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1BA9"/>
    <w:rPr>
      <w:rFonts w:ascii="Calibri" w:hAnsi="Calibri"/>
      <w:szCs w:val="21"/>
    </w:rPr>
  </w:style>
  <w:style w:type="character" w:styleId="CommentReference">
    <w:name w:val="annotation reference"/>
    <w:basedOn w:val="DefaultParagraphFont"/>
    <w:uiPriority w:val="99"/>
    <w:semiHidden/>
    <w:unhideWhenUsed/>
    <w:rsid w:val="00F35890"/>
    <w:rPr>
      <w:sz w:val="16"/>
      <w:szCs w:val="16"/>
    </w:rPr>
  </w:style>
  <w:style w:type="paragraph" w:styleId="CommentText">
    <w:name w:val="annotation text"/>
    <w:basedOn w:val="Normal"/>
    <w:link w:val="CommentTextChar"/>
    <w:uiPriority w:val="99"/>
    <w:unhideWhenUsed/>
    <w:rsid w:val="00F35890"/>
    <w:pPr>
      <w:spacing w:line="240" w:lineRule="auto"/>
    </w:pPr>
    <w:rPr>
      <w:sz w:val="20"/>
      <w:szCs w:val="20"/>
    </w:rPr>
  </w:style>
  <w:style w:type="character" w:customStyle="1" w:styleId="CommentTextChar">
    <w:name w:val="Comment Text Char"/>
    <w:basedOn w:val="DefaultParagraphFont"/>
    <w:link w:val="CommentText"/>
    <w:uiPriority w:val="99"/>
    <w:rsid w:val="00F35890"/>
    <w:rPr>
      <w:sz w:val="20"/>
      <w:szCs w:val="20"/>
    </w:rPr>
  </w:style>
  <w:style w:type="paragraph" w:styleId="CommentSubject">
    <w:name w:val="annotation subject"/>
    <w:basedOn w:val="CommentText"/>
    <w:next w:val="CommentText"/>
    <w:link w:val="CommentSubjectChar"/>
    <w:uiPriority w:val="99"/>
    <w:semiHidden/>
    <w:unhideWhenUsed/>
    <w:rsid w:val="00F35890"/>
    <w:rPr>
      <w:b/>
      <w:bCs/>
    </w:rPr>
  </w:style>
  <w:style w:type="character" w:customStyle="1" w:styleId="CommentSubjectChar">
    <w:name w:val="Comment Subject Char"/>
    <w:basedOn w:val="CommentTextChar"/>
    <w:link w:val="CommentSubject"/>
    <w:uiPriority w:val="99"/>
    <w:semiHidden/>
    <w:rsid w:val="00F35890"/>
    <w:rPr>
      <w:b/>
      <w:bCs/>
      <w:sz w:val="20"/>
      <w:szCs w:val="20"/>
    </w:rPr>
  </w:style>
  <w:style w:type="paragraph" w:styleId="BalloonText">
    <w:name w:val="Balloon Text"/>
    <w:basedOn w:val="Normal"/>
    <w:link w:val="BalloonTextChar"/>
    <w:uiPriority w:val="99"/>
    <w:semiHidden/>
    <w:unhideWhenUsed/>
    <w:rsid w:val="00F35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890"/>
    <w:rPr>
      <w:rFonts w:ascii="Tahoma" w:hAnsi="Tahoma" w:cs="Tahoma"/>
      <w:sz w:val="16"/>
      <w:szCs w:val="16"/>
    </w:rPr>
  </w:style>
  <w:style w:type="paragraph" w:customStyle="1" w:styleId="ColorfulList-Accent11">
    <w:name w:val="Colorful List - Accent 11"/>
    <w:basedOn w:val="Normal"/>
    <w:uiPriority w:val="34"/>
    <w:qFormat/>
    <w:rsid w:val="00561F92"/>
    <w:pPr>
      <w:spacing w:after="0" w:line="240" w:lineRule="auto"/>
      <w:ind w:left="720"/>
    </w:pPr>
    <w:rPr>
      <w:rFonts w:ascii="Calibri" w:eastAsia="Calibri" w:hAnsi="Calibri" w:cs="Times New Roman"/>
      <w:lang w:eastAsia="en-US"/>
    </w:rPr>
  </w:style>
  <w:style w:type="character" w:customStyle="1" w:styleId="personname">
    <w:name w:val="person_name"/>
    <w:basedOn w:val="DefaultParagraphFont"/>
    <w:rsid w:val="00C43AAF"/>
  </w:style>
  <w:style w:type="character" w:styleId="Strong">
    <w:name w:val="Strong"/>
    <w:basedOn w:val="DefaultParagraphFont"/>
    <w:uiPriority w:val="22"/>
    <w:qFormat/>
    <w:rsid w:val="00C43AAF"/>
    <w:rPr>
      <w:b/>
      <w:bCs/>
    </w:rPr>
  </w:style>
  <w:style w:type="character" w:styleId="Hyperlink">
    <w:name w:val="Hyperlink"/>
    <w:basedOn w:val="DefaultParagraphFont"/>
    <w:uiPriority w:val="99"/>
    <w:unhideWhenUsed/>
    <w:rsid w:val="00C02AF2"/>
    <w:rPr>
      <w:color w:val="0000FF" w:themeColor="hyperlink"/>
      <w:u w:val="single"/>
    </w:rPr>
  </w:style>
  <w:style w:type="character" w:customStyle="1" w:styleId="journal">
    <w:name w:val="journal"/>
    <w:basedOn w:val="DefaultParagraphFont"/>
    <w:rsid w:val="00A00B9B"/>
  </w:style>
  <w:style w:type="character" w:customStyle="1" w:styleId="xml-surname">
    <w:name w:val="xml-surname"/>
    <w:basedOn w:val="DefaultParagraphFont"/>
    <w:rsid w:val="00A00B9B"/>
  </w:style>
  <w:style w:type="character" w:customStyle="1" w:styleId="xml-given-names">
    <w:name w:val="xml-given-names"/>
    <w:basedOn w:val="DefaultParagraphFont"/>
    <w:rsid w:val="00A00B9B"/>
  </w:style>
  <w:style w:type="character" w:customStyle="1" w:styleId="xml-article-title">
    <w:name w:val="xml-article-title"/>
    <w:basedOn w:val="DefaultParagraphFont"/>
    <w:rsid w:val="00A00B9B"/>
  </w:style>
  <w:style w:type="character" w:customStyle="1" w:styleId="xml-source">
    <w:name w:val="xml-source"/>
    <w:basedOn w:val="DefaultParagraphFont"/>
    <w:rsid w:val="00A00B9B"/>
  </w:style>
  <w:style w:type="character" w:customStyle="1" w:styleId="xml-year">
    <w:name w:val="xml-year"/>
    <w:basedOn w:val="DefaultParagraphFont"/>
    <w:rsid w:val="00A00B9B"/>
  </w:style>
  <w:style w:type="character" w:customStyle="1" w:styleId="xml-volume">
    <w:name w:val="xml-volume"/>
    <w:basedOn w:val="DefaultParagraphFont"/>
    <w:rsid w:val="00A00B9B"/>
  </w:style>
  <w:style w:type="character" w:customStyle="1" w:styleId="xml-fpage">
    <w:name w:val="xml-fpage"/>
    <w:basedOn w:val="DefaultParagraphFont"/>
    <w:rsid w:val="00A00B9B"/>
  </w:style>
  <w:style w:type="character" w:customStyle="1" w:styleId="xml-lpage">
    <w:name w:val="xml-lpage"/>
    <w:basedOn w:val="DefaultParagraphFont"/>
    <w:rsid w:val="00A00B9B"/>
  </w:style>
  <w:style w:type="character" w:styleId="FollowedHyperlink">
    <w:name w:val="FollowedHyperlink"/>
    <w:basedOn w:val="DefaultParagraphFont"/>
    <w:uiPriority w:val="99"/>
    <w:semiHidden/>
    <w:unhideWhenUsed/>
    <w:rsid w:val="006F251E"/>
    <w:rPr>
      <w:color w:val="800080" w:themeColor="followedHyperlink"/>
      <w:u w:val="single"/>
    </w:rPr>
  </w:style>
  <w:style w:type="table" w:styleId="TableGrid">
    <w:name w:val="Table Grid"/>
    <w:basedOn w:val="TableNormal"/>
    <w:uiPriority w:val="59"/>
    <w:rsid w:val="008F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13D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476A1"/>
    <w:pPr>
      <w:spacing w:after="0" w:line="240" w:lineRule="auto"/>
    </w:pPr>
  </w:style>
  <w:style w:type="character" w:customStyle="1" w:styleId="Heading2Char">
    <w:name w:val="Heading 2 Char"/>
    <w:basedOn w:val="DefaultParagraphFont"/>
    <w:link w:val="Heading2"/>
    <w:uiPriority w:val="9"/>
    <w:rsid w:val="00FC7F0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1A47CA"/>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045242"/>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96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7123">
      <w:bodyDiv w:val="1"/>
      <w:marLeft w:val="0"/>
      <w:marRight w:val="0"/>
      <w:marTop w:val="0"/>
      <w:marBottom w:val="0"/>
      <w:divBdr>
        <w:top w:val="none" w:sz="0" w:space="0" w:color="auto"/>
        <w:left w:val="none" w:sz="0" w:space="0" w:color="auto"/>
        <w:bottom w:val="none" w:sz="0" w:space="0" w:color="auto"/>
        <w:right w:val="none" w:sz="0" w:space="0" w:color="auto"/>
      </w:divBdr>
      <w:divsChild>
        <w:div w:id="2117483524">
          <w:marLeft w:val="0"/>
          <w:marRight w:val="0"/>
          <w:marTop w:val="0"/>
          <w:marBottom w:val="0"/>
          <w:divBdr>
            <w:top w:val="none" w:sz="0" w:space="0" w:color="auto"/>
            <w:left w:val="none" w:sz="0" w:space="0" w:color="auto"/>
            <w:bottom w:val="none" w:sz="0" w:space="0" w:color="auto"/>
            <w:right w:val="none" w:sz="0" w:space="0" w:color="auto"/>
          </w:divBdr>
          <w:divsChild>
            <w:div w:id="1474444596">
              <w:marLeft w:val="0"/>
              <w:marRight w:val="0"/>
              <w:marTop w:val="0"/>
              <w:marBottom w:val="0"/>
              <w:divBdr>
                <w:top w:val="none" w:sz="0" w:space="0" w:color="auto"/>
                <w:left w:val="none" w:sz="0" w:space="0" w:color="auto"/>
                <w:bottom w:val="none" w:sz="0" w:space="0" w:color="auto"/>
                <w:right w:val="none" w:sz="0" w:space="0" w:color="auto"/>
              </w:divBdr>
              <w:divsChild>
                <w:div w:id="847254678">
                  <w:marLeft w:val="0"/>
                  <w:marRight w:val="0"/>
                  <w:marTop w:val="0"/>
                  <w:marBottom w:val="0"/>
                  <w:divBdr>
                    <w:top w:val="none" w:sz="0" w:space="0" w:color="auto"/>
                    <w:left w:val="none" w:sz="0" w:space="0" w:color="auto"/>
                    <w:bottom w:val="none" w:sz="0" w:space="0" w:color="auto"/>
                    <w:right w:val="none" w:sz="0" w:space="0" w:color="auto"/>
                  </w:divBdr>
                  <w:divsChild>
                    <w:div w:id="726219151">
                      <w:marLeft w:val="0"/>
                      <w:marRight w:val="0"/>
                      <w:marTop w:val="0"/>
                      <w:marBottom w:val="0"/>
                      <w:divBdr>
                        <w:top w:val="none" w:sz="0" w:space="0" w:color="auto"/>
                        <w:left w:val="none" w:sz="0" w:space="0" w:color="auto"/>
                        <w:bottom w:val="none" w:sz="0" w:space="0" w:color="auto"/>
                        <w:right w:val="none" w:sz="0" w:space="0" w:color="auto"/>
                      </w:divBdr>
                      <w:divsChild>
                        <w:div w:id="1151869412">
                          <w:marLeft w:val="0"/>
                          <w:marRight w:val="0"/>
                          <w:marTop w:val="0"/>
                          <w:marBottom w:val="0"/>
                          <w:divBdr>
                            <w:top w:val="none" w:sz="0" w:space="0" w:color="auto"/>
                            <w:left w:val="none" w:sz="0" w:space="0" w:color="auto"/>
                            <w:bottom w:val="none" w:sz="0" w:space="0" w:color="auto"/>
                            <w:right w:val="none" w:sz="0" w:space="0" w:color="auto"/>
                          </w:divBdr>
                          <w:divsChild>
                            <w:div w:id="1953510635">
                              <w:marLeft w:val="0"/>
                              <w:marRight w:val="0"/>
                              <w:marTop w:val="0"/>
                              <w:marBottom w:val="0"/>
                              <w:divBdr>
                                <w:top w:val="none" w:sz="0" w:space="0" w:color="auto"/>
                                <w:left w:val="none" w:sz="0" w:space="0" w:color="auto"/>
                                <w:bottom w:val="none" w:sz="0" w:space="0" w:color="auto"/>
                                <w:right w:val="none" w:sz="0" w:space="0" w:color="auto"/>
                              </w:divBdr>
                              <w:divsChild>
                                <w:div w:id="1553150605">
                                  <w:marLeft w:val="0"/>
                                  <w:marRight w:val="0"/>
                                  <w:marTop w:val="0"/>
                                  <w:marBottom w:val="0"/>
                                  <w:divBdr>
                                    <w:top w:val="none" w:sz="0" w:space="0" w:color="auto"/>
                                    <w:left w:val="none" w:sz="0" w:space="0" w:color="auto"/>
                                    <w:bottom w:val="none" w:sz="0" w:space="0" w:color="auto"/>
                                    <w:right w:val="none" w:sz="0" w:space="0" w:color="auto"/>
                                  </w:divBdr>
                                  <w:divsChild>
                                    <w:div w:id="1790513165">
                                      <w:marLeft w:val="0"/>
                                      <w:marRight w:val="0"/>
                                      <w:marTop w:val="0"/>
                                      <w:marBottom w:val="0"/>
                                      <w:divBdr>
                                        <w:top w:val="none" w:sz="0" w:space="0" w:color="auto"/>
                                        <w:left w:val="none" w:sz="0" w:space="0" w:color="auto"/>
                                        <w:bottom w:val="none" w:sz="0" w:space="0" w:color="auto"/>
                                        <w:right w:val="none" w:sz="0" w:space="0" w:color="auto"/>
                                      </w:divBdr>
                                      <w:divsChild>
                                        <w:div w:id="1952471216">
                                          <w:marLeft w:val="0"/>
                                          <w:marRight w:val="0"/>
                                          <w:marTop w:val="0"/>
                                          <w:marBottom w:val="0"/>
                                          <w:divBdr>
                                            <w:top w:val="none" w:sz="0" w:space="0" w:color="auto"/>
                                            <w:left w:val="none" w:sz="0" w:space="0" w:color="auto"/>
                                            <w:bottom w:val="none" w:sz="0" w:space="0" w:color="auto"/>
                                            <w:right w:val="none" w:sz="0" w:space="0" w:color="auto"/>
                                          </w:divBdr>
                                          <w:divsChild>
                                            <w:div w:id="260384263">
                                              <w:marLeft w:val="0"/>
                                              <w:marRight w:val="0"/>
                                              <w:marTop w:val="0"/>
                                              <w:marBottom w:val="0"/>
                                              <w:divBdr>
                                                <w:top w:val="none" w:sz="0" w:space="0" w:color="auto"/>
                                                <w:left w:val="none" w:sz="0" w:space="0" w:color="auto"/>
                                                <w:bottom w:val="none" w:sz="0" w:space="0" w:color="auto"/>
                                                <w:right w:val="none" w:sz="0" w:space="0" w:color="auto"/>
                                              </w:divBdr>
                                              <w:divsChild>
                                                <w:div w:id="2049403855">
                                                  <w:marLeft w:val="0"/>
                                                  <w:marRight w:val="0"/>
                                                  <w:marTop w:val="0"/>
                                                  <w:marBottom w:val="0"/>
                                                  <w:divBdr>
                                                    <w:top w:val="none" w:sz="0" w:space="0" w:color="auto"/>
                                                    <w:left w:val="none" w:sz="0" w:space="0" w:color="auto"/>
                                                    <w:bottom w:val="none" w:sz="0" w:space="0" w:color="auto"/>
                                                    <w:right w:val="none" w:sz="0" w:space="0" w:color="auto"/>
                                                  </w:divBdr>
                                                  <w:divsChild>
                                                    <w:div w:id="2987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83730">
      <w:bodyDiv w:val="1"/>
      <w:marLeft w:val="0"/>
      <w:marRight w:val="0"/>
      <w:marTop w:val="0"/>
      <w:marBottom w:val="0"/>
      <w:divBdr>
        <w:top w:val="none" w:sz="0" w:space="0" w:color="auto"/>
        <w:left w:val="none" w:sz="0" w:space="0" w:color="auto"/>
        <w:bottom w:val="none" w:sz="0" w:space="0" w:color="auto"/>
        <w:right w:val="none" w:sz="0" w:space="0" w:color="auto"/>
      </w:divBdr>
      <w:divsChild>
        <w:div w:id="1684281943">
          <w:marLeft w:val="0"/>
          <w:marRight w:val="0"/>
          <w:marTop w:val="0"/>
          <w:marBottom w:val="0"/>
          <w:divBdr>
            <w:top w:val="none" w:sz="0" w:space="0" w:color="auto"/>
            <w:left w:val="none" w:sz="0" w:space="0" w:color="auto"/>
            <w:bottom w:val="none" w:sz="0" w:space="0" w:color="auto"/>
            <w:right w:val="none" w:sz="0" w:space="0" w:color="auto"/>
          </w:divBdr>
          <w:divsChild>
            <w:div w:id="980114741">
              <w:marLeft w:val="0"/>
              <w:marRight w:val="0"/>
              <w:marTop w:val="0"/>
              <w:marBottom w:val="0"/>
              <w:divBdr>
                <w:top w:val="none" w:sz="0" w:space="0" w:color="auto"/>
                <w:left w:val="none" w:sz="0" w:space="0" w:color="auto"/>
                <w:bottom w:val="none" w:sz="0" w:space="0" w:color="auto"/>
                <w:right w:val="none" w:sz="0" w:space="0" w:color="auto"/>
              </w:divBdr>
              <w:divsChild>
                <w:div w:id="781536680">
                  <w:marLeft w:val="0"/>
                  <w:marRight w:val="0"/>
                  <w:marTop w:val="0"/>
                  <w:marBottom w:val="0"/>
                  <w:divBdr>
                    <w:top w:val="none" w:sz="0" w:space="0" w:color="auto"/>
                    <w:left w:val="none" w:sz="0" w:space="0" w:color="auto"/>
                    <w:bottom w:val="none" w:sz="0" w:space="0" w:color="auto"/>
                    <w:right w:val="none" w:sz="0" w:space="0" w:color="auto"/>
                  </w:divBdr>
                  <w:divsChild>
                    <w:div w:id="2091195495">
                      <w:marLeft w:val="0"/>
                      <w:marRight w:val="0"/>
                      <w:marTop w:val="0"/>
                      <w:marBottom w:val="0"/>
                      <w:divBdr>
                        <w:top w:val="none" w:sz="0" w:space="0" w:color="auto"/>
                        <w:left w:val="none" w:sz="0" w:space="0" w:color="auto"/>
                        <w:bottom w:val="none" w:sz="0" w:space="0" w:color="auto"/>
                        <w:right w:val="none" w:sz="0" w:space="0" w:color="auto"/>
                      </w:divBdr>
                      <w:divsChild>
                        <w:div w:id="1079668360">
                          <w:marLeft w:val="0"/>
                          <w:marRight w:val="0"/>
                          <w:marTop w:val="0"/>
                          <w:marBottom w:val="0"/>
                          <w:divBdr>
                            <w:top w:val="none" w:sz="0" w:space="0" w:color="auto"/>
                            <w:left w:val="none" w:sz="0" w:space="0" w:color="auto"/>
                            <w:bottom w:val="none" w:sz="0" w:space="0" w:color="auto"/>
                            <w:right w:val="none" w:sz="0" w:space="0" w:color="auto"/>
                          </w:divBdr>
                          <w:divsChild>
                            <w:div w:id="2128695473">
                              <w:marLeft w:val="0"/>
                              <w:marRight w:val="0"/>
                              <w:marTop w:val="0"/>
                              <w:marBottom w:val="0"/>
                              <w:divBdr>
                                <w:top w:val="none" w:sz="0" w:space="0" w:color="auto"/>
                                <w:left w:val="none" w:sz="0" w:space="0" w:color="auto"/>
                                <w:bottom w:val="none" w:sz="0" w:space="0" w:color="auto"/>
                                <w:right w:val="none" w:sz="0" w:space="0" w:color="auto"/>
                              </w:divBdr>
                              <w:divsChild>
                                <w:div w:id="981544973">
                                  <w:marLeft w:val="0"/>
                                  <w:marRight w:val="0"/>
                                  <w:marTop w:val="0"/>
                                  <w:marBottom w:val="0"/>
                                  <w:divBdr>
                                    <w:top w:val="none" w:sz="0" w:space="0" w:color="auto"/>
                                    <w:left w:val="none" w:sz="0" w:space="0" w:color="auto"/>
                                    <w:bottom w:val="none" w:sz="0" w:space="0" w:color="auto"/>
                                    <w:right w:val="none" w:sz="0" w:space="0" w:color="auto"/>
                                  </w:divBdr>
                                  <w:divsChild>
                                    <w:div w:id="1549487915">
                                      <w:marLeft w:val="0"/>
                                      <w:marRight w:val="0"/>
                                      <w:marTop w:val="0"/>
                                      <w:marBottom w:val="0"/>
                                      <w:divBdr>
                                        <w:top w:val="none" w:sz="0" w:space="0" w:color="auto"/>
                                        <w:left w:val="none" w:sz="0" w:space="0" w:color="auto"/>
                                        <w:bottom w:val="none" w:sz="0" w:space="0" w:color="auto"/>
                                        <w:right w:val="none" w:sz="0" w:space="0" w:color="auto"/>
                                      </w:divBdr>
                                      <w:divsChild>
                                        <w:div w:id="1069500677">
                                          <w:marLeft w:val="0"/>
                                          <w:marRight w:val="0"/>
                                          <w:marTop w:val="0"/>
                                          <w:marBottom w:val="0"/>
                                          <w:divBdr>
                                            <w:top w:val="none" w:sz="0" w:space="0" w:color="auto"/>
                                            <w:left w:val="none" w:sz="0" w:space="0" w:color="auto"/>
                                            <w:bottom w:val="none" w:sz="0" w:space="0" w:color="auto"/>
                                            <w:right w:val="none" w:sz="0" w:space="0" w:color="auto"/>
                                          </w:divBdr>
                                          <w:divsChild>
                                            <w:div w:id="1995259203">
                                              <w:marLeft w:val="0"/>
                                              <w:marRight w:val="0"/>
                                              <w:marTop w:val="0"/>
                                              <w:marBottom w:val="0"/>
                                              <w:divBdr>
                                                <w:top w:val="none" w:sz="0" w:space="0" w:color="auto"/>
                                                <w:left w:val="none" w:sz="0" w:space="0" w:color="auto"/>
                                                <w:bottom w:val="none" w:sz="0" w:space="0" w:color="auto"/>
                                                <w:right w:val="none" w:sz="0" w:space="0" w:color="auto"/>
                                              </w:divBdr>
                                              <w:divsChild>
                                                <w:div w:id="1826823333">
                                                  <w:marLeft w:val="0"/>
                                                  <w:marRight w:val="0"/>
                                                  <w:marTop w:val="0"/>
                                                  <w:marBottom w:val="0"/>
                                                  <w:divBdr>
                                                    <w:top w:val="none" w:sz="0" w:space="0" w:color="auto"/>
                                                    <w:left w:val="none" w:sz="0" w:space="0" w:color="auto"/>
                                                    <w:bottom w:val="none" w:sz="0" w:space="0" w:color="auto"/>
                                                    <w:right w:val="none" w:sz="0" w:space="0" w:color="auto"/>
                                                  </w:divBdr>
                                                  <w:divsChild>
                                                    <w:div w:id="5548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089485">
      <w:bodyDiv w:val="1"/>
      <w:marLeft w:val="0"/>
      <w:marRight w:val="0"/>
      <w:marTop w:val="0"/>
      <w:marBottom w:val="0"/>
      <w:divBdr>
        <w:top w:val="none" w:sz="0" w:space="0" w:color="auto"/>
        <w:left w:val="none" w:sz="0" w:space="0" w:color="auto"/>
        <w:bottom w:val="none" w:sz="0" w:space="0" w:color="auto"/>
        <w:right w:val="none" w:sz="0" w:space="0" w:color="auto"/>
      </w:divBdr>
      <w:divsChild>
        <w:div w:id="1255700035">
          <w:marLeft w:val="562"/>
          <w:marRight w:val="0"/>
          <w:marTop w:val="120"/>
          <w:marBottom w:val="0"/>
          <w:divBdr>
            <w:top w:val="none" w:sz="0" w:space="0" w:color="auto"/>
            <w:left w:val="none" w:sz="0" w:space="0" w:color="auto"/>
            <w:bottom w:val="none" w:sz="0" w:space="0" w:color="auto"/>
            <w:right w:val="none" w:sz="0" w:space="0" w:color="auto"/>
          </w:divBdr>
        </w:div>
      </w:divsChild>
    </w:div>
    <w:div w:id="124390430">
      <w:bodyDiv w:val="1"/>
      <w:marLeft w:val="0"/>
      <w:marRight w:val="0"/>
      <w:marTop w:val="0"/>
      <w:marBottom w:val="0"/>
      <w:divBdr>
        <w:top w:val="none" w:sz="0" w:space="0" w:color="auto"/>
        <w:left w:val="none" w:sz="0" w:space="0" w:color="auto"/>
        <w:bottom w:val="none" w:sz="0" w:space="0" w:color="auto"/>
        <w:right w:val="none" w:sz="0" w:space="0" w:color="auto"/>
      </w:divBdr>
    </w:div>
    <w:div w:id="190535692">
      <w:bodyDiv w:val="1"/>
      <w:marLeft w:val="0"/>
      <w:marRight w:val="0"/>
      <w:marTop w:val="0"/>
      <w:marBottom w:val="0"/>
      <w:divBdr>
        <w:top w:val="none" w:sz="0" w:space="0" w:color="auto"/>
        <w:left w:val="none" w:sz="0" w:space="0" w:color="auto"/>
        <w:bottom w:val="none" w:sz="0" w:space="0" w:color="auto"/>
        <w:right w:val="none" w:sz="0" w:space="0" w:color="auto"/>
      </w:divBdr>
    </w:div>
    <w:div w:id="201985894">
      <w:bodyDiv w:val="1"/>
      <w:marLeft w:val="0"/>
      <w:marRight w:val="0"/>
      <w:marTop w:val="0"/>
      <w:marBottom w:val="0"/>
      <w:divBdr>
        <w:top w:val="none" w:sz="0" w:space="0" w:color="auto"/>
        <w:left w:val="none" w:sz="0" w:space="0" w:color="auto"/>
        <w:bottom w:val="none" w:sz="0" w:space="0" w:color="auto"/>
        <w:right w:val="none" w:sz="0" w:space="0" w:color="auto"/>
      </w:divBdr>
    </w:div>
    <w:div w:id="347411319">
      <w:bodyDiv w:val="1"/>
      <w:marLeft w:val="0"/>
      <w:marRight w:val="0"/>
      <w:marTop w:val="0"/>
      <w:marBottom w:val="0"/>
      <w:divBdr>
        <w:top w:val="none" w:sz="0" w:space="0" w:color="auto"/>
        <w:left w:val="none" w:sz="0" w:space="0" w:color="auto"/>
        <w:bottom w:val="none" w:sz="0" w:space="0" w:color="auto"/>
        <w:right w:val="none" w:sz="0" w:space="0" w:color="auto"/>
      </w:divBdr>
    </w:div>
    <w:div w:id="418404832">
      <w:bodyDiv w:val="1"/>
      <w:marLeft w:val="0"/>
      <w:marRight w:val="0"/>
      <w:marTop w:val="0"/>
      <w:marBottom w:val="0"/>
      <w:divBdr>
        <w:top w:val="none" w:sz="0" w:space="0" w:color="auto"/>
        <w:left w:val="none" w:sz="0" w:space="0" w:color="auto"/>
        <w:bottom w:val="none" w:sz="0" w:space="0" w:color="auto"/>
        <w:right w:val="none" w:sz="0" w:space="0" w:color="auto"/>
      </w:divBdr>
    </w:div>
    <w:div w:id="492988526">
      <w:bodyDiv w:val="1"/>
      <w:marLeft w:val="0"/>
      <w:marRight w:val="0"/>
      <w:marTop w:val="0"/>
      <w:marBottom w:val="0"/>
      <w:divBdr>
        <w:top w:val="none" w:sz="0" w:space="0" w:color="auto"/>
        <w:left w:val="none" w:sz="0" w:space="0" w:color="auto"/>
        <w:bottom w:val="none" w:sz="0" w:space="0" w:color="auto"/>
        <w:right w:val="none" w:sz="0" w:space="0" w:color="auto"/>
      </w:divBdr>
    </w:div>
    <w:div w:id="728503348">
      <w:bodyDiv w:val="1"/>
      <w:marLeft w:val="0"/>
      <w:marRight w:val="0"/>
      <w:marTop w:val="0"/>
      <w:marBottom w:val="0"/>
      <w:divBdr>
        <w:top w:val="none" w:sz="0" w:space="0" w:color="auto"/>
        <w:left w:val="none" w:sz="0" w:space="0" w:color="auto"/>
        <w:bottom w:val="none" w:sz="0" w:space="0" w:color="auto"/>
        <w:right w:val="none" w:sz="0" w:space="0" w:color="auto"/>
      </w:divBdr>
    </w:div>
    <w:div w:id="815335275">
      <w:bodyDiv w:val="1"/>
      <w:marLeft w:val="0"/>
      <w:marRight w:val="0"/>
      <w:marTop w:val="0"/>
      <w:marBottom w:val="0"/>
      <w:divBdr>
        <w:top w:val="none" w:sz="0" w:space="0" w:color="auto"/>
        <w:left w:val="none" w:sz="0" w:space="0" w:color="auto"/>
        <w:bottom w:val="none" w:sz="0" w:space="0" w:color="auto"/>
        <w:right w:val="none" w:sz="0" w:space="0" w:color="auto"/>
      </w:divBdr>
    </w:div>
    <w:div w:id="1031419696">
      <w:bodyDiv w:val="1"/>
      <w:marLeft w:val="0"/>
      <w:marRight w:val="0"/>
      <w:marTop w:val="0"/>
      <w:marBottom w:val="0"/>
      <w:divBdr>
        <w:top w:val="none" w:sz="0" w:space="0" w:color="auto"/>
        <w:left w:val="none" w:sz="0" w:space="0" w:color="auto"/>
        <w:bottom w:val="none" w:sz="0" w:space="0" w:color="auto"/>
        <w:right w:val="none" w:sz="0" w:space="0" w:color="auto"/>
      </w:divBdr>
    </w:div>
    <w:div w:id="1076322287">
      <w:bodyDiv w:val="1"/>
      <w:marLeft w:val="0"/>
      <w:marRight w:val="0"/>
      <w:marTop w:val="0"/>
      <w:marBottom w:val="0"/>
      <w:divBdr>
        <w:top w:val="none" w:sz="0" w:space="0" w:color="auto"/>
        <w:left w:val="none" w:sz="0" w:space="0" w:color="auto"/>
        <w:bottom w:val="none" w:sz="0" w:space="0" w:color="auto"/>
        <w:right w:val="none" w:sz="0" w:space="0" w:color="auto"/>
      </w:divBdr>
    </w:div>
    <w:div w:id="1105537395">
      <w:bodyDiv w:val="1"/>
      <w:marLeft w:val="0"/>
      <w:marRight w:val="0"/>
      <w:marTop w:val="0"/>
      <w:marBottom w:val="0"/>
      <w:divBdr>
        <w:top w:val="none" w:sz="0" w:space="0" w:color="auto"/>
        <w:left w:val="none" w:sz="0" w:space="0" w:color="auto"/>
        <w:bottom w:val="none" w:sz="0" w:space="0" w:color="auto"/>
        <w:right w:val="none" w:sz="0" w:space="0" w:color="auto"/>
      </w:divBdr>
    </w:div>
    <w:div w:id="1283151611">
      <w:bodyDiv w:val="1"/>
      <w:marLeft w:val="0"/>
      <w:marRight w:val="0"/>
      <w:marTop w:val="0"/>
      <w:marBottom w:val="0"/>
      <w:divBdr>
        <w:top w:val="none" w:sz="0" w:space="0" w:color="auto"/>
        <w:left w:val="none" w:sz="0" w:space="0" w:color="auto"/>
        <w:bottom w:val="none" w:sz="0" w:space="0" w:color="auto"/>
        <w:right w:val="none" w:sz="0" w:space="0" w:color="auto"/>
      </w:divBdr>
    </w:div>
    <w:div w:id="1587962193">
      <w:bodyDiv w:val="1"/>
      <w:marLeft w:val="0"/>
      <w:marRight w:val="0"/>
      <w:marTop w:val="0"/>
      <w:marBottom w:val="0"/>
      <w:divBdr>
        <w:top w:val="none" w:sz="0" w:space="0" w:color="auto"/>
        <w:left w:val="none" w:sz="0" w:space="0" w:color="auto"/>
        <w:bottom w:val="none" w:sz="0" w:space="0" w:color="auto"/>
        <w:right w:val="none" w:sz="0" w:space="0" w:color="auto"/>
      </w:divBdr>
      <w:divsChild>
        <w:div w:id="1850606251">
          <w:marLeft w:val="0"/>
          <w:marRight w:val="0"/>
          <w:marTop w:val="0"/>
          <w:marBottom w:val="0"/>
          <w:divBdr>
            <w:top w:val="none" w:sz="0" w:space="0" w:color="auto"/>
            <w:left w:val="none" w:sz="0" w:space="0" w:color="auto"/>
            <w:bottom w:val="none" w:sz="0" w:space="0" w:color="auto"/>
            <w:right w:val="none" w:sz="0" w:space="0" w:color="auto"/>
          </w:divBdr>
          <w:divsChild>
            <w:div w:id="438068724">
              <w:marLeft w:val="0"/>
              <w:marRight w:val="0"/>
              <w:marTop w:val="0"/>
              <w:marBottom w:val="0"/>
              <w:divBdr>
                <w:top w:val="none" w:sz="0" w:space="0" w:color="auto"/>
                <w:left w:val="none" w:sz="0" w:space="0" w:color="auto"/>
                <w:bottom w:val="none" w:sz="0" w:space="0" w:color="auto"/>
                <w:right w:val="none" w:sz="0" w:space="0" w:color="auto"/>
              </w:divBdr>
              <w:divsChild>
                <w:div w:id="1862863713">
                  <w:marLeft w:val="0"/>
                  <w:marRight w:val="0"/>
                  <w:marTop w:val="0"/>
                  <w:marBottom w:val="0"/>
                  <w:divBdr>
                    <w:top w:val="none" w:sz="0" w:space="0" w:color="auto"/>
                    <w:left w:val="none" w:sz="0" w:space="0" w:color="auto"/>
                    <w:bottom w:val="none" w:sz="0" w:space="0" w:color="auto"/>
                    <w:right w:val="none" w:sz="0" w:space="0" w:color="auto"/>
                  </w:divBdr>
                  <w:divsChild>
                    <w:div w:id="1650093620">
                      <w:marLeft w:val="0"/>
                      <w:marRight w:val="0"/>
                      <w:marTop w:val="0"/>
                      <w:marBottom w:val="0"/>
                      <w:divBdr>
                        <w:top w:val="none" w:sz="0" w:space="0" w:color="auto"/>
                        <w:left w:val="none" w:sz="0" w:space="0" w:color="auto"/>
                        <w:bottom w:val="none" w:sz="0" w:space="0" w:color="auto"/>
                        <w:right w:val="none" w:sz="0" w:space="0" w:color="auto"/>
                      </w:divBdr>
                      <w:divsChild>
                        <w:div w:id="2102294682">
                          <w:marLeft w:val="0"/>
                          <w:marRight w:val="0"/>
                          <w:marTop w:val="0"/>
                          <w:marBottom w:val="0"/>
                          <w:divBdr>
                            <w:top w:val="none" w:sz="0" w:space="0" w:color="auto"/>
                            <w:left w:val="none" w:sz="0" w:space="0" w:color="auto"/>
                            <w:bottom w:val="none" w:sz="0" w:space="0" w:color="auto"/>
                            <w:right w:val="none" w:sz="0" w:space="0" w:color="auto"/>
                          </w:divBdr>
                          <w:divsChild>
                            <w:div w:id="401022047">
                              <w:marLeft w:val="0"/>
                              <w:marRight w:val="0"/>
                              <w:marTop w:val="0"/>
                              <w:marBottom w:val="0"/>
                              <w:divBdr>
                                <w:top w:val="none" w:sz="0" w:space="0" w:color="auto"/>
                                <w:left w:val="none" w:sz="0" w:space="0" w:color="auto"/>
                                <w:bottom w:val="none" w:sz="0" w:space="0" w:color="auto"/>
                                <w:right w:val="none" w:sz="0" w:space="0" w:color="auto"/>
                              </w:divBdr>
                              <w:divsChild>
                                <w:div w:id="1954510356">
                                  <w:marLeft w:val="0"/>
                                  <w:marRight w:val="0"/>
                                  <w:marTop w:val="0"/>
                                  <w:marBottom w:val="0"/>
                                  <w:divBdr>
                                    <w:top w:val="none" w:sz="0" w:space="0" w:color="auto"/>
                                    <w:left w:val="none" w:sz="0" w:space="0" w:color="auto"/>
                                    <w:bottom w:val="none" w:sz="0" w:space="0" w:color="auto"/>
                                    <w:right w:val="none" w:sz="0" w:space="0" w:color="auto"/>
                                  </w:divBdr>
                                  <w:divsChild>
                                    <w:div w:id="1209025477">
                                      <w:marLeft w:val="0"/>
                                      <w:marRight w:val="0"/>
                                      <w:marTop w:val="0"/>
                                      <w:marBottom w:val="0"/>
                                      <w:divBdr>
                                        <w:top w:val="none" w:sz="0" w:space="0" w:color="auto"/>
                                        <w:left w:val="none" w:sz="0" w:space="0" w:color="auto"/>
                                        <w:bottom w:val="none" w:sz="0" w:space="0" w:color="auto"/>
                                        <w:right w:val="none" w:sz="0" w:space="0" w:color="auto"/>
                                      </w:divBdr>
                                      <w:divsChild>
                                        <w:div w:id="273831547">
                                          <w:marLeft w:val="0"/>
                                          <w:marRight w:val="0"/>
                                          <w:marTop w:val="0"/>
                                          <w:marBottom w:val="0"/>
                                          <w:divBdr>
                                            <w:top w:val="none" w:sz="0" w:space="0" w:color="auto"/>
                                            <w:left w:val="none" w:sz="0" w:space="0" w:color="auto"/>
                                            <w:bottom w:val="none" w:sz="0" w:space="0" w:color="auto"/>
                                            <w:right w:val="none" w:sz="0" w:space="0" w:color="auto"/>
                                          </w:divBdr>
                                          <w:divsChild>
                                            <w:div w:id="1665668571">
                                              <w:marLeft w:val="0"/>
                                              <w:marRight w:val="0"/>
                                              <w:marTop w:val="0"/>
                                              <w:marBottom w:val="0"/>
                                              <w:divBdr>
                                                <w:top w:val="none" w:sz="0" w:space="0" w:color="auto"/>
                                                <w:left w:val="none" w:sz="0" w:space="0" w:color="auto"/>
                                                <w:bottom w:val="none" w:sz="0" w:space="0" w:color="auto"/>
                                                <w:right w:val="none" w:sz="0" w:space="0" w:color="auto"/>
                                              </w:divBdr>
                                              <w:divsChild>
                                                <w:div w:id="921528530">
                                                  <w:marLeft w:val="0"/>
                                                  <w:marRight w:val="0"/>
                                                  <w:marTop w:val="0"/>
                                                  <w:marBottom w:val="0"/>
                                                  <w:divBdr>
                                                    <w:top w:val="none" w:sz="0" w:space="0" w:color="auto"/>
                                                    <w:left w:val="none" w:sz="0" w:space="0" w:color="auto"/>
                                                    <w:bottom w:val="none" w:sz="0" w:space="0" w:color="auto"/>
                                                    <w:right w:val="none" w:sz="0" w:space="0" w:color="auto"/>
                                                  </w:divBdr>
                                                  <w:divsChild>
                                                    <w:div w:id="19166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259788">
      <w:bodyDiv w:val="1"/>
      <w:marLeft w:val="0"/>
      <w:marRight w:val="0"/>
      <w:marTop w:val="0"/>
      <w:marBottom w:val="0"/>
      <w:divBdr>
        <w:top w:val="none" w:sz="0" w:space="0" w:color="auto"/>
        <w:left w:val="none" w:sz="0" w:space="0" w:color="auto"/>
        <w:bottom w:val="none" w:sz="0" w:space="0" w:color="auto"/>
        <w:right w:val="none" w:sz="0" w:space="0" w:color="auto"/>
      </w:divBdr>
      <w:divsChild>
        <w:div w:id="2026707298">
          <w:marLeft w:val="0"/>
          <w:marRight w:val="0"/>
          <w:marTop w:val="0"/>
          <w:marBottom w:val="0"/>
          <w:divBdr>
            <w:top w:val="none" w:sz="0" w:space="0" w:color="auto"/>
            <w:left w:val="none" w:sz="0" w:space="0" w:color="auto"/>
            <w:bottom w:val="none" w:sz="0" w:space="0" w:color="auto"/>
            <w:right w:val="none" w:sz="0" w:space="0" w:color="auto"/>
          </w:divBdr>
          <w:divsChild>
            <w:div w:id="735055693">
              <w:marLeft w:val="0"/>
              <w:marRight w:val="0"/>
              <w:marTop w:val="0"/>
              <w:marBottom w:val="0"/>
              <w:divBdr>
                <w:top w:val="none" w:sz="0" w:space="0" w:color="auto"/>
                <w:left w:val="none" w:sz="0" w:space="0" w:color="auto"/>
                <w:bottom w:val="none" w:sz="0" w:space="0" w:color="auto"/>
                <w:right w:val="none" w:sz="0" w:space="0" w:color="auto"/>
              </w:divBdr>
              <w:divsChild>
                <w:div w:id="806121014">
                  <w:marLeft w:val="0"/>
                  <w:marRight w:val="0"/>
                  <w:marTop w:val="0"/>
                  <w:marBottom w:val="0"/>
                  <w:divBdr>
                    <w:top w:val="none" w:sz="0" w:space="0" w:color="auto"/>
                    <w:left w:val="none" w:sz="0" w:space="0" w:color="auto"/>
                    <w:bottom w:val="none" w:sz="0" w:space="0" w:color="auto"/>
                    <w:right w:val="none" w:sz="0" w:space="0" w:color="auto"/>
                  </w:divBdr>
                  <w:divsChild>
                    <w:div w:id="412509506">
                      <w:marLeft w:val="0"/>
                      <w:marRight w:val="0"/>
                      <w:marTop w:val="0"/>
                      <w:marBottom w:val="0"/>
                      <w:divBdr>
                        <w:top w:val="none" w:sz="0" w:space="0" w:color="auto"/>
                        <w:left w:val="none" w:sz="0" w:space="0" w:color="auto"/>
                        <w:bottom w:val="none" w:sz="0" w:space="0" w:color="auto"/>
                        <w:right w:val="none" w:sz="0" w:space="0" w:color="auto"/>
                      </w:divBdr>
                      <w:divsChild>
                        <w:div w:id="1390378323">
                          <w:marLeft w:val="0"/>
                          <w:marRight w:val="0"/>
                          <w:marTop w:val="0"/>
                          <w:marBottom w:val="0"/>
                          <w:divBdr>
                            <w:top w:val="none" w:sz="0" w:space="0" w:color="auto"/>
                            <w:left w:val="none" w:sz="0" w:space="0" w:color="auto"/>
                            <w:bottom w:val="none" w:sz="0" w:space="0" w:color="auto"/>
                            <w:right w:val="none" w:sz="0" w:space="0" w:color="auto"/>
                          </w:divBdr>
                          <w:divsChild>
                            <w:div w:id="662052528">
                              <w:marLeft w:val="0"/>
                              <w:marRight w:val="0"/>
                              <w:marTop w:val="0"/>
                              <w:marBottom w:val="0"/>
                              <w:divBdr>
                                <w:top w:val="none" w:sz="0" w:space="0" w:color="auto"/>
                                <w:left w:val="none" w:sz="0" w:space="0" w:color="auto"/>
                                <w:bottom w:val="none" w:sz="0" w:space="0" w:color="auto"/>
                                <w:right w:val="none" w:sz="0" w:space="0" w:color="auto"/>
                              </w:divBdr>
                              <w:divsChild>
                                <w:div w:id="928194156">
                                  <w:marLeft w:val="0"/>
                                  <w:marRight w:val="0"/>
                                  <w:marTop w:val="0"/>
                                  <w:marBottom w:val="0"/>
                                  <w:divBdr>
                                    <w:top w:val="none" w:sz="0" w:space="0" w:color="auto"/>
                                    <w:left w:val="none" w:sz="0" w:space="0" w:color="auto"/>
                                    <w:bottom w:val="none" w:sz="0" w:space="0" w:color="auto"/>
                                    <w:right w:val="none" w:sz="0" w:space="0" w:color="auto"/>
                                  </w:divBdr>
                                  <w:divsChild>
                                    <w:div w:id="374543876">
                                      <w:marLeft w:val="0"/>
                                      <w:marRight w:val="0"/>
                                      <w:marTop w:val="0"/>
                                      <w:marBottom w:val="0"/>
                                      <w:divBdr>
                                        <w:top w:val="none" w:sz="0" w:space="0" w:color="auto"/>
                                        <w:left w:val="none" w:sz="0" w:space="0" w:color="auto"/>
                                        <w:bottom w:val="none" w:sz="0" w:space="0" w:color="auto"/>
                                        <w:right w:val="none" w:sz="0" w:space="0" w:color="auto"/>
                                      </w:divBdr>
                                      <w:divsChild>
                                        <w:div w:id="504320647">
                                          <w:marLeft w:val="0"/>
                                          <w:marRight w:val="0"/>
                                          <w:marTop w:val="0"/>
                                          <w:marBottom w:val="0"/>
                                          <w:divBdr>
                                            <w:top w:val="none" w:sz="0" w:space="0" w:color="auto"/>
                                            <w:left w:val="none" w:sz="0" w:space="0" w:color="auto"/>
                                            <w:bottom w:val="none" w:sz="0" w:space="0" w:color="auto"/>
                                            <w:right w:val="none" w:sz="0" w:space="0" w:color="auto"/>
                                          </w:divBdr>
                                          <w:divsChild>
                                            <w:div w:id="1353536899">
                                              <w:marLeft w:val="0"/>
                                              <w:marRight w:val="0"/>
                                              <w:marTop w:val="0"/>
                                              <w:marBottom w:val="0"/>
                                              <w:divBdr>
                                                <w:top w:val="none" w:sz="0" w:space="0" w:color="auto"/>
                                                <w:left w:val="none" w:sz="0" w:space="0" w:color="auto"/>
                                                <w:bottom w:val="none" w:sz="0" w:space="0" w:color="auto"/>
                                                <w:right w:val="none" w:sz="0" w:space="0" w:color="auto"/>
                                              </w:divBdr>
                                              <w:divsChild>
                                                <w:div w:id="1208685515">
                                                  <w:marLeft w:val="0"/>
                                                  <w:marRight w:val="0"/>
                                                  <w:marTop w:val="0"/>
                                                  <w:marBottom w:val="0"/>
                                                  <w:divBdr>
                                                    <w:top w:val="none" w:sz="0" w:space="0" w:color="auto"/>
                                                    <w:left w:val="none" w:sz="0" w:space="0" w:color="auto"/>
                                                    <w:bottom w:val="none" w:sz="0" w:space="0" w:color="auto"/>
                                                    <w:right w:val="none" w:sz="0" w:space="0" w:color="auto"/>
                                                  </w:divBdr>
                                                  <w:divsChild>
                                                    <w:div w:id="11029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230537">
      <w:bodyDiv w:val="1"/>
      <w:marLeft w:val="0"/>
      <w:marRight w:val="0"/>
      <w:marTop w:val="0"/>
      <w:marBottom w:val="0"/>
      <w:divBdr>
        <w:top w:val="none" w:sz="0" w:space="0" w:color="auto"/>
        <w:left w:val="none" w:sz="0" w:space="0" w:color="auto"/>
        <w:bottom w:val="none" w:sz="0" w:space="0" w:color="auto"/>
        <w:right w:val="none" w:sz="0" w:space="0" w:color="auto"/>
      </w:divBdr>
    </w:div>
    <w:div w:id="1962413925">
      <w:bodyDiv w:val="1"/>
      <w:marLeft w:val="0"/>
      <w:marRight w:val="0"/>
      <w:marTop w:val="0"/>
      <w:marBottom w:val="0"/>
      <w:divBdr>
        <w:top w:val="none" w:sz="0" w:space="0" w:color="auto"/>
        <w:left w:val="none" w:sz="0" w:space="0" w:color="auto"/>
        <w:bottom w:val="none" w:sz="0" w:space="0" w:color="auto"/>
        <w:right w:val="none" w:sz="0" w:space="0" w:color="auto"/>
      </w:divBdr>
      <w:divsChild>
        <w:div w:id="1418478379">
          <w:marLeft w:val="0"/>
          <w:marRight w:val="0"/>
          <w:marTop w:val="0"/>
          <w:marBottom w:val="0"/>
          <w:divBdr>
            <w:top w:val="none" w:sz="0" w:space="0" w:color="auto"/>
            <w:left w:val="none" w:sz="0" w:space="0" w:color="auto"/>
            <w:bottom w:val="none" w:sz="0" w:space="0" w:color="auto"/>
            <w:right w:val="none" w:sz="0" w:space="0" w:color="auto"/>
          </w:divBdr>
          <w:divsChild>
            <w:div w:id="1393312384">
              <w:marLeft w:val="0"/>
              <w:marRight w:val="0"/>
              <w:marTop w:val="0"/>
              <w:marBottom w:val="0"/>
              <w:divBdr>
                <w:top w:val="none" w:sz="0" w:space="0" w:color="auto"/>
                <w:left w:val="none" w:sz="0" w:space="0" w:color="auto"/>
                <w:bottom w:val="none" w:sz="0" w:space="0" w:color="auto"/>
                <w:right w:val="none" w:sz="0" w:space="0" w:color="auto"/>
              </w:divBdr>
              <w:divsChild>
                <w:div w:id="1024599255">
                  <w:marLeft w:val="0"/>
                  <w:marRight w:val="0"/>
                  <w:marTop w:val="0"/>
                  <w:marBottom w:val="0"/>
                  <w:divBdr>
                    <w:top w:val="none" w:sz="0" w:space="0" w:color="auto"/>
                    <w:left w:val="none" w:sz="0" w:space="0" w:color="auto"/>
                    <w:bottom w:val="none" w:sz="0" w:space="0" w:color="auto"/>
                    <w:right w:val="none" w:sz="0" w:space="0" w:color="auto"/>
                  </w:divBdr>
                  <w:divsChild>
                    <w:div w:id="581377064">
                      <w:marLeft w:val="0"/>
                      <w:marRight w:val="0"/>
                      <w:marTop w:val="0"/>
                      <w:marBottom w:val="0"/>
                      <w:divBdr>
                        <w:top w:val="none" w:sz="0" w:space="0" w:color="auto"/>
                        <w:left w:val="none" w:sz="0" w:space="0" w:color="auto"/>
                        <w:bottom w:val="none" w:sz="0" w:space="0" w:color="auto"/>
                        <w:right w:val="none" w:sz="0" w:space="0" w:color="auto"/>
                      </w:divBdr>
                      <w:divsChild>
                        <w:div w:id="1872759319">
                          <w:marLeft w:val="0"/>
                          <w:marRight w:val="0"/>
                          <w:marTop w:val="0"/>
                          <w:marBottom w:val="0"/>
                          <w:divBdr>
                            <w:top w:val="none" w:sz="0" w:space="0" w:color="auto"/>
                            <w:left w:val="none" w:sz="0" w:space="0" w:color="auto"/>
                            <w:bottom w:val="none" w:sz="0" w:space="0" w:color="auto"/>
                            <w:right w:val="none" w:sz="0" w:space="0" w:color="auto"/>
                          </w:divBdr>
                          <w:divsChild>
                            <w:div w:id="382146604">
                              <w:marLeft w:val="0"/>
                              <w:marRight w:val="0"/>
                              <w:marTop w:val="0"/>
                              <w:marBottom w:val="0"/>
                              <w:divBdr>
                                <w:top w:val="none" w:sz="0" w:space="0" w:color="auto"/>
                                <w:left w:val="none" w:sz="0" w:space="0" w:color="auto"/>
                                <w:bottom w:val="none" w:sz="0" w:space="0" w:color="auto"/>
                                <w:right w:val="none" w:sz="0" w:space="0" w:color="auto"/>
                              </w:divBdr>
                              <w:divsChild>
                                <w:div w:id="460417846">
                                  <w:marLeft w:val="0"/>
                                  <w:marRight w:val="0"/>
                                  <w:marTop w:val="0"/>
                                  <w:marBottom w:val="0"/>
                                  <w:divBdr>
                                    <w:top w:val="none" w:sz="0" w:space="0" w:color="auto"/>
                                    <w:left w:val="none" w:sz="0" w:space="0" w:color="auto"/>
                                    <w:bottom w:val="none" w:sz="0" w:space="0" w:color="auto"/>
                                    <w:right w:val="none" w:sz="0" w:space="0" w:color="auto"/>
                                  </w:divBdr>
                                  <w:divsChild>
                                    <w:div w:id="483543092">
                                      <w:marLeft w:val="0"/>
                                      <w:marRight w:val="0"/>
                                      <w:marTop w:val="0"/>
                                      <w:marBottom w:val="0"/>
                                      <w:divBdr>
                                        <w:top w:val="none" w:sz="0" w:space="0" w:color="auto"/>
                                        <w:left w:val="none" w:sz="0" w:space="0" w:color="auto"/>
                                        <w:bottom w:val="none" w:sz="0" w:space="0" w:color="auto"/>
                                        <w:right w:val="none" w:sz="0" w:space="0" w:color="auto"/>
                                      </w:divBdr>
                                      <w:divsChild>
                                        <w:div w:id="727724523">
                                          <w:marLeft w:val="0"/>
                                          <w:marRight w:val="0"/>
                                          <w:marTop w:val="0"/>
                                          <w:marBottom w:val="0"/>
                                          <w:divBdr>
                                            <w:top w:val="none" w:sz="0" w:space="0" w:color="auto"/>
                                            <w:left w:val="none" w:sz="0" w:space="0" w:color="auto"/>
                                            <w:bottom w:val="none" w:sz="0" w:space="0" w:color="auto"/>
                                            <w:right w:val="none" w:sz="0" w:space="0" w:color="auto"/>
                                          </w:divBdr>
                                          <w:divsChild>
                                            <w:div w:id="333414383">
                                              <w:marLeft w:val="0"/>
                                              <w:marRight w:val="0"/>
                                              <w:marTop w:val="0"/>
                                              <w:marBottom w:val="0"/>
                                              <w:divBdr>
                                                <w:top w:val="none" w:sz="0" w:space="0" w:color="auto"/>
                                                <w:left w:val="none" w:sz="0" w:space="0" w:color="auto"/>
                                                <w:bottom w:val="none" w:sz="0" w:space="0" w:color="auto"/>
                                                <w:right w:val="none" w:sz="0" w:space="0" w:color="auto"/>
                                              </w:divBdr>
                                              <w:divsChild>
                                                <w:div w:id="249852139">
                                                  <w:marLeft w:val="0"/>
                                                  <w:marRight w:val="0"/>
                                                  <w:marTop w:val="0"/>
                                                  <w:marBottom w:val="0"/>
                                                  <w:divBdr>
                                                    <w:top w:val="none" w:sz="0" w:space="0" w:color="auto"/>
                                                    <w:left w:val="none" w:sz="0" w:space="0" w:color="auto"/>
                                                    <w:bottom w:val="none" w:sz="0" w:space="0" w:color="auto"/>
                                                    <w:right w:val="none" w:sz="0" w:space="0" w:color="auto"/>
                                                  </w:divBdr>
                                                  <w:divsChild>
                                                    <w:div w:id="11032602">
                                                      <w:marLeft w:val="0"/>
                                                      <w:marRight w:val="0"/>
                                                      <w:marTop w:val="0"/>
                                                      <w:marBottom w:val="0"/>
                                                      <w:divBdr>
                                                        <w:top w:val="none" w:sz="0" w:space="0" w:color="auto"/>
                                                        <w:left w:val="none" w:sz="0" w:space="0" w:color="auto"/>
                                                        <w:bottom w:val="none" w:sz="0" w:space="0" w:color="auto"/>
                                                        <w:right w:val="none" w:sz="0" w:space="0" w:color="auto"/>
                                                      </w:divBdr>
                                                      <w:divsChild>
                                                        <w:div w:id="1222910074">
                                                          <w:marLeft w:val="0"/>
                                                          <w:marRight w:val="0"/>
                                                          <w:marTop w:val="0"/>
                                                          <w:marBottom w:val="0"/>
                                                          <w:divBdr>
                                                            <w:top w:val="none" w:sz="0" w:space="0" w:color="auto"/>
                                                            <w:left w:val="none" w:sz="0" w:space="0" w:color="auto"/>
                                                            <w:bottom w:val="none" w:sz="0" w:space="0" w:color="auto"/>
                                                            <w:right w:val="none" w:sz="0" w:space="0" w:color="auto"/>
                                                          </w:divBdr>
                                                          <w:divsChild>
                                                            <w:div w:id="148138724">
                                                              <w:marLeft w:val="0"/>
                                                              <w:marRight w:val="0"/>
                                                              <w:marTop w:val="0"/>
                                                              <w:marBottom w:val="0"/>
                                                              <w:divBdr>
                                                                <w:top w:val="none" w:sz="0" w:space="0" w:color="auto"/>
                                                                <w:left w:val="none" w:sz="0" w:space="0" w:color="auto"/>
                                                                <w:bottom w:val="none" w:sz="0" w:space="0" w:color="auto"/>
                                                                <w:right w:val="none" w:sz="0" w:space="0" w:color="auto"/>
                                                              </w:divBdr>
                                                              <w:divsChild>
                                                                <w:div w:id="1642226608">
                                                                  <w:marLeft w:val="405"/>
                                                                  <w:marRight w:val="0"/>
                                                                  <w:marTop w:val="0"/>
                                                                  <w:marBottom w:val="0"/>
                                                                  <w:divBdr>
                                                                    <w:top w:val="none" w:sz="0" w:space="0" w:color="auto"/>
                                                                    <w:left w:val="none" w:sz="0" w:space="0" w:color="auto"/>
                                                                    <w:bottom w:val="none" w:sz="0" w:space="0" w:color="auto"/>
                                                                    <w:right w:val="none" w:sz="0" w:space="0" w:color="auto"/>
                                                                  </w:divBdr>
                                                                  <w:divsChild>
                                                                    <w:div w:id="1536190594">
                                                                      <w:marLeft w:val="0"/>
                                                                      <w:marRight w:val="0"/>
                                                                      <w:marTop w:val="0"/>
                                                                      <w:marBottom w:val="0"/>
                                                                      <w:divBdr>
                                                                        <w:top w:val="none" w:sz="0" w:space="0" w:color="auto"/>
                                                                        <w:left w:val="none" w:sz="0" w:space="0" w:color="auto"/>
                                                                        <w:bottom w:val="none" w:sz="0" w:space="0" w:color="auto"/>
                                                                        <w:right w:val="none" w:sz="0" w:space="0" w:color="auto"/>
                                                                      </w:divBdr>
                                                                      <w:divsChild>
                                                                        <w:div w:id="1387070450">
                                                                          <w:marLeft w:val="0"/>
                                                                          <w:marRight w:val="0"/>
                                                                          <w:marTop w:val="0"/>
                                                                          <w:marBottom w:val="0"/>
                                                                          <w:divBdr>
                                                                            <w:top w:val="none" w:sz="0" w:space="0" w:color="auto"/>
                                                                            <w:left w:val="none" w:sz="0" w:space="0" w:color="auto"/>
                                                                            <w:bottom w:val="none" w:sz="0" w:space="0" w:color="auto"/>
                                                                            <w:right w:val="none" w:sz="0" w:space="0" w:color="auto"/>
                                                                          </w:divBdr>
                                                                          <w:divsChild>
                                                                            <w:div w:id="519203843">
                                                                              <w:marLeft w:val="0"/>
                                                                              <w:marRight w:val="0"/>
                                                                              <w:marTop w:val="60"/>
                                                                              <w:marBottom w:val="0"/>
                                                                              <w:divBdr>
                                                                                <w:top w:val="none" w:sz="0" w:space="0" w:color="auto"/>
                                                                                <w:left w:val="none" w:sz="0" w:space="0" w:color="auto"/>
                                                                                <w:bottom w:val="single" w:sz="6" w:space="15" w:color="auto"/>
                                                                                <w:right w:val="none" w:sz="0" w:space="0" w:color="auto"/>
                                                                              </w:divBdr>
                                                                              <w:divsChild>
                                                                                <w:div w:id="1285038463">
                                                                                  <w:marLeft w:val="0"/>
                                                                                  <w:marRight w:val="0"/>
                                                                                  <w:marTop w:val="0"/>
                                                                                  <w:marBottom w:val="0"/>
                                                                                  <w:divBdr>
                                                                                    <w:top w:val="none" w:sz="0" w:space="0" w:color="auto"/>
                                                                                    <w:left w:val="none" w:sz="0" w:space="0" w:color="auto"/>
                                                                                    <w:bottom w:val="none" w:sz="0" w:space="0" w:color="auto"/>
                                                                                    <w:right w:val="none" w:sz="0" w:space="0" w:color="auto"/>
                                                                                  </w:divBdr>
                                                                                  <w:divsChild>
                                                                                    <w:div w:id="355155627">
                                                                                      <w:marLeft w:val="0"/>
                                                                                      <w:marRight w:val="0"/>
                                                                                      <w:marTop w:val="0"/>
                                                                                      <w:marBottom w:val="60"/>
                                                                                      <w:divBdr>
                                                                                        <w:top w:val="none" w:sz="0" w:space="0" w:color="auto"/>
                                                                                        <w:left w:val="none" w:sz="0" w:space="0" w:color="auto"/>
                                                                                        <w:bottom w:val="none" w:sz="0" w:space="0" w:color="auto"/>
                                                                                        <w:right w:val="none" w:sz="0" w:space="0" w:color="auto"/>
                                                                                      </w:divBdr>
                                                                                      <w:divsChild>
                                                                                        <w:div w:id="979966311">
                                                                                          <w:marLeft w:val="0"/>
                                                                                          <w:marRight w:val="0"/>
                                                                                          <w:marTop w:val="0"/>
                                                                                          <w:marBottom w:val="0"/>
                                                                                          <w:divBdr>
                                                                                            <w:top w:val="none" w:sz="0" w:space="0" w:color="auto"/>
                                                                                            <w:left w:val="none" w:sz="0" w:space="0" w:color="auto"/>
                                                                                            <w:bottom w:val="none" w:sz="0" w:space="0" w:color="auto"/>
                                                                                            <w:right w:val="none" w:sz="0" w:space="0" w:color="auto"/>
                                                                                          </w:divBdr>
                                                                                          <w:divsChild>
                                                                                            <w:div w:id="1746950015">
                                                                                              <w:marLeft w:val="0"/>
                                                                                              <w:marRight w:val="0"/>
                                                                                              <w:marTop w:val="0"/>
                                                                                              <w:marBottom w:val="0"/>
                                                                                              <w:divBdr>
                                                                                                <w:top w:val="none" w:sz="0" w:space="0" w:color="auto"/>
                                                                                                <w:left w:val="none" w:sz="0" w:space="0" w:color="auto"/>
                                                                                                <w:bottom w:val="none" w:sz="0" w:space="0" w:color="auto"/>
                                                                                                <w:right w:val="none" w:sz="0" w:space="0" w:color="auto"/>
                                                                                              </w:divBdr>
                                                                                              <w:divsChild>
                                                                                                <w:div w:id="581985179">
                                                                                                  <w:marLeft w:val="0"/>
                                                                                                  <w:marRight w:val="0"/>
                                                                                                  <w:marTop w:val="0"/>
                                                                                                  <w:marBottom w:val="0"/>
                                                                                                  <w:divBdr>
                                                                                                    <w:top w:val="none" w:sz="0" w:space="0" w:color="auto"/>
                                                                                                    <w:left w:val="none" w:sz="0" w:space="0" w:color="auto"/>
                                                                                                    <w:bottom w:val="none" w:sz="0" w:space="0" w:color="auto"/>
                                                                                                    <w:right w:val="none" w:sz="0" w:space="0" w:color="auto"/>
                                                                                                  </w:divBdr>
                                                                                                  <w:divsChild>
                                                                                                    <w:div w:id="731852567">
                                                                                                      <w:marLeft w:val="0"/>
                                                                                                      <w:marRight w:val="0"/>
                                                                                                      <w:marTop w:val="0"/>
                                                                                                      <w:marBottom w:val="0"/>
                                                                                                      <w:divBdr>
                                                                                                        <w:top w:val="none" w:sz="0" w:space="0" w:color="auto"/>
                                                                                                        <w:left w:val="none" w:sz="0" w:space="0" w:color="auto"/>
                                                                                                        <w:bottom w:val="none" w:sz="0" w:space="0" w:color="auto"/>
                                                                                                        <w:right w:val="none" w:sz="0" w:space="0" w:color="auto"/>
                                                                                                      </w:divBdr>
                                                                                                      <w:divsChild>
                                                                                                        <w:div w:id="7871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395190">
      <w:bodyDiv w:val="1"/>
      <w:marLeft w:val="0"/>
      <w:marRight w:val="0"/>
      <w:marTop w:val="0"/>
      <w:marBottom w:val="0"/>
      <w:divBdr>
        <w:top w:val="none" w:sz="0" w:space="0" w:color="auto"/>
        <w:left w:val="none" w:sz="0" w:space="0" w:color="auto"/>
        <w:bottom w:val="none" w:sz="0" w:space="0" w:color="auto"/>
        <w:right w:val="none" w:sz="0" w:space="0" w:color="auto"/>
      </w:divBdr>
      <w:divsChild>
        <w:div w:id="369959811">
          <w:marLeft w:val="0"/>
          <w:marRight w:val="0"/>
          <w:marTop w:val="0"/>
          <w:marBottom w:val="0"/>
          <w:divBdr>
            <w:top w:val="none" w:sz="0" w:space="0" w:color="auto"/>
            <w:left w:val="none" w:sz="0" w:space="0" w:color="auto"/>
            <w:bottom w:val="none" w:sz="0" w:space="0" w:color="auto"/>
            <w:right w:val="none" w:sz="0" w:space="0" w:color="auto"/>
          </w:divBdr>
          <w:divsChild>
            <w:div w:id="2008435254">
              <w:marLeft w:val="0"/>
              <w:marRight w:val="0"/>
              <w:marTop w:val="0"/>
              <w:marBottom w:val="0"/>
              <w:divBdr>
                <w:top w:val="none" w:sz="0" w:space="0" w:color="auto"/>
                <w:left w:val="single" w:sz="48" w:space="0" w:color="C8C8C8"/>
                <w:bottom w:val="none" w:sz="0" w:space="0" w:color="auto"/>
                <w:right w:val="single" w:sz="48" w:space="0" w:color="C8C8C8"/>
              </w:divBdr>
              <w:divsChild>
                <w:div w:id="278219744">
                  <w:marLeft w:val="0"/>
                  <w:marRight w:val="0"/>
                  <w:marTop w:val="0"/>
                  <w:marBottom w:val="0"/>
                  <w:divBdr>
                    <w:top w:val="none" w:sz="0" w:space="0" w:color="auto"/>
                    <w:left w:val="none" w:sz="0" w:space="0" w:color="auto"/>
                    <w:bottom w:val="none" w:sz="0" w:space="0" w:color="auto"/>
                    <w:right w:val="none" w:sz="0" w:space="0" w:color="auto"/>
                  </w:divBdr>
                  <w:divsChild>
                    <w:div w:id="917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granerod@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ktc.org/tbi/factsheets/Depression-After-Traumatic-Brain-Injury" TargetMode="External"/><Relationship Id="rId5" Type="http://schemas.openxmlformats.org/officeDocument/2006/relationships/webSettings" Target="webSettings.xml"/><Relationship Id="rId10" Type="http://schemas.openxmlformats.org/officeDocument/2006/relationships/hyperlink" Target="https://www.cprd.com/intro.as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091F-26DC-4ACC-937A-D376E5CB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5381</Words>
  <Characters>30674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Sara Thomas</cp:lastModifiedBy>
  <cp:revision>3</cp:revision>
  <dcterms:created xsi:type="dcterms:W3CDTF">2016-10-19T07:21:00Z</dcterms:created>
  <dcterms:modified xsi:type="dcterms:W3CDTF">2016-10-19T07:21:00Z</dcterms:modified>
</cp:coreProperties>
</file>