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BF20D" w14:textId="77777777" w:rsidR="002D7931" w:rsidRPr="00061FA5" w:rsidRDefault="002D7931" w:rsidP="00B733A7">
      <w:pPr>
        <w:spacing w:line="480" w:lineRule="auto"/>
        <w:rPr>
          <w:rFonts w:ascii="Palatino Linotype" w:hAnsi="Palatino Linotype"/>
          <w:i/>
          <w:sz w:val="18"/>
          <w:szCs w:val="18"/>
        </w:rPr>
      </w:pPr>
      <w:r w:rsidRPr="00061FA5">
        <w:rPr>
          <w:rFonts w:ascii="Palatino Linotype" w:hAnsi="Palatino Linotype"/>
          <w:i/>
          <w:sz w:val="18"/>
          <w:szCs w:val="18"/>
        </w:rPr>
        <w:t>Main title</w:t>
      </w:r>
    </w:p>
    <w:p w14:paraId="6821AC25" w14:textId="77777777" w:rsidR="002D7931" w:rsidRPr="00061FA5" w:rsidRDefault="002D7931" w:rsidP="00F327AB">
      <w:pPr>
        <w:spacing w:line="480" w:lineRule="auto"/>
        <w:jc w:val="both"/>
        <w:rPr>
          <w:rFonts w:ascii="Palatino Linotype" w:hAnsi="Palatino Linotype"/>
          <w:b/>
          <w:sz w:val="18"/>
          <w:szCs w:val="18"/>
        </w:rPr>
      </w:pPr>
      <w:r w:rsidRPr="00061FA5">
        <w:rPr>
          <w:rFonts w:ascii="Palatino Linotype" w:hAnsi="Palatino Linotype"/>
          <w:b/>
          <w:sz w:val="18"/>
          <w:szCs w:val="18"/>
        </w:rPr>
        <w:t>Serum neurofilament light chain protein is a measure of disease intensity in frontotemporal dementia</w:t>
      </w:r>
    </w:p>
    <w:p w14:paraId="6ED5F5F5" w14:textId="77777777" w:rsidR="002D7931" w:rsidRPr="00061FA5" w:rsidRDefault="002D7931" w:rsidP="00F327AB">
      <w:pPr>
        <w:spacing w:line="480" w:lineRule="auto"/>
        <w:jc w:val="both"/>
        <w:rPr>
          <w:rFonts w:ascii="Palatino Linotype" w:hAnsi="Palatino Linotype"/>
          <w:i/>
          <w:sz w:val="18"/>
          <w:szCs w:val="18"/>
        </w:rPr>
      </w:pPr>
      <w:r w:rsidRPr="00061FA5">
        <w:rPr>
          <w:rFonts w:ascii="Palatino Linotype" w:hAnsi="Palatino Linotype"/>
          <w:i/>
          <w:sz w:val="18"/>
          <w:szCs w:val="18"/>
        </w:rPr>
        <w:t>Running title</w:t>
      </w:r>
    </w:p>
    <w:p w14:paraId="2149B523" w14:textId="77777777" w:rsidR="002D7931" w:rsidRPr="00061FA5" w:rsidRDefault="002D7931" w:rsidP="00051CCC">
      <w:pPr>
        <w:spacing w:line="480" w:lineRule="auto"/>
        <w:jc w:val="both"/>
        <w:rPr>
          <w:rFonts w:ascii="Palatino Linotype" w:hAnsi="Palatino Linotype"/>
          <w:b/>
          <w:sz w:val="18"/>
          <w:szCs w:val="18"/>
        </w:rPr>
      </w:pPr>
      <w:r w:rsidRPr="00061FA5">
        <w:rPr>
          <w:rFonts w:ascii="Palatino Linotype" w:hAnsi="Palatino Linotype"/>
          <w:b/>
          <w:sz w:val="18"/>
          <w:szCs w:val="18"/>
        </w:rPr>
        <w:t>Serum neurofilament light in FTD</w:t>
      </w:r>
    </w:p>
    <w:p w14:paraId="23B6C061" w14:textId="77777777" w:rsidR="002D7931" w:rsidRPr="00061FA5" w:rsidRDefault="002D7931" w:rsidP="00B733A7">
      <w:pPr>
        <w:spacing w:line="480" w:lineRule="auto"/>
        <w:rPr>
          <w:rFonts w:ascii="Palatino Linotype" w:hAnsi="Palatino Linotype"/>
          <w:i/>
          <w:sz w:val="18"/>
          <w:szCs w:val="18"/>
        </w:rPr>
      </w:pPr>
      <w:r w:rsidRPr="00061FA5">
        <w:rPr>
          <w:rFonts w:ascii="Palatino Linotype" w:hAnsi="Palatino Linotype"/>
          <w:i/>
          <w:sz w:val="18"/>
          <w:szCs w:val="18"/>
        </w:rPr>
        <w:t>Authors</w:t>
      </w:r>
    </w:p>
    <w:p w14:paraId="34FF19B6" w14:textId="0D2196E9" w:rsidR="002D7931" w:rsidRPr="00061FA5" w:rsidRDefault="002D7931" w:rsidP="00051CCC">
      <w:pPr>
        <w:spacing w:line="480" w:lineRule="auto"/>
        <w:jc w:val="both"/>
        <w:rPr>
          <w:rFonts w:ascii="Palatino Linotype" w:hAnsi="Palatino Linotype"/>
          <w:sz w:val="18"/>
          <w:szCs w:val="18"/>
          <w:vertAlign w:val="superscript"/>
        </w:rPr>
      </w:pPr>
      <w:r w:rsidRPr="00061FA5">
        <w:rPr>
          <w:rFonts w:ascii="Palatino Linotype" w:hAnsi="Palatino Linotype"/>
          <w:sz w:val="18"/>
          <w:szCs w:val="18"/>
        </w:rPr>
        <w:t>Jonathan D Rohrer PhD</w:t>
      </w:r>
      <w:r w:rsidRPr="00061FA5">
        <w:rPr>
          <w:rFonts w:ascii="Palatino Linotype" w:hAnsi="Palatino Linotype"/>
          <w:sz w:val="18"/>
          <w:szCs w:val="18"/>
          <w:vertAlign w:val="superscript"/>
        </w:rPr>
        <w:t>1</w:t>
      </w:r>
      <w:r w:rsidRPr="00061FA5">
        <w:rPr>
          <w:rFonts w:ascii="Palatino Linotype" w:hAnsi="Palatino Linotype"/>
          <w:sz w:val="18"/>
          <w:szCs w:val="18"/>
        </w:rPr>
        <w:t>, Ione OC Woollacott MRCP</w:t>
      </w:r>
      <w:r w:rsidRPr="00061FA5">
        <w:rPr>
          <w:rFonts w:ascii="Palatino Linotype" w:hAnsi="Palatino Linotype"/>
          <w:sz w:val="18"/>
          <w:szCs w:val="18"/>
          <w:vertAlign w:val="superscript"/>
        </w:rPr>
        <w:t>1</w:t>
      </w:r>
      <w:r w:rsidRPr="00061FA5">
        <w:rPr>
          <w:rFonts w:ascii="Palatino Linotype" w:hAnsi="Palatino Linotype"/>
          <w:sz w:val="18"/>
          <w:szCs w:val="18"/>
        </w:rPr>
        <w:t>, Katrina M Dick BSc</w:t>
      </w:r>
      <w:r w:rsidRPr="00061FA5">
        <w:rPr>
          <w:rFonts w:ascii="Palatino Linotype" w:hAnsi="Palatino Linotype"/>
          <w:sz w:val="18"/>
          <w:szCs w:val="18"/>
          <w:vertAlign w:val="superscript"/>
        </w:rPr>
        <w:t>1</w:t>
      </w:r>
      <w:r w:rsidRPr="00061FA5">
        <w:rPr>
          <w:rFonts w:ascii="Palatino Linotype" w:hAnsi="Palatino Linotype"/>
          <w:sz w:val="18"/>
          <w:szCs w:val="18"/>
        </w:rPr>
        <w:t>, Emilie Brotherhood BSc</w:t>
      </w:r>
      <w:r w:rsidRPr="00061FA5">
        <w:rPr>
          <w:rFonts w:ascii="Palatino Linotype" w:hAnsi="Palatino Linotype"/>
          <w:sz w:val="18"/>
          <w:szCs w:val="18"/>
          <w:vertAlign w:val="superscript"/>
        </w:rPr>
        <w:t>1</w:t>
      </w:r>
      <w:r w:rsidRPr="00061FA5">
        <w:rPr>
          <w:rFonts w:ascii="Palatino Linotype" w:hAnsi="Palatino Linotype"/>
          <w:sz w:val="18"/>
          <w:szCs w:val="18"/>
        </w:rPr>
        <w:t>, Elizabeth Gordon MSc</w:t>
      </w:r>
      <w:r w:rsidRPr="00061FA5">
        <w:rPr>
          <w:rFonts w:ascii="Palatino Linotype" w:hAnsi="Palatino Linotype"/>
          <w:sz w:val="18"/>
          <w:szCs w:val="18"/>
          <w:vertAlign w:val="superscript"/>
        </w:rPr>
        <w:t>1</w:t>
      </w:r>
      <w:r w:rsidRPr="00061FA5">
        <w:rPr>
          <w:rFonts w:ascii="Palatino Linotype" w:hAnsi="Palatino Linotype"/>
          <w:sz w:val="18"/>
          <w:szCs w:val="18"/>
        </w:rPr>
        <w:t>, Alexander Fellows BSc</w:t>
      </w:r>
      <w:r w:rsidRPr="00061FA5">
        <w:rPr>
          <w:rFonts w:ascii="Palatino Linotype" w:hAnsi="Palatino Linotype"/>
          <w:sz w:val="18"/>
          <w:szCs w:val="18"/>
          <w:vertAlign w:val="superscript"/>
        </w:rPr>
        <w:t>1</w:t>
      </w:r>
      <w:r w:rsidRPr="00061FA5">
        <w:rPr>
          <w:rFonts w:ascii="Palatino Linotype" w:hAnsi="Palatino Linotype"/>
          <w:sz w:val="18"/>
          <w:szCs w:val="18"/>
        </w:rPr>
        <w:t>, Jamie Toombs BSc</w:t>
      </w:r>
      <w:r w:rsidRPr="00061FA5">
        <w:rPr>
          <w:rFonts w:ascii="Palatino Linotype" w:hAnsi="Palatino Linotype"/>
          <w:sz w:val="18"/>
          <w:szCs w:val="18"/>
          <w:vertAlign w:val="superscript"/>
        </w:rPr>
        <w:t>7</w:t>
      </w:r>
      <w:r w:rsidRPr="00061FA5">
        <w:rPr>
          <w:rFonts w:ascii="Palatino Linotype" w:hAnsi="Palatino Linotype"/>
          <w:sz w:val="18"/>
          <w:szCs w:val="18"/>
        </w:rPr>
        <w:t>, Ron</w:t>
      </w:r>
      <w:r w:rsidR="005C5B71" w:rsidRPr="00061FA5">
        <w:rPr>
          <w:rFonts w:ascii="Palatino Linotype" w:hAnsi="Palatino Linotype"/>
          <w:sz w:val="18"/>
          <w:szCs w:val="18"/>
        </w:rPr>
        <w:t>ald</w:t>
      </w:r>
      <w:r w:rsidRPr="00061FA5">
        <w:rPr>
          <w:rFonts w:ascii="Palatino Linotype" w:hAnsi="Palatino Linotype"/>
          <w:sz w:val="18"/>
          <w:szCs w:val="18"/>
        </w:rPr>
        <w:t xml:space="preserve"> Druyeh BSc</w:t>
      </w:r>
      <w:r w:rsidRPr="00061FA5">
        <w:rPr>
          <w:rFonts w:ascii="Palatino Linotype" w:hAnsi="Palatino Linotype"/>
          <w:sz w:val="18"/>
          <w:szCs w:val="18"/>
          <w:vertAlign w:val="superscript"/>
        </w:rPr>
        <w:t>4</w:t>
      </w:r>
      <w:r w:rsidRPr="00061FA5">
        <w:rPr>
          <w:rFonts w:ascii="Palatino Linotype" w:hAnsi="Palatino Linotype"/>
          <w:sz w:val="18"/>
          <w:szCs w:val="18"/>
        </w:rPr>
        <w:t>, M. Jorge Cardoso PhD</w:t>
      </w:r>
      <w:r w:rsidRPr="00061FA5">
        <w:rPr>
          <w:rFonts w:ascii="Palatino Linotype" w:hAnsi="Palatino Linotype"/>
          <w:sz w:val="18"/>
          <w:szCs w:val="18"/>
          <w:vertAlign w:val="superscript"/>
        </w:rPr>
        <w:t>1,2</w:t>
      </w:r>
      <w:r w:rsidRPr="00061FA5">
        <w:rPr>
          <w:rFonts w:ascii="Palatino Linotype" w:hAnsi="Palatino Linotype"/>
          <w:sz w:val="18"/>
          <w:szCs w:val="18"/>
        </w:rPr>
        <w:t>, Sebastien Ourselin PhD</w:t>
      </w:r>
      <w:r w:rsidRPr="00061FA5">
        <w:rPr>
          <w:rFonts w:ascii="Palatino Linotype" w:hAnsi="Palatino Linotype"/>
          <w:sz w:val="18"/>
          <w:szCs w:val="18"/>
          <w:vertAlign w:val="superscript"/>
        </w:rPr>
        <w:t>1,2</w:t>
      </w:r>
      <w:r w:rsidRPr="00061FA5">
        <w:rPr>
          <w:rFonts w:ascii="Palatino Linotype" w:hAnsi="Palatino Linotype"/>
          <w:sz w:val="18"/>
          <w:szCs w:val="18"/>
        </w:rPr>
        <w:t>, Jennifer M Nicholas PhD</w:t>
      </w:r>
      <w:r w:rsidRPr="00061FA5">
        <w:rPr>
          <w:rFonts w:ascii="Palatino Linotype" w:hAnsi="Palatino Linotype"/>
          <w:sz w:val="18"/>
          <w:szCs w:val="18"/>
          <w:vertAlign w:val="superscript"/>
        </w:rPr>
        <w:t>1,3</w:t>
      </w:r>
      <w:r w:rsidRPr="00061FA5">
        <w:rPr>
          <w:rFonts w:ascii="Palatino Linotype" w:hAnsi="Palatino Linotype"/>
          <w:sz w:val="18"/>
          <w:szCs w:val="18"/>
        </w:rPr>
        <w:t xml:space="preserve">, </w:t>
      </w:r>
      <w:r w:rsidRPr="00061FA5">
        <w:rPr>
          <w:rFonts w:ascii="Palatino Linotype" w:hAnsi="Palatino Linotype" w:cs="Calibri"/>
          <w:sz w:val="18"/>
          <w:szCs w:val="18"/>
        </w:rPr>
        <w:t>Niklas Norgren PhD</w:t>
      </w:r>
      <w:r w:rsidRPr="00061FA5">
        <w:rPr>
          <w:rFonts w:ascii="Palatino Linotype" w:hAnsi="Palatino Linotype" w:cs="Calibri"/>
          <w:sz w:val="18"/>
          <w:szCs w:val="18"/>
          <w:vertAlign w:val="superscript"/>
        </w:rPr>
        <w:t>5</w:t>
      </w:r>
      <w:r w:rsidRPr="00061FA5">
        <w:rPr>
          <w:rFonts w:ascii="Palatino Linotype" w:hAnsi="Palatino Linotype" w:cs="Calibri"/>
          <w:sz w:val="18"/>
          <w:szCs w:val="18"/>
        </w:rPr>
        <w:t xml:space="preserve">, </w:t>
      </w:r>
      <w:r w:rsidRPr="00061FA5">
        <w:rPr>
          <w:rFonts w:ascii="Palatino Linotype" w:hAnsi="Palatino Linotype"/>
          <w:sz w:val="18"/>
          <w:szCs w:val="18"/>
        </w:rPr>
        <w:t>Simon Mead PhD</w:t>
      </w:r>
      <w:r w:rsidRPr="00061FA5">
        <w:rPr>
          <w:rFonts w:ascii="Palatino Linotype" w:hAnsi="Palatino Linotype"/>
          <w:sz w:val="18"/>
          <w:szCs w:val="18"/>
          <w:vertAlign w:val="superscript"/>
        </w:rPr>
        <w:t>4</w:t>
      </w:r>
      <w:r w:rsidRPr="00061FA5">
        <w:rPr>
          <w:rFonts w:ascii="Palatino Linotype" w:hAnsi="Palatino Linotype"/>
          <w:sz w:val="18"/>
          <w:szCs w:val="18"/>
        </w:rPr>
        <w:t xml:space="preserve">, </w:t>
      </w:r>
      <w:r w:rsidRPr="00061FA5">
        <w:rPr>
          <w:rFonts w:ascii="Palatino Linotype" w:hAnsi="Palatino Linotype" w:cs="Calibri"/>
          <w:sz w:val="18"/>
          <w:szCs w:val="18"/>
        </w:rPr>
        <w:t>Ulf Andreasson PhD</w:t>
      </w:r>
      <w:r w:rsidRPr="00061FA5">
        <w:rPr>
          <w:rFonts w:ascii="Palatino Linotype" w:hAnsi="Palatino Linotype" w:cs="Calibri"/>
          <w:sz w:val="18"/>
          <w:szCs w:val="18"/>
          <w:vertAlign w:val="superscript"/>
        </w:rPr>
        <w:t>6</w:t>
      </w:r>
      <w:r w:rsidRPr="00061FA5">
        <w:rPr>
          <w:rFonts w:ascii="Palatino Linotype" w:hAnsi="Palatino Linotype" w:cs="Calibri"/>
          <w:sz w:val="18"/>
          <w:szCs w:val="18"/>
        </w:rPr>
        <w:t>, Kaj Blennow PhD</w:t>
      </w:r>
      <w:r w:rsidRPr="00061FA5">
        <w:rPr>
          <w:rFonts w:ascii="Palatino Linotype" w:hAnsi="Palatino Linotype" w:cs="Calibri"/>
          <w:sz w:val="18"/>
          <w:szCs w:val="18"/>
          <w:vertAlign w:val="superscript"/>
        </w:rPr>
        <w:t>6</w:t>
      </w:r>
      <w:r w:rsidRPr="00061FA5">
        <w:rPr>
          <w:rFonts w:ascii="Palatino Linotype" w:hAnsi="Palatino Linotype" w:cs="Calibri"/>
          <w:sz w:val="18"/>
          <w:szCs w:val="18"/>
        </w:rPr>
        <w:t>, Jonathan M Schott MD</w:t>
      </w:r>
      <w:r w:rsidRPr="00061FA5">
        <w:rPr>
          <w:rFonts w:ascii="Palatino Linotype" w:hAnsi="Palatino Linotype" w:cs="Calibri"/>
          <w:sz w:val="18"/>
          <w:szCs w:val="18"/>
          <w:vertAlign w:val="superscript"/>
        </w:rPr>
        <w:t>1</w:t>
      </w:r>
      <w:r w:rsidRPr="00061FA5">
        <w:rPr>
          <w:rFonts w:ascii="Palatino Linotype" w:hAnsi="Palatino Linotype" w:cs="Calibri"/>
          <w:sz w:val="18"/>
          <w:szCs w:val="18"/>
        </w:rPr>
        <w:t xml:space="preserve">, </w:t>
      </w:r>
      <w:r w:rsidRPr="00061FA5">
        <w:rPr>
          <w:rFonts w:ascii="Palatino Linotype" w:hAnsi="Palatino Linotype"/>
          <w:sz w:val="18"/>
          <w:szCs w:val="18"/>
        </w:rPr>
        <w:t>Nick C Fox MD</w:t>
      </w:r>
      <w:r w:rsidRPr="00061FA5">
        <w:rPr>
          <w:rFonts w:ascii="Palatino Linotype" w:hAnsi="Palatino Linotype"/>
          <w:sz w:val="18"/>
          <w:szCs w:val="18"/>
          <w:vertAlign w:val="superscript"/>
        </w:rPr>
        <w:t>1</w:t>
      </w:r>
      <w:r w:rsidRPr="00061FA5">
        <w:rPr>
          <w:rFonts w:ascii="Palatino Linotype" w:hAnsi="Palatino Linotype"/>
          <w:sz w:val="18"/>
          <w:szCs w:val="18"/>
        </w:rPr>
        <w:t>, Jason D Warren PhD</w:t>
      </w:r>
      <w:r w:rsidRPr="00061FA5">
        <w:rPr>
          <w:rFonts w:ascii="Palatino Linotype" w:hAnsi="Palatino Linotype"/>
          <w:sz w:val="18"/>
          <w:szCs w:val="18"/>
          <w:vertAlign w:val="superscript"/>
        </w:rPr>
        <w:t>1</w:t>
      </w:r>
      <w:r w:rsidRPr="00061FA5">
        <w:rPr>
          <w:rFonts w:ascii="Palatino Linotype" w:hAnsi="Palatino Linotype"/>
          <w:sz w:val="18"/>
          <w:szCs w:val="18"/>
        </w:rPr>
        <w:t>, Henrik Zetterberg PhD</w:t>
      </w:r>
      <w:r w:rsidRPr="00061FA5">
        <w:rPr>
          <w:rFonts w:ascii="Palatino Linotype" w:hAnsi="Palatino Linotype"/>
          <w:sz w:val="18"/>
          <w:szCs w:val="18"/>
          <w:vertAlign w:val="superscript"/>
        </w:rPr>
        <w:t>6,7</w:t>
      </w:r>
    </w:p>
    <w:p w14:paraId="398A381B" w14:textId="77777777" w:rsidR="002D7931" w:rsidRPr="00061FA5" w:rsidRDefault="002D7931" w:rsidP="0048700D">
      <w:pPr>
        <w:spacing w:line="480" w:lineRule="auto"/>
        <w:jc w:val="both"/>
        <w:rPr>
          <w:rFonts w:ascii="Palatino Linotype" w:hAnsi="Palatino Linotype"/>
          <w:i/>
          <w:sz w:val="18"/>
          <w:szCs w:val="18"/>
        </w:rPr>
      </w:pPr>
      <w:r w:rsidRPr="00061FA5">
        <w:rPr>
          <w:rFonts w:ascii="Palatino Linotype" w:hAnsi="Palatino Linotype"/>
          <w:i/>
          <w:sz w:val="18"/>
          <w:szCs w:val="18"/>
        </w:rPr>
        <w:t>Affiliations</w:t>
      </w:r>
    </w:p>
    <w:p w14:paraId="0697273F" w14:textId="77777777" w:rsidR="002D7931" w:rsidRPr="00061FA5" w:rsidRDefault="002D7931" w:rsidP="0055076C">
      <w:pPr>
        <w:spacing w:line="480" w:lineRule="auto"/>
        <w:jc w:val="both"/>
        <w:rPr>
          <w:rFonts w:ascii="Palatino Linotype" w:hAnsi="Palatino Linotype" w:cs="Arial"/>
          <w:sz w:val="18"/>
          <w:szCs w:val="18"/>
        </w:rPr>
      </w:pPr>
      <w:r w:rsidRPr="00061FA5">
        <w:rPr>
          <w:rFonts w:ascii="Palatino Linotype" w:hAnsi="Palatino Linotype"/>
          <w:sz w:val="18"/>
          <w:szCs w:val="18"/>
          <w:vertAlign w:val="superscript"/>
        </w:rPr>
        <w:t>1</w:t>
      </w:r>
      <w:r w:rsidRPr="00061FA5">
        <w:rPr>
          <w:rFonts w:ascii="Palatino Linotype" w:hAnsi="Palatino Linotype"/>
          <w:sz w:val="18"/>
          <w:szCs w:val="18"/>
        </w:rPr>
        <w:t xml:space="preserve">Dementia Research Centre and </w:t>
      </w:r>
      <w:r w:rsidRPr="00061FA5">
        <w:rPr>
          <w:rFonts w:ascii="Palatino Linotype" w:hAnsi="Palatino Linotype"/>
          <w:sz w:val="18"/>
          <w:szCs w:val="18"/>
          <w:vertAlign w:val="superscript"/>
        </w:rPr>
        <w:t>4</w:t>
      </w:r>
      <w:r w:rsidRPr="00061FA5">
        <w:rPr>
          <w:rFonts w:ascii="Palatino Linotype" w:hAnsi="Palatino Linotype"/>
          <w:sz w:val="18"/>
          <w:szCs w:val="18"/>
        </w:rPr>
        <w:t>MRC Prion Unit, Department of Neurodegenerative Disease, UCL Institute of Neurology, Queen Square, London, UK</w:t>
      </w:r>
      <w:r w:rsidRPr="00061FA5">
        <w:rPr>
          <w:rFonts w:ascii="Palatino Linotype" w:hAnsi="Palatino Linotype" w:cs="Menlo Regular"/>
          <w:sz w:val="18"/>
          <w:szCs w:val="18"/>
        </w:rPr>
        <w:t xml:space="preserve">; </w:t>
      </w:r>
      <w:r w:rsidRPr="00061FA5">
        <w:rPr>
          <w:rFonts w:ascii="Palatino Linotype" w:hAnsi="Palatino Linotype"/>
          <w:sz w:val="18"/>
          <w:szCs w:val="18"/>
          <w:vertAlign w:val="superscript"/>
        </w:rPr>
        <w:t>2</w:t>
      </w:r>
      <w:r w:rsidRPr="00061FA5">
        <w:rPr>
          <w:rFonts w:ascii="Palatino Linotype" w:hAnsi="Palatino Linotype" w:cs="Arial"/>
          <w:sz w:val="18"/>
          <w:szCs w:val="18"/>
        </w:rPr>
        <w:t>Centre for Medical Image Computing, University College London, UK</w:t>
      </w:r>
      <w:r w:rsidRPr="00061FA5">
        <w:rPr>
          <w:rFonts w:ascii="Palatino Linotype" w:hAnsi="Palatino Linotype"/>
          <w:sz w:val="18"/>
          <w:szCs w:val="18"/>
        </w:rPr>
        <w:t xml:space="preserve">; </w:t>
      </w:r>
      <w:r w:rsidRPr="00061FA5">
        <w:rPr>
          <w:rFonts w:ascii="Palatino Linotype" w:hAnsi="Palatino Linotype"/>
          <w:sz w:val="18"/>
          <w:szCs w:val="18"/>
          <w:vertAlign w:val="superscript"/>
        </w:rPr>
        <w:t>3</w:t>
      </w:r>
      <w:r w:rsidRPr="00061FA5">
        <w:rPr>
          <w:rFonts w:ascii="Palatino Linotype" w:hAnsi="Palatino Linotype" w:cs="Menlo Regular"/>
          <w:sz w:val="18"/>
          <w:szCs w:val="18"/>
        </w:rPr>
        <w:t xml:space="preserve">Department of Medical Statistics, London School of Hygiene and Tropical Medicine, London, UK; </w:t>
      </w:r>
      <w:r w:rsidRPr="00061FA5">
        <w:rPr>
          <w:rFonts w:ascii="Palatino Linotype" w:hAnsi="Palatino Linotype" w:cs="Menlo Regular"/>
          <w:sz w:val="18"/>
          <w:szCs w:val="18"/>
          <w:vertAlign w:val="superscript"/>
        </w:rPr>
        <w:t>5</w:t>
      </w:r>
      <w:r w:rsidRPr="00061FA5">
        <w:rPr>
          <w:rFonts w:ascii="Palatino Linotype" w:hAnsi="Palatino Linotype" w:cs="Calibri"/>
          <w:sz w:val="18"/>
          <w:szCs w:val="18"/>
        </w:rPr>
        <w:t xml:space="preserve">Uman Diagnostics (Umeå, SWEDEN); </w:t>
      </w:r>
      <w:r w:rsidRPr="00061FA5">
        <w:rPr>
          <w:rFonts w:ascii="Palatino Linotype" w:hAnsi="Palatino Linotype" w:cs="Calibri"/>
          <w:sz w:val="18"/>
          <w:szCs w:val="18"/>
          <w:vertAlign w:val="superscript"/>
        </w:rPr>
        <w:t>6</w:t>
      </w:r>
      <w:r w:rsidRPr="00061FA5">
        <w:rPr>
          <w:rFonts w:ascii="Palatino Linotype" w:hAnsi="Palatino Linotype" w:cs="Arial"/>
          <w:sz w:val="18"/>
          <w:szCs w:val="18"/>
        </w:rPr>
        <w:t xml:space="preserve">Clinical Neurochemistry Laboratory, Department of Psychiatry and Neurochemistry, Institute of Neuroscience and Physiology, The Sahlgrenska Academy at the University of Gothenburg, Mölndal, Sweden; </w:t>
      </w:r>
      <w:r w:rsidRPr="00061FA5">
        <w:rPr>
          <w:rFonts w:ascii="Palatino Linotype" w:hAnsi="Palatino Linotype" w:cs="Arial"/>
          <w:sz w:val="18"/>
          <w:szCs w:val="18"/>
          <w:vertAlign w:val="superscript"/>
        </w:rPr>
        <w:t>7</w:t>
      </w:r>
      <w:r w:rsidRPr="00061FA5">
        <w:rPr>
          <w:rFonts w:ascii="Palatino Linotype" w:hAnsi="Palatino Linotype" w:cs="Arial"/>
          <w:sz w:val="18"/>
          <w:szCs w:val="18"/>
        </w:rPr>
        <w:t xml:space="preserve">Department of Molecular Neuroscience, </w:t>
      </w:r>
      <w:r w:rsidRPr="00061FA5">
        <w:rPr>
          <w:rFonts w:ascii="Palatino Linotype" w:hAnsi="Palatino Linotype"/>
          <w:sz w:val="18"/>
          <w:szCs w:val="18"/>
        </w:rPr>
        <w:t>UCL Institute of Neurology, Queen Square, London</w:t>
      </w:r>
    </w:p>
    <w:p w14:paraId="6FC961A4" w14:textId="77777777" w:rsidR="002D7931" w:rsidRPr="00061FA5" w:rsidRDefault="002D7931" w:rsidP="0055076C">
      <w:pPr>
        <w:spacing w:line="480" w:lineRule="auto"/>
        <w:jc w:val="both"/>
        <w:rPr>
          <w:rFonts w:ascii="Palatino Linotype" w:hAnsi="Palatino Linotype"/>
          <w:i/>
          <w:sz w:val="18"/>
          <w:szCs w:val="18"/>
        </w:rPr>
      </w:pPr>
      <w:r w:rsidRPr="00061FA5">
        <w:rPr>
          <w:rFonts w:ascii="Palatino Linotype" w:hAnsi="Palatino Linotype"/>
          <w:i/>
          <w:sz w:val="18"/>
          <w:szCs w:val="18"/>
        </w:rPr>
        <w:t>Corresponding author</w:t>
      </w:r>
    </w:p>
    <w:p w14:paraId="1BB3D4E7" w14:textId="77777777" w:rsidR="002D7931" w:rsidRPr="00061FA5" w:rsidRDefault="002D7931" w:rsidP="0055076C">
      <w:pPr>
        <w:spacing w:line="480" w:lineRule="auto"/>
        <w:jc w:val="both"/>
        <w:rPr>
          <w:rFonts w:ascii="Palatino Linotype" w:hAnsi="Palatino Linotype"/>
          <w:sz w:val="18"/>
          <w:szCs w:val="18"/>
        </w:rPr>
      </w:pPr>
      <w:r w:rsidRPr="00061FA5">
        <w:rPr>
          <w:rFonts w:ascii="Palatino Linotype" w:hAnsi="Palatino Linotype"/>
          <w:sz w:val="18"/>
          <w:szCs w:val="18"/>
        </w:rPr>
        <w:t>Dr Jonathan Rohrer, Dementia Research Centre, Department of Neurodegenerative Disease, UCL Institute of Neurology, Queen Square, London, WC1N 3BG, j.rohrer@ucl.ac.uk</w:t>
      </w:r>
    </w:p>
    <w:p w14:paraId="5CFB735D" w14:textId="77777777" w:rsidR="002D7931" w:rsidRPr="00061FA5" w:rsidRDefault="002D7931" w:rsidP="0055076C">
      <w:pPr>
        <w:spacing w:line="480" w:lineRule="auto"/>
        <w:jc w:val="both"/>
        <w:rPr>
          <w:rFonts w:ascii="Palatino Linotype" w:hAnsi="Palatino Linotype"/>
          <w:sz w:val="18"/>
          <w:szCs w:val="18"/>
        </w:rPr>
      </w:pPr>
    </w:p>
    <w:p w14:paraId="3585A1A2" w14:textId="77777777" w:rsidR="002D7931" w:rsidRPr="00061FA5" w:rsidRDefault="002D7931" w:rsidP="0055076C">
      <w:pPr>
        <w:spacing w:line="480" w:lineRule="auto"/>
        <w:jc w:val="both"/>
        <w:rPr>
          <w:rFonts w:ascii="Palatino Linotype" w:hAnsi="Palatino Linotype"/>
          <w:sz w:val="18"/>
          <w:szCs w:val="18"/>
        </w:rPr>
      </w:pPr>
      <w:r w:rsidRPr="00061FA5">
        <w:rPr>
          <w:rFonts w:ascii="Palatino Linotype" w:hAnsi="Palatino Linotype"/>
          <w:sz w:val="18"/>
          <w:szCs w:val="18"/>
        </w:rPr>
        <w:t>Number of words: abstract 297; main text 2181</w:t>
      </w:r>
    </w:p>
    <w:p w14:paraId="60730580" w14:textId="77777777" w:rsidR="0082177F" w:rsidRPr="00061FA5" w:rsidRDefault="0082177F" w:rsidP="0074478E">
      <w:pPr>
        <w:autoSpaceDE w:val="0"/>
        <w:autoSpaceDN w:val="0"/>
        <w:adjustRightInd w:val="0"/>
        <w:spacing w:line="480" w:lineRule="auto"/>
        <w:jc w:val="both"/>
        <w:rPr>
          <w:rFonts w:ascii="Palatino Linotype" w:hAnsi="Palatino Linotype"/>
          <w:b/>
          <w:sz w:val="18"/>
          <w:szCs w:val="18"/>
        </w:rPr>
      </w:pPr>
    </w:p>
    <w:p w14:paraId="5B512CC0" w14:textId="77777777" w:rsidR="002D7931" w:rsidRPr="00061FA5" w:rsidRDefault="002D7931" w:rsidP="0074478E">
      <w:pPr>
        <w:autoSpaceDE w:val="0"/>
        <w:autoSpaceDN w:val="0"/>
        <w:adjustRightInd w:val="0"/>
        <w:spacing w:line="480" w:lineRule="auto"/>
        <w:jc w:val="both"/>
        <w:rPr>
          <w:rFonts w:ascii="Palatino Linotype" w:hAnsi="Palatino Linotype"/>
          <w:b/>
          <w:sz w:val="18"/>
          <w:szCs w:val="18"/>
        </w:rPr>
      </w:pPr>
      <w:r w:rsidRPr="00061FA5">
        <w:rPr>
          <w:rFonts w:ascii="Palatino Linotype" w:hAnsi="Palatino Linotype"/>
          <w:b/>
          <w:sz w:val="18"/>
          <w:szCs w:val="18"/>
        </w:rPr>
        <w:t>Contributors</w:t>
      </w:r>
    </w:p>
    <w:p w14:paraId="542EBA15" w14:textId="77777777" w:rsidR="002D7931" w:rsidRPr="00061FA5" w:rsidRDefault="002D7931" w:rsidP="0074478E">
      <w:pPr>
        <w:autoSpaceDE w:val="0"/>
        <w:autoSpaceDN w:val="0"/>
        <w:adjustRightInd w:val="0"/>
        <w:spacing w:line="480" w:lineRule="auto"/>
        <w:jc w:val="both"/>
        <w:rPr>
          <w:rFonts w:ascii="Palatino Linotype" w:hAnsi="Palatino Linotype"/>
          <w:sz w:val="18"/>
          <w:szCs w:val="18"/>
        </w:rPr>
      </w:pPr>
      <w:r w:rsidRPr="00061FA5">
        <w:rPr>
          <w:rFonts w:ascii="Palatino Linotype" w:hAnsi="Palatino Linotype"/>
          <w:sz w:val="18"/>
          <w:szCs w:val="18"/>
        </w:rPr>
        <w:t>JR, KD, EB, SM, JS, NF and JW were involved in patient recruitment and collection of data. JT, RD, NN, UF, KB and HZ were involved in assay development, sample processing and analysis. JR, IW, KD, EB, EG, AF, MJC and SO were involved in analysis of the psychometric and imaging data. JR and IW drafted the initial version and figures. JR, IW and JN performed the statistical analysis. All authors contributed to reviewing and editing the manuscript.</w:t>
      </w:r>
    </w:p>
    <w:p w14:paraId="37A6F331" w14:textId="77777777" w:rsidR="0082177F" w:rsidRPr="00061FA5" w:rsidRDefault="0082177F" w:rsidP="0074478E">
      <w:pPr>
        <w:autoSpaceDE w:val="0"/>
        <w:autoSpaceDN w:val="0"/>
        <w:adjustRightInd w:val="0"/>
        <w:spacing w:line="480" w:lineRule="auto"/>
        <w:jc w:val="both"/>
        <w:rPr>
          <w:rFonts w:ascii="Palatino Linotype" w:hAnsi="Palatino Linotype"/>
          <w:b/>
          <w:sz w:val="18"/>
          <w:szCs w:val="18"/>
        </w:rPr>
      </w:pPr>
    </w:p>
    <w:p w14:paraId="31E68AEF" w14:textId="1F14F58A" w:rsidR="002D7931" w:rsidRPr="00061FA5" w:rsidRDefault="00DC346B" w:rsidP="0074478E">
      <w:pPr>
        <w:autoSpaceDE w:val="0"/>
        <w:autoSpaceDN w:val="0"/>
        <w:adjustRightInd w:val="0"/>
        <w:spacing w:line="480" w:lineRule="auto"/>
        <w:jc w:val="both"/>
        <w:rPr>
          <w:rFonts w:ascii="Palatino Linotype" w:hAnsi="Palatino Linotype"/>
          <w:b/>
          <w:sz w:val="18"/>
          <w:szCs w:val="18"/>
        </w:rPr>
      </w:pPr>
      <w:r w:rsidRPr="00061FA5">
        <w:rPr>
          <w:rFonts w:ascii="Palatino Linotype" w:hAnsi="Palatino Linotype"/>
          <w:b/>
          <w:sz w:val="18"/>
          <w:szCs w:val="18"/>
        </w:rPr>
        <w:lastRenderedPageBreak/>
        <w:t>Disclosures</w:t>
      </w:r>
    </w:p>
    <w:p w14:paraId="3CF6B00F" w14:textId="7D1D7CF4" w:rsidR="0082177F" w:rsidRPr="00061FA5" w:rsidRDefault="0082177F" w:rsidP="0082177F">
      <w:pPr>
        <w:spacing w:line="480" w:lineRule="auto"/>
        <w:jc w:val="both"/>
        <w:rPr>
          <w:rFonts w:ascii="Palatino Linotype" w:hAnsi="Palatino Linotype"/>
          <w:sz w:val="18"/>
          <w:szCs w:val="18"/>
        </w:rPr>
      </w:pPr>
      <w:r w:rsidRPr="00061FA5">
        <w:rPr>
          <w:rFonts w:ascii="Palatino Linotype" w:hAnsi="Palatino Linotype"/>
          <w:sz w:val="18"/>
          <w:szCs w:val="18"/>
        </w:rPr>
        <w:t>Dr Rohrer</w:t>
      </w:r>
      <w:r w:rsidR="00DC346B" w:rsidRPr="00061FA5">
        <w:rPr>
          <w:rFonts w:ascii="Palatino Linotype" w:hAnsi="Palatino Linotype"/>
          <w:sz w:val="18"/>
          <w:szCs w:val="18"/>
        </w:rPr>
        <w:t xml:space="preserve"> is an MRC Clinician Scientist and has received funding from the NIHR Rare Disease Translational Research Collaboration.</w:t>
      </w:r>
    </w:p>
    <w:p w14:paraId="583A48AD" w14:textId="2F8B5EA9" w:rsidR="0082177F" w:rsidRPr="00061FA5" w:rsidRDefault="0082177F" w:rsidP="0082177F">
      <w:pPr>
        <w:spacing w:line="480" w:lineRule="auto"/>
        <w:jc w:val="both"/>
        <w:rPr>
          <w:rFonts w:ascii="Palatino Linotype" w:hAnsi="Palatino Linotype"/>
          <w:sz w:val="18"/>
          <w:szCs w:val="18"/>
        </w:rPr>
      </w:pPr>
      <w:r w:rsidRPr="00061FA5">
        <w:rPr>
          <w:rFonts w:ascii="Palatino Linotype" w:hAnsi="Palatino Linotype"/>
          <w:sz w:val="18"/>
          <w:szCs w:val="18"/>
        </w:rPr>
        <w:t xml:space="preserve">Dr Woollacott </w:t>
      </w:r>
      <w:r w:rsidR="00DC346B" w:rsidRPr="00061FA5">
        <w:rPr>
          <w:rFonts w:ascii="Palatino Linotype" w:hAnsi="Palatino Linotype"/>
          <w:sz w:val="18"/>
          <w:szCs w:val="18"/>
        </w:rPr>
        <w:t xml:space="preserve">is supported by an MRC Clinical Research Training Fellowship </w:t>
      </w:r>
      <w:r w:rsidR="006E7B3D" w:rsidRPr="00061FA5">
        <w:rPr>
          <w:rFonts w:ascii="Palatino Linotype" w:hAnsi="Palatino Linotype"/>
          <w:sz w:val="18"/>
          <w:szCs w:val="18"/>
        </w:rPr>
        <w:t>(MR/M018288/1).</w:t>
      </w:r>
    </w:p>
    <w:p w14:paraId="2AF972C9" w14:textId="49926586" w:rsidR="0082177F" w:rsidRPr="00061FA5" w:rsidRDefault="0082177F" w:rsidP="0082177F">
      <w:pPr>
        <w:spacing w:line="480" w:lineRule="auto"/>
        <w:jc w:val="both"/>
        <w:rPr>
          <w:rFonts w:ascii="Palatino Linotype" w:hAnsi="Palatino Linotype"/>
          <w:sz w:val="18"/>
          <w:szCs w:val="18"/>
        </w:rPr>
      </w:pPr>
      <w:r w:rsidRPr="00061FA5">
        <w:rPr>
          <w:rFonts w:ascii="Palatino Linotype" w:hAnsi="Palatino Linotype"/>
          <w:sz w:val="18"/>
          <w:szCs w:val="18"/>
        </w:rPr>
        <w:t xml:space="preserve">Ms Dick </w:t>
      </w:r>
      <w:r w:rsidR="00DC346B" w:rsidRPr="00061FA5">
        <w:rPr>
          <w:rFonts w:ascii="Palatino Linotype" w:hAnsi="Palatino Linotype"/>
          <w:sz w:val="18"/>
          <w:szCs w:val="18"/>
        </w:rPr>
        <w:t>reports no disclosures.</w:t>
      </w:r>
    </w:p>
    <w:p w14:paraId="6A4B289B" w14:textId="5DC55A6B" w:rsidR="0082177F" w:rsidRPr="00061FA5" w:rsidRDefault="0082177F" w:rsidP="0082177F">
      <w:pPr>
        <w:spacing w:line="480" w:lineRule="auto"/>
        <w:jc w:val="both"/>
        <w:rPr>
          <w:rFonts w:ascii="Palatino Linotype" w:hAnsi="Palatino Linotype"/>
          <w:sz w:val="18"/>
          <w:szCs w:val="18"/>
        </w:rPr>
      </w:pPr>
      <w:r w:rsidRPr="00061FA5">
        <w:rPr>
          <w:rFonts w:ascii="Palatino Linotype" w:hAnsi="Palatino Linotype"/>
          <w:sz w:val="18"/>
          <w:szCs w:val="18"/>
        </w:rPr>
        <w:t xml:space="preserve">Ms Brotherhood </w:t>
      </w:r>
      <w:r w:rsidR="00DC346B" w:rsidRPr="00061FA5">
        <w:rPr>
          <w:rFonts w:ascii="Palatino Linotype" w:hAnsi="Palatino Linotype"/>
          <w:sz w:val="18"/>
          <w:szCs w:val="18"/>
        </w:rPr>
        <w:t>reports no disclosures.</w:t>
      </w:r>
    </w:p>
    <w:p w14:paraId="4621E8FD" w14:textId="772AA8DD" w:rsidR="0082177F" w:rsidRPr="00061FA5" w:rsidRDefault="0082177F" w:rsidP="0082177F">
      <w:pPr>
        <w:spacing w:line="480" w:lineRule="auto"/>
        <w:jc w:val="both"/>
        <w:rPr>
          <w:rFonts w:ascii="Palatino Linotype" w:hAnsi="Palatino Linotype"/>
          <w:sz w:val="18"/>
          <w:szCs w:val="18"/>
        </w:rPr>
      </w:pPr>
      <w:r w:rsidRPr="00061FA5">
        <w:rPr>
          <w:rFonts w:ascii="Palatino Linotype" w:hAnsi="Palatino Linotype"/>
          <w:sz w:val="18"/>
          <w:szCs w:val="18"/>
        </w:rPr>
        <w:t xml:space="preserve">Ms Gordon </w:t>
      </w:r>
      <w:r w:rsidR="00DC346B" w:rsidRPr="00061FA5">
        <w:rPr>
          <w:rFonts w:ascii="Palatino Linotype" w:hAnsi="Palatino Linotype"/>
          <w:sz w:val="18"/>
          <w:szCs w:val="18"/>
        </w:rPr>
        <w:t>reports no disclosures.</w:t>
      </w:r>
    </w:p>
    <w:p w14:paraId="55A877EF" w14:textId="3A9D1900" w:rsidR="0082177F" w:rsidRPr="00061FA5" w:rsidRDefault="0082177F" w:rsidP="0082177F">
      <w:pPr>
        <w:spacing w:line="480" w:lineRule="auto"/>
        <w:jc w:val="both"/>
        <w:rPr>
          <w:rFonts w:ascii="Palatino Linotype" w:hAnsi="Palatino Linotype"/>
          <w:sz w:val="18"/>
          <w:szCs w:val="18"/>
        </w:rPr>
      </w:pPr>
      <w:r w:rsidRPr="00061FA5">
        <w:rPr>
          <w:rFonts w:ascii="Palatino Linotype" w:hAnsi="Palatino Linotype"/>
          <w:sz w:val="18"/>
          <w:szCs w:val="18"/>
        </w:rPr>
        <w:t xml:space="preserve">Mr Fellows </w:t>
      </w:r>
      <w:r w:rsidR="00DC346B" w:rsidRPr="00061FA5">
        <w:rPr>
          <w:rFonts w:ascii="Palatino Linotype" w:hAnsi="Palatino Linotype"/>
          <w:sz w:val="18"/>
          <w:szCs w:val="18"/>
        </w:rPr>
        <w:t>reports no disclosures.</w:t>
      </w:r>
    </w:p>
    <w:p w14:paraId="49FEB218" w14:textId="37D4F270" w:rsidR="0082177F" w:rsidRPr="00061FA5" w:rsidRDefault="0082177F" w:rsidP="0082177F">
      <w:pPr>
        <w:spacing w:line="480" w:lineRule="auto"/>
        <w:jc w:val="both"/>
        <w:rPr>
          <w:rFonts w:ascii="Palatino Linotype" w:hAnsi="Palatino Linotype"/>
          <w:sz w:val="18"/>
          <w:szCs w:val="18"/>
        </w:rPr>
      </w:pPr>
      <w:r w:rsidRPr="00061FA5">
        <w:rPr>
          <w:rFonts w:ascii="Palatino Linotype" w:hAnsi="Palatino Linotype"/>
          <w:sz w:val="18"/>
          <w:szCs w:val="18"/>
        </w:rPr>
        <w:t xml:space="preserve">Mr Toombs </w:t>
      </w:r>
      <w:r w:rsidR="00DC346B" w:rsidRPr="00061FA5">
        <w:rPr>
          <w:rFonts w:ascii="Palatino Linotype" w:hAnsi="Palatino Linotype"/>
          <w:sz w:val="18"/>
          <w:szCs w:val="18"/>
        </w:rPr>
        <w:t>reports no disclosures.</w:t>
      </w:r>
    </w:p>
    <w:p w14:paraId="07AFFA5C" w14:textId="7F657991" w:rsidR="0082177F" w:rsidRPr="00061FA5" w:rsidRDefault="0082177F" w:rsidP="0082177F">
      <w:pPr>
        <w:spacing w:line="480" w:lineRule="auto"/>
        <w:jc w:val="both"/>
        <w:rPr>
          <w:rFonts w:ascii="Palatino Linotype" w:hAnsi="Palatino Linotype"/>
          <w:sz w:val="18"/>
          <w:szCs w:val="18"/>
        </w:rPr>
      </w:pPr>
      <w:r w:rsidRPr="00061FA5">
        <w:rPr>
          <w:rFonts w:ascii="Palatino Linotype" w:hAnsi="Palatino Linotype"/>
          <w:sz w:val="18"/>
          <w:szCs w:val="18"/>
        </w:rPr>
        <w:t xml:space="preserve">Mr Druyeh </w:t>
      </w:r>
      <w:r w:rsidR="00DC346B" w:rsidRPr="00061FA5">
        <w:rPr>
          <w:rFonts w:ascii="Palatino Linotype" w:hAnsi="Palatino Linotype"/>
          <w:sz w:val="18"/>
          <w:szCs w:val="18"/>
        </w:rPr>
        <w:t>reports no disclosures.</w:t>
      </w:r>
    </w:p>
    <w:p w14:paraId="126814EA" w14:textId="72F5A96E" w:rsidR="0082177F" w:rsidRPr="00061FA5" w:rsidRDefault="0082177F" w:rsidP="0082177F">
      <w:pPr>
        <w:spacing w:line="480" w:lineRule="auto"/>
        <w:jc w:val="both"/>
        <w:rPr>
          <w:rFonts w:ascii="Palatino Linotype" w:hAnsi="Palatino Linotype"/>
          <w:sz w:val="18"/>
          <w:szCs w:val="18"/>
        </w:rPr>
      </w:pPr>
      <w:r w:rsidRPr="00061FA5">
        <w:rPr>
          <w:rFonts w:ascii="Palatino Linotype" w:hAnsi="Palatino Linotype"/>
          <w:sz w:val="18"/>
          <w:szCs w:val="18"/>
        </w:rPr>
        <w:t xml:space="preserve">Dr Cardoso </w:t>
      </w:r>
      <w:r w:rsidR="00DC346B" w:rsidRPr="00061FA5">
        <w:rPr>
          <w:rFonts w:ascii="Palatino Linotype" w:hAnsi="Palatino Linotype"/>
          <w:sz w:val="18"/>
          <w:szCs w:val="18"/>
        </w:rPr>
        <w:t>reports no disclosures.</w:t>
      </w:r>
    </w:p>
    <w:p w14:paraId="13034905" w14:textId="5571E79B" w:rsidR="0082177F" w:rsidRPr="00061FA5" w:rsidRDefault="0082177F" w:rsidP="0082177F">
      <w:pPr>
        <w:spacing w:line="480" w:lineRule="auto"/>
        <w:jc w:val="both"/>
        <w:rPr>
          <w:rFonts w:ascii="Palatino Linotype" w:hAnsi="Palatino Linotype"/>
          <w:sz w:val="18"/>
          <w:szCs w:val="18"/>
        </w:rPr>
      </w:pPr>
      <w:r w:rsidRPr="00061FA5">
        <w:rPr>
          <w:rFonts w:ascii="Palatino Linotype" w:hAnsi="Palatino Linotype"/>
          <w:sz w:val="18"/>
          <w:szCs w:val="18"/>
        </w:rPr>
        <w:t xml:space="preserve">Professor Ourselin </w:t>
      </w:r>
      <w:r w:rsidR="00DC346B" w:rsidRPr="00061FA5">
        <w:rPr>
          <w:rFonts w:ascii="Palatino Linotype" w:hAnsi="Palatino Linotype"/>
          <w:sz w:val="18"/>
          <w:szCs w:val="18"/>
        </w:rPr>
        <w:t>reports no disclosures.</w:t>
      </w:r>
    </w:p>
    <w:p w14:paraId="6803B1DF" w14:textId="0DCF0EE3" w:rsidR="0082177F" w:rsidRPr="00061FA5" w:rsidRDefault="0082177F" w:rsidP="0082177F">
      <w:pPr>
        <w:spacing w:line="480" w:lineRule="auto"/>
        <w:jc w:val="both"/>
        <w:rPr>
          <w:rFonts w:ascii="Palatino Linotype" w:hAnsi="Palatino Linotype"/>
          <w:sz w:val="18"/>
          <w:szCs w:val="18"/>
        </w:rPr>
      </w:pPr>
      <w:r w:rsidRPr="00061FA5">
        <w:rPr>
          <w:rFonts w:ascii="Palatino Linotype" w:hAnsi="Palatino Linotype"/>
          <w:sz w:val="18"/>
          <w:szCs w:val="18"/>
        </w:rPr>
        <w:t xml:space="preserve">Dr Nicholas </w:t>
      </w:r>
      <w:r w:rsidR="00DC346B" w:rsidRPr="00061FA5">
        <w:rPr>
          <w:rFonts w:ascii="Palatino Linotype" w:hAnsi="Palatino Linotype"/>
          <w:sz w:val="18"/>
          <w:szCs w:val="18"/>
        </w:rPr>
        <w:t>reports no disclosures.</w:t>
      </w:r>
    </w:p>
    <w:p w14:paraId="1DA1C599" w14:textId="7BA39736" w:rsidR="0082177F" w:rsidRPr="00061FA5" w:rsidRDefault="0082177F" w:rsidP="0082177F">
      <w:pPr>
        <w:spacing w:line="480" w:lineRule="auto"/>
        <w:jc w:val="both"/>
        <w:rPr>
          <w:rFonts w:ascii="Palatino Linotype" w:hAnsi="Palatino Linotype" w:cs="Calibri"/>
          <w:sz w:val="18"/>
          <w:szCs w:val="18"/>
        </w:rPr>
      </w:pPr>
      <w:r w:rsidRPr="00061FA5">
        <w:rPr>
          <w:rFonts w:ascii="Palatino Linotype" w:hAnsi="Palatino Linotype"/>
          <w:sz w:val="18"/>
          <w:szCs w:val="18"/>
        </w:rPr>
        <w:t xml:space="preserve">Dr </w:t>
      </w:r>
      <w:r w:rsidRPr="00061FA5">
        <w:rPr>
          <w:rFonts w:ascii="Palatino Linotype" w:hAnsi="Palatino Linotype" w:cs="Calibri"/>
          <w:sz w:val="18"/>
          <w:szCs w:val="18"/>
        </w:rPr>
        <w:t xml:space="preserve">Norgren </w:t>
      </w:r>
      <w:r w:rsidRPr="00061FA5">
        <w:rPr>
          <w:rFonts w:ascii="Palatino Linotype" w:hAnsi="Palatino Linotype"/>
          <w:sz w:val="18"/>
          <w:szCs w:val="18"/>
        </w:rPr>
        <w:t>is employed by Uman Diagnostics. He is a co-founder of Brain Biomarker Solutions in Gothenburg AB, a GU Holding-based platform company at the University of Gothenburg.</w:t>
      </w:r>
    </w:p>
    <w:p w14:paraId="35CD77BD" w14:textId="5B7ACB51" w:rsidR="0082177F" w:rsidRPr="00061FA5" w:rsidRDefault="0082177F" w:rsidP="0082177F">
      <w:pPr>
        <w:spacing w:line="480" w:lineRule="auto"/>
        <w:jc w:val="both"/>
        <w:rPr>
          <w:rFonts w:ascii="Palatino Linotype" w:hAnsi="Palatino Linotype"/>
          <w:sz w:val="18"/>
          <w:szCs w:val="18"/>
        </w:rPr>
      </w:pPr>
      <w:r w:rsidRPr="00061FA5">
        <w:rPr>
          <w:rFonts w:ascii="Palatino Linotype" w:hAnsi="Palatino Linotype" w:cs="Calibri"/>
          <w:sz w:val="18"/>
          <w:szCs w:val="18"/>
        </w:rPr>
        <w:t xml:space="preserve">Professor </w:t>
      </w:r>
      <w:r w:rsidRPr="00061FA5">
        <w:rPr>
          <w:rFonts w:ascii="Palatino Linotype" w:hAnsi="Palatino Linotype"/>
          <w:sz w:val="18"/>
          <w:szCs w:val="18"/>
        </w:rPr>
        <w:t xml:space="preserve">Mead </w:t>
      </w:r>
      <w:r w:rsidR="00DC346B" w:rsidRPr="00061FA5">
        <w:rPr>
          <w:rFonts w:ascii="Palatino Linotype" w:hAnsi="Palatino Linotype"/>
          <w:sz w:val="18"/>
          <w:szCs w:val="18"/>
        </w:rPr>
        <w:t>reports no disclosures.</w:t>
      </w:r>
    </w:p>
    <w:p w14:paraId="0F8F375F" w14:textId="10D6CCC1" w:rsidR="0082177F" w:rsidRPr="00061FA5" w:rsidRDefault="0082177F" w:rsidP="0082177F">
      <w:pPr>
        <w:spacing w:line="480" w:lineRule="auto"/>
        <w:jc w:val="both"/>
        <w:rPr>
          <w:rFonts w:ascii="Palatino Linotype" w:hAnsi="Palatino Linotype" w:cs="Calibri"/>
          <w:sz w:val="18"/>
          <w:szCs w:val="18"/>
        </w:rPr>
      </w:pPr>
      <w:r w:rsidRPr="00061FA5">
        <w:rPr>
          <w:rFonts w:ascii="Palatino Linotype" w:hAnsi="Palatino Linotype"/>
          <w:sz w:val="18"/>
          <w:szCs w:val="18"/>
        </w:rPr>
        <w:t xml:space="preserve">Dr </w:t>
      </w:r>
      <w:r w:rsidRPr="00061FA5">
        <w:rPr>
          <w:rFonts w:ascii="Palatino Linotype" w:hAnsi="Palatino Linotype" w:cs="Calibri"/>
          <w:sz w:val="18"/>
          <w:szCs w:val="18"/>
        </w:rPr>
        <w:t xml:space="preserve">Andreasson </w:t>
      </w:r>
      <w:r w:rsidR="00DC346B" w:rsidRPr="00061FA5">
        <w:rPr>
          <w:rFonts w:ascii="Palatino Linotype" w:hAnsi="Palatino Linotype"/>
          <w:sz w:val="18"/>
          <w:szCs w:val="18"/>
        </w:rPr>
        <w:t>reports no disclosures.</w:t>
      </w:r>
    </w:p>
    <w:p w14:paraId="1886DE3F" w14:textId="45D1A508" w:rsidR="0082177F" w:rsidRPr="00061FA5" w:rsidRDefault="0082177F" w:rsidP="0082177F">
      <w:pPr>
        <w:spacing w:line="480" w:lineRule="auto"/>
        <w:jc w:val="both"/>
        <w:rPr>
          <w:rFonts w:ascii="Palatino Linotype" w:hAnsi="Palatino Linotype" w:cs="Calibri"/>
          <w:sz w:val="18"/>
          <w:szCs w:val="18"/>
        </w:rPr>
      </w:pPr>
      <w:r w:rsidRPr="00061FA5">
        <w:rPr>
          <w:rFonts w:ascii="Palatino Linotype" w:hAnsi="Palatino Linotype" w:cs="Calibri"/>
          <w:sz w:val="18"/>
          <w:szCs w:val="18"/>
        </w:rPr>
        <w:t xml:space="preserve">Professor Blennow </w:t>
      </w:r>
      <w:r w:rsidRPr="00061FA5">
        <w:rPr>
          <w:rFonts w:ascii="Palatino Linotype" w:hAnsi="Palatino Linotype"/>
          <w:sz w:val="18"/>
          <w:szCs w:val="18"/>
        </w:rPr>
        <w:t>is a co-founder of Brain Biomarker Solutions in Gothenburg AB, a GU Holding-based platform company at the University of Gothenburg.</w:t>
      </w:r>
    </w:p>
    <w:p w14:paraId="6C1F74A6" w14:textId="1B79B1ED" w:rsidR="0082177F" w:rsidRPr="00061FA5" w:rsidRDefault="0082177F" w:rsidP="0082177F">
      <w:pPr>
        <w:spacing w:line="480" w:lineRule="auto"/>
        <w:jc w:val="both"/>
        <w:rPr>
          <w:rFonts w:ascii="Palatino Linotype" w:hAnsi="Palatino Linotype" w:cs="Calibri"/>
          <w:sz w:val="18"/>
          <w:szCs w:val="18"/>
        </w:rPr>
      </w:pPr>
      <w:r w:rsidRPr="00061FA5">
        <w:rPr>
          <w:rFonts w:ascii="Palatino Linotype" w:hAnsi="Palatino Linotype" w:cs="Calibri"/>
          <w:sz w:val="18"/>
          <w:szCs w:val="18"/>
        </w:rPr>
        <w:t xml:space="preserve">Dr Schott </w:t>
      </w:r>
      <w:r w:rsidR="00DC346B" w:rsidRPr="00061FA5">
        <w:rPr>
          <w:rFonts w:ascii="Palatino Linotype" w:hAnsi="Palatino Linotype"/>
          <w:sz w:val="18"/>
          <w:szCs w:val="18"/>
        </w:rPr>
        <w:t>reports no disclosures.</w:t>
      </w:r>
    </w:p>
    <w:p w14:paraId="5C5FE2B4" w14:textId="2E350D32" w:rsidR="0082177F" w:rsidRPr="00061FA5" w:rsidRDefault="0082177F" w:rsidP="0082177F">
      <w:pPr>
        <w:spacing w:line="480" w:lineRule="auto"/>
        <w:jc w:val="both"/>
        <w:rPr>
          <w:rFonts w:ascii="Palatino Linotype" w:hAnsi="Palatino Linotype"/>
          <w:sz w:val="18"/>
          <w:szCs w:val="18"/>
        </w:rPr>
      </w:pPr>
      <w:r w:rsidRPr="00061FA5">
        <w:rPr>
          <w:rFonts w:ascii="Palatino Linotype" w:hAnsi="Palatino Linotype" w:cs="Calibri"/>
          <w:sz w:val="18"/>
          <w:szCs w:val="18"/>
        </w:rPr>
        <w:t xml:space="preserve">Professor </w:t>
      </w:r>
      <w:r w:rsidRPr="00061FA5">
        <w:rPr>
          <w:rFonts w:ascii="Palatino Linotype" w:hAnsi="Palatino Linotype"/>
          <w:sz w:val="18"/>
          <w:szCs w:val="18"/>
        </w:rPr>
        <w:t xml:space="preserve">Fox </w:t>
      </w:r>
      <w:r w:rsidR="00DC346B" w:rsidRPr="00061FA5">
        <w:rPr>
          <w:rFonts w:ascii="Palatino Linotype" w:hAnsi="Palatino Linotype"/>
          <w:sz w:val="18"/>
          <w:szCs w:val="18"/>
        </w:rPr>
        <w:t>is an NIHR Senior Investigator.</w:t>
      </w:r>
    </w:p>
    <w:p w14:paraId="2016AC68" w14:textId="3069542F" w:rsidR="0082177F" w:rsidRPr="00061FA5" w:rsidRDefault="0082177F" w:rsidP="0082177F">
      <w:pPr>
        <w:spacing w:line="480" w:lineRule="auto"/>
        <w:jc w:val="both"/>
        <w:rPr>
          <w:rFonts w:ascii="Palatino Linotype" w:hAnsi="Palatino Linotype"/>
          <w:sz w:val="18"/>
          <w:szCs w:val="18"/>
        </w:rPr>
      </w:pPr>
      <w:r w:rsidRPr="00061FA5">
        <w:rPr>
          <w:rFonts w:ascii="Palatino Linotype" w:hAnsi="Palatino Linotype"/>
          <w:sz w:val="18"/>
          <w:szCs w:val="18"/>
        </w:rPr>
        <w:t xml:space="preserve">Professor Warren </w:t>
      </w:r>
      <w:r w:rsidR="00DC346B" w:rsidRPr="00061FA5">
        <w:rPr>
          <w:rFonts w:ascii="Palatino Linotype" w:hAnsi="Palatino Linotype"/>
          <w:sz w:val="18"/>
          <w:szCs w:val="18"/>
        </w:rPr>
        <w:t>is supported by a Wellcome Trust Senior Clinical Fellowship (091673/Z/10/Z).</w:t>
      </w:r>
    </w:p>
    <w:p w14:paraId="0AD7B7A1" w14:textId="7FBB7610" w:rsidR="0082177F" w:rsidRDefault="0082177F" w:rsidP="0082177F">
      <w:pPr>
        <w:spacing w:line="480" w:lineRule="auto"/>
        <w:jc w:val="both"/>
        <w:rPr>
          <w:rFonts w:ascii="Palatino Linotype" w:hAnsi="Palatino Linotype"/>
          <w:sz w:val="18"/>
          <w:szCs w:val="18"/>
        </w:rPr>
      </w:pPr>
      <w:r w:rsidRPr="00061FA5">
        <w:rPr>
          <w:rFonts w:ascii="Palatino Linotype" w:hAnsi="Palatino Linotype"/>
          <w:sz w:val="18"/>
          <w:szCs w:val="18"/>
        </w:rPr>
        <w:t>Professor Zetterberg is a co-founder of Brain Biomarker Solutions in Gothenburg AB, a GU Holding-based platform company at the University of Gothenburg.</w:t>
      </w:r>
    </w:p>
    <w:p w14:paraId="0ED78B8E" w14:textId="77777777" w:rsidR="00BF236F" w:rsidRDefault="00BF236F" w:rsidP="00BF236F">
      <w:pPr>
        <w:pStyle w:val="PlainText"/>
        <w:rPr>
          <w:rFonts w:ascii="Palatino Linotype" w:hAnsi="Palatino Linotype"/>
        </w:rPr>
      </w:pPr>
      <w:r w:rsidRPr="00BF236F">
        <w:rPr>
          <w:rFonts w:ascii="Palatino Linotype" w:hAnsi="Palatino Linotype"/>
          <w:highlight w:val="green"/>
        </w:rPr>
        <w:t xml:space="preserve">“The Article Processing Charge was paid by </w:t>
      </w:r>
      <w:r w:rsidRPr="00BF236F">
        <w:rPr>
          <w:rFonts w:ascii="Palatino Linotype" w:hAnsi="Palatino Linotype"/>
          <w:b/>
          <w:bCs/>
          <w:highlight w:val="green"/>
        </w:rPr>
        <w:t>Medical Research Council.”</w:t>
      </w:r>
    </w:p>
    <w:p w14:paraId="52DAE260" w14:textId="77777777" w:rsidR="00BF236F" w:rsidRPr="00061FA5" w:rsidRDefault="00BF236F" w:rsidP="0082177F">
      <w:pPr>
        <w:spacing w:line="480" w:lineRule="auto"/>
        <w:jc w:val="both"/>
        <w:rPr>
          <w:rFonts w:ascii="Palatino Linotype" w:hAnsi="Palatino Linotype" w:cs="Calibri"/>
          <w:sz w:val="18"/>
          <w:szCs w:val="18"/>
        </w:rPr>
      </w:pPr>
    </w:p>
    <w:p w14:paraId="5D04536B" w14:textId="77777777" w:rsidR="00DC346B" w:rsidRPr="00061FA5" w:rsidRDefault="00DC346B" w:rsidP="0074478E">
      <w:pPr>
        <w:autoSpaceDE w:val="0"/>
        <w:autoSpaceDN w:val="0"/>
        <w:adjustRightInd w:val="0"/>
        <w:spacing w:line="480" w:lineRule="auto"/>
        <w:jc w:val="both"/>
        <w:rPr>
          <w:rFonts w:ascii="Palatino Linotype" w:hAnsi="Palatino Linotype"/>
          <w:sz w:val="18"/>
          <w:szCs w:val="18"/>
        </w:rPr>
      </w:pPr>
      <w:bookmarkStart w:id="0" w:name="_GoBack"/>
      <w:bookmarkEnd w:id="0"/>
    </w:p>
    <w:p w14:paraId="0B117D29" w14:textId="6F4FA1EF" w:rsidR="002D7931" w:rsidRPr="00061FA5" w:rsidRDefault="00DC346B" w:rsidP="0074478E">
      <w:pPr>
        <w:autoSpaceDE w:val="0"/>
        <w:autoSpaceDN w:val="0"/>
        <w:adjustRightInd w:val="0"/>
        <w:spacing w:line="480" w:lineRule="auto"/>
        <w:jc w:val="both"/>
        <w:rPr>
          <w:rFonts w:ascii="Palatino Linotype" w:hAnsi="Palatino Linotype"/>
          <w:b/>
          <w:sz w:val="18"/>
          <w:szCs w:val="18"/>
        </w:rPr>
      </w:pPr>
      <w:r w:rsidRPr="00061FA5">
        <w:rPr>
          <w:rFonts w:ascii="Palatino Linotype" w:hAnsi="Palatino Linotype"/>
          <w:b/>
          <w:sz w:val="18"/>
          <w:szCs w:val="18"/>
        </w:rPr>
        <w:t>Acknowledgements</w:t>
      </w:r>
    </w:p>
    <w:p w14:paraId="38FB42DF" w14:textId="4447FE1F" w:rsidR="002D7931" w:rsidRPr="00061FA5" w:rsidRDefault="002D7931" w:rsidP="0074478E">
      <w:pPr>
        <w:autoSpaceDE w:val="0"/>
        <w:autoSpaceDN w:val="0"/>
        <w:adjustRightInd w:val="0"/>
        <w:spacing w:line="480" w:lineRule="auto"/>
        <w:jc w:val="both"/>
        <w:rPr>
          <w:rFonts w:ascii="Palatino Linotype" w:hAnsi="Palatino Linotype"/>
          <w:b/>
          <w:sz w:val="18"/>
          <w:szCs w:val="18"/>
        </w:rPr>
      </w:pPr>
      <w:r w:rsidRPr="00061FA5">
        <w:rPr>
          <w:rFonts w:ascii="Palatino Linotype" w:hAnsi="Palatino Linotype"/>
          <w:sz w:val="18"/>
          <w:szCs w:val="18"/>
        </w:rPr>
        <w:lastRenderedPageBreak/>
        <w:t xml:space="preserve">This work was funded by the Medical Research Council, UK, Alzheimer’s Research UK, the Vinnova Foundation Sweden, the Torsten Söderberg Foundation at the Royal Swedish Academy of Sciences, the Swedish Research Council and the Knut and Alice Wallenberg Foundation. The authors acknowledge the support of the NIHR Queen Square Dementia Biomedical Research Unit, Leonard Wolfson Experimental Neurology Centre, and the University College London Hospitals NHS Trust Biomedical Research Centre. The Dementia Research Centre is an Alzheimer’s Research UK coordinating centre and has received equipment funded by Alzheimer’s Research UK and Brain Research Trust. The </w:t>
      </w:r>
      <w:r w:rsidRPr="00061FA5">
        <w:rPr>
          <w:rFonts w:ascii="Palatino Linotype" w:hAnsi="Palatino Linotype" w:cs="Calibri"/>
          <w:color w:val="18376A"/>
          <w:sz w:val="18"/>
          <w:szCs w:val="18"/>
          <w:lang w:eastAsia="sv-SE"/>
        </w:rPr>
        <w:t>National Prion Monitoring Cohort study (from which health control serum samples were used) was funded by the Department of Health (England), the National Institute of Health Research’s Biomedical Research Centre at UCLH and the Medical Research Council.</w:t>
      </w:r>
    </w:p>
    <w:p w14:paraId="021C7366" w14:textId="77777777" w:rsidR="00DC346B" w:rsidRPr="00061FA5" w:rsidRDefault="00DC346B" w:rsidP="000E38AF">
      <w:pPr>
        <w:spacing w:line="480" w:lineRule="auto"/>
        <w:jc w:val="both"/>
        <w:rPr>
          <w:rFonts w:ascii="Palatino Linotype" w:hAnsi="Palatino Linotype"/>
          <w:b/>
          <w:sz w:val="18"/>
          <w:szCs w:val="18"/>
        </w:rPr>
      </w:pPr>
    </w:p>
    <w:p w14:paraId="1883AF61" w14:textId="77777777" w:rsidR="00DC346B" w:rsidRPr="00061FA5" w:rsidRDefault="00DC346B" w:rsidP="000E38AF">
      <w:pPr>
        <w:spacing w:line="480" w:lineRule="auto"/>
        <w:jc w:val="both"/>
        <w:rPr>
          <w:rFonts w:ascii="Palatino Linotype" w:hAnsi="Palatino Linotype"/>
          <w:b/>
          <w:sz w:val="18"/>
          <w:szCs w:val="18"/>
        </w:rPr>
      </w:pPr>
    </w:p>
    <w:p w14:paraId="0EEBCCDF" w14:textId="77777777" w:rsidR="00DC346B" w:rsidRPr="00061FA5" w:rsidRDefault="00DC346B" w:rsidP="000E38AF">
      <w:pPr>
        <w:spacing w:line="480" w:lineRule="auto"/>
        <w:jc w:val="both"/>
        <w:rPr>
          <w:rFonts w:ascii="Palatino Linotype" w:hAnsi="Palatino Linotype"/>
          <w:b/>
          <w:sz w:val="18"/>
          <w:szCs w:val="18"/>
        </w:rPr>
      </w:pPr>
    </w:p>
    <w:p w14:paraId="071F4D13" w14:textId="77777777" w:rsidR="00DC346B" w:rsidRPr="00061FA5" w:rsidRDefault="00DC346B" w:rsidP="000E38AF">
      <w:pPr>
        <w:spacing w:line="480" w:lineRule="auto"/>
        <w:jc w:val="both"/>
        <w:rPr>
          <w:rFonts w:ascii="Palatino Linotype" w:hAnsi="Palatino Linotype"/>
          <w:b/>
          <w:sz w:val="18"/>
          <w:szCs w:val="18"/>
        </w:rPr>
      </w:pPr>
    </w:p>
    <w:p w14:paraId="56DC7F02" w14:textId="77777777" w:rsidR="00DC346B" w:rsidRPr="00061FA5" w:rsidRDefault="00DC346B" w:rsidP="000E38AF">
      <w:pPr>
        <w:spacing w:line="480" w:lineRule="auto"/>
        <w:jc w:val="both"/>
        <w:rPr>
          <w:rFonts w:ascii="Palatino Linotype" w:hAnsi="Palatino Linotype"/>
          <w:b/>
          <w:sz w:val="18"/>
          <w:szCs w:val="18"/>
        </w:rPr>
      </w:pPr>
    </w:p>
    <w:p w14:paraId="640156E7" w14:textId="77777777" w:rsidR="00DC346B" w:rsidRPr="00061FA5" w:rsidRDefault="00DC346B" w:rsidP="000E38AF">
      <w:pPr>
        <w:spacing w:line="480" w:lineRule="auto"/>
        <w:jc w:val="both"/>
        <w:rPr>
          <w:rFonts w:ascii="Palatino Linotype" w:hAnsi="Palatino Linotype"/>
          <w:b/>
          <w:sz w:val="18"/>
          <w:szCs w:val="18"/>
        </w:rPr>
      </w:pPr>
    </w:p>
    <w:p w14:paraId="226FBA54" w14:textId="77777777" w:rsidR="00DC346B" w:rsidRPr="00061FA5" w:rsidRDefault="00DC346B" w:rsidP="000E38AF">
      <w:pPr>
        <w:spacing w:line="480" w:lineRule="auto"/>
        <w:jc w:val="both"/>
        <w:rPr>
          <w:rFonts w:ascii="Palatino Linotype" w:hAnsi="Palatino Linotype"/>
          <w:b/>
          <w:sz w:val="18"/>
          <w:szCs w:val="18"/>
        </w:rPr>
      </w:pPr>
    </w:p>
    <w:p w14:paraId="334BFD43" w14:textId="77777777" w:rsidR="00DC346B" w:rsidRPr="00061FA5" w:rsidRDefault="00DC346B" w:rsidP="000E38AF">
      <w:pPr>
        <w:spacing w:line="480" w:lineRule="auto"/>
        <w:jc w:val="both"/>
        <w:rPr>
          <w:rFonts w:ascii="Palatino Linotype" w:hAnsi="Palatino Linotype"/>
          <w:b/>
          <w:sz w:val="18"/>
          <w:szCs w:val="18"/>
        </w:rPr>
      </w:pPr>
    </w:p>
    <w:p w14:paraId="053FB787" w14:textId="77777777" w:rsidR="00DC346B" w:rsidRPr="00061FA5" w:rsidRDefault="00DC346B" w:rsidP="000E38AF">
      <w:pPr>
        <w:spacing w:line="480" w:lineRule="auto"/>
        <w:jc w:val="both"/>
        <w:rPr>
          <w:rFonts w:ascii="Palatino Linotype" w:hAnsi="Palatino Linotype"/>
          <w:b/>
          <w:sz w:val="18"/>
          <w:szCs w:val="18"/>
        </w:rPr>
      </w:pPr>
    </w:p>
    <w:p w14:paraId="787074C1" w14:textId="77777777" w:rsidR="00DC346B" w:rsidRPr="00061FA5" w:rsidRDefault="00DC346B" w:rsidP="000E38AF">
      <w:pPr>
        <w:spacing w:line="480" w:lineRule="auto"/>
        <w:jc w:val="both"/>
        <w:rPr>
          <w:rFonts w:ascii="Palatino Linotype" w:hAnsi="Palatino Linotype"/>
          <w:b/>
          <w:sz w:val="18"/>
          <w:szCs w:val="18"/>
        </w:rPr>
      </w:pPr>
    </w:p>
    <w:p w14:paraId="0D3C1198" w14:textId="77777777" w:rsidR="00DC346B" w:rsidRPr="00061FA5" w:rsidRDefault="00DC346B" w:rsidP="000E38AF">
      <w:pPr>
        <w:spacing w:line="480" w:lineRule="auto"/>
        <w:jc w:val="both"/>
        <w:rPr>
          <w:rFonts w:ascii="Palatino Linotype" w:hAnsi="Palatino Linotype"/>
          <w:b/>
          <w:sz w:val="18"/>
          <w:szCs w:val="18"/>
        </w:rPr>
      </w:pPr>
    </w:p>
    <w:p w14:paraId="547BA2E6" w14:textId="77777777" w:rsidR="00DC346B" w:rsidRPr="00061FA5" w:rsidRDefault="00DC346B" w:rsidP="000E38AF">
      <w:pPr>
        <w:spacing w:line="480" w:lineRule="auto"/>
        <w:jc w:val="both"/>
        <w:rPr>
          <w:rFonts w:ascii="Palatino Linotype" w:hAnsi="Palatino Linotype"/>
          <w:b/>
          <w:sz w:val="18"/>
          <w:szCs w:val="18"/>
        </w:rPr>
      </w:pPr>
    </w:p>
    <w:p w14:paraId="2625319D" w14:textId="77777777" w:rsidR="00DC346B" w:rsidRPr="00061FA5" w:rsidRDefault="00DC346B" w:rsidP="000E38AF">
      <w:pPr>
        <w:spacing w:line="480" w:lineRule="auto"/>
        <w:jc w:val="both"/>
        <w:rPr>
          <w:rFonts w:ascii="Palatino Linotype" w:hAnsi="Palatino Linotype"/>
          <w:b/>
          <w:sz w:val="18"/>
          <w:szCs w:val="18"/>
        </w:rPr>
      </w:pPr>
    </w:p>
    <w:p w14:paraId="7BED28A0" w14:textId="77777777" w:rsidR="00DC346B" w:rsidRPr="00061FA5" w:rsidRDefault="00DC346B" w:rsidP="000E38AF">
      <w:pPr>
        <w:spacing w:line="480" w:lineRule="auto"/>
        <w:jc w:val="both"/>
        <w:rPr>
          <w:rFonts w:ascii="Palatino Linotype" w:hAnsi="Palatino Linotype"/>
          <w:b/>
          <w:sz w:val="18"/>
          <w:szCs w:val="18"/>
        </w:rPr>
      </w:pPr>
    </w:p>
    <w:p w14:paraId="543C8519" w14:textId="77777777" w:rsidR="00DC346B" w:rsidRPr="00061FA5" w:rsidRDefault="00DC346B" w:rsidP="000E38AF">
      <w:pPr>
        <w:spacing w:line="480" w:lineRule="auto"/>
        <w:jc w:val="both"/>
        <w:rPr>
          <w:rFonts w:ascii="Palatino Linotype" w:hAnsi="Palatino Linotype"/>
          <w:b/>
          <w:sz w:val="18"/>
          <w:szCs w:val="18"/>
        </w:rPr>
      </w:pPr>
    </w:p>
    <w:p w14:paraId="30CAFD67" w14:textId="77777777" w:rsidR="00DC346B" w:rsidRPr="00061FA5" w:rsidRDefault="00DC346B" w:rsidP="000E38AF">
      <w:pPr>
        <w:spacing w:line="480" w:lineRule="auto"/>
        <w:jc w:val="both"/>
        <w:rPr>
          <w:rFonts w:ascii="Palatino Linotype" w:hAnsi="Palatino Linotype"/>
          <w:b/>
          <w:sz w:val="18"/>
          <w:szCs w:val="18"/>
        </w:rPr>
      </w:pPr>
    </w:p>
    <w:p w14:paraId="766832C7" w14:textId="77777777" w:rsidR="00DC346B" w:rsidRPr="00061FA5" w:rsidRDefault="00DC346B" w:rsidP="000E38AF">
      <w:pPr>
        <w:spacing w:line="480" w:lineRule="auto"/>
        <w:jc w:val="both"/>
        <w:rPr>
          <w:rFonts w:ascii="Palatino Linotype" w:hAnsi="Palatino Linotype"/>
          <w:b/>
          <w:sz w:val="18"/>
          <w:szCs w:val="18"/>
        </w:rPr>
      </w:pPr>
    </w:p>
    <w:p w14:paraId="1670FEBF" w14:textId="77777777" w:rsidR="00DC346B" w:rsidRPr="00061FA5" w:rsidRDefault="00DC346B" w:rsidP="000E38AF">
      <w:pPr>
        <w:spacing w:line="480" w:lineRule="auto"/>
        <w:jc w:val="both"/>
        <w:rPr>
          <w:rFonts w:ascii="Palatino Linotype" w:hAnsi="Palatino Linotype"/>
          <w:b/>
          <w:sz w:val="18"/>
          <w:szCs w:val="18"/>
        </w:rPr>
      </w:pPr>
    </w:p>
    <w:p w14:paraId="07E9A202" w14:textId="77777777" w:rsidR="00DC346B" w:rsidRPr="00061FA5" w:rsidRDefault="00DC346B" w:rsidP="000E38AF">
      <w:pPr>
        <w:spacing w:line="480" w:lineRule="auto"/>
        <w:jc w:val="both"/>
        <w:rPr>
          <w:rFonts w:ascii="Palatino Linotype" w:hAnsi="Palatino Linotype"/>
          <w:b/>
          <w:sz w:val="18"/>
          <w:szCs w:val="18"/>
        </w:rPr>
      </w:pPr>
    </w:p>
    <w:p w14:paraId="28F8D82E" w14:textId="77777777" w:rsidR="00DC346B" w:rsidRPr="00061FA5" w:rsidRDefault="00DC346B" w:rsidP="000E38AF">
      <w:pPr>
        <w:spacing w:line="480" w:lineRule="auto"/>
        <w:jc w:val="both"/>
        <w:rPr>
          <w:rFonts w:ascii="Palatino Linotype" w:hAnsi="Palatino Linotype"/>
          <w:b/>
          <w:sz w:val="18"/>
          <w:szCs w:val="18"/>
        </w:rPr>
      </w:pPr>
    </w:p>
    <w:p w14:paraId="6D8A320D" w14:textId="77777777" w:rsidR="00DC346B" w:rsidRPr="00061FA5" w:rsidRDefault="00DC346B" w:rsidP="000E38AF">
      <w:pPr>
        <w:spacing w:line="480" w:lineRule="auto"/>
        <w:jc w:val="both"/>
        <w:rPr>
          <w:rFonts w:ascii="Palatino Linotype" w:hAnsi="Palatino Linotype"/>
          <w:b/>
          <w:sz w:val="18"/>
          <w:szCs w:val="18"/>
        </w:rPr>
      </w:pPr>
    </w:p>
    <w:p w14:paraId="69AF18A7" w14:textId="77777777" w:rsidR="00DC346B" w:rsidRPr="00061FA5" w:rsidRDefault="00DC346B" w:rsidP="000E38AF">
      <w:pPr>
        <w:spacing w:line="480" w:lineRule="auto"/>
        <w:jc w:val="both"/>
        <w:rPr>
          <w:rFonts w:ascii="Palatino Linotype" w:hAnsi="Palatino Linotype"/>
          <w:b/>
          <w:sz w:val="18"/>
          <w:szCs w:val="18"/>
        </w:rPr>
      </w:pPr>
    </w:p>
    <w:p w14:paraId="7D51A94A" w14:textId="77777777" w:rsidR="00DC346B" w:rsidRPr="00061FA5" w:rsidRDefault="00DC346B" w:rsidP="000E38AF">
      <w:pPr>
        <w:spacing w:line="480" w:lineRule="auto"/>
        <w:jc w:val="both"/>
        <w:rPr>
          <w:rFonts w:ascii="Palatino Linotype" w:hAnsi="Palatino Linotype"/>
          <w:b/>
          <w:sz w:val="18"/>
          <w:szCs w:val="18"/>
        </w:rPr>
      </w:pPr>
    </w:p>
    <w:p w14:paraId="1A41289A" w14:textId="77777777" w:rsidR="002D7931" w:rsidRPr="00061FA5" w:rsidRDefault="002D7931" w:rsidP="000E38AF">
      <w:pPr>
        <w:spacing w:line="480" w:lineRule="auto"/>
        <w:jc w:val="both"/>
        <w:rPr>
          <w:rFonts w:ascii="Palatino Linotype" w:hAnsi="Palatino Linotype"/>
          <w:b/>
          <w:sz w:val="18"/>
          <w:szCs w:val="18"/>
        </w:rPr>
      </w:pPr>
      <w:r w:rsidRPr="00061FA5">
        <w:rPr>
          <w:rFonts w:ascii="Palatino Linotype" w:hAnsi="Palatino Linotype"/>
          <w:b/>
          <w:sz w:val="18"/>
          <w:szCs w:val="18"/>
        </w:rPr>
        <w:t>ABSTRACT</w:t>
      </w:r>
    </w:p>
    <w:p w14:paraId="50BF4947" w14:textId="203F1DCF" w:rsidR="002D7931" w:rsidRPr="00061FA5" w:rsidRDefault="000C45B7" w:rsidP="000E38AF">
      <w:pPr>
        <w:spacing w:line="480" w:lineRule="auto"/>
        <w:jc w:val="both"/>
        <w:rPr>
          <w:rFonts w:ascii="Palatino Linotype" w:hAnsi="Palatino Linotype"/>
          <w:b/>
          <w:sz w:val="18"/>
          <w:szCs w:val="18"/>
        </w:rPr>
      </w:pPr>
      <w:r w:rsidRPr="00061FA5">
        <w:rPr>
          <w:rFonts w:ascii="Palatino Linotype" w:hAnsi="Palatino Linotype"/>
          <w:b/>
          <w:sz w:val="18"/>
          <w:szCs w:val="18"/>
        </w:rPr>
        <w:t>Objective</w:t>
      </w:r>
      <w:r w:rsidR="002D7931" w:rsidRPr="00061FA5">
        <w:rPr>
          <w:rFonts w:ascii="Palatino Linotype" w:hAnsi="Palatino Linotype"/>
          <w:b/>
          <w:sz w:val="18"/>
          <w:szCs w:val="18"/>
        </w:rPr>
        <w:t xml:space="preserve">: </w:t>
      </w:r>
      <w:r w:rsidRPr="00061FA5">
        <w:rPr>
          <w:rFonts w:ascii="Palatino Linotype" w:hAnsi="Palatino Linotype"/>
          <w:sz w:val="18"/>
          <w:szCs w:val="18"/>
        </w:rPr>
        <w:t>The objective of the study was to investigate</w:t>
      </w:r>
      <w:r w:rsidR="002D7931" w:rsidRPr="00061FA5">
        <w:rPr>
          <w:rFonts w:ascii="Palatino Linotype" w:hAnsi="Palatino Linotype"/>
          <w:sz w:val="18"/>
          <w:szCs w:val="18"/>
        </w:rPr>
        <w:t xml:space="preserve"> </w:t>
      </w:r>
      <w:r w:rsidRPr="00061FA5">
        <w:rPr>
          <w:rFonts w:ascii="Palatino Linotype" w:hAnsi="Palatino Linotype"/>
          <w:sz w:val="18"/>
          <w:szCs w:val="18"/>
        </w:rPr>
        <w:t xml:space="preserve">serum </w:t>
      </w:r>
      <w:r w:rsidR="002D7931" w:rsidRPr="00061FA5">
        <w:rPr>
          <w:rFonts w:ascii="Palatino Linotype" w:hAnsi="Palatino Linotype"/>
          <w:sz w:val="18"/>
          <w:szCs w:val="18"/>
        </w:rPr>
        <w:t>neurofilament light chain (NfL) concent</w:t>
      </w:r>
      <w:r w:rsidRPr="00061FA5">
        <w:rPr>
          <w:rFonts w:ascii="Palatino Linotype" w:hAnsi="Palatino Linotype"/>
          <w:sz w:val="18"/>
          <w:szCs w:val="18"/>
        </w:rPr>
        <w:t xml:space="preserve">rations </w:t>
      </w:r>
      <w:r w:rsidR="002D7931" w:rsidRPr="00061FA5">
        <w:rPr>
          <w:rFonts w:ascii="Palatino Linotype" w:hAnsi="Palatino Linotype"/>
          <w:sz w:val="18"/>
          <w:szCs w:val="18"/>
        </w:rPr>
        <w:t>in</w:t>
      </w:r>
      <w:r w:rsidRPr="00061FA5">
        <w:rPr>
          <w:rFonts w:ascii="Palatino Linotype" w:hAnsi="Palatino Linotype"/>
          <w:sz w:val="18"/>
          <w:szCs w:val="18"/>
        </w:rPr>
        <w:t xml:space="preserve"> frontotemporal dementia (</w:t>
      </w:r>
      <w:r w:rsidR="002D7931" w:rsidRPr="00061FA5">
        <w:rPr>
          <w:rFonts w:ascii="Palatino Linotype" w:hAnsi="Palatino Linotype"/>
          <w:sz w:val="18"/>
          <w:szCs w:val="18"/>
        </w:rPr>
        <w:t>FTD</w:t>
      </w:r>
      <w:r w:rsidRPr="00061FA5">
        <w:rPr>
          <w:rFonts w:ascii="Palatino Linotype" w:hAnsi="Palatino Linotype"/>
          <w:sz w:val="18"/>
          <w:szCs w:val="18"/>
        </w:rPr>
        <w:t>), and to see whether they are associated with the severity of disease.</w:t>
      </w:r>
    </w:p>
    <w:p w14:paraId="556AFE83" w14:textId="2DE8BE9F" w:rsidR="002D7931" w:rsidRPr="00061FA5" w:rsidRDefault="002D7931" w:rsidP="000E38AF">
      <w:pPr>
        <w:spacing w:line="480" w:lineRule="auto"/>
        <w:jc w:val="both"/>
        <w:rPr>
          <w:rFonts w:ascii="Palatino Linotype" w:hAnsi="Palatino Linotype"/>
          <w:b/>
          <w:sz w:val="18"/>
          <w:szCs w:val="18"/>
        </w:rPr>
      </w:pPr>
      <w:r w:rsidRPr="00061FA5">
        <w:rPr>
          <w:rFonts w:ascii="Palatino Linotype" w:hAnsi="Palatino Linotype"/>
          <w:b/>
          <w:sz w:val="18"/>
          <w:szCs w:val="18"/>
        </w:rPr>
        <w:t xml:space="preserve">Methods: </w:t>
      </w:r>
      <w:r w:rsidRPr="00061FA5">
        <w:rPr>
          <w:rFonts w:ascii="Palatino Linotype" w:hAnsi="Palatino Linotype"/>
          <w:sz w:val="18"/>
          <w:szCs w:val="18"/>
        </w:rPr>
        <w:t xml:space="preserve">Serum samples were collected from 74 </w:t>
      </w:r>
      <w:r w:rsidR="001C3CE4">
        <w:rPr>
          <w:rFonts w:ascii="Palatino Linotype" w:hAnsi="Palatino Linotype"/>
          <w:sz w:val="18"/>
          <w:szCs w:val="18"/>
        </w:rPr>
        <w:t>participants</w:t>
      </w:r>
      <w:r w:rsidRPr="00061FA5">
        <w:rPr>
          <w:rFonts w:ascii="Palatino Linotype" w:hAnsi="Palatino Linotype"/>
          <w:sz w:val="18"/>
          <w:szCs w:val="18"/>
        </w:rPr>
        <w:t xml:space="preserve"> (34 with behavioural variant FTD (bvFTD), three with FTD and motor neurone disease and 37 with primary progressive aphasia (PPA)) as well as 28 healthy controls. Twenty-four of the FTD </w:t>
      </w:r>
      <w:r w:rsidR="001C3CE4">
        <w:rPr>
          <w:rFonts w:ascii="Palatino Linotype" w:hAnsi="Palatino Linotype"/>
          <w:sz w:val="18"/>
          <w:szCs w:val="18"/>
        </w:rPr>
        <w:t>participants</w:t>
      </w:r>
      <w:r w:rsidRPr="00061FA5">
        <w:rPr>
          <w:rFonts w:ascii="Palatino Linotype" w:hAnsi="Palatino Linotype"/>
          <w:sz w:val="18"/>
          <w:szCs w:val="18"/>
        </w:rPr>
        <w:t xml:space="preserve"> carried a pathogenic mutation in </w:t>
      </w:r>
      <w:r w:rsidRPr="00061FA5">
        <w:rPr>
          <w:rFonts w:ascii="Palatino Linotype" w:hAnsi="Palatino Linotype"/>
          <w:i/>
          <w:sz w:val="18"/>
          <w:szCs w:val="18"/>
        </w:rPr>
        <w:t xml:space="preserve">C9orf72 </w:t>
      </w:r>
      <w:r w:rsidRPr="00061FA5">
        <w:rPr>
          <w:rFonts w:ascii="Palatino Linotype" w:hAnsi="Palatino Linotype"/>
          <w:sz w:val="18"/>
          <w:szCs w:val="18"/>
        </w:rPr>
        <w:t xml:space="preserve">(9), microtubule-associated protein tau, </w:t>
      </w:r>
      <w:r w:rsidRPr="00061FA5">
        <w:rPr>
          <w:rFonts w:ascii="Palatino Linotype" w:hAnsi="Palatino Linotype"/>
          <w:i/>
          <w:sz w:val="18"/>
          <w:szCs w:val="18"/>
        </w:rPr>
        <w:t>MAPT</w:t>
      </w:r>
      <w:r w:rsidRPr="00061FA5">
        <w:rPr>
          <w:rFonts w:ascii="Palatino Linotype" w:hAnsi="Palatino Linotype"/>
          <w:sz w:val="18"/>
          <w:szCs w:val="18"/>
        </w:rPr>
        <w:t xml:space="preserve"> (11) or progranulin, </w:t>
      </w:r>
      <w:r w:rsidRPr="00061FA5">
        <w:rPr>
          <w:rFonts w:ascii="Palatino Linotype" w:hAnsi="Palatino Linotype"/>
          <w:i/>
          <w:sz w:val="18"/>
          <w:szCs w:val="18"/>
        </w:rPr>
        <w:t>GRN</w:t>
      </w:r>
      <w:r w:rsidRPr="00061FA5">
        <w:rPr>
          <w:rFonts w:ascii="Palatino Linotype" w:hAnsi="Palatino Linotype"/>
          <w:sz w:val="18"/>
          <w:szCs w:val="18"/>
        </w:rPr>
        <w:t xml:space="preserve"> (4). Serum NfL concentrations were determined using the NF-Light kit transferred onto the Simoa platform, and compared between FTD and healthy controls, as well as between the FTD clinical and genetic subtypes. We also assessed the relationship between NfL concentrations and measures of cognition and brain volume.</w:t>
      </w:r>
    </w:p>
    <w:p w14:paraId="04B2B9A4" w14:textId="51B6625D" w:rsidR="002D7931" w:rsidRPr="00061FA5" w:rsidRDefault="002D7931" w:rsidP="00667364">
      <w:pPr>
        <w:spacing w:line="480" w:lineRule="auto"/>
        <w:jc w:val="both"/>
        <w:rPr>
          <w:rFonts w:ascii="Palatino Linotype" w:hAnsi="Palatino Linotype" w:cs="Arial"/>
          <w:sz w:val="18"/>
          <w:szCs w:val="18"/>
        </w:rPr>
      </w:pPr>
      <w:r w:rsidRPr="00061FA5">
        <w:rPr>
          <w:rFonts w:ascii="Palatino Linotype" w:hAnsi="Palatino Linotype"/>
          <w:b/>
          <w:sz w:val="18"/>
          <w:szCs w:val="18"/>
        </w:rPr>
        <w:t xml:space="preserve">Results: </w:t>
      </w:r>
      <w:r w:rsidRPr="00061FA5">
        <w:rPr>
          <w:rFonts w:ascii="Palatino Linotype" w:hAnsi="Palatino Linotype"/>
          <w:sz w:val="18"/>
          <w:szCs w:val="18"/>
        </w:rPr>
        <w:t xml:space="preserve">Serum NfL concentrations were higher in FTD patients overall (mean 77.9 (standard deviation 51.3) pg/ml) than controls (19.6 (8.2) pg/ml; p&lt;0.001). Concentrations were also significantly higher in bvFTD (57.8 (33.1) pg/ml) and both the </w:t>
      </w:r>
      <w:r w:rsidR="00170678" w:rsidRPr="00061FA5">
        <w:rPr>
          <w:rFonts w:ascii="Palatino Linotype" w:hAnsi="Palatino Linotype"/>
          <w:sz w:val="18"/>
          <w:szCs w:val="18"/>
        </w:rPr>
        <w:t>semantic</w:t>
      </w:r>
      <w:r w:rsidRPr="00061FA5">
        <w:rPr>
          <w:rFonts w:ascii="Palatino Linotype" w:hAnsi="Palatino Linotype"/>
          <w:sz w:val="18"/>
          <w:szCs w:val="18"/>
        </w:rPr>
        <w:t xml:space="preserve"> and </w:t>
      </w:r>
      <w:r w:rsidR="00170678" w:rsidRPr="00061FA5">
        <w:rPr>
          <w:rFonts w:ascii="Palatino Linotype" w:hAnsi="Palatino Linotype"/>
          <w:sz w:val="18"/>
          <w:szCs w:val="18"/>
        </w:rPr>
        <w:t>nonfluent</w:t>
      </w:r>
      <w:r w:rsidRPr="00061FA5">
        <w:rPr>
          <w:rFonts w:ascii="Palatino Linotype" w:hAnsi="Palatino Linotype"/>
          <w:sz w:val="18"/>
          <w:szCs w:val="18"/>
        </w:rPr>
        <w:t xml:space="preserve"> variants of PPA (95.9 (33.0) pg/ml and 82.5 (33.8) pg/ml respectively) compared with controls, and in semantic variant PPA compared with logopenic variant PPA. Concentrations were significantly higher than controls in both the </w:t>
      </w:r>
      <w:r w:rsidRPr="00061FA5">
        <w:rPr>
          <w:rFonts w:ascii="Palatino Linotype" w:hAnsi="Palatino Linotype"/>
          <w:i/>
          <w:sz w:val="18"/>
          <w:szCs w:val="18"/>
        </w:rPr>
        <w:t xml:space="preserve">C9orf72 </w:t>
      </w:r>
      <w:r w:rsidRPr="00061FA5">
        <w:rPr>
          <w:rFonts w:ascii="Palatino Linotype" w:hAnsi="Palatino Linotype"/>
          <w:sz w:val="18"/>
          <w:szCs w:val="18"/>
        </w:rPr>
        <w:t xml:space="preserve">and </w:t>
      </w:r>
      <w:r w:rsidRPr="00061FA5">
        <w:rPr>
          <w:rFonts w:ascii="Palatino Linotype" w:hAnsi="Palatino Linotype"/>
          <w:i/>
          <w:sz w:val="18"/>
          <w:szCs w:val="18"/>
        </w:rPr>
        <w:t>MAPT</w:t>
      </w:r>
      <w:r w:rsidRPr="00061FA5">
        <w:rPr>
          <w:rFonts w:ascii="Palatino Linotype" w:hAnsi="Palatino Linotype"/>
          <w:sz w:val="18"/>
          <w:szCs w:val="18"/>
        </w:rPr>
        <w:t xml:space="preserve"> subgroups (79.2 (48.2) pg/ml and 40.5 (20.9) pg/ml respectively) with a trend to a higher level in the </w:t>
      </w:r>
      <w:r w:rsidRPr="00061FA5">
        <w:rPr>
          <w:rFonts w:ascii="Palatino Linotype" w:hAnsi="Palatino Linotype"/>
          <w:i/>
          <w:sz w:val="18"/>
          <w:szCs w:val="18"/>
        </w:rPr>
        <w:t>GRN</w:t>
      </w:r>
      <w:r w:rsidRPr="00061FA5">
        <w:rPr>
          <w:rFonts w:ascii="Palatino Linotype" w:hAnsi="Palatino Linotype"/>
          <w:sz w:val="18"/>
          <w:szCs w:val="18"/>
        </w:rPr>
        <w:t xml:space="preserve"> subgroup (138.5 (103.3) pg/ml). However there was variability within all groups. Serum concentrations correlated particularly with frontal lobe atrophy rate (r=0.53, p=0.003).</w:t>
      </w:r>
    </w:p>
    <w:p w14:paraId="57887815" w14:textId="61405DDD" w:rsidR="002D7931" w:rsidRPr="00061FA5" w:rsidRDefault="002D7931" w:rsidP="00667364">
      <w:pPr>
        <w:spacing w:line="480" w:lineRule="auto"/>
        <w:jc w:val="both"/>
        <w:rPr>
          <w:rFonts w:ascii="Palatino Linotype" w:hAnsi="Palatino Linotype" w:cs="Arial"/>
          <w:b/>
          <w:sz w:val="18"/>
          <w:szCs w:val="18"/>
        </w:rPr>
      </w:pPr>
      <w:r w:rsidRPr="00061FA5">
        <w:rPr>
          <w:rFonts w:ascii="Palatino Linotype" w:hAnsi="Palatino Linotype" w:cs="Arial"/>
          <w:b/>
          <w:sz w:val="18"/>
          <w:szCs w:val="18"/>
        </w:rPr>
        <w:t xml:space="preserve">Conclusion: </w:t>
      </w:r>
      <w:r w:rsidR="00A84351" w:rsidRPr="00061FA5">
        <w:rPr>
          <w:rFonts w:ascii="Palatino Linotype" w:hAnsi="Palatino Linotype" w:cs="Arial"/>
          <w:sz w:val="18"/>
          <w:szCs w:val="18"/>
        </w:rPr>
        <w:t>I</w:t>
      </w:r>
      <w:r w:rsidRPr="00061FA5">
        <w:rPr>
          <w:rFonts w:ascii="Palatino Linotype" w:hAnsi="Palatino Linotype" w:cs="Arial"/>
          <w:sz w:val="18"/>
          <w:szCs w:val="18"/>
        </w:rPr>
        <w:t xml:space="preserve">ncreased serum NfL concentrations </w:t>
      </w:r>
      <w:r w:rsidR="00A84351" w:rsidRPr="00061FA5">
        <w:rPr>
          <w:rFonts w:ascii="Palatino Linotype" w:hAnsi="Palatino Linotype" w:cs="Arial"/>
          <w:sz w:val="18"/>
          <w:szCs w:val="18"/>
        </w:rPr>
        <w:t xml:space="preserve">are seen in FTD but show wide variability within each clinical and genetic group. Higher concentrations may </w:t>
      </w:r>
      <w:r w:rsidRPr="00061FA5">
        <w:rPr>
          <w:rFonts w:ascii="Palatino Linotype" w:hAnsi="Palatino Linotype" w:cs="Arial"/>
          <w:sz w:val="18"/>
          <w:szCs w:val="18"/>
        </w:rPr>
        <w:t xml:space="preserve">reflect the intensity of the disease in FTD and are associated with more rapid </w:t>
      </w:r>
      <w:r w:rsidR="00A84351" w:rsidRPr="00061FA5">
        <w:rPr>
          <w:rFonts w:ascii="Palatino Linotype" w:hAnsi="Palatino Linotype" w:cs="Arial"/>
          <w:sz w:val="18"/>
          <w:szCs w:val="18"/>
        </w:rPr>
        <w:t>atrophy of the frontal lobes</w:t>
      </w:r>
      <w:r w:rsidRPr="00061FA5">
        <w:rPr>
          <w:rFonts w:ascii="Palatino Linotype" w:hAnsi="Palatino Linotype" w:cs="Arial"/>
          <w:sz w:val="18"/>
          <w:szCs w:val="18"/>
        </w:rPr>
        <w:t>.</w:t>
      </w:r>
    </w:p>
    <w:p w14:paraId="29739D9D" w14:textId="77777777" w:rsidR="002D7931" w:rsidRPr="00061FA5" w:rsidRDefault="002D7931" w:rsidP="00667364">
      <w:pPr>
        <w:spacing w:line="480" w:lineRule="auto"/>
        <w:jc w:val="both"/>
        <w:rPr>
          <w:rFonts w:ascii="Palatino Linotype" w:hAnsi="Palatino Linotype" w:cs="Arial"/>
          <w:b/>
          <w:sz w:val="20"/>
          <w:szCs w:val="20"/>
        </w:rPr>
      </w:pPr>
    </w:p>
    <w:p w14:paraId="53725DA9" w14:textId="77777777" w:rsidR="002D7931" w:rsidRPr="00061FA5" w:rsidRDefault="002D7931" w:rsidP="00667364">
      <w:pPr>
        <w:spacing w:line="480" w:lineRule="auto"/>
        <w:jc w:val="both"/>
        <w:rPr>
          <w:rFonts w:ascii="Palatino Linotype" w:hAnsi="Palatino Linotype" w:cs="Arial"/>
          <w:b/>
          <w:sz w:val="20"/>
          <w:szCs w:val="20"/>
        </w:rPr>
      </w:pPr>
    </w:p>
    <w:p w14:paraId="657FFD20" w14:textId="77777777" w:rsidR="002D7931" w:rsidRPr="00061FA5" w:rsidRDefault="002D7931" w:rsidP="00667364">
      <w:pPr>
        <w:spacing w:line="480" w:lineRule="auto"/>
        <w:jc w:val="both"/>
        <w:rPr>
          <w:rFonts w:ascii="Palatino Linotype" w:hAnsi="Palatino Linotype" w:cs="Arial"/>
          <w:b/>
          <w:sz w:val="20"/>
          <w:szCs w:val="20"/>
        </w:rPr>
      </w:pPr>
    </w:p>
    <w:p w14:paraId="7A1EA191" w14:textId="77777777" w:rsidR="002D7931" w:rsidRPr="00061FA5" w:rsidRDefault="002D7931" w:rsidP="00667364">
      <w:pPr>
        <w:spacing w:line="480" w:lineRule="auto"/>
        <w:jc w:val="both"/>
        <w:rPr>
          <w:rFonts w:ascii="Palatino Linotype" w:hAnsi="Palatino Linotype" w:cs="Arial"/>
          <w:b/>
          <w:sz w:val="20"/>
          <w:szCs w:val="20"/>
        </w:rPr>
      </w:pPr>
    </w:p>
    <w:p w14:paraId="04293BEE" w14:textId="77777777" w:rsidR="002D7931" w:rsidRPr="00061FA5" w:rsidRDefault="002D7931" w:rsidP="00667364">
      <w:pPr>
        <w:spacing w:line="480" w:lineRule="auto"/>
        <w:jc w:val="both"/>
        <w:rPr>
          <w:rFonts w:ascii="Palatino Linotype" w:hAnsi="Palatino Linotype" w:cs="Arial"/>
          <w:b/>
          <w:sz w:val="20"/>
          <w:szCs w:val="20"/>
        </w:rPr>
      </w:pPr>
    </w:p>
    <w:p w14:paraId="3CECBD81" w14:textId="77777777" w:rsidR="002D7931" w:rsidRPr="00061FA5" w:rsidRDefault="002D7931" w:rsidP="000E38AF">
      <w:pPr>
        <w:spacing w:line="480" w:lineRule="auto"/>
        <w:jc w:val="both"/>
        <w:rPr>
          <w:rFonts w:ascii="Palatino Linotype" w:hAnsi="Palatino Linotype"/>
          <w:b/>
          <w:sz w:val="20"/>
          <w:szCs w:val="20"/>
        </w:rPr>
      </w:pPr>
    </w:p>
    <w:p w14:paraId="5ADEFC54" w14:textId="77777777" w:rsidR="002D5418" w:rsidRPr="00061FA5" w:rsidRDefault="002D5418" w:rsidP="000E38AF">
      <w:pPr>
        <w:spacing w:line="480" w:lineRule="auto"/>
        <w:jc w:val="both"/>
        <w:rPr>
          <w:rFonts w:ascii="Palatino Linotype" w:hAnsi="Palatino Linotype"/>
          <w:b/>
          <w:sz w:val="20"/>
          <w:szCs w:val="20"/>
        </w:rPr>
      </w:pPr>
    </w:p>
    <w:p w14:paraId="612EBF80" w14:textId="77777777" w:rsidR="002D7931" w:rsidRPr="00061FA5" w:rsidRDefault="002D7931" w:rsidP="000E38AF">
      <w:pPr>
        <w:spacing w:line="480" w:lineRule="auto"/>
        <w:jc w:val="both"/>
        <w:rPr>
          <w:rFonts w:ascii="Palatino Linotype" w:hAnsi="Palatino Linotype"/>
          <w:sz w:val="20"/>
          <w:szCs w:val="20"/>
        </w:rPr>
      </w:pPr>
      <w:r w:rsidRPr="00061FA5">
        <w:rPr>
          <w:rFonts w:ascii="Palatino Linotype" w:hAnsi="Palatino Linotype"/>
          <w:b/>
          <w:sz w:val="20"/>
          <w:szCs w:val="20"/>
        </w:rPr>
        <w:t>INTRODUCTION</w:t>
      </w:r>
    </w:p>
    <w:p w14:paraId="59756FD5" w14:textId="1642AB58" w:rsidR="002D7931" w:rsidRPr="00061FA5" w:rsidRDefault="002D7931" w:rsidP="000E38AF">
      <w:pPr>
        <w:spacing w:line="480" w:lineRule="auto"/>
        <w:jc w:val="both"/>
        <w:rPr>
          <w:rFonts w:ascii="Palatino Linotype" w:hAnsi="Palatino Linotype"/>
          <w:sz w:val="20"/>
          <w:szCs w:val="20"/>
        </w:rPr>
      </w:pPr>
      <w:r w:rsidRPr="00061FA5">
        <w:rPr>
          <w:rFonts w:ascii="Palatino Linotype" w:hAnsi="Palatino Linotype"/>
          <w:sz w:val="20"/>
          <w:szCs w:val="20"/>
        </w:rPr>
        <w:t>Frontotemporal dementia (FTD) is a common cause of early onset dementia [1]. Clinically, patients present with either changes in personality (behavioural variant FTD, bvFTD) or impaired language (primary progressive aphasia, PPA) although overlap with motor neurone disease (FTD-MND) is not uncommon [1]. FTD has an autosomal dominant genetic cause in around a quarter of people, with mutations in the progranulin (</w:t>
      </w:r>
      <w:r w:rsidRPr="00061FA5">
        <w:rPr>
          <w:rFonts w:ascii="Palatino Linotype" w:hAnsi="Palatino Linotype"/>
          <w:i/>
          <w:sz w:val="20"/>
          <w:szCs w:val="20"/>
        </w:rPr>
        <w:t>GRN)</w:t>
      </w:r>
      <w:r w:rsidRPr="00061FA5">
        <w:rPr>
          <w:rFonts w:ascii="Palatino Linotype" w:hAnsi="Palatino Linotype"/>
          <w:sz w:val="20"/>
          <w:szCs w:val="20"/>
        </w:rPr>
        <w:t>, chromosome 9 open reading frame 72 (</w:t>
      </w:r>
      <w:r w:rsidRPr="00061FA5">
        <w:rPr>
          <w:rFonts w:ascii="Palatino Linotype" w:hAnsi="Palatino Linotype"/>
          <w:i/>
          <w:sz w:val="20"/>
          <w:szCs w:val="20"/>
        </w:rPr>
        <w:t>C9orf72</w:t>
      </w:r>
      <w:r w:rsidRPr="00061FA5">
        <w:rPr>
          <w:rFonts w:ascii="Palatino Linotype" w:hAnsi="Palatino Linotype"/>
          <w:sz w:val="20"/>
          <w:szCs w:val="20"/>
        </w:rPr>
        <w:t>) and microtubule-associated protein tau (</w:t>
      </w:r>
      <w:r w:rsidRPr="00061FA5">
        <w:rPr>
          <w:rFonts w:ascii="Palatino Linotype" w:hAnsi="Palatino Linotype"/>
          <w:i/>
          <w:sz w:val="20"/>
          <w:szCs w:val="20"/>
        </w:rPr>
        <w:t>MAPT</w:t>
      </w:r>
      <w:r w:rsidRPr="00061FA5">
        <w:rPr>
          <w:rFonts w:ascii="Palatino Linotype" w:hAnsi="Palatino Linotype"/>
          <w:sz w:val="20"/>
          <w:szCs w:val="20"/>
        </w:rPr>
        <w:t xml:space="preserve">) genes being commonest [2]. </w:t>
      </w:r>
    </w:p>
    <w:p w14:paraId="09503285" w14:textId="77777777" w:rsidR="002D7931" w:rsidRPr="00061FA5" w:rsidRDefault="002D7931" w:rsidP="000E38AF">
      <w:pPr>
        <w:spacing w:line="480" w:lineRule="auto"/>
        <w:jc w:val="both"/>
        <w:rPr>
          <w:rFonts w:ascii="Palatino Linotype" w:hAnsi="Palatino Linotype"/>
          <w:sz w:val="20"/>
          <w:szCs w:val="20"/>
        </w:rPr>
      </w:pPr>
    </w:p>
    <w:p w14:paraId="64AEE09F" w14:textId="03DDB171" w:rsidR="002D7931" w:rsidRPr="00061FA5" w:rsidRDefault="00985909" w:rsidP="000E38AF">
      <w:pPr>
        <w:spacing w:line="480" w:lineRule="auto"/>
        <w:jc w:val="both"/>
        <w:rPr>
          <w:rFonts w:ascii="Palatino Linotype" w:hAnsi="Palatino Linotype"/>
          <w:sz w:val="20"/>
          <w:szCs w:val="20"/>
        </w:rPr>
      </w:pPr>
      <w:r>
        <w:rPr>
          <w:rFonts w:ascii="Palatino Linotype" w:hAnsi="Palatino Linotype"/>
          <w:sz w:val="20"/>
          <w:szCs w:val="20"/>
        </w:rPr>
        <w:t>Few</w:t>
      </w:r>
      <w:r w:rsidR="002D7931" w:rsidRPr="00061FA5">
        <w:rPr>
          <w:rFonts w:ascii="Palatino Linotype" w:hAnsi="Palatino Linotype"/>
          <w:sz w:val="20"/>
          <w:szCs w:val="20"/>
        </w:rPr>
        <w:t xml:space="preserve"> fluid biomarkers </w:t>
      </w:r>
      <w:r>
        <w:rPr>
          <w:rFonts w:ascii="Palatino Linotype" w:hAnsi="Palatino Linotype"/>
          <w:sz w:val="20"/>
          <w:szCs w:val="20"/>
        </w:rPr>
        <w:t>have been investigated in FTD, although there have now been a number of studies of</w:t>
      </w:r>
      <w:r w:rsidR="002D7931" w:rsidRPr="00061FA5">
        <w:rPr>
          <w:rFonts w:ascii="Palatino Linotype" w:hAnsi="Palatino Linotype"/>
          <w:sz w:val="20"/>
          <w:szCs w:val="20"/>
        </w:rPr>
        <w:t xml:space="preserve"> neurofilament concentration in </w:t>
      </w:r>
      <w:r>
        <w:rPr>
          <w:rFonts w:ascii="Palatino Linotype" w:hAnsi="Palatino Linotype"/>
          <w:sz w:val="20"/>
          <w:szCs w:val="20"/>
        </w:rPr>
        <w:t>the cerebrospinal fluid (CSF) [3-11]. H</w:t>
      </w:r>
      <w:r w:rsidR="002D7931" w:rsidRPr="00061FA5">
        <w:rPr>
          <w:rFonts w:ascii="Palatino Linotype" w:hAnsi="Palatino Linotype"/>
          <w:sz w:val="20"/>
          <w:szCs w:val="20"/>
        </w:rPr>
        <w:t xml:space="preserve">igher </w:t>
      </w:r>
      <w:r>
        <w:rPr>
          <w:rFonts w:ascii="Palatino Linotype" w:hAnsi="Palatino Linotype"/>
          <w:sz w:val="20"/>
          <w:szCs w:val="20"/>
        </w:rPr>
        <w:t xml:space="preserve">neurofilament </w:t>
      </w:r>
      <w:r w:rsidRPr="00061FA5">
        <w:rPr>
          <w:rFonts w:ascii="Palatino Linotype" w:hAnsi="Palatino Linotype"/>
          <w:sz w:val="20"/>
          <w:szCs w:val="20"/>
        </w:rPr>
        <w:t xml:space="preserve">light chain </w:t>
      </w:r>
      <w:r>
        <w:rPr>
          <w:rFonts w:ascii="Palatino Linotype" w:hAnsi="Palatino Linotype"/>
          <w:sz w:val="20"/>
          <w:szCs w:val="20"/>
        </w:rPr>
        <w:t>(</w:t>
      </w:r>
      <w:r w:rsidR="002D7931" w:rsidRPr="00061FA5">
        <w:rPr>
          <w:rFonts w:ascii="Palatino Linotype" w:hAnsi="Palatino Linotype"/>
          <w:sz w:val="20"/>
          <w:szCs w:val="20"/>
        </w:rPr>
        <w:t>NfL</w:t>
      </w:r>
      <w:r>
        <w:rPr>
          <w:rFonts w:ascii="Palatino Linotype" w:hAnsi="Palatino Linotype"/>
          <w:sz w:val="20"/>
          <w:szCs w:val="20"/>
        </w:rPr>
        <w:t>)</w:t>
      </w:r>
      <w:r w:rsidR="002D7931" w:rsidRPr="00061FA5">
        <w:rPr>
          <w:rFonts w:ascii="Palatino Linotype" w:hAnsi="Palatino Linotype"/>
          <w:sz w:val="20"/>
          <w:szCs w:val="20"/>
        </w:rPr>
        <w:t xml:space="preserve"> levels </w:t>
      </w:r>
      <w:r>
        <w:rPr>
          <w:rFonts w:ascii="Palatino Linotype" w:hAnsi="Palatino Linotype"/>
          <w:sz w:val="20"/>
          <w:szCs w:val="20"/>
        </w:rPr>
        <w:t xml:space="preserve">are </w:t>
      </w:r>
      <w:r w:rsidR="002D7931" w:rsidRPr="00061FA5">
        <w:rPr>
          <w:rFonts w:ascii="Palatino Linotype" w:hAnsi="Palatino Linotype"/>
          <w:sz w:val="20"/>
          <w:szCs w:val="20"/>
        </w:rPr>
        <w:t>believed to represen</w:t>
      </w:r>
      <w:r>
        <w:rPr>
          <w:rFonts w:ascii="Palatino Linotype" w:hAnsi="Palatino Linotype"/>
          <w:sz w:val="20"/>
          <w:szCs w:val="20"/>
        </w:rPr>
        <w:t xml:space="preserve">t axonal degeneration [12,13], and whilst </w:t>
      </w:r>
      <w:r w:rsidR="002D7931" w:rsidRPr="00061FA5">
        <w:rPr>
          <w:rFonts w:ascii="Palatino Linotype" w:hAnsi="Palatino Linotype"/>
          <w:sz w:val="20"/>
          <w:szCs w:val="20"/>
        </w:rPr>
        <w:t>early studies showed variability in CSF concentrations</w:t>
      </w:r>
      <w:r w:rsidR="00E646EF">
        <w:rPr>
          <w:rFonts w:ascii="Palatino Linotype" w:hAnsi="Palatino Linotype"/>
          <w:sz w:val="20"/>
          <w:szCs w:val="20"/>
        </w:rPr>
        <w:t xml:space="preserve"> in FTD</w:t>
      </w:r>
      <w:r w:rsidR="002D7931" w:rsidRPr="00061FA5">
        <w:rPr>
          <w:rFonts w:ascii="Palatino Linotype" w:hAnsi="Palatino Linotype"/>
          <w:sz w:val="20"/>
          <w:szCs w:val="20"/>
        </w:rPr>
        <w:t xml:space="preserve"> </w:t>
      </w:r>
      <w:r>
        <w:rPr>
          <w:rFonts w:ascii="Palatino Linotype" w:hAnsi="Palatino Linotype"/>
          <w:sz w:val="20"/>
          <w:szCs w:val="20"/>
        </w:rPr>
        <w:t xml:space="preserve">[4-10], </w:t>
      </w:r>
      <w:r w:rsidR="002D7931" w:rsidRPr="00061FA5">
        <w:rPr>
          <w:rFonts w:ascii="Palatino Linotype" w:hAnsi="Palatino Linotype"/>
          <w:sz w:val="20"/>
          <w:szCs w:val="20"/>
        </w:rPr>
        <w:t xml:space="preserve">a </w:t>
      </w:r>
      <w:r>
        <w:rPr>
          <w:rFonts w:ascii="Palatino Linotype" w:hAnsi="Palatino Linotype"/>
          <w:sz w:val="20"/>
          <w:szCs w:val="20"/>
        </w:rPr>
        <w:t xml:space="preserve">more </w:t>
      </w:r>
      <w:r w:rsidR="002D7931" w:rsidRPr="00061FA5">
        <w:rPr>
          <w:rFonts w:ascii="Palatino Linotype" w:hAnsi="Palatino Linotype"/>
          <w:sz w:val="20"/>
          <w:szCs w:val="20"/>
        </w:rPr>
        <w:t>recent study has suggested that CSF NfL levels correlate with disease severity [11].</w:t>
      </w:r>
    </w:p>
    <w:p w14:paraId="23EC1878" w14:textId="77777777" w:rsidR="002D7931" w:rsidRPr="00061FA5" w:rsidRDefault="002D7931" w:rsidP="000E38AF">
      <w:pPr>
        <w:spacing w:line="480" w:lineRule="auto"/>
        <w:jc w:val="both"/>
        <w:rPr>
          <w:rFonts w:ascii="Palatino Linotype" w:hAnsi="Palatino Linotype"/>
          <w:sz w:val="20"/>
          <w:szCs w:val="20"/>
        </w:rPr>
      </w:pPr>
    </w:p>
    <w:p w14:paraId="33736BDE" w14:textId="2919EF9F" w:rsidR="002D7931" w:rsidRPr="00061FA5" w:rsidRDefault="002D7931" w:rsidP="000E38AF">
      <w:pPr>
        <w:spacing w:line="480" w:lineRule="auto"/>
        <w:jc w:val="both"/>
        <w:rPr>
          <w:rFonts w:ascii="Palatino Linotype" w:hAnsi="Palatino Linotype"/>
          <w:sz w:val="20"/>
          <w:szCs w:val="20"/>
        </w:rPr>
      </w:pPr>
      <w:r w:rsidRPr="00061FA5">
        <w:rPr>
          <w:rFonts w:ascii="Palatino Linotype" w:hAnsi="Palatino Linotype"/>
          <w:sz w:val="20"/>
          <w:szCs w:val="20"/>
        </w:rPr>
        <w:t xml:space="preserve">There is considerable interest in developing blood-based biomarkers because of their convenience and higher acceptability relative to CSF. NfL can be measured in serum using standard immunoassay formats </w:t>
      </w:r>
      <w:r w:rsidR="00985909">
        <w:rPr>
          <w:rFonts w:ascii="Palatino Linotype" w:hAnsi="Palatino Linotype"/>
          <w:sz w:val="20"/>
          <w:szCs w:val="20"/>
        </w:rPr>
        <w:t xml:space="preserve">[14], but </w:t>
      </w:r>
      <w:r w:rsidR="00E646EF">
        <w:rPr>
          <w:rFonts w:ascii="Palatino Linotype" w:hAnsi="Palatino Linotype"/>
          <w:sz w:val="20"/>
          <w:szCs w:val="20"/>
        </w:rPr>
        <w:t xml:space="preserve">those </w:t>
      </w:r>
      <w:r w:rsidRPr="00061FA5">
        <w:rPr>
          <w:rFonts w:ascii="Palatino Linotype" w:hAnsi="Palatino Linotype"/>
          <w:sz w:val="20"/>
          <w:szCs w:val="20"/>
        </w:rPr>
        <w:t xml:space="preserve">based on ELISA or electrochemiluminescence methods lack the analytical sensitivity to measure low levels. For this reason, we developed a novel immunoassay based on the Simoa technique [15] that allows quantification down to subfemtomolar concentrations </w:t>
      </w:r>
      <w:r w:rsidR="00055DF2" w:rsidRPr="00061FA5">
        <w:rPr>
          <w:rFonts w:ascii="Palatino Linotype" w:hAnsi="Palatino Linotype"/>
          <w:sz w:val="20"/>
          <w:szCs w:val="20"/>
        </w:rPr>
        <w:t xml:space="preserve">(below 1 pg/ml) of the analyte, and </w:t>
      </w:r>
      <w:r w:rsidR="00FE0B9B" w:rsidRPr="00061FA5">
        <w:rPr>
          <w:rFonts w:ascii="Palatino Linotype" w:hAnsi="Palatino Linotype"/>
          <w:sz w:val="20"/>
          <w:szCs w:val="20"/>
        </w:rPr>
        <w:t>is</w:t>
      </w:r>
      <w:r w:rsidRPr="00061FA5">
        <w:rPr>
          <w:rFonts w:ascii="Palatino Linotype" w:hAnsi="Palatino Linotype"/>
          <w:sz w:val="20"/>
          <w:szCs w:val="20"/>
        </w:rPr>
        <w:t xml:space="preserve"> 25-fold as sensitive as the previous electroch</w:t>
      </w:r>
      <w:r w:rsidR="00E646EF">
        <w:rPr>
          <w:rFonts w:ascii="Palatino Linotype" w:hAnsi="Palatino Linotype"/>
          <w:sz w:val="20"/>
          <w:szCs w:val="20"/>
        </w:rPr>
        <w:t xml:space="preserve">emiluminescence-based method </w:t>
      </w:r>
      <w:r w:rsidR="00FE0B9B" w:rsidRPr="00061FA5">
        <w:rPr>
          <w:rFonts w:ascii="Palatino Linotype" w:hAnsi="Palatino Linotype"/>
          <w:sz w:val="20"/>
          <w:szCs w:val="20"/>
        </w:rPr>
        <w:t>[16]</w:t>
      </w:r>
      <w:r w:rsidR="00055DF2" w:rsidRPr="00061FA5">
        <w:rPr>
          <w:rFonts w:ascii="Palatino Linotype" w:hAnsi="Palatino Linotype"/>
          <w:sz w:val="20"/>
          <w:szCs w:val="20"/>
        </w:rPr>
        <w:t xml:space="preserve">. </w:t>
      </w:r>
      <w:r w:rsidRPr="00061FA5">
        <w:rPr>
          <w:rFonts w:ascii="Palatino Linotype" w:hAnsi="Palatino Linotype"/>
          <w:sz w:val="20"/>
          <w:szCs w:val="20"/>
        </w:rPr>
        <w:t xml:space="preserve">Using this assay, we aimed to investigate serum NfL concentrations in FTD. Our hypotheses were that, firstly, serum NfL concentration would be elevated in FTD compared with healthy controls, secondly, </w:t>
      </w:r>
      <w:r w:rsidRPr="00061FA5">
        <w:rPr>
          <w:rFonts w:ascii="Palatino Linotype" w:hAnsi="Palatino Linotype"/>
          <w:sz w:val="20"/>
          <w:szCs w:val="20"/>
        </w:rPr>
        <w:lastRenderedPageBreak/>
        <w:t>that concentrations would vary between FTD subgroups, and thirdly, that increased serum NfL levels would reflect the disease intensity or rate of progression.</w:t>
      </w:r>
    </w:p>
    <w:p w14:paraId="6DFDE6EE" w14:textId="77777777" w:rsidR="002D7931" w:rsidRPr="00061FA5" w:rsidRDefault="002D7931" w:rsidP="000E38AF">
      <w:pPr>
        <w:spacing w:line="480" w:lineRule="auto"/>
        <w:jc w:val="both"/>
        <w:rPr>
          <w:rFonts w:ascii="Palatino Linotype" w:hAnsi="Palatino Linotype"/>
          <w:b/>
          <w:sz w:val="20"/>
          <w:szCs w:val="20"/>
        </w:rPr>
      </w:pPr>
    </w:p>
    <w:p w14:paraId="40913D02" w14:textId="77777777" w:rsidR="002D7931" w:rsidRPr="00061FA5" w:rsidRDefault="002D7931" w:rsidP="00076664">
      <w:pPr>
        <w:spacing w:line="480" w:lineRule="auto"/>
        <w:jc w:val="both"/>
        <w:rPr>
          <w:rFonts w:ascii="Palatino Linotype" w:hAnsi="Palatino Linotype"/>
          <w:b/>
          <w:sz w:val="20"/>
          <w:szCs w:val="20"/>
        </w:rPr>
      </w:pPr>
      <w:r w:rsidRPr="00061FA5">
        <w:rPr>
          <w:rFonts w:ascii="Palatino Linotype" w:hAnsi="Palatino Linotype"/>
          <w:b/>
          <w:sz w:val="20"/>
          <w:szCs w:val="20"/>
        </w:rPr>
        <w:t>METHODS</w:t>
      </w:r>
    </w:p>
    <w:p w14:paraId="14678D54" w14:textId="317E1684" w:rsidR="000C45B7" w:rsidRPr="00061FA5" w:rsidRDefault="002D7931" w:rsidP="00076664">
      <w:pPr>
        <w:spacing w:line="480" w:lineRule="auto"/>
        <w:jc w:val="both"/>
        <w:rPr>
          <w:rFonts w:ascii="Palatino Linotype" w:hAnsi="Palatino Linotype"/>
          <w:sz w:val="20"/>
          <w:szCs w:val="20"/>
        </w:rPr>
      </w:pPr>
      <w:r w:rsidRPr="00061FA5">
        <w:rPr>
          <w:rFonts w:ascii="Palatino Linotype" w:hAnsi="Palatino Linotype"/>
          <w:sz w:val="20"/>
          <w:szCs w:val="20"/>
        </w:rPr>
        <w:t>74 participants were consecutively recruited from the University College London FTD study: 34 participants with bvFTD acc</w:t>
      </w:r>
      <w:r w:rsidR="00FE0B9B" w:rsidRPr="00061FA5">
        <w:rPr>
          <w:rFonts w:ascii="Palatino Linotype" w:hAnsi="Palatino Linotype"/>
          <w:sz w:val="20"/>
          <w:szCs w:val="20"/>
        </w:rPr>
        <w:t>ording to Rascovsky criteria [17</w:t>
      </w:r>
      <w:r w:rsidRPr="00061FA5">
        <w:rPr>
          <w:rFonts w:ascii="Palatino Linotype" w:hAnsi="Palatino Linotype"/>
          <w:sz w:val="20"/>
          <w:szCs w:val="20"/>
        </w:rPr>
        <w:t>], three p</w:t>
      </w:r>
      <w:r w:rsidR="00FE0B9B" w:rsidRPr="00061FA5">
        <w:rPr>
          <w:rFonts w:ascii="Palatino Linotype" w:hAnsi="Palatino Linotype"/>
          <w:sz w:val="20"/>
          <w:szCs w:val="20"/>
        </w:rPr>
        <w:t>articipants with FTD-MND [18</w:t>
      </w:r>
      <w:r w:rsidRPr="00061FA5">
        <w:rPr>
          <w:rFonts w:ascii="Palatino Linotype" w:hAnsi="Palatino Linotype"/>
          <w:sz w:val="20"/>
          <w:szCs w:val="20"/>
        </w:rPr>
        <w:t>] and 37 participants with PPA according t</w:t>
      </w:r>
      <w:r w:rsidR="00FE0B9B" w:rsidRPr="00061FA5">
        <w:rPr>
          <w:rFonts w:ascii="Palatino Linotype" w:hAnsi="Palatino Linotype"/>
          <w:sz w:val="20"/>
          <w:szCs w:val="20"/>
        </w:rPr>
        <w:t>o the Gorno-Tempini criteria [19</w:t>
      </w:r>
      <w:r w:rsidRPr="00061FA5">
        <w:rPr>
          <w:rFonts w:ascii="Palatino Linotype" w:hAnsi="Palatino Linotype"/>
          <w:sz w:val="20"/>
          <w:szCs w:val="20"/>
        </w:rPr>
        <w:t xml:space="preserve">]. Of the 37 PPA participants, 13 had the nonfluent variant (nfvPPA), 10 had the semantic variant (svPPA), seven had the logopenic variant (lvPPA) and seven did not fit criteria for any of the three variants (here called PPA-NOS, not otherwise specified). We did not include patients fulfilling criteria for lvPPA in the overall FTD analysis as they are likely to have underlying Alzheimer’s disease pathologically [1,2]. Data was compared with 28 healthy control participants matched for age and gender who had been collected as part of a study into neurodegenerative disease (Table 1). Twenty-four of the FTD participants carried a pathogenic mutation: nine with an expansion in </w:t>
      </w:r>
      <w:r w:rsidRPr="00061FA5">
        <w:rPr>
          <w:rFonts w:ascii="Palatino Linotype" w:hAnsi="Palatino Linotype"/>
          <w:i/>
          <w:sz w:val="20"/>
          <w:szCs w:val="20"/>
        </w:rPr>
        <w:t xml:space="preserve">C9orf72 </w:t>
      </w:r>
      <w:r w:rsidRPr="00061FA5">
        <w:rPr>
          <w:rFonts w:ascii="Palatino Linotype" w:hAnsi="Palatino Linotype"/>
          <w:sz w:val="20"/>
          <w:szCs w:val="20"/>
        </w:rPr>
        <w:t xml:space="preserve">(8 with bvFTD, 1 with nfvPPA), 11 with a </w:t>
      </w:r>
      <w:r w:rsidRPr="00061FA5">
        <w:rPr>
          <w:rFonts w:ascii="Palatino Linotype" w:hAnsi="Palatino Linotype"/>
          <w:i/>
          <w:sz w:val="20"/>
          <w:szCs w:val="20"/>
        </w:rPr>
        <w:t>MAPT</w:t>
      </w:r>
      <w:r w:rsidRPr="00061FA5">
        <w:rPr>
          <w:rFonts w:ascii="Palatino Linotype" w:hAnsi="Palatino Linotype"/>
          <w:sz w:val="20"/>
          <w:szCs w:val="20"/>
        </w:rPr>
        <w:t xml:space="preserve"> mutation (all with bvFTD) and four with a </w:t>
      </w:r>
      <w:r w:rsidRPr="00061FA5">
        <w:rPr>
          <w:rFonts w:ascii="Palatino Linotype" w:hAnsi="Palatino Linotype"/>
          <w:i/>
          <w:sz w:val="20"/>
          <w:szCs w:val="20"/>
        </w:rPr>
        <w:t>GRN</w:t>
      </w:r>
      <w:r w:rsidRPr="00061FA5">
        <w:rPr>
          <w:rFonts w:ascii="Palatino Linotype" w:hAnsi="Palatino Linotype"/>
          <w:sz w:val="20"/>
          <w:szCs w:val="20"/>
        </w:rPr>
        <w:t xml:space="preserve"> mutation (1 with bvFTD, 1 with nfvPPA and 2 with PPA-NOS). No mutations were found in the other participants. No significant differences were noted in age or gender between any of the groups, and no significant difference in disease duration was seen between the clinical or genetic FTD subgroups. </w:t>
      </w:r>
    </w:p>
    <w:p w14:paraId="16AFAA34" w14:textId="77777777" w:rsidR="000C45B7" w:rsidRPr="00061FA5" w:rsidRDefault="000C45B7" w:rsidP="00076664">
      <w:pPr>
        <w:spacing w:line="480" w:lineRule="auto"/>
        <w:jc w:val="both"/>
        <w:rPr>
          <w:rFonts w:ascii="Palatino Linotype" w:hAnsi="Palatino Linotype"/>
          <w:sz w:val="20"/>
          <w:szCs w:val="20"/>
        </w:rPr>
      </w:pPr>
    </w:p>
    <w:p w14:paraId="63A5962C" w14:textId="42696E78" w:rsidR="000C45B7" w:rsidRPr="00061FA5" w:rsidRDefault="000C45B7" w:rsidP="000C45B7">
      <w:pPr>
        <w:spacing w:line="480" w:lineRule="auto"/>
        <w:jc w:val="both"/>
        <w:rPr>
          <w:rFonts w:ascii="Palatino Linotype" w:hAnsi="Palatino Linotype"/>
          <w:i/>
          <w:sz w:val="20"/>
          <w:szCs w:val="20"/>
        </w:rPr>
      </w:pPr>
      <w:r w:rsidRPr="00061FA5">
        <w:rPr>
          <w:rFonts w:ascii="Palatino Linotype" w:hAnsi="Palatino Linotype" w:cs="Helvetica"/>
          <w:i/>
          <w:sz w:val="20"/>
          <w:szCs w:val="20"/>
        </w:rPr>
        <w:t>Standard Protocol Approvals, Registrations, and Patient Consents</w:t>
      </w:r>
    </w:p>
    <w:p w14:paraId="1EDE5C02" w14:textId="58227CCC" w:rsidR="002D7931" w:rsidRPr="00061FA5" w:rsidRDefault="002D7931" w:rsidP="00076664">
      <w:pPr>
        <w:spacing w:line="480" w:lineRule="auto"/>
        <w:jc w:val="both"/>
        <w:rPr>
          <w:rFonts w:ascii="Palatino Linotype" w:hAnsi="Palatino Linotype"/>
          <w:sz w:val="20"/>
          <w:szCs w:val="20"/>
        </w:rPr>
      </w:pPr>
      <w:r w:rsidRPr="00061FA5">
        <w:rPr>
          <w:rFonts w:ascii="Palatino Linotype" w:hAnsi="Palatino Linotype"/>
          <w:sz w:val="20"/>
          <w:szCs w:val="20"/>
        </w:rPr>
        <w:t xml:space="preserve">Approval for the study was obtained from the local ethics committee and all </w:t>
      </w:r>
      <w:r w:rsidR="0097636B">
        <w:rPr>
          <w:rFonts w:ascii="Palatino Linotype" w:hAnsi="Palatino Linotype"/>
          <w:sz w:val="18"/>
          <w:szCs w:val="18"/>
        </w:rPr>
        <w:t>participants</w:t>
      </w:r>
      <w:r w:rsidRPr="00061FA5">
        <w:rPr>
          <w:rFonts w:ascii="Palatino Linotype" w:hAnsi="Palatino Linotype"/>
          <w:sz w:val="20"/>
          <w:szCs w:val="20"/>
        </w:rPr>
        <w:t xml:space="preserve"> provided written consent to take part.</w:t>
      </w:r>
    </w:p>
    <w:p w14:paraId="537C69E1" w14:textId="77777777" w:rsidR="002D7931" w:rsidRPr="00061FA5" w:rsidRDefault="002D7931" w:rsidP="00076664">
      <w:pPr>
        <w:spacing w:line="480" w:lineRule="auto"/>
        <w:jc w:val="both"/>
        <w:rPr>
          <w:rFonts w:ascii="Palatino Linotype" w:hAnsi="Palatino Linotype"/>
          <w:sz w:val="20"/>
          <w:szCs w:val="20"/>
        </w:rPr>
      </w:pPr>
    </w:p>
    <w:p w14:paraId="63062096" w14:textId="57F5E247" w:rsidR="000C45B7" w:rsidRPr="00061FA5" w:rsidRDefault="000C45B7" w:rsidP="00076664">
      <w:pPr>
        <w:spacing w:line="480" w:lineRule="auto"/>
        <w:jc w:val="both"/>
        <w:rPr>
          <w:rFonts w:ascii="Palatino Linotype" w:hAnsi="Palatino Linotype"/>
          <w:i/>
          <w:sz w:val="20"/>
          <w:szCs w:val="20"/>
        </w:rPr>
      </w:pPr>
      <w:r w:rsidRPr="00061FA5">
        <w:rPr>
          <w:rFonts w:ascii="Palatino Linotype" w:hAnsi="Palatino Linotype"/>
          <w:i/>
          <w:sz w:val="20"/>
          <w:szCs w:val="20"/>
        </w:rPr>
        <w:t>Measurement of NfL concentrations</w:t>
      </w:r>
    </w:p>
    <w:p w14:paraId="66F6BC92" w14:textId="77777777" w:rsidR="002D7931" w:rsidRPr="00061FA5" w:rsidRDefault="002D7931" w:rsidP="00315CD3">
      <w:pPr>
        <w:spacing w:line="480" w:lineRule="auto"/>
        <w:jc w:val="both"/>
        <w:rPr>
          <w:rFonts w:ascii="Palatino Linotype" w:hAnsi="Palatino Linotype"/>
          <w:sz w:val="20"/>
          <w:szCs w:val="20"/>
        </w:rPr>
      </w:pPr>
      <w:r w:rsidRPr="00061FA5">
        <w:rPr>
          <w:rFonts w:ascii="Palatino Linotype" w:hAnsi="Palatino Linotype"/>
          <w:sz w:val="20"/>
          <w:szCs w:val="20"/>
        </w:rPr>
        <w:t xml:space="preserve">Serum samples were collected from each of the participants and then processed, aliquoted and frozen at -80°C according to standardized procedures. Serum NfL concentrations were measured using the </w:t>
      </w:r>
      <w:r w:rsidRPr="00061FA5">
        <w:rPr>
          <w:rFonts w:ascii="Palatino Linotype" w:hAnsi="Palatino Linotype"/>
          <w:sz w:val="20"/>
          <w:szCs w:val="20"/>
        </w:rPr>
        <w:lastRenderedPageBreak/>
        <w:t>NF-Light assay from Uman Diagnostics (UmanDiagnostics, Umeå, Sweden), transferred onto the Simoa platform employing a homebrew kit (Quanterix Corp, Boston, MA, USA) and detailed instructions can be found in the Simoa Homebrew Assay Development Guide (Quanterix). In short, paramagnetic carboxylated beads (Cat#: 100451, Quanterix) were activated by adding 5% (v/v) 10 mg/mL 1-ethyl-3-(3-dimethylaminopropyl) carbodiimide (EDAC, Cat#: 100022, Quanterix) to a magnetic beads solution with 1.4·10</w:t>
      </w:r>
      <w:r w:rsidRPr="00061FA5">
        <w:rPr>
          <w:rFonts w:ascii="Palatino Linotype" w:hAnsi="Palatino Linotype"/>
          <w:sz w:val="20"/>
          <w:szCs w:val="20"/>
          <w:vertAlign w:val="superscript"/>
        </w:rPr>
        <w:t>6</w:t>
      </w:r>
      <w:r w:rsidRPr="00061FA5">
        <w:rPr>
          <w:rFonts w:ascii="Palatino Linotype" w:hAnsi="Palatino Linotype"/>
          <w:sz w:val="20"/>
          <w:szCs w:val="20"/>
        </w:rPr>
        <w:t xml:space="preserve"> beads/µ</w:t>
      </w:r>
      <w:r w:rsidR="00BD10A5" w:rsidRPr="00061FA5">
        <w:rPr>
          <w:rFonts w:ascii="Palatino Linotype" w:hAnsi="Palatino Linotype"/>
          <w:sz w:val="20"/>
          <w:szCs w:val="20"/>
        </w:rPr>
        <w:t>l</w:t>
      </w:r>
      <w:r w:rsidRPr="00061FA5">
        <w:rPr>
          <w:rFonts w:ascii="Palatino Linotype" w:hAnsi="Palatino Linotype"/>
          <w:sz w:val="20"/>
          <w:szCs w:val="20"/>
        </w:rPr>
        <w:t>. Following a 30 min incubation at room temperature (RT) the beads were washed using a magnetic separator and an initial volume, i.e., EDAC + bead solution volumes in the previous step, of 0.3 mg/mL ice cold solution of the capture antibody (UD1, UmanDiagnostics) was added. After 2 h incubation on a mixer (2000 rpm, Multi-Tube Vortexer, Allsheng, China) at RT the beads were washed and an initial reaction volume of blocking solution was added. After three washes the conjugated beads were suspended and stored at 4°C pending analysis. Prior to analysis the beads were diluted to 2500 beads/µl in bead diluent. The detection antibody (1 mg/mL, UD2, UmanDiagnostics) was biotinylated by adding 3% (v/v) 3.4 mM EZ</w:t>
      </w:r>
      <w:r w:rsidRPr="00061FA5">
        <w:rPr>
          <w:rFonts w:ascii="Palatino Linotype" w:hAnsi="Palatino Linotype" w:hint="eastAsia"/>
          <w:sz w:val="20"/>
          <w:szCs w:val="20"/>
        </w:rPr>
        <w:t>‐</w:t>
      </w:r>
      <w:r w:rsidRPr="00061FA5">
        <w:rPr>
          <w:rFonts w:ascii="Palatino Linotype" w:hAnsi="Palatino Linotype"/>
          <w:sz w:val="20"/>
          <w:szCs w:val="20"/>
        </w:rPr>
        <w:t>Link™ NHS</w:t>
      </w:r>
      <w:r w:rsidRPr="00061FA5">
        <w:rPr>
          <w:rFonts w:ascii="Palatino Linotype" w:hAnsi="Palatino Linotype" w:hint="eastAsia"/>
          <w:sz w:val="20"/>
          <w:szCs w:val="20"/>
        </w:rPr>
        <w:t>‐</w:t>
      </w:r>
      <w:r w:rsidRPr="00061FA5">
        <w:rPr>
          <w:rFonts w:ascii="Palatino Linotype" w:hAnsi="Palatino Linotype"/>
          <w:sz w:val="20"/>
          <w:szCs w:val="20"/>
        </w:rPr>
        <w:t>PEG4</w:t>
      </w:r>
      <w:r w:rsidRPr="00061FA5">
        <w:rPr>
          <w:rFonts w:ascii="Palatino Linotype" w:hAnsi="Palatino Linotype" w:hint="eastAsia"/>
          <w:sz w:val="20"/>
          <w:szCs w:val="20"/>
        </w:rPr>
        <w:t>‐</w:t>
      </w:r>
      <w:r w:rsidRPr="00061FA5">
        <w:rPr>
          <w:rFonts w:ascii="Palatino Linotype" w:hAnsi="Palatino Linotype"/>
          <w:sz w:val="20"/>
          <w:szCs w:val="20"/>
        </w:rPr>
        <w:t xml:space="preserve">Biotin (Quanterix) followed by 30 min incubation at RT. Free biotin was removed using spin filtration (Amicon® Ultra-2, 50 kD, Sigma) and the biotinylated antibody was stored at 4°C pending analysis. The serum samples were assayed in duplicate on a Simoa HD-1 instrument (Quanterix) using a 2-step Assay Dilution protocol that starts with an aspiration of the bead diluent from 100 </w:t>
      </w:r>
      <w:r w:rsidRPr="00061FA5">
        <w:rPr>
          <w:rFonts w:ascii="Symbol" w:hAnsi="Symbol"/>
          <w:sz w:val="20"/>
          <w:szCs w:val="20"/>
        </w:rPr>
        <w:t></w:t>
      </w:r>
      <w:r w:rsidRPr="00061FA5">
        <w:rPr>
          <w:rFonts w:ascii="Palatino Linotype" w:hAnsi="Palatino Linotype"/>
          <w:sz w:val="20"/>
          <w:szCs w:val="20"/>
        </w:rPr>
        <w:t>L conjugated beads (2500 beads/µ</w:t>
      </w:r>
      <w:r w:rsidR="00BD10A5" w:rsidRPr="00061FA5">
        <w:rPr>
          <w:rFonts w:ascii="Palatino Linotype" w:hAnsi="Palatino Linotype"/>
          <w:sz w:val="20"/>
          <w:szCs w:val="20"/>
        </w:rPr>
        <w:t>l</w:t>
      </w:r>
      <w:r w:rsidRPr="00061FA5">
        <w:rPr>
          <w:rFonts w:ascii="Palatino Linotype" w:hAnsi="Palatino Linotype"/>
          <w:sz w:val="20"/>
          <w:szCs w:val="20"/>
        </w:rPr>
        <w:t xml:space="preserve">) followed by addition of 20 </w:t>
      </w:r>
      <w:r w:rsidRPr="00061FA5">
        <w:rPr>
          <w:rFonts w:ascii="Symbol" w:hAnsi="Symbol"/>
          <w:sz w:val="20"/>
          <w:szCs w:val="20"/>
        </w:rPr>
        <w:t></w:t>
      </w:r>
      <w:r w:rsidRPr="00061FA5">
        <w:rPr>
          <w:rFonts w:ascii="Palatino Linotype" w:hAnsi="Palatino Linotype"/>
          <w:sz w:val="20"/>
          <w:szCs w:val="20"/>
        </w:rPr>
        <w:t xml:space="preserve">L biotinylated antibody (0.1 </w:t>
      </w:r>
      <w:r w:rsidRPr="00061FA5">
        <w:rPr>
          <w:rFonts w:ascii="Palatino Linotype" w:hAnsi="Palatino Linotype"/>
          <w:sz w:val="20"/>
          <w:szCs w:val="20"/>
        </w:rPr>
        <w:sym w:font="Symbol" w:char="F06D"/>
      </w:r>
      <w:r w:rsidRPr="00061FA5">
        <w:rPr>
          <w:rFonts w:ascii="Palatino Linotype" w:hAnsi="Palatino Linotype"/>
          <w:sz w:val="20"/>
          <w:szCs w:val="20"/>
        </w:rPr>
        <w:t>g/m</w:t>
      </w:r>
      <w:r w:rsidR="00BD10A5" w:rsidRPr="00061FA5">
        <w:rPr>
          <w:rFonts w:ascii="Palatino Linotype" w:hAnsi="Palatino Linotype"/>
          <w:sz w:val="20"/>
          <w:szCs w:val="20"/>
        </w:rPr>
        <w:t>l</w:t>
      </w:r>
      <w:r w:rsidRPr="00061FA5">
        <w:rPr>
          <w:rFonts w:ascii="Palatino Linotype" w:hAnsi="Palatino Linotype"/>
          <w:sz w:val="20"/>
          <w:szCs w:val="20"/>
        </w:rPr>
        <w:t xml:space="preserve">) and 100 </w:t>
      </w:r>
      <w:r w:rsidRPr="00061FA5">
        <w:rPr>
          <w:rFonts w:ascii="Symbol" w:hAnsi="Symbol"/>
          <w:sz w:val="20"/>
          <w:szCs w:val="20"/>
        </w:rPr>
        <w:t></w:t>
      </w:r>
      <w:r w:rsidR="00BD10A5" w:rsidRPr="00061FA5">
        <w:rPr>
          <w:rFonts w:ascii="Palatino Linotype" w:hAnsi="Palatino Linotype"/>
          <w:sz w:val="20"/>
          <w:szCs w:val="20"/>
        </w:rPr>
        <w:t>l</w:t>
      </w:r>
      <w:r w:rsidRPr="00061FA5">
        <w:rPr>
          <w:rFonts w:ascii="Palatino Linotype" w:hAnsi="Palatino Linotype"/>
          <w:sz w:val="20"/>
          <w:szCs w:val="20"/>
        </w:rPr>
        <w:t xml:space="preserve"> 4-fold diluted sample (or undiluted calibrator) to the bead pellet. For both samples and calibrator the same diluent was used [PBS; 0.1% Tween-20; 2% BSA; 10 </w:t>
      </w:r>
      <w:r w:rsidRPr="00061FA5">
        <w:rPr>
          <w:rFonts w:ascii="Palatino Linotype" w:hAnsi="Palatino Linotype"/>
          <w:sz w:val="20"/>
          <w:szCs w:val="20"/>
        </w:rPr>
        <w:sym w:font="Symbol" w:char="F06D"/>
      </w:r>
      <w:r w:rsidRPr="00061FA5">
        <w:rPr>
          <w:rFonts w:ascii="Palatino Linotype" w:hAnsi="Palatino Linotype"/>
          <w:sz w:val="20"/>
          <w:szCs w:val="20"/>
        </w:rPr>
        <w:t>g/m</w:t>
      </w:r>
      <w:r w:rsidR="00BD10A5" w:rsidRPr="00061FA5">
        <w:rPr>
          <w:rFonts w:ascii="Palatino Linotype" w:hAnsi="Palatino Linotype"/>
          <w:sz w:val="20"/>
          <w:szCs w:val="20"/>
        </w:rPr>
        <w:t>l</w:t>
      </w:r>
      <w:r w:rsidRPr="00061FA5">
        <w:rPr>
          <w:rFonts w:ascii="Palatino Linotype" w:hAnsi="Palatino Linotype"/>
          <w:sz w:val="20"/>
          <w:szCs w:val="20"/>
        </w:rPr>
        <w:t xml:space="preserve"> TRU Block (Meridian Life Science, Inc., Memphis, TN, USA)]. After a 47 cadances incubation (1 cadance = 45 s) the beads were washed followed by addition of 100 </w:t>
      </w:r>
      <w:r w:rsidRPr="00061FA5">
        <w:rPr>
          <w:rFonts w:ascii="Symbol" w:hAnsi="Symbol"/>
          <w:sz w:val="20"/>
          <w:szCs w:val="20"/>
        </w:rPr>
        <w:t></w:t>
      </w:r>
      <w:r w:rsidRPr="00061FA5">
        <w:rPr>
          <w:rFonts w:ascii="Palatino Linotype" w:hAnsi="Palatino Linotype"/>
          <w:sz w:val="20"/>
          <w:szCs w:val="20"/>
        </w:rPr>
        <w:t xml:space="preserve">L of the streptavidin-conjugated </w:t>
      </w:r>
      <w:r w:rsidRPr="00061FA5">
        <w:rPr>
          <w:rFonts w:ascii="Symbol" w:hAnsi="Symbol"/>
          <w:sz w:val="20"/>
          <w:szCs w:val="20"/>
        </w:rPr>
        <w:t></w:t>
      </w:r>
      <w:r w:rsidRPr="00061FA5">
        <w:rPr>
          <w:rFonts w:ascii="Palatino Linotype" w:hAnsi="Palatino Linotype"/>
          <w:sz w:val="20"/>
          <w:szCs w:val="20"/>
        </w:rPr>
        <w:t xml:space="preserve">-galactosidase (150 pM, Cat#: 100439, Quanterix). This was followed by a 7 cadences incubation and a wash. Prior to reading, 25 </w:t>
      </w:r>
      <w:r w:rsidRPr="00061FA5">
        <w:rPr>
          <w:rFonts w:ascii="Symbol" w:hAnsi="Symbol"/>
          <w:sz w:val="20"/>
          <w:szCs w:val="20"/>
        </w:rPr>
        <w:t></w:t>
      </w:r>
      <w:r w:rsidRPr="00061FA5">
        <w:rPr>
          <w:rFonts w:ascii="Palatino Linotype" w:hAnsi="Palatino Linotype"/>
          <w:sz w:val="20"/>
          <w:szCs w:val="20"/>
        </w:rPr>
        <w:t xml:space="preserve">L resorufin </w:t>
      </w:r>
      <w:r w:rsidRPr="00061FA5">
        <w:rPr>
          <w:rFonts w:ascii="Symbol" w:hAnsi="Symbol"/>
          <w:sz w:val="20"/>
          <w:szCs w:val="20"/>
        </w:rPr>
        <w:t></w:t>
      </w:r>
      <w:r w:rsidRPr="00061FA5">
        <w:rPr>
          <w:rFonts w:ascii="Symbol" w:hAnsi="Symbol"/>
          <w:sz w:val="20"/>
          <w:szCs w:val="20"/>
        </w:rPr>
        <w:t></w:t>
      </w:r>
      <w:r w:rsidRPr="00061FA5">
        <w:rPr>
          <w:rFonts w:ascii="Palatino Linotype" w:hAnsi="Palatino Linotype"/>
          <w:sz w:val="20"/>
          <w:szCs w:val="20"/>
        </w:rPr>
        <w:t xml:space="preserve">D-galactopyranoside (Cat#: 100017, Quanterix) was added. The calibrator curve was constructed using the standard from the NfL ELISA (NF-light®, UmanDiagnostics) in triplicate. The lower limits of detection and quantification, as defined by the concentration derived from the signal of blank samples (sample diluent) + 3 and 10 standard </w:t>
      </w:r>
      <w:r w:rsidRPr="00061FA5">
        <w:rPr>
          <w:rFonts w:ascii="Palatino Linotype" w:hAnsi="Palatino Linotype"/>
          <w:sz w:val="20"/>
          <w:szCs w:val="20"/>
        </w:rPr>
        <w:lastRenderedPageBreak/>
        <w:t>deviations, were 0.97 pg/m</w:t>
      </w:r>
      <w:r w:rsidR="00BD10A5" w:rsidRPr="00061FA5">
        <w:rPr>
          <w:rFonts w:ascii="Palatino Linotype" w:hAnsi="Palatino Linotype"/>
          <w:sz w:val="20"/>
          <w:szCs w:val="20"/>
        </w:rPr>
        <w:t>l</w:t>
      </w:r>
      <w:r w:rsidRPr="00061FA5">
        <w:rPr>
          <w:rFonts w:ascii="Palatino Linotype" w:hAnsi="Palatino Linotype"/>
          <w:sz w:val="20"/>
          <w:szCs w:val="20"/>
        </w:rPr>
        <w:t xml:space="preserve"> and 2.93 pg/m</w:t>
      </w:r>
      <w:r w:rsidR="00BD10A5" w:rsidRPr="00061FA5">
        <w:rPr>
          <w:rFonts w:ascii="Palatino Linotype" w:hAnsi="Palatino Linotype"/>
          <w:sz w:val="20"/>
          <w:szCs w:val="20"/>
        </w:rPr>
        <w:t>l</w:t>
      </w:r>
      <w:r w:rsidRPr="00061FA5">
        <w:rPr>
          <w:rFonts w:ascii="Palatino Linotype" w:hAnsi="Palatino Linotype"/>
          <w:sz w:val="20"/>
          <w:szCs w:val="20"/>
        </w:rPr>
        <w:t xml:space="preserve">, respectively. To evaluate the linearity of the assay six different samples were analyzed at 4 (default), 8, and 16-fold dilution and the average coefficient of variation (CV) for the concentration measured at the different dilutions was 11.5%. All samples were measured as duplicates. The mean CV of duplicate concentrations was 4.3%. In addition, a quality control (QC) sample was measured in duplicate on each of the seven runs used to complete the study. The intra-assay CV for this sample was below 10%. All measurements were performed by board-certified laboratory technicians in one round of experiments using one batch of reagents. </w:t>
      </w:r>
    </w:p>
    <w:p w14:paraId="22AD1318" w14:textId="77777777" w:rsidR="002D7931" w:rsidRPr="00061FA5" w:rsidRDefault="002D7931" w:rsidP="00315CD3">
      <w:pPr>
        <w:spacing w:line="480" w:lineRule="auto"/>
        <w:jc w:val="both"/>
        <w:rPr>
          <w:rFonts w:ascii="Palatino Linotype" w:hAnsi="Palatino Linotype"/>
          <w:sz w:val="20"/>
          <w:szCs w:val="20"/>
        </w:rPr>
      </w:pPr>
    </w:p>
    <w:p w14:paraId="0EF69CA8" w14:textId="25E48ADC" w:rsidR="000C45B7" w:rsidRPr="00061FA5" w:rsidRDefault="000C45B7" w:rsidP="00315CD3">
      <w:pPr>
        <w:spacing w:line="480" w:lineRule="auto"/>
        <w:jc w:val="both"/>
        <w:rPr>
          <w:rFonts w:ascii="Palatino Linotype" w:hAnsi="Palatino Linotype"/>
          <w:i/>
          <w:sz w:val="20"/>
          <w:szCs w:val="20"/>
        </w:rPr>
      </w:pPr>
      <w:r w:rsidRPr="00061FA5">
        <w:rPr>
          <w:rFonts w:ascii="Palatino Linotype" w:hAnsi="Palatino Linotype"/>
          <w:i/>
          <w:sz w:val="20"/>
          <w:szCs w:val="20"/>
        </w:rPr>
        <w:t>Psychometric assessment</w:t>
      </w:r>
    </w:p>
    <w:p w14:paraId="64C24254" w14:textId="08193B15" w:rsidR="002D7931" w:rsidRPr="00061FA5" w:rsidRDefault="002D7931" w:rsidP="00315CD3">
      <w:pPr>
        <w:spacing w:line="480" w:lineRule="auto"/>
        <w:jc w:val="both"/>
        <w:rPr>
          <w:rFonts w:ascii="Palatino Linotype" w:hAnsi="Palatino Linotype"/>
          <w:sz w:val="20"/>
          <w:szCs w:val="20"/>
        </w:rPr>
      </w:pPr>
      <w:r w:rsidRPr="00061FA5">
        <w:rPr>
          <w:rFonts w:ascii="Palatino Linotype" w:hAnsi="Palatino Linotype"/>
          <w:sz w:val="20"/>
          <w:szCs w:val="20"/>
        </w:rPr>
        <w:t>Forty-seven participants had psychometric testing at baseline usually on the same day as serum sampling but at a maximum of six months from the time of sample collection (mean (standard deviation) interval 0.0 (0.2)) years: 22 with bvFTD, 2 with FTD-MND and 23 with PPA (9 with nfvPPA, 9 with svPPA and 5 with PPA-NOS). Twenty-nine participants had follow up psychometric testing at an interval of 1.1 (0.2) years: 11 with bvFTD, 2 with FTD-MND and 16 with PPA (5 with nfvPPA, 7 with svPPA and 4 with PPA-NOS). Testing included the Weschler Abbreviated Scale of Intelligence (WASI) Vocabulary, Block Design, Similarities and Matrices subtests [</w:t>
      </w:r>
      <w:r w:rsidR="00FE0B9B" w:rsidRPr="00061FA5">
        <w:rPr>
          <w:rFonts w:ascii="Palatino Linotype" w:hAnsi="Palatino Linotype"/>
          <w:sz w:val="20"/>
          <w:szCs w:val="20"/>
        </w:rPr>
        <w:t>20</w:t>
      </w:r>
      <w:r w:rsidRPr="00061FA5">
        <w:rPr>
          <w:rFonts w:ascii="Palatino Linotype" w:hAnsi="Palatino Linotype"/>
          <w:sz w:val="20"/>
          <w:szCs w:val="20"/>
        </w:rPr>
        <w:t>], the Recognition Memo</w:t>
      </w:r>
      <w:r w:rsidR="00FE0B9B" w:rsidRPr="00061FA5">
        <w:rPr>
          <w:rFonts w:ascii="Palatino Linotype" w:hAnsi="Palatino Linotype"/>
          <w:sz w:val="20"/>
          <w:szCs w:val="20"/>
        </w:rPr>
        <w:t>ry Tests for Faces and Words [21], the Graded Naming Test [22</w:t>
      </w:r>
      <w:r w:rsidRPr="00061FA5">
        <w:rPr>
          <w:rFonts w:ascii="Palatino Linotype" w:hAnsi="Palatino Linotype"/>
          <w:sz w:val="20"/>
          <w:szCs w:val="20"/>
        </w:rPr>
        <w:t>], the Graded</w:t>
      </w:r>
      <w:r w:rsidR="00FE0B9B" w:rsidRPr="00061FA5">
        <w:rPr>
          <w:rFonts w:ascii="Palatino Linotype" w:hAnsi="Palatino Linotype"/>
          <w:sz w:val="20"/>
          <w:szCs w:val="20"/>
        </w:rPr>
        <w:t xml:space="preserve"> Difficulty Calculation Test [23</w:t>
      </w:r>
      <w:r w:rsidRPr="00061FA5">
        <w:rPr>
          <w:rFonts w:ascii="Palatino Linotype" w:hAnsi="Palatino Linotype"/>
          <w:sz w:val="20"/>
          <w:szCs w:val="20"/>
        </w:rPr>
        <w:t xml:space="preserve">] and the D-KEFS </w:t>
      </w:r>
      <w:r w:rsidR="00FE0B9B" w:rsidRPr="00061FA5">
        <w:rPr>
          <w:rFonts w:ascii="Palatino Linotype" w:hAnsi="Palatino Linotype"/>
          <w:sz w:val="20"/>
          <w:szCs w:val="20"/>
        </w:rPr>
        <w:t>Color-Word Interference Test [24</w:t>
      </w:r>
      <w:r w:rsidRPr="00061FA5">
        <w:rPr>
          <w:rFonts w:ascii="Palatino Linotype" w:hAnsi="Palatino Linotype"/>
          <w:sz w:val="20"/>
          <w:szCs w:val="20"/>
        </w:rPr>
        <w:t>], as well as the M</w:t>
      </w:r>
      <w:r w:rsidR="00FE0B9B" w:rsidRPr="00061FA5">
        <w:rPr>
          <w:rFonts w:ascii="Palatino Linotype" w:hAnsi="Palatino Linotype"/>
          <w:sz w:val="20"/>
          <w:szCs w:val="20"/>
        </w:rPr>
        <w:t>ini-Mental State Examination [25</w:t>
      </w:r>
      <w:r w:rsidRPr="00061FA5">
        <w:rPr>
          <w:rFonts w:ascii="Palatino Linotype" w:hAnsi="Palatino Linotype"/>
          <w:sz w:val="20"/>
          <w:szCs w:val="20"/>
        </w:rPr>
        <w:t>].</w:t>
      </w:r>
    </w:p>
    <w:p w14:paraId="0B777CB7" w14:textId="77777777" w:rsidR="002D7931" w:rsidRPr="00061FA5" w:rsidRDefault="002D7931" w:rsidP="00315CD3">
      <w:pPr>
        <w:spacing w:line="480" w:lineRule="auto"/>
        <w:jc w:val="both"/>
        <w:rPr>
          <w:rFonts w:ascii="Palatino Linotype" w:hAnsi="Palatino Linotype"/>
          <w:sz w:val="20"/>
          <w:szCs w:val="20"/>
        </w:rPr>
      </w:pPr>
    </w:p>
    <w:p w14:paraId="4BAFEBBE" w14:textId="73E0D0B6" w:rsidR="000C45B7" w:rsidRPr="00061FA5" w:rsidRDefault="000C45B7" w:rsidP="00D46FAF">
      <w:pPr>
        <w:spacing w:line="480" w:lineRule="auto"/>
        <w:jc w:val="both"/>
        <w:rPr>
          <w:rFonts w:ascii="Palatino Linotype" w:hAnsi="Palatino Linotype"/>
          <w:i/>
          <w:sz w:val="20"/>
          <w:szCs w:val="20"/>
        </w:rPr>
      </w:pPr>
      <w:r w:rsidRPr="00061FA5">
        <w:rPr>
          <w:rFonts w:ascii="Palatino Linotype" w:hAnsi="Palatino Linotype"/>
          <w:i/>
          <w:sz w:val="20"/>
          <w:szCs w:val="20"/>
        </w:rPr>
        <w:t>Neuroimaging analysis</w:t>
      </w:r>
    </w:p>
    <w:p w14:paraId="01F8370D" w14:textId="3A874365" w:rsidR="002D7931" w:rsidRPr="00061FA5" w:rsidRDefault="002D7931" w:rsidP="00D46FAF">
      <w:pPr>
        <w:spacing w:line="480" w:lineRule="auto"/>
        <w:jc w:val="both"/>
        <w:rPr>
          <w:rFonts w:ascii="Palatino Linotype" w:hAnsi="Palatino Linotype"/>
          <w:sz w:val="20"/>
          <w:szCs w:val="20"/>
        </w:rPr>
      </w:pPr>
      <w:r w:rsidRPr="00061FA5">
        <w:rPr>
          <w:rFonts w:ascii="Palatino Linotype" w:hAnsi="Palatino Linotype"/>
          <w:sz w:val="20"/>
          <w:szCs w:val="20"/>
        </w:rPr>
        <w:t xml:space="preserve">Forty-six of the FTD participants had had volumetric T1 brain magnetic resonance imaging on a 3T Siemens Trio scanner performed usually on the same day as serum sampling but at a maximum of six months from the time of sample collection (mean (standard deviation) interval 0.0 (0.2)): 24 with bvFTD, 2 with FTD-MND, and 20 with PPA (8 with nfvPPA, 8 with svPPA, 4 with PPA-NOS). Twenty-nine participants had a follow up scan at 1.1 (0.4) years after the baseline scan: 13 with bvFTD, 2 with FTD-MND and 14 with PPA (5 with nfvPPA, 6 with svPPA and 3 with PPA-NOS). Whole brain volumes </w:t>
      </w:r>
      <w:r w:rsidRPr="00061FA5">
        <w:rPr>
          <w:rFonts w:ascii="Palatino Linotype" w:hAnsi="Palatino Linotype"/>
          <w:sz w:val="20"/>
          <w:szCs w:val="20"/>
        </w:rPr>
        <w:lastRenderedPageBreak/>
        <w:t>were measured using a semi-a</w:t>
      </w:r>
      <w:r w:rsidR="00FE0B9B" w:rsidRPr="00061FA5">
        <w:rPr>
          <w:rFonts w:ascii="Palatino Linotype" w:hAnsi="Palatino Linotype"/>
          <w:sz w:val="20"/>
          <w:szCs w:val="20"/>
        </w:rPr>
        <w:t>utomated segmentation method [26</w:t>
      </w:r>
      <w:r w:rsidRPr="00061FA5">
        <w:rPr>
          <w:rFonts w:ascii="Palatino Linotype" w:hAnsi="Palatino Linotype"/>
          <w:sz w:val="20"/>
          <w:szCs w:val="20"/>
        </w:rPr>
        <w:t>] with annualized whole brain atrophy rates calculated using the b</w:t>
      </w:r>
      <w:r w:rsidR="00FE0B9B" w:rsidRPr="00061FA5">
        <w:rPr>
          <w:rFonts w:ascii="Palatino Linotype" w:hAnsi="Palatino Linotype"/>
          <w:sz w:val="20"/>
          <w:szCs w:val="20"/>
        </w:rPr>
        <w:t>oundary shift integral (BSI) [27</w:t>
      </w:r>
      <w:r w:rsidRPr="00061FA5">
        <w:rPr>
          <w:rFonts w:ascii="Palatino Linotype" w:hAnsi="Palatino Linotype"/>
          <w:sz w:val="20"/>
          <w:szCs w:val="20"/>
        </w:rPr>
        <w:t xml:space="preserve">]. Individual lobar cortical volumes were measured using </w:t>
      </w:r>
      <w:r w:rsidRPr="00061FA5">
        <w:rPr>
          <w:rFonts w:ascii="Palatino Linotype" w:hAnsi="Palatino Linotype" w:cs="Calibri"/>
          <w:sz w:val="20"/>
          <w:szCs w:val="20"/>
        </w:rPr>
        <w:t>a multi-atlas segmentation propagation approach</w:t>
      </w:r>
      <w:r w:rsidRPr="00061FA5">
        <w:rPr>
          <w:rFonts w:ascii="Calibri" w:hAnsi="Calibri" w:cs="Calibri"/>
          <w:sz w:val="28"/>
          <w:szCs w:val="28"/>
        </w:rPr>
        <w:t xml:space="preserve"> </w:t>
      </w:r>
      <w:r w:rsidRPr="00061FA5">
        <w:rPr>
          <w:rFonts w:ascii="Palatino Linotype" w:hAnsi="Palatino Linotype"/>
          <w:sz w:val="20"/>
          <w:szCs w:val="20"/>
        </w:rPr>
        <w:t xml:space="preserve">following the brainCOLOR protocol (www.braincolor.org), combining regions of interest to calculate grey </w:t>
      </w:r>
      <w:r w:rsidR="00FE0B9B" w:rsidRPr="00061FA5">
        <w:rPr>
          <w:rFonts w:ascii="Palatino Linotype" w:hAnsi="Palatino Linotype"/>
          <w:sz w:val="20"/>
          <w:szCs w:val="20"/>
        </w:rPr>
        <w:t>matter volumes for each lobe [28,29</w:t>
      </w:r>
      <w:r w:rsidRPr="00061FA5">
        <w:rPr>
          <w:rFonts w:ascii="Palatino Linotype" w:hAnsi="Palatino Linotype"/>
          <w:sz w:val="20"/>
          <w:szCs w:val="20"/>
        </w:rPr>
        <w:t>]. Annualized lobar atrophy rates were calculated using the differences in volumes between baseli</w:t>
      </w:r>
      <w:bookmarkStart w:id="1" w:name="_Toc383185842"/>
      <w:r w:rsidRPr="00061FA5">
        <w:rPr>
          <w:rFonts w:ascii="Palatino Linotype" w:hAnsi="Palatino Linotype"/>
          <w:sz w:val="20"/>
          <w:szCs w:val="20"/>
        </w:rPr>
        <w:t>ne and follow up scans, and dividing by the interval between scans.</w:t>
      </w:r>
    </w:p>
    <w:p w14:paraId="2A64948A" w14:textId="77777777" w:rsidR="002D7931" w:rsidRPr="00061FA5" w:rsidRDefault="002D7931" w:rsidP="007B2BAF">
      <w:pPr>
        <w:spacing w:line="480" w:lineRule="auto"/>
        <w:jc w:val="both"/>
        <w:rPr>
          <w:rFonts w:ascii="Palatino Linotype" w:hAnsi="Palatino Linotype"/>
          <w:sz w:val="20"/>
          <w:szCs w:val="20"/>
        </w:rPr>
      </w:pPr>
    </w:p>
    <w:p w14:paraId="6FA3290E" w14:textId="77777777" w:rsidR="002D7931" w:rsidRPr="00061FA5" w:rsidRDefault="002D7931" w:rsidP="00125409">
      <w:pPr>
        <w:spacing w:line="480" w:lineRule="auto"/>
        <w:jc w:val="both"/>
        <w:rPr>
          <w:rFonts w:ascii="Palatino Linotype" w:hAnsi="Palatino Linotype"/>
          <w:sz w:val="20"/>
          <w:szCs w:val="20"/>
        </w:rPr>
      </w:pPr>
      <w:r w:rsidRPr="00061FA5">
        <w:rPr>
          <w:rFonts w:ascii="Palatino Linotype" w:hAnsi="Palatino Linotype"/>
          <w:sz w:val="20"/>
          <w:szCs w:val="20"/>
        </w:rPr>
        <w:t>Serum NfL concentrations were initially compared between the control group and the total FTD group. Levene’s test for homogeneity demonstrated unequal variances between these two groups (Levene’s statistic = 22.8; p&lt;0.001), and therefore Welch’s t test (without assumptions for equal variance) was used to compare the groups. Serum NfL data was normally distributed (Kolmogronov-Smirnov test) and so an ANOVA</w:t>
      </w:r>
      <w:r w:rsidRPr="00061FA5" w:rsidDel="00CF13DD">
        <w:rPr>
          <w:rFonts w:ascii="Palatino Linotype" w:hAnsi="Palatino Linotype"/>
          <w:sz w:val="20"/>
          <w:szCs w:val="20"/>
        </w:rPr>
        <w:t xml:space="preserve"> </w:t>
      </w:r>
      <w:r w:rsidRPr="00061FA5">
        <w:rPr>
          <w:rFonts w:ascii="Palatino Linotype" w:hAnsi="Palatino Linotype"/>
          <w:sz w:val="20"/>
          <w:szCs w:val="20"/>
        </w:rPr>
        <w:t>was used to compare mean serum NfL concentrations across each of the clinical subgroups (bvFTD, FTD-MND, nfvPPA, svPPA, lvPPA and PPA-NOS) and across the genetic FTD subgroups (</w:t>
      </w:r>
      <w:r w:rsidRPr="00061FA5">
        <w:rPr>
          <w:rFonts w:ascii="Palatino Linotype" w:hAnsi="Palatino Linotype"/>
          <w:i/>
          <w:sz w:val="20"/>
          <w:szCs w:val="20"/>
        </w:rPr>
        <w:t xml:space="preserve">MAPT, GRN, </w:t>
      </w:r>
      <w:r w:rsidRPr="00061FA5">
        <w:rPr>
          <w:rFonts w:ascii="Palatino Linotype" w:hAnsi="Palatino Linotype"/>
          <w:sz w:val="20"/>
          <w:szCs w:val="20"/>
        </w:rPr>
        <w:t>and</w:t>
      </w:r>
      <w:r w:rsidRPr="00061FA5">
        <w:rPr>
          <w:rFonts w:ascii="Palatino Linotype" w:hAnsi="Palatino Linotype"/>
          <w:i/>
          <w:sz w:val="20"/>
          <w:szCs w:val="20"/>
        </w:rPr>
        <w:t xml:space="preserve"> C9orf72</w:t>
      </w:r>
      <w:r w:rsidRPr="00061FA5">
        <w:rPr>
          <w:rFonts w:ascii="Palatino Linotype" w:hAnsi="Palatino Linotype"/>
          <w:sz w:val="20"/>
          <w:szCs w:val="20"/>
        </w:rPr>
        <w:t>), and to compare each of these subgroups with the control group. To allow for unequal variance, the Games-Howell correction was used for post-hoc pairwise comparisons between groups. The same statistical methods were also used to compare NfL levels between the genetic subgroups, and between each of these groups and the control group. Pearson’s correlation coefficient was used to examine the association between serum NfL concentrations and each of the cognitive and imaging measures (with a Bonferroni correction for multiple comparisons also assessed i.e. a p value of &lt;0.005 for the cognitive measures, and &lt;0.007 for the imaging measures).</w:t>
      </w:r>
    </w:p>
    <w:p w14:paraId="616AF465" w14:textId="77777777" w:rsidR="002D7931" w:rsidRPr="00061FA5" w:rsidRDefault="002D7931" w:rsidP="00663445">
      <w:pPr>
        <w:spacing w:line="480" w:lineRule="auto"/>
        <w:jc w:val="both"/>
        <w:rPr>
          <w:rFonts w:ascii="Palatino Linotype" w:hAnsi="Palatino Linotype"/>
          <w:sz w:val="20"/>
          <w:szCs w:val="20"/>
        </w:rPr>
      </w:pPr>
    </w:p>
    <w:p w14:paraId="5F2EBFB3" w14:textId="77777777" w:rsidR="002D7931" w:rsidRPr="00061FA5" w:rsidRDefault="002D7931" w:rsidP="00663445">
      <w:pPr>
        <w:spacing w:line="480" w:lineRule="auto"/>
        <w:jc w:val="both"/>
        <w:rPr>
          <w:rFonts w:ascii="Palatino Linotype" w:hAnsi="Palatino Linotype"/>
          <w:b/>
          <w:sz w:val="20"/>
          <w:szCs w:val="20"/>
        </w:rPr>
      </w:pPr>
      <w:r w:rsidRPr="00061FA5">
        <w:rPr>
          <w:rFonts w:ascii="Palatino Linotype" w:hAnsi="Palatino Linotype"/>
          <w:b/>
          <w:sz w:val="20"/>
          <w:szCs w:val="20"/>
        </w:rPr>
        <w:t>RESULTS</w:t>
      </w:r>
    </w:p>
    <w:p w14:paraId="1F7D1D48" w14:textId="7CEDD314" w:rsidR="002D7931" w:rsidRPr="00061FA5" w:rsidRDefault="002D7931" w:rsidP="009B5535">
      <w:pPr>
        <w:tabs>
          <w:tab w:val="left" w:pos="4820"/>
        </w:tabs>
        <w:spacing w:line="480" w:lineRule="auto"/>
        <w:jc w:val="both"/>
        <w:rPr>
          <w:rFonts w:ascii="Palatino Linotype" w:hAnsi="Palatino Linotype"/>
          <w:sz w:val="20"/>
          <w:szCs w:val="20"/>
        </w:rPr>
      </w:pPr>
      <w:r w:rsidRPr="00061FA5">
        <w:rPr>
          <w:rFonts w:ascii="Palatino Linotype" w:hAnsi="Palatino Linotype"/>
          <w:sz w:val="20"/>
          <w:szCs w:val="20"/>
        </w:rPr>
        <w:t>Serum NfL concentrations in the control and total FTD groups as well as each clinical subgroup are shown in Table 1.</w:t>
      </w:r>
      <w:bookmarkEnd w:id="1"/>
      <w:r w:rsidRPr="00061FA5">
        <w:rPr>
          <w:rFonts w:ascii="Palatino Linotype" w:hAnsi="Palatino Linotype"/>
          <w:sz w:val="20"/>
          <w:szCs w:val="20"/>
        </w:rPr>
        <w:t xml:space="preserve"> The lowest serum NfL concentration in the study (7.2 pg/mL) was well above the lower limits of detection and quantification of the assay. Serum NfL concentrations were significantly higher in the total FTD group versus controls (mean (standard deviation) = 77.9 (51.3) pg/ml and 19.6 </w:t>
      </w:r>
      <w:r w:rsidRPr="00061FA5">
        <w:rPr>
          <w:rFonts w:ascii="Palatino Linotype" w:hAnsi="Palatino Linotype"/>
          <w:sz w:val="20"/>
          <w:szCs w:val="20"/>
        </w:rPr>
        <w:lastRenderedPageBreak/>
        <w:t xml:space="preserve">(8.2) pg/ml respectively; mean difference = 58.3 pg/ml, 95% confidence intervals 45.4, 71.1; p&lt;0.001). In distinguishing FTD from controls, a cutoff of 33 pg/ml gave a sensitivity of 84% and specificity of 96%. Serum NfL concentrations were also significantly higher in the majority of the clinical FTD subgroups compared with controls (Welch statistic = 25.1, df 5, 13.2; p&lt;0.001) (Figure 1A, Table 2A). Compared with controls, serum NfL concentrations were higher in patients with bvFTD, nfvPPA and svPPA. Although patients with FTD-MND had higher mean serum NfL concentrations than controls (and all of the other groups) this difference did not reach statistical significance, likely due to the small sample size of the FTD-MND group. Serum NfL concentrations did not significantly differ between any of the clinical FTD subgroups, although there was a </w:t>
      </w:r>
      <w:r w:rsidR="006B72D2">
        <w:rPr>
          <w:rFonts w:ascii="Palatino Linotype" w:hAnsi="Palatino Linotype"/>
          <w:sz w:val="20"/>
          <w:szCs w:val="20"/>
        </w:rPr>
        <w:t>(</w:t>
      </w:r>
      <w:r w:rsidR="00513D20">
        <w:rPr>
          <w:rFonts w:ascii="Palatino Linotype" w:hAnsi="Palatino Linotype"/>
          <w:sz w:val="20"/>
          <w:szCs w:val="20"/>
        </w:rPr>
        <w:t>non-significant</w:t>
      </w:r>
      <w:r w:rsidR="006B72D2">
        <w:rPr>
          <w:rFonts w:ascii="Palatino Linotype" w:hAnsi="Palatino Linotype"/>
          <w:sz w:val="20"/>
          <w:szCs w:val="20"/>
        </w:rPr>
        <w:t>)</w:t>
      </w:r>
      <w:r w:rsidR="00513D20">
        <w:rPr>
          <w:rFonts w:ascii="Palatino Linotype" w:hAnsi="Palatino Linotype"/>
          <w:sz w:val="20"/>
          <w:szCs w:val="20"/>
        </w:rPr>
        <w:t xml:space="preserve"> </w:t>
      </w:r>
      <w:r w:rsidRPr="00061FA5">
        <w:rPr>
          <w:rFonts w:ascii="Palatino Linotype" w:hAnsi="Palatino Linotype"/>
          <w:sz w:val="20"/>
          <w:szCs w:val="20"/>
        </w:rPr>
        <w:t>trend towards a higher level in patients with svPPA compared with bvFTD patients (mean difference = 38.1, p=0.070). There was a significantly higher level in patients with svPPA compared with lvPPA (mean difference = 46.3, p = 0.032).</w:t>
      </w:r>
    </w:p>
    <w:p w14:paraId="1DD9122C" w14:textId="77777777" w:rsidR="002D7931" w:rsidRPr="00061FA5" w:rsidRDefault="002D7931" w:rsidP="00663445">
      <w:pPr>
        <w:spacing w:line="480" w:lineRule="auto"/>
        <w:jc w:val="both"/>
        <w:rPr>
          <w:rFonts w:ascii="Palatino Linotype" w:hAnsi="Palatino Linotype"/>
          <w:sz w:val="20"/>
          <w:szCs w:val="20"/>
        </w:rPr>
      </w:pPr>
    </w:p>
    <w:p w14:paraId="2B9AF29C" w14:textId="77777777" w:rsidR="002D7931" w:rsidRPr="00061FA5" w:rsidRDefault="002D7931" w:rsidP="00663445">
      <w:pPr>
        <w:spacing w:line="480" w:lineRule="auto"/>
        <w:jc w:val="both"/>
        <w:rPr>
          <w:rFonts w:ascii="Palatino Linotype" w:hAnsi="Palatino Linotype"/>
          <w:sz w:val="20"/>
          <w:szCs w:val="20"/>
        </w:rPr>
      </w:pPr>
      <w:r w:rsidRPr="00061FA5">
        <w:rPr>
          <w:rFonts w:ascii="Palatino Linotype" w:hAnsi="Palatino Linotype"/>
          <w:sz w:val="20"/>
          <w:szCs w:val="20"/>
        </w:rPr>
        <w:t xml:space="preserve">Mean NfL concentrations were higher than controls in each of the genetic subgroups (Figure 1B, Table 2B): mean (SD) levels 138.5 (103.3) pg/ml in </w:t>
      </w:r>
      <w:r w:rsidRPr="00061FA5">
        <w:rPr>
          <w:rFonts w:ascii="Palatino Linotype" w:hAnsi="Palatino Linotype"/>
          <w:i/>
          <w:sz w:val="20"/>
          <w:szCs w:val="20"/>
        </w:rPr>
        <w:t>GRN</w:t>
      </w:r>
      <w:r w:rsidRPr="00061FA5">
        <w:rPr>
          <w:rFonts w:ascii="Palatino Linotype" w:hAnsi="Palatino Linotype"/>
          <w:sz w:val="20"/>
          <w:szCs w:val="20"/>
        </w:rPr>
        <w:t xml:space="preserve">, 79.2 (48.2) pg/ml in </w:t>
      </w:r>
      <w:r w:rsidRPr="00061FA5">
        <w:rPr>
          <w:rFonts w:ascii="Palatino Linotype" w:hAnsi="Palatino Linotype"/>
          <w:i/>
          <w:sz w:val="20"/>
          <w:szCs w:val="20"/>
        </w:rPr>
        <w:t>C9orf72</w:t>
      </w:r>
      <w:r w:rsidRPr="00061FA5">
        <w:rPr>
          <w:rFonts w:ascii="Palatino Linotype" w:hAnsi="Palatino Linotype"/>
          <w:sz w:val="20"/>
          <w:szCs w:val="20"/>
        </w:rPr>
        <w:t xml:space="preserve"> and 40.5 (20.9) pg/ml in </w:t>
      </w:r>
      <w:r w:rsidRPr="00061FA5">
        <w:rPr>
          <w:rFonts w:ascii="Palatino Linotype" w:hAnsi="Palatino Linotype"/>
          <w:i/>
          <w:sz w:val="20"/>
          <w:szCs w:val="20"/>
        </w:rPr>
        <w:t>MAPT</w:t>
      </w:r>
      <w:r w:rsidRPr="00061FA5">
        <w:rPr>
          <w:rFonts w:ascii="Palatino Linotype" w:hAnsi="Palatino Linotype"/>
          <w:sz w:val="20"/>
          <w:szCs w:val="20"/>
        </w:rPr>
        <w:t xml:space="preserve"> mutations. However, only the </w:t>
      </w:r>
      <w:r w:rsidRPr="00061FA5">
        <w:rPr>
          <w:rFonts w:ascii="Palatino Linotype" w:hAnsi="Palatino Linotype"/>
          <w:i/>
          <w:sz w:val="20"/>
          <w:szCs w:val="20"/>
        </w:rPr>
        <w:t xml:space="preserve">MAPT </w:t>
      </w:r>
      <w:r w:rsidRPr="00061FA5">
        <w:rPr>
          <w:rFonts w:ascii="Palatino Linotype" w:hAnsi="Palatino Linotype"/>
          <w:sz w:val="20"/>
          <w:szCs w:val="20"/>
        </w:rPr>
        <w:t xml:space="preserve">subgroup (mean difference from controls = 20.8, 95% CI = 1.4, 40.3; p=0.035) and the </w:t>
      </w:r>
      <w:r w:rsidRPr="00061FA5">
        <w:rPr>
          <w:rFonts w:ascii="Palatino Linotype" w:hAnsi="Palatino Linotype"/>
          <w:i/>
          <w:sz w:val="20"/>
          <w:szCs w:val="20"/>
        </w:rPr>
        <w:t>C9orf72</w:t>
      </w:r>
      <w:r w:rsidRPr="00061FA5">
        <w:rPr>
          <w:rFonts w:ascii="Palatino Linotype" w:hAnsi="Palatino Linotype"/>
          <w:sz w:val="20"/>
          <w:szCs w:val="20"/>
        </w:rPr>
        <w:t xml:space="preserve"> subgroup (mean difference from controls = 59.5, 95% CI = 8.0, 111.0; p=0.025) were significantly different, with the lack of difference in the </w:t>
      </w:r>
      <w:r w:rsidRPr="00061FA5">
        <w:rPr>
          <w:rFonts w:ascii="Palatino Linotype" w:hAnsi="Palatino Linotype"/>
          <w:i/>
          <w:sz w:val="20"/>
          <w:szCs w:val="20"/>
        </w:rPr>
        <w:t>GRN</w:t>
      </w:r>
      <w:r w:rsidRPr="00061FA5">
        <w:rPr>
          <w:rFonts w:ascii="Palatino Linotype" w:hAnsi="Palatino Linotype"/>
          <w:sz w:val="20"/>
          <w:szCs w:val="20"/>
        </w:rPr>
        <w:t xml:space="preserve"> subgroup likely due to small sample size (Table 2B). Despite the apparent larger mean NfL levels in </w:t>
      </w:r>
      <w:r w:rsidRPr="00061FA5">
        <w:rPr>
          <w:rFonts w:ascii="Palatino Linotype" w:hAnsi="Palatino Linotype"/>
          <w:i/>
          <w:sz w:val="20"/>
          <w:szCs w:val="20"/>
        </w:rPr>
        <w:t xml:space="preserve">GRN </w:t>
      </w:r>
      <w:r w:rsidRPr="00061FA5">
        <w:rPr>
          <w:rFonts w:ascii="Palatino Linotype" w:hAnsi="Palatino Linotype"/>
          <w:sz w:val="20"/>
          <w:szCs w:val="20"/>
        </w:rPr>
        <w:t xml:space="preserve">and </w:t>
      </w:r>
      <w:r w:rsidRPr="00061FA5">
        <w:rPr>
          <w:rFonts w:ascii="Palatino Linotype" w:hAnsi="Palatino Linotype"/>
          <w:i/>
          <w:sz w:val="20"/>
          <w:szCs w:val="20"/>
        </w:rPr>
        <w:t xml:space="preserve">C9orf72 </w:t>
      </w:r>
      <w:r w:rsidRPr="00061FA5">
        <w:rPr>
          <w:rFonts w:ascii="Palatino Linotype" w:hAnsi="Palatino Linotype"/>
          <w:sz w:val="20"/>
          <w:szCs w:val="20"/>
        </w:rPr>
        <w:t>compared with MAPT mutations, there was no significant difference in levels between the genetic subgroups (Table 2B).</w:t>
      </w:r>
    </w:p>
    <w:p w14:paraId="725A0F3B" w14:textId="77777777" w:rsidR="002D7931" w:rsidRPr="00061FA5" w:rsidRDefault="002D7931" w:rsidP="00663445">
      <w:pPr>
        <w:spacing w:line="480" w:lineRule="auto"/>
        <w:jc w:val="both"/>
        <w:rPr>
          <w:rFonts w:ascii="Palatino Linotype" w:hAnsi="Palatino Linotype"/>
          <w:sz w:val="20"/>
          <w:szCs w:val="20"/>
        </w:rPr>
      </w:pPr>
    </w:p>
    <w:p w14:paraId="04072BFF" w14:textId="77777777" w:rsidR="002D7931" w:rsidRPr="00061FA5" w:rsidRDefault="002D7931" w:rsidP="00663445">
      <w:pPr>
        <w:spacing w:line="480" w:lineRule="auto"/>
        <w:jc w:val="both"/>
        <w:rPr>
          <w:rFonts w:ascii="Palatino Linotype" w:hAnsi="Palatino Linotype"/>
          <w:sz w:val="20"/>
          <w:szCs w:val="20"/>
        </w:rPr>
      </w:pPr>
      <w:r w:rsidRPr="00061FA5">
        <w:rPr>
          <w:rFonts w:ascii="Palatino Linotype" w:hAnsi="Palatino Linotype"/>
          <w:sz w:val="20"/>
          <w:szCs w:val="20"/>
        </w:rPr>
        <w:t xml:space="preserve">Baseline and longitudinal cognitive and imaging measures are shown in Table 3. Serum NfL concentrations correlated with baseline measures of executive dysfunction [WASI similarities (r = -0.32, p = 0.03) and D-KEFS Color-Word Interference ink colour naming task (r = -0.35, p = 0.03)] but not with other baseline psychometric tests, nor with longitudinal changes in psychometric measures. However no cognitive measures survived correction for multiple comparisons. There were also no significant </w:t>
      </w:r>
      <w:r w:rsidRPr="00061FA5">
        <w:rPr>
          <w:rFonts w:ascii="Palatino Linotype" w:hAnsi="Palatino Linotype"/>
          <w:sz w:val="20"/>
          <w:szCs w:val="20"/>
        </w:rPr>
        <w:lastRenderedPageBreak/>
        <w:t>correlations with baseline brain volumes. However, serum NfL levels were correlated with rates of whole brain (r = 0.46, p = 0.01), frontal lobe (r = 0.53, p = 0.003) (Figure 2) and parietal lobe atrophy (r = 0.38, p = 0.04), although not with other lobar atrophy rates. Only the correlation with frontal lobe atrophy rate survived correction for multiple comparisons.</w:t>
      </w:r>
    </w:p>
    <w:p w14:paraId="222F75EF" w14:textId="77777777" w:rsidR="002D7931" w:rsidRPr="00061FA5" w:rsidRDefault="002D7931" w:rsidP="00315CD3">
      <w:pPr>
        <w:spacing w:line="480" w:lineRule="auto"/>
        <w:jc w:val="both"/>
        <w:rPr>
          <w:rFonts w:ascii="Palatino Linotype" w:hAnsi="Palatino Linotype"/>
          <w:b/>
          <w:sz w:val="20"/>
          <w:szCs w:val="20"/>
        </w:rPr>
      </w:pPr>
    </w:p>
    <w:p w14:paraId="11CC1051" w14:textId="77777777" w:rsidR="002D7931" w:rsidRPr="00061FA5" w:rsidRDefault="002D7931" w:rsidP="00315CD3">
      <w:pPr>
        <w:spacing w:line="480" w:lineRule="auto"/>
        <w:jc w:val="both"/>
        <w:rPr>
          <w:rFonts w:ascii="Palatino Linotype" w:hAnsi="Palatino Linotype"/>
          <w:sz w:val="20"/>
          <w:szCs w:val="20"/>
          <w:lang w:val="en-GB"/>
        </w:rPr>
      </w:pPr>
      <w:r w:rsidRPr="00061FA5">
        <w:rPr>
          <w:rFonts w:ascii="Palatino Linotype" w:hAnsi="Palatino Linotype"/>
          <w:b/>
          <w:sz w:val="20"/>
          <w:szCs w:val="20"/>
        </w:rPr>
        <w:t xml:space="preserve">DISCUSSION </w:t>
      </w:r>
    </w:p>
    <w:p w14:paraId="5C9AB9A2" w14:textId="6EAEEF51" w:rsidR="002D7931" w:rsidRPr="00061FA5" w:rsidRDefault="002D7931" w:rsidP="006167D5">
      <w:pPr>
        <w:autoSpaceDE w:val="0"/>
        <w:autoSpaceDN w:val="0"/>
        <w:adjustRightInd w:val="0"/>
        <w:spacing w:line="480" w:lineRule="auto"/>
        <w:jc w:val="both"/>
        <w:rPr>
          <w:rFonts w:ascii="Palatino Linotype" w:hAnsi="Palatino Linotype" w:cs="Arial"/>
          <w:sz w:val="20"/>
          <w:szCs w:val="20"/>
          <w:lang w:val="en-GB"/>
        </w:rPr>
      </w:pPr>
      <w:r w:rsidRPr="00061FA5">
        <w:rPr>
          <w:rFonts w:ascii="Palatino Linotype" w:hAnsi="Palatino Linotype"/>
          <w:sz w:val="20"/>
          <w:szCs w:val="20"/>
        </w:rPr>
        <w:t xml:space="preserve">Using a novel ultrasensitive immunoassay, we show that serum NfL concentrations are raised in FTD and that higher concentrations are associated with faster rates of brain atrophy. This suggests that serum NfL concentrations </w:t>
      </w:r>
      <w:r w:rsidRPr="00061FA5">
        <w:rPr>
          <w:rFonts w:ascii="Palatino Linotype" w:hAnsi="Palatino Linotype" w:cs="Arial"/>
          <w:sz w:val="20"/>
          <w:szCs w:val="20"/>
        </w:rPr>
        <w:t xml:space="preserve">reflect the intensity of the disease in FTD and higher concentrations are associated with a more rapid disease progression. Within the FTD subtypes, there was a tendency for groups with probable TDP-43 pathology (svPPA and FTD-MND clinically, </w:t>
      </w:r>
      <w:r w:rsidRPr="00061FA5">
        <w:rPr>
          <w:rFonts w:ascii="Palatino Linotype" w:hAnsi="Palatino Linotype" w:cs="Arial"/>
          <w:i/>
          <w:sz w:val="20"/>
          <w:szCs w:val="20"/>
        </w:rPr>
        <w:t>GRN</w:t>
      </w:r>
      <w:r w:rsidRPr="00061FA5">
        <w:rPr>
          <w:rFonts w:ascii="Palatino Linotype" w:hAnsi="Palatino Linotype" w:cs="Arial"/>
          <w:sz w:val="20"/>
          <w:szCs w:val="20"/>
        </w:rPr>
        <w:t xml:space="preserve"> and </w:t>
      </w:r>
      <w:r w:rsidRPr="00061FA5">
        <w:rPr>
          <w:rFonts w:ascii="Palatino Linotype" w:hAnsi="Palatino Linotype" w:cs="Arial"/>
          <w:i/>
          <w:sz w:val="20"/>
          <w:szCs w:val="20"/>
        </w:rPr>
        <w:t>C9orf72</w:t>
      </w:r>
      <w:r w:rsidRPr="00061FA5">
        <w:rPr>
          <w:rFonts w:ascii="Palatino Linotype" w:hAnsi="Palatino Linotype" w:cs="Arial"/>
          <w:sz w:val="20"/>
          <w:szCs w:val="20"/>
        </w:rPr>
        <w:t xml:space="preserve"> mutations genetically) to have raised levels compared with those associated with tau pathology (</w:t>
      </w:r>
      <w:r w:rsidRPr="00061FA5">
        <w:rPr>
          <w:rFonts w:ascii="Palatino Linotype" w:hAnsi="Palatino Linotype" w:cs="Arial"/>
          <w:i/>
          <w:sz w:val="20"/>
          <w:szCs w:val="20"/>
        </w:rPr>
        <w:t>MAPT</w:t>
      </w:r>
      <w:r w:rsidRPr="00061FA5">
        <w:rPr>
          <w:rFonts w:ascii="Palatino Linotype" w:hAnsi="Palatino Linotype" w:cs="Arial"/>
          <w:sz w:val="20"/>
          <w:szCs w:val="20"/>
        </w:rPr>
        <w:t xml:space="preserve"> mutations) although within all groups there is substantial variability. With a lower limit of quantification of 0.26 pg/mL, all samples, including those from normal controls, could be reliably quantified, which is an advantage over earlier studies on serum</w:t>
      </w:r>
      <w:r w:rsidR="00FE0B9B" w:rsidRPr="00061FA5">
        <w:rPr>
          <w:rFonts w:ascii="Palatino Linotype" w:hAnsi="Palatino Linotype" w:cs="Arial"/>
          <w:sz w:val="20"/>
          <w:szCs w:val="20"/>
        </w:rPr>
        <w:t xml:space="preserve"> NfL in other conditions [14, 30-32</w:t>
      </w:r>
      <w:r w:rsidRPr="00061FA5">
        <w:rPr>
          <w:rFonts w:ascii="Palatino Linotype" w:hAnsi="Palatino Linotype" w:cs="Arial"/>
          <w:sz w:val="20"/>
          <w:szCs w:val="20"/>
        </w:rPr>
        <w:t xml:space="preserve">]. </w:t>
      </w:r>
    </w:p>
    <w:p w14:paraId="36D05D42" w14:textId="77777777" w:rsidR="002D7931" w:rsidRPr="00061FA5" w:rsidRDefault="002D7931" w:rsidP="00C44C12">
      <w:pPr>
        <w:autoSpaceDE w:val="0"/>
        <w:autoSpaceDN w:val="0"/>
        <w:adjustRightInd w:val="0"/>
        <w:spacing w:line="480" w:lineRule="auto"/>
        <w:jc w:val="both"/>
        <w:rPr>
          <w:rFonts w:ascii="Palatino Linotype" w:hAnsi="Palatino Linotype" w:cs="Arial"/>
          <w:sz w:val="20"/>
          <w:szCs w:val="20"/>
          <w:lang w:val="en-GB"/>
        </w:rPr>
      </w:pPr>
    </w:p>
    <w:p w14:paraId="72968BE8" w14:textId="0D620EF2" w:rsidR="002D7931" w:rsidRPr="00061FA5" w:rsidRDefault="002D7931" w:rsidP="00C44C12">
      <w:pPr>
        <w:autoSpaceDE w:val="0"/>
        <w:autoSpaceDN w:val="0"/>
        <w:adjustRightInd w:val="0"/>
        <w:spacing w:line="480" w:lineRule="auto"/>
        <w:jc w:val="both"/>
        <w:rPr>
          <w:rFonts w:ascii="Palatino Linotype" w:hAnsi="Palatino Linotype" w:cs="Arial"/>
          <w:sz w:val="20"/>
          <w:szCs w:val="20"/>
        </w:rPr>
      </w:pPr>
      <w:r w:rsidRPr="00061FA5">
        <w:rPr>
          <w:rFonts w:ascii="Palatino Linotype" w:hAnsi="Palatino Linotype" w:cs="Arial"/>
          <w:sz w:val="20"/>
          <w:szCs w:val="20"/>
        </w:rPr>
        <w:t xml:space="preserve">The results in this study are consistent with those found in previous CSF studies of NfL concentrations in FTD: levels are consistently higher in cases with FTD [4-11] and tend to be increased in those with probable TDP-43 pathology [10,11]. Certainly for genetic FTD, where </w:t>
      </w:r>
      <w:r w:rsidRPr="00061FA5">
        <w:rPr>
          <w:rFonts w:ascii="Palatino Linotype" w:hAnsi="Palatino Linotype" w:cs="Arial"/>
          <w:i/>
          <w:sz w:val="20"/>
          <w:szCs w:val="20"/>
        </w:rPr>
        <w:t xml:space="preserve">GRN </w:t>
      </w:r>
      <w:r w:rsidRPr="00061FA5">
        <w:rPr>
          <w:rFonts w:ascii="Palatino Linotype" w:hAnsi="Palatino Linotype" w:cs="Arial"/>
          <w:sz w:val="20"/>
          <w:szCs w:val="20"/>
        </w:rPr>
        <w:t xml:space="preserve">and </w:t>
      </w:r>
      <w:r w:rsidRPr="00061FA5">
        <w:rPr>
          <w:rFonts w:ascii="Palatino Linotype" w:hAnsi="Palatino Linotype" w:cs="Arial"/>
          <w:i/>
          <w:sz w:val="20"/>
          <w:szCs w:val="20"/>
        </w:rPr>
        <w:t>C9orf72</w:t>
      </w:r>
      <w:r w:rsidRPr="00061FA5">
        <w:rPr>
          <w:rFonts w:ascii="Palatino Linotype" w:hAnsi="Palatino Linotype" w:cs="Arial"/>
          <w:sz w:val="20"/>
          <w:szCs w:val="20"/>
        </w:rPr>
        <w:t xml:space="preserve"> mutations are associated with TDP-43 pathology, this is consistent with the more rapid progression (and shorter disease duration) seen in many patients within these two mutation groups (independent of clinical syndrome) compared with the relatively slower progression of patients with </w:t>
      </w:r>
      <w:r w:rsidRPr="00061FA5">
        <w:rPr>
          <w:rFonts w:ascii="Palatino Linotype" w:hAnsi="Palatino Linotype" w:cs="Arial"/>
          <w:i/>
          <w:sz w:val="20"/>
          <w:szCs w:val="20"/>
        </w:rPr>
        <w:t>MAPT</w:t>
      </w:r>
      <w:r w:rsidRPr="00061FA5">
        <w:rPr>
          <w:rFonts w:ascii="Palatino Linotype" w:hAnsi="Palatino Linotype" w:cs="Arial"/>
          <w:sz w:val="20"/>
          <w:szCs w:val="20"/>
        </w:rPr>
        <w:t xml:space="preserve"> mutations (which is as</w:t>
      </w:r>
      <w:r w:rsidR="00FE0B9B" w:rsidRPr="00061FA5">
        <w:rPr>
          <w:rFonts w:ascii="Palatino Linotype" w:hAnsi="Palatino Linotype" w:cs="Arial"/>
          <w:sz w:val="20"/>
          <w:szCs w:val="20"/>
        </w:rPr>
        <w:t>sociated with tau pathology) [33</w:t>
      </w:r>
      <w:r w:rsidRPr="00061FA5">
        <w:rPr>
          <w:rFonts w:ascii="Palatino Linotype" w:hAnsi="Palatino Linotype" w:cs="Arial"/>
          <w:sz w:val="20"/>
          <w:szCs w:val="20"/>
        </w:rPr>
        <w:t>]. One previous study also suggested a correlation of CSF NfL with measures of disease severity, and consistent with our study showed an association of levels with frontal lobe atrophy [11].</w:t>
      </w:r>
    </w:p>
    <w:p w14:paraId="148248CE" w14:textId="77777777" w:rsidR="002D7931" w:rsidRPr="00061FA5" w:rsidRDefault="002D7931" w:rsidP="00C44C12">
      <w:pPr>
        <w:autoSpaceDE w:val="0"/>
        <w:autoSpaceDN w:val="0"/>
        <w:adjustRightInd w:val="0"/>
        <w:spacing w:line="480" w:lineRule="auto"/>
        <w:jc w:val="both"/>
        <w:rPr>
          <w:rFonts w:ascii="Palatino Linotype" w:hAnsi="Palatino Linotype" w:cs="Arial"/>
          <w:sz w:val="20"/>
          <w:szCs w:val="20"/>
        </w:rPr>
      </w:pPr>
    </w:p>
    <w:p w14:paraId="652FD4AF" w14:textId="4E87C090" w:rsidR="002D7931" w:rsidRPr="00061FA5" w:rsidRDefault="002D7931" w:rsidP="00C44C12">
      <w:pPr>
        <w:autoSpaceDE w:val="0"/>
        <w:autoSpaceDN w:val="0"/>
        <w:adjustRightInd w:val="0"/>
        <w:spacing w:line="480" w:lineRule="auto"/>
        <w:jc w:val="both"/>
        <w:rPr>
          <w:rFonts w:ascii="Palatino Linotype" w:hAnsi="Palatino Linotype" w:cs="Arial"/>
          <w:sz w:val="20"/>
          <w:szCs w:val="20"/>
        </w:rPr>
      </w:pPr>
      <w:r w:rsidRPr="00061FA5">
        <w:rPr>
          <w:rFonts w:ascii="Palatino Linotype" w:hAnsi="Palatino Linotype" w:cs="Arial"/>
          <w:sz w:val="20"/>
          <w:szCs w:val="20"/>
        </w:rPr>
        <w:lastRenderedPageBreak/>
        <w:t xml:space="preserve">We found that serum NfL levels were correlated with the rate of subsequent brain atrophy but not with the baseline brain volumes. Measures of brain atrophy are likely to be better measures of the disease intensity than just a single cross-sectional measure of the whole brain or lobar volumes which reflect disease duration and normal variation as well as disease activity. </w:t>
      </w:r>
      <w:r w:rsidR="00E360D7" w:rsidRPr="00061FA5">
        <w:rPr>
          <w:rFonts w:ascii="Palatino Linotype" w:hAnsi="Palatino Linotype" w:cs="Arial"/>
          <w:sz w:val="20"/>
          <w:szCs w:val="20"/>
        </w:rPr>
        <w:t>S</w:t>
      </w:r>
      <w:r w:rsidRPr="00061FA5">
        <w:rPr>
          <w:rFonts w:ascii="Palatino Linotype" w:hAnsi="Palatino Linotype" w:cs="Arial"/>
          <w:sz w:val="20"/>
          <w:szCs w:val="20"/>
        </w:rPr>
        <w:t xml:space="preserve">erum NfL levels </w:t>
      </w:r>
      <w:r w:rsidR="00E360D7" w:rsidRPr="00061FA5">
        <w:rPr>
          <w:rFonts w:ascii="Palatino Linotype" w:hAnsi="Palatino Linotype" w:cs="Arial"/>
          <w:sz w:val="20"/>
          <w:szCs w:val="20"/>
        </w:rPr>
        <w:t xml:space="preserve">correlated </w:t>
      </w:r>
      <w:r w:rsidRPr="00061FA5">
        <w:rPr>
          <w:rFonts w:ascii="Palatino Linotype" w:hAnsi="Palatino Linotype" w:cs="Arial"/>
          <w:sz w:val="20"/>
          <w:szCs w:val="20"/>
        </w:rPr>
        <w:t xml:space="preserve">with baseline measures of executive function but not with longitudinal measures. A number of the patients had scored at near floor on executive tasks at baseline and therefore there is less ability to measure progression with such measures when assessed longitudinally. </w:t>
      </w:r>
    </w:p>
    <w:p w14:paraId="76FF3335" w14:textId="77777777" w:rsidR="002D7931" w:rsidRPr="00061FA5" w:rsidRDefault="002D7931" w:rsidP="00C44C12">
      <w:pPr>
        <w:autoSpaceDE w:val="0"/>
        <w:autoSpaceDN w:val="0"/>
        <w:adjustRightInd w:val="0"/>
        <w:spacing w:line="480" w:lineRule="auto"/>
        <w:jc w:val="both"/>
        <w:rPr>
          <w:rFonts w:ascii="Palatino Linotype" w:hAnsi="Palatino Linotype" w:cs="Arial"/>
          <w:sz w:val="20"/>
          <w:szCs w:val="20"/>
        </w:rPr>
      </w:pPr>
    </w:p>
    <w:p w14:paraId="375C7F33" w14:textId="196F60AA" w:rsidR="002D7931" w:rsidRPr="00061FA5" w:rsidRDefault="002D7931" w:rsidP="00C44C12">
      <w:pPr>
        <w:autoSpaceDE w:val="0"/>
        <w:autoSpaceDN w:val="0"/>
        <w:adjustRightInd w:val="0"/>
        <w:spacing w:line="480" w:lineRule="auto"/>
        <w:jc w:val="both"/>
        <w:rPr>
          <w:rFonts w:ascii="Palatino Linotype" w:hAnsi="Palatino Linotype" w:cs="Arial"/>
          <w:sz w:val="20"/>
          <w:szCs w:val="20"/>
        </w:rPr>
      </w:pPr>
      <w:r w:rsidRPr="00061FA5">
        <w:rPr>
          <w:rFonts w:ascii="Palatino Linotype" w:hAnsi="Palatino Linotype" w:cs="Arial"/>
          <w:sz w:val="20"/>
          <w:szCs w:val="20"/>
        </w:rPr>
        <w:t>It will be important to investigate patients at different stages of the disease as this may influence the association between NfL and rates of atrophy. The GENFI study (</w:t>
      </w:r>
      <w:hyperlink r:id="rId7" w:history="1">
        <w:r w:rsidRPr="00061FA5">
          <w:rPr>
            <w:rStyle w:val="Hyperlink"/>
            <w:rFonts w:ascii="Palatino Linotype" w:hAnsi="Palatino Linotype" w:cs="Arial"/>
            <w:sz w:val="20"/>
            <w:szCs w:val="20"/>
          </w:rPr>
          <w:t>www.genfi.org.uk</w:t>
        </w:r>
      </w:hyperlink>
      <w:r w:rsidRPr="00061FA5">
        <w:rPr>
          <w:rFonts w:ascii="Palatino Linotype" w:hAnsi="Palatino Linotype" w:cs="Arial"/>
          <w:sz w:val="20"/>
          <w:szCs w:val="20"/>
        </w:rPr>
        <w:t>) has recently shown that pathological rates of brain atrophy appear to start up to ten years before symptom onset but are variable between</w:t>
      </w:r>
      <w:r w:rsidR="00FE0B9B" w:rsidRPr="00061FA5">
        <w:rPr>
          <w:rFonts w:ascii="Palatino Linotype" w:hAnsi="Palatino Linotype" w:cs="Arial"/>
          <w:sz w:val="20"/>
          <w:szCs w:val="20"/>
        </w:rPr>
        <w:t xml:space="preserve"> different genetic mutations [29</w:t>
      </w:r>
      <w:r w:rsidRPr="00061FA5">
        <w:rPr>
          <w:rFonts w:ascii="Palatino Linotype" w:hAnsi="Palatino Linotype" w:cs="Arial"/>
          <w:sz w:val="20"/>
          <w:szCs w:val="20"/>
        </w:rPr>
        <w:t>]. If serum NfL concentrations represent measures of disease intensity then we would predict that levels would start to increase around ten years before onset and may provide a useful non-invasive marker of proximity to symptom onset.</w:t>
      </w:r>
    </w:p>
    <w:p w14:paraId="7288A69C" w14:textId="77777777" w:rsidR="002D7931" w:rsidRPr="00061FA5" w:rsidRDefault="002D7931" w:rsidP="00C44C12">
      <w:pPr>
        <w:autoSpaceDE w:val="0"/>
        <w:autoSpaceDN w:val="0"/>
        <w:adjustRightInd w:val="0"/>
        <w:spacing w:line="480" w:lineRule="auto"/>
        <w:jc w:val="both"/>
        <w:rPr>
          <w:rFonts w:ascii="Palatino Linotype" w:hAnsi="Palatino Linotype" w:cs="Arial"/>
          <w:sz w:val="20"/>
          <w:szCs w:val="20"/>
        </w:rPr>
      </w:pPr>
    </w:p>
    <w:p w14:paraId="7F6C9BC4" w14:textId="24DC9900" w:rsidR="002D7931" w:rsidRPr="00061FA5" w:rsidRDefault="002D7931" w:rsidP="00C44C12">
      <w:pPr>
        <w:autoSpaceDE w:val="0"/>
        <w:autoSpaceDN w:val="0"/>
        <w:adjustRightInd w:val="0"/>
        <w:spacing w:line="480" w:lineRule="auto"/>
        <w:jc w:val="both"/>
        <w:rPr>
          <w:rFonts w:ascii="Palatino Linotype" w:hAnsi="Palatino Linotype" w:cs="Arial"/>
          <w:sz w:val="20"/>
          <w:szCs w:val="20"/>
        </w:rPr>
      </w:pPr>
      <w:r w:rsidRPr="00061FA5">
        <w:rPr>
          <w:rFonts w:ascii="Palatino Linotype" w:hAnsi="Palatino Linotype" w:cs="Arial"/>
          <w:sz w:val="20"/>
          <w:szCs w:val="20"/>
        </w:rPr>
        <w:t>There are a number of limitations to this study. In particular the majority of the patients did not have pathological confirmation of the cause of their illness, and future studies should investigate serum NfL levels in different FTD pathologies. Although there are a relatively large number of cases for a study of a rare disorder like FTD, the individual numbers are small in each subgroup (particularly the FTD-MND group) and it would be useful for future studies to investigate larger groups of the individual clinical and genetic subtypes. Clinical measures of disease staging in FTD have only recently been de</w:t>
      </w:r>
      <w:r w:rsidR="00FE0B9B" w:rsidRPr="00061FA5">
        <w:rPr>
          <w:rFonts w:ascii="Palatino Linotype" w:hAnsi="Palatino Linotype" w:cs="Arial"/>
          <w:sz w:val="20"/>
          <w:szCs w:val="20"/>
        </w:rPr>
        <w:t>signed (such as the FTLD-CDR [34</w:t>
      </w:r>
      <w:r w:rsidRPr="00061FA5">
        <w:rPr>
          <w:rFonts w:ascii="Palatino Linotype" w:hAnsi="Palatino Linotype" w:cs="Arial"/>
          <w:sz w:val="20"/>
          <w:szCs w:val="20"/>
        </w:rPr>
        <w:t>] and Frontotemporal</w:t>
      </w:r>
      <w:r w:rsidR="00FE0B9B" w:rsidRPr="00061FA5">
        <w:rPr>
          <w:rFonts w:ascii="Palatino Linotype" w:hAnsi="Palatino Linotype" w:cs="Arial"/>
          <w:sz w:val="20"/>
          <w:szCs w:val="20"/>
        </w:rPr>
        <w:t xml:space="preserve"> dementia Rating Scale (FRS) [35</w:t>
      </w:r>
      <w:r w:rsidRPr="00061FA5">
        <w:rPr>
          <w:rFonts w:ascii="Palatino Linotype" w:hAnsi="Palatino Linotype" w:cs="Arial"/>
          <w:sz w:val="20"/>
          <w:szCs w:val="20"/>
        </w:rPr>
        <w:t xml:space="preserve">]) and were not available in this cohort; it will be important for future studies to compare such measures with serum NfL levels. </w:t>
      </w:r>
    </w:p>
    <w:p w14:paraId="04A09A07" w14:textId="77777777" w:rsidR="002D7931" w:rsidRPr="00061FA5" w:rsidRDefault="002D7931" w:rsidP="00C44C12">
      <w:pPr>
        <w:autoSpaceDE w:val="0"/>
        <w:autoSpaceDN w:val="0"/>
        <w:adjustRightInd w:val="0"/>
        <w:spacing w:line="480" w:lineRule="auto"/>
        <w:jc w:val="both"/>
        <w:rPr>
          <w:rFonts w:ascii="Palatino Linotype" w:hAnsi="Palatino Linotype" w:cs="Arial"/>
          <w:sz w:val="20"/>
          <w:szCs w:val="20"/>
        </w:rPr>
      </w:pPr>
    </w:p>
    <w:p w14:paraId="2041C0B5" w14:textId="3A87B9CD" w:rsidR="002D7931" w:rsidRPr="00061FA5" w:rsidRDefault="00D25FBC" w:rsidP="00C44C12">
      <w:pPr>
        <w:autoSpaceDE w:val="0"/>
        <w:autoSpaceDN w:val="0"/>
        <w:adjustRightInd w:val="0"/>
        <w:spacing w:line="480" w:lineRule="auto"/>
        <w:jc w:val="both"/>
        <w:rPr>
          <w:rFonts w:ascii="Palatino Linotype" w:hAnsi="Palatino Linotype" w:cs="Arial"/>
          <w:sz w:val="20"/>
          <w:szCs w:val="20"/>
        </w:rPr>
      </w:pPr>
      <w:r w:rsidRPr="00061FA5">
        <w:rPr>
          <w:rFonts w:ascii="Palatino Linotype" w:hAnsi="Palatino Linotype" w:cs="Arial"/>
          <w:sz w:val="20"/>
          <w:szCs w:val="20"/>
        </w:rPr>
        <w:lastRenderedPageBreak/>
        <w:t>Higher s</w:t>
      </w:r>
      <w:r w:rsidR="002D7931" w:rsidRPr="00061FA5">
        <w:rPr>
          <w:rFonts w:ascii="Palatino Linotype" w:hAnsi="Palatino Linotype" w:cs="Arial"/>
          <w:sz w:val="20"/>
          <w:szCs w:val="20"/>
        </w:rPr>
        <w:t xml:space="preserve">erum NfL concentrations </w:t>
      </w:r>
      <w:r w:rsidR="00915376" w:rsidRPr="00061FA5">
        <w:rPr>
          <w:rFonts w:ascii="Palatino Linotype" w:hAnsi="Palatino Linotype" w:cs="Arial"/>
          <w:sz w:val="20"/>
          <w:szCs w:val="20"/>
        </w:rPr>
        <w:t>are</w:t>
      </w:r>
      <w:r w:rsidR="002D7931" w:rsidRPr="00061FA5">
        <w:rPr>
          <w:rFonts w:ascii="Palatino Linotype" w:hAnsi="Palatino Linotype" w:cs="Arial"/>
          <w:sz w:val="20"/>
          <w:szCs w:val="20"/>
        </w:rPr>
        <w:t xml:space="preserve"> associated with </w:t>
      </w:r>
      <w:r w:rsidR="00915376" w:rsidRPr="00061FA5">
        <w:rPr>
          <w:rFonts w:ascii="Palatino Linotype" w:hAnsi="Palatino Linotype" w:cs="Arial"/>
          <w:sz w:val="20"/>
          <w:szCs w:val="20"/>
        </w:rPr>
        <w:t>more rapid brain atrophy and may therefore reflect disease intensity in FTD</w:t>
      </w:r>
      <w:r w:rsidR="002D7931" w:rsidRPr="00061FA5">
        <w:rPr>
          <w:rFonts w:ascii="Palatino Linotype" w:hAnsi="Palatino Linotype" w:cs="Arial"/>
          <w:sz w:val="20"/>
          <w:szCs w:val="20"/>
        </w:rPr>
        <w:t>. As blood sampling is less invasive and has better patient acceptability than lumbar puncture, serum NfL may provide important</w:t>
      </w:r>
      <w:r w:rsidR="00B11C6E" w:rsidRPr="00061FA5">
        <w:rPr>
          <w:rFonts w:ascii="Palatino Linotype" w:hAnsi="Palatino Linotype" w:cs="Arial"/>
          <w:sz w:val="20"/>
          <w:szCs w:val="20"/>
        </w:rPr>
        <w:t xml:space="preserve"> prognostic information, and</w:t>
      </w:r>
      <w:r w:rsidR="002D7931" w:rsidRPr="00061FA5">
        <w:rPr>
          <w:rFonts w:ascii="Palatino Linotype" w:hAnsi="Palatino Linotype" w:cs="Arial"/>
          <w:sz w:val="20"/>
          <w:szCs w:val="20"/>
        </w:rPr>
        <w:t xml:space="preserve"> prove to be a useful outcome mea</w:t>
      </w:r>
      <w:r w:rsidR="00915376" w:rsidRPr="00061FA5">
        <w:rPr>
          <w:rFonts w:ascii="Palatino Linotype" w:hAnsi="Palatino Linotype" w:cs="Arial"/>
          <w:sz w:val="20"/>
          <w:szCs w:val="20"/>
        </w:rPr>
        <w:t>sure for clinical trials in FTD. However, further studies will be required in order to understand the</w:t>
      </w:r>
      <w:r w:rsidR="00B11C6E" w:rsidRPr="00061FA5">
        <w:rPr>
          <w:rFonts w:ascii="Palatino Linotype" w:hAnsi="Palatino Linotype" w:cs="Arial"/>
          <w:sz w:val="20"/>
          <w:szCs w:val="20"/>
        </w:rPr>
        <w:t xml:space="preserve"> factors affecting the</w:t>
      </w:r>
      <w:r w:rsidR="00915376" w:rsidRPr="00061FA5">
        <w:rPr>
          <w:rFonts w:ascii="Palatino Linotype" w:hAnsi="Palatino Linotype" w:cs="Arial"/>
          <w:sz w:val="20"/>
          <w:szCs w:val="20"/>
        </w:rPr>
        <w:t xml:space="preserve"> variability in</w:t>
      </w:r>
      <w:r w:rsidR="00B11C6E" w:rsidRPr="00061FA5">
        <w:rPr>
          <w:rFonts w:ascii="Palatino Linotype" w:hAnsi="Palatino Linotype" w:cs="Arial"/>
          <w:sz w:val="20"/>
          <w:szCs w:val="20"/>
        </w:rPr>
        <w:t xml:space="preserve"> NfL concentration</w:t>
      </w:r>
      <w:r w:rsidR="00915376" w:rsidRPr="00061FA5">
        <w:rPr>
          <w:rFonts w:ascii="Palatino Linotype" w:hAnsi="Palatino Linotype" w:cs="Arial"/>
          <w:sz w:val="20"/>
          <w:szCs w:val="20"/>
        </w:rPr>
        <w:t xml:space="preserve"> and </w:t>
      </w:r>
      <w:r w:rsidR="00B11C6E" w:rsidRPr="00061FA5">
        <w:rPr>
          <w:rFonts w:ascii="Palatino Linotype" w:hAnsi="Palatino Linotype" w:cs="Arial"/>
          <w:sz w:val="20"/>
          <w:szCs w:val="20"/>
        </w:rPr>
        <w:t xml:space="preserve">to determine </w:t>
      </w:r>
      <w:r w:rsidR="00915376" w:rsidRPr="00061FA5">
        <w:rPr>
          <w:rFonts w:ascii="Palatino Linotype" w:hAnsi="Palatino Linotype" w:cs="Arial"/>
          <w:sz w:val="20"/>
          <w:szCs w:val="20"/>
        </w:rPr>
        <w:t xml:space="preserve">whether </w:t>
      </w:r>
      <w:r w:rsidR="00B11C6E" w:rsidRPr="00061FA5">
        <w:rPr>
          <w:rFonts w:ascii="Palatino Linotype" w:hAnsi="Palatino Linotype" w:cs="Arial"/>
          <w:sz w:val="20"/>
          <w:szCs w:val="20"/>
        </w:rPr>
        <w:t>it</w:t>
      </w:r>
      <w:r w:rsidR="00915376" w:rsidRPr="00061FA5">
        <w:rPr>
          <w:rFonts w:ascii="Palatino Linotype" w:hAnsi="Palatino Linotype" w:cs="Arial"/>
          <w:sz w:val="20"/>
          <w:szCs w:val="20"/>
        </w:rPr>
        <w:t xml:space="preserve"> can be a useful measure within individual patients.</w:t>
      </w:r>
    </w:p>
    <w:p w14:paraId="158AA225" w14:textId="77777777" w:rsidR="002D7931" w:rsidRPr="00061FA5" w:rsidRDefault="002D7931" w:rsidP="00C44C12">
      <w:pPr>
        <w:autoSpaceDE w:val="0"/>
        <w:autoSpaceDN w:val="0"/>
        <w:adjustRightInd w:val="0"/>
        <w:spacing w:line="480" w:lineRule="auto"/>
        <w:jc w:val="both"/>
        <w:rPr>
          <w:rFonts w:ascii="Palatino Linotype" w:hAnsi="Palatino Linotype"/>
          <w:sz w:val="20"/>
          <w:szCs w:val="20"/>
        </w:rPr>
      </w:pPr>
    </w:p>
    <w:p w14:paraId="027B1660" w14:textId="77777777" w:rsidR="002D7931" w:rsidRPr="00061FA5" w:rsidRDefault="002D7931" w:rsidP="00C44C12">
      <w:pPr>
        <w:autoSpaceDE w:val="0"/>
        <w:autoSpaceDN w:val="0"/>
        <w:adjustRightInd w:val="0"/>
        <w:spacing w:line="480" w:lineRule="auto"/>
        <w:jc w:val="both"/>
        <w:rPr>
          <w:rFonts w:ascii="Palatino Linotype" w:hAnsi="Palatino Linotype"/>
          <w:b/>
          <w:sz w:val="20"/>
          <w:szCs w:val="20"/>
        </w:rPr>
      </w:pPr>
    </w:p>
    <w:p w14:paraId="47160571" w14:textId="77777777" w:rsidR="002D7931" w:rsidRPr="00061FA5" w:rsidRDefault="002D7931" w:rsidP="002E436D">
      <w:pPr>
        <w:autoSpaceDE w:val="0"/>
        <w:autoSpaceDN w:val="0"/>
        <w:adjustRightInd w:val="0"/>
        <w:spacing w:line="480" w:lineRule="auto"/>
        <w:jc w:val="both"/>
        <w:rPr>
          <w:rFonts w:ascii="Palatino Linotype" w:hAnsi="Palatino Linotype"/>
          <w:b/>
          <w:sz w:val="20"/>
          <w:szCs w:val="20"/>
        </w:rPr>
      </w:pPr>
    </w:p>
    <w:p w14:paraId="32DB8C1B" w14:textId="77777777" w:rsidR="002D7931" w:rsidRPr="00061FA5" w:rsidRDefault="002D7931" w:rsidP="002E436D">
      <w:pPr>
        <w:autoSpaceDE w:val="0"/>
        <w:autoSpaceDN w:val="0"/>
        <w:adjustRightInd w:val="0"/>
        <w:spacing w:line="480" w:lineRule="auto"/>
        <w:jc w:val="both"/>
        <w:rPr>
          <w:rFonts w:ascii="Palatino Linotype" w:hAnsi="Palatino Linotype"/>
          <w:b/>
          <w:sz w:val="20"/>
          <w:szCs w:val="20"/>
        </w:rPr>
      </w:pPr>
    </w:p>
    <w:p w14:paraId="2B9AC04D" w14:textId="77777777" w:rsidR="002D7931" w:rsidRPr="00061FA5" w:rsidRDefault="002D7931" w:rsidP="002E436D">
      <w:pPr>
        <w:autoSpaceDE w:val="0"/>
        <w:autoSpaceDN w:val="0"/>
        <w:adjustRightInd w:val="0"/>
        <w:spacing w:line="480" w:lineRule="auto"/>
        <w:jc w:val="both"/>
        <w:rPr>
          <w:rFonts w:ascii="Palatino Linotype" w:hAnsi="Palatino Linotype"/>
          <w:b/>
          <w:sz w:val="20"/>
          <w:szCs w:val="20"/>
        </w:rPr>
      </w:pPr>
    </w:p>
    <w:p w14:paraId="6AD0114D" w14:textId="77777777" w:rsidR="002D7931" w:rsidRPr="00061FA5" w:rsidRDefault="002D7931" w:rsidP="002E436D">
      <w:pPr>
        <w:autoSpaceDE w:val="0"/>
        <w:autoSpaceDN w:val="0"/>
        <w:adjustRightInd w:val="0"/>
        <w:spacing w:line="480" w:lineRule="auto"/>
        <w:jc w:val="both"/>
        <w:rPr>
          <w:rFonts w:ascii="Palatino Linotype" w:hAnsi="Palatino Linotype"/>
          <w:b/>
          <w:sz w:val="20"/>
          <w:szCs w:val="20"/>
        </w:rPr>
      </w:pPr>
    </w:p>
    <w:p w14:paraId="4B34B42D" w14:textId="77777777" w:rsidR="002D7931" w:rsidRPr="00061FA5" w:rsidRDefault="002D7931" w:rsidP="002E436D">
      <w:pPr>
        <w:autoSpaceDE w:val="0"/>
        <w:autoSpaceDN w:val="0"/>
        <w:adjustRightInd w:val="0"/>
        <w:spacing w:line="480" w:lineRule="auto"/>
        <w:jc w:val="both"/>
        <w:rPr>
          <w:rFonts w:ascii="Palatino Linotype" w:hAnsi="Palatino Linotype"/>
          <w:b/>
          <w:sz w:val="20"/>
          <w:szCs w:val="20"/>
        </w:rPr>
      </w:pPr>
    </w:p>
    <w:p w14:paraId="3FF11045" w14:textId="77777777" w:rsidR="002D7931" w:rsidRPr="00061FA5" w:rsidRDefault="002D7931" w:rsidP="002E436D">
      <w:pPr>
        <w:autoSpaceDE w:val="0"/>
        <w:autoSpaceDN w:val="0"/>
        <w:adjustRightInd w:val="0"/>
        <w:spacing w:line="480" w:lineRule="auto"/>
        <w:jc w:val="both"/>
        <w:rPr>
          <w:rFonts w:ascii="Palatino Linotype" w:hAnsi="Palatino Linotype"/>
          <w:b/>
          <w:sz w:val="20"/>
          <w:szCs w:val="20"/>
        </w:rPr>
      </w:pPr>
    </w:p>
    <w:p w14:paraId="1E09EC74" w14:textId="77777777" w:rsidR="002D7931" w:rsidRPr="00061FA5" w:rsidRDefault="002D7931" w:rsidP="002E436D">
      <w:pPr>
        <w:autoSpaceDE w:val="0"/>
        <w:autoSpaceDN w:val="0"/>
        <w:adjustRightInd w:val="0"/>
        <w:spacing w:line="480" w:lineRule="auto"/>
        <w:jc w:val="both"/>
        <w:rPr>
          <w:rFonts w:ascii="Palatino Linotype" w:hAnsi="Palatino Linotype"/>
          <w:b/>
          <w:sz w:val="20"/>
          <w:szCs w:val="20"/>
        </w:rPr>
      </w:pPr>
    </w:p>
    <w:p w14:paraId="7DC0D941" w14:textId="77777777" w:rsidR="002D7931" w:rsidRPr="00061FA5" w:rsidRDefault="002D7931" w:rsidP="002E436D">
      <w:pPr>
        <w:autoSpaceDE w:val="0"/>
        <w:autoSpaceDN w:val="0"/>
        <w:adjustRightInd w:val="0"/>
        <w:spacing w:line="480" w:lineRule="auto"/>
        <w:jc w:val="both"/>
        <w:rPr>
          <w:rFonts w:ascii="Palatino Linotype" w:hAnsi="Palatino Linotype"/>
          <w:b/>
          <w:sz w:val="20"/>
          <w:szCs w:val="20"/>
        </w:rPr>
      </w:pPr>
    </w:p>
    <w:p w14:paraId="6A5B9EE0" w14:textId="77777777" w:rsidR="002D7931" w:rsidRPr="00061FA5" w:rsidRDefault="002D7931" w:rsidP="00B733A7">
      <w:pPr>
        <w:spacing w:line="480" w:lineRule="auto"/>
        <w:jc w:val="both"/>
        <w:rPr>
          <w:rFonts w:ascii="Arial" w:hAnsi="Arial" w:cs="Arial"/>
          <w:b/>
          <w:sz w:val="18"/>
          <w:szCs w:val="20"/>
        </w:rPr>
      </w:pPr>
    </w:p>
    <w:p w14:paraId="57EAF8C6" w14:textId="77777777" w:rsidR="002D7931" w:rsidRPr="00061FA5" w:rsidRDefault="002D7931" w:rsidP="00B733A7">
      <w:pPr>
        <w:spacing w:line="480" w:lineRule="auto"/>
        <w:jc w:val="both"/>
        <w:rPr>
          <w:rFonts w:ascii="Arial" w:hAnsi="Arial" w:cs="Arial"/>
          <w:b/>
          <w:sz w:val="18"/>
          <w:szCs w:val="20"/>
        </w:rPr>
      </w:pPr>
    </w:p>
    <w:p w14:paraId="6C56B85E" w14:textId="77777777" w:rsidR="002D7931" w:rsidRPr="00061FA5" w:rsidRDefault="002D7931" w:rsidP="00B733A7">
      <w:pPr>
        <w:spacing w:line="480" w:lineRule="auto"/>
        <w:jc w:val="both"/>
        <w:rPr>
          <w:rFonts w:ascii="Arial" w:hAnsi="Arial" w:cs="Arial"/>
          <w:b/>
          <w:sz w:val="18"/>
          <w:szCs w:val="20"/>
        </w:rPr>
      </w:pPr>
    </w:p>
    <w:p w14:paraId="55EBD254" w14:textId="77777777" w:rsidR="002D7931" w:rsidRPr="00061FA5" w:rsidRDefault="002D7931" w:rsidP="00B733A7">
      <w:pPr>
        <w:spacing w:line="480" w:lineRule="auto"/>
        <w:jc w:val="both"/>
        <w:rPr>
          <w:rFonts w:ascii="Arial" w:hAnsi="Arial" w:cs="Arial"/>
          <w:b/>
          <w:sz w:val="18"/>
          <w:szCs w:val="20"/>
        </w:rPr>
      </w:pPr>
    </w:p>
    <w:p w14:paraId="52F0B4CF" w14:textId="77777777" w:rsidR="002D7931" w:rsidRPr="00061FA5" w:rsidRDefault="002D7931" w:rsidP="00B733A7">
      <w:pPr>
        <w:spacing w:line="480" w:lineRule="auto"/>
        <w:jc w:val="both"/>
        <w:rPr>
          <w:rFonts w:ascii="Arial" w:hAnsi="Arial" w:cs="Arial"/>
          <w:b/>
          <w:sz w:val="18"/>
          <w:szCs w:val="20"/>
        </w:rPr>
      </w:pPr>
    </w:p>
    <w:p w14:paraId="617EAA45" w14:textId="77777777" w:rsidR="00DC1BAD" w:rsidRPr="00061FA5" w:rsidRDefault="00DC1BAD" w:rsidP="00B733A7">
      <w:pPr>
        <w:spacing w:line="480" w:lineRule="auto"/>
        <w:jc w:val="both"/>
        <w:rPr>
          <w:rFonts w:ascii="Arial" w:hAnsi="Arial" w:cs="Arial"/>
          <w:b/>
          <w:sz w:val="18"/>
          <w:szCs w:val="20"/>
        </w:rPr>
      </w:pPr>
    </w:p>
    <w:p w14:paraId="5356F826" w14:textId="77777777" w:rsidR="00DC1BAD" w:rsidRPr="00061FA5" w:rsidRDefault="00DC1BAD" w:rsidP="00B733A7">
      <w:pPr>
        <w:spacing w:line="480" w:lineRule="auto"/>
        <w:jc w:val="both"/>
        <w:rPr>
          <w:rFonts w:ascii="Arial" w:hAnsi="Arial" w:cs="Arial"/>
          <w:b/>
          <w:sz w:val="18"/>
          <w:szCs w:val="20"/>
        </w:rPr>
      </w:pPr>
    </w:p>
    <w:p w14:paraId="0706D9F0" w14:textId="59324A30" w:rsidR="008160B2" w:rsidRPr="00061FA5" w:rsidRDefault="008160B2">
      <w:pPr>
        <w:rPr>
          <w:rFonts w:ascii="Arial" w:hAnsi="Arial" w:cs="Arial"/>
          <w:b/>
          <w:sz w:val="18"/>
          <w:szCs w:val="20"/>
        </w:rPr>
      </w:pPr>
      <w:r w:rsidRPr="00061FA5">
        <w:rPr>
          <w:rFonts w:ascii="Arial" w:hAnsi="Arial" w:cs="Arial"/>
          <w:b/>
          <w:sz w:val="18"/>
          <w:szCs w:val="20"/>
        </w:rPr>
        <w:br w:type="page"/>
      </w:r>
    </w:p>
    <w:p w14:paraId="07893E13" w14:textId="371F087D" w:rsidR="00406719" w:rsidRPr="00061FA5" w:rsidRDefault="002D7931" w:rsidP="00406719">
      <w:pPr>
        <w:spacing w:line="480" w:lineRule="auto"/>
        <w:jc w:val="both"/>
        <w:rPr>
          <w:rFonts w:ascii="Arial" w:hAnsi="Arial" w:cs="Arial"/>
          <w:b/>
          <w:i/>
          <w:sz w:val="18"/>
          <w:szCs w:val="20"/>
        </w:rPr>
      </w:pPr>
      <w:r w:rsidRPr="00061FA5">
        <w:rPr>
          <w:rFonts w:ascii="Arial" w:hAnsi="Arial" w:cs="Arial"/>
          <w:b/>
          <w:sz w:val="18"/>
          <w:szCs w:val="20"/>
        </w:rPr>
        <w:lastRenderedPageBreak/>
        <w:t xml:space="preserve">Table 1 Demographic characteristics of the study participants. </w:t>
      </w:r>
      <w:r w:rsidR="00406719" w:rsidRPr="00061FA5">
        <w:rPr>
          <w:rFonts w:ascii="Arial" w:hAnsi="Arial" w:cs="Arial"/>
          <w:b/>
          <w:i/>
          <w:sz w:val="18"/>
          <w:szCs w:val="20"/>
        </w:rPr>
        <w:t>FTD = frontotemporal dementia (total FTD cases do not include lvPPA), bvFTD = behavioural variant FTD, FTD-MND = FTD with motor neurone disease, PPA = primary progressive aphasia, nfvPPA = nonfluent variant PPA, svPPA = semantic variant PPA, lvPPA = logopenic variant PPA, PPA-NOS = PPA  not otherwise specified.</w:t>
      </w:r>
    </w:p>
    <w:p w14:paraId="7755504C" w14:textId="60BB2853" w:rsidR="002D7931" w:rsidRPr="00061FA5" w:rsidRDefault="002D7931" w:rsidP="00B733A7">
      <w:pPr>
        <w:spacing w:line="480" w:lineRule="auto"/>
        <w:jc w:val="both"/>
        <w:rPr>
          <w:rFonts w:ascii="Arial" w:hAnsi="Arial" w:cs="Arial"/>
          <w:b/>
          <w:sz w:val="18"/>
          <w:szCs w:val="20"/>
        </w:rPr>
      </w:pPr>
    </w:p>
    <w:p w14:paraId="1EF6716B" w14:textId="77777777" w:rsidR="002D7931" w:rsidRPr="00061FA5" w:rsidRDefault="002D7931" w:rsidP="00B733A7">
      <w:pPr>
        <w:spacing w:line="480" w:lineRule="auto"/>
        <w:jc w:val="both"/>
        <w:rPr>
          <w:rFonts w:ascii="Arial" w:hAnsi="Arial" w:cs="Arial"/>
          <w:b/>
          <w:sz w:val="18"/>
          <w:szCs w:val="20"/>
        </w:rPr>
      </w:pPr>
    </w:p>
    <w:tbl>
      <w:tblPr>
        <w:tblW w:w="11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8"/>
        <w:gridCol w:w="1021"/>
        <w:gridCol w:w="1110"/>
        <w:gridCol w:w="1021"/>
        <w:gridCol w:w="1199"/>
        <w:gridCol w:w="1021"/>
        <w:gridCol w:w="1110"/>
        <w:gridCol w:w="1110"/>
        <w:gridCol w:w="1110"/>
      </w:tblGrid>
      <w:tr w:rsidR="002D7931" w:rsidRPr="00061FA5" w14:paraId="46B74146" w14:textId="77777777" w:rsidTr="00410B3E">
        <w:trPr>
          <w:jc w:val="center"/>
        </w:trPr>
        <w:tc>
          <w:tcPr>
            <w:tcW w:w="2768" w:type="dxa"/>
            <w:vAlign w:val="center"/>
          </w:tcPr>
          <w:p w14:paraId="6F69C872" w14:textId="77777777" w:rsidR="002D7931" w:rsidRPr="00061FA5" w:rsidRDefault="002D7931" w:rsidP="00DE2F89">
            <w:pPr>
              <w:spacing w:line="480" w:lineRule="auto"/>
              <w:jc w:val="both"/>
              <w:rPr>
                <w:rFonts w:ascii="Arial" w:hAnsi="Arial" w:cs="Arial"/>
                <w:b/>
                <w:sz w:val="16"/>
                <w:szCs w:val="16"/>
              </w:rPr>
            </w:pPr>
            <w:r w:rsidRPr="00061FA5">
              <w:rPr>
                <w:rFonts w:ascii="Arial" w:hAnsi="Arial" w:cs="Arial"/>
                <w:b/>
                <w:sz w:val="16"/>
                <w:szCs w:val="16"/>
              </w:rPr>
              <w:t>Disease group</w:t>
            </w:r>
          </w:p>
        </w:tc>
        <w:tc>
          <w:tcPr>
            <w:tcW w:w="1021" w:type="dxa"/>
            <w:vAlign w:val="center"/>
          </w:tcPr>
          <w:p w14:paraId="483BAE8E" w14:textId="77777777" w:rsidR="002D7931" w:rsidRPr="00061FA5" w:rsidRDefault="002D7931" w:rsidP="00DE2F89">
            <w:pPr>
              <w:spacing w:line="480" w:lineRule="auto"/>
              <w:jc w:val="center"/>
              <w:rPr>
                <w:rFonts w:ascii="Arial" w:hAnsi="Arial" w:cs="Arial"/>
                <w:b/>
                <w:sz w:val="16"/>
                <w:szCs w:val="16"/>
              </w:rPr>
            </w:pPr>
            <w:r w:rsidRPr="00061FA5">
              <w:rPr>
                <w:rFonts w:ascii="Arial" w:hAnsi="Arial" w:cs="Arial"/>
                <w:b/>
                <w:sz w:val="16"/>
                <w:szCs w:val="16"/>
              </w:rPr>
              <w:t>Controls</w:t>
            </w:r>
          </w:p>
        </w:tc>
        <w:tc>
          <w:tcPr>
            <w:tcW w:w="1110" w:type="dxa"/>
            <w:vAlign w:val="center"/>
          </w:tcPr>
          <w:p w14:paraId="34A46237" w14:textId="77777777" w:rsidR="002D7931" w:rsidRPr="00061FA5" w:rsidRDefault="002D7931" w:rsidP="00DE2F89">
            <w:pPr>
              <w:spacing w:line="480" w:lineRule="auto"/>
              <w:jc w:val="center"/>
              <w:rPr>
                <w:rFonts w:ascii="Arial" w:hAnsi="Arial" w:cs="Arial"/>
                <w:b/>
                <w:sz w:val="16"/>
                <w:szCs w:val="16"/>
              </w:rPr>
            </w:pPr>
            <w:r w:rsidRPr="00061FA5">
              <w:rPr>
                <w:rFonts w:ascii="Arial" w:hAnsi="Arial" w:cs="Arial"/>
                <w:b/>
                <w:sz w:val="16"/>
                <w:szCs w:val="16"/>
              </w:rPr>
              <w:t xml:space="preserve">Total FTD </w:t>
            </w:r>
          </w:p>
        </w:tc>
        <w:tc>
          <w:tcPr>
            <w:tcW w:w="1021" w:type="dxa"/>
            <w:vAlign w:val="center"/>
          </w:tcPr>
          <w:p w14:paraId="2158AFA6" w14:textId="77777777" w:rsidR="002D7931" w:rsidRPr="00061FA5" w:rsidRDefault="002D7931" w:rsidP="00DE2F89">
            <w:pPr>
              <w:spacing w:line="480" w:lineRule="auto"/>
              <w:jc w:val="center"/>
              <w:rPr>
                <w:rFonts w:ascii="Arial" w:hAnsi="Arial" w:cs="Arial"/>
                <w:b/>
                <w:i/>
                <w:sz w:val="16"/>
                <w:szCs w:val="16"/>
              </w:rPr>
            </w:pPr>
            <w:r w:rsidRPr="00061FA5">
              <w:rPr>
                <w:rFonts w:ascii="Arial" w:hAnsi="Arial" w:cs="Arial"/>
                <w:b/>
                <w:i/>
                <w:sz w:val="16"/>
                <w:szCs w:val="16"/>
              </w:rPr>
              <w:t>bvFTD</w:t>
            </w:r>
          </w:p>
        </w:tc>
        <w:tc>
          <w:tcPr>
            <w:tcW w:w="1199" w:type="dxa"/>
            <w:vAlign w:val="center"/>
          </w:tcPr>
          <w:p w14:paraId="62573AB6" w14:textId="77777777" w:rsidR="002D7931" w:rsidRPr="00061FA5" w:rsidRDefault="002D7931" w:rsidP="00DE2F89">
            <w:pPr>
              <w:spacing w:line="480" w:lineRule="auto"/>
              <w:jc w:val="center"/>
              <w:rPr>
                <w:rFonts w:ascii="Arial" w:hAnsi="Arial" w:cs="Arial"/>
                <w:b/>
                <w:i/>
                <w:sz w:val="16"/>
                <w:szCs w:val="16"/>
              </w:rPr>
            </w:pPr>
            <w:r w:rsidRPr="00061FA5">
              <w:rPr>
                <w:rFonts w:ascii="Arial" w:hAnsi="Arial" w:cs="Arial"/>
                <w:b/>
                <w:i/>
                <w:sz w:val="16"/>
                <w:szCs w:val="16"/>
              </w:rPr>
              <w:t>FTD-MND</w:t>
            </w:r>
          </w:p>
        </w:tc>
        <w:tc>
          <w:tcPr>
            <w:tcW w:w="1021" w:type="dxa"/>
            <w:vAlign w:val="center"/>
          </w:tcPr>
          <w:p w14:paraId="477435ED" w14:textId="77777777" w:rsidR="002D7931" w:rsidRPr="00061FA5" w:rsidRDefault="002D7931" w:rsidP="00DE2F89">
            <w:pPr>
              <w:spacing w:line="480" w:lineRule="auto"/>
              <w:jc w:val="center"/>
              <w:rPr>
                <w:rFonts w:ascii="Arial" w:hAnsi="Arial" w:cs="Arial"/>
                <w:b/>
                <w:i/>
                <w:sz w:val="16"/>
                <w:szCs w:val="16"/>
              </w:rPr>
            </w:pPr>
            <w:r w:rsidRPr="00061FA5">
              <w:rPr>
                <w:rFonts w:ascii="Arial" w:hAnsi="Arial" w:cs="Arial"/>
                <w:b/>
                <w:i/>
                <w:sz w:val="16"/>
                <w:szCs w:val="16"/>
              </w:rPr>
              <w:t>nfvPPA</w:t>
            </w:r>
          </w:p>
        </w:tc>
        <w:tc>
          <w:tcPr>
            <w:tcW w:w="1110" w:type="dxa"/>
            <w:vAlign w:val="center"/>
          </w:tcPr>
          <w:p w14:paraId="5045AED2" w14:textId="77777777" w:rsidR="002D7931" w:rsidRPr="00061FA5" w:rsidRDefault="002D7931" w:rsidP="00DE2F89">
            <w:pPr>
              <w:spacing w:line="480" w:lineRule="auto"/>
              <w:jc w:val="center"/>
              <w:rPr>
                <w:rFonts w:ascii="Arial" w:hAnsi="Arial" w:cs="Arial"/>
                <w:b/>
                <w:i/>
                <w:sz w:val="16"/>
                <w:szCs w:val="16"/>
              </w:rPr>
            </w:pPr>
            <w:r w:rsidRPr="00061FA5">
              <w:rPr>
                <w:rFonts w:ascii="Arial" w:hAnsi="Arial" w:cs="Arial"/>
                <w:b/>
                <w:i/>
                <w:sz w:val="16"/>
                <w:szCs w:val="16"/>
              </w:rPr>
              <w:t>svPPA</w:t>
            </w:r>
          </w:p>
        </w:tc>
        <w:tc>
          <w:tcPr>
            <w:tcW w:w="1110" w:type="dxa"/>
            <w:vAlign w:val="center"/>
          </w:tcPr>
          <w:p w14:paraId="1C509372" w14:textId="77777777" w:rsidR="002D7931" w:rsidRPr="00061FA5" w:rsidRDefault="002D7931" w:rsidP="00DE2F89">
            <w:pPr>
              <w:spacing w:line="480" w:lineRule="auto"/>
              <w:jc w:val="center"/>
              <w:rPr>
                <w:rFonts w:ascii="Arial" w:hAnsi="Arial" w:cs="Arial"/>
                <w:b/>
                <w:i/>
                <w:sz w:val="16"/>
                <w:szCs w:val="16"/>
              </w:rPr>
            </w:pPr>
            <w:r w:rsidRPr="00061FA5">
              <w:rPr>
                <w:rFonts w:ascii="Arial" w:hAnsi="Arial" w:cs="Arial"/>
                <w:b/>
                <w:i/>
                <w:sz w:val="16"/>
                <w:szCs w:val="16"/>
              </w:rPr>
              <w:t>lvPPA</w:t>
            </w:r>
          </w:p>
        </w:tc>
        <w:tc>
          <w:tcPr>
            <w:tcW w:w="1110" w:type="dxa"/>
            <w:vAlign w:val="center"/>
          </w:tcPr>
          <w:p w14:paraId="5A353821" w14:textId="77777777" w:rsidR="002D7931" w:rsidRPr="00061FA5" w:rsidRDefault="002D7931" w:rsidP="00DE2F89">
            <w:pPr>
              <w:spacing w:line="480" w:lineRule="auto"/>
              <w:jc w:val="center"/>
              <w:rPr>
                <w:rFonts w:ascii="Arial" w:hAnsi="Arial" w:cs="Arial"/>
                <w:b/>
                <w:i/>
                <w:sz w:val="16"/>
                <w:szCs w:val="16"/>
              </w:rPr>
            </w:pPr>
            <w:r w:rsidRPr="00061FA5">
              <w:rPr>
                <w:rFonts w:ascii="Arial" w:hAnsi="Arial" w:cs="Arial"/>
                <w:b/>
                <w:i/>
                <w:sz w:val="16"/>
                <w:szCs w:val="16"/>
              </w:rPr>
              <w:t>PPA-NOS</w:t>
            </w:r>
          </w:p>
        </w:tc>
      </w:tr>
      <w:tr w:rsidR="002D7931" w:rsidRPr="00061FA5" w14:paraId="0FA809EE" w14:textId="77777777" w:rsidTr="00410B3E">
        <w:trPr>
          <w:jc w:val="center"/>
        </w:trPr>
        <w:tc>
          <w:tcPr>
            <w:tcW w:w="2768" w:type="dxa"/>
            <w:vAlign w:val="center"/>
          </w:tcPr>
          <w:p w14:paraId="7F4FFADC" w14:textId="77777777" w:rsidR="002D7931" w:rsidRPr="00061FA5" w:rsidRDefault="002D7931" w:rsidP="00DE2F89">
            <w:pPr>
              <w:spacing w:line="480" w:lineRule="auto"/>
              <w:jc w:val="both"/>
              <w:rPr>
                <w:rFonts w:ascii="Arial" w:hAnsi="Arial" w:cs="Arial"/>
                <w:b/>
                <w:sz w:val="16"/>
                <w:szCs w:val="16"/>
              </w:rPr>
            </w:pPr>
            <w:r w:rsidRPr="00061FA5">
              <w:rPr>
                <w:rFonts w:ascii="Arial" w:hAnsi="Arial" w:cs="Arial"/>
                <w:b/>
                <w:sz w:val="16"/>
                <w:szCs w:val="16"/>
              </w:rPr>
              <w:t xml:space="preserve">Number </w:t>
            </w:r>
          </w:p>
        </w:tc>
        <w:tc>
          <w:tcPr>
            <w:tcW w:w="1021" w:type="dxa"/>
            <w:vAlign w:val="center"/>
          </w:tcPr>
          <w:p w14:paraId="3A57C15C" w14:textId="77777777" w:rsidR="002D7931" w:rsidRPr="00061FA5" w:rsidRDefault="002D7931" w:rsidP="00DE2F89">
            <w:pPr>
              <w:spacing w:line="480" w:lineRule="auto"/>
              <w:jc w:val="center"/>
              <w:rPr>
                <w:rFonts w:ascii="Arial" w:hAnsi="Arial" w:cs="Arial"/>
                <w:sz w:val="16"/>
                <w:szCs w:val="16"/>
              </w:rPr>
            </w:pPr>
            <w:r w:rsidRPr="00061FA5">
              <w:rPr>
                <w:rFonts w:ascii="Arial" w:hAnsi="Arial" w:cs="Arial"/>
                <w:sz w:val="16"/>
                <w:szCs w:val="16"/>
              </w:rPr>
              <w:t>28</w:t>
            </w:r>
          </w:p>
        </w:tc>
        <w:tc>
          <w:tcPr>
            <w:tcW w:w="1110" w:type="dxa"/>
            <w:vAlign w:val="center"/>
          </w:tcPr>
          <w:p w14:paraId="53A1AE94" w14:textId="77777777" w:rsidR="002D7931" w:rsidRPr="00061FA5" w:rsidRDefault="002D7931" w:rsidP="00DE2F89">
            <w:pPr>
              <w:spacing w:line="480" w:lineRule="auto"/>
              <w:jc w:val="center"/>
              <w:rPr>
                <w:rFonts w:ascii="Arial" w:hAnsi="Arial" w:cs="Arial"/>
                <w:sz w:val="16"/>
                <w:szCs w:val="16"/>
              </w:rPr>
            </w:pPr>
            <w:r w:rsidRPr="00061FA5">
              <w:rPr>
                <w:rFonts w:ascii="Arial" w:hAnsi="Arial" w:cs="Arial"/>
                <w:sz w:val="16"/>
                <w:szCs w:val="16"/>
              </w:rPr>
              <w:t>67</w:t>
            </w:r>
          </w:p>
        </w:tc>
        <w:tc>
          <w:tcPr>
            <w:tcW w:w="1021" w:type="dxa"/>
            <w:vAlign w:val="center"/>
          </w:tcPr>
          <w:p w14:paraId="7CB33A87" w14:textId="77777777" w:rsidR="002D7931" w:rsidRPr="00061FA5" w:rsidRDefault="002D7931" w:rsidP="00DE2F89">
            <w:pPr>
              <w:spacing w:line="480" w:lineRule="auto"/>
              <w:jc w:val="center"/>
              <w:rPr>
                <w:rFonts w:ascii="Arial" w:hAnsi="Arial" w:cs="Arial"/>
                <w:i/>
                <w:sz w:val="16"/>
                <w:szCs w:val="16"/>
              </w:rPr>
            </w:pPr>
            <w:r w:rsidRPr="00061FA5">
              <w:rPr>
                <w:rFonts w:ascii="Arial" w:hAnsi="Arial" w:cs="Arial"/>
                <w:i/>
                <w:sz w:val="16"/>
                <w:szCs w:val="16"/>
              </w:rPr>
              <w:t>34</w:t>
            </w:r>
          </w:p>
        </w:tc>
        <w:tc>
          <w:tcPr>
            <w:tcW w:w="1199" w:type="dxa"/>
            <w:vAlign w:val="center"/>
          </w:tcPr>
          <w:p w14:paraId="02D95A49" w14:textId="77777777" w:rsidR="002D7931" w:rsidRPr="00061FA5" w:rsidRDefault="002D7931" w:rsidP="00DE2F89">
            <w:pPr>
              <w:spacing w:line="480" w:lineRule="auto"/>
              <w:jc w:val="center"/>
              <w:rPr>
                <w:rFonts w:ascii="Arial" w:hAnsi="Arial" w:cs="Arial"/>
                <w:i/>
                <w:sz w:val="16"/>
                <w:szCs w:val="16"/>
              </w:rPr>
            </w:pPr>
            <w:r w:rsidRPr="00061FA5">
              <w:rPr>
                <w:rFonts w:ascii="Arial" w:hAnsi="Arial" w:cs="Arial"/>
                <w:i/>
                <w:sz w:val="16"/>
                <w:szCs w:val="16"/>
              </w:rPr>
              <w:t>3</w:t>
            </w:r>
          </w:p>
        </w:tc>
        <w:tc>
          <w:tcPr>
            <w:tcW w:w="1021" w:type="dxa"/>
            <w:vAlign w:val="center"/>
          </w:tcPr>
          <w:p w14:paraId="67696521" w14:textId="77777777" w:rsidR="002D7931" w:rsidRPr="00061FA5" w:rsidRDefault="002D7931" w:rsidP="00DE2F89">
            <w:pPr>
              <w:spacing w:line="480" w:lineRule="auto"/>
              <w:jc w:val="center"/>
              <w:rPr>
                <w:rFonts w:ascii="Arial" w:hAnsi="Arial" w:cs="Arial"/>
                <w:i/>
                <w:sz w:val="16"/>
                <w:szCs w:val="16"/>
              </w:rPr>
            </w:pPr>
            <w:r w:rsidRPr="00061FA5">
              <w:rPr>
                <w:rFonts w:ascii="Arial" w:hAnsi="Arial" w:cs="Arial"/>
                <w:i/>
                <w:sz w:val="16"/>
                <w:szCs w:val="16"/>
              </w:rPr>
              <w:t>13</w:t>
            </w:r>
          </w:p>
        </w:tc>
        <w:tc>
          <w:tcPr>
            <w:tcW w:w="1110" w:type="dxa"/>
            <w:vAlign w:val="center"/>
          </w:tcPr>
          <w:p w14:paraId="51598F30" w14:textId="77777777" w:rsidR="002D7931" w:rsidRPr="00061FA5" w:rsidRDefault="002D7931" w:rsidP="00DE2F89">
            <w:pPr>
              <w:spacing w:line="480" w:lineRule="auto"/>
              <w:jc w:val="center"/>
              <w:rPr>
                <w:rFonts w:ascii="Arial" w:hAnsi="Arial" w:cs="Arial"/>
                <w:i/>
                <w:sz w:val="16"/>
                <w:szCs w:val="16"/>
              </w:rPr>
            </w:pPr>
            <w:r w:rsidRPr="00061FA5">
              <w:rPr>
                <w:rFonts w:ascii="Arial" w:hAnsi="Arial" w:cs="Arial"/>
                <w:i/>
                <w:sz w:val="16"/>
                <w:szCs w:val="16"/>
              </w:rPr>
              <w:t>10</w:t>
            </w:r>
          </w:p>
        </w:tc>
        <w:tc>
          <w:tcPr>
            <w:tcW w:w="1110" w:type="dxa"/>
            <w:vAlign w:val="center"/>
          </w:tcPr>
          <w:p w14:paraId="73D6FA01" w14:textId="77777777" w:rsidR="002D7931" w:rsidRPr="00061FA5" w:rsidRDefault="002D7931" w:rsidP="00DE2F89">
            <w:pPr>
              <w:spacing w:line="480" w:lineRule="auto"/>
              <w:jc w:val="center"/>
              <w:rPr>
                <w:rFonts w:ascii="Arial" w:hAnsi="Arial" w:cs="Arial"/>
                <w:i/>
                <w:sz w:val="16"/>
                <w:szCs w:val="16"/>
              </w:rPr>
            </w:pPr>
            <w:r w:rsidRPr="00061FA5">
              <w:rPr>
                <w:rFonts w:ascii="Arial" w:hAnsi="Arial" w:cs="Arial"/>
                <w:i/>
                <w:sz w:val="16"/>
                <w:szCs w:val="16"/>
              </w:rPr>
              <w:t>7</w:t>
            </w:r>
          </w:p>
        </w:tc>
        <w:tc>
          <w:tcPr>
            <w:tcW w:w="1110" w:type="dxa"/>
            <w:vAlign w:val="center"/>
          </w:tcPr>
          <w:p w14:paraId="1941E2D7" w14:textId="77777777" w:rsidR="002D7931" w:rsidRPr="00061FA5" w:rsidRDefault="002D7931" w:rsidP="00DE2F89">
            <w:pPr>
              <w:spacing w:line="480" w:lineRule="auto"/>
              <w:jc w:val="center"/>
              <w:rPr>
                <w:rFonts w:ascii="Arial" w:hAnsi="Arial" w:cs="Arial"/>
                <w:i/>
                <w:sz w:val="16"/>
                <w:szCs w:val="16"/>
              </w:rPr>
            </w:pPr>
            <w:r w:rsidRPr="00061FA5">
              <w:rPr>
                <w:rFonts w:ascii="Arial" w:hAnsi="Arial" w:cs="Arial"/>
                <w:i/>
                <w:sz w:val="16"/>
                <w:szCs w:val="16"/>
              </w:rPr>
              <w:t>7</w:t>
            </w:r>
          </w:p>
        </w:tc>
      </w:tr>
      <w:tr w:rsidR="002D7931" w:rsidRPr="00061FA5" w14:paraId="04A14D4B" w14:textId="77777777" w:rsidTr="00410B3E">
        <w:trPr>
          <w:jc w:val="center"/>
        </w:trPr>
        <w:tc>
          <w:tcPr>
            <w:tcW w:w="2768" w:type="dxa"/>
            <w:vAlign w:val="center"/>
          </w:tcPr>
          <w:p w14:paraId="3C91AF4D" w14:textId="77777777" w:rsidR="002D7931" w:rsidRPr="00061FA5" w:rsidRDefault="002D7931" w:rsidP="004B6DC0">
            <w:pPr>
              <w:spacing w:line="480" w:lineRule="auto"/>
              <w:jc w:val="both"/>
              <w:rPr>
                <w:rFonts w:ascii="Arial" w:hAnsi="Arial" w:cs="Arial"/>
                <w:b/>
                <w:sz w:val="16"/>
                <w:szCs w:val="16"/>
              </w:rPr>
            </w:pPr>
            <w:r w:rsidRPr="00061FA5">
              <w:rPr>
                <w:rFonts w:ascii="Arial" w:hAnsi="Arial" w:cs="Arial"/>
                <w:b/>
                <w:sz w:val="16"/>
                <w:szCs w:val="16"/>
              </w:rPr>
              <w:t xml:space="preserve">Age, </w:t>
            </w:r>
          </w:p>
          <w:p w14:paraId="3BFEED85" w14:textId="77777777" w:rsidR="002D7931" w:rsidRPr="00061FA5" w:rsidRDefault="002D7931" w:rsidP="004B6DC0">
            <w:pPr>
              <w:spacing w:line="480" w:lineRule="auto"/>
              <w:jc w:val="both"/>
              <w:rPr>
                <w:rFonts w:ascii="Arial" w:hAnsi="Arial" w:cs="Arial"/>
                <w:b/>
                <w:sz w:val="16"/>
                <w:szCs w:val="16"/>
              </w:rPr>
            </w:pPr>
            <w:r w:rsidRPr="00061FA5">
              <w:rPr>
                <w:rFonts w:ascii="Arial" w:hAnsi="Arial" w:cs="Arial"/>
                <w:b/>
                <w:sz w:val="16"/>
                <w:szCs w:val="16"/>
              </w:rPr>
              <w:t>years [mean (SD)]</w:t>
            </w:r>
          </w:p>
        </w:tc>
        <w:tc>
          <w:tcPr>
            <w:tcW w:w="1021" w:type="dxa"/>
            <w:vAlign w:val="center"/>
          </w:tcPr>
          <w:p w14:paraId="3DEAEB45" w14:textId="77777777" w:rsidR="002D7931" w:rsidRPr="00061FA5" w:rsidRDefault="002D7931" w:rsidP="00DE2F89">
            <w:pPr>
              <w:spacing w:line="480" w:lineRule="auto"/>
              <w:jc w:val="center"/>
              <w:rPr>
                <w:rFonts w:ascii="Arial" w:hAnsi="Arial" w:cs="Arial"/>
                <w:sz w:val="16"/>
                <w:szCs w:val="16"/>
              </w:rPr>
            </w:pPr>
            <w:r w:rsidRPr="00061FA5">
              <w:rPr>
                <w:rFonts w:ascii="Arial" w:hAnsi="Arial" w:cs="Arial"/>
                <w:sz w:val="16"/>
                <w:szCs w:val="16"/>
              </w:rPr>
              <w:t>63.9 (7.2)</w:t>
            </w:r>
          </w:p>
        </w:tc>
        <w:tc>
          <w:tcPr>
            <w:tcW w:w="1110" w:type="dxa"/>
            <w:vAlign w:val="center"/>
          </w:tcPr>
          <w:p w14:paraId="78509BBE" w14:textId="77777777" w:rsidR="002D7931" w:rsidRPr="00061FA5" w:rsidRDefault="002D7931" w:rsidP="00DE2F89">
            <w:pPr>
              <w:spacing w:line="480" w:lineRule="auto"/>
              <w:jc w:val="center"/>
              <w:rPr>
                <w:rFonts w:ascii="Arial" w:hAnsi="Arial" w:cs="Arial"/>
                <w:sz w:val="16"/>
                <w:szCs w:val="16"/>
              </w:rPr>
            </w:pPr>
            <w:r w:rsidRPr="00061FA5">
              <w:rPr>
                <w:rFonts w:ascii="Arial" w:hAnsi="Arial" w:cs="Arial"/>
                <w:sz w:val="16"/>
                <w:szCs w:val="16"/>
              </w:rPr>
              <w:t>64.5 (7.9)</w:t>
            </w:r>
          </w:p>
        </w:tc>
        <w:tc>
          <w:tcPr>
            <w:tcW w:w="1021" w:type="dxa"/>
            <w:vAlign w:val="center"/>
          </w:tcPr>
          <w:p w14:paraId="4773B485" w14:textId="77777777" w:rsidR="002D7931" w:rsidRPr="00061FA5" w:rsidRDefault="002D7931" w:rsidP="00DE2F89">
            <w:pPr>
              <w:spacing w:line="480" w:lineRule="auto"/>
              <w:jc w:val="center"/>
              <w:rPr>
                <w:rFonts w:ascii="Arial" w:hAnsi="Arial" w:cs="Arial"/>
                <w:i/>
                <w:sz w:val="16"/>
                <w:szCs w:val="16"/>
              </w:rPr>
            </w:pPr>
            <w:r w:rsidRPr="00061FA5">
              <w:rPr>
                <w:rFonts w:ascii="Arial" w:hAnsi="Arial" w:cs="Arial"/>
                <w:i/>
                <w:sz w:val="16"/>
                <w:szCs w:val="16"/>
              </w:rPr>
              <w:t>63.0 (8.3)</w:t>
            </w:r>
          </w:p>
        </w:tc>
        <w:tc>
          <w:tcPr>
            <w:tcW w:w="1199" w:type="dxa"/>
            <w:vAlign w:val="center"/>
          </w:tcPr>
          <w:p w14:paraId="3CE12CC1" w14:textId="77777777" w:rsidR="002D7931" w:rsidRPr="00061FA5" w:rsidRDefault="002D7931" w:rsidP="00DE2F89">
            <w:pPr>
              <w:spacing w:line="480" w:lineRule="auto"/>
              <w:jc w:val="center"/>
              <w:rPr>
                <w:rFonts w:ascii="Arial" w:hAnsi="Arial" w:cs="Arial"/>
                <w:i/>
                <w:sz w:val="16"/>
                <w:szCs w:val="16"/>
              </w:rPr>
            </w:pPr>
            <w:r w:rsidRPr="00061FA5">
              <w:rPr>
                <w:rFonts w:ascii="Arial" w:hAnsi="Arial" w:cs="Arial"/>
                <w:i/>
                <w:sz w:val="16"/>
                <w:szCs w:val="16"/>
              </w:rPr>
              <w:t>65.0 (0.3)</w:t>
            </w:r>
          </w:p>
        </w:tc>
        <w:tc>
          <w:tcPr>
            <w:tcW w:w="1021" w:type="dxa"/>
            <w:vAlign w:val="center"/>
          </w:tcPr>
          <w:p w14:paraId="257ECB2C" w14:textId="77777777" w:rsidR="002D7931" w:rsidRPr="00061FA5" w:rsidRDefault="002D7931" w:rsidP="00DE2F89">
            <w:pPr>
              <w:spacing w:line="480" w:lineRule="auto"/>
              <w:jc w:val="center"/>
              <w:rPr>
                <w:rFonts w:ascii="Arial" w:hAnsi="Arial" w:cs="Arial"/>
                <w:i/>
                <w:sz w:val="16"/>
                <w:szCs w:val="16"/>
              </w:rPr>
            </w:pPr>
            <w:r w:rsidRPr="00061FA5">
              <w:rPr>
                <w:rFonts w:ascii="Arial" w:hAnsi="Arial" w:cs="Arial"/>
                <w:i/>
                <w:sz w:val="16"/>
                <w:szCs w:val="16"/>
              </w:rPr>
              <w:t>67.5 (9.7)</w:t>
            </w:r>
          </w:p>
        </w:tc>
        <w:tc>
          <w:tcPr>
            <w:tcW w:w="1110" w:type="dxa"/>
            <w:vAlign w:val="center"/>
          </w:tcPr>
          <w:p w14:paraId="0C450F69" w14:textId="77777777" w:rsidR="002D7931" w:rsidRPr="00061FA5" w:rsidRDefault="002D7931" w:rsidP="00DE2F89">
            <w:pPr>
              <w:spacing w:line="480" w:lineRule="auto"/>
              <w:jc w:val="center"/>
              <w:rPr>
                <w:rFonts w:ascii="Arial" w:hAnsi="Arial" w:cs="Arial"/>
                <w:i/>
                <w:sz w:val="16"/>
                <w:szCs w:val="16"/>
              </w:rPr>
            </w:pPr>
            <w:r w:rsidRPr="00061FA5">
              <w:rPr>
                <w:rFonts w:ascii="Arial" w:hAnsi="Arial" w:cs="Arial"/>
                <w:i/>
                <w:sz w:val="16"/>
                <w:szCs w:val="16"/>
              </w:rPr>
              <w:t>65.2 (6.4)</w:t>
            </w:r>
          </w:p>
        </w:tc>
        <w:tc>
          <w:tcPr>
            <w:tcW w:w="1110" w:type="dxa"/>
            <w:vAlign w:val="center"/>
          </w:tcPr>
          <w:p w14:paraId="506CDA01" w14:textId="77777777" w:rsidR="002D7931" w:rsidRPr="00061FA5" w:rsidRDefault="002D7931" w:rsidP="00410B3E">
            <w:pPr>
              <w:spacing w:line="480" w:lineRule="auto"/>
              <w:jc w:val="center"/>
              <w:rPr>
                <w:rFonts w:ascii="Arial" w:hAnsi="Arial" w:cs="Arial"/>
                <w:i/>
                <w:sz w:val="16"/>
                <w:szCs w:val="16"/>
              </w:rPr>
            </w:pPr>
            <w:r w:rsidRPr="00061FA5">
              <w:rPr>
                <w:rFonts w:ascii="Arial" w:hAnsi="Arial" w:cs="Arial"/>
                <w:i/>
                <w:sz w:val="16"/>
                <w:szCs w:val="16"/>
              </w:rPr>
              <w:t>65.6 (5.9)</w:t>
            </w:r>
          </w:p>
        </w:tc>
        <w:tc>
          <w:tcPr>
            <w:tcW w:w="1110" w:type="dxa"/>
            <w:vAlign w:val="center"/>
          </w:tcPr>
          <w:p w14:paraId="7AF42E4E" w14:textId="77777777" w:rsidR="002D7931" w:rsidRPr="00061FA5" w:rsidRDefault="002D7931" w:rsidP="00DE2F89">
            <w:pPr>
              <w:spacing w:line="480" w:lineRule="auto"/>
              <w:jc w:val="center"/>
              <w:rPr>
                <w:rFonts w:ascii="Arial" w:hAnsi="Arial" w:cs="Arial"/>
                <w:i/>
                <w:sz w:val="16"/>
                <w:szCs w:val="16"/>
              </w:rPr>
            </w:pPr>
            <w:r w:rsidRPr="00061FA5">
              <w:rPr>
                <w:rFonts w:ascii="Arial" w:hAnsi="Arial" w:cs="Arial"/>
                <w:i/>
                <w:sz w:val="16"/>
                <w:szCs w:val="16"/>
              </w:rPr>
              <w:t>63.9 (5.2)</w:t>
            </w:r>
          </w:p>
        </w:tc>
      </w:tr>
      <w:tr w:rsidR="002D7931" w:rsidRPr="00061FA5" w14:paraId="2C3AC552" w14:textId="77777777" w:rsidTr="00410B3E">
        <w:trPr>
          <w:jc w:val="center"/>
        </w:trPr>
        <w:tc>
          <w:tcPr>
            <w:tcW w:w="2768" w:type="dxa"/>
            <w:vAlign w:val="center"/>
          </w:tcPr>
          <w:p w14:paraId="3B1ED98A" w14:textId="77777777" w:rsidR="002D7931" w:rsidRPr="00061FA5" w:rsidRDefault="002D7931" w:rsidP="00DE2F89">
            <w:pPr>
              <w:spacing w:line="480" w:lineRule="auto"/>
              <w:jc w:val="both"/>
              <w:rPr>
                <w:rFonts w:ascii="Arial" w:hAnsi="Arial" w:cs="Arial"/>
                <w:sz w:val="16"/>
                <w:szCs w:val="16"/>
              </w:rPr>
            </w:pPr>
            <w:r w:rsidRPr="00061FA5">
              <w:rPr>
                <w:rFonts w:ascii="Arial" w:hAnsi="Arial" w:cs="Arial"/>
                <w:b/>
                <w:sz w:val="16"/>
                <w:szCs w:val="16"/>
              </w:rPr>
              <w:t>Male gender [%]</w:t>
            </w:r>
          </w:p>
        </w:tc>
        <w:tc>
          <w:tcPr>
            <w:tcW w:w="1021" w:type="dxa"/>
            <w:vAlign w:val="center"/>
          </w:tcPr>
          <w:p w14:paraId="298C4BD1" w14:textId="77777777" w:rsidR="002D7931" w:rsidRPr="00061FA5" w:rsidRDefault="002D7931" w:rsidP="00DE2F89">
            <w:pPr>
              <w:spacing w:line="480" w:lineRule="auto"/>
              <w:jc w:val="center"/>
              <w:rPr>
                <w:rFonts w:ascii="Arial" w:hAnsi="Arial" w:cs="Arial"/>
                <w:sz w:val="16"/>
                <w:szCs w:val="16"/>
              </w:rPr>
            </w:pPr>
            <w:r w:rsidRPr="00061FA5">
              <w:rPr>
                <w:rFonts w:ascii="Arial" w:hAnsi="Arial" w:cs="Arial"/>
                <w:sz w:val="16"/>
                <w:szCs w:val="16"/>
              </w:rPr>
              <w:t>46.4</w:t>
            </w:r>
          </w:p>
        </w:tc>
        <w:tc>
          <w:tcPr>
            <w:tcW w:w="1110" w:type="dxa"/>
            <w:vAlign w:val="center"/>
          </w:tcPr>
          <w:p w14:paraId="06454BC0" w14:textId="77777777" w:rsidR="002D7931" w:rsidRPr="00061FA5" w:rsidRDefault="002D7931" w:rsidP="00DE2F89">
            <w:pPr>
              <w:spacing w:line="480" w:lineRule="auto"/>
              <w:jc w:val="center"/>
              <w:rPr>
                <w:rFonts w:ascii="Arial" w:hAnsi="Arial" w:cs="Arial"/>
                <w:sz w:val="16"/>
                <w:szCs w:val="16"/>
              </w:rPr>
            </w:pPr>
            <w:r w:rsidRPr="00061FA5">
              <w:rPr>
                <w:rFonts w:ascii="Arial" w:hAnsi="Arial" w:cs="Arial"/>
                <w:sz w:val="16"/>
                <w:szCs w:val="16"/>
              </w:rPr>
              <w:t>61.2</w:t>
            </w:r>
          </w:p>
        </w:tc>
        <w:tc>
          <w:tcPr>
            <w:tcW w:w="1021" w:type="dxa"/>
            <w:vAlign w:val="center"/>
          </w:tcPr>
          <w:p w14:paraId="2B77A86B" w14:textId="77777777" w:rsidR="002D7931" w:rsidRPr="00061FA5" w:rsidRDefault="002D7931" w:rsidP="00DE2F89">
            <w:pPr>
              <w:spacing w:line="480" w:lineRule="auto"/>
              <w:jc w:val="center"/>
              <w:rPr>
                <w:rFonts w:ascii="Arial" w:hAnsi="Arial" w:cs="Arial"/>
                <w:i/>
                <w:sz w:val="16"/>
                <w:szCs w:val="16"/>
              </w:rPr>
            </w:pPr>
            <w:r w:rsidRPr="00061FA5">
              <w:rPr>
                <w:rFonts w:ascii="Arial" w:hAnsi="Arial" w:cs="Arial"/>
                <w:i/>
                <w:sz w:val="16"/>
                <w:szCs w:val="16"/>
              </w:rPr>
              <w:t>73.5</w:t>
            </w:r>
          </w:p>
        </w:tc>
        <w:tc>
          <w:tcPr>
            <w:tcW w:w="1199" w:type="dxa"/>
            <w:vAlign w:val="center"/>
          </w:tcPr>
          <w:p w14:paraId="2884D608" w14:textId="77777777" w:rsidR="002D7931" w:rsidRPr="00061FA5" w:rsidRDefault="002D7931" w:rsidP="00DE2F89">
            <w:pPr>
              <w:spacing w:line="480" w:lineRule="auto"/>
              <w:jc w:val="center"/>
              <w:rPr>
                <w:rFonts w:ascii="Arial" w:hAnsi="Arial" w:cs="Arial"/>
                <w:i/>
                <w:sz w:val="16"/>
                <w:szCs w:val="16"/>
              </w:rPr>
            </w:pPr>
            <w:r w:rsidRPr="00061FA5">
              <w:rPr>
                <w:rFonts w:ascii="Arial" w:hAnsi="Arial" w:cs="Arial"/>
                <w:i/>
                <w:sz w:val="16"/>
                <w:szCs w:val="16"/>
              </w:rPr>
              <w:t>66.7</w:t>
            </w:r>
          </w:p>
        </w:tc>
        <w:tc>
          <w:tcPr>
            <w:tcW w:w="1021" w:type="dxa"/>
            <w:vAlign w:val="center"/>
          </w:tcPr>
          <w:p w14:paraId="0B13BD7D" w14:textId="77777777" w:rsidR="002D7931" w:rsidRPr="00061FA5" w:rsidRDefault="002D7931" w:rsidP="00DE2F89">
            <w:pPr>
              <w:spacing w:line="480" w:lineRule="auto"/>
              <w:jc w:val="center"/>
              <w:rPr>
                <w:rFonts w:ascii="Arial" w:hAnsi="Arial" w:cs="Arial"/>
                <w:i/>
                <w:sz w:val="16"/>
                <w:szCs w:val="16"/>
              </w:rPr>
            </w:pPr>
            <w:r w:rsidRPr="00061FA5">
              <w:rPr>
                <w:rFonts w:ascii="Arial" w:hAnsi="Arial" w:cs="Arial"/>
                <w:i/>
                <w:sz w:val="16"/>
                <w:szCs w:val="16"/>
              </w:rPr>
              <w:t>23.1</w:t>
            </w:r>
          </w:p>
        </w:tc>
        <w:tc>
          <w:tcPr>
            <w:tcW w:w="1110" w:type="dxa"/>
            <w:vAlign w:val="center"/>
          </w:tcPr>
          <w:p w14:paraId="0F5909F4" w14:textId="77777777" w:rsidR="002D7931" w:rsidRPr="00061FA5" w:rsidRDefault="002D7931" w:rsidP="00DE2F89">
            <w:pPr>
              <w:spacing w:line="480" w:lineRule="auto"/>
              <w:jc w:val="center"/>
              <w:rPr>
                <w:rFonts w:ascii="Arial" w:hAnsi="Arial" w:cs="Arial"/>
                <w:i/>
                <w:sz w:val="16"/>
                <w:szCs w:val="16"/>
              </w:rPr>
            </w:pPr>
            <w:r w:rsidRPr="00061FA5">
              <w:rPr>
                <w:rFonts w:ascii="Arial" w:hAnsi="Arial" w:cs="Arial"/>
                <w:i/>
                <w:sz w:val="16"/>
                <w:szCs w:val="16"/>
              </w:rPr>
              <w:t>60.0</w:t>
            </w:r>
          </w:p>
        </w:tc>
        <w:tc>
          <w:tcPr>
            <w:tcW w:w="1110" w:type="dxa"/>
            <w:vAlign w:val="center"/>
          </w:tcPr>
          <w:p w14:paraId="65DF8930" w14:textId="77777777" w:rsidR="002D7931" w:rsidRPr="00061FA5" w:rsidRDefault="002D7931" w:rsidP="00DE2F89">
            <w:pPr>
              <w:spacing w:line="480" w:lineRule="auto"/>
              <w:jc w:val="center"/>
              <w:rPr>
                <w:rFonts w:ascii="Arial" w:hAnsi="Arial" w:cs="Arial"/>
                <w:i/>
                <w:sz w:val="16"/>
                <w:szCs w:val="16"/>
              </w:rPr>
            </w:pPr>
            <w:r w:rsidRPr="00061FA5">
              <w:rPr>
                <w:rFonts w:ascii="Arial" w:hAnsi="Arial" w:cs="Arial"/>
                <w:i/>
                <w:sz w:val="16"/>
                <w:szCs w:val="16"/>
              </w:rPr>
              <w:t>71.4</w:t>
            </w:r>
          </w:p>
        </w:tc>
        <w:tc>
          <w:tcPr>
            <w:tcW w:w="1110" w:type="dxa"/>
            <w:vAlign w:val="center"/>
          </w:tcPr>
          <w:p w14:paraId="4B9EF571" w14:textId="77777777" w:rsidR="002D7931" w:rsidRPr="00061FA5" w:rsidRDefault="002D7931" w:rsidP="00DE2F89">
            <w:pPr>
              <w:spacing w:line="480" w:lineRule="auto"/>
              <w:jc w:val="center"/>
              <w:rPr>
                <w:rFonts w:ascii="Arial" w:hAnsi="Arial" w:cs="Arial"/>
                <w:i/>
                <w:sz w:val="16"/>
                <w:szCs w:val="16"/>
              </w:rPr>
            </w:pPr>
            <w:r w:rsidRPr="00061FA5">
              <w:rPr>
                <w:rFonts w:ascii="Arial" w:hAnsi="Arial" w:cs="Arial"/>
                <w:i/>
                <w:sz w:val="16"/>
                <w:szCs w:val="16"/>
              </w:rPr>
              <w:t>71.4</w:t>
            </w:r>
          </w:p>
        </w:tc>
      </w:tr>
      <w:tr w:rsidR="002D7931" w:rsidRPr="00061FA5" w14:paraId="41777B69" w14:textId="77777777" w:rsidTr="00410B3E">
        <w:trPr>
          <w:jc w:val="center"/>
        </w:trPr>
        <w:tc>
          <w:tcPr>
            <w:tcW w:w="2768" w:type="dxa"/>
            <w:vAlign w:val="center"/>
          </w:tcPr>
          <w:p w14:paraId="65B0A963" w14:textId="77777777" w:rsidR="002D7931" w:rsidRPr="00061FA5" w:rsidRDefault="002D7931" w:rsidP="00DE2F89">
            <w:pPr>
              <w:spacing w:line="480" w:lineRule="auto"/>
              <w:jc w:val="both"/>
              <w:rPr>
                <w:rFonts w:ascii="Arial" w:hAnsi="Arial" w:cs="Arial"/>
                <w:b/>
                <w:sz w:val="16"/>
                <w:szCs w:val="16"/>
              </w:rPr>
            </w:pPr>
            <w:r w:rsidRPr="00061FA5">
              <w:rPr>
                <w:rFonts w:ascii="Arial" w:hAnsi="Arial" w:cs="Arial"/>
                <w:b/>
                <w:sz w:val="16"/>
                <w:szCs w:val="16"/>
              </w:rPr>
              <w:t xml:space="preserve">Disease duration, </w:t>
            </w:r>
          </w:p>
          <w:p w14:paraId="455F298F" w14:textId="77777777" w:rsidR="002D7931" w:rsidRPr="00061FA5" w:rsidRDefault="002D7931" w:rsidP="00DE2F89">
            <w:pPr>
              <w:spacing w:line="480" w:lineRule="auto"/>
              <w:jc w:val="both"/>
              <w:rPr>
                <w:rFonts w:ascii="Arial" w:hAnsi="Arial" w:cs="Arial"/>
                <w:b/>
                <w:sz w:val="16"/>
                <w:szCs w:val="16"/>
              </w:rPr>
            </w:pPr>
            <w:r w:rsidRPr="00061FA5">
              <w:rPr>
                <w:rFonts w:ascii="Arial" w:hAnsi="Arial" w:cs="Arial"/>
                <w:b/>
                <w:sz w:val="16"/>
                <w:szCs w:val="16"/>
              </w:rPr>
              <w:t>years [mean (SD)]</w:t>
            </w:r>
          </w:p>
        </w:tc>
        <w:tc>
          <w:tcPr>
            <w:tcW w:w="1021" w:type="dxa"/>
            <w:vAlign w:val="center"/>
          </w:tcPr>
          <w:p w14:paraId="6ECA30AF" w14:textId="77777777" w:rsidR="002D7931" w:rsidRPr="00061FA5" w:rsidRDefault="002D7931" w:rsidP="00DE2F89">
            <w:pPr>
              <w:spacing w:line="480" w:lineRule="auto"/>
              <w:jc w:val="center"/>
              <w:rPr>
                <w:rFonts w:ascii="Arial" w:hAnsi="Arial" w:cs="Arial"/>
                <w:sz w:val="16"/>
                <w:szCs w:val="16"/>
              </w:rPr>
            </w:pPr>
            <w:r w:rsidRPr="00061FA5">
              <w:rPr>
                <w:rFonts w:ascii="Arial" w:hAnsi="Arial" w:cs="Arial"/>
                <w:sz w:val="16"/>
                <w:szCs w:val="16"/>
              </w:rPr>
              <w:t>N/A</w:t>
            </w:r>
          </w:p>
        </w:tc>
        <w:tc>
          <w:tcPr>
            <w:tcW w:w="1110" w:type="dxa"/>
            <w:vAlign w:val="center"/>
          </w:tcPr>
          <w:p w14:paraId="5DBA8C54" w14:textId="77777777" w:rsidR="002D7931" w:rsidRPr="00061FA5" w:rsidRDefault="002D7931" w:rsidP="00DE2F89">
            <w:pPr>
              <w:spacing w:line="480" w:lineRule="auto"/>
              <w:jc w:val="center"/>
              <w:rPr>
                <w:rFonts w:ascii="Arial" w:hAnsi="Arial" w:cs="Arial"/>
                <w:sz w:val="16"/>
                <w:szCs w:val="16"/>
              </w:rPr>
            </w:pPr>
            <w:r w:rsidRPr="00061FA5">
              <w:rPr>
                <w:rFonts w:ascii="Arial" w:hAnsi="Arial" w:cs="Arial"/>
                <w:sz w:val="16"/>
                <w:szCs w:val="16"/>
              </w:rPr>
              <w:t>5.5 (3.7)</w:t>
            </w:r>
          </w:p>
        </w:tc>
        <w:tc>
          <w:tcPr>
            <w:tcW w:w="1021" w:type="dxa"/>
            <w:vAlign w:val="center"/>
          </w:tcPr>
          <w:p w14:paraId="58A65BF0" w14:textId="77777777" w:rsidR="002D7931" w:rsidRPr="00061FA5" w:rsidRDefault="002D7931" w:rsidP="00DE2F89">
            <w:pPr>
              <w:spacing w:line="480" w:lineRule="auto"/>
              <w:jc w:val="center"/>
              <w:rPr>
                <w:rFonts w:ascii="Arial" w:hAnsi="Arial" w:cs="Arial"/>
                <w:i/>
                <w:sz w:val="16"/>
                <w:szCs w:val="16"/>
              </w:rPr>
            </w:pPr>
            <w:r w:rsidRPr="00061FA5">
              <w:rPr>
                <w:rFonts w:ascii="Arial" w:hAnsi="Arial" w:cs="Arial"/>
                <w:i/>
                <w:sz w:val="16"/>
                <w:szCs w:val="16"/>
              </w:rPr>
              <w:t>6.2 (4.6)</w:t>
            </w:r>
          </w:p>
        </w:tc>
        <w:tc>
          <w:tcPr>
            <w:tcW w:w="1199" w:type="dxa"/>
            <w:vAlign w:val="center"/>
          </w:tcPr>
          <w:p w14:paraId="0121F5D6" w14:textId="77777777" w:rsidR="002D7931" w:rsidRPr="00061FA5" w:rsidRDefault="002D7931" w:rsidP="00DE2F89">
            <w:pPr>
              <w:spacing w:line="480" w:lineRule="auto"/>
              <w:jc w:val="center"/>
              <w:rPr>
                <w:rFonts w:ascii="Arial" w:hAnsi="Arial" w:cs="Arial"/>
                <w:i/>
                <w:sz w:val="16"/>
                <w:szCs w:val="16"/>
              </w:rPr>
            </w:pPr>
            <w:r w:rsidRPr="00061FA5">
              <w:rPr>
                <w:rFonts w:ascii="Arial" w:hAnsi="Arial" w:cs="Arial"/>
                <w:i/>
                <w:sz w:val="16"/>
                <w:szCs w:val="16"/>
              </w:rPr>
              <w:t>6.0 (4.6)</w:t>
            </w:r>
          </w:p>
        </w:tc>
        <w:tc>
          <w:tcPr>
            <w:tcW w:w="1021" w:type="dxa"/>
            <w:vAlign w:val="center"/>
          </w:tcPr>
          <w:p w14:paraId="0EE0B896" w14:textId="77777777" w:rsidR="002D7931" w:rsidRPr="00061FA5" w:rsidRDefault="002D7931" w:rsidP="00DE2F89">
            <w:pPr>
              <w:spacing w:line="480" w:lineRule="auto"/>
              <w:jc w:val="center"/>
              <w:rPr>
                <w:rFonts w:ascii="Arial" w:hAnsi="Arial" w:cs="Arial"/>
                <w:i/>
                <w:sz w:val="16"/>
                <w:szCs w:val="16"/>
              </w:rPr>
            </w:pPr>
            <w:r w:rsidRPr="00061FA5">
              <w:rPr>
                <w:rFonts w:ascii="Arial" w:hAnsi="Arial" w:cs="Arial"/>
                <w:i/>
                <w:sz w:val="16"/>
                <w:szCs w:val="16"/>
              </w:rPr>
              <w:t>3.8 (1.5)</w:t>
            </w:r>
          </w:p>
        </w:tc>
        <w:tc>
          <w:tcPr>
            <w:tcW w:w="1110" w:type="dxa"/>
            <w:vAlign w:val="center"/>
          </w:tcPr>
          <w:p w14:paraId="5E15FB8D" w14:textId="77777777" w:rsidR="002D7931" w:rsidRPr="00061FA5" w:rsidRDefault="002D7931" w:rsidP="00DE2F89">
            <w:pPr>
              <w:spacing w:line="480" w:lineRule="auto"/>
              <w:jc w:val="center"/>
              <w:rPr>
                <w:rFonts w:ascii="Arial" w:hAnsi="Arial" w:cs="Arial"/>
                <w:i/>
                <w:sz w:val="16"/>
                <w:szCs w:val="16"/>
              </w:rPr>
            </w:pPr>
            <w:r w:rsidRPr="00061FA5">
              <w:rPr>
                <w:rFonts w:ascii="Arial" w:hAnsi="Arial" w:cs="Arial"/>
                <w:i/>
                <w:sz w:val="16"/>
                <w:szCs w:val="16"/>
              </w:rPr>
              <w:t>6.0 (2.1)</w:t>
            </w:r>
          </w:p>
        </w:tc>
        <w:tc>
          <w:tcPr>
            <w:tcW w:w="1110" w:type="dxa"/>
            <w:vAlign w:val="center"/>
          </w:tcPr>
          <w:p w14:paraId="0C604A3F" w14:textId="77777777" w:rsidR="002D7931" w:rsidRPr="00061FA5" w:rsidRDefault="002D7931" w:rsidP="00410B3E">
            <w:pPr>
              <w:spacing w:line="480" w:lineRule="auto"/>
              <w:jc w:val="center"/>
              <w:rPr>
                <w:rFonts w:ascii="Arial" w:hAnsi="Arial" w:cs="Arial"/>
                <w:i/>
                <w:sz w:val="16"/>
                <w:szCs w:val="16"/>
              </w:rPr>
            </w:pPr>
            <w:r w:rsidRPr="00061FA5">
              <w:rPr>
                <w:rFonts w:ascii="Arial" w:hAnsi="Arial" w:cs="Arial"/>
                <w:i/>
                <w:sz w:val="16"/>
                <w:szCs w:val="16"/>
              </w:rPr>
              <w:t>6.4 (2.9)</w:t>
            </w:r>
          </w:p>
        </w:tc>
        <w:tc>
          <w:tcPr>
            <w:tcW w:w="1110" w:type="dxa"/>
            <w:vAlign w:val="center"/>
          </w:tcPr>
          <w:p w14:paraId="650D11F9" w14:textId="77777777" w:rsidR="002D7931" w:rsidRPr="00061FA5" w:rsidRDefault="002D7931" w:rsidP="00DE2F89">
            <w:pPr>
              <w:spacing w:line="480" w:lineRule="auto"/>
              <w:jc w:val="center"/>
              <w:rPr>
                <w:rFonts w:ascii="Arial" w:hAnsi="Arial" w:cs="Arial"/>
                <w:i/>
                <w:sz w:val="16"/>
                <w:szCs w:val="16"/>
              </w:rPr>
            </w:pPr>
            <w:r w:rsidRPr="00061FA5">
              <w:rPr>
                <w:rFonts w:ascii="Arial" w:hAnsi="Arial" w:cs="Arial"/>
                <w:i/>
                <w:sz w:val="16"/>
                <w:szCs w:val="16"/>
              </w:rPr>
              <w:t>4.5 (2.5)</w:t>
            </w:r>
          </w:p>
        </w:tc>
      </w:tr>
      <w:tr w:rsidR="002D7931" w:rsidRPr="00061FA5" w14:paraId="2FC3F042" w14:textId="77777777" w:rsidTr="00410B3E">
        <w:trPr>
          <w:jc w:val="center"/>
        </w:trPr>
        <w:tc>
          <w:tcPr>
            <w:tcW w:w="2768" w:type="dxa"/>
            <w:vAlign w:val="center"/>
          </w:tcPr>
          <w:p w14:paraId="1FC651F3" w14:textId="77777777" w:rsidR="002D7931" w:rsidRPr="00061FA5" w:rsidRDefault="002D7931" w:rsidP="004B6DC0">
            <w:pPr>
              <w:spacing w:line="480" w:lineRule="auto"/>
              <w:jc w:val="both"/>
              <w:rPr>
                <w:rFonts w:ascii="Arial" w:hAnsi="Arial" w:cs="Arial"/>
                <w:b/>
                <w:sz w:val="16"/>
                <w:szCs w:val="16"/>
              </w:rPr>
            </w:pPr>
            <w:r w:rsidRPr="00061FA5">
              <w:rPr>
                <w:rFonts w:ascii="Arial" w:hAnsi="Arial" w:cs="Arial"/>
                <w:b/>
                <w:sz w:val="16"/>
                <w:szCs w:val="16"/>
              </w:rPr>
              <w:t xml:space="preserve">Serum neurofilament light chain, </w:t>
            </w:r>
          </w:p>
          <w:p w14:paraId="164292D9" w14:textId="77777777" w:rsidR="002D7931" w:rsidRPr="00061FA5" w:rsidRDefault="002D7931" w:rsidP="004B6DC0">
            <w:pPr>
              <w:spacing w:line="480" w:lineRule="auto"/>
              <w:jc w:val="both"/>
              <w:rPr>
                <w:rFonts w:ascii="Arial" w:hAnsi="Arial" w:cs="Arial"/>
                <w:b/>
                <w:sz w:val="16"/>
                <w:szCs w:val="16"/>
              </w:rPr>
            </w:pPr>
            <w:r w:rsidRPr="00061FA5">
              <w:rPr>
                <w:rFonts w:ascii="Arial" w:hAnsi="Arial" w:cs="Arial"/>
                <w:b/>
                <w:sz w:val="16"/>
                <w:szCs w:val="16"/>
              </w:rPr>
              <w:t>pg/m</w:t>
            </w:r>
            <w:r w:rsidR="00BD10A5" w:rsidRPr="00061FA5">
              <w:rPr>
                <w:rFonts w:ascii="Arial" w:hAnsi="Arial" w:cs="Arial"/>
                <w:b/>
                <w:sz w:val="16"/>
                <w:szCs w:val="16"/>
              </w:rPr>
              <w:t>l</w:t>
            </w:r>
            <w:r w:rsidRPr="00061FA5">
              <w:rPr>
                <w:rFonts w:ascii="Arial" w:hAnsi="Arial" w:cs="Arial"/>
                <w:b/>
                <w:sz w:val="16"/>
                <w:szCs w:val="16"/>
              </w:rPr>
              <w:t xml:space="preserve"> [mean (SD)]</w:t>
            </w:r>
          </w:p>
        </w:tc>
        <w:tc>
          <w:tcPr>
            <w:tcW w:w="1021" w:type="dxa"/>
            <w:vAlign w:val="center"/>
          </w:tcPr>
          <w:p w14:paraId="130851D2" w14:textId="77777777" w:rsidR="002D7931" w:rsidRPr="00061FA5" w:rsidRDefault="002D7931" w:rsidP="00DE2F89">
            <w:pPr>
              <w:spacing w:line="480" w:lineRule="auto"/>
              <w:jc w:val="center"/>
              <w:rPr>
                <w:rFonts w:ascii="Arial" w:hAnsi="Arial" w:cs="Arial"/>
                <w:sz w:val="16"/>
                <w:szCs w:val="16"/>
              </w:rPr>
            </w:pPr>
            <w:r w:rsidRPr="00061FA5">
              <w:rPr>
                <w:rFonts w:ascii="Arial" w:hAnsi="Arial" w:cs="Arial"/>
                <w:sz w:val="16"/>
                <w:szCs w:val="16"/>
              </w:rPr>
              <w:t>19.6 (8.2)</w:t>
            </w:r>
          </w:p>
        </w:tc>
        <w:tc>
          <w:tcPr>
            <w:tcW w:w="1110" w:type="dxa"/>
            <w:vAlign w:val="center"/>
          </w:tcPr>
          <w:p w14:paraId="4137A79A" w14:textId="77777777" w:rsidR="002D7931" w:rsidRPr="00061FA5" w:rsidRDefault="002D7931" w:rsidP="00DE2F89">
            <w:pPr>
              <w:spacing w:line="480" w:lineRule="auto"/>
              <w:jc w:val="center"/>
              <w:rPr>
                <w:rFonts w:ascii="Arial" w:hAnsi="Arial" w:cs="Arial"/>
                <w:sz w:val="16"/>
                <w:szCs w:val="16"/>
              </w:rPr>
            </w:pPr>
            <w:r w:rsidRPr="00061FA5">
              <w:rPr>
                <w:rFonts w:ascii="Arial" w:hAnsi="Arial" w:cs="Arial"/>
                <w:sz w:val="16"/>
                <w:szCs w:val="16"/>
              </w:rPr>
              <w:t>77.9 (51.3)</w:t>
            </w:r>
          </w:p>
        </w:tc>
        <w:tc>
          <w:tcPr>
            <w:tcW w:w="1021" w:type="dxa"/>
            <w:vAlign w:val="center"/>
          </w:tcPr>
          <w:p w14:paraId="0F258F46" w14:textId="77777777" w:rsidR="002D7931" w:rsidRPr="00061FA5" w:rsidRDefault="002D7931" w:rsidP="00DE2F89">
            <w:pPr>
              <w:spacing w:line="480" w:lineRule="auto"/>
              <w:jc w:val="center"/>
              <w:rPr>
                <w:rFonts w:ascii="Arial" w:hAnsi="Arial" w:cs="Arial"/>
                <w:i/>
                <w:sz w:val="16"/>
                <w:szCs w:val="16"/>
              </w:rPr>
            </w:pPr>
            <w:r w:rsidRPr="00061FA5">
              <w:rPr>
                <w:rFonts w:ascii="Arial" w:hAnsi="Arial" w:cs="Arial"/>
                <w:i/>
                <w:sz w:val="16"/>
                <w:szCs w:val="16"/>
              </w:rPr>
              <w:t>57.8 (33.1)</w:t>
            </w:r>
          </w:p>
        </w:tc>
        <w:tc>
          <w:tcPr>
            <w:tcW w:w="1199" w:type="dxa"/>
            <w:vAlign w:val="center"/>
          </w:tcPr>
          <w:p w14:paraId="2EF6191E" w14:textId="77777777" w:rsidR="002D7931" w:rsidRPr="00061FA5" w:rsidRDefault="002D7931" w:rsidP="00DE2F89">
            <w:pPr>
              <w:spacing w:line="480" w:lineRule="auto"/>
              <w:jc w:val="center"/>
              <w:rPr>
                <w:rFonts w:ascii="Arial" w:hAnsi="Arial" w:cs="Arial"/>
                <w:i/>
                <w:sz w:val="16"/>
                <w:szCs w:val="16"/>
              </w:rPr>
            </w:pPr>
            <w:r w:rsidRPr="00061FA5">
              <w:rPr>
                <w:rFonts w:ascii="Arial" w:hAnsi="Arial" w:cs="Arial"/>
                <w:i/>
                <w:sz w:val="16"/>
                <w:szCs w:val="16"/>
              </w:rPr>
              <w:t>195.0 (69.9)</w:t>
            </w:r>
          </w:p>
        </w:tc>
        <w:tc>
          <w:tcPr>
            <w:tcW w:w="1021" w:type="dxa"/>
            <w:vAlign w:val="center"/>
          </w:tcPr>
          <w:p w14:paraId="322E5F94" w14:textId="77777777" w:rsidR="002D7931" w:rsidRPr="00061FA5" w:rsidRDefault="002D7931" w:rsidP="00DE2F89">
            <w:pPr>
              <w:spacing w:line="480" w:lineRule="auto"/>
              <w:jc w:val="center"/>
              <w:rPr>
                <w:rFonts w:ascii="Arial" w:hAnsi="Arial" w:cs="Arial"/>
                <w:i/>
                <w:sz w:val="16"/>
                <w:szCs w:val="16"/>
              </w:rPr>
            </w:pPr>
            <w:r w:rsidRPr="00061FA5">
              <w:rPr>
                <w:rFonts w:ascii="Arial" w:hAnsi="Arial" w:cs="Arial"/>
                <w:i/>
                <w:sz w:val="16"/>
                <w:szCs w:val="16"/>
              </w:rPr>
              <w:t>82.5 (33.8)</w:t>
            </w:r>
          </w:p>
        </w:tc>
        <w:tc>
          <w:tcPr>
            <w:tcW w:w="1110" w:type="dxa"/>
            <w:vAlign w:val="center"/>
          </w:tcPr>
          <w:p w14:paraId="381575C7" w14:textId="77777777" w:rsidR="002D7931" w:rsidRPr="00061FA5" w:rsidRDefault="002D7931" w:rsidP="00DE2F89">
            <w:pPr>
              <w:spacing w:line="480" w:lineRule="auto"/>
              <w:jc w:val="center"/>
              <w:rPr>
                <w:rFonts w:ascii="Arial" w:hAnsi="Arial" w:cs="Arial"/>
                <w:i/>
                <w:sz w:val="16"/>
                <w:szCs w:val="16"/>
              </w:rPr>
            </w:pPr>
            <w:r w:rsidRPr="00061FA5">
              <w:rPr>
                <w:rFonts w:ascii="Arial" w:hAnsi="Arial" w:cs="Arial"/>
                <w:i/>
                <w:sz w:val="16"/>
                <w:szCs w:val="16"/>
              </w:rPr>
              <w:t>95.9 (33.0)</w:t>
            </w:r>
          </w:p>
        </w:tc>
        <w:tc>
          <w:tcPr>
            <w:tcW w:w="1110" w:type="dxa"/>
            <w:vAlign w:val="center"/>
          </w:tcPr>
          <w:p w14:paraId="2A5411EF" w14:textId="77777777" w:rsidR="002D7931" w:rsidRPr="00061FA5" w:rsidRDefault="002D7931" w:rsidP="00410B3E">
            <w:pPr>
              <w:spacing w:line="480" w:lineRule="auto"/>
              <w:jc w:val="center"/>
              <w:rPr>
                <w:rFonts w:ascii="Arial" w:hAnsi="Arial" w:cs="Arial"/>
                <w:i/>
                <w:sz w:val="16"/>
                <w:szCs w:val="16"/>
              </w:rPr>
            </w:pPr>
            <w:r w:rsidRPr="00061FA5">
              <w:rPr>
                <w:rFonts w:ascii="Arial" w:hAnsi="Arial" w:cs="Arial"/>
                <w:i/>
                <w:sz w:val="16"/>
                <w:szCs w:val="16"/>
              </w:rPr>
              <w:t>49.5 (19.4)</w:t>
            </w:r>
          </w:p>
        </w:tc>
        <w:tc>
          <w:tcPr>
            <w:tcW w:w="1110" w:type="dxa"/>
            <w:vAlign w:val="center"/>
          </w:tcPr>
          <w:p w14:paraId="7640D1F7" w14:textId="77777777" w:rsidR="002D7931" w:rsidRPr="00061FA5" w:rsidRDefault="002D7931" w:rsidP="00DE2F89">
            <w:pPr>
              <w:spacing w:line="480" w:lineRule="auto"/>
              <w:jc w:val="center"/>
              <w:rPr>
                <w:rFonts w:ascii="Arial" w:hAnsi="Arial" w:cs="Arial"/>
                <w:i/>
                <w:sz w:val="16"/>
                <w:szCs w:val="16"/>
              </w:rPr>
            </w:pPr>
            <w:r w:rsidRPr="00061FA5">
              <w:rPr>
                <w:rFonts w:ascii="Arial" w:hAnsi="Arial" w:cs="Arial"/>
                <w:i/>
                <w:sz w:val="16"/>
                <w:szCs w:val="16"/>
              </w:rPr>
              <w:t>91.2 (86.6)</w:t>
            </w:r>
          </w:p>
        </w:tc>
      </w:tr>
    </w:tbl>
    <w:p w14:paraId="0C6A3241" w14:textId="77777777" w:rsidR="002D7931" w:rsidRPr="00061FA5" w:rsidRDefault="002D7931" w:rsidP="00752D48">
      <w:pPr>
        <w:spacing w:line="480" w:lineRule="auto"/>
        <w:jc w:val="both"/>
        <w:rPr>
          <w:rFonts w:ascii="Arial" w:hAnsi="Arial" w:cs="Arial"/>
          <w:b/>
          <w:sz w:val="18"/>
          <w:szCs w:val="20"/>
        </w:rPr>
      </w:pPr>
    </w:p>
    <w:p w14:paraId="6116AA39" w14:textId="77777777" w:rsidR="002D7931" w:rsidRPr="00061FA5" w:rsidRDefault="002D7931" w:rsidP="00752D48">
      <w:pPr>
        <w:spacing w:line="480" w:lineRule="auto"/>
        <w:jc w:val="both"/>
        <w:rPr>
          <w:rFonts w:ascii="Arial" w:hAnsi="Arial" w:cs="Arial"/>
          <w:b/>
          <w:sz w:val="18"/>
          <w:szCs w:val="20"/>
        </w:rPr>
      </w:pPr>
    </w:p>
    <w:p w14:paraId="3D8D38E7" w14:textId="77777777" w:rsidR="002D7931" w:rsidRPr="00061FA5" w:rsidRDefault="002D7931" w:rsidP="00752D48">
      <w:pPr>
        <w:spacing w:line="480" w:lineRule="auto"/>
        <w:jc w:val="both"/>
        <w:rPr>
          <w:rFonts w:ascii="Arial" w:hAnsi="Arial" w:cs="Arial"/>
          <w:b/>
          <w:sz w:val="18"/>
          <w:szCs w:val="20"/>
        </w:rPr>
      </w:pPr>
    </w:p>
    <w:p w14:paraId="6DCCDAD8" w14:textId="77777777" w:rsidR="002D7931" w:rsidRPr="00061FA5" w:rsidRDefault="002D7931" w:rsidP="00752D48">
      <w:pPr>
        <w:spacing w:line="480" w:lineRule="auto"/>
        <w:jc w:val="both"/>
        <w:rPr>
          <w:rFonts w:ascii="Arial" w:hAnsi="Arial" w:cs="Arial"/>
          <w:b/>
          <w:sz w:val="18"/>
          <w:szCs w:val="20"/>
        </w:rPr>
      </w:pPr>
    </w:p>
    <w:p w14:paraId="66F48402" w14:textId="77777777" w:rsidR="002D7931" w:rsidRPr="00061FA5" w:rsidRDefault="002D7931" w:rsidP="00752D48">
      <w:pPr>
        <w:spacing w:line="480" w:lineRule="auto"/>
        <w:jc w:val="both"/>
        <w:rPr>
          <w:rFonts w:ascii="Arial" w:hAnsi="Arial" w:cs="Arial"/>
          <w:b/>
          <w:sz w:val="18"/>
          <w:szCs w:val="20"/>
        </w:rPr>
      </w:pPr>
    </w:p>
    <w:p w14:paraId="4D791E29" w14:textId="77777777" w:rsidR="002D7931" w:rsidRPr="00061FA5" w:rsidRDefault="002D7931" w:rsidP="00752D48">
      <w:pPr>
        <w:spacing w:line="480" w:lineRule="auto"/>
        <w:jc w:val="both"/>
        <w:rPr>
          <w:rFonts w:ascii="Arial" w:hAnsi="Arial" w:cs="Arial"/>
          <w:b/>
          <w:sz w:val="18"/>
          <w:szCs w:val="20"/>
        </w:rPr>
      </w:pPr>
    </w:p>
    <w:p w14:paraId="3A86F824" w14:textId="77777777" w:rsidR="002D7931" w:rsidRPr="00061FA5" w:rsidRDefault="002D7931" w:rsidP="00752D48">
      <w:pPr>
        <w:spacing w:line="480" w:lineRule="auto"/>
        <w:jc w:val="both"/>
        <w:rPr>
          <w:rFonts w:ascii="Arial" w:hAnsi="Arial" w:cs="Arial"/>
          <w:b/>
          <w:sz w:val="18"/>
          <w:szCs w:val="20"/>
        </w:rPr>
      </w:pPr>
    </w:p>
    <w:p w14:paraId="66EA5079" w14:textId="77777777" w:rsidR="002D7931" w:rsidRPr="00061FA5" w:rsidRDefault="002D7931" w:rsidP="000462DE">
      <w:pPr>
        <w:rPr>
          <w:b/>
        </w:rPr>
      </w:pPr>
    </w:p>
    <w:p w14:paraId="461E122A" w14:textId="77777777" w:rsidR="002D7931" w:rsidRPr="00061FA5" w:rsidRDefault="002D7931" w:rsidP="000462DE">
      <w:pPr>
        <w:rPr>
          <w:b/>
        </w:rPr>
      </w:pPr>
    </w:p>
    <w:p w14:paraId="0AABB7CB" w14:textId="77777777" w:rsidR="002D7931" w:rsidRPr="00061FA5" w:rsidRDefault="002D7931" w:rsidP="000462DE">
      <w:pPr>
        <w:rPr>
          <w:b/>
        </w:rPr>
      </w:pPr>
    </w:p>
    <w:p w14:paraId="78B694C0" w14:textId="77777777" w:rsidR="002D7931" w:rsidRPr="00061FA5" w:rsidRDefault="002D7931" w:rsidP="000462DE">
      <w:pPr>
        <w:rPr>
          <w:b/>
        </w:rPr>
      </w:pPr>
    </w:p>
    <w:p w14:paraId="0F7577D3" w14:textId="77777777" w:rsidR="002D7931" w:rsidRPr="00061FA5" w:rsidRDefault="002D7931" w:rsidP="000462DE">
      <w:pPr>
        <w:rPr>
          <w:b/>
        </w:rPr>
      </w:pPr>
    </w:p>
    <w:p w14:paraId="288286B0" w14:textId="77777777" w:rsidR="002D7931" w:rsidRPr="00061FA5" w:rsidRDefault="002D7931" w:rsidP="000462DE">
      <w:pPr>
        <w:rPr>
          <w:b/>
        </w:rPr>
      </w:pPr>
    </w:p>
    <w:p w14:paraId="3275C7C9" w14:textId="77777777" w:rsidR="002D7931" w:rsidRPr="00061FA5" w:rsidRDefault="002D7931" w:rsidP="000462DE">
      <w:pPr>
        <w:rPr>
          <w:b/>
        </w:rPr>
      </w:pPr>
    </w:p>
    <w:p w14:paraId="6B7E262F" w14:textId="77777777" w:rsidR="002D7931" w:rsidRPr="00061FA5" w:rsidRDefault="002D7931" w:rsidP="000462DE">
      <w:pPr>
        <w:rPr>
          <w:b/>
        </w:rPr>
      </w:pPr>
    </w:p>
    <w:p w14:paraId="618BD3CE" w14:textId="77777777" w:rsidR="002D7931" w:rsidRPr="00061FA5" w:rsidRDefault="002D7931" w:rsidP="000462DE">
      <w:pPr>
        <w:rPr>
          <w:b/>
        </w:rPr>
      </w:pPr>
    </w:p>
    <w:p w14:paraId="4C49740E" w14:textId="77777777" w:rsidR="002D7931" w:rsidRPr="00061FA5" w:rsidRDefault="002D7931" w:rsidP="000462DE">
      <w:pPr>
        <w:rPr>
          <w:b/>
        </w:rPr>
      </w:pPr>
    </w:p>
    <w:p w14:paraId="38F61E58" w14:textId="77777777" w:rsidR="002D7931" w:rsidRPr="00061FA5" w:rsidRDefault="002D7931" w:rsidP="000462DE">
      <w:pPr>
        <w:rPr>
          <w:b/>
        </w:rPr>
      </w:pPr>
    </w:p>
    <w:p w14:paraId="54F6E6F7" w14:textId="77777777" w:rsidR="002D7931" w:rsidRPr="00061FA5" w:rsidRDefault="002D7931" w:rsidP="000462DE">
      <w:pPr>
        <w:rPr>
          <w:b/>
        </w:rPr>
      </w:pPr>
    </w:p>
    <w:p w14:paraId="1F077922" w14:textId="77777777" w:rsidR="002D7931" w:rsidRPr="00061FA5" w:rsidRDefault="002D7931" w:rsidP="000462DE">
      <w:pPr>
        <w:rPr>
          <w:b/>
        </w:rPr>
      </w:pPr>
    </w:p>
    <w:p w14:paraId="7CBEDA4D" w14:textId="77777777" w:rsidR="002D7931" w:rsidRPr="00061FA5" w:rsidRDefault="002D7931" w:rsidP="000462DE">
      <w:pPr>
        <w:rPr>
          <w:b/>
        </w:rPr>
      </w:pPr>
    </w:p>
    <w:p w14:paraId="40C9AAB8" w14:textId="77777777" w:rsidR="002D7931" w:rsidRPr="00061FA5" w:rsidRDefault="002D7931" w:rsidP="000462DE">
      <w:pPr>
        <w:rPr>
          <w:b/>
        </w:rPr>
      </w:pPr>
    </w:p>
    <w:p w14:paraId="13A71A4E" w14:textId="77777777" w:rsidR="002D7931" w:rsidRPr="00061FA5" w:rsidRDefault="002D7931" w:rsidP="000462DE">
      <w:pPr>
        <w:rPr>
          <w:b/>
        </w:rPr>
      </w:pPr>
    </w:p>
    <w:p w14:paraId="0CA8E46D" w14:textId="77777777" w:rsidR="002D7931" w:rsidRPr="00061FA5" w:rsidRDefault="002D7931" w:rsidP="000462DE">
      <w:pPr>
        <w:rPr>
          <w:b/>
        </w:rPr>
      </w:pPr>
    </w:p>
    <w:p w14:paraId="464FE504" w14:textId="77777777" w:rsidR="002D7931" w:rsidRPr="00061FA5" w:rsidRDefault="002D7931" w:rsidP="000462DE">
      <w:pPr>
        <w:rPr>
          <w:b/>
        </w:rPr>
      </w:pPr>
    </w:p>
    <w:p w14:paraId="2496B817" w14:textId="240F90A0" w:rsidR="00406719" w:rsidRPr="00061FA5" w:rsidRDefault="002D7931" w:rsidP="00406719">
      <w:pPr>
        <w:spacing w:line="480" w:lineRule="auto"/>
        <w:jc w:val="both"/>
        <w:rPr>
          <w:rFonts w:ascii="Arial" w:hAnsi="Arial" w:cs="Arial"/>
          <w:b/>
          <w:i/>
          <w:sz w:val="18"/>
          <w:szCs w:val="18"/>
        </w:rPr>
      </w:pPr>
      <w:r w:rsidRPr="00061FA5">
        <w:rPr>
          <w:rFonts w:ascii="Arial" w:hAnsi="Arial" w:cs="Arial"/>
          <w:b/>
          <w:sz w:val="18"/>
          <w:szCs w:val="18"/>
        </w:rPr>
        <w:lastRenderedPageBreak/>
        <w:t xml:space="preserve">Table 2 Comparison of serum </w:t>
      </w:r>
      <w:r w:rsidR="009379B3" w:rsidRPr="00061FA5">
        <w:rPr>
          <w:rFonts w:ascii="Arial" w:hAnsi="Arial" w:cs="Arial"/>
          <w:b/>
          <w:sz w:val="18"/>
          <w:szCs w:val="18"/>
        </w:rPr>
        <w:t>NfL</w:t>
      </w:r>
      <w:r w:rsidRPr="00061FA5">
        <w:rPr>
          <w:rFonts w:ascii="Arial" w:hAnsi="Arial" w:cs="Arial"/>
          <w:b/>
          <w:sz w:val="18"/>
          <w:szCs w:val="18"/>
        </w:rPr>
        <w:t xml:space="preserve"> concentrations between A) the disease subgroups and controls, and B) the genetic subgroups and controls. </w:t>
      </w:r>
      <w:r w:rsidR="00E360D7" w:rsidRPr="00061FA5">
        <w:rPr>
          <w:rFonts w:ascii="Arial" w:hAnsi="Arial" w:cs="Arial"/>
          <w:b/>
          <w:i/>
          <w:sz w:val="18"/>
          <w:szCs w:val="18"/>
        </w:rPr>
        <w:t xml:space="preserve">Values </w:t>
      </w:r>
      <w:r w:rsidR="00406719" w:rsidRPr="00061FA5">
        <w:rPr>
          <w:rFonts w:ascii="Arial" w:hAnsi="Arial" w:cs="Arial"/>
          <w:b/>
          <w:i/>
          <w:sz w:val="18"/>
          <w:szCs w:val="18"/>
        </w:rPr>
        <w:t>are displayed as mean difference in serum neurofilament concentration between groups [SEM, p value] and refer to comparison of rows versus columns.</w:t>
      </w:r>
    </w:p>
    <w:p w14:paraId="7A150033" w14:textId="77777777" w:rsidR="002D7931" w:rsidRPr="00061FA5" w:rsidRDefault="002D7931" w:rsidP="00D746B2"/>
    <w:tbl>
      <w:tblPr>
        <w:tblW w:w="11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6"/>
        <w:gridCol w:w="1657"/>
        <w:gridCol w:w="1724"/>
        <w:gridCol w:w="1671"/>
        <w:gridCol w:w="1653"/>
        <w:gridCol w:w="1653"/>
        <w:gridCol w:w="1653"/>
      </w:tblGrid>
      <w:tr w:rsidR="002D7931" w:rsidRPr="00061FA5" w14:paraId="2AC00ADB" w14:textId="77777777" w:rsidTr="00242D75">
        <w:trPr>
          <w:trHeight w:val="556"/>
          <w:jc w:val="center"/>
        </w:trPr>
        <w:tc>
          <w:tcPr>
            <w:tcW w:w="1066" w:type="dxa"/>
            <w:vAlign w:val="center"/>
          </w:tcPr>
          <w:p w14:paraId="12B59A78" w14:textId="77777777" w:rsidR="002D7931" w:rsidRPr="00061FA5" w:rsidRDefault="002D7931" w:rsidP="00242D75">
            <w:pPr>
              <w:spacing w:line="400" w:lineRule="atLeast"/>
              <w:jc w:val="center"/>
              <w:rPr>
                <w:rFonts w:ascii="Arial" w:hAnsi="Arial" w:cs="Arial"/>
                <w:sz w:val="16"/>
                <w:szCs w:val="16"/>
              </w:rPr>
            </w:pPr>
          </w:p>
        </w:tc>
        <w:tc>
          <w:tcPr>
            <w:tcW w:w="1657" w:type="dxa"/>
            <w:vAlign w:val="center"/>
          </w:tcPr>
          <w:p w14:paraId="5BF3B466" w14:textId="77777777" w:rsidR="002D7931" w:rsidRPr="00061FA5" w:rsidRDefault="002D7931" w:rsidP="00242D75">
            <w:pPr>
              <w:spacing w:line="400" w:lineRule="atLeast"/>
              <w:jc w:val="center"/>
              <w:rPr>
                <w:rFonts w:ascii="Arial" w:hAnsi="Arial" w:cs="Arial"/>
                <w:b/>
                <w:sz w:val="16"/>
                <w:szCs w:val="16"/>
              </w:rPr>
            </w:pPr>
            <w:r w:rsidRPr="00061FA5">
              <w:rPr>
                <w:rFonts w:ascii="Arial" w:hAnsi="Arial" w:cs="Arial"/>
                <w:b/>
                <w:sz w:val="16"/>
                <w:szCs w:val="16"/>
              </w:rPr>
              <w:t>bvFTD</w:t>
            </w:r>
          </w:p>
        </w:tc>
        <w:tc>
          <w:tcPr>
            <w:tcW w:w="1724" w:type="dxa"/>
            <w:vAlign w:val="center"/>
          </w:tcPr>
          <w:p w14:paraId="2F5C9FD9" w14:textId="77777777" w:rsidR="002D7931" w:rsidRPr="00061FA5" w:rsidRDefault="002D7931" w:rsidP="00242D75">
            <w:pPr>
              <w:spacing w:line="400" w:lineRule="atLeast"/>
              <w:jc w:val="center"/>
              <w:rPr>
                <w:rFonts w:ascii="Arial" w:hAnsi="Arial" w:cs="Arial"/>
                <w:b/>
                <w:sz w:val="16"/>
                <w:szCs w:val="16"/>
              </w:rPr>
            </w:pPr>
            <w:r w:rsidRPr="00061FA5">
              <w:rPr>
                <w:rFonts w:ascii="Arial" w:hAnsi="Arial" w:cs="Arial"/>
                <w:b/>
                <w:sz w:val="16"/>
                <w:szCs w:val="16"/>
              </w:rPr>
              <w:t>FTD-MND</w:t>
            </w:r>
          </w:p>
        </w:tc>
        <w:tc>
          <w:tcPr>
            <w:tcW w:w="1671" w:type="dxa"/>
            <w:vAlign w:val="center"/>
          </w:tcPr>
          <w:p w14:paraId="0F6D05CD" w14:textId="77777777" w:rsidR="002D7931" w:rsidRPr="00061FA5" w:rsidRDefault="002D7931" w:rsidP="00242D75">
            <w:pPr>
              <w:spacing w:line="400" w:lineRule="atLeast"/>
              <w:jc w:val="center"/>
              <w:rPr>
                <w:rFonts w:ascii="Arial" w:hAnsi="Arial" w:cs="Arial"/>
                <w:b/>
                <w:sz w:val="16"/>
                <w:szCs w:val="16"/>
              </w:rPr>
            </w:pPr>
            <w:r w:rsidRPr="00061FA5">
              <w:rPr>
                <w:rFonts w:ascii="Arial" w:hAnsi="Arial" w:cs="Arial"/>
                <w:b/>
                <w:sz w:val="16"/>
                <w:szCs w:val="16"/>
              </w:rPr>
              <w:t>nfvPPA</w:t>
            </w:r>
          </w:p>
        </w:tc>
        <w:tc>
          <w:tcPr>
            <w:tcW w:w="1653" w:type="dxa"/>
            <w:vAlign w:val="center"/>
          </w:tcPr>
          <w:p w14:paraId="64844543" w14:textId="77777777" w:rsidR="002D7931" w:rsidRPr="00061FA5" w:rsidRDefault="002D7931" w:rsidP="00242D75">
            <w:pPr>
              <w:spacing w:line="400" w:lineRule="atLeast"/>
              <w:jc w:val="center"/>
              <w:rPr>
                <w:rFonts w:ascii="Arial" w:hAnsi="Arial" w:cs="Arial"/>
                <w:b/>
                <w:sz w:val="16"/>
                <w:szCs w:val="16"/>
              </w:rPr>
            </w:pPr>
            <w:r w:rsidRPr="00061FA5">
              <w:rPr>
                <w:rFonts w:ascii="Arial" w:hAnsi="Arial" w:cs="Arial"/>
                <w:b/>
                <w:sz w:val="16"/>
                <w:szCs w:val="16"/>
              </w:rPr>
              <w:t>svPPA</w:t>
            </w:r>
          </w:p>
        </w:tc>
        <w:tc>
          <w:tcPr>
            <w:tcW w:w="1653" w:type="dxa"/>
            <w:vAlign w:val="center"/>
          </w:tcPr>
          <w:p w14:paraId="41621998" w14:textId="77777777" w:rsidR="002D7931" w:rsidRPr="00061FA5" w:rsidRDefault="002D7931" w:rsidP="00242D75">
            <w:pPr>
              <w:spacing w:line="400" w:lineRule="atLeast"/>
              <w:jc w:val="center"/>
              <w:rPr>
                <w:rFonts w:ascii="Arial" w:hAnsi="Arial" w:cs="Arial"/>
                <w:b/>
                <w:sz w:val="16"/>
                <w:szCs w:val="16"/>
              </w:rPr>
            </w:pPr>
            <w:r w:rsidRPr="00061FA5">
              <w:rPr>
                <w:rFonts w:ascii="Arial" w:hAnsi="Arial" w:cs="Arial"/>
                <w:b/>
                <w:sz w:val="16"/>
                <w:szCs w:val="16"/>
              </w:rPr>
              <w:t>lvPPA</w:t>
            </w:r>
          </w:p>
        </w:tc>
        <w:tc>
          <w:tcPr>
            <w:tcW w:w="1653" w:type="dxa"/>
            <w:vAlign w:val="center"/>
          </w:tcPr>
          <w:p w14:paraId="6B7CB887" w14:textId="77777777" w:rsidR="002D7931" w:rsidRPr="00061FA5" w:rsidRDefault="002D7931" w:rsidP="00242D75">
            <w:pPr>
              <w:spacing w:line="400" w:lineRule="atLeast"/>
              <w:jc w:val="center"/>
              <w:rPr>
                <w:rFonts w:ascii="Arial" w:hAnsi="Arial" w:cs="Arial"/>
                <w:b/>
                <w:sz w:val="16"/>
                <w:szCs w:val="16"/>
              </w:rPr>
            </w:pPr>
            <w:r w:rsidRPr="00061FA5">
              <w:rPr>
                <w:rFonts w:ascii="Arial" w:hAnsi="Arial" w:cs="Arial"/>
                <w:b/>
                <w:sz w:val="16"/>
                <w:szCs w:val="16"/>
              </w:rPr>
              <w:t>PPA-NOS</w:t>
            </w:r>
          </w:p>
        </w:tc>
      </w:tr>
      <w:tr w:rsidR="002D7931" w:rsidRPr="00061FA5" w14:paraId="556BEA5A" w14:textId="77777777" w:rsidTr="00242D75">
        <w:trPr>
          <w:trHeight w:val="556"/>
          <w:jc w:val="center"/>
        </w:trPr>
        <w:tc>
          <w:tcPr>
            <w:tcW w:w="1066" w:type="dxa"/>
            <w:vAlign w:val="center"/>
          </w:tcPr>
          <w:p w14:paraId="246D381F" w14:textId="77777777" w:rsidR="002D7931" w:rsidRPr="00061FA5" w:rsidRDefault="002D7931" w:rsidP="00242D75">
            <w:pPr>
              <w:spacing w:line="400" w:lineRule="atLeast"/>
              <w:jc w:val="center"/>
              <w:rPr>
                <w:rFonts w:ascii="Arial" w:hAnsi="Arial" w:cs="Arial"/>
                <w:b/>
                <w:sz w:val="16"/>
                <w:szCs w:val="16"/>
              </w:rPr>
            </w:pPr>
            <w:r w:rsidRPr="00061FA5">
              <w:rPr>
                <w:rFonts w:ascii="Arial" w:hAnsi="Arial" w:cs="Arial"/>
                <w:b/>
                <w:sz w:val="16"/>
                <w:szCs w:val="16"/>
              </w:rPr>
              <w:t>Controls</w:t>
            </w:r>
          </w:p>
        </w:tc>
        <w:tc>
          <w:tcPr>
            <w:tcW w:w="1657" w:type="dxa"/>
            <w:vAlign w:val="center"/>
          </w:tcPr>
          <w:p w14:paraId="0D0EB875" w14:textId="77777777" w:rsidR="002D7931" w:rsidRPr="00061FA5" w:rsidRDefault="002D7931" w:rsidP="00242D75">
            <w:pPr>
              <w:spacing w:line="400" w:lineRule="atLeast"/>
              <w:jc w:val="center"/>
              <w:rPr>
                <w:rFonts w:ascii="Arial" w:hAnsi="Arial" w:cs="Arial"/>
                <w:b/>
                <w:sz w:val="16"/>
                <w:szCs w:val="16"/>
              </w:rPr>
            </w:pPr>
            <w:r w:rsidRPr="00061FA5">
              <w:rPr>
                <w:rFonts w:ascii="Arial" w:hAnsi="Arial" w:cs="Arial"/>
                <w:b/>
                <w:sz w:val="16"/>
                <w:szCs w:val="16"/>
              </w:rPr>
              <w:t>-38.2 [5.9, &lt;0.001]</w:t>
            </w:r>
          </w:p>
        </w:tc>
        <w:tc>
          <w:tcPr>
            <w:tcW w:w="1724" w:type="dxa"/>
            <w:vAlign w:val="center"/>
          </w:tcPr>
          <w:p w14:paraId="08C72704" w14:textId="77777777" w:rsidR="002D7931" w:rsidRPr="00061FA5" w:rsidRDefault="002D7931" w:rsidP="00242D75">
            <w:pPr>
              <w:spacing w:line="400" w:lineRule="atLeast"/>
              <w:jc w:val="center"/>
              <w:rPr>
                <w:rFonts w:ascii="Arial" w:hAnsi="Arial" w:cs="Arial"/>
                <w:sz w:val="16"/>
                <w:szCs w:val="16"/>
              </w:rPr>
            </w:pPr>
            <w:r w:rsidRPr="00061FA5">
              <w:rPr>
                <w:rFonts w:ascii="Arial" w:hAnsi="Arial" w:cs="Arial"/>
                <w:sz w:val="16"/>
                <w:szCs w:val="16"/>
              </w:rPr>
              <w:t>-175.3 [40.4, 0.185]</w:t>
            </w:r>
          </w:p>
        </w:tc>
        <w:tc>
          <w:tcPr>
            <w:tcW w:w="1671" w:type="dxa"/>
            <w:vAlign w:val="center"/>
          </w:tcPr>
          <w:p w14:paraId="5B307501" w14:textId="77777777" w:rsidR="002D7931" w:rsidRPr="00061FA5" w:rsidRDefault="002D7931" w:rsidP="00242D75">
            <w:pPr>
              <w:spacing w:line="400" w:lineRule="atLeast"/>
              <w:jc w:val="center"/>
              <w:rPr>
                <w:rFonts w:ascii="Arial" w:hAnsi="Arial" w:cs="Arial"/>
                <w:sz w:val="16"/>
                <w:szCs w:val="16"/>
              </w:rPr>
            </w:pPr>
            <w:r w:rsidRPr="00061FA5">
              <w:rPr>
                <w:rFonts w:ascii="Arial" w:hAnsi="Arial" w:cs="Arial"/>
                <w:b/>
                <w:sz w:val="16"/>
                <w:szCs w:val="16"/>
              </w:rPr>
              <w:t>-62.9 [9.5, &lt;0.001]</w:t>
            </w:r>
          </w:p>
        </w:tc>
        <w:tc>
          <w:tcPr>
            <w:tcW w:w="1653" w:type="dxa"/>
            <w:vAlign w:val="center"/>
          </w:tcPr>
          <w:p w14:paraId="6D059C2D" w14:textId="77777777" w:rsidR="002D7931" w:rsidRPr="00061FA5" w:rsidRDefault="002D7931" w:rsidP="00242D75">
            <w:pPr>
              <w:spacing w:line="400" w:lineRule="atLeast"/>
              <w:jc w:val="center"/>
              <w:rPr>
                <w:rFonts w:ascii="Arial" w:hAnsi="Arial" w:cs="Arial"/>
                <w:sz w:val="16"/>
                <w:szCs w:val="16"/>
              </w:rPr>
            </w:pPr>
            <w:r w:rsidRPr="00061FA5">
              <w:rPr>
                <w:rFonts w:ascii="Arial" w:hAnsi="Arial" w:cs="Arial"/>
                <w:b/>
                <w:sz w:val="16"/>
                <w:szCs w:val="16"/>
              </w:rPr>
              <w:t>-76.2 [10.5, 0.001]</w:t>
            </w:r>
          </w:p>
        </w:tc>
        <w:tc>
          <w:tcPr>
            <w:tcW w:w="1653" w:type="dxa"/>
            <w:vAlign w:val="center"/>
          </w:tcPr>
          <w:p w14:paraId="0B454B02" w14:textId="77777777" w:rsidR="002D7931" w:rsidRPr="00061FA5" w:rsidRDefault="002D7931" w:rsidP="00242D75">
            <w:pPr>
              <w:spacing w:line="400" w:lineRule="atLeast"/>
              <w:jc w:val="center"/>
              <w:rPr>
                <w:rFonts w:ascii="Arial" w:hAnsi="Arial" w:cs="Arial"/>
                <w:sz w:val="16"/>
                <w:szCs w:val="16"/>
              </w:rPr>
            </w:pPr>
            <w:r w:rsidRPr="00061FA5">
              <w:rPr>
                <w:rFonts w:ascii="Arial" w:hAnsi="Arial" w:cs="Arial"/>
                <w:sz w:val="16"/>
                <w:szCs w:val="16"/>
              </w:rPr>
              <w:t>-29.9 [7.5, 0.053]</w:t>
            </w:r>
          </w:p>
        </w:tc>
        <w:tc>
          <w:tcPr>
            <w:tcW w:w="1653" w:type="dxa"/>
            <w:vAlign w:val="center"/>
          </w:tcPr>
          <w:p w14:paraId="7C5B4B7D" w14:textId="77777777" w:rsidR="002D7931" w:rsidRPr="00061FA5" w:rsidRDefault="002D7931" w:rsidP="00242D75">
            <w:pPr>
              <w:spacing w:line="400" w:lineRule="atLeast"/>
              <w:jc w:val="center"/>
              <w:rPr>
                <w:rFonts w:ascii="Arial" w:hAnsi="Arial" w:cs="Arial"/>
                <w:sz w:val="16"/>
                <w:szCs w:val="16"/>
              </w:rPr>
            </w:pPr>
            <w:r w:rsidRPr="00061FA5">
              <w:rPr>
                <w:rFonts w:ascii="Arial" w:hAnsi="Arial" w:cs="Arial"/>
                <w:sz w:val="16"/>
                <w:szCs w:val="16"/>
              </w:rPr>
              <w:t>-71.6 [32.8, 0.413]</w:t>
            </w:r>
          </w:p>
        </w:tc>
      </w:tr>
      <w:tr w:rsidR="002D7931" w:rsidRPr="00061FA5" w14:paraId="555D68E1" w14:textId="77777777" w:rsidTr="00242D75">
        <w:trPr>
          <w:trHeight w:val="556"/>
          <w:jc w:val="center"/>
        </w:trPr>
        <w:tc>
          <w:tcPr>
            <w:tcW w:w="1066" w:type="dxa"/>
            <w:vAlign w:val="center"/>
          </w:tcPr>
          <w:p w14:paraId="280A66EC" w14:textId="77777777" w:rsidR="002D7931" w:rsidRPr="00061FA5" w:rsidRDefault="002D7931" w:rsidP="00242D75">
            <w:pPr>
              <w:spacing w:line="400" w:lineRule="atLeast"/>
              <w:jc w:val="center"/>
              <w:rPr>
                <w:rFonts w:ascii="Arial" w:hAnsi="Arial" w:cs="Arial"/>
                <w:b/>
                <w:sz w:val="16"/>
                <w:szCs w:val="16"/>
              </w:rPr>
            </w:pPr>
            <w:r w:rsidRPr="00061FA5">
              <w:rPr>
                <w:rFonts w:ascii="Arial" w:hAnsi="Arial" w:cs="Arial"/>
                <w:b/>
                <w:sz w:val="16"/>
                <w:szCs w:val="16"/>
              </w:rPr>
              <w:t>bvFTD</w:t>
            </w:r>
          </w:p>
        </w:tc>
        <w:tc>
          <w:tcPr>
            <w:tcW w:w="1657" w:type="dxa"/>
            <w:vAlign w:val="center"/>
          </w:tcPr>
          <w:p w14:paraId="321B389D" w14:textId="77777777" w:rsidR="002D7931" w:rsidRPr="00061FA5" w:rsidRDefault="002D7931" w:rsidP="00242D75">
            <w:pPr>
              <w:spacing w:line="400" w:lineRule="atLeast"/>
              <w:jc w:val="center"/>
              <w:rPr>
                <w:rFonts w:ascii="Arial" w:hAnsi="Arial" w:cs="Arial"/>
                <w:sz w:val="16"/>
                <w:szCs w:val="16"/>
              </w:rPr>
            </w:pPr>
          </w:p>
        </w:tc>
        <w:tc>
          <w:tcPr>
            <w:tcW w:w="1724" w:type="dxa"/>
            <w:vAlign w:val="center"/>
          </w:tcPr>
          <w:p w14:paraId="5957A072" w14:textId="77777777" w:rsidR="002D7931" w:rsidRPr="00061FA5" w:rsidRDefault="002D7931" w:rsidP="00242D75">
            <w:pPr>
              <w:spacing w:line="400" w:lineRule="atLeast"/>
              <w:jc w:val="center"/>
              <w:rPr>
                <w:rFonts w:ascii="Arial" w:hAnsi="Arial" w:cs="Arial"/>
                <w:sz w:val="16"/>
                <w:szCs w:val="16"/>
              </w:rPr>
            </w:pPr>
            <w:r w:rsidRPr="00061FA5">
              <w:rPr>
                <w:rFonts w:ascii="Arial" w:hAnsi="Arial" w:cs="Arial"/>
                <w:sz w:val="16"/>
                <w:szCs w:val="16"/>
              </w:rPr>
              <w:t>-137.2 [40.8, 0.276]</w:t>
            </w:r>
          </w:p>
        </w:tc>
        <w:tc>
          <w:tcPr>
            <w:tcW w:w="1671" w:type="dxa"/>
            <w:vAlign w:val="center"/>
          </w:tcPr>
          <w:p w14:paraId="11B32536" w14:textId="77777777" w:rsidR="002D7931" w:rsidRPr="00061FA5" w:rsidRDefault="002D7931" w:rsidP="00242D75">
            <w:pPr>
              <w:spacing w:line="400" w:lineRule="atLeast"/>
              <w:jc w:val="center"/>
              <w:rPr>
                <w:rFonts w:ascii="Arial" w:hAnsi="Arial" w:cs="Arial"/>
                <w:sz w:val="16"/>
                <w:szCs w:val="16"/>
              </w:rPr>
            </w:pPr>
            <w:r w:rsidRPr="00061FA5">
              <w:rPr>
                <w:rFonts w:ascii="Arial" w:hAnsi="Arial" w:cs="Arial"/>
                <w:sz w:val="16"/>
                <w:szCs w:val="16"/>
              </w:rPr>
              <w:t>-24.7 [10.9, 0.308]</w:t>
            </w:r>
          </w:p>
        </w:tc>
        <w:tc>
          <w:tcPr>
            <w:tcW w:w="1653" w:type="dxa"/>
            <w:vAlign w:val="center"/>
          </w:tcPr>
          <w:p w14:paraId="20A73C65" w14:textId="77777777" w:rsidR="002D7931" w:rsidRPr="00061FA5" w:rsidRDefault="002D7931" w:rsidP="00242D75">
            <w:pPr>
              <w:spacing w:line="400" w:lineRule="atLeast"/>
              <w:jc w:val="center"/>
              <w:rPr>
                <w:rFonts w:ascii="Arial" w:hAnsi="Arial" w:cs="Arial"/>
                <w:sz w:val="16"/>
                <w:szCs w:val="16"/>
              </w:rPr>
            </w:pPr>
            <w:r w:rsidRPr="00061FA5">
              <w:rPr>
                <w:rFonts w:ascii="Arial" w:hAnsi="Arial" w:cs="Arial"/>
                <w:sz w:val="16"/>
                <w:szCs w:val="16"/>
              </w:rPr>
              <w:t>-38.1 [11.9, 0.070]</w:t>
            </w:r>
          </w:p>
        </w:tc>
        <w:tc>
          <w:tcPr>
            <w:tcW w:w="1653" w:type="dxa"/>
            <w:vAlign w:val="center"/>
          </w:tcPr>
          <w:p w14:paraId="4AC4B5DF" w14:textId="77777777" w:rsidR="002D7931" w:rsidRPr="00061FA5" w:rsidRDefault="002D7931" w:rsidP="00242D75">
            <w:pPr>
              <w:spacing w:line="400" w:lineRule="atLeast"/>
              <w:jc w:val="center"/>
              <w:rPr>
                <w:rFonts w:ascii="Arial" w:hAnsi="Arial" w:cs="Arial"/>
                <w:sz w:val="16"/>
                <w:szCs w:val="16"/>
              </w:rPr>
            </w:pPr>
            <w:r w:rsidRPr="00061FA5">
              <w:rPr>
                <w:rFonts w:ascii="Arial" w:hAnsi="Arial" w:cs="Arial"/>
                <w:sz w:val="16"/>
                <w:szCs w:val="16"/>
              </w:rPr>
              <w:t>8.3 [9.3, 0.968]</w:t>
            </w:r>
          </w:p>
        </w:tc>
        <w:tc>
          <w:tcPr>
            <w:tcW w:w="1653" w:type="dxa"/>
            <w:vAlign w:val="center"/>
          </w:tcPr>
          <w:p w14:paraId="77821B47" w14:textId="77777777" w:rsidR="002D7931" w:rsidRPr="00061FA5" w:rsidRDefault="002D7931" w:rsidP="00242D75">
            <w:pPr>
              <w:spacing w:line="400" w:lineRule="atLeast"/>
              <w:jc w:val="center"/>
              <w:rPr>
                <w:rFonts w:ascii="Arial" w:hAnsi="Arial" w:cs="Arial"/>
                <w:sz w:val="16"/>
                <w:szCs w:val="16"/>
              </w:rPr>
            </w:pPr>
            <w:r w:rsidRPr="00061FA5">
              <w:rPr>
                <w:rFonts w:ascii="Arial" w:hAnsi="Arial" w:cs="Arial"/>
                <w:sz w:val="16"/>
                <w:szCs w:val="16"/>
              </w:rPr>
              <w:t>-71.6 [32.8, 0.413]</w:t>
            </w:r>
          </w:p>
        </w:tc>
      </w:tr>
      <w:tr w:rsidR="002D7931" w:rsidRPr="00061FA5" w14:paraId="4F5F69C7" w14:textId="77777777" w:rsidTr="00242D75">
        <w:trPr>
          <w:trHeight w:val="556"/>
          <w:jc w:val="center"/>
        </w:trPr>
        <w:tc>
          <w:tcPr>
            <w:tcW w:w="1066" w:type="dxa"/>
            <w:vAlign w:val="center"/>
          </w:tcPr>
          <w:p w14:paraId="7B8D63C4" w14:textId="77777777" w:rsidR="002D7931" w:rsidRPr="00061FA5" w:rsidRDefault="002D7931" w:rsidP="00242D75">
            <w:pPr>
              <w:spacing w:line="400" w:lineRule="atLeast"/>
              <w:jc w:val="center"/>
              <w:rPr>
                <w:rFonts w:ascii="Arial" w:hAnsi="Arial" w:cs="Arial"/>
                <w:b/>
                <w:sz w:val="16"/>
                <w:szCs w:val="16"/>
              </w:rPr>
            </w:pPr>
            <w:r w:rsidRPr="00061FA5">
              <w:rPr>
                <w:rFonts w:ascii="Arial" w:hAnsi="Arial" w:cs="Arial"/>
                <w:b/>
                <w:sz w:val="16"/>
                <w:szCs w:val="16"/>
              </w:rPr>
              <w:t>FTD-MND</w:t>
            </w:r>
          </w:p>
        </w:tc>
        <w:tc>
          <w:tcPr>
            <w:tcW w:w="1657" w:type="dxa"/>
            <w:vAlign w:val="center"/>
          </w:tcPr>
          <w:p w14:paraId="7A3942D9" w14:textId="77777777" w:rsidR="002D7931" w:rsidRPr="00061FA5" w:rsidRDefault="002D7931" w:rsidP="00242D75">
            <w:pPr>
              <w:spacing w:line="400" w:lineRule="atLeast"/>
              <w:jc w:val="center"/>
              <w:rPr>
                <w:rFonts w:ascii="Arial" w:hAnsi="Arial" w:cs="Arial"/>
                <w:sz w:val="16"/>
                <w:szCs w:val="16"/>
              </w:rPr>
            </w:pPr>
          </w:p>
        </w:tc>
        <w:tc>
          <w:tcPr>
            <w:tcW w:w="1724" w:type="dxa"/>
            <w:vAlign w:val="center"/>
          </w:tcPr>
          <w:p w14:paraId="01C6675C" w14:textId="77777777" w:rsidR="002D7931" w:rsidRPr="00061FA5" w:rsidRDefault="002D7931" w:rsidP="00242D75">
            <w:pPr>
              <w:spacing w:line="400" w:lineRule="atLeast"/>
              <w:jc w:val="center"/>
              <w:rPr>
                <w:rFonts w:ascii="Arial" w:hAnsi="Arial" w:cs="Arial"/>
                <w:sz w:val="16"/>
                <w:szCs w:val="16"/>
              </w:rPr>
            </w:pPr>
          </w:p>
        </w:tc>
        <w:tc>
          <w:tcPr>
            <w:tcW w:w="1671" w:type="dxa"/>
            <w:vAlign w:val="center"/>
          </w:tcPr>
          <w:p w14:paraId="3377F6E2" w14:textId="77777777" w:rsidR="002D7931" w:rsidRPr="00061FA5" w:rsidRDefault="002D7931" w:rsidP="00242D75">
            <w:pPr>
              <w:spacing w:line="400" w:lineRule="atLeast"/>
              <w:jc w:val="center"/>
              <w:rPr>
                <w:rFonts w:ascii="Arial" w:hAnsi="Arial" w:cs="Arial"/>
                <w:sz w:val="16"/>
                <w:szCs w:val="16"/>
              </w:rPr>
            </w:pPr>
            <w:r w:rsidRPr="00061FA5">
              <w:rPr>
                <w:rFonts w:ascii="Arial" w:hAnsi="Arial" w:cs="Arial"/>
                <w:sz w:val="16"/>
                <w:szCs w:val="16"/>
              </w:rPr>
              <w:t>112.4 [41.5, 0.374]</w:t>
            </w:r>
          </w:p>
        </w:tc>
        <w:tc>
          <w:tcPr>
            <w:tcW w:w="1653" w:type="dxa"/>
            <w:vAlign w:val="center"/>
          </w:tcPr>
          <w:p w14:paraId="1C471A5E" w14:textId="77777777" w:rsidR="002D7931" w:rsidRPr="00061FA5" w:rsidRDefault="002D7931" w:rsidP="00242D75">
            <w:pPr>
              <w:spacing w:line="400" w:lineRule="atLeast"/>
              <w:jc w:val="center"/>
              <w:rPr>
                <w:rFonts w:ascii="Arial" w:hAnsi="Arial" w:cs="Arial"/>
                <w:sz w:val="16"/>
                <w:szCs w:val="16"/>
              </w:rPr>
            </w:pPr>
            <w:r w:rsidRPr="00061FA5">
              <w:rPr>
                <w:rFonts w:ascii="Arial" w:hAnsi="Arial" w:cs="Arial"/>
                <w:sz w:val="16"/>
                <w:szCs w:val="16"/>
              </w:rPr>
              <w:t>99.1 [41.7, 0.451]</w:t>
            </w:r>
          </w:p>
        </w:tc>
        <w:tc>
          <w:tcPr>
            <w:tcW w:w="1653" w:type="dxa"/>
            <w:vAlign w:val="center"/>
          </w:tcPr>
          <w:p w14:paraId="6ECB3F98" w14:textId="77777777" w:rsidR="002D7931" w:rsidRPr="00061FA5" w:rsidRDefault="002D7931" w:rsidP="00242D75">
            <w:pPr>
              <w:spacing w:line="400" w:lineRule="atLeast"/>
              <w:jc w:val="center"/>
              <w:rPr>
                <w:rFonts w:ascii="Arial" w:hAnsi="Arial" w:cs="Arial"/>
                <w:sz w:val="16"/>
                <w:szCs w:val="16"/>
              </w:rPr>
            </w:pPr>
            <w:r w:rsidRPr="00061FA5">
              <w:rPr>
                <w:rFonts w:ascii="Arial" w:hAnsi="Arial" w:cs="Arial"/>
                <w:sz w:val="16"/>
                <w:szCs w:val="16"/>
              </w:rPr>
              <w:t>145.4 [41.0, 0.248]</w:t>
            </w:r>
          </w:p>
        </w:tc>
        <w:tc>
          <w:tcPr>
            <w:tcW w:w="1653" w:type="dxa"/>
            <w:vAlign w:val="center"/>
          </w:tcPr>
          <w:p w14:paraId="065393F2" w14:textId="77777777" w:rsidR="002D7931" w:rsidRPr="00061FA5" w:rsidRDefault="002D7931" w:rsidP="00242D75">
            <w:pPr>
              <w:spacing w:line="400" w:lineRule="atLeast"/>
              <w:jc w:val="center"/>
              <w:rPr>
                <w:rFonts w:ascii="Arial" w:hAnsi="Arial" w:cs="Arial"/>
                <w:sz w:val="16"/>
                <w:szCs w:val="16"/>
              </w:rPr>
            </w:pPr>
            <w:r w:rsidRPr="00061FA5">
              <w:rPr>
                <w:rFonts w:ascii="Arial" w:hAnsi="Arial" w:cs="Arial"/>
                <w:sz w:val="16"/>
                <w:szCs w:val="16"/>
              </w:rPr>
              <w:t>103.8 [51.9, 0.509]</w:t>
            </w:r>
          </w:p>
        </w:tc>
      </w:tr>
      <w:tr w:rsidR="002D7931" w:rsidRPr="00061FA5" w14:paraId="3495F296" w14:textId="77777777" w:rsidTr="00242D75">
        <w:trPr>
          <w:trHeight w:val="556"/>
          <w:jc w:val="center"/>
        </w:trPr>
        <w:tc>
          <w:tcPr>
            <w:tcW w:w="1066" w:type="dxa"/>
            <w:vAlign w:val="center"/>
          </w:tcPr>
          <w:p w14:paraId="1A69E058" w14:textId="77777777" w:rsidR="002D7931" w:rsidRPr="00061FA5" w:rsidRDefault="002D7931" w:rsidP="00242D75">
            <w:pPr>
              <w:spacing w:line="400" w:lineRule="atLeast"/>
              <w:jc w:val="center"/>
              <w:rPr>
                <w:rFonts w:ascii="Arial" w:hAnsi="Arial" w:cs="Arial"/>
                <w:b/>
                <w:sz w:val="16"/>
                <w:szCs w:val="16"/>
              </w:rPr>
            </w:pPr>
            <w:r w:rsidRPr="00061FA5">
              <w:rPr>
                <w:rFonts w:ascii="Arial" w:hAnsi="Arial" w:cs="Arial"/>
                <w:b/>
                <w:sz w:val="16"/>
                <w:szCs w:val="16"/>
              </w:rPr>
              <w:t>nfvPPA</w:t>
            </w:r>
          </w:p>
        </w:tc>
        <w:tc>
          <w:tcPr>
            <w:tcW w:w="1657" w:type="dxa"/>
            <w:vAlign w:val="center"/>
          </w:tcPr>
          <w:p w14:paraId="6AD05CC5" w14:textId="77777777" w:rsidR="002D7931" w:rsidRPr="00061FA5" w:rsidRDefault="002D7931" w:rsidP="00242D75">
            <w:pPr>
              <w:spacing w:line="400" w:lineRule="atLeast"/>
              <w:jc w:val="center"/>
              <w:rPr>
                <w:rFonts w:ascii="Arial" w:hAnsi="Arial" w:cs="Arial"/>
                <w:sz w:val="16"/>
                <w:szCs w:val="16"/>
              </w:rPr>
            </w:pPr>
          </w:p>
        </w:tc>
        <w:tc>
          <w:tcPr>
            <w:tcW w:w="1724" w:type="dxa"/>
            <w:vAlign w:val="center"/>
          </w:tcPr>
          <w:p w14:paraId="5683D25F" w14:textId="77777777" w:rsidR="002D7931" w:rsidRPr="00061FA5" w:rsidRDefault="002D7931" w:rsidP="00242D75">
            <w:pPr>
              <w:spacing w:line="400" w:lineRule="atLeast"/>
              <w:jc w:val="center"/>
              <w:rPr>
                <w:rFonts w:ascii="Arial" w:hAnsi="Arial" w:cs="Arial"/>
                <w:sz w:val="16"/>
                <w:szCs w:val="16"/>
              </w:rPr>
            </w:pPr>
          </w:p>
        </w:tc>
        <w:tc>
          <w:tcPr>
            <w:tcW w:w="1671" w:type="dxa"/>
            <w:vAlign w:val="center"/>
          </w:tcPr>
          <w:p w14:paraId="1A2A7A6E" w14:textId="77777777" w:rsidR="002D7931" w:rsidRPr="00061FA5" w:rsidRDefault="002D7931" w:rsidP="00242D75">
            <w:pPr>
              <w:spacing w:line="400" w:lineRule="atLeast"/>
              <w:jc w:val="center"/>
              <w:rPr>
                <w:rFonts w:ascii="Arial" w:hAnsi="Arial" w:cs="Arial"/>
                <w:sz w:val="16"/>
                <w:szCs w:val="16"/>
              </w:rPr>
            </w:pPr>
          </w:p>
        </w:tc>
        <w:tc>
          <w:tcPr>
            <w:tcW w:w="1653" w:type="dxa"/>
            <w:vAlign w:val="center"/>
          </w:tcPr>
          <w:p w14:paraId="6AA7815C" w14:textId="77777777" w:rsidR="002D7931" w:rsidRPr="00061FA5" w:rsidRDefault="002D7931" w:rsidP="00242D75">
            <w:pPr>
              <w:spacing w:line="400" w:lineRule="atLeast"/>
              <w:jc w:val="center"/>
              <w:rPr>
                <w:rFonts w:ascii="Arial" w:hAnsi="Arial" w:cs="Arial"/>
                <w:sz w:val="16"/>
                <w:szCs w:val="16"/>
              </w:rPr>
            </w:pPr>
            <w:r w:rsidRPr="00061FA5">
              <w:rPr>
                <w:rFonts w:ascii="Arial" w:hAnsi="Arial" w:cs="Arial"/>
                <w:sz w:val="16"/>
                <w:szCs w:val="16"/>
              </w:rPr>
              <w:t>-13.3 [14.0, 0.959]</w:t>
            </w:r>
          </w:p>
        </w:tc>
        <w:tc>
          <w:tcPr>
            <w:tcW w:w="1653" w:type="dxa"/>
            <w:vAlign w:val="center"/>
          </w:tcPr>
          <w:p w14:paraId="371A977D" w14:textId="77777777" w:rsidR="002D7931" w:rsidRPr="00061FA5" w:rsidRDefault="002D7931" w:rsidP="00242D75">
            <w:pPr>
              <w:spacing w:line="400" w:lineRule="atLeast"/>
              <w:jc w:val="center"/>
              <w:rPr>
                <w:rFonts w:ascii="Arial" w:hAnsi="Arial" w:cs="Arial"/>
                <w:sz w:val="16"/>
                <w:szCs w:val="16"/>
              </w:rPr>
            </w:pPr>
            <w:r w:rsidRPr="00061FA5">
              <w:rPr>
                <w:rFonts w:ascii="Arial" w:hAnsi="Arial" w:cs="Arial"/>
                <w:sz w:val="16"/>
                <w:szCs w:val="16"/>
              </w:rPr>
              <w:t>33.0 [11.9, 0.136]</w:t>
            </w:r>
          </w:p>
        </w:tc>
        <w:tc>
          <w:tcPr>
            <w:tcW w:w="1653" w:type="dxa"/>
            <w:vAlign w:val="center"/>
          </w:tcPr>
          <w:p w14:paraId="123273EC" w14:textId="77777777" w:rsidR="002D7931" w:rsidRPr="00061FA5" w:rsidRDefault="002D7931" w:rsidP="00242D75">
            <w:pPr>
              <w:spacing w:line="400" w:lineRule="atLeast"/>
              <w:jc w:val="center"/>
              <w:rPr>
                <w:rFonts w:ascii="Arial" w:hAnsi="Arial" w:cs="Arial"/>
                <w:sz w:val="16"/>
                <w:szCs w:val="16"/>
              </w:rPr>
            </w:pPr>
            <w:r w:rsidRPr="00061FA5">
              <w:rPr>
                <w:rFonts w:ascii="Arial" w:hAnsi="Arial" w:cs="Arial"/>
                <w:sz w:val="16"/>
                <w:szCs w:val="16"/>
              </w:rPr>
              <w:t>-8.7 [34.0, 1.000]</w:t>
            </w:r>
          </w:p>
        </w:tc>
      </w:tr>
      <w:tr w:rsidR="002D7931" w:rsidRPr="00061FA5" w14:paraId="6B9D8A20" w14:textId="77777777" w:rsidTr="00242D75">
        <w:trPr>
          <w:trHeight w:val="556"/>
          <w:jc w:val="center"/>
        </w:trPr>
        <w:tc>
          <w:tcPr>
            <w:tcW w:w="1066" w:type="dxa"/>
            <w:vAlign w:val="center"/>
          </w:tcPr>
          <w:p w14:paraId="778833C3" w14:textId="77777777" w:rsidR="002D7931" w:rsidRPr="00061FA5" w:rsidRDefault="002D7931" w:rsidP="00242D75">
            <w:pPr>
              <w:spacing w:line="400" w:lineRule="atLeast"/>
              <w:jc w:val="center"/>
              <w:rPr>
                <w:rFonts w:ascii="Arial" w:hAnsi="Arial" w:cs="Arial"/>
                <w:b/>
                <w:sz w:val="16"/>
                <w:szCs w:val="16"/>
              </w:rPr>
            </w:pPr>
            <w:r w:rsidRPr="00061FA5">
              <w:rPr>
                <w:rFonts w:ascii="Arial" w:hAnsi="Arial" w:cs="Arial"/>
                <w:b/>
                <w:sz w:val="16"/>
                <w:szCs w:val="16"/>
              </w:rPr>
              <w:t>svPPA</w:t>
            </w:r>
          </w:p>
        </w:tc>
        <w:tc>
          <w:tcPr>
            <w:tcW w:w="1657" w:type="dxa"/>
            <w:vAlign w:val="center"/>
          </w:tcPr>
          <w:p w14:paraId="3F36C6C9" w14:textId="77777777" w:rsidR="002D7931" w:rsidRPr="00061FA5" w:rsidRDefault="002D7931" w:rsidP="00242D75">
            <w:pPr>
              <w:spacing w:line="400" w:lineRule="atLeast"/>
              <w:jc w:val="center"/>
              <w:rPr>
                <w:rFonts w:ascii="Arial" w:hAnsi="Arial" w:cs="Arial"/>
                <w:sz w:val="16"/>
                <w:szCs w:val="16"/>
              </w:rPr>
            </w:pPr>
          </w:p>
        </w:tc>
        <w:tc>
          <w:tcPr>
            <w:tcW w:w="1724" w:type="dxa"/>
            <w:vAlign w:val="center"/>
          </w:tcPr>
          <w:p w14:paraId="3374EC1B" w14:textId="77777777" w:rsidR="002D7931" w:rsidRPr="00061FA5" w:rsidRDefault="002D7931" w:rsidP="00242D75">
            <w:pPr>
              <w:spacing w:line="400" w:lineRule="atLeast"/>
              <w:jc w:val="center"/>
              <w:rPr>
                <w:rFonts w:ascii="Arial" w:hAnsi="Arial" w:cs="Arial"/>
                <w:sz w:val="16"/>
                <w:szCs w:val="16"/>
              </w:rPr>
            </w:pPr>
          </w:p>
        </w:tc>
        <w:tc>
          <w:tcPr>
            <w:tcW w:w="1671" w:type="dxa"/>
            <w:vAlign w:val="center"/>
          </w:tcPr>
          <w:p w14:paraId="27928E8B" w14:textId="77777777" w:rsidR="002D7931" w:rsidRPr="00061FA5" w:rsidRDefault="002D7931" w:rsidP="00242D75">
            <w:pPr>
              <w:spacing w:line="400" w:lineRule="atLeast"/>
              <w:jc w:val="center"/>
              <w:rPr>
                <w:rFonts w:ascii="Arial" w:hAnsi="Arial" w:cs="Arial"/>
                <w:sz w:val="16"/>
                <w:szCs w:val="16"/>
              </w:rPr>
            </w:pPr>
          </w:p>
        </w:tc>
        <w:tc>
          <w:tcPr>
            <w:tcW w:w="1653" w:type="dxa"/>
            <w:vAlign w:val="center"/>
          </w:tcPr>
          <w:p w14:paraId="3C732FF5" w14:textId="77777777" w:rsidR="002D7931" w:rsidRPr="00061FA5" w:rsidRDefault="002D7931" w:rsidP="00242D75">
            <w:pPr>
              <w:spacing w:line="400" w:lineRule="atLeast"/>
              <w:jc w:val="center"/>
              <w:rPr>
                <w:rFonts w:ascii="Arial" w:hAnsi="Arial" w:cs="Arial"/>
                <w:sz w:val="16"/>
                <w:szCs w:val="16"/>
              </w:rPr>
            </w:pPr>
          </w:p>
        </w:tc>
        <w:tc>
          <w:tcPr>
            <w:tcW w:w="1653" w:type="dxa"/>
            <w:vAlign w:val="center"/>
          </w:tcPr>
          <w:p w14:paraId="2A038C18" w14:textId="77777777" w:rsidR="002D7931" w:rsidRPr="00061FA5" w:rsidRDefault="002D7931" w:rsidP="00242D75">
            <w:pPr>
              <w:spacing w:line="400" w:lineRule="atLeast"/>
              <w:jc w:val="center"/>
              <w:rPr>
                <w:rFonts w:ascii="Arial" w:hAnsi="Arial" w:cs="Arial"/>
                <w:sz w:val="16"/>
                <w:szCs w:val="16"/>
              </w:rPr>
            </w:pPr>
            <w:r w:rsidRPr="00061FA5">
              <w:rPr>
                <w:rFonts w:ascii="Arial" w:hAnsi="Arial" w:cs="Arial"/>
                <w:b/>
                <w:sz w:val="16"/>
                <w:szCs w:val="16"/>
              </w:rPr>
              <w:t>46.3 [12.7, 0.032]</w:t>
            </w:r>
          </w:p>
        </w:tc>
        <w:tc>
          <w:tcPr>
            <w:tcW w:w="1653" w:type="dxa"/>
            <w:vAlign w:val="center"/>
          </w:tcPr>
          <w:p w14:paraId="65223023" w14:textId="77777777" w:rsidR="002D7931" w:rsidRPr="00061FA5" w:rsidRDefault="002D7931" w:rsidP="00242D75">
            <w:pPr>
              <w:spacing w:line="400" w:lineRule="atLeast"/>
              <w:jc w:val="center"/>
              <w:rPr>
                <w:rFonts w:ascii="Arial" w:hAnsi="Arial" w:cs="Arial"/>
                <w:sz w:val="16"/>
                <w:szCs w:val="16"/>
              </w:rPr>
            </w:pPr>
            <w:r w:rsidRPr="00061FA5">
              <w:rPr>
                <w:rFonts w:ascii="Arial" w:hAnsi="Arial" w:cs="Arial"/>
                <w:sz w:val="16"/>
                <w:szCs w:val="16"/>
              </w:rPr>
              <w:t>4.7 [34.4, 1.000]</w:t>
            </w:r>
          </w:p>
        </w:tc>
      </w:tr>
      <w:tr w:rsidR="002D7931" w:rsidRPr="00061FA5" w14:paraId="32DAC888" w14:textId="77777777" w:rsidTr="00242D75">
        <w:trPr>
          <w:trHeight w:val="556"/>
          <w:jc w:val="center"/>
        </w:trPr>
        <w:tc>
          <w:tcPr>
            <w:tcW w:w="1066" w:type="dxa"/>
            <w:vAlign w:val="center"/>
          </w:tcPr>
          <w:p w14:paraId="15C8DE8B" w14:textId="77777777" w:rsidR="002D7931" w:rsidRPr="00061FA5" w:rsidRDefault="002D7931" w:rsidP="00242D75">
            <w:pPr>
              <w:spacing w:line="400" w:lineRule="atLeast"/>
              <w:jc w:val="center"/>
              <w:rPr>
                <w:rFonts w:ascii="Arial" w:hAnsi="Arial" w:cs="Arial"/>
                <w:b/>
                <w:sz w:val="16"/>
                <w:szCs w:val="16"/>
              </w:rPr>
            </w:pPr>
            <w:r w:rsidRPr="00061FA5">
              <w:rPr>
                <w:rFonts w:ascii="Arial" w:hAnsi="Arial" w:cs="Arial"/>
                <w:b/>
                <w:sz w:val="16"/>
                <w:szCs w:val="16"/>
              </w:rPr>
              <w:t>lvPPA</w:t>
            </w:r>
          </w:p>
        </w:tc>
        <w:tc>
          <w:tcPr>
            <w:tcW w:w="1657" w:type="dxa"/>
            <w:vAlign w:val="center"/>
          </w:tcPr>
          <w:p w14:paraId="560E4A25" w14:textId="77777777" w:rsidR="002D7931" w:rsidRPr="00061FA5" w:rsidRDefault="002D7931" w:rsidP="00242D75">
            <w:pPr>
              <w:spacing w:line="400" w:lineRule="atLeast"/>
              <w:jc w:val="center"/>
              <w:rPr>
                <w:rFonts w:ascii="Arial" w:hAnsi="Arial" w:cs="Arial"/>
                <w:sz w:val="16"/>
                <w:szCs w:val="16"/>
              </w:rPr>
            </w:pPr>
          </w:p>
        </w:tc>
        <w:tc>
          <w:tcPr>
            <w:tcW w:w="1724" w:type="dxa"/>
            <w:vAlign w:val="center"/>
          </w:tcPr>
          <w:p w14:paraId="7D3F4A80" w14:textId="77777777" w:rsidR="002D7931" w:rsidRPr="00061FA5" w:rsidRDefault="002D7931" w:rsidP="00242D75">
            <w:pPr>
              <w:spacing w:line="400" w:lineRule="atLeast"/>
              <w:jc w:val="center"/>
              <w:rPr>
                <w:rFonts w:ascii="Arial" w:hAnsi="Arial" w:cs="Arial"/>
                <w:sz w:val="16"/>
                <w:szCs w:val="16"/>
              </w:rPr>
            </w:pPr>
          </w:p>
        </w:tc>
        <w:tc>
          <w:tcPr>
            <w:tcW w:w="1671" w:type="dxa"/>
            <w:vAlign w:val="center"/>
          </w:tcPr>
          <w:p w14:paraId="001A0145" w14:textId="77777777" w:rsidR="002D7931" w:rsidRPr="00061FA5" w:rsidRDefault="002D7931" w:rsidP="00242D75">
            <w:pPr>
              <w:spacing w:line="400" w:lineRule="atLeast"/>
              <w:jc w:val="center"/>
              <w:rPr>
                <w:rFonts w:ascii="Arial" w:hAnsi="Arial" w:cs="Arial"/>
                <w:sz w:val="16"/>
                <w:szCs w:val="16"/>
              </w:rPr>
            </w:pPr>
          </w:p>
        </w:tc>
        <w:tc>
          <w:tcPr>
            <w:tcW w:w="1653" w:type="dxa"/>
            <w:vAlign w:val="center"/>
          </w:tcPr>
          <w:p w14:paraId="00AF75C8" w14:textId="77777777" w:rsidR="002D7931" w:rsidRPr="00061FA5" w:rsidRDefault="002D7931" w:rsidP="00242D75">
            <w:pPr>
              <w:spacing w:line="400" w:lineRule="atLeast"/>
              <w:jc w:val="center"/>
              <w:rPr>
                <w:rFonts w:ascii="Arial" w:hAnsi="Arial" w:cs="Arial"/>
                <w:sz w:val="16"/>
                <w:szCs w:val="16"/>
              </w:rPr>
            </w:pPr>
          </w:p>
        </w:tc>
        <w:tc>
          <w:tcPr>
            <w:tcW w:w="1653" w:type="dxa"/>
            <w:vAlign w:val="center"/>
          </w:tcPr>
          <w:p w14:paraId="66463898" w14:textId="77777777" w:rsidR="002D7931" w:rsidRPr="00061FA5" w:rsidRDefault="002D7931" w:rsidP="00242D75">
            <w:pPr>
              <w:spacing w:line="400" w:lineRule="atLeast"/>
              <w:jc w:val="center"/>
              <w:rPr>
                <w:rFonts w:ascii="Arial" w:hAnsi="Arial" w:cs="Arial"/>
                <w:b/>
                <w:sz w:val="16"/>
                <w:szCs w:val="16"/>
              </w:rPr>
            </w:pPr>
          </w:p>
        </w:tc>
        <w:tc>
          <w:tcPr>
            <w:tcW w:w="1653" w:type="dxa"/>
            <w:vAlign w:val="center"/>
          </w:tcPr>
          <w:p w14:paraId="2EF61D9C" w14:textId="77777777" w:rsidR="002D7931" w:rsidRPr="00061FA5" w:rsidRDefault="002D7931" w:rsidP="00242D75">
            <w:pPr>
              <w:spacing w:line="400" w:lineRule="atLeast"/>
              <w:jc w:val="center"/>
              <w:rPr>
                <w:rFonts w:ascii="Arial" w:hAnsi="Arial" w:cs="Arial"/>
                <w:sz w:val="16"/>
                <w:szCs w:val="16"/>
              </w:rPr>
            </w:pPr>
            <w:r w:rsidRPr="00061FA5">
              <w:rPr>
                <w:rFonts w:ascii="Arial" w:hAnsi="Arial" w:cs="Arial"/>
                <w:sz w:val="16"/>
                <w:szCs w:val="16"/>
              </w:rPr>
              <w:t>-41.7 [33.5, 0.857]</w:t>
            </w:r>
          </w:p>
        </w:tc>
      </w:tr>
    </w:tbl>
    <w:p w14:paraId="0E4BE19A" w14:textId="77777777" w:rsidR="002D7931" w:rsidRPr="00061FA5" w:rsidRDefault="002D7931" w:rsidP="00D746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1"/>
        <w:gridCol w:w="2262"/>
        <w:gridCol w:w="2266"/>
      </w:tblGrid>
      <w:tr w:rsidR="002D7931" w:rsidRPr="00061FA5" w14:paraId="7D6D177D" w14:textId="77777777" w:rsidTr="00DC1BAD">
        <w:trPr>
          <w:trHeight w:val="269"/>
        </w:trPr>
        <w:tc>
          <w:tcPr>
            <w:tcW w:w="2310" w:type="dxa"/>
            <w:vAlign w:val="center"/>
          </w:tcPr>
          <w:p w14:paraId="101A7C68" w14:textId="77777777" w:rsidR="002D7931" w:rsidRPr="00061FA5" w:rsidRDefault="002D7931" w:rsidP="00DC1BAD"/>
        </w:tc>
        <w:tc>
          <w:tcPr>
            <w:tcW w:w="2310" w:type="dxa"/>
            <w:vAlign w:val="center"/>
          </w:tcPr>
          <w:p w14:paraId="632362BE" w14:textId="77777777" w:rsidR="002D7931" w:rsidRPr="00061FA5" w:rsidRDefault="002D7931" w:rsidP="00DC1BAD">
            <w:pPr>
              <w:jc w:val="center"/>
              <w:rPr>
                <w:rFonts w:ascii="Arial" w:hAnsi="Arial" w:cs="Arial"/>
                <w:b/>
                <w:i/>
                <w:sz w:val="16"/>
                <w:szCs w:val="16"/>
              </w:rPr>
            </w:pPr>
            <w:r w:rsidRPr="00061FA5">
              <w:rPr>
                <w:rFonts w:ascii="Arial" w:hAnsi="Arial" w:cs="Arial"/>
                <w:b/>
                <w:i/>
                <w:sz w:val="16"/>
                <w:szCs w:val="16"/>
              </w:rPr>
              <w:t>MAPT</w:t>
            </w:r>
          </w:p>
          <w:p w14:paraId="5F8FFF5E" w14:textId="77777777" w:rsidR="002D7931" w:rsidRPr="00061FA5" w:rsidRDefault="002D7931" w:rsidP="00DC1BAD">
            <w:pPr>
              <w:jc w:val="center"/>
              <w:rPr>
                <w:i/>
              </w:rPr>
            </w:pPr>
          </w:p>
        </w:tc>
        <w:tc>
          <w:tcPr>
            <w:tcW w:w="2311" w:type="dxa"/>
            <w:vAlign w:val="center"/>
          </w:tcPr>
          <w:p w14:paraId="3244AC04" w14:textId="77777777" w:rsidR="002D7931" w:rsidRPr="00061FA5" w:rsidRDefault="002D7931" w:rsidP="00DC1BAD">
            <w:pPr>
              <w:jc w:val="center"/>
              <w:rPr>
                <w:rFonts w:ascii="Arial" w:hAnsi="Arial" w:cs="Arial"/>
                <w:b/>
                <w:i/>
                <w:sz w:val="16"/>
                <w:szCs w:val="16"/>
              </w:rPr>
            </w:pPr>
            <w:r w:rsidRPr="00061FA5">
              <w:rPr>
                <w:rFonts w:ascii="Arial" w:hAnsi="Arial" w:cs="Arial"/>
                <w:b/>
                <w:i/>
                <w:sz w:val="16"/>
                <w:szCs w:val="16"/>
              </w:rPr>
              <w:t>GRN</w:t>
            </w:r>
          </w:p>
          <w:p w14:paraId="0F87DA64" w14:textId="77777777" w:rsidR="002D7931" w:rsidRPr="00061FA5" w:rsidRDefault="002D7931" w:rsidP="00DC1BAD">
            <w:pPr>
              <w:jc w:val="center"/>
              <w:rPr>
                <w:i/>
              </w:rPr>
            </w:pPr>
          </w:p>
        </w:tc>
        <w:tc>
          <w:tcPr>
            <w:tcW w:w="2311" w:type="dxa"/>
            <w:vAlign w:val="center"/>
          </w:tcPr>
          <w:p w14:paraId="69D1E5FF" w14:textId="77777777" w:rsidR="002D7931" w:rsidRPr="00061FA5" w:rsidRDefault="002D7931" w:rsidP="00DC1BAD">
            <w:pPr>
              <w:jc w:val="center"/>
              <w:rPr>
                <w:rFonts w:ascii="Arial" w:hAnsi="Arial" w:cs="Arial"/>
                <w:b/>
                <w:i/>
                <w:sz w:val="16"/>
                <w:szCs w:val="16"/>
              </w:rPr>
            </w:pPr>
            <w:r w:rsidRPr="00061FA5">
              <w:rPr>
                <w:rFonts w:ascii="Arial" w:hAnsi="Arial" w:cs="Arial"/>
                <w:b/>
                <w:i/>
                <w:sz w:val="16"/>
                <w:szCs w:val="16"/>
              </w:rPr>
              <w:t>C9orf72</w:t>
            </w:r>
          </w:p>
          <w:p w14:paraId="34716644" w14:textId="77777777" w:rsidR="002D7931" w:rsidRPr="00061FA5" w:rsidRDefault="002D7931" w:rsidP="00DC1BAD">
            <w:pPr>
              <w:jc w:val="center"/>
              <w:rPr>
                <w:i/>
              </w:rPr>
            </w:pPr>
          </w:p>
        </w:tc>
      </w:tr>
      <w:tr w:rsidR="002D7931" w:rsidRPr="00061FA5" w14:paraId="1D441900" w14:textId="77777777" w:rsidTr="00DC1BAD">
        <w:trPr>
          <w:trHeight w:val="349"/>
        </w:trPr>
        <w:tc>
          <w:tcPr>
            <w:tcW w:w="2310" w:type="dxa"/>
            <w:vAlign w:val="center"/>
          </w:tcPr>
          <w:p w14:paraId="5D2B1FFA" w14:textId="77777777" w:rsidR="002D7931" w:rsidRPr="00061FA5" w:rsidRDefault="002D7931" w:rsidP="00DC1BAD">
            <w:pPr>
              <w:spacing w:line="480" w:lineRule="auto"/>
              <w:jc w:val="center"/>
              <w:rPr>
                <w:rFonts w:ascii="Arial" w:hAnsi="Arial" w:cs="Arial"/>
                <w:b/>
                <w:i/>
                <w:sz w:val="16"/>
                <w:szCs w:val="16"/>
              </w:rPr>
            </w:pPr>
            <w:r w:rsidRPr="00061FA5">
              <w:rPr>
                <w:rFonts w:ascii="Arial" w:hAnsi="Arial" w:cs="Arial"/>
                <w:b/>
                <w:i/>
                <w:sz w:val="16"/>
                <w:szCs w:val="16"/>
              </w:rPr>
              <w:t>Control</w:t>
            </w:r>
          </w:p>
        </w:tc>
        <w:tc>
          <w:tcPr>
            <w:tcW w:w="2310" w:type="dxa"/>
            <w:vAlign w:val="center"/>
          </w:tcPr>
          <w:p w14:paraId="5A76A68A" w14:textId="77777777" w:rsidR="002D7931" w:rsidRPr="00061FA5" w:rsidRDefault="002D7931" w:rsidP="00DC1BAD">
            <w:pPr>
              <w:jc w:val="center"/>
            </w:pPr>
            <w:r w:rsidRPr="00061FA5">
              <w:rPr>
                <w:rFonts w:ascii="Arial" w:hAnsi="Arial" w:cs="Arial"/>
                <w:b/>
                <w:sz w:val="16"/>
                <w:szCs w:val="16"/>
              </w:rPr>
              <w:t>-20.8 [6.5, 0.035]</w:t>
            </w:r>
          </w:p>
        </w:tc>
        <w:tc>
          <w:tcPr>
            <w:tcW w:w="2311" w:type="dxa"/>
            <w:vAlign w:val="center"/>
          </w:tcPr>
          <w:p w14:paraId="14DFEB7B" w14:textId="77777777" w:rsidR="002D7931" w:rsidRPr="00061FA5" w:rsidRDefault="002D7931" w:rsidP="00DC1BAD">
            <w:pPr>
              <w:jc w:val="center"/>
            </w:pPr>
            <w:r w:rsidRPr="00061FA5">
              <w:rPr>
                <w:rFonts w:ascii="Arial" w:hAnsi="Arial" w:cs="Arial"/>
                <w:sz w:val="16"/>
                <w:szCs w:val="16"/>
              </w:rPr>
              <w:t>-118.8 [51.7, 0.277]</w:t>
            </w:r>
          </w:p>
        </w:tc>
        <w:tc>
          <w:tcPr>
            <w:tcW w:w="2311" w:type="dxa"/>
            <w:vAlign w:val="center"/>
          </w:tcPr>
          <w:p w14:paraId="6D597E03" w14:textId="77777777" w:rsidR="002D7931" w:rsidRPr="00061FA5" w:rsidRDefault="002D7931" w:rsidP="00DC1BAD">
            <w:pPr>
              <w:jc w:val="center"/>
            </w:pPr>
            <w:r w:rsidRPr="00061FA5">
              <w:rPr>
                <w:rFonts w:ascii="Arial" w:hAnsi="Arial" w:cs="Arial"/>
                <w:sz w:val="16"/>
                <w:szCs w:val="16"/>
              </w:rPr>
              <w:t>-</w:t>
            </w:r>
            <w:r w:rsidRPr="00061FA5">
              <w:rPr>
                <w:rFonts w:ascii="Arial" w:hAnsi="Arial" w:cs="Arial"/>
                <w:b/>
                <w:sz w:val="16"/>
                <w:szCs w:val="16"/>
              </w:rPr>
              <w:t>59.5 [16.2, 0.025*</w:t>
            </w:r>
          </w:p>
        </w:tc>
      </w:tr>
      <w:tr w:rsidR="002D7931" w:rsidRPr="00061FA5" w14:paraId="27676EC4" w14:textId="77777777" w:rsidTr="00DC1BAD">
        <w:trPr>
          <w:trHeight w:val="383"/>
        </w:trPr>
        <w:tc>
          <w:tcPr>
            <w:tcW w:w="2310" w:type="dxa"/>
            <w:vAlign w:val="center"/>
          </w:tcPr>
          <w:p w14:paraId="587FDBA8" w14:textId="77777777" w:rsidR="002D7931" w:rsidRPr="00061FA5" w:rsidRDefault="002D7931" w:rsidP="00DC1BAD">
            <w:pPr>
              <w:spacing w:line="480" w:lineRule="auto"/>
              <w:ind w:left="60" w:right="60"/>
              <w:jc w:val="center"/>
              <w:rPr>
                <w:rFonts w:ascii="Arial" w:hAnsi="Arial" w:cs="Arial"/>
                <w:b/>
                <w:i/>
                <w:sz w:val="16"/>
                <w:szCs w:val="16"/>
              </w:rPr>
            </w:pPr>
            <w:r w:rsidRPr="00061FA5">
              <w:rPr>
                <w:rFonts w:ascii="Arial" w:hAnsi="Arial" w:cs="Arial"/>
                <w:b/>
                <w:i/>
                <w:sz w:val="16"/>
                <w:szCs w:val="16"/>
              </w:rPr>
              <w:t>MAPT</w:t>
            </w:r>
          </w:p>
        </w:tc>
        <w:tc>
          <w:tcPr>
            <w:tcW w:w="2310" w:type="dxa"/>
            <w:vAlign w:val="center"/>
          </w:tcPr>
          <w:p w14:paraId="3C1AA0E3" w14:textId="77777777" w:rsidR="002D7931" w:rsidRPr="00061FA5" w:rsidRDefault="002D7931" w:rsidP="00DC1BAD"/>
        </w:tc>
        <w:tc>
          <w:tcPr>
            <w:tcW w:w="2311" w:type="dxa"/>
            <w:vAlign w:val="center"/>
          </w:tcPr>
          <w:p w14:paraId="649AEAAC" w14:textId="77777777" w:rsidR="002D7931" w:rsidRPr="00061FA5" w:rsidRDefault="002D7931" w:rsidP="00DC1BAD">
            <w:pPr>
              <w:jc w:val="center"/>
            </w:pPr>
            <w:r w:rsidRPr="00061FA5">
              <w:rPr>
                <w:rFonts w:ascii="Arial" w:hAnsi="Arial" w:cs="Arial"/>
                <w:sz w:val="16"/>
                <w:szCs w:val="16"/>
              </w:rPr>
              <w:t>-98.0 [52.0, 0.386]</w:t>
            </w:r>
          </w:p>
        </w:tc>
        <w:tc>
          <w:tcPr>
            <w:tcW w:w="2311" w:type="dxa"/>
            <w:vAlign w:val="center"/>
          </w:tcPr>
          <w:p w14:paraId="2629A9E5" w14:textId="77777777" w:rsidR="002D7931" w:rsidRPr="00061FA5" w:rsidRDefault="002D7931" w:rsidP="00DC1BAD">
            <w:pPr>
              <w:jc w:val="center"/>
            </w:pPr>
            <w:r w:rsidRPr="00061FA5">
              <w:rPr>
                <w:rFonts w:ascii="Arial" w:hAnsi="Arial" w:cs="Arial"/>
                <w:sz w:val="16"/>
                <w:szCs w:val="16"/>
              </w:rPr>
              <w:t>-38.7 [17.3, 0.175]</w:t>
            </w:r>
          </w:p>
        </w:tc>
      </w:tr>
      <w:tr w:rsidR="002D7931" w:rsidRPr="00061FA5" w14:paraId="421621F4" w14:textId="77777777" w:rsidTr="00DC1BAD">
        <w:trPr>
          <w:trHeight w:val="293"/>
        </w:trPr>
        <w:tc>
          <w:tcPr>
            <w:tcW w:w="2310" w:type="dxa"/>
            <w:vAlign w:val="center"/>
          </w:tcPr>
          <w:p w14:paraId="46110E00" w14:textId="77777777" w:rsidR="002D7931" w:rsidRPr="00061FA5" w:rsidRDefault="002D7931" w:rsidP="00DC1BAD">
            <w:pPr>
              <w:spacing w:line="480" w:lineRule="auto"/>
              <w:ind w:left="60" w:right="60"/>
              <w:jc w:val="center"/>
              <w:rPr>
                <w:rFonts w:ascii="Arial" w:hAnsi="Arial" w:cs="Arial"/>
                <w:b/>
                <w:i/>
                <w:sz w:val="16"/>
                <w:szCs w:val="16"/>
              </w:rPr>
            </w:pPr>
            <w:r w:rsidRPr="00061FA5">
              <w:rPr>
                <w:rFonts w:ascii="Arial" w:hAnsi="Arial" w:cs="Arial"/>
                <w:b/>
                <w:i/>
                <w:sz w:val="16"/>
                <w:szCs w:val="16"/>
              </w:rPr>
              <w:t>GRN</w:t>
            </w:r>
          </w:p>
        </w:tc>
        <w:tc>
          <w:tcPr>
            <w:tcW w:w="2310" w:type="dxa"/>
            <w:vAlign w:val="center"/>
          </w:tcPr>
          <w:p w14:paraId="1752E3B4" w14:textId="77777777" w:rsidR="002D7931" w:rsidRPr="00061FA5" w:rsidRDefault="002D7931" w:rsidP="00DC1BAD">
            <w:pPr>
              <w:jc w:val="center"/>
            </w:pPr>
          </w:p>
        </w:tc>
        <w:tc>
          <w:tcPr>
            <w:tcW w:w="2311" w:type="dxa"/>
            <w:vAlign w:val="center"/>
          </w:tcPr>
          <w:p w14:paraId="61F631BA" w14:textId="77777777" w:rsidR="002D7931" w:rsidRPr="00061FA5" w:rsidRDefault="002D7931" w:rsidP="00DC1BAD"/>
        </w:tc>
        <w:tc>
          <w:tcPr>
            <w:tcW w:w="2311" w:type="dxa"/>
            <w:vAlign w:val="center"/>
          </w:tcPr>
          <w:p w14:paraId="3CDE9565" w14:textId="77777777" w:rsidR="002D7931" w:rsidRPr="00061FA5" w:rsidRDefault="002D7931" w:rsidP="00DC1BAD">
            <w:pPr>
              <w:jc w:val="center"/>
            </w:pPr>
            <w:r w:rsidRPr="00061FA5">
              <w:rPr>
                <w:rFonts w:ascii="Arial" w:hAnsi="Arial" w:cs="Arial"/>
                <w:sz w:val="16"/>
                <w:szCs w:val="16"/>
              </w:rPr>
              <w:t>59.3 [54.1, 0.712]</w:t>
            </w:r>
          </w:p>
        </w:tc>
      </w:tr>
    </w:tbl>
    <w:p w14:paraId="3E32746A" w14:textId="77777777" w:rsidR="00DC1BAD" w:rsidRPr="00061FA5" w:rsidRDefault="00DC1BAD" w:rsidP="00E51F96">
      <w:pPr>
        <w:rPr>
          <w:rFonts w:ascii="Arial" w:hAnsi="Arial" w:cs="Arial"/>
          <w:b/>
          <w:sz w:val="18"/>
          <w:szCs w:val="20"/>
        </w:rPr>
      </w:pPr>
    </w:p>
    <w:p w14:paraId="30A8D9D4" w14:textId="77777777" w:rsidR="00DC1BAD" w:rsidRPr="00061FA5" w:rsidRDefault="00DC1BAD" w:rsidP="00E51F96">
      <w:pPr>
        <w:rPr>
          <w:rFonts w:ascii="Arial" w:hAnsi="Arial" w:cs="Arial"/>
          <w:b/>
          <w:sz w:val="18"/>
          <w:szCs w:val="20"/>
        </w:rPr>
      </w:pPr>
    </w:p>
    <w:p w14:paraId="58B97341" w14:textId="77777777" w:rsidR="00DC1BAD" w:rsidRPr="00061FA5" w:rsidRDefault="00DC1BAD" w:rsidP="00E51F96">
      <w:pPr>
        <w:rPr>
          <w:rFonts w:ascii="Arial" w:hAnsi="Arial" w:cs="Arial"/>
          <w:b/>
          <w:sz w:val="18"/>
          <w:szCs w:val="20"/>
        </w:rPr>
      </w:pPr>
    </w:p>
    <w:p w14:paraId="5D876B43" w14:textId="77777777" w:rsidR="00DC1BAD" w:rsidRPr="00061FA5" w:rsidRDefault="00DC1BAD" w:rsidP="00E51F96">
      <w:pPr>
        <w:rPr>
          <w:rFonts w:ascii="Arial" w:hAnsi="Arial" w:cs="Arial"/>
          <w:b/>
          <w:sz w:val="18"/>
          <w:szCs w:val="20"/>
        </w:rPr>
      </w:pPr>
    </w:p>
    <w:p w14:paraId="66215472" w14:textId="77777777" w:rsidR="002D7931" w:rsidRPr="00061FA5" w:rsidRDefault="002D7931" w:rsidP="00E51F96">
      <w:pPr>
        <w:rPr>
          <w:rFonts w:ascii="Arial" w:hAnsi="Arial" w:cs="Arial"/>
          <w:b/>
          <w:sz w:val="18"/>
          <w:szCs w:val="20"/>
        </w:rPr>
      </w:pPr>
      <w:r w:rsidRPr="00061FA5">
        <w:rPr>
          <w:rFonts w:ascii="Arial" w:hAnsi="Arial" w:cs="Arial"/>
          <w:b/>
          <w:sz w:val="18"/>
          <w:szCs w:val="20"/>
        </w:rPr>
        <w:br w:type="page"/>
      </w:r>
    </w:p>
    <w:p w14:paraId="2A4B3BA2" w14:textId="77777777" w:rsidR="00DC1BAD" w:rsidRPr="00061FA5" w:rsidRDefault="00DC1BAD" w:rsidP="00E51F96">
      <w:pPr>
        <w:rPr>
          <w:rFonts w:ascii="Arial" w:hAnsi="Arial" w:cs="Arial"/>
          <w:b/>
          <w:sz w:val="18"/>
          <w:szCs w:val="20"/>
        </w:rPr>
      </w:pPr>
    </w:p>
    <w:p w14:paraId="27B18C35" w14:textId="77777777" w:rsidR="002D7931" w:rsidRPr="00061FA5" w:rsidRDefault="002D7931" w:rsidP="00752D48">
      <w:pPr>
        <w:spacing w:line="480" w:lineRule="auto"/>
        <w:jc w:val="both"/>
        <w:rPr>
          <w:rFonts w:ascii="Arial" w:hAnsi="Arial" w:cs="Arial"/>
          <w:b/>
          <w:i/>
          <w:sz w:val="18"/>
          <w:szCs w:val="20"/>
        </w:rPr>
      </w:pPr>
      <w:r w:rsidRPr="00061FA5">
        <w:rPr>
          <w:rFonts w:ascii="Arial" w:hAnsi="Arial" w:cs="Arial"/>
          <w:b/>
          <w:sz w:val="18"/>
          <w:szCs w:val="20"/>
        </w:rPr>
        <w:t xml:space="preserve">Table 3 Cognitive and imaging characteristics of the FTD study participants. </w:t>
      </w:r>
      <w:r w:rsidRPr="00061FA5">
        <w:rPr>
          <w:rFonts w:ascii="Arial" w:hAnsi="Arial" w:cs="Arial"/>
          <w:b/>
          <w:i/>
          <w:sz w:val="18"/>
          <w:szCs w:val="20"/>
        </w:rPr>
        <w:t>Baseline cognitive measures are standard scores apart from the MMSE (out of 30). Longitudinal cognitive scores are annualized change in standard score (or change in MMSE score: a negative score is a decrease in score. Baseline brain volumes are expressed as a percentage of total intracranial volume (measured in SPM12). Longitudinal imaging measures are annualized rates of atrophy (%).</w:t>
      </w:r>
    </w:p>
    <w:p w14:paraId="615C8B38" w14:textId="77777777" w:rsidR="002D7931" w:rsidRPr="00061FA5" w:rsidRDefault="002D7931" w:rsidP="00B733A7">
      <w:pPr>
        <w:spacing w:line="480" w:lineRule="auto"/>
        <w:jc w:val="both"/>
        <w:rPr>
          <w:rFonts w:ascii="Arial" w:hAnsi="Arial" w:cs="Arial"/>
          <w:b/>
          <w:sz w:val="18"/>
          <w:szCs w:val="20"/>
        </w:rPr>
      </w:pPr>
    </w:p>
    <w:tbl>
      <w:tblPr>
        <w:tblW w:w="7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54"/>
        <w:gridCol w:w="1893"/>
        <w:gridCol w:w="1893"/>
      </w:tblGrid>
      <w:tr w:rsidR="002D7931" w:rsidRPr="00061FA5" w14:paraId="0AF3A049" w14:textId="77777777" w:rsidTr="000969BD">
        <w:trPr>
          <w:jc w:val="center"/>
        </w:trPr>
        <w:tc>
          <w:tcPr>
            <w:tcW w:w="3354" w:type="dxa"/>
            <w:shd w:val="clear" w:color="auto" w:fill="auto"/>
            <w:vAlign w:val="center"/>
          </w:tcPr>
          <w:p w14:paraId="3655C580" w14:textId="77777777" w:rsidR="002D7931" w:rsidRPr="00061FA5" w:rsidRDefault="002D7931" w:rsidP="00DE2F89">
            <w:pPr>
              <w:spacing w:line="480" w:lineRule="auto"/>
              <w:jc w:val="both"/>
              <w:rPr>
                <w:rFonts w:ascii="Arial" w:hAnsi="Arial" w:cs="Arial"/>
                <w:b/>
                <w:i/>
                <w:sz w:val="16"/>
                <w:szCs w:val="16"/>
              </w:rPr>
            </w:pPr>
          </w:p>
        </w:tc>
        <w:tc>
          <w:tcPr>
            <w:tcW w:w="1893" w:type="dxa"/>
            <w:shd w:val="clear" w:color="auto" w:fill="auto"/>
            <w:vAlign w:val="center"/>
          </w:tcPr>
          <w:p w14:paraId="13869765" w14:textId="77777777" w:rsidR="002D7931" w:rsidRPr="00061FA5" w:rsidRDefault="002D7931" w:rsidP="00C2141A">
            <w:pPr>
              <w:spacing w:line="480" w:lineRule="auto"/>
              <w:jc w:val="center"/>
              <w:rPr>
                <w:rFonts w:ascii="Arial" w:hAnsi="Arial" w:cs="Arial"/>
                <w:b/>
                <w:sz w:val="16"/>
                <w:szCs w:val="16"/>
              </w:rPr>
            </w:pPr>
            <w:r w:rsidRPr="00061FA5">
              <w:rPr>
                <w:rFonts w:ascii="Arial" w:hAnsi="Arial" w:cs="Arial"/>
                <w:b/>
                <w:sz w:val="16"/>
                <w:szCs w:val="16"/>
              </w:rPr>
              <w:t>Baseline</w:t>
            </w:r>
          </w:p>
          <w:p w14:paraId="2D6AB3A4" w14:textId="77777777" w:rsidR="002D7931" w:rsidRPr="00061FA5" w:rsidRDefault="002D7931" w:rsidP="00C2141A">
            <w:pPr>
              <w:spacing w:line="480" w:lineRule="auto"/>
              <w:jc w:val="center"/>
              <w:rPr>
                <w:rFonts w:ascii="Arial" w:hAnsi="Arial" w:cs="Arial"/>
                <w:b/>
                <w:sz w:val="16"/>
                <w:szCs w:val="16"/>
              </w:rPr>
            </w:pPr>
            <w:r w:rsidRPr="00061FA5">
              <w:rPr>
                <w:rFonts w:ascii="Arial" w:hAnsi="Arial" w:cs="Arial"/>
                <w:b/>
                <w:sz w:val="16"/>
                <w:szCs w:val="16"/>
              </w:rPr>
              <w:t>Mean (SD)</w:t>
            </w:r>
          </w:p>
        </w:tc>
        <w:tc>
          <w:tcPr>
            <w:tcW w:w="1893" w:type="dxa"/>
            <w:shd w:val="clear" w:color="auto" w:fill="auto"/>
            <w:vAlign w:val="center"/>
          </w:tcPr>
          <w:p w14:paraId="717A6C06" w14:textId="77777777" w:rsidR="002D7931" w:rsidRPr="00061FA5" w:rsidRDefault="002D7931" w:rsidP="00C2141A">
            <w:pPr>
              <w:spacing w:line="480" w:lineRule="auto"/>
              <w:jc w:val="center"/>
              <w:rPr>
                <w:rFonts w:ascii="Arial" w:hAnsi="Arial" w:cs="Arial"/>
                <w:b/>
                <w:sz w:val="16"/>
                <w:szCs w:val="16"/>
              </w:rPr>
            </w:pPr>
            <w:r w:rsidRPr="00061FA5">
              <w:rPr>
                <w:rFonts w:ascii="Arial" w:hAnsi="Arial" w:cs="Arial"/>
                <w:b/>
                <w:sz w:val="16"/>
                <w:szCs w:val="16"/>
              </w:rPr>
              <w:t>Longitudinal</w:t>
            </w:r>
          </w:p>
          <w:p w14:paraId="008F0D08" w14:textId="77777777" w:rsidR="002D7931" w:rsidRPr="00061FA5" w:rsidRDefault="002D7931" w:rsidP="00C2141A">
            <w:pPr>
              <w:spacing w:line="480" w:lineRule="auto"/>
              <w:jc w:val="center"/>
              <w:rPr>
                <w:rFonts w:ascii="Arial" w:hAnsi="Arial" w:cs="Arial"/>
                <w:b/>
                <w:sz w:val="16"/>
                <w:szCs w:val="16"/>
              </w:rPr>
            </w:pPr>
            <w:r w:rsidRPr="00061FA5">
              <w:rPr>
                <w:rFonts w:ascii="Arial" w:hAnsi="Arial" w:cs="Arial"/>
                <w:b/>
                <w:sz w:val="16"/>
                <w:szCs w:val="16"/>
              </w:rPr>
              <w:t>Mean (SD)</w:t>
            </w:r>
          </w:p>
        </w:tc>
      </w:tr>
      <w:tr w:rsidR="002D7931" w:rsidRPr="00061FA5" w14:paraId="525DE249" w14:textId="77777777" w:rsidTr="000969BD">
        <w:trPr>
          <w:jc w:val="center"/>
        </w:trPr>
        <w:tc>
          <w:tcPr>
            <w:tcW w:w="3354" w:type="dxa"/>
            <w:shd w:val="clear" w:color="auto" w:fill="auto"/>
            <w:vAlign w:val="center"/>
          </w:tcPr>
          <w:p w14:paraId="3F58C2B9" w14:textId="77777777" w:rsidR="002D7931" w:rsidRPr="00061FA5" w:rsidRDefault="002D7931" w:rsidP="00DE2F89">
            <w:pPr>
              <w:spacing w:line="480" w:lineRule="auto"/>
              <w:jc w:val="both"/>
              <w:rPr>
                <w:rFonts w:ascii="Arial" w:hAnsi="Arial" w:cs="Arial"/>
                <w:b/>
                <w:i/>
                <w:sz w:val="16"/>
                <w:szCs w:val="16"/>
              </w:rPr>
            </w:pPr>
            <w:r w:rsidRPr="00061FA5">
              <w:rPr>
                <w:rFonts w:ascii="Arial" w:hAnsi="Arial" w:cs="Arial"/>
                <w:b/>
                <w:i/>
                <w:sz w:val="16"/>
                <w:szCs w:val="16"/>
              </w:rPr>
              <w:t>Cognitive measures</w:t>
            </w:r>
          </w:p>
        </w:tc>
        <w:tc>
          <w:tcPr>
            <w:tcW w:w="1893" w:type="dxa"/>
            <w:shd w:val="clear" w:color="auto" w:fill="auto"/>
            <w:vAlign w:val="center"/>
          </w:tcPr>
          <w:p w14:paraId="4B330D02" w14:textId="77777777" w:rsidR="002D7931" w:rsidRPr="00061FA5" w:rsidRDefault="002D7931" w:rsidP="00DE2F89">
            <w:pPr>
              <w:spacing w:line="480" w:lineRule="auto"/>
              <w:jc w:val="center"/>
              <w:rPr>
                <w:rFonts w:ascii="Arial" w:hAnsi="Arial" w:cs="Arial"/>
                <w:b/>
                <w:sz w:val="16"/>
                <w:szCs w:val="16"/>
              </w:rPr>
            </w:pPr>
          </w:p>
        </w:tc>
        <w:tc>
          <w:tcPr>
            <w:tcW w:w="1893" w:type="dxa"/>
            <w:shd w:val="clear" w:color="auto" w:fill="auto"/>
          </w:tcPr>
          <w:p w14:paraId="0086E723" w14:textId="77777777" w:rsidR="002D7931" w:rsidRPr="00061FA5" w:rsidRDefault="002D7931" w:rsidP="00DE2F89">
            <w:pPr>
              <w:spacing w:line="480" w:lineRule="auto"/>
              <w:jc w:val="center"/>
              <w:rPr>
                <w:rFonts w:ascii="Arial" w:hAnsi="Arial" w:cs="Arial"/>
                <w:b/>
                <w:sz w:val="16"/>
                <w:szCs w:val="16"/>
              </w:rPr>
            </w:pPr>
          </w:p>
        </w:tc>
      </w:tr>
      <w:tr w:rsidR="002D7931" w:rsidRPr="00061FA5" w14:paraId="2468D8CF" w14:textId="77777777" w:rsidTr="000969BD">
        <w:trPr>
          <w:jc w:val="center"/>
        </w:trPr>
        <w:tc>
          <w:tcPr>
            <w:tcW w:w="3354" w:type="dxa"/>
            <w:shd w:val="clear" w:color="auto" w:fill="auto"/>
            <w:vAlign w:val="center"/>
          </w:tcPr>
          <w:p w14:paraId="76BEE9AD" w14:textId="77777777" w:rsidR="002D7931" w:rsidRPr="00061FA5" w:rsidRDefault="002D7931" w:rsidP="00DE2F89">
            <w:pPr>
              <w:spacing w:line="480" w:lineRule="auto"/>
              <w:jc w:val="both"/>
              <w:rPr>
                <w:rFonts w:ascii="Arial" w:hAnsi="Arial" w:cs="Arial"/>
                <w:b/>
                <w:sz w:val="16"/>
                <w:szCs w:val="16"/>
              </w:rPr>
            </w:pPr>
            <w:r w:rsidRPr="00061FA5">
              <w:rPr>
                <w:rFonts w:ascii="Arial" w:hAnsi="Arial" w:cs="Arial"/>
                <w:b/>
                <w:sz w:val="16"/>
                <w:szCs w:val="16"/>
              </w:rPr>
              <w:t>Number of participants</w:t>
            </w:r>
          </w:p>
        </w:tc>
        <w:tc>
          <w:tcPr>
            <w:tcW w:w="1893" w:type="dxa"/>
            <w:shd w:val="clear" w:color="auto" w:fill="auto"/>
            <w:vAlign w:val="center"/>
          </w:tcPr>
          <w:p w14:paraId="15179161" w14:textId="77777777" w:rsidR="002D7931" w:rsidRPr="00061FA5" w:rsidRDefault="002D7931" w:rsidP="00DE2F89">
            <w:pPr>
              <w:spacing w:line="480" w:lineRule="auto"/>
              <w:jc w:val="center"/>
              <w:rPr>
                <w:rFonts w:ascii="Arial" w:hAnsi="Arial" w:cs="Arial"/>
                <w:sz w:val="16"/>
                <w:szCs w:val="16"/>
              </w:rPr>
            </w:pPr>
            <w:r w:rsidRPr="00061FA5">
              <w:rPr>
                <w:rFonts w:ascii="Arial" w:hAnsi="Arial" w:cs="Arial"/>
                <w:sz w:val="16"/>
                <w:szCs w:val="16"/>
              </w:rPr>
              <w:t xml:space="preserve">47 </w:t>
            </w:r>
          </w:p>
        </w:tc>
        <w:tc>
          <w:tcPr>
            <w:tcW w:w="1893" w:type="dxa"/>
            <w:shd w:val="clear" w:color="auto" w:fill="auto"/>
          </w:tcPr>
          <w:p w14:paraId="4430EFB5" w14:textId="77777777" w:rsidR="002D7931" w:rsidRPr="00061FA5" w:rsidRDefault="002D7931" w:rsidP="00DE2F89">
            <w:pPr>
              <w:spacing w:line="480" w:lineRule="auto"/>
              <w:jc w:val="center"/>
              <w:rPr>
                <w:rFonts w:ascii="Arial" w:hAnsi="Arial" w:cs="Arial"/>
                <w:sz w:val="16"/>
                <w:szCs w:val="16"/>
              </w:rPr>
            </w:pPr>
            <w:r w:rsidRPr="00061FA5">
              <w:rPr>
                <w:rFonts w:ascii="Arial" w:hAnsi="Arial" w:cs="Arial"/>
                <w:sz w:val="16"/>
                <w:szCs w:val="16"/>
              </w:rPr>
              <w:t>29</w:t>
            </w:r>
          </w:p>
        </w:tc>
      </w:tr>
      <w:tr w:rsidR="002D7931" w:rsidRPr="00061FA5" w14:paraId="5B9D9FF0" w14:textId="77777777" w:rsidTr="000969BD">
        <w:trPr>
          <w:jc w:val="center"/>
        </w:trPr>
        <w:tc>
          <w:tcPr>
            <w:tcW w:w="3354" w:type="dxa"/>
            <w:shd w:val="clear" w:color="auto" w:fill="auto"/>
            <w:vAlign w:val="center"/>
          </w:tcPr>
          <w:p w14:paraId="65523FCF" w14:textId="77777777" w:rsidR="002D7931" w:rsidRPr="00061FA5" w:rsidRDefault="002D7931" w:rsidP="00DE2F89">
            <w:pPr>
              <w:spacing w:line="480" w:lineRule="auto"/>
              <w:jc w:val="both"/>
              <w:rPr>
                <w:rFonts w:ascii="Arial" w:hAnsi="Arial" w:cs="Arial"/>
                <w:b/>
                <w:sz w:val="16"/>
                <w:szCs w:val="16"/>
              </w:rPr>
            </w:pPr>
            <w:r w:rsidRPr="00061FA5">
              <w:rPr>
                <w:rFonts w:ascii="Arial" w:hAnsi="Arial" w:cs="Arial"/>
                <w:b/>
                <w:sz w:val="16"/>
                <w:szCs w:val="16"/>
              </w:rPr>
              <w:t>MMSE</w:t>
            </w:r>
          </w:p>
        </w:tc>
        <w:tc>
          <w:tcPr>
            <w:tcW w:w="1893" w:type="dxa"/>
            <w:shd w:val="clear" w:color="auto" w:fill="auto"/>
            <w:vAlign w:val="center"/>
          </w:tcPr>
          <w:p w14:paraId="1F66D466" w14:textId="77777777" w:rsidR="002D7931" w:rsidRPr="00061FA5" w:rsidRDefault="002D7931" w:rsidP="00C2141A">
            <w:pPr>
              <w:spacing w:line="480" w:lineRule="auto"/>
              <w:jc w:val="center"/>
              <w:rPr>
                <w:rFonts w:ascii="Arial" w:hAnsi="Arial" w:cs="Arial"/>
                <w:sz w:val="16"/>
                <w:szCs w:val="16"/>
              </w:rPr>
            </w:pPr>
            <w:r w:rsidRPr="00061FA5">
              <w:rPr>
                <w:rFonts w:ascii="Arial" w:hAnsi="Arial" w:cs="Arial"/>
                <w:sz w:val="16"/>
                <w:szCs w:val="16"/>
              </w:rPr>
              <w:t xml:space="preserve">23.8 (5.7) </w:t>
            </w:r>
          </w:p>
        </w:tc>
        <w:tc>
          <w:tcPr>
            <w:tcW w:w="1893" w:type="dxa"/>
            <w:shd w:val="clear" w:color="auto" w:fill="auto"/>
          </w:tcPr>
          <w:p w14:paraId="46EF0B9F" w14:textId="77777777" w:rsidR="002D7931" w:rsidRPr="00061FA5" w:rsidRDefault="002D7931" w:rsidP="00DE2F89">
            <w:pPr>
              <w:spacing w:line="480" w:lineRule="auto"/>
              <w:jc w:val="center"/>
              <w:rPr>
                <w:rFonts w:ascii="Arial" w:hAnsi="Arial" w:cs="Arial"/>
                <w:sz w:val="16"/>
                <w:szCs w:val="16"/>
              </w:rPr>
            </w:pPr>
            <w:r w:rsidRPr="00061FA5">
              <w:rPr>
                <w:rFonts w:ascii="Arial" w:hAnsi="Arial" w:cs="Arial"/>
                <w:sz w:val="16"/>
                <w:szCs w:val="16"/>
              </w:rPr>
              <w:t>-1.7 (5.0)</w:t>
            </w:r>
          </w:p>
        </w:tc>
      </w:tr>
      <w:tr w:rsidR="002D7931" w:rsidRPr="00061FA5" w14:paraId="4C920110" w14:textId="77777777" w:rsidTr="000969BD">
        <w:trPr>
          <w:jc w:val="center"/>
        </w:trPr>
        <w:tc>
          <w:tcPr>
            <w:tcW w:w="3354" w:type="dxa"/>
            <w:shd w:val="clear" w:color="auto" w:fill="auto"/>
            <w:vAlign w:val="center"/>
          </w:tcPr>
          <w:p w14:paraId="490D9779" w14:textId="77777777" w:rsidR="002D7931" w:rsidRPr="00061FA5" w:rsidRDefault="002D7931" w:rsidP="00DE2F89">
            <w:pPr>
              <w:spacing w:line="480" w:lineRule="auto"/>
              <w:jc w:val="both"/>
              <w:rPr>
                <w:rFonts w:ascii="Arial" w:hAnsi="Arial" w:cs="Arial"/>
                <w:b/>
                <w:sz w:val="16"/>
                <w:szCs w:val="16"/>
              </w:rPr>
            </w:pPr>
            <w:r w:rsidRPr="00061FA5">
              <w:rPr>
                <w:rFonts w:ascii="Arial" w:hAnsi="Arial" w:cs="Arial"/>
                <w:b/>
                <w:sz w:val="16"/>
                <w:szCs w:val="16"/>
              </w:rPr>
              <w:t>WASI Vocabulary</w:t>
            </w:r>
          </w:p>
        </w:tc>
        <w:tc>
          <w:tcPr>
            <w:tcW w:w="1893" w:type="dxa"/>
            <w:shd w:val="clear" w:color="auto" w:fill="auto"/>
            <w:vAlign w:val="center"/>
          </w:tcPr>
          <w:p w14:paraId="2978DC44" w14:textId="77777777" w:rsidR="002D7931" w:rsidRPr="00061FA5" w:rsidRDefault="002D7931" w:rsidP="00C2141A">
            <w:pPr>
              <w:spacing w:line="480" w:lineRule="auto"/>
              <w:jc w:val="center"/>
              <w:rPr>
                <w:rFonts w:ascii="Arial" w:hAnsi="Arial" w:cs="Arial"/>
                <w:sz w:val="16"/>
                <w:szCs w:val="16"/>
              </w:rPr>
            </w:pPr>
            <w:r w:rsidRPr="00061FA5">
              <w:rPr>
                <w:rFonts w:ascii="Arial" w:hAnsi="Arial" w:cs="Arial"/>
                <w:sz w:val="16"/>
                <w:szCs w:val="16"/>
              </w:rPr>
              <w:t xml:space="preserve">4.4 (4.4) </w:t>
            </w:r>
          </w:p>
        </w:tc>
        <w:tc>
          <w:tcPr>
            <w:tcW w:w="1893" w:type="dxa"/>
            <w:shd w:val="clear" w:color="auto" w:fill="auto"/>
          </w:tcPr>
          <w:p w14:paraId="1CA6F858" w14:textId="77777777" w:rsidR="002D7931" w:rsidRPr="00061FA5" w:rsidRDefault="002D7931" w:rsidP="00DE2F89">
            <w:pPr>
              <w:spacing w:line="480" w:lineRule="auto"/>
              <w:jc w:val="center"/>
              <w:rPr>
                <w:rFonts w:ascii="Arial" w:hAnsi="Arial" w:cs="Arial"/>
                <w:sz w:val="16"/>
                <w:szCs w:val="16"/>
              </w:rPr>
            </w:pPr>
            <w:r w:rsidRPr="00061FA5">
              <w:rPr>
                <w:rFonts w:ascii="Arial" w:hAnsi="Arial" w:cs="Arial"/>
                <w:sz w:val="16"/>
                <w:szCs w:val="16"/>
              </w:rPr>
              <w:t>-0.9 (2.9)</w:t>
            </w:r>
          </w:p>
        </w:tc>
      </w:tr>
      <w:tr w:rsidR="002D7931" w:rsidRPr="00061FA5" w14:paraId="280C8D72" w14:textId="77777777" w:rsidTr="000969BD">
        <w:trPr>
          <w:jc w:val="center"/>
        </w:trPr>
        <w:tc>
          <w:tcPr>
            <w:tcW w:w="3354" w:type="dxa"/>
            <w:shd w:val="clear" w:color="auto" w:fill="auto"/>
            <w:vAlign w:val="center"/>
          </w:tcPr>
          <w:p w14:paraId="183FAC64" w14:textId="77777777" w:rsidR="002D7931" w:rsidRPr="00061FA5" w:rsidRDefault="002D7931" w:rsidP="00DE2F89">
            <w:pPr>
              <w:spacing w:line="480" w:lineRule="auto"/>
              <w:jc w:val="both"/>
              <w:rPr>
                <w:rFonts w:ascii="Arial" w:hAnsi="Arial" w:cs="Arial"/>
                <w:b/>
                <w:sz w:val="16"/>
                <w:szCs w:val="16"/>
              </w:rPr>
            </w:pPr>
            <w:r w:rsidRPr="00061FA5">
              <w:rPr>
                <w:rFonts w:ascii="Arial" w:hAnsi="Arial" w:cs="Arial"/>
                <w:b/>
                <w:sz w:val="16"/>
                <w:szCs w:val="16"/>
              </w:rPr>
              <w:t>WASI Block Design</w:t>
            </w:r>
          </w:p>
        </w:tc>
        <w:tc>
          <w:tcPr>
            <w:tcW w:w="1893" w:type="dxa"/>
            <w:shd w:val="clear" w:color="auto" w:fill="auto"/>
            <w:vAlign w:val="center"/>
          </w:tcPr>
          <w:p w14:paraId="5DC5292E" w14:textId="77777777" w:rsidR="002D7931" w:rsidRPr="00061FA5" w:rsidRDefault="002D7931" w:rsidP="00C2141A">
            <w:pPr>
              <w:spacing w:line="480" w:lineRule="auto"/>
              <w:jc w:val="center"/>
              <w:rPr>
                <w:rFonts w:ascii="Arial" w:hAnsi="Arial" w:cs="Arial"/>
                <w:sz w:val="16"/>
                <w:szCs w:val="16"/>
              </w:rPr>
            </w:pPr>
            <w:r w:rsidRPr="00061FA5">
              <w:rPr>
                <w:rFonts w:ascii="Arial" w:hAnsi="Arial" w:cs="Arial"/>
                <w:sz w:val="16"/>
                <w:szCs w:val="16"/>
              </w:rPr>
              <w:t xml:space="preserve">8.7 (4.3) </w:t>
            </w:r>
          </w:p>
        </w:tc>
        <w:tc>
          <w:tcPr>
            <w:tcW w:w="1893" w:type="dxa"/>
            <w:shd w:val="clear" w:color="auto" w:fill="auto"/>
          </w:tcPr>
          <w:p w14:paraId="6FC9B408" w14:textId="77777777" w:rsidR="002D7931" w:rsidRPr="00061FA5" w:rsidRDefault="002D7931" w:rsidP="00DE2F89">
            <w:pPr>
              <w:spacing w:line="480" w:lineRule="auto"/>
              <w:jc w:val="center"/>
              <w:rPr>
                <w:rFonts w:ascii="Arial" w:hAnsi="Arial" w:cs="Arial"/>
                <w:sz w:val="16"/>
                <w:szCs w:val="16"/>
              </w:rPr>
            </w:pPr>
            <w:r w:rsidRPr="00061FA5">
              <w:rPr>
                <w:rFonts w:ascii="Arial" w:hAnsi="Arial" w:cs="Arial"/>
                <w:sz w:val="16"/>
                <w:szCs w:val="16"/>
              </w:rPr>
              <w:t>-0.4 (2.6)</w:t>
            </w:r>
          </w:p>
        </w:tc>
      </w:tr>
      <w:tr w:rsidR="002D7931" w:rsidRPr="00061FA5" w14:paraId="24740A5D" w14:textId="77777777" w:rsidTr="000969BD">
        <w:trPr>
          <w:jc w:val="center"/>
        </w:trPr>
        <w:tc>
          <w:tcPr>
            <w:tcW w:w="3354" w:type="dxa"/>
            <w:shd w:val="clear" w:color="auto" w:fill="auto"/>
            <w:vAlign w:val="center"/>
          </w:tcPr>
          <w:p w14:paraId="049B0FAE" w14:textId="77777777" w:rsidR="002D7931" w:rsidRPr="00061FA5" w:rsidRDefault="002D7931" w:rsidP="00DE2F89">
            <w:pPr>
              <w:spacing w:line="480" w:lineRule="auto"/>
              <w:jc w:val="both"/>
              <w:rPr>
                <w:rFonts w:ascii="Arial" w:hAnsi="Arial" w:cs="Arial"/>
                <w:b/>
                <w:sz w:val="16"/>
                <w:szCs w:val="16"/>
              </w:rPr>
            </w:pPr>
            <w:r w:rsidRPr="00061FA5">
              <w:rPr>
                <w:rFonts w:ascii="Arial" w:hAnsi="Arial" w:cs="Arial"/>
                <w:b/>
                <w:sz w:val="16"/>
                <w:szCs w:val="16"/>
              </w:rPr>
              <w:t>WASI Similarities</w:t>
            </w:r>
          </w:p>
        </w:tc>
        <w:tc>
          <w:tcPr>
            <w:tcW w:w="1893" w:type="dxa"/>
            <w:shd w:val="clear" w:color="auto" w:fill="auto"/>
            <w:vAlign w:val="center"/>
          </w:tcPr>
          <w:p w14:paraId="4BB541B4" w14:textId="77777777" w:rsidR="002D7931" w:rsidRPr="00061FA5" w:rsidRDefault="002D7931" w:rsidP="00C2141A">
            <w:pPr>
              <w:spacing w:line="480" w:lineRule="auto"/>
              <w:jc w:val="center"/>
              <w:rPr>
                <w:rFonts w:ascii="Arial" w:hAnsi="Arial" w:cs="Arial"/>
                <w:sz w:val="16"/>
                <w:szCs w:val="16"/>
              </w:rPr>
            </w:pPr>
            <w:r w:rsidRPr="00061FA5">
              <w:rPr>
                <w:rFonts w:ascii="Arial" w:hAnsi="Arial" w:cs="Arial"/>
                <w:sz w:val="16"/>
                <w:szCs w:val="16"/>
              </w:rPr>
              <w:t xml:space="preserve">5.9 (4.3) </w:t>
            </w:r>
          </w:p>
        </w:tc>
        <w:tc>
          <w:tcPr>
            <w:tcW w:w="1893" w:type="dxa"/>
            <w:shd w:val="clear" w:color="auto" w:fill="auto"/>
          </w:tcPr>
          <w:p w14:paraId="03A678C7" w14:textId="77777777" w:rsidR="002D7931" w:rsidRPr="00061FA5" w:rsidRDefault="002D7931" w:rsidP="00DE2F89">
            <w:pPr>
              <w:spacing w:line="480" w:lineRule="auto"/>
              <w:jc w:val="center"/>
              <w:rPr>
                <w:rFonts w:ascii="Arial" w:hAnsi="Arial" w:cs="Arial"/>
                <w:sz w:val="16"/>
                <w:szCs w:val="16"/>
              </w:rPr>
            </w:pPr>
            <w:r w:rsidRPr="00061FA5">
              <w:rPr>
                <w:rFonts w:ascii="Arial" w:hAnsi="Arial" w:cs="Arial"/>
                <w:sz w:val="16"/>
                <w:szCs w:val="16"/>
              </w:rPr>
              <w:t>-1.5 (3.1)</w:t>
            </w:r>
          </w:p>
        </w:tc>
      </w:tr>
      <w:tr w:rsidR="002D7931" w:rsidRPr="00061FA5" w14:paraId="7980FAF5" w14:textId="77777777" w:rsidTr="000969BD">
        <w:trPr>
          <w:jc w:val="center"/>
        </w:trPr>
        <w:tc>
          <w:tcPr>
            <w:tcW w:w="3354" w:type="dxa"/>
            <w:shd w:val="clear" w:color="auto" w:fill="auto"/>
            <w:vAlign w:val="center"/>
          </w:tcPr>
          <w:p w14:paraId="12BE61BD" w14:textId="77777777" w:rsidR="002D7931" w:rsidRPr="00061FA5" w:rsidRDefault="002D7931" w:rsidP="00DE2F89">
            <w:pPr>
              <w:spacing w:line="480" w:lineRule="auto"/>
              <w:jc w:val="both"/>
              <w:rPr>
                <w:rFonts w:ascii="Arial" w:hAnsi="Arial" w:cs="Arial"/>
                <w:b/>
                <w:sz w:val="16"/>
                <w:szCs w:val="16"/>
              </w:rPr>
            </w:pPr>
            <w:r w:rsidRPr="00061FA5">
              <w:rPr>
                <w:rFonts w:ascii="Arial" w:hAnsi="Arial" w:cs="Arial"/>
                <w:b/>
                <w:sz w:val="16"/>
                <w:szCs w:val="16"/>
              </w:rPr>
              <w:t>WASI Matrices</w:t>
            </w:r>
          </w:p>
        </w:tc>
        <w:tc>
          <w:tcPr>
            <w:tcW w:w="1893" w:type="dxa"/>
            <w:shd w:val="clear" w:color="auto" w:fill="auto"/>
            <w:vAlign w:val="center"/>
          </w:tcPr>
          <w:p w14:paraId="2CB83BDF" w14:textId="77777777" w:rsidR="002D7931" w:rsidRPr="00061FA5" w:rsidRDefault="002D7931" w:rsidP="00C2141A">
            <w:pPr>
              <w:spacing w:line="480" w:lineRule="auto"/>
              <w:jc w:val="center"/>
              <w:rPr>
                <w:rFonts w:ascii="Arial" w:hAnsi="Arial" w:cs="Arial"/>
                <w:sz w:val="16"/>
                <w:szCs w:val="16"/>
              </w:rPr>
            </w:pPr>
            <w:r w:rsidRPr="00061FA5">
              <w:rPr>
                <w:rFonts w:ascii="Arial" w:hAnsi="Arial" w:cs="Arial"/>
                <w:sz w:val="16"/>
                <w:szCs w:val="16"/>
              </w:rPr>
              <w:t xml:space="preserve">9.4 (4.3) </w:t>
            </w:r>
          </w:p>
        </w:tc>
        <w:tc>
          <w:tcPr>
            <w:tcW w:w="1893" w:type="dxa"/>
            <w:shd w:val="clear" w:color="auto" w:fill="auto"/>
          </w:tcPr>
          <w:p w14:paraId="32DD93EF" w14:textId="77777777" w:rsidR="002D7931" w:rsidRPr="00061FA5" w:rsidRDefault="002D7931" w:rsidP="00DE2F89">
            <w:pPr>
              <w:spacing w:line="480" w:lineRule="auto"/>
              <w:jc w:val="center"/>
              <w:rPr>
                <w:rFonts w:ascii="Arial" w:hAnsi="Arial" w:cs="Arial"/>
                <w:sz w:val="16"/>
                <w:szCs w:val="16"/>
              </w:rPr>
            </w:pPr>
            <w:r w:rsidRPr="00061FA5">
              <w:rPr>
                <w:rFonts w:ascii="Arial" w:hAnsi="Arial" w:cs="Arial"/>
                <w:sz w:val="16"/>
                <w:szCs w:val="16"/>
              </w:rPr>
              <w:t>0.1(2.6)</w:t>
            </w:r>
          </w:p>
        </w:tc>
      </w:tr>
      <w:tr w:rsidR="002D7931" w:rsidRPr="00061FA5" w14:paraId="50F6A193" w14:textId="77777777" w:rsidTr="000969BD">
        <w:trPr>
          <w:jc w:val="center"/>
        </w:trPr>
        <w:tc>
          <w:tcPr>
            <w:tcW w:w="3354" w:type="dxa"/>
            <w:shd w:val="clear" w:color="auto" w:fill="auto"/>
            <w:vAlign w:val="center"/>
          </w:tcPr>
          <w:p w14:paraId="64287F9D" w14:textId="77777777" w:rsidR="002D7931" w:rsidRPr="00061FA5" w:rsidRDefault="002D7931" w:rsidP="00DE2F89">
            <w:pPr>
              <w:spacing w:line="480" w:lineRule="auto"/>
              <w:jc w:val="both"/>
              <w:rPr>
                <w:rFonts w:ascii="Arial" w:hAnsi="Arial" w:cs="Arial"/>
                <w:b/>
                <w:sz w:val="16"/>
                <w:szCs w:val="16"/>
              </w:rPr>
            </w:pPr>
            <w:r w:rsidRPr="00061FA5">
              <w:rPr>
                <w:rFonts w:ascii="Arial" w:hAnsi="Arial" w:cs="Arial"/>
                <w:b/>
                <w:sz w:val="16"/>
                <w:szCs w:val="16"/>
              </w:rPr>
              <w:t>RMT Faces</w:t>
            </w:r>
          </w:p>
        </w:tc>
        <w:tc>
          <w:tcPr>
            <w:tcW w:w="1893" w:type="dxa"/>
            <w:shd w:val="clear" w:color="auto" w:fill="auto"/>
            <w:vAlign w:val="center"/>
          </w:tcPr>
          <w:p w14:paraId="00B4988F" w14:textId="77777777" w:rsidR="002D7931" w:rsidRPr="00061FA5" w:rsidRDefault="002D7931" w:rsidP="00C2141A">
            <w:pPr>
              <w:spacing w:line="480" w:lineRule="auto"/>
              <w:jc w:val="center"/>
              <w:rPr>
                <w:rFonts w:ascii="Arial" w:hAnsi="Arial" w:cs="Arial"/>
                <w:sz w:val="16"/>
                <w:szCs w:val="16"/>
              </w:rPr>
            </w:pPr>
            <w:r w:rsidRPr="00061FA5">
              <w:rPr>
                <w:rFonts w:ascii="Arial" w:hAnsi="Arial" w:cs="Arial"/>
                <w:sz w:val="16"/>
                <w:szCs w:val="16"/>
              </w:rPr>
              <w:t xml:space="preserve">5.2 (4.1) </w:t>
            </w:r>
          </w:p>
        </w:tc>
        <w:tc>
          <w:tcPr>
            <w:tcW w:w="1893" w:type="dxa"/>
            <w:shd w:val="clear" w:color="auto" w:fill="auto"/>
          </w:tcPr>
          <w:p w14:paraId="2B4D565B" w14:textId="77777777" w:rsidR="002D7931" w:rsidRPr="00061FA5" w:rsidRDefault="002D7931" w:rsidP="00DE2F89">
            <w:pPr>
              <w:spacing w:line="480" w:lineRule="auto"/>
              <w:jc w:val="center"/>
              <w:rPr>
                <w:rFonts w:ascii="Arial" w:hAnsi="Arial" w:cs="Arial"/>
                <w:sz w:val="16"/>
                <w:szCs w:val="16"/>
              </w:rPr>
            </w:pPr>
            <w:r w:rsidRPr="00061FA5">
              <w:rPr>
                <w:rFonts w:ascii="Arial" w:hAnsi="Arial" w:cs="Arial"/>
                <w:sz w:val="16"/>
                <w:szCs w:val="16"/>
              </w:rPr>
              <w:t>-0.9 (3.7)</w:t>
            </w:r>
          </w:p>
        </w:tc>
      </w:tr>
      <w:tr w:rsidR="002D7931" w:rsidRPr="00061FA5" w14:paraId="2177F5EF" w14:textId="77777777" w:rsidTr="000969BD">
        <w:trPr>
          <w:jc w:val="center"/>
        </w:trPr>
        <w:tc>
          <w:tcPr>
            <w:tcW w:w="3354" w:type="dxa"/>
            <w:shd w:val="clear" w:color="auto" w:fill="auto"/>
            <w:vAlign w:val="center"/>
          </w:tcPr>
          <w:p w14:paraId="20A15271" w14:textId="77777777" w:rsidR="002D7931" w:rsidRPr="00061FA5" w:rsidRDefault="002D7931" w:rsidP="00DE2F89">
            <w:pPr>
              <w:spacing w:line="480" w:lineRule="auto"/>
              <w:jc w:val="both"/>
              <w:rPr>
                <w:rFonts w:ascii="Arial" w:hAnsi="Arial" w:cs="Arial"/>
                <w:b/>
                <w:sz w:val="16"/>
                <w:szCs w:val="16"/>
              </w:rPr>
            </w:pPr>
            <w:r w:rsidRPr="00061FA5">
              <w:rPr>
                <w:rFonts w:ascii="Arial" w:hAnsi="Arial" w:cs="Arial"/>
                <w:b/>
                <w:sz w:val="16"/>
                <w:szCs w:val="16"/>
              </w:rPr>
              <w:t>RMT Words</w:t>
            </w:r>
          </w:p>
        </w:tc>
        <w:tc>
          <w:tcPr>
            <w:tcW w:w="1893" w:type="dxa"/>
            <w:shd w:val="clear" w:color="auto" w:fill="auto"/>
            <w:vAlign w:val="center"/>
          </w:tcPr>
          <w:p w14:paraId="67E48686" w14:textId="77777777" w:rsidR="002D7931" w:rsidRPr="00061FA5" w:rsidRDefault="002D7931" w:rsidP="00C2141A">
            <w:pPr>
              <w:spacing w:line="480" w:lineRule="auto"/>
              <w:jc w:val="center"/>
              <w:rPr>
                <w:rFonts w:ascii="Arial" w:hAnsi="Arial" w:cs="Arial"/>
                <w:sz w:val="16"/>
                <w:szCs w:val="16"/>
              </w:rPr>
            </w:pPr>
            <w:r w:rsidRPr="00061FA5">
              <w:rPr>
                <w:rFonts w:ascii="Arial" w:hAnsi="Arial" w:cs="Arial"/>
                <w:sz w:val="16"/>
                <w:szCs w:val="16"/>
              </w:rPr>
              <w:t xml:space="preserve">6.1 (4.5) </w:t>
            </w:r>
          </w:p>
        </w:tc>
        <w:tc>
          <w:tcPr>
            <w:tcW w:w="1893" w:type="dxa"/>
            <w:shd w:val="clear" w:color="auto" w:fill="auto"/>
          </w:tcPr>
          <w:p w14:paraId="4509BBD7" w14:textId="77777777" w:rsidR="002D7931" w:rsidRPr="00061FA5" w:rsidRDefault="002D7931" w:rsidP="00DE2F89">
            <w:pPr>
              <w:spacing w:line="480" w:lineRule="auto"/>
              <w:jc w:val="center"/>
              <w:rPr>
                <w:rFonts w:ascii="Arial" w:hAnsi="Arial" w:cs="Arial"/>
                <w:sz w:val="16"/>
                <w:szCs w:val="16"/>
              </w:rPr>
            </w:pPr>
            <w:r w:rsidRPr="00061FA5">
              <w:rPr>
                <w:rFonts w:ascii="Arial" w:hAnsi="Arial" w:cs="Arial"/>
                <w:sz w:val="16"/>
                <w:szCs w:val="16"/>
              </w:rPr>
              <w:t>-1.5 (4.1)</w:t>
            </w:r>
          </w:p>
        </w:tc>
      </w:tr>
      <w:tr w:rsidR="002D7931" w:rsidRPr="00061FA5" w14:paraId="3492C707" w14:textId="77777777" w:rsidTr="000969BD">
        <w:trPr>
          <w:jc w:val="center"/>
        </w:trPr>
        <w:tc>
          <w:tcPr>
            <w:tcW w:w="3354" w:type="dxa"/>
            <w:shd w:val="clear" w:color="auto" w:fill="auto"/>
            <w:vAlign w:val="center"/>
          </w:tcPr>
          <w:p w14:paraId="1222889A" w14:textId="77777777" w:rsidR="002D7931" w:rsidRPr="00061FA5" w:rsidRDefault="002D7931" w:rsidP="00DE2F89">
            <w:pPr>
              <w:spacing w:line="480" w:lineRule="auto"/>
              <w:jc w:val="both"/>
              <w:rPr>
                <w:rFonts w:ascii="Arial" w:hAnsi="Arial" w:cs="Arial"/>
                <w:b/>
                <w:sz w:val="16"/>
                <w:szCs w:val="16"/>
              </w:rPr>
            </w:pPr>
            <w:r w:rsidRPr="00061FA5">
              <w:rPr>
                <w:rFonts w:ascii="Arial" w:hAnsi="Arial" w:cs="Arial"/>
                <w:b/>
                <w:sz w:val="16"/>
                <w:szCs w:val="16"/>
              </w:rPr>
              <w:t>Graded Naming Test</w:t>
            </w:r>
          </w:p>
        </w:tc>
        <w:tc>
          <w:tcPr>
            <w:tcW w:w="1893" w:type="dxa"/>
            <w:shd w:val="clear" w:color="auto" w:fill="auto"/>
            <w:vAlign w:val="center"/>
          </w:tcPr>
          <w:p w14:paraId="51DF26F4" w14:textId="77777777" w:rsidR="002D7931" w:rsidRPr="00061FA5" w:rsidRDefault="002D7931" w:rsidP="00C2141A">
            <w:pPr>
              <w:spacing w:line="480" w:lineRule="auto"/>
              <w:jc w:val="center"/>
              <w:rPr>
                <w:rFonts w:ascii="Arial" w:hAnsi="Arial" w:cs="Arial"/>
                <w:sz w:val="16"/>
                <w:szCs w:val="16"/>
              </w:rPr>
            </w:pPr>
            <w:r w:rsidRPr="00061FA5">
              <w:rPr>
                <w:rFonts w:ascii="Arial" w:hAnsi="Arial" w:cs="Arial"/>
                <w:sz w:val="16"/>
                <w:szCs w:val="16"/>
              </w:rPr>
              <w:t xml:space="preserve">4.2 (4.4) </w:t>
            </w:r>
          </w:p>
        </w:tc>
        <w:tc>
          <w:tcPr>
            <w:tcW w:w="1893" w:type="dxa"/>
            <w:shd w:val="clear" w:color="auto" w:fill="auto"/>
          </w:tcPr>
          <w:p w14:paraId="78E64284" w14:textId="77777777" w:rsidR="002D7931" w:rsidRPr="00061FA5" w:rsidRDefault="002D7931" w:rsidP="00DE2F89">
            <w:pPr>
              <w:spacing w:line="480" w:lineRule="auto"/>
              <w:jc w:val="center"/>
              <w:rPr>
                <w:rFonts w:ascii="Arial" w:hAnsi="Arial" w:cs="Arial"/>
                <w:sz w:val="16"/>
                <w:szCs w:val="16"/>
              </w:rPr>
            </w:pPr>
            <w:r w:rsidRPr="00061FA5">
              <w:rPr>
                <w:rFonts w:ascii="Arial" w:hAnsi="Arial" w:cs="Arial"/>
                <w:sz w:val="16"/>
                <w:szCs w:val="16"/>
              </w:rPr>
              <w:t>-1.7 (3.0)</w:t>
            </w:r>
          </w:p>
        </w:tc>
      </w:tr>
      <w:tr w:rsidR="002D7931" w:rsidRPr="00061FA5" w14:paraId="601F5814" w14:textId="77777777" w:rsidTr="000969BD">
        <w:trPr>
          <w:jc w:val="center"/>
        </w:trPr>
        <w:tc>
          <w:tcPr>
            <w:tcW w:w="3354" w:type="dxa"/>
            <w:shd w:val="clear" w:color="auto" w:fill="auto"/>
            <w:vAlign w:val="center"/>
          </w:tcPr>
          <w:p w14:paraId="7DEA21CB" w14:textId="77777777" w:rsidR="002D7931" w:rsidRPr="00061FA5" w:rsidRDefault="002D7931" w:rsidP="00DE2F89">
            <w:pPr>
              <w:spacing w:line="480" w:lineRule="auto"/>
              <w:jc w:val="both"/>
              <w:rPr>
                <w:rFonts w:ascii="Arial" w:hAnsi="Arial" w:cs="Arial"/>
                <w:b/>
                <w:sz w:val="16"/>
                <w:szCs w:val="16"/>
              </w:rPr>
            </w:pPr>
            <w:r w:rsidRPr="00061FA5">
              <w:rPr>
                <w:rFonts w:ascii="Arial" w:hAnsi="Arial" w:cs="Arial"/>
                <w:b/>
                <w:sz w:val="16"/>
                <w:szCs w:val="16"/>
              </w:rPr>
              <w:t>Graded Difficulty Calculation Test</w:t>
            </w:r>
          </w:p>
        </w:tc>
        <w:tc>
          <w:tcPr>
            <w:tcW w:w="1893" w:type="dxa"/>
            <w:shd w:val="clear" w:color="auto" w:fill="auto"/>
            <w:vAlign w:val="center"/>
          </w:tcPr>
          <w:p w14:paraId="1A1F692D" w14:textId="77777777" w:rsidR="002D7931" w:rsidRPr="00061FA5" w:rsidRDefault="002D7931" w:rsidP="00C2141A">
            <w:pPr>
              <w:spacing w:line="480" w:lineRule="auto"/>
              <w:jc w:val="center"/>
              <w:rPr>
                <w:rFonts w:ascii="Arial" w:hAnsi="Arial" w:cs="Arial"/>
                <w:sz w:val="16"/>
                <w:szCs w:val="16"/>
              </w:rPr>
            </w:pPr>
            <w:r w:rsidRPr="00061FA5">
              <w:rPr>
                <w:rFonts w:ascii="Arial" w:hAnsi="Arial" w:cs="Arial"/>
                <w:sz w:val="16"/>
                <w:szCs w:val="16"/>
              </w:rPr>
              <w:t xml:space="preserve">7.8 (5.0) </w:t>
            </w:r>
          </w:p>
        </w:tc>
        <w:tc>
          <w:tcPr>
            <w:tcW w:w="1893" w:type="dxa"/>
            <w:shd w:val="clear" w:color="auto" w:fill="auto"/>
          </w:tcPr>
          <w:p w14:paraId="4212A3B6" w14:textId="77777777" w:rsidR="002D7931" w:rsidRPr="00061FA5" w:rsidRDefault="002D7931" w:rsidP="00DE2F89">
            <w:pPr>
              <w:spacing w:line="480" w:lineRule="auto"/>
              <w:jc w:val="center"/>
              <w:rPr>
                <w:rFonts w:ascii="Arial" w:hAnsi="Arial" w:cs="Arial"/>
                <w:b/>
                <w:sz w:val="16"/>
                <w:szCs w:val="16"/>
              </w:rPr>
            </w:pPr>
            <w:r w:rsidRPr="00061FA5">
              <w:rPr>
                <w:rFonts w:ascii="Arial" w:hAnsi="Arial" w:cs="Arial"/>
                <w:sz w:val="16"/>
                <w:szCs w:val="16"/>
              </w:rPr>
              <w:t>-0.9 (2.4)</w:t>
            </w:r>
          </w:p>
        </w:tc>
      </w:tr>
      <w:tr w:rsidR="002D7931" w:rsidRPr="00061FA5" w14:paraId="6A737E40" w14:textId="77777777" w:rsidTr="000969BD">
        <w:trPr>
          <w:jc w:val="center"/>
        </w:trPr>
        <w:tc>
          <w:tcPr>
            <w:tcW w:w="3354" w:type="dxa"/>
            <w:shd w:val="clear" w:color="auto" w:fill="auto"/>
            <w:vAlign w:val="center"/>
          </w:tcPr>
          <w:p w14:paraId="2D82E4BD" w14:textId="77777777" w:rsidR="002D7931" w:rsidRPr="00061FA5" w:rsidRDefault="002D7931" w:rsidP="00DE2F89">
            <w:pPr>
              <w:spacing w:line="480" w:lineRule="auto"/>
              <w:jc w:val="both"/>
              <w:rPr>
                <w:rFonts w:ascii="Arial" w:hAnsi="Arial" w:cs="Arial"/>
                <w:b/>
                <w:sz w:val="16"/>
                <w:szCs w:val="16"/>
              </w:rPr>
            </w:pPr>
            <w:r w:rsidRPr="00061FA5">
              <w:rPr>
                <w:rFonts w:ascii="Arial" w:hAnsi="Arial" w:cs="Arial"/>
                <w:b/>
                <w:sz w:val="16"/>
                <w:szCs w:val="16"/>
              </w:rPr>
              <w:t>D-KEFS Color-Word Interference Test</w:t>
            </w:r>
          </w:p>
        </w:tc>
        <w:tc>
          <w:tcPr>
            <w:tcW w:w="1893" w:type="dxa"/>
            <w:shd w:val="clear" w:color="auto" w:fill="auto"/>
            <w:vAlign w:val="center"/>
          </w:tcPr>
          <w:p w14:paraId="118DE89A" w14:textId="77777777" w:rsidR="002D7931" w:rsidRPr="00061FA5" w:rsidRDefault="002D7931" w:rsidP="00C2141A">
            <w:pPr>
              <w:spacing w:line="480" w:lineRule="auto"/>
              <w:jc w:val="center"/>
              <w:rPr>
                <w:rFonts w:ascii="Arial" w:hAnsi="Arial" w:cs="Arial"/>
                <w:sz w:val="16"/>
                <w:szCs w:val="16"/>
              </w:rPr>
            </w:pPr>
            <w:r w:rsidRPr="00061FA5">
              <w:rPr>
                <w:rFonts w:ascii="Arial" w:hAnsi="Arial" w:cs="Arial"/>
                <w:sz w:val="16"/>
                <w:szCs w:val="16"/>
              </w:rPr>
              <w:t xml:space="preserve">6.1 (5.1) </w:t>
            </w:r>
          </w:p>
        </w:tc>
        <w:tc>
          <w:tcPr>
            <w:tcW w:w="1893" w:type="dxa"/>
            <w:shd w:val="clear" w:color="auto" w:fill="auto"/>
          </w:tcPr>
          <w:p w14:paraId="0C21096E" w14:textId="77777777" w:rsidR="002D7931" w:rsidRPr="00061FA5" w:rsidRDefault="002D7931" w:rsidP="00DE2F89">
            <w:pPr>
              <w:spacing w:line="480" w:lineRule="auto"/>
              <w:jc w:val="center"/>
              <w:rPr>
                <w:rFonts w:ascii="Arial" w:hAnsi="Arial" w:cs="Arial"/>
                <w:sz w:val="16"/>
                <w:szCs w:val="16"/>
              </w:rPr>
            </w:pPr>
            <w:r w:rsidRPr="00061FA5">
              <w:rPr>
                <w:rFonts w:ascii="Arial" w:hAnsi="Arial" w:cs="Arial"/>
                <w:sz w:val="16"/>
                <w:szCs w:val="16"/>
              </w:rPr>
              <w:t>-1.7 (2.5)</w:t>
            </w:r>
          </w:p>
        </w:tc>
      </w:tr>
      <w:tr w:rsidR="002D7931" w:rsidRPr="00061FA5" w14:paraId="26BDA37A" w14:textId="77777777" w:rsidTr="000969BD">
        <w:trPr>
          <w:jc w:val="center"/>
        </w:trPr>
        <w:tc>
          <w:tcPr>
            <w:tcW w:w="3354" w:type="dxa"/>
            <w:shd w:val="clear" w:color="auto" w:fill="auto"/>
            <w:vAlign w:val="center"/>
          </w:tcPr>
          <w:p w14:paraId="6BBF4D6A" w14:textId="77777777" w:rsidR="002D7931" w:rsidRPr="00061FA5" w:rsidRDefault="002D7931" w:rsidP="00DE2F89">
            <w:pPr>
              <w:spacing w:line="480" w:lineRule="auto"/>
              <w:jc w:val="both"/>
              <w:rPr>
                <w:rFonts w:ascii="Arial" w:hAnsi="Arial" w:cs="Arial"/>
                <w:b/>
                <w:i/>
                <w:sz w:val="16"/>
                <w:szCs w:val="16"/>
              </w:rPr>
            </w:pPr>
            <w:r w:rsidRPr="00061FA5">
              <w:rPr>
                <w:rFonts w:ascii="Arial" w:hAnsi="Arial" w:cs="Arial"/>
                <w:b/>
                <w:i/>
                <w:sz w:val="16"/>
                <w:szCs w:val="16"/>
              </w:rPr>
              <w:t>Imaging measures</w:t>
            </w:r>
          </w:p>
        </w:tc>
        <w:tc>
          <w:tcPr>
            <w:tcW w:w="1893" w:type="dxa"/>
            <w:shd w:val="clear" w:color="auto" w:fill="auto"/>
            <w:vAlign w:val="center"/>
          </w:tcPr>
          <w:p w14:paraId="2509D87D" w14:textId="77777777" w:rsidR="002D7931" w:rsidRPr="00061FA5" w:rsidRDefault="002D7931" w:rsidP="00DE2F89">
            <w:pPr>
              <w:spacing w:line="480" w:lineRule="auto"/>
              <w:jc w:val="center"/>
              <w:rPr>
                <w:rFonts w:ascii="Arial" w:hAnsi="Arial" w:cs="Arial"/>
                <w:sz w:val="16"/>
                <w:szCs w:val="16"/>
              </w:rPr>
            </w:pPr>
          </w:p>
        </w:tc>
        <w:tc>
          <w:tcPr>
            <w:tcW w:w="1893" w:type="dxa"/>
            <w:shd w:val="clear" w:color="auto" w:fill="auto"/>
          </w:tcPr>
          <w:p w14:paraId="05C30C5B" w14:textId="77777777" w:rsidR="002D7931" w:rsidRPr="00061FA5" w:rsidRDefault="002D7931" w:rsidP="00DE2F89">
            <w:pPr>
              <w:spacing w:line="480" w:lineRule="auto"/>
              <w:jc w:val="center"/>
              <w:rPr>
                <w:rFonts w:ascii="Arial" w:hAnsi="Arial" w:cs="Arial"/>
                <w:sz w:val="16"/>
                <w:szCs w:val="16"/>
              </w:rPr>
            </w:pPr>
          </w:p>
        </w:tc>
      </w:tr>
      <w:tr w:rsidR="002D7931" w:rsidRPr="00061FA5" w14:paraId="4D5F1660" w14:textId="77777777" w:rsidTr="00C2141A">
        <w:trPr>
          <w:jc w:val="center"/>
        </w:trPr>
        <w:tc>
          <w:tcPr>
            <w:tcW w:w="3354" w:type="dxa"/>
            <w:vAlign w:val="center"/>
          </w:tcPr>
          <w:p w14:paraId="54353D6F" w14:textId="77777777" w:rsidR="002D7931" w:rsidRPr="00061FA5" w:rsidRDefault="002D7931" w:rsidP="00DE2F89">
            <w:pPr>
              <w:spacing w:line="480" w:lineRule="auto"/>
              <w:jc w:val="both"/>
              <w:rPr>
                <w:rFonts w:ascii="Arial" w:hAnsi="Arial" w:cs="Arial"/>
                <w:b/>
                <w:sz w:val="16"/>
                <w:szCs w:val="16"/>
              </w:rPr>
            </w:pPr>
            <w:r w:rsidRPr="00061FA5">
              <w:rPr>
                <w:rFonts w:ascii="Arial" w:hAnsi="Arial" w:cs="Arial"/>
                <w:b/>
                <w:sz w:val="16"/>
                <w:szCs w:val="16"/>
              </w:rPr>
              <w:t>Number of participants</w:t>
            </w:r>
          </w:p>
        </w:tc>
        <w:tc>
          <w:tcPr>
            <w:tcW w:w="1893" w:type="dxa"/>
            <w:vAlign w:val="center"/>
          </w:tcPr>
          <w:p w14:paraId="1982BB6B" w14:textId="77777777" w:rsidR="002D7931" w:rsidRPr="00061FA5" w:rsidRDefault="002D7931" w:rsidP="00DE2F89">
            <w:pPr>
              <w:spacing w:line="480" w:lineRule="auto"/>
              <w:jc w:val="center"/>
              <w:rPr>
                <w:rFonts w:ascii="Arial" w:hAnsi="Arial" w:cs="Arial"/>
                <w:sz w:val="16"/>
                <w:szCs w:val="16"/>
              </w:rPr>
            </w:pPr>
            <w:r w:rsidRPr="00061FA5">
              <w:rPr>
                <w:rFonts w:ascii="Arial" w:hAnsi="Arial" w:cs="Arial"/>
                <w:sz w:val="16"/>
                <w:szCs w:val="16"/>
              </w:rPr>
              <w:t xml:space="preserve">46 </w:t>
            </w:r>
          </w:p>
        </w:tc>
        <w:tc>
          <w:tcPr>
            <w:tcW w:w="1893" w:type="dxa"/>
          </w:tcPr>
          <w:p w14:paraId="475CC785" w14:textId="77777777" w:rsidR="002D7931" w:rsidRPr="00061FA5" w:rsidRDefault="002D7931" w:rsidP="00DE2F89">
            <w:pPr>
              <w:spacing w:line="480" w:lineRule="auto"/>
              <w:jc w:val="center"/>
              <w:rPr>
                <w:rFonts w:ascii="Arial" w:hAnsi="Arial" w:cs="Arial"/>
                <w:sz w:val="16"/>
                <w:szCs w:val="16"/>
              </w:rPr>
            </w:pPr>
            <w:r w:rsidRPr="00061FA5">
              <w:rPr>
                <w:rFonts w:ascii="Arial" w:hAnsi="Arial" w:cs="Arial"/>
                <w:sz w:val="16"/>
                <w:szCs w:val="16"/>
              </w:rPr>
              <w:t>29</w:t>
            </w:r>
          </w:p>
        </w:tc>
      </w:tr>
      <w:tr w:rsidR="002D7931" w:rsidRPr="00061FA5" w14:paraId="61AC3738" w14:textId="77777777" w:rsidTr="00C2141A">
        <w:trPr>
          <w:jc w:val="center"/>
        </w:trPr>
        <w:tc>
          <w:tcPr>
            <w:tcW w:w="3354" w:type="dxa"/>
            <w:vAlign w:val="center"/>
          </w:tcPr>
          <w:p w14:paraId="53EA51A4" w14:textId="77777777" w:rsidR="002D7931" w:rsidRPr="00061FA5" w:rsidRDefault="002D7931" w:rsidP="00DE2F89">
            <w:pPr>
              <w:spacing w:line="480" w:lineRule="auto"/>
              <w:jc w:val="both"/>
              <w:rPr>
                <w:rFonts w:ascii="Arial" w:hAnsi="Arial" w:cs="Arial"/>
                <w:b/>
                <w:sz w:val="16"/>
                <w:szCs w:val="16"/>
              </w:rPr>
            </w:pPr>
            <w:r w:rsidRPr="00061FA5">
              <w:rPr>
                <w:rFonts w:ascii="Arial" w:hAnsi="Arial" w:cs="Arial"/>
                <w:b/>
                <w:sz w:val="16"/>
                <w:szCs w:val="16"/>
              </w:rPr>
              <w:t>Whole brain</w:t>
            </w:r>
          </w:p>
        </w:tc>
        <w:tc>
          <w:tcPr>
            <w:tcW w:w="1893" w:type="dxa"/>
            <w:vAlign w:val="center"/>
          </w:tcPr>
          <w:p w14:paraId="5F4AE894" w14:textId="77777777" w:rsidR="002D7931" w:rsidRPr="00061FA5" w:rsidRDefault="002D7931" w:rsidP="00C2141A">
            <w:pPr>
              <w:spacing w:line="480" w:lineRule="auto"/>
              <w:jc w:val="center"/>
              <w:rPr>
                <w:rFonts w:ascii="Arial" w:hAnsi="Arial" w:cs="Arial"/>
                <w:sz w:val="16"/>
                <w:szCs w:val="16"/>
              </w:rPr>
            </w:pPr>
            <w:r w:rsidRPr="00061FA5">
              <w:rPr>
                <w:rFonts w:ascii="Arial" w:hAnsi="Arial" w:cs="Arial"/>
                <w:sz w:val="16"/>
                <w:szCs w:val="16"/>
              </w:rPr>
              <w:t xml:space="preserve">72.6 (5.0) </w:t>
            </w:r>
          </w:p>
        </w:tc>
        <w:tc>
          <w:tcPr>
            <w:tcW w:w="1893" w:type="dxa"/>
          </w:tcPr>
          <w:p w14:paraId="57C95419" w14:textId="77777777" w:rsidR="002D7931" w:rsidRPr="00061FA5" w:rsidRDefault="002D7931" w:rsidP="00DE2F89">
            <w:pPr>
              <w:spacing w:line="480" w:lineRule="auto"/>
              <w:jc w:val="center"/>
              <w:rPr>
                <w:rFonts w:ascii="Arial" w:hAnsi="Arial" w:cs="Arial"/>
                <w:sz w:val="16"/>
                <w:szCs w:val="16"/>
              </w:rPr>
            </w:pPr>
            <w:r w:rsidRPr="00061FA5">
              <w:rPr>
                <w:rFonts w:ascii="Arial" w:hAnsi="Arial" w:cs="Arial"/>
                <w:sz w:val="16"/>
                <w:szCs w:val="16"/>
              </w:rPr>
              <w:t>1.9 (1.5)</w:t>
            </w:r>
          </w:p>
        </w:tc>
      </w:tr>
      <w:tr w:rsidR="002D7931" w:rsidRPr="00061FA5" w14:paraId="678229F6" w14:textId="77777777" w:rsidTr="00C2141A">
        <w:trPr>
          <w:jc w:val="center"/>
        </w:trPr>
        <w:tc>
          <w:tcPr>
            <w:tcW w:w="3354" w:type="dxa"/>
            <w:vAlign w:val="center"/>
          </w:tcPr>
          <w:p w14:paraId="26CF4E04" w14:textId="77777777" w:rsidR="002D7931" w:rsidRPr="00061FA5" w:rsidRDefault="002D7931" w:rsidP="00DE2F89">
            <w:pPr>
              <w:spacing w:line="480" w:lineRule="auto"/>
              <w:jc w:val="both"/>
              <w:rPr>
                <w:rFonts w:ascii="Arial" w:hAnsi="Arial" w:cs="Arial"/>
                <w:b/>
                <w:sz w:val="16"/>
                <w:szCs w:val="16"/>
              </w:rPr>
            </w:pPr>
            <w:r w:rsidRPr="00061FA5">
              <w:rPr>
                <w:rFonts w:ascii="Arial" w:hAnsi="Arial" w:cs="Arial"/>
                <w:b/>
                <w:sz w:val="16"/>
                <w:szCs w:val="16"/>
              </w:rPr>
              <w:t xml:space="preserve">Frontal </w:t>
            </w:r>
          </w:p>
        </w:tc>
        <w:tc>
          <w:tcPr>
            <w:tcW w:w="1893" w:type="dxa"/>
            <w:vAlign w:val="center"/>
          </w:tcPr>
          <w:p w14:paraId="79F0ADCA" w14:textId="77777777" w:rsidR="002D7931" w:rsidRPr="00061FA5" w:rsidRDefault="002D7931" w:rsidP="00C2141A">
            <w:pPr>
              <w:spacing w:line="480" w:lineRule="auto"/>
              <w:jc w:val="center"/>
              <w:rPr>
                <w:rFonts w:ascii="Arial" w:hAnsi="Arial" w:cs="Arial"/>
                <w:sz w:val="16"/>
                <w:szCs w:val="16"/>
              </w:rPr>
            </w:pPr>
            <w:r w:rsidRPr="00061FA5">
              <w:rPr>
                <w:rFonts w:ascii="Arial" w:hAnsi="Arial" w:cs="Arial"/>
                <w:sz w:val="16"/>
                <w:szCs w:val="16"/>
              </w:rPr>
              <w:t xml:space="preserve">10.4 (1.0) </w:t>
            </w:r>
          </w:p>
        </w:tc>
        <w:tc>
          <w:tcPr>
            <w:tcW w:w="1893" w:type="dxa"/>
          </w:tcPr>
          <w:p w14:paraId="21482362" w14:textId="77777777" w:rsidR="002D7931" w:rsidRPr="00061FA5" w:rsidRDefault="002D7931" w:rsidP="00DE2F89">
            <w:pPr>
              <w:spacing w:line="480" w:lineRule="auto"/>
              <w:jc w:val="center"/>
              <w:rPr>
                <w:rFonts w:ascii="Arial" w:hAnsi="Arial" w:cs="Arial"/>
                <w:sz w:val="16"/>
                <w:szCs w:val="16"/>
              </w:rPr>
            </w:pPr>
            <w:r w:rsidRPr="00061FA5">
              <w:rPr>
                <w:rFonts w:ascii="Arial" w:hAnsi="Arial" w:cs="Arial"/>
                <w:sz w:val="16"/>
                <w:szCs w:val="16"/>
              </w:rPr>
              <w:t>2.2 (2.7)</w:t>
            </w:r>
          </w:p>
        </w:tc>
      </w:tr>
      <w:tr w:rsidR="002D7931" w:rsidRPr="00061FA5" w14:paraId="23BBFF41" w14:textId="77777777" w:rsidTr="00C2141A">
        <w:trPr>
          <w:jc w:val="center"/>
        </w:trPr>
        <w:tc>
          <w:tcPr>
            <w:tcW w:w="3354" w:type="dxa"/>
            <w:vAlign w:val="center"/>
          </w:tcPr>
          <w:p w14:paraId="0790A786" w14:textId="77777777" w:rsidR="002D7931" w:rsidRPr="00061FA5" w:rsidRDefault="002D7931" w:rsidP="00DE2F89">
            <w:pPr>
              <w:spacing w:line="480" w:lineRule="auto"/>
              <w:jc w:val="both"/>
              <w:rPr>
                <w:rFonts w:ascii="Arial" w:hAnsi="Arial" w:cs="Arial"/>
                <w:b/>
                <w:sz w:val="16"/>
                <w:szCs w:val="16"/>
              </w:rPr>
            </w:pPr>
            <w:r w:rsidRPr="00061FA5">
              <w:rPr>
                <w:rFonts w:ascii="Arial" w:hAnsi="Arial" w:cs="Arial"/>
                <w:b/>
                <w:sz w:val="16"/>
                <w:szCs w:val="16"/>
              </w:rPr>
              <w:t xml:space="preserve">Temporal </w:t>
            </w:r>
          </w:p>
        </w:tc>
        <w:tc>
          <w:tcPr>
            <w:tcW w:w="1893" w:type="dxa"/>
            <w:vAlign w:val="center"/>
          </w:tcPr>
          <w:p w14:paraId="53777B66" w14:textId="77777777" w:rsidR="002D7931" w:rsidRPr="00061FA5" w:rsidRDefault="002D7931" w:rsidP="00C2141A">
            <w:pPr>
              <w:spacing w:line="480" w:lineRule="auto"/>
              <w:jc w:val="center"/>
              <w:rPr>
                <w:rFonts w:ascii="Arial" w:hAnsi="Arial" w:cs="Arial"/>
                <w:sz w:val="16"/>
                <w:szCs w:val="16"/>
              </w:rPr>
            </w:pPr>
            <w:r w:rsidRPr="00061FA5">
              <w:rPr>
                <w:rFonts w:ascii="Arial" w:hAnsi="Arial" w:cs="Arial"/>
                <w:sz w:val="16"/>
                <w:szCs w:val="16"/>
              </w:rPr>
              <w:t xml:space="preserve">7.0 (0.9) </w:t>
            </w:r>
          </w:p>
        </w:tc>
        <w:tc>
          <w:tcPr>
            <w:tcW w:w="1893" w:type="dxa"/>
          </w:tcPr>
          <w:p w14:paraId="29C5C8FB" w14:textId="77777777" w:rsidR="002D7931" w:rsidRPr="00061FA5" w:rsidRDefault="002D7931" w:rsidP="00DE2F89">
            <w:pPr>
              <w:spacing w:line="480" w:lineRule="auto"/>
              <w:jc w:val="center"/>
              <w:rPr>
                <w:rFonts w:ascii="Arial" w:hAnsi="Arial" w:cs="Arial"/>
                <w:sz w:val="16"/>
                <w:szCs w:val="16"/>
              </w:rPr>
            </w:pPr>
            <w:r w:rsidRPr="00061FA5">
              <w:rPr>
                <w:rFonts w:ascii="Arial" w:hAnsi="Arial" w:cs="Arial"/>
                <w:sz w:val="16"/>
                <w:szCs w:val="16"/>
              </w:rPr>
              <w:t>2.7 (2.4)</w:t>
            </w:r>
          </w:p>
        </w:tc>
      </w:tr>
      <w:tr w:rsidR="002D7931" w:rsidRPr="00061FA5" w14:paraId="76C33802" w14:textId="77777777" w:rsidTr="00C2141A">
        <w:trPr>
          <w:jc w:val="center"/>
        </w:trPr>
        <w:tc>
          <w:tcPr>
            <w:tcW w:w="3354" w:type="dxa"/>
            <w:vAlign w:val="center"/>
          </w:tcPr>
          <w:p w14:paraId="7E3C31AF" w14:textId="77777777" w:rsidR="002D7931" w:rsidRPr="00061FA5" w:rsidRDefault="002D7931" w:rsidP="00DE2F89">
            <w:pPr>
              <w:spacing w:line="480" w:lineRule="auto"/>
              <w:jc w:val="both"/>
              <w:rPr>
                <w:rFonts w:ascii="Arial" w:hAnsi="Arial" w:cs="Arial"/>
                <w:b/>
                <w:sz w:val="16"/>
                <w:szCs w:val="16"/>
              </w:rPr>
            </w:pPr>
            <w:r w:rsidRPr="00061FA5">
              <w:rPr>
                <w:rFonts w:ascii="Arial" w:hAnsi="Arial" w:cs="Arial"/>
                <w:b/>
                <w:sz w:val="16"/>
                <w:szCs w:val="16"/>
              </w:rPr>
              <w:t xml:space="preserve">Parietal </w:t>
            </w:r>
          </w:p>
        </w:tc>
        <w:tc>
          <w:tcPr>
            <w:tcW w:w="1893" w:type="dxa"/>
            <w:vAlign w:val="center"/>
          </w:tcPr>
          <w:p w14:paraId="664AF4F1" w14:textId="77777777" w:rsidR="002D7931" w:rsidRPr="00061FA5" w:rsidRDefault="002D7931" w:rsidP="00C2141A">
            <w:pPr>
              <w:spacing w:line="480" w:lineRule="auto"/>
              <w:jc w:val="center"/>
              <w:rPr>
                <w:rFonts w:ascii="Arial" w:hAnsi="Arial" w:cs="Arial"/>
                <w:sz w:val="16"/>
                <w:szCs w:val="16"/>
              </w:rPr>
            </w:pPr>
            <w:r w:rsidRPr="00061FA5">
              <w:rPr>
                <w:rFonts w:ascii="Arial" w:hAnsi="Arial" w:cs="Arial"/>
                <w:sz w:val="16"/>
                <w:szCs w:val="16"/>
              </w:rPr>
              <w:t xml:space="preserve">6.0 (0.5) </w:t>
            </w:r>
          </w:p>
        </w:tc>
        <w:tc>
          <w:tcPr>
            <w:tcW w:w="1893" w:type="dxa"/>
          </w:tcPr>
          <w:p w14:paraId="64A3B0D1" w14:textId="77777777" w:rsidR="002D7931" w:rsidRPr="00061FA5" w:rsidRDefault="002D7931" w:rsidP="00DE2F89">
            <w:pPr>
              <w:spacing w:line="480" w:lineRule="auto"/>
              <w:jc w:val="center"/>
              <w:rPr>
                <w:rFonts w:ascii="Arial" w:hAnsi="Arial" w:cs="Arial"/>
                <w:sz w:val="16"/>
                <w:szCs w:val="16"/>
              </w:rPr>
            </w:pPr>
            <w:r w:rsidRPr="00061FA5">
              <w:rPr>
                <w:rFonts w:ascii="Arial" w:hAnsi="Arial" w:cs="Arial"/>
                <w:sz w:val="16"/>
                <w:szCs w:val="16"/>
              </w:rPr>
              <w:t>1.2 (2.9)</w:t>
            </w:r>
          </w:p>
        </w:tc>
      </w:tr>
      <w:tr w:rsidR="002D7931" w:rsidRPr="00061FA5" w14:paraId="016D69B8" w14:textId="77777777" w:rsidTr="00C2141A">
        <w:trPr>
          <w:jc w:val="center"/>
        </w:trPr>
        <w:tc>
          <w:tcPr>
            <w:tcW w:w="3354" w:type="dxa"/>
            <w:vAlign w:val="center"/>
          </w:tcPr>
          <w:p w14:paraId="3A48AF1F" w14:textId="77777777" w:rsidR="002D7931" w:rsidRPr="00061FA5" w:rsidRDefault="002D7931" w:rsidP="00DE2F89">
            <w:pPr>
              <w:spacing w:line="480" w:lineRule="auto"/>
              <w:jc w:val="both"/>
              <w:rPr>
                <w:rFonts w:ascii="Arial" w:hAnsi="Arial" w:cs="Arial"/>
                <w:b/>
                <w:sz w:val="16"/>
                <w:szCs w:val="16"/>
              </w:rPr>
            </w:pPr>
            <w:r w:rsidRPr="00061FA5">
              <w:rPr>
                <w:rFonts w:ascii="Arial" w:hAnsi="Arial" w:cs="Arial"/>
                <w:b/>
                <w:sz w:val="16"/>
                <w:szCs w:val="16"/>
              </w:rPr>
              <w:t xml:space="preserve">Occipital </w:t>
            </w:r>
          </w:p>
        </w:tc>
        <w:tc>
          <w:tcPr>
            <w:tcW w:w="1893" w:type="dxa"/>
            <w:vAlign w:val="center"/>
          </w:tcPr>
          <w:p w14:paraId="1172FE9F" w14:textId="77777777" w:rsidR="002D7931" w:rsidRPr="00061FA5" w:rsidRDefault="002D7931" w:rsidP="00C2141A">
            <w:pPr>
              <w:spacing w:line="480" w:lineRule="auto"/>
              <w:jc w:val="center"/>
              <w:rPr>
                <w:rFonts w:ascii="Arial" w:hAnsi="Arial" w:cs="Arial"/>
                <w:sz w:val="16"/>
                <w:szCs w:val="16"/>
              </w:rPr>
            </w:pPr>
            <w:r w:rsidRPr="00061FA5">
              <w:rPr>
                <w:rFonts w:ascii="Arial" w:hAnsi="Arial" w:cs="Arial"/>
                <w:sz w:val="16"/>
                <w:szCs w:val="16"/>
              </w:rPr>
              <w:t xml:space="preserve">4.9 (0.4) </w:t>
            </w:r>
          </w:p>
        </w:tc>
        <w:tc>
          <w:tcPr>
            <w:tcW w:w="1893" w:type="dxa"/>
          </w:tcPr>
          <w:p w14:paraId="039EE2BF" w14:textId="77777777" w:rsidR="002D7931" w:rsidRPr="00061FA5" w:rsidRDefault="002D7931" w:rsidP="00DE2F89">
            <w:pPr>
              <w:spacing w:line="480" w:lineRule="auto"/>
              <w:jc w:val="center"/>
              <w:rPr>
                <w:rFonts w:ascii="Arial" w:hAnsi="Arial" w:cs="Arial"/>
                <w:sz w:val="16"/>
                <w:szCs w:val="16"/>
              </w:rPr>
            </w:pPr>
            <w:r w:rsidRPr="00061FA5">
              <w:rPr>
                <w:rFonts w:ascii="Arial" w:hAnsi="Arial" w:cs="Arial"/>
                <w:sz w:val="16"/>
                <w:szCs w:val="16"/>
              </w:rPr>
              <w:t>0.7 (2.5)</w:t>
            </w:r>
          </w:p>
        </w:tc>
      </w:tr>
      <w:tr w:rsidR="002D7931" w:rsidRPr="00061FA5" w14:paraId="7EEB90D6" w14:textId="77777777" w:rsidTr="00C2141A">
        <w:trPr>
          <w:jc w:val="center"/>
        </w:trPr>
        <w:tc>
          <w:tcPr>
            <w:tcW w:w="3354" w:type="dxa"/>
            <w:vAlign w:val="center"/>
          </w:tcPr>
          <w:p w14:paraId="5D7D7163" w14:textId="77777777" w:rsidR="002D7931" w:rsidRPr="00061FA5" w:rsidRDefault="002D7931" w:rsidP="00DE2F89">
            <w:pPr>
              <w:spacing w:line="480" w:lineRule="auto"/>
              <w:jc w:val="both"/>
              <w:rPr>
                <w:rFonts w:ascii="Arial" w:hAnsi="Arial" w:cs="Arial"/>
                <w:b/>
                <w:sz w:val="16"/>
                <w:szCs w:val="16"/>
              </w:rPr>
            </w:pPr>
            <w:r w:rsidRPr="00061FA5">
              <w:rPr>
                <w:rFonts w:ascii="Arial" w:hAnsi="Arial" w:cs="Arial"/>
                <w:b/>
                <w:sz w:val="16"/>
                <w:szCs w:val="16"/>
              </w:rPr>
              <w:t>Insula</w:t>
            </w:r>
          </w:p>
        </w:tc>
        <w:tc>
          <w:tcPr>
            <w:tcW w:w="1893" w:type="dxa"/>
            <w:vAlign w:val="center"/>
          </w:tcPr>
          <w:p w14:paraId="3073CFFD" w14:textId="77777777" w:rsidR="002D7931" w:rsidRPr="00061FA5" w:rsidRDefault="002D7931" w:rsidP="00C2141A">
            <w:pPr>
              <w:spacing w:line="480" w:lineRule="auto"/>
              <w:jc w:val="center"/>
              <w:rPr>
                <w:rFonts w:ascii="Arial" w:hAnsi="Arial" w:cs="Arial"/>
                <w:sz w:val="16"/>
                <w:szCs w:val="16"/>
              </w:rPr>
            </w:pPr>
            <w:r w:rsidRPr="00061FA5">
              <w:rPr>
                <w:rFonts w:ascii="Arial" w:hAnsi="Arial" w:cs="Arial"/>
                <w:sz w:val="16"/>
                <w:szCs w:val="16"/>
              </w:rPr>
              <w:t>0.8 (0.1)</w:t>
            </w:r>
          </w:p>
        </w:tc>
        <w:tc>
          <w:tcPr>
            <w:tcW w:w="1893" w:type="dxa"/>
          </w:tcPr>
          <w:p w14:paraId="65FEE6DD" w14:textId="77777777" w:rsidR="002D7931" w:rsidRPr="00061FA5" w:rsidRDefault="002D7931" w:rsidP="00DE2F89">
            <w:pPr>
              <w:spacing w:line="480" w:lineRule="auto"/>
              <w:jc w:val="center"/>
              <w:rPr>
                <w:rFonts w:ascii="Arial" w:hAnsi="Arial" w:cs="Arial"/>
                <w:sz w:val="16"/>
                <w:szCs w:val="16"/>
              </w:rPr>
            </w:pPr>
            <w:r w:rsidRPr="00061FA5">
              <w:rPr>
                <w:rFonts w:ascii="Arial" w:hAnsi="Arial" w:cs="Arial"/>
                <w:sz w:val="16"/>
                <w:szCs w:val="16"/>
              </w:rPr>
              <w:t>2.6 (2.6)</w:t>
            </w:r>
          </w:p>
        </w:tc>
      </w:tr>
      <w:tr w:rsidR="002D7931" w:rsidRPr="00061FA5" w14:paraId="77B2667A" w14:textId="77777777" w:rsidTr="00C2141A">
        <w:trPr>
          <w:jc w:val="center"/>
        </w:trPr>
        <w:tc>
          <w:tcPr>
            <w:tcW w:w="3354" w:type="dxa"/>
            <w:vAlign w:val="center"/>
          </w:tcPr>
          <w:p w14:paraId="2E2058CE" w14:textId="77777777" w:rsidR="002D7931" w:rsidRPr="00061FA5" w:rsidRDefault="002D7931" w:rsidP="00DE2F89">
            <w:pPr>
              <w:spacing w:line="480" w:lineRule="auto"/>
              <w:jc w:val="both"/>
              <w:rPr>
                <w:rFonts w:ascii="Arial" w:hAnsi="Arial" w:cs="Arial"/>
                <w:b/>
                <w:sz w:val="16"/>
                <w:szCs w:val="16"/>
              </w:rPr>
            </w:pPr>
            <w:r w:rsidRPr="00061FA5">
              <w:rPr>
                <w:rFonts w:ascii="Arial" w:hAnsi="Arial" w:cs="Arial"/>
                <w:b/>
                <w:sz w:val="16"/>
                <w:szCs w:val="16"/>
              </w:rPr>
              <w:t>Cingulate</w:t>
            </w:r>
          </w:p>
        </w:tc>
        <w:tc>
          <w:tcPr>
            <w:tcW w:w="1893" w:type="dxa"/>
            <w:vAlign w:val="center"/>
          </w:tcPr>
          <w:p w14:paraId="29FBA271" w14:textId="77777777" w:rsidR="002D7931" w:rsidRPr="00061FA5" w:rsidRDefault="002D7931" w:rsidP="00C2141A">
            <w:pPr>
              <w:spacing w:line="480" w:lineRule="auto"/>
              <w:jc w:val="center"/>
              <w:rPr>
                <w:rFonts w:ascii="Arial" w:hAnsi="Arial" w:cs="Arial"/>
                <w:sz w:val="16"/>
                <w:szCs w:val="16"/>
              </w:rPr>
            </w:pPr>
            <w:r w:rsidRPr="00061FA5">
              <w:rPr>
                <w:rFonts w:ascii="Arial" w:hAnsi="Arial" w:cs="Arial"/>
                <w:sz w:val="16"/>
                <w:szCs w:val="16"/>
              </w:rPr>
              <w:t xml:space="preserve">1.6 (0.1) </w:t>
            </w:r>
          </w:p>
        </w:tc>
        <w:tc>
          <w:tcPr>
            <w:tcW w:w="1893" w:type="dxa"/>
          </w:tcPr>
          <w:p w14:paraId="35938718" w14:textId="77777777" w:rsidR="002D7931" w:rsidRPr="00061FA5" w:rsidRDefault="002D7931" w:rsidP="00DE2F89">
            <w:pPr>
              <w:spacing w:line="480" w:lineRule="auto"/>
              <w:jc w:val="center"/>
              <w:rPr>
                <w:rFonts w:ascii="Arial" w:hAnsi="Arial" w:cs="Arial"/>
                <w:sz w:val="16"/>
                <w:szCs w:val="16"/>
              </w:rPr>
            </w:pPr>
            <w:r w:rsidRPr="00061FA5">
              <w:rPr>
                <w:rFonts w:ascii="Arial" w:hAnsi="Arial" w:cs="Arial"/>
                <w:sz w:val="16"/>
                <w:szCs w:val="16"/>
              </w:rPr>
              <w:t>1.2 (2.0)</w:t>
            </w:r>
          </w:p>
        </w:tc>
      </w:tr>
    </w:tbl>
    <w:p w14:paraId="12125075" w14:textId="77777777" w:rsidR="002D7931" w:rsidRPr="00061FA5" w:rsidRDefault="002D7931" w:rsidP="00B733A7">
      <w:pPr>
        <w:spacing w:line="480" w:lineRule="auto"/>
        <w:jc w:val="both"/>
        <w:rPr>
          <w:rFonts w:ascii="Arial" w:hAnsi="Arial" w:cs="Arial"/>
          <w:b/>
          <w:sz w:val="18"/>
          <w:szCs w:val="20"/>
        </w:rPr>
      </w:pPr>
    </w:p>
    <w:p w14:paraId="63A54EFA" w14:textId="77777777" w:rsidR="002D7931" w:rsidRPr="00061FA5" w:rsidRDefault="002D7931" w:rsidP="00B733A7">
      <w:pPr>
        <w:spacing w:line="480" w:lineRule="auto"/>
        <w:jc w:val="both"/>
        <w:rPr>
          <w:rFonts w:ascii="Arial" w:hAnsi="Arial" w:cs="Arial"/>
          <w:b/>
          <w:sz w:val="18"/>
          <w:szCs w:val="20"/>
        </w:rPr>
      </w:pPr>
    </w:p>
    <w:p w14:paraId="57D3A8AE" w14:textId="77777777" w:rsidR="002D7931" w:rsidRPr="00061FA5" w:rsidRDefault="002D7931" w:rsidP="00B733A7">
      <w:pPr>
        <w:spacing w:line="480" w:lineRule="auto"/>
        <w:jc w:val="both"/>
        <w:rPr>
          <w:rFonts w:ascii="Arial" w:hAnsi="Arial" w:cs="Arial"/>
          <w:b/>
          <w:sz w:val="18"/>
          <w:szCs w:val="20"/>
        </w:rPr>
      </w:pPr>
    </w:p>
    <w:p w14:paraId="6DFB0F92" w14:textId="77777777" w:rsidR="002D7931" w:rsidRPr="00061FA5" w:rsidRDefault="002D7931" w:rsidP="00B733A7">
      <w:pPr>
        <w:spacing w:line="480" w:lineRule="auto"/>
        <w:jc w:val="both"/>
        <w:rPr>
          <w:rFonts w:ascii="Arial" w:hAnsi="Arial" w:cs="Arial"/>
          <w:b/>
          <w:sz w:val="18"/>
          <w:szCs w:val="20"/>
        </w:rPr>
      </w:pPr>
    </w:p>
    <w:p w14:paraId="5391579D" w14:textId="77777777" w:rsidR="002D7931" w:rsidRPr="00061FA5" w:rsidRDefault="002D7931" w:rsidP="00B733A7">
      <w:pPr>
        <w:spacing w:line="480" w:lineRule="auto"/>
        <w:jc w:val="both"/>
        <w:rPr>
          <w:rFonts w:ascii="Arial" w:hAnsi="Arial" w:cs="Arial"/>
          <w:b/>
          <w:sz w:val="18"/>
          <w:szCs w:val="20"/>
        </w:rPr>
      </w:pPr>
    </w:p>
    <w:p w14:paraId="09DAFA61" w14:textId="77777777" w:rsidR="002D7931" w:rsidRPr="00061FA5" w:rsidRDefault="002D7931" w:rsidP="00B733A7">
      <w:pPr>
        <w:spacing w:line="480" w:lineRule="auto"/>
        <w:jc w:val="both"/>
        <w:rPr>
          <w:rFonts w:ascii="Arial" w:hAnsi="Arial" w:cs="Arial"/>
          <w:b/>
          <w:sz w:val="18"/>
          <w:szCs w:val="20"/>
        </w:rPr>
      </w:pPr>
    </w:p>
    <w:p w14:paraId="30C414A2" w14:textId="77777777" w:rsidR="002D7931" w:rsidRPr="00061FA5" w:rsidRDefault="002D7931" w:rsidP="00B733A7">
      <w:pPr>
        <w:spacing w:line="480" w:lineRule="auto"/>
        <w:jc w:val="both"/>
        <w:rPr>
          <w:rFonts w:ascii="Arial" w:hAnsi="Arial" w:cs="Arial"/>
          <w:b/>
          <w:sz w:val="18"/>
          <w:szCs w:val="20"/>
        </w:rPr>
      </w:pPr>
    </w:p>
    <w:p w14:paraId="6D5869EF" w14:textId="77777777" w:rsidR="002D7931" w:rsidRPr="00061FA5" w:rsidRDefault="002D7931" w:rsidP="00B733A7">
      <w:pPr>
        <w:spacing w:line="480" w:lineRule="auto"/>
        <w:jc w:val="both"/>
        <w:rPr>
          <w:rFonts w:ascii="Arial" w:hAnsi="Arial" w:cs="Arial"/>
          <w:b/>
          <w:sz w:val="18"/>
          <w:szCs w:val="20"/>
        </w:rPr>
      </w:pPr>
      <w:r w:rsidRPr="00061FA5">
        <w:rPr>
          <w:rFonts w:ascii="Arial" w:hAnsi="Arial" w:cs="Arial"/>
          <w:b/>
          <w:sz w:val="18"/>
          <w:szCs w:val="20"/>
        </w:rPr>
        <w:t>FIGURES</w:t>
      </w:r>
    </w:p>
    <w:p w14:paraId="7A3D2F3F" w14:textId="77777777" w:rsidR="00D65BA8" w:rsidRPr="00061FA5" w:rsidRDefault="002D7931" w:rsidP="00051CCC">
      <w:pPr>
        <w:spacing w:line="480" w:lineRule="auto"/>
        <w:jc w:val="both"/>
        <w:rPr>
          <w:rFonts w:ascii="Arial" w:hAnsi="Arial" w:cs="Arial"/>
          <w:b/>
          <w:sz w:val="18"/>
          <w:szCs w:val="20"/>
        </w:rPr>
      </w:pPr>
      <w:r w:rsidRPr="00061FA5">
        <w:rPr>
          <w:rFonts w:ascii="Arial" w:hAnsi="Arial" w:cs="Arial"/>
          <w:b/>
          <w:sz w:val="18"/>
          <w:szCs w:val="20"/>
        </w:rPr>
        <w:t xml:space="preserve">Figure 1 </w:t>
      </w:r>
    </w:p>
    <w:p w14:paraId="029CEC3B" w14:textId="77777777" w:rsidR="00D65BA8" w:rsidRPr="00061FA5" w:rsidRDefault="00D65BA8" w:rsidP="00051CCC">
      <w:pPr>
        <w:spacing w:line="480" w:lineRule="auto"/>
        <w:jc w:val="both"/>
        <w:rPr>
          <w:rFonts w:ascii="Arial" w:hAnsi="Arial" w:cs="Arial"/>
          <w:b/>
          <w:sz w:val="18"/>
          <w:szCs w:val="20"/>
        </w:rPr>
      </w:pPr>
      <w:r w:rsidRPr="00061FA5">
        <w:rPr>
          <w:rFonts w:ascii="Arial" w:hAnsi="Arial" w:cs="Arial"/>
          <w:b/>
          <w:sz w:val="18"/>
          <w:szCs w:val="20"/>
        </w:rPr>
        <w:t xml:space="preserve">Title: </w:t>
      </w:r>
      <w:r w:rsidR="002D7931" w:rsidRPr="00061FA5">
        <w:rPr>
          <w:rFonts w:ascii="Arial" w:hAnsi="Arial" w:cs="Arial"/>
          <w:b/>
          <w:sz w:val="18"/>
          <w:szCs w:val="20"/>
        </w:rPr>
        <w:t xml:space="preserve">Serum </w:t>
      </w:r>
      <w:r w:rsidR="0002537C" w:rsidRPr="00061FA5">
        <w:rPr>
          <w:rFonts w:ascii="Arial" w:hAnsi="Arial" w:cs="Arial"/>
          <w:b/>
          <w:sz w:val="18"/>
          <w:szCs w:val="20"/>
        </w:rPr>
        <w:t>NfL</w:t>
      </w:r>
      <w:r w:rsidR="002D7931" w:rsidRPr="00061FA5">
        <w:rPr>
          <w:rFonts w:ascii="Arial" w:hAnsi="Arial" w:cs="Arial"/>
          <w:b/>
          <w:sz w:val="18"/>
          <w:szCs w:val="20"/>
        </w:rPr>
        <w:t xml:space="preserve"> concentrations in participants by A) clinical d</w:t>
      </w:r>
      <w:r w:rsidR="00406719" w:rsidRPr="00061FA5">
        <w:rPr>
          <w:rFonts w:ascii="Arial" w:hAnsi="Arial" w:cs="Arial"/>
          <w:b/>
          <w:sz w:val="18"/>
          <w:szCs w:val="20"/>
        </w:rPr>
        <w:t xml:space="preserve">iagnosis and B) genetic status. </w:t>
      </w:r>
    </w:p>
    <w:p w14:paraId="73E4E2EB" w14:textId="1E4F5D13" w:rsidR="002D7931" w:rsidRPr="00061FA5" w:rsidRDefault="00D65BA8" w:rsidP="00051CCC">
      <w:pPr>
        <w:spacing w:line="480" w:lineRule="auto"/>
        <w:jc w:val="both"/>
        <w:rPr>
          <w:rFonts w:ascii="Arial" w:hAnsi="Arial" w:cs="Arial"/>
          <w:b/>
          <w:sz w:val="18"/>
          <w:szCs w:val="20"/>
        </w:rPr>
      </w:pPr>
      <w:r w:rsidRPr="00061FA5">
        <w:rPr>
          <w:rFonts w:ascii="Arial" w:hAnsi="Arial" w:cs="Arial"/>
          <w:b/>
          <w:i/>
          <w:sz w:val="18"/>
          <w:szCs w:val="20"/>
        </w:rPr>
        <w:t xml:space="preserve">Legend: </w:t>
      </w:r>
      <w:r w:rsidR="00406719" w:rsidRPr="00061FA5">
        <w:rPr>
          <w:rFonts w:ascii="Arial" w:hAnsi="Arial" w:cs="Arial"/>
          <w:b/>
          <w:i/>
          <w:sz w:val="18"/>
          <w:szCs w:val="20"/>
        </w:rPr>
        <w:t>A</w:t>
      </w:r>
      <w:r w:rsidR="002D7931" w:rsidRPr="00061FA5">
        <w:rPr>
          <w:rFonts w:ascii="Arial" w:hAnsi="Arial" w:cs="Arial"/>
          <w:b/>
          <w:i/>
          <w:sz w:val="18"/>
          <w:szCs w:val="20"/>
        </w:rPr>
        <w:t xml:space="preserve">ll patients have bvFTD except for *with nfvPPA and </w:t>
      </w:r>
      <w:r w:rsidR="002D7931" w:rsidRPr="00061FA5">
        <w:rPr>
          <w:rFonts w:ascii="Arial" w:hAnsi="Arial" w:cs="Arial"/>
          <w:b/>
          <w:i/>
          <w:sz w:val="18"/>
          <w:szCs w:val="20"/>
          <w:vertAlign w:val="superscript"/>
        </w:rPr>
        <w:t>#</w:t>
      </w:r>
      <w:r w:rsidR="002D7931" w:rsidRPr="00061FA5">
        <w:rPr>
          <w:rFonts w:ascii="Arial" w:hAnsi="Arial" w:cs="Arial"/>
          <w:b/>
          <w:i/>
          <w:sz w:val="18"/>
          <w:szCs w:val="20"/>
        </w:rPr>
        <w:t>with PPA-NOS</w:t>
      </w:r>
      <w:r w:rsidR="00406719" w:rsidRPr="00061FA5">
        <w:rPr>
          <w:rFonts w:ascii="Arial" w:hAnsi="Arial" w:cs="Arial"/>
          <w:b/>
          <w:i/>
          <w:sz w:val="18"/>
          <w:szCs w:val="20"/>
        </w:rPr>
        <w:t>.</w:t>
      </w:r>
    </w:p>
    <w:p w14:paraId="3C9575FB" w14:textId="77777777" w:rsidR="00406719" w:rsidRPr="00061FA5" w:rsidRDefault="00406719" w:rsidP="00051CCC">
      <w:pPr>
        <w:spacing w:line="480" w:lineRule="auto"/>
        <w:jc w:val="both"/>
        <w:rPr>
          <w:rFonts w:ascii="Arial" w:hAnsi="Arial" w:cs="Arial"/>
          <w:b/>
          <w:sz w:val="20"/>
          <w:szCs w:val="20"/>
        </w:rPr>
      </w:pPr>
    </w:p>
    <w:p w14:paraId="65B25BAC" w14:textId="77777777" w:rsidR="00D65BA8" w:rsidRPr="00061FA5" w:rsidRDefault="002D7931" w:rsidP="00FA4527">
      <w:pPr>
        <w:spacing w:line="480" w:lineRule="auto"/>
        <w:jc w:val="both"/>
        <w:rPr>
          <w:rFonts w:ascii="Arial" w:hAnsi="Arial" w:cs="Arial"/>
          <w:b/>
          <w:sz w:val="18"/>
          <w:szCs w:val="20"/>
        </w:rPr>
      </w:pPr>
      <w:r w:rsidRPr="00061FA5">
        <w:rPr>
          <w:rFonts w:ascii="Arial" w:hAnsi="Arial" w:cs="Arial"/>
          <w:b/>
          <w:sz w:val="18"/>
          <w:szCs w:val="20"/>
        </w:rPr>
        <w:t xml:space="preserve">Figure 2 </w:t>
      </w:r>
    </w:p>
    <w:p w14:paraId="063B1DEA" w14:textId="1F5BF1DA" w:rsidR="00ED7BF9" w:rsidRPr="00061FA5" w:rsidRDefault="00D65BA8" w:rsidP="00FA4527">
      <w:pPr>
        <w:spacing w:line="480" w:lineRule="auto"/>
        <w:jc w:val="both"/>
        <w:rPr>
          <w:rFonts w:ascii="Arial" w:hAnsi="Arial" w:cs="Arial"/>
          <w:b/>
          <w:sz w:val="18"/>
          <w:szCs w:val="20"/>
        </w:rPr>
      </w:pPr>
      <w:r w:rsidRPr="00061FA5">
        <w:rPr>
          <w:rFonts w:ascii="Arial" w:hAnsi="Arial" w:cs="Arial"/>
          <w:b/>
          <w:sz w:val="18"/>
          <w:szCs w:val="20"/>
        </w:rPr>
        <w:t xml:space="preserve">Title: </w:t>
      </w:r>
      <w:r w:rsidR="0002537C" w:rsidRPr="00061FA5">
        <w:rPr>
          <w:rFonts w:ascii="Arial" w:hAnsi="Arial" w:cs="Arial"/>
          <w:b/>
          <w:sz w:val="18"/>
          <w:szCs w:val="20"/>
        </w:rPr>
        <w:t>Relationship of serum Nf</w:t>
      </w:r>
      <w:r w:rsidR="00406719" w:rsidRPr="00061FA5">
        <w:rPr>
          <w:rFonts w:ascii="Arial" w:hAnsi="Arial" w:cs="Arial"/>
          <w:b/>
          <w:sz w:val="18"/>
          <w:szCs w:val="20"/>
        </w:rPr>
        <w:t xml:space="preserve">L </w:t>
      </w:r>
      <w:r w:rsidR="0002537C" w:rsidRPr="00061FA5">
        <w:rPr>
          <w:rFonts w:ascii="Arial" w:hAnsi="Arial" w:cs="Arial"/>
          <w:b/>
          <w:sz w:val="18"/>
          <w:szCs w:val="20"/>
        </w:rPr>
        <w:t xml:space="preserve">concentrations </w:t>
      </w:r>
      <w:r w:rsidR="00406719" w:rsidRPr="00061FA5">
        <w:rPr>
          <w:rFonts w:ascii="Arial" w:hAnsi="Arial" w:cs="Arial"/>
          <w:b/>
          <w:sz w:val="18"/>
          <w:szCs w:val="20"/>
        </w:rPr>
        <w:t xml:space="preserve">to frontal lobe atrophy rate. </w:t>
      </w:r>
    </w:p>
    <w:p w14:paraId="2EE23D32" w14:textId="2559FF87" w:rsidR="002D7931" w:rsidRPr="00061FA5" w:rsidRDefault="00D65BA8" w:rsidP="00FA4527">
      <w:pPr>
        <w:spacing w:line="480" w:lineRule="auto"/>
        <w:jc w:val="both"/>
        <w:rPr>
          <w:rFonts w:ascii="Arial" w:hAnsi="Arial" w:cs="Arial"/>
          <w:b/>
          <w:sz w:val="18"/>
          <w:szCs w:val="20"/>
        </w:rPr>
      </w:pPr>
      <w:r w:rsidRPr="00061FA5">
        <w:rPr>
          <w:rFonts w:ascii="Arial" w:hAnsi="Arial" w:cs="Arial"/>
          <w:b/>
          <w:i/>
          <w:sz w:val="18"/>
          <w:szCs w:val="20"/>
        </w:rPr>
        <w:t>Legend:</w:t>
      </w:r>
      <w:r w:rsidRPr="00061FA5">
        <w:rPr>
          <w:rFonts w:ascii="Arial" w:hAnsi="Arial" w:cs="Arial"/>
          <w:b/>
          <w:sz w:val="18"/>
          <w:szCs w:val="20"/>
        </w:rPr>
        <w:t xml:space="preserve"> </w:t>
      </w:r>
      <w:r w:rsidR="002D7931" w:rsidRPr="00061FA5">
        <w:rPr>
          <w:rFonts w:ascii="Arial" w:hAnsi="Arial" w:cs="Arial"/>
          <w:b/>
          <w:i/>
          <w:sz w:val="18"/>
          <w:szCs w:val="20"/>
        </w:rPr>
        <w:t xml:space="preserve">Serum neurofilament light chain concentrations are correlated with frontal lobe atrophy rates [r=0.53, p=0.003]. Points indicate individual patient values and </w:t>
      </w:r>
      <w:r w:rsidR="0070767D" w:rsidRPr="00061FA5">
        <w:rPr>
          <w:rFonts w:ascii="Arial" w:hAnsi="Arial" w:cs="Arial"/>
          <w:b/>
          <w:i/>
          <w:sz w:val="18"/>
          <w:szCs w:val="20"/>
        </w:rPr>
        <w:t xml:space="preserve">the </w:t>
      </w:r>
      <w:r w:rsidR="002D7931" w:rsidRPr="00061FA5">
        <w:rPr>
          <w:rFonts w:ascii="Arial" w:hAnsi="Arial" w:cs="Arial"/>
          <w:b/>
          <w:i/>
          <w:sz w:val="18"/>
          <w:szCs w:val="20"/>
        </w:rPr>
        <w:t xml:space="preserve">straight line indicates </w:t>
      </w:r>
      <w:r w:rsidR="0070767D" w:rsidRPr="00061FA5">
        <w:rPr>
          <w:rFonts w:ascii="Arial" w:hAnsi="Arial" w:cs="Arial"/>
          <w:b/>
          <w:i/>
          <w:sz w:val="18"/>
          <w:szCs w:val="20"/>
        </w:rPr>
        <w:t xml:space="preserve">the </w:t>
      </w:r>
      <w:r w:rsidR="002D7931" w:rsidRPr="00061FA5">
        <w:rPr>
          <w:rFonts w:ascii="Arial" w:hAnsi="Arial" w:cs="Arial"/>
          <w:b/>
          <w:i/>
          <w:sz w:val="18"/>
          <w:szCs w:val="20"/>
        </w:rPr>
        <w:t>line of best fit from a linear regression mode</w:t>
      </w:r>
      <w:r w:rsidR="0070767D" w:rsidRPr="00061FA5">
        <w:rPr>
          <w:rFonts w:ascii="Arial" w:hAnsi="Arial" w:cs="Arial"/>
          <w:b/>
          <w:i/>
          <w:sz w:val="18"/>
          <w:szCs w:val="20"/>
        </w:rPr>
        <w:t>l of serum NfL on annualized frontal lobe atrophy rate.</w:t>
      </w:r>
    </w:p>
    <w:p w14:paraId="38526954" w14:textId="77777777" w:rsidR="002D7931" w:rsidRPr="00061FA5" w:rsidRDefault="002D7931" w:rsidP="002B670A">
      <w:pPr>
        <w:spacing w:line="480" w:lineRule="auto"/>
        <w:rPr>
          <w:rFonts w:ascii="Palatino Linotype" w:hAnsi="Palatino Linotype"/>
          <w:b/>
          <w:sz w:val="20"/>
          <w:szCs w:val="20"/>
        </w:rPr>
      </w:pPr>
    </w:p>
    <w:p w14:paraId="4C9F7DE7" w14:textId="77777777" w:rsidR="002D7931" w:rsidRPr="00061FA5" w:rsidRDefault="002D7931" w:rsidP="002B670A">
      <w:pPr>
        <w:spacing w:line="480" w:lineRule="auto"/>
        <w:rPr>
          <w:rFonts w:ascii="Palatino Linotype" w:hAnsi="Palatino Linotype"/>
          <w:b/>
          <w:sz w:val="20"/>
          <w:szCs w:val="20"/>
        </w:rPr>
      </w:pPr>
    </w:p>
    <w:p w14:paraId="1DADDE36" w14:textId="77777777" w:rsidR="002D7931" w:rsidRPr="00061FA5" w:rsidRDefault="002D7931" w:rsidP="00BD2975">
      <w:pPr>
        <w:spacing w:line="480" w:lineRule="auto"/>
        <w:jc w:val="both"/>
        <w:rPr>
          <w:rFonts w:ascii="Palatino Linotype" w:hAnsi="Palatino Linotype"/>
          <w:b/>
          <w:sz w:val="20"/>
          <w:szCs w:val="20"/>
        </w:rPr>
      </w:pPr>
    </w:p>
    <w:p w14:paraId="3232888C" w14:textId="77777777" w:rsidR="002D7931" w:rsidRPr="00061FA5" w:rsidRDefault="002D7931" w:rsidP="00BD2975">
      <w:pPr>
        <w:spacing w:line="480" w:lineRule="auto"/>
        <w:jc w:val="both"/>
        <w:rPr>
          <w:rFonts w:ascii="Palatino Linotype" w:hAnsi="Palatino Linotype"/>
          <w:b/>
          <w:sz w:val="20"/>
          <w:szCs w:val="20"/>
        </w:rPr>
      </w:pPr>
    </w:p>
    <w:p w14:paraId="57AD2EE9" w14:textId="77777777" w:rsidR="002D7931" w:rsidRPr="00061FA5" w:rsidRDefault="002D7931" w:rsidP="00BD2975">
      <w:pPr>
        <w:spacing w:line="480" w:lineRule="auto"/>
        <w:jc w:val="both"/>
        <w:rPr>
          <w:rFonts w:ascii="Palatino Linotype" w:hAnsi="Palatino Linotype"/>
          <w:b/>
          <w:sz w:val="20"/>
          <w:szCs w:val="20"/>
        </w:rPr>
      </w:pPr>
    </w:p>
    <w:p w14:paraId="29ED887F" w14:textId="77777777" w:rsidR="002D7931" w:rsidRPr="00061FA5" w:rsidRDefault="002D7931" w:rsidP="00BD2975">
      <w:pPr>
        <w:spacing w:line="480" w:lineRule="auto"/>
        <w:jc w:val="both"/>
        <w:rPr>
          <w:rFonts w:ascii="Palatino Linotype" w:hAnsi="Palatino Linotype"/>
          <w:b/>
          <w:sz w:val="20"/>
          <w:szCs w:val="20"/>
        </w:rPr>
      </w:pPr>
    </w:p>
    <w:p w14:paraId="189A408A" w14:textId="77777777" w:rsidR="002D7931" w:rsidRPr="00061FA5" w:rsidRDefault="002D7931" w:rsidP="00BD2975">
      <w:pPr>
        <w:spacing w:line="480" w:lineRule="auto"/>
        <w:jc w:val="both"/>
        <w:rPr>
          <w:rFonts w:ascii="Palatino Linotype" w:hAnsi="Palatino Linotype"/>
          <w:b/>
          <w:sz w:val="20"/>
          <w:szCs w:val="20"/>
        </w:rPr>
      </w:pPr>
    </w:p>
    <w:p w14:paraId="70AA9DC9" w14:textId="77777777" w:rsidR="002D7931" w:rsidRPr="00061FA5" w:rsidRDefault="002D7931" w:rsidP="00BD2975">
      <w:pPr>
        <w:spacing w:line="480" w:lineRule="auto"/>
        <w:jc w:val="both"/>
        <w:rPr>
          <w:rFonts w:ascii="Palatino Linotype" w:hAnsi="Palatino Linotype"/>
          <w:b/>
          <w:sz w:val="20"/>
          <w:szCs w:val="20"/>
        </w:rPr>
      </w:pPr>
    </w:p>
    <w:p w14:paraId="5C7415F0" w14:textId="77777777" w:rsidR="002D7931" w:rsidRPr="00061FA5" w:rsidRDefault="002D7931" w:rsidP="00BD2975">
      <w:pPr>
        <w:spacing w:line="480" w:lineRule="auto"/>
        <w:jc w:val="both"/>
        <w:rPr>
          <w:rFonts w:ascii="Palatino Linotype" w:hAnsi="Palatino Linotype"/>
          <w:b/>
          <w:sz w:val="20"/>
          <w:szCs w:val="20"/>
        </w:rPr>
      </w:pPr>
    </w:p>
    <w:p w14:paraId="6C7A8402" w14:textId="77777777" w:rsidR="002D7931" w:rsidRPr="00061FA5" w:rsidRDefault="002D7931" w:rsidP="00BD2975">
      <w:pPr>
        <w:spacing w:line="480" w:lineRule="auto"/>
        <w:jc w:val="both"/>
        <w:rPr>
          <w:rFonts w:ascii="Palatino Linotype" w:hAnsi="Palatino Linotype"/>
          <w:b/>
          <w:sz w:val="20"/>
          <w:szCs w:val="20"/>
        </w:rPr>
      </w:pPr>
    </w:p>
    <w:p w14:paraId="3327292D" w14:textId="77777777" w:rsidR="002D7931" w:rsidRPr="00061FA5" w:rsidRDefault="002D7931" w:rsidP="00BD2975">
      <w:pPr>
        <w:spacing w:line="480" w:lineRule="auto"/>
        <w:jc w:val="both"/>
        <w:rPr>
          <w:rFonts w:ascii="Palatino Linotype" w:hAnsi="Palatino Linotype"/>
          <w:b/>
          <w:sz w:val="20"/>
          <w:szCs w:val="20"/>
        </w:rPr>
      </w:pPr>
    </w:p>
    <w:p w14:paraId="00638548" w14:textId="77777777" w:rsidR="002D7931" w:rsidRPr="00061FA5" w:rsidRDefault="002D7931" w:rsidP="00BD2975">
      <w:pPr>
        <w:spacing w:line="480" w:lineRule="auto"/>
        <w:jc w:val="both"/>
        <w:rPr>
          <w:rFonts w:ascii="Palatino Linotype" w:hAnsi="Palatino Linotype"/>
          <w:b/>
          <w:sz w:val="20"/>
          <w:szCs w:val="20"/>
        </w:rPr>
      </w:pPr>
    </w:p>
    <w:p w14:paraId="04FCDE25" w14:textId="77777777" w:rsidR="002D7931" w:rsidRPr="00061FA5" w:rsidRDefault="002D7931" w:rsidP="00BD2975">
      <w:pPr>
        <w:spacing w:line="480" w:lineRule="auto"/>
        <w:jc w:val="both"/>
        <w:rPr>
          <w:rFonts w:ascii="Palatino Linotype" w:hAnsi="Palatino Linotype"/>
          <w:b/>
          <w:sz w:val="20"/>
          <w:szCs w:val="20"/>
        </w:rPr>
      </w:pPr>
    </w:p>
    <w:p w14:paraId="73E2F3C0" w14:textId="77777777" w:rsidR="002D7931" w:rsidRPr="00061FA5" w:rsidRDefault="002D7931" w:rsidP="00BD2975">
      <w:pPr>
        <w:spacing w:line="480" w:lineRule="auto"/>
        <w:jc w:val="both"/>
        <w:rPr>
          <w:rFonts w:ascii="Palatino Linotype" w:hAnsi="Palatino Linotype"/>
          <w:b/>
          <w:sz w:val="20"/>
          <w:szCs w:val="20"/>
        </w:rPr>
      </w:pPr>
    </w:p>
    <w:p w14:paraId="64AE11CF" w14:textId="77777777" w:rsidR="002D7931" w:rsidRPr="00061FA5" w:rsidRDefault="002D7931" w:rsidP="00BD2975">
      <w:pPr>
        <w:spacing w:line="480" w:lineRule="auto"/>
        <w:jc w:val="both"/>
        <w:rPr>
          <w:rFonts w:ascii="Palatino Linotype" w:hAnsi="Palatino Linotype"/>
          <w:b/>
          <w:sz w:val="20"/>
          <w:szCs w:val="20"/>
        </w:rPr>
      </w:pPr>
    </w:p>
    <w:p w14:paraId="04EE0C0B" w14:textId="77777777" w:rsidR="002D7931" w:rsidRPr="00061FA5" w:rsidRDefault="002D7931" w:rsidP="00BD2975">
      <w:pPr>
        <w:spacing w:line="480" w:lineRule="auto"/>
        <w:jc w:val="both"/>
        <w:rPr>
          <w:rFonts w:ascii="Palatino Linotype" w:hAnsi="Palatino Linotype"/>
          <w:b/>
          <w:sz w:val="20"/>
          <w:szCs w:val="20"/>
        </w:rPr>
      </w:pPr>
    </w:p>
    <w:p w14:paraId="3B50AD4E" w14:textId="77777777" w:rsidR="002D7931" w:rsidRPr="00061FA5" w:rsidRDefault="002D7931" w:rsidP="00BD2975">
      <w:pPr>
        <w:spacing w:line="480" w:lineRule="auto"/>
        <w:jc w:val="both"/>
        <w:rPr>
          <w:rFonts w:ascii="Palatino Linotype" w:hAnsi="Palatino Linotype"/>
          <w:b/>
          <w:sz w:val="20"/>
          <w:szCs w:val="20"/>
        </w:rPr>
      </w:pPr>
    </w:p>
    <w:p w14:paraId="4A0C5539" w14:textId="77777777" w:rsidR="002D7931" w:rsidRPr="00061FA5" w:rsidRDefault="002D7931" w:rsidP="00BD2975">
      <w:pPr>
        <w:spacing w:line="480" w:lineRule="auto"/>
        <w:jc w:val="both"/>
        <w:rPr>
          <w:rFonts w:ascii="Palatino Linotype" w:hAnsi="Palatino Linotype"/>
          <w:b/>
          <w:sz w:val="20"/>
          <w:szCs w:val="20"/>
        </w:rPr>
      </w:pPr>
      <w:r w:rsidRPr="00061FA5">
        <w:rPr>
          <w:rFonts w:ascii="Palatino Linotype" w:hAnsi="Palatino Linotype"/>
          <w:b/>
          <w:sz w:val="20"/>
          <w:szCs w:val="20"/>
        </w:rPr>
        <w:lastRenderedPageBreak/>
        <w:t>REFERENCES</w:t>
      </w:r>
    </w:p>
    <w:p w14:paraId="562E404D" w14:textId="77777777" w:rsidR="002D7931" w:rsidRPr="00061FA5" w:rsidRDefault="002D7931" w:rsidP="00BD2975">
      <w:pPr>
        <w:pStyle w:val="ListParagraph"/>
        <w:numPr>
          <w:ilvl w:val="0"/>
          <w:numId w:val="4"/>
        </w:numPr>
        <w:spacing w:line="480" w:lineRule="auto"/>
        <w:jc w:val="both"/>
        <w:rPr>
          <w:rFonts w:ascii="Palatino Linotype" w:hAnsi="Palatino Linotype"/>
          <w:sz w:val="20"/>
          <w:szCs w:val="20"/>
        </w:rPr>
      </w:pPr>
      <w:r w:rsidRPr="00061FA5">
        <w:rPr>
          <w:rFonts w:ascii="Palatino Linotype" w:hAnsi="Palatino Linotype" w:cs="Arial"/>
          <w:bCs/>
          <w:sz w:val="20"/>
          <w:szCs w:val="20"/>
        </w:rPr>
        <w:t>Seelaar</w:t>
      </w:r>
      <w:r w:rsidRPr="00061FA5">
        <w:rPr>
          <w:rFonts w:ascii="Palatino Linotype" w:hAnsi="Palatino Linotype" w:cs="Arial"/>
          <w:sz w:val="20"/>
          <w:szCs w:val="20"/>
        </w:rPr>
        <w:t xml:space="preserve"> H, </w:t>
      </w:r>
      <w:r w:rsidRPr="00061FA5">
        <w:rPr>
          <w:rFonts w:ascii="Palatino Linotype" w:hAnsi="Palatino Linotype" w:cs="Arial"/>
          <w:bCs/>
          <w:sz w:val="20"/>
          <w:szCs w:val="20"/>
        </w:rPr>
        <w:t>Rohrer</w:t>
      </w:r>
      <w:r w:rsidRPr="00061FA5">
        <w:rPr>
          <w:rFonts w:ascii="Palatino Linotype" w:hAnsi="Palatino Linotype" w:cs="Arial"/>
          <w:sz w:val="20"/>
          <w:szCs w:val="20"/>
        </w:rPr>
        <w:t xml:space="preserve"> JD, Pijnenburg YA, Fox NC, van Swieten JC. </w:t>
      </w:r>
      <w:hyperlink r:id="rId8" w:history="1">
        <w:r w:rsidRPr="00061FA5">
          <w:rPr>
            <w:rFonts w:ascii="Palatino Linotype" w:hAnsi="Palatino Linotype" w:cs="Arial"/>
            <w:sz w:val="20"/>
            <w:szCs w:val="20"/>
          </w:rPr>
          <w:t>Clinical, genetic and pathological heterogeneity of frontotemporal dementia: a review.</w:t>
        </w:r>
      </w:hyperlink>
      <w:r w:rsidRPr="00061FA5">
        <w:rPr>
          <w:rFonts w:ascii="Palatino Linotype" w:hAnsi="Palatino Linotype" w:cs="Arial"/>
          <w:sz w:val="20"/>
          <w:szCs w:val="20"/>
        </w:rPr>
        <w:t xml:space="preserve"> J Neurol Neurosurg Psychiatry. 2011;82(5):476-86.</w:t>
      </w:r>
    </w:p>
    <w:p w14:paraId="4765A695" w14:textId="77777777" w:rsidR="002D7931" w:rsidRPr="00061FA5" w:rsidRDefault="002D7931" w:rsidP="00BD2975">
      <w:pPr>
        <w:pStyle w:val="ListParagraph"/>
        <w:numPr>
          <w:ilvl w:val="0"/>
          <w:numId w:val="4"/>
        </w:numPr>
        <w:spacing w:line="480" w:lineRule="auto"/>
        <w:jc w:val="both"/>
        <w:rPr>
          <w:rFonts w:ascii="Palatino Linotype" w:hAnsi="Palatino Linotype"/>
          <w:sz w:val="20"/>
          <w:szCs w:val="20"/>
        </w:rPr>
      </w:pPr>
      <w:r w:rsidRPr="00061FA5">
        <w:rPr>
          <w:rFonts w:ascii="Palatino Linotype" w:hAnsi="Palatino Linotype" w:cs="Arial"/>
          <w:sz w:val="20"/>
          <w:szCs w:val="20"/>
        </w:rPr>
        <w:t xml:space="preserve">Warren JD, </w:t>
      </w:r>
      <w:r w:rsidRPr="00061FA5">
        <w:rPr>
          <w:rFonts w:ascii="Palatino Linotype" w:hAnsi="Palatino Linotype" w:cs="Arial"/>
          <w:bCs/>
          <w:sz w:val="20"/>
          <w:szCs w:val="20"/>
        </w:rPr>
        <w:t>Rohrer JD</w:t>
      </w:r>
      <w:r w:rsidRPr="00061FA5">
        <w:rPr>
          <w:rFonts w:ascii="Palatino Linotype" w:hAnsi="Palatino Linotype" w:cs="Arial"/>
          <w:sz w:val="20"/>
          <w:szCs w:val="20"/>
        </w:rPr>
        <w:t xml:space="preserve">, Rossor MN. </w:t>
      </w:r>
      <w:hyperlink r:id="rId9" w:history="1">
        <w:r w:rsidRPr="00061FA5">
          <w:rPr>
            <w:rFonts w:ascii="Palatino Linotype" w:hAnsi="Palatino Linotype" w:cs="Arial"/>
            <w:sz w:val="20"/>
            <w:szCs w:val="20"/>
          </w:rPr>
          <w:t>Clinical review. Frontotemporal dementia.</w:t>
        </w:r>
      </w:hyperlink>
      <w:r w:rsidRPr="00061FA5">
        <w:rPr>
          <w:rFonts w:ascii="Palatino Linotype" w:hAnsi="Palatino Linotype" w:cs="Arial"/>
          <w:sz w:val="20"/>
          <w:szCs w:val="20"/>
        </w:rPr>
        <w:t xml:space="preserve"> BMJ. 2013 Aug 6;347:f4827.</w:t>
      </w:r>
    </w:p>
    <w:p w14:paraId="21B48F74" w14:textId="77777777" w:rsidR="002D7931" w:rsidRPr="00061FA5" w:rsidRDefault="002D7931" w:rsidP="00BD2975">
      <w:pPr>
        <w:pStyle w:val="ListParagraph"/>
        <w:numPr>
          <w:ilvl w:val="0"/>
          <w:numId w:val="4"/>
        </w:numPr>
        <w:spacing w:line="480" w:lineRule="auto"/>
        <w:jc w:val="both"/>
        <w:rPr>
          <w:rFonts w:ascii="Palatino Linotype" w:hAnsi="Palatino Linotype"/>
          <w:sz w:val="20"/>
          <w:szCs w:val="20"/>
        </w:rPr>
      </w:pPr>
      <w:r w:rsidRPr="00061FA5">
        <w:rPr>
          <w:rFonts w:ascii="Palatino Linotype" w:hAnsi="Palatino Linotype" w:cs="Arial"/>
          <w:bCs/>
          <w:sz w:val="20"/>
          <w:szCs w:val="20"/>
        </w:rPr>
        <w:t>Rohrer JD</w:t>
      </w:r>
      <w:r w:rsidRPr="00061FA5">
        <w:rPr>
          <w:rFonts w:ascii="Palatino Linotype" w:hAnsi="Palatino Linotype" w:cs="Arial"/>
          <w:sz w:val="20"/>
          <w:szCs w:val="20"/>
        </w:rPr>
        <w:t xml:space="preserve">, Zetterberg H. </w:t>
      </w:r>
      <w:hyperlink r:id="rId10" w:history="1">
        <w:r w:rsidRPr="00061FA5">
          <w:rPr>
            <w:rFonts w:ascii="Palatino Linotype" w:hAnsi="Palatino Linotype" w:cs="Arial"/>
            <w:sz w:val="20"/>
            <w:szCs w:val="20"/>
          </w:rPr>
          <w:t>Biomarkers in frontotemporal dementia.</w:t>
        </w:r>
      </w:hyperlink>
      <w:r w:rsidRPr="00061FA5">
        <w:rPr>
          <w:rFonts w:ascii="Palatino Linotype" w:hAnsi="Palatino Linotype" w:cs="Arial"/>
          <w:sz w:val="20"/>
          <w:szCs w:val="20"/>
        </w:rPr>
        <w:t xml:space="preserve"> Biomark Med. 2014;8(4):519-21.</w:t>
      </w:r>
    </w:p>
    <w:p w14:paraId="26F00925" w14:textId="77777777" w:rsidR="002D7931" w:rsidRPr="00061FA5" w:rsidRDefault="002D7931" w:rsidP="00BD2975">
      <w:pPr>
        <w:pStyle w:val="ListParagraph"/>
        <w:widowControl w:val="0"/>
        <w:numPr>
          <w:ilvl w:val="0"/>
          <w:numId w:val="4"/>
        </w:numPr>
        <w:autoSpaceDE w:val="0"/>
        <w:autoSpaceDN w:val="0"/>
        <w:adjustRightInd w:val="0"/>
        <w:spacing w:line="480" w:lineRule="auto"/>
        <w:jc w:val="both"/>
        <w:rPr>
          <w:rFonts w:ascii="Palatino Linotype" w:hAnsi="Palatino Linotype" w:cs="Arial"/>
          <w:sz w:val="20"/>
          <w:szCs w:val="20"/>
        </w:rPr>
      </w:pPr>
      <w:r w:rsidRPr="00061FA5">
        <w:rPr>
          <w:rFonts w:ascii="Palatino Linotype" w:hAnsi="Palatino Linotype" w:cs="Arial"/>
          <w:sz w:val="20"/>
          <w:szCs w:val="20"/>
        </w:rPr>
        <w:t xml:space="preserve">Rosengren LE, Karlsson JE, Sjögren M, Blennow K, Wallin A. </w:t>
      </w:r>
      <w:hyperlink r:id="rId11" w:history="1">
        <w:r w:rsidRPr="00061FA5">
          <w:rPr>
            <w:rFonts w:ascii="Palatino Linotype" w:hAnsi="Palatino Linotype" w:cs="Arial"/>
            <w:bCs/>
            <w:sz w:val="20"/>
            <w:szCs w:val="20"/>
          </w:rPr>
          <w:t>Neurofilament</w:t>
        </w:r>
        <w:r w:rsidRPr="00061FA5">
          <w:rPr>
            <w:rFonts w:ascii="Palatino Linotype" w:hAnsi="Palatino Linotype" w:cs="Arial"/>
            <w:sz w:val="20"/>
            <w:szCs w:val="20"/>
          </w:rPr>
          <w:t xml:space="preserve"> protein levels in CSF are increased in </w:t>
        </w:r>
        <w:r w:rsidRPr="00061FA5">
          <w:rPr>
            <w:rFonts w:ascii="Palatino Linotype" w:hAnsi="Palatino Linotype" w:cs="Arial"/>
            <w:bCs/>
            <w:sz w:val="20"/>
            <w:szCs w:val="20"/>
          </w:rPr>
          <w:t>dementia</w:t>
        </w:r>
        <w:r w:rsidRPr="00061FA5">
          <w:rPr>
            <w:rFonts w:ascii="Palatino Linotype" w:hAnsi="Palatino Linotype" w:cs="Arial"/>
            <w:sz w:val="20"/>
            <w:szCs w:val="20"/>
          </w:rPr>
          <w:t>.</w:t>
        </w:r>
      </w:hyperlink>
      <w:r w:rsidRPr="00061FA5">
        <w:rPr>
          <w:rFonts w:ascii="Palatino Linotype" w:hAnsi="Palatino Linotype" w:cs="Arial"/>
          <w:sz w:val="20"/>
          <w:szCs w:val="20"/>
        </w:rPr>
        <w:t xml:space="preserve"> Neurology. 1999 Mar 23;52(5):1090-3.</w:t>
      </w:r>
    </w:p>
    <w:p w14:paraId="619B862A" w14:textId="77777777" w:rsidR="002D7931" w:rsidRPr="00061FA5" w:rsidRDefault="002D7931" w:rsidP="00BD2975">
      <w:pPr>
        <w:pStyle w:val="ListParagraph"/>
        <w:widowControl w:val="0"/>
        <w:numPr>
          <w:ilvl w:val="0"/>
          <w:numId w:val="4"/>
        </w:numPr>
        <w:autoSpaceDE w:val="0"/>
        <w:autoSpaceDN w:val="0"/>
        <w:adjustRightInd w:val="0"/>
        <w:spacing w:line="480" w:lineRule="auto"/>
        <w:jc w:val="both"/>
        <w:rPr>
          <w:rFonts w:ascii="Palatino Linotype" w:hAnsi="Palatino Linotype" w:cs="Arial"/>
          <w:sz w:val="20"/>
          <w:szCs w:val="20"/>
        </w:rPr>
      </w:pPr>
      <w:r w:rsidRPr="00061FA5">
        <w:rPr>
          <w:rFonts w:ascii="Palatino Linotype" w:hAnsi="Palatino Linotype" w:cs="Arial"/>
          <w:sz w:val="20"/>
          <w:szCs w:val="20"/>
        </w:rPr>
        <w:t xml:space="preserve">Sjögren M, Rosengren L, Minthon L, Davidsson P, Blennow K, Wallin A. </w:t>
      </w:r>
      <w:hyperlink r:id="rId12" w:history="1">
        <w:r w:rsidRPr="00061FA5">
          <w:rPr>
            <w:rFonts w:ascii="Palatino Linotype" w:hAnsi="Palatino Linotype" w:cs="Arial"/>
            <w:sz w:val="20"/>
            <w:szCs w:val="20"/>
          </w:rPr>
          <w:t xml:space="preserve">Cytoskeleton proteins in CSF distinguish </w:t>
        </w:r>
        <w:r w:rsidRPr="00061FA5">
          <w:rPr>
            <w:rFonts w:ascii="Palatino Linotype" w:hAnsi="Palatino Linotype" w:cs="Arial"/>
            <w:bCs/>
            <w:sz w:val="20"/>
            <w:szCs w:val="20"/>
          </w:rPr>
          <w:t>frontotemporal dementia</w:t>
        </w:r>
        <w:r w:rsidRPr="00061FA5">
          <w:rPr>
            <w:rFonts w:ascii="Palatino Linotype" w:hAnsi="Palatino Linotype" w:cs="Arial"/>
            <w:sz w:val="20"/>
            <w:szCs w:val="20"/>
          </w:rPr>
          <w:t xml:space="preserve"> from AD.</w:t>
        </w:r>
      </w:hyperlink>
      <w:r w:rsidRPr="00061FA5">
        <w:rPr>
          <w:rFonts w:ascii="Palatino Linotype" w:hAnsi="Palatino Linotype" w:cs="Arial"/>
          <w:sz w:val="20"/>
          <w:szCs w:val="20"/>
        </w:rPr>
        <w:t xml:space="preserve"> Neurology. 2000 May 23;54(10):1960-4.</w:t>
      </w:r>
    </w:p>
    <w:p w14:paraId="2676DC2A" w14:textId="77777777" w:rsidR="002D7931" w:rsidRPr="00061FA5" w:rsidRDefault="002D7931" w:rsidP="00BD2975">
      <w:pPr>
        <w:pStyle w:val="ListParagraph"/>
        <w:widowControl w:val="0"/>
        <w:numPr>
          <w:ilvl w:val="0"/>
          <w:numId w:val="4"/>
        </w:numPr>
        <w:autoSpaceDE w:val="0"/>
        <w:autoSpaceDN w:val="0"/>
        <w:adjustRightInd w:val="0"/>
        <w:spacing w:line="480" w:lineRule="auto"/>
        <w:jc w:val="both"/>
        <w:rPr>
          <w:rFonts w:ascii="Palatino Linotype" w:hAnsi="Palatino Linotype" w:cs="Arial"/>
          <w:sz w:val="20"/>
          <w:szCs w:val="20"/>
        </w:rPr>
      </w:pPr>
      <w:r w:rsidRPr="00061FA5">
        <w:rPr>
          <w:rFonts w:ascii="Palatino Linotype" w:hAnsi="Palatino Linotype" w:cs="Arial"/>
          <w:sz w:val="20"/>
          <w:szCs w:val="20"/>
        </w:rPr>
        <w:t xml:space="preserve">Brettschneider J, Petzold A, Schottle D, Claus A, Riepe M, Tumani H. </w:t>
      </w:r>
      <w:hyperlink r:id="rId13" w:history="1">
        <w:r w:rsidRPr="00061FA5">
          <w:rPr>
            <w:rFonts w:ascii="Palatino Linotype" w:hAnsi="Palatino Linotype" w:cs="Arial"/>
            <w:sz w:val="20"/>
            <w:szCs w:val="20"/>
          </w:rPr>
          <w:t xml:space="preserve">The </w:t>
        </w:r>
        <w:r w:rsidRPr="00061FA5">
          <w:rPr>
            <w:rFonts w:ascii="Palatino Linotype" w:hAnsi="Palatino Linotype" w:cs="Arial"/>
            <w:bCs/>
            <w:sz w:val="20"/>
            <w:szCs w:val="20"/>
          </w:rPr>
          <w:t>neurofilament</w:t>
        </w:r>
        <w:r w:rsidRPr="00061FA5">
          <w:rPr>
            <w:rFonts w:ascii="Palatino Linotype" w:hAnsi="Palatino Linotype" w:cs="Arial"/>
            <w:sz w:val="20"/>
            <w:szCs w:val="20"/>
          </w:rPr>
          <w:t xml:space="preserve"> heavy chain (NfH) in the cerebrospinal fluid diagnosis of Alzheimer's </w:t>
        </w:r>
        <w:r w:rsidRPr="00061FA5">
          <w:rPr>
            <w:rFonts w:ascii="Palatino Linotype" w:hAnsi="Palatino Linotype" w:cs="Arial"/>
            <w:bCs/>
            <w:sz w:val="20"/>
            <w:szCs w:val="20"/>
          </w:rPr>
          <w:t>disease</w:t>
        </w:r>
        <w:r w:rsidRPr="00061FA5">
          <w:rPr>
            <w:rFonts w:ascii="Palatino Linotype" w:hAnsi="Palatino Linotype" w:cs="Arial"/>
            <w:sz w:val="20"/>
            <w:szCs w:val="20"/>
          </w:rPr>
          <w:t>.</w:t>
        </w:r>
      </w:hyperlink>
      <w:r w:rsidRPr="00061FA5">
        <w:rPr>
          <w:rFonts w:ascii="Palatino Linotype" w:hAnsi="Palatino Linotype" w:cs="Arial"/>
          <w:sz w:val="20"/>
          <w:szCs w:val="20"/>
        </w:rPr>
        <w:t xml:space="preserve"> Dement Geriatr Cogn Disord. 2006;21(5-6):291-5.</w:t>
      </w:r>
    </w:p>
    <w:p w14:paraId="38E9081B" w14:textId="77777777" w:rsidR="002D7931" w:rsidRPr="00061FA5" w:rsidRDefault="002D7931" w:rsidP="00BD2975">
      <w:pPr>
        <w:pStyle w:val="ListParagraph"/>
        <w:widowControl w:val="0"/>
        <w:numPr>
          <w:ilvl w:val="0"/>
          <w:numId w:val="4"/>
        </w:numPr>
        <w:autoSpaceDE w:val="0"/>
        <w:autoSpaceDN w:val="0"/>
        <w:adjustRightInd w:val="0"/>
        <w:spacing w:line="480" w:lineRule="auto"/>
        <w:jc w:val="both"/>
        <w:rPr>
          <w:rFonts w:ascii="Palatino Linotype" w:hAnsi="Palatino Linotype" w:cs="Arial"/>
          <w:sz w:val="20"/>
          <w:szCs w:val="20"/>
        </w:rPr>
      </w:pPr>
      <w:r w:rsidRPr="00061FA5">
        <w:rPr>
          <w:rFonts w:ascii="Palatino Linotype" w:hAnsi="Palatino Linotype" w:cs="Arial"/>
          <w:sz w:val="20"/>
          <w:szCs w:val="20"/>
        </w:rPr>
        <w:t xml:space="preserve">Petzold A, Keir G, Warren J, Fox N, Rossor MN. </w:t>
      </w:r>
      <w:hyperlink r:id="rId14" w:history="1">
        <w:r w:rsidRPr="00061FA5">
          <w:rPr>
            <w:rFonts w:ascii="Palatino Linotype" w:hAnsi="Palatino Linotype" w:cs="Arial"/>
            <w:sz w:val="20"/>
            <w:szCs w:val="20"/>
          </w:rPr>
          <w:t xml:space="preserve">A systematic review and meta-analysis of CSF </w:t>
        </w:r>
        <w:r w:rsidRPr="00061FA5">
          <w:rPr>
            <w:rFonts w:ascii="Palatino Linotype" w:hAnsi="Palatino Linotype" w:cs="Arial"/>
            <w:bCs/>
            <w:sz w:val="20"/>
            <w:szCs w:val="20"/>
          </w:rPr>
          <w:t>neurofilament</w:t>
        </w:r>
        <w:r w:rsidRPr="00061FA5">
          <w:rPr>
            <w:rFonts w:ascii="Palatino Linotype" w:hAnsi="Palatino Linotype" w:cs="Arial"/>
            <w:sz w:val="20"/>
            <w:szCs w:val="20"/>
          </w:rPr>
          <w:t xml:space="preserve"> protein levels as biomarkers in </w:t>
        </w:r>
        <w:r w:rsidRPr="00061FA5">
          <w:rPr>
            <w:rFonts w:ascii="Palatino Linotype" w:hAnsi="Palatino Linotype" w:cs="Arial"/>
            <w:bCs/>
            <w:sz w:val="20"/>
            <w:szCs w:val="20"/>
          </w:rPr>
          <w:t>dementia</w:t>
        </w:r>
        <w:r w:rsidRPr="00061FA5">
          <w:rPr>
            <w:rFonts w:ascii="Palatino Linotype" w:hAnsi="Palatino Linotype" w:cs="Arial"/>
            <w:sz w:val="20"/>
            <w:szCs w:val="20"/>
          </w:rPr>
          <w:t>.</w:t>
        </w:r>
      </w:hyperlink>
      <w:r w:rsidRPr="00061FA5">
        <w:rPr>
          <w:rFonts w:ascii="Palatino Linotype" w:hAnsi="Palatino Linotype" w:cs="Arial"/>
          <w:sz w:val="20"/>
          <w:szCs w:val="20"/>
        </w:rPr>
        <w:t xml:space="preserve"> Neurodegener Dis. 2007;4(2-3):185-94.</w:t>
      </w:r>
    </w:p>
    <w:p w14:paraId="5EE8CD45" w14:textId="77777777" w:rsidR="002D7931" w:rsidRPr="00061FA5" w:rsidRDefault="002D7931" w:rsidP="00BD2975">
      <w:pPr>
        <w:pStyle w:val="ListParagraph"/>
        <w:widowControl w:val="0"/>
        <w:numPr>
          <w:ilvl w:val="0"/>
          <w:numId w:val="4"/>
        </w:numPr>
        <w:autoSpaceDE w:val="0"/>
        <w:autoSpaceDN w:val="0"/>
        <w:adjustRightInd w:val="0"/>
        <w:spacing w:line="480" w:lineRule="auto"/>
        <w:jc w:val="both"/>
        <w:rPr>
          <w:rFonts w:ascii="Palatino Linotype" w:hAnsi="Palatino Linotype" w:cs="Arial"/>
          <w:sz w:val="20"/>
          <w:szCs w:val="20"/>
        </w:rPr>
      </w:pPr>
      <w:r w:rsidRPr="00061FA5">
        <w:rPr>
          <w:rFonts w:ascii="Palatino Linotype" w:hAnsi="Palatino Linotype" w:cs="Arial"/>
          <w:sz w:val="20"/>
          <w:szCs w:val="20"/>
          <w:lang w:val="nl-NL"/>
        </w:rPr>
        <w:t xml:space="preserve">Pijnenburg YA, Janssen JC, Schoonenboom NS et al. </w:t>
      </w:r>
      <w:hyperlink r:id="rId15" w:history="1">
        <w:r w:rsidRPr="00061FA5">
          <w:rPr>
            <w:rFonts w:ascii="Palatino Linotype" w:hAnsi="Palatino Linotype" w:cs="Arial"/>
            <w:sz w:val="20"/>
            <w:szCs w:val="20"/>
          </w:rPr>
          <w:t xml:space="preserve">CSF neurofilaments in </w:t>
        </w:r>
        <w:r w:rsidRPr="00061FA5">
          <w:rPr>
            <w:rFonts w:ascii="Palatino Linotype" w:hAnsi="Palatino Linotype" w:cs="Arial"/>
            <w:bCs/>
            <w:sz w:val="20"/>
            <w:szCs w:val="20"/>
          </w:rPr>
          <w:t>frontotemporal dementia</w:t>
        </w:r>
        <w:r w:rsidRPr="00061FA5">
          <w:rPr>
            <w:rFonts w:ascii="Palatino Linotype" w:hAnsi="Palatino Linotype" w:cs="Arial"/>
            <w:sz w:val="20"/>
            <w:szCs w:val="20"/>
          </w:rPr>
          <w:t xml:space="preserve"> compared with early onset Alzheimer's </w:t>
        </w:r>
        <w:r w:rsidRPr="00061FA5">
          <w:rPr>
            <w:rFonts w:ascii="Palatino Linotype" w:hAnsi="Palatino Linotype" w:cs="Arial"/>
            <w:bCs/>
            <w:sz w:val="20"/>
            <w:szCs w:val="20"/>
          </w:rPr>
          <w:t>disease</w:t>
        </w:r>
        <w:r w:rsidRPr="00061FA5">
          <w:rPr>
            <w:rFonts w:ascii="Palatino Linotype" w:hAnsi="Palatino Linotype" w:cs="Arial"/>
            <w:sz w:val="20"/>
            <w:szCs w:val="20"/>
          </w:rPr>
          <w:t xml:space="preserve"> and controls.</w:t>
        </w:r>
      </w:hyperlink>
      <w:r w:rsidRPr="00061FA5">
        <w:rPr>
          <w:rFonts w:ascii="Palatino Linotype" w:hAnsi="Palatino Linotype" w:cs="Arial"/>
          <w:sz w:val="20"/>
          <w:szCs w:val="20"/>
        </w:rPr>
        <w:t xml:space="preserve"> Dement Geriatr Cogn Disord. 2007;23(4):225-30. </w:t>
      </w:r>
    </w:p>
    <w:p w14:paraId="2417CBA0" w14:textId="77777777" w:rsidR="002D7931" w:rsidRPr="00061FA5" w:rsidRDefault="002D7931" w:rsidP="00BD2975">
      <w:pPr>
        <w:pStyle w:val="ListParagraph"/>
        <w:widowControl w:val="0"/>
        <w:numPr>
          <w:ilvl w:val="0"/>
          <w:numId w:val="4"/>
        </w:numPr>
        <w:autoSpaceDE w:val="0"/>
        <w:autoSpaceDN w:val="0"/>
        <w:adjustRightInd w:val="0"/>
        <w:spacing w:line="480" w:lineRule="auto"/>
        <w:jc w:val="both"/>
        <w:rPr>
          <w:rFonts w:ascii="Palatino Linotype" w:hAnsi="Palatino Linotype" w:cs="Arial"/>
          <w:sz w:val="20"/>
          <w:szCs w:val="20"/>
        </w:rPr>
      </w:pPr>
      <w:r w:rsidRPr="00061FA5">
        <w:rPr>
          <w:rFonts w:ascii="Palatino Linotype" w:hAnsi="Palatino Linotype" w:cs="Arial"/>
          <w:sz w:val="20"/>
          <w:szCs w:val="20"/>
          <w:lang w:val="nl-NL"/>
        </w:rPr>
        <w:t xml:space="preserve">de Jong D, Jansen RW, Pijnenburg YA et al. </w:t>
      </w:r>
      <w:hyperlink r:id="rId16" w:history="1">
        <w:r w:rsidRPr="00061FA5">
          <w:rPr>
            <w:rFonts w:ascii="Palatino Linotype" w:hAnsi="Palatino Linotype" w:cs="Arial"/>
            <w:sz w:val="20"/>
            <w:szCs w:val="20"/>
          </w:rPr>
          <w:t xml:space="preserve">CSF </w:t>
        </w:r>
        <w:r w:rsidRPr="00061FA5">
          <w:rPr>
            <w:rFonts w:ascii="Palatino Linotype" w:hAnsi="Palatino Linotype" w:cs="Arial"/>
            <w:bCs/>
            <w:sz w:val="20"/>
            <w:szCs w:val="20"/>
          </w:rPr>
          <w:t>neurofilament</w:t>
        </w:r>
        <w:r w:rsidRPr="00061FA5">
          <w:rPr>
            <w:rFonts w:ascii="Palatino Linotype" w:hAnsi="Palatino Linotype" w:cs="Arial"/>
            <w:sz w:val="20"/>
            <w:szCs w:val="20"/>
          </w:rPr>
          <w:t xml:space="preserve"> proteins in the differential diagnosis of </w:t>
        </w:r>
        <w:r w:rsidRPr="00061FA5">
          <w:rPr>
            <w:rFonts w:ascii="Palatino Linotype" w:hAnsi="Palatino Linotype" w:cs="Arial"/>
            <w:bCs/>
            <w:sz w:val="20"/>
            <w:szCs w:val="20"/>
          </w:rPr>
          <w:t>dementia</w:t>
        </w:r>
        <w:r w:rsidRPr="00061FA5">
          <w:rPr>
            <w:rFonts w:ascii="Palatino Linotype" w:hAnsi="Palatino Linotype" w:cs="Arial"/>
            <w:sz w:val="20"/>
            <w:szCs w:val="20"/>
          </w:rPr>
          <w:t>.</w:t>
        </w:r>
      </w:hyperlink>
      <w:r w:rsidRPr="00061FA5">
        <w:rPr>
          <w:rFonts w:ascii="Palatino Linotype" w:hAnsi="Palatino Linotype" w:cs="Arial"/>
          <w:sz w:val="20"/>
          <w:szCs w:val="20"/>
        </w:rPr>
        <w:t xml:space="preserve"> J Neurol Neurosurg Psychiatry. 2007 Sep;78(9):936-8. </w:t>
      </w:r>
    </w:p>
    <w:p w14:paraId="3FEB80C2" w14:textId="77777777" w:rsidR="002D7931" w:rsidRPr="00061FA5" w:rsidRDefault="002D7931" w:rsidP="00BD2975">
      <w:pPr>
        <w:pStyle w:val="ListParagraph"/>
        <w:widowControl w:val="0"/>
        <w:numPr>
          <w:ilvl w:val="0"/>
          <w:numId w:val="4"/>
        </w:numPr>
        <w:autoSpaceDE w:val="0"/>
        <w:autoSpaceDN w:val="0"/>
        <w:adjustRightInd w:val="0"/>
        <w:spacing w:line="480" w:lineRule="auto"/>
        <w:jc w:val="both"/>
        <w:rPr>
          <w:rFonts w:ascii="Palatino Linotype" w:hAnsi="Palatino Linotype" w:cs="Arial"/>
          <w:sz w:val="20"/>
          <w:szCs w:val="20"/>
        </w:rPr>
      </w:pPr>
      <w:r w:rsidRPr="00061FA5">
        <w:rPr>
          <w:rFonts w:ascii="Palatino Linotype" w:hAnsi="Palatino Linotype" w:cs="Arial"/>
          <w:sz w:val="20"/>
          <w:szCs w:val="20"/>
        </w:rPr>
        <w:t xml:space="preserve">Landqvist Waldö M, Frizell Santillo A, Passant U, Zetterberg H, Rosengren L, Nilsson C, Englund E. </w:t>
      </w:r>
      <w:hyperlink r:id="rId17" w:history="1">
        <w:r w:rsidRPr="00061FA5">
          <w:rPr>
            <w:rFonts w:ascii="Palatino Linotype" w:hAnsi="Palatino Linotype" w:cs="Arial"/>
            <w:sz w:val="20"/>
            <w:szCs w:val="20"/>
          </w:rPr>
          <w:t xml:space="preserve">Cerebrospinal fluid </w:t>
        </w:r>
        <w:r w:rsidRPr="00061FA5">
          <w:rPr>
            <w:rFonts w:ascii="Palatino Linotype" w:hAnsi="Palatino Linotype" w:cs="Arial"/>
            <w:bCs/>
            <w:sz w:val="20"/>
            <w:szCs w:val="20"/>
          </w:rPr>
          <w:t>neurofilament</w:t>
        </w:r>
        <w:r w:rsidRPr="00061FA5">
          <w:rPr>
            <w:rFonts w:ascii="Palatino Linotype" w:hAnsi="Palatino Linotype" w:cs="Arial"/>
            <w:sz w:val="20"/>
            <w:szCs w:val="20"/>
          </w:rPr>
          <w:t xml:space="preserve"> light chain protein levels in subtypes of </w:t>
        </w:r>
        <w:r w:rsidRPr="00061FA5">
          <w:rPr>
            <w:rFonts w:ascii="Palatino Linotype" w:hAnsi="Palatino Linotype" w:cs="Arial"/>
            <w:bCs/>
            <w:sz w:val="20"/>
            <w:szCs w:val="20"/>
          </w:rPr>
          <w:t>frontotemporal dementia</w:t>
        </w:r>
        <w:r w:rsidRPr="00061FA5">
          <w:rPr>
            <w:rFonts w:ascii="Palatino Linotype" w:hAnsi="Palatino Linotype" w:cs="Arial"/>
            <w:sz w:val="20"/>
            <w:szCs w:val="20"/>
          </w:rPr>
          <w:t>.</w:t>
        </w:r>
      </w:hyperlink>
      <w:r w:rsidRPr="00061FA5">
        <w:rPr>
          <w:rFonts w:ascii="Palatino Linotype" w:hAnsi="Palatino Linotype" w:cs="Arial"/>
          <w:sz w:val="20"/>
          <w:szCs w:val="20"/>
        </w:rPr>
        <w:t xml:space="preserve"> BMC Neurol. 2013 May 29;13:54.</w:t>
      </w:r>
    </w:p>
    <w:p w14:paraId="48B75ED4" w14:textId="77777777" w:rsidR="002D7931" w:rsidRPr="00061FA5" w:rsidRDefault="002D7931" w:rsidP="00BD2975">
      <w:pPr>
        <w:pStyle w:val="ListParagraph"/>
        <w:widowControl w:val="0"/>
        <w:numPr>
          <w:ilvl w:val="0"/>
          <w:numId w:val="4"/>
        </w:numPr>
        <w:autoSpaceDE w:val="0"/>
        <w:autoSpaceDN w:val="0"/>
        <w:adjustRightInd w:val="0"/>
        <w:spacing w:line="480" w:lineRule="auto"/>
        <w:jc w:val="both"/>
        <w:rPr>
          <w:rFonts w:ascii="Palatino Linotype" w:hAnsi="Palatino Linotype" w:cs="Arial"/>
          <w:sz w:val="20"/>
          <w:szCs w:val="20"/>
        </w:rPr>
      </w:pPr>
      <w:r w:rsidRPr="00061FA5">
        <w:rPr>
          <w:rFonts w:ascii="Palatino Linotype" w:hAnsi="Palatino Linotype" w:cs="Arial"/>
          <w:sz w:val="20"/>
          <w:szCs w:val="20"/>
          <w:lang w:val="de-DE"/>
        </w:rPr>
        <w:t xml:space="preserve">Scherling CS, Hall T, Berisha F et al. </w:t>
      </w:r>
      <w:hyperlink r:id="rId18" w:history="1">
        <w:r w:rsidRPr="00061FA5">
          <w:rPr>
            <w:rFonts w:ascii="Palatino Linotype" w:hAnsi="Palatino Linotype" w:cs="Arial"/>
            <w:sz w:val="20"/>
            <w:szCs w:val="20"/>
          </w:rPr>
          <w:t xml:space="preserve">Cerebrospinal fluid </w:t>
        </w:r>
        <w:r w:rsidRPr="00061FA5">
          <w:rPr>
            <w:rFonts w:ascii="Palatino Linotype" w:hAnsi="Palatino Linotype" w:cs="Arial"/>
            <w:bCs/>
            <w:sz w:val="20"/>
            <w:szCs w:val="20"/>
          </w:rPr>
          <w:t>neurofilament</w:t>
        </w:r>
        <w:r w:rsidRPr="00061FA5">
          <w:rPr>
            <w:rFonts w:ascii="Palatino Linotype" w:hAnsi="Palatino Linotype" w:cs="Arial"/>
            <w:sz w:val="20"/>
            <w:szCs w:val="20"/>
          </w:rPr>
          <w:t xml:space="preserve"> concentration reflects </w:t>
        </w:r>
        <w:r w:rsidRPr="00061FA5">
          <w:rPr>
            <w:rFonts w:ascii="Palatino Linotype" w:hAnsi="Palatino Linotype" w:cs="Arial"/>
            <w:bCs/>
            <w:sz w:val="20"/>
            <w:szCs w:val="20"/>
          </w:rPr>
          <w:t>disease</w:t>
        </w:r>
        <w:r w:rsidRPr="00061FA5">
          <w:rPr>
            <w:rFonts w:ascii="Palatino Linotype" w:hAnsi="Palatino Linotype" w:cs="Arial"/>
            <w:sz w:val="20"/>
            <w:szCs w:val="20"/>
          </w:rPr>
          <w:t xml:space="preserve"> severity in </w:t>
        </w:r>
        <w:r w:rsidRPr="00061FA5">
          <w:rPr>
            <w:rFonts w:ascii="Palatino Linotype" w:hAnsi="Palatino Linotype" w:cs="Arial"/>
            <w:bCs/>
            <w:sz w:val="20"/>
            <w:szCs w:val="20"/>
          </w:rPr>
          <w:t>frontotemporal</w:t>
        </w:r>
        <w:r w:rsidRPr="00061FA5">
          <w:rPr>
            <w:rFonts w:ascii="Palatino Linotype" w:hAnsi="Palatino Linotype" w:cs="Arial"/>
            <w:sz w:val="20"/>
            <w:szCs w:val="20"/>
          </w:rPr>
          <w:t xml:space="preserve"> degeneration.</w:t>
        </w:r>
      </w:hyperlink>
      <w:r w:rsidRPr="00061FA5">
        <w:rPr>
          <w:rFonts w:ascii="Palatino Linotype" w:hAnsi="Palatino Linotype" w:cs="Arial"/>
          <w:sz w:val="20"/>
          <w:szCs w:val="20"/>
        </w:rPr>
        <w:t xml:space="preserve"> Ann Neurol. 2014 Jan;75(1):116-26. </w:t>
      </w:r>
    </w:p>
    <w:p w14:paraId="3DBDC860" w14:textId="77777777" w:rsidR="002D7931" w:rsidRPr="00061FA5" w:rsidRDefault="002D7931" w:rsidP="00BD2975">
      <w:pPr>
        <w:pStyle w:val="ListParagraph"/>
        <w:widowControl w:val="0"/>
        <w:numPr>
          <w:ilvl w:val="0"/>
          <w:numId w:val="4"/>
        </w:numPr>
        <w:autoSpaceDE w:val="0"/>
        <w:autoSpaceDN w:val="0"/>
        <w:adjustRightInd w:val="0"/>
        <w:spacing w:line="480" w:lineRule="auto"/>
        <w:jc w:val="both"/>
        <w:rPr>
          <w:rFonts w:ascii="Palatino Linotype" w:hAnsi="Palatino Linotype" w:cs="Arial"/>
          <w:sz w:val="20"/>
          <w:szCs w:val="20"/>
        </w:rPr>
      </w:pPr>
      <w:r w:rsidRPr="00061FA5">
        <w:rPr>
          <w:rFonts w:ascii="Palatino Linotype" w:hAnsi="Palatino Linotype" w:cs="Arial"/>
          <w:sz w:val="20"/>
          <w:szCs w:val="20"/>
          <w:lang w:val="fr-FR"/>
        </w:rPr>
        <w:lastRenderedPageBreak/>
        <w:t xml:space="preserve">Teunissen CE, Dijkstra C, Polman C. </w:t>
      </w:r>
      <w:hyperlink r:id="rId19" w:history="1">
        <w:r w:rsidRPr="00061FA5">
          <w:rPr>
            <w:rFonts w:ascii="Palatino Linotype" w:hAnsi="Palatino Linotype" w:cs="Arial"/>
            <w:sz w:val="20"/>
            <w:szCs w:val="20"/>
          </w:rPr>
          <w:t xml:space="preserve">Biological markers in </w:t>
        </w:r>
        <w:r w:rsidRPr="00061FA5">
          <w:rPr>
            <w:rFonts w:ascii="Palatino Linotype" w:hAnsi="Palatino Linotype" w:cs="Arial"/>
            <w:bCs/>
            <w:sz w:val="20"/>
            <w:szCs w:val="20"/>
          </w:rPr>
          <w:t>CSF</w:t>
        </w:r>
        <w:r w:rsidRPr="00061FA5">
          <w:rPr>
            <w:rFonts w:ascii="Palatino Linotype" w:hAnsi="Palatino Linotype" w:cs="Arial"/>
            <w:sz w:val="20"/>
            <w:szCs w:val="20"/>
          </w:rPr>
          <w:t xml:space="preserve"> and blood for axonal degeneration in </w:t>
        </w:r>
        <w:r w:rsidRPr="00061FA5">
          <w:rPr>
            <w:rFonts w:ascii="Palatino Linotype" w:hAnsi="Palatino Linotype" w:cs="Arial"/>
            <w:bCs/>
            <w:sz w:val="20"/>
            <w:szCs w:val="20"/>
          </w:rPr>
          <w:t>multiple sclerosis</w:t>
        </w:r>
        <w:r w:rsidRPr="00061FA5">
          <w:rPr>
            <w:rFonts w:ascii="Palatino Linotype" w:hAnsi="Palatino Linotype" w:cs="Arial"/>
            <w:sz w:val="20"/>
            <w:szCs w:val="20"/>
          </w:rPr>
          <w:t>.</w:t>
        </w:r>
      </w:hyperlink>
      <w:r w:rsidRPr="00061FA5">
        <w:rPr>
          <w:rFonts w:ascii="Palatino Linotype" w:hAnsi="Palatino Linotype" w:cs="Arial"/>
          <w:sz w:val="20"/>
          <w:szCs w:val="20"/>
        </w:rPr>
        <w:t xml:space="preserve"> Lancet Neurol. 2005 Jan;4(1):32-41.</w:t>
      </w:r>
    </w:p>
    <w:p w14:paraId="34BCF127" w14:textId="77777777" w:rsidR="002D7931" w:rsidRPr="00061FA5" w:rsidRDefault="002D7931" w:rsidP="00BD2975">
      <w:pPr>
        <w:pStyle w:val="ListParagraph"/>
        <w:widowControl w:val="0"/>
        <w:numPr>
          <w:ilvl w:val="0"/>
          <w:numId w:val="4"/>
        </w:numPr>
        <w:autoSpaceDE w:val="0"/>
        <w:autoSpaceDN w:val="0"/>
        <w:adjustRightInd w:val="0"/>
        <w:spacing w:line="480" w:lineRule="auto"/>
        <w:jc w:val="both"/>
        <w:rPr>
          <w:rFonts w:ascii="Palatino Linotype" w:hAnsi="Palatino Linotype" w:cs="Arial"/>
          <w:sz w:val="20"/>
          <w:szCs w:val="20"/>
        </w:rPr>
      </w:pPr>
      <w:r w:rsidRPr="00061FA5">
        <w:rPr>
          <w:rFonts w:ascii="Palatino Linotype" w:hAnsi="Palatino Linotype" w:cs="Arial"/>
          <w:sz w:val="20"/>
          <w:szCs w:val="20"/>
        </w:rPr>
        <w:t xml:space="preserve">Tortelli R, Ruggieri M, Cortese R et al. </w:t>
      </w:r>
      <w:hyperlink r:id="rId20" w:history="1">
        <w:r w:rsidRPr="00061FA5">
          <w:rPr>
            <w:rFonts w:ascii="Palatino Linotype" w:hAnsi="Palatino Linotype" w:cs="Arial"/>
            <w:sz w:val="20"/>
            <w:szCs w:val="20"/>
          </w:rPr>
          <w:t xml:space="preserve">Elevated cerebrospinal fluid </w:t>
        </w:r>
        <w:r w:rsidRPr="00061FA5">
          <w:rPr>
            <w:rFonts w:ascii="Palatino Linotype" w:hAnsi="Palatino Linotype" w:cs="Arial"/>
            <w:bCs/>
            <w:sz w:val="20"/>
            <w:szCs w:val="20"/>
          </w:rPr>
          <w:t>neurofilament</w:t>
        </w:r>
        <w:r w:rsidRPr="00061FA5">
          <w:rPr>
            <w:rFonts w:ascii="Palatino Linotype" w:hAnsi="Palatino Linotype" w:cs="Arial"/>
            <w:sz w:val="20"/>
            <w:szCs w:val="20"/>
          </w:rPr>
          <w:t xml:space="preserve"> light levels in patients with amyotrophic lateral sclerosis: a possible marker of disease severity and progression.</w:t>
        </w:r>
      </w:hyperlink>
      <w:r w:rsidRPr="00061FA5">
        <w:rPr>
          <w:rFonts w:ascii="Palatino Linotype" w:hAnsi="Palatino Linotype" w:cs="Arial"/>
          <w:sz w:val="20"/>
          <w:szCs w:val="20"/>
        </w:rPr>
        <w:t xml:space="preserve"> Eur J Neurol. 2012 Dec;19(12):1561-7.</w:t>
      </w:r>
    </w:p>
    <w:p w14:paraId="4F7C3CAF" w14:textId="77777777" w:rsidR="002D7931" w:rsidRPr="00061FA5" w:rsidRDefault="002D7931" w:rsidP="006B7115">
      <w:pPr>
        <w:pStyle w:val="ListParagraph"/>
        <w:widowControl w:val="0"/>
        <w:numPr>
          <w:ilvl w:val="0"/>
          <w:numId w:val="4"/>
        </w:numPr>
        <w:autoSpaceDE w:val="0"/>
        <w:autoSpaceDN w:val="0"/>
        <w:adjustRightInd w:val="0"/>
        <w:spacing w:line="480" w:lineRule="auto"/>
        <w:jc w:val="both"/>
        <w:rPr>
          <w:rFonts w:ascii="Palatino Linotype" w:hAnsi="Palatino Linotype" w:cs="Arial"/>
          <w:sz w:val="20"/>
          <w:szCs w:val="20"/>
        </w:rPr>
      </w:pPr>
      <w:r w:rsidRPr="00061FA5">
        <w:rPr>
          <w:rFonts w:ascii="Palatino Linotype" w:hAnsi="Palatino Linotype" w:cs="Arial"/>
          <w:sz w:val="20"/>
          <w:szCs w:val="20"/>
        </w:rPr>
        <w:t xml:space="preserve">Lu CH, Macdonald-Wallis C, Gray E et al. </w:t>
      </w:r>
      <w:hyperlink r:id="rId21" w:history="1">
        <w:r w:rsidRPr="00061FA5">
          <w:rPr>
            <w:rFonts w:ascii="Palatino Linotype" w:hAnsi="Palatino Linotype" w:cs="Arial"/>
            <w:bCs/>
            <w:sz w:val="20"/>
            <w:szCs w:val="20"/>
          </w:rPr>
          <w:t>Neurofilament</w:t>
        </w:r>
        <w:r w:rsidRPr="00061FA5">
          <w:rPr>
            <w:rFonts w:ascii="Palatino Linotype" w:hAnsi="Palatino Linotype" w:cs="Arial"/>
            <w:sz w:val="20"/>
            <w:szCs w:val="20"/>
          </w:rPr>
          <w:t xml:space="preserve"> light chain: A prognostic biomarker in amyotrophic lateral sclerosis.</w:t>
        </w:r>
      </w:hyperlink>
      <w:r w:rsidRPr="00061FA5">
        <w:rPr>
          <w:rFonts w:ascii="Palatino Linotype" w:hAnsi="Palatino Linotype" w:cs="Arial"/>
          <w:sz w:val="20"/>
          <w:szCs w:val="20"/>
        </w:rPr>
        <w:t xml:space="preserve"> Neurology. 2015 Jun 2;84(22):2247-57. </w:t>
      </w:r>
    </w:p>
    <w:p w14:paraId="6CA77858" w14:textId="77777777" w:rsidR="00FE0B9B" w:rsidRPr="00061FA5" w:rsidRDefault="002D7931" w:rsidP="00FE0B9B">
      <w:pPr>
        <w:pStyle w:val="ListParagraph"/>
        <w:widowControl w:val="0"/>
        <w:numPr>
          <w:ilvl w:val="0"/>
          <w:numId w:val="4"/>
        </w:numPr>
        <w:autoSpaceDE w:val="0"/>
        <w:autoSpaceDN w:val="0"/>
        <w:adjustRightInd w:val="0"/>
        <w:spacing w:line="480" w:lineRule="auto"/>
        <w:jc w:val="both"/>
        <w:rPr>
          <w:rFonts w:ascii="Palatino Linotype" w:hAnsi="Palatino Linotype" w:cs="Arial"/>
          <w:sz w:val="20"/>
          <w:szCs w:val="20"/>
        </w:rPr>
      </w:pPr>
      <w:r w:rsidRPr="00061FA5">
        <w:rPr>
          <w:rFonts w:ascii="Palatino Linotype" w:hAnsi="Palatino Linotype"/>
          <w:sz w:val="20"/>
          <w:szCs w:val="20"/>
          <w:lang w:val="da-DK"/>
        </w:rPr>
        <w:t xml:space="preserve">Rissin DM, Kan CW, Campbell TG, et al. Single-molecule enzyme-linked immunosorbent assay detects serum proteins at subfemtomolar concentrations. </w:t>
      </w:r>
      <w:r w:rsidRPr="00061FA5">
        <w:rPr>
          <w:rFonts w:ascii="Palatino Linotype" w:hAnsi="Palatino Linotype"/>
          <w:sz w:val="20"/>
          <w:szCs w:val="20"/>
        </w:rPr>
        <w:t>Nat Biotechnol 2010;28:595–9.</w:t>
      </w:r>
    </w:p>
    <w:p w14:paraId="07FB017A" w14:textId="4051ACB9" w:rsidR="00FE0B9B" w:rsidRPr="00061FA5" w:rsidRDefault="00FE0B9B" w:rsidP="00FE0B9B">
      <w:pPr>
        <w:pStyle w:val="ListParagraph"/>
        <w:widowControl w:val="0"/>
        <w:numPr>
          <w:ilvl w:val="0"/>
          <w:numId w:val="4"/>
        </w:numPr>
        <w:autoSpaceDE w:val="0"/>
        <w:autoSpaceDN w:val="0"/>
        <w:adjustRightInd w:val="0"/>
        <w:spacing w:line="480" w:lineRule="auto"/>
        <w:jc w:val="both"/>
        <w:rPr>
          <w:rFonts w:ascii="Palatino Linotype" w:hAnsi="Palatino Linotype" w:cs="Arial"/>
          <w:sz w:val="20"/>
          <w:szCs w:val="20"/>
        </w:rPr>
      </w:pPr>
      <w:r w:rsidRPr="00061FA5">
        <w:rPr>
          <w:rFonts w:ascii="Palatino Linotype" w:hAnsi="Palatino Linotype" w:cs="Arial"/>
          <w:bCs/>
          <w:sz w:val="20"/>
          <w:szCs w:val="20"/>
          <w:lang w:eastAsia="sv-SE"/>
        </w:rPr>
        <w:t>Kuhle</w:t>
      </w:r>
      <w:r w:rsidRPr="00061FA5">
        <w:rPr>
          <w:rFonts w:ascii="Palatino Linotype" w:hAnsi="Palatino Linotype" w:cs="Arial"/>
          <w:sz w:val="20"/>
          <w:szCs w:val="20"/>
          <w:lang w:eastAsia="sv-SE"/>
        </w:rPr>
        <w:t xml:space="preserve"> J, Barro C, Andreasson U et al. </w:t>
      </w:r>
      <w:hyperlink r:id="rId22" w:history="1">
        <w:r w:rsidRPr="00061FA5">
          <w:rPr>
            <w:rFonts w:ascii="Palatino Linotype" w:hAnsi="Palatino Linotype" w:cs="Arial"/>
            <w:sz w:val="20"/>
            <w:szCs w:val="20"/>
            <w:lang w:eastAsia="sv-SE"/>
          </w:rPr>
          <w:t xml:space="preserve">Comparison of three analytical platforms for quantification of the </w:t>
        </w:r>
        <w:r w:rsidRPr="00061FA5">
          <w:rPr>
            <w:rFonts w:ascii="Palatino Linotype" w:hAnsi="Palatino Linotype" w:cs="Arial"/>
            <w:bCs/>
            <w:sz w:val="20"/>
            <w:szCs w:val="20"/>
            <w:lang w:eastAsia="sv-SE"/>
          </w:rPr>
          <w:t>neurofilament</w:t>
        </w:r>
        <w:r w:rsidRPr="00061FA5">
          <w:rPr>
            <w:rFonts w:ascii="Palatino Linotype" w:hAnsi="Palatino Linotype" w:cs="Arial"/>
            <w:sz w:val="20"/>
            <w:szCs w:val="20"/>
            <w:lang w:eastAsia="sv-SE"/>
          </w:rPr>
          <w:t xml:space="preserve"> light chain in blood samples: ELISA, electrochemiluminescence immunoassay and Simoa.</w:t>
        </w:r>
      </w:hyperlink>
      <w:r w:rsidRPr="00061FA5">
        <w:rPr>
          <w:rFonts w:ascii="Palatino Linotype" w:hAnsi="Palatino Linotype" w:cs="Arial"/>
          <w:sz w:val="20"/>
          <w:szCs w:val="20"/>
          <w:lang w:eastAsia="sv-SE"/>
        </w:rPr>
        <w:t xml:space="preserve"> Clin Chem Lab Med. 2016 Apr 12 [Epub ahead of print]</w:t>
      </w:r>
    </w:p>
    <w:p w14:paraId="2ADDACD6" w14:textId="77777777" w:rsidR="002D7931" w:rsidRPr="00061FA5" w:rsidRDefault="002D7931" w:rsidP="00BD2975">
      <w:pPr>
        <w:pStyle w:val="ListParagraph"/>
        <w:widowControl w:val="0"/>
        <w:numPr>
          <w:ilvl w:val="0"/>
          <w:numId w:val="4"/>
        </w:numPr>
        <w:autoSpaceDE w:val="0"/>
        <w:autoSpaceDN w:val="0"/>
        <w:adjustRightInd w:val="0"/>
        <w:spacing w:line="480" w:lineRule="auto"/>
        <w:jc w:val="both"/>
        <w:rPr>
          <w:rFonts w:ascii="Palatino Linotype" w:hAnsi="Palatino Linotype" w:cs="Arial"/>
          <w:sz w:val="20"/>
          <w:szCs w:val="20"/>
        </w:rPr>
      </w:pPr>
      <w:r w:rsidRPr="00061FA5">
        <w:rPr>
          <w:rFonts w:ascii="Palatino Linotype" w:hAnsi="Palatino Linotype" w:cs="Arial"/>
          <w:bCs/>
          <w:sz w:val="20"/>
          <w:szCs w:val="20"/>
        </w:rPr>
        <w:t>Rascovsky</w:t>
      </w:r>
      <w:r w:rsidRPr="00061FA5">
        <w:rPr>
          <w:rFonts w:ascii="Palatino Linotype" w:hAnsi="Palatino Linotype" w:cs="Arial"/>
          <w:sz w:val="20"/>
          <w:szCs w:val="20"/>
        </w:rPr>
        <w:t xml:space="preserve"> K, Hodges JR, Knopman D et al. </w:t>
      </w:r>
      <w:hyperlink r:id="rId23" w:history="1">
        <w:r w:rsidRPr="00061FA5">
          <w:rPr>
            <w:rFonts w:ascii="Palatino Linotype" w:hAnsi="Palatino Linotype" w:cs="Arial"/>
            <w:sz w:val="20"/>
            <w:szCs w:val="20"/>
          </w:rPr>
          <w:t>Sensitivity of revised diagnostic criteria for the behavioural variant of frontotemporal dementia.</w:t>
        </w:r>
      </w:hyperlink>
      <w:r w:rsidRPr="00061FA5">
        <w:rPr>
          <w:rFonts w:ascii="Palatino Linotype" w:hAnsi="Palatino Linotype" w:cs="Arial"/>
          <w:sz w:val="20"/>
          <w:szCs w:val="20"/>
        </w:rPr>
        <w:t xml:space="preserve"> Brain. 2011 Sep;134(Pt 9):2456-77. </w:t>
      </w:r>
    </w:p>
    <w:p w14:paraId="153C5082" w14:textId="77777777" w:rsidR="002D7931" w:rsidRPr="00061FA5" w:rsidRDefault="002D7931" w:rsidP="00BD2975">
      <w:pPr>
        <w:pStyle w:val="ListParagraph"/>
        <w:widowControl w:val="0"/>
        <w:numPr>
          <w:ilvl w:val="0"/>
          <w:numId w:val="4"/>
        </w:numPr>
        <w:autoSpaceDE w:val="0"/>
        <w:autoSpaceDN w:val="0"/>
        <w:adjustRightInd w:val="0"/>
        <w:spacing w:line="480" w:lineRule="auto"/>
        <w:jc w:val="both"/>
        <w:rPr>
          <w:rFonts w:ascii="Palatino Linotype" w:hAnsi="Palatino Linotype" w:cs="Arial"/>
          <w:sz w:val="20"/>
          <w:szCs w:val="20"/>
        </w:rPr>
      </w:pPr>
      <w:r w:rsidRPr="00061FA5">
        <w:rPr>
          <w:rFonts w:ascii="Palatino Linotype" w:hAnsi="Palatino Linotype" w:cs="Arial"/>
          <w:bCs/>
          <w:sz w:val="20"/>
          <w:szCs w:val="20"/>
          <w:lang w:val="da-DK"/>
        </w:rPr>
        <w:t>Strong</w:t>
      </w:r>
      <w:r w:rsidRPr="00061FA5">
        <w:rPr>
          <w:rFonts w:ascii="Palatino Linotype" w:hAnsi="Palatino Linotype" w:cs="Arial"/>
          <w:sz w:val="20"/>
          <w:szCs w:val="20"/>
          <w:lang w:val="da-DK"/>
        </w:rPr>
        <w:t xml:space="preserve"> MJ, Grace GM, Freedman M et al. </w:t>
      </w:r>
      <w:hyperlink r:id="rId24" w:history="1">
        <w:r w:rsidRPr="00061FA5">
          <w:rPr>
            <w:rFonts w:ascii="Palatino Linotype" w:hAnsi="Palatino Linotype" w:cs="Arial"/>
            <w:sz w:val="20"/>
            <w:szCs w:val="20"/>
          </w:rPr>
          <w:t>Consensus criteria for the diagnosis of frontotemporal cognitive and behavioural syndromes in amyotrophic lateral sclerosis.</w:t>
        </w:r>
      </w:hyperlink>
      <w:r w:rsidRPr="00061FA5">
        <w:rPr>
          <w:rFonts w:ascii="Palatino Linotype" w:hAnsi="Palatino Linotype" w:cs="Arial"/>
          <w:sz w:val="20"/>
          <w:szCs w:val="20"/>
        </w:rPr>
        <w:t xml:space="preserve"> Amyotroph Lateral Scler. 2009 Jun;10(3):131-46.</w:t>
      </w:r>
    </w:p>
    <w:p w14:paraId="45E938A2" w14:textId="77777777" w:rsidR="002D7931" w:rsidRPr="00061FA5" w:rsidRDefault="002D7931" w:rsidP="00BD2975">
      <w:pPr>
        <w:pStyle w:val="ListParagraph"/>
        <w:widowControl w:val="0"/>
        <w:numPr>
          <w:ilvl w:val="0"/>
          <w:numId w:val="4"/>
        </w:numPr>
        <w:autoSpaceDE w:val="0"/>
        <w:autoSpaceDN w:val="0"/>
        <w:adjustRightInd w:val="0"/>
        <w:spacing w:line="480" w:lineRule="auto"/>
        <w:jc w:val="both"/>
        <w:rPr>
          <w:rFonts w:ascii="Palatino Linotype" w:hAnsi="Palatino Linotype" w:cs="Arial"/>
          <w:sz w:val="20"/>
          <w:szCs w:val="20"/>
        </w:rPr>
      </w:pPr>
      <w:r w:rsidRPr="00061FA5">
        <w:rPr>
          <w:rFonts w:ascii="Palatino Linotype" w:hAnsi="Palatino Linotype" w:cs="Arial"/>
          <w:sz w:val="20"/>
          <w:szCs w:val="20"/>
        </w:rPr>
        <w:t xml:space="preserve">Gorno-Tempini ML, Hillis AE, Weintraub S et al. </w:t>
      </w:r>
      <w:hyperlink r:id="rId25" w:history="1">
        <w:r w:rsidRPr="00061FA5">
          <w:rPr>
            <w:rFonts w:ascii="Palatino Linotype" w:hAnsi="Palatino Linotype" w:cs="Arial"/>
            <w:sz w:val="20"/>
            <w:szCs w:val="20"/>
          </w:rPr>
          <w:t>Classification of primary progressive aphasia and its variants.</w:t>
        </w:r>
      </w:hyperlink>
      <w:r w:rsidRPr="00061FA5">
        <w:rPr>
          <w:rFonts w:ascii="Palatino Linotype" w:hAnsi="Palatino Linotype" w:cs="Arial"/>
          <w:sz w:val="20"/>
          <w:szCs w:val="20"/>
        </w:rPr>
        <w:t xml:space="preserve"> Neurology. 2011 Mar 15;76(11):1006-14.</w:t>
      </w:r>
    </w:p>
    <w:p w14:paraId="1F2E7B8A" w14:textId="77777777" w:rsidR="002D7931" w:rsidRPr="00061FA5" w:rsidRDefault="002D7931" w:rsidP="00BD2975">
      <w:pPr>
        <w:pStyle w:val="ListParagraph"/>
        <w:numPr>
          <w:ilvl w:val="0"/>
          <w:numId w:val="4"/>
        </w:numPr>
        <w:spacing w:line="480" w:lineRule="auto"/>
        <w:jc w:val="both"/>
        <w:rPr>
          <w:rFonts w:ascii="Palatino Linotype" w:hAnsi="Palatino Linotype"/>
          <w:sz w:val="20"/>
          <w:szCs w:val="20"/>
        </w:rPr>
      </w:pPr>
      <w:r w:rsidRPr="00061FA5">
        <w:rPr>
          <w:rFonts w:ascii="Palatino Linotype" w:hAnsi="Palatino Linotype" w:cs="Arial"/>
          <w:sz w:val="20"/>
          <w:szCs w:val="20"/>
        </w:rPr>
        <w:t>Wechsler D. Wechsler Abbreviated Scale of Intelligence. San Antonio, TX: The Psychological Corporation; 1999.</w:t>
      </w:r>
    </w:p>
    <w:p w14:paraId="55462B0F" w14:textId="77777777" w:rsidR="002D7931" w:rsidRPr="00061FA5" w:rsidRDefault="002D7931" w:rsidP="00BD2975">
      <w:pPr>
        <w:pStyle w:val="ListParagraph"/>
        <w:numPr>
          <w:ilvl w:val="0"/>
          <w:numId w:val="4"/>
        </w:numPr>
        <w:spacing w:line="480" w:lineRule="auto"/>
        <w:jc w:val="both"/>
        <w:rPr>
          <w:rFonts w:ascii="Palatino Linotype" w:hAnsi="Palatino Linotype"/>
          <w:sz w:val="20"/>
          <w:szCs w:val="20"/>
        </w:rPr>
      </w:pPr>
      <w:r w:rsidRPr="00061FA5">
        <w:rPr>
          <w:rFonts w:ascii="Palatino Linotype" w:hAnsi="Palatino Linotype" w:cs="Arial"/>
          <w:sz w:val="20"/>
          <w:szCs w:val="20"/>
        </w:rPr>
        <w:t>Warrington EK. Manual for the recognition memory test for words and faces. Windsor, UK: NFER-Nelson; 1984.</w:t>
      </w:r>
    </w:p>
    <w:p w14:paraId="7FEEB4B0" w14:textId="77777777" w:rsidR="002D7931" w:rsidRPr="00061FA5" w:rsidRDefault="002D7931" w:rsidP="00BD2975">
      <w:pPr>
        <w:pStyle w:val="ListParagraph"/>
        <w:numPr>
          <w:ilvl w:val="0"/>
          <w:numId w:val="4"/>
        </w:numPr>
        <w:spacing w:line="480" w:lineRule="auto"/>
        <w:jc w:val="both"/>
        <w:rPr>
          <w:rFonts w:ascii="Palatino Linotype" w:hAnsi="Palatino Linotype"/>
          <w:sz w:val="20"/>
          <w:szCs w:val="20"/>
        </w:rPr>
      </w:pPr>
      <w:r w:rsidRPr="00061FA5">
        <w:rPr>
          <w:rFonts w:ascii="Palatino Linotype" w:hAnsi="Palatino Linotype" w:cs="Arial"/>
          <w:sz w:val="20"/>
          <w:szCs w:val="20"/>
        </w:rPr>
        <w:t>McKenna P, Warrington EK. Testing for nominal dysphasia. J Neurol Neurosurg Psychiatry 1980; 43: 781-8.</w:t>
      </w:r>
    </w:p>
    <w:p w14:paraId="0396C6C4" w14:textId="77777777" w:rsidR="002D7931" w:rsidRPr="00061FA5" w:rsidRDefault="002D7931" w:rsidP="00BD2975">
      <w:pPr>
        <w:pStyle w:val="ListParagraph"/>
        <w:numPr>
          <w:ilvl w:val="0"/>
          <w:numId w:val="4"/>
        </w:numPr>
        <w:spacing w:line="480" w:lineRule="auto"/>
        <w:jc w:val="both"/>
        <w:rPr>
          <w:rFonts w:ascii="Palatino Linotype" w:hAnsi="Palatino Linotype"/>
          <w:sz w:val="20"/>
          <w:szCs w:val="20"/>
        </w:rPr>
      </w:pPr>
      <w:r w:rsidRPr="00061FA5">
        <w:rPr>
          <w:rFonts w:ascii="Palatino Linotype" w:hAnsi="Palatino Linotype" w:cs="Arial"/>
          <w:sz w:val="20"/>
          <w:szCs w:val="20"/>
        </w:rPr>
        <w:lastRenderedPageBreak/>
        <w:t>Jackson M, Warrington EK. Arithmetic skills in patients with unilateral cerebral lesions. Cortex 1986; 22: 611-20.</w:t>
      </w:r>
    </w:p>
    <w:p w14:paraId="4A540660" w14:textId="77777777" w:rsidR="002D7931" w:rsidRPr="00061FA5" w:rsidRDefault="002D7931" w:rsidP="00BD2975">
      <w:pPr>
        <w:pStyle w:val="ListParagraph"/>
        <w:numPr>
          <w:ilvl w:val="0"/>
          <w:numId w:val="4"/>
        </w:numPr>
        <w:spacing w:line="480" w:lineRule="auto"/>
        <w:jc w:val="both"/>
        <w:rPr>
          <w:rFonts w:ascii="Palatino Linotype" w:hAnsi="Palatino Linotype"/>
          <w:sz w:val="20"/>
          <w:szCs w:val="20"/>
        </w:rPr>
      </w:pPr>
      <w:r w:rsidRPr="00061FA5">
        <w:rPr>
          <w:rFonts w:ascii="Palatino Linotype" w:hAnsi="Palatino Linotype" w:cs="Arial"/>
          <w:sz w:val="20"/>
          <w:szCs w:val="20"/>
        </w:rPr>
        <w:t xml:space="preserve">Delis DC, Kaplan E, Kramer JH. </w:t>
      </w:r>
      <w:r w:rsidRPr="00061FA5">
        <w:rPr>
          <w:rFonts w:ascii="Palatino Linotype" w:hAnsi="Palatino Linotype" w:cs="Arial"/>
          <w:iCs/>
          <w:sz w:val="20"/>
          <w:szCs w:val="20"/>
        </w:rPr>
        <w:t>Delis-Kaplan Executive Function System (D-KEFS)</w:t>
      </w:r>
      <w:r w:rsidRPr="00061FA5">
        <w:rPr>
          <w:rFonts w:ascii="Palatino Linotype" w:hAnsi="Palatino Linotype" w:cs="Arial"/>
          <w:sz w:val="20"/>
          <w:szCs w:val="20"/>
        </w:rPr>
        <w:t>. San Antonio, TX: The Psychological Corporation; 2001.</w:t>
      </w:r>
    </w:p>
    <w:p w14:paraId="14855B0F" w14:textId="77777777" w:rsidR="002D7931" w:rsidRPr="00061FA5" w:rsidRDefault="002D7931" w:rsidP="00BD2975">
      <w:pPr>
        <w:pStyle w:val="ListParagraph"/>
        <w:numPr>
          <w:ilvl w:val="0"/>
          <w:numId w:val="4"/>
        </w:numPr>
        <w:spacing w:line="480" w:lineRule="auto"/>
        <w:jc w:val="both"/>
        <w:rPr>
          <w:rFonts w:ascii="Palatino Linotype" w:hAnsi="Palatino Linotype"/>
          <w:sz w:val="20"/>
          <w:szCs w:val="20"/>
        </w:rPr>
      </w:pPr>
      <w:r w:rsidRPr="00061FA5">
        <w:rPr>
          <w:rFonts w:ascii="Palatino Linotype" w:hAnsi="Palatino Linotype" w:cs="Arial"/>
          <w:sz w:val="20"/>
          <w:szCs w:val="20"/>
        </w:rPr>
        <w:t>Folstein M, Folstein S, McHugh P. The “Mini mental state”: a practical method for grading the cognitive state of patients for the clinician. J Psychiatr Res 1975;12:189 - 198.</w:t>
      </w:r>
    </w:p>
    <w:p w14:paraId="5B02FB2E" w14:textId="77777777" w:rsidR="002D7931" w:rsidRPr="00061FA5" w:rsidRDefault="002D7931" w:rsidP="00BD2975">
      <w:pPr>
        <w:pStyle w:val="ListParagraph"/>
        <w:numPr>
          <w:ilvl w:val="0"/>
          <w:numId w:val="4"/>
        </w:numPr>
        <w:spacing w:line="480" w:lineRule="auto"/>
        <w:jc w:val="both"/>
        <w:rPr>
          <w:rFonts w:ascii="Palatino Linotype" w:hAnsi="Palatino Linotype"/>
          <w:sz w:val="20"/>
          <w:szCs w:val="20"/>
        </w:rPr>
      </w:pPr>
      <w:r w:rsidRPr="00061FA5">
        <w:rPr>
          <w:rFonts w:ascii="Palatino Linotype" w:hAnsi="Palatino Linotype" w:cs="Calibri"/>
          <w:sz w:val="20"/>
          <w:szCs w:val="20"/>
        </w:rPr>
        <w:t xml:space="preserve">Freeborough PA, Fox NC, Kitney RI. Interactive algorithms for the segmentation and quantitation of 3-D MRI brain scans. </w:t>
      </w:r>
      <w:r w:rsidRPr="00061FA5">
        <w:rPr>
          <w:rFonts w:ascii="Palatino Linotype" w:hAnsi="Palatino Linotype" w:cs="Calibri"/>
          <w:iCs/>
          <w:sz w:val="20"/>
          <w:szCs w:val="20"/>
        </w:rPr>
        <w:t>Comput Methods Programs Biomed. 1997</w:t>
      </w:r>
      <w:r w:rsidRPr="00061FA5">
        <w:rPr>
          <w:rFonts w:ascii="Palatino Linotype" w:hAnsi="Palatino Linotype" w:cs="Calibri"/>
          <w:sz w:val="20"/>
          <w:szCs w:val="20"/>
        </w:rPr>
        <w:t>;</w:t>
      </w:r>
      <w:r w:rsidRPr="00061FA5">
        <w:rPr>
          <w:rFonts w:ascii="Palatino Linotype" w:hAnsi="Palatino Linotype" w:cs="Calibri"/>
          <w:bCs/>
          <w:sz w:val="20"/>
          <w:szCs w:val="20"/>
        </w:rPr>
        <w:t>53</w:t>
      </w:r>
      <w:r w:rsidRPr="00061FA5">
        <w:rPr>
          <w:rFonts w:ascii="Palatino Linotype" w:hAnsi="Palatino Linotype" w:cs="Calibri"/>
          <w:sz w:val="20"/>
          <w:szCs w:val="20"/>
        </w:rPr>
        <w:t>(1): 15–25.</w:t>
      </w:r>
    </w:p>
    <w:p w14:paraId="1C6AFE69" w14:textId="77777777" w:rsidR="002D7931" w:rsidRPr="00061FA5" w:rsidRDefault="002D7931" w:rsidP="00836E30">
      <w:pPr>
        <w:pStyle w:val="ListParagraph"/>
        <w:numPr>
          <w:ilvl w:val="0"/>
          <w:numId w:val="4"/>
        </w:numPr>
        <w:spacing w:line="480" w:lineRule="auto"/>
        <w:jc w:val="both"/>
        <w:rPr>
          <w:rFonts w:ascii="Palatino Linotype" w:hAnsi="Palatino Linotype"/>
          <w:sz w:val="20"/>
          <w:szCs w:val="20"/>
        </w:rPr>
      </w:pPr>
      <w:r w:rsidRPr="00061FA5">
        <w:rPr>
          <w:rFonts w:ascii="Palatino Linotype" w:hAnsi="Palatino Linotype" w:cs="Calibri"/>
          <w:sz w:val="20"/>
          <w:szCs w:val="20"/>
        </w:rPr>
        <w:t>Freeborough PA, Fox NC. The boundary shift integral: an accurate and robust measure of cerebral volume changes from registered repeat MRI. IEEE Trans. Med. Imaging 1997;16 (5), 623-629.</w:t>
      </w:r>
    </w:p>
    <w:p w14:paraId="4FAECECC" w14:textId="77777777" w:rsidR="002D7931" w:rsidRPr="00061FA5" w:rsidRDefault="002D7931" w:rsidP="00836E30">
      <w:pPr>
        <w:pStyle w:val="ListParagraph"/>
        <w:numPr>
          <w:ilvl w:val="0"/>
          <w:numId w:val="4"/>
        </w:numPr>
        <w:spacing w:line="480" w:lineRule="auto"/>
        <w:jc w:val="both"/>
        <w:rPr>
          <w:rFonts w:ascii="Palatino Linotype" w:hAnsi="Palatino Linotype"/>
          <w:sz w:val="20"/>
          <w:szCs w:val="20"/>
        </w:rPr>
      </w:pPr>
      <w:r w:rsidRPr="00061FA5">
        <w:rPr>
          <w:rFonts w:ascii="Palatino Linotype" w:hAnsi="Palatino Linotype" w:cs="Arial"/>
          <w:bCs/>
          <w:sz w:val="20"/>
          <w:szCs w:val="20"/>
          <w:lang w:val="pt-BR" w:eastAsia="sv-SE"/>
        </w:rPr>
        <w:t>Cardoso</w:t>
      </w:r>
      <w:r w:rsidRPr="00061FA5">
        <w:rPr>
          <w:rFonts w:ascii="Palatino Linotype" w:hAnsi="Palatino Linotype" w:cs="Arial"/>
          <w:sz w:val="20"/>
          <w:szCs w:val="20"/>
          <w:lang w:val="pt-BR" w:eastAsia="sv-SE"/>
        </w:rPr>
        <w:t xml:space="preserve"> MJ, Modat M, Wolz R et al. </w:t>
      </w:r>
      <w:hyperlink r:id="rId26" w:history="1">
        <w:r w:rsidRPr="00061FA5">
          <w:rPr>
            <w:rFonts w:ascii="Palatino Linotype" w:hAnsi="Palatino Linotype" w:cs="Arial"/>
            <w:bCs/>
            <w:sz w:val="20"/>
            <w:szCs w:val="20"/>
            <w:lang w:eastAsia="sv-SE"/>
          </w:rPr>
          <w:t>Geodesic</w:t>
        </w:r>
        <w:r w:rsidRPr="00061FA5">
          <w:rPr>
            <w:rFonts w:ascii="Palatino Linotype" w:hAnsi="Palatino Linotype" w:cs="Arial"/>
            <w:sz w:val="20"/>
            <w:szCs w:val="20"/>
            <w:lang w:eastAsia="sv-SE"/>
          </w:rPr>
          <w:t xml:space="preserve"> Information Flows: Spatially-Variant Graphs and Their Application to Segmentation and Fusion.</w:t>
        </w:r>
      </w:hyperlink>
      <w:r w:rsidRPr="00061FA5">
        <w:rPr>
          <w:rFonts w:ascii="Palatino Linotype" w:hAnsi="Palatino Linotype" w:cs="Arial"/>
          <w:sz w:val="20"/>
          <w:szCs w:val="20"/>
          <w:lang w:eastAsia="sv-SE"/>
        </w:rPr>
        <w:t xml:space="preserve"> IEEE Trans Med Imaging. 2015 Sep;34(9):1976-88.</w:t>
      </w:r>
    </w:p>
    <w:p w14:paraId="00403AFC" w14:textId="77777777" w:rsidR="002D7931" w:rsidRPr="00061FA5" w:rsidRDefault="002D7931" w:rsidP="00836E30">
      <w:pPr>
        <w:pStyle w:val="ListParagraph"/>
        <w:numPr>
          <w:ilvl w:val="0"/>
          <w:numId w:val="4"/>
        </w:numPr>
        <w:spacing w:line="480" w:lineRule="auto"/>
        <w:jc w:val="both"/>
        <w:rPr>
          <w:rFonts w:ascii="Palatino Linotype" w:hAnsi="Palatino Linotype"/>
          <w:sz w:val="20"/>
          <w:szCs w:val="20"/>
        </w:rPr>
      </w:pPr>
      <w:r w:rsidRPr="00061FA5">
        <w:rPr>
          <w:rFonts w:ascii="Palatino Linotype" w:hAnsi="Palatino Linotype" w:cs="Arial"/>
          <w:bCs/>
          <w:sz w:val="20"/>
          <w:szCs w:val="20"/>
        </w:rPr>
        <w:t>Rohrer JD</w:t>
      </w:r>
      <w:r w:rsidRPr="00061FA5">
        <w:rPr>
          <w:rFonts w:ascii="Palatino Linotype" w:hAnsi="Palatino Linotype" w:cs="Arial"/>
          <w:sz w:val="20"/>
          <w:szCs w:val="20"/>
        </w:rPr>
        <w:t xml:space="preserve">, Nicholas JM, Cash DM et al. </w:t>
      </w:r>
      <w:hyperlink r:id="rId27" w:history="1">
        <w:r w:rsidRPr="00061FA5">
          <w:rPr>
            <w:rFonts w:ascii="Palatino Linotype" w:hAnsi="Palatino Linotype" w:cs="Arial"/>
            <w:sz w:val="20"/>
            <w:szCs w:val="20"/>
          </w:rPr>
          <w:t>Presymptomatic cognitive and neuroanatomical changes in genetic frontotemporal dementia in the Genetic Frontotemporal dementia Initiative (GENFI) study: a cross-sectional analysis.</w:t>
        </w:r>
      </w:hyperlink>
      <w:r w:rsidRPr="00061FA5">
        <w:rPr>
          <w:rFonts w:ascii="Palatino Linotype" w:hAnsi="Palatino Linotype" w:cs="Arial"/>
          <w:sz w:val="20"/>
          <w:szCs w:val="20"/>
        </w:rPr>
        <w:t xml:space="preserve"> Lancet Neurol. 2015 Mar;14(3):253-62. </w:t>
      </w:r>
    </w:p>
    <w:p w14:paraId="3B2384FA" w14:textId="77777777" w:rsidR="002D7931" w:rsidRPr="00061FA5" w:rsidRDefault="00DA1384" w:rsidP="005C0F07">
      <w:pPr>
        <w:pStyle w:val="ListParagraph"/>
        <w:widowControl w:val="0"/>
        <w:numPr>
          <w:ilvl w:val="0"/>
          <w:numId w:val="4"/>
        </w:numPr>
        <w:autoSpaceDE w:val="0"/>
        <w:autoSpaceDN w:val="0"/>
        <w:adjustRightInd w:val="0"/>
        <w:spacing w:line="480" w:lineRule="auto"/>
        <w:jc w:val="both"/>
        <w:rPr>
          <w:rFonts w:ascii="Palatino Linotype" w:hAnsi="Palatino Linotype" w:cs="Arial"/>
          <w:sz w:val="20"/>
          <w:szCs w:val="20"/>
        </w:rPr>
      </w:pPr>
      <w:hyperlink r:id="rId28" w:history="1">
        <w:r w:rsidR="002D7931" w:rsidRPr="00061FA5">
          <w:rPr>
            <w:rFonts w:ascii="Palatino Linotype" w:hAnsi="Palatino Linotype" w:cs="Arial"/>
            <w:bCs/>
            <w:sz w:val="20"/>
            <w:szCs w:val="20"/>
            <w:lang w:val="pt-BR" w:eastAsia="sv-SE"/>
          </w:rPr>
          <w:t>Disanto G</w:t>
        </w:r>
        <w:r w:rsidR="002D7931" w:rsidRPr="00061FA5">
          <w:rPr>
            <w:rFonts w:ascii="Palatino Linotype" w:hAnsi="Palatino Linotype" w:cs="Arial"/>
            <w:sz w:val="20"/>
            <w:szCs w:val="20"/>
            <w:lang w:val="pt-BR" w:eastAsia="sv-SE"/>
          </w:rPr>
          <w:t xml:space="preserve">, Adiutori R, Dobson R et al. </w:t>
        </w:r>
        <w:r w:rsidR="002D7931" w:rsidRPr="00061FA5">
          <w:rPr>
            <w:rFonts w:ascii="Palatino Linotype" w:hAnsi="Palatino Linotype" w:cs="Arial"/>
            <w:sz w:val="20"/>
            <w:szCs w:val="20"/>
            <w:lang w:eastAsia="sv-SE"/>
          </w:rPr>
          <w:t>Serum neurofilament light chain levels are increased in patients with a clinically isolated syndrome.</w:t>
        </w:r>
      </w:hyperlink>
      <w:r w:rsidR="002D7931" w:rsidRPr="00061FA5">
        <w:rPr>
          <w:rFonts w:ascii="Palatino Linotype" w:hAnsi="Palatino Linotype" w:cs="Arial"/>
          <w:sz w:val="20"/>
          <w:szCs w:val="20"/>
          <w:lang w:eastAsia="sv-SE"/>
        </w:rPr>
        <w:t xml:space="preserve"> J Neurol Neurosurg Psychiatry. </w:t>
      </w:r>
      <w:r w:rsidR="002D7931" w:rsidRPr="00061FA5">
        <w:rPr>
          <w:rFonts w:ascii="Palatino Linotype" w:hAnsi="Palatino Linotype" w:cs="Arial"/>
          <w:bCs/>
          <w:sz w:val="20"/>
          <w:szCs w:val="20"/>
          <w:lang w:eastAsia="sv-SE"/>
        </w:rPr>
        <w:t>2015</w:t>
      </w:r>
      <w:r w:rsidR="002D7931" w:rsidRPr="00061FA5">
        <w:rPr>
          <w:rFonts w:ascii="Palatino Linotype" w:hAnsi="Palatino Linotype" w:cs="Arial"/>
          <w:sz w:val="20"/>
          <w:szCs w:val="20"/>
          <w:lang w:eastAsia="sv-SE"/>
        </w:rPr>
        <w:t xml:space="preserve"> Feb 25 [Epub ahead of print].</w:t>
      </w:r>
    </w:p>
    <w:p w14:paraId="5CB143D6" w14:textId="77777777" w:rsidR="002D7931" w:rsidRPr="00061FA5" w:rsidRDefault="002D7931" w:rsidP="005C0F07">
      <w:pPr>
        <w:pStyle w:val="ListParagraph"/>
        <w:widowControl w:val="0"/>
        <w:numPr>
          <w:ilvl w:val="0"/>
          <w:numId w:val="4"/>
        </w:numPr>
        <w:autoSpaceDE w:val="0"/>
        <w:autoSpaceDN w:val="0"/>
        <w:adjustRightInd w:val="0"/>
        <w:spacing w:line="480" w:lineRule="auto"/>
        <w:jc w:val="both"/>
        <w:rPr>
          <w:rFonts w:ascii="Palatino Linotype" w:hAnsi="Palatino Linotype" w:cs="Arial"/>
          <w:sz w:val="20"/>
          <w:szCs w:val="20"/>
        </w:rPr>
      </w:pPr>
      <w:r w:rsidRPr="00061FA5">
        <w:rPr>
          <w:rFonts w:ascii="Palatino Linotype" w:hAnsi="Palatino Linotype" w:cs="Arial"/>
          <w:bCs/>
          <w:sz w:val="20"/>
          <w:szCs w:val="20"/>
          <w:lang w:val="fi-FI" w:eastAsia="sv-SE"/>
        </w:rPr>
        <w:t>Kuhle</w:t>
      </w:r>
      <w:r w:rsidRPr="00061FA5">
        <w:rPr>
          <w:rFonts w:ascii="Palatino Linotype" w:hAnsi="Palatino Linotype" w:cs="Arial"/>
          <w:sz w:val="20"/>
          <w:szCs w:val="20"/>
          <w:lang w:val="fi-FI" w:eastAsia="sv-SE"/>
        </w:rPr>
        <w:t xml:space="preserve"> J, Gaiottino J, Leppert D et al. </w:t>
      </w:r>
      <w:hyperlink r:id="rId29" w:history="1">
        <w:r w:rsidRPr="00061FA5">
          <w:rPr>
            <w:rFonts w:ascii="Palatino Linotype" w:hAnsi="Palatino Linotype" w:cs="Arial"/>
            <w:sz w:val="20"/>
            <w:szCs w:val="20"/>
            <w:lang w:eastAsia="sv-SE"/>
          </w:rPr>
          <w:t>Serum neurofilament light chain is a biomarker of human spinal cord injury severity and outcome.</w:t>
        </w:r>
      </w:hyperlink>
      <w:r w:rsidRPr="00061FA5">
        <w:rPr>
          <w:rFonts w:ascii="Palatino Linotype" w:hAnsi="Palatino Linotype" w:cs="Arial"/>
          <w:sz w:val="20"/>
          <w:szCs w:val="20"/>
          <w:lang w:eastAsia="sv-SE"/>
        </w:rPr>
        <w:t xml:space="preserve"> J Neurol Neurosurg Psychiatry. </w:t>
      </w:r>
      <w:r w:rsidRPr="00061FA5">
        <w:rPr>
          <w:rFonts w:ascii="Palatino Linotype" w:hAnsi="Palatino Linotype" w:cs="Arial"/>
          <w:bCs/>
          <w:sz w:val="20"/>
          <w:szCs w:val="20"/>
          <w:lang w:eastAsia="sv-SE"/>
        </w:rPr>
        <w:t>2015</w:t>
      </w:r>
      <w:r w:rsidRPr="00061FA5">
        <w:rPr>
          <w:rFonts w:ascii="Palatino Linotype" w:hAnsi="Palatino Linotype" w:cs="Arial"/>
          <w:sz w:val="20"/>
          <w:szCs w:val="20"/>
          <w:lang w:eastAsia="sv-SE"/>
        </w:rPr>
        <w:t xml:space="preserve"> Mar;86(3):273-9.</w:t>
      </w:r>
    </w:p>
    <w:p w14:paraId="178448E1" w14:textId="77777777" w:rsidR="002D7931" w:rsidRPr="00061FA5" w:rsidRDefault="002D7931" w:rsidP="005C0F07">
      <w:pPr>
        <w:pStyle w:val="ListParagraph"/>
        <w:widowControl w:val="0"/>
        <w:numPr>
          <w:ilvl w:val="0"/>
          <w:numId w:val="4"/>
        </w:numPr>
        <w:autoSpaceDE w:val="0"/>
        <w:autoSpaceDN w:val="0"/>
        <w:adjustRightInd w:val="0"/>
        <w:spacing w:line="480" w:lineRule="auto"/>
        <w:jc w:val="both"/>
        <w:rPr>
          <w:rFonts w:ascii="Palatino Linotype" w:hAnsi="Palatino Linotype" w:cs="Arial"/>
          <w:sz w:val="20"/>
          <w:szCs w:val="20"/>
        </w:rPr>
      </w:pPr>
      <w:r w:rsidRPr="00061FA5">
        <w:rPr>
          <w:rFonts w:ascii="Palatino Linotype" w:hAnsi="Palatino Linotype" w:cs="Arial"/>
          <w:bCs/>
          <w:sz w:val="20"/>
          <w:szCs w:val="20"/>
          <w:lang w:eastAsia="sv-SE"/>
        </w:rPr>
        <w:t>Al Nimer</w:t>
      </w:r>
      <w:r w:rsidRPr="00061FA5">
        <w:rPr>
          <w:rFonts w:ascii="Palatino Linotype" w:hAnsi="Palatino Linotype" w:cs="Arial"/>
          <w:sz w:val="20"/>
          <w:szCs w:val="20"/>
          <w:lang w:eastAsia="sv-SE"/>
        </w:rPr>
        <w:t xml:space="preserve"> F, Thelin E, Nyström H et al. </w:t>
      </w:r>
      <w:hyperlink r:id="rId30" w:history="1">
        <w:r w:rsidRPr="00061FA5">
          <w:rPr>
            <w:rFonts w:ascii="Palatino Linotype" w:hAnsi="Palatino Linotype" w:cs="Arial"/>
            <w:sz w:val="20"/>
            <w:szCs w:val="20"/>
            <w:lang w:eastAsia="sv-SE"/>
          </w:rPr>
          <w:t>Comparative Assessment of the Prognostic Value of Biomarkers in Traumatic Brain Injury Reveals an Independent Role for Serum Levels of Neurofilament Light.</w:t>
        </w:r>
      </w:hyperlink>
      <w:r w:rsidRPr="00061FA5">
        <w:rPr>
          <w:rFonts w:ascii="Palatino Linotype" w:hAnsi="Palatino Linotype" w:cs="Arial"/>
          <w:sz w:val="20"/>
          <w:szCs w:val="20"/>
          <w:lang w:eastAsia="sv-SE"/>
        </w:rPr>
        <w:t xml:space="preserve"> PLoS One. </w:t>
      </w:r>
      <w:r w:rsidRPr="00061FA5">
        <w:rPr>
          <w:rFonts w:ascii="Palatino Linotype" w:hAnsi="Palatino Linotype" w:cs="Arial"/>
          <w:bCs/>
          <w:sz w:val="20"/>
          <w:szCs w:val="20"/>
          <w:lang w:eastAsia="sv-SE"/>
        </w:rPr>
        <w:t>2015</w:t>
      </w:r>
      <w:r w:rsidRPr="00061FA5">
        <w:rPr>
          <w:rFonts w:ascii="Palatino Linotype" w:hAnsi="Palatino Linotype" w:cs="Arial"/>
          <w:sz w:val="20"/>
          <w:szCs w:val="20"/>
          <w:lang w:eastAsia="sv-SE"/>
        </w:rPr>
        <w:t xml:space="preserve"> Jul 2;10(7):e0132177.</w:t>
      </w:r>
    </w:p>
    <w:p w14:paraId="48EC94F0" w14:textId="77777777" w:rsidR="002D7931" w:rsidRPr="00061FA5" w:rsidRDefault="002D7931" w:rsidP="005C0F07">
      <w:pPr>
        <w:pStyle w:val="ListParagraph"/>
        <w:widowControl w:val="0"/>
        <w:numPr>
          <w:ilvl w:val="0"/>
          <w:numId w:val="4"/>
        </w:numPr>
        <w:autoSpaceDE w:val="0"/>
        <w:autoSpaceDN w:val="0"/>
        <w:adjustRightInd w:val="0"/>
        <w:spacing w:line="480" w:lineRule="auto"/>
        <w:jc w:val="both"/>
        <w:rPr>
          <w:rFonts w:ascii="Palatino Linotype" w:hAnsi="Palatino Linotype" w:cs="Arial"/>
          <w:sz w:val="20"/>
          <w:szCs w:val="20"/>
        </w:rPr>
      </w:pPr>
      <w:r w:rsidRPr="00061FA5">
        <w:rPr>
          <w:rFonts w:ascii="Palatino Linotype" w:hAnsi="Palatino Linotype" w:cs="Arial"/>
          <w:bCs/>
          <w:sz w:val="20"/>
          <w:szCs w:val="20"/>
        </w:rPr>
        <w:t>Mahoney</w:t>
      </w:r>
      <w:r w:rsidRPr="00061FA5">
        <w:rPr>
          <w:rFonts w:ascii="Palatino Linotype" w:hAnsi="Palatino Linotype" w:cs="Arial"/>
          <w:sz w:val="20"/>
          <w:szCs w:val="20"/>
        </w:rPr>
        <w:t xml:space="preserve"> CJ, Beck J, </w:t>
      </w:r>
      <w:r w:rsidRPr="00061FA5">
        <w:rPr>
          <w:rFonts w:ascii="Palatino Linotype" w:hAnsi="Palatino Linotype" w:cs="Arial"/>
          <w:bCs/>
          <w:sz w:val="20"/>
          <w:szCs w:val="20"/>
        </w:rPr>
        <w:t>Rohrer</w:t>
      </w:r>
      <w:r w:rsidRPr="00061FA5">
        <w:rPr>
          <w:rFonts w:ascii="Palatino Linotype" w:hAnsi="Palatino Linotype" w:cs="Arial"/>
          <w:sz w:val="20"/>
          <w:szCs w:val="20"/>
        </w:rPr>
        <w:t xml:space="preserve"> JD et al. </w:t>
      </w:r>
      <w:hyperlink r:id="rId31" w:history="1">
        <w:r w:rsidRPr="00061FA5">
          <w:rPr>
            <w:rFonts w:ascii="Palatino Linotype" w:hAnsi="Palatino Linotype" w:cs="Arial"/>
            <w:sz w:val="20"/>
            <w:szCs w:val="20"/>
          </w:rPr>
          <w:t>Frontotemporal dementia with the C9ORF72 hexanucleotide repeat expansion: clinical, neuroanatomical and neuropathological features.</w:t>
        </w:r>
      </w:hyperlink>
      <w:r w:rsidRPr="00061FA5">
        <w:rPr>
          <w:rFonts w:ascii="Palatino Linotype" w:hAnsi="Palatino Linotype" w:cs="Arial"/>
          <w:sz w:val="20"/>
          <w:szCs w:val="20"/>
        </w:rPr>
        <w:t xml:space="preserve"> Brain. 2012 Mar;135(Pt 3):736-50.</w:t>
      </w:r>
    </w:p>
    <w:p w14:paraId="371A93AE" w14:textId="77777777" w:rsidR="002D7931" w:rsidRPr="00061FA5" w:rsidRDefault="002D7931" w:rsidP="00BD2975">
      <w:pPr>
        <w:pStyle w:val="ListParagraph"/>
        <w:widowControl w:val="0"/>
        <w:numPr>
          <w:ilvl w:val="0"/>
          <w:numId w:val="4"/>
        </w:numPr>
        <w:autoSpaceDE w:val="0"/>
        <w:autoSpaceDN w:val="0"/>
        <w:adjustRightInd w:val="0"/>
        <w:spacing w:line="480" w:lineRule="auto"/>
        <w:jc w:val="both"/>
        <w:rPr>
          <w:rFonts w:ascii="Palatino Linotype" w:hAnsi="Palatino Linotype" w:cs="Arial"/>
          <w:sz w:val="20"/>
          <w:szCs w:val="20"/>
        </w:rPr>
      </w:pPr>
      <w:r w:rsidRPr="00061FA5">
        <w:rPr>
          <w:rFonts w:ascii="Palatino Linotype" w:hAnsi="Palatino Linotype" w:cs="Arial"/>
          <w:bCs/>
          <w:sz w:val="20"/>
          <w:szCs w:val="20"/>
          <w:lang w:val="da-DK"/>
        </w:rPr>
        <w:lastRenderedPageBreak/>
        <w:t>Knopman</w:t>
      </w:r>
      <w:r w:rsidRPr="00061FA5">
        <w:rPr>
          <w:rFonts w:ascii="Palatino Linotype" w:hAnsi="Palatino Linotype" w:cs="Arial"/>
          <w:sz w:val="20"/>
          <w:szCs w:val="20"/>
          <w:lang w:val="da-DK"/>
        </w:rPr>
        <w:t xml:space="preserve"> DS, Kramer JH, </w:t>
      </w:r>
      <w:r w:rsidRPr="00061FA5">
        <w:rPr>
          <w:rFonts w:ascii="Palatino Linotype" w:hAnsi="Palatino Linotype" w:cs="Arial"/>
          <w:bCs/>
          <w:sz w:val="20"/>
          <w:szCs w:val="20"/>
          <w:lang w:val="da-DK"/>
        </w:rPr>
        <w:t>Boeve</w:t>
      </w:r>
      <w:r w:rsidRPr="00061FA5">
        <w:rPr>
          <w:rFonts w:ascii="Palatino Linotype" w:hAnsi="Palatino Linotype" w:cs="Arial"/>
          <w:sz w:val="20"/>
          <w:szCs w:val="20"/>
          <w:lang w:val="da-DK"/>
        </w:rPr>
        <w:t xml:space="preserve"> BF et al. </w:t>
      </w:r>
      <w:hyperlink r:id="rId32" w:history="1">
        <w:r w:rsidRPr="00061FA5">
          <w:rPr>
            <w:rFonts w:ascii="Palatino Linotype" w:hAnsi="Palatino Linotype" w:cs="Arial"/>
            <w:sz w:val="20"/>
            <w:szCs w:val="20"/>
          </w:rPr>
          <w:t>Development of methodology for conducting clinical trials in frontotemporal lobar degeneration.</w:t>
        </w:r>
      </w:hyperlink>
      <w:r w:rsidRPr="00061FA5">
        <w:rPr>
          <w:rFonts w:ascii="Palatino Linotype" w:hAnsi="Palatino Linotype" w:cs="Arial"/>
          <w:sz w:val="20"/>
          <w:szCs w:val="20"/>
        </w:rPr>
        <w:t xml:space="preserve"> Brain. 2008 Nov;131(Pt 11):2957-68.</w:t>
      </w:r>
    </w:p>
    <w:p w14:paraId="11A0418C" w14:textId="77777777" w:rsidR="002D7931" w:rsidRPr="00061FA5" w:rsidRDefault="002D7931" w:rsidP="00BD2975">
      <w:pPr>
        <w:pStyle w:val="ListParagraph"/>
        <w:widowControl w:val="0"/>
        <w:numPr>
          <w:ilvl w:val="0"/>
          <w:numId w:val="4"/>
        </w:numPr>
        <w:autoSpaceDE w:val="0"/>
        <w:autoSpaceDN w:val="0"/>
        <w:adjustRightInd w:val="0"/>
        <w:spacing w:line="480" w:lineRule="auto"/>
        <w:jc w:val="both"/>
        <w:rPr>
          <w:rFonts w:ascii="Palatino Linotype" w:hAnsi="Palatino Linotype" w:cs="Arial"/>
          <w:sz w:val="20"/>
          <w:szCs w:val="20"/>
        </w:rPr>
      </w:pPr>
      <w:r w:rsidRPr="00061FA5">
        <w:rPr>
          <w:rFonts w:ascii="Palatino Linotype" w:hAnsi="Palatino Linotype" w:cs="Arial"/>
          <w:bCs/>
          <w:sz w:val="20"/>
          <w:szCs w:val="20"/>
        </w:rPr>
        <w:t>Mioshi</w:t>
      </w:r>
      <w:r w:rsidRPr="00061FA5">
        <w:rPr>
          <w:rFonts w:ascii="Palatino Linotype" w:hAnsi="Palatino Linotype" w:cs="Arial"/>
          <w:sz w:val="20"/>
          <w:szCs w:val="20"/>
        </w:rPr>
        <w:t xml:space="preserve"> E, Hsieh S, Savage S, Hornberger M, Hodges JR. </w:t>
      </w:r>
      <w:hyperlink r:id="rId33" w:history="1">
        <w:r w:rsidRPr="00061FA5">
          <w:rPr>
            <w:rFonts w:ascii="Palatino Linotype" w:hAnsi="Palatino Linotype" w:cs="Arial"/>
            <w:sz w:val="20"/>
            <w:szCs w:val="20"/>
          </w:rPr>
          <w:t>Clinical staging and disease progression in frontotemporal dementia.</w:t>
        </w:r>
      </w:hyperlink>
      <w:r w:rsidRPr="00061FA5">
        <w:rPr>
          <w:rFonts w:ascii="Palatino Linotype" w:hAnsi="Palatino Linotype" w:cs="Arial"/>
          <w:sz w:val="20"/>
          <w:szCs w:val="20"/>
        </w:rPr>
        <w:t xml:space="preserve"> Neurology. 2010 May 18;74(20):1591-7.</w:t>
      </w:r>
    </w:p>
    <w:sectPr w:rsidR="002D7931" w:rsidRPr="00061FA5" w:rsidSect="00DC7F57">
      <w:headerReference w:type="default" r:id="rId34"/>
      <w:footerReference w:type="default" r:id="rId35"/>
      <w:pgSz w:w="11900" w:h="16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46E98" w14:textId="77777777" w:rsidR="00DA1384" w:rsidRDefault="00DA1384" w:rsidP="0033430A">
      <w:r>
        <w:separator/>
      </w:r>
    </w:p>
  </w:endnote>
  <w:endnote w:type="continuationSeparator" w:id="0">
    <w:p w14:paraId="2965CC1B" w14:textId="77777777" w:rsidR="00DA1384" w:rsidRDefault="00DA1384" w:rsidP="0033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Menlo Regular">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BF1A6" w14:textId="77777777" w:rsidR="00DC1BAD" w:rsidRPr="00F327AB" w:rsidRDefault="00DC1BAD">
    <w:pPr>
      <w:pStyle w:val="Footer"/>
      <w:jc w:val="right"/>
      <w:rPr>
        <w:rFonts w:ascii="Palatino Linotype" w:hAnsi="Palatino Linotype"/>
        <w:sz w:val="20"/>
        <w:szCs w:val="20"/>
      </w:rPr>
    </w:pPr>
    <w:r w:rsidRPr="00F327AB">
      <w:rPr>
        <w:rFonts w:ascii="Palatino Linotype" w:hAnsi="Palatino Linotype"/>
        <w:sz w:val="20"/>
        <w:szCs w:val="20"/>
      </w:rPr>
      <w:fldChar w:fldCharType="begin"/>
    </w:r>
    <w:r w:rsidRPr="00F327AB">
      <w:rPr>
        <w:rFonts w:ascii="Palatino Linotype" w:hAnsi="Palatino Linotype"/>
        <w:sz w:val="20"/>
        <w:szCs w:val="20"/>
      </w:rPr>
      <w:instrText xml:space="preserve"> PAGE   \* MERGEFORMAT </w:instrText>
    </w:r>
    <w:r w:rsidRPr="00F327AB">
      <w:rPr>
        <w:rFonts w:ascii="Palatino Linotype" w:hAnsi="Palatino Linotype"/>
        <w:sz w:val="20"/>
        <w:szCs w:val="20"/>
      </w:rPr>
      <w:fldChar w:fldCharType="separate"/>
    </w:r>
    <w:r w:rsidR="00BF236F">
      <w:rPr>
        <w:rFonts w:ascii="Palatino Linotype" w:hAnsi="Palatino Linotype"/>
        <w:noProof/>
        <w:sz w:val="20"/>
        <w:szCs w:val="20"/>
      </w:rPr>
      <w:t>1</w:t>
    </w:r>
    <w:r w:rsidRPr="00F327AB">
      <w:rPr>
        <w:rFonts w:ascii="Palatino Linotype" w:hAnsi="Palatino Linotype"/>
        <w:sz w:val="20"/>
        <w:szCs w:val="20"/>
      </w:rPr>
      <w:fldChar w:fldCharType="end"/>
    </w:r>
  </w:p>
  <w:p w14:paraId="21721DC9" w14:textId="77777777" w:rsidR="00DC1BAD" w:rsidRDefault="00DC1B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4F7AA" w14:textId="77777777" w:rsidR="00DA1384" w:rsidRDefault="00DA1384" w:rsidP="0033430A">
      <w:r>
        <w:separator/>
      </w:r>
    </w:p>
  </w:footnote>
  <w:footnote w:type="continuationSeparator" w:id="0">
    <w:p w14:paraId="4A6C7E2D" w14:textId="77777777" w:rsidR="00DA1384" w:rsidRDefault="00DA1384" w:rsidP="003343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7AE4E" w14:textId="77777777" w:rsidR="00DC1BAD" w:rsidRPr="0093324B" w:rsidRDefault="00DC1BAD" w:rsidP="0093324B">
    <w:pPr>
      <w:pStyle w:val="Header"/>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219DD"/>
    <w:multiLevelType w:val="hybridMultilevel"/>
    <w:tmpl w:val="E2B0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AB533F"/>
    <w:multiLevelType w:val="hybridMultilevel"/>
    <w:tmpl w:val="E08CE64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316C31E6"/>
    <w:multiLevelType w:val="hybridMultilevel"/>
    <w:tmpl w:val="0D863ED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505F081C"/>
    <w:multiLevelType w:val="hybridMultilevel"/>
    <w:tmpl w:val="74E4E59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765D17B1"/>
    <w:multiLevelType w:val="hybridMultilevel"/>
    <w:tmpl w:val="439AE3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3A7"/>
    <w:rsid w:val="00000449"/>
    <w:rsid w:val="00004189"/>
    <w:rsid w:val="00004982"/>
    <w:rsid w:val="00005C7E"/>
    <w:rsid w:val="00007B9B"/>
    <w:rsid w:val="00011543"/>
    <w:rsid w:val="00011AEB"/>
    <w:rsid w:val="00013AC4"/>
    <w:rsid w:val="000175CE"/>
    <w:rsid w:val="0002022E"/>
    <w:rsid w:val="00021C1F"/>
    <w:rsid w:val="00022D0A"/>
    <w:rsid w:val="000243CC"/>
    <w:rsid w:val="0002537C"/>
    <w:rsid w:val="0002639C"/>
    <w:rsid w:val="00026446"/>
    <w:rsid w:val="00033D18"/>
    <w:rsid w:val="000349ED"/>
    <w:rsid w:val="00036EF8"/>
    <w:rsid w:val="000436D3"/>
    <w:rsid w:val="000462DE"/>
    <w:rsid w:val="0004672D"/>
    <w:rsid w:val="00051CCC"/>
    <w:rsid w:val="000521D0"/>
    <w:rsid w:val="00053FC6"/>
    <w:rsid w:val="00054889"/>
    <w:rsid w:val="00055DF2"/>
    <w:rsid w:val="00061029"/>
    <w:rsid w:val="00061FA5"/>
    <w:rsid w:val="000632DE"/>
    <w:rsid w:val="00064654"/>
    <w:rsid w:val="00064E72"/>
    <w:rsid w:val="00075FA9"/>
    <w:rsid w:val="00076664"/>
    <w:rsid w:val="000969BD"/>
    <w:rsid w:val="000A01F1"/>
    <w:rsid w:val="000A0FB5"/>
    <w:rsid w:val="000A1A60"/>
    <w:rsid w:val="000A6DD8"/>
    <w:rsid w:val="000A6DE8"/>
    <w:rsid w:val="000B0A4F"/>
    <w:rsid w:val="000B12D8"/>
    <w:rsid w:val="000B1459"/>
    <w:rsid w:val="000B23DC"/>
    <w:rsid w:val="000B313A"/>
    <w:rsid w:val="000B3E88"/>
    <w:rsid w:val="000B3FD9"/>
    <w:rsid w:val="000B4282"/>
    <w:rsid w:val="000B4316"/>
    <w:rsid w:val="000B58DC"/>
    <w:rsid w:val="000B711D"/>
    <w:rsid w:val="000C45B7"/>
    <w:rsid w:val="000D1478"/>
    <w:rsid w:val="000D2311"/>
    <w:rsid w:val="000D5A9C"/>
    <w:rsid w:val="000D61E8"/>
    <w:rsid w:val="000E06D6"/>
    <w:rsid w:val="000E18C9"/>
    <w:rsid w:val="000E31D8"/>
    <w:rsid w:val="000E38AF"/>
    <w:rsid w:val="000E680F"/>
    <w:rsid w:val="000F04B5"/>
    <w:rsid w:val="000F1EC9"/>
    <w:rsid w:val="000F46ED"/>
    <w:rsid w:val="000F540F"/>
    <w:rsid w:val="00100A60"/>
    <w:rsid w:val="00105A0A"/>
    <w:rsid w:val="00106573"/>
    <w:rsid w:val="001144A4"/>
    <w:rsid w:val="001213A9"/>
    <w:rsid w:val="00122AE1"/>
    <w:rsid w:val="00122E98"/>
    <w:rsid w:val="00122FD6"/>
    <w:rsid w:val="00123CC6"/>
    <w:rsid w:val="00124670"/>
    <w:rsid w:val="00125409"/>
    <w:rsid w:val="00125A68"/>
    <w:rsid w:val="0012645F"/>
    <w:rsid w:val="00127DF5"/>
    <w:rsid w:val="0013670D"/>
    <w:rsid w:val="00145EE7"/>
    <w:rsid w:val="00150A4D"/>
    <w:rsid w:val="00150F1C"/>
    <w:rsid w:val="00150F58"/>
    <w:rsid w:val="00154AD0"/>
    <w:rsid w:val="00156D83"/>
    <w:rsid w:val="001615B8"/>
    <w:rsid w:val="00161920"/>
    <w:rsid w:val="00161ED3"/>
    <w:rsid w:val="00164F19"/>
    <w:rsid w:val="00170678"/>
    <w:rsid w:val="00176515"/>
    <w:rsid w:val="001775AF"/>
    <w:rsid w:val="00181DDD"/>
    <w:rsid w:val="00183E92"/>
    <w:rsid w:val="0018418C"/>
    <w:rsid w:val="00185A4D"/>
    <w:rsid w:val="001901F6"/>
    <w:rsid w:val="00190DC8"/>
    <w:rsid w:val="00192A50"/>
    <w:rsid w:val="001A5531"/>
    <w:rsid w:val="001A6154"/>
    <w:rsid w:val="001B492E"/>
    <w:rsid w:val="001C1642"/>
    <w:rsid w:val="001C1CA6"/>
    <w:rsid w:val="001C3CE4"/>
    <w:rsid w:val="001C7EE2"/>
    <w:rsid w:val="001D197E"/>
    <w:rsid w:val="001D2857"/>
    <w:rsid w:val="001D6CA0"/>
    <w:rsid w:val="001D7E68"/>
    <w:rsid w:val="001E6C7F"/>
    <w:rsid w:val="001E773A"/>
    <w:rsid w:val="001F2440"/>
    <w:rsid w:val="001F3D6D"/>
    <w:rsid w:val="001F6687"/>
    <w:rsid w:val="001F6917"/>
    <w:rsid w:val="001F6E57"/>
    <w:rsid w:val="0020134E"/>
    <w:rsid w:val="00201CA5"/>
    <w:rsid w:val="00204885"/>
    <w:rsid w:val="00204F83"/>
    <w:rsid w:val="002168D2"/>
    <w:rsid w:val="002243D4"/>
    <w:rsid w:val="00224C5F"/>
    <w:rsid w:val="002308A4"/>
    <w:rsid w:val="00233B3E"/>
    <w:rsid w:val="00234F31"/>
    <w:rsid w:val="002350F9"/>
    <w:rsid w:val="0023564F"/>
    <w:rsid w:val="00242D75"/>
    <w:rsid w:val="00245708"/>
    <w:rsid w:val="00246CE9"/>
    <w:rsid w:val="00250269"/>
    <w:rsid w:val="00254BD2"/>
    <w:rsid w:val="00256C9F"/>
    <w:rsid w:val="00262C10"/>
    <w:rsid w:val="00263CF9"/>
    <w:rsid w:val="002776E9"/>
    <w:rsid w:val="0027774B"/>
    <w:rsid w:val="0028091C"/>
    <w:rsid w:val="00281088"/>
    <w:rsid w:val="00282ACF"/>
    <w:rsid w:val="00282E9D"/>
    <w:rsid w:val="0028646E"/>
    <w:rsid w:val="0029016E"/>
    <w:rsid w:val="00290522"/>
    <w:rsid w:val="00290BF1"/>
    <w:rsid w:val="0029245E"/>
    <w:rsid w:val="00292946"/>
    <w:rsid w:val="00294B33"/>
    <w:rsid w:val="00294D10"/>
    <w:rsid w:val="002A0848"/>
    <w:rsid w:val="002A0DB6"/>
    <w:rsid w:val="002A7B6D"/>
    <w:rsid w:val="002B28E7"/>
    <w:rsid w:val="002B3F6F"/>
    <w:rsid w:val="002B534D"/>
    <w:rsid w:val="002B670A"/>
    <w:rsid w:val="002C36E0"/>
    <w:rsid w:val="002C6ABA"/>
    <w:rsid w:val="002C72D3"/>
    <w:rsid w:val="002C769F"/>
    <w:rsid w:val="002D047A"/>
    <w:rsid w:val="002D2977"/>
    <w:rsid w:val="002D5418"/>
    <w:rsid w:val="002D73A2"/>
    <w:rsid w:val="002D7931"/>
    <w:rsid w:val="002E436D"/>
    <w:rsid w:val="002E4D4C"/>
    <w:rsid w:val="002E6BB6"/>
    <w:rsid w:val="002F3BF3"/>
    <w:rsid w:val="002F3F98"/>
    <w:rsid w:val="002F4293"/>
    <w:rsid w:val="002F4A10"/>
    <w:rsid w:val="002F5828"/>
    <w:rsid w:val="002F598E"/>
    <w:rsid w:val="003004EB"/>
    <w:rsid w:val="003044BE"/>
    <w:rsid w:val="0031262A"/>
    <w:rsid w:val="00314273"/>
    <w:rsid w:val="00315CD3"/>
    <w:rsid w:val="00316D9A"/>
    <w:rsid w:val="00316E9D"/>
    <w:rsid w:val="00321D16"/>
    <w:rsid w:val="00323BA1"/>
    <w:rsid w:val="00324B96"/>
    <w:rsid w:val="0032517A"/>
    <w:rsid w:val="0032594B"/>
    <w:rsid w:val="00326B34"/>
    <w:rsid w:val="0033430A"/>
    <w:rsid w:val="00335320"/>
    <w:rsid w:val="0033687D"/>
    <w:rsid w:val="00341CB3"/>
    <w:rsid w:val="00343F50"/>
    <w:rsid w:val="00345282"/>
    <w:rsid w:val="00352816"/>
    <w:rsid w:val="0035434E"/>
    <w:rsid w:val="00354645"/>
    <w:rsid w:val="00355127"/>
    <w:rsid w:val="00355C64"/>
    <w:rsid w:val="003604AD"/>
    <w:rsid w:val="00364DE3"/>
    <w:rsid w:val="003662B7"/>
    <w:rsid w:val="003714C5"/>
    <w:rsid w:val="003715A4"/>
    <w:rsid w:val="00371A01"/>
    <w:rsid w:val="00371F02"/>
    <w:rsid w:val="003743A7"/>
    <w:rsid w:val="00375542"/>
    <w:rsid w:val="00377A3B"/>
    <w:rsid w:val="0038758A"/>
    <w:rsid w:val="003A0341"/>
    <w:rsid w:val="003A03AB"/>
    <w:rsid w:val="003A3319"/>
    <w:rsid w:val="003A4282"/>
    <w:rsid w:val="003A5D64"/>
    <w:rsid w:val="003A71CC"/>
    <w:rsid w:val="003B5056"/>
    <w:rsid w:val="003B596D"/>
    <w:rsid w:val="003B61BB"/>
    <w:rsid w:val="003C1561"/>
    <w:rsid w:val="003C24DA"/>
    <w:rsid w:val="003C41F4"/>
    <w:rsid w:val="003C4FB5"/>
    <w:rsid w:val="003C7293"/>
    <w:rsid w:val="003C76E6"/>
    <w:rsid w:val="003D13C2"/>
    <w:rsid w:val="003D314A"/>
    <w:rsid w:val="003D352B"/>
    <w:rsid w:val="003D72F0"/>
    <w:rsid w:val="003D7EA1"/>
    <w:rsid w:val="003E1E1E"/>
    <w:rsid w:val="003E1E42"/>
    <w:rsid w:val="003E619C"/>
    <w:rsid w:val="003E6C42"/>
    <w:rsid w:val="003E75CB"/>
    <w:rsid w:val="003E7765"/>
    <w:rsid w:val="003F1BCA"/>
    <w:rsid w:val="003F6A83"/>
    <w:rsid w:val="004010A3"/>
    <w:rsid w:val="00403AFF"/>
    <w:rsid w:val="00403E62"/>
    <w:rsid w:val="0040441C"/>
    <w:rsid w:val="00404E17"/>
    <w:rsid w:val="00405E39"/>
    <w:rsid w:val="00406719"/>
    <w:rsid w:val="004068B9"/>
    <w:rsid w:val="00410B3E"/>
    <w:rsid w:val="00411CD6"/>
    <w:rsid w:val="004141DA"/>
    <w:rsid w:val="00417324"/>
    <w:rsid w:val="00417E09"/>
    <w:rsid w:val="00420168"/>
    <w:rsid w:val="00421E7A"/>
    <w:rsid w:val="00424D19"/>
    <w:rsid w:val="00426B31"/>
    <w:rsid w:val="00432E28"/>
    <w:rsid w:val="004333F8"/>
    <w:rsid w:val="00434679"/>
    <w:rsid w:val="00436007"/>
    <w:rsid w:val="00436EE5"/>
    <w:rsid w:val="004420B8"/>
    <w:rsid w:val="00443FCE"/>
    <w:rsid w:val="0044700D"/>
    <w:rsid w:val="00450246"/>
    <w:rsid w:val="004533D3"/>
    <w:rsid w:val="00454506"/>
    <w:rsid w:val="00460891"/>
    <w:rsid w:val="004614F4"/>
    <w:rsid w:val="00470BD5"/>
    <w:rsid w:val="004712E0"/>
    <w:rsid w:val="004728F8"/>
    <w:rsid w:val="004737FF"/>
    <w:rsid w:val="00481A16"/>
    <w:rsid w:val="0048700D"/>
    <w:rsid w:val="004947C0"/>
    <w:rsid w:val="0049747C"/>
    <w:rsid w:val="00497E74"/>
    <w:rsid w:val="004A0F1E"/>
    <w:rsid w:val="004A3E74"/>
    <w:rsid w:val="004A4E7C"/>
    <w:rsid w:val="004A513A"/>
    <w:rsid w:val="004B0E4E"/>
    <w:rsid w:val="004B1811"/>
    <w:rsid w:val="004B41AA"/>
    <w:rsid w:val="004B4B8B"/>
    <w:rsid w:val="004B63C9"/>
    <w:rsid w:val="004B6DC0"/>
    <w:rsid w:val="004B7B63"/>
    <w:rsid w:val="004B7ECE"/>
    <w:rsid w:val="004D3B8F"/>
    <w:rsid w:val="004D3D67"/>
    <w:rsid w:val="004E0577"/>
    <w:rsid w:val="004E4C06"/>
    <w:rsid w:val="004E4D9B"/>
    <w:rsid w:val="004E7821"/>
    <w:rsid w:val="004F29D9"/>
    <w:rsid w:val="004F6093"/>
    <w:rsid w:val="004F78D6"/>
    <w:rsid w:val="005008AD"/>
    <w:rsid w:val="00501039"/>
    <w:rsid w:val="00501C99"/>
    <w:rsid w:val="00504D1C"/>
    <w:rsid w:val="00504F6C"/>
    <w:rsid w:val="00505154"/>
    <w:rsid w:val="00510A5B"/>
    <w:rsid w:val="005119DC"/>
    <w:rsid w:val="00513D20"/>
    <w:rsid w:val="00515DFC"/>
    <w:rsid w:val="005221EF"/>
    <w:rsid w:val="005223E2"/>
    <w:rsid w:val="00522533"/>
    <w:rsid w:val="00522A5D"/>
    <w:rsid w:val="00524A94"/>
    <w:rsid w:val="00527467"/>
    <w:rsid w:val="0054038B"/>
    <w:rsid w:val="00540F3E"/>
    <w:rsid w:val="005411AE"/>
    <w:rsid w:val="00543E9F"/>
    <w:rsid w:val="00545BAE"/>
    <w:rsid w:val="00545D10"/>
    <w:rsid w:val="00547E8B"/>
    <w:rsid w:val="0055076C"/>
    <w:rsid w:val="00551D45"/>
    <w:rsid w:val="00556511"/>
    <w:rsid w:val="00561BF4"/>
    <w:rsid w:val="005653AD"/>
    <w:rsid w:val="0057074F"/>
    <w:rsid w:val="00571B01"/>
    <w:rsid w:val="0057220D"/>
    <w:rsid w:val="00573CC4"/>
    <w:rsid w:val="00582435"/>
    <w:rsid w:val="005825F4"/>
    <w:rsid w:val="005838D5"/>
    <w:rsid w:val="00584C12"/>
    <w:rsid w:val="005861ED"/>
    <w:rsid w:val="00587A44"/>
    <w:rsid w:val="0059020F"/>
    <w:rsid w:val="00591DD6"/>
    <w:rsid w:val="00594059"/>
    <w:rsid w:val="00594949"/>
    <w:rsid w:val="00594DA8"/>
    <w:rsid w:val="0059538E"/>
    <w:rsid w:val="00596B7A"/>
    <w:rsid w:val="005A39A7"/>
    <w:rsid w:val="005B0FFE"/>
    <w:rsid w:val="005B4991"/>
    <w:rsid w:val="005B68B3"/>
    <w:rsid w:val="005B68EF"/>
    <w:rsid w:val="005C06E7"/>
    <w:rsid w:val="005C0A0E"/>
    <w:rsid w:val="005C0F07"/>
    <w:rsid w:val="005C5B71"/>
    <w:rsid w:val="005C5F96"/>
    <w:rsid w:val="005C7BD9"/>
    <w:rsid w:val="005D24DB"/>
    <w:rsid w:val="005D3A73"/>
    <w:rsid w:val="005D460E"/>
    <w:rsid w:val="005D4B60"/>
    <w:rsid w:val="005D7138"/>
    <w:rsid w:val="005D7EA3"/>
    <w:rsid w:val="005E1224"/>
    <w:rsid w:val="005E1A2F"/>
    <w:rsid w:val="005E2893"/>
    <w:rsid w:val="005E3C46"/>
    <w:rsid w:val="005E47BD"/>
    <w:rsid w:val="005E5BC7"/>
    <w:rsid w:val="005E6883"/>
    <w:rsid w:val="005F0E75"/>
    <w:rsid w:val="005F18E7"/>
    <w:rsid w:val="005F2195"/>
    <w:rsid w:val="005F3746"/>
    <w:rsid w:val="005F4A62"/>
    <w:rsid w:val="005F5F71"/>
    <w:rsid w:val="005F62EB"/>
    <w:rsid w:val="005F6F9F"/>
    <w:rsid w:val="005F724A"/>
    <w:rsid w:val="00600EB0"/>
    <w:rsid w:val="00601F54"/>
    <w:rsid w:val="00605465"/>
    <w:rsid w:val="00607AAB"/>
    <w:rsid w:val="00612C6E"/>
    <w:rsid w:val="006167D5"/>
    <w:rsid w:val="00616861"/>
    <w:rsid w:val="00617FAF"/>
    <w:rsid w:val="006262ED"/>
    <w:rsid w:val="00626C92"/>
    <w:rsid w:val="006309B3"/>
    <w:rsid w:val="006318B7"/>
    <w:rsid w:val="0063660D"/>
    <w:rsid w:val="00636BBE"/>
    <w:rsid w:val="00636F9C"/>
    <w:rsid w:val="0064296E"/>
    <w:rsid w:val="006430E5"/>
    <w:rsid w:val="00644CF6"/>
    <w:rsid w:val="00645307"/>
    <w:rsid w:val="00645AE5"/>
    <w:rsid w:val="00646D44"/>
    <w:rsid w:val="00652B0F"/>
    <w:rsid w:val="0065565C"/>
    <w:rsid w:val="00661D2D"/>
    <w:rsid w:val="00662F77"/>
    <w:rsid w:val="00663445"/>
    <w:rsid w:val="00665169"/>
    <w:rsid w:val="00665326"/>
    <w:rsid w:val="00667364"/>
    <w:rsid w:val="0068098C"/>
    <w:rsid w:val="0068251E"/>
    <w:rsid w:val="00684CAD"/>
    <w:rsid w:val="006870B0"/>
    <w:rsid w:val="006931E4"/>
    <w:rsid w:val="0069441B"/>
    <w:rsid w:val="0069542B"/>
    <w:rsid w:val="00696097"/>
    <w:rsid w:val="00696795"/>
    <w:rsid w:val="00696CD6"/>
    <w:rsid w:val="006A0683"/>
    <w:rsid w:val="006A2EE0"/>
    <w:rsid w:val="006A3DD0"/>
    <w:rsid w:val="006A5311"/>
    <w:rsid w:val="006B494B"/>
    <w:rsid w:val="006B4C12"/>
    <w:rsid w:val="006B5D90"/>
    <w:rsid w:val="006B7115"/>
    <w:rsid w:val="006B72D2"/>
    <w:rsid w:val="006C1153"/>
    <w:rsid w:val="006C33B8"/>
    <w:rsid w:val="006C4C13"/>
    <w:rsid w:val="006C67ED"/>
    <w:rsid w:val="006D03E3"/>
    <w:rsid w:val="006D0954"/>
    <w:rsid w:val="006D1548"/>
    <w:rsid w:val="006D55DB"/>
    <w:rsid w:val="006D7852"/>
    <w:rsid w:val="006E10A4"/>
    <w:rsid w:val="006E2636"/>
    <w:rsid w:val="006E7B3D"/>
    <w:rsid w:val="006F35B4"/>
    <w:rsid w:val="006F410A"/>
    <w:rsid w:val="006F6709"/>
    <w:rsid w:val="006F6A7F"/>
    <w:rsid w:val="006F74AF"/>
    <w:rsid w:val="007049ED"/>
    <w:rsid w:val="0070767D"/>
    <w:rsid w:val="00707B8A"/>
    <w:rsid w:val="00711E10"/>
    <w:rsid w:val="00715BA6"/>
    <w:rsid w:val="00717DCF"/>
    <w:rsid w:val="007250EA"/>
    <w:rsid w:val="00725C63"/>
    <w:rsid w:val="0072640E"/>
    <w:rsid w:val="00730644"/>
    <w:rsid w:val="00731304"/>
    <w:rsid w:val="00734149"/>
    <w:rsid w:val="00741003"/>
    <w:rsid w:val="0074478E"/>
    <w:rsid w:val="00745410"/>
    <w:rsid w:val="00752D48"/>
    <w:rsid w:val="00754A66"/>
    <w:rsid w:val="007554D3"/>
    <w:rsid w:val="00761177"/>
    <w:rsid w:val="0076161C"/>
    <w:rsid w:val="00761F33"/>
    <w:rsid w:val="00762FC5"/>
    <w:rsid w:val="00763CBB"/>
    <w:rsid w:val="00765AB2"/>
    <w:rsid w:val="00770449"/>
    <w:rsid w:val="007754D5"/>
    <w:rsid w:val="00775D11"/>
    <w:rsid w:val="00780DCA"/>
    <w:rsid w:val="007821C1"/>
    <w:rsid w:val="00787127"/>
    <w:rsid w:val="007966C3"/>
    <w:rsid w:val="00797D81"/>
    <w:rsid w:val="007A25CD"/>
    <w:rsid w:val="007A32D2"/>
    <w:rsid w:val="007A5333"/>
    <w:rsid w:val="007A5AAC"/>
    <w:rsid w:val="007A6551"/>
    <w:rsid w:val="007B14A8"/>
    <w:rsid w:val="007B181D"/>
    <w:rsid w:val="007B2BAF"/>
    <w:rsid w:val="007B46EB"/>
    <w:rsid w:val="007B6409"/>
    <w:rsid w:val="007B64E4"/>
    <w:rsid w:val="007B7057"/>
    <w:rsid w:val="007B77F9"/>
    <w:rsid w:val="007C2BF1"/>
    <w:rsid w:val="007C3A35"/>
    <w:rsid w:val="007C5FA3"/>
    <w:rsid w:val="007C6768"/>
    <w:rsid w:val="007D26E5"/>
    <w:rsid w:val="007D305D"/>
    <w:rsid w:val="007D4768"/>
    <w:rsid w:val="007D7AFC"/>
    <w:rsid w:val="007E56D6"/>
    <w:rsid w:val="007E6A6A"/>
    <w:rsid w:val="007F0114"/>
    <w:rsid w:val="007F75F3"/>
    <w:rsid w:val="00800028"/>
    <w:rsid w:val="008000C5"/>
    <w:rsid w:val="00804DEC"/>
    <w:rsid w:val="00805143"/>
    <w:rsid w:val="008160B2"/>
    <w:rsid w:val="00817554"/>
    <w:rsid w:val="0082177F"/>
    <w:rsid w:val="008258F0"/>
    <w:rsid w:val="00826B09"/>
    <w:rsid w:val="00827935"/>
    <w:rsid w:val="0083181F"/>
    <w:rsid w:val="00832B7F"/>
    <w:rsid w:val="00835423"/>
    <w:rsid w:val="00836E30"/>
    <w:rsid w:val="00843731"/>
    <w:rsid w:val="0084430F"/>
    <w:rsid w:val="008466FE"/>
    <w:rsid w:val="00851D11"/>
    <w:rsid w:val="008539D3"/>
    <w:rsid w:val="00857B6E"/>
    <w:rsid w:val="008645CA"/>
    <w:rsid w:val="00864BE6"/>
    <w:rsid w:val="00875C46"/>
    <w:rsid w:val="0087765B"/>
    <w:rsid w:val="008778BC"/>
    <w:rsid w:val="00877944"/>
    <w:rsid w:val="0088160D"/>
    <w:rsid w:val="00882284"/>
    <w:rsid w:val="00883B88"/>
    <w:rsid w:val="008921E2"/>
    <w:rsid w:val="00893C79"/>
    <w:rsid w:val="00896D0C"/>
    <w:rsid w:val="008A0E11"/>
    <w:rsid w:val="008A1D54"/>
    <w:rsid w:val="008A54D2"/>
    <w:rsid w:val="008B159B"/>
    <w:rsid w:val="008B599F"/>
    <w:rsid w:val="008B753A"/>
    <w:rsid w:val="008C45EA"/>
    <w:rsid w:val="008D069B"/>
    <w:rsid w:val="008D10A6"/>
    <w:rsid w:val="008D1639"/>
    <w:rsid w:val="008D2EAB"/>
    <w:rsid w:val="008E0DC7"/>
    <w:rsid w:val="008E3266"/>
    <w:rsid w:val="008E5CB1"/>
    <w:rsid w:val="008F2ACB"/>
    <w:rsid w:val="008F436A"/>
    <w:rsid w:val="00901949"/>
    <w:rsid w:val="009027BF"/>
    <w:rsid w:val="00906EB2"/>
    <w:rsid w:val="0090744E"/>
    <w:rsid w:val="00910DFE"/>
    <w:rsid w:val="00914410"/>
    <w:rsid w:val="00914BE3"/>
    <w:rsid w:val="00915376"/>
    <w:rsid w:val="009217FB"/>
    <w:rsid w:val="0092185B"/>
    <w:rsid w:val="00922A51"/>
    <w:rsid w:val="00925AF3"/>
    <w:rsid w:val="00925ECC"/>
    <w:rsid w:val="00927BA8"/>
    <w:rsid w:val="009331E8"/>
    <w:rsid w:val="0093324B"/>
    <w:rsid w:val="009336FD"/>
    <w:rsid w:val="009346C0"/>
    <w:rsid w:val="00937264"/>
    <w:rsid w:val="009379B3"/>
    <w:rsid w:val="0094044F"/>
    <w:rsid w:val="009431A3"/>
    <w:rsid w:val="0094366A"/>
    <w:rsid w:val="009478F6"/>
    <w:rsid w:val="0095261D"/>
    <w:rsid w:val="00956B23"/>
    <w:rsid w:val="0095703F"/>
    <w:rsid w:val="00960419"/>
    <w:rsid w:val="009606BE"/>
    <w:rsid w:val="009627DF"/>
    <w:rsid w:val="009634D5"/>
    <w:rsid w:val="009744D3"/>
    <w:rsid w:val="0097636B"/>
    <w:rsid w:val="009769EB"/>
    <w:rsid w:val="00985909"/>
    <w:rsid w:val="0098766C"/>
    <w:rsid w:val="00987804"/>
    <w:rsid w:val="00992DBE"/>
    <w:rsid w:val="00992F4F"/>
    <w:rsid w:val="00993547"/>
    <w:rsid w:val="00994CB8"/>
    <w:rsid w:val="00997F27"/>
    <w:rsid w:val="009A0EB7"/>
    <w:rsid w:val="009A1C4D"/>
    <w:rsid w:val="009A26A6"/>
    <w:rsid w:val="009A2C69"/>
    <w:rsid w:val="009B031B"/>
    <w:rsid w:val="009B136C"/>
    <w:rsid w:val="009B4696"/>
    <w:rsid w:val="009B5535"/>
    <w:rsid w:val="009C0F3C"/>
    <w:rsid w:val="009C16EA"/>
    <w:rsid w:val="009C38AE"/>
    <w:rsid w:val="009C5C79"/>
    <w:rsid w:val="009D03A5"/>
    <w:rsid w:val="009D13BB"/>
    <w:rsid w:val="009E1F34"/>
    <w:rsid w:val="009E3071"/>
    <w:rsid w:val="009E3246"/>
    <w:rsid w:val="009E3977"/>
    <w:rsid w:val="009E58F0"/>
    <w:rsid w:val="009E7F0C"/>
    <w:rsid w:val="009F2135"/>
    <w:rsid w:val="009F5FC6"/>
    <w:rsid w:val="009F760D"/>
    <w:rsid w:val="00A0236A"/>
    <w:rsid w:val="00A04A2E"/>
    <w:rsid w:val="00A06E30"/>
    <w:rsid w:val="00A07549"/>
    <w:rsid w:val="00A10163"/>
    <w:rsid w:val="00A102E5"/>
    <w:rsid w:val="00A1241A"/>
    <w:rsid w:val="00A1472C"/>
    <w:rsid w:val="00A173C1"/>
    <w:rsid w:val="00A223DB"/>
    <w:rsid w:val="00A26567"/>
    <w:rsid w:val="00A26DEA"/>
    <w:rsid w:val="00A32398"/>
    <w:rsid w:val="00A32DF7"/>
    <w:rsid w:val="00A347FD"/>
    <w:rsid w:val="00A35230"/>
    <w:rsid w:val="00A40FEC"/>
    <w:rsid w:val="00A419FB"/>
    <w:rsid w:val="00A42E8B"/>
    <w:rsid w:val="00A458B6"/>
    <w:rsid w:val="00A46335"/>
    <w:rsid w:val="00A477F6"/>
    <w:rsid w:val="00A56A70"/>
    <w:rsid w:val="00A62C49"/>
    <w:rsid w:val="00A62FFA"/>
    <w:rsid w:val="00A73BDA"/>
    <w:rsid w:val="00A77709"/>
    <w:rsid w:val="00A80958"/>
    <w:rsid w:val="00A80D18"/>
    <w:rsid w:val="00A81684"/>
    <w:rsid w:val="00A82332"/>
    <w:rsid w:val="00A82416"/>
    <w:rsid w:val="00A84351"/>
    <w:rsid w:val="00A872FC"/>
    <w:rsid w:val="00A924A8"/>
    <w:rsid w:val="00A93F80"/>
    <w:rsid w:val="00A96E4D"/>
    <w:rsid w:val="00A96EC6"/>
    <w:rsid w:val="00AA0218"/>
    <w:rsid w:val="00AB084D"/>
    <w:rsid w:val="00AB0985"/>
    <w:rsid w:val="00AB2409"/>
    <w:rsid w:val="00AC4254"/>
    <w:rsid w:val="00AC727A"/>
    <w:rsid w:val="00AD0740"/>
    <w:rsid w:val="00AD4888"/>
    <w:rsid w:val="00AD4B8E"/>
    <w:rsid w:val="00AD6CFD"/>
    <w:rsid w:val="00AE276F"/>
    <w:rsid w:val="00AE2F48"/>
    <w:rsid w:val="00AE53F7"/>
    <w:rsid w:val="00AE73CB"/>
    <w:rsid w:val="00AE788D"/>
    <w:rsid w:val="00AE7DB5"/>
    <w:rsid w:val="00AF2821"/>
    <w:rsid w:val="00AF4282"/>
    <w:rsid w:val="00AF50BA"/>
    <w:rsid w:val="00AF5F0B"/>
    <w:rsid w:val="00B00F27"/>
    <w:rsid w:val="00B03FAE"/>
    <w:rsid w:val="00B0444F"/>
    <w:rsid w:val="00B0627F"/>
    <w:rsid w:val="00B102DE"/>
    <w:rsid w:val="00B106FB"/>
    <w:rsid w:val="00B11C6E"/>
    <w:rsid w:val="00B16B73"/>
    <w:rsid w:val="00B230ED"/>
    <w:rsid w:val="00B25CAB"/>
    <w:rsid w:val="00B27268"/>
    <w:rsid w:val="00B30878"/>
    <w:rsid w:val="00B42C2A"/>
    <w:rsid w:val="00B476BB"/>
    <w:rsid w:val="00B53E31"/>
    <w:rsid w:val="00B56D8D"/>
    <w:rsid w:val="00B57915"/>
    <w:rsid w:val="00B616DF"/>
    <w:rsid w:val="00B62417"/>
    <w:rsid w:val="00B62809"/>
    <w:rsid w:val="00B6311D"/>
    <w:rsid w:val="00B63135"/>
    <w:rsid w:val="00B669C1"/>
    <w:rsid w:val="00B66D50"/>
    <w:rsid w:val="00B711CE"/>
    <w:rsid w:val="00B733A7"/>
    <w:rsid w:val="00B73A3F"/>
    <w:rsid w:val="00B73D32"/>
    <w:rsid w:val="00B748F5"/>
    <w:rsid w:val="00B761BF"/>
    <w:rsid w:val="00B76C56"/>
    <w:rsid w:val="00B8208F"/>
    <w:rsid w:val="00B87381"/>
    <w:rsid w:val="00B91C27"/>
    <w:rsid w:val="00B9231A"/>
    <w:rsid w:val="00B92484"/>
    <w:rsid w:val="00B927B6"/>
    <w:rsid w:val="00B93DBF"/>
    <w:rsid w:val="00B97432"/>
    <w:rsid w:val="00B97785"/>
    <w:rsid w:val="00BA076B"/>
    <w:rsid w:val="00BA175D"/>
    <w:rsid w:val="00BA3E9F"/>
    <w:rsid w:val="00BA4FEC"/>
    <w:rsid w:val="00BB078A"/>
    <w:rsid w:val="00BB07C2"/>
    <w:rsid w:val="00BB40BD"/>
    <w:rsid w:val="00BB695E"/>
    <w:rsid w:val="00BB73A7"/>
    <w:rsid w:val="00BC1E19"/>
    <w:rsid w:val="00BC3158"/>
    <w:rsid w:val="00BC315F"/>
    <w:rsid w:val="00BC7C2C"/>
    <w:rsid w:val="00BD036C"/>
    <w:rsid w:val="00BD10A5"/>
    <w:rsid w:val="00BD2975"/>
    <w:rsid w:val="00BD2CE0"/>
    <w:rsid w:val="00BD6634"/>
    <w:rsid w:val="00BD73C8"/>
    <w:rsid w:val="00BE16DB"/>
    <w:rsid w:val="00BE1F4C"/>
    <w:rsid w:val="00BE2424"/>
    <w:rsid w:val="00BE6749"/>
    <w:rsid w:val="00BE6843"/>
    <w:rsid w:val="00BE7C38"/>
    <w:rsid w:val="00BE7C83"/>
    <w:rsid w:val="00BF058B"/>
    <w:rsid w:val="00BF14D6"/>
    <w:rsid w:val="00BF236F"/>
    <w:rsid w:val="00BF5207"/>
    <w:rsid w:val="00BF6671"/>
    <w:rsid w:val="00BF70EE"/>
    <w:rsid w:val="00C02E8E"/>
    <w:rsid w:val="00C03E83"/>
    <w:rsid w:val="00C0485B"/>
    <w:rsid w:val="00C0500C"/>
    <w:rsid w:val="00C068C1"/>
    <w:rsid w:val="00C10292"/>
    <w:rsid w:val="00C114F9"/>
    <w:rsid w:val="00C2141A"/>
    <w:rsid w:val="00C24E0C"/>
    <w:rsid w:val="00C25570"/>
    <w:rsid w:val="00C30484"/>
    <w:rsid w:val="00C3421D"/>
    <w:rsid w:val="00C352DA"/>
    <w:rsid w:val="00C3584F"/>
    <w:rsid w:val="00C40089"/>
    <w:rsid w:val="00C42535"/>
    <w:rsid w:val="00C429F0"/>
    <w:rsid w:val="00C44C12"/>
    <w:rsid w:val="00C4796E"/>
    <w:rsid w:val="00C55EA0"/>
    <w:rsid w:val="00C56783"/>
    <w:rsid w:val="00C5720D"/>
    <w:rsid w:val="00C60120"/>
    <w:rsid w:val="00C62D73"/>
    <w:rsid w:val="00C64A67"/>
    <w:rsid w:val="00C6764B"/>
    <w:rsid w:val="00C67E38"/>
    <w:rsid w:val="00C72E91"/>
    <w:rsid w:val="00C74840"/>
    <w:rsid w:val="00C76142"/>
    <w:rsid w:val="00C871A4"/>
    <w:rsid w:val="00C90555"/>
    <w:rsid w:val="00C95D48"/>
    <w:rsid w:val="00C978DC"/>
    <w:rsid w:val="00CA10C9"/>
    <w:rsid w:val="00CA1ABB"/>
    <w:rsid w:val="00CA50E9"/>
    <w:rsid w:val="00CA57EB"/>
    <w:rsid w:val="00CA711C"/>
    <w:rsid w:val="00CB2A56"/>
    <w:rsid w:val="00CB3556"/>
    <w:rsid w:val="00CB4657"/>
    <w:rsid w:val="00CB6432"/>
    <w:rsid w:val="00CC0833"/>
    <w:rsid w:val="00CC25E6"/>
    <w:rsid w:val="00CC3B07"/>
    <w:rsid w:val="00CC3E0C"/>
    <w:rsid w:val="00CC78E3"/>
    <w:rsid w:val="00CD2E1C"/>
    <w:rsid w:val="00CE333E"/>
    <w:rsid w:val="00CF13DD"/>
    <w:rsid w:val="00CF6563"/>
    <w:rsid w:val="00D06668"/>
    <w:rsid w:val="00D11C2C"/>
    <w:rsid w:val="00D14725"/>
    <w:rsid w:val="00D23E4C"/>
    <w:rsid w:val="00D2560F"/>
    <w:rsid w:val="00D25FBC"/>
    <w:rsid w:val="00D32BAB"/>
    <w:rsid w:val="00D34959"/>
    <w:rsid w:val="00D34AA3"/>
    <w:rsid w:val="00D34E75"/>
    <w:rsid w:val="00D35ADD"/>
    <w:rsid w:val="00D36325"/>
    <w:rsid w:val="00D40950"/>
    <w:rsid w:val="00D41A1D"/>
    <w:rsid w:val="00D41EA4"/>
    <w:rsid w:val="00D4386E"/>
    <w:rsid w:val="00D46861"/>
    <w:rsid w:val="00D46FAF"/>
    <w:rsid w:val="00D47229"/>
    <w:rsid w:val="00D508FE"/>
    <w:rsid w:val="00D53CB1"/>
    <w:rsid w:val="00D545FD"/>
    <w:rsid w:val="00D60FEA"/>
    <w:rsid w:val="00D6343E"/>
    <w:rsid w:val="00D65BA8"/>
    <w:rsid w:val="00D6654C"/>
    <w:rsid w:val="00D67E8A"/>
    <w:rsid w:val="00D7128C"/>
    <w:rsid w:val="00D71AAA"/>
    <w:rsid w:val="00D746B2"/>
    <w:rsid w:val="00D75721"/>
    <w:rsid w:val="00D77238"/>
    <w:rsid w:val="00D772C9"/>
    <w:rsid w:val="00D82E01"/>
    <w:rsid w:val="00D82FCD"/>
    <w:rsid w:val="00D83099"/>
    <w:rsid w:val="00D84FC4"/>
    <w:rsid w:val="00D8646D"/>
    <w:rsid w:val="00D87E9E"/>
    <w:rsid w:val="00D93659"/>
    <w:rsid w:val="00DA1384"/>
    <w:rsid w:val="00DA2495"/>
    <w:rsid w:val="00DA4CB6"/>
    <w:rsid w:val="00DA6113"/>
    <w:rsid w:val="00DA7DA6"/>
    <w:rsid w:val="00DB24AC"/>
    <w:rsid w:val="00DC040B"/>
    <w:rsid w:val="00DC0A63"/>
    <w:rsid w:val="00DC0BD6"/>
    <w:rsid w:val="00DC1BAD"/>
    <w:rsid w:val="00DC262D"/>
    <w:rsid w:val="00DC346B"/>
    <w:rsid w:val="00DC7F57"/>
    <w:rsid w:val="00DD2EF2"/>
    <w:rsid w:val="00DD402A"/>
    <w:rsid w:val="00DD5A7E"/>
    <w:rsid w:val="00DD663A"/>
    <w:rsid w:val="00DE2F89"/>
    <w:rsid w:val="00DE59FD"/>
    <w:rsid w:val="00DE6587"/>
    <w:rsid w:val="00DE76A7"/>
    <w:rsid w:val="00DF00C5"/>
    <w:rsid w:val="00DF2670"/>
    <w:rsid w:val="00DF639D"/>
    <w:rsid w:val="00E0351A"/>
    <w:rsid w:val="00E0722C"/>
    <w:rsid w:val="00E11C88"/>
    <w:rsid w:val="00E17463"/>
    <w:rsid w:val="00E23E47"/>
    <w:rsid w:val="00E24156"/>
    <w:rsid w:val="00E262DC"/>
    <w:rsid w:val="00E360D7"/>
    <w:rsid w:val="00E37FD9"/>
    <w:rsid w:val="00E417F0"/>
    <w:rsid w:val="00E425FA"/>
    <w:rsid w:val="00E42D31"/>
    <w:rsid w:val="00E51026"/>
    <w:rsid w:val="00E51DE8"/>
    <w:rsid w:val="00E51F96"/>
    <w:rsid w:val="00E549FF"/>
    <w:rsid w:val="00E54D8F"/>
    <w:rsid w:val="00E562E1"/>
    <w:rsid w:val="00E579B8"/>
    <w:rsid w:val="00E621CF"/>
    <w:rsid w:val="00E62D05"/>
    <w:rsid w:val="00E63798"/>
    <w:rsid w:val="00E646EF"/>
    <w:rsid w:val="00E71969"/>
    <w:rsid w:val="00E83985"/>
    <w:rsid w:val="00E840D5"/>
    <w:rsid w:val="00E850F6"/>
    <w:rsid w:val="00E9181C"/>
    <w:rsid w:val="00E92B28"/>
    <w:rsid w:val="00EA42C6"/>
    <w:rsid w:val="00EA73FF"/>
    <w:rsid w:val="00EC0DA1"/>
    <w:rsid w:val="00EC135D"/>
    <w:rsid w:val="00EC1838"/>
    <w:rsid w:val="00EC1AAF"/>
    <w:rsid w:val="00EC33EC"/>
    <w:rsid w:val="00EC3E82"/>
    <w:rsid w:val="00EC41B5"/>
    <w:rsid w:val="00EC5526"/>
    <w:rsid w:val="00EC5734"/>
    <w:rsid w:val="00ED0F0D"/>
    <w:rsid w:val="00ED4943"/>
    <w:rsid w:val="00ED655A"/>
    <w:rsid w:val="00ED70FA"/>
    <w:rsid w:val="00ED7BF9"/>
    <w:rsid w:val="00EE338C"/>
    <w:rsid w:val="00EE3734"/>
    <w:rsid w:val="00EE3E60"/>
    <w:rsid w:val="00EE695C"/>
    <w:rsid w:val="00EE6B5C"/>
    <w:rsid w:val="00EF160B"/>
    <w:rsid w:val="00EF19EC"/>
    <w:rsid w:val="00EF6E8E"/>
    <w:rsid w:val="00EF76F9"/>
    <w:rsid w:val="00EF7DD5"/>
    <w:rsid w:val="00F02F4F"/>
    <w:rsid w:val="00F17BAF"/>
    <w:rsid w:val="00F21DE8"/>
    <w:rsid w:val="00F22CAF"/>
    <w:rsid w:val="00F23345"/>
    <w:rsid w:val="00F26A1D"/>
    <w:rsid w:val="00F327AB"/>
    <w:rsid w:val="00F32CD0"/>
    <w:rsid w:val="00F3483B"/>
    <w:rsid w:val="00F35DD4"/>
    <w:rsid w:val="00F36345"/>
    <w:rsid w:val="00F372EB"/>
    <w:rsid w:val="00F41454"/>
    <w:rsid w:val="00F41D5C"/>
    <w:rsid w:val="00F41FCD"/>
    <w:rsid w:val="00F42DE0"/>
    <w:rsid w:val="00F43392"/>
    <w:rsid w:val="00F44A77"/>
    <w:rsid w:val="00F44DD1"/>
    <w:rsid w:val="00F4680C"/>
    <w:rsid w:val="00F529C2"/>
    <w:rsid w:val="00F52E48"/>
    <w:rsid w:val="00F55D4A"/>
    <w:rsid w:val="00F60636"/>
    <w:rsid w:val="00F606B7"/>
    <w:rsid w:val="00F621A4"/>
    <w:rsid w:val="00F63CF9"/>
    <w:rsid w:val="00F80E9B"/>
    <w:rsid w:val="00F9182E"/>
    <w:rsid w:val="00F93DAE"/>
    <w:rsid w:val="00F953E5"/>
    <w:rsid w:val="00FA2BED"/>
    <w:rsid w:val="00FA4527"/>
    <w:rsid w:val="00FB5D22"/>
    <w:rsid w:val="00FC1B62"/>
    <w:rsid w:val="00FC235F"/>
    <w:rsid w:val="00FC2F60"/>
    <w:rsid w:val="00FC31A5"/>
    <w:rsid w:val="00FC3F9B"/>
    <w:rsid w:val="00FC4C68"/>
    <w:rsid w:val="00FC578B"/>
    <w:rsid w:val="00FC6C22"/>
    <w:rsid w:val="00FD12D6"/>
    <w:rsid w:val="00FD747D"/>
    <w:rsid w:val="00FD74B3"/>
    <w:rsid w:val="00FD7A34"/>
    <w:rsid w:val="00FE0B9B"/>
    <w:rsid w:val="00FE5302"/>
    <w:rsid w:val="00FE6F1D"/>
    <w:rsid w:val="00FE7C45"/>
    <w:rsid w:val="00FE7E39"/>
    <w:rsid w:val="00FF2D39"/>
    <w:rsid w:val="00FF3852"/>
    <w:rsid w:val="00FF4CFE"/>
    <w:rsid w:val="00FF56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8FE33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Times New Roman"/>
        <w:sz w:val="22"/>
        <w:szCs w:val="22"/>
        <w:lang w:val="sv-SE" w:eastAsia="sv-S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1E2"/>
    <w:rPr>
      <w:sz w:val="24"/>
      <w:szCs w:val="24"/>
      <w:lang w:val="en-US" w:eastAsia="en-US"/>
    </w:rPr>
  </w:style>
  <w:style w:type="paragraph" w:styleId="Heading2">
    <w:name w:val="heading 2"/>
    <w:basedOn w:val="Normal"/>
    <w:next w:val="Normal"/>
    <w:link w:val="Heading2Char"/>
    <w:uiPriority w:val="99"/>
    <w:qFormat/>
    <w:rsid w:val="00315CD3"/>
    <w:pPr>
      <w:keepNext/>
      <w:keepLines/>
      <w:spacing w:before="200" w:line="276" w:lineRule="auto"/>
      <w:outlineLvl w:val="1"/>
    </w:pPr>
    <w:rPr>
      <w:rFonts w:ascii="Calibri" w:eastAsia="MS ????" w:hAnsi="Calibri"/>
      <w:b/>
      <w:bCs/>
      <w:color w:val="4F81BD"/>
      <w:sz w:val="26"/>
      <w:szCs w:val="26"/>
    </w:rPr>
  </w:style>
  <w:style w:type="paragraph" w:styleId="Heading3">
    <w:name w:val="heading 3"/>
    <w:basedOn w:val="Normal"/>
    <w:next w:val="Normal"/>
    <w:link w:val="Heading3Char"/>
    <w:uiPriority w:val="99"/>
    <w:qFormat/>
    <w:rsid w:val="00315CD3"/>
    <w:pPr>
      <w:keepNext/>
      <w:keepLines/>
      <w:spacing w:before="200" w:line="276" w:lineRule="auto"/>
      <w:outlineLvl w:val="2"/>
    </w:pPr>
    <w:rPr>
      <w:rFonts w:ascii="Calibri" w:eastAsia="MS ????" w:hAnsi="Calibri"/>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15CD3"/>
    <w:rPr>
      <w:rFonts w:ascii="Calibri" w:eastAsia="MS ????" w:hAnsi="Calibri" w:cs="Times New Roman"/>
      <w:b/>
      <w:bCs/>
      <w:color w:val="4F81BD"/>
      <w:sz w:val="26"/>
      <w:szCs w:val="26"/>
    </w:rPr>
  </w:style>
  <w:style w:type="character" w:customStyle="1" w:styleId="Heading3Char">
    <w:name w:val="Heading 3 Char"/>
    <w:basedOn w:val="DefaultParagraphFont"/>
    <w:link w:val="Heading3"/>
    <w:uiPriority w:val="99"/>
    <w:locked/>
    <w:rsid w:val="00315CD3"/>
    <w:rPr>
      <w:rFonts w:ascii="Calibri" w:eastAsia="MS ????" w:hAnsi="Calibri" w:cs="Times New Roman"/>
      <w:b/>
      <w:bCs/>
      <w:color w:val="4F81BD"/>
      <w:sz w:val="22"/>
      <w:szCs w:val="22"/>
    </w:rPr>
  </w:style>
  <w:style w:type="character" w:styleId="Hyperlink">
    <w:name w:val="Hyperlink"/>
    <w:basedOn w:val="DefaultParagraphFont"/>
    <w:uiPriority w:val="99"/>
    <w:rsid w:val="00B733A7"/>
    <w:rPr>
      <w:rFonts w:cs="Times New Roman"/>
      <w:color w:val="0000FF"/>
      <w:u w:val="single"/>
    </w:rPr>
  </w:style>
  <w:style w:type="table" w:styleId="TableGrid">
    <w:name w:val="Table Grid"/>
    <w:basedOn w:val="TableNormal"/>
    <w:uiPriority w:val="99"/>
    <w:rsid w:val="00B66D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3430A"/>
    <w:pPr>
      <w:tabs>
        <w:tab w:val="center" w:pos="4320"/>
        <w:tab w:val="right" w:pos="8640"/>
      </w:tabs>
    </w:pPr>
  </w:style>
  <w:style w:type="character" w:customStyle="1" w:styleId="HeaderChar">
    <w:name w:val="Header Char"/>
    <w:basedOn w:val="DefaultParagraphFont"/>
    <w:link w:val="Header"/>
    <w:uiPriority w:val="99"/>
    <w:locked/>
    <w:rsid w:val="0033430A"/>
    <w:rPr>
      <w:rFonts w:cs="Times New Roman"/>
    </w:rPr>
  </w:style>
  <w:style w:type="paragraph" w:styleId="Footer">
    <w:name w:val="footer"/>
    <w:basedOn w:val="Normal"/>
    <w:link w:val="FooterChar"/>
    <w:uiPriority w:val="99"/>
    <w:rsid w:val="0033430A"/>
    <w:pPr>
      <w:tabs>
        <w:tab w:val="center" w:pos="4320"/>
        <w:tab w:val="right" w:pos="8640"/>
      </w:tabs>
    </w:pPr>
  </w:style>
  <w:style w:type="character" w:customStyle="1" w:styleId="FooterChar">
    <w:name w:val="Footer Char"/>
    <w:basedOn w:val="DefaultParagraphFont"/>
    <w:link w:val="Footer"/>
    <w:uiPriority w:val="99"/>
    <w:locked/>
    <w:rsid w:val="0033430A"/>
    <w:rPr>
      <w:rFonts w:cs="Times New Roman"/>
    </w:rPr>
  </w:style>
  <w:style w:type="paragraph" w:styleId="BalloonText">
    <w:name w:val="Balloon Text"/>
    <w:basedOn w:val="Normal"/>
    <w:link w:val="BalloonTextChar"/>
    <w:uiPriority w:val="99"/>
    <w:semiHidden/>
    <w:rsid w:val="009C0F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9C0F3C"/>
    <w:rPr>
      <w:rFonts w:ascii="Lucida Grande" w:hAnsi="Lucida Grande" w:cs="Lucida Grande"/>
      <w:sz w:val="18"/>
      <w:szCs w:val="18"/>
    </w:rPr>
  </w:style>
  <w:style w:type="paragraph" w:styleId="ListParagraph">
    <w:name w:val="List Paragraph"/>
    <w:basedOn w:val="Normal"/>
    <w:uiPriority w:val="99"/>
    <w:qFormat/>
    <w:rsid w:val="00315CD3"/>
    <w:pPr>
      <w:spacing w:after="200" w:line="276" w:lineRule="auto"/>
      <w:ind w:left="720"/>
      <w:contextualSpacing/>
    </w:pPr>
    <w:rPr>
      <w:rFonts w:ascii="Calibri" w:eastAsia="MS ????" w:hAnsi="Calibri"/>
      <w:sz w:val="22"/>
      <w:szCs w:val="22"/>
    </w:rPr>
  </w:style>
  <w:style w:type="character" w:styleId="CommentReference">
    <w:name w:val="annotation reference"/>
    <w:basedOn w:val="DefaultParagraphFont"/>
    <w:uiPriority w:val="99"/>
    <w:semiHidden/>
    <w:rsid w:val="005D4B60"/>
    <w:rPr>
      <w:rFonts w:cs="Times New Roman"/>
      <w:sz w:val="16"/>
      <w:szCs w:val="16"/>
    </w:rPr>
  </w:style>
  <w:style w:type="paragraph" w:styleId="CommentText">
    <w:name w:val="annotation text"/>
    <w:basedOn w:val="Normal"/>
    <w:link w:val="CommentTextChar"/>
    <w:uiPriority w:val="99"/>
    <w:semiHidden/>
    <w:rsid w:val="005D4B60"/>
    <w:rPr>
      <w:sz w:val="20"/>
      <w:szCs w:val="20"/>
    </w:rPr>
  </w:style>
  <w:style w:type="character" w:customStyle="1" w:styleId="CommentTextChar">
    <w:name w:val="Comment Text Char"/>
    <w:basedOn w:val="DefaultParagraphFont"/>
    <w:link w:val="CommentText"/>
    <w:uiPriority w:val="99"/>
    <w:semiHidden/>
    <w:locked/>
    <w:rsid w:val="005D4B60"/>
    <w:rPr>
      <w:rFonts w:cs="Times New Roman"/>
      <w:sz w:val="20"/>
      <w:szCs w:val="20"/>
    </w:rPr>
  </w:style>
  <w:style w:type="paragraph" w:styleId="CommentSubject">
    <w:name w:val="annotation subject"/>
    <w:basedOn w:val="CommentText"/>
    <w:next w:val="CommentText"/>
    <w:link w:val="CommentSubjectChar"/>
    <w:uiPriority w:val="99"/>
    <w:semiHidden/>
    <w:rsid w:val="005D4B60"/>
    <w:rPr>
      <w:b/>
      <w:bCs/>
    </w:rPr>
  </w:style>
  <w:style w:type="character" w:customStyle="1" w:styleId="CommentSubjectChar">
    <w:name w:val="Comment Subject Char"/>
    <w:basedOn w:val="CommentTextChar"/>
    <w:link w:val="CommentSubject"/>
    <w:uiPriority w:val="99"/>
    <w:semiHidden/>
    <w:locked/>
    <w:rsid w:val="005D4B60"/>
    <w:rPr>
      <w:rFonts w:cs="Times New Roman"/>
      <w:b/>
      <w:bCs/>
      <w:sz w:val="20"/>
      <w:szCs w:val="20"/>
    </w:rPr>
  </w:style>
  <w:style w:type="character" w:customStyle="1" w:styleId="jrnl">
    <w:name w:val="jrnl"/>
    <w:basedOn w:val="DefaultParagraphFont"/>
    <w:uiPriority w:val="99"/>
    <w:rsid w:val="00011AEB"/>
    <w:rPr>
      <w:rFonts w:cs="Times New Roman"/>
    </w:rPr>
  </w:style>
  <w:style w:type="character" w:customStyle="1" w:styleId="apple-converted-space">
    <w:name w:val="apple-converted-space"/>
    <w:basedOn w:val="DefaultParagraphFont"/>
    <w:uiPriority w:val="99"/>
    <w:rsid w:val="00011AEB"/>
    <w:rPr>
      <w:rFonts w:cs="Times New Roman"/>
    </w:rPr>
  </w:style>
  <w:style w:type="paragraph" w:styleId="Revision">
    <w:name w:val="Revision"/>
    <w:hidden/>
    <w:uiPriority w:val="99"/>
    <w:semiHidden/>
    <w:rsid w:val="000B4316"/>
    <w:rPr>
      <w:sz w:val="24"/>
      <w:szCs w:val="24"/>
      <w:lang w:val="en-US" w:eastAsia="en-US"/>
    </w:rPr>
  </w:style>
  <w:style w:type="paragraph" w:styleId="PlainText">
    <w:name w:val="Plain Text"/>
    <w:basedOn w:val="Normal"/>
    <w:link w:val="PlainTextChar"/>
    <w:uiPriority w:val="99"/>
    <w:semiHidden/>
    <w:unhideWhenUsed/>
    <w:rsid w:val="00BF236F"/>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BF236F"/>
    <w:rPr>
      <w:rFonts w:ascii="Calibri" w:eastAsiaTheme="minorHAnsi" w:hAnsi="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722570">
      <w:bodyDiv w:val="1"/>
      <w:marLeft w:val="0"/>
      <w:marRight w:val="0"/>
      <w:marTop w:val="0"/>
      <w:marBottom w:val="0"/>
      <w:divBdr>
        <w:top w:val="none" w:sz="0" w:space="0" w:color="auto"/>
        <w:left w:val="none" w:sz="0" w:space="0" w:color="auto"/>
        <w:bottom w:val="none" w:sz="0" w:space="0" w:color="auto"/>
        <w:right w:val="none" w:sz="0" w:space="0" w:color="auto"/>
      </w:divBdr>
    </w:div>
    <w:div w:id="2101639984">
      <w:marLeft w:val="0"/>
      <w:marRight w:val="0"/>
      <w:marTop w:val="0"/>
      <w:marBottom w:val="0"/>
      <w:divBdr>
        <w:top w:val="none" w:sz="0" w:space="0" w:color="auto"/>
        <w:left w:val="none" w:sz="0" w:space="0" w:color="auto"/>
        <w:bottom w:val="none" w:sz="0" w:space="0" w:color="auto"/>
        <w:right w:val="none" w:sz="0" w:space="0" w:color="auto"/>
      </w:divBdr>
    </w:div>
    <w:div w:id="2101639985">
      <w:marLeft w:val="0"/>
      <w:marRight w:val="0"/>
      <w:marTop w:val="0"/>
      <w:marBottom w:val="0"/>
      <w:divBdr>
        <w:top w:val="none" w:sz="0" w:space="0" w:color="auto"/>
        <w:left w:val="none" w:sz="0" w:space="0" w:color="auto"/>
        <w:bottom w:val="none" w:sz="0" w:space="0" w:color="auto"/>
        <w:right w:val="none" w:sz="0" w:space="0" w:color="auto"/>
      </w:divBdr>
    </w:div>
    <w:div w:id="2101639986">
      <w:marLeft w:val="0"/>
      <w:marRight w:val="0"/>
      <w:marTop w:val="0"/>
      <w:marBottom w:val="0"/>
      <w:divBdr>
        <w:top w:val="none" w:sz="0" w:space="0" w:color="auto"/>
        <w:left w:val="none" w:sz="0" w:space="0" w:color="auto"/>
        <w:bottom w:val="none" w:sz="0" w:space="0" w:color="auto"/>
        <w:right w:val="none" w:sz="0" w:space="0" w:color="auto"/>
      </w:divBdr>
    </w:div>
    <w:div w:id="2101639987">
      <w:marLeft w:val="0"/>
      <w:marRight w:val="0"/>
      <w:marTop w:val="0"/>
      <w:marBottom w:val="0"/>
      <w:divBdr>
        <w:top w:val="none" w:sz="0" w:space="0" w:color="auto"/>
        <w:left w:val="none" w:sz="0" w:space="0" w:color="auto"/>
        <w:bottom w:val="none" w:sz="0" w:space="0" w:color="auto"/>
        <w:right w:val="none" w:sz="0" w:space="0" w:color="auto"/>
      </w:divBdr>
    </w:div>
    <w:div w:id="2101639988">
      <w:marLeft w:val="0"/>
      <w:marRight w:val="0"/>
      <w:marTop w:val="0"/>
      <w:marBottom w:val="0"/>
      <w:divBdr>
        <w:top w:val="none" w:sz="0" w:space="0" w:color="auto"/>
        <w:left w:val="none" w:sz="0" w:space="0" w:color="auto"/>
        <w:bottom w:val="none" w:sz="0" w:space="0" w:color="auto"/>
        <w:right w:val="none" w:sz="0" w:space="0" w:color="auto"/>
      </w:divBdr>
    </w:div>
    <w:div w:id="21016399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20971753" TargetMode="External"/><Relationship Id="rId13" Type="http://schemas.openxmlformats.org/officeDocument/2006/relationships/hyperlink" Target="http://www.ncbi.nlm.nih.gov/pubmed/16484807" TargetMode="External"/><Relationship Id="rId18" Type="http://schemas.openxmlformats.org/officeDocument/2006/relationships/hyperlink" Target="http://www.ncbi.nlm.nih.gov/pubmed/24242746" TargetMode="External"/><Relationship Id="rId26" Type="http://schemas.openxmlformats.org/officeDocument/2006/relationships/hyperlink" Target="http://www.ncbi.nlm.nih.gov/pubmed/25879909" TargetMode="External"/><Relationship Id="rId3" Type="http://schemas.openxmlformats.org/officeDocument/2006/relationships/settings" Target="settings.xml"/><Relationship Id="rId21" Type="http://schemas.openxmlformats.org/officeDocument/2006/relationships/hyperlink" Target="http://www.ncbi.nlm.nih.gov/pubmed/25934855" TargetMode="External"/><Relationship Id="rId34" Type="http://schemas.openxmlformats.org/officeDocument/2006/relationships/header" Target="header1.xml"/><Relationship Id="rId7" Type="http://schemas.openxmlformats.org/officeDocument/2006/relationships/hyperlink" Target="http://www.genfi.org.uk" TargetMode="External"/><Relationship Id="rId12" Type="http://schemas.openxmlformats.org/officeDocument/2006/relationships/hyperlink" Target="http://www.ncbi.nlm.nih.gov/pubmed/10822437" TargetMode="External"/><Relationship Id="rId17" Type="http://schemas.openxmlformats.org/officeDocument/2006/relationships/hyperlink" Target="http://www.ncbi.nlm.nih.gov/pubmed/23718879" TargetMode="External"/><Relationship Id="rId25" Type="http://schemas.openxmlformats.org/officeDocument/2006/relationships/hyperlink" Target="http://www.ncbi.nlm.nih.gov/pubmed/21325651" TargetMode="External"/><Relationship Id="rId33" Type="http://schemas.openxmlformats.org/officeDocument/2006/relationships/hyperlink" Target="http://www.ncbi.nlm.nih.gov/pubmed/20479357" TargetMode="External"/><Relationship Id="rId2" Type="http://schemas.openxmlformats.org/officeDocument/2006/relationships/styles" Target="styles.xml"/><Relationship Id="rId16" Type="http://schemas.openxmlformats.org/officeDocument/2006/relationships/hyperlink" Target="http://www.ncbi.nlm.nih.gov/pubmed/17314187" TargetMode="External"/><Relationship Id="rId20" Type="http://schemas.openxmlformats.org/officeDocument/2006/relationships/hyperlink" Target="http://www.ncbi.nlm.nih.gov/pubmed/22680408" TargetMode="External"/><Relationship Id="rId29" Type="http://schemas.openxmlformats.org/officeDocument/2006/relationships/hyperlink" Target="http://www.ncbi.nlm.nih.gov/pubmed/2493598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10102440" TargetMode="External"/><Relationship Id="rId24" Type="http://schemas.openxmlformats.org/officeDocument/2006/relationships/hyperlink" Target="http://www.ncbi.nlm.nih.gov/pubmed/19462523" TargetMode="External"/><Relationship Id="rId32" Type="http://schemas.openxmlformats.org/officeDocument/2006/relationships/hyperlink" Target="http://www.ncbi.nlm.nih.gov/pubmed/18829698"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cbi.nlm.nih.gov/pubmed/17290105" TargetMode="External"/><Relationship Id="rId23" Type="http://schemas.openxmlformats.org/officeDocument/2006/relationships/hyperlink" Target="http://www.ncbi.nlm.nih.gov/pubmed/21810890" TargetMode="External"/><Relationship Id="rId28" Type="http://schemas.openxmlformats.org/officeDocument/2006/relationships/hyperlink" Target="http://www.ncbi.nlm.nih.gov/pubmed/25716934" TargetMode="External"/><Relationship Id="rId36" Type="http://schemas.openxmlformats.org/officeDocument/2006/relationships/fontTable" Target="fontTable.xml"/><Relationship Id="rId10" Type="http://schemas.openxmlformats.org/officeDocument/2006/relationships/hyperlink" Target="http://www.ncbi.nlm.nih.gov/pubmed/24796615" TargetMode="External"/><Relationship Id="rId19" Type="http://schemas.openxmlformats.org/officeDocument/2006/relationships/hyperlink" Target="http://www.ncbi.nlm.nih.gov/pubmed/15620855" TargetMode="External"/><Relationship Id="rId31" Type="http://schemas.openxmlformats.org/officeDocument/2006/relationships/hyperlink" Target="http://www.ncbi.nlm.nih.gov/pubmed/22366791" TargetMode="External"/><Relationship Id="rId4" Type="http://schemas.openxmlformats.org/officeDocument/2006/relationships/webSettings" Target="webSettings.xml"/><Relationship Id="rId9" Type="http://schemas.openxmlformats.org/officeDocument/2006/relationships/hyperlink" Target="http://www.ncbi.nlm.nih.gov/pubmed/23920254" TargetMode="External"/><Relationship Id="rId14" Type="http://schemas.openxmlformats.org/officeDocument/2006/relationships/hyperlink" Target="http://www.ncbi.nlm.nih.gov/pubmed/17596713" TargetMode="External"/><Relationship Id="rId22" Type="http://schemas.openxmlformats.org/officeDocument/2006/relationships/hyperlink" Target="http://www.ncbi.nlm.nih.gov/pubmed/27071153" TargetMode="External"/><Relationship Id="rId27" Type="http://schemas.openxmlformats.org/officeDocument/2006/relationships/hyperlink" Target="http://www.ncbi.nlm.nih.gov/pubmed/25662776" TargetMode="External"/><Relationship Id="rId30" Type="http://schemas.openxmlformats.org/officeDocument/2006/relationships/hyperlink" Target="http://www.ncbi.nlm.nih.gov/pubmed/26136237"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21</Pages>
  <Words>5308</Words>
  <Characters>30256</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Main title</vt:lpstr>
    </vt:vector>
  </TitlesOfParts>
  <Company>The Dementia Research Centre</Company>
  <LinksUpToDate>false</LinksUpToDate>
  <CharactersWithSpaces>35494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title</dc:title>
  <dc:subject/>
  <dc:creator>Jonathan Rohrer</dc:creator>
  <cp:keywords/>
  <dc:description/>
  <cp:lastModifiedBy>Sharon Quimby</cp:lastModifiedBy>
  <cp:revision>14</cp:revision>
  <cp:lastPrinted>2014-05-28T12:04:00Z</cp:lastPrinted>
  <dcterms:created xsi:type="dcterms:W3CDTF">2016-05-24T21:00:00Z</dcterms:created>
  <dcterms:modified xsi:type="dcterms:W3CDTF">2016-06-02T17:34:00Z</dcterms:modified>
</cp:coreProperties>
</file>