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3BDB4E" w14:textId="3634795B" w:rsidR="009246AD" w:rsidRPr="00DB0DB9" w:rsidRDefault="0035170C" w:rsidP="00DB0DB9">
      <w:pPr>
        <w:pStyle w:val="BATitle"/>
      </w:pPr>
      <w:r w:rsidRPr="00DB0DB9">
        <w:t xml:space="preserve">Discovery of New </w:t>
      </w:r>
      <w:r w:rsidR="00CD43E2" w:rsidRPr="00DB0DB9">
        <w:t>Anti-</w:t>
      </w:r>
      <w:proofErr w:type="spellStart"/>
      <w:r w:rsidR="00EF0070">
        <w:t>S</w:t>
      </w:r>
      <w:r w:rsidR="00CD43E2" w:rsidRPr="00DB0DB9">
        <w:t>chistosomal</w:t>
      </w:r>
      <w:proofErr w:type="spellEnd"/>
      <w:r w:rsidR="00CD43E2" w:rsidRPr="00DB0DB9">
        <w:t xml:space="preserve"> </w:t>
      </w:r>
      <w:r w:rsidR="007E3930">
        <w:t>Hits</w:t>
      </w:r>
      <w:r w:rsidR="007E3930" w:rsidRPr="00DB0DB9">
        <w:t xml:space="preserve"> </w:t>
      </w:r>
      <w:r w:rsidRPr="00DB0DB9">
        <w:t>by</w:t>
      </w:r>
      <w:r w:rsidR="00CD43E2" w:rsidRPr="00DB0DB9">
        <w:t xml:space="preserve"> Integration of</w:t>
      </w:r>
      <w:r w:rsidRPr="00DB0DB9">
        <w:t xml:space="preserve"> QSAR-Based Virtual Screening</w:t>
      </w:r>
      <w:r w:rsidR="00CD43E2" w:rsidRPr="00DB0DB9">
        <w:t xml:space="preserve"> and High Content Screening</w:t>
      </w:r>
    </w:p>
    <w:p w14:paraId="27ACC202" w14:textId="6632EF01" w:rsidR="00512DAA" w:rsidRPr="00064BFF" w:rsidRDefault="00512DAA" w:rsidP="00512DAA">
      <w:pPr>
        <w:pStyle w:val="BBAuthorName"/>
        <w:rPr>
          <w:lang w:val="pt-BR"/>
        </w:rPr>
      </w:pPr>
      <w:r w:rsidRPr="00064BFF">
        <w:rPr>
          <w:lang w:val="pt-BR"/>
        </w:rPr>
        <w:t xml:space="preserve">Bruno J. </w:t>
      </w:r>
      <w:proofErr w:type="gramStart"/>
      <w:r w:rsidRPr="00174459">
        <w:rPr>
          <w:lang w:val="pt-BR"/>
        </w:rPr>
        <w:t>Neves,</w:t>
      </w:r>
      <w:r w:rsidRPr="00174459">
        <w:rPr>
          <w:vertAlign w:val="superscript"/>
          <w:lang w:val="pt-BR"/>
        </w:rPr>
        <w:t>†</w:t>
      </w:r>
      <w:proofErr w:type="gramEnd"/>
      <w:r w:rsidRPr="00174459">
        <w:rPr>
          <w:lang w:val="pt-BR"/>
        </w:rPr>
        <w:t xml:space="preserve"> Rafael F. Dantas,</w:t>
      </w:r>
      <w:r w:rsidRPr="00174459">
        <w:rPr>
          <w:vertAlign w:val="superscript"/>
          <w:lang w:val="pt-BR"/>
        </w:rPr>
        <w:t>‡</w:t>
      </w:r>
      <w:r w:rsidRPr="00174459">
        <w:rPr>
          <w:lang w:val="pt-BR"/>
        </w:rPr>
        <w:t xml:space="preserve"> Mario R. </w:t>
      </w:r>
      <w:proofErr w:type="spellStart"/>
      <w:r w:rsidRPr="00174459">
        <w:rPr>
          <w:lang w:val="pt-BR"/>
        </w:rPr>
        <w:t>Senger</w:t>
      </w:r>
      <w:proofErr w:type="spellEnd"/>
      <w:r w:rsidRPr="00174459">
        <w:rPr>
          <w:lang w:val="pt-BR"/>
        </w:rPr>
        <w:t>,</w:t>
      </w:r>
      <w:r w:rsidRPr="00174459">
        <w:rPr>
          <w:vertAlign w:val="superscript"/>
          <w:lang w:val="pt-BR"/>
        </w:rPr>
        <w:t>‡</w:t>
      </w:r>
      <w:r w:rsidRPr="00174459">
        <w:rPr>
          <w:lang w:val="pt-BR"/>
        </w:rPr>
        <w:t xml:space="preserve"> Cleber C. Melo-Filho,</w:t>
      </w:r>
      <w:r w:rsidRPr="00174459">
        <w:rPr>
          <w:vertAlign w:val="superscript"/>
          <w:lang w:val="pt-BR"/>
        </w:rPr>
        <w:t>†</w:t>
      </w:r>
      <w:r w:rsidRPr="00174459">
        <w:rPr>
          <w:lang w:val="pt-BR"/>
        </w:rPr>
        <w:t xml:space="preserve"> Walter C.G. Valente,</w:t>
      </w:r>
      <w:r w:rsidRPr="00174459">
        <w:rPr>
          <w:vertAlign w:val="superscript"/>
          <w:lang w:val="pt-BR"/>
        </w:rPr>
        <w:t>‡</w:t>
      </w:r>
      <w:r w:rsidRPr="00174459">
        <w:rPr>
          <w:lang w:val="pt-BR"/>
        </w:rPr>
        <w:t xml:space="preserve">  Ana C. M. de Almeida,</w:t>
      </w:r>
      <w:r w:rsidRPr="00174459">
        <w:rPr>
          <w:vertAlign w:val="superscript"/>
          <w:lang w:val="pt-BR"/>
        </w:rPr>
        <w:t>‡</w:t>
      </w:r>
      <w:r w:rsidRPr="00174459">
        <w:rPr>
          <w:lang w:val="pt-BR"/>
        </w:rPr>
        <w:t xml:space="preserve"> João M. Rezende-Neto,</w:t>
      </w:r>
      <w:r w:rsidRPr="00174459">
        <w:rPr>
          <w:vertAlign w:val="superscript"/>
          <w:lang w:val="pt-BR"/>
        </w:rPr>
        <w:t>‡</w:t>
      </w:r>
      <w:r w:rsidRPr="00174459">
        <w:rPr>
          <w:lang w:val="pt-BR"/>
        </w:rPr>
        <w:t xml:space="preserve">  </w:t>
      </w:r>
      <w:proofErr w:type="spellStart"/>
      <w:r w:rsidR="00F960EF" w:rsidRPr="00174459">
        <w:rPr>
          <w:lang w:val="pt-BR"/>
        </w:rPr>
        <w:t>Elid</w:t>
      </w:r>
      <w:proofErr w:type="spellEnd"/>
      <w:r w:rsidR="00F960EF" w:rsidRPr="00174459">
        <w:rPr>
          <w:lang w:val="pt-BR"/>
        </w:rPr>
        <w:t xml:space="preserve"> F. C. Lima,</w:t>
      </w:r>
      <w:r w:rsidR="00F960EF" w:rsidRPr="00174459">
        <w:rPr>
          <w:vertAlign w:val="superscript"/>
          <w:lang w:val="pt-BR"/>
        </w:rPr>
        <w:t xml:space="preserve"> ‡</w:t>
      </w:r>
      <w:r w:rsidR="00F960EF" w:rsidRPr="00174459">
        <w:rPr>
          <w:lang w:val="pt-BR"/>
        </w:rPr>
        <w:t xml:space="preserve">  </w:t>
      </w:r>
      <w:r w:rsidRPr="00174459">
        <w:rPr>
          <w:lang w:val="pt-BR"/>
        </w:rPr>
        <w:t xml:space="preserve">Ross </w:t>
      </w:r>
      <w:proofErr w:type="spellStart"/>
      <w:r w:rsidRPr="00174459">
        <w:rPr>
          <w:lang w:val="pt-BR"/>
        </w:rPr>
        <w:t>Paveley</w:t>
      </w:r>
      <w:proofErr w:type="spellEnd"/>
      <w:r w:rsidRPr="00174459">
        <w:rPr>
          <w:lang w:val="pt-BR"/>
        </w:rPr>
        <w:t>,</w:t>
      </w:r>
      <w:r w:rsidRPr="00174459">
        <w:rPr>
          <w:vertAlign w:val="superscript"/>
          <w:lang w:val="pt-BR"/>
        </w:rPr>
        <w:t>#</w:t>
      </w:r>
      <w:r w:rsidRPr="00174459">
        <w:rPr>
          <w:lang w:val="pt-BR"/>
        </w:rPr>
        <w:t xml:space="preserve"> Nicholas </w:t>
      </w:r>
      <w:proofErr w:type="spellStart"/>
      <w:r w:rsidRPr="00174459">
        <w:rPr>
          <w:lang w:val="pt-BR"/>
        </w:rPr>
        <w:t>Furnham</w:t>
      </w:r>
      <w:proofErr w:type="spellEnd"/>
      <w:r w:rsidRPr="00174459">
        <w:rPr>
          <w:lang w:val="pt-BR"/>
        </w:rPr>
        <w:t>,</w:t>
      </w:r>
      <w:r w:rsidRPr="00174459">
        <w:rPr>
          <w:vertAlign w:val="superscript"/>
          <w:lang w:val="pt-BR"/>
        </w:rPr>
        <w:t>#</w:t>
      </w:r>
      <w:r w:rsidRPr="00174459">
        <w:rPr>
          <w:lang w:val="pt-BR"/>
        </w:rPr>
        <w:t xml:space="preserve"> Eugene </w:t>
      </w:r>
      <w:proofErr w:type="spellStart"/>
      <w:r w:rsidRPr="00174459">
        <w:rPr>
          <w:lang w:val="pt-BR"/>
        </w:rPr>
        <w:t>Muratov</w:t>
      </w:r>
      <w:proofErr w:type="spellEnd"/>
      <w:r w:rsidRPr="00174459">
        <w:rPr>
          <w:lang w:val="pt-BR"/>
        </w:rPr>
        <w:t>,</w:t>
      </w:r>
      <w:r w:rsidRPr="00174459">
        <w:rPr>
          <w:vertAlign w:val="superscript"/>
          <w:lang w:val="pt-BR"/>
        </w:rPr>
        <w:t>§</w:t>
      </w:r>
      <w:r w:rsidRPr="00174459">
        <w:rPr>
          <w:lang w:val="pt-BR"/>
        </w:rPr>
        <w:t xml:space="preserve"> Lee </w:t>
      </w:r>
      <w:proofErr w:type="spellStart"/>
      <w:r w:rsidRPr="00174459">
        <w:rPr>
          <w:lang w:val="pt-BR"/>
        </w:rPr>
        <w:t>Kamentsky</w:t>
      </w:r>
      <w:proofErr w:type="spellEnd"/>
      <w:r w:rsidRPr="00174459">
        <w:rPr>
          <w:lang w:val="pt-BR"/>
        </w:rPr>
        <w:t>,</w:t>
      </w:r>
      <w:r w:rsidRPr="00174459">
        <w:rPr>
          <w:rFonts w:ascii="Calibri" w:eastAsia="Calibri" w:hAnsi="Calibri" w:cs="Calibri"/>
          <w:vertAlign w:val="superscript"/>
        </w:rPr>
        <w:t>Ѱ</w:t>
      </w:r>
      <w:r w:rsidRPr="00174459">
        <w:rPr>
          <w:lang w:val="pt-BR"/>
        </w:rPr>
        <w:t xml:space="preserve"> Anne E. Carpenter,</w:t>
      </w:r>
      <w:r w:rsidRPr="00174459">
        <w:rPr>
          <w:rFonts w:ascii="Calibri" w:eastAsia="Calibri" w:hAnsi="Calibri" w:cs="Calibri"/>
          <w:vertAlign w:val="superscript"/>
        </w:rPr>
        <w:t>Ѱ</w:t>
      </w:r>
      <w:r w:rsidRPr="00174459">
        <w:rPr>
          <w:lang w:val="pt-BR"/>
        </w:rPr>
        <w:t xml:space="preserve"> Rodolpho</w:t>
      </w:r>
      <w:r w:rsidRPr="00064BFF">
        <w:rPr>
          <w:lang w:val="pt-BR"/>
        </w:rPr>
        <w:t xml:space="preserve"> C. Braga</w:t>
      </w:r>
      <w:r w:rsidR="00223ECC" w:rsidRPr="00064BFF">
        <w:rPr>
          <w:lang w:val="pt-BR"/>
        </w:rPr>
        <w:t>,</w:t>
      </w:r>
      <w:r w:rsidR="00223ECC" w:rsidRPr="00064BFF">
        <w:rPr>
          <w:vertAlign w:val="superscript"/>
          <w:lang w:val="pt-BR"/>
        </w:rPr>
        <w:t xml:space="preserve">† </w:t>
      </w:r>
      <w:r w:rsidRPr="00064BFF">
        <w:rPr>
          <w:lang w:val="pt-BR"/>
        </w:rPr>
        <w:t>Floriano P. Silva-Junior,</w:t>
      </w:r>
      <w:r w:rsidRPr="00064BFF">
        <w:rPr>
          <w:vertAlign w:val="superscript"/>
          <w:lang w:val="pt-BR"/>
        </w:rPr>
        <w:t>‡</w:t>
      </w:r>
      <w:r w:rsidRPr="00064BFF">
        <w:rPr>
          <w:lang w:val="pt-BR"/>
        </w:rPr>
        <w:t>* Carolina H</w:t>
      </w:r>
      <w:r w:rsidR="0037061F">
        <w:rPr>
          <w:lang w:val="pt-BR"/>
        </w:rPr>
        <w:t>orta</w:t>
      </w:r>
      <w:r w:rsidR="0037061F" w:rsidRPr="00064BFF">
        <w:rPr>
          <w:lang w:val="pt-BR"/>
        </w:rPr>
        <w:t xml:space="preserve"> </w:t>
      </w:r>
      <w:r w:rsidRPr="00064BFF">
        <w:rPr>
          <w:lang w:val="pt-BR"/>
        </w:rPr>
        <w:t>Andrade</w:t>
      </w:r>
      <w:r w:rsidRPr="00064BFF">
        <w:rPr>
          <w:vertAlign w:val="superscript"/>
          <w:lang w:val="pt-BR"/>
        </w:rPr>
        <w:t>†</w:t>
      </w:r>
      <w:r w:rsidRPr="00064BFF">
        <w:rPr>
          <w:lang w:val="pt-BR"/>
        </w:rPr>
        <w:t>*</w:t>
      </w:r>
    </w:p>
    <w:p w14:paraId="299B988D" w14:textId="77777777" w:rsidR="00512DAA" w:rsidRPr="00064BFF" w:rsidRDefault="00512DAA" w:rsidP="00512DAA">
      <w:pPr>
        <w:pStyle w:val="BCAuthorAddress"/>
        <w:rPr>
          <w:lang w:val="pt-BR"/>
        </w:rPr>
      </w:pPr>
      <w:r w:rsidRPr="00064BFF">
        <w:rPr>
          <w:vertAlign w:val="superscript"/>
          <w:lang w:val="pt-BR"/>
        </w:rPr>
        <w:t>†</w:t>
      </w:r>
      <w:proofErr w:type="spellStart"/>
      <w:r w:rsidRPr="00064BFF">
        <w:rPr>
          <w:lang w:val="pt-BR"/>
        </w:rPr>
        <w:t>LabMol</w:t>
      </w:r>
      <w:proofErr w:type="spellEnd"/>
      <w:r w:rsidRPr="00064BFF">
        <w:rPr>
          <w:lang w:val="pt-BR"/>
        </w:rPr>
        <w:t xml:space="preserve"> – </w:t>
      </w:r>
      <w:proofErr w:type="spellStart"/>
      <w:r w:rsidRPr="00626393">
        <w:rPr>
          <w:lang w:val="pt-BR"/>
        </w:rPr>
        <w:t>Laboratory</w:t>
      </w:r>
      <w:proofErr w:type="spellEnd"/>
      <w:r w:rsidRPr="00626393">
        <w:rPr>
          <w:lang w:val="pt-BR"/>
        </w:rPr>
        <w:t xml:space="preserve"> for Molecular </w:t>
      </w:r>
      <w:proofErr w:type="spellStart"/>
      <w:r w:rsidRPr="00626393">
        <w:rPr>
          <w:lang w:val="pt-BR"/>
        </w:rPr>
        <w:t>Modeling</w:t>
      </w:r>
      <w:proofErr w:type="spellEnd"/>
      <w:r w:rsidRPr="00626393">
        <w:rPr>
          <w:lang w:val="pt-BR"/>
        </w:rPr>
        <w:t xml:space="preserve"> </w:t>
      </w:r>
      <w:proofErr w:type="spellStart"/>
      <w:r w:rsidRPr="00626393">
        <w:rPr>
          <w:lang w:val="pt-BR"/>
        </w:rPr>
        <w:t>and</w:t>
      </w:r>
      <w:proofErr w:type="spellEnd"/>
      <w:r w:rsidRPr="00626393">
        <w:rPr>
          <w:lang w:val="pt-BR"/>
        </w:rPr>
        <w:t xml:space="preserve"> </w:t>
      </w:r>
      <w:proofErr w:type="spellStart"/>
      <w:r>
        <w:rPr>
          <w:lang w:val="pt-BR"/>
        </w:rPr>
        <w:t>Drug</w:t>
      </w:r>
      <w:proofErr w:type="spellEnd"/>
      <w:r>
        <w:rPr>
          <w:lang w:val="pt-BR"/>
        </w:rPr>
        <w:t xml:space="preserve"> </w:t>
      </w:r>
      <w:r w:rsidRPr="00626393">
        <w:rPr>
          <w:lang w:val="pt-BR"/>
        </w:rPr>
        <w:t>Design</w:t>
      </w:r>
      <w:r w:rsidRPr="00064BFF">
        <w:rPr>
          <w:lang w:val="pt-BR"/>
        </w:rPr>
        <w:t xml:space="preserve">, Faculdade de Farmácia, Universidade Federal de Goiás, Goiânia, </w:t>
      </w:r>
      <w:proofErr w:type="spellStart"/>
      <w:r w:rsidRPr="00064BFF">
        <w:rPr>
          <w:lang w:val="pt-BR"/>
        </w:rPr>
        <w:t>Brazil</w:t>
      </w:r>
      <w:proofErr w:type="spellEnd"/>
    </w:p>
    <w:p w14:paraId="51381A2F" w14:textId="77777777" w:rsidR="00512DAA" w:rsidRPr="00064BFF" w:rsidRDefault="00512DAA" w:rsidP="00512DAA">
      <w:pPr>
        <w:pStyle w:val="BCAuthorAddress"/>
        <w:rPr>
          <w:lang w:val="pt-BR"/>
        </w:rPr>
      </w:pPr>
      <w:r w:rsidRPr="00064BFF">
        <w:rPr>
          <w:vertAlign w:val="superscript"/>
          <w:lang w:val="pt-BR"/>
        </w:rPr>
        <w:t>‡</w:t>
      </w:r>
      <w:proofErr w:type="spellStart"/>
      <w:r w:rsidRPr="00064BFF">
        <w:rPr>
          <w:lang w:val="pt-BR"/>
        </w:rPr>
        <w:t>LaBECFar</w:t>
      </w:r>
      <w:proofErr w:type="spellEnd"/>
      <w:r w:rsidRPr="00064BFF">
        <w:rPr>
          <w:lang w:val="pt-BR"/>
        </w:rPr>
        <w:t xml:space="preserve"> – Laboratório de Bioquímica Experimental e Computacional de Fármacos, Instituto Oswaldo Cruz, Fundação Oswaldo Cruz, Rio de Janeiro, </w:t>
      </w:r>
      <w:proofErr w:type="spellStart"/>
      <w:r w:rsidRPr="00064BFF">
        <w:rPr>
          <w:lang w:val="pt-BR"/>
        </w:rPr>
        <w:t>Brazil</w:t>
      </w:r>
      <w:proofErr w:type="spellEnd"/>
    </w:p>
    <w:p w14:paraId="7051696B" w14:textId="77777777" w:rsidR="00512DAA" w:rsidRPr="003A6DD8" w:rsidRDefault="00512DAA" w:rsidP="00512DAA">
      <w:pPr>
        <w:pStyle w:val="BCAuthorAddress"/>
      </w:pPr>
      <w:r w:rsidRPr="003A6DD8">
        <w:rPr>
          <w:vertAlign w:val="superscript"/>
        </w:rPr>
        <w:t>#</w:t>
      </w:r>
      <w:r w:rsidRPr="003A6DD8">
        <w:t>Department of Infection and Immunity, London School of Hygiene and Tropical Medicine, London, United Kingdom</w:t>
      </w:r>
    </w:p>
    <w:p w14:paraId="7E4620BC" w14:textId="117345F6" w:rsidR="00512DAA" w:rsidRPr="003A6DD8" w:rsidRDefault="00512DAA" w:rsidP="00512DAA">
      <w:pPr>
        <w:pStyle w:val="BCAuthorAddress"/>
      </w:pPr>
      <w:r w:rsidRPr="003A6DD8">
        <w:rPr>
          <w:vertAlign w:val="superscript"/>
        </w:rPr>
        <w:t>§</w:t>
      </w:r>
      <w:r w:rsidRPr="003A6DD8">
        <w:t xml:space="preserve">Laboratory for Molecular Modeling, </w:t>
      </w:r>
      <w:proofErr w:type="spellStart"/>
      <w:r w:rsidRPr="003A6DD8">
        <w:t>Eshelman</w:t>
      </w:r>
      <w:proofErr w:type="spellEnd"/>
      <w:r w:rsidRPr="003A6DD8">
        <w:t xml:space="preserve"> School of Pharmacy, University of North Carolina, Chapel Hill, USA</w:t>
      </w:r>
    </w:p>
    <w:p w14:paraId="6362B7AB" w14:textId="77777777" w:rsidR="00512DAA" w:rsidRDefault="00512DAA" w:rsidP="00512DAA">
      <w:pPr>
        <w:pStyle w:val="BCAuthorAddress"/>
      </w:pPr>
      <w:proofErr w:type="spellStart"/>
      <w:r w:rsidRPr="003A6DD8">
        <w:rPr>
          <w:vertAlign w:val="superscript"/>
        </w:rPr>
        <w:t>Ѱ</w:t>
      </w:r>
      <w:r w:rsidRPr="003A6DD8">
        <w:t>Imaging</w:t>
      </w:r>
      <w:proofErr w:type="spellEnd"/>
      <w:r w:rsidRPr="003A6DD8">
        <w:t xml:space="preserve"> Platform, Broad Institute of Massachusetts Institute of Technology and Harvard, Cambridge, Massachusetts, USA.</w:t>
      </w:r>
    </w:p>
    <w:p w14:paraId="0798BA34" w14:textId="77777777" w:rsidR="00512DAA" w:rsidRPr="00C3082F" w:rsidRDefault="00512DAA" w:rsidP="00345897">
      <w:pPr>
        <w:pStyle w:val="BGKeywords"/>
        <w:rPr>
          <w:b/>
        </w:rPr>
      </w:pPr>
      <w:r w:rsidRPr="00C3082F">
        <w:rPr>
          <w:b/>
        </w:rPr>
        <w:lastRenderedPageBreak/>
        <w:t xml:space="preserve">ABSTRACT </w:t>
      </w:r>
    </w:p>
    <w:p w14:paraId="5027AB84" w14:textId="4476DEED" w:rsidR="00566660" w:rsidRPr="00195F51" w:rsidRDefault="00512DAA" w:rsidP="00566660">
      <w:pPr>
        <w:pStyle w:val="BDAbstract"/>
        <w:rPr>
          <w:highlight w:val="yellow"/>
        </w:rPr>
      </w:pPr>
      <w:r w:rsidRPr="00DD6BFF">
        <w:t>Schistosomiasis</w:t>
      </w:r>
      <w:r w:rsidR="009957DA">
        <w:t xml:space="preserve"> is</w:t>
      </w:r>
      <w:r w:rsidRPr="00DD6BFF">
        <w:t xml:space="preserve"> a debilitating neglected tropical disease, caused by flatworms of </w:t>
      </w:r>
      <w:r w:rsidRPr="00DD6BFF">
        <w:rPr>
          <w:i/>
        </w:rPr>
        <w:t xml:space="preserve">Schistosoma </w:t>
      </w:r>
      <w:r w:rsidRPr="00DD6BFF">
        <w:t xml:space="preserve">genus. The treatment relies on a single drug, </w:t>
      </w:r>
      <w:proofErr w:type="spellStart"/>
      <w:r w:rsidRPr="00DD6BFF">
        <w:t>praziquantel</w:t>
      </w:r>
      <w:proofErr w:type="spellEnd"/>
      <w:r w:rsidRPr="00DD6BFF">
        <w:t xml:space="preserve"> (PZQ), making the </w:t>
      </w:r>
      <w:r w:rsidR="0061059E" w:rsidRPr="00DD6BFF">
        <w:t>discovery of</w:t>
      </w:r>
      <w:r w:rsidRPr="00DD6BFF">
        <w:t xml:space="preserve"> new compounds</w:t>
      </w:r>
      <w:r w:rsidR="00233065">
        <w:t xml:space="preserve"> extremely urgent</w:t>
      </w:r>
      <w:r w:rsidRPr="00DD6BFF">
        <w:t xml:space="preserve">. </w:t>
      </w:r>
      <w:r w:rsidR="008F12D2">
        <w:t>In this work</w:t>
      </w:r>
      <w:r w:rsidR="00663938">
        <w:t>, w</w:t>
      </w:r>
      <w:r w:rsidR="00663938" w:rsidRPr="00DD6BFF">
        <w:t xml:space="preserve">e </w:t>
      </w:r>
      <w:r w:rsidR="00EF0070" w:rsidRPr="00DD6BFF">
        <w:t xml:space="preserve">integrated </w:t>
      </w:r>
      <w:r w:rsidRPr="00DD6BFF">
        <w:t xml:space="preserve">QSAR-based </w:t>
      </w:r>
      <w:r w:rsidR="00DD6BFF">
        <w:t>V</w:t>
      </w:r>
      <w:r w:rsidR="00DD6BFF" w:rsidRPr="00DD6BFF">
        <w:t xml:space="preserve">irtual </w:t>
      </w:r>
      <w:r w:rsidR="00DD6BFF">
        <w:t>S</w:t>
      </w:r>
      <w:r w:rsidR="00DD6BFF" w:rsidRPr="00DD6BFF">
        <w:t>creening</w:t>
      </w:r>
      <w:r w:rsidR="00DD6BFF">
        <w:t xml:space="preserve"> (VS) </w:t>
      </w:r>
      <w:r w:rsidR="00663938">
        <w:t xml:space="preserve">of </w:t>
      </w:r>
      <w:r w:rsidR="00663938" w:rsidRPr="00492534">
        <w:rPr>
          <w:i/>
        </w:rPr>
        <w:t xml:space="preserve">S. </w:t>
      </w:r>
      <w:proofErr w:type="spellStart"/>
      <w:r w:rsidR="00663938" w:rsidRPr="00492534">
        <w:rPr>
          <w:i/>
        </w:rPr>
        <w:t>mansoni</w:t>
      </w:r>
      <w:proofErr w:type="spellEnd"/>
      <w:r w:rsidR="00663938" w:rsidRPr="00492534">
        <w:t xml:space="preserve"> </w:t>
      </w:r>
      <w:proofErr w:type="spellStart"/>
      <w:r w:rsidR="00663938" w:rsidRPr="00492534">
        <w:t>thioredoxin</w:t>
      </w:r>
      <w:proofErr w:type="spellEnd"/>
      <w:r w:rsidR="00663938" w:rsidRPr="00492534">
        <w:t xml:space="preserve"> glutathione reductase (</w:t>
      </w:r>
      <w:proofErr w:type="spellStart"/>
      <w:r w:rsidR="00663938" w:rsidRPr="00492534">
        <w:rPr>
          <w:i/>
        </w:rPr>
        <w:t>Sm</w:t>
      </w:r>
      <w:r w:rsidR="00663938" w:rsidRPr="00492534">
        <w:t>TGR</w:t>
      </w:r>
      <w:proofErr w:type="spellEnd"/>
      <w:r w:rsidR="00663938" w:rsidRPr="00492534">
        <w:t>)</w:t>
      </w:r>
      <w:r w:rsidR="00663938">
        <w:t xml:space="preserve"> inhibitors</w:t>
      </w:r>
      <w:r w:rsidRPr="00DD6BFF">
        <w:t xml:space="preserve"> </w:t>
      </w:r>
      <w:r w:rsidR="00EF0070" w:rsidRPr="00DD6BFF">
        <w:t>and</w:t>
      </w:r>
      <w:r w:rsidRPr="00DD6BFF">
        <w:t xml:space="preserve"> high content screening (HCS) </w:t>
      </w:r>
      <w:r w:rsidR="004C14E5" w:rsidRPr="00DD6BFF">
        <w:t>aiming</w:t>
      </w:r>
      <w:r w:rsidR="00EF0070" w:rsidRPr="00DD6BFF">
        <w:t xml:space="preserve"> t</w:t>
      </w:r>
      <w:r w:rsidR="008F12D2">
        <w:t>o</w:t>
      </w:r>
      <w:r w:rsidR="00EF0070" w:rsidRPr="00DD6BFF">
        <w:t xml:space="preserve"> discover new </w:t>
      </w:r>
      <w:proofErr w:type="spellStart"/>
      <w:r w:rsidR="00EF0070" w:rsidRPr="00DD6BFF">
        <w:t>antischistosomal</w:t>
      </w:r>
      <w:proofErr w:type="spellEnd"/>
      <w:r w:rsidR="00EF0070" w:rsidRPr="00DD6BFF">
        <w:t xml:space="preserve"> agents</w:t>
      </w:r>
      <w:r w:rsidRPr="00DD6BFF">
        <w:t xml:space="preserve">. </w:t>
      </w:r>
      <w:r w:rsidR="00566660">
        <w:t xml:space="preserve">Initially, binary </w:t>
      </w:r>
      <w:r w:rsidR="00566660" w:rsidRPr="00492534">
        <w:t xml:space="preserve">QSAR models for inhibition of </w:t>
      </w:r>
      <w:proofErr w:type="spellStart"/>
      <w:r w:rsidR="00566660" w:rsidRPr="00492534">
        <w:rPr>
          <w:i/>
        </w:rPr>
        <w:t>Sm</w:t>
      </w:r>
      <w:r w:rsidR="00566660" w:rsidRPr="00492534">
        <w:t>TGR</w:t>
      </w:r>
      <w:proofErr w:type="spellEnd"/>
      <w:r w:rsidR="00566660">
        <w:t xml:space="preserve"> were developed </w:t>
      </w:r>
      <w:r w:rsidR="00DC3BB2">
        <w:t xml:space="preserve">and validated </w:t>
      </w:r>
      <w:r w:rsidR="00566660">
        <w:t xml:space="preserve">using </w:t>
      </w:r>
      <w:r w:rsidR="008F12D2">
        <w:t xml:space="preserve">the </w:t>
      </w:r>
      <w:r w:rsidR="00DC3BB2" w:rsidRPr="00DC3BB2">
        <w:t xml:space="preserve">Organization for Economic Co-operation and Development (OECD) </w:t>
      </w:r>
      <w:r w:rsidR="00DC3BB2" w:rsidRPr="004544A5">
        <w:t>guidance</w:t>
      </w:r>
      <w:r w:rsidR="00DC3BB2">
        <w:t>. U</w:t>
      </w:r>
      <w:r w:rsidR="00663938">
        <w:t xml:space="preserve">sing </w:t>
      </w:r>
      <w:r w:rsidR="00DC3BB2">
        <w:t>these models</w:t>
      </w:r>
      <w:r w:rsidR="004C14E5" w:rsidRPr="00DD6BFF">
        <w:t>,</w:t>
      </w:r>
      <w:r w:rsidR="00371AB2" w:rsidRPr="00DD6BFF">
        <w:t xml:space="preserve"> we prioritized </w:t>
      </w:r>
      <w:r w:rsidRPr="00DD6BFF">
        <w:t xml:space="preserve">29 </w:t>
      </w:r>
      <w:r w:rsidR="00DD6BFF">
        <w:t>compounds</w:t>
      </w:r>
      <w:r w:rsidR="00663938" w:rsidRPr="00DD6BFF">
        <w:t xml:space="preserve"> </w:t>
      </w:r>
      <w:r w:rsidR="00371AB2" w:rsidRPr="00DD6BFF">
        <w:t>for</w:t>
      </w:r>
      <w:r w:rsidRPr="00DD6BFF">
        <w:t xml:space="preserve"> </w:t>
      </w:r>
      <w:r w:rsidR="00371AB2" w:rsidRPr="00DD6BFF">
        <w:t>further testing</w:t>
      </w:r>
      <w:r w:rsidR="00663938" w:rsidRPr="00DD6BFF">
        <w:t xml:space="preserve"> </w:t>
      </w:r>
      <w:r w:rsidR="00663938" w:rsidRPr="00195F51">
        <w:t>i</w:t>
      </w:r>
      <w:r w:rsidR="00663938" w:rsidRPr="00663938">
        <w:t>n two HCS platforms based on image analysis of assay plates</w:t>
      </w:r>
      <w:r w:rsidRPr="00DD6BFF">
        <w:t>.</w:t>
      </w:r>
      <w:r w:rsidR="00566660">
        <w:t xml:space="preserve"> </w:t>
      </w:r>
      <w:r w:rsidR="00E6107A" w:rsidRPr="00174459">
        <w:rPr>
          <w:rFonts w:cs="Times"/>
          <w:szCs w:val="24"/>
        </w:rPr>
        <w:t>Among them</w:t>
      </w:r>
      <w:r w:rsidR="00566660">
        <w:t xml:space="preserve">, </w:t>
      </w:r>
      <w:r w:rsidR="00DC3BB2" w:rsidRPr="00DC3BB2">
        <w:rPr>
          <w:rFonts w:cs="Times"/>
          <w:szCs w:val="24"/>
        </w:rPr>
        <w:t>2-[2-(3-methyl-4-nitro-5-</w:t>
      </w:r>
      <w:proofErr w:type="gramStart"/>
      <w:r w:rsidR="00DC3BB2" w:rsidRPr="00DC3BB2">
        <w:rPr>
          <w:rFonts w:cs="Times"/>
          <w:szCs w:val="24"/>
        </w:rPr>
        <w:t>isoxazolyl)vinyl</w:t>
      </w:r>
      <w:proofErr w:type="gramEnd"/>
      <w:r w:rsidR="00DC3BB2" w:rsidRPr="00DC3BB2">
        <w:rPr>
          <w:rFonts w:cs="Times"/>
          <w:szCs w:val="24"/>
        </w:rPr>
        <w:t>]pyridine</w:t>
      </w:r>
      <w:r w:rsidR="00DC3BB2">
        <w:rPr>
          <w:rFonts w:cs="Times"/>
          <w:szCs w:val="24"/>
        </w:rPr>
        <w:t xml:space="preserve"> </w:t>
      </w:r>
      <w:r w:rsidR="00DC3BB2" w:rsidRPr="00174459">
        <w:rPr>
          <w:rFonts w:cs="Times"/>
          <w:szCs w:val="24"/>
        </w:rPr>
        <w:t>and</w:t>
      </w:r>
      <w:r w:rsidR="00DC3BB2" w:rsidRPr="00174459">
        <w:rPr>
          <w:rFonts w:cs="Times"/>
          <w:b/>
          <w:szCs w:val="24"/>
        </w:rPr>
        <w:t xml:space="preserve"> </w:t>
      </w:r>
      <w:r w:rsidR="00DC3BB2" w:rsidRPr="00DC3BB2">
        <w:rPr>
          <w:rFonts w:cs="Times"/>
          <w:szCs w:val="24"/>
        </w:rPr>
        <w:t>2-(</w:t>
      </w:r>
      <w:proofErr w:type="spellStart"/>
      <w:r w:rsidR="00DC3BB2" w:rsidRPr="00DC3BB2">
        <w:rPr>
          <w:rFonts w:cs="Times"/>
          <w:szCs w:val="24"/>
        </w:rPr>
        <w:t>benzylsulfonyl</w:t>
      </w:r>
      <w:proofErr w:type="spellEnd"/>
      <w:r w:rsidR="00DC3BB2" w:rsidRPr="00DC3BB2">
        <w:rPr>
          <w:rFonts w:cs="Times"/>
          <w:szCs w:val="24"/>
        </w:rPr>
        <w:t>)-1,3-benzothiazole</w:t>
      </w:r>
      <w:r w:rsidR="00D812D7">
        <w:t>,</w:t>
      </w:r>
      <w:r w:rsidR="00DC3BB2" w:rsidRPr="00195F51">
        <w:t xml:space="preserve"> </w:t>
      </w:r>
      <w:r w:rsidR="00472F14">
        <w:t xml:space="preserve">two compounds </w:t>
      </w:r>
      <w:r w:rsidR="00DC3BB2">
        <w:t>representing</w:t>
      </w:r>
      <w:r w:rsidR="00566660" w:rsidRPr="00566660">
        <w:t xml:space="preserve"> new chemical scaffolds, have activity </w:t>
      </w:r>
      <w:r w:rsidR="00566660">
        <w:t xml:space="preserve">against </w:t>
      </w:r>
      <w:proofErr w:type="spellStart"/>
      <w:r w:rsidR="00566660" w:rsidRPr="00566660">
        <w:t>schistosomula</w:t>
      </w:r>
      <w:proofErr w:type="spellEnd"/>
      <w:r w:rsidR="00566660" w:rsidRPr="00566660">
        <w:t xml:space="preserve"> and adult worms</w:t>
      </w:r>
      <w:r w:rsidR="00566660">
        <w:t xml:space="preserve"> at low </w:t>
      </w:r>
      <w:proofErr w:type="spellStart"/>
      <w:r w:rsidR="00566660">
        <w:t>micromolar</w:t>
      </w:r>
      <w:proofErr w:type="spellEnd"/>
      <w:r w:rsidR="00566660">
        <w:t xml:space="preserve"> concentrations</w:t>
      </w:r>
      <w:r w:rsidR="00566660" w:rsidRPr="00566660">
        <w:t xml:space="preserve"> and therefore</w:t>
      </w:r>
      <w:r w:rsidR="009D012A">
        <w:t>,</w:t>
      </w:r>
      <w:r w:rsidR="00566660" w:rsidRPr="00566660">
        <w:t xml:space="preserve"> represent promising </w:t>
      </w:r>
      <w:proofErr w:type="spellStart"/>
      <w:r w:rsidR="00566660" w:rsidRPr="00566660">
        <w:t>antischistosomal</w:t>
      </w:r>
      <w:proofErr w:type="spellEnd"/>
      <w:r w:rsidR="00566660" w:rsidRPr="00566660">
        <w:t xml:space="preserve"> hits for further </w:t>
      </w:r>
      <w:r w:rsidR="00422CDB">
        <w:t>hit-to-lead</w:t>
      </w:r>
      <w:r w:rsidR="00422CDB" w:rsidRPr="00566660">
        <w:t xml:space="preserve"> </w:t>
      </w:r>
      <w:r w:rsidR="00566660" w:rsidRPr="00566660">
        <w:t>optimization.</w:t>
      </w:r>
    </w:p>
    <w:p w14:paraId="3D609567" w14:textId="4F19A601" w:rsidR="00345897" w:rsidRDefault="00512DAA" w:rsidP="00C34073">
      <w:pPr>
        <w:pStyle w:val="BDAbstract"/>
        <w:rPr>
          <w:b/>
        </w:rPr>
      </w:pPr>
      <w:r w:rsidRPr="00BE6F7B">
        <w:rPr>
          <w:highlight w:val="yellow"/>
        </w:rPr>
        <w:t xml:space="preserve"> </w:t>
      </w:r>
    </w:p>
    <w:p w14:paraId="1EDAF9F4" w14:textId="77777777" w:rsidR="00BA4BFC" w:rsidRDefault="00BA4BFC" w:rsidP="00BA4BFC">
      <w:pPr>
        <w:pStyle w:val="BGKeywords"/>
      </w:pPr>
      <w:r w:rsidRPr="001D652C">
        <w:rPr>
          <w:b/>
        </w:rPr>
        <w:t>KEYWORDS:</w:t>
      </w:r>
      <w:r w:rsidRPr="001D652C">
        <w:t xml:space="preserve"> schistosomiasis, </w:t>
      </w:r>
      <w:proofErr w:type="spellStart"/>
      <w:r w:rsidRPr="001D652C">
        <w:t>thioredoxin</w:t>
      </w:r>
      <w:proofErr w:type="spellEnd"/>
      <w:r w:rsidRPr="001D652C">
        <w:t xml:space="preserve"> glutathione reductase, quantitative structure-activity relationships, </w:t>
      </w:r>
      <w:r>
        <w:t>computer-assisted drug design</w:t>
      </w:r>
      <w:r w:rsidRPr="001D652C">
        <w:t xml:space="preserve">, </w:t>
      </w:r>
      <w:r>
        <w:t>whole-organism phenotypic assay, high-content screening</w:t>
      </w:r>
      <w:r w:rsidRPr="001D652C">
        <w:t>.</w:t>
      </w:r>
    </w:p>
    <w:p w14:paraId="627EB66E" w14:textId="77777777" w:rsidR="00A66197" w:rsidRDefault="00A66197" w:rsidP="001D652C">
      <w:pPr>
        <w:pStyle w:val="BGKeywords"/>
        <w:spacing w:after="240"/>
      </w:pPr>
    </w:p>
    <w:p w14:paraId="67F12485" w14:textId="77777777" w:rsidR="00E6107A" w:rsidRDefault="00E6107A" w:rsidP="001D652C">
      <w:pPr>
        <w:pStyle w:val="BGKeywords"/>
        <w:spacing w:after="240"/>
      </w:pPr>
    </w:p>
    <w:p w14:paraId="26B25639" w14:textId="77777777" w:rsidR="004B5CBE" w:rsidRDefault="004B5CBE" w:rsidP="001D652C">
      <w:pPr>
        <w:pStyle w:val="BGKeywords"/>
        <w:spacing w:after="240"/>
      </w:pPr>
    </w:p>
    <w:p w14:paraId="7D0B27A5" w14:textId="77777777" w:rsidR="00AB34C5" w:rsidRPr="002F142C" w:rsidRDefault="00B12595" w:rsidP="00C34073">
      <w:pPr>
        <w:pStyle w:val="TAMainText"/>
        <w:spacing w:before="360" w:after="240"/>
        <w:ind w:firstLine="0"/>
        <w:outlineLvl w:val="0"/>
        <w:rPr>
          <w:b/>
          <w:bCs/>
        </w:rPr>
      </w:pPr>
      <w:r w:rsidRPr="002F142C">
        <w:rPr>
          <w:b/>
          <w:bCs/>
        </w:rPr>
        <w:lastRenderedPageBreak/>
        <w:t>INTRODUCTION</w:t>
      </w:r>
    </w:p>
    <w:p w14:paraId="2FFCDCD4" w14:textId="41F4BD73" w:rsidR="00BE605B" w:rsidRPr="0089425E" w:rsidRDefault="00BE605B" w:rsidP="002F142C">
      <w:pPr>
        <w:pStyle w:val="TAMainText"/>
      </w:pPr>
      <w:r w:rsidRPr="0089425E">
        <w:t>Schistosomiasis is a</w:t>
      </w:r>
      <w:r w:rsidR="00BB0BD1" w:rsidRPr="0089425E">
        <w:t xml:space="preserve"> </w:t>
      </w:r>
      <w:r w:rsidRPr="0089425E">
        <w:t xml:space="preserve">neglected tropical disease caused by flatworms of the genus </w:t>
      </w:r>
      <w:r w:rsidRPr="0089425E">
        <w:rPr>
          <w:i/>
        </w:rPr>
        <w:t>Schistosoma</w:t>
      </w:r>
      <w:r w:rsidR="002F1367" w:rsidRPr="0089425E">
        <w:t>.</w:t>
      </w:r>
      <w:r w:rsidR="008D6B84" w:rsidRPr="0089425E">
        <w:t xml:space="preserve"> </w:t>
      </w:r>
      <w:r w:rsidRPr="0089425E">
        <w:t>These worms cause a chronic and often debilitating infection that impairs development and productivity, and exposure to these worms is strongly linked to extreme poverty.</w:t>
      </w:r>
      <w:r w:rsidRPr="0089425E">
        <w:fldChar w:fldCharType="begin" w:fldLock="1"/>
      </w:r>
      <w:r w:rsidR="00BD74F5">
        <w:instrText>ADDIN CSL_CITATION { "citationItems" : [ { "id" : "ITEM-1", "itemData" : { "DOI" : "10.1016/S0140-6736(13)61949-2", "ISSN" : "01406736", "PMID" : "24698483", "abstract" : "Human schistosomiasis--or bilharzia--is a parasitic disease caused by trematode flukes of the genus Schistosoma. By conservative estimates, at least 230 million people worldwide are infected with Schistosoma spp. Adult schistosome worms colonise human blood vessels for years, successfully evading the immune system while excreting hundreds to thousands of eggs daily, which must either leave the body in excreta or become trapped in nearby tissues. Trapped eggs induce a distinct immune-mediated granulomatous response that causes local and systemic pathological effects ranging from anaemia, growth stunting, impaired cognition, and decreased physical fitness, to organ-specific effects such as severe hepatosplenism, periportal fibrosis with portal hypertension, and urogenital inflammation and scarring. At present, preventive public health measures in endemic regions consist of treatment once every 1 or 2 years with the isoquinolinone drug, praziquantel, to suppress morbidity. In some locations, elimination of transmission is now the goal; however, more sensitive diagnostics are needed in both the field and clinics, and integrated environmental and health-care management will be needed to ensure elimination.", "author" : [ { "dropping-particle" : "", "family" : "Colley", "given" : "Daniel G", "non-dropping-particle" : "", "parse-names" : false, "suffix" : "" }, { "dropping-particle" : "", "family" : "Bustinduy", "given" : "Amaya L", "non-dropping-particle" : "", "parse-names" : false, "suffix" : "" }, { "dropping-particle" : "", "family" : "Secor", "given" : "W Evan", "non-dropping-particle" : "", "parse-names" : false, "suffix" : "" }, { "dropping-particle" : "", "family" : "King", "given" : "Charles H", "non-dropping-particle" : "", "parse-names" : false, "suffix" : "" } ], "container-title" : "The Lancet", "id" : "ITEM-1", "issue" : "9936", "issued" : { "date-parts" : [ [ "2014" ] ] }, "page" : "2253-2264", "title" : "Human schistosomiasis", "type" : "article-journal", "volume" : "383" }, "uris" : [ "http://www.mendeley.com/documents/?uuid=04c93ca3-8897-4dd2-8211-c08703c0ce55", "http://www.mendeley.com/documents/?uuid=d76393b3-b70f-4f88-9bd6-01933edbd579" ] }, { "id" : "ITEM-2", "itemData" : { "DOI" : "10.1056/NEJMra012396", "ISSN" : "1533-4406", "PMID" : "11961151", "author" : [ { "dropping-particle" : "", "family" : "Ross", "given" : "Allen G P", "non-dropping-particle" : "", "parse-names" : false, "suffix" : "" }, { "dropping-particle" : "", "family" : "Bartley", "given" : "Paul B", "non-dropping-particle" : "", "parse-names" : false, "suffix" : "" }, { "dropping-particle" : "", "family" : "Sleigh", "given" : "Adrian C", "non-dropping-particle" : "", "parse-names" : false, "suffix" : "" }, { "dropping-particle" : "", "family" : "Olds", "given" : "G Richard", "non-dropping-particle" : "", "parse-names" : false, "suffix" : "" }, { "dropping-particle" : "", "family" : "Li", "given" : "Yuesheng", "non-dropping-particle" : "", "parse-names" : false, "suffix" : "" }, { "dropping-particle" : "", "family" : "Williams", "given" : "Gail M", "non-dropping-particle" : "", "parse-names" : false, "suffix" : "" }, { "dropping-particle" : "", "family" : "McManus", "given" : "Donald P", "non-dropping-particle" : "", "parse-names" : false, "suffix" : "" } ], "container-title" : "The New England journal of medicine", "id" : "ITEM-2", "issue" : "16", "issued" : { "date-parts" : [ [ "2002", "4", "18" ] ] }, "page" : "1212-1220", "title" : "Schistosomiasis.", "type" : "article-journal", "volume" : "346" }, "uris" : [ "http://www.mendeley.com/documents/?uuid=90cb2e21-ba73-41cb-8d15-edef280bcdcc", "http://www.mendeley.com/documents/?uuid=2abb9374-261e-41d5-a50e-dde95365f801" ] }, { "id" : "ITEM-3", "itemData" : { "DOI" : "10.1056/NEJMp0808041", "ISBN" : "1533-4406 (Electronic)\\n0028-4793 (Linking)", "ISSN" : "0028-4793", "PMID" : "19129524", "abstract" : "Schistosomiasis remains one of the world's most prevalent diseases. Despite more than a century of control efforts and the introduction of highly effective antischistosomal drug therapy in the 1980s, the disease just will not go away. More than 207 million of the world's poorest people are currently infected with schistosomiasis, which is often a decades-long, chronic inflammatory disorder that is associated with disabling anemia and undernutrition as well as poor performance in school and at work", "author" : [ { "dropping-particle" : "", "family" : "King", "given" : "Charles H", "non-dropping-particle" : "", "parse-names" : false, "suffix" : "" } ], "container-title" : "The New England journal of medicine", "id" : "ITEM-3", "issue" : "2", "issued" : { "date-parts" : [ [ "2009" ] ] }, "page" : "106-109", "title" : "Toward the elimination of schistosomiasis.", "type" : "article-journal", "volume" : "360" }, "uris" : [ "http://www.mendeley.com/documents/?uuid=c057fa76-9eed-456d-a646-7f41855be354", "http://www.mendeley.com/documents/?uuid=9df02e00-4f66-4658-b40f-ebcc298fb1c5" ] }, { "id" : "ITEM-4", "itemData" : { "DOI" : "10.1016/S0140-6736(06)69440-3", "ISBN" : "1474-547X (Electronic)\\n0140-6736 (Linking)", "ISSN" : "01406736", "PMID" : "16997665", "abstract" : "Schistosomiasis or bilharzia is a tropical disease caused by worms of the genus Schistosoma. The transmission cycle requires contamination of surface water by excreta, specific freshwater snails as intermediate hosts, and human water contact. The main disease-causing species are S haematobium, S mansoni, and S japonicum. According to WHO, 200 million people are infected worldwide, leading to the loss of 1??53 million disability-adjusted life years, although these figures need revision. Schistosomiasis is characterised by focal epidemiology and overdispersed population distribution, with higher infection rates in children than in adults. Complex immune mechanisms lead to the slow acquisition of immune resistance, though innate factors also play a part. Acute schistosomiasis, a feverish syndrome, is mostly seen in travellers after primary infection. Chronic schistosomal disease affects mainly individuals with long-standing infections in poor rural areas. Immunopathological reactions against schistosome eggs trapped in the tissues lead to inflammatory and obstructive disease in the urinary system (S haematobium) or intestinal disease, hepatosplenic inflammation, and liver fibrosis (S mansoni, S japonicum). The diagnostic standard is microscopic demonstration of eggs in the excreta. Praziquantel is the drug treatment of choice. Vaccines are not yet available. Great advances have been made in the control of the disease through population-based chemotherapy but these required political commitment and strong health systems. ?? 2006 Elsevier Ltd. All rights reserved.", "author" : [ { "dropping-particle" : "", "family" : "Gryseels", "given" : "Bruno", "non-dropping-particle" : "", "parse-names" : false, "suffix" : "" }, { "dropping-particle" : "", "family" : "Polman", "given" : "Katja", "non-dropping-particle" : "", "parse-names" : false, "suffix" : "" }, { "dropping-particle" : "", "family" : "Clerinx", "given" : "Jan", "non-dropping-particle" : "", "parse-names" : false, "suffix" : "" }, { "dropping-particle" : "", "family" : "Kestens", "given" : "Luc", "non-dropping-particle" : "", "parse-names" : false, "suffix" : "" } ], "container-title" : "The Lancet", "id" : "ITEM-4", "issue" : "9541", "issued" : { "date-parts" : [ [ "2006", "9", "23" ] ] }, "page" : "1106-1118", "title" : "Human schistosomiasis", "type" : "article-journal", "volume" : "368" }, "uris" : [ "http://www.mendeley.com/documents/?uuid=f1d43c60-172b-422a-ac53-04ca9faf0f63" ] } ], "mendeley" : { "formattedCitation" : "&lt;sup&gt;1\u20134&lt;/sup&gt;", "plainTextFormattedCitation" : "1\u20134", "previouslyFormattedCitation" : "&lt;sup&gt;1\u20134&lt;/sup&gt;" }, "properties" : { "noteIndex" : 0 }, "schema" : "https://github.com/citation-style-language/schema/raw/master/csl-citation.json" }</w:instrText>
      </w:r>
      <w:r w:rsidRPr="0089425E">
        <w:fldChar w:fldCharType="separate"/>
      </w:r>
      <w:r w:rsidR="00AC76A7" w:rsidRPr="00AC76A7">
        <w:rPr>
          <w:noProof/>
          <w:vertAlign w:val="superscript"/>
        </w:rPr>
        <w:t>1–4</w:t>
      </w:r>
      <w:r w:rsidRPr="0089425E">
        <w:fldChar w:fldCharType="end"/>
      </w:r>
      <w:r w:rsidRPr="0089425E">
        <w:t xml:space="preserve"> </w:t>
      </w:r>
      <w:bookmarkStart w:id="0" w:name="OLE_LINK1"/>
      <w:bookmarkStart w:id="1" w:name="OLE_LINK2"/>
      <w:bookmarkStart w:id="2" w:name="OLE_LINK3"/>
      <w:r w:rsidRPr="0089425E">
        <w:t>Recent e</w:t>
      </w:r>
      <w:r w:rsidR="008D6B84" w:rsidRPr="0089425E">
        <w:t xml:space="preserve">stimates of World Health Organization suggest that around </w:t>
      </w:r>
      <w:r w:rsidR="002F1367" w:rsidRPr="0089425E">
        <w:t>2</w:t>
      </w:r>
      <w:r w:rsidR="00817DFC">
        <w:t>58</w:t>
      </w:r>
      <w:r w:rsidR="002F1367" w:rsidRPr="0089425E">
        <w:t xml:space="preserve"> </w:t>
      </w:r>
      <w:r w:rsidRPr="0089425E">
        <w:t>million people are infected resulting up to 200,000 deaths annually</w:t>
      </w:r>
      <w:bookmarkEnd w:id="0"/>
      <w:bookmarkEnd w:id="1"/>
      <w:bookmarkEnd w:id="2"/>
      <w:r w:rsidRPr="0089425E">
        <w:t xml:space="preserve">. </w:t>
      </w:r>
      <w:r w:rsidR="008D6B84" w:rsidRPr="0089425E">
        <w:t>Currently, schistosomiasis</w:t>
      </w:r>
      <w:r w:rsidRPr="0089425E">
        <w:t xml:space="preserve"> is endemic in 78 countries worldwide, mainly in sub-Saharan Africa, the Middle East, the Caribbean, and South America, where infections are mediated through poor knowledge about the disease, poor sanitation, and lack of effective health policies.</w:t>
      </w:r>
      <w:r w:rsidRPr="0089425E">
        <w:fldChar w:fldCharType="begin" w:fldLock="1"/>
      </w:r>
      <w:r w:rsidR="00A439B6">
        <w:instrText>ADDIN CSL_CITATION { "citationItems" : [ { "id" : "ITEM-1", "itemData" : { "author" : [ { "dropping-particle" : "", "family" : "World Health Organization. Schistosomiasis. Available from: http://www.who.int/mediacentre/factsheets/fs115/en", "given" : "", "non-dropping-particle" : "", "parse-names" : false, "suffix" : "" } ], "id" : "ITEM-1", "issued" : { "date-parts" : [ [ "2015" ] ] }, "title" : "omiasis. Available from:", "type" : "article-journal" }, "uris" : [ "http://www.mendeley.com/documents/?uuid=bd192531-7b2a-4616-b864-8b4a35db2b37", "http://www.mendeley.com/documents/?uuid=5f7ca3bd-8f9a-4894-87c8-dea7c83c87cc", "http://www.mendeley.com/documents/?uuid=39a18a42-74c5-4698-b0a7-0daf49560f99" ] } ], "mendeley" : { "formattedCitation" : "&lt;sup&gt;5&lt;/sup&gt;", "plainTextFormattedCitation" : "5", "previouslyFormattedCitation" : "&lt;sup&gt;5&lt;/sup&gt;" }, "properties" : { "noteIndex" : 0 }, "schema" : "https://github.com/citation-style-language/schema/raw/master/csl-citation.json" }</w:instrText>
      </w:r>
      <w:r w:rsidRPr="0089425E">
        <w:fldChar w:fldCharType="separate"/>
      </w:r>
      <w:r w:rsidR="00AC76A7" w:rsidRPr="00AC76A7">
        <w:rPr>
          <w:noProof/>
          <w:vertAlign w:val="superscript"/>
        </w:rPr>
        <w:t>5</w:t>
      </w:r>
      <w:r w:rsidRPr="0089425E">
        <w:fldChar w:fldCharType="end"/>
      </w:r>
      <w:r w:rsidRPr="0089425E">
        <w:t xml:space="preserve"> </w:t>
      </w:r>
    </w:p>
    <w:p w14:paraId="12B07C79" w14:textId="43A1BEB6" w:rsidR="00013D73" w:rsidRDefault="00BE605B" w:rsidP="002F142C">
      <w:pPr>
        <w:pStyle w:val="TAMainText"/>
      </w:pPr>
      <w:r w:rsidRPr="0089425E">
        <w:t>In the absence of</w:t>
      </w:r>
      <w:r w:rsidR="00013D73" w:rsidRPr="0089425E">
        <w:t xml:space="preserve"> a</w:t>
      </w:r>
      <w:r w:rsidRPr="0089425E">
        <w:t xml:space="preserve"> vaccine, the control of schistosomiasis relies on a single drug, </w:t>
      </w:r>
      <w:proofErr w:type="spellStart"/>
      <w:r w:rsidRPr="0089425E">
        <w:t>praziquantel</w:t>
      </w:r>
      <w:proofErr w:type="spellEnd"/>
      <w:r w:rsidRPr="0089425E">
        <w:t xml:space="preserve"> (PZQ), which has been used in </w:t>
      </w:r>
      <w:r w:rsidR="004B5CBE" w:rsidRPr="004B5CBE">
        <w:t>clinical practice</w:t>
      </w:r>
      <w:r w:rsidRPr="0089425E">
        <w:t xml:space="preserve"> for almost four decades.</w:t>
      </w:r>
      <w:r w:rsidRPr="0089425E">
        <w:rPr>
          <w:lang w:eastAsia="zh-CN"/>
        </w:rPr>
        <w:fldChar w:fldCharType="begin" w:fldLock="1"/>
      </w:r>
      <w:r w:rsidR="00BD74F5">
        <w:rPr>
          <w:lang w:eastAsia="zh-CN"/>
        </w:rPr>
        <w:instrText>ADDIN CSL_CITATION { "citationItems" : [ { "id" : "ITEM-1", "itemData" : { "DOI" : "10.1007/BF00389899", "ISBN" : "0044-3255; 0044-3255", "ISSN" : "0044-3255", "PMID" : "410178", "abstract" : "Praziquantel, (2-cyclohexylcarbonyl)-1,2,3,6,7,11b-hexa-hydro-2H pyrazino[2,1a]isoquinolin-4-one, belongs to a new series of antischistosomal compounds. The results of a detailed study of the efficacy of praziquantel on Schistosoma mansoni in mice, Mastomys and Syrian hamsters are described. Praziquantel is effective after oral and all parenteral routes of administration tested. The amount of praziquantel required to achieve parasite reductions of at least 95% depends on the host species and on the routes and schedules of administration. Total doses range from 200--1,000 mg/kg in mice and from 100--500 mg/kg for Mastomys and hamsters. In all three species, splitting of the total dose into 3 or more fractional doses given within 1 day approximately doubles the efficacy over that achieved after a single oral administration of the same total dose. A single subcutaneous dose is only slightly more effective, whilst a single intramuscular injection in olive oil is about twice as effective as a single oral administration. Praziquantel is very effective against the invading stages and slightly less against schistosomules up to an age of 7 days. It is less effective against 2- to 4-week-old juveniles, but is effective again against 5-week-old and older schistosomes. Praziquantel is equally effective against both sexes of S. mansoni. It is less effective against unpaired and therefore juvenile female worms, but fully effective against single male worms. The efficacy of praziquantel on S. mansoni in mice is not influenced by the strain or the sex of the host, the worm burden or the age of the infection. Considering all data available, praziquantel promises to be a very potent antischistosomal drug.", "author" : [ { "dropping-particle" : "", "family" : "G\u00f6nnert", "given" : "R", "non-dropping-particle" : "", "parse-names" : false, "suffix" : "" }, { "dropping-particle" : "", "family" : "Andrews", "given" : "P", "non-dropping-particle" : "", "parse-names" : false, "suffix" : "" } ], "container-title" : "Zeitschrift fur Parasitenkunde (Berlin, Germany)", "id" : "ITEM-1", "issue" : "2", "issued" : { "date-parts" : [ [ "1977" ] ] }, "page" : "129-150", "title" : "Praziquantel, a new board-spectrum antischistosomal agent.", "type" : "article-journal", "volume" : "52" }, "uris" : [ "http://www.mendeley.com/documents/?uuid=34efcd15-9dd6-4a1c-a24e-08a96911e8af" ] } ], "mendeley" : { "formattedCitation" : "&lt;sup&gt;6&lt;/sup&gt;", "plainTextFormattedCitation" : "6", "previouslyFormattedCitation" : "&lt;sup&gt;6&lt;/sup&gt;" }, "properties" : { "noteIndex" : 0 }, "schema" : "https://github.com/citation-style-language/schema/raw/master/csl-citation.json" }</w:instrText>
      </w:r>
      <w:r w:rsidRPr="0089425E">
        <w:rPr>
          <w:lang w:eastAsia="zh-CN"/>
        </w:rPr>
        <w:fldChar w:fldCharType="separate"/>
      </w:r>
      <w:r w:rsidR="00AC76A7" w:rsidRPr="00AC76A7">
        <w:rPr>
          <w:noProof/>
          <w:vertAlign w:val="superscript"/>
          <w:lang w:eastAsia="zh-CN"/>
        </w:rPr>
        <w:t>6</w:t>
      </w:r>
      <w:r w:rsidRPr="0089425E">
        <w:rPr>
          <w:lang w:eastAsia="zh-CN"/>
        </w:rPr>
        <w:fldChar w:fldCharType="end"/>
      </w:r>
      <w:r w:rsidRPr="0089425E">
        <w:t xml:space="preserve">  </w:t>
      </w:r>
      <w:r w:rsidR="00013D73" w:rsidRPr="0089425E">
        <w:rPr>
          <w:rFonts w:ascii="Times New Roman" w:hAnsi="Times New Roman"/>
          <w:szCs w:val="24"/>
        </w:rPr>
        <w:t>However, because of high incidence of reinfection,</w:t>
      </w:r>
      <w:r w:rsidR="00CD0620">
        <w:rPr>
          <w:rFonts w:ascii="Times New Roman" w:hAnsi="Times New Roman"/>
          <w:szCs w:val="24"/>
        </w:rPr>
        <w:t xml:space="preserve"> </w:t>
      </w:r>
      <w:r w:rsidR="00CD0620" w:rsidRPr="0089425E">
        <w:rPr>
          <w:rFonts w:ascii="Times New Roman" w:hAnsi="Times New Roman"/>
          <w:szCs w:val="24"/>
        </w:rPr>
        <w:t xml:space="preserve">the </w:t>
      </w:r>
      <w:r w:rsidR="00CD0620">
        <w:t>widespread</w:t>
      </w:r>
      <w:r w:rsidR="00CD0620" w:rsidRPr="0089425E">
        <w:rPr>
          <w:rFonts w:ascii="Times New Roman" w:hAnsi="Times New Roman"/>
          <w:szCs w:val="24"/>
        </w:rPr>
        <w:t xml:space="preserve"> and repeated use of this drug in endem</w:t>
      </w:r>
      <w:r w:rsidR="00CD0620">
        <w:rPr>
          <w:rFonts w:ascii="Times New Roman" w:hAnsi="Times New Roman"/>
          <w:szCs w:val="24"/>
        </w:rPr>
        <w:t>ic areas</w:t>
      </w:r>
      <w:r w:rsidR="00013D73" w:rsidRPr="0089425E">
        <w:rPr>
          <w:rFonts w:ascii="Times New Roman" w:hAnsi="Times New Roman"/>
          <w:szCs w:val="24"/>
        </w:rPr>
        <w:t xml:space="preserve"> </w:t>
      </w:r>
      <w:r w:rsidR="00DF32D0" w:rsidRPr="0089425E">
        <w:rPr>
          <w:rFonts w:ascii="Times New Roman" w:hAnsi="Times New Roman"/>
          <w:szCs w:val="24"/>
        </w:rPr>
        <w:t xml:space="preserve">raises </w:t>
      </w:r>
      <w:r w:rsidR="00013D73" w:rsidRPr="0089425E">
        <w:rPr>
          <w:rFonts w:ascii="Times New Roman" w:hAnsi="Times New Roman"/>
          <w:szCs w:val="24"/>
        </w:rPr>
        <w:t xml:space="preserve">concerns about the development of </w:t>
      </w:r>
      <w:r w:rsidR="00DD31B1">
        <w:rPr>
          <w:rFonts w:ascii="Times New Roman" w:hAnsi="Times New Roman"/>
          <w:szCs w:val="24"/>
        </w:rPr>
        <w:t xml:space="preserve">drug </w:t>
      </w:r>
      <w:r w:rsidR="00013D73" w:rsidRPr="0089425E">
        <w:rPr>
          <w:rFonts w:ascii="Times New Roman" w:hAnsi="Times New Roman"/>
          <w:szCs w:val="24"/>
        </w:rPr>
        <w:t>resistance</w:t>
      </w:r>
      <w:r w:rsidR="00DD31B1">
        <w:rPr>
          <w:rFonts w:ascii="Times New Roman" w:hAnsi="Times New Roman"/>
          <w:szCs w:val="24"/>
        </w:rPr>
        <w:t xml:space="preserve"> by the parasite</w:t>
      </w:r>
      <w:r w:rsidR="00013D73" w:rsidRPr="0089425E">
        <w:rPr>
          <w:rFonts w:ascii="Times New Roman" w:hAnsi="Times New Roman"/>
          <w:szCs w:val="24"/>
        </w:rPr>
        <w:t>.</w:t>
      </w:r>
      <w:r w:rsidR="00013D73" w:rsidRPr="0089425E">
        <w:rPr>
          <w:lang w:eastAsia="zh-CN"/>
        </w:rPr>
        <w:fldChar w:fldCharType="begin" w:fldLock="1"/>
      </w:r>
      <w:r w:rsidR="00BD74F5">
        <w:rPr>
          <w:lang w:eastAsia="zh-CN"/>
        </w:rPr>
        <w:instrText>ADDIN CSL_CITATION { "citationItems" : [ { "id" : "ITEM-1", "itemData" : { "ISSN" : "0002-9637", "PMID" : "8780463", "abstract" : "To determine if resistance/tolerance to the antischistosomal drug praziquantel (PZQ) is appearing in Egyptian villages within the Nile delta region, where it has been used extensively, we treated 1,607 infected villagers and observed that 321 required one additional treatment while 89 villagers required two additional treatments; 24 of the 89 were still not cured after a third dose of this drug. Eggs were isolated from fecal samples and serum was isolated from blood taken from seven villagers successfully treated after a single dose and from 14 villagers not successfully treated after two or three doses of PZQ. The eggs were used to establish infections in mice (isolates), which were then treated six weeks after infection with three different doses of PZQ. Serum was used to determine the concentration of PZQ in the infected humans. Three of the egg isolates from the 14 villagers that could not be treated with three doses of PZQ produced infections in mice that were statistically less responsive to PZQ when compared with isolates obtained from patients that were cured after a single dose of this drug. Pharmacokinetic parameters were the same in patients treated successfully after a single dose versus those not treated successfully following two or three doses, thus eliminating the possibility that poor cure rates among infected villagers was due to a decrease in PZQ bioavailability. From our data, approximately 1-2.4% of the villagers treated with PZQ could not be completely cured of their infection and three of every 1,000 treated villagers may harbor parasites that can tolerate high doses of PZQ. These results indicate that the extensive use of PZQ in the Nile delta region of Egypt has not resulted in a dramatic change in the efficacy of this drug. The isolation of schistosomes that are less susceptible to PZQ may be a warning signal that will require establishment of a monitoring system, similar to the one we have developed, to determine if the percentage of patients that cannot be cured by PZQ is increasing. Furthermore, if that percentage begins to increase over time, it will be critical to determine, by pharmacologic methods reported in this study, whether isolates obtained from uncured patients are becoming increasingly resistant to PZQ.", "author" : [ { "dropping-particle" : "", "family" : "Ismail", "given" : "M", "non-dropping-particle" : "", "parse-names" : false, "suffix" : "" }, { "dropping-particle" : "", "family" : "Metwally", "given" : "A", "non-dropping-particle" : "", "parse-names" : false, "suffix" : "" }, { "dropping-particle" : "", "family" : "Farghaly", "given" : "A", "non-dropping-particle" : "", "parse-names" : false, "suffix" : "" }, { "dropping-particle" : "", "family" : "Bruce", "given" : "J", "non-dropping-particle" : "", "parse-names" : false, "suffix" : "" }, { "dropping-particle" : "", "family" : "Tao", "given" : "L F", "non-dropping-particle" : "", "parse-names" : false, "suffix" : "" }, { "dropping-particle" : "", "family" : "Bennett", "given" : "J L", "non-dropping-particle" : "", "parse-names" : false, "suffix" : "" } ], "container-title" : "The American Journal of Tropical Medicine and Hygiene", "id" : "ITEM-1", "issue" : "2", "issued" : { "date-parts" : [ [ "1996", "8" ] ] }, "page" : "214-218", "title" : "Characterization of isolates of Schistosoma mansoni from Egyptian villagers that tolerate high doses of praziquantel.", "type" : "article-journal", "volume" : "55" }, "uris" : [ "http://www.mendeley.com/documents/?uuid=11b9fb68-17d6-4a9c-a280-d3edfb2ed1e6" ] }, { "id" : "ITEM-2", "itemData" : { "DOI" : "10.1371/journal.pntd.0000504", "ISSN" : "1935-2735", "PMID" : "19688043", "abstract" : "BACKGROUND: The near exclusive use of praziquantel (PZQ) for treatment of human schistosomiasis has raised concerns about the possible emergence of drug-resistant schistosomes. METHODOLOGY/PRINCIPAL FINDINGS: We measured susceptibility to PZQ of isolates of Schistosoma mansoni obtained from patients from Kisumu, Kenya continuously exposed to infection as a consequence of their occupations as car washers or sand harvesters. We used a) an in vitro assay with miracidia, b) an in vivo assay targeting adult worms in mice and c) an in vitro assay targeting adult schistosomes perfused from mice. In the miracidia assay, in which miracidia from human patients were exposed to PZQ in vitro, reduced susceptibility was associated with previous treatment of the patient with PZQ. One isolate (\"KCW\") that was less susceptible to PZQ and had been derived from a patient who had never fully cured despite multiple treatments was studied further. In an in vivo assay of adult worms, the KCW isolate was significantly less susceptible to PZQ than two other isolates from natural infections in Kenya and two lab-reared strains of S. mansoni. The in vitro adult assay, based on measuring length changes of adults following exposure to and recovery from PZQ, confirmed that the KCW isolate was less susceptible to PZQ than the other isolates tested. A sub-isolate of KCW maintained separately and tested after three years was susceptible to PZQ, indicative that the trait of reduced sensitivity could be lost if selection was not maintained. CONCLUSIONS/SIGNIFICANCE: Isolates of S. mansoni from some patients in Kisumu have lower susceptibility to PZQ, including one from a patient who was never fully cured after repeated rounds of treatment administered over several years. As use of PZQ continues, continued selection for worms with diminished susceptibility is possible, and the probability of emergence of resistance will increase as large reservoirs of untreated worms diminish. The potential for rapid emergence of resistance should be an important consideration of treatment programs.", "author" : [ { "dropping-particle" : "", "family" : "Melman", "given" : "Sandra D", "non-dropping-particle" : "", "parse-names" : false, "suffix" : "" }, { "dropping-particle" : "", "family" : "Steinauer", "given" : "Michelle L", "non-dropping-particle" : "", "parse-names" : false, "suffix" : "" }, { "dropping-particle" : "", "family" : "Cunningham", "given" : "Charles", "non-dropping-particle" : "", "parse-names" : false, "suffix" : "" }, { "dropping-particle" : "", "family" : "Kubatko", "given" : "Laura S", "non-dropping-particle" : "", "parse-names" : false, "suffix" : "" }, { "dropping-particle" : "", "family" : "Mwangi", "given" : "Ibrahim N", "non-dropping-particle" : "", "parse-names" : false, "suffix" : "" }, { "dropping-particle" : "", "family" : "Wynn", "given" : "Nirvana Barker", "non-dropping-particle" : "", "parse-names" : false, "suffix" : "" }, { "dropping-particle" : "", "family" : "Mutuku", "given" : "Martin W", "non-dropping-particle" : "", "parse-names" : false, "suffix" : "" }, { "dropping-particle" : "", "family" : "Karanja", "given" : "Diana M S", "non-dropping-particle" : "", "parse-names" : false, "suffix" : "" }, { "dropping-particle" : "", "family" : "Colley", "given" : "Daniel G", "non-dropping-particle" : "", "parse-names" : false, "suffix" : "" }, { "dropping-particle" : "", "family" : "Black", "given" : "Carla L", "non-dropping-particle" : "", "parse-names" : false, "suffix" : "" }, { "dropping-particle" : "", "family" : "Secor", "given" : "William Evan", "non-dropping-particle" : "", "parse-names" : false, "suffix" : "" }, { "dropping-particle" : "", "family" : "Mkoji", "given" : "Gerald M", "non-dropping-particle" : "", "parse-names" : false, "suffix" : "" }, { "dropping-particle" : "", "family" : "Loker", "given" : "Eric S", "non-dropping-particle" : "", "parse-names" : false, "suffix" : "" } ], "container-title" : "PLoS Neglected Tropical Diseases", "id" : "ITEM-2", "issue" : "8", "issued" : { "date-parts" : [ [ "2009", "1" ] ] }, "page" : "e504", "title" : "Reduced susceptibility to praziquantel among naturally occurring Kenyan isolates of Schistosoma mansoni.", "type" : "article-journal", "volume" : "3" }, "uris" : [ "http://www.mendeley.com/documents/?uuid=2f5544a8-e408-4db6-9e40-9e7716d8644c" ] }, { "id" : "ITEM-3", "itemData" : { "ISSN" : "0002-9637", "PMID" : "7625534", "abstract" : "There is a recent report of low efficacy of praziquantel (PZQ) treatment of human schistosomiasis in a new Schistosoma mansoni focus in northern Senegal. Biomphalaria pfeifferi snails with patent infections were collected from the area of the focus and transported to the United Kingdom. Groups of mice were infected with cercariae from this Senegalese isolate, or with laboratory-maintained Kenyan or Puerto Rican isolates. In two separate experiments, PZQ was less effective against the parasite from Senegal than against the two other geographic isolates. The reduced susceptibility of S. mansoni to PZQ in infected human populations has important implications for current schistosomiasis control programs.", "author" : [ { "dropping-particle" : "", "family" : "Fallon", "given" : "P G", "non-dropping-particle" : "", "parse-names" : false, "suffix" : "" }, { "dropping-particle" : "", "family" : "Sturrock", "given" : "R F", "non-dropping-particle" : "", "parse-names" : false, "suffix" : "" }, { "dropping-particle" : "", "family" : "Niang", "given" : "A C", "non-dropping-particle" : "", "parse-names" : false, "suffix" : "" }, { "dropping-particle" : "", "family" : "Doenhoff", "given" : "M J", "non-dropping-particle" : "", "parse-names" : false, "suffix" : "" } ], "container-title" : "The American Journal of Tropical Medicine and Hygiene", "id" : "ITEM-3", "issue" : "1", "issued" : { "date-parts" : [ [ "1995", "7" ] ] }, "page" : "61-62", "title" : "Short report: diminished susceptibility to praziquantel in a Senegal isolate of Schistosoma mansoni.", "type" : "article-journal", "volume" : "53" }, "uris" : [ "http://www.mendeley.com/documents/?uuid=9965fad7-c812-4fc3-a7d5-cee069da4f20", "http://www.mendeley.com/documents/?uuid=85096b0f-12bb-4788-82ac-7ab39e47f355" ] }, { "id" : "ITEM-4", "itemData" : { "DOI" : "10.1016/j.pt.2003.11.010", "ISSN" : "14714922", "author" : [ { "dropping-particle" : "", "family" : "Hagan", "given" : "Paul", "non-dropping-particle" : "", "parse-names" : false, "suffix" : "" }, { "dropping-particle" : "", "family" : "Appleton", "given" : "Christopher C.", "non-dropping-particle" : "", "parse-names" : false, "suffix" : "" }, { "dropping-particle" : "", "family" : "Coles", "given" : "Gerald C.", "non-dropping-particle" : "", "parse-names" : false, "suffix" : "" }, { "dropping-particle" : "", "family" : "Kusel", "given" : "John R.", "non-dropping-particle" : "", "parse-names" : false, "suffix" : "" }, { "dropping-particle" : "", "family" : "Tchuem-Tchuent\u00e9", "given" : "Louis-Albert", "non-dropping-particle" : "", "parse-names" : false, "suffix" : "" } ], "container-title" : "Trends in parasitology", "id" : "ITEM-4", "issue" : "2", "issued" : { "date-parts" : [ [ "2004", "2" ] ] }, "page" : "92-97", "title" : "Schistosomiasis control: keep taking the tablets", "type" : "article-journal", "volume" : "20" }, "uris" : [ "http://www.mendeley.com/documents/?uuid=71acaa2e-637f-410b-8372-7c9af8630342", "http://www.mendeley.com/documents/?uuid=871fbf3a-0dfa-4e38-96a9-1b28dfb4251c", "http://www.mendeley.com/documents/?uuid=934119d7-d72b-4398-934b-ae85724052c6", "http://www.mendeley.com/documents/?uuid=19c2d15e-c220-4ddc-99e8-968851c8e17e" ] }, { "id" : "ITEM-5", "itemData" : { "DOI" : "10.1038/nm0408-365", "ISSN" : "1546-170X", "PMID" : "18391931", "author" : [ { "dropping-particle" : "", "family" : "Loukas", "given" : "Alex", "non-dropping-particle" : "", "parse-names" : false, "suffix" : "" }, { "dropping-particle" : "", "family" : "Bethony", "given" : "Jeffrey M", "non-dropping-particle" : "", "parse-names" : false, "suffix" : "" } ], "container-title" : "Nature medicine", "id" : "ITEM-5", "issue" : "4", "issued" : { "date-parts" : [ [ "2008", "4" ] ] }, "page" : "365-7", "title" : "New drugs for an ancient parasite.", "type" : "article-journal", "volume" : "14" }, "uris" : [ "http://www.mendeley.com/documents/?uuid=da80db61-01f3-4252-8df4-48eaa4a62446", "http://www.mendeley.com/documents/?uuid=742ef9d3-0263-4255-a802-052b237c4df3", "http://www.mendeley.com/documents/?uuid=567cad4c-7d52-4993-964f-3dfa802206e8", "http://www.mendeley.com/documents/?uuid=39ea5087-0a43-44bc-82f1-2370bf006748" ] } ], "mendeley" : { "formattedCitation" : "&lt;sup&gt;7\u201311&lt;/sup&gt;", "plainTextFormattedCitation" : "7\u201311", "previouslyFormattedCitation" : "&lt;sup&gt;7\u201311&lt;/sup&gt;" }, "properties" : { "noteIndex" : 0 }, "schema" : "https://github.com/citation-style-language/schema/raw/master/csl-citation.json" }</w:instrText>
      </w:r>
      <w:r w:rsidR="00013D73" w:rsidRPr="0089425E">
        <w:rPr>
          <w:lang w:eastAsia="zh-CN"/>
        </w:rPr>
        <w:fldChar w:fldCharType="separate"/>
      </w:r>
      <w:r w:rsidR="00AC76A7" w:rsidRPr="00AC76A7">
        <w:rPr>
          <w:noProof/>
          <w:vertAlign w:val="superscript"/>
          <w:lang w:eastAsia="zh-CN"/>
        </w:rPr>
        <w:t>7–11</w:t>
      </w:r>
      <w:r w:rsidR="00013D73" w:rsidRPr="0089425E">
        <w:rPr>
          <w:lang w:eastAsia="zh-CN"/>
        </w:rPr>
        <w:fldChar w:fldCharType="end"/>
      </w:r>
      <w:r w:rsidR="00013D73" w:rsidRPr="0089425E">
        <w:rPr>
          <w:rFonts w:ascii="Times New Roman" w:hAnsi="Times New Roman"/>
          <w:szCs w:val="24"/>
        </w:rPr>
        <w:t xml:space="preserve"> This problem is further emphasized by the known lack of efficacy of PZQ against juvenile worms,</w:t>
      </w:r>
      <w:r w:rsidR="00013D73" w:rsidRPr="0089425E">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"10.1007/s00436-012-3151-z", "ISSN" : "1432-1955", "PMID" : "23052781", "abstract" : "Since praziquantel was developed in 1970s, it has replaced other antischistosomal drugs to become the only drug of choice for treatment of human schistosomiases, due to high efficacy, excellent tolerability, few and transient side effects, simple administration, and competitive cost. Praziquantel-based chemotherapy has been involved in the global control strategy of the disease and led to the control strategy shifting from disease control to morbidity control, which has greatly reduced the prevalence and intensity of infections. Given that the drug has been widely used for morbidity control in endemic areas for more than three decades, the emergence of resistance of Schistosoma to praziquantel under drug selection pressure has been paid much attention. It is possible to induce resistance of Schistosoma mansoni and Schistosoma japonicum to praziquantel in mice under laboratorial conditions, and a reduced susceptibility to praziquantel in the field isolates of S. mansoni has been found in many foci. In addition, there are several schistosomiasis cases caused by Schistosoma haematobium infections in which repeated standard treatment fails to clear the infection. However, in the absence of exact mechanisms of action of praziquantel, the mechanisms of drug resistance in schistosomes remain unclear. The present review mainly demonstrates the evidence of drug resistance in the laboratory and field and the mechanism of praziquantel resistance and proposes some strategies for control of praziquantel resistance in schistosomes.", "author" : [ { "dropping-particle" : "", "family" : "Wang", "given" : "Wei", "non-dropping-particle" : "", "parse-names" : false, "suffix" : "" }, { "dropping-particle" : "", "family" : "Wang", "given" : "Li", "non-dropping-particle" : "", "parse-names" : false, "suffix" : "" }, { "dropping-particle" : "", "family" : "Liang", "given" : "You-sheng", "non-dropping-particle" : "", "parse-names" : false, "suffix" : "" } ], "container-title" : "Parasitology research", "id" : "ITEM-1", "issue" : "5", "issued" : { "date-parts" : [ [ "2012", "11" ] ] }, "page" : "1871-7", "title" : "Susceptibility or resistance of praziquantel in human schistosomiasis: a review.", "type" : "article-journal", "volume" : "111" }, "uris" : [ "http://www.mendeley.com/documents/?uuid=834c608e-836b-4f01-bfde-1fa63fc056e4" ] } ], "mendeley" : { "formattedCitation" : "&lt;sup&gt;12&lt;/sup&gt;", "plainTextFormattedCitation" : "12", "previouslyFormattedCitation" : "&lt;sup&gt;12&lt;/sup&gt;" }, "properties" : { "noteIndex" : 0 }, "schema" : "https://github.com/citation-style-language/schema/raw/master/csl-citation.json" }</w:instrText>
      </w:r>
      <w:r w:rsidR="00013D73" w:rsidRPr="0089425E">
        <w:rPr>
          <w:rFonts w:ascii="Times New Roman" w:hAnsi="Times New Roman"/>
          <w:szCs w:val="24"/>
        </w:rPr>
        <w:fldChar w:fldCharType="separate"/>
      </w:r>
      <w:r w:rsidR="00AC76A7" w:rsidRPr="00AC76A7">
        <w:rPr>
          <w:rFonts w:ascii="Times New Roman" w:hAnsi="Times New Roman"/>
          <w:noProof/>
          <w:szCs w:val="24"/>
          <w:vertAlign w:val="superscript"/>
        </w:rPr>
        <w:t>12</w:t>
      </w:r>
      <w:r w:rsidR="00013D73" w:rsidRPr="0089425E">
        <w:rPr>
          <w:rFonts w:ascii="Times New Roman" w:hAnsi="Times New Roman"/>
          <w:szCs w:val="24"/>
        </w:rPr>
        <w:fldChar w:fldCharType="end"/>
      </w:r>
      <w:r w:rsidR="00013D73" w:rsidRPr="0089425E">
        <w:rPr>
          <w:rFonts w:ascii="Times New Roman" w:hAnsi="Times New Roman"/>
          <w:szCs w:val="24"/>
        </w:rPr>
        <w:t xml:space="preserve"> which is a potential cause of treatment failure in endemic areas.</w:t>
      </w:r>
      <w:r w:rsidR="002F142C" w:rsidRPr="0089425E">
        <w:rPr>
          <w:rFonts w:ascii="Times New Roman" w:hAnsi="Times New Roman"/>
          <w:szCs w:val="24"/>
        </w:rPr>
        <w:t xml:space="preserve"> </w:t>
      </w:r>
      <w:r w:rsidR="002F142C" w:rsidRPr="0089425E">
        <w:t xml:space="preserve">Hence, there is an urgent need for new </w:t>
      </w:r>
      <w:r w:rsidR="00CD0620">
        <w:t>anti-</w:t>
      </w:r>
      <w:proofErr w:type="spellStart"/>
      <w:r w:rsidR="002F142C" w:rsidRPr="0089425E">
        <w:t>schistosomal</w:t>
      </w:r>
      <w:proofErr w:type="spellEnd"/>
      <w:r w:rsidR="002F142C" w:rsidRPr="0089425E">
        <w:t xml:space="preserve"> drugs with </w:t>
      </w:r>
      <w:r w:rsidR="00DF32D0" w:rsidRPr="0089425E">
        <w:t>novel</w:t>
      </w:r>
      <w:r w:rsidR="00DF32D0" w:rsidRPr="005044E7">
        <w:t xml:space="preserve"> </w:t>
      </w:r>
      <w:r w:rsidR="002F142C" w:rsidRPr="005044E7">
        <w:t>mechanisms of action.</w:t>
      </w:r>
    </w:p>
    <w:p w14:paraId="17A3DE10" w14:textId="16AD2925" w:rsidR="002F142C" w:rsidRDefault="000F0495" w:rsidP="002F142C">
      <w:pPr>
        <w:pStyle w:val="TAMainText"/>
      </w:pPr>
      <w:r w:rsidRPr="00783721">
        <w:t xml:space="preserve">The complete genome sequencing </w:t>
      </w:r>
      <w:r w:rsidRPr="00A9331D">
        <w:rPr>
          <w:rFonts w:ascii="Times New Roman" w:hAnsi="Times New Roman"/>
          <w:szCs w:val="24"/>
        </w:rPr>
        <w:t xml:space="preserve">of </w:t>
      </w:r>
      <w:r w:rsidRPr="00A9331D">
        <w:rPr>
          <w:rFonts w:ascii="Times New Roman" w:hAnsi="Times New Roman"/>
          <w:i/>
          <w:szCs w:val="24"/>
        </w:rPr>
        <w:t>S. mansoni</w:t>
      </w:r>
      <w:r w:rsidRPr="000F0495">
        <w:rPr>
          <w:rFonts w:ascii="Times New Roman" w:hAnsi="Times New Roman"/>
          <w:szCs w:val="24"/>
        </w:rPr>
        <w:t>,</w:t>
      </w:r>
      <w:r w:rsidRPr="00783721">
        <w:fldChar w:fldCharType="begin" w:fldLock="1"/>
      </w:r>
      <w:r w:rsidR="00BD74F5">
        <w:instrText>ADDIN CSL_CITATION { "citationItems" : [ { "id" : "ITEM-1", "itemData" : { "DOI" : "10.1038/nature08160", "ISSN" : "1476-4687", "PMID" : "19606141", "abstract" : "Schistosoma mansoni is responsible for the neglected tropical disease schistosomiasis that affects 210 million people in 76 countries. Here we present analysis of the 363 megabase nuclear genome of the blood fluke. It encodes at least 11,809 genes, with an unusual intron size distribution, and new families of micro-exon genes that undergo frequent alternative splicing. As the first sequenced flatworm, and a representative of the Lophotrochozoa, it offers insights into early events in the evolution of the animals, including the development of a body pattern with bilateral symmetry, and the development of tissues into organs. Our analysis has been informed by the need to find new drug targets. The deficits in lipid metabolism that make schistosomes dependent on the host are revealed, and the identification of membrane receptors, ion channels and more than 300 proteases provide new insights into the biology of the life cycle and new targets. Bioinformatics approaches have identified metabolic chokepoints, and a chemogenomic screen has pinpointed schistosome proteins for which existing drugs may be active. The information generated provides an invaluable resource for the research community to develop much needed new control tools for the treatment and eradication of this important and neglected disease.", "author" : [ { "dropping-particle" : "", "family" : "Berriman", "given" : "Matthew", "non-dropping-particle" : "", "parse-names" : false, "suffix" : "" }, { "dropping-particle" : "", "family" : "Haas", "given" : "Brian J", "non-dropping-particle" : "", "parse-names" : false, "suffix" : "" }, { "dropping-particle" : "", "family" : "LoVerde", "given" : "Philip T", "non-dropping-particle" : "", "parse-names" : false, "suffix" : "" }, { "dropping-particle" : "", "family" : "Wilson", "given" : "R Alan", "non-dropping-particle" : "", "parse-names" : false, "suffix" : "" }, { "dropping-particle" : "", "family" : "Dillon", "given" : "Gary P", "non-dropping-particle" : "", "parse-names" : false, "suffix" : "" }, { "dropping-particle" : "", "family" : "Cerqueira", "given" : "Gustavo C", "non-dropping-particle" : "", "parse-names" : false, "suffix" : "" }, { "dropping-particle" : "", "family" : "Mashiyama", "given" : "Susan T", "non-dropping-particle" : "", "parse-names" : false, "suffix" : "" }, { "dropping-particle" : "", "family" : "Al-Lazikani", "given" : "Bissan", "non-dropping-particle" : "", "parse-names" : false, "suffix" : "" }, { "dropping-particle" : "", "family" : "Andrade", "given" : "Luiza F", "non-dropping-particle" : "", "parse-names" : false, "suffix" : "" }, { "dropping-particle" : "", "family" : "Ashton", "given" : "Peter D", "non-dropping-particle" : "", "parse-names" : false, "suffix" : "" }, { "dropping-particle" : "", "family" : "Aslett", "given" : "Martin a", "non-dropping-particle" : "", "parse-names" : false, "suffix" : "" }, { "dropping-particle" : "", "family" : "Bartholomeu", "given" : "Daniella C", "non-dropping-particle" : "", "parse-names" : false, "suffix" : "" }, { "dropping-particle" : "", "family" : "Blandin", "given" : "Gaelle", "non-dropping-particle" : "", "parse-names" : false, "suffix" : "" }, { "dropping-particle" : "", "family" : "Caffrey", "given" : "Conor R", "non-dropping-particle" : "", "parse-names" : false, "suffix" : "" }, { "dropping-particle" : "", "family" : "Coghlan", "given" : "Avril", "non-dropping-particle" : "", "parse-names" : false, "suffix" : "" }, { "dropping-particle" : "", "family" : "Coulson", "given" : "Richard", "non-dropping-particle" : "", "parse-names" : false, "suffix" : "" }, { "dropping-particle" : "", "family" : "Day", "given" : "Tim a", "non-dropping-particle" : "", "parse-names" : false, "suffix" : "" }, { "dropping-particle" : "", "family" : "Delcher", "given" : "Art", "non-dropping-particle" : "", "parse-names" : false, "suffix" : "" }, { "dropping-particle" : "", "family" : "DeMarco", "given" : "Ricardo", "non-dropping-particle" : "", "parse-names" : false, "suffix" : "" }, { "dropping-particle" : "", "family" : "Djikeng", "given" : "Appolinaire", "non-dropping-particle" : "", "parse-names" : false, "suffix" : "" }, { "dropping-particle" : "", "family" : "Eyre", "given" : "Tina", "non-dropping-particle" : "", "parse-names" : false, "suffix" : "" }, { "dropping-particle" : "", "family" : "Gamble", "given" : "John a", "non-dropping-particle" : "", "parse-names" : false, "suffix" : "" }, { "dropping-particle" : "", "family" : "Ghedin", "given" : "Elodie", "non-dropping-particle" : "", "parse-names" : false, "suffix" : "" }, { "dropping-particle" : "", "family" : "Gu", "given" : "Yong", "non-dropping-particle" : "", "parse-names" : false, "suffix" : "" }, { "dropping-particle" : "", "family" : "Hertz-Fowler", "given" : "Christiane", "non-dropping-particle" : "", "parse-names" : false, "suffix" : "" }, { "dropping-particle" : "", "family" : "Hirai", "given" : "Hirohisha", "non-dropping-particle" : "", "parse-names" : false, "suffix" : "" }, { "dropping-particle" : "", "family" : "Hirai", "given" : "Yuriko", "non-dropping-particle" : "", "parse-names" : false, "suffix" : "" }, { "dropping-particle" : "", "family" : "Houston", "given" : "Robin", "non-dropping-particle" : "", "parse-names" : false, "suffix" : "" }, { "dropping-particle" : "", "family" : "Ivens", "given" : "Alasdair", "non-dropping-particle" : "", "parse-names" : false, "suffix" : "" }, { "dropping-particle" : "", "family" : "Johnston", "given" : "David a", "non-dropping-particle" : "", "parse-names" : false, "suffix" : "" }, { "dropping-particle" : "", "family" : "Lacerda", "given" : "Daniela", "non-dropping-particle" : "", "parse-names" : false, "suffix" : "" }, { "dropping-particle" : "", "family" : "Macedo", "given" : "Camila D", "non-dropping-particle" : "", "parse-names" : false, "suffix" : "" }, { "dropping-particle" : "", "family" : "McVeigh", "given" : "Paul", "non-dropping-particle" : "", "parse-names" : false, "suffix" : "" }, { "dropping-particle" : "", "family" : "Ning", "given" : "Zemin", "non-dropping-particle" : "", "parse-names" : false, "suffix" : "" }, { "dropping-particle" : "", "family" : "Oliveira", "given" : "Guilherme", "non-dropping-particle" : "", "parse-names" : false, "suffix" : "" }, { "dropping-particle" : "", "family" : "Overington", "given" : "John P", "non-dropping-particle" : "", "parse-names" : false, "suffix" : "" }, { "dropping-particle" : "", "family" : "Parkhill", "given" : "Julian", "non-dropping-particle" : "", "parse-names" : false, "suffix" : "" }, { "dropping-particle" : "", "family" : "Pertea", "given" : "Mihaela", "non-dropping-particle" : "", "parse-names" : false, "suffix" : "" }, { "dropping-particle" : "", "family" : "Pierce", "given" : "Raymond J", "non-dropping-particle" : "", "parse-names" : false, "suffix" : "" }, { "dropping-particle" : "V", "family" : "Protasio", "given" : "Anna", "non-dropping-particle" : "", "parse-names" : false, "suffix" : "" }, { "dropping-particle" : "", "family" : "Quail", "given" : "Michael a", "non-dropping-particle" : "", "parse-names" : false, "suffix" : "" }, { "dropping-particle" : "", "family" : "Rajandream", "given" : "Marie-Ad\u00e8le", "non-dropping-particle" : "", "parse-names" : false, "suffix" : "" }, { "dropping-particle" : "", "family" : "Rogers", "given" : "Jane", "non-dropping-particle" : "", "parse-names" : false, "suffix" : "" }, { "dropping-particle" : "", "family" : "Sajid", "given" : "Mohammed", "non-dropping-particle" : "", "parse-names" : false, "suffix" : "" }, { "dropping-particle" : "", "family" : "Salzberg", "given" : "Steven L", "non-dropping-particle" : "", "parse-names" : false, "suffix" : "" }, { "dropping-particle" : "", "family" : "Stanke", "given" : "Mario", "non-dropping-particle" : "", "parse-names" : false, "suffix" : "" }, { "dropping-particle" : "", "family" : "Tivey", "given" : "Adrian R", "non-dropping-particle" : "", "parse-names" : false, "suffix" : "" }, { "dropping-particle" : "", "family" : "White", "given" : "Owen", "non-dropping-particle" : "", "parse-names" : false, "suffix" : "" }, { "dropping-particle" : "", "family" : "Williams", "given" : "David L", "non-dropping-particle" : "", "parse-names" : false, "suffix" : "" }, { "dropping-particle" : "", "family" : "Wortman", "given" : "Jennifer", "non-dropping-particle" : "", "parse-names" : false, "suffix" : "" }, { "dropping-particle" : "", "family" : "Wu", "given" : "Wenjie", "non-dropping-particle" : "", "parse-names" : false, "suffix" : "" }, { "dropping-particle" : "", "family" : "Zamanian", "given" : "Mostafa", "non-dropping-particle" : "", "parse-names" : false, "suffix" : "" }, { "dropping-particle" : "", "family" : "Zerlotini", "given" : "Adhemar", "non-dropping-particle" : "", "parse-names" : false, "suffix" : "" }, { "dropping-particle" : "", "family" : "Fraser-Liggett", "given" : "Claire M", "non-dropping-particle" : "", "parse-names" : false, "suffix" : "" }, { "dropping-particle" : "", "family" : "Barrell", "given" : "Barclay G", "non-dropping-particle" : "", "parse-names" : false, "suffix" : "" }, { "dropping-particle" : "", "family" : "El-Sayed", "given" : "Najib M", "non-dropping-particle" : "", "parse-names" : false, "suffix" : "" } ], "container-title" : "Nature", "id" : "ITEM-1", "issue" : "7253", "issued" : { "date-parts" : [ [ "2009", "7", "16" ] ] }, "page" : "352-358", "title" : "The genome of the blood fluke Schistosoma mansoni.", "type" : "article-journal", "volume" : "460" }, "uris" : [ "http://www.mendeley.com/documents/?uuid=2fe89ad3-8e19-404e-92c1-c9f177efb218" ] }, { "id" : "ITEM-2", "itemData" : { "DOI" : "10.1371/journal.pntd.0001455", "ISSN" : "1935-2735", "PMID" : "22253936", "abstract" : "Schistosomiasis is one of the most prevalent parasitic diseases, affecting millions of people in developing countries. Amongst the human-infective species, Schistosoma mansoni is also the most commonly used in the laboratory and here we present the systematic improvement of its draft genome. We used Sanger capillary and deep-coverage Illumina sequencing from clonal worms to upgrade the highly fragmented draft 380 Mb genome to one with only 885 scaffolds and more than 81% of the bases organised into chromosomes. We have also used transcriptome sequencing (RNA-seq) from four time points in the parasite's life cycle to refine gene predictions and profile their expression. More than 45% of predicted genes have been extensively modified and the total number has been reduced from 11,807 to 10,852. Using the new version of the genome, we identified trans-splicing events occurring in at least 11% of genes and identified clear cases where it is used to resolve polycistronic transcripts. We have produced a high-resolution map of temporal changes in expression for 9,535 genes, covering an unprecedented dynamic range for this organism. All of these data have been consolidated into a searchable format within the GeneDB (www.genedb.org) and SchistoDB (www.schistodb.net) databases. With further transcriptional profiling and genome sequencing increasingly accessible, the upgraded genome will form a fundamental dataset to underpin further advances in schistosome research.", "author" : [ { "dropping-particle" : "V", "family" : "Protasio", "given" : "Anna", "non-dropping-particle" : "", "parse-names" : false, "suffix" : "" }, { "dropping-particle" : "", "family" : "Tsai", "given" : "Isheng J", "non-dropping-particle" : "", "parse-names" : false, "suffix" : "" }, { "dropping-particle" : "", "family" : "Babbage", "given" : "Anne", "non-dropping-particle" : "", "parse-names" : false, "suffix" : "" }, { "dropping-particle" : "", "family" : "Nichol", "given" : "Sarah", "non-dropping-particle" : "", "parse-names" : false, "suffix" : "" }, { "dropping-particle" : "", "family" : "Hunt", "given" : "Martin", "non-dropping-particle" : "", "parse-names" : false, "suffix" : "" }, { "dropping-particle" : "", "family" : "Aslett", "given" : "Martin a", "non-dropping-particle" : "", "parse-names" : false, "suffix" : "" }, { "dropping-particle" : "", "family" : "Silva", "given" : "Nishadi", "non-dropping-particle" : "De", "parse-names" : false, "suffix" : "" }, { "dropping-particle" : "", "family" : "Velarde", "given" : "Giles S", "non-dropping-particle" : "", "parse-names" : false, "suffix" : "" }, { "dropping-particle" : "", "family" : "Anderson", "given" : "Tim J C", "non-dropping-particle" : "", "parse-names" : false, "suffix" : "" }, { "dropping-particle" : "", "family" : "Clark", "given" : "Richard C", "non-dropping-particle" : "", "parse-names" : false, "suffix" : "" }, { "dropping-particle" : "", "family" : "Davidson", "given" : "Claire", "non-dropping-particle" : "", "parse-names" : false, "suffix" : "" }, { "dropping-particle" : "", "family" : "Dillon", "given" : "Gary P", "non-dropping-particle" : "", "parse-names" : false, "suffix" : "" }, { "dropping-particle" : "", "family" : "Holroyd", "given" : "Nancy E", "non-dropping-particle" : "", "parse-names" : false, "suffix" : "" }, { "dropping-particle" : "", "family" : "LoVerde", "given" : "Philip T", "non-dropping-particle" : "", "parse-names" : false, "suffix" : "" }, { "dropping-particle" : "", "family" : "Lloyd", "given" : "Christine", "non-dropping-particle" : "", "parse-names" : false, "suffix" : "" }, { "dropping-particle" : "", "family" : "McQuillan", "given" : "Jacquelline", "non-dropping-particle" : "", "parse-names" : false, "suffix" : "" }, { "dropping-particle" : "", "family" : "Oliveira", "given" : "Guilherme", "non-dropping-particle" : "", "parse-names" : false, "suffix" : "" }, { "dropping-particle" : "", "family" : "Otto", "given" : "Thomas D", "non-dropping-particle" : "", "parse-names" : false, "suffix" : "" }, { "dropping-particle" : "", "family" : "Parker-Manuel", "given" : "Sophia J", "non-dropping-particle" : "", "parse-names" : false, "suffix" : "" }, { "dropping-particle" : "", "family" : "Quail", "given" : "Michael a", "non-dropping-particle" : "", "parse-names" : false, "suffix" : "" }, { "dropping-particle" : "", "family" : "Wilson", "given" : "R Alan", "non-dropping-particle" : "", "parse-names" : false, "suffix" : "" }, { "dropping-particle" : "", "family" : "Zerlotini", "given" : "Adhemar", "non-dropping-particle" : "", "parse-names" : false, "suffix" : "" }, { "dropping-particle" : "", "family" : "Dunne", "given" : "David W", "non-dropping-particle" : "", "parse-names" : false, "suffix" : "" }, { "dropping-particle" : "", "family" : "Berriman", "given" : "Matthew", "non-dropping-particle" : "", "parse-names" : false, "suffix" : "" } ], "container-title" : "PLoS Neglected Tropical Diseases", "id" : "ITEM-2", "issue" : "1", "issued" : { "date-parts" : [ [ "2012", "1" ] ] }, "page" : "e1455", "title" : "A systematically improved high quality genome and transcriptome of the human blood fluke Schistosoma mansoni.", "type" : "article-journal", "volume" : "6" }, "uris" : [ "http://www.mendeley.com/documents/?uuid=7397205a-8a57-4867-b1dc-3521f4b81462" ] } ], "mendeley" : { "formattedCitation" : "&lt;sup&gt;13,14&lt;/sup&gt;", "plainTextFormattedCitation" : "13,14", "previouslyFormattedCitation" : "&lt;sup&gt;13,14&lt;/sup&gt;" }, "properties" : { "noteIndex" : 0 }, "schema" : "https://github.com/citation-style-language/schema/raw/master/csl-citation.json" }</w:instrText>
      </w:r>
      <w:r w:rsidRPr="00783721">
        <w:fldChar w:fldCharType="separate"/>
      </w:r>
      <w:r w:rsidR="00AC76A7" w:rsidRPr="00AC76A7">
        <w:rPr>
          <w:noProof/>
          <w:vertAlign w:val="superscript"/>
        </w:rPr>
        <w:t>13,14</w:t>
      </w:r>
      <w:r w:rsidRPr="00783721">
        <w:fldChar w:fldCharType="end"/>
      </w:r>
      <w:r w:rsidRPr="00A9331D">
        <w:rPr>
          <w:rFonts w:ascii="Times New Roman" w:hAnsi="Times New Roman"/>
          <w:szCs w:val="24"/>
        </w:rPr>
        <w:t xml:space="preserve"> </w:t>
      </w:r>
      <w:r w:rsidRPr="00A9331D">
        <w:rPr>
          <w:rFonts w:ascii="Times New Roman" w:hAnsi="Times New Roman"/>
          <w:i/>
          <w:szCs w:val="24"/>
        </w:rPr>
        <w:t>S. japonicum</w:t>
      </w:r>
      <w:r w:rsidRPr="000F0495">
        <w:rPr>
          <w:rFonts w:ascii="Times New Roman" w:hAnsi="Times New Roman"/>
          <w:szCs w:val="24"/>
        </w:rPr>
        <w:t>,</w:t>
      </w:r>
      <w:r w:rsidRPr="00A9331D">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"10.1038/nature08140", "ISSN" : "0028-0836", "PMID" : "19606140", "abstract" : "Schistosoma japonicum is a parasitic flatworm that causes human schistosomiasis, which is a significant cause of morbidity in China and the Philippines. Here we present a draft genomic sequence for the worm. The genome provides a global insight into the molecular architecture and host interaction of this complex metazoan pathogen, revealing that it can exploit host nutrients, neuroendocrine hormones and signalling pathways for growth, development and maturation. Having a complex nervous system and a well-developed sensory system, S. japonicum can accept stimulation of the corresponding ligands as a physiological response to different environments, such as fresh water or the tissues of its intermediate and mammalian hosts. Numerous proteases, including cercarial elastase, are implicated in mammalian skin penetration and haemoglobin degradation. The genomic information will serve as a valuable platform to facilitate development of new interventions for schistosomiasis control.", "author" : [ { "dropping-particle" : "", "family" : "Zhou", "given" : "Yan", "non-dropping-particle" : "", "parse-names" : false, "suffix" : "" }, { "dropping-particle" : "", "family" : "Zheng", "given" : "Huajun", "non-dropping-particle" : "", "parse-names" : false, "suffix" : "" }, { "dropping-particle" : "", "family" : "Chen", "given" : "Yangyi", "non-dropping-particle" : "", "parse-names" : false, "suffix" : "" }, { "dropping-particle" : "", "family" : "Zhang", "given" : "Lei", "non-dropping-particle" : "", "parse-names" : false, "suffix" : "" }, { "dropping-particle" : "", "family" : "Wang", "given" : "Kai", "non-dropping-particle" : "", "parse-names" : false, "suffix" : "" }, { "dropping-particle" : "", "family" : "Guo", "given" : "Jing", "non-dropping-particle" : "", "parse-names" : false, "suffix" : "" }, { "dropping-particle" : "", "family" : "Huang", "given" : "Zhen", "non-dropping-particle" : "", "parse-names" : false, "suffix" : "" }, { "dropping-particle" : "", "family" : "Zhang", "given" : "Bo", "non-dropping-particle" : "", "parse-names" : false, "suffix" : "" }, { "dropping-particle" : "", "family" : "Huang", "given" : "Wei", "non-dropping-particle" : "", "parse-names" : false, "suffix" : "" }, { "dropping-particle" : "", "family" : "Jin", "given" : "Ke", "non-dropping-particle" : "", "parse-names" : false, "suffix" : "" }, { "dropping-particle" : "", "family" : "Dou", "given" : "Tonghai", "non-dropping-particle" : "", "parse-names" : false, "suffix" : "" }, { "dropping-particle" : "", "family" : "Hasegawa", "given" : "Masami", "non-dropping-particle" : "", "parse-names" : false, "suffix" : "" }, { "dropping-particle" : "", "family" : "Wang", "given" : "Li", "non-dropping-particle" : "", "parse-names" : false, "suffix" : "" }, { "dropping-particle" : "", "family" : "Zhang", "given" : "Yuan", "non-dropping-particle" : "", "parse-names" : false, "suffix" : "" }, { "dropping-particle" : "", "family" : "Zhou", "given" : "Jie", "non-dropping-particle" : "", "parse-names" : false, "suffix" : "" }, { "dropping-particle" : "", "family" : "Tao", "given" : "Lin", "non-dropping-particle" : "", "parse-names" : false, "suffix" : "" }, { "dropping-particle" : "", "family" : "Cao", "given" : "Zhiwei", "non-dropping-particle" : "", "parse-names" : false, "suffix" : "" }, { "dropping-particle" : "", "family" : "Li", "given" : "Yixue", "non-dropping-particle" : "", "parse-names" : false, "suffix" : "" }, { "dropping-particle" : "", "family" : "Vinar", "given" : "Tomas", "non-dropping-particle" : "", "parse-names" : false, "suffix" : "" }, { "dropping-particle" : "", "family" : "Brejova", "given" : "Brona", "non-dropping-particle" : "", "parse-names" : false, "suffix" : "" }, { "dropping-particle" : "", "family" : "Brown", "given" : "Dan", "non-dropping-particle" : "", "parse-names" : false, "suffix" : "" }, { "dropping-particle" : "", "family" : "Li", "given" : "Ming", "non-dropping-particle" : "", "parse-names" : false, "suffix" : "" }, { "dropping-particle" : "", "family" : "Miller", "given" : "David J.", "non-dropping-particle" : "", "parse-names" : false, "suffix" : "" }, { "dropping-particle" : "", "family" : "Blair", "given" : "David", "non-dropping-particle" : "", "parse-names" : false, "suffix" : "" }, { "dropping-particle" : "", "family" : "Zhong", "given" : "Yang", "non-dropping-particle" : "", "parse-names" : false, "suffix" : "" }, { "dropping-particle" : "", "family" : "Chen", "given" : "Zhu", "non-dropping-particle" : "", "parse-names" : false, "suffix" : "" }, { "dropping-particle" : "", "family" : "Liu", "given" : "Feng", "non-dropping-particle" : "", "parse-names" : false, "suffix" : "" }, { "dropping-particle" : "", "family" : "Hu", "given" : "Wei", "non-dropping-particle" : "", "parse-names" : false, "suffix" : "" }, { "dropping-particle" : "", "family" : "Wang", "given" : "Zhi-Qin", "non-dropping-particle" : "", "parse-names" : false, "suffix" : "" }, { "dropping-particle" : "", "family" : "Zhang", "given" : "Qin-Hua", "non-dropping-particle" : "", "parse-names" : false, "suffix" : "" }, { "dropping-particle" : "", "family" : "Song", "given" : "Huai-Dong", "non-dropping-particle" : "", "parse-names" : false, "suffix" : "" }, { "dropping-particle" : "", "family" : "Chen", "given" : "Saijuan", "non-dropping-particle" : "", "parse-names" : false, "suffix" : "" }, { "dropping-particle" : "", "family" : "Xu", "given" : "Xuenian", "non-dropping-particle" : "", "parse-names" : false, "suffix" : "" }, { "dropping-particle" : "", "family" : "Xu", "given" : "Bin", "non-dropping-particle" : "", "parse-names" : false, "suffix" : "" }, { "dropping-particle" : "", "family" : "Ju", "given" : "Chuan", "non-dropping-particle" : "", "parse-names" : false, "suffix" : "" }, { "dropping-particle" : "", "family" : "Huang", "given" : "Yucheng", "non-dropping-particle" : "", "parse-names" : false, "suffix" : "" }, { "dropping-particle" : "", "family" : "Brindley", "given" : "Paul J.", "non-dropping-particle" : "", "parse-names" : false, "suffix" : "" }, { "dropping-particle" : "", "family" : "McManus", "given" : "Donald P.", "non-dropping-particle" : "", "parse-names" : false, "suffix" : "" }, { "dropping-particle" : "", "family" : "Feng", "given" : "Zheng", "non-dropping-particle" : "", "parse-names" : false, "suffix" : "" }, { "dropping-particle" : "", "family" : "Han", "given" : "Ze-Guang", "non-dropping-particle" : "", "parse-names" : false, "suffix" : "" }, { "dropping-particle" : "", "family" : "Lu", "given" : "Gang", "non-dropping-particle" : "", "parse-names" : false, "suffix" : "" }, { "dropping-particle" : "", "family" : "Ren", "given" : "Shuangxi", "non-dropping-particle" : "", "parse-names" : false, "suffix" : "" }, { "dropping-particle" : "", "family" : "Wang", "given" : "Yuezhu", "non-dropping-particle" : "", "parse-names" : false, "suffix" : "" }, { "dropping-particle" : "", "family" : "Gu", "given" : "Wenyi", "non-dropping-particle" : "", "parse-names" : false, "suffix" : "" }, { "dropping-particle" : "", "family" : "Kang", "given" : "Hui", "non-dropping-particle" : "", "parse-names" : false, "suffix" : "" }, { "dropping-particle" : "", "family" : "Chen", "given" : "Jie", "non-dropping-particle" : "", "parse-names" : false, "suffix" : "" }, { "dropping-particle" : "", "family" : "Chen", "given" : "Xiaoyun", "non-dropping-particle" : "", "parse-names" : false, "suffix" : "" }, { "dropping-particle" : "", "family" : "Chen", "given" : "Shuting", "non-dropping-particle" : "", "parse-names" : false, "suffix" : "" }, { "dropping-particle" : "", "family" : "Wang", "given" : "Lijun", "non-dropping-particle" : "", "parse-names" : false, "suffix" : "" }, { "dropping-particle" : "", "family" : "Yan", "given" : "Jie", "non-dropping-particle" : "", "parse-names" : false, "suffix" : "" }, { "dropping-particle" : "", "family" : "Wang", "given" : "Biyun", "non-dropping-particle" : "", "parse-names" : false, "suffix" : "" }, { "dropping-particle" : "", "family" : "Lv", "given" : "Xinyan", "non-dropping-particle" : "", "parse-names" : false, "suffix" : "" }, { "dropping-particle" : "", "family" : "Jin", "given" : "Lei", "non-dropping-particle" : "", "parse-names" : false, "suffix" : "" }, { "dropping-particle" : "", "family" : "Wang", "given" : "Bofei", "non-dropping-particle" : "", "parse-names" : false, "suffix" : "" }, { "dropping-particle" : "", "family" : "Pu", "given" : "Shiyin", "non-dropping-particle" : "", "parse-names" : false, "suffix" : "" }, { "dropping-particle" : "", "family" : "Zhang", "given" : "Xianglin", "non-dropping-particle" : "", "parse-names" : false, "suffix" : "" }, { "dropping-particle" : "", "family" : "Zhang", "given" : "Wei", "non-dropping-particle" : "", "parse-names" : false, "suffix" : "" }, { "dropping-particle" : "", "family" : "Hu", "given" : "Qiuping", "non-dropping-particle" : "", "parse-names" : false, "suffix" : "" }, { "dropping-particle" : "", "family" : "Zhu", "given" : "Genfeng", "non-dropping-particle" : "", "parse-names" : false, "suffix" : "" }, { "dropping-particle" : "", "family" : "Wang", "given" : "Jun", "non-dropping-particle" : "", "parse-names" : false, "suffix" : "" }, { "dropping-particle" : "", "family" : "Yu", "given" : "Jun", "non-dropping-particle" : "", "parse-names" : false, "suffix" : "" }, { "dropping-particle" : "", "family" : "Wang", "given" : "Jian", "non-dropping-particle" : "", "parse-names" : false, "suffix" : "" }, { "dropping-particle" : "", "family" : "Yang", "given" : "Huanming", "non-dropping-particle" : "", "parse-names" : false, "suffix" : "" }, { "dropping-particle" : "", "family" : "Ning", "given" : "Zemin", "non-dropping-particle" : "", "parse-names" : false, "suffix" : "" }, { "dropping-particle" : "", "family" : "Beriman", "given" : "Matthew", "non-dropping-particle" : "", "parse-names" : false, "suffix" : "" }, { "dropping-particle" : "", "family" : "Wei", "given" : "Chia-Lin", "non-dropping-particle" : "", "parse-names" : false, "suffix" : "" }, { "dropping-particle" : "", "family" : "Ruan", "given" : "Yijun", "non-dropping-particle" : "", "parse-names" : false, "suffix" : "" }, { "dropping-particle" : "", "family" : "Zhao", "given" : "Guoping", "non-dropping-particle" : "", "parse-names" : false, "suffix" : "" }, { "dropping-particle" : "", "family" : "Wang", "given" : "Shengyue", "non-dropping-particle" : "", "parse-names" : false, "suffix" : "" }, { "dropping-particle" : "", "family" : "Liu", "given" : "Feng", "non-dropping-particle" : "", "parse-names" : false, "suffix" : "" }, { "dropping-particle" : "", "family" : "Zhou", "given" : "Yan", "non-dropping-particle" : "", "parse-names" : false, "suffix" : "" }, { "dropping-particle" : "", "family" : "Wang", "given" : "Zhi-Qin", "non-dropping-particle" : "", "parse-names" : false, "suffix" : "" }, { "dropping-particle" : "", "family" : "Lu", "given" : "Gang", "non-dropping-particle" : "", "parse-names" : false, "suffix" : "" }, { "dropping-particle" : "", "family" : "Zheng", "given" : "Huajun", "non-dropping-particle" : "", "parse-names" : false, "suffix" : "" }, { "dropping-particle" : "", "family" : "Brindley", "given" : "Paul J.", "non-dropping-particle" : "", "parse-names" : false, "suffix" : "" }, { "dropping-particle" : "", "family" : "McManus", "given" : "Donald P.", "non-dropping-particle" : "", "parse-names" : false, "suffix" : "" }, { "dropping-particle" : "", "family" : "Blair", "given" : "David", "non-dropping-particle" : "", "parse-names" : false, "suffix" : "" }, { "dropping-particle" : "", "family" : "Zhang", "given" : "Qin-hua", "non-dropping-particle" : "", "parse-names" : false, "suffix" : "" }, { "dropping-particle" : "", "family" : "Zhong", "given" : "Yang", "non-dropping-particle" : "", "parse-names" : false, "suffix" : "" }, { "dropping-particle" : "", "family" : "Wang", "given" : "Shengyue", "non-dropping-particle" : "", "parse-names" : false, "suffix" : "" }, { "dropping-particle" : "", "family" : "Han", "given" : "Ze-Guang", "non-dropping-particle" : "", "parse-names" : false, "suffix" : "" }, { "dropping-particle" : "", "family" : "Chen", "given" : "Zhu", "non-dropping-particle" : "", "parse-names" : false, "suffix" : "" }, { "dropping-particle" : "", "family" : "Wang", "given" : "Shengyue", "non-dropping-particle" : "", "parse-names" : false, "suffix" : "" }, { "dropping-particle" : "", "family" : "Han", "given" : "Ze-Guang", "non-dropping-particle" : "", "parse-names" : false, "suffix" : "" }, { "dropping-particle" : "", "family" : "Chen", "given" : "Zhu", "non-dropping-particle" : "", "parse-names" : false, "suffix" : "" } ], "container-title" : "Nature", "id" : "ITEM-1", "issue" : "7253", "issued" : { "date-parts" : [ [ "2009", "7", "16" ] ] }, "page" : "345-351", "title" : "The Schistosoma japonicum genome reveals features of host\u2013parasite interplay", "type" : "article-journal", "volume" : "460" }, "uris" : [ "http://www.mendeley.com/documents/?uuid=5974b7aa-ef5e-41c3-bbd8-e1b887a72132", "http://www.mendeley.com/documents/?uuid=cb82ba95-8623-496a-9210-3396d8dcba1f", "http://www.mendeley.com/documents/?uuid=dbe093e6-689a-40ae-96d4-e29d4c8e599f" ] } ], "mendeley" : { "formattedCitation" : "&lt;sup&gt;15&lt;/sup&gt;", "plainTextFormattedCitation" : "15", "previouslyFormattedCitation" : "&lt;sup&gt;15&lt;/sup&gt;" }, "properties" : { "noteIndex" : 0 }, "schema" : "https://github.com/citation-style-language/schema/raw/master/csl-citation.json" }</w:instrText>
      </w:r>
      <w:r w:rsidRPr="00A9331D">
        <w:rPr>
          <w:rFonts w:ascii="Times New Roman" w:hAnsi="Times New Roman"/>
          <w:szCs w:val="24"/>
        </w:rPr>
        <w:fldChar w:fldCharType="separate"/>
      </w:r>
      <w:r w:rsidR="00AC76A7" w:rsidRPr="00AC76A7">
        <w:rPr>
          <w:rFonts w:ascii="Times New Roman" w:hAnsi="Times New Roman"/>
          <w:noProof/>
          <w:szCs w:val="24"/>
          <w:vertAlign w:val="superscript"/>
        </w:rPr>
        <w:t>15</w:t>
      </w:r>
      <w:r w:rsidRPr="00A9331D">
        <w:rPr>
          <w:rFonts w:ascii="Times New Roman" w:hAnsi="Times New Roman"/>
          <w:szCs w:val="24"/>
        </w:rPr>
        <w:fldChar w:fldCharType="end"/>
      </w:r>
      <w:r w:rsidRPr="00A9331D">
        <w:rPr>
          <w:rFonts w:ascii="Times New Roman" w:hAnsi="Times New Roman"/>
          <w:szCs w:val="24"/>
        </w:rPr>
        <w:t xml:space="preserve"> and </w:t>
      </w:r>
      <w:r w:rsidRPr="00A9331D">
        <w:rPr>
          <w:rFonts w:ascii="Times New Roman" w:hAnsi="Times New Roman"/>
          <w:i/>
          <w:szCs w:val="24"/>
        </w:rPr>
        <w:t>S. haematobium</w:t>
      </w:r>
      <w:r w:rsidRPr="00A9331D">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"10.1038/ng.1065", "ISSN" : "1061-4036", "author" : [ { "dropping-particle" : "", "family" : "Young", "given" : "Neil D", "non-dropping-particle" : "", "parse-names" : false, "suffix" : "" }, { "dropping-particle" : "", "family" : "Jex", "given" : "Aaron R", "non-dropping-particle" : "", "parse-names" : false, "suffix" : "" }, { "dropping-particle" : "", "family" : "Li", "given" : "Bo", "non-dropping-particle" : "", "parse-names" : false, "suffix" : "" }, { "dropping-particle" : "", "family" : "Liu", "given" : "Shiping", "non-dropping-particle" : "", "parse-names" : false, "suffix" : "" }, { "dropping-particle" : "", "family" : "Yang", "given" : "Linfeng", "non-dropping-particle" : "", "parse-names" : false, "suffix" : "" }, { "dropping-particle" : "", "family" : "Xiong", "given" : "Zijun", "non-dropping-particle" : "", "parse-names" : false, "suffix" : "" }, { "dropping-particle" : "", "family" : "Li", "given" : "Yingrui", "non-dropping-particle" : "", "parse-names" : false, "suffix" : "" }, { "dropping-particle" : "", "family" : "Cantacessi", "given" : "Cinzia", "non-dropping-particle" : "", "parse-names" : false, "suffix" : "" }, { "dropping-particle" : "", "family" : "Hall", "given" : "Ross S", "non-dropping-particle" : "", "parse-names" : false, "suffix" : "" }, { "dropping-particle" : "", "family" : "Xu", "given" : "Xun", "non-dropping-particle" : "", "parse-names" : false, "suffix" : "" }, { "dropping-particle" : "", "family" : "Chen", "given" : "Fangyuan", "non-dropping-particle" : "", "parse-names" : false, "suffix" : "" }, { "dropping-particle" : "", "family" : "Wu", "given" : "Xuan", "non-dropping-particle" : "", "parse-names" : false, "suffix" : "" }, { "dropping-particle" : "", "family" : "Zerlotini", "given" : "Adhemar", "non-dropping-particle" : "", "parse-names" : false, "suffix" : "" }, { "dropping-particle" : "", "family" : "Oliveira", "given" : "Guilherme", "non-dropping-particle" : "", "parse-names" : false, "suffix" : "" }, { "dropping-particle" : "", "family" : "Hofmann", "given" : "Andreas", "non-dropping-particle" : "", "parse-names" : false, "suffix" : "" }, { "dropping-particle" : "", "family" : "Zhang", "given" : "Guojie", "non-dropping-particle" : "", "parse-names" : false, "suffix" : "" }, { "dropping-particle" : "", "family" : "Fang", "given" : "Xiaodong", "non-dropping-particle" : "", "parse-names" : false, "suffix" : "" }, { "dropping-particle" : "", "family" : "Kang", "given" : "Yi", "non-dropping-particle" : "", "parse-names" : false, "suffix" : "" }, { "dropping-particle" : "", "family" : "Campbell", "given" : "Bronwyn E", "non-dropping-particle" : "", "parse-names" : false, "suffix" : "" }, { "dropping-particle" : "", "family" : "Loukas", "given" : "Alex", "non-dropping-particle" : "", "parse-names" : false, "suffix" : "" }, { "dropping-particle" : "", "family" : "Ranganathan", "given" : "Shoba", "non-dropping-particle" : "", "parse-names" : false, "suffix" : "" }, { "dropping-particle" : "", "family" : "Rollinson", "given" : "David", "non-dropping-particle" : "", "parse-names" : false, "suffix" : "" }, { "dropping-particle" : "", "family" : "Rinaldi", "given" : "Gabriel", "non-dropping-particle" : "", "parse-names" : false, "suffix" : "" }, { "dropping-particle" : "", "family" : "Brindley", "given" : "Paul J", "non-dropping-particle" : "", "parse-names" : false, "suffix" : "" }, { "dropping-particle" : "", "family" : "Yang", "given" : "Huanming", "non-dropping-particle" : "", "parse-names" : false, "suffix" : "" }, { "dropping-particle" : "", "family" : "Wang", "given" : "Jun", "non-dropping-particle" : "", "parse-names" : false, "suffix" : "" }, { "dropping-particle" : "", "family" : "Wang", "given" : "Jian", "non-dropping-particle" : "", "parse-names" : false, "suffix" : "" }, { "dropping-particle" : "", "family" : "Gasser", "given" : "Robin B", "non-dropping-particle" : "", "parse-names" : false, "suffix" : "" } ], "container-title" : "Nature Genetics", "id" : "ITEM-1", "issue" : "2", "issued" : { "date-parts" : [ [ "2012", "1", "15" ] ] }, "page" : "221-225", "title" : "Whole-genome sequence of Schistosoma haematobium", "type" : "article-journal", "volume" : "44" }, "uris" : [ "http://www.mendeley.com/documents/?uuid=6433ccd5-694d-470c-9caa-6d09549af85e", "http://www.mendeley.com/documents/?uuid=ec0c0eb2-26cd-4bb7-a13c-f6069e5d26c8", "http://www.mendeley.com/documents/?uuid=21c0ba15-167e-4b1c-b45d-d263c28090e2" ] } ], "mendeley" : { "formattedCitation" : "&lt;sup&gt;16&lt;/sup&gt;", "plainTextFormattedCitation" : "16", "previouslyFormattedCitation" : "&lt;sup&gt;16&lt;/sup&gt;" }, "properties" : { "noteIndex" : 0 }, "schema" : "https://github.com/citation-style-language/schema/raw/master/csl-citation.json" }</w:instrText>
      </w:r>
      <w:r w:rsidRPr="00A9331D">
        <w:rPr>
          <w:rFonts w:ascii="Times New Roman" w:hAnsi="Times New Roman"/>
          <w:szCs w:val="24"/>
        </w:rPr>
        <w:fldChar w:fldCharType="separate"/>
      </w:r>
      <w:r w:rsidR="00AC76A7" w:rsidRPr="00AC76A7">
        <w:rPr>
          <w:rFonts w:ascii="Times New Roman" w:hAnsi="Times New Roman"/>
          <w:noProof/>
          <w:szCs w:val="24"/>
          <w:vertAlign w:val="superscript"/>
        </w:rPr>
        <w:t>16</w:t>
      </w:r>
      <w:r w:rsidRPr="00A9331D">
        <w:rPr>
          <w:rFonts w:ascii="Times New Roman" w:hAnsi="Times New Roman"/>
          <w:szCs w:val="24"/>
        </w:rPr>
        <w:fldChar w:fldCharType="end"/>
      </w:r>
      <w:r w:rsidRPr="00A9331D">
        <w:rPr>
          <w:rFonts w:ascii="Times New Roman" w:hAnsi="Times New Roman"/>
          <w:szCs w:val="24"/>
        </w:rPr>
        <w:t xml:space="preserve"> </w:t>
      </w:r>
      <w:r w:rsidR="005044E7">
        <w:rPr>
          <w:rFonts w:ascii="Times New Roman" w:hAnsi="Times New Roman"/>
          <w:szCs w:val="24"/>
        </w:rPr>
        <w:t>has provided</w:t>
      </w:r>
      <w:r w:rsidRPr="00A9331D">
        <w:rPr>
          <w:rFonts w:ascii="Times New Roman" w:hAnsi="Times New Roman"/>
          <w:szCs w:val="24"/>
        </w:rPr>
        <w:t xml:space="preserve"> new information on their biological pathways, identifying </w:t>
      </w:r>
      <w:r w:rsidR="001F04F2">
        <w:rPr>
          <w:rFonts w:ascii="Times New Roman" w:hAnsi="Times New Roman"/>
          <w:szCs w:val="24"/>
        </w:rPr>
        <w:t>potentially</w:t>
      </w:r>
      <w:r w:rsidR="001F04F2" w:rsidRPr="00A9331D">
        <w:rPr>
          <w:rFonts w:ascii="Times New Roman" w:hAnsi="Times New Roman"/>
          <w:szCs w:val="24"/>
        </w:rPr>
        <w:t xml:space="preserve"> </w:t>
      </w:r>
      <w:r w:rsidRPr="00A9331D">
        <w:rPr>
          <w:rFonts w:ascii="Times New Roman" w:hAnsi="Times New Roman"/>
          <w:szCs w:val="24"/>
        </w:rPr>
        <w:t>relevant targets for therapeutic intervention</w:t>
      </w:r>
      <w:r w:rsidR="00710A66">
        <w:rPr>
          <w:rFonts w:ascii="Times New Roman" w:hAnsi="Times New Roman"/>
          <w:szCs w:val="24"/>
        </w:rPr>
        <w:t>.</w:t>
      </w:r>
      <w:r w:rsidR="00D702B5">
        <w:rPr>
          <w:rFonts w:ascii="Times New Roman" w:hAnsi="Times New Roman"/>
          <w:szCs w:val="24"/>
        </w:rPr>
        <w:fldChar w:fldCharType="begin" w:fldLock="1"/>
      </w:r>
      <w:r w:rsidR="00BD74F5">
        <w:rPr>
          <w:rFonts w:ascii="Times New Roman" w:hAnsi="Times New Roman"/>
          <w:szCs w:val="24"/>
        </w:rPr>
        <w:instrText>ADDIN CSL_CITATION { "citationItems" : [ { "id" : "ITEM-1", "itemData" : { "ISSN" : "1756-8927", "PMID" : "25996068", "abstract" : "Schistosomiasis, a neglected tropical disease caused by worms from the class Trematoda (genus Schistosoma), is a serious chronic condition that has been reported in approximately 80 countries. Nearly 250 million people are affected worldwide, mostly in the sub-Saharan Africa. Praziquantel, the mainstay of treatment, has been used for 30 years, and cases of resistance have been reported. The purpose of this perspective is to discuss current target-based molecular modeling strategies in schistosomiasis drug discovery. Advances in the field and the role played by the integration between computational modeling and experimental validation are also discussed. Finally, recent cases of the contribution of modern approaches in computational medicinal chemistry to the field are explored.", "author" : [ { "dropping-particle" : "", "family" : "Ferreira", "given" : "Leonardo G", "non-dropping-particle" : "", "parse-names" : false, "suffix" : "" }, { "dropping-particle" : "", "family" : "Oliva", "given" : "Glaucius", "non-dropping-particle" : "", "parse-names" : false, "suffix" : "" }, { "dropping-particle" : "", "family" : "Andricopulo", "given" : "Adriano D", "non-dropping-particle" : "", "parse-names" : false, "suffix" : "" } ], "container-title" : "Future Medicinal Chemistry", "id" : "ITEM-1", "issue" : "6", "issued" : { "date-parts" : [ [ "2015" ] ] }, "page" : "753-764", "title" : "Target-based molecular modeling strategies for schistosomiasis drug discovery.", "type" : "article-journal", "volume" : "7" }, "uris" : [ "http://www.mendeley.com/documents/?uuid=d509a3c0-d657-4e2e-a3db-024f179ddf65", "http://www.mendeley.com/documents/?uuid=eea774ee-2695-4b9c-923a-af31d49cbc19" ] } ], "mendeley" : { "formattedCitation" : "&lt;sup&gt;17&lt;/sup&gt;", "plainTextFormattedCitation" : "17", "previouslyFormattedCitation" : "&lt;sup&gt;17&lt;/sup&gt;" }, "properties" : { "noteIndex" : 0 }, "schema" : "https://github.com/citation-style-language/schema/raw/master/csl-citation.json" }</w:instrText>
      </w:r>
      <w:r w:rsidR="00D702B5">
        <w:rPr>
          <w:rFonts w:ascii="Times New Roman" w:hAnsi="Times New Roman"/>
          <w:szCs w:val="24"/>
        </w:rPr>
        <w:fldChar w:fldCharType="separate"/>
      </w:r>
      <w:r w:rsidR="00AC76A7" w:rsidRPr="00AC76A7">
        <w:rPr>
          <w:rFonts w:ascii="Times New Roman" w:hAnsi="Times New Roman"/>
          <w:noProof/>
          <w:szCs w:val="24"/>
          <w:vertAlign w:val="superscript"/>
        </w:rPr>
        <w:t>17</w:t>
      </w:r>
      <w:r w:rsidR="00D702B5">
        <w:rPr>
          <w:rFonts w:ascii="Times New Roman" w:hAnsi="Times New Roman"/>
          <w:szCs w:val="24"/>
        </w:rPr>
        <w:fldChar w:fldCharType="end"/>
      </w:r>
      <w:r w:rsidR="00710A66">
        <w:t xml:space="preserve"> </w:t>
      </w:r>
      <w:proofErr w:type="spellStart"/>
      <w:r w:rsidR="001F04F2">
        <w:t>T</w:t>
      </w:r>
      <w:r w:rsidRPr="00783721">
        <w:t>hioredoxin</w:t>
      </w:r>
      <w:proofErr w:type="spellEnd"/>
      <w:r w:rsidRPr="00783721">
        <w:t xml:space="preserve"> glutathione reductase (TGR) </w:t>
      </w:r>
      <w:r w:rsidR="001F04F2">
        <w:t xml:space="preserve">is one </w:t>
      </w:r>
      <w:r w:rsidR="00CD0620">
        <w:t xml:space="preserve">of these </w:t>
      </w:r>
      <w:r w:rsidR="001F04F2">
        <w:t>target</w:t>
      </w:r>
      <w:r w:rsidR="00CD0620">
        <w:t>s</w:t>
      </w:r>
      <w:r w:rsidR="001F04F2">
        <w:t xml:space="preserve">; it </w:t>
      </w:r>
      <w:r w:rsidRPr="00783721">
        <w:t>plays a crucial role in the redox homeostasis of the parasite</w:t>
      </w:r>
      <w:r w:rsidR="002F142C">
        <w:t>.</w:t>
      </w:r>
      <w:r w:rsidRPr="00783721">
        <w:fldChar w:fldCharType="begin" w:fldLock="1"/>
      </w:r>
      <w:r w:rsidR="00BD74F5">
        <w:instrText>ADDIN CSL_CITATION { "citationItems" : [ { "id" : "ITEM-1", "itemData" : { "DOI" : "10.1371/journal.pmed.0040206", "ISSN" : "1549-1676", "PMID" : "17579510", "abstract" : "Schistosomiasis--infection with helminth parasites in the genus Schistosoma, including S. mansoni--is a widespread, devastating tropical disease affecting more than 200 million people. No vaccine is available, and praziquantel, the only drug extensively utilized, is currently administered more than 100 million people yearly. Because praziquantel resistance may develop it is essential to identify novel drug targets. Our goal was to investigate the potential of a unique, selenium-containing parasite enzyme thioredoxin glutathione reductase (TGR) as a drug target.", "author" : [ { "dropping-particle" : "", "family" : "Kuntz", "given" : "Angela N", "non-dropping-particle" : "", "parse-names" : false, "suffix" : "" }, { "dropping-particle" : "", "family" : "Davioud-Charvet", "given" : "Elisabeth", "non-dropping-particle" : "", "parse-names" : false, "suffix" : "" }, { "dropping-particle" : "", "family" : "Sayed", "given" : "Ahmed A", "non-dropping-particle" : "", "parse-names" : false, "suffix" : "" }, { "dropping-particle" : "", "family" : "Califf", "given" : "Lindsay L", "non-dropping-particle" : "", "parse-names" : false, "suffix" : "" }, { "dropping-particle" : "", "family" : "Dessolin", "given" : "Jean", "non-dropping-particle" : "", "parse-names" : false, "suffix" : "" }, { "dropping-particle" : "", "family" : "Arn\u00e9r", "given" : "Elias S J", "non-dropping-particle" : "", "parse-names" : false, "suffix" : "" }, { "dropping-particle" : "", "family" : "Williams", "given" : "David L", "non-dropping-particle" : "", "parse-names" : false, "suffix" : "" } ], "container-title" : "PLoS medicine", "id" : "ITEM-1", "issue" : "6", "issued" : { "date-parts" : [ [ "2007", "6" ] ] }, "page" : "e206", "title" : "Thioredoxin glutathione reductase from Schistosoma mansoni: an essential parasite enzyme and a key drug target.", "type" : "article-journal", "volume" : "4" }, "uris" : [ "http://www.mendeley.com/documents/?uuid=d571d3ae-5718-43c4-8e31-92c9b44e6944" ] } ], "mendeley" : { "formattedCitation" : "&lt;sup&gt;18&lt;/sup&gt;", "plainTextFormattedCitation" : "18", "previouslyFormattedCitation" : "&lt;sup&gt;18&lt;/sup&gt;" }, "properties" : { "noteIndex" : 0 }, "schema" : "https://github.com/citation-style-language/schema/raw/master/csl-citation.json" }</w:instrText>
      </w:r>
      <w:r w:rsidRPr="00783721">
        <w:fldChar w:fldCharType="separate"/>
      </w:r>
      <w:r w:rsidR="00AC76A7" w:rsidRPr="00AC76A7">
        <w:rPr>
          <w:noProof/>
          <w:vertAlign w:val="superscript"/>
        </w:rPr>
        <w:t>18</w:t>
      </w:r>
      <w:r w:rsidRPr="00783721">
        <w:fldChar w:fldCharType="end"/>
      </w:r>
      <w:r w:rsidRPr="00783721">
        <w:t xml:space="preserve"> TGR is a multifunctional enzyme that acts in the detoxification of reactive oxygen species (ROS) </w:t>
      </w:r>
      <w:r w:rsidR="00710A66" w:rsidRPr="00C82CD2">
        <w:t>generated by digestion of red blood cells</w:t>
      </w:r>
      <w:r w:rsidR="00710A66" w:rsidRPr="00C82CD2">
        <w:fldChar w:fldCharType="begin" w:fldLock="1"/>
      </w:r>
      <w:r w:rsidR="00A439B6">
        <w:instrText>ADDIN CSL_CITATION { "citationItems" : [ { "id" : "ITEM-1", "itemData" : { "ISBN" : "0366-0826 (Print)\\r0366-0826 (Linking)", "ISSN" : "03660826", "PMID" : "13651581", "abstract" : "The presence of a proteolytic enzyme has been demonstrated in ground-up preparations of Schistosoma mansoni. A twenty-fold purification has been achieved by ultracentrifugation at pH 3.0; the enzyme has an optimum pH of 3.9 and a marked substrate specificity for haemoglobin. No significant proteolysis was observed either with whole serum at pH values of 3.9, 6.0 or 8.0, or with isolated serum proteins at pH ranges between 2.5 and 7.7. The evidence is discussed that this enzyme may be located in the intestine of the schistosomes and that it is, at least in part, responsible for the supply of amino acids to the organisms.", "author" : [ { "dropping-particle" : "", "family" : "TIMMS", "given" : "A R", "non-dropping-particle" : "", "parse-names" : false, "suffix" : "" }, { "dropping-particle" : "", "family" : "BUEDING", "given" : "E", "non-dropping-particle" : "", "parse-names" : false, "suffix" : "" } ], "container-title" : "British journal of pharmacology and chemotherapy", "id" : "ITEM-1", "issue" : "1", "issued" : { "date-parts" : [ [ "1959" ] ] }, "page" : "68-73", "title" : "Studies of a proteolytic enzyme from Schistosoma mansoni.", "type" : "article-journal", "volume" : "14" }, "uris" : [ "http://www.mendeley.com/documents/?uuid=4f80190d-2813-4dff-9c1c-7002c8a26089", "http://www.mendeley.com/documents/?uuid=600a8336-cd19-4cb9-960e-fc6985aeabca", "http://www.mendeley.com/documents/?uuid=e74e09f1-86bf-4bd4-91ba-9a506bd8b356" ] }, { "id" : "ITEM-2", "itemData" : { "DOI" : "10.1016/j.molbiopara.2011.05.002", "ISBN" : "0166-6851", "ISSN" : "01666851", "PMID" : "21605600", "abstract" : "Whilst the schistosome tegument has been intensively studied there is little information about processes in the gut, the other major interface with the bloodstream, apart from the well characterised cascade of proteases involved in haemoglobin digestion. To gain insights into gut function we undertook a proteomic analysis of worm vomitus and performed in vitro erythrocyte feeding experiments. Additional to known gut constituents we identified two proline carboxypeptidases as well as enzymes capable of hydrolysing carbohydrate and ester linkages. Schistosome serpin and a2 macroglobulin protease inhibitors were also present. A series of \"carrier proteins\", principally lipid-binding saposins and cholesterol-binding NPC-2 were also detected, together with ferritins and calumenin that bind ferric iron and calcium, respectively. The presence of these lysosomal proteins and other lysosomal markers in the vomitus, plus observations on the cytology of the gut epithelium suggest that lysosomes directly secrete their contents into the gut lumen to digest incoming plasma constituents as well as haemoglobin. It is also likely that the carrier proteins function to sequester essential organic and inorganic nutrients for uptake into the epithelium. The feeding experiments indicate that erythrocytes are uncoated as they pass through the oesophagus, intersecting with its secretions, whilst the endocytosis of space-filling dextran into the gut epithelium provides a potential mechanism for carrier uptake by macropinocytosis. ?? 2011 Elsevier B.V.", "author" : [ { "dropping-particle" : "", "family" : "Hall", "given" : "Stephanie L.", "non-dropping-particle" : "", "parse-names" : false, "suffix" : "" }, { "dropping-particle" : "", "family" : "Braschi", "given" : "Simon", "non-dropping-particle" : "", "parse-names" : false, "suffix" : "" }, { "dropping-particle" : "", "family" : "Truscott", "given" : "Martha", "non-dropping-particle" : "", "parse-names" : false, "suffix" : "" }, { "dropping-particle" : "", "family" : "Mathieson", "given" : "William", "non-dropping-particle" : "", "parse-names" : false, "suffix" : "" }, { "dropping-particle" : "", "family" : "Cesari", "given" : "Italo M.", "non-dropping-particle" : "", "parse-names" : false, "suffix" : "" }, { "dropping-particle" : "", "family" : "Wilson", "given" : "R. Alan", "non-dropping-particle" : "", "parse-names" : false, "suffix" : "" } ], "container-title" : "Molecular and Biochemical Parasitology", "id" : "ITEM-2", "issue" : "1", "issued" : { "date-parts" : [ [ "2011", "9" ] ] }, "page" : "18-29", "publisher" : "Elsevier B.V.", "title" : "Insights into blood feeding by schistosomes from a proteomic analysis of worm vomitus", "type" : "article-journal", "volume" : "179" }, "uris" : [ "http://www.mendeley.com/documents/?uuid=277cdb5a-1a63-43ad-bae5-f6cc4ed8ffd6", "http://www.mendeley.com/documents/?uuid=a682a367-8bec-4421-a01e-052997359cd5", "http://www.mendeley.com/documents/?uuid=a649229e-f68b-46f4-8069-995e39508fa3" ] } ], "mendeley" : { "formattedCitation" : "&lt;sup&gt;19,20&lt;/sup&gt;", "plainTextFormattedCitation" : "19,20", "previouslyFormattedCitation" : "&lt;sup&gt;19,20&lt;/sup&gt;" }, "properties" : { "noteIndex" : 0 }, "schema" : "https://github.com/citation-style-language/schema/raw/master/csl-citation.json" }</w:instrText>
      </w:r>
      <w:r w:rsidR="00710A66" w:rsidRPr="00C82CD2">
        <w:fldChar w:fldCharType="separate"/>
      </w:r>
      <w:r w:rsidR="00AC76A7" w:rsidRPr="00AC76A7">
        <w:rPr>
          <w:noProof/>
          <w:vertAlign w:val="superscript"/>
        </w:rPr>
        <w:t>19,20</w:t>
      </w:r>
      <w:r w:rsidR="00710A66" w:rsidRPr="00C82CD2">
        <w:fldChar w:fldCharType="end"/>
      </w:r>
      <w:r w:rsidR="00710A66" w:rsidRPr="00C82CD2">
        <w:t xml:space="preserve"> and </w:t>
      </w:r>
      <w:r w:rsidR="00DA530D">
        <w:t xml:space="preserve">by the </w:t>
      </w:r>
      <w:r w:rsidR="00710A66" w:rsidRPr="00C82CD2">
        <w:t>host immune system.</w:t>
      </w:r>
      <w:r w:rsidR="00710A66" w:rsidRPr="00C82CD2">
        <w:fldChar w:fldCharType="begin" w:fldLock="1"/>
      </w:r>
      <w:r w:rsidR="00A439B6">
        <w:instrText>ADDIN CSL_CITATION { "citationItems" : [ { "id" : "ITEM-1", "itemData" : { "DOI" : "10.1016/S0169-4758(98)01261-7", "ISSN" : "01694758", "author" : [ { "dropping-particle" : "", "family" : "LoVerde", "given" : "P.T", "non-dropping-particle" : "", "parse-names" : false, "suffix" : "" } ], "container-title" : "Parasitology Today", "id" : "ITEM-1", "issue" : "7", "issued" : { "date-parts" : [ [ "1998", "7" ] ] }, "page" : "284-289", "title" : "Do Antioxidants Play a Role in Schistosome Host\u2013Parasite Interactions?", "type" : "article-journal", "volume" : "14" }, "uris" : [ "http://www.mendeley.com/documents/?uuid=c091f56d-7da5-425e-8231-ed245a13e58a", "http://www.mendeley.com/documents/?uuid=2e3c95f5-73db-49f5-a451-99404298e194", "http://www.mendeley.com/documents/?uuid=8f0dd7cb-529d-4abc-842c-3a8fd806e291" ] }, { "id" : "ITEM-2", "itemData" : { "DOI" : "10.1016/0169-4758(88)90162-7", "ISSN" : "01694758", "PMID" : "15463102", "abstract" : "Highly reactive oxygen species potentially represent a powerful effector mechanism against parasites. They are produced during normal cellular metabolism, especially by activated phagocytes, and also by some anti parasitic drugs. From studies to date, all protozoan and helminth parasites appear to have one or more anti-oxidant enzymes able to scavenge or quench the reactive oxygen species, and there is strong evidence that such enzymes play a crucial role in protecting against the host response. This detailed review, which summarizes studies on the major anti-oxidant enzymes of helminths, clearly illustrates that methods to block or overcome anti-oxidant protection may be a fertile field in the search for improved ways to inhibit parasite survival.", "author" : [ { "dropping-particle" : "", "family" : "Callahan", "given" : "H L", "non-dropping-particle" : "", "parse-names" : false, "suffix" : "" }, { "dropping-particle" : "", "family" : "Crouch", "given" : "R K", "non-dropping-particle" : "", "parse-names" : false, "suffix" : "" }, { "dropping-particle" : "", "family" : "James", "given" : "E R", "non-dropping-particle" : "", "parse-names" : false, "suffix" : "" } ], "container-title" : "Parasitology today", "id" : "ITEM-2", "issue" : "8", "issued" : { "date-parts" : [ [ "1988" ] ] }, "page" : "218-225", "title" : "Helminth anti-oxidant enzymes: a protective mechanism against host oxidants?", "type" : "article-journal", "volume" : "4" }, "uris" : [ "http://www.mendeley.com/documents/?uuid=49f25c17-dbcc-4a66-9118-e36ad5207521", "http://www.mendeley.com/documents/?uuid=068a588e-dfaa-4a3a-8513-6bd0d99247be", "http://www.mendeley.com/documents/?uuid=44075339-6fef-4e32-8105-549ec9b66cba" ] } ], "mendeley" : { "formattedCitation" : "&lt;sup&gt;21,22&lt;/sup&gt;", "plainTextFormattedCitation" : "21,22", "previouslyFormattedCitation" : "&lt;sup&gt;21,22&lt;/sup&gt;" }, "properties" : { "noteIndex" : 0 }, "schema" : "https://github.com/citation-style-language/schema/raw/master/csl-citation.json" }</w:instrText>
      </w:r>
      <w:r w:rsidR="00710A66" w:rsidRPr="00C82CD2">
        <w:fldChar w:fldCharType="separate"/>
      </w:r>
      <w:r w:rsidR="00AC76A7" w:rsidRPr="00AC76A7">
        <w:rPr>
          <w:noProof/>
          <w:vertAlign w:val="superscript"/>
        </w:rPr>
        <w:t>21,22</w:t>
      </w:r>
      <w:r w:rsidR="00710A66" w:rsidRPr="00C82CD2">
        <w:fldChar w:fldCharType="end"/>
      </w:r>
      <w:r w:rsidRPr="00783721">
        <w:t xml:space="preserve"> </w:t>
      </w:r>
      <w:r w:rsidR="00710A66" w:rsidRPr="00C82CD2">
        <w:t xml:space="preserve">In mammalian cells there are two major systems to detoxify </w:t>
      </w:r>
      <w:r w:rsidR="00710A66">
        <w:t>ROS</w:t>
      </w:r>
      <w:r w:rsidR="00710A66" w:rsidRPr="00C82CD2">
        <w:t xml:space="preserve">, one </w:t>
      </w:r>
      <w:r w:rsidR="00CD0620">
        <w:t xml:space="preserve">is </w:t>
      </w:r>
      <w:r w:rsidR="00710A66" w:rsidRPr="00C82CD2">
        <w:t xml:space="preserve">based on glutathione (GSH) and the other </w:t>
      </w:r>
      <w:r w:rsidR="00CD0620">
        <w:t xml:space="preserve">is </w:t>
      </w:r>
      <w:r w:rsidR="00710A66" w:rsidRPr="00C82CD2">
        <w:t xml:space="preserve">based on </w:t>
      </w:r>
      <w:proofErr w:type="spellStart"/>
      <w:r w:rsidR="00710A66" w:rsidRPr="00C82CD2">
        <w:lastRenderedPageBreak/>
        <w:t>thioredoxin</w:t>
      </w:r>
      <w:proofErr w:type="spellEnd"/>
      <w:r w:rsidR="00710A66" w:rsidRPr="00C82CD2">
        <w:t xml:space="preserve"> (</w:t>
      </w:r>
      <w:proofErr w:type="spellStart"/>
      <w:r w:rsidR="00710A66" w:rsidRPr="00C82CD2">
        <w:t>Trx</w:t>
      </w:r>
      <w:proofErr w:type="spellEnd"/>
      <w:r w:rsidR="00710A66" w:rsidRPr="00C82CD2">
        <w:t>). In both systems</w:t>
      </w:r>
      <w:r w:rsidR="00B350CE">
        <w:t>,</w:t>
      </w:r>
      <w:r w:rsidR="00710A66" w:rsidRPr="00C82CD2">
        <w:t xml:space="preserve"> NADPH provides reducing equivalents via two specialized oxidoreductase </w:t>
      </w:r>
      <w:proofErr w:type="spellStart"/>
      <w:r w:rsidR="00710A66" w:rsidRPr="00C82CD2">
        <w:t>flavoenzymes</w:t>
      </w:r>
      <w:proofErr w:type="spellEnd"/>
      <w:r w:rsidR="00710A66" w:rsidRPr="00C82CD2">
        <w:t xml:space="preserve">. Glutathione reductase (GR) reduces glutathione disulfide (GSSG) and drives the GSH-dependent systems, whereas </w:t>
      </w:r>
      <w:proofErr w:type="spellStart"/>
      <w:r w:rsidR="00710A66" w:rsidRPr="00C82CD2">
        <w:t>Trx</w:t>
      </w:r>
      <w:proofErr w:type="spellEnd"/>
      <w:r w:rsidR="00710A66" w:rsidRPr="00C82CD2">
        <w:t xml:space="preserve"> reductases (TR) are pivotal in the </w:t>
      </w:r>
      <w:proofErr w:type="spellStart"/>
      <w:r w:rsidR="00710A66" w:rsidRPr="00C82CD2">
        <w:t>Trx</w:t>
      </w:r>
      <w:proofErr w:type="spellEnd"/>
      <w:r w:rsidR="00710A66" w:rsidRPr="00C82CD2">
        <w:t>-dependent system.</w:t>
      </w:r>
      <w:r w:rsidR="00710A66">
        <w:t xml:space="preserve"> On the other hand, in </w:t>
      </w:r>
      <w:proofErr w:type="spellStart"/>
      <w:r w:rsidR="00710A66">
        <w:t>schistosomes</w:t>
      </w:r>
      <w:proofErr w:type="spellEnd"/>
      <w:r w:rsidR="00B350CE">
        <w:t>,</w:t>
      </w:r>
      <w:r w:rsidR="00710A66" w:rsidRPr="00C82CD2">
        <w:t xml:space="preserve"> thiol redox homeostasis is completely dependent on </w:t>
      </w:r>
      <w:r w:rsidR="00710A66">
        <w:t>TGR</w:t>
      </w:r>
      <w:r w:rsidR="00710A66" w:rsidRPr="00C82CD2">
        <w:t xml:space="preserve">, </w:t>
      </w:r>
      <w:r w:rsidR="001D652C" w:rsidRPr="001D652C">
        <w:t>which controls the NADPH reduction of GS</w:t>
      </w:r>
      <w:r w:rsidR="00DD31B1">
        <w:t>SG</w:t>
      </w:r>
      <w:r w:rsidR="001D652C" w:rsidRPr="001D652C">
        <w:t xml:space="preserve"> </w:t>
      </w:r>
      <w:r w:rsidR="00DD31B1">
        <w:t>and</w:t>
      </w:r>
      <w:r w:rsidR="001D652C" w:rsidRPr="001D652C">
        <w:t xml:space="preserve"> </w:t>
      </w:r>
      <w:proofErr w:type="spellStart"/>
      <w:r w:rsidR="001D652C" w:rsidRPr="001D652C">
        <w:t>Trx</w:t>
      </w:r>
      <w:proofErr w:type="spellEnd"/>
      <w:r w:rsidR="001D652C" w:rsidRPr="001D652C">
        <w:t xml:space="preserve"> in both systems</w:t>
      </w:r>
      <w:r w:rsidR="00710A66" w:rsidRPr="00C82CD2">
        <w:t>.</w:t>
      </w:r>
      <w:r w:rsidR="00710A66" w:rsidRPr="00C82CD2">
        <w:fldChar w:fldCharType="begin" w:fldLock="1"/>
      </w:r>
      <w:r w:rsidR="00BD74F5">
        <w:instrText>ADDIN CSL_CITATION { "citationItems" : [ { "id" : "ITEM-1", "itemData" : { "DOI" : "10.1016/S0166-6851(02)00031-2", "ISBN" : "0166-6851 (Print)\\r0166-6851 (Linking)", "ISSN" : "01666851", "PMID" : "11985869", "abstract" : "Schistosoma mansoni, a causative agent of schistosomiasis, is a major cause of human morbidity in tropical countries. Adult schistosomes, which reside in the hepatic portal system, are exposed to reactive oxygen compounds through respiration and as a result of the host immune response. To minimize oxidative stress schistosomes must possess adequate mechanisms of detoxification. Major detoxification systems rely on reducing equivalents from the disulfide oxidoreductases glutathione and thioredoxin. Therefore, maintenance of adequate levels of these thiols in a reduced form is critical. Here we show that S. mansoni possess an unusual thiol redox system centered on thioredoxin glutathione reductase. This enzyme represents an unusual fusion of a pyridine nucleotide disulfide oxidoreductase with a redox active glutaredoxin extension. Furthermore, we predict that this is a selenocysteine protein. Immunoprecipitation, western blot and inhibitor studies show that this protein has thioredoxin reductase, glutathione reductase, and glutaredoxin activities. Most importantly, we show that thioredoxin glutathione reductase appears to be the major, if not the sole enzyme for these activities in adult worms, completely replacing thioredoxin reductase and glutathione reductase. This is the first example of an organism with a redox system based exclusively on thioredoxin glutathione reductase. ?? 2002 Elsevier Science B.V. All rights reserved.", "author" : [ { "dropping-particle" : "", "family" : "Alger", "given" : "Heather M", "non-dropping-particle" : "", "parse-names" : false, "suffix" : "" }, { "dropping-particle" : "", "family" : "Williams", "given" : "David L", "non-dropping-particle" : "", "parse-names" : false, "suffix" : "" } ], "container-title" : "Molecular and Biochemical Parasitology", "id" : "ITEM-1", "issue" : "1", "issued" : { "date-parts" : [ [ "2002", "4", "30" ] ] }, "page" : "129-139", "title" : "The disulfide redox system of Schistosoma mansoni and the importance of a multifunctional enzyme, thioredoxin glutathione reductase", "type" : "article-journal", "volume" : "121" }, "uris" : [ "http://www.mendeley.com/documents/?uuid=eef05697-ac1b-489a-bd99-7486402e8204", "http://www.mendeley.com/documents/?uuid=cec85c20-ccd5-4813-8d19-0645ba382ecf" ] }, { "id" : "ITEM-2", "itemData" : { "DOI" : "10.1021/bi200107n", "ISSN" : "0006-2960", "PMID" : "21630672", "abstract" : "Thioredoxin glutathione reductase from Schistosoma mansoni (SmTGR) catalyzes the reduction of both thioredoxin and glutathione disulfides (GSSG), thus playing a crucial role in maintaining redox homeostasis in the parasite. In line with this role, previous studies have demonstrated that SmTGR is a promising drug target for schistosomiasis. To aid in the development of efficacious drugs that target SmTGR, it is essential to understand the catalytic mechanism of SmTGR. SmTGR is a dimeric flavoprotein in the glutathione reductase family and has a head-to-tail arrangement of its monomers; each subunit has the components of both a thioredoxin reductase (TrxR) domain and a glutaredoxin (Grx) domain. However, the active site of the TrxR domain is composed of residues from both subunits: FAD and a redox-active Cys-154/Cys-159 pair from one subunit and a redox-active Cys-596'/Sec-597' pair from the other; the active site of the Grx domain contains a redox-active Cys-28/Cys-31 pair. Via its Cys-28/Cys-31 dithiol and/or its Cys-596'/Sec-597' thiol-selenolate, SmTGR can catalyze the reduction of a variety of substrates by NADPH. It is presumed that SmTGR catalyzes deglutathionylation reactions via the Cys-28/Cys-31 dithiol. Our anaerobic titration data suggest that reducing equivalents from NADPH can indeed reach the Cys-28/Cys-31 disulfide in the Grx domain to facilitate reductions effected by this cysteine pair. To clarify the specific chemical roles of each redox-active residue with respect to its various reactivities, we generated variants of SmTGR. Cys-28 variants had no Grx deglutathionylation activity, whereas Cys-31 variants retained partial Grx deglutathionylation activity, indicating that the Cys-28 thiolate is the nucleophile initiating deglutathionylation. Lags in the steady-state kinetics, found when wild-type SmTGR was incubated at high concentrations of GSSG, were not present in Grx variants, indicating that this cysteine pair is in some way responsible for the lags. A Sec-597 variant was still able to reduce a variety of substrates, albeit slowly, showing that selenocysteine is important but is not the sole determinant for the broad substrate tolerance of the enzyme. Our data show that Cys-520 and Cys-574 are not likely to be involved in the catalytic mechanism.", "author" : [ { "dropping-particle" : "", "family" : "Huang", "given" : "Hsin-hung", "non-dropping-particle" : "", "parse-names" : false, "suffix" : "" }, { "dropping-particle" : "", "family" : "Day", "given" : "Latasha", "non-dropping-particle" : "", "parse-names" : false, "suffix" : "" }, { "dropping-particle" : "", "family" : "Cass", "given" : "Cynthia L", "non-dropping-particle" : "", "parse-names" : false, "suffix" : "" }, { "dropping-particle" : "", "family" : "Ballou", "given" : "David P", "non-dropping-particle" : "", "parse-names" : false, "suffix" : "" }, { "dropping-particle" : "", "family" : "Williams", "given" : "Charles H.", "non-dropping-particle" : "", "parse-names" : false, "suffix" : "" }, { "dropping-particle" : "", "family" : "Williams", "given" : "David L", "non-dropping-particle" : "", "parse-names" : false, "suffix" : "" } ], "container-title" : "Biochemistry", "id" : "ITEM-2", "issue" : "26", "issued" : { "date-parts" : [ [ "2011", "7", "5" ] ] }, "page" : "5870-5882", "title" : "Investigations of the Catalytic Mechanism of Thioredoxin Glutathione Reductase from Schistosoma mansoni", "type" : "article-journal", "volume" : "50" }, "uris" : [ "http://www.mendeley.com/documents/?uuid=e7424fc7-72a8-440d-b2ff-df122a005615" ] }, { "id" : "ITEM-3", "itemData" : { "DOI" : "10.1074/jbc.M110.170761", "ISBN" : "1083-351X", "ISSN" : "00219258", "PMID" : "21051543", "abstract" : "In most organisms, thioredoxin (Trx) and/or glutathione (GSH) systems are essential for redox homeostasis and deoxyribonucleotide synthesis. Platyhelminth parasites have a unique and simplified thiol-based redox system, in which the selenoprotein thioredoxin-glutathione reductase (TGR), a fusion of a glutaredoxin (Grx) domain to canonical thioredoxin reductase domains, is the sole enzyme supplying electrons to oxidized glutathione (GSSG) and Trx. This enzyme has recently been validated as a key drug target for flatworm infections. In this study, we show that TGR possesses GSH-independent deglutathionylase activity on a glutathionylated peptide. Furthermore, we demonstrate that deglutathionylation and GSSG reduction are mediated by the Grx domain by a monothiolic mechanism and that the glutathionylated TGR intermediate is resolved by selenocysteine. Deglutathionylation and GSSG reduction via Grx domain, but not Trx reduction, are inhibited at high [GSSG]/[GSH] ratios. We found that Trxs (cytosolic and mitochondrial) provide alternative pathways for deglutathionylation and GSSG reduction. These pathways are operative at high [GSSG]/[GSH] and function in a complementary manner to the Grx domain-dependent one. Despite the existence of alternative pathways, the thioredoxin reductase domains of TGR are an obligate electron route for both the Grx domain- and the Trx-dependent pathways. Overall, our results provide an explanation for the unique array of thiol-dependent redox pathways present in parasitic platyhelminths. Finally, we found that TGR is inhibited by 1-hydroxy-2-oxo-3-(N-3-methyl-aminopropyl)-3-methyl-1-triazene (NOC-7), giving further evidence for NO donation as a mechanism of action for oxadiazole N-oxide TGR inhibitors. Thus, NO donors aimed at TGR could disrupt the entire redox homeostasis of parasitic flatworms.", "author" : [ { "dropping-particle" : "", "family" : "Bonilla", "given" : "Mariana", "non-dropping-particle" : "", "parse-names" : false, "suffix" : "" }, { "dropping-particle" : "", "family" : "Denicola", "given" : "Ana", "non-dropping-particle" : "", "parse-names" : false, "suffix" : "" }, { "dropping-particle" : "", "family" : "Marino", "given" : "Stefano M", "non-dropping-particle" : "", "parse-names" : false, "suffix" : "" }, { "dropping-particle" : "", "family" : "Gladyshev", "given" : "Vadim N", "non-dropping-particle" : "", "parse-names" : false, "suffix" : "" }, { "dropping-particle" : "", "family" : "Salinas", "given" : "Gustavo", "non-dropping-particle" : "", "parse-names" : false, "suffix" : "" } ], "container-title" : "Journal of Biological Chemistry", "id" : "ITEM-3", "issue" : "7", "issued" : { "date-parts" : [ [ "2011", "2", "18" ] ] }, "page" : "4959-4967", "title" : "Linked thioredoxin-glutathione systems in platyhelminth parasites: Alternative pathways for glutathione reduction and deglutathionylation", "type" : "article-journal", "volume" : "286" }, "uris" : [ "http://www.mendeley.com/documents/?uuid=5c2f08f7-7e25-4607-a04e-586c9902e00c", "http://www.mendeley.com/documents/?uuid=4abe32fc-aa42-4921-97f9-3e6c4c168b77", "http://www.mendeley.com/documents/?uuid=3bcdc351-24e3-42ad-875b-c1fba3185b6e" ] } ], "mendeley" : { "formattedCitation" : "&lt;sup&gt;23\u201325&lt;/sup&gt;", "plainTextFormattedCitation" : "23\u201325", "previouslyFormattedCitation" : "&lt;sup&gt;23\u201325&lt;/sup&gt;" }, "properties" : { "noteIndex" : 0 }, "schema" : "https://github.com/citation-style-language/schema/raw/master/csl-citation.json" }</w:instrText>
      </w:r>
      <w:r w:rsidR="00710A66" w:rsidRPr="00C82CD2">
        <w:fldChar w:fldCharType="separate"/>
      </w:r>
      <w:r w:rsidR="00AC76A7" w:rsidRPr="00AC76A7">
        <w:rPr>
          <w:noProof/>
          <w:vertAlign w:val="superscript"/>
        </w:rPr>
        <w:t>23–25</w:t>
      </w:r>
      <w:r w:rsidR="00710A66" w:rsidRPr="00C82CD2">
        <w:fldChar w:fldCharType="end"/>
      </w:r>
      <w:r w:rsidR="00710A66" w:rsidRPr="00C82CD2">
        <w:t xml:space="preserve"> Given these characteristics, it is expected that the maintenance of the homeostatic levels of </w:t>
      </w:r>
      <w:proofErr w:type="spellStart"/>
      <w:r w:rsidR="00710A66" w:rsidRPr="00C82CD2">
        <w:t>Trx</w:t>
      </w:r>
      <w:proofErr w:type="spellEnd"/>
      <w:r w:rsidR="00710A66" w:rsidRPr="00C82CD2">
        <w:t xml:space="preserve"> and GSH in </w:t>
      </w:r>
      <w:proofErr w:type="spellStart"/>
      <w:r w:rsidR="00710A66" w:rsidRPr="00C82CD2">
        <w:t>schistosomes</w:t>
      </w:r>
      <w:proofErr w:type="spellEnd"/>
      <w:r w:rsidR="00710A66" w:rsidRPr="00C82CD2">
        <w:t xml:space="preserve"> play a key role in a variety of cellular processes, such as defense against oxidative stress, DNA synthesis, detoxification, protein folding and repair.</w:t>
      </w:r>
      <w:r w:rsidR="00710A66" w:rsidRPr="00C82CD2">
        <w:fldChar w:fldCharType="begin" w:fldLock="1"/>
      </w:r>
      <w:r w:rsidR="00BD74F5">
        <w:instrText>ADDIN CSL_CITATION { "citationItems" : [ { "id" : "ITEM-1", "itemData" : { "DOI" : "10.1089/ars.2012.4670", "ISSN" : "1557-7716", "PMID" : "22909029", "abstract" : "SIGNIFICANCE: Platyhelminth parasites cause chronic infections that are a major cause of disability, mortality, and economic losses in developing countries. Maintaining redox homeostasis is a major adaptive problem faced by parasites and its disruption can shift the biochemical balance toward the host. Platyhelminth parasites possess a streamlined thiol-based redox system in which a single enzyme, thioredoxin glutathione reductase (TGR), a fusion of a glutaredoxin (Grx) domain to canonical thioredoxin reductase (TR) domains, supplies electrons to oxidized glutathione (GSSG) and thioredoxin (Trx). TGR has been validated as a drug target for schistosomiasis. RECENT ADVANCES: In addition to glutathione (GSH) and Trx reduction, TGR supports GSH-independent deglutathionylation conferring an additional advantage to the TGR redox array. Biochemical and structural studies have shown that the TR activity does not require the Grx domain, while the glutathione reductase and deglutathionylase activities depend on the Grx domain, which receives electrons from the TR domains. The search for TGR inhibitors has identified promising drug leads, notably oxadiazole N-oxides. CRITICAL ISSUES: A conspicuous feature of platyhelminth TGRs is that their Grx-dependent activities are temporarily inhibited at high GSSG concentrations. The mechanism underlying the phenomenon and its biological relevance are not completely understood. FUTURE DIRECTIONS: The functional diversity of Trxs and Grxs encoded in platyhelminth genomes remains to be further assessed to thoroughly understand the TGR-dependent redox network. Optimization of TGR inhibitors and identification of compounds targeting other parasite redox enzymes are good options to clinically develop relevant drugs for these neglected, but important diseases.", "author" : [ { "dropping-particle" : "", "family" : "Williams", "given" : "David L", "non-dropping-particle" : "", "parse-names" : false, "suffix" : "" }, { "dropping-particle" : "", "family" : "Bonilla", "given" : "Mariana", "non-dropping-particle" : "", "parse-names" : false, "suffix" : "" }, { "dropping-particle" : "", "family" : "Gladyshev", "given" : "Vadim N", "non-dropping-particle" : "", "parse-names" : false, "suffix" : "" }, { "dropping-particle" : "", "family" : "Salinas", "given" : "Gustavo", "non-dropping-particle" : "", "parse-names" : false, "suffix" : "" } ], "container-title" : "Antioxidants &amp; Redox Signaling", "id" : "ITEM-1", "issue" : "7", "issued" : { "date-parts" : [ [ "2013", "9", "1" ] ] }, "note" : "From Duplicate 2 ( \n\n\nThioredoxin glutathione reductase-dependent redox networks in platyhelminth parasites.\n\n\n- Williams, David L; Bonilla, Mariana; Gladyshev, Vadim N; Salinas, Gustavo )\n\n", "page" : "735-745", "title" : "Thioredoxin glutathione reductase-dependent redox networks in platyhelminth parasites.", "type" : "article-journal", "volume" : "19" }, "uris" : [ "http://www.mendeley.com/documents/?uuid=73317e5b-8abf-4064-a977-f01a31749e38", "http://www.mendeley.com/documents/?uuid=eb598caf-0521-4a03-bb0b-b8cf47edeeb7", "http://www.mendeley.com/documents/?uuid=0c69685f-7ea8-4b03-93a9-1f4b59faf972" ] } ], "mendeley" : { "formattedCitation" : "&lt;sup&gt;26&lt;/sup&gt;", "plainTextFormattedCitation" : "26", "previouslyFormattedCitation" : "&lt;sup&gt;26&lt;/sup&gt;" }, "properties" : { "noteIndex" : 0 }, "schema" : "https://github.com/citation-style-language/schema/raw/master/csl-citation.json" }</w:instrText>
      </w:r>
      <w:r w:rsidR="00710A66" w:rsidRPr="00C82CD2">
        <w:fldChar w:fldCharType="separate"/>
      </w:r>
      <w:r w:rsidR="00AC76A7" w:rsidRPr="00AC76A7">
        <w:rPr>
          <w:noProof/>
          <w:vertAlign w:val="superscript"/>
        </w:rPr>
        <w:t>26</w:t>
      </w:r>
      <w:r w:rsidR="00710A66" w:rsidRPr="00C82CD2">
        <w:fldChar w:fldCharType="end"/>
      </w:r>
      <w:r w:rsidR="00710A66">
        <w:t xml:space="preserve"> </w:t>
      </w:r>
      <w:r w:rsidR="00013D73">
        <w:t xml:space="preserve">Moreover, </w:t>
      </w:r>
      <w:r w:rsidR="00BE605B" w:rsidRPr="00C82CD2">
        <w:t xml:space="preserve">RNA interference </w:t>
      </w:r>
      <w:r w:rsidR="00013D73">
        <w:t>studies have showed</w:t>
      </w:r>
      <w:r w:rsidR="00BE605B" w:rsidRPr="00C82CD2">
        <w:t xml:space="preserve"> that inactivation of TGR</w:t>
      </w:r>
      <w:r w:rsidR="00013D73">
        <w:t xml:space="preserve"> of </w:t>
      </w:r>
      <w:r w:rsidR="00013D73" w:rsidRPr="002228F8">
        <w:rPr>
          <w:i/>
        </w:rPr>
        <w:t xml:space="preserve">S. </w:t>
      </w:r>
      <w:proofErr w:type="spellStart"/>
      <w:r w:rsidR="00013D73" w:rsidRPr="002228F8">
        <w:rPr>
          <w:i/>
        </w:rPr>
        <w:t>mansoni</w:t>
      </w:r>
      <w:proofErr w:type="spellEnd"/>
      <w:r w:rsidR="00BE605B" w:rsidRPr="00C82CD2">
        <w:t xml:space="preserve"> </w:t>
      </w:r>
      <w:r w:rsidR="00BE605B">
        <w:t>(</w:t>
      </w:r>
      <w:proofErr w:type="spellStart"/>
      <w:r w:rsidR="00BE605B" w:rsidRPr="002228F8">
        <w:rPr>
          <w:i/>
        </w:rPr>
        <w:t>Sm</w:t>
      </w:r>
      <w:r w:rsidR="00BE605B">
        <w:t>TGR</w:t>
      </w:r>
      <w:proofErr w:type="spellEnd"/>
      <w:r w:rsidR="00BE605B">
        <w:t>)</w:t>
      </w:r>
      <w:r w:rsidR="00013D73" w:rsidRPr="00783721">
        <w:fldChar w:fldCharType="begin" w:fldLock="1"/>
      </w:r>
      <w:r w:rsidR="00BD74F5">
        <w:instrText>ADDIN CSL_CITATION { "citationItems" : [ { "id" : "ITEM-1", "itemData" : { "DOI" : "10.1371/journal.pmed.0040206", "ISSN" : "1549-1676", "PMID" : "17579510", "abstract" : "Schistosomiasis--infection with helminth parasites in the genus Schistosoma, including S. mansoni--is a widespread, devastating tropical disease affecting more than 200 million people. No vaccine is available, and praziquantel, the only drug extensively utilized, is currently administered more than 100 million people yearly. Because praziquantel resistance may develop it is essential to identify novel drug targets. Our goal was to investigate the potential of a unique, selenium-containing parasite enzyme thioredoxin glutathione reductase (TGR) as a drug target.", "author" : [ { "dropping-particle" : "", "family" : "Kuntz", "given" : "Angela N", "non-dropping-particle" : "", "parse-names" : false, "suffix" : "" }, { "dropping-particle" : "", "family" : "Davioud-Charvet", "given" : "Elisabeth", "non-dropping-particle" : "", "parse-names" : false, "suffix" : "" }, { "dropping-particle" : "", "family" : "Sayed", "given" : "Ahmed A", "non-dropping-particle" : "", "parse-names" : false, "suffix" : "" }, { "dropping-particle" : "", "family" : "Califf", "given" : "Lindsay L", "non-dropping-particle" : "", "parse-names" : false, "suffix" : "" }, { "dropping-particle" : "", "family" : "Dessolin", "given" : "Jean", "non-dropping-particle" : "", "parse-names" : false, "suffix" : "" }, { "dropping-particle" : "", "family" : "Arn\u00e9r", "given" : "Elias S J", "non-dropping-particle" : "", "parse-names" : false, "suffix" : "" }, { "dropping-particle" : "", "family" : "Williams", "given" : "David L", "non-dropping-particle" : "", "parse-names" : false, "suffix" : "" } ], "container-title" : "PLoS medicine", "id" : "ITEM-1", "issue" : "6", "issued" : { "date-parts" : [ [ "2007", "6" ] ] }, "page" : "e206", "title" : "Thioredoxin glutathione reductase from Schistosoma mansoni: an essential parasite enzyme and a key drug target.", "type" : "article-journal", "volume" : "4" }, "uris" : [ "http://www.mendeley.com/documents/?uuid=d571d3ae-5718-43c4-8e31-92c9b44e6944" ] } ], "mendeley" : { "formattedCitation" : "&lt;sup&gt;18&lt;/sup&gt;", "plainTextFormattedCitation" : "18", "previouslyFormattedCitation" : "&lt;sup&gt;18&lt;/sup&gt;" }, "properties" : { "noteIndex" : 0 }, "schema" : "https://github.com/citation-style-language/schema/raw/master/csl-citation.json" }</w:instrText>
      </w:r>
      <w:r w:rsidR="00013D73" w:rsidRPr="00783721">
        <w:fldChar w:fldCharType="separate"/>
      </w:r>
      <w:r w:rsidR="00AC76A7" w:rsidRPr="00AC76A7">
        <w:rPr>
          <w:noProof/>
          <w:vertAlign w:val="superscript"/>
        </w:rPr>
        <w:t>18</w:t>
      </w:r>
      <w:r w:rsidR="00013D73" w:rsidRPr="00783721">
        <w:fldChar w:fldCharType="end"/>
      </w:r>
      <w:r w:rsidR="00BE605B">
        <w:t xml:space="preserve"> </w:t>
      </w:r>
      <w:r w:rsidR="00013D73">
        <w:t xml:space="preserve">and TGR of </w:t>
      </w:r>
      <w:r w:rsidR="00013D73">
        <w:rPr>
          <w:i/>
        </w:rPr>
        <w:t xml:space="preserve">S. </w:t>
      </w:r>
      <w:proofErr w:type="spellStart"/>
      <w:r w:rsidR="00013D73">
        <w:rPr>
          <w:i/>
        </w:rPr>
        <w:t>ja</w:t>
      </w:r>
      <w:r w:rsidR="00013D73" w:rsidRPr="00013D73">
        <w:rPr>
          <w:i/>
        </w:rPr>
        <w:t>ponicum</w:t>
      </w:r>
      <w:proofErr w:type="spellEnd"/>
      <w:r w:rsidR="00013D73">
        <w:t xml:space="preserve"> (</w:t>
      </w:r>
      <w:proofErr w:type="spellStart"/>
      <w:r w:rsidR="00013D73" w:rsidRPr="00013D73">
        <w:rPr>
          <w:i/>
        </w:rPr>
        <w:t>Sj</w:t>
      </w:r>
      <w:r w:rsidR="00013D73">
        <w:t>TGR</w:t>
      </w:r>
      <w:proofErr w:type="spellEnd"/>
      <w:r w:rsidR="00013D73">
        <w:t>)</w:t>
      </w:r>
      <w:r w:rsidR="00013D73" w:rsidRPr="00783721">
        <w:fldChar w:fldCharType="begin" w:fldLock="1"/>
      </w:r>
      <w:r w:rsidR="00A439B6">
        <w:instrText>ADDIN CSL_CITATION { "citationItems" : [ { "id" : "ITEM-1", "itemData" : { "DOI" : "10.1371/journal.pone.0031456", "ISSN" : "1932-6203", "PMID" : "22384025", "abstract" : "Schistosomiasis remains a major public health concern affecting billions of people around the world. Currently, praziquantel is the only drug of choice for treatment of human schistosomiasis. The emergence of drug resistance to praziquantel in schistosomes makes the development of novel drugs an urgent task. Thioredoxin glutathione reductase (TGR) enzymes in Schistosoma mansoni and some other platyhelminths have been identified as alternative targets. The present study was designed to confirm the existense and the potential value of TGR as a target for development of novel antischistosomal agents in Schistosoma japonicum, a platyhelminth endemic in Asia.", "author" : [ { "dropping-particle" : "", "family" : "Song", "given" : "Lijun", "non-dropping-particle" : "", "parse-names" : false, "suffix" : "" }, { "dropping-particle" : "", "family" : "Li", "given" : "Jiahuang", "non-dropping-particle" : "", "parse-names" : false, "suffix" : "" }, { "dropping-particle" : "", "family" : "Xie", "given" : "Shuying", "non-dropping-particle" : "", "parse-names" : false, "suffix" : "" }, { "dropping-particle" : "", "family" : "Qian", "given" : "Chunyan", "non-dropping-particle" : "", "parse-names" : false, "suffix" : "" }, { "dropping-particle" : "", "family" : "Wang", "given" : "Jie", "non-dropping-particle" : "", "parse-names" : false, "suffix" : "" }, { "dropping-particle" : "", "family" : "Zhang", "given" : "Wei", "non-dropping-particle" : "", "parse-names" : false, "suffix" : "" }, { "dropping-particle" : "", "family" : "Yin", "given" : "Xuren", "non-dropping-particle" : "", "parse-names" : false, "suffix" : "" }, { "dropping-particle" : "", "family" : "Hua", "given" : "Zichun", "non-dropping-particle" : "", "parse-names" : false, "suffix" : "" }, { "dropping-particle" : "", "family" : "Yu", "given" : "Chuanxin", "non-dropping-particle" : "", "parse-names" : false, "suffix" : "" } ], "container-title" : "PloS one", "id" : "ITEM-1", "issue" : "2", "issued" : { "date-parts" : [ [ "2012", "1" ] ] }, "page" : "e31456", "title" : "Thioredoxin Glutathione Reductase as a Novel Drug Target: Evidence from Schistosoma japonicum.", "type" : "article-journal", "volume" : "7" }, "uris" : [ "http://www.mendeley.com/documents/?uuid=3f62aad7-849b-4cce-8dbb-0b5d394a89d0", "http://www.mendeley.com/documents/?uuid=ce8e065d-bec0-4d1a-b1e9-408b4467cbbe" ] }, { "id" : "ITEM-2", "itemData" : { "DOI" : "10.1645/13-397.1", "ISSN" : "0022-3395", "PMID" : "24628421", "author" : [ { "dropping-particle" : "", "family" : "Han", "given" : "Yanhui", "non-dropping-particle" : "", "parse-names" : false, "suffix" : "" }, { "dropping-particle" : "", "family" : "Fu", "given" : "Zhiqiang", "non-dropping-particle" : "", "parse-names" : false, "suffix" : "" }, { "dropping-particle" : "", "family" : "Hong", "given" : "Yang", "non-dropping-particle" : "", "parse-names" : false, "suffix" : "" }, { "dropping-particle" : "", "family" : "Zhang", "given" : "Min", "non-dropping-particle" : "", "parse-names" : false, "suffix" : "" }, { "dropping-particle" : "", "family" : "Han", "given" : "Hongxiao", "non-dropping-particle" : "", "parse-names" : false, "suffix" : "" }, { "dropping-particle" : "", "family" : "Lu", "given" : "Ke", "non-dropping-particle" : "", "parse-names" : false, "suffix" : "" }, { "dropping-particle" : "", "family" : "Yang", "given" : "Jianmei", "non-dropping-particle" : "", "parse-names" : false, "suffix" : "" }, { "dropping-particle" : "", "family" : "Li", "given" : "Xiangrui", "non-dropping-particle" : "", "parse-names" : false, "suffix" : "" }, { "dropping-particle" : "", "family" : "Lin", "given" : "Jiaojiao", "non-dropping-particle" : "", "parse-names" : false, "suffix" : "" } ], "container-title" : "Journal of Parasitology", "id" : "ITEM-2", "issue" : "4", "issued" : { "date-parts" : [ [ "2014", "8" ] ] }, "page" : "463-469", "title" : "Inhibitory Effects and Analysis of RNA Interference on Thioredoxin Glutathione Reductase Expression in Schistosoma japonicum", "type" : "article-journal", "volume" : "100" }, "uris" : [ "http://www.mendeley.com/documents/?uuid=97632046-a8e2-4631-9170-e73e9e05ac63", "http://www.mendeley.com/documents/?uuid=64036145-60bf-4c46-ab7f-5e9b40d4c370" ] } ], "mendeley" : { "formattedCitation" : "&lt;sup&gt;27,28&lt;/sup&gt;", "plainTextFormattedCitation" : "27,28", "previouslyFormattedCitation" : "&lt;sup&gt;27,28&lt;/sup&gt;" }, "properties" : { "noteIndex" : 0 }, "schema" : "https://github.com/citation-style-language/schema/raw/master/csl-citation.json" }</w:instrText>
      </w:r>
      <w:r w:rsidR="00013D73" w:rsidRPr="00783721">
        <w:fldChar w:fldCharType="separate"/>
      </w:r>
      <w:r w:rsidR="00AC76A7" w:rsidRPr="00AC76A7">
        <w:rPr>
          <w:noProof/>
          <w:vertAlign w:val="superscript"/>
        </w:rPr>
        <w:t>27,28</w:t>
      </w:r>
      <w:r w:rsidR="00013D73" w:rsidRPr="00783721">
        <w:fldChar w:fldCharType="end"/>
      </w:r>
      <w:r w:rsidR="00013D73">
        <w:t xml:space="preserve"> </w:t>
      </w:r>
      <w:r w:rsidR="00BE605B" w:rsidRPr="00C82CD2">
        <w:t xml:space="preserve">has profound effects on </w:t>
      </w:r>
      <w:r w:rsidR="00BE605B" w:rsidRPr="002228F8">
        <w:t>worm</w:t>
      </w:r>
      <w:r w:rsidR="00BE605B" w:rsidRPr="00C82CD2">
        <w:t xml:space="preserve"> survival rates bot</w:t>
      </w:r>
      <w:r w:rsidR="00013D73">
        <w:t>h in culture</w:t>
      </w:r>
      <w:r w:rsidR="00CD0620">
        <w:t xml:space="preserve"> medium</w:t>
      </w:r>
      <w:r w:rsidR="00013D73">
        <w:t xml:space="preserve"> and infected mice.</w:t>
      </w:r>
      <w:r w:rsidR="00BE605B" w:rsidRPr="00C82CD2">
        <w:t xml:space="preserve"> </w:t>
      </w:r>
    </w:p>
    <w:p w14:paraId="048AD6D2" w14:textId="5CA9D060" w:rsidR="00BE605B" w:rsidRDefault="00DA5635" w:rsidP="00D702B5">
      <w:pPr>
        <w:pStyle w:val="TAMainText"/>
      </w:pPr>
      <w:r w:rsidRPr="00DA5635">
        <w:t xml:space="preserve">Due to the importance of TGR in parasite's redox balance, </w:t>
      </w:r>
      <w:r w:rsidR="0089733D">
        <w:t xml:space="preserve">we hypothesized that </w:t>
      </w:r>
      <w:r w:rsidRPr="00DA5635">
        <w:t xml:space="preserve">known </w:t>
      </w:r>
      <w:proofErr w:type="spellStart"/>
      <w:r w:rsidRPr="00DA5635">
        <w:rPr>
          <w:i/>
        </w:rPr>
        <w:t>Sm</w:t>
      </w:r>
      <w:r w:rsidRPr="00DA5635">
        <w:t>TGR</w:t>
      </w:r>
      <w:proofErr w:type="spellEnd"/>
      <w:r w:rsidRPr="00DA5635">
        <w:t xml:space="preserve"> inhibitors </w:t>
      </w:r>
      <w:r w:rsidR="001D652C">
        <w:t>listed on publicly available databases</w:t>
      </w:r>
      <w:r w:rsidRPr="00DA5635">
        <w:t xml:space="preserve"> may serve as </w:t>
      </w:r>
      <w:r w:rsidR="00DA530D">
        <w:t xml:space="preserve">the </w:t>
      </w:r>
      <w:r w:rsidRPr="00DA5635">
        <w:t>chemical basis to discover new anti-</w:t>
      </w:r>
      <w:proofErr w:type="spellStart"/>
      <w:r w:rsidRPr="00DA5635">
        <w:t>schistosomal</w:t>
      </w:r>
      <w:proofErr w:type="spellEnd"/>
      <w:r w:rsidR="00DA530D">
        <w:t xml:space="preserve"> compound</w:t>
      </w:r>
      <w:r w:rsidRPr="00DA5635">
        <w:t>s</w:t>
      </w:r>
      <w:r w:rsidR="0089733D">
        <w:t xml:space="preserve"> by Virtual Screening (VS)</w:t>
      </w:r>
      <w:r w:rsidRPr="00DA5635">
        <w:t>.</w:t>
      </w:r>
      <w:r>
        <w:t xml:space="preserve"> </w:t>
      </w:r>
      <w:r w:rsidR="00D702B5" w:rsidRPr="00C82CD2">
        <w:t xml:space="preserve">Docking-based and pharmacophore-based approaches are the </w:t>
      </w:r>
      <w:r w:rsidR="00D702B5" w:rsidRPr="00F01AAA">
        <w:t>most popular VS strategies to identify putative hits in chemical libraries</w:t>
      </w:r>
      <w:r w:rsidR="000451D9">
        <w:t>. However</w:t>
      </w:r>
      <w:r w:rsidR="00D702B5" w:rsidRPr="00F01AAA">
        <w:t xml:space="preserve">, in recent years, </w:t>
      </w:r>
      <w:r w:rsidR="00C6168C" w:rsidRPr="00F01AAA">
        <w:t>quantitative structure activity relationships (QSAR) models</w:t>
      </w:r>
      <w:r w:rsidR="00D702B5" w:rsidRPr="00F01AAA">
        <w:t xml:space="preserve"> have been used widely in VS applications as well.</w:t>
      </w:r>
      <w:r w:rsidR="00D702B5" w:rsidRPr="00F01AAA">
        <w:fldChar w:fldCharType="begin" w:fldLock="1"/>
      </w:r>
      <w:r w:rsidR="00BD74F5">
        <w:instrText>ADDIN CSL_CITATION { "citationItems" : [ { "id" : "ITEM-1", "itemData" : { "DOI" : "10.1021/ci300421n", "ISBN" : "1549-9596", "ISSN" : "15499596", "PMID" : "23252936", "abstract" : "Quantitative structure-activity relationship (QSAR) models have been developed for a data set of 3133 compounds defined as either active or inactive against P. falciparum. Because the data set was strongly biased toward inactive compounds, different sampling approaches were employed to balance the ratio of actives versus inactives, and models were rigorously validated using both internal and external validation approaches. The balanced accuracy for assessing the antimalarial activities of 70 external compounds was between 87% and 100% depending on the approach used to balance the data set. Virtual screening of the ChemBridge database using QSAR models identified 176 putative antimalarial compounds that were submitted for experimental validation, along with 42 putative inactives as negative controls. Twenty five (14.2%) computational hits were found to have antimalarial activities with minimal cytotoxicity to mammalian cells, while all 42 putative inactives were confirmed experimentally. Structural inspection of confirmed active hits revealed novel chemical scaffolds, which could be employed as starting points to discover novel antimalarial agents.", "author" : [ { "dropping-particle" : "", "family" : "Zhang", "given" : "Liying", "non-dropping-particle" : "", "parse-names" : false, "suffix" : "" }, { "dropping-particle" : "", "family" : "Fourches", "given" : "Denis", "non-dropping-particle" : "", "parse-names" : false, "suffix" : "" }, { "dropping-particle" : "", "family" : "Sedykh", "given" : "Alexander", "non-dropping-particle" : "", "parse-names" : false, "suffix" : "" }, { "dropping-particle" : "", "family" : "Zhu", "given" : "Hao", "non-dropping-particle" : "", "parse-names" : false, "suffix" : "" }, { "dropping-particle" : "", "family" : "Golbraikh", "given" : "Alexander", "non-dropping-particle" : "", "parse-names" : false, "suffix" : "" }, { "dropping-particle" : "", "family" : "Ekins", "given" : "Sean", "non-dropping-particle" : "", "parse-names" : false, "suffix" : "" }, { "dropping-particle" : "", "family" : "Clark", "given" : "Julie", "non-dropping-particle" : "", "parse-names" : false, "suffix" : "" }, { "dropping-particle" : "", "family" : "Connelly", "given" : "Michele C", "non-dropping-particle" : "", "parse-names" : false, "suffix" : "" }, { "dropping-particle" : "", "family" : "Sigal", "given" : "Martina", "non-dropping-particle" : "", "parse-names" : false, "suffix" : "" }, { "dropping-particle" : "", "family" : "Hodges", "given" : "Dena", "non-dropping-particle" : "", "parse-names" : false, "suffix" : "" }, { "dropping-particle" : "", "family" : "Guiguemde", "given" : "Armand", "non-dropping-particle" : "", "parse-names" : false, "suffix" : "" }, { "dropping-particle" : "", "family" : "Guy", "given" : "R Kiplin", "non-dropping-particle" : "", "parse-names" : false, "suffix" : "" }, { "dropping-particle" : "", "family" : "Tropsha", "given" : "Alexander", "non-dropping-particle" : "", "parse-names" : false, "suffix" : "" } ], "container-title" : "Journal of Chemical Information and Modeling", "id" : "ITEM-1", "issue" : "2", "issued" : { "date-parts" : [ [ "2013", "2", "25" ] ] }, "page" : "475-492", "title" : "Discovery of novel antimalarial compounds enabled by QSAR-based virtual screening", "type" : "article-journal", "volume" : "53" }, "uris" : [ "http://www.mendeley.com/documents/?uuid=50b7b87f-5f56-46f0-8fe1-acdc8ab597c1" ] }, { "id" : "ITEM-2", "itemData" : { "DOI" : "10.1016/j.bmcl.2013.02.006", "ISSN" : "1464-3405", "PMID" : "23499236", "abstract" : "We here report the discovery of novel Plasmodium falciparum enoyl-ACP reductase (PfENR) inhibitors as new antimalarial hits through ligand- and structure-based drug design approaches. We performed 2D and 3D QSAR studies on a set of rhodanine analogues using hologram QSAR (HQSAR), comparative molecular field analysis (CoMFA) and comparative molecular similarity indices analysis (CoMSIA) techniques. Statistical and satisfactory results were obtained for the best HQSAR (r(2) of 0.968 and qLOO(2) of 0.751), CoMFA (r(2) of 0.955 and qLOO(2) of 0.806) and CoMSIA (r(2) of 0.965 and qLOO(2) of 0.659) models. The information gathered from the QSAR models guided us to design new PfENR inhibitors. Three new hits were predicted with potency in the submicromolar range and presented drug-like properties.", "author" : [ { "dropping-particle" : "", "family" : "Neves", "given" : "Bruno J", "non-dropping-particle" : "", "parse-names" : false, "suffix" : "" }, { "dropping-particle" : "V", "family" : "Bueno", "given" : "Renata", "non-dropping-particle" : "", "parse-names" : false, "suffix" : "" }, { "dropping-particle" : "", "family" : "Braga", "given" : "Rodolpho C", "non-dropping-particle" : "", "parse-names" : false, "suffix" : "" }, { "dropping-particle" : "", "family" : "Andrade", "given" : "Carolina H", "non-dropping-particle" : "", "parse-names" : false, "suffix" : "" } ], "container-title" : "Bioorganic &amp; medicinal chemistry letters", "id" : "ITEM-2", "issue" : "8", "issued" : { "date-parts" : [ [ "2013", "4", "15" ] ] }, "page" : "2436-2441", "publisher" : "Elsevier Ltd", "title" : "Discovery of new potential hits of Plasmodium falciparum enoyl-ACP reductase through ligand- and structure-based drug design approaches.", "type" : "article-journal", "volume" : "23" }, "uris" : [ "http://www.mendeley.com/documents/?uuid=fa44f907-b2ee-4002-9ece-00af2966db91" ] }, { "id" : "ITEM-3", "itemData" : { "DOI" : "10.1007/s00894-012-1527-8", "ISSN" : "0948-5023", "PMID" : "22846924", "abstract" : "Tuberculosis (TB) still remains one of the most deadly infectious diseases. Mycobacterium tuberculosis thymidine monophosphate kinase (TMPKmt) has emerged as an attractive molecular target for the design of a novel class of anti-TB agents since blocking it will affect the pathways involved in DNA replication. Aiming at shedding some light on structural and chemical features that are important for the affinity of thymidine derivatives to TMPKmt, we have employed a special fragment-based method to develop robust quantitative structure-activity relationship models for a large and chemically diverse series of thymidine-based analogues. Significant statistical parameters (r2= 0.94, q2= 0.76, r2pred= 0.89) were obtained, indicating the reliability of the hologram QSAR model in predicting the biological activity of untested compounds. The 2D model was then used to predict the potency of an external test set, and the predicted values obtained from the HQSAR model were in good agreement with the experimental results. We have accordingly designed novel TMPKmt inhibitors by utilizing the fragments proposed by HQSAR analysis and predicted with good activity in the developed models. The new designed compounds also presented drug-like characteristics based on Lipinski's rule of 5. The generated molecular recognition patterns gathered from the HQSAR analysis combined with quantum mechanics/molecular mechanics (QM/MM) docking studies, provided important insights into the chemical and structural basis involved in the molecular recognition process of this series of thymidine analogues and should be useful for the design of new potent anti-TB agents.", "author" : [ { "dropping-particle" : "V", "family" : "Bueno", "given" : "Renata", "non-dropping-particle" : "", "parse-names" : false, "suffix" : "" }, { "dropping-particle" : "", "family" : "Toledo", "given" : "Ney R", "non-dropping-particle" : "", "parse-names" : false, "suffix" : "" }, { "dropping-particle" : "", "family" : "Neves", "given" : "Bruno J", "non-dropping-particle" : "", "parse-names" : false, "suffix" : "" }, { "dropping-particle" : "", "family" : "Braga", "given" : "Rodolpho C", "non-dropping-particle" : "", "parse-names" : false, "suffix" : "" }, { "dropping-particle" : "", "family" : "Andrade", "given" : "Carolina H", "non-dropping-particle" : "", "parse-names" : false, "suffix" : "" } ], "container-title" : "Journal of molecular modeling", "id" : "ITEM-3", "issue" : "1", "issued" : { "date-parts" : [ [ "2013", "1" ] ] }, "page" : "179-192", "publisher" : "Springer Berlin / Heidelberg", "title" : "Structural and chemical basis for enhanced affinity to a series of mycobacterial thymidine monophosphate kinase inhibitors: fragment-based QSAR and QM/MM docking studies.", "type" : "article-journal", "volume" : "19" }, "uris" : [ "http://www.mendeley.com/documents/?uuid=ef5aca35-9b31-4039-98cf-638df11c5e5e" ] }, { "id" : "ITEM-4", "itemData" : { "ISSN" : "1873-4294", "PMID" : "25262801", "abstract" : "Virtual screening (VS) techniques are well-established tools in the modern drug discovery process, mainly used for hit finding in drug discovery. The availability of knowledge of structural information, which includes an increasing number of 3D protein structures and the readiness of free databases of commercially available smallmolecules, provides a broad platform for VS. This review summarizes the current developments in VS regarding chemical databases and highlights the achievements as well as the challenges with an emphasis on a recent example of the successful application for the identification of new hits for sterol 14\u03b1-demethylase (CYP51) of Trypanosoma cruzi.", "author" : [ { "dropping-particle" : "", "family" : "Braga", "given" : "Rodolpho Campos", "non-dropping-particle" : "", "parse-names" : false, "suffix" : "" }, { "dropping-particle" : "", "family" : "Alves", "given" : "Vinicius M", "non-dropping-particle" : "", "parse-names" : false, "suffix" : "" }, { "dropping-particle" : "", "family" : "Silva", "given" : "Arthur C", "non-dropping-particle" : "", "parse-names" : false, "suffix" : "" }, { "dropping-particle" : "", "family" : "Nascimento", "given" : "Marilia N", "non-dropping-particle" : "", "parse-names" : false, "suffix" : "" }, { "dropping-particle" : "", "family" : "Silva", "given" : "Flavia C", "non-dropping-particle" : "", "parse-names" : false, "suffix" : "" }, { "dropping-particle" : "", "family" : "Liao", "given" : "Luciano M", "non-dropping-particle" : "", "parse-names" : false, "suffix" : "" }, { "dropping-particle" : "", "family" : "Andrade", "given" : "Carolina Horta", "non-dropping-particle" : "", "parse-names" : false, "suffix" : "" } ], "container-title" : "Current Topics in Medicinal Chemistry", "id" : "ITEM-4", "issue" : "16", "issued" : { "date-parts" : [ [ "2014", "1" ] ] }, "page" : "1899-1912", "title" : "Virtual screening strategies in medicinal chemistry: the state of the art and current challenges.", "type" : "article-journal", "volume" : "14" }, "uris" : [ "http://www.mendeley.com/documents/?uuid=3dcd3cc5-7526-4906-9cf9-6b05997911ae" ] }, { "id" : "ITEM-5", "itemData" : { "ISSN" : "1875-6697", "PMID" : "24724896", "abstract" : "Drug discovery is mostly guided by innovative and knowledge by the application of experimental and computational approaches. Quantitative structure-activity relationships (QSAR) have a critical task in the discovery and optimization of lead compounds, thereby contributing to the development of new chemical entities. 3D-QSAR methods use the information of the tridimensional molecular structure of ligands and can be applied to elucidate the relationships between 3D molecular interactions and their measured biological property, therefore, providing a rational approach for the development of new potential compounds. The purpose of this review is to provide a perspective of the utility of 3DQSAR approaches in drug design, focusing on progress, challenges and future orientations. The essential steps involved to generate reliable and predictive CoMFA models are discussed. Moreover, we present an example of application of a CoMFA study to derive 3D-QSAR models for a series of oxadiazoles inhibitors of Schistosoma mansoni Thioredoxin Glutathione Reductase (SmTGR).", "author" : [ { "dropping-particle" : "", "family" : "Melo-Filho", "given" : "Cleber Camilo", "non-dropping-particle" : "", "parse-names" : false, "suffix" : "" }, { "dropping-particle" : "", "family" : "Braga", "given" : "Rodolpho Campos", "non-dropping-particle" : "", "parse-names" : false, "suffix" : "" }, { "dropping-particle" : "", "family" : "Andrade", "given" : "Carolina Horta", "non-dropping-particle" : "", "parse-names" : false, "suffix" : "" } ], "container-title" : "Current Computer-Aided Drug Design", "id" : "ITEM-5", "issue" : "2", "issued" : { "date-parts" : [ [ "2014", "1" ] ] }, "page" : "148-59", "title" : "3D-QSAR Approaches in Drug Design: Perspectives to Generate Reliable CoMFA Models.", "type" : "article-journal", "volume" : "10" }, "uris" : [ "http://www.mendeley.com/documents/?uuid=d82ae2c1-741e-4fda-aa51-6918bbdacd7c" ] }, { "id" : "ITEM-6", "itemData" : { "DOI" : "10.1093/jac/dkm172", "ISSN" : "0305-7453", "PMID" : "17550890", "abstract" : "OBJECTIVES The objectives of this study were (i) to apply computer-based technologies to evaluate the structure of 48 N,N'-(bis-5-nitropyrimidyl)dispirotripiperazines which belong to a new class of highly active antiviral compounds binding to cell surface heparan sulphates, (ii) to understand the chemical- biological interactions governing their activities, and (iii) to design new compounds with strong antiviral activity. METHODS The logarithm of 50% cytotoxic concentration (CC(50)) in GMK cells, of 50% inhibitory concentration (IC(50)) against herpes simplex virus type 1, and of selectivity index (SI = CC(50)/IC(50)) was used to develop quantitative structure-activity relationships (QSARs) based on simplex representation of molecular structure. The QSAR model was applied to design new compounds. Two of these compounds were synthesized, physico-chemically characterized and tested for cytotoxicity and antiviral activity. RESULTS Statistic characteristics for partial least squares models allow the prediction of CC(50), IC(50) and SI values. The QSAR results demonstrate a high impact of individual structural fragments for antiviral activity. Molecular fragments that promote and interfere with antiviral activity were defined on the basis of the obtained models. Electrostatic factors (38%) and hydrophobicity (34%) were the most important determinants of antiherpetic activity. Using the established method, new potential dispirotripiperazine derivatives were computationally designed. Two of these computationally designed compounds were synthesized. The biological test results confirm the computationally predicted values of these compounds. CONCLUSIONS The established QSAR model is suitable for the design of new antiherpetic compounds and prediction of their activity.", "author" : [ { "dropping-particle" : "", "family" : "Artemenko", "given" : "A G", "non-dropping-particle" : "", "parse-names" : false, "suffix" : "" }, { "dropping-particle" : "", "family" : "Muratov", "given" : "E N", "non-dropping-particle" : "", "parse-names" : false, "suffix" : "" }, { "dropping-particle" : "", "family" : "Kuz'min", "given" : "V E", "non-dropping-particle" : "", "parse-names" : false, "suffix" : "" }, { "dropping-particle" : "", "family" : "Kovdienko", "given" : "N A", "non-dropping-particle" : "", "parse-names" : false, "suffix" : "" }, { "dropping-particle" : "", "family" : "Hromov", "given" : "A I", "non-dropping-particle" : "", "parse-names" : false, "suffix" : "" }, { "dropping-particle" : "", "family" : "Makarov", "given" : "V A", "non-dropping-particle" : "", "parse-names" : false, "suffix" : "" }, { "dropping-particle" : "", "family" : "Riabova", "given" : "O B", "non-dropping-particle" : "", "parse-names" : false, "suffix" : "" }, { "dropping-particle" : "", "family" : "Wutzler", "given" : "P", "non-dropping-particle" : "", "parse-names" : false, "suffix" : "" }, { "dropping-particle" : "", "family" : "Schmidtke", "given" : "M", "non-dropping-particle" : "", "parse-names" : false, "suffix" : "" } ], "container-title" : "The Journal of antimicrobial chemotherapy", "id" : "ITEM-6", "issue" : "1", "issued" : { "date-parts" : [ [ "2007", "7" ] ] }, "page" : "68-77", "title" : "Identification of individual structural fragments of N,N'-(bis-5-nitropyrimidyl)dispirotripiperazine derivatives for cytotoxicity and antiherpetic activity allows the prediction of new highly active compounds.", "type" : "article-journal", "volume" : "60" }, "uris" : [ "http://www.mendeley.com/documents/?uuid=c20675e0-261d-4783-97d7-be1f3551bc6b", "http://www.mendeley.com/documents/?uuid=a14961df-883c-4667-b387-35e2d2fe3885" ] }, { "id" : "ITEM-7", "itemData" : { "DOI" : "10.1021/jm0704806", "ISSN" : "0022-2623", "PMID" : "17665898", "abstract" : "The 50% cytotoxic concentration (CC50) in HeLa cells, the 50% inhibitory concentration (IC50) against human rhinovirus 2 (HRV-2), and the selectivity index (SI = CC50/IC50) of [(biphenyloxy)propyl]isoxazole derivatives were used to develop quantitative structure-activity relationships (QSAR) based on simplex representation of molecular structure. Statistic characteristics for partial least-squares models are quite satisfactory (R2 = 0.838 - 0.918; Q2 = 0.695 - 0.87) for prediction of CC50, IC50, and SI values and permit the virtual screening and molecular design of new compounds with strong anti-HRV-2 activity. The quality of prognosis for designed compounds was additionally estimated by analysis of domain applicability for each QSAR model. A hypothesis to the effect that terminal benzene substituents must have negative electrostatic potential and definite length (approximately 5.5-5.6 A) to possess strong antiviral activity has been suggested. The quality of developed analysis, i.e., high level of antiviral action of three new designed compounds, has been confirmed experimentally.", "author" : [ { "dropping-particle" : "", "family" : "Kuz'min", "given" : "Victor E", "non-dropping-particle" : "", "parse-names" : false, "suffix" : "" }, { "dropping-particle" : "", "family" : "Artemenko", "given" : "Anatoly G", "non-dropping-particle" : "", "parse-names" : false, "suffix" : "" }, { "dropping-particle" : "", "family" : "Muratov", "given" : "Eugene N", "non-dropping-particle" : "", "parse-names" : false, "suffix" : "" }, { "dropping-particle" : "", "family" : "Volineckaya", "given" : "Ingrid L", "non-dropping-particle" : "", "parse-names" : false, "suffix" : "" }, { "dropping-particle" : "", "family" : "Makarov", "given" : "Vadim A", "non-dropping-particle" : "", "parse-names" : false, "suffix" : "" }, { "dropping-particle" : "", "family" : "Riabova", "given" : "Olga B", "non-dropping-particle" : "", "parse-names" : false, "suffix" : "" }, { "dropping-particle" : "", "family" : "Wutzler", "given" : "Peter", "non-dropping-particle" : "", "parse-names" : false, "suffix" : "" }, { "dropping-particle" : "", "family" : "Schmidtke", "given" : "Michaela", "non-dropping-particle" : "", "parse-names" : false, "suffix" : "" } ], "container-title" : "Journal of medicinal chemistry", "id" : "ITEM-7", "issue" : "17", "issued" : { "date-parts" : [ [ "2007", "8", "23" ] ] }, "page" : "4205-4213", "title" : "Quantitative structure-activity relationship studies of [(biphenyloxy)propyl]isoxazole derivatives. Inhibitors of human rhinovirus 2 replication.", "type" : "article-journal", "volume" : "50" }, "uris" : [ "http://www.mendeley.com/documents/?uuid=0370ffef-faca-4630-bf6d-a593aa8cdd29", "http://www.mendeley.com/documents/?uuid=0e681a0c-eff2-4257-8cdb-e3f2f4ec86cd" ] } ], "mendeley" : { "formattedCitation" : "&lt;sup&gt;29\u201335&lt;/sup&gt;", "plainTextFormattedCitation" : "29\u201335", "previouslyFormattedCitation" : "&lt;sup&gt;29\u201335&lt;/sup&gt;" }, "properties" : { "noteIndex" : 0 }, "schema" : "https://github.com/citation-style-language/schema/raw/master/csl-citation.json" }</w:instrText>
      </w:r>
      <w:r w:rsidR="00D702B5" w:rsidRPr="00F01AAA">
        <w:fldChar w:fldCharType="separate"/>
      </w:r>
      <w:r w:rsidR="00AC76A7" w:rsidRPr="00AC76A7">
        <w:rPr>
          <w:noProof/>
          <w:vertAlign w:val="superscript"/>
        </w:rPr>
        <w:t>29–35</w:t>
      </w:r>
      <w:r w:rsidR="00D702B5" w:rsidRPr="00F01AAA">
        <w:fldChar w:fldCharType="end"/>
      </w:r>
      <w:r w:rsidR="00D702B5" w:rsidRPr="00F01AAA">
        <w:t xml:space="preserve"> </w:t>
      </w:r>
    </w:p>
    <w:p w14:paraId="205FA7FD" w14:textId="635B2550" w:rsidR="00E6107A" w:rsidRDefault="004720F0" w:rsidP="00195F51">
      <w:pPr>
        <w:pStyle w:val="TAMainText"/>
      </w:pPr>
      <w:r>
        <w:t xml:space="preserve">The </w:t>
      </w:r>
      <w:r w:rsidR="003C4453">
        <w:t xml:space="preserve">main </w:t>
      </w:r>
      <w:r>
        <w:t xml:space="preserve">goal of </w:t>
      </w:r>
      <w:r w:rsidR="00803FCF" w:rsidRPr="00803FCF">
        <w:t>this study</w:t>
      </w:r>
      <w:r>
        <w:t xml:space="preserve"> </w:t>
      </w:r>
      <w:r w:rsidR="0038480A">
        <w:t>was</w:t>
      </w:r>
      <w:r w:rsidR="003C4453">
        <w:t xml:space="preserve"> the</w:t>
      </w:r>
      <w:r>
        <w:t xml:space="preserve"> identification of new structurally dissimilar compounds with high anti-</w:t>
      </w:r>
      <w:proofErr w:type="spellStart"/>
      <w:r>
        <w:t>s</w:t>
      </w:r>
      <w:r w:rsidR="0028166D">
        <w:t>c</w:t>
      </w:r>
      <w:r>
        <w:t>histosomal</w:t>
      </w:r>
      <w:proofErr w:type="spellEnd"/>
      <w:r>
        <w:t xml:space="preserve"> activity. To achieve this goal, we </w:t>
      </w:r>
      <w:r w:rsidR="0038480A">
        <w:t xml:space="preserve">designed a study with the </w:t>
      </w:r>
      <w:r>
        <w:t xml:space="preserve">following </w:t>
      </w:r>
      <w:r w:rsidR="0038480A">
        <w:t>steps</w:t>
      </w:r>
      <w:r>
        <w:t>:</w:t>
      </w:r>
      <w:r w:rsidR="00803FCF" w:rsidRPr="00803FCF">
        <w:t xml:space="preserve"> </w:t>
      </w:r>
      <w:r>
        <w:t>(</w:t>
      </w:r>
      <w:proofErr w:type="spellStart"/>
      <w:r>
        <w:t>i</w:t>
      </w:r>
      <w:proofErr w:type="spellEnd"/>
      <w:r>
        <w:t>) collect</w:t>
      </w:r>
      <w:r w:rsidR="0038480A">
        <w:t>ion</w:t>
      </w:r>
      <w:r>
        <w:t>, rigorously curat</w:t>
      </w:r>
      <w:r w:rsidR="0038480A">
        <w:t>ion</w:t>
      </w:r>
      <w:r>
        <w:t>, and integrat</w:t>
      </w:r>
      <w:r w:rsidR="0038480A">
        <w:t>ion</w:t>
      </w:r>
      <w:r>
        <w:t xml:space="preserve"> </w:t>
      </w:r>
      <w:r w:rsidR="0038480A">
        <w:t xml:space="preserve">of </w:t>
      </w:r>
      <w:r>
        <w:t xml:space="preserve">the largest possible dataset of </w:t>
      </w:r>
      <w:proofErr w:type="spellStart"/>
      <w:r w:rsidRPr="00803FCF">
        <w:rPr>
          <w:i/>
        </w:rPr>
        <w:t>Sm</w:t>
      </w:r>
      <w:r w:rsidRPr="00803FCF">
        <w:t>TGR</w:t>
      </w:r>
      <w:proofErr w:type="spellEnd"/>
      <w:r>
        <w:t xml:space="preserve"> inhibitors; (ii) </w:t>
      </w:r>
      <w:r w:rsidR="00803FCF" w:rsidRPr="00803FCF">
        <w:t>development of rigorously validated and mechanistically interpretable binary QSAR models</w:t>
      </w:r>
      <w:r>
        <w:t>; (iii)</w:t>
      </w:r>
      <w:r w:rsidR="00803FCF" w:rsidRPr="00803FCF">
        <w:t xml:space="preserve"> </w:t>
      </w:r>
      <w:r>
        <w:t>application</w:t>
      </w:r>
      <w:r w:rsidR="00803FCF" w:rsidRPr="00803FCF">
        <w:t xml:space="preserve"> </w:t>
      </w:r>
      <w:r>
        <w:t>of</w:t>
      </w:r>
      <w:r w:rsidR="003E6285">
        <w:t xml:space="preserve"> generated</w:t>
      </w:r>
      <w:r w:rsidR="00803FCF" w:rsidRPr="00803FCF">
        <w:t xml:space="preserve"> models for VS </w:t>
      </w:r>
      <w:r>
        <w:t xml:space="preserve">of 3 subsets from </w:t>
      </w:r>
      <w:proofErr w:type="spellStart"/>
      <w:r>
        <w:t>ChemBridge</w:t>
      </w:r>
      <w:proofErr w:type="spellEnd"/>
      <w:r>
        <w:t xml:space="preserve"> library (~</w:t>
      </w:r>
      <w:r w:rsidRPr="00803FCF">
        <w:t xml:space="preserve"> </w:t>
      </w:r>
      <w:r w:rsidR="00803FCF" w:rsidRPr="00803FCF">
        <w:t>150,000 compounds</w:t>
      </w:r>
      <w:r>
        <w:t>); (iv)</w:t>
      </w:r>
      <w:r w:rsidR="00CA6EC0">
        <w:t xml:space="preserve"> </w:t>
      </w:r>
      <w:r>
        <w:t xml:space="preserve">interpretation of developed models to derive </w:t>
      </w:r>
      <w:r>
        <w:lastRenderedPageBreak/>
        <w:t xml:space="preserve">structural rules useful for targeted design of new inhibitors; </w:t>
      </w:r>
      <w:r w:rsidR="0038480A">
        <w:t xml:space="preserve">and </w:t>
      </w:r>
      <w:r>
        <w:t xml:space="preserve">(v) </w:t>
      </w:r>
      <w:r w:rsidR="00803FCF" w:rsidRPr="00803FCF">
        <w:t xml:space="preserve">experimental </w:t>
      </w:r>
      <w:r w:rsidR="005C22B1" w:rsidRPr="00803FCF">
        <w:t>validation</w:t>
      </w:r>
      <w:r>
        <w:t xml:space="preserve"> of prioritized/designed hits</w:t>
      </w:r>
      <w:r w:rsidR="005C22B1">
        <w:t xml:space="preserve"> on live </w:t>
      </w:r>
      <w:proofErr w:type="spellStart"/>
      <w:r w:rsidR="005C22B1">
        <w:t>schistosomula</w:t>
      </w:r>
      <w:proofErr w:type="spellEnd"/>
      <w:r w:rsidR="005C22B1">
        <w:t xml:space="preserve"> and adult worms in two distinct HCS platforms</w:t>
      </w:r>
      <w:r w:rsidR="005C22B1" w:rsidRPr="00803FCF">
        <w:t>.</w:t>
      </w:r>
      <w:r w:rsidR="005C22B1">
        <w:t xml:space="preserve"> </w:t>
      </w:r>
      <w:r w:rsidR="007C2AEF">
        <w:t xml:space="preserve">As a result of this study, we </w:t>
      </w:r>
      <w:r w:rsidR="005C22B1">
        <w:t>f</w:t>
      </w:r>
      <w:r w:rsidR="003E6285">
        <w:t>ou</w:t>
      </w:r>
      <w:r w:rsidR="005C22B1">
        <w:t xml:space="preserve">nd </w:t>
      </w:r>
      <w:r w:rsidR="003E6285">
        <w:t xml:space="preserve">that </w:t>
      </w:r>
      <w:r w:rsidR="005C22B1">
        <w:t>the QSAR</w:t>
      </w:r>
      <w:r w:rsidR="005C22B1" w:rsidRPr="00803FCF">
        <w:t xml:space="preserve"> models </w:t>
      </w:r>
      <w:r w:rsidR="003E6285">
        <w:t>were</w:t>
      </w:r>
      <w:r w:rsidR="005C22B1" w:rsidRPr="00803FCF">
        <w:t xml:space="preserve"> efficient </w:t>
      </w:r>
      <w:r w:rsidR="003E6285">
        <w:t xml:space="preserve">for </w:t>
      </w:r>
      <w:r w:rsidR="005C22B1" w:rsidRPr="00803FCF">
        <w:t>predict</w:t>
      </w:r>
      <w:r w:rsidR="003E6285">
        <w:t>ion</w:t>
      </w:r>
      <w:r w:rsidR="005C22B1" w:rsidRPr="00803FCF">
        <w:t xml:space="preserve"> </w:t>
      </w:r>
      <w:r w:rsidR="005C22B1">
        <w:t>of</w:t>
      </w:r>
      <w:r w:rsidR="005C22B1" w:rsidRPr="00803FCF">
        <w:t xml:space="preserve"> new</w:t>
      </w:r>
      <w:r w:rsidR="005C22B1">
        <w:t xml:space="preserve"> </w:t>
      </w:r>
      <w:proofErr w:type="spellStart"/>
      <w:r w:rsidR="005C22B1" w:rsidRPr="00110534">
        <w:rPr>
          <w:i/>
        </w:rPr>
        <w:t>Sm</w:t>
      </w:r>
      <w:r w:rsidR="005C22B1">
        <w:t>TGR</w:t>
      </w:r>
      <w:proofErr w:type="spellEnd"/>
      <w:r w:rsidR="005C22B1">
        <w:t xml:space="preserve"> inhibitors </w:t>
      </w:r>
      <w:r w:rsidR="004B588B">
        <w:t>and identif</w:t>
      </w:r>
      <w:r w:rsidR="003E6285">
        <w:t>ied</w:t>
      </w:r>
      <w:r w:rsidR="004B588B">
        <w:t xml:space="preserve"> </w:t>
      </w:r>
      <w:r w:rsidR="005B156F">
        <w:t>six</w:t>
      </w:r>
      <w:r w:rsidR="00E17188">
        <w:t xml:space="preserve"> novel </w:t>
      </w:r>
      <w:r w:rsidR="005C22B1" w:rsidRPr="00803FCF">
        <w:t>anti-</w:t>
      </w:r>
      <w:proofErr w:type="spellStart"/>
      <w:r w:rsidR="005C22B1" w:rsidRPr="00803FCF">
        <w:t>schistosomal</w:t>
      </w:r>
      <w:proofErr w:type="spellEnd"/>
      <w:r w:rsidR="005C22B1" w:rsidRPr="00803FCF">
        <w:t xml:space="preserve"> </w:t>
      </w:r>
      <w:r w:rsidR="008179F2">
        <w:t>hit compounds</w:t>
      </w:r>
      <w:r w:rsidR="005B156F">
        <w:t xml:space="preserve"> active against </w:t>
      </w:r>
      <w:proofErr w:type="spellStart"/>
      <w:r w:rsidR="005B156F">
        <w:t>schistosomula</w:t>
      </w:r>
      <w:proofErr w:type="spellEnd"/>
      <w:r w:rsidR="005B156F">
        <w:t xml:space="preserve"> and three hits active against adult worms</w:t>
      </w:r>
      <w:r w:rsidR="00803FCF" w:rsidRPr="00803FCF">
        <w:t>.</w:t>
      </w:r>
      <w:r w:rsidR="007C2AEF">
        <w:t xml:space="preserve"> </w:t>
      </w:r>
      <w:r w:rsidR="0015038C" w:rsidRPr="00174459">
        <w:rPr>
          <w:rFonts w:cs="Times"/>
          <w:szCs w:val="24"/>
        </w:rPr>
        <w:t>Among them</w:t>
      </w:r>
      <w:r w:rsidR="00262062" w:rsidRPr="00174459">
        <w:rPr>
          <w:rFonts w:cs="Times"/>
          <w:szCs w:val="24"/>
        </w:rPr>
        <w:t>,</w:t>
      </w:r>
      <w:r w:rsidR="007C2AEF" w:rsidRPr="00174459">
        <w:rPr>
          <w:rFonts w:cs="Times"/>
          <w:szCs w:val="24"/>
        </w:rPr>
        <w:t xml:space="preserve"> two </w:t>
      </w:r>
      <w:r w:rsidR="0015038C" w:rsidRPr="00174459">
        <w:rPr>
          <w:rFonts w:cs="Times"/>
          <w:szCs w:val="24"/>
        </w:rPr>
        <w:t>hits,</w:t>
      </w:r>
      <w:r w:rsidR="007C2AEF" w:rsidRPr="00174459">
        <w:rPr>
          <w:rFonts w:cs="Times"/>
          <w:szCs w:val="24"/>
        </w:rPr>
        <w:t xml:space="preserve"> </w:t>
      </w:r>
      <w:r w:rsidR="00C34073" w:rsidRPr="00DC3BB2">
        <w:rPr>
          <w:rFonts w:cs="Times"/>
          <w:szCs w:val="24"/>
        </w:rPr>
        <w:t>2-[2-(3-methyl-4-nitro-5-</w:t>
      </w:r>
      <w:proofErr w:type="gramStart"/>
      <w:r w:rsidR="00C34073" w:rsidRPr="00DC3BB2">
        <w:rPr>
          <w:rFonts w:cs="Times"/>
          <w:szCs w:val="24"/>
        </w:rPr>
        <w:t>isoxazolyl)vinyl</w:t>
      </w:r>
      <w:proofErr w:type="gramEnd"/>
      <w:r w:rsidR="00C34073" w:rsidRPr="00DC3BB2">
        <w:rPr>
          <w:rFonts w:cs="Times"/>
          <w:szCs w:val="24"/>
        </w:rPr>
        <w:t>]pyridine</w:t>
      </w:r>
      <w:r w:rsidR="00C34073">
        <w:rPr>
          <w:rFonts w:cs="Times"/>
          <w:szCs w:val="24"/>
        </w:rPr>
        <w:t xml:space="preserve"> (</w:t>
      </w:r>
      <w:r w:rsidR="00C34073" w:rsidRPr="00DD6BFF">
        <w:rPr>
          <w:rFonts w:cs="Times"/>
          <w:b/>
          <w:szCs w:val="24"/>
        </w:rPr>
        <w:t>3</w:t>
      </w:r>
      <w:r w:rsidR="00C34073">
        <w:rPr>
          <w:rFonts w:cs="Times"/>
          <w:szCs w:val="24"/>
        </w:rPr>
        <w:t>)</w:t>
      </w:r>
      <w:r w:rsidR="00C34073" w:rsidRPr="00174459">
        <w:rPr>
          <w:rFonts w:cs="Times"/>
          <w:szCs w:val="24"/>
        </w:rPr>
        <w:t xml:space="preserve"> and</w:t>
      </w:r>
      <w:r w:rsidR="00C34073" w:rsidRPr="00174459">
        <w:rPr>
          <w:rFonts w:cs="Times"/>
          <w:b/>
          <w:szCs w:val="24"/>
        </w:rPr>
        <w:t xml:space="preserve"> </w:t>
      </w:r>
      <w:r w:rsidR="00C34073" w:rsidRPr="00DC3BB2">
        <w:rPr>
          <w:rFonts w:cs="Times"/>
          <w:szCs w:val="24"/>
        </w:rPr>
        <w:t>2-(</w:t>
      </w:r>
      <w:proofErr w:type="spellStart"/>
      <w:r w:rsidR="00C34073" w:rsidRPr="00DC3BB2">
        <w:rPr>
          <w:rFonts w:cs="Times"/>
          <w:szCs w:val="24"/>
        </w:rPr>
        <w:t>benzylsulfonyl</w:t>
      </w:r>
      <w:proofErr w:type="spellEnd"/>
      <w:r w:rsidR="00C34073" w:rsidRPr="00DC3BB2">
        <w:rPr>
          <w:rFonts w:cs="Times"/>
          <w:szCs w:val="24"/>
        </w:rPr>
        <w:t>)-1,3-benzothiazole</w:t>
      </w:r>
      <w:r w:rsidR="00C34073">
        <w:rPr>
          <w:rFonts w:cs="Times"/>
          <w:szCs w:val="24"/>
        </w:rPr>
        <w:t xml:space="preserve"> (</w:t>
      </w:r>
      <w:r w:rsidR="00C34073" w:rsidRPr="00DD6BFF">
        <w:rPr>
          <w:b/>
        </w:rPr>
        <w:t>4</w:t>
      </w:r>
      <w:r w:rsidR="00C34073" w:rsidRPr="00DD6BFF">
        <w:t>)</w:t>
      </w:r>
      <w:r w:rsidR="007C2AEF" w:rsidRPr="00174459">
        <w:rPr>
          <w:rFonts w:cs="Times"/>
          <w:szCs w:val="24"/>
        </w:rPr>
        <w:t>, representing new chemical scaffolds structurally dissimilar t</w:t>
      </w:r>
      <w:r w:rsidR="007C2AEF">
        <w:rPr>
          <w:rFonts w:cs="Times"/>
          <w:szCs w:val="24"/>
        </w:rPr>
        <w:t xml:space="preserve">o known inhibitors of </w:t>
      </w:r>
      <w:r w:rsidR="007C2AEF" w:rsidRPr="00DF5861">
        <w:rPr>
          <w:i/>
        </w:rPr>
        <w:t xml:space="preserve">S. </w:t>
      </w:r>
      <w:proofErr w:type="spellStart"/>
      <w:r w:rsidR="007C2AEF" w:rsidRPr="00DF5861">
        <w:rPr>
          <w:i/>
        </w:rPr>
        <w:t>mansoni</w:t>
      </w:r>
      <w:proofErr w:type="spellEnd"/>
      <w:r w:rsidR="007C2AEF">
        <w:rPr>
          <w:i/>
        </w:rPr>
        <w:t xml:space="preserve">, </w:t>
      </w:r>
      <w:r w:rsidR="007C2AEF">
        <w:rPr>
          <w:rFonts w:cs="Times"/>
          <w:szCs w:val="24"/>
        </w:rPr>
        <w:t>could be considered as promising anti-</w:t>
      </w:r>
      <w:proofErr w:type="spellStart"/>
      <w:r w:rsidR="007C2AEF">
        <w:rPr>
          <w:rFonts w:cs="Times"/>
          <w:szCs w:val="24"/>
        </w:rPr>
        <w:t>schistosomal</w:t>
      </w:r>
      <w:proofErr w:type="spellEnd"/>
      <w:r w:rsidR="007C2AEF">
        <w:rPr>
          <w:rFonts w:cs="Times"/>
          <w:szCs w:val="24"/>
        </w:rPr>
        <w:t xml:space="preserve"> agents</w:t>
      </w:r>
      <w:r w:rsidR="007C2AEF" w:rsidRPr="001D652C">
        <w:t>.</w:t>
      </w:r>
    </w:p>
    <w:p w14:paraId="481969FA" w14:textId="77777777" w:rsidR="00BE605B" w:rsidRPr="00CD43E2" w:rsidRDefault="00BE605B" w:rsidP="00C34073">
      <w:pPr>
        <w:pStyle w:val="Footer"/>
        <w:spacing w:before="360" w:after="240" w:line="480" w:lineRule="auto"/>
        <w:outlineLvl w:val="0"/>
        <w:rPr>
          <w:b/>
        </w:rPr>
      </w:pPr>
      <w:r w:rsidRPr="00CD43E2">
        <w:rPr>
          <w:b/>
        </w:rPr>
        <w:t>RESULTS</w:t>
      </w:r>
      <w:r w:rsidR="00D933E9">
        <w:rPr>
          <w:b/>
        </w:rPr>
        <w:t xml:space="preserve"> AND DISCUSSIONS</w:t>
      </w:r>
    </w:p>
    <w:p w14:paraId="12037537" w14:textId="3D49C1C8" w:rsidR="00AC2A7C" w:rsidRDefault="00B72D25">
      <w:pPr>
        <w:pStyle w:val="TAMainText"/>
        <w:rPr>
          <w:rFonts w:ascii="Times New Roman" w:hAnsi="Times New Roman"/>
          <w:szCs w:val="24"/>
        </w:rPr>
      </w:pPr>
      <w:r>
        <w:rPr>
          <w:b/>
        </w:rPr>
        <w:t>Dataset Balancing</w:t>
      </w:r>
      <w:r w:rsidR="001C4883" w:rsidRPr="004A1E22">
        <w:rPr>
          <w:b/>
        </w:rPr>
        <w:t>.</w:t>
      </w:r>
      <w:r w:rsidR="001C4883">
        <w:rPr>
          <w:b/>
        </w:rPr>
        <w:t xml:space="preserve"> </w:t>
      </w:r>
      <w:r w:rsidR="00AA4471" w:rsidRPr="00AA4471">
        <w:t>Initially</w:t>
      </w:r>
      <w:r w:rsidR="00AA4471">
        <w:t>, thousands c</w:t>
      </w:r>
      <w:r w:rsidR="0085404A" w:rsidRPr="0085404A">
        <w:t xml:space="preserve">ompounds with </w:t>
      </w:r>
      <w:proofErr w:type="spellStart"/>
      <w:r w:rsidR="0085404A" w:rsidRPr="007E0E66">
        <w:rPr>
          <w:i/>
        </w:rPr>
        <w:t>Sm</w:t>
      </w:r>
      <w:r w:rsidR="0085404A" w:rsidRPr="0085404A">
        <w:t>TGR</w:t>
      </w:r>
      <w:proofErr w:type="spellEnd"/>
      <w:r w:rsidR="0085404A" w:rsidRPr="0085404A">
        <w:t xml:space="preserve"> inhibition data w</w:t>
      </w:r>
      <w:r w:rsidR="007C2AEF">
        <w:t>ere</w:t>
      </w:r>
      <w:r w:rsidR="0085404A" w:rsidRPr="0085404A">
        <w:t xml:space="preserve"> retrieved from the PubChem Bioassay database (AID: 485364) and used to build binary QSAR models.</w:t>
      </w:r>
      <w:r w:rsidR="00AA4471">
        <w:t xml:space="preserve"> Further, </w:t>
      </w:r>
      <w:r w:rsidR="00CF1A14">
        <w:t>un-curated chemical</w:t>
      </w:r>
      <w:r w:rsidR="00AA4471">
        <w:t xml:space="preserve"> structures were standardized, duplicates were removed</w:t>
      </w:r>
      <w:r w:rsidR="00CF1A14">
        <w:t xml:space="preserve">, and </w:t>
      </w:r>
      <w:r w:rsidR="00CF1A14" w:rsidRPr="00C82CD2">
        <w:t xml:space="preserve">2,854 compounds </w:t>
      </w:r>
      <w:r w:rsidR="00CF1A14">
        <w:t>with</w:t>
      </w:r>
      <w:r w:rsidR="00CF1A14" w:rsidRPr="00C82CD2">
        <w:t xml:space="preserve"> reproducible potency (IC</w:t>
      </w:r>
      <w:r w:rsidR="00CF1A14" w:rsidRPr="00C82CD2">
        <w:rPr>
          <w:vertAlign w:val="subscript"/>
        </w:rPr>
        <w:t>50</w:t>
      </w:r>
      <w:r w:rsidR="00CF1A14">
        <w:t xml:space="preserve">) ≤ 10 </w:t>
      </w:r>
      <w:proofErr w:type="spellStart"/>
      <w:r w:rsidR="00CF1A14">
        <w:t>μM</w:t>
      </w:r>
      <w:proofErr w:type="spellEnd"/>
      <w:r w:rsidR="00CF1A14" w:rsidRPr="00C82CD2">
        <w:t xml:space="preserve"> were considered as inhibitors, whereas the remaining </w:t>
      </w:r>
      <w:r w:rsidR="00CF1A14" w:rsidRPr="0085404A">
        <w:t>337,327</w:t>
      </w:r>
      <w:r w:rsidR="00CF1A14" w:rsidRPr="00C82CD2">
        <w:t xml:space="preserve"> compounds were considered as non-inhibitors.</w:t>
      </w:r>
      <w:r w:rsidR="0085404A" w:rsidRPr="0085404A">
        <w:t xml:space="preserve"> </w:t>
      </w:r>
      <w:r w:rsidR="00CF1A14" w:rsidRPr="00C82CD2">
        <w:t>Because the original</w:t>
      </w:r>
      <w:r w:rsidR="00CF1A14">
        <w:t xml:space="preserve"> </w:t>
      </w:r>
      <w:r w:rsidR="00202BE9">
        <w:t>dataset</w:t>
      </w:r>
      <w:r w:rsidR="00CF1A14">
        <w:t xml:space="preserve"> was highly unbalanced,</w:t>
      </w:r>
      <w:r w:rsidR="00B20B40">
        <w:t xml:space="preserve"> i.e.,</w:t>
      </w:r>
      <w:r w:rsidR="00CF1A14">
        <w:t xml:space="preserve"> </w:t>
      </w:r>
      <w:r w:rsidR="00CF1A14" w:rsidRPr="00C82CD2">
        <w:t>2,854 inhibitors and 337,327 non-inhibitors</w:t>
      </w:r>
      <w:r w:rsidR="00CF1A14">
        <w:t xml:space="preserve"> (1:118 ratio)</w:t>
      </w:r>
      <w:r w:rsidR="00CF1A14" w:rsidRPr="00C82CD2">
        <w:t xml:space="preserve">, </w:t>
      </w:r>
      <w:r w:rsidR="00CF1A14">
        <w:t>it is not recommended building</w:t>
      </w:r>
      <w:r w:rsidR="00CF1A14" w:rsidRPr="00C82CD2" w:rsidDel="000A412A">
        <w:t xml:space="preserve"> </w:t>
      </w:r>
      <w:r w:rsidR="00CF1A14" w:rsidRPr="00C82CD2">
        <w:t>binary QSAR models for the entire data set.</w:t>
      </w:r>
      <w:r w:rsidR="00CF1A14">
        <w:t xml:space="preserve"> </w:t>
      </w:r>
      <w:r w:rsidR="00CF3E64">
        <w:rPr>
          <w:rFonts w:ascii="Times New Roman" w:hAnsi="Times New Roman"/>
          <w:szCs w:val="24"/>
        </w:rPr>
        <w:t>D</w:t>
      </w:r>
      <w:r w:rsidR="00AC2A7C" w:rsidRPr="00FE617B">
        <w:rPr>
          <w:rFonts w:ascii="Times New Roman" w:hAnsi="Times New Roman"/>
          <w:szCs w:val="24"/>
        </w:rPr>
        <w:t xml:space="preserve">uring </w:t>
      </w:r>
      <w:r w:rsidR="0067093D">
        <w:rPr>
          <w:rFonts w:ascii="Times New Roman" w:hAnsi="Times New Roman"/>
          <w:szCs w:val="24"/>
        </w:rPr>
        <w:t>model building</w:t>
      </w:r>
      <w:r w:rsidR="00AC2A7C" w:rsidRPr="0021073D">
        <w:rPr>
          <w:rFonts w:ascii="Times New Roman" w:hAnsi="Times New Roman"/>
          <w:szCs w:val="24"/>
        </w:rPr>
        <w:t xml:space="preserve">, most machine learning methods </w:t>
      </w:r>
      <w:r w:rsidR="007C2AEF">
        <w:rPr>
          <w:rFonts w:ascii="Times New Roman" w:hAnsi="Times New Roman"/>
          <w:szCs w:val="24"/>
        </w:rPr>
        <w:t>need</w:t>
      </w:r>
      <w:r w:rsidR="007C2AEF" w:rsidRPr="0021073D">
        <w:rPr>
          <w:rFonts w:ascii="Times New Roman" w:hAnsi="Times New Roman"/>
          <w:szCs w:val="24"/>
        </w:rPr>
        <w:t xml:space="preserve"> </w:t>
      </w:r>
      <w:r w:rsidR="00AC2A7C" w:rsidRPr="0021073D">
        <w:rPr>
          <w:rFonts w:ascii="Times New Roman" w:hAnsi="Times New Roman"/>
          <w:szCs w:val="24"/>
        </w:rPr>
        <w:t>equal weighting of the classes in terms of both the number of instances and the level of importance (i.e.</w:t>
      </w:r>
      <w:r w:rsidR="007C2AEF">
        <w:rPr>
          <w:rFonts w:ascii="Times New Roman" w:hAnsi="Times New Roman"/>
          <w:szCs w:val="24"/>
        </w:rPr>
        <w:t>,</w:t>
      </w:r>
      <w:r w:rsidR="00AC2A7C" w:rsidRPr="0021073D">
        <w:rPr>
          <w:rFonts w:ascii="Times New Roman" w:hAnsi="Times New Roman"/>
          <w:szCs w:val="24"/>
        </w:rPr>
        <w:t xml:space="preserve"> active class has the same importance as inactive class). </w:t>
      </w:r>
      <w:r w:rsidR="00AC2A7C">
        <w:rPr>
          <w:rFonts w:ascii="Times New Roman" w:hAnsi="Times New Roman"/>
          <w:szCs w:val="24"/>
        </w:rPr>
        <w:t>Consequently</w:t>
      </w:r>
      <w:r w:rsidR="00AC2A7C" w:rsidRPr="0021073D">
        <w:rPr>
          <w:rFonts w:ascii="Times New Roman" w:hAnsi="Times New Roman"/>
          <w:szCs w:val="24"/>
        </w:rPr>
        <w:t>, when trying to predict a minority class in an unbalanced dataset</w:t>
      </w:r>
      <w:r w:rsidR="00CF3E64">
        <w:rPr>
          <w:rFonts w:ascii="Times New Roman" w:hAnsi="Times New Roman"/>
          <w:szCs w:val="24"/>
        </w:rPr>
        <w:t>,</w:t>
      </w:r>
      <w:r w:rsidR="00AC2A7C" w:rsidRPr="0021073D">
        <w:rPr>
          <w:rFonts w:ascii="Times New Roman" w:hAnsi="Times New Roman"/>
          <w:szCs w:val="24"/>
        </w:rPr>
        <w:t xml:space="preserve"> machine learning methods are prone to assign most samples to</w:t>
      </w:r>
      <w:r w:rsidR="00983F3A">
        <w:rPr>
          <w:rFonts w:ascii="Times New Roman" w:hAnsi="Times New Roman"/>
          <w:szCs w:val="24"/>
        </w:rPr>
        <w:t xml:space="preserve"> the</w:t>
      </w:r>
      <w:r w:rsidR="00AC2A7C" w:rsidRPr="0021073D">
        <w:rPr>
          <w:rFonts w:ascii="Times New Roman" w:hAnsi="Times New Roman"/>
          <w:szCs w:val="24"/>
        </w:rPr>
        <w:t xml:space="preserve"> majority class, resulting in a large number of erroneous predictions</w:t>
      </w:r>
      <w:r w:rsidR="007C2AEF">
        <w:rPr>
          <w:rFonts w:ascii="Times New Roman" w:hAnsi="Times New Roman"/>
          <w:szCs w:val="24"/>
        </w:rPr>
        <w:t xml:space="preserve"> for minority class</w:t>
      </w:r>
      <w:r w:rsidR="00AC2A7C" w:rsidRPr="0021073D">
        <w:rPr>
          <w:rFonts w:ascii="Times New Roman" w:hAnsi="Times New Roman"/>
          <w:szCs w:val="24"/>
        </w:rPr>
        <w:t>.</w:t>
      </w:r>
      <w:r w:rsidR="00AC2A7C" w:rsidRPr="00C82CD2">
        <w:rPr>
          <w:rFonts w:ascii="Times New Roman" w:hAnsi="Times New Roman"/>
          <w:szCs w:val="24"/>
        </w:rPr>
        <w:fldChar w:fldCharType="begin" w:fldLock="1"/>
      </w:r>
      <w:r w:rsidR="00A439B6">
        <w:rPr>
          <w:rFonts w:ascii="Times New Roman" w:hAnsi="Times New Roman"/>
          <w:szCs w:val="24"/>
        </w:rPr>
        <w:instrText>ADDIN CSL_CITATION { "citationItems" : [ { "id" : "ITEM-1", "itemData" : { "DOI" : "10.1021/ci400737s", "ISSN" : "15205142", "PMID" : "24524735", "abstract" : "Many of the structures in PubChem are annotated with activities determined in high-throughput screening (HTS) assays. Because of the nature of these assays, the activity data are typically strongly imbalanced, with a small number of active compounds contrasting with a very large number of inactive compounds. We have used several such imbalanced PubChem HTS assays to test and develop strategies to efficiently build robust QSAR models from imbalanced data sets. Different descriptor types [Quantitative Neighborhoods of Atoms (QNA) and \"biological\" descriptors] were used to generate a variety of QSAR models in the program GUSAR. The models obtained were compared using external test and validation sets. We also report on our efforts to incorporate the most predictive of our models in the publicly available NCI/CADD Group Web services ( http://cactus.nci.nih.gov/chemical/apps/cap).", "author" : [ { "dropping-particle" : "V.", "family" : "Zakharov", "given" : "Alexey", "non-dropping-particle" : "", "parse-names" : false, "suffix" : "" }, { "dropping-particle" : "", "family" : "Peach", "given" : "Megan L.", "non-dropping-particle" : "", "parse-names" : false, "suffix" : "" }, { "dropping-particle" : "", "family" : "Sitzmann", "given" : "Markus", "non-dropping-particle" : "", "parse-names" : false, "suffix" : "" }, { "dropping-particle" : "", "family" : "Nicklaus", "given" : "Marc C.", "non-dropping-particle" : "", "parse-names" : false, "suffix" : "" } ], "container-title" : "Journal of Chemical Information and Modeling", "id" : "ITEM-1", "issue" : "3", "issued" : { "date-parts" : [ [ "2014" ] ] }, "page" : "705-712", "title" : "QSAR modeling of imbalanced high-throughput screening data in PubChem", "type" : "article-journal", "volume" : "54" }, "uris" : [ "http://www.mendeley.com/documents/?uuid=b616d34d-fed6-46ea-8d34-56e0b837a38b", "http://www.mendeley.com/documents/?uuid=4c697169-2615-44a0-8b3b-c136a2e9831d" ] } ], "mendeley" : { "formattedCitation" : "&lt;sup&gt;36&lt;/sup&gt;", "plainTextFormattedCitation" : "36", "previouslyFormattedCitation" : "&lt;sup&gt;36&lt;/sup&gt;" }, "properties" : { "noteIndex" : 0 }, "schema" : "https://github.com/citation-style-language/schema/raw/master/csl-citation.json" }</w:instrText>
      </w:r>
      <w:r w:rsidR="00AC2A7C" w:rsidRPr="00C82CD2">
        <w:rPr>
          <w:rFonts w:ascii="Times New Roman" w:hAnsi="Times New Roman"/>
          <w:szCs w:val="24"/>
        </w:rPr>
        <w:fldChar w:fldCharType="separate"/>
      </w:r>
      <w:r w:rsidR="00AC76A7" w:rsidRPr="00AC76A7">
        <w:rPr>
          <w:rFonts w:ascii="Times New Roman" w:hAnsi="Times New Roman"/>
          <w:noProof/>
          <w:szCs w:val="24"/>
          <w:vertAlign w:val="superscript"/>
        </w:rPr>
        <w:t>36</w:t>
      </w:r>
      <w:r w:rsidR="00AC2A7C" w:rsidRPr="00C82CD2">
        <w:rPr>
          <w:rFonts w:ascii="Times New Roman" w:hAnsi="Times New Roman"/>
          <w:szCs w:val="24"/>
        </w:rPr>
        <w:fldChar w:fldCharType="end"/>
      </w:r>
    </w:p>
    <w:p w14:paraId="3578E44B" w14:textId="519BDA84" w:rsidR="00277B22" w:rsidRDefault="00277B22" w:rsidP="00277B22">
      <w:pPr>
        <w:pStyle w:val="TAMainText"/>
      </w:pPr>
      <w:r>
        <w:lastRenderedPageBreak/>
        <w:t xml:space="preserve">To reduce the number of the non-inhibitors and ideally maintain the “chemical space” of </w:t>
      </w:r>
      <w:r w:rsidRPr="00AC2A7C">
        <w:t>the original dataset</w:t>
      </w:r>
      <w:r>
        <w:t>, we evaluated the optimal number of representative compounds. To accomplish this task</w:t>
      </w:r>
      <w:r w:rsidR="007E73A5">
        <w:t>,</w:t>
      </w:r>
      <w:r>
        <w:t xml:space="preserve"> we</w:t>
      </w:r>
      <w:r w:rsidRPr="00AC2A7C">
        <w:t xml:space="preserve"> developed a</w:t>
      </w:r>
      <w:r>
        <w:t>n</w:t>
      </w:r>
      <w:r w:rsidRPr="00AC2A7C">
        <w:t xml:space="preserve"> under-sampling</w:t>
      </w:r>
      <w:r>
        <w:t xml:space="preserve"> workflow </w:t>
      </w:r>
      <w:r w:rsidR="00FA47CC" w:rsidRPr="00FA47CC">
        <w:t>based</w:t>
      </w:r>
      <w:r w:rsidR="00FA47CC">
        <w:t xml:space="preserve"> on</w:t>
      </w:r>
      <w:r w:rsidR="00FA47CC" w:rsidRPr="00FA47CC">
        <w:t xml:space="preserve"> </w:t>
      </w:r>
      <w:r w:rsidR="00FA47CC" w:rsidRPr="00FA47CC">
        <w:rPr>
          <w:i/>
        </w:rPr>
        <w:t>k</w:t>
      </w:r>
      <w:r w:rsidR="00FA47CC" w:rsidRPr="00FA47CC">
        <w:t>-nearest neighbors (</w:t>
      </w:r>
      <w:proofErr w:type="spellStart"/>
      <w:r w:rsidR="00FA47CC" w:rsidRPr="00FA47CC">
        <w:rPr>
          <w:i/>
        </w:rPr>
        <w:t>k</w:t>
      </w:r>
      <w:r w:rsidR="00FA47CC" w:rsidRPr="00FA47CC">
        <w:t>NN</w:t>
      </w:r>
      <w:proofErr w:type="spellEnd"/>
      <w:r w:rsidR="00FA47CC" w:rsidRPr="00FA47CC">
        <w:t xml:space="preserve">) distances of </w:t>
      </w:r>
      <w:proofErr w:type="gramStart"/>
      <w:r w:rsidR="00FA47CC" w:rsidRPr="00FA47CC">
        <w:t>the each</w:t>
      </w:r>
      <w:proofErr w:type="gramEnd"/>
      <w:r w:rsidR="00FA47CC" w:rsidRPr="00FA47CC">
        <w:t xml:space="preserve"> non-</w:t>
      </w:r>
      <w:r w:rsidR="003C2DA4" w:rsidRPr="00FA47CC">
        <w:t>inhibitor</w:t>
      </w:r>
      <w:r w:rsidR="00FA47CC" w:rsidRPr="00FA47CC">
        <w:t xml:space="preserve"> to all inhibitors using the public available 166 substructures MACCS keys</w:t>
      </w:r>
      <w:r>
        <w:t xml:space="preserve">. We tested different sizes of the dataset by removing non-inhibitors, and changing the </w:t>
      </w:r>
      <w:r w:rsidRPr="00C82CD2">
        <w:t>inhibitors-to-non-inhibitors ratios of 1:1</w:t>
      </w:r>
      <w:r>
        <w:t xml:space="preserve"> (balanced)</w:t>
      </w:r>
      <w:r w:rsidRPr="00C82CD2">
        <w:t>, 1:2, and 1:3</w:t>
      </w:r>
      <w:r w:rsidR="00FA47CC">
        <w:t>.</w:t>
      </w:r>
      <w:r>
        <w:t xml:space="preserve"> </w:t>
      </w:r>
    </w:p>
    <w:p w14:paraId="75F3BFD5" w14:textId="6F9AA894" w:rsidR="002E5B16" w:rsidRDefault="00277B22" w:rsidP="002E5B16">
      <w:pPr>
        <w:pStyle w:val="TAMainText"/>
      </w:pPr>
      <w:r w:rsidRPr="00152FF5">
        <w:t xml:space="preserve">In </w:t>
      </w:r>
      <w:r w:rsidRPr="00C82CD2">
        <w:t xml:space="preserve">order to </w:t>
      </w:r>
      <w:r>
        <w:t>visualize</w:t>
      </w:r>
      <w:r w:rsidRPr="00C82CD2">
        <w:t xml:space="preserve"> </w:t>
      </w:r>
      <w:r>
        <w:t>the structural diversity</w:t>
      </w:r>
      <w:r w:rsidRPr="00C82CD2">
        <w:t xml:space="preserve"> of </w:t>
      </w:r>
      <w:r w:rsidR="00F20174">
        <w:t>our</w:t>
      </w:r>
      <w:r w:rsidR="007C2AEF">
        <w:t xml:space="preserve"> dataset</w:t>
      </w:r>
      <w:r w:rsidR="00F20174">
        <w:t xml:space="preserve"> before and after balancing</w:t>
      </w:r>
      <w:r w:rsidRPr="00AD320C">
        <w:rPr>
          <w:rFonts w:ascii="Times New Roman" w:hAnsi="Times New Roman"/>
          <w:szCs w:val="24"/>
        </w:rPr>
        <w:t xml:space="preserve">, we </w:t>
      </w:r>
      <w:r w:rsidRPr="00174459">
        <w:rPr>
          <w:rFonts w:ascii="Times New Roman" w:hAnsi="Times New Roman"/>
          <w:szCs w:val="24"/>
        </w:rPr>
        <w:t>performed a principal component analysis (PCA)</w:t>
      </w:r>
      <w:r w:rsidR="004B5CBE">
        <w:rPr>
          <w:rFonts w:ascii="Times New Roman" w:hAnsi="Times New Roman"/>
          <w:szCs w:val="24"/>
        </w:rPr>
        <w:t xml:space="preserve">. </w:t>
      </w:r>
      <w:r w:rsidRPr="00174459">
        <w:t xml:space="preserve">PCA transforms the original measured variables into new </w:t>
      </w:r>
      <w:r w:rsidR="00F20174" w:rsidRPr="00174459">
        <w:t xml:space="preserve">orthogonal </w:t>
      </w:r>
      <w:r w:rsidRPr="00174459">
        <w:t xml:space="preserve">variables called principal components, which are a linear combination of the original variables. </w:t>
      </w:r>
      <w:r w:rsidR="006E548B">
        <w:rPr>
          <w:rFonts w:ascii="Times New Roman" w:hAnsi="Times New Roman"/>
          <w:szCs w:val="24"/>
        </w:rPr>
        <w:t>Detailed results of structural diversity investigation are shown in Figure S1 (Supporting Information)</w:t>
      </w:r>
      <w:r w:rsidR="006E548B" w:rsidRPr="00174459">
        <w:rPr>
          <w:rFonts w:ascii="Times New Roman" w:hAnsi="Times New Roman"/>
          <w:szCs w:val="24"/>
        </w:rPr>
        <w:t>.</w:t>
      </w:r>
      <w:r w:rsidR="006E548B">
        <w:rPr>
          <w:rFonts w:ascii="Times New Roman" w:hAnsi="Times New Roman"/>
          <w:szCs w:val="24"/>
        </w:rPr>
        <w:t xml:space="preserve"> </w:t>
      </w:r>
      <w:r w:rsidRPr="00174459">
        <w:t>The top two principal components retained 20% of the original information.</w:t>
      </w:r>
      <w:r w:rsidR="00F20174" w:rsidRPr="00174459">
        <w:t xml:space="preserve"> Figure </w:t>
      </w:r>
      <w:r w:rsidR="003863FE" w:rsidRPr="00174459">
        <w:t>S</w:t>
      </w:r>
      <w:r w:rsidR="00F20174" w:rsidRPr="00174459">
        <w:t>1A represe</w:t>
      </w:r>
      <w:r w:rsidR="00F20174">
        <w:t>nts the PCA plot of</w:t>
      </w:r>
      <w:r w:rsidR="002042F5" w:rsidRPr="00C82CD2">
        <w:t xml:space="preserve"> 2,854 </w:t>
      </w:r>
      <w:r w:rsidR="00F20174">
        <w:t>inhibitors (</w:t>
      </w:r>
      <w:r w:rsidR="002042F5" w:rsidRPr="00C82CD2">
        <w:t>blue dots</w:t>
      </w:r>
      <w:r w:rsidR="00F20174">
        <w:t xml:space="preserve">) </w:t>
      </w:r>
      <w:r w:rsidR="00F20174" w:rsidRPr="007E0E66">
        <w:rPr>
          <w:i/>
        </w:rPr>
        <w:t>vs</w:t>
      </w:r>
      <w:r w:rsidR="007E0E66" w:rsidRPr="007E0E66">
        <w:rPr>
          <w:i/>
        </w:rPr>
        <w:t>.</w:t>
      </w:r>
      <w:r w:rsidR="002042F5" w:rsidRPr="00C82CD2">
        <w:t xml:space="preserve"> </w:t>
      </w:r>
      <w:r w:rsidR="00F20174">
        <w:t xml:space="preserve">all </w:t>
      </w:r>
      <w:r w:rsidR="00F20174" w:rsidRPr="00C82CD2">
        <w:t>337,327</w:t>
      </w:r>
      <w:r w:rsidR="002042F5" w:rsidRPr="00C82CD2">
        <w:t xml:space="preserve"> non-inhibitors </w:t>
      </w:r>
      <w:r w:rsidR="00F20174">
        <w:t>(</w:t>
      </w:r>
      <w:r w:rsidR="002042F5" w:rsidRPr="00C82CD2">
        <w:t xml:space="preserve">grey </w:t>
      </w:r>
      <w:r w:rsidR="002042F5" w:rsidRPr="00174459">
        <w:t>dots</w:t>
      </w:r>
      <w:r w:rsidR="00F20174" w:rsidRPr="00174459">
        <w:t>)</w:t>
      </w:r>
      <w:r w:rsidR="002042F5" w:rsidRPr="00174459">
        <w:t xml:space="preserve">. </w:t>
      </w:r>
      <w:r w:rsidR="00F20174" w:rsidRPr="00174459">
        <w:t xml:space="preserve">As </w:t>
      </w:r>
      <w:r w:rsidR="003C4453">
        <w:t>we</w:t>
      </w:r>
      <w:r w:rsidR="003C4453" w:rsidRPr="00174459">
        <w:t xml:space="preserve"> </w:t>
      </w:r>
      <w:r w:rsidR="00F20174" w:rsidRPr="00174459">
        <w:t>can see, the i</w:t>
      </w:r>
      <w:r w:rsidR="002042F5" w:rsidRPr="00174459">
        <w:t xml:space="preserve">nhibitors are widely distributed </w:t>
      </w:r>
      <w:r w:rsidR="00F20174" w:rsidRPr="00174459">
        <w:t>across</w:t>
      </w:r>
      <w:r w:rsidR="002042F5" w:rsidRPr="00174459">
        <w:t xml:space="preserve"> chemical space, reflecting significant chemical diversity. Figure</w:t>
      </w:r>
      <w:r w:rsidR="00F20174" w:rsidRPr="00174459">
        <w:t>s</w:t>
      </w:r>
      <w:r w:rsidR="002042F5" w:rsidRPr="00174459">
        <w:t xml:space="preserve"> </w:t>
      </w:r>
      <w:r w:rsidR="003863FE" w:rsidRPr="00174459">
        <w:t>S</w:t>
      </w:r>
      <w:r w:rsidR="002042F5" w:rsidRPr="00174459">
        <w:t xml:space="preserve">1B-D show the non-inhibitors </w:t>
      </w:r>
      <w:r w:rsidR="00F20174" w:rsidRPr="00174459">
        <w:t xml:space="preserve">selected with different ratios: </w:t>
      </w:r>
      <w:r w:rsidR="002042F5" w:rsidRPr="00174459">
        <w:t xml:space="preserve">1:1 </w:t>
      </w:r>
      <w:r w:rsidR="00F20174" w:rsidRPr="00174459">
        <w:t xml:space="preserve">or </w:t>
      </w:r>
      <w:r w:rsidR="002042F5" w:rsidRPr="00174459">
        <w:t>2,854 non-inhibitors</w:t>
      </w:r>
      <w:r w:rsidR="00F20174" w:rsidRPr="00174459">
        <w:t xml:space="preserve">, Figure </w:t>
      </w:r>
      <w:r w:rsidR="003863FE" w:rsidRPr="00174459">
        <w:t>S</w:t>
      </w:r>
      <w:r w:rsidR="00F20174" w:rsidRPr="00174459">
        <w:t>1B;</w:t>
      </w:r>
      <w:r w:rsidR="002042F5" w:rsidRPr="00174459">
        <w:t xml:space="preserve"> 1:2</w:t>
      </w:r>
      <w:r w:rsidR="00F20174" w:rsidRPr="00174459">
        <w:t xml:space="preserve"> or</w:t>
      </w:r>
      <w:r w:rsidR="002042F5" w:rsidRPr="00174459">
        <w:t xml:space="preserve"> 5,705 non-inhibitors,</w:t>
      </w:r>
      <w:r w:rsidR="002A09F2" w:rsidRPr="00174459">
        <w:t xml:space="preserve"> Figure </w:t>
      </w:r>
      <w:r w:rsidR="003863FE" w:rsidRPr="00174459">
        <w:t>S</w:t>
      </w:r>
      <w:r w:rsidR="002A09F2" w:rsidRPr="00174459">
        <w:t>1C;</w:t>
      </w:r>
      <w:r w:rsidR="002042F5" w:rsidRPr="00174459">
        <w:t xml:space="preserve"> and 1:3 </w:t>
      </w:r>
      <w:r w:rsidR="002A09F2" w:rsidRPr="00174459">
        <w:t xml:space="preserve">or </w:t>
      </w:r>
      <w:r w:rsidR="002042F5" w:rsidRPr="00174459">
        <w:t>8,562 non-inhibitors,</w:t>
      </w:r>
      <w:r w:rsidR="002A09F2" w:rsidRPr="00174459">
        <w:t xml:space="preserve"> Figure </w:t>
      </w:r>
      <w:r w:rsidR="003863FE" w:rsidRPr="00174459">
        <w:t>S</w:t>
      </w:r>
      <w:r w:rsidR="002A09F2" w:rsidRPr="00174459">
        <w:t>1D</w:t>
      </w:r>
      <w:r w:rsidR="002E5B16" w:rsidRPr="00174459">
        <w:t xml:space="preserve">. As </w:t>
      </w:r>
      <w:r w:rsidR="003C4453">
        <w:t xml:space="preserve">we can see </w:t>
      </w:r>
      <w:r w:rsidR="002A09F2" w:rsidRPr="00174459">
        <w:t>from the</w:t>
      </w:r>
      <w:r w:rsidR="002E5B16" w:rsidRPr="00174459">
        <w:t xml:space="preserve"> distribution of these dots</w:t>
      </w:r>
      <w:r w:rsidR="002A09F2" w:rsidRPr="00174459">
        <w:t xml:space="preserve">, </w:t>
      </w:r>
      <w:r w:rsidR="002E5B16" w:rsidRPr="00174459">
        <w:t xml:space="preserve">the most representative compounds </w:t>
      </w:r>
      <w:r w:rsidR="002A09F2" w:rsidRPr="00174459">
        <w:t xml:space="preserve">were chosen that allowed </w:t>
      </w:r>
      <w:r w:rsidR="002E5B16" w:rsidRPr="00174459">
        <w:t>min</w:t>
      </w:r>
      <w:r w:rsidR="002E5B16" w:rsidRPr="00C82CD2">
        <w:t>i</w:t>
      </w:r>
      <w:r w:rsidR="002A09F2">
        <w:t>mal</w:t>
      </w:r>
      <w:r w:rsidR="002E5B16" w:rsidRPr="00C82CD2">
        <w:t xml:space="preserve"> reduction of the original chemical space. </w:t>
      </w:r>
    </w:p>
    <w:p w14:paraId="2E8AF140" w14:textId="16D18935" w:rsidR="004E6E61" w:rsidRDefault="001C4883" w:rsidP="00345897">
      <w:pPr>
        <w:pStyle w:val="TAMainText"/>
      </w:pPr>
      <w:r w:rsidRPr="00E0302A">
        <w:rPr>
          <w:b/>
        </w:rPr>
        <w:t>P</w:t>
      </w:r>
      <w:r>
        <w:rPr>
          <w:b/>
        </w:rPr>
        <w:t xml:space="preserve">erformance of Individual QSAR </w:t>
      </w:r>
      <w:r w:rsidR="00087C0A">
        <w:rPr>
          <w:b/>
        </w:rPr>
        <w:t>Models</w:t>
      </w:r>
      <w:r>
        <w:rPr>
          <w:b/>
        </w:rPr>
        <w:t>.</w:t>
      </w:r>
      <w:r w:rsidRPr="00F47D5B">
        <w:t xml:space="preserve"> </w:t>
      </w:r>
      <w:r w:rsidRPr="00C36ADB">
        <w:rPr>
          <w:color w:val="000000"/>
        </w:rPr>
        <w:t xml:space="preserve">The </w:t>
      </w:r>
      <w:r>
        <w:rPr>
          <w:color w:val="000000"/>
        </w:rPr>
        <w:t xml:space="preserve">balanced (ratio of 1:1) and </w:t>
      </w:r>
      <w:r w:rsidR="003C2DA4">
        <w:rPr>
          <w:color w:val="000000"/>
        </w:rPr>
        <w:t xml:space="preserve">unbalanced </w:t>
      </w:r>
      <w:r>
        <w:rPr>
          <w:color w:val="000000"/>
        </w:rPr>
        <w:t>datasets (</w:t>
      </w:r>
      <w:r w:rsidRPr="00B72D25">
        <w:rPr>
          <w:rFonts w:ascii="Times New Roman" w:hAnsi="Times New Roman"/>
          <w:color w:val="000000"/>
        </w:rPr>
        <w:t xml:space="preserve">ratios of 1:2 and 1:3) were modeled </w:t>
      </w:r>
      <w:r w:rsidR="00B72D25" w:rsidRPr="00B72D25">
        <w:rPr>
          <w:rFonts w:ascii="Times New Roman" w:hAnsi="Times New Roman"/>
          <w:color w:val="000000"/>
        </w:rPr>
        <w:t xml:space="preserve">by </w:t>
      </w:r>
      <w:r w:rsidR="002F05BF">
        <w:rPr>
          <w:rFonts w:ascii="Times New Roman" w:hAnsi="Times New Roman"/>
          <w:color w:val="000000"/>
        </w:rPr>
        <w:t xml:space="preserve">a </w:t>
      </w:r>
      <w:r w:rsidR="00B72D25" w:rsidRPr="00B72D25">
        <w:rPr>
          <w:rFonts w:ascii="Times New Roman" w:hAnsi="Times New Roman"/>
          <w:color w:val="000000"/>
        </w:rPr>
        <w:t>combin</w:t>
      </w:r>
      <w:r w:rsidR="002F05BF">
        <w:rPr>
          <w:rFonts w:ascii="Times New Roman" w:hAnsi="Times New Roman"/>
          <w:color w:val="000000"/>
        </w:rPr>
        <w:t xml:space="preserve">ation </w:t>
      </w:r>
      <w:r w:rsidRPr="00B72D25">
        <w:rPr>
          <w:rFonts w:ascii="Times New Roman" w:hAnsi="Times New Roman"/>
          <w:color w:val="000000"/>
        </w:rPr>
        <w:t xml:space="preserve">of </w:t>
      </w:r>
      <w:r w:rsidR="00B72D25" w:rsidRPr="00B72D25">
        <w:rPr>
          <w:rFonts w:ascii="Times New Roman" w:hAnsi="Times New Roman"/>
        </w:rPr>
        <w:t>AtomPair,</w:t>
      </w:r>
      <w:r w:rsidR="006A753A" w:rsidRPr="00C82CD2">
        <w:fldChar w:fldCharType="begin" w:fldLock="1"/>
      </w:r>
      <w:r w:rsidR="00BD74F5">
        <w:instrText>ADDIN CSL_CITATION { "citationItems" : [ { "id" : "ITEM-1", "itemData" : { "DOI" : "10.1021/ci00046a002", "ISBN" : "1549-9596", "ISSN" : "1549-9596", "abstract" : "no abstract", "author" : [ { "dropping-particle" : "", "family" : "Carhart", "given" : "Raymond E", "non-dropping-particle" : "", "parse-names" : false, "suffix" : "" }, { "dropping-particle" : "", "family" : "Smith", "given" : "Dennis H", "non-dropping-particle" : "", "parse-names" : false, "suffix" : "" }, { "dropping-particle" : "", "family" : "Venkataraghavan", "given" : "R", "non-dropping-particle" : "", "parse-names" : false, "suffix" : "" } ], "container-title" : "Journal of Chemical Information and Computer Science", "id" : "ITEM-1", "issue" : "4", "issued" : { "date-parts" : [ [ "1985" ] ] }, "page" : "64-73", "title" : "Atom pairs as molecular features in structure-activity studies: definition and applications", "type" : "article-journal", "volume" : "25" }, "uris" : [ "http://www.mendeley.com/documents/?uuid=2928a259-85a4-4f07-bf9f-332b230d5167", "http://www.mendeley.com/documents/?uuid=549f2bd7-695e-4ca0-869b-b558e589cd39" ] }, { "id" : "ITEM-2", "itemData" : { "DOI" : "10.1186/1758-2946-5-26", "ISSN" : "17582946", "PMID" : "23721588", "abstract" : ": Similarity-search methods using molecular fingerprints are an important tool for ligand-based virtual screening. A huge variety of fingerprints exist and their performance, usually assessed in retrospective benchmarking studies using data sets with known actives and known or assumed inactives, depends largely on the validation data sets used and the similarity measure used. Comparing new methods to existing ones in any systematic way is rather difficult due to the lack of standard data sets and evaluation procedures. Here, we present a standard platform for the benchmarking of 2D fingerprints. The open-source platform contains all source code, structural data for the actives and inactives used (drawn from three publicly available collections of data sets), and lists of randomly selected query molecules to be used for statistically valid comparisons of methods. This allows the exact reproduction and comparison of results for future studies. The results for 12 standard fingerprints together with two simple baseline fingerprints assessed by seven evaluation methods are shown together with the correlations between methods. High correlations were found between the 12 fingerprints and a careful statistical analysis showed that only the two baseline fingerprints were different from the others in a statistically significant way. High correlations were also found between six of the seven evaluation methods, indicating that despite their seeming differences, many of these methods are similar to each other.", "author" : [ { "dropping-particle" : "", "family" : "Riniker", "given" : "Sereina", "non-dropping-particle" : "", "parse-names" : false, "suffix" : "" }, { "dropping-particle" : "", "family" : "Landrum", "given" : "Gregory a", "non-dropping-particle" : "", "parse-names" : false, "suffix" : "" } ], "container-title" : "Journal of Cheminformatics", "id" : "ITEM-2", "issue" : "1", "issued" : { "date-parts" : [ [ "2013", "1" ] ] }, "page" : "26", "title" : "Open-source platform to benchmark fingerprints for ligand-based virtual screening", "type" : "article-journal", "volume" : "5" }, "uris" : [ "http://www.mendeley.com/documents/?uuid=c4091280-e1e1-4466-abee-c22f1aeeafe2" ] } ], "mendeley" : { "formattedCitation" : "&lt;sup&gt;37,38&lt;/sup&gt;", "plainTextFormattedCitation" : "37,38", "previouslyFormattedCitation" : "&lt;sup&gt;37,38&lt;/sup&gt;" }, "properties" : { "noteIndex" : 0 }, "schema" : "https://github.com/citation-style-language/schema/raw/master/csl-citation.json" }</w:instrText>
      </w:r>
      <w:r w:rsidR="006A753A" w:rsidRPr="00C82CD2">
        <w:fldChar w:fldCharType="separate"/>
      </w:r>
      <w:r w:rsidR="00AC76A7" w:rsidRPr="00AC76A7">
        <w:rPr>
          <w:noProof/>
          <w:vertAlign w:val="superscript"/>
        </w:rPr>
        <w:t>37,38</w:t>
      </w:r>
      <w:r w:rsidR="006A753A" w:rsidRPr="00C82CD2">
        <w:fldChar w:fldCharType="end"/>
      </w:r>
      <w:r w:rsidR="00B72D25" w:rsidRPr="00B72D25">
        <w:rPr>
          <w:rFonts w:ascii="Times New Roman" w:hAnsi="Times New Roman"/>
        </w:rPr>
        <w:t xml:space="preserve"> MACCS</w:t>
      </w:r>
      <w:r w:rsidR="006A753A" w:rsidRPr="00C82CD2">
        <w:fldChar w:fldCharType="begin" w:fldLock="1"/>
      </w:r>
      <w:r w:rsidR="00BD74F5">
        <w:instrText>ADDIN CSL_CITATION { "citationItems" : [ { "id" : "ITEM-1", "itemData" : { "DOI" : "10.1021/ci010132r", "ISBN" : "0095-2338", "ISSN" : "00952338", "PMID" : "12444722", "abstract" : "For a number of years MDL products have exposed both 166 bit and 960 bit keysets based on 2D descriptors. These keysets were originally constructed and optimized for substructure searching. We report on improvements in the performance of MDL keysets which are reoptimized for use in molecular similarity. Classification performance for a test data set of 957 compounds was increased from 0.65 for the 166 bit keyset and 0.67 for the 960 bit keyset to 0.71 for a surprisal S/N pruned keyset containing 208 bits and 0.71 for a genetic algorithm optimized keyset containing 548 bits. We present an overview of the underlying technology supporting the definition of descriptors and the encoding of these descriptors into keysets. This technology allows definition of descriptors as combinations of atom properties, bond properties, and atomic neighborhoods at various topological separations as well as supporting a number of custom descriptors. These descriptors can then be used to set one or more bits in a keyset. We constructed various keysets and optimized their performance in clustering bioactive substances. Performance was measured using methodology developed by Briem and Lessel. \"Directed pruning\" was carried out by eliminating bits from the keysets on the basis of random selection, values of the surprisal of the bit, or values of the surprisal S/N ratio of the bit. The random pruning experiment highlighted the insensitivity of keyset performance for keyset lengths of more than 1000 bits. Contrary to initial expectations, pruning on the basis of the surprisal values of the various bits resulted in keysets which underperformed those resulting from random pruning. In contrast, pruning on the basis of the surprisal S/N ratio was found to yield keysets which performed better than those resulting from random pruning. We also explored the use of genetic algorithms in the selection of optimal keysets. Once more the performance was only a weak function of keyset size, and the optimizations failed to identify a single globally optimal keyset. Instead multiple, equally optimal keysets could be produced which had relatively low overlap of the descriptors they encoded.", "author" : [ { "dropping-particle" : "", "family" : "Durant", "given" : "Joseph L.", "non-dropping-particle" : "", "parse-names" : false, "suffix" : "" }, { "dropping-particle" : "", "family" : "Leland", "given" : "Burton A.", "non-dropping-particle" : "", "parse-names" : false, "suffix" : "" }, { "dropping-particle" : "", "family" : "Henry", "given" : "Douglas R.", "non-dropping-particle" : "", "parse-names" : false, "suffix" : "" }, { "dropping-particle" : "", "family" : "Nourse", "given" : "James G.", "non-dropping-particle" : "", "parse-names" : false, "suffix" : "" } ], "container-title" : "Journal of Chemical Information and Computer Sciences", "id" : "ITEM-1", "issue" : "6", "issued" : { "date-parts" : [ [ "2002" ] ] }, "page" : "1273-1280", "title" : "Reoptimization of MDL keys for use in drug discovery", "type" : "article-journal", "volume" : "42" }, "uris" : [ "http://www.mendeley.com/documents/?uuid=18db6b89-57be-499d-bfae-0905b330cacf" ] }, { "id" : "ITEM-2", "itemData" : { "author" : [ { "dropping-particle" : "", "family" : "Dill", "given" : "J. D.;", "non-dropping-particle" : "", "parse-names" : false, "suffix" : "" }, { "dropping-particle" : "", "family" : "Hounshell", "given" : "W. D.;", "non-dropping-particle" : "", "parse-names" : false, "suffix" : "" }, { "dropping-particle" : "", "family" : "Marson", "given" : "S.;", "non-dropping-particle" : "", "parse-names" : false, "suffix" : "" }, { "dropping-particle" : "", "family" : "Peacock", "given" : "S.;", "non-dropping-particle" : "", "parse-names" : false, "suffix" : "" }, { "dropping-particle" : "", "family" : "Wipke", "given" : "W. T.", "non-dropping-particle" : "", "parse-names" : false, "suffix" : "" } ], "container-title" : "182nd National Meeting of the American Chemical Society", "id" : "ITEM-2", "issued" : { "date-parts" : [ [ "1981" ] ] }, "page" : "23-28", "publisher-place" : "New York", "title" : "Search and Retrieval Using an Automated Molecular Access System", "type" : "paper-conference" }, "uris" : [ "http://www.mendeley.com/documents/?uuid=c7fc490e-ac4e-49e7-b940-255a6cb1885d", "http://www.mendeley.com/documents/?uuid=70f68b4e-80dc-4593-af6c-d4c59f2f14da", "http://www.mendeley.com/documents/?uuid=35679d1c-7253-4868-82f1-ec6bced03706" ] }, { "id" : "ITEM-3", "itemData" : { "DOI" : "10.1016/0263-7855(84)80060-0", "ISSN" : "02637855", "author" : [ { "dropping-particle" : "", "family" : "Anderson", "given" : "Susan", "non-dropping-particle" : "", "parse-names" : false, "suffix" : "" } ], "container-title" : "Journal of Molecular Graphics", "id" : "ITEM-3", "issue" : "3", "issued" : { "date-parts" : [ [ "1984" ] ] }, "page" : "83-90", "title" : "Graphical representation of molecules and substructure-search queries in MACCStm", "type" : "article", "volume" : "2" }, "uris" : [ "http://www.mendeley.com/documents/?uuid=7ff6b653-57e5-4bd3-95bc-a07ddfa4d067", "http://www.mendeley.com/documents/?uuid=4493ef4d-cf78-4d49-889d-4cf610a80e40", "http://www.mendeley.com/documents/?uuid=8f97142d-afce-4367-a027-a10ce8ef6065" ] } ], "mendeley" : { "formattedCitation" : "&lt;sup&gt;39\u201341&lt;/sup&gt;", "plainTextFormattedCitation" : "39\u201341", "previouslyFormattedCitation" : "&lt;sup&gt;39\u201341&lt;/sup&gt;" }, "properties" : { "noteIndex" : 0 }, "schema" : "https://github.com/citation-style-language/schema/raw/master/csl-citation.json" }</w:instrText>
      </w:r>
      <w:r w:rsidR="006A753A" w:rsidRPr="00C82CD2">
        <w:fldChar w:fldCharType="separate"/>
      </w:r>
      <w:r w:rsidR="00AC76A7" w:rsidRPr="00AC76A7">
        <w:rPr>
          <w:noProof/>
          <w:vertAlign w:val="superscript"/>
        </w:rPr>
        <w:t>39–41</w:t>
      </w:r>
      <w:r w:rsidR="006A753A" w:rsidRPr="00C82CD2">
        <w:fldChar w:fldCharType="end"/>
      </w:r>
      <w:r w:rsidR="00B72D25" w:rsidRPr="00B72D25">
        <w:rPr>
          <w:rFonts w:ascii="Times New Roman" w:hAnsi="Times New Roman"/>
        </w:rPr>
        <w:t xml:space="preserve"> and Morgan</w:t>
      </w:r>
      <w:r w:rsidRPr="00B72D25">
        <w:rPr>
          <w:rFonts w:ascii="Times New Roman" w:hAnsi="Times New Roman"/>
        </w:rPr>
        <w:t xml:space="preserve"> fingerprints</w:t>
      </w:r>
      <w:r w:rsidR="006A753A">
        <w:rPr>
          <w:rFonts w:ascii="Times New Roman" w:hAnsi="Times New Roman"/>
        </w:rPr>
        <w:t>,</w:t>
      </w:r>
      <w:r w:rsidR="00187DD5">
        <w:fldChar w:fldCharType="begin" w:fldLock="1"/>
      </w:r>
      <w:r w:rsidR="00BD74F5">
        <w:instrText>ADDIN CSL_CITATION { "citationItems" : [ { "id" : "ITEM-1", "itemData" : { "DOI" : "10.1021/ci100050t", "ISBN" : "1549-9596", "ISSN" : "15499596", "PMID" : "20426451", "abstract" : "Extended-connectivity fingerprints (ECFPs) are a novel class of topological fingerprints for molecular characterization. Historically, topological fingerprints were developed for substructure and similarity searching. ECFPs were developed specifically for structure-activity modeling. ECFPs are circular fingerprints with a number of useful qualities: they can be very rapidly calculated; they are not predefined and can represent an essentially infinite number of different molecular features (including stereochemical information); their features represent the presence of particular substructures, allowing easier interpretation of analysis results; and the ECFP algorithm can be tailored to generate different types of circular fingerprints, optimized for different uses. While the use of ECFPs has been widely adopted and validated, a description of their implementation has not previously been presented in the literature.", "author" : [ { "dropping-particle" : "", "family" : "Rogers", "given" : "David", "non-dropping-particle" : "", "parse-names" : false, "suffix" : "" }, { "dropping-particle" : "", "family" : "Hahn", "given" : "Mathew", "non-dropping-particle" : "", "parse-names" : false, "suffix" : "" } ], "container-title" : "Journal of Chemical Information and Modeling", "id" : "ITEM-1", "issue" : "5", "issued" : { "date-parts" : [ [ "2010" ] ] }, "page" : "742-754", "title" : "Extended-connectivity fingerprints", "type" : "article-journal", "volume" : "50" }, "uris" : [ "http://www.mendeley.com/documents/?uuid=c06b8fb2-2722-46be-938e-d49393b01a51" ] }, { "id" : "ITEM-2", "itemData" : { "DOI" : "10.1186/1758-2946-5-26", "ISSN" : "17582946", "PMID" : "23721588", "abstract" : ": Similarity-search methods using molecular fingerprints are an important tool for ligand-based virtual screening. A huge variety of fingerprints exist and their performance, usually assessed in retrospective benchmarking studies using data sets with known actives and known or assumed inactives, depends largely on the validation data sets used and the similarity measure used. Comparing new methods to existing ones in any systematic way is rather difficult due to the lack of standard data sets and evaluation procedures. Here, we present a standard platform for the benchmarking of 2D fingerprints. The open-source platform contains all source code, structural data for the actives and inactives used (drawn from three publicly available collections of data sets), and lists of randomly selected query molecules to be used for statistically valid comparisons of methods. This allows the exact reproduction and comparison of results for future studies. The results for 12 standard fingerprints together with two simple baseline fingerprints assessed by seven evaluation methods are shown together with the correlations between methods. High correlations were found between the 12 fingerprints and a careful statistical analysis showed that only the two baseline fingerprints were different from the others in a statistically significant way. High correlations were also found between six of the seven evaluation methods, indicating that despite their seeming differences, many of these methods are similar to each other.", "author" : [ { "dropping-particle" : "", "family" : "Riniker", "given" : "Sereina", "non-dropping-particle" : "", "parse-names" : false, "suffix" : "" }, { "dropping-particle" : "", "family" : "Landrum", "given" : "Gregory a", "non-dropping-particle" : "", "parse-names" : false, "suffix" : "" } ], "container-title" : "Journal of Cheminformatics", "id" : "ITEM-2", "issue" : "1", "issued" : { "date-parts" : [ [ "2013", "1" ] ] }, "page" : "26", "title" : "Open-source platform to benchmark fingerprints for ligand-based virtual screening", "type" : "article-journal", "volume" : "5" }, "uris" : [ "http://www.mendeley.com/documents/?uuid=c4091280-e1e1-4466-abee-c22f1aeeafe2" ] } ], "mendeley" : { "formattedCitation" : "&lt;sup&gt;38,42&lt;/sup&gt;", "plainTextFormattedCitation" : "38,42", "previouslyFormattedCitation" : "&lt;sup&gt;38,42&lt;/sup&gt;" }, "properties" : { "noteIndex" : 0 }, "schema" : "https://github.com/citation-style-language/schema/raw/master/csl-citation.json" }</w:instrText>
      </w:r>
      <w:r w:rsidR="00187DD5">
        <w:fldChar w:fldCharType="separate"/>
      </w:r>
      <w:r w:rsidR="00AC76A7" w:rsidRPr="00AC76A7">
        <w:rPr>
          <w:noProof/>
          <w:vertAlign w:val="superscript"/>
        </w:rPr>
        <w:t>38,42</w:t>
      </w:r>
      <w:r w:rsidR="00187DD5">
        <w:fldChar w:fldCharType="end"/>
      </w:r>
      <w:r w:rsidRPr="00B72D25">
        <w:rPr>
          <w:rFonts w:ascii="Times New Roman" w:hAnsi="Times New Roman"/>
        </w:rPr>
        <w:t xml:space="preserve"> </w:t>
      </w:r>
      <w:r w:rsidR="00B72D25" w:rsidRPr="00B72D25">
        <w:rPr>
          <w:rFonts w:ascii="Times New Roman" w:hAnsi="Times New Roman"/>
          <w:szCs w:val="24"/>
        </w:rPr>
        <w:t>chemistry development kit</w:t>
      </w:r>
      <w:r w:rsidR="00B72D25" w:rsidRPr="00B72D25">
        <w:rPr>
          <w:rFonts w:ascii="Times New Roman" w:hAnsi="Times New Roman"/>
        </w:rPr>
        <w:t xml:space="preserve"> (CDK)</w:t>
      </w:r>
      <w:r w:rsidR="00187DD5">
        <w:rPr>
          <w:rFonts w:ascii="Times New Roman" w:hAnsi="Times New Roman"/>
        </w:rPr>
        <w:fldChar w:fldCharType="begin" w:fldLock="1"/>
      </w:r>
      <w:r w:rsidR="00BD74F5">
        <w:rPr>
          <w:rFonts w:ascii="Times New Roman" w:hAnsi="Times New Roman"/>
        </w:rPr>
        <w:instrText>ADDIN CSL_CITATION { "citationItems" : [ { "id" : "ITEM-1", "itemData" : { "DOI" : "10.1002/jcc.21707", "ISSN" : "1096-987X", "PMID" : "21425294", "abstract" : "INTRODUCTION: PaDEL-Descriptor is a software for calculating molecular descriptors and fingerprints. The software currently calculates 797 descriptors (663 1D, 2D descriptors, and 134 3D descriptors) and 10 types of fingerprints. These descriptors and fingerprints are calculated mainly using The Chemistry Development Kit. Some additional descriptors and fingerprints were added, which include atom type electrotopological state descriptors, McGowan volume, molecular linear free energy relation descriptors, ring counts, count of chemical substructures identified by Laggner, and binary fingerprints and count of chemical substructures identified by Klekota and Roth. METHODS: PaDEL-Descriptor was developed using the Java language and consists of a library component and an interface component. The library component allows it to be easily integrated into quantitative structure activity relationship software to provide the descriptor calculation feature while the interface component allows it to be used as a standalone software. The software uses a Master/Worker pattern to take advantage of the multiple CPU cores that are present in most modern computers to speed up calculations of molecular descriptors. RESULTS: The software has several advantages over existing standalone molecular descriptor calculation software. It is free and open source, has both graphical user interface and command line interfaces, can work on all major platforms (Windows, Linux, MacOS), supports more than 90 different molecular file formats, and is multithreaded. CONCLUSION: PaDEL-Descriptor is a useful addition to the currently available molecular descriptor calculation software. The software can be downloaded at http://padel.nus.edu.sg/software/padeldescriptor.", "author" : [ { "dropping-particle" : "", "family" : "Yap", "given" : "Chun Wei", "non-dropping-particle" : "", "parse-names" : false, "suffix" : "" } ], "container-title" : "Journal of computational chemistry", "id" : "ITEM-1", "issue" : "7", "issued" : { "date-parts" : [ [ "2011", "5" ] ] }, "page" : "1466-74", "title" : "PaDEL-descriptor: an open source software to calculate molecular descriptors and fingerprints.", "type" : "article-journal", "volume" : "32" }, "uris" : [ "http://www.mendeley.com/documents/?uuid=e246e611-dafc-4c86-a4ea-ddfed63255aa", "http://www.mendeley.com/documents/?uuid=056efbb3-f320-46d4-9bf9-633b1ac82cf2" ] } ], "mendeley" : { "formattedCitation" : "&lt;sup&gt;43&lt;/sup&gt;", "plainTextFormattedCitation" : "43", "previouslyFormattedCitation" : "&lt;sup&gt;43&lt;/sup&gt;" }, "properties" : { "noteIndex" : 0 }, "schema" : "https://github.com/citation-style-language/schema/raw/master/csl-citation.json" }</w:instrText>
      </w:r>
      <w:r w:rsidR="00187DD5">
        <w:rPr>
          <w:rFonts w:ascii="Times New Roman" w:hAnsi="Times New Roman"/>
        </w:rPr>
        <w:fldChar w:fldCharType="separate"/>
      </w:r>
      <w:r w:rsidR="00AC76A7" w:rsidRPr="00AC76A7">
        <w:rPr>
          <w:rFonts w:ascii="Times New Roman" w:hAnsi="Times New Roman"/>
          <w:noProof/>
          <w:vertAlign w:val="superscript"/>
        </w:rPr>
        <w:t>43</w:t>
      </w:r>
      <w:r w:rsidR="00187DD5">
        <w:rPr>
          <w:rFonts w:ascii="Times New Roman" w:hAnsi="Times New Roman"/>
        </w:rPr>
        <w:fldChar w:fldCharType="end"/>
      </w:r>
      <w:r w:rsidR="002A09F2">
        <w:rPr>
          <w:rFonts w:ascii="Times New Roman" w:hAnsi="Times New Roman"/>
        </w:rPr>
        <w:t>,</w:t>
      </w:r>
      <w:r w:rsidR="00B72D25" w:rsidRPr="00B72D25">
        <w:rPr>
          <w:rFonts w:ascii="Times New Roman" w:hAnsi="Times New Roman"/>
        </w:rPr>
        <w:t xml:space="preserve"> and Dragon </w:t>
      </w:r>
      <w:r w:rsidRPr="00B72D25">
        <w:rPr>
          <w:rFonts w:ascii="Times New Roman" w:hAnsi="Times New Roman"/>
        </w:rPr>
        <w:t>descriptors</w:t>
      </w:r>
      <w:r w:rsidR="00187DD5" w:rsidRPr="00C82CD2">
        <w:fldChar w:fldCharType="begin" w:fldLock="1"/>
      </w:r>
      <w:r w:rsidR="00BD74F5">
        <w:instrText>ADDIN CSL_CITATION { "citationItems" : [ { "id" : "ITEM-1", "itemData" : { "id" : "ITEM-1", "issued" : { "date-parts" : [ [ "0" ] ] }, "title" : "PaDEL-Descriptor. http://padel.nus.edu.sg/software/padeldescriptor/ (accessed January 5, 2015)", "type" : "article-journal" }, "uris" : [ "http://www.mendeley.com/documents/?uuid=23fa7d99-faad-4c57-9a41-aeefa2cee097", "http://www.mendeley.com/documents/?uuid=41215349-0809-42d4-9727-e8a547e5cb80", "http://www.mendeley.com/documents/?uuid=6dd69b8b-b338-4c56-97ee-185175b28328" ] }, { "id" : "ITEM-2", "itemData" : { "DOI" : "10.1002/9783527613106", "ISBN" : "9783527613106", "author" : [ { "dropping-particle" : "", "family" : "Todeschini", "given" : "Roberto", "non-dropping-particle" : "", "parse-names" : false, "suffix" : "" }, { "dropping-particle" : "", "family" : "Consonni", "given" : "Viviana", "non-dropping-particle" : "", "parse-names" : false, "suffix" : "" } ], "collection-title" : "Methods and Principles in Medicinal Chemistry", "edition" : "1", "editor" : [ { "dropping-particle" : "", "family" : "Todeschini", "given" : "Roberto", "non-dropping-particle" : "", "parse-names" : false, "suffix" : "" }, { "dropping-particle" : "", "family" : "Consonni", "given" : "Viviana", "non-dropping-particle" : "", "parse-names" : false, "suffix" : "" } ], "id" : "ITEM-2", "issued" : { "date-parts" : [ [ "2000", "9", "22" ] ] }, "publisher" : "Wiley-VCH Verlag GmbH", "publisher-place" : "Weinheim, Germany", "title" : "Handbook of Molecular Descriptors", "type" : "book" }, "uris" : [ "http://www.mendeley.com/documents/?uuid=ae1e09a1-643e-48b4-8a3d-42ad83c6be40" ] } ], "mendeley" : { "formattedCitation" : "&lt;sup&gt;44,45&lt;/sup&gt;", "plainTextFormattedCitation" : "44,45", "previouslyFormattedCitation" : "&lt;sup&gt;44,45&lt;/sup&gt;" }, "properties" : { "noteIndex" : 0 }, "schema" : "https://github.com/citation-style-language/schema/raw/master/csl-citation.json" }</w:instrText>
      </w:r>
      <w:r w:rsidR="00187DD5" w:rsidRPr="00C82CD2">
        <w:fldChar w:fldCharType="separate"/>
      </w:r>
      <w:r w:rsidR="00AC76A7" w:rsidRPr="00AC76A7">
        <w:rPr>
          <w:noProof/>
          <w:vertAlign w:val="superscript"/>
        </w:rPr>
        <w:t>44,45</w:t>
      </w:r>
      <w:r w:rsidR="00187DD5" w:rsidRPr="00C82CD2">
        <w:fldChar w:fldCharType="end"/>
      </w:r>
      <w:r w:rsidRPr="00B72D25">
        <w:rPr>
          <w:rFonts w:ascii="Times New Roman" w:hAnsi="Times New Roman"/>
        </w:rPr>
        <w:t xml:space="preserve"> along with eight machine learning methods leading to 120 different binary QSAR models (Tables S1, S2,</w:t>
      </w:r>
      <w:r w:rsidR="000545B0">
        <w:rPr>
          <w:rFonts w:ascii="Times New Roman" w:hAnsi="Times New Roman"/>
        </w:rPr>
        <w:t xml:space="preserve"> and</w:t>
      </w:r>
      <w:r w:rsidRPr="00B72D25">
        <w:rPr>
          <w:rFonts w:ascii="Times New Roman" w:hAnsi="Times New Roman"/>
        </w:rPr>
        <w:t xml:space="preserve"> S3</w:t>
      </w:r>
      <w:r w:rsidR="003C4453">
        <w:rPr>
          <w:rFonts w:ascii="Times New Roman" w:hAnsi="Times New Roman"/>
        </w:rPr>
        <w:t xml:space="preserve">, Supporting </w:t>
      </w:r>
      <w:r w:rsidR="00411723">
        <w:rPr>
          <w:rFonts w:ascii="Times New Roman" w:hAnsi="Times New Roman"/>
        </w:rPr>
        <w:t>Information</w:t>
      </w:r>
      <w:r w:rsidRPr="00B72D25">
        <w:rPr>
          <w:rFonts w:ascii="Times New Roman" w:hAnsi="Times New Roman"/>
        </w:rPr>
        <w:t xml:space="preserve">). According to the statistical results of </w:t>
      </w:r>
      <w:r w:rsidR="002F05BF">
        <w:rPr>
          <w:rFonts w:ascii="Times New Roman" w:hAnsi="Times New Roman"/>
        </w:rPr>
        <w:t xml:space="preserve">an </w:t>
      </w:r>
      <w:r>
        <w:t xml:space="preserve">5-fold </w:t>
      </w:r>
      <w:r w:rsidR="001E1F2C" w:rsidRPr="00B72D25">
        <w:rPr>
          <w:rFonts w:ascii="Times New Roman" w:hAnsi="Times New Roman"/>
        </w:rPr>
        <w:t>external</w:t>
      </w:r>
      <w:r w:rsidR="001E1F2C">
        <w:t xml:space="preserve"> </w:t>
      </w:r>
      <w:r>
        <w:lastRenderedPageBreak/>
        <w:t>cross-</w:t>
      </w:r>
      <w:r w:rsidRPr="00522805">
        <w:t>validation</w:t>
      </w:r>
      <w:r>
        <w:t xml:space="preserve"> procedure</w:t>
      </w:r>
      <w:r w:rsidRPr="00522805">
        <w:t xml:space="preserve">, we </w:t>
      </w:r>
      <w:r w:rsidR="002F05BF">
        <w:t>could</w:t>
      </w:r>
      <w:r w:rsidRPr="00522805">
        <w:t xml:space="preserve"> draw </w:t>
      </w:r>
      <w:r>
        <w:t>three</w:t>
      </w:r>
      <w:r w:rsidRPr="00522805">
        <w:t xml:space="preserve"> general </w:t>
      </w:r>
      <w:r w:rsidR="00C40222">
        <w:t>conclusions</w:t>
      </w:r>
      <w:r>
        <w:t>: (</w:t>
      </w:r>
      <w:proofErr w:type="spellStart"/>
      <w:r w:rsidR="00B72D25">
        <w:t>i</w:t>
      </w:r>
      <w:proofErr w:type="spellEnd"/>
      <w:r>
        <w:t>)</w:t>
      </w:r>
      <w:r w:rsidRPr="00522805">
        <w:t xml:space="preserve"> </w:t>
      </w:r>
      <w:r w:rsidR="00B72D25">
        <w:t>random forest (</w:t>
      </w:r>
      <w:r w:rsidRPr="00522805">
        <w:t>RF</w:t>
      </w:r>
      <w:r w:rsidR="00B72D25">
        <w:t>)</w:t>
      </w:r>
      <w:r w:rsidRPr="00522805">
        <w:t xml:space="preserve">, </w:t>
      </w:r>
      <w:r w:rsidR="00B72D25">
        <w:t>support vector machine (</w:t>
      </w:r>
      <w:r w:rsidRPr="00522805">
        <w:t>SVM</w:t>
      </w:r>
      <w:r w:rsidR="00B72D25">
        <w:t>)</w:t>
      </w:r>
      <w:r w:rsidRPr="00522805">
        <w:t xml:space="preserve">, and </w:t>
      </w:r>
      <w:r w:rsidR="00B72D25">
        <w:t>gradient boosting machine (</w:t>
      </w:r>
      <w:r w:rsidRPr="00522805">
        <w:t>GBM</w:t>
      </w:r>
      <w:r w:rsidR="00B72D25">
        <w:t xml:space="preserve">) methods </w:t>
      </w:r>
      <w:r w:rsidRPr="00522805">
        <w:t xml:space="preserve">showed the best prediction ability </w:t>
      </w:r>
      <w:r w:rsidR="00B25AC7">
        <w:t>among the</w:t>
      </w:r>
      <w:r w:rsidR="00B25AC7" w:rsidRPr="00522805">
        <w:t xml:space="preserve"> </w:t>
      </w:r>
      <w:r>
        <w:t>eight tested machine learning methods;</w:t>
      </w:r>
      <w:r w:rsidRPr="00522805">
        <w:t xml:space="preserve"> </w:t>
      </w:r>
      <w:r w:rsidRPr="001F0802">
        <w:t>(</w:t>
      </w:r>
      <w:r w:rsidR="00B72D25">
        <w:t>ii</w:t>
      </w:r>
      <w:r w:rsidRPr="001F0802">
        <w:t xml:space="preserve">) QSAR models built </w:t>
      </w:r>
      <w:r w:rsidR="001E1F2C">
        <w:t>on balanced</w:t>
      </w:r>
      <w:r w:rsidR="001E1F2C" w:rsidRPr="001F0802">
        <w:t xml:space="preserve"> </w:t>
      </w:r>
      <w:bookmarkStart w:id="3" w:name="OLE_LINK42"/>
      <w:bookmarkStart w:id="4" w:name="OLE_LINK43"/>
      <w:bookmarkStart w:id="5" w:name="OLE_LINK44"/>
      <w:r w:rsidRPr="00994D99">
        <w:t xml:space="preserve">datasets </w:t>
      </w:r>
      <w:r w:rsidR="00C40222">
        <w:t xml:space="preserve">are </w:t>
      </w:r>
      <w:r w:rsidR="001E1F2C">
        <w:t xml:space="preserve">better than </w:t>
      </w:r>
      <w:r w:rsidR="003C2DA4">
        <w:t xml:space="preserve">unbalanced </w:t>
      </w:r>
      <w:r w:rsidR="001E1F2C">
        <w:t xml:space="preserve">(1:2 and 1:3 ratios) </w:t>
      </w:r>
      <w:r w:rsidRPr="00994D99">
        <w:t xml:space="preserve">due to </w:t>
      </w:r>
      <w:bookmarkEnd w:id="3"/>
      <w:bookmarkEnd w:id="4"/>
      <w:bookmarkEnd w:id="5"/>
      <w:r w:rsidR="00D34BB3" w:rsidRPr="00D34BB3">
        <w:t xml:space="preserve">discrepant values between </w:t>
      </w:r>
      <w:r w:rsidR="00D34BB3">
        <w:t>sensitivity (</w:t>
      </w:r>
      <w:r w:rsidR="00D34BB3" w:rsidRPr="00D34BB3">
        <w:t>SE</w:t>
      </w:r>
      <w:r w:rsidR="00D34BB3">
        <w:t>)</w:t>
      </w:r>
      <w:r w:rsidR="00D34BB3" w:rsidRPr="00D34BB3">
        <w:t xml:space="preserve"> and </w:t>
      </w:r>
      <w:r w:rsidR="005D3950">
        <w:t>specificity</w:t>
      </w:r>
      <w:r w:rsidR="002F05BF">
        <w:t xml:space="preserve"> </w:t>
      </w:r>
      <w:r w:rsidR="00D34BB3">
        <w:t>(</w:t>
      </w:r>
      <w:r w:rsidR="00D34BB3" w:rsidRPr="00D34BB3">
        <w:t>SP</w:t>
      </w:r>
      <w:r w:rsidR="007544A1">
        <w:t>);</w:t>
      </w:r>
      <w:r w:rsidR="007544A1" w:rsidRPr="00994D99">
        <w:t xml:space="preserve"> </w:t>
      </w:r>
      <w:r w:rsidR="001E1F2C">
        <w:t xml:space="preserve">the latter </w:t>
      </w:r>
      <w:r w:rsidRPr="00994D99">
        <w:t xml:space="preserve">are prone to assign most samples </w:t>
      </w:r>
      <w:r w:rsidR="007544A1">
        <w:t>as</w:t>
      </w:r>
      <w:r w:rsidRPr="00994D99">
        <w:t xml:space="preserve"> non-inhibitors, resulting in a large number of </w:t>
      </w:r>
      <w:r w:rsidR="00D34BB3">
        <w:t>erroneous predictions</w:t>
      </w:r>
      <w:r w:rsidRPr="00994D99">
        <w:t>; and (</w:t>
      </w:r>
      <w:r w:rsidR="00B72D25">
        <w:t>iii</w:t>
      </w:r>
      <w:r w:rsidRPr="00994D99">
        <w:t xml:space="preserve">) the QSAR models which were built from the balanced dataset showed a high level of agreement between </w:t>
      </w:r>
      <w:r w:rsidR="00DB3723">
        <w:rPr>
          <w:rFonts w:ascii="TimesNewRoman" w:hAnsi="TimesNewRoman"/>
          <w:color w:val="000000"/>
        </w:rPr>
        <w:t>correct classification rate (</w:t>
      </w:r>
      <w:r w:rsidR="00DB3723" w:rsidRPr="00C82CD2">
        <w:rPr>
          <w:rFonts w:ascii="TimesNewRoman" w:hAnsi="TimesNewRoman"/>
          <w:color w:val="000000"/>
        </w:rPr>
        <w:t>CCR</w:t>
      </w:r>
      <w:r w:rsidR="00DB3723">
        <w:rPr>
          <w:rFonts w:ascii="TimesNewRoman" w:hAnsi="TimesNewRoman"/>
          <w:color w:val="000000"/>
        </w:rPr>
        <w:t>)</w:t>
      </w:r>
      <w:r w:rsidR="00DB3723">
        <w:t>,</w:t>
      </w:r>
      <w:r w:rsidRPr="00994D99">
        <w:t xml:space="preserve"> SP</w:t>
      </w:r>
      <w:r w:rsidR="00DB3723">
        <w:t>, and SE</w:t>
      </w:r>
      <w:r w:rsidRPr="00994D99">
        <w:t xml:space="preserve"> values. </w:t>
      </w:r>
      <w:r w:rsidR="003C2DA4">
        <w:t>Table 1 shows the</w:t>
      </w:r>
      <w:r w:rsidR="003C2DA4" w:rsidRPr="00994D99">
        <w:t xml:space="preserve"> detailed performances of the </w:t>
      </w:r>
      <w:r w:rsidR="003C2DA4">
        <w:t>more</w:t>
      </w:r>
      <w:r w:rsidR="003C2DA4" w:rsidRPr="00994D99">
        <w:t xml:space="preserve"> predictive QSAR models de</w:t>
      </w:r>
      <w:r w:rsidR="003C2DA4">
        <w:t>rived from the balanced dataset.</w:t>
      </w:r>
    </w:p>
    <w:p w14:paraId="7B38D86E" w14:textId="2355FE17" w:rsidR="004E6E61" w:rsidRPr="00CF7AA4" w:rsidRDefault="004E6E61" w:rsidP="005617EF">
      <w:pPr>
        <w:pStyle w:val="VDTableTitle"/>
        <w:spacing w:line="276" w:lineRule="auto"/>
      </w:pPr>
      <w:r w:rsidRPr="00CF7AA4">
        <w:rPr>
          <w:b/>
        </w:rPr>
        <w:t>Table 1.</w:t>
      </w:r>
      <w:r w:rsidRPr="00CF7AA4">
        <w:t xml:space="preserve">  Summarized statistical characteristics of QSAR models developed with balanced dataset.</w:t>
      </w:r>
    </w:p>
    <w:tbl>
      <w:tblPr>
        <w:tblStyle w:val="TableGrid"/>
        <w:tblW w:w="4913" w:type="pct"/>
        <w:jc w:val="center"/>
        <w:tblBorders>
          <w:insideH w:val="none" w:sz="0" w:space="0" w:color="auto"/>
          <w:insideV w:val="none" w:sz="0" w:space="0" w:color="auto"/>
        </w:tblBorders>
        <w:tblLook w:val="04A0" w:firstRow="1" w:lastRow="0" w:firstColumn="1" w:lastColumn="0" w:noHBand="0" w:noVBand="1"/>
      </w:tblPr>
      <w:tblGrid>
        <w:gridCol w:w="2576"/>
        <w:gridCol w:w="1419"/>
        <w:gridCol w:w="1419"/>
        <w:gridCol w:w="1276"/>
        <w:gridCol w:w="1135"/>
        <w:gridCol w:w="1584"/>
      </w:tblGrid>
      <w:tr w:rsidR="000545B0" w:rsidRPr="0092676F" w14:paraId="69822961" w14:textId="77777777" w:rsidTr="000545B0">
        <w:trPr>
          <w:cantSplit/>
          <w:trHeight w:hRule="exact" w:val="312"/>
          <w:jc w:val="center"/>
        </w:trPr>
        <w:tc>
          <w:tcPr>
            <w:tcW w:w="1369" w:type="pct"/>
            <w:tcBorders>
              <w:top w:val="single" w:sz="4" w:space="0" w:color="auto"/>
              <w:left w:val="nil"/>
              <w:bottom w:val="single" w:sz="4" w:space="0" w:color="auto"/>
            </w:tcBorders>
            <w:vAlign w:val="center"/>
          </w:tcPr>
          <w:p w14:paraId="4ED3E793" w14:textId="77777777" w:rsidR="004E6E61" w:rsidRPr="0033176D" w:rsidRDefault="004E6E61">
            <w:pPr>
              <w:pStyle w:val="TCTableBody"/>
              <w:rPr>
                <w:lang w:val="en-US"/>
              </w:rPr>
            </w:pPr>
            <w:proofErr w:type="spellStart"/>
            <w:r w:rsidRPr="0092676F">
              <w:t>Model</w:t>
            </w:r>
            <w:proofErr w:type="spellEnd"/>
          </w:p>
        </w:tc>
        <w:tc>
          <w:tcPr>
            <w:tcW w:w="754" w:type="pct"/>
            <w:tcBorders>
              <w:top w:val="single" w:sz="4" w:space="0" w:color="auto"/>
              <w:bottom w:val="single" w:sz="4" w:space="0" w:color="auto"/>
            </w:tcBorders>
            <w:vAlign w:val="center"/>
          </w:tcPr>
          <w:p w14:paraId="3267D6BC" w14:textId="77777777" w:rsidR="004E6E61" w:rsidRPr="0033176D" w:rsidRDefault="004E6E61" w:rsidP="0033176D">
            <w:pPr>
              <w:pStyle w:val="TCTableBody"/>
              <w:rPr>
                <w:lang w:val="en-US"/>
              </w:rPr>
            </w:pPr>
            <w:r w:rsidRPr="0092676F">
              <w:t>CCR</w:t>
            </w:r>
          </w:p>
        </w:tc>
        <w:tc>
          <w:tcPr>
            <w:tcW w:w="754" w:type="pct"/>
            <w:tcBorders>
              <w:top w:val="single" w:sz="4" w:space="0" w:color="auto"/>
              <w:bottom w:val="single" w:sz="4" w:space="0" w:color="auto"/>
            </w:tcBorders>
            <w:vAlign w:val="center"/>
          </w:tcPr>
          <w:p w14:paraId="54A5A617" w14:textId="437716E4" w:rsidR="004E6E61" w:rsidRPr="0028166D" w:rsidRDefault="00411723" w:rsidP="0033176D">
            <w:pPr>
              <w:pStyle w:val="TCTableBody"/>
              <w:rPr>
                <w:i/>
                <w:lang w:val="en-US"/>
              </w:rPr>
            </w:pPr>
            <w:r>
              <w:rPr>
                <w:rFonts w:cs="Times"/>
                <w:i/>
              </w:rPr>
              <w:t>k</w:t>
            </w:r>
          </w:p>
        </w:tc>
        <w:tc>
          <w:tcPr>
            <w:tcW w:w="678" w:type="pct"/>
            <w:tcBorders>
              <w:top w:val="single" w:sz="4" w:space="0" w:color="auto"/>
              <w:bottom w:val="single" w:sz="4" w:space="0" w:color="auto"/>
            </w:tcBorders>
            <w:vAlign w:val="center"/>
          </w:tcPr>
          <w:p w14:paraId="71E1983E" w14:textId="77777777" w:rsidR="004E6E61" w:rsidRPr="0033176D" w:rsidRDefault="004E6E61" w:rsidP="0033176D">
            <w:pPr>
              <w:pStyle w:val="TCTableBody"/>
              <w:rPr>
                <w:lang w:val="en-US"/>
              </w:rPr>
            </w:pPr>
            <w:r w:rsidRPr="0092676F">
              <w:t>SE</w:t>
            </w:r>
          </w:p>
        </w:tc>
        <w:tc>
          <w:tcPr>
            <w:tcW w:w="603" w:type="pct"/>
            <w:tcBorders>
              <w:top w:val="single" w:sz="4" w:space="0" w:color="auto"/>
              <w:bottom w:val="single" w:sz="4" w:space="0" w:color="auto"/>
            </w:tcBorders>
            <w:vAlign w:val="center"/>
          </w:tcPr>
          <w:p w14:paraId="769A8532" w14:textId="77777777" w:rsidR="004E6E61" w:rsidRPr="0033176D" w:rsidRDefault="004E6E61" w:rsidP="0033176D">
            <w:pPr>
              <w:pStyle w:val="TCTableBody"/>
              <w:rPr>
                <w:lang w:val="en-US"/>
              </w:rPr>
            </w:pPr>
            <w:r w:rsidRPr="0092676F">
              <w:t>SP</w:t>
            </w:r>
          </w:p>
        </w:tc>
        <w:tc>
          <w:tcPr>
            <w:tcW w:w="842" w:type="pct"/>
            <w:tcBorders>
              <w:top w:val="single" w:sz="4" w:space="0" w:color="auto"/>
              <w:bottom w:val="single" w:sz="4" w:space="0" w:color="auto"/>
              <w:right w:val="nil"/>
            </w:tcBorders>
            <w:vAlign w:val="center"/>
          </w:tcPr>
          <w:p w14:paraId="20F4C6FA" w14:textId="77777777" w:rsidR="004E6E61" w:rsidRPr="0033176D" w:rsidRDefault="004E6E61" w:rsidP="0033176D">
            <w:pPr>
              <w:pStyle w:val="TCTableBody"/>
              <w:rPr>
                <w:lang w:val="en-US"/>
              </w:rPr>
            </w:pPr>
            <w:proofErr w:type="spellStart"/>
            <w:r w:rsidRPr="0092676F">
              <w:t>Coverage</w:t>
            </w:r>
            <w:proofErr w:type="spellEnd"/>
          </w:p>
        </w:tc>
      </w:tr>
      <w:tr w:rsidR="000545B0" w:rsidRPr="0092676F" w14:paraId="5311A21B" w14:textId="77777777" w:rsidTr="000545B0">
        <w:trPr>
          <w:cantSplit/>
          <w:trHeight w:hRule="exact" w:val="312"/>
          <w:jc w:val="center"/>
        </w:trPr>
        <w:tc>
          <w:tcPr>
            <w:tcW w:w="1369" w:type="pct"/>
            <w:tcBorders>
              <w:top w:val="single" w:sz="4" w:space="0" w:color="auto"/>
              <w:left w:val="nil"/>
              <w:bottom w:val="nil"/>
              <w:right w:val="nil"/>
            </w:tcBorders>
            <w:vAlign w:val="center"/>
          </w:tcPr>
          <w:p w14:paraId="417A4FCC" w14:textId="77777777" w:rsidR="004E6E61" w:rsidRPr="0033176D" w:rsidRDefault="004E6E61">
            <w:pPr>
              <w:pStyle w:val="TCTableBody"/>
              <w:rPr>
                <w:color w:val="000000"/>
              </w:rPr>
            </w:pPr>
            <w:r w:rsidRPr="0092676F">
              <w:rPr>
                <w:color w:val="000000"/>
              </w:rPr>
              <w:t>Morgan</w:t>
            </w:r>
            <w:r w:rsidRPr="0092676F">
              <w:t>–</w:t>
            </w:r>
            <w:r w:rsidRPr="0092676F">
              <w:rPr>
                <w:color w:val="000000"/>
              </w:rPr>
              <w:t>RF</w:t>
            </w:r>
          </w:p>
        </w:tc>
        <w:tc>
          <w:tcPr>
            <w:tcW w:w="754" w:type="pct"/>
            <w:tcBorders>
              <w:top w:val="single" w:sz="4" w:space="0" w:color="auto"/>
              <w:left w:val="nil"/>
              <w:bottom w:val="nil"/>
              <w:right w:val="nil"/>
            </w:tcBorders>
            <w:vAlign w:val="center"/>
          </w:tcPr>
          <w:p w14:paraId="0C540B9F" w14:textId="77777777" w:rsidR="004E6E61" w:rsidRPr="0033176D" w:rsidRDefault="004E6E61" w:rsidP="0033176D">
            <w:pPr>
              <w:pStyle w:val="TCTableBody"/>
            </w:pPr>
            <w:r w:rsidRPr="0092676F">
              <w:t>0.85</w:t>
            </w:r>
          </w:p>
        </w:tc>
        <w:tc>
          <w:tcPr>
            <w:tcW w:w="754" w:type="pct"/>
            <w:tcBorders>
              <w:top w:val="single" w:sz="4" w:space="0" w:color="auto"/>
              <w:left w:val="nil"/>
              <w:bottom w:val="nil"/>
              <w:right w:val="nil"/>
            </w:tcBorders>
            <w:vAlign w:val="center"/>
          </w:tcPr>
          <w:p w14:paraId="0F4E8352" w14:textId="77777777" w:rsidR="004E6E61" w:rsidRPr="0033176D" w:rsidRDefault="004E6E61" w:rsidP="0033176D">
            <w:pPr>
              <w:pStyle w:val="TCTableBody"/>
            </w:pPr>
            <w:r w:rsidRPr="0092676F">
              <w:t>0.71</w:t>
            </w:r>
          </w:p>
        </w:tc>
        <w:tc>
          <w:tcPr>
            <w:tcW w:w="678" w:type="pct"/>
            <w:tcBorders>
              <w:top w:val="single" w:sz="4" w:space="0" w:color="auto"/>
              <w:left w:val="nil"/>
              <w:bottom w:val="nil"/>
              <w:right w:val="nil"/>
            </w:tcBorders>
            <w:vAlign w:val="center"/>
          </w:tcPr>
          <w:p w14:paraId="521088E0" w14:textId="77777777" w:rsidR="004E6E61" w:rsidRPr="0033176D" w:rsidRDefault="004E6E61" w:rsidP="0033176D">
            <w:pPr>
              <w:pStyle w:val="TCTableBody"/>
            </w:pPr>
            <w:r w:rsidRPr="0092676F">
              <w:t>0.85</w:t>
            </w:r>
          </w:p>
        </w:tc>
        <w:tc>
          <w:tcPr>
            <w:tcW w:w="603" w:type="pct"/>
            <w:tcBorders>
              <w:top w:val="single" w:sz="4" w:space="0" w:color="auto"/>
              <w:left w:val="nil"/>
              <w:bottom w:val="nil"/>
              <w:right w:val="nil"/>
            </w:tcBorders>
            <w:vAlign w:val="center"/>
          </w:tcPr>
          <w:p w14:paraId="5F5FDA08" w14:textId="77777777" w:rsidR="004E6E61" w:rsidRPr="0033176D" w:rsidRDefault="004E6E61" w:rsidP="0033176D">
            <w:pPr>
              <w:pStyle w:val="TCTableBody"/>
            </w:pPr>
            <w:r w:rsidRPr="0092676F">
              <w:t>0.86</w:t>
            </w:r>
          </w:p>
        </w:tc>
        <w:tc>
          <w:tcPr>
            <w:tcW w:w="842" w:type="pct"/>
            <w:tcBorders>
              <w:top w:val="single" w:sz="4" w:space="0" w:color="auto"/>
              <w:left w:val="nil"/>
              <w:bottom w:val="nil"/>
              <w:right w:val="nil"/>
            </w:tcBorders>
            <w:vAlign w:val="center"/>
          </w:tcPr>
          <w:p w14:paraId="7B3C4AE1" w14:textId="77777777" w:rsidR="004E6E61" w:rsidRPr="0033176D" w:rsidRDefault="004E6E61" w:rsidP="0033176D">
            <w:pPr>
              <w:pStyle w:val="TCTableBody"/>
            </w:pPr>
            <w:r w:rsidRPr="0092676F">
              <w:t>0.62</w:t>
            </w:r>
          </w:p>
        </w:tc>
      </w:tr>
      <w:tr w:rsidR="000545B0" w:rsidRPr="0092676F" w14:paraId="200FCDCC" w14:textId="77777777" w:rsidTr="000545B0">
        <w:trPr>
          <w:cantSplit/>
          <w:trHeight w:hRule="exact" w:val="312"/>
          <w:jc w:val="center"/>
        </w:trPr>
        <w:tc>
          <w:tcPr>
            <w:tcW w:w="1369" w:type="pct"/>
            <w:tcBorders>
              <w:top w:val="nil"/>
              <w:left w:val="nil"/>
              <w:bottom w:val="nil"/>
              <w:right w:val="nil"/>
            </w:tcBorders>
            <w:vAlign w:val="center"/>
          </w:tcPr>
          <w:p w14:paraId="6684D620" w14:textId="77777777" w:rsidR="004E6E61" w:rsidRPr="0033176D" w:rsidRDefault="004E6E61">
            <w:pPr>
              <w:pStyle w:val="TCTableBody"/>
              <w:rPr>
                <w:color w:val="000000"/>
              </w:rPr>
            </w:pPr>
            <w:r w:rsidRPr="0092676F">
              <w:rPr>
                <w:color w:val="000000"/>
              </w:rPr>
              <w:t>MACCS</w:t>
            </w:r>
            <w:r w:rsidRPr="0092676F">
              <w:t>–</w:t>
            </w:r>
            <w:r w:rsidRPr="0092676F">
              <w:rPr>
                <w:color w:val="000000"/>
              </w:rPr>
              <w:t>RF</w:t>
            </w:r>
          </w:p>
        </w:tc>
        <w:tc>
          <w:tcPr>
            <w:tcW w:w="754" w:type="pct"/>
            <w:tcBorders>
              <w:top w:val="nil"/>
              <w:left w:val="nil"/>
              <w:bottom w:val="nil"/>
              <w:right w:val="nil"/>
            </w:tcBorders>
            <w:vAlign w:val="center"/>
          </w:tcPr>
          <w:p w14:paraId="11176E2F" w14:textId="77777777" w:rsidR="004E6E61" w:rsidRPr="0033176D" w:rsidRDefault="004E6E61" w:rsidP="0033176D">
            <w:pPr>
              <w:pStyle w:val="TCTableBody"/>
            </w:pPr>
            <w:r w:rsidRPr="0092676F">
              <w:t>0.83</w:t>
            </w:r>
          </w:p>
        </w:tc>
        <w:tc>
          <w:tcPr>
            <w:tcW w:w="754" w:type="pct"/>
            <w:tcBorders>
              <w:top w:val="nil"/>
              <w:left w:val="nil"/>
              <w:bottom w:val="nil"/>
              <w:right w:val="nil"/>
            </w:tcBorders>
            <w:vAlign w:val="center"/>
          </w:tcPr>
          <w:p w14:paraId="4AEAAB69" w14:textId="77777777" w:rsidR="004E6E61" w:rsidRPr="0033176D" w:rsidRDefault="004E6E61" w:rsidP="0033176D">
            <w:pPr>
              <w:pStyle w:val="TCTableBody"/>
            </w:pPr>
            <w:r w:rsidRPr="0092676F">
              <w:t>0.66</w:t>
            </w:r>
          </w:p>
        </w:tc>
        <w:tc>
          <w:tcPr>
            <w:tcW w:w="678" w:type="pct"/>
            <w:tcBorders>
              <w:top w:val="nil"/>
              <w:left w:val="nil"/>
              <w:bottom w:val="nil"/>
              <w:right w:val="nil"/>
            </w:tcBorders>
            <w:vAlign w:val="center"/>
          </w:tcPr>
          <w:p w14:paraId="27BEA6AD" w14:textId="77777777" w:rsidR="004E6E61" w:rsidRPr="0033176D" w:rsidRDefault="004E6E61" w:rsidP="0033176D">
            <w:pPr>
              <w:pStyle w:val="TCTableBody"/>
            </w:pPr>
            <w:r w:rsidRPr="0092676F">
              <w:t>0.83</w:t>
            </w:r>
          </w:p>
        </w:tc>
        <w:tc>
          <w:tcPr>
            <w:tcW w:w="603" w:type="pct"/>
            <w:tcBorders>
              <w:top w:val="nil"/>
              <w:left w:val="nil"/>
              <w:bottom w:val="nil"/>
              <w:right w:val="nil"/>
            </w:tcBorders>
            <w:vAlign w:val="center"/>
          </w:tcPr>
          <w:p w14:paraId="580CF1EB" w14:textId="77777777" w:rsidR="004E6E61" w:rsidRPr="0033176D" w:rsidRDefault="004E6E61" w:rsidP="0033176D">
            <w:pPr>
              <w:pStyle w:val="TCTableBody"/>
            </w:pPr>
            <w:r w:rsidRPr="0092676F">
              <w:t>0.83</w:t>
            </w:r>
          </w:p>
        </w:tc>
        <w:tc>
          <w:tcPr>
            <w:tcW w:w="842" w:type="pct"/>
            <w:tcBorders>
              <w:top w:val="nil"/>
              <w:left w:val="nil"/>
              <w:bottom w:val="nil"/>
              <w:right w:val="nil"/>
            </w:tcBorders>
            <w:vAlign w:val="center"/>
          </w:tcPr>
          <w:p w14:paraId="03A9B19F" w14:textId="77777777" w:rsidR="004E6E61" w:rsidRPr="0033176D" w:rsidRDefault="004E6E61" w:rsidP="0033176D">
            <w:pPr>
              <w:pStyle w:val="TCTableBody"/>
            </w:pPr>
            <w:r w:rsidRPr="0092676F">
              <w:t>0.67</w:t>
            </w:r>
          </w:p>
        </w:tc>
      </w:tr>
      <w:tr w:rsidR="000545B0" w:rsidRPr="0092676F" w14:paraId="0D69CA53" w14:textId="77777777" w:rsidTr="000545B0">
        <w:trPr>
          <w:cantSplit/>
          <w:trHeight w:hRule="exact" w:val="312"/>
          <w:jc w:val="center"/>
        </w:trPr>
        <w:tc>
          <w:tcPr>
            <w:tcW w:w="1369" w:type="pct"/>
            <w:tcBorders>
              <w:top w:val="nil"/>
              <w:left w:val="nil"/>
              <w:bottom w:val="nil"/>
              <w:right w:val="nil"/>
            </w:tcBorders>
            <w:vAlign w:val="center"/>
          </w:tcPr>
          <w:p w14:paraId="1956C4F5" w14:textId="77777777" w:rsidR="004E6E61" w:rsidRPr="0033176D" w:rsidRDefault="004E6E61">
            <w:pPr>
              <w:pStyle w:val="TCTableBody"/>
              <w:rPr>
                <w:color w:val="000000"/>
              </w:rPr>
            </w:pPr>
            <w:proofErr w:type="spellStart"/>
            <w:r w:rsidRPr="0092676F">
              <w:rPr>
                <w:color w:val="000000"/>
              </w:rPr>
              <w:t>AtomPair</w:t>
            </w:r>
            <w:proofErr w:type="spellEnd"/>
            <w:r w:rsidRPr="0092676F">
              <w:t>–</w:t>
            </w:r>
            <w:r w:rsidRPr="0092676F">
              <w:rPr>
                <w:color w:val="000000"/>
              </w:rPr>
              <w:t>SVM</w:t>
            </w:r>
          </w:p>
        </w:tc>
        <w:tc>
          <w:tcPr>
            <w:tcW w:w="754" w:type="pct"/>
            <w:tcBorders>
              <w:top w:val="nil"/>
              <w:left w:val="nil"/>
              <w:bottom w:val="nil"/>
              <w:right w:val="nil"/>
            </w:tcBorders>
            <w:vAlign w:val="center"/>
          </w:tcPr>
          <w:p w14:paraId="30CEA72C" w14:textId="77777777" w:rsidR="004E6E61" w:rsidRPr="0033176D" w:rsidRDefault="004E6E61" w:rsidP="0033176D">
            <w:pPr>
              <w:pStyle w:val="TCTableBody"/>
            </w:pPr>
            <w:r w:rsidRPr="0092676F">
              <w:t>0.81</w:t>
            </w:r>
          </w:p>
        </w:tc>
        <w:tc>
          <w:tcPr>
            <w:tcW w:w="754" w:type="pct"/>
            <w:tcBorders>
              <w:top w:val="nil"/>
              <w:left w:val="nil"/>
              <w:bottom w:val="nil"/>
              <w:right w:val="nil"/>
            </w:tcBorders>
            <w:vAlign w:val="center"/>
          </w:tcPr>
          <w:p w14:paraId="02F0175C" w14:textId="77777777" w:rsidR="004E6E61" w:rsidRPr="0033176D" w:rsidRDefault="004E6E61" w:rsidP="0033176D">
            <w:pPr>
              <w:pStyle w:val="TCTableBody"/>
            </w:pPr>
            <w:r w:rsidRPr="0092676F">
              <w:t>0.62</w:t>
            </w:r>
          </w:p>
        </w:tc>
        <w:tc>
          <w:tcPr>
            <w:tcW w:w="678" w:type="pct"/>
            <w:tcBorders>
              <w:top w:val="nil"/>
              <w:left w:val="nil"/>
              <w:bottom w:val="nil"/>
              <w:right w:val="nil"/>
            </w:tcBorders>
            <w:vAlign w:val="center"/>
          </w:tcPr>
          <w:p w14:paraId="4FBCC5C4" w14:textId="77777777" w:rsidR="004E6E61" w:rsidRPr="0033176D" w:rsidRDefault="004E6E61" w:rsidP="0033176D">
            <w:pPr>
              <w:pStyle w:val="TCTableBody"/>
            </w:pPr>
            <w:r w:rsidRPr="0092676F">
              <w:t>0.81</w:t>
            </w:r>
          </w:p>
        </w:tc>
        <w:tc>
          <w:tcPr>
            <w:tcW w:w="603" w:type="pct"/>
            <w:tcBorders>
              <w:top w:val="nil"/>
              <w:left w:val="nil"/>
              <w:bottom w:val="nil"/>
              <w:right w:val="nil"/>
            </w:tcBorders>
            <w:vAlign w:val="center"/>
          </w:tcPr>
          <w:p w14:paraId="17FBC387" w14:textId="77777777" w:rsidR="004E6E61" w:rsidRPr="0033176D" w:rsidRDefault="004E6E61" w:rsidP="0033176D">
            <w:pPr>
              <w:pStyle w:val="TCTableBody"/>
            </w:pPr>
            <w:r w:rsidRPr="0092676F">
              <w:t>0.81</w:t>
            </w:r>
          </w:p>
        </w:tc>
        <w:tc>
          <w:tcPr>
            <w:tcW w:w="842" w:type="pct"/>
            <w:tcBorders>
              <w:top w:val="nil"/>
              <w:left w:val="nil"/>
              <w:bottom w:val="nil"/>
              <w:right w:val="nil"/>
            </w:tcBorders>
            <w:vAlign w:val="center"/>
          </w:tcPr>
          <w:p w14:paraId="3088DBEC" w14:textId="77777777" w:rsidR="004E6E61" w:rsidRPr="0033176D" w:rsidRDefault="004E6E61" w:rsidP="0033176D">
            <w:pPr>
              <w:pStyle w:val="TCTableBody"/>
            </w:pPr>
            <w:r w:rsidRPr="0092676F">
              <w:t>0.65</w:t>
            </w:r>
          </w:p>
        </w:tc>
      </w:tr>
      <w:tr w:rsidR="000545B0" w:rsidRPr="0092676F" w14:paraId="03BB0484" w14:textId="77777777" w:rsidTr="000545B0">
        <w:trPr>
          <w:cantSplit/>
          <w:trHeight w:hRule="exact" w:val="312"/>
          <w:jc w:val="center"/>
        </w:trPr>
        <w:tc>
          <w:tcPr>
            <w:tcW w:w="1369" w:type="pct"/>
            <w:tcBorders>
              <w:top w:val="nil"/>
              <w:left w:val="nil"/>
              <w:bottom w:val="nil"/>
              <w:right w:val="nil"/>
            </w:tcBorders>
            <w:vAlign w:val="center"/>
          </w:tcPr>
          <w:p w14:paraId="2E83809C" w14:textId="77777777" w:rsidR="004E6E61" w:rsidRPr="0033176D" w:rsidRDefault="004E6E61">
            <w:pPr>
              <w:pStyle w:val="TCTableBody"/>
              <w:rPr>
                <w:color w:val="000000"/>
              </w:rPr>
            </w:pPr>
            <w:proofErr w:type="spellStart"/>
            <w:r w:rsidRPr="0092676F">
              <w:rPr>
                <w:color w:val="000000"/>
              </w:rPr>
              <w:t>AtomPair</w:t>
            </w:r>
            <w:proofErr w:type="spellEnd"/>
            <w:r w:rsidRPr="0092676F">
              <w:t>–</w:t>
            </w:r>
            <w:r w:rsidRPr="0092676F">
              <w:rPr>
                <w:color w:val="000000"/>
              </w:rPr>
              <w:t>GBM</w:t>
            </w:r>
          </w:p>
        </w:tc>
        <w:tc>
          <w:tcPr>
            <w:tcW w:w="754" w:type="pct"/>
            <w:tcBorders>
              <w:top w:val="nil"/>
              <w:left w:val="nil"/>
              <w:bottom w:val="nil"/>
              <w:right w:val="nil"/>
            </w:tcBorders>
            <w:vAlign w:val="center"/>
          </w:tcPr>
          <w:p w14:paraId="05E9ABD4" w14:textId="77777777" w:rsidR="004E6E61" w:rsidRPr="0033176D" w:rsidRDefault="004E6E61" w:rsidP="0033176D">
            <w:pPr>
              <w:pStyle w:val="TCTableBody"/>
            </w:pPr>
            <w:r w:rsidRPr="0092676F">
              <w:t>0.81</w:t>
            </w:r>
          </w:p>
        </w:tc>
        <w:tc>
          <w:tcPr>
            <w:tcW w:w="754" w:type="pct"/>
            <w:tcBorders>
              <w:top w:val="nil"/>
              <w:left w:val="nil"/>
              <w:bottom w:val="nil"/>
              <w:right w:val="nil"/>
            </w:tcBorders>
            <w:vAlign w:val="center"/>
          </w:tcPr>
          <w:p w14:paraId="70719E9B" w14:textId="77777777" w:rsidR="004E6E61" w:rsidRPr="0033176D" w:rsidRDefault="004E6E61" w:rsidP="0033176D">
            <w:pPr>
              <w:pStyle w:val="TCTableBody"/>
            </w:pPr>
            <w:r w:rsidRPr="0092676F">
              <w:t>0.62</w:t>
            </w:r>
          </w:p>
        </w:tc>
        <w:tc>
          <w:tcPr>
            <w:tcW w:w="678" w:type="pct"/>
            <w:tcBorders>
              <w:top w:val="nil"/>
              <w:left w:val="nil"/>
              <w:bottom w:val="nil"/>
              <w:right w:val="nil"/>
            </w:tcBorders>
            <w:vAlign w:val="center"/>
          </w:tcPr>
          <w:p w14:paraId="51DEA229" w14:textId="77777777" w:rsidR="004E6E61" w:rsidRPr="0033176D" w:rsidRDefault="004E6E61" w:rsidP="0033176D">
            <w:pPr>
              <w:pStyle w:val="TCTableBody"/>
            </w:pPr>
            <w:r w:rsidRPr="0092676F">
              <w:t>0.81</w:t>
            </w:r>
          </w:p>
        </w:tc>
        <w:tc>
          <w:tcPr>
            <w:tcW w:w="603" w:type="pct"/>
            <w:tcBorders>
              <w:top w:val="nil"/>
              <w:left w:val="nil"/>
              <w:bottom w:val="nil"/>
              <w:right w:val="nil"/>
            </w:tcBorders>
            <w:vAlign w:val="center"/>
          </w:tcPr>
          <w:p w14:paraId="64FFD07D" w14:textId="77777777" w:rsidR="004E6E61" w:rsidRPr="0033176D" w:rsidRDefault="004E6E61" w:rsidP="0033176D">
            <w:pPr>
              <w:pStyle w:val="TCTableBody"/>
            </w:pPr>
            <w:r w:rsidRPr="0092676F">
              <w:t>0.81</w:t>
            </w:r>
          </w:p>
        </w:tc>
        <w:tc>
          <w:tcPr>
            <w:tcW w:w="842" w:type="pct"/>
            <w:tcBorders>
              <w:top w:val="nil"/>
              <w:left w:val="nil"/>
              <w:bottom w:val="nil"/>
              <w:right w:val="nil"/>
            </w:tcBorders>
            <w:vAlign w:val="center"/>
          </w:tcPr>
          <w:p w14:paraId="44EE4432" w14:textId="77777777" w:rsidR="004E6E61" w:rsidRPr="0033176D" w:rsidRDefault="004E6E61" w:rsidP="0033176D">
            <w:pPr>
              <w:pStyle w:val="TCTableBody"/>
            </w:pPr>
            <w:r w:rsidRPr="0092676F">
              <w:t>0.65</w:t>
            </w:r>
          </w:p>
        </w:tc>
      </w:tr>
      <w:tr w:rsidR="000545B0" w:rsidRPr="0092676F" w14:paraId="3862ABEB" w14:textId="77777777" w:rsidTr="000545B0">
        <w:trPr>
          <w:cantSplit/>
          <w:trHeight w:hRule="exact" w:val="312"/>
          <w:jc w:val="center"/>
        </w:trPr>
        <w:tc>
          <w:tcPr>
            <w:tcW w:w="1369" w:type="pct"/>
            <w:tcBorders>
              <w:top w:val="nil"/>
              <w:left w:val="nil"/>
              <w:bottom w:val="nil"/>
              <w:right w:val="nil"/>
            </w:tcBorders>
            <w:vAlign w:val="center"/>
          </w:tcPr>
          <w:p w14:paraId="38A8E0F8" w14:textId="77777777" w:rsidR="004E6E61" w:rsidRPr="0033176D" w:rsidRDefault="004E6E61">
            <w:pPr>
              <w:pStyle w:val="TCTableBody"/>
              <w:rPr>
                <w:color w:val="000000"/>
              </w:rPr>
            </w:pPr>
            <w:r w:rsidRPr="0092676F">
              <w:rPr>
                <w:color w:val="000000"/>
              </w:rPr>
              <w:t>Dragon</w:t>
            </w:r>
            <w:r w:rsidRPr="0092676F">
              <w:t>–</w:t>
            </w:r>
            <w:r w:rsidRPr="0092676F">
              <w:rPr>
                <w:color w:val="000000"/>
              </w:rPr>
              <w:t>SVM</w:t>
            </w:r>
          </w:p>
        </w:tc>
        <w:tc>
          <w:tcPr>
            <w:tcW w:w="754" w:type="pct"/>
            <w:tcBorders>
              <w:top w:val="nil"/>
              <w:left w:val="nil"/>
              <w:bottom w:val="nil"/>
              <w:right w:val="nil"/>
            </w:tcBorders>
            <w:vAlign w:val="center"/>
          </w:tcPr>
          <w:p w14:paraId="41CB5998" w14:textId="77777777" w:rsidR="004E6E61" w:rsidRPr="0033176D" w:rsidRDefault="004E6E61" w:rsidP="0033176D">
            <w:pPr>
              <w:pStyle w:val="TCTableBody"/>
            </w:pPr>
            <w:r w:rsidRPr="0092676F">
              <w:t>0.85</w:t>
            </w:r>
          </w:p>
        </w:tc>
        <w:tc>
          <w:tcPr>
            <w:tcW w:w="754" w:type="pct"/>
            <w:tcBorders>
              <w:top w:val="nil"/>
              <w:left w:val="nil"/>
              <w:bottom w:val="nil"/>
              <w:right w:val="nil"/>
            </w:tcBorders>
            <w:vAlign w:val="center"/>
          </w:tcPr>
          <w:p w14:paraId="3138EB58" w14:textId="77777777" w:rsidR="004E6E61" w:rsidRPr="0033176D" w:rsidRDefault="004E6E61" w:rsidP="0033176D">
            <w:pPr>
              <w:pStyle w:val="TCTableBody"/>
            </w:pPr>
            <w:r w:rsidRPr="0092676F">
              <w:t>0.70</w:t>
            </w:r>
          </w:p>
        </w:tc>
        <w:tc>
          <w:tcPr>
            <w:tcW w:w="678" w:type="pct"/>
            <w:tcBorders>
              <w:top w:val="nil"/>
              <w:left w:val="nil"/>
              <w:bottom w:val="nil"/>
              <w:right w:val="nil"/>
            </w:tcBorders>
            <w:vAlign w:val="center"/>
          </w:tcPr>
          <w:p w14:paraId="6FA9619D" w14:textId="77777777" w:rsidR="004E6E61" w:rsidRPr="0033176D" w:rsidRDefault="004E6E61" w:rsidP="0033176D">
            <w:pPr>
              <w:pStyle w:val="TCTableBody"/>
            </w:pPr>
            <w:r w:rsidRPr="0092676F">
              <w:t>0.85</w:t>
            </w:r>
          </w:p>
        </w:tc>
        <w:tc>
          <w:tcPr>
            <w:tcW w:w="603" w:type="pct"/>
            <w:tcBorders>
              <w:top w:val="nil"/>
              <w:left w:val="nil"/>
              <w:bottom w:val="nil"/>
              <w:right w:val="nil"/>
            </w:tcBorders>
            <w:vAlign w:val="center"/>
          </w:tcPr>
          <w:p w14:paraId="5012AB49" w14:textId="77777777" w:rsidR="004E6E61" w:rsidRPr="0033176D" w:rsidRDefault="004E6E61" w:rsidP="0033176D">
            <w:pPr>
              <w:pStyle w:val="TCTableBody"/>
            </w:pPr>
            <w:r w:rsidRPr="0092676F">
              <w:t>0.84</w:t>
            </w:r>
          </w:p>
        </w:tc>
        <w:tc>
          <w:tcPr>
            <w:tcW w:w="842" w:type="pct"/>
            <w:tcBorders>
              <w:top w:val="nil"/>
              <w:left w:val="nil"/>
              <w:bottom w:val="nil"/>
              <w:right w:val="nil"/>
            </w:tcBorders>
            <w:vAlign w:val="center"/>
          </w:tcPr>
          <w:p w14:paraId="7741F50B" w14:textId="77777777" w:rsidR="004E6E61" w:rsidRPr="0033176D" w:rsidRDefault="004E6E61" w:rsidP="0033176D">
            <w:pPr>
              <w:pStyle w:val="TCTableBody"/>
            </w:pPr>
            <w:r w:rsidRPr="0092676F">
              <w:t>0.69</w:t>
            </w:r>
          </w:p>
        </w:tc>
      </w:tr>
      <w:tr w:rsidR="000545B0" w:rsidRPr="0092676F" w14:paraId="1F25B035" w14:textId="77777777" w:rsidTr="000545B0">
        <w:trPr>
          <w:cantSplit/>
          <w:trHeight w:hRule="exact" w:val="312"/>
          <w:jc w:val="center"/>
        </w:trPr>
        <w:tc>
          <w:tcPr>
            <w:tcW w:w="1369" w:type="pct"/>
            <w:tcBorders>
              <w:top w:val="nil"/>
              <w:left w:val="nil"/>
              <w:bottom w:val="nil"/>
              <w:right w:val="nil"/>
            </w:tcBorders>
            <w:vAlign w:val="center"/>
          </w:tcPr>
          <w:p w14:paraId="3C6A3934" w14:textId="77777777" w:rsidR="004E6E61" w:rsidRPr="0033176D" w:rsidRDefault="004E6E61">
            <w:pPr>
              <w:pStyle w:val="TCTableBody"/>
              <w:rPr>
                <w:color w:val="000000"/>
              </w:rPr>
            </w:pPr>
            <w:r w:rsidRPr="0092676F">
              <w:rPr>
                <w:color w:val="000000"/>
              </w:rPr>
              <w:t>Dragon</w:t>
            </w:r>
            <w:r w:rsidRPr="0092676F">
              <w:t>–</w:t>
            </w:r>
            <w:r w:rsidRPr="0092676F">
              <w:rPr>
                <w:color w:val="000000"/>
              </w:rPr>
              <w:t>GBM</w:t>
            </w:r>
          </w:p>
        </w:tc>
        <w:tc>
          <w:tcPr>
            <w:tcW w:w="754" w:type="pct"/>
            <w:tcBorders>
              <w:top w:val="nil"/>
              <w:left w:val="nil"/>
              <w:bottom w:val="nil"/>
              <w:right w:val="nil"/>
            </w:tcBorders>
            <w:vAlign w:val="center"/>
          </w:tcPr>
          <w:p w14:paraId="522149C5" w14:textId="77777777" w:rsidR="004E6E61" w:rsidRPr="0033176D" w:rsidRDefault="004E6E61" w:rsidP="0033176D">
            <w:pPr>
              <w:pStyle w:val="TCTableBody"/>
            </w:pPr>
            <w:r w:rsidRPr="0092676F">
              <w:t>0.85</w:t>
            </w:r>
          </w:p>
        </w:tc>
        <w:tc>
          <w:tcPr>
            <w:tcW w:w="754" w:type="pct"/>
            <w:tcBorders>
              <w:top w:val="nil"/>
              <w:left w:val="nil"/>
              <w:bottom w:val="nil"/>
              <w:right w:val="nil"/>
            </w:tcBorders>
            <w:vAlign w:val="center"/>
          </w:tcPr>
          <w:p w14:paraId="6217E826" w14:textId="77777777" w:rsidR="004E6E61" w:rsidRPr="0033176D" w:rsidRDefault="004E6E61" w:rsidP="0033176D">
            <w:pPr>
              <w:pStyle w:val="TCTableBody"/>
            </w:pPr>
            <w:r w:rsidRPr="0092676F">
              <w:t>0.70</w:t>
            </w:r>
          </w:p>
        </w:tc>
        <w:tc>
          <w:tcPr>
            <w:tcW w:w="678" w:type="pct"/>
            <w:tcBorders>
              <w:top w:val="nil"/>
              <w:left w:val="nil"/>
              <w:bottom w:val="nil"/>
              <w:right w:val="nil"/>
            </w:tcBorders>
            <w:vAlign w:val="center"/>
          </w:tcPr>
          <w:p w14:paraId="4A31F4FD" w14:textId="77777777" w:rsidR="004E6E61" w:rsidRPr="0033176D" w:rsidRDefault="004E6E61" w:rsidP="0033176D">
            <w:pPr>
              <w:pStyle w:val="TCTableBody"/>
            </w:pPr>
            <w:r w:rsidRPr="0092676F">
              <w:t>0.85</w:t>
            </w:r>
          </w:p>
        </w:tc>
        <w:tc>
          <w:tcPr>
            <w:tcW w:w="603" w:type="pct"/>
            <w:tcBorders>
              <w:top w:val="nil"/>
              <w:left w:val="nil"/>
              <w:bottom w:val="nil"/>
              <w:right w:val="nil"/>
            </w:tcBorders>
            <w:vAlign w:val="center"/>
          </w:tcPr>
          <w:p w14:paraId="7990590F" w14:textId="77777777" w:rsidR="004E6E61" w:rsidRPr="0033176D" w:rsidRDefault="004E6E61" w:rsidP="0033176D">
            <w:pPr>
              <w:pStyle w:val="TCTableBody"/>
            </w:pPr>
            <w:r w:rsidRPr="0092676F">
              <w:t>0.84</w:t>
            </w:r>
          </w:p>
        </w:tc>
        <w:tc>
          <w:tcPr>
            <w:tcW w:w="842" w:type="pct"/>
            <w:tcBorders>
              <w:top w:val="nil"/>
              <w:left w:val="nil"/>
              <w:bottom w:val="nil"/>
              <w:right w:val="nil"/>
            </w:tcBorders>
            <w:vAlign w:val="center"/>
          </w:tcPr>
          <w:p w14:paraId="31B59BC5" w14:textId="77777777" w:rsidR="004E6E61" w:rsidRPr="0033176D" w:rsidRDefault="004E6E61" w:rsidP="0033176D">
            <w:pPr>
              <w:pStyle w:val="TCTableBody"/>
            </w:pPr>
            <w:r w:rsidRPr="0092676F">
              <w:t>0.69</w:t>
            </w:r>
          </w:p>
        </w:tc>
      </w:tr>
      <w:tr w:rsidR="000545B0" w:rsidRPr="0092676F" w14:paraId="6E51CA17" w14:textId="77777777" w:rsidTr="000545B0">
        <w:trPr>
          <w:cantSplit/>
          <w:trHeight w:hRule="exact" w:val="312"/>
          <w:jc w:val="center"/>
        </w:trPr>
        <w:tc>
          <w:tcPr>
            <w:tcW w:w="1369" w:type="pct"/>
            <w:tcBorders>
              <w:top w:val="nil"/>
              <w:left w:val="nil"/>
              <w:bottom w:val="nil"/>
              <w:right w:val="nil"/>
            </w:tcBorders>
            <w:vAlign w:val="center"/>
          </w:tcPr>
          <w:p w14:paraId="03E59A5A" w14:textId="77777777" w:rsidR="004E6E61" w:rsidRPr="0033176D" w:rsidRDefault="004E6E61">
            <w:pPr>
              <w:pStyle w:val="TCTableBody"/>
              <w:rPr>
                <w:color w:val="000000"/>
              </w:rPr>
            </w:pPr>
            <w:r w:rsidRPr="0092676F">
              <w:rPr>
                <w:color w:val="000000"/>
              </w:rPr>
              <w:t>CDK</w:t>
            </w:r>
            <w:r w:rsidRPr="0092676F">
              <w:t>–</w:t>
            </w:r>
            <w:r w:rsidRPr="0092676F">
              <w:rPr>
                <w:color w:val="000000"/>
              </w:rPr>
              <w:t>SVM</w:t>
            </w:r>
          </w:p>
        </w:tc>
        <w:tc>
          <w:tcPr>
            <w:tcW w:w="754" w:type="pct"/>
            <w:tcBorders>
              <w:top w:val="nil"/>
              <w:left w:val="nil"/>
              <w:bottom w:val="nil"/>
              <w:right w:val="nil"/>
            </w:tcBorders>
            <w:vAlign w:val="center"/>
          </w:tcPr>
          <w:p w14:paraId="1A5F31E9" w14:textId="77777777" w:rsidR="004E6E61" w:rsidRPr="0033176D" w:rsidRDefault="004E6E61" w:rsidP="0033176D">
            <w:pPr>
              <w:pStyle w:val="TCTableBody"/>
            </w:pPr>
            <w:r w:rsidRPr="0092676F">
              <w:t>0.84</w:t>
            </w:r>
          </w:p>
        </w:tc>
        <w:tc>
          <w:tcPr>
            <w:tcW w:w="754" w:type="pct"/>
            <w:tcBorders>
              <w:top w:val="nil"/>
              <w:left w:val="nil"/>
              <w:bottom w:val="nil"/>
              <w:right w:val="nil"/>
            </w:tcBorders>
            <w:vAlign w:val="center"/>
          </w:tcPr>
          <w:p w14:paraId="510A687F" w14:textId="77777777" w:rsidR="004E6E61" w:rsidRPr="0033176D" w:rsidRDefault="004E6E61" w:rsidP="0033176D">
            <w:pPr>
              <w:pStyle w:val="TCTableBody"/>
            </w:pPr>
            <w:r w:rsidRPr="0092676F">
              <w:t>0.69</w:t>
            </w:r>
          </w:p>
        </w:tc>
        <w:tc>
          <w:tcPr>
            <w:tcW w:w="678" w:type="pct"/>
            <w:tcBorders>
              <w:top w:val="nil"/>
              <w:left w:val="nil"/>
              <w:bottom w:val="nil"/>
              <w:right w:val="nil"/>
            </w:tcBorders>
            <w:vAlign w:val="center"/>
          </w:tcPr>
          <w:p w14:paraId="1757BA76" w14:textId="77777777" w:rsidR="004E6E61" w:rsidRPr="0033176D" w:rsidRDefault="004E6E61" w:rsidP="0033176D">
            <w:pPr>
              <w:pStyle w:val="TCTableBody"/>
            </w:pPr>
            <w:r w:rsidRPr="0092676F">
              <w:t>0.85</w:t>
            </w:r>
          </w:p>
        </w:tc>
        <w:tc>
          <w:tcPr>
            <w:tcW w:w="603" w:type="pct"/>
            <w:tcBorders>
              <w:top w:val="nil"/>
              <w:left w:val="nil"/>
              <w:bottom w:val="nil"/>
              <w:right w:val="nil"/>
            </w:tcBorders>
            <w:vAlign w:val="center"/>
          </w:tcPr>
          <w:p w14:paraId="1B99110B" w14:textId="77777777" w:rsidR="004E6E61" w:rsidRPr="0033176D" w:rsidRDefault="004E6E61" w:rsidP="0033176D">
            <w:pPr>
              <w:pStyle w:val="TCTableBody"/>
            </w:pPr>
            <w:r w:rsidRPr="0092676F">
              <w:t>0.84</w:t>
            </w:r>
          </w:p>
        </w:tc>
        <w:tc>
          <w:tcPr>
            <w:tcW w:w="842" w:type="pct"/>
            <w:tcBorders>
              <w:top w:val="nil"/>
              <w:left w:val="nil"/>
              <w:bottom w:val="nil"/>
              <w:right w:val="nil"/>
            </w:tcBorders>
            <w:vAlign w:val="center"/>
          </w:tcPr>
          <w:p w14:paraId="5A2F941C" w14:textId="77777777" w:rsidR="004E6E61" w:rsidRPr="0033176D" w:rsidRDefault="004E6E61" w:rsidP="0033176D">
            <w:pPr>
              <w:pStyle w:val="TCTableBody"/>
            </w:pPr>
            <w:r w:rsidRPr="0092676F">
              <w:t>0.77</w:t>
            </w:r>
          </w:p>
        </w:tc>
      </w:tr>
      <w:tr w:rsidR="000545B0" w:rsidRPr="0092676F" w14:paraId="2F2D7A86" w14:textId="77777777" w:rsidTr="000545B0">
        <w:trPr>
          <w:cantSplit/>
          <w:trHeight w:hRule="exact" w:val="312"/>
          <w:jc w:val="center"/>
        </w:trPr>
        <w:tc>
          <w:tcPr>
            <w:tcW w:w="1369" w:type="pct"/>
            <w:tcBorders>
              <w:top w:val="nil"/>
              <w:left w:val="nil"/>
              <w:bottom w:val="nil"/>
              <w:right w:val="nil"/>
            </w:tcBorders>
            <w:vAlign w:val="center"/>
          </w:tcPr>
          <w:p w14:paraId="52C2BEFA" w14:textId="77777777" w:rsidR="004E6E61" w:rsidRPr="0033176D" w:rsidRDefault="004E6E61">
            <w:pPr>
              <w:pStyle w:val="TCTableBody"/>
              <w:rPr>
                <w:color w:val="000000"/>
              </w:rPr>
            </w:pPr>
            <w:r w:rsidRPr="0092676F">
              <w:rPr>
                <w:color w:val="000000"/>
              </w:rPr>
              <w:t>Consensus</w:t>
            </w:r>
          </w:p>
        </w:tc>
        <w:tc>
          <w:tcPr>
            <w:tcW w:w="754" w:type="pct"/>
            <w:tcBorders>
              <w:top w:val="nil"/>
              <w:left w:val="nil"/>
              <w:bottom w:val="nil"/>
              <w:right w:val="nil"/>
            </w:tcBorders>
            <w:vAlign w:val="center"/>
          </w:tcPr>
          <w:p w14:paraId="142568F2" w14:textId="77777777" w:rsidR="004E6E61" w:rsidRPr="0033176D" w:rsidRDefault="004E6E61" w:rsidP="0033176D">
            <w:pPr>
              <w:pStyle w:val="TCTableBody"/>
            </w:pPr>
            <w:r w:rsidRPr="0092676F">
              <w:t>0.87</w:t>
            </w:r>
          </w:p>
        </w:tc>
        <w:tc>
          <w:tcPr>
            <w:tcW w:w="754" w:type="pct"/>
            <w:tcBorders>
              <w:top w:val="nil"/>
              <w:left w:val="nil"/>
              <w:bottom w:val="nil"/>
              <w:right w:val="nil"/>
            </w:tcBorders>
            <w:vAlign w:val="center"/>
          </w:tcPr>
          <w:p w14:paraId="7A37C382" w14:textId="77777777" w:rsidR="004E6E61" w:rsidRPr="0033176D" w:rsidRDefault="004E6E61" w:rsidP="0033176D">
            <w:pPr>
              <w:pStyle w:val="TCTableBody"/>
            </w:pPr>
            <w:r w:rsidRPr="0092676F">
              <w:t>0.74</w:t>
            </w:r>
          </w:p>
        </w:tc>
        <w:tc>
          <w:tcPr>
            <w:tcW w:w="678" w:type="pct"/>
            <w:tcBorders>
              <w:top w:val="nil"/>
              <w:left w:val="nil"/>
              <w:bottom w:val="nil"/>
              <w:right w:val="nil"/>
            </w:tcBorders>
            <w:vAlign w:val="center"/>
          </w:tcPr>
          <w:p w14:paraId="485449E3" w14:textId="77777777" w:rsidR="004E6E61" w:rsidRPr="0033176D" w:rsidRDefault="004E6E61" w:rsidP="0033176D">
            <w:pPr>
              <w:pStyle w:val="TCTableBody"/>
            </w:pPr>
            <w:r w:rsidRPr="0092676F">
              <w:t>0.87</w:t>
            </w:r>
          </w:p>
        </w:tc>
        <w:tc>
          <w:tcPr>
            <w:tcW w:w="603" w:type="pct"/>
            <w:tcBorders>
              <w:top w:val="nil"/>
              <w:left w:val="nil"/>
              <w:bottom w:val="nil"/>
              <w:right w:val="nil"/>
            </w:tcBorders>
            <w:vAlign w:val="center"/>
          </w:tcPr>
          <w:p w14:paraId="64A36673" w14:textId="77777777" w:rsidR="004E6E61" w:rsidRPr="0033176D" w:rsidRDefault="004E6E61" w:rsidP="0033176D">
            <w:pPr>
              <w:pStyle w:val="TCTableBody"/>
            </w:pPr>
            <w:r w:rsidRPr="0092676F">
              <w:t>0.88</w:t>
            </w:r>
          </w:p>
        </w:tc>
        <w:tc>
          <w:tcPr>
            <w:tcW w:w="842" w:type="pct"/>
            <w:tcBorders>
              <w:top w:val="nil"/>
              <w:left w:val="nil"/>
              <w:bottom w:val="nil"/>
              <w:right w:val="nil"/>
            </w:tcBorders>
            <w:vAlign w:val="center"/>
          </w:tcPr>
          <w:p w14:paraId="6B9E3393" w14:textId="77777777" w:rsidR="004E6E61" w:rsidRPr="0033176D" w:rsidRDefault="004E6E61" w:rsidP="0033176D">
            <w:pPr>
              <w:pStyle w:val="TCTableBody"/>
            </w:pPr>
            <w:r w:rsidRPr="0092676F">
              <w:t>1.00</w:t>
            </w:r>
          </w:p>
        </w:tc>
      </w:tr>
      <w:tr w:rsidR="000545B0" w:rsidRPr="0092676F" w14:paraId="5F686CD3" w14:textId="77777777" w:rsidTr="000545B0">
        <w:trPr>
          <w:cantSplit/>
          <w:trHeight w:hRule="exact" w:val="312"/>
          <w:jc w:val="center"/>
        </w:trPr>
        <w:tc>
          <w:tcPr>
            <w:tcW w:w="1369" w:type="pct"/>
            <w:tcBorders>
              <w:top w:val="nil"/>
              <w:left w:val="nil"/>
              <w:bottom w:val="single" w:sz="4" w:space="0" w:color="auto"/>
              <w:right w:val="nil"/>
            </w:tcBorders>
            <w:vAlign w:val="center"/>
          </w:tcPr>
          <w:p w14:paraId="7EC244B6" w14:textId="77777777" w:rsidR="004E6E61" w:rsidRPr="0033176D" w:rsidRDefault="004E6E61">
            <w:pPr>
              <w:pStyle w:val="TCTableBody"/>
              <w:rPr>
                <w:color w:val="000000"/>
              </w:rPr>
            </w:pPr>
            <w:r w:rsidRPr="0092676F">
              <w:rPr>
                <w:color w:val="000000"/>
              </w:rPr>
              <w:t>Consensus rigor</w:t>
            </w:r>
          </w:p>
        </w:tc>
        <w:tc>
          <w:tcPr>
            <w:tcW w:w="754" w:type="pct"/>
            <w:tcBorders>
              <w:top w:val="nil"/>
              <w:left w:val="nil"/>
              <w:bottom w:val="single" w:sz="4" w:space="0" w:color="auto"/>
              <w:right w:val="nil"/>
            </w:tcBorders>
            <w:vAlign w:val="center"/>
          </w:tcPr>
          <w:p w14:paraId="7DD2F8BE" w14:textId="77777777" w:rsidR="004E6E61" w:rsidRPr="0033176D" w:rsidRDefault="004E6E61" w:rsidP="0033176D">
            <w:pPr>
              <w:pStyle w:val="TCTableBody"/>
            </w:pPr>
            <w:r w:rsidRPr="0092676F">
              <w:t>0.91</w:t>
            </w:r>
          </w:p>
        </w:tc>
        <w:tc>
          <w:tcPr>
            <w:tcW w:w="754" w:type="pct"/>
            <w:tcBorders>
              <w:top w:val="nil"/>
              <w:left w:val="nil"/>
              <w:bottom w:val="single" w:sz="4" w:space="0" w:color="auto"/>
              <w:right w:val="nil"/>
            </w:tcBorders>
            <w:vAlign w:val="center"/>
          </w:tcPr>
          <w:p w14:paraId="219D9054" w14:textId="77777777" w:rsidR="004E6E61" w:rsidRPr="0033176D" w:rsidRDefault="004E6E61" w:rsidP="0033176D">
            <w:pPr>
              <w:pStyle w:val="TCTableBody"/>
            </w:pPr>
            <w:r w:rsidRPr="0092676F">
              <w:t>0.81</w:t>
            </w:r>
          </w:p>
        </w:tc>
        <w:tc>
          <w:tcPr>
            <w:tcW w:w="678" w:type="pct"/>
            <w:tcBorders>
              <w:top w:val="nil"/>
              <w:left w:val="nil"/>
              <w:bottom w:val="single" w:sz="4" w:space="0" w:color="auto"/>
              <w:right w:val="nil"/>
            </w:tcBorders>
            <w:vAlign w:val="center"/>
          </w:tcPr>
          <w:p w14:paraId="34B6B15F" w14:textId="77777777" w:rsidR="004E6E61" w:rsidRPr="0033176D" w:rsidRDefault="004E6E61" w:rsidP="0033176D">
            <w:pPr>
              <w:pStyle w:val="TCTableBody"/>
            </w:pPr>
            <w:r w:rsidRPr="0092676F">
              <w:t>0.96</w:t>
            </w:r>
          </w:p>
        </w:tc>
        <w:tc>
          <w:tcPr>
            <w:tcW w:w="603" w:type="pct"/>
            <w:tcBorders>
              <w:top w:val="nil"/>
              <w:left w:val="nil"/>
              <w:bottom w:val="single" w:sz="4" w:space="0" w:color="auto"/>
              <w:right w:val="nil"/>
            </w:tcBorders>
            <w:vAlign w:val="center"/>
          </w:tcPr>
          <w:p w14:paraId="5FBF4E98" w14:textId="77777777" w:rsidR="004E6E61" w:rsidRPr="0033176D" w:rsidRDefault="004E6E61" w:rsidP="0033176D">
            <w:pPr>
              <w:pStyle w:val="TCTableBody"/>
            </w:pPr>
            <w:r w:rsidRPr="0092676F">
              <w:t>0.87</w:t>
            </w:r>
          </w:p>
        </w:tc>
        <w:tc>
          <w:tcPr>
            <w:tcW w:w="842" w:type="pct"/>
            <w:tcBorders>
              <w:top w:val="nil"/>
              <w:left w:val="nil"/>
              <w:bottom w:val="single" w:sz="4" w:space="0" w:color="auto"/>
              <w:right w:val="nil"/>
            </w:tcBorders>
            <w:vAlign w:val="center"/>
          </w:tcPr>
          <w:p w14:paraId="49370931" w14:textId="77777777" w:rsidR="004E6E61" w:rsidRPr="0033176D" w:rsidRDefault="004E6E61" w:rsidP="0033176D">
            <w:pPr>
              <w:pStyle w:val="TCTableBody"/>
            </w:pPr>
            <w:r w:rsidRPr="0092676F">
              <w:t>0.38</w:t>
            </w:r>
          </w:p>
        </w:tc>
      </w:tr>
    </w:tbl>
    <w:p w14:paraId="4423B431" w14:textId="43E1A82C" w:rsidR="004E6E61" w:rsidRDefault="004E6E61" w:rsidP="005617EF">
      <w:pPr>
        <w:pStyle w:val="TAMainText"/>
        <w:spacing w:line="276" w:lineRule="auto"/>
        <w:ind w:firstLine="0"/>
      </w:pPr>
      <w:r w:rsidRPr="001E2E7A">
        <w:t xml:space="preserve">RF: Random Forest; SVM: Support Vector Machine; GBM: Gradient Boosting Machine; CCR: correct classification rate; </w:t>
      </w:r>
      <w:r w:rsidR="00411723">
        <w:rPr>
          <w:rFonts w:cs="Times"/>
          <w:i/>
        </w:rPr>
        <w:t>k</w:t>
      </w:r>
      <w:r w:rsidRPr="001E2E7A">
        <w:t xml:space="preserve">: Cohen’s kappa coefficient; SE: sensitivity; SP: specificity. Consensus and </w:t>
      </w:r>
      <w:r w:rsidR="0033176D" w:rsidRPr="001E2E7A">
        <w:t>c</w:t>
      </w:r>
      <w:r w:rsidRPr="001E2E7A">
        <w:t xml:space="preserve">onsensus </w:t>
      </w:r>
      <w:r w:rsidR="0033176D" w:rsidRPr="001E2E7A">
        <w:t>r</w:t>
      </w:r>
      <w:r w:rsidRPr="001E2E7A">
        <w:t xml:space="preserve">igor models were built by averaging the predicted values from the individual model for each machine learning technique (Morgan–RF, MACCS–RF, </w:t>
      </w:r>
      <w:proofErr w:type="spellStart"/>
      <w:r w:rsidRPr="001E2E7A">
        <w:t>AtomPair</w:t>
      </w:r>
      <w:proofErr w:type="spellEnd"/>
      <w:r w:rsidRPr="001E2E7A">
        <w:t>–SVM, Dragon–SVM, and CDK–SVM).</w:t>
      </w:r>
    </w:p>
    <w:p w14:paraId="09C9330A" w14:textId="77777777" w:rsidR="00DD4A67" w:rsidRPr="001854AE" w:rsidRDefault="00DD4A67" w:rsidP="00345897">
      <w:pPr>
        <w:pStyle w:val="TAMainText"/>
      </w:pPr>
    </w:p>
    <w:p w14:paraId="73595074" w14:textId="27DEBD07" w:rsidR="001C4883" w:rsidRPr="001A79E5" w:rsidRDefault="005D3950" w:rsidP="00411723">
      <w:pPr>
        <w:pStyle w:val="TAMainText"/>
        <w:spacing w:before="120"/>
        <w:ind w:firstLine="204"/>
      </w:pPr>
      <w:r>
        <w:t>The</w:t>
      </w:r>
      <w:r w:rsidR="001C4883" w:rsidRPr="00994D99">
        <w:t xml:space="preserve"> combination of Morgan fingerprints with RF (Morgan–RF), MACCS key with RF (MACCS–RF), </w:t>
      </w:r>
      <w:proofErr w:type="spellStart"/>
      <w:r w:rsidR="001C4883" w:rsidRPr="00994D99">
        <w:t>AtomPair</w:t>
      </w:r>
      <w:proofErr w:type="spellEnd"/>
      <w:r w:rsidR="001C4883" w:rsidRPr="00994D99">
        <w:t xml:space="preserve"> fingerprints with SVM (</w:t>
      </w:r>
      <w:proofErr w:type="spellStart"/>
      <w:r w:rsidR="001C4883" w:rsidRPr="00994D99">
        <w:t>AtomPair</w:t>
      </w:r>
      <w:proofErr w:type="spellEnd"/>
      <w:r w:rsidR="001C4883" w:rsidRPr="00994D99">
        <w:t>–SVM) and GBM (</w:t>
      </w:r>
      <w:proofErr w:type="spellStart"/>
      <w:r w:rsidR="001C4883" w:rsidRPr="00994D99">
        <w:t>AtomPair</w:t>
      </w:r>
      <w:proofErr w:type="spellEnd"/>
      <w:r w:rsidR="001C4883" w:rsidRPr="00994D99">
        <w:t xml:space="preserve">–GBM), Dragon descriptors with SVM (Dragon–SVM) and GBM (Dragon–GBM), and CDK </w:t>
      </w:r>
      <w:r w:rsidR="001C4883" w:rsidRPr="00994D99">
        <w:lastRenderedPageBreak/>
        <w:t xml:space="preserve">descriptors with SVM (CDK–SVM) led to </w:t>
      </w:r>
      <w:r w:rsidR="00D34BB3">
        <w:t xml:space="preserve">more </w:t>
      </w:r>
      <w:r w:rsidR="001C4883" w:rsidRPr="00994D99">
        <w:t xml:space="preserve">predictive QSAR models, with </w:t>
      </w:r>
      <w:r w:rsidR="00707EB5" w:rsidRPr="001D0868">
        <w:t xml:space="preserve">correct classification rate (CCR) ranging </w:t>
      </w:r>
      <w:r w:rsidR="00707EB5" w:rsidRPr="0033176D">
        <w:t>between</w:t>
      </w:r>
      <w:r w:rsidR="009576A0" w:rsidRPr="0033176D">
        <w:t xml:space="preserve"> </w:t>
      </w:r>
      <w:r w:rsidR="0033176D" w:rsidRPr="0033176D">
        <w:t>0.81–0.85</w:t>
      </w:r>
      <w:r w:rsidR="009576A0" w:rsidRPr="0033176D">
        <w:t xml:space="preserve"> </w:t>
      </w:r>
      <w:r w:rsidR="008F1280" w:rsidRPr="0033176D">
        <w:t>and</w:t>
      </w:r>
      <w:r w:rsidR="009576A0" w:rsidRPr="0033176D">
        <w:t xml:space="preserve"> coverage of</w:t>
      </w:r>
      <w:r w:rsidR="0033176D">
        <w:t xml:space="preserve"> </w:t>
      </w:r>
      <w:r w:rsidR="0033176D" w:rsidRPr="0033176D">
        <w:t>0.62–0.77</w:t>
      </w:r>
      <w:r w:rsidR="00BA2A17">
        <w:t xml:space="preserve"> (Table 1)</w:t>
      </w:r>
      <w:r w:rsidR="009576A0">
        <w:t xml:space="preserve">. </w:t>
      </w:r>
      <w:r w:rsidR="001C4883" w:rsidRPr="00994D99">
        <w:t>The best individual model</w:t>
      </w:r>
      <w:r w:rsidR="009576A0">
        <w:t xml:space="preserve"> </w:t>
      </w:r>
      <w:r w:rsidR="001C4883" w:rsidRPr="00994D99">
        <w:t xml:space="preserve">was built using the combination of Morgan–RF </w:t>
      </w:r>
      <w:r w:rsidR="009576A0">
        <w:t>(</w:t>
      </w:r>
      <w:r w:rsidR="00D34BB3">
        <w:t xml:space="preserve">CCR </w:t>
      </w:r>
      <w:r w:rsidR="009576A0">
        <w:t xml:space="preserve">= </w:t>
      </w:r>
      <w:r w:rsidR="00D34BB3">
        <w:t xml:space="preserve">0.85, SE </w:t>
      </w:r>
      <w:r w:rsidR="009576A0">
        <w:t xml:space="preserve">= </w:t>
      </w:r>
      <w:r w:rsidR="00D34BB3">
        <w:t xml:space="preserve">0.85, and </w:t>
      </w:r>
      <w:r w:rsidR="001C4883" w:rsidRPr="00994D99">
        <w:t xml:space="preserve">SP </w:t>
      </w:r>
      <w:r w:rsidR="009576A0">
        <w:t>=</w:t>
      </w:r>
      <w:r w:rsidR="009576A0" w:rsidRPr="00994D99">
        <w:t xml:space="preserve"> </w:t>
      </w:r>
      <w:r w:rsidR="001C4883" w:rsidRPr="00994D99">
        <w:t>0.86</w:t>
      </w:r>
      <w:r w:rsidR="00BA2A17">
        <w:t>)</w:t>
      </w:r>
      <w:r w:rsidR="001C4883" w:rsidRPr="00994D99">
        <w:t xml:space="preserve">. </w:t>
      </w:r>
    </w:p>
    <w:p w14:paraId="44706D06" w14:textId="5073C9D6" w:rsidR="001C4883" w:rsidRDefault="00C41B1F" w:rsidP="004E6E61">
      <w:pPr>
        <w:pStyle w:val="TAMainText"/>
      </w:pPr>
      <w:r>
        <w:t>T</w:t>
      </w:r>
      <w:r w:rsidRPr="002605B7">
        <w:t>o assure that the accuracy of the models was not due to chanc</w:t>
      </w:r>
      <w:r>
        <w:t xml:space="preserve">e correlation, </w:t>
      </w:r>
      <w:r w:rsidRPr="002605B7">
        <w:t xml:space="preserve">10 rounds of Y-randomization </w:t>
      </w:r>
      <w:r>
        <w:t xml:space="preserve">were performed </w:t>
      </w:r>
      <w:r w:rsidRPr="002605B7">
        <w:t>for each dataset</w:t>
      </w:r>
      <w:r w:rsidR="00BA4BFC">
        <w:t xml:space="preserve"> (</w:t>
      </w:r>
      <w:r>
        <w:t>Table S4</w:t>
      </w:r>
      <w:r w:rsidR="00BA4BFC">
        <w:t>)</w:t>
      </w:r>
      <w:r>
        <w:t>. The results from this analysis (</w:t>
      </w:r>
      <w:r w:rsidRPr="0044672C">
        <w:t>CCR values around 0.50</w:t>
      </w:r>
      <w:r>
        <w:t xml:space="preserve">) </w:t>
      </w:r>
      <w:r w:rsidR="001C4883" w:rsidRPr="0044672C">
        <w:t xml:space="preserve">indicate that our models built using balanced dataset are statistically robust. </w:t>
      </w:r>
      <w:bookmarkStart w:id="6" w:name="OLE_LINK164"/>
      <w:bookmarkStart w:id="7" w:name="OLE_LINK165"/>
      <w:bookmarkStart w:id="8" w:name="OLE_LINK166"/>
    </w:p>
    <w:bookmarkEnd w:id="6"/>
    <w:bookmarkEnd w:id="7"/>
    <w:bookmarkEnd w:id="8"/>
    <w:p w14:paraId="281354D3" w14:textId="4676D7A3" w:rsidR="001C4883" w:rsidRDefault="001C4883" w:rsidP="001C4883">
      <w:pPr>
        <w:pStyle w:val="TAMainText"/>
      </w:pPr>
      <w:r>
        <w:rPr>
          <w:b/>
        </w:rPr>
        <w:t>Performance of Consensus M</w:t>
      </w:r>
      <w:r w:rsidRPr="006B2154">
        <w:rPr>
          <w:b/>
        </w:rPr>
        <w:t>odels.</w:t>
      </w:r>
      <w:r>
        <w:t xml:space="preserve"> </w:t>
      </w:r>
      <w:r w:rsidRPr="00874B97">
        <w:t xml:space="preserve">Several </w:t>
      </w:r>
      <w:r>
        <w:t xml:space="preserve">individual </w:t>
      </w:r>
      <w:r w:rsidRPr="00874B97">
        <w:t>QSAR models were generated using multiple</w:t>
      </w:r>
      <w:r>
        <w:t xml:space="preserve"> </w:t>
      </w:r>
      <w:r w:rsidRPr="00874B97">
        <w:t>machine learning algorithms and descriptors</w:t>
      </w:r>
      <w:r>
        <w:t>/fingerprints</w:t>
      </w:r>
      <w:r w:rsidRPr="00874B97">
        <w:t>.</w:t>
      </w:r>
      <w:r w:rsidRPr="00DB606E">
        <w:t xml:space="preserve"> </w:t>
      </w:r>
      <w:r w:rsidRPr="00EA04E1">
        <w:t>However,</w:t>
      </w:r>
      <w:r>
        <w:t xml:space="preserve"> o</w:t>
      </w:r>
      <w:r w:rsidRPr="00DB606E">
        <w:t xml:space="preserve">ur previous experience suggests that </w:t>
      </w:r>
      <w:r>
        <w:t>consensus</w:t>
      </w:r>
      <w:r w:rsidRPr="00DB606E">
        <w:t xml:space="preserve"> models </w:t>
      </w:r>
      <w:r w:rsidR="00264415">
        <w:t>that combine</w:t>
      </w:r>
      <w:r w:rsidR="00354E6F">
        <w:t xml:space="preserve"> individual </w:t>
      </w:r>
      <w:r w:rsidRPr="00DB606E">
        <w:t>QSAR mode</w:t>
      </w:r>
      <w:r>
        <w:t>l</w:t>
      </w:r>
      <w:r w:rsidRPr="00DB606E">
        <w:t>s</w:t>
      </w:r>
      <w:r w:rsidR="00C727A1">
        <w:t xml:space="preserve"> are </w:t>
      </w:r>
      <w:r>
        <w:t>advantageous</w:t>
      </w:r>
      <w:r w:rsidR="00AE1532">
        <w:fldChar w:fldCharType="begin" w:fldLock="1"/>
      </w:r>
      <w:r w:rsidR="00BD74F5">
        <w:instrText>ADDIN CSL_CITATION { "citationItems" : [ { "id" : "ITEM-1", "itemData" : { "DOI" : "10.2174/1568026614666140506124442", "ISSN" : "1873-4294", "PMID" : "24805060", "abstract" : "Several non-cardiovascular drugs have been withdrawn from the market due to their inhibition of hERG K+ channels that can potentially lead to severe heart arrhythmia and death. As hERG safety testing is a mandatory FDArequired procedure, there is a considerable interest for developing predictive computational tools to identify and filter out potential hERG blockers early in the drug discovery process. In this study, we aimed to generate predictive and well-characterized quantitative structure-activity relationship (QSAR) models for hERG blockage using the largest publicly available dataset of 11,958 compounds from the ChEMBL database. The models have been developed and validated according to OECD guidelines using four types of descriptors and four different machine-learning techniques. The classification accuracies discriminating blockers from non-blockers were as high as 0.83-0.93 on external set. Model interpretation revealed several SAR rules, which can guide structural optimization of some hERG blockers into non-blockers. We have also applied the generated models for screening the World Drug Index (WDI) database and identify putative hERG blockers and non-blockers among currently marketed drugs. The developed models can reliably identify blockers and non-blockers, which could be useful for the scientific community. A freely accessible web server has been developed allowing users to identify putative hERG blockers and non-blockers in chemical libraries of their interest (http://labmol.farmacia.ufg.br/predherg).",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"Current Topics in Medicinal Chemistry", "id" : "ITEM-1", "issue" : "11", "issued" : { "date-parts" : [ [ "2014", "5" ] ] }, "page" : "1399-1415", "title" : "Tuning HERG out: antitarget QSAR models for drug development.", "type" : "article-journal", "volume" : "14" }, "uris" : [ "http://www.mendeley.com/documents/?uuid=d954d605-4769-4047-9460-818164b830a0" ] }, { "id" : "ITEM-2", "itemData" : { "DOI" : "10.1002/minf.201500040", "ISSN" : "18681743",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"Li\u00e3o", "given" : "Luciano M.", "non-dropping-particle" : "", "parse-names" : false, "suffix" : "" }, { "dropping-particle" : "", "family" : "Tropsha", "given" : "Alexander", "non-dropping-particle" : "", "parse-names" : false, "suffix" : "" }, { "dropping-particle" : "", "family" : "Andrade", "given" : "Carolina H.", "non-dropping-particle" : "", "parse-names" : false, "suffix" : "" } ], "container-title" : "Molecular Informatics", "id" : "ITEM-2", "issue" : "10", "issued" : { "date-parts" : [ [ "2015", "10" ] ] }, "page" : "698-701", "title" : "Pred-hERG: A Novel web-Accessible Computational Tool for Predicting Cardiac Toxicity", "type" : "article-journal", "volume" : "34" }, "uris" : [ "http://www.mendeley.com/documents/?uuid=ef17b04b-3f7a-4636-af82-a242652e65d8" ] }, { "id" : "ITEM-3", "itemData" : { "DOI" : "10.1016/j.taap.2014.12.014", "ISBN" : "2514599342", "ISSN" : "0041008X", "PMID" : "26042227", "abstract" : "In the United States, Black infants have significantly worse birth outcomes than White infants. Over the past decades, public health efforts to address these disparities have focused primarily on increasing access to prenatal care, however, this has not led to closing the gap in birth outcomes. We propose a 12-point plan to reduce Black-White disparities in birth outcomes using a lifecourse approach. The first four points (increase access to interconception care, preconception care, quality prenatal care, and healthcare throughout the life course) address the needs of African American women for quality healthcare across the lifespan. The next four points (strengthen father involvement, systems integration, reproductive social capital, and community building) go beyond individual-level interventions to address enhancing family and community systems that may influence the health of pregnant women, families, and communities. The last four points (close the education gap, reduce poverty, support working mothers, and undo racism) move beyond the biomedical model to address the social and economic inequities that underlie much of health disparities. Closing the Black-White gap in birth outcomes requires a life course approach which addresses both early life disadvantages and cumulative allostatic load over the life course.", "author" : [ { "dropping-particle" : "", "family" : "Alves", "given" : "Vinicius M.", "non-dropping-particle" : "", "parse-names" : false, "suffix" : "" }, { "dropping-particle" : "", "family" : "Muratov", "given" : "Eugene", "non-dropping-particle" : "", "parse-names" : false, "suffix" : "" }, { "dropping-particle" : "", "family" : "Fourches", "given" : "Denis", "non-dropping-particle" : "", "parse-names" : false, "suffix" : "" }, { "dropping-particle" : "", "family" : "Strickland", "given" : "Judy", "non-dropping-particle" : "", "parse-names" : false, "suffix" : "" }, { "dropping-particle" : "", "family" : "Kleinstreuer", "given" : "Nicole", "non-dropping-particle" : "", "parse-names" : false, "suffix" : "" }, { "dropping-particle" : "", "family" : "Andrade", "given" : "Carolina H.", "non-dropping-particle" : "", "parse-names" : false, "suffix" : "" }, { "dropping-particle" : "", "family" : "Tropsha", "given" : "Alexander", "non-dropping-particle" : "", "parse-names" : false, "suffix" : "" } ], "container-title" : "Toxicology and Applied Pharmacology", "id" : "ITEM-3", "issue" : "2", "issued" : { "date-parts" : [ [ "2015", "4" ] ] }, "page" : "262-272", "title" : "Predicting chemically-induced skin reactions. Part I: QSAR models of skin sensitization and their application to identify potentially hazardous compounds", "type" : "article-journal", "volume" : "284" }, "uris" : [ "http://www.mendeley.com/documents/?uuid=1a4219bf-8601-4b0e-b019-c86df43befd2", "http://www.mendeley.com/documents/?uuid=2e91c73f-ca46-405a-97c3-d9f8337bd59c" ] }, { "id" : "ITEM-4", "itemData" : { "DOI" : "10.1016/j.taap.2014.12.013", "ISBN" : "1096-0333 (Electronic)\\r0041-008X (Linking)", "ISSN" : "1096-0333", "PMID" : "25560673", "abstract" : "Skin permeability is widely considered to be mechanistically implicated in chemically-induced skin sensitization. Although many chemicals have been identified as skin sensitizers, there have been very few reports analyzing the relationships between molecular structure and skin permeability of sensitizers and non-sensitizers. The goals of this study were to: (i) compile, curate, and integrate the largest publicly available dataset of chemicals studied for their skin permeability; (ii) develop and rigorously validate QSAR models to predict skin permeability; and (iii) explore the complex relationships between skin sensitization and skin permeability. Based on the largest publicly available dataset compiled in this study, we found no overall correlation between skin permeability and skin sensitization. In addition, cross-species correlation coefficient between human and rodent permeability data was found to be as low as R(2)=0.44. Human skin permeability models based on the random forest method have been developed and validated using OECD-compliant QSAR modeling workflow. Their external accuracy was high (Q(2)ext=0.73 for 63% of external compounds inside the applicability domain). The extended analysis using both experimentally-measured and QSAR-imputed data still confirmed the absence of any overall concordance between skin permeability and skin sensitization. This observation suggests that chemical modifications that affect skin permeability should not be presumed a priori to modulate the sensitization potential of chemicals. The models reported herein as well as those developed in the companion paper on skin sensitization suggest that it may be possible to rationally design compounds with the desired high skin permeability but low sensitization potential.", "author" : [ { "dropping-particle" : "", "family" : "Alves", "given" : "V M", "non-dropping-particle" : "", "parse-names" : false, "suffix" : "" }, { "dropping-particle" : "", "family" : "Muratov", "given" : "E", "non-dropping-particle" : "", "parse-names" : false, "suffix" : "" }, { "dropping-particle" : "", "family" : "Fourches", "given" : "D", "non-dropping-particle" : "", "parse-names" : false, "suffix" : "" }, { "dropping-particle" : "", "family" : "Strickland", "given" : "J", "non-dropping-particle" : "", "parse-names" : false, "suffix" : "" }, { "dropping-particle" : "", "family" : "Kleinstreuer", "given" : "N", "non-dropping-particle" : "", "parse-names" : false, "suffix" : "" }, { "dropping-particle" : "", "family" : "Andrade", "given" : "C H", "non-dropping-particle" : "", "parse-names" : false, "suffix" : "" }, { "dropping-particle" : "", "family" : "Tropsha", "given" : "A", "non-dropping-particle" : "", "parse-names" : false, "suffix" : "" } ], "container-title" : "Toxicol Appl Pharmacol", "id" : "ITEM-4", "issue" : "2", "issued" : { "date-parts" : [ [ "2015" ] ] }, "page" : "273-280", "publisher" : "Elsevier Inc.", "title" : "Predicting chemically-induced skin reactions. Part II: QSAR models of skin permeability and the relationships between skin permeability and skin sensitization", "type" : "article-journal", "volume" : "284" }, "uris" : [ "http://www.mendeley.com/documents/?uuid=5fa53189-f6a4-4005-9dc4-cf81dd86f83a", "http://www.mendeley.com/documents/?uuid=ec0d0f77-0f72-45f1-9425-e8a570b1b414" ] } ], "mendeley" : { "formattedCitation" : "&lt;sup&gt;46\u201349&lt;/sup&gt;", "plainTextFormattedCitation" : "46\u201349", "previouslyFormattedCitation" : "&lt;sup&gt;46\u201349&lt;/sup&gt;" }, "properties" : { "noteIndex" : 0 }, "schema" : "https://github.com/citation-style-language/schema/raw/master/csl-citation.json" }</w:instrText>
      </w:r>
      <w:r w:rsidR="00AE1532">
        <w:fldChar w:fldCharType="separate"/>
      </w:r>
      <w:r w:rsidR="00AC76A7" w:rsidRPr="00AC76A7">
        <w:rPr>
          <w:noProof/>
          <w:vertAlign w:val="superscript"/>
        </w:rPr>
        <w:t>46–49</w:t>
      </w:r>
      <w:r w:rsidR="00AE1532">
        <w:fldChar w:fldCharType="end"/>
      </w:r>
      <w:r>
        <w:t xml:space="preserve"> </w:t>
      </w:r>
      <w:r w:rsidR="00354E6F" w:rsidRPr="00354E6F">
        <w:t xml:space="preserve">and naturally minimize prediction errors during </w:t>
      </w:r>
      <w:r w:rsidR="00264415">
        <w:t xml:space="preserve">a </w:t>
      </w:r>
      <w:r w:rsidR="00354E6F" w:rsidRPr="00354E6F">
        <w:t>VS campaign</w:t>
      </w:r>
      <w:r w:rsidRPr="00BC7D80">
        <w:t>.</w:t>
      </w:r>
      <w:r w:rsidRPr="00DB606E">
        <w:t xml:space="preserve"> </w:t>
      </w:r>
      <w:r w:rsidRPr="00874B97">
        <w:t>Therefore, consensus model</w:t>
      </w:r>
      <w:r>
        <w:t>s</w:t>
      </w:r>
      <w:r w:rsidRPr="00874B97">
        <w:t xml:space="preserve"> </w:t>
      </w:r>
      <w:r>
        <w:t>were</w:t>
      </w:r>
      <w:r w:rsidRPr="00874B97">
        <w:t xml:space="preserve"> built by averaging the predicted values o</w:t>
      </w:r>
      <w:r w:rsidR="00354E6F">
        <w:t>btained after combining the</w:t>
      </w:r>
      <w:r w:rsidRPr="00874B97">
        <w:t xml:space="preserve"> individual models</w:t>
      </w:r>
      <w:r w:rsidR="00354E6F">
        <w:t xml:space="preserve"> built using </w:t>
      </w:r>
      <w:r w:rsidR="00C727A1">
        <w:t xml:space="preserve">the </w:t>
      </w:r>
      <w:r w:rsidR="00354E6F">
        <w:t>balanced dataset</w:t>
      </w:r>
      <w:r w:rsidRPr="00874B97">
        <w:t>.</w:t>
      </w:r>
      <w:r>
        <w:t xml:space="preserve"> </w:t>
      </w:r>
      <w:r w:rsidRPr="00522805">
        <w:t xml:space="preserve">The detailed performances of </w:t>
      </w:r>
      <w:r>
        <w:t>12 consensus</w:t>
      </w:r>
      <w:r w:rsidRPr="00522805">
        <w:t xml:space="preserve"> models</w:t>
      </w:r>
      <w:r w:rsidR="00354E6F">
        <w:t xml:space="preserve"> </w:t>
      </w:r>
      <w:r w:rsidR="00F4439E">
        <w:t xml:space="preserve">are </w:t>
      </w:r>
      <w:r w:rsidR="00354E6F">
        <w:t>given in Table S5</w:t>
      </w:r>
      <w:r>
        <w:t xml:space="preserve">. </w:t>
      </w:r>
      <w:r w:rsidRPr="00DC3BF4">
        <w:t>Among them</w:t>
      </w:r>
      <w:r>
        <w:t>, t</w:t>
      </w:r>
      <w:r w:rsidRPr="00DB606E">
        <w:t>he consensus model built by combining the Morgan</w:t>
      </w:r>
      <w:r w:rsidRPr="00AF7B19">
        <w:t>–</w:t>
      </w:r>
      <w:r w:rsidRPr="00DB606E">
        <w:t>RF, MACCS</w:t>
      </w:r>
      <w:r w:rsidRPr="00AF7B19">
        <w:t>–</w:t>
      </w:r>
      <w:r w:rsidRPr="00DB606E">
        <w:t xml:space="preserve">RF, </w:t>
      </w:r>
      <w:proofErr w:type="spellStart"/>
      <w:r w:rsidRPr="00DB606E">
        <w:t>AtomPair</w:t>
      </w:r>
      <w:proofErr w:type="spellEnd"/>
      <w:r w:rsidRPr="00AF7B19">
        <w:t>–</w:t>
      </w:r>
      <w:r w:rsidRPr="00DB606E">
        <w:t>SVM, Dragon</w:t>
      </w:r>
      <w:r w:rsidRPr="00AF7B19">
        <w:t>–</w:t>
      </w:r>
      <w:r w:rsidRPr="00DB606E">
        <w:t>SVM, and CDK</w:t>
      </w:r>
      <w:r w:rsidRPr="00AF7B19">
        <w:t>–</w:t>
      </w:r>
      <w:r>
        <w:t>SVM (Table</w:t>
      </w:r>
      <w:r w:rsidR="0082240C">
        <w:t>s</w:t>
      </w:r>
      <w:r>
        <w:t xml:space="preserve"> 1 and</w:t>
      </w:r>
      <w:r w:rsidR="007C23F2">
        <w:t xml:space="preserve"> </w:t>
      </w:r>
      <w:r>
        <w:t>S5</w:t>
      </w:r>
      <w:r w:rsidR="007C23F2">
        <w:t>, Supplementary Information</w:t>
      </w:r>
      <w:r>
        <w:t>) showed</w:t>
      </w:r>
      <w:r w:rsidRPr="005B79F3">
        <w:t xml:space="preserve"> the best performance among all </w:t>
      </w:r>
      <w:r w:rsidR="00AF213F">
        <w:t xml:space="preserve">constructed </w:t>
      </w:r>
      <w:r>
        <w:t>consensus</w:t>
      </w:r>
      <w:r w:rsidRPr="005B79F3">
        <w:t xml:space="preserve"> models</w:t>
      </w:r>
      <w:r>
        <w:t xml:space="preserve"> (</w:t>
      </w:r>
      <w:r w:rsidRPr="00DB606E">
        <w:t xml:space="preserve">CCR </w:t>
      </w:r>
      <w:r w:rsidR="00EA517D">
        <w:t xml:space="preserve">= </w:t>
      </w:r>
      <w:r>
        <w:t>0.</w:t>
      </w:r>
      <w:r w:rsidRPr="00DB606E">
        <w:t xml:space="preserve">87, SE </w:t>
      </w:r>
      <w:r w:rsidR="00EA517D">
        <w:t>=</w:t>
      </w:r>
      <w:r w:rsidR="00EA517D" w:rsidRPr="00DB606E">
        <w:t xml:space="preserve"> </w:t>
      </w:r>
      <w:r>
        <w:t>0.</w:t>
      </w:r>
      <w:r w:rsidRPr="00DB606E">
        <w:t xml:space="preserve">87, </w:t>
      </w:r>
      <w:r w:rsidR="00404FC2">
        <w:t xml:space="preserve">and </w:t>
      </w:r>
      <w:r w:rsidRPr="00DB606E">
        <w:t xml:space="preserve">SP </w:t>
      </w:r>
      <w:r w:rsidR="00EA517D">
        <w:t>=</w:t>
      </w:r>
      <w:r w:rsidR="00EA517D" w:rsidRPr="00DB606E">
        <w:t xml:space="preserve"> </w:t>
      </w:r>
      <w:r>
        <w:t>0.</w:t>
      </w:r>
      <w:r w:rsidR="00404FC2">
        <w:t>88</w:t>
      </w:r>
      <w:r>
        <w:t>)</w:t>
      </w:r>
      <w:r w:rsidRPr="00DB606E">
        <w:t xml:space="preserve">. </w:t>
      </w:r>
      <w:r w:rsidR="00264415">
        <w:t>T</w:t>
      </w:r>
      <w:r w:rsidR="00354E6F">
        <w:t>his</w:t>
      </w:r>
      <w:r w:rsidRPr="00DB606E">
        <w:t xml:space="preserve"> consensus model discriminates inhibitors and non-inhibitors better than an</w:t>
      </w:r>
      <w:r>
        <w:t>y of the individual QSAR models</w:t>
      </w:r>
      <w:r w:rsidRPr="00DB606E">
        <w:t xml:space="preserve">, with </w:t>
      </w:r>
      <w:r w:rsidR="00264415">
        <w:t xml:space="preserve">a </w:t>
      </w:r>
      <w:r w:rsidRPr="00DB606E">
        <w:t xml:space="preserve">2% </w:t>
      </w:r>
      <w:r w:rsidR="00EA517D">
        <w:t xml:space="preserve">of </w:t>
      </w:r>
      <w:r w:rsidR="00445472">
        <w:t xml:space="preserve">increase </w:t>
      </w:r>
      <w:r w:rsidR="00264415">
        <w:t>i</w:t>
      </w:r>
      <w:r w:rsidR="00445472">
        <w:t xml:space="preserve">n </w:t>
      </w:r>
      <w:r w:rsidRPr="00DB606E">
        <w:t>CCR</w:t>
      </w:r>
      <w:r w:rsidR="00445472">
        <w:t xml:space="preserve">, </w:t>
      </w:r>
      <w:r>
        <w:t>SE,</w:t>
      </w:r>
      <w:r w:rsidR="00404FC2">
        <w:t xml:space="preserve"> and </w:t>
      </w:r>
      <w:r w:rsidRPr="00DB606E">
        <w:t>SP</w:t>
      </w:r>
      <w:r>
        <w:t xml:space="preserve"> </w:t>
      </w:r>
      <w:r w:rsidRPr="00DB606E">
        <w:t>when compared with the best individual model (Morgan</w:t>
      </w:r>
      <w:r w:rsidRPr="00AF7B19">
        <w:t>–</w:t>
      </w:r>
      <w:r w:rsidRPr="00DB606E">
        <w:t>RF).</w:t>
      </w:r>
      <w:r>
        <w:t xml:space="preserve"> </w:t>
      </w:r>
    </w:p>
    <w:p w14:paraId="08A9EDBC" w14:textId="33D0BA4C" w:rsidR="001C4883" w:rsidRDefault="001C4883" w:rsidP="001C4883">
      <w:pPr>
        <w:pStyle w:val="TAMainText"/>
      </w:pPr>
      <w:r>
        <w:t xml:space="preserve">In addition, </w:t>
      </w:r>
      <w:r w:rsidR="001E1F2C">
        <w:t>the most</w:t>
      </w:r>
      <w:r w:rsidR="001E1F2C" w:rsidRPr="00DB606E">
        <w:t xml:space="preserve"> </w:t>
      </w:r>
      <w:r w:rsidRPr="00DB606E">
        <w:t>rigorous consensus model</w:t>
      </w:r>
      <w:r w:rsidR="00D07E28">
        <w:t xml:space="preserve"> (</w:t>
      </w:r>
      <w:r>
        <w:t>consensus rigor</w:t>
      </w:r>
      <w:r w:rsidR="00D07E28">
        <w:t>)</w:t>
      </w:r>
      <w:r w:rsidR="00AF213F">
        <w:fldChar w:fldCharType="begin" w:fldLock="1"/>
      </w:r>
      <w:r w:rsidR="00BD74F5">
        <w:instrText>ADDIN CSL_CITATION { "citationItems" : [ { "id" : "ITEM-1", "itemData" : { "DOI" : "10.2174/1568026614666140506124442", "ISSN" : "1873-4294", "PMID" : "24805060", "abstract" : "Several non-cardiovascular drugs have been withdrawn from the market due to their inhibition of hERG K+ channels that can potentially lead to severe heart arrhythmia and death. As hERG safety testing is a mandatory FDArequired procedure, there is a considerable interest for developing predictive computational tools to identify and filter out potential hERG blockers early in the drug discovery process. In this study, we aimed to generate predictive and well-characterized quantitative structure-activity relationship (QSAR) models for hERG blockage using the largest publicly available dataset of 11,958 compounds from the ChEMBL database. The models have been developed and validated according to OECD guidelines using four types of descriptors and four different machine-learning techniques. The classification accuracies discriminating blockers from non-blockers were as high as 0.83-0.93 on external set. Model interpretation revealed several SAR rules, which can guide structural optimization of some hERG blockers into non-blockers. We have also applied the generated models for screening the World Drug Index (WDI) database and identify putative hERG blockers and non-blockers among currently marketed drugs. The developed models can reliably identify blockers and non-blockers, which could be useful for the scientific community. A freely accessible web server has been developed allowing users to identify putative hERG blockers and non-blockers in chemical libraries of their interest (http://labmol.farmacia.ufg.br/predherg).",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"Current Topics in Medicinal Chemistry", "id" : "ITEM-1", "issue" : "11", "issued" : { "date-parts" : [ [ "2014", "5" ] ] }, "page" : "1399-1415", "title" : "Tuning HERG out: antitarget QSAR models for drug development.", "type" : "article-journal", "volume" : "14" }, "uris" : [ "http://www.mendeley.com/documents/?uuid=d954d605-4769-4047-9460-818164b830a0" ] } ], "mendeley" : { "formattedCitation" : "&lt;sup&gt;46&lt;/sup&gt;", "plainTextFormattedCitation" : "46", "previouslyFormattedCitation" : "&lt;sup&gt;46&lt;/sup&gt;" }, "properties" : { "noteIndex" : 0 }, "schema" : "https://github.com/citation-style-language/schema/raw/master/csl-citation.json" }</w:instrText>
      </w:r>
      <w:r w:rsidR="00AF213F">
        <w:fldChar w:fldCharType="separate"/>
      </w:r>
      <w:r w:rsidR="00AC76A7" w:rsidRPr="00AC76A7">
        <w:rPr>
          <w:noProof/>
          <w:vertAlign w:val="superscript"/>
        </w:rPr>
        <w:t>46</w:t>
      </w:r>
      <w:r w:rsidR="00AF213F">
        <w:fldChar w:fldCharType="end"/>
      </w:r>
      <w:r w:rsidRPr="00DB606E">
        <w:t xml:space="preserve"> </w:t>
      </w:r>
      <w:r w:rsidR="001E1F2C">
        <w:t xml:space="preserve">was </w:t>
      </w:r>
      <w:r>
        <w:t>built</w:t>
      </w:r>
      <w:r w:rsidRPr="00DB606E">
        <w:t xml:space="preserve"> by combining </w:t>
      </w:r>
      <w:r>
        <w:t>five</w:t>
      </w:r>
      <w:r w:rsidRPr="00DB606E">
        <w:t xml:space="preserve"> </w:t>
      </w:r>
      <w:r>
        <w:t xml:space="preserve">individual </w:t>
      </w:r>
      <w:r w:rsidRPr="00DB606E">
        <w:t xml:space="preserve">models with more restrictive conditions. </w:t>
      </w:r>
      <w:r>
        <w:t xml:space="preserve">A </w:t>
      </w:r>
      <w:r w:rsidRPr="00DB606E">
        <w:t>conse</w:t>
      </w:r>
      <w:r>
        <w:t>nsus rigor model only considers</w:t>
      </w:r>
      <w:r w:rsidRPr="00DB606E">
        <w:t xml:space="preserve"> the outcome to be reliable when a compound was inside the </w:t>
      </w:r>
      <w:r w:rsidR="00445472">
        <w:t>applicability domain (</w:t>
      </w:r>
      <w:r w:rsidRPr="00DB606E">
        <w:t>AD</w:t>
      </w:r>
      <w:r w:rsidR="00445472">
        <w:t>)</w:t>
      </w:r>
      <w:r w:rsidRPr="00DB606E">
        <w:t xml:space="preserve"> for the five models.</w:t>
      </w:r>
      <w:r>
        <w:t xml:space="preserve"> </w:t>
      </w:r>
      <w:r w:rsidRPr="00DB606E">
        <w:t>If the compound was outside the AD for any mod</w:t>
      </w:r>
      <w:r>
        <w:t>el, then the out</w:t>
      </w:r>
      <w:r w:rsidRPr="00DB606E">
        <w:t xml:space="preserve">come was specified as </w:t>
      </w:r>
      <w:r w:rsidRPr="00DB606E">
        <w:lastRenderedPageBreak/>
        <w:t xml:space="preserve">unreliable. </w:t>
      </w:r>
      <w:r w:rsidRPr="003B126B">
        <w:t xml:space="preserve">Expectedly, </w:t>
      </w:r>
      <w:r>
        <w:t>the combin</w:t>
      </w:r>
      <w:r w:rsidR="00A370D1">
        <w:t>ation</w:t>
      </w:r>
      <w:r>
        <w:t xml:space="preserve"> of </w:t>
      </w:r>
      <w:r w:rsidRPr="00DB606E">
        <w:t>Morgan</w:t>
      </w:r>
      <w:r w:rsidRPr="00AF7B19">
        <w:t>–</w:t>
      </w:r>
      <w:r w:rsidRPr="00DB606E">
        <w:t>RF, MACCS</w:t>
      </w:r>
      <w:r w:rsidRPr="00AF7B19">
        <w:t>–</w:t>
      </w:r>
      <w:r w:rsidRPr="00DB606E">
        <w:t xml:space="preserve">RF, </w:t>
      </w:r>
      <w:proofErr w:type="spellStart"/>
      <w:r w:rsidRPr="00DB606E">
        <w:t>AtomPair</w:t>
      </w:r>
      <w:proofErr w:type="spellEnd"/>
      <w:r w:rsidRPr="00AF7B19">
        <w:t>–</w:t>
      </w:r>
      <w:r w:rsidRPr="00DB606E">
        <w:t>SVM, Dragon</w:t>
      </w:r>
      <w:r w:rsidRPr="00AF7B19">
        <w:t>–</w:t>
      </w:r>
      <w:r w:rsidRPr="00DB606E">
        <w:t>SVM, and CDK</w:t>
      </w:r>
      <w:r w:rsidRPr="00AF7B19">
        <w:t>–</w:t>
      </w:r>
      <w:r w:rsidR="0024730E">
        <w:t>SVM models (Tables 1 and S5</w:t>
      </w:r>
      <w:r>
        <w:t>) also showed</w:t>
      </w:r>
      <w:r w:rsidRPr="005B79F3">
        <w:t xml:space="preserve"> the best performance among all </w:t>
      </w:r>
      <w:r>
        <w:t>built consensus</w:t>
      </w:r>
      <w:r w:rsidRPr="005B79F3">
        <w:t xml:space="preserve"> </w:t>
      </w:r>
      <w:r>
        <w:t xml:space="preserve">rigor </w:t>
      </w:r>
      <w:r w:rsidRPr="005B79F3">
        <w:t>models</w:t>
      </w:r>
      <w:r w:rsidRPr="003B126B">
        <w:t xml:space="preserve"> (CCR </w:t>
      </w:r>
      <w:r w:rsidR="00D07E28">
        <w:t xml:space="preserve">= </w:t>
      </w:r>
      <w:r>
        <w:t>0.91</w:t>
      </w:r>
      <w:r w:rsidRPr="003B126B">
        <w:t xml:space="preserve">, SE </w:t>
      </w:r>
      <w:r w:rsidR="00D07E28">
        <w:t>=</w:t>
      </w:r>
      <w:r w:rsidR="00D07E28" w:rsidRPr="003B126B">
        <w:t xml:space="preserve"> </w:t>
      </w:r>
      <w:r>
        <w:t>0.96</w:t>
      </w:r>
      <w:r w:rsidRPr="003B126B">
        <w:t xml:space="preserve">, </w:t>
      </w:r>
      <w:r w:rsidR="00445472">
        <w:t xml:space="preserve">and </w:t>
      </w:r>
      <w:r w:rsidRPr="003B126B">
        <w:t xml:space="preserve">SP </w:t>
      </w:r>
      <w:r w:rsidR="00D07E28">
        <w:t>=</w:t>
      </w:r>
      <w:r w:rsidR="00D07E28" w:rsidRPr="003B126B">
        <w:t xml:space="preserve"> </w:t>
      </w:r>
      <w:r>
        <w:t>0.87</w:t>
      </w:r>
      <w:r w:rsidRPr="003B126B">
        <w:t>).</w:t>
      </w:r>
      <w:r>
        <w:t xml:space="preserve"> In summary</w:t>
      </w:r>
      <w:r w:rsidRPr="0099377B">
        <w:t>, the</w:t>
      </w:r>
      <w:r>
        <w:t xml:space="preserve"> best</w:t>
      </w:r>
      <w:r w:rsidRPr="0099377B">
        <w:t xml:space="preserve"> consensus</w:t>
      </w:r>
      <w:r>
        <w:t xml:space="preserve"> rigor</w:t>
      </w:r>
      <w:r w:rsidRPr="0099377B">
        <w:t xml:space="preserve"> model demonstrated better statistical results, with </w:t>
      </w:r>
      <w:r w:rsidR="00C54EEA">
        <w:t xml:space="preserve">a </w:t>
      </w:r>
      <w:r w:rsidRPr="0099377B">
        <w:t>5%</w:t>
      </w:r>
      <w:r w:rsidR="00D07E28">
        <w:t xml:space="preserve"> of increase in</w:t>
      </w:r>
      <w:r w:rsidRPr="0099377B">
        <w:t xml:space="preserve"> CCR, </w:t>
      </w:r>
      <w:r w:rsidR="00445472">
        <w:t xml:space="preserve">and </w:t>
      </w:r>
      <w:r w:rsidRPr="0099377B">
        <w:t xml:space="preserve">11% </w:t>
      </w:r>
      <w:r w:rsidR="00D07E28">
        <w:t xml:space="preserve">of increase in </w:t>
      </w:r>
      <w:r w:rsidRPr="0099377B">
        <w:t>SE when compared with the best individual model (Morgan</w:t>
      </w:r>
      <w:r w:rsidRPr="00AF7B19">
        <w:t>–</w:t>
      </w:r>
      <w:r w:rsidRPr="0099377B">
        <w:t>RF).</w:t>
      </w:r>
      <w:r>
        <w:t xml:space="preserve"> </w:t>
      </w:r>
      <w:r w:rsidRPr="00BC3B42">
        <w:t xml:space="preserve">Although </w:t>
      </w:r>
      <w:r w:rsidR="001E1F2C">
        <w:t>the</w:t>
      </w:r>
      <w:r w:rsidRPr="00BC3B42">
        <w:t xml:space="preserve"> </w:t>
      </w:r>
      <w:r w:rsidR="001E1F2C">
        <w:t>AD of consensus rigor</w:t>
      </w:r>
      <w:r w:rsidR="001E1F2C" w:rsidRPr="00BC3B42">
        <w:t xml:space="preserve"> </w:t>
      </w:r>
      <w:r w:rsidRPr="00BC3B42">
        <w:t>is limited only for certain chemical classes (coverage</w:t>
      </w:r>
      <w:r>
        <w:t xml:space="preserve"> of 0.38</w:t>
      </w:r>
      <w:r w:rsidRPr="00BC3B42">
        <w:t>)</w:t>
      </w:r>
      <w:r w:rsidR="001E1F2C">
        <w:t>, it has very high predictive power (CCR = 0.91)</w:t>
      </w:r>
      <w:r w:rsidRPr="00BC3B42">
        <w:t>.</w:t>
      </w:r>
    </w:p>
    <w:p w14:paraId="49B148C0" w14:textId="41438652" w:rsidR="00FF0CF4" w:rsidRPr="00174459" w:rsidRDefault="001E1F2C">
      <w:pPr>
        <w:pStyle w:val="TAMainText"/>
      </w:pPr>
      <w:r>
        <w:rPr>
          <w:b/>
        </w:rPr>
        <w:t>Model interpretation</w:t>
      </w:r>
      <w:r w:rsidR="001C4883">
        <w:rPr>
          <w:b/>
        </w:rPr>
        <w:t>.</w:t>
      </w:r>
      <w:r w:rsidR="001C4883" w:rsidRPr="00F67AF5">
        <w:t xml:space="preserve"> </w:t>
      </w:r>
      <w:r w:rsidR="00FC5A17">
        <w:t>T</w:t>
      </w:r>
      <w:r w:rsidR="00C54EEA">
        <w:t xml:space="preserve">he </w:t>
      </w:r>
      <w:r w:rsidR="00F67AF5" w:rsidRPr="00F67AF5">
        <w:t>Morgan-RF model exhibit</w:t>
      </w:r>
      <w:r w:rsidR="00FC5A17">
        <w:t>ed</w:t>
      </w:r>
      <w:r w:rsidR="00F67AF5" w:rsidRPr="00F67AF5">
        <w:t xml:space="preserve"> the best predictive performance</w:t>
      </w:r>
      <w:r w:rsidR="00FC5A17">
        <w:t>, and, c</w:t>
      </w:r>
      <w:r w:rsidR="00F67AF5" w:rsidRPr="00F67AF5">
        <w:t xml:space="preserve">onsequently, it possesses the </w:t>
      </w:r>
      <w:r w:rsidR="00F67AF5" w:rsidRPr="00174459">
        <w:t xml:space="preserve">features </w:t>
      </w:r>
      <w:r w:rsidR="007544A1" w:rsidRPr="00174459">
        <w:t xml:space="preserve">that are best </w:t>
      </w:r>
      <w:r w:rsidR="00F67AF5" w:rsidRPr="00174459">
        <w:t xml:space="preserve">correlated with </w:t>
      </w:r>
      <w:proofErr w:type="spellStart"/>
      <w:r w:rsidR="00F67AF5" w:rsidRPr="00174459">
        <w:rPr>
          <w:i/>
        </w:rPr>
        <w:t>Sm</w:t>
      </w:r>
      <w:r w:rsidR="00F67AF5" w:rsidRPr="00174459">
        <w:t>TGR</w:t>
      </w:r>
      <w:proofErr w:type="spellEnd"/>
      <w:r w:rsidR="00F67AF5" w:rsidRPr="00174459">
        <w:t xml:space="preserve"> inhibition activity. </w:t>
      </w:r>
      <w:r w:rsidR="007544A1" w:rsidRPr="00174459">
        <w:t>Therefore</w:t>
      </w:r>
      <w:r w:rsidR="00F67AF5" w:rsidRPr="00174459">
        <w:t xml:space="preserve">, </w:t>
      </w:r>
      <w:r w:rsidR="007544A1" w:rsidRPr="00174459">
        <w:t xml:space="preserve">we translated </w:t>
      </w:r>
      <w:r w:rsidR="00F67AF5" w:rsidRPr="00174459">
        <w:t>its features (fingerprints) into predicted probability maps (PPMs) and visualize</w:t>
      </w:r>
      <w:r w:rsidR="007544A1" w:rsidRPr="00174459">
        <w:t>d</w:t>
      </w:r>
      <w:r w:rsidR="00F67AF5" w:rsidRPr="00174459">
        <w:t xml:space="preserve"> the atomic and fragment contributions predicted by the QSAR model</w:t>
      </w:r>
      <w:r w:rsidR="007544A1" w:rsidRPr="00174459">
        <w:t xml:space="preserve"> (Figure</w:t>
      </w:r>
      <w:r w:rsidR="00362749" w:rsidRPr="00174459">
        <w:t>s</w:t>
      </w:r>
      <w:r w:rsidR="007544A1" w:rsidRPr="00174459">
        <w:t xml:space="preserve"> </w:t>
      </w:r>
      <w:r w:rsidR="00E02398" w:rsidRPr="00174459">
        <w:t xml:space="preserve">1 </w:t>
      </w:r>
      <w:r w:rsidR="00362749" w:rsidRPr="00174459">
        <w:t xml:space="preserve">and </w:t>
      </w:r>
      <w:r w:rsidR="00E02398" w:rsidRPr="00174459">
        <w:t>2</w:t>
      </w:r>
      <w:r w:rsidR="007544A1" w:rsidRPr="00174459">
        <w:t>)</w:t>
      </w:r>
      <w:r w:rsidR="00F67AF5" w:rsidRPr="00174459">
        <w:t>.</w:t>
      </w:r>
      <w:bookmarkStart w:id="9" w:name="OLE_LINK21"/>
      <w:bookmarkStart w:id="10" w:name="OLE_LINK22"/>
      <w:bookmarkStart w:id="11" w:name="OLE_LINK23"/>
      <w:r w:rsidR="00F67AF5" w:rsidRPr="00174459">
        <w:t xml:space="preserve"> </w:t>
      </w:r>
      <w:r w:rsidR="00E92B10" w:rsidRPr="00174459">
        <w:t xml:space="preserve">Atoms and fragments promoting the inhibition are highlighted by green (Figure </w:t>
      </w:r>
      <w:r w:rsidR="00E02398" w:rsidRPr="00174459">
        <w:t>1</w:t>
      </w:r>
      <w:r w:rsidR="00E92B10" w:rsidRPr="00174459">
        <w:t xml:space="preserve">); atoms and fragments decreasing the inhibitory potential are highlighted by purple (Figure </w:t>
      </w:r>
      <w:r w:rsidR="00E02398" w:rsidRPr="00174459">
        <w:t>2</w:t>
      </w:r>
      <w:r w:rsidR="00E92B10" w:rsidRPr="00174459">
        <w:t>)</w:t>
      </w:r>
      <w:r w:rsidR="00B270D1">
        <w:t xml:space="preserve"> and</w:t>
      </w:r>
      <w:r w:rsidR="00E92B10" w:rsidRPr="00174459">
        <w:t xml:space="preserve"> </w:t>
      </w:r>
      <w:r w:rsidR="00B270D1">
        <w:t>g</w:t>
      </w:r>
      <w:r w:rsidR="00FF0CF4" w:rsidRPr="00174459">
        <w:t>ray lines</w:t>
      </w:r>
      <w:r w:rsidR="00B270D1">
        <w:t xml:space="preserve"> (Figures 1 and 2)</w:t>
      </w:r>
      <w:r w:rsidR="00FF0CF4" w:rsidRPr="00174459">
        <w:t xml:space="preserve"> delimit the region of split between the favorable and the unfavorable contributions.</w:t>
      </w:r>
      <w:r w:rsidR="00FF0CF4" w:rsidRPr="00174459">
        <w:fldChar w:fldCharType="begin" w:fldLock="1"/>
      </w:r>
      <w:r w:rsidR="00BD74F5">
        <w:instrText>ADDIN CSL_CITATION { "citationItems" : [ { "id" : "ITEM-1", "itemData" : { "DOI" : "10.1186/1758-2946-5-43", "ISSN" : "17582946", "PMID" : "24063533", "abstract" : ": Fingerprint similarity is a common method for comparing chemical structures. Similarity is an appealing approach because, with many fingerprint types, it provides intuitive results: a chemist looking at two molecules can understand why they have been determined to be similar. This transparency is partially lost with the fuzzier similarity methods that are often used for scaffold hopping and tends to vanish completely when molecular fingerprints are used as inputs to machine-learning (ML) models. Here we present similarity maps, a straightforward and general strategy to visualize the atomic contributions to the similarity between two molecules or the predicted probability of a ML model. We show the application of similarity maps to a set of dopamine D3 receptor ligands using atom-pair and circular fingerprints as well as two popular ML methods: random forests and na\u00efve Bayes. An open-source implementation of the method is provided.", "author" : [ { "dropping-particle" : "", "family" : "Riniker", "given" : "Sereina", "non-dropping-particle" : "", "parse-names" : false, "suffix" : "" }, { "dropping-particle" : "", "family" : "Landrum", "given" : "Gregory a.", "non-dropping-particle" : "", "parse-names" : false, "suffix" : "" } ], "container-title" : "Journal of Cheminformatics", "id" : "ITEM-1", "issue" : "9", "issued" : { "date-parts" : [ [ "2013" ] ] }, "page" : "1-7", "title" : "Similarity maps - A visualization strategy for molecular fingerprints and machine-learning methods", "type" : "article-journal", "volume" : "5" }, "uris" : [ "http://www.mendeley.com/documents/?uuid=d8cf034e-67c5-47d7-9691-ed924d5fe497" ] } ], "mendeley" : { "formattedCitation" : "&lt;sup&gt;50&lt;/sup&gt;", "plainTextFormattedCitation" : "50", "previouslyFormattedCitation" : "&lt;sup&gt;50&lt;/sup&gt;" }, "properties" : { "noteIndex" : 0 }, "schema" : "https://github.com/citation-style-language/schema/raw/master/csl-citation.json" }</w:instrText>
      </w:r>
      <w:r w:rsidR="00FF0CF4" w:rsidRPr="00174459">
        <w:fldChar w:fldCharType="separate"/>
      </w:r>
      <w:r w:rsidR="00FF0CF4" w:rsidRPr="00174459">
        <w:rPr>
          <w:noProof/>
          <w:vertAlign w:val="superscript"/>
        </w:rPr>
        <w:t>50</w:t>
      </w:r>
      <w:r w:rsidR="00FF0CF4" w:rsidRPr="00174459">
        <w:fldChar w:fldCharType="end"/>
      </w:r>
      <w:r w:rsidR="00FF0CF4" w:rsidRPr="00174459">
        <w:t xml:space="preserve"> </w:t>
      </w:r>
    </w:p>
    <w:p w14:paraId="3140D5AD" w14:textId="313CE5FF" w:rsidR="00FF0CF4" w:rsidRDefault="00FF0CF4" w:rsidP="00FF0CF4">
      <w:pPr>
        <w:pStyle w:val="TAMainText"/>
      </w:pPr>
    </w:p>
    <w:p w14:paraId="4FEA56AD" w14:textId="77777777" w:rsidR="00FF0CF4" w:rsidRDefault="00FF0CF4" w:rsidP="00F67AF5">
      <w:pPr>
        <w:pStyle w:val="TAMainText"/>
      </w:pPr>
    </w:p>
    <w:p w14:paraId="1A5F8A02" w14:textId="0D1D22B9" w:rsidR="00B91734" w:rsidRPr="00174459" w:rsidRDefault="000545B0" w:rsidP="0082240C">
      <w:pPr>
        <w:pStyle w:val="TAMainText"/>
        <w:ind w:firstLine="0"/>
        <w:jc w:val="center"/>
      </w:pPr>
      <w:r>
        <w:rPr>
          <w:noProof/>
        </w:rPr>
        <w:lastRenderedPageBreak/>
        <w:drawing>
          <wp:inline distT="0" distB="0" distL="0" distR="0" wp14:anchorId="42150165" wp14:editId="4732D76E">
            <wp:extent cx="5917741" cy="6762750"/>
            <wp:effectExtent l="0" t="0" r="698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20672" cy="6766100"/>
                    </a:xfrm>
                    <a:prstGeom prst="rect">
                      <a:avLst/>
                    </a:prstGeom>
                  </pic:spPr>
                </pic:pic>
              </a:graphicData>
            </a:graphic>
          </wp:inline>
        </w:drawing>
      </w:r>
    </w:p>
    <w:p w14:paraId="180ED776" w14:textId="221843D0" w:rsidR="00B91734" w:rsidRDefault="00B91734" w:rsidP="00CF7AA4">
      <w:pPr>
        <w:pStyle w:val="VAFigureCaption"/>
      </w:pPr>
      <w:r w:rsidRPr="00D53312">
        <w:rPr>
          <w:b/>
        </w:rPr>
        <w:t xml:space="preserve">Figure </w:t>
      </w:r>
      <w:r w:rsidR="00E02398" w:rsidRPr="00404125">
        <w:rPr>
          <w:b/>
        </w:rPr>
        <w:t>1</w:t>
      </w:r>
      <w:r w:rsidRPr="00404125">
        <w:rPr>
          <w:b/>
        </w:rPr>
        <w:t>.</w:t>
      </w:r>
      <w:r w:rsidRPr="00404125">
        <w:t xml:space="preserve"> Favorable fragments</w:t>
      </w:r>
      <w:r w:rsidR="00E92B10" w:rsidRPr="00404125">
        <w:t xml:space="preserve"> (green)</w:t>
      </w:r>
      <w:r w:rsidRPr="00404125">
        <w:t xml:space="preserve"> for </w:t>
      </w:r>
      <w:proofErr w:type="spellStart"/>
      <w:r w:rsidRPr="00404125">
        <w:rPr>
          <w:i/>
          <w:color w:val="000000"/>
        </w:rPr>
        <w:t>Sm</w:t>
      </w:r>
      <w:r w:rsidRPr="00404125">
        <w:rPr>
          <w:color w:val="000000"/>
        </w:rPr>
        <w:t>TGR</w:t>
      </w:r>
      <w:proofErr w:type="spellEnd"/>
      <w:r w:rsidRPr="00404125">
        <w:t xml:space="preserve"> inhibition predicted by the best individual QSAR model and their respective frequencies in inhibitors and non-inhibitors sets.</w:t>
      </w:r>
      <w:r>
        <w:t xml:space="preserve"> </w:t>
      </w:r>
    </w:p>
    <w:p w14:paraId="2FAEBA56" w14:textId="77777777" w:rsidR="00B91734" w:rsidRDefault="00B91734" w:rsidP="00B91734">
      <w:pPr>
        <w:pStyle w:val="VBChartTitle"/>
        <w:rPr>
          <w:b/>
        </w:rPr>
      </w:pPr>
    </w:p>
    <w:p w14:paraId="5D2F4809" w14:textId="31C9D718" w:rsidR="00B91734" w:rsidRDefault="000545B0" w:rsidP="00B91734">
      <w:pPr>
        <w:pStyle w:val="VBChartTitle"/>
        <w:rPr>
          <w:b/>
        </w:rPr>
      </w:pPr>
      <w:r>
        <w:rPr>
          <w:noProof/>
        </w:rPr>
        <w:lastRenderedPageBreak/>
        <w:drawing>
          <wp:inline distT="0" distB="0" distL="0" distR="0" wp14:anchorId="1764F16A" wp14:editId="7AE97D13">
            <wp:extent cx="5889580" cy="67532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91580" cy="6755518"/>
                    </a:xfrm>
                    <a:prstGeom prst="rect">
                      <a:avLst/>
                    </a:prstGeom>
                  </pic:spPr>
                </pic:pic>
              </a:graphicData>
            </a:graphic>
          </wp:inline>
        </w:drawing>
      </w:r>
    </w:p>
    <w:p w14:paraId="0C6C7794" w14:textId="17EE3BE3" w:rsidR="00B91734" w:rsidRDefault="00B91734" w:rsidP="00CF7AA4">
      <w:pPr>
        <w:pStyle w:val="VAFigureCaption"/>
      </w:pPr>
      <w:r w:rsidRPr="00D53312">
        <w:rPr>
          <w:b/>
        </w:rPr>
        <w:t xml:space="preserve">Figure </w:t>
      </w:r>
      <w:r w:rsidR="00E02398" w:rsidRPr="00404125">
        <w:rPr>
          <w:b/>
        </w:rPr>
        <w:t>2</w:t>
      </w:r>
      <w:r w:rsidRPr="00404125">
        <w:rPr>
          <w:b/>
        </w:rPr>
        <w:t>.</w:t>
      </w:r>
      <w:r w:rsidRPr="00404125">
        <w:t xml:space="preserve"> Unfavorable fragments</w:t>
      </w:r>
      <w:r w:rsidR="00E92B10" w:rsidRPr="00404125">
        <w:t xml:space="preserve"> (purple)</w:t>
      </w:r>
      <w:r w:rsidRPr="00404125">
        <w:t xml:space="preserve"> for </w:t>
      </w:r>
      <w:proofErr w:type="spellStart"/>
      <w:r w:rsidRPr="00404125">
        <w:rPr>
          <w:i/>
          <w:color w:val="000000"/>
        </w:rPr>
        <w:t>Sm</w:t>
      </w:r>
      <w:r w:rsidRPr="00404125">
        <w:rPr>
          <w:color w:val="000000"/>
        </w:rPr>
        <w:t>TGR</w:t>
      </w:r>
      <w:proofErr w:type="spellEnd"/>
      <w:r w:rsidRPr="00404125">
        <w:t xml:space="preserve"> inhibition predicted by the best individual QSAR model and their respective frequencies in inhibitors and non-inhibitors sets.</w:t>
      </w:r>
      <w:r w:rsidRPr="00174459">
        <w:t xml:space="preserve"> </w:t>
      </w:r>
    </w:p>
    <w:p w14:paraId="5DCC8C12" w14:textId="77777777" w:rsidR="00CF1A14" w:rsidRDefault="00CF1A14" w:rsidP="00697B3A"/>
    <w:p w14:paraId="0ACB21DE" w14:textId="16E492AA" w:rsidR="00CF1A14" w:rsidRPr="00CF1A14" w:rsidRDefault="00CF1A14" w:rsidP="00697B3A">
      <w:pPr>
        <w:pStyle w:val="TAMainText"/>
      </w:pPr>
      <w:r w:rsidRPr="00174459">
        <w:lastRenderedPageBreak/>
        <w:t xml:space="preserve">Analyzing the fragments with favorable contributions highlighted by PPMs, we noticed that 14 fragments were more frequent in the inhibitors set and absent in the non-inhibitors set (Figure 1). Examples of favorable fragments for </w:t>
      </w:r>
      <w:proofErr w:type="spellStart"/>
      <w:r w:rsidRPr="00174459">
        <w:rPr>
          <w:i/>
          <w:color w:val="000000"/>
        </w:rPr>
        <w:t>Sm</w:t>
      </w:r>
      <w:r w:rsidRPr="00174459">
        <w:rPr>
          <w:color w:val="000000"/>
        </w:rPr>
        <w:t>TGR</w:t>
      </w:r>
      <w:proofErr w:type="spellEnd"/>
      <w:r w:rsidRPr="00174459">
        <w:t xml:space="preserve"> inhibition activity are </w:t>
      </w:r>
      <w:proofErr w:type="spellStart"/>
      <w:r w:rsidRPr="00174459">
        <w:t>nitrofuran</w:t>
      </w:r>
      <w:proofErr w:type="spellEnd"/>
      <w:r w:rsidRPr="00174459">
        <w:t>, 2-ethenylfuran, (</w:t>
      </w:r>
      <w:proofErr w:type="spellStart"/>
      <w:r w:rsidRPr="00174459">
        <w:t>ethanesulfonyl</w:t>
      </w:r>
      <w:proofErr w:type="spellEnd"/>
      <w:r w:rsidRPr="00174459">
        <w:t>) benzene, 2-(</w:t>
      </w:r>
      <w:proofErr w:type="spellStart"/>
      <w:r w:rsidRPr="00174459">
        <w:t>sulfonylmethyl</w:t>
      </w:r>
      <w:proofErr w:type="spellEnd"/>
      <w:r w:rsidRPr="00174459">
        <w:t xml:space="preserve">) furan, carbonyl </w:t>
      </w:r>
      <w:proofErr w:type="spellStart"/>
      <w:r w:rsidRPr="00174459">
        <w:t>thiourea</w:t>
      </w:r>
      <w:proofErr w:type="spellEnd"/>
      <w:r w:rsidRPr="00174459">
        <w:t xml:space="preserve">, and 4-methanesulfonyl-1,3-oxazole. By analyzing the fragments with unfavorable contribution into </w:t>
      </w:r>
      <w:proofErr w:type="spellStart"/>
      <w:r w:rsidRPr="00174459">
        <w:rPr>
          <w:i/>
          <w:color w:val="000000"/>
        </w:rPr>
        <w:t>Sm</w:t>
      </w:r>
      <w:r w:rsidRPr="00174459">
        <w:rPr>
          <w:color w:val="000000"/>
        </w:rPr>
        <w:t>TGR</w:t>
      </w:r>
      <w:proofErr w:type="spellEnd"/>
      <w:r w:rsidRPr="00174459">
        <w:t xml:space="preserve"> inhibition activity (Figure 2), several fragments such as </w:t>
      </w:r>
      <w:proofErr w:type="spellStart"/>
      <w:r w:rsidRPr="00174459">
        <w:t>benzylsulfonamide</w:t>
      </w:r>
      <w:proofErr w:type="spellEnd"/>
      <w:r w:rsidRPr="00174459">
        <w:t xml:space="preserve">, </w:t>
      </w:r>
      <w:proofErr w:type="spellStart"/>
      <w:r w:rsidRPr="00174459">
        <w:t>methylurea</w:t>
      </w:r>
      <w:proofErr w:type="spellEnd"/>
      <w:r w:rsidRPr="00174459">
        <w:t xml:space="preserve">, morpholine-4-carbonyl, piperidine-4-carboxamide, 1-methanesulfonylpiperidine, and </w:t>
      </w:r>
      <w:proofErr w:type="spellStart"/>
      <w:r w:rsidRPr="00174459">
        <w:t>cyclohexanecarbonyl</w:t>
      </w:r>
      <w:proofErr w:type="spellEnd"/>
      <w:r w:rsidRPr="00174459">
        <w:t xml:space="preserve">, were more frequent in the non-inhibitors set. Compounds that contain these fragments may show a decreased </w:t>
      </w:r>
      <w:proofErr w:type="spellStart"/>
      <w:r w:rsidRPr="00174459">
        <w:rPr>
          <w:i/>
        </w:rPr>
        <w:t>Sm</w:t>
      </w:r>
      <w:r w:rsidRPr="00174459">
        <w:t>TGR</w:t>
      </w:r>
      <w:proofErr w:type="spellEnd"/>
      <w:r w:rsidRPr="00174459">
        <w:t xml:space="preserve"> inhibitory activity. This information could be useful for designing or optimizing new </w:t>
      </w:r>
      <w:proofErr w:type="spellStart"/>
      <w:r w:rsidRPr="00174459">
        <w:rPr>
          <w:i/>
          <w:color w:val="000000"/>
        </w:rPr>
        <w:t>Sm</w:t>
      </w:r>
      <w:r w:rsidRPr="00174459">
        <w:rPr>
          <w:color w:val="000000"/>
        </w:rPr>
        <w:t>TGR</w:t>
      </w:r>
      <w:proofErr w:type="spellEnd"/>
      <w:r w:rsidRPr="00174459">
        <w:t xml:space="preserve"> inhibitors by replacing unfavorable fragments by favorable fragments.</w:t>
      </w:r>
    </w:p>
    <w:bookmarkEnd w:id="9"/>
    <w:bookmarkEnd w:id="10"/>
    <w:bookmarkEnd w:id="11"/>
    <w:p w14:paraId="48E1E21E" w14:textId="1B244EEB" w:rsidR="00A526CF" w:rsidRPr="00174459" w:rsidRDefault="00BC4466" w:rsidP="001C4883">
      <w:pPr>
        <w:pStyle w:val="TAMainText"/>
      </w:pPr>
      <w:r w:rsidRPr="00174459">
        <w:rPr>
          <w:b/>
        </w:rPr>
        <w:t xml:space="preserve">Reaction </w:t>
      </w:r>
      <w:r w:rsidR="0085388B" w:rsidRPr="00174459">
        <w:rPr>
          <w:b/>
        </w:rPr>
        <w:t xml:space="preserve">Mechanism of </w:t>
      </w:r>
      <w:proofErr w:type="spellStart"/>
      <w:r w:rsidR="001C4883" w:rsidRPr="00174459">
        <w:rPr>
          <w:b/>
          <w:i/>
        </w:rPr>
        <w:t>Sm</w:t>
      </w:r>
      <w:r w:rsidR="001C4883" w:rsidRPr="00174459">
        <w:rPr>
          <w:b/>
        </w:rPr>
        <w:t>TGR</w:t>
      </w:r>
      <w:proofErr w:type="spellEnd"/>
      <w:r w:rsidR="001C4883" w:rsidRPr="00174459">
        <w:rPr>
          <w:b/>
        </w:rPr>
        <w:t xml:space="preserve"> Inhibit</w:t>
      </w:r>
      <w:r w:rsidR="0085388B" w:rsidRPr="00174459">
        <w:rPr>
          <w:b/>
        </w:rPr>
        <w:t>ion</w:t>
      </w:r>
      <w:r w:rsidR="001C4883" w:rsidRPr="00174459">
        <w:t xml:space="preserve">. Although the inhibition mechanisms of most of </w:t>
      </w:r>
      <w:r w:rsidR="00B07F5E" w:rsidRPr="00174459">
        <w:t xml:space="preserve">the </w:t>
      </w:r>
      <w:proofErr w:type="spellStart"/>
      <w:r w:rsidR="001C4883" w:rsidRPr="00174459">
        <w:rPr>
          <w:i/>
          <w:color w:val="000000"/>
        </w:rPr>
        <w:t>Sm</w:t>
      </w:r>
      <w:r w:rsidR="001C4883" w:rsidRPr="00174459">
        <w:rPr>
          <w:color w:val="000000"/>
        </w:rPr>
        <w:t>TGR</w:t>
      </w:r>
      <w:proofErr w:type="spellEnd"/>
      <w:r w:rsidR="001C4883" w:rsidRPr="00174459">
        <w:t xml:space="preserve"> inhibitors </w:t>
      </w:r>
      <w:r w:rsidR="00B07F5E" w:rsidRPr="00174459">
        <w:t>are</w:t>
      </w:r>
      <w:r w:rsidR="001C4883" w:rsidRPr="00174459">
        <w:t xml:space="preserve"> not </w:t>
      </w:r>
      <w:r w:rsidRPr="00174459">
        <w:t xml:space="preserve">well </w:t>
      </w:r>
      <w:r w:rsidR="00B07F5E" w:rsidRPr="00174459">
        <w:t xml:space="preserve">understood </w:t>
      </w:r>
      <w:r w:rsidR="001C4883" w:rsidRPr="00174459">
        <w:t xml:space="preserve">at the molecular level, the reaction mechanisms by which </w:t>
      </w:r>
      <w:r w:rsidR="000F7268" w:rsidRPr="00174459">
        <w:t xml:space="preserve">oxadiazole-2-oxides and </w:t>
      </w:r>
      <w:proofErr w:type="spellStart"/>
      <w:r w:rsidR="000F7268" w:rsidRPr="00174459">
        <w:t>cephalosporins</w:t>
      </w:r>
      <w:proofErr w:type="spellEnd"/>
      <w:r w:rsidR="001C4883" w:rsidRPr="00174459">
        <w:t xml:space="preserve"> operate could be identified according to a graphical interpretation of PPMs. </w:t>
      </w:r>
      <w:r w:rsidR="006F7B3F" w:rsidRPr="00174459">
        <w:t>However, f</w:t>
      </w:r>
      <w:r w:rsidR="001C4883" w:rsidRPr="00174459">
        <w:t>or</w:t>
      </w:r>
      <w:r w:rsidR="006F7B3F" w:rsidRPr="00174459">
        <w:t xml:space="preserve"> the</w:t>
      </w:r>
      <w:r w:rsidR="001C4883" w:rsidRPr="00174459">
        <w:t xml:space="preserve"> </w:t>
      </w:r>
      <w:r w:rsidRPr="00174459">
        <w:t xml:space="preserve">best </w:t>
      </w:r>
      <w:r w:rsidR="001C4883" w:rsidRPr="00174459">
        <w:t>understanding of molecular inhibition</w:t>
      </w:r>
      <w:r w:rsidR="000645DF" w:rsidRPr="00174459">
        <w:t xml:space="preserve"> mechanisms</w:t>
      </w:r>
      <w:r w:rsidR="001C4883" w:rsidRPr="00174459">
        <w:t xml:space="preserve">, it is important to highlight that the active site of </w:t>
      </w:r>
      <w:proofErr w:type="spellStart"/>
      <w:r w:rsidR="001C4883" w:rsidRPr="00174459">
        <w:rPr>
          <w:i/>
          <w:color w:val="000000"/>
        </w:rPr>
        <w:t>Sm</w:t>
      </w:r>
      <w:r w:rsidR="001C4883" w:rsidRPr="00174459">
        <w:rPr>
          <w:color w:val="000000"/>
        </w:rPr>
        <w:t>TGR</w:t>
      </w:r>
      <w:proofErr w:type="spellEnd"/>
      <w:r w:rsidR="001C4883" w:rsidRPr="00174459">
        <w:t xml:space="preserve"> </w:t>
      </w:r>
      <w:r w:rsidRPr="00174459">
        <w:t>is</w:t>
      </w:r>
      <w:r w:rsidR="001C4883" w:rsidRPr="00174459">
        <w:t xml:space="preserve"> composed by a cysteine pair (Cys28/Cys31) in the </w:t>
      </w:r>
      <w:proofErr w:type="spellStart"/>
      <w:r w:rsidR="001C4883" w:rsidRPr="00174459">
        <w:t>glutharedoxin</w:t>
      </w:r>
      <w:proofErr w:type="spellEnd"/>
      <w:r w:rsidR="001C4883" w:rsidRPr="00174459">
        <w:t xml:space="preserve"> domain, a cysteine pair (Cys154/Cys</w:t>
      </w:r>
      <w:r w:rsidR="001C4883" w:rsidRPr="00411723">
        <w:t>159</w:t>
      </w:r>
      <w:r w:rsidR="001C4883" w:rsidRPr="00174459">
        <w:t xml:space="preserve">) in the </w:t>
      </w:r>
      <w:proofErr w:type="spellStart"/>
      <w:r w:rsidR="001C4883" w:rsidRPr="00174459">
        <w:t>thioredoxin</w:t>
      </w:r>
      <w:proofErr w:type="spellEnd"/>
      <w:r w:rsidR="001C4883" w:rsidRPr="00174459">
        <w:t xml:space="preserve"> domain, and a redox-active cysteine/</w:t>
      </w:r>
      <w:proofErr w:type="spellStart"/>
      <w:r w:rsidR="001C4883" w:rsidRPr="00174459">
        <w:t>selenocysteine</w:t>
      </w:r>
      <w:proofErr w:type="spellEnd"/>
      <w:r w:rsidR="001C4883" w:rsidRPr="00174459">
        <w:t xml:space="preserve"> pair (Cys596/Sec597) </w:t>
      </w:r>
      <w:r w:rsidR="000A07C3">
        <w:t>in the</w:t>
      </w:r>
      <w:r w:rsidR="001C4883" w:rsidRPr="00174459">
        <w:t xml:space="preserve"> C-terminal tail. The </w:t>
      </w:r>
      <w:r w:rsidR="000A07C3">
        <w:t xml:space="preserve">latter </w:t>
      </w:r>
      <w:r w:rsidR="001C4883" w:rsidRPr="00174459">
        <w:t>should be highly mobile to accept electrons from the Cys154/Cys159 pair and to donate electron pairs to Cys28/Cys31 pair.</w:t>
      </w:r>
      <w:r w:rsidR="007151D6" w:rsidRPr="00174459">
        <w:fldChar w:fldCharType="begin" w:fldLock="1"/>
      </w:r>
      <w:r w:rsidR="00BD74F5">
        <w:instrText>ADDIN CSL_CITATION { "citationItems" : [ { "id" : "ITEM-1", "itemData" : { "DOI" : "10.1021/bi200107n", "ISSN" : "0006-2960", "PMID" : "21630672", "abstract" : "Thioredoxin glutathione reductase from Schistosoma mansoni (SmTGR) catalyzes the reduction of both thioredoxin and glutathione disulfides (GSSG), thus playing a crucial role in maintaining redox homeostasis in the parasite. In line with this role, previous studies have demonstrated that SmTGR is a promising drug target for schistosomiasis. To aid in the development of efficacious drugs that target SmTGR, it is essential to understand the catalytic mechanism of SmTGR. SmTGR is a dimeric flavoprotein in the glutathione reductase family and has a head-to-tail arrangement of its monomers; each subunit has the components of both a thioredoxin reductase (TrxR) domain and a glutaredoxin (Grx) domain. However, the active site of the TrxR domain is composed of residues from both subunits: FAD and a redox-active Cys-154/Cys-159 pair from one subunit and a redox-active Cys-596'/Sec-597' pair from the other; the active site of the Grx domain contains a redox-active Cys-28/Cys-31 pair. Via its Cys-28/Cys-31 dithiol and/or its Cys-596'/Sec-597' thiol-selenolate, SmTGR can catalyze the reduction of a variety of substrates by NADPH. It is presumed that SmTGR catalyzes deglutathionylation reactions via the Cys-28/Cys-31 dithiol. Our anaerobic titration data suggest that reducing equivalents from NADPH can indeed reach the Cys-28/Cys-31 disulfide in the Grx domain to facilitate reductions effected by this cysteine pair. To clarify the specific chemical roles of each redox-active residue with respect to its various reactivities, we generated variants of SmTGR. Cys-28 variants had no Grx deglutathionylation activity, whereas Cys-31 variants retained partial Grx deglutathionylation activity, indicating that the Cys-28 thiolate is the nucleophile initiating deglutathionylation. Lags in the steady-state kinetics, found when wild-type SmTGR was incubated at high concentrations of GSSG, were not present in Grx variants, indicating that this cysteine pair is in some way responsible for the lags. A Sec-597 variant was still able to reduce a variety of substrates, albeit slowly, showing that selenocysteine is important but is not the sole determinant for the broad substrate tolerance of the enzyme. Our data show that Cys-520 and Cys-574 are not likely to be involved in the catalytic mechanism.", "author" : [ { "dropping-particle" : "", "family" : "Huang", "given" : "Hsin-hung", "non-dropping-particle" : "", "parse-names" : false, "suffix" : "" }, { "dropping-particle" : "", "family" : "Day", "given" : "Latasha", "non-dropping-particle" : "", "parse-names" : false, "suffix" : "" }, { "dropping-particle" : "", "family" : "Cass", "given" : "Cynthia L", "non-dropping-particle" : "", "parse-names" : false, "suffix" : "" }, { "dropping-particle" : "", "family" : "Ballou", "given" : "David P", "non-dropping-particle" : "", "parse-names" : false, "suffix" : "" }, { "dropping-particle" : "", "family" : "Williams", "given" : "Charles H.", "non-dropping-particle" : "", "parse-names" : false, "suffix" : "" }, { "dropping-particle" : "", "family" : "Williams", "given" : "David L", "non-dropping-particle" : "", "parse-names" : false, "suffix" : "" } ], "container-title" : "Biochemistry", "id" : "ITEM-1", "issue" : "26", "issued" : { "date-parts" : [ [ "2011", "7", "5" ] ] }, "page" : "5870-5882", "title" : "Investigations of the Catalytic Mechanism of Thioredoxin Glutathione Reductase from Schistosoma mansoni", "type" : "article-journal", "volume" : "50" }, "uris" : [ "http://www.mendeley.com/documents/?uuid=e7424fc7-72a8-440d-b2ff-df122a005615" ] } ], "mendeley" : { "formattedCitation" : "&lt;sup&gt;24&lt;/sup&gt;", "plainTextFormattedCitation" : "24", "previouslyFormattedCitation" : "&lt;sup&gt;24&lt;/sup&gt;" }, "properties" : { "noteIndex" : 0 }, "schema" : "https://github.com/citation-style-language/schema/raw/master/csl-citation.json" }</w:instrText>
      </w:r>
      <w:r w:rsidR="007151D6" w:rsidRPr="00174459">
        <w:fldChar w:fldCharType="separate"/>
      </w:r>
      <w:r w:rsidR="00AC76A7" w:rsidRPr="00174459">
        <w:rPr>
          <w:noProof/>
          <w:vertAlign w:val="superscript"/>
        </w:rPr>
        <w:t>24</w:t>
      </w:r>
      <w:r w:rsidR="007151D6" w:rsidRPr="00174459">
        <w:fldChar w:fldCharType="end"/>
      </w:r>
      <w:r w:rsidR="001C4883" w:rsidRPr="00174459">
        <w:t xml:space="preserve"> </w:t>
      </w:r>
      <w:r w:rsidR="007151D6" w:rsidRPr="00174459">
        <w:t xml:space="preserve">These </w:t>
      </w:r>
      <w:r w:rsidR="00473B58" w:rsidRPr="00174459">
        <w:t>amino acids</w:t>
      </w:r>
      <w:r w:rsidR="007151D6" w:rsidRPr="00174459">
        <w:t xml:space="preserve"> provide the perfect chemical environment for covalent inhibition. The higher </w:t>
      </w:r>
      <w:proofErr w:type="spellStart"/>
      <w:r w:rsidR="007151D6" w:rsidRPr="00174459">
        <w:t>nucleophilicity</w:t>
      </w:r>
      <w:proofErr w:type="spellEnd"/>
      <w:r w:rsidR="007151D6" w:rsidRPr="00174459">
        <w:t xml:space="preserve"> and low </w:t>
      </w:r>
      <w:proofErr w:type="spellStart"/>
      <w:r w:rsidR="007151D6" w:rsidRPr="00174459">
        <w:t>pKa</w:t>
      </w:r>
      <w:proofErr w:type="spellEnd"/>
      <w:r w:rsidR="007151D6" w:rsidRPr="00174459">
        <w:t xml:space="preserve"> of the </w:t>
      </w:r>
      <w:proofErr w:type="spellStart"/>
      <w:r w:rsidR="007151D6" w:rsidRPr="00174459">
        <w:t>selenol</w:t>
      </w:r>
      <w:proofErr w:type="spellEnd"/>
      <w:r w:rsidR="007151D6" w:rsidRPr="00174459">
        <w:t xml:space="preserve"> group of Sec are thought to confer Sec a catalytic advantage over </w:t>
      </w:r>
      <w:proofErr w:type="spellStart"/>
      <w:r w:rsidR="007151D6" w:rsidRPr="00174459">
        <w:t>Cys</w:t>
      </w:r>
      <w:proofErr w:type="spellEnd"/>
      <w:r w:rsidR="007151D6" w:rsidRPr="00174459">
        <w:t xml:space="preserve"> at the attacking position.</w:t>
      </w:r>
      <w:r w:rsidR="007151D6" w:rsidRPr="00174459">
        <w:fldChar w:fldCharType="begin" w:fldLock="1"/>
      </w:r>
      <w:r w:rsidR="00BD74F5">
        <w:instrText>ADDIN CSL_CITATION { "citationItems" : [ { "id" : "ITEM-1", "itemData" : { "DOI" : "10.1074/jbc.M710609200", "ISSN" : "0021-9258", "PMID" : "18408002", "abstract" : "Platyhelminth parasites are a major health problem in developing countries. In contrast to their mammalian hosts, platyhelminth thiol-disulfide redox homeostasis relies on linked thioredoxin-glutathione systems, which are fully dependent on thioredoxin-glutathione reductase (TGR), a promising drug target. TGR is a homodimeric enzyme comprising a glutaredoxin domain and thioredoxin reductase (TR) domains with a C-terminal redox center containing selenocysteine (Sec). In this study, we demonstrate the existence of functional linked thioredoxin-glutathione systems in the cytosolic and mitochondrial compartments of Echinococcus granulosus, the platyhelminth responsible for hydatid disease. The glutathione reductase (GR) activity of TGR exhibited hysteretic behavior regulated by the [GSSG]/[GSH] ratio. This behavior was associated with glutathionylation by GSSG and abolished by deglutathionylation. The K(m) and k(cat) values for mitochondrial and cytosolic thioredoxins (9.5 microm and 131 s(-1), 34 microm and 197 s(-1), respectively) were higher than those reported for mammalian TRs. Analysis of TGR mutants revealed that the glutaredoxin domain is required for the GR activity but did not affect the TR activity. In contrast, both GR and TR activities were dependent on the Sec-containing redox center. The activity loss caused by the Sec-to-Cys mutation could be partially compensated by a Cys-to-Sec mutation of the neighboring residue, indicating that Sec can support catalysis at this alternative position. Consistent with the essential role of TGR in redox control, 2.5 microm auranofin, a known TGR inhibitor, killed larval worms in vitro. These studies establish the selenium- and glutathione-dependent regulation of cytosolic and mitochondrial redox homeostasis through a single TGR enzyme in platyhelminths.", "author" : [ { "dropping-particle" : "", "family" : "Bonilla", "given" : "Mariana", "non-dropping-particle" : "", "parse-names" : false, "suffix" : "" }, { "dropping-particle" : "", "family" : "Denicola", "given" : "Ana", "non-dropping-particle" : "", "parse-names" : false, "suffix" : "" }, { "dropping-particle" : "V", "family" : "Novoselov", "given" : "Sergey", "non-dropping-particle" : "", "parse-names" : false, "suffix" : "" }, { "dropping-particle" : "", "family" : "Turanov", "given" : "Anton A", "non-dropping-particle" : "", "parse-names" : false, "suffix" : "" }, { "dropping-particle" : "", "family" : "Protasio", "given" : "Anna", "non-dropping-particle" : "", "parse-names" : false, "suffix" : "" }, { "dropping-particle" : "", "family" : "Izmendi", "given" : "Darwin", "non-dropping-particle" : "", "parse-names" : false, "suffix" : "" }, { "dropping-particle" : "", "family" : "Gladyshev", "given" : "Vadim N", "non-dropping-particle" : "", "parse-names" : false, "suffix" : "" }, { "dropping-particle" : "", "family" : "Salinas", "given" : "Gustavo", "non-dropping-particle" : "", "parse-names" : false, "suffix" : "" } ], "container-title" : "The Journal of biological chemistry", "id" : "ITEM-1", "issue" : "26", "issued" : { "date-parts" : [ [ "2008", "6", "27" ] ] }, "page" : "17898-907", "title" : "Platyhelminth mitochondrial and cytosolic redox homeostasis is controlled by a single thioredoxin glutathione reductase and dependent on selenium and glutathione.", "type" : "article-journal", "volume" : "283" }, "uris" : [ "http://www.mendeley.com/documents/?uuid=b88d06cd-bfd7-4a0d-bb58-b166e5cf9e7f", "http://www.mendeley.com/documents/?uuid=a11be66b-8d44-4ca2-b15b-7b51f2d989f0", "http://www.mendeley.com/documents/?uuid=01a24b65-ba74-4b35-bb40-cfd2ebe2b0d4" ] }, { "id" : "ITEM-2", "itemData" : { "DOI" : "10.1007/s00726-010-0602-7", "ISSN" : "1438-2199", "PMID" : "20461421", "abstract" : "Selenocysteine is present in a variety of proteins and catalyzes the oxidation of thiols to disulfides and the reduction of disulfides to thiols. Here, we compare the kinetic and thermodynamic properties of cysteine with its selenium-containing analogon, selenocysteine. Reactions of simple selenols at pH 7 are up to four orders of magnitude faster than their sulfur analogs, depending on reaction type. In redox-related proteins, the use of selenium instead of sulfur can be used to tune electrode, or redox, potentials. Selenocysteine could also have a protective effect in proteins because its one-electron oxidized product, the selanyl radical, is not oxidizing enough to modify or destroy proteins, whereas the cysteine-thiyl radical can do this very rapidly.", "author" : [ { "dropping-particle" : "", "family" : "Nauser", "given" : "Thomas", "non-dropping-particle" : "", "parse-names" : false, "suffix" : "" }, { "dropping-particle" : "", "family" : "Steinmann", "given" : "Daniel", "non-dropping-particle" : "", "parse-names" : false, "suffix" : "" }, { "dropping-particle" : "", "family" : "Koppenol", "given" : "Willem H", "non-dropping-particle" : "", "parse-names" : false, "suffix" : "" } ], "container-title" : "Amino acids", "id" : "ITEM-2", "issue" : "1", "issued" : { "date-parts" : [ [ "2012", "1" ] ] }, "page" : "39-44", "title" : "Why do proteins use selenocysteine instead of cysteine?", "type" : "article-journal", "volume" : "42" }, "uris" : [ "http://www.mendeley.com/documents/?uuid=274d4a14-6d3f-4b57-8e19-197dcd10a41c", "http://www.mendeley.com/documents/?uuid=73d3b407-13f5-48a9-9a10-c6396d7a640c", "http://www.mendeley.com/documents/?uuid=c8c23818-9a9b-46c0-a80a-228235dc3058" ] }, { "id" : "ITEM-3", "itemData" : { "DOI" : "10.1016/j.bbagen.2005.05.010", "ISSN" : "0006-3002", "PMID" : "15967579", "abstract" : "Selenocysteine (Sec), the 21st amino acid, exists naturally in all kingdoms of life as the defining entity of selenoproteins. Sec is a cysteine (Cys) residue analogue with a selenium-containing selenol group in place of the sulfur-containing thiol group in Cys. The selenium atom gives Sec quite different properties from Cys. The most obvious difference is the lower pK(a) of Sec, and Sec is also a stronger nucleophile than Cys. Proteins naturally containing Sec are often enzymes, employing the reactivity of the Sec residue during the catalytic cycle and therefore Sec is normally essential for their catalytic efficiencies. Other unique features of Sec, not shared by any of the other 20 common amino acids, derive from the atomic weight and chemical properties of selenium and the particular occurrence and properties of its stable and radioactive isotopes. Sec is, moreover, incorporated into proteins by an expansion of the genetic code as the translation of selenoproteins involves the decoding of a UGA codon, otherwise being a termination codon. In this review, we will describe the different unique properties of Sec and we will discuss the prerequisites for selenoprotein production as well as the possible use of Sec introduction into proteins for biotechnological applications. These include residue-specific radiolabeling with gamma or positron emitters, the use of Sec as a reactive handle for electophilic probes introducing fluorescence or other peptide conjugates, as the basis for affinity purification of recombinant proteins, the trapping of folding intermediates, improved phasing in X-ray crystallography, introduction of 77Se for NMR spectroscopy, or, finally, the analysis or tailoring of enzymatic reactions involving thiol or oxidoreductase (redox) selenolate chemistry.", "author" : [ { "dropping-particle" : "", "family" : "Johansson", "given" : "Linda", "non-dropping-particle" : "", "parse-names" : false, "suffix" : "" }, { "dropping-particle" : "", "family" : "Gafvelin", "given" : "Guro", "non-dropping-particle" : "", "parse-names" : false, "suffix" : "" }, { "dropping-particle" : "", "family" : "Arn\u00e9r", "given" : "Elias S J", "non-dropping-particle" : "", "parse-names" : false, "suffix" : "" } ], "container-title" : "Biochimica et biophysica acta", "id" : "ITEM-3", "issue" : "1", "issued" : { "date-parts" : [ [ "2005", "10", "30" ] ] }, "page" : "1-13", "title" : "Selenocysteine in proteins-properties and biotechnological use.", "type" : "article-journal", "volume" : "1726" }, "uris" : [ "http://www.mendeley.com/documents/?uuid=a5337dc5-99e7-4aa1-a410-1c2cbdc64538", "http://www.mendeley.com/documents/?uuid=0b445262-c903-44d0-8ca5-b2a250eafd8f", "http://www.mendeley.com/documents/?uuid=240aa355-231e-4230-ab3b-8626100e8c15" ] } ], "mendeley" : { "formattedCitation" : "&lt;sup&gt;51\u201353&lt;/sup&gt;", "plainTextFormattedCitation" : "51\u201353", "previouslyFormattedCitation" : "&lt;sup&gt;51\u201353&lt;/sup&gt;" }, "properties" : { "noteIndex" : 0 }, "schema" : "https://github.com/citation-style-language/schema/raw/master/csl-citation.json" }</w:instrText>
      </w:r>
      <w:r w:rsidR="007151D6" w:rsidRPr="00174459">
        <w:fldChar w:fldCharType="separate"/>
      </w:r>
      <w:r w:rsidR="00AC76A7" w:rsidRPr="00174459">
        <w:rPr>
          <w:noProof/>
          <w:vertAlign w:val="superscript"/>
        </w:rPr>
        <w:t>51–53</w:t>
      </w:r>
      <w:r w:rsidR="007151D6" w:rsidRPr="00174459">
        <w:fldChar w:fldCharType="end"/>
      </w:r>
      <w:r w:rsidR="007151D6" w:rsidRPr="00174459">
        <w:t xml:space="preserve"> Nonetheless,</w:t>
      </w:r>
      <w:r w:rsidR="00064B8B" w:rsidRPr="00174459">
        <w:t xml:space="preserve"> the</w:t>
      </w:r>
      <w:r w:rsidR="007151D6" w:rsidRPr="00174459">
        <w:t xml:space="preserve"> </w:t>
      </w:r>
      <w:proofErr w:type="spellStart"/>
      <w:r w:rsidR="001C4883" w:rsidRPr="00174459">
        <w:t>thioredoxin</w:t>
      </w:r>
      <w:proofErr w:type="spellEnd"/>
      <w:r w:rsidR="001C4883" w:rsidRPr="00174459">
        <w:t xml:space="preserve"> domain contains His571 and Glu576, a catalytic dyad </w:t>
      </w:r>
      <w:r w:rsidR="001C4883" w:rsidRPr="00174459">
        <w:lastRenderedPageBreak/>
        <w:t xml:space="preserve">that can facilitate proton abstraction of Cys159 thus impacting the catalytic efficiency of the </w:t>
      </w:r>
      <w:proofErr w:type="spellStart"/>
      <w:r w:rsidR="001C4883" w:rsidRPr="00174459">
        <w:t>thioredoxin</w:t>
      </w:r>
      <w:proofErr w:type="spellEnd"/>
      <w:r w:rsidR="001C4883" w:rsidRPr="00174459">
        <w:t xml:space="preserve"> domain of </w:t>
      </w:r>
      <w:r w:rsidR="001C4883" w:rsidRPr="00174459">
        <w:rPr>
          <w:i/>
          <w:color w:val="000000"/>
        </w:rPr>
        <w:t>Sm</w:t>
      </w:r>
      <w:r w:rsidR="001C4883" w:rsidRPr="00174459">
        <w:rPr>
          <w:color w:val="000000"/>
        </w:rPr>
        <w:t>TGR</w:t>
      </w:r>
      <w:r w:rsidR="001C4883" w:rsidRPr="00174459">
        <w:t>.</w:t>
      </w:r>
      <w:r w:rsidR="0085388B" w:rsidRPr="00174459">
        <w:fldChar w:fldCharType="begin" w:fldLock="1"/>
      </w:r>
      <w:r w:rsidR="00BD74F5">
        <w:instrText>ADDIN CSL_CITATION { "citationItems" : [ { "id" : "ITEM-1", "itemData" : { "DOI" : "10.1021/bi200107n", "ISSN" : "0006-2960", "PMID" : "21630672", "abstract" : "Thioredoxin glutathione reductase from Schistosoma mansoni (SmTGR) catalyzes the reduction of both thioredoxin and glutathione disulfides (GSSG), thus playing a crucial role in maintaining redox homeostasis in the parasite. In line with this role, previous studies have demonstrated that SmTGR is a promising drug target for schistosomiasis. To aid in the development of efficacious drugs that target SmTGR, it is essential to understand the catalytic mechanism of SmTGR. SmTGR is a dimeric flavoprotein in the glutathione reductase family and has a head-to-tail arrangement of its monomers; each subunit has the components of both a thioredoxin reductase (TrxR) domain and a glutaredoxin (Grx) domain. However, the active site of the TrxR domain is composed of residues from both subunits: FAD and a redox-active Cys-154/Cys-159 pair from one subunit and a redox-active Cys-596'/Sec-597' pair from the other; the active site of the Grx domain contains a redox-active Cys-28/Cys-31 pair. Via its Cys-28/Cys-31 dithiol and/or its Cys-596'/Sec-597' thiol-selenolate, SmTGR can catalyze the reduction of a variety of substrates by NADPH. It is presumed that SmTGR catalyzes deglutathionylation reactions via the Cys-28/Cys-31 dithiol. Our anaerobic titration data suggest that reducing equivalents from NADPH can indeed reach the Cys-28/Cys-31 disulfide in the Grx domain to facilitate reductions effected by this cysteine pair. To clarify the specific chemical roles of each redox-active residue with respect to its various reactivities, we generated variants of SmTGR. Cys-28 variants had no Grx deglutathionylation activity, whereas Cys-31 variants retained partial Grx deglutathionylation activity, indicating that the Cys-28 thiolate is the nucleophile initiating deglutathionylation. Lags in the steady-state kinetics, found when wild-type SmTGR was incubated at high concentrations of GSSG, were not present in Grx variants, indicating that this cysteine pair is in some way responsible for the lags. A Sec-597 variant was still able to reduce a variety of substrates, albeit slowly, showing that selenocysteine is important but is not the sole determinant for the broad substrate tolerance of the enzyme. Our data show that Cys-520 and Cys-574 are not likely to be involved in the catalytic mechanism.", "author" : [ { "dropping-particle" : "", "family" : "Huang", "given" : "Hsin-hung", "non-dropping-particle" : "", "parse-names" : false, "suffix" : "" }, { "dropping-particle" : "", "family" : "Day", "given" : "Latasha", "non-dropping-particle" : "", "parse-names" : false, "suffix" : "" }, { "dropping-particle" : "", "family" : "Cass", "given" : "Cynthia L", "non-dropping-particle" : "", "parse-names" : false, "suffix" : "" }, { "dropping-particle" : "", "family" : "Ballou", "given" : "David P", "non-dropping-particle" : "", "parse-names" : false, "suffix" : "" }, { "dropping-particle" : "", "family" : "Williams", "given" : "Charles H.", "non-dropping-particle" : "", "parse-names" : false, "suffix" : "" }, { "dropping-particle" : "", "family" : "Williams", "given" : "David L", "non-dropping-particle" : "", "parse-names" : false, "suffix" : "" } ], "container-title" : "Biochemistry", "id" : "ITEM-1", "issue" : "26", "issued" : { "date-parts" : [ [ "2011", "7", "5" ] ] }, "page" : "5870-5882", "title" : "Investigations of the Catalytic Mechanism of Thioredoxin Glutathione Reductase from Schistosoma mansoni", "type" : "article-journal", "volume" : "50" }, "uris" : [ "http://www.mendeley.com/documents/?uuid=e7424fc7-72a8-440d-b2ff-df122a005615" ] } ], "mendeley" : { "formattedCitation" : "&lt;sup&gt;24&lt;/sup&gt;", "plainTextFormattedCitation" : "24", "previouslyFormattedCitation" : "&lt;sup&gt;24&lt;/sup&gt;" }, "properties" : { "noteIndex" : 0 }, "schema" : "https://github.com/citation-style-language/schema/raw/master/csl-citation.json" }</w:instrText>
      </w:r>
      <w:r w:rsidR="0085388B" w:rsidRPr="00174459">
        <w:fldChar w:fldCharType="separate"/>
      </w:r>
      <w:r w:rsidR="00AC76A7" w:rsidRPr="00174459">
        <w:rPr>
          <w:noProof/>
          <w:vertAlign w:val="superscript"/>
        </w:rPr>
        <w:t>24</w:t>
      </w:r>
      <w:r w:rsidR="0085388B" w:rsidRPr="00174459">
        <w:fldChar w:fldCharType="end"/>
      </w:r>
      <w:r w:rsidR="001C4883" w:rsidRPr="00174459">
        <w:t xml:space="preserve"> </w:t>
      </w:r>
    </w:p>
    <w:p w14:paraId="1CAC67E0" w14:textId="27FB4806" w:rsidR="005D6177" w:rsidRDefault="000A16D8" w:rsidP="00747619">
      <w:pPr>
        <w:pStyle w:val="TAMainText"/>
        <w:rPr>
          <w:rFonts w:ascii="Times New Roman" w:hAnsi="Times New Roman"/>
          <w:szCs w:val="24"/>
        </w:rPr>
      </w:pPr>
      <w:r w:rsidRPr="00174459">
        <w:rPr>
          <w:rFonts w:ascii="Times New Roman" w:hAnsi="Times New Roman"/>
          <w:szCs w:val="24"/>
        </w:rPr>
        <w:t>W</w:t>
      </w:r>
      <w:r w:rsidR="00C65C5E" w:rsidRPr="00174459">
        <w:rPr>
          <w:rFonts w:ascii="Times New Roman" w:hAnsi="Times New Roman"/>
          <w:szCs w:val="24"/>
        </w:rPr>
        <w:t>e observed that the carbons 3 and 4 of the oxadiazole-2-oxide core presented the</w:t>
      </w:r>
      <w:r w:rsidR="00747619" w:rsidRPr="00174459">
        <w:rPr>
          <w:rFonts w:ascii="Times New Roman" w:hAnsi="Times New Roman"/>
          <w:szCs w:val="24"/>
        </w:rPr>
        <w:t xml:space="preserve"> </w:t>
      </w:r>
      <w:r w:rsidR="004F3B1F" w:rsidRPr="00174459">
        <w:rPr>
          <w:rFonts w:ascii="Times New Roman" w:hAnsi="Times New Roman"/>
          <w:szCs w:val="24"/>
        </w:rPr>
        <w:t xml:space="preserve">most </w:t>
      </w:r>
      <w:r w:rsidR="00C65C5E" w:rsidRPr="00174459">
        <w:rPr>
          <w:rFonts w:ascii="Times New Roman" w:hAnsi="Times New Roman"/>
          <w:szCs w:val="24"/>
        </w:rPr>
        <w:t xml:space="preserve">important contributions for </w:t>
      </w:r>
      <w:proofErr w:type="spellStart"/>
      <w:r w:rsidR="00C65C5E" w:rsidRPr="00174459">
        <w:rPr>
          <w:rFonts w:ascii="Times New Roman" w:hAnsi="Times New Roman"/>
          <w:i/>
          <w:color w:val="000000"/>
          <w:szCs w:val="24"/>
        </w:rPr>
        <w:t>Sm</w:t>
      </w:r>
      <w:r w:rsidR="00C65C5E" w:rsidRPr="00174459">
        <w:rPr>
          <w:rFonts w:ascii="Times New Roman" w:hAnsi="Times New Roman"/>
          <w:color w:val="000000"/>
          <w:szCs w:val="24"/>
        </w:rPr>
        <w:t>TGR</w:t>
      </w:r>
      <w:proofErr w:type="spellEnd"/>
      <w:r w:rsidR="00C65C5E" w:rsidRPr="00174459">
        <w:rPr>
          <w:rFonts w:ascii="Times New Roman" w:hAnsi="Times New Roman"/>
          <w:szCs w:val="24"/>
        </w:rPr>
        <w:t xml:space="preserve"> inhibition activity </w:t>
      </w:r>
      <w:r w:rsidR="006F7B3F" w:rsidRPr="00174459">
        <w:t xml:space="preserve">(Figure </w:t>
      </w:r>
      <w:r w:rsidR="00E02398" w:rsidRPr="00174459">
        <w:t>3</w:t>
      </w:r>
      <w:r w:rsidR="006F7B3F" w:rsidRPr="00174459">
        <w:t>A</w:t>
      </w:r>
      <w:r w:rsidR="00310489">
        <w:rPr>
          <w:rFonts w:cs="Times"/>
        </w:rPr>
        <w:t>−</w:t>
      </w:r>
      <w:r w:rsidR="00527D8F" w:rsidRPr="00174459">
        <w:t>C</w:t>
      </w:r>
      <w:r w:rsidR="006F7B3F" w:rsidRPr="00174459">
        <w:t>).</w:t>
      </w:r>
      <w:r w:rsidR="00747619" w:rsidRPr="00174459">
        <w:t xml:space="preserve"> With PPMs information for this </w:t>
      </w:r>
      <w:proofErr w:type="spellStart"/>
      <w:r w:rsidR="00747619" w:rsidRPr="00174459">
        <w:t>chemotype</w:t>
      </w:r>
      <w:proofErr w:type="spellEnd"/>
      <w:r w:rsidR="00747619" w:rsidRPr="00174459">
        <w:t>, a mechanistic rationale for inhibition was initiated through nucleophilic attack (</w:t>
      </w:r>
      <w:r w:rsidR="00747619" w:rsidRPr="00174459">
        <w:rPr>
          <w:rFonts w:ascii="Times New Roman" w:hAnsi="Times New Roman"/>
        </w:rPr>
        <w:t xml:space="preserve">presumably by a </w:t>
      </w:r>
      <w:r w:rsidR="009E69E2" w:rsidRPr="00174459">
        <w:rPr>
          <w:rFonts w:ascii="Times New Roman" w:hAnsi="Times New Roman"/>
        </w:rPr>
        <w:t xml:space="preserve">thiolate or </w:t>
      </w:r>
      <w:proofErr w:type="spellStart"/>
      <w:r w:rsidR="009E69E2" w:rsidRPr="00174459">
        <w:rPr>
          <w:rFonts w:ascii="Times New Roman" w:hAnsi="Times New Roman"/>
        </w:rPr>
        <w:t>selenoate</w:t>
      </w:r>
      <w:proofErr w:type="spellEnd"/>
      <w:r w:rsidR="009E69E2" w:rsidRPr="00174459">
        <w:rPr>
          <w:rFonts w:ascii="Times New Roman" w:hAnsi="Times New Roman"/>
        </w:rPr>
        <w:t xml:space="preserve"> of </w:t>
      </w:r>
      <w:proofErr w:type="spellStart"/>
      <w:r w:rsidR="00BD0E9B" w:rsidRPr="00174459">
        <w:rPr>
          <w:rFonts w:ascii="Times New Roman" w:hAnsi="Times New Roman"/>
        </w:rPr>
        <w:t>Cys</w:t>
      </w:r>
      <w:proofErr w:type="spellEnd"/>
      <w:r w:rsidR="00BD0E9B" w:rsidRPr="00174459">
        <w:rPr>
          <w:rFonts w:ascii="Times New Roman" w:hAnsi="Times New Roman"/>
        </w:rPr>
        <w:t xml:space="preserve"> or Sec</w:t>
      </w:r>
      <w:r w:rsidR="009E69E2" w:rsidRPr="00174459">
        <w:rPr>
          <w:rFonts w:ascii="Times New Roman" w:hAnsi="Times New Roman"/>
        </w:rPr>
        <w:t>, respectively</w:t>
      </w:r>
      <w:r w:rsidR="00747619" w:rsidRPr="00174459">
        <w:rPr>
          <w:rFonts w:ascii="Times New Roman" w:hAnsi="Times New Roman"/>
        </w:rPr>
        <w:t>) at either the position</w:t>
      </w:r>
      <w:r w:rsidR="004F3B1F" w:rsidRPr="00174459">
        <w:rPr>
          <w:rFonts w:ascii="Times New Roman" w:hAnsi="Times New Roman"/>
        </w:rPr>
        <w:t xml:space="preserve"> 3 or 4 </w:t>
      </w:r>
      <w:r w:rsidR="00747619" w:rsidRPr="00174459">
        <w:rPr>
          <w:rFonts w:ascii="Times New Roman" w:hAnsi="Times New Roman"/>
        </w:rPr>
        <w:t xml:space="preserve">of the </w:t>
      </w:r>
      <w:proofErr w:type="spellStart"/>
      <w:r w:rsidR="00747619" w:rsidRPr="00174459">
        <w:rPr>
          <w:rFonts w:ascii="Times New Roman" w:hAnsi="Times New Roman"/>
        </w:rPr>
        <w:t>oxadiazole</w:t>
      </w:r>
      <w:proofErr w:type="spellEnd"/>
      <w:r w:rsidR="00747619" w:rsidRPr="00174459">
        <w:rPr>
          <w:rFonts w:ascii="Times New Roman" w:hAnsi="Times New Roman"/>
        </w:rPr>
        <w:t xml:space="preserve"> ring and subsequent rearrangement of the heterocycle in a manner that allows release of the </w:t>
      </w:r>
      <w:proofErr w:type="spellStart"/>
      <w:r w:rsidR="00747619" w:rsidRPr="00174459">
        <w:rPr>
          <w:rFonts w:ascii="Times New Roman" w:hAnsi="Times New Roman"/>
        </w:rPr>
        <w:t>nitroxyl</w:t>
      </w:r>
      <w:proofErr w:type="spellEnd"/>
      <w:r w:rsidR="00747619" w:rsidRPr="00174459">
        <w:rPr>
          <w:rFonts w:ascii="Times New Roman" w:hAnsi="Times New Roman"/>
        </w:rPr>
        <w:t xml:space="preserve"> anion. An enzymatic oxidation is posited to transform this agent to nitric oxide</w:t>
      </w:r>
      <w:r w:rsidR="005D6177" w:rsidRPr="00174459">
        <w:rPr>
          <w:rFonts w:ascii="Times New Roman" w:hAnsi="Times New Roman"/>
        </w:rPr>
        <w:t xml:space="preserve"> (Figure </w:t>
      </w:r>
      <w:r w:rsidR="00E02398" w:rsidRPr="00174459">
        <w:rPr>
          <w:rFonts w:ascii="Times New Roman" w:hAnsi="Times New Roman"/>
        </w:rPr>
        <w:t>3</w:t>
      </w:r>
      <w:r w:rsidR="005D6177" w:rsidRPr="00174459">
        <w:rPr>
          <w:rFonts w:ascii="Times New Roman" w:hAnsi="Times New Roman"/>
        </w:rPr>
        <w:t>D)</w:t>
      </w:r>
      <w:r w:rsidR="00747619" w:rsidRPr="00174459">
        <w:rPr>
          <w:rFonts w:ascii="Times New Roman" w:hAnsi="Times New Roman"/>
        </w:rPr>
        <w:t>.</w:t>
      </w:r>
      <w:r w:rsidR="009216F6" w:rsidRPr="00174459">
        <w:rPr>
          <w:rFonts w:ascii="Times New Roman" w:hAnsi="Times New Roman"/>
        </w:rPr>
        <w:t xml:space="preserve"> </w:t>
      </w:r>
      <w:r w:rsidR="009216F6" w:rsidRPr="00174459">
        <w:rPr>
          <w:rFonts w:ascii="Times New Roman" w:hAnsi="Times New Roman"/>
          <w:szCs w:val="24"/>
        </w:rPr>
        <w:t>These pieces of information corroborate with mechanism of inhibition proposed by Rai and colleagues</w:t>
      </w:r>
      <w:r w:rsidR="009216F6" w:rsidRPr="00174459">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"10.1021/jm901021k", "ISBN" : "3012174079", "ISSN" : "0022-2623", "PMID" : "19761212", "abstract" : "Schistosomiasis is a chronic parasitic disease affecting hundreds of millions of individuals worldwide. Current treatment depends on a single agent, praziquantel, raising concerns of emergence of resistant parasites. Here, we continue our explorations of an oxadiazole-2-oxide class of compounds we recently identified as inhibitors of thioredoxin glutathione reductase (TGR), a selenocysteine-containing flavoenzyme required by the parasite to maintain proper cellular redox balance. Through systematic evaluation of the core molecular structure of this chemotype, we define the essential pharmacophore, establish a link between the nitric oxide donation and TGR inhibition, determine the selectivity for this chemotype versus related reductase enzymes, and present evidence that these agents can be modified to possess appropriate drug metabolism and pharmacokinetic properties. The mechanistic link between exogenous NO donation and parasite injury is expanded and better defined. The results of these studies verify the utility of oxadiazole-2-oxides as novel inhibitors of TGR and as efficacious antischistosomal agents.", "author" : [ { "dropping-particle" : "", "family" : "Rai", "given" : "Ganesha", "non-dropping-particle" : "", "parse-names" : false, "suffix" : "" }, { "dropping-particle" : "", "family" : "Sayed", "given" : "Ahmed A", "non-dropping-particle" : "", "parse-names" : false, "suffix" : "" }, { "dropping-particle" : "", "family" : "Lea", "given" : "Wendy A", "non-dropping-particle" : "", "parse-names" : false, "suffix" : "" }, { "dropping-particle" : "", "family" : "Luecke", "given" : "Hans F", "non-dropping-particle" : "", "parse-names" : false, "suffix" : "" }, { "dropping-particle" : "", "family" : "Chakrapani", "given" : "Harinath", "non-dropping-particle" : "", "parse-names" : false, "suffix" : "" }, { "dropping-particle" : "", "family" : "Prast-Nielsen", "given" : "Stefanie", "non-dropping-particle" : "", "parse-names" : false, "suffix" : "" }, { "dropping-particle" : "", "family" : "Jadhav", "given" : "Ajit", "non-dropping-particle" : "", "parse-names" : false, "suffix" : "" }, { "dropping-particle" : "", "family" : "Leister", "given" : "William", "non-dropping-particle" : "", "parse-names" : false, "suffix" : "" }, { "dropping-particle" : "", "family" : "Shen", "given" : "Min", "non-dropping-particle" : "", "parse-names" : false, "suffix" : "" }, { "dropping-particle" : "", "family" : "Inglese", "given" : "James", "non-dropping-particle" : "", "parse-names" : false, "suffix" : "" }, { "dropping-particle" : "", "family" : "Austin", "given" : "Christopher P", "non-dropping-particle" : "", "parse-names" : false, "suffix" : "" }, { "dropping-particle" : "", "family" : "Keefer", "given" : "Larry", "non-dropping-particle" : "", "parse-names" : false, "suffix" : "" }, { "dropping-particle" : "", "family" : "Arne\u0301r", "given" : "Elias S. J.", "non-dropping-particle" : "", "parse-names" : false, "suffix" : "" }, { "dropping-particle" : "", "family" : "Simeonov", "given" : "Anton", "non-dropping-particle" : "", "parse-names" : false, "suffix" : "" }, { "dropping-particle" : "", "family" : "Maloney", "given" : "David J", "non-dropping-particle" : "", "parse-names" : false, "suffix" : "" }, { "dropping-particle" : "", "family" : "Williams", "given" : "David L", "non-dropping-particle" : "", "parse-names" : false, "suffix" : "" }, { "dropping-particle" : "", "family" : "Thomas", "given" : "Craig J", "non-dropping-particle" : "", "parse-names" : false, "suffix" : "" } ], "container-title" : "Journal of Medicinal Chemistry", "id" : "ITEM-1", "issue" : "20", "issued" : { "date-parts" : [ [ "2009", "10", "22" ] ] }, "page" : "6474-6483", "title" : "Structure Mechanism Insights and the Role of Nitric Oxide Donation Guide the Development of Oxadiazole-2-Oxides as Therapeutic Agents against Schistosomiasis", "type" : "article-journal", "volume" : "52" }, "uris" : [ "http://www.mendeley.com/documents/?uuid=953fdafe-1bec-436b-a700-3ed5c16ecbc8" ] } ], "mendeley" : { "formattedCitation" : "&lt;sup&gt;54&lt;/sup&gt;", "plainTextFormattedCitation" : "54", "previouslyFormattedCitation" : "&lt;sup&gt;54&lt;/sup&gt;" }, "properties" : { "noteIndex" : 0 }, "schema" : "https://github.com/citation-style-language/schema/raw/master/csl-citation.json" }</w:instrText>
      </w:r>
      <w:r w:rsidR="009216F6" w:rsidRPr="00174459">
        <w:rPr>
          <w:rFonts w:ascii="Times New Roman" w:hAnsi="Times New Roman"/>
          <w:szCs w:val="24"/>
        </w:rPr>
        <w:fldChar w:fldCharType="separate"/>
      </w:r>
      <w:r w:rsidR="00F434C8" w:rsidRPr="00174459">
        <w:rPr>
          <w:rFonts w:ascii="Times New Roman" w:hAnsi="Times New Roman"/>
          <w:noProof/>
          <w:szCs w:val="24"/>
          <w:vertAlign w:val="superscript"/>
        </w:rPr>
        <w:t>54</w:t>
      </w:r>
      <w:r w:rsidR="009216F6" w:rsidRPr="00174459">
        <w:rPr>
          <w:rFonts w:ascii="Times New Roman" w:hAnsi="Times New Roman"/>
          <w:szCs w:val="24"/>
        </w:rPr>
        <w:fldChar w:fldCharType="end"/>
      </w:r>
      <w:r w:rsidR="009216F6" w:rsidRPr="00174459">
        <w:rPr>
          <w:rFonts w:ascii="Times New Roman" w:hAnsi="Times New Roman"/>
          <w:szCs w:val="24"/>
        </w:rPr>
        <w:t xml:space="preserve"> and mechanism of nitric oxide release in physiological solution under the action of thiols studied by </w:t>
      </w:r>
      <w:proofErr w:type="spellStart"/>
      <w:r w:rsidR="009216F6" w:rsidRPr="00174459">
        <w:rPr>
          <w:rFonts w:ascii="Times New Roman" w:hAnsi="Times New Roman"/>
          <w:szCs w:val="24"/>
        </w:rPr>
        <w:t>Gasco</w:t>
      </w:r>
      <w:proofErr w:type="spellEnd"/>
      <w:r w:rsidR="009216F6" w:rsidRPr="00174459">
        <w:rPr>
          <w:rFonts w:ascii="Times New Roman" w:hAnsi="Times New Roman"/>
          <w:szCs w:val="24"/>
        </w:rPr>
        <w:t xml:space="preserve"> and colleagues</w:t>
      </w:r>
      <w:r w:rsidR="00C65C5E" w:rsidRPr="00174459">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"10.1351/pac200476050973", "ISSN" : "1365-3075", "abstract" : "The article focuses attention on furoxan derivatives (1,2,5 oxadiazole 2-oxides) as NO donors. Possible mechanisms for NO release from these products in physiological solution and in segments of rabbit femoral artery are briefly considered. The in vitro anti aggregatory activities and the in vitro and in vivo vasodilating properties of a number of furoxans are examined with particular reference to involvement of NO in these actions. The use of the furoxan system to design new NO donor/drug hybrids is discussed in connection with the problem of the balance between NO- and drug dependent activities of the resulting structures. Whether other biological activities (as yet, little studied) of furoxans, such as their antiparasite, antimicrobial, and antitumoral effects, are NO dependent, is a matter still to be explored.", "author" : [ { "dropping-particle" : "", "family" : "Gasco", "given" : "Alberto", "non-dropping-particle" : "", "parse-names" : false, "suffix" : "" }, { "dropping-particle" : "", "family" : "Fruttero", "given" : "Roberta", "non-dropping-particle" : "", "parse-names" : false, "suffix" : "" }, { "dropping-particle" : "", "family" : "Sorba", "given" : "G", "non-dropping-particle" : "", "parse-names" : false, "suffix" : "" }, { "dropping-particle" : "", "family" : "Stilo", "given" : "Antonella", "non-dropping-particle" : "Di", "parse-names" : false, "suffix" : "" }, { "dropping-particle" : "", "family" : "Calvino", "given" : "R", "non-dropping-particle" : "", "parse-names" : false, "suffix" : "" } ], "container-title" : "Pure and Applied Chemistry", "id" : "ITEM-1", "issue" : "5", "issued" : { "date-parts" : [ [ "2004", "1", "1" ] ] }, "page" : "973-981", "title" : "NO donors: Focus on furoxan derivatives", "type" : "article-journal", "volume" : "76" }, "uris" : [ "http://www.mendeley.com/documents/?uuid=cf00419b-7a0a-48cc-8865-522c00e48051", "http://www.mendeley.com/documents/?uuid=d77e1701-b076-453a-bf73-09d585ee18e4" ] } ], "mendeley" : { "formattedCitation" : "&lt;sup&gt;55&lt;/sup&gt;", "plainTextFormattedCitation" : "55", "previouslyFormattedCitation" : "&lt;sup&gt;55&lt;/sup&gt;" }, "properties" : { "noteIndex" : 0 }, "schema" : "https://github.com/citation-style-language/schema/raw/master/csl-citation.json" }</w:instrText>
      </w:r>
      <w:r w:rsidR="00C65C5E" w:rsidRPr="00174459">
        <w:rPr>
          <w:rFonts w:ascii="Times New Roman" w:hAnsi="Times New Roman"/>
          <w:szCs w:val="24"/>
        </w:rPr>
        <w:fldChar w:fldCharType="separate"/>
      </w:r>
      <w:r w:rsidR="00F434C8" w:rsidRPr="00174459">
        <w:rPr>
          <w:rFonts w:ascii="Times New Roman" w:hAnsi="Times New Roman"/>
          <w:noProof/>
          <w:szCs w:val="24"/>
          <w:vertAlign w:val="superscript"/>
        </w:rPr>
        <w:t>55</w:t>
      </w:r>
      <w:r w:rsidR="00C65C5E" w:rsidRPr="00174459">
        <w:rPr>
          <w:rFonts w:ascii="Times New Roman" w:hAnsi="Times New Roman"/>
          <w:szCs w:val="24"/>
        </w:rPr>
        <w:fldChar w:fldCharType="end"/>
      </w:r>
      <w:r w:rsidR="00C65C5E" w:rsidRPr="00174459">
        <w:rPr>
          <w:rFonts w:ascii="Times New Roman" w:hAnsi="Times New Roman"/>
          <w:szCs w:val="24"/>
        </w:rPr>
        <w:t xml:space="preserve"> </w:t>
      </w:r>
      <w:r w:rsidR="005D6177" w:rsidRPr="00174459">
        <w:rPr>
          <w:rFonts w:ascii="Times New Roman" w:hAnsi="Times New Roman"/>
          <w:szCs w:val="24"/>
        </w:rPr>
        <w:t xml:space="preserve">In addition, PPMs indicated that the presence of </w:t>
      </w:r>
      <w:r w:rsidR="00FC2CDC">
        <w:rPr>
          <w:rFonts w:ascii="Times New Roman" w:hAnsi="Times New Roman"/>
          <w:szCs w:val="24"/>
        </w:rPr>
        <w:t>amine</w:t>
      </w:r>
      <w:r w:rsidR="005D6177" w:rsidRPr="00174459">
        <w:rPr>
          <w:rFonts w:ascii="Times New Roman" w:hAnsi="Times New Roman"/>
          <w:szCs w:val="24"/>
        </w:rPr>
        <w:t>-oxide</w:t>
      </w:r>
      <w:r w:rsidR="00FC2CDC">
        <w:rPr>
          <w:rFonts w:ascii="Times New Roman" w:hAnsi="Times New Roman"/>
          <w:szCs w:val="24"/>
        </w:rPr>
        <w:t xml:space="preserve"> group</w:t>
      </w:r>
      <w:r w:rsidR="005D6177" w:rsidRPr="00174459">
        <w:rPr>
          <w:rFonts w:ascii="Times New Roman" w:hAnsi="Times New Roman"/>
          <w:szCs w:val="24"/>
        </w:rPr>
        <w:t xml:space="preserve"> in core and electron-withdrawing substituents, such as carbonyl, </w:t>
      </w:r>
      <w:r w:rsidR="00FC2CDC" w:rsidRPr="00174459">
        <w:rPr>
          <w:rFonts w:ascii="Times New Roman" w:hAnsi="Times New Roman"/>
          <w:szCs w:val="24"/>
        </w:rPr>
        <w:t>at R1 and R2 positions</w:t>
      </w:r>
      <w:r w:rsidR="00FC2CDC">
        <w:rPr>
          <w:rFonts w:ascii="Times New Roman" w:hAnsi="Times New Roman"/>
          <w:szCs w:val="24"/>
        </w:rPr>
        <w:t xml:space="preserve"> </w:t>
      </w:r>
      <w:r w:rsidR="005D6177" w:rsidRPr="00174459">
        <w:rPr>
          <w:rFonts w:ascii="Times New Roman" w:hAnsi="Times New Roman"/>
          <w:szCs w:val="24"/>
        </w:rPr>
        <w:t xml:space="preserve"> are favorable for </w:t>
      </w:r>
      <w:proofErr w:type="spellStart"/>
      <w:r w:rsidR="005D6177" w:rsidRPr="00174459">
        <w:rPr>
          <w:rFonts w:ascii="Times New Roman" w:hAnsi="Times New Roman"/>
          <w:i/>
          <w:color w:val="000000"/>
          <w:szCs w:val="24"/>
        </w:rPr>
        <w:t>Sm</w:t>
      </w:r>
      <w:r w:rsidR="005D6177" w:rsidRPr="00174459">
        <w:rPr>
          <w:rFonts w:ascii="Times New Roman" w:hAnsi="Times New Roman"/>
          <w:color w:val="000000"/>
          <w:szCs w:val="24"/>
        </w:rPr>
        <w:t>TGR</w:t>
      </w:r>
      <w:proofErr w:type="spellEnd"/>
      <w:r w:rsidR="005D6177" w:rsidRPr="00174459">
        <w:rPr>
          <w:rFonts w:ascii="Times New Roman" w:hAnsi="Times New Roman"/>
          <w:szCs w:val="24"/>
        </w:rPr>
        <w:t xml:space="preserve"> inhibition</w:t>
      </w:r>
      <w:r w:rsidR="00362749" w:rsidRPr="00174459">
        <w:rPr>
          <w:rFonts w:ascii="Times New Roman" w:hAnsi="Times New Roman"/>
          <w:szCs w:val="24"/>
        </w:rPr>
        <w:t xml:space="preserve"> (Figure </w:t>
      </w:r>
      <w:r w:rsidR="00E02398" w:rsidRPr="00174459">
        <w:rPr>
          <w:rFonts w:ascii="Times New Roman" w:hAnsi="Times New Roman"/>
          <w:szCs w:val="24"/>
        </w:rPr>
        <w:t>3A</w:t>
      </w:r>
      <w:r w:rsidR="00362749" w:rsidRPr="00174459">
        <w:rPr>
          <w:rFonts w:ascii="Times New Roman" w:hAnsi="Times New Roman"/>
          <w:szCs w:val="24"/>
        </w:rPr>
        <w:t>)</w:t>
      </w:r>
      <w:r w:rsidR="005D6177" w:rsidRPr="00174459">
        <w:rPr>
          <w:rFonts w:ascii="Times New Roman" w:hAnsi="Times New Roman"/>
          <w:szCs w:val="24"/>
        </w:rPr>
        <w:t>, while removal of the</w:t>
      </w:r>
      <w:r w:rsidR="005D6177" w:rsidRPr="00174459">
        <w:rPr>
          <w:rFonts w:ascii="Times New Roman" w:hAnsi="Times New Roman"/>
          <w:i/>
          <w:szCs w:val="24"/>
        </w:rPr>
        <w:t xml:space="preserve"> </w:t>
      </w:r>
      <w:r w:rsidR="00FC2CDC">
        <w:rPr>
          <w:rFonts w:ascii="Times New Roman" w:hAnsi="Times New Roman"/>
          <w:szCs w:val="24"/>
        </w:rPr>
        <w:t>amine</w:t>
      </w:r>
      <w:r w:rsidR="005D6177" w:rsidRPr="00174459">
        <w:rPr>
          <w:rFonts w:ascii="Times New Roman" w:hAnsi="Times New Roman"/>
          <w:szCs w:val="24"/>
        </w:rPr>
        <w:t xml:space="preserve">-oxide group (Figure </w:t>
      </w:r>
      <w:r w:rsidR="00E02398" w:rsidRPr="00174459">
        <w:rPr>
          <w:rFonts w:ascii="Times New Roman" w:hAnsi="Times New Roman"/>
          <w:szCs w:val="24"/>
        </w:rPr>
        <w:t>3B</w:t>
      </w:r>
      <w:r w:rsidR="005D6177" w:rsidRPr="00174459">
        <w:rPr>
          <w:rFonts w:ascii="Times New Roman" w:hAnsi="Times New Roman"/>
          <w:szCs w:val="24"/>
        </w:rPr>
        <w:t xml:space="preserve">) and presence of electron deficient substituents at R1 and R2 positions (Figure </w:t>
      </w:r>
      <w:r w:rsidR="00E02398" w:rsidRPr="00174459">
        <w:rPr>
          <w:rFonts w:ascii="Times New Roman" w:hAnsi="Times New Roman"/>
          <w:szCs w:val="24"/>
        </w:rPr>
        <w:t>3C</w:t>
      </w:r>
      <w:r w:rsidR="005D6177" w:rsidRPr="00174459">
        <w:rPr>
          <w:rFonts w:ascii="Times New Roman" w:hAnsi="Times New Roman"/>
          <w:szCs w:val="24"/>
        </w:rPr>
        <w:t xml:space="preserve">) leads to modest potencies in terms of </w:t>
      </w:r>
      <w:proofErr w:type="spellStart"/>
      <w:r w:rsidR="005D6177" w:rsidRPr="00174459">
        <w:rPr>
          <w:rFonts w:ascii="Times New Roman" w:hAnsi="Times New Roman"/>
          <w:i/>
          <w:color w:val="000000"/>
          <w:szCs w:val="24"/>
        </w:rPr>
        <w:t>Sm</w:t>
      </w:r>
      <w:r w:rsidR="005D6177" w:rsidRPr="00174459">
        <w:rPr>
          <w:rFonts w:ascii="Times New Roman" w:hAnsi="Times New Roman"/>
          <w:color w:val="000000"/>
          <w:szCs w:val="24"/>
        </w:rPr>
        <w:t>TGR</w:t>
      </w:r>
      <w:proofErr w:type="spellEnd"/>
      <w:r w:rsidR="005D6177" w:rsidRPr="00174459">
        <w:rPr>
          <w:rFonts w:ascii="Times New Roman" w:hAnsi="Times New Roman"/>
          <w:szCs w:val="24"/>
        </w:rPr>
        <w:t xml:space="preserve"> inhibition. These </w:t>
      </w:r>
      <w:r w:rsidR="00B07F5E" w:rsidRPr="00174459">
        <w:rPr>
          <w:rFonts w:ascii="Times New Roman" w:hAnsi="Times New Roman"/>
          <w:szCs w:val="24"/>
        </w:rPr>
        <w:t xml:space="preserve">pieces of </w:t>
      </w:r>
      <w:r w:rsidR="005D6177" w:rsidRPr="00174459">
        <w:rPr>
          <w:rFonts w:ascii="Times New Roman" w:hAnsi="Times New Roman"/>
          <w:szCs w:val="24"/>
        </w:rPr>
        <w:t xml:space="preserve">information corroborate with </w:t>
      </w:r>
      <w:r w:rsidR="00966598" w:rsidRPr="00174459">
        <w:rPr>
          <w:rFonts w:ascii="Times New Roman" w:hAnsi="Times New Roman"/>
          <w:szCs w:val="24"/>
        </w:rPr>
        <w:t>structure-activity relationships</w:t>
      </w:r>
      <w:r w:rsidR="005D6177" w:rsidRPr="00174459">
        <w:rPr>
          <w:rFonts w:ascii="Times New Roman" w:hAnsi="Times New Roman"/>
          <w:szCs w:val="24"/>
        </w:rPr>
        <w:t xml:space="preserve"> rules established by Rai and colleagues.</w:t>
      </w:r>
      <w:r w:rsidR="005D6177" w:rsidRPr="00174459">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"10.1021/jm901021k", "ISBN" : "3012174079", "ISSN" : "0022-2623", "PMID" : "19761212", "abstract" : "Schistosomiasis is a chronic parasitic disease affecting hundreds of millions of individuals worldwide. Current treatment depends on a single agent, praziquantel, raising concerns of emergence of resistant parasites. Here, we continue our explorations of an oxadiazole-2-oxide class of compounds we recently identified as inhibitors of thioredoxin glutathione reductase (TGR), a selenocysteine-containing flavoenzyme required by the parasite to maintain proper cellular redox balance. Through systematic evaluation of the core molecular structure of this chemotype, we define the essential pharmacophore, establish a link between the nitric oxide donation and TGR inhibition, determine the selectivity for this chemotype versus related reductase enzymes, and present evidence that these agents can be modified to possess appropriate drug metabolism and pharmacokinetic properties. The mechanistic link between exogenous NO donation and parasite injury is expanded and better defined. The results of these studies verify the utility of oxadiazole-2-oxides as novel inhibitors of TGR and as efficacious antischistosomal agents.", "author" : [ { "dropping-particle" : "", "family" : "Rai", "given" : "Ganesha", "non-dropping-particle" : "", "parse-names" : false, "suffix" : "" }, { "dropping-particle" : "", "family" : "Sayed", "given" : "Ahmed A", "non-dropping-particle" : "", "parse-names" : false, "suffix" : "" }, { "dropping-particle" : "", "family" : "Lea", "given" : "Wendy A", "non-dropping-particle" : "", "parse-names" : false, "suffix" : "" }, { "dropping-particle" : "", "family" : "Luecke", "given" : "Hans F", "non-dropping-particle" : "", "parse-names" : false, "suffix" : "" }, { "dropping-particle" : "", "family" : "Chakrapani", "given" : "Harinath", "non-dropping-particle" : "", "parse-names" : false, "suffix" : "" }, { "dropping-particle" : "", "family" : "Prast-Nielsen", "given" : "Stefanie", "non-dropping-particle" : "", "parse-names" : false, "suffix" : "" }, { "dropping-particle" : "", "family" : "Jadhav", "given" : "Ajit", "non-dropping-particle" : "", "parse-names" : false, "suffix" : "" }, { "dropping-particle" : "", "family" : "Leister", "given" : "William", "non-dropping-particle" : "", "parse-names" : false, "suffix" : "" }, { "dropping-particle" : "", "family" : "Shen", "given" : "Min", "non-dropping-particle" : "", "parse-names" : false, "suffix" : "" }, { "dropping-particle" : "", "family" : "Inglese", "given" : "James", "non-dropping-particle" : "", "parse-names" : false, "suffix" : "" }, { "dropping-particle" : "", "family" : "Austin", "given" : "Christopher P", "non-dropping-particle" : "", "parse-names" : false, "suffix" : "" }, { "dropping-particle" : "", "family" : "Keefer", "given" : "Larry", "non-dropping-particle" : "", "parse-names" : false, "suffix" : "" }, { "dropping-particle" : "", "family" : "Arne\u0301r", "given" : "Elias S. J.", "non-dropping-particle" : "", "parse-names" : false, "suffix" : "" }, { "dropping-particle" : "", "family" : "Simeonov", "given" : "Anton", "non-dropping-particle" : "", "parse-names" : false, "suffix" : "" }, { "dropping-particle" : "", "family" : "Maloney", "given" : "David J", "non-dropping-particle" : "", "parse-names" : false, "suffix" : "" }, { "dropping-particle" : "", "family" : "Williams", "given" : "David L", "non-dropping-particle" : "", "parse-names" : false, "suffix" : "" }, { "dropping-particle" : "", "family" : "Thomas", "given" : "Craig J", "non-dropping-particle" : "", "parse-names" : false, "suffix" : "" } ], "container-title" : "Journal of Medicinal Chemistry", "id" : "ITEM-1", "issue" : "20", "issued" : { "date-parts" : [ [ "2009", "10", "22" ] ] }, "page" : "6474-6483", "title" : "Structure Mechanism Insights and the Role of Nitric Oxide Donation Guide the Development of Oxadiazole-2-Oxides as Therapeutic Agents against Schistosomiasis", "type" : "article-journal", "volume" : "52" }, "uris" : [ "http://www.mendeley.com/documents/?uuid=953fdafe-1bec-436b-a700-3ed5c16ecbc8" ] } ], "mendeley" : { "formattedCitation" : "&lt;sup&gt;54&lt;/sup&gt;", "plainTextFormattedCitation" : "54", "previouslyFormattedCitation" : "&lt;sup&gt;54&lt;/sup&gt;" }, "properties" : { "noteIndex" : 0 }, "schema" : "https://github.com/citation-style-language/schema/raw/master/csl-citation.json" }</w:instrText>
      </w:r>
      <w:r w:rsidR="005D6177" w:rsidRPr="00174459">
        <w:rPr>
          <w:rFonts w:ascii="Times New Roman" w:hAnsi="Times New Roman"/>
          <w:szCs w:val="24"/>
        </w:rPr>
        <w:fldChar w:fldCharType="separate"/>
      </w:r>
      <w:r w:rsidR="00F434C8" w:rsidRPr="00174459">
        <w:rPr>
          <w:rFonts w:ascii="Times New Roman" w:hAnsi="Times New Roman"/>
          <w:noProof/>
          <w:szCs w:val="24"/>
          <w:vertAlign w:val="superscript"/>
        </w:rPr>
        <w:t>54</w:t>
      </w:r>
      <w:r w:rsidR="005D6177" w:rsidRPr="00174459">
        <w:rPr>
          <w:rFonts w:ascii="Times New Roman" w:hAnsi="Times New Roman"/>
          <w:szCs w:val="24"/>
        </w:rPr>
        <w:fldChar w:fldCharType="end"/>
      </w:r>
    </w:p>
    <w:p w14:paraId="3A77014E" w14:textId="78524993" w:rsidR="00EC2431" w:rsidRPr="00174459" w:rsidRDefault="00456ABA" w:rsidP="0082240C">
      <w:pPr>
        <w:pStyle w:val="TAMainText"/>
        <w:ind w:firstLine="0"/>
        <w:jc w:val="center"/>
        <w:rPr>
          <w:rFonts w:ascii="Times New Roman" w:hAnsi="Times New Roman"/>
          <w:szCs w:val="24"/>
        </w:rPr>
      </w:pPr>
      <w:r>
        <w:rPr>
          <w:noProof/>
        </w:rPr>
        <w:lastRenderedPageBreak/>
        <w:drawing>
          <wp:inline distT="0" distB="0" distL="0" distR="0" wp14:anchorId="07DD7215" wp14:editId="4F634D40">
            <wp:extent cx="4457700" cy="301164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59221" cy="3012673"/>
                    </a:xfrm>
                    <a:prstGeom prst="rect">
                      <a:avLst/>
                    </a:prstGeom>
                  </pic:spPr>
                </pic:pic>
              </a:graphicData>
            </a:graphic>
          </wp:inline>
        </w:drawing>
      </w:r>
    </w:p>
    <w:p w14:paraId="56AAD6CB" w14:textId="7F88B834" w:rsidR="00EC2431" w:rsidRPr="00174459" w:rsidRDefault="00EC2431" w:rsidP="0082240C">
      <w:pPr>
        <w:pStyle w:val="VBChartTitle"/>
      </w:pPr>
      <w:r w:rsidRPr="00D53312">
        <w:rPr>
          <w:b/>
        </w:rPr>
        <w:t xml:space="preserve">Figure </w:t>
      </w:r>
      <w:r w:rsidR="00E02398" w:rsidRPr="000545B0">
        <w:rPr>
          <w:b/>
        </w:rPr>
        <w:t>3</w:t>
      </w:r>
      <w:r w:rsidRPr="000545B0">
        <w:rPr>
          <w:b/>
        </w:rPr>
        <w:t>.</w:t>
      </w:r>
      <w:r w:rsidRPr="000545B0">
        <w:t xml:space="preserve"> Predicted probability maps generated for </w:t>
      </w:r>
      <w:proofErr w:type="spellStart"/>
      <w:r w:rsidRPr="000545B0">
        <w:t>oxadiazoles</w:t>
      </w:r>
      <w:proofErr w:type="spellEnd"/>
      <w:r w:rsidRPr="000545B0">
        <w:t xml:space="preserve"> (A, B, and C) and their </w:t>
      </w:r>
      <w:r w:rsidR="00472F14" w:rsidRPr="000545B0">
        <w:t>pro</w:t>
      </w:r>
      <w:r w:rsidR="00472F14">
        <w:t>posed</w:t>
      </w:r>
      <w:r w:rsidR="00437457" w:rsidRPr="000545B0">
        <w:t xml:space="preserve"> </w:t>
      </w:r>
      <w:r w:rsidRPr="000545B0">
        <w:t xml:space="preserve">reaction mechanism in the </w:t>
      </w:r>
      <w:proofErr w:type="spellStart"/>
      <w:r w:rsidRPr="000545B0">
        <w:rPr>
          <w:i/>
        </w:rPr>
        <w:t>Sm</w:t>
      </w:r>
      <w:r w:rsidRPr="000545B0">
        <w:t>TGR</w:t>
      </w:r>
      <w:proofErr w:type="spellEnd"/>
      <w:r w:rsidRPr="000545B0">
        <w:t xml:space="preserve"> active site (D).</w:t>
      </w:r>
    </w:p>
    <w:p w14:paraId="1D19C116" w14:textId="13327BF0" w:rsidR="001C4883" w:rsidRDefault="005C2113" w:rsidP="001C4883">
      <w:pPr>
        <w:pStyle w:val="TAMainText"/>
        <w:rPr>
          <w:color w:val="222222"/>
          <w:shd w:val="clear" w:color="auto" w:fill="FFFFFF"/>
        </w:rPr>
      </w:pPr>
      <w:r w:rsidRPr="00174459">
        <w:rPr>
          <w:color w:val="222222"/>
          <w:shd w:val="clear" w:color="auto" w:fill="FFFFFF"/>
        </w:rPr>
        <w:t>T</w:t>
      </w:r>
      <w:r w:rsidR="001C4883" w:rsidRPr="00174459">
        <w:rPr>
          <w:color w:val="222222"/>
          <w:shd w:val="clear" w:color="auto" w:fill="FFFFFF"/>
        </w:rPr>
        <w:t xml:space="preserve">he reaction mechanism by which </w:t>
      </w:r>
      <w:proofErr w:type="spellStart"/>
      <w:r w:rsidR="001C4883" w:rsidRPr="00174459">
        <w:rPr>
          <w:color w:val="222222"/>
          <w:shd w:val="clear" w:color="auto" w:fill="FFFFFF"/>
        </w:rPr>
        <w:t>cephalosporins</w:t>
      </w:r>
      <w:proofErr w:type="spellEnd"/>
      <w:r w:rsidR="001C4883" w:rsidRPr="00174459">
        <w:rPr>
          <w:color w:val="222222"/>
          <w:shd w:val="clear" w:color="auto" w:fill="FFFFFF"/>
        </w:rPr>
        <w:t xml:space="preserve"> exert their </w:t>
      </w:r>
      <w:proofErr w:type="spellStart"/>
      <w:r w:rsidR="001C4883" w:rsidRPr="00174459">
        <w:rPr>
          <w:i/>
          <w:color w:val="000000"/>
        </w:rPr>
        <w:t>Sm</w:t>
      </w:r>
      <w:r w:rsidR="001C4883" w:rsidRPr="00174459">
        <w:rPr>
          <w:color w:val="000000"/>
        </w:rPr>
        <w:t>TGR</w:t>
      </w:r>
      <w:proofErr w:type="spellEnd"/>
      <w:r w:rsidR="001C4883" w:rsidRPr="00174459">
        <w:rPr>
          <w:color w:val="222222"/>
          <w:shd w:val="clear" w:color="auto" w:fill="FFFFFF"/>
        </w:rPr>
        <w:t xml:space="preserve"> inhibition activity was also proposed using the PPMs information</w:t>
      </w:r>
      <w:r w:rsidR="005D6177" w:rsidRPr="00174459">
        <w:rPr>
          <w:color w:val="222222"/>
          <w:shd w:val="clear" w:color="auto" w:fill="FFFFFF"/>
        </w:rPr>
        <w:t xml:space="preserve"> (Figure </w:t>
      </w:r>
      <w:r w:rsidR="005C3C9E" w:rsidRPr="00174459">
        <w:rPr>
          <w:color w:val="222222"/>
          <w:shd w:val="clear" w:color="auto" w:fill="FFFFFF"/>
        </w:rPr>
        <w:t>S2A</w:t>
      </w:r>
      <w:r w:rsidR="000C4B39" w:rsidRPr="00174459">
        <w:rPr>
          <w:color w:val="222222"/>
          <w:shd w:val="clear" w:color="auto" w:fill="FFFFFF"/>
        </w:rPr>
        <w:t>, Supporting Information</w:t>
      </w:r>
      <w:r w:rsidR="005D6177" w:rsidRPr="00174459">
        <w:rPr>
          <w:color w:val="222222"/>
          <w:shd w:val="clear" w:color="auto" w:fill="FFFFFF"/>
        </w:rPr>
        <w:t>)</w:t>
      </w:r>
      <w:r w:rsidR="001C4883" w:rsidRPr="00174459">
        <w:rPr>
          <w:color w:val="222222"/>
          <w:shd w:val="clear" w:color="auto" w:fill="FFFFFF"/>
        </w:rPr>
        <w:t xml:space="preserve">. For both compounds, the PPMs picked up the positive contributions of </w:t>
      </w:r>
      <w:r w:rsidR="0018750C" w:rsidRPr="00174459">
        <w:rPr>
          <w:color w:val="222222"/>
          <w:shd w:val="clear" w:color="auto" w:fill="FFFFFF"/>
        </w:rPr>
        <w:t xml:space="preserve">the </w:t>
      </w:r>
      <w:r w:rsidR="001C4883" w:rsidRPr="00174459">
        <w:rPr>
          <w:color w:val="222222"/>
          <w:shd w:val="clear" w:color="auto" w:fill="FFFFFF"/>
        </w:rPr>
        <w:t xml:space="preserve">basic core structure of </w:t>
      </w:r>
      <w:proofErr w:type="spellStart"/>
      <w:r w:rsidR="001C4883" w:rsidRPr="00174459">
        <w:rPr>
          <w:color w:val="222222"/>
          <w:shd w:val="clear" w:color="auto" w:fill="FFFFFF"/>
        </w:rPr>
        <w:t>cephalosporines</w:t>
      </w:r>
      <w:proofErr w:type="spellEnd"/>
      <w:r w:rsidR="001C4883" w:rsidRPr="00174459">
        <w:rPr>
          <w:color w:val="222222"/>
          <w:shd w:val="clear" w:color="auto" w:fill="FFFFFF"/>
        </w:rPr>
        <w:t>, more specifically carbon 8 and nitrogen 5 of β-lactam ring, and partially positive contribution of 1-</w:t>
      </w:r>
      <w:r w:rsidR="00996BE4" w:rsidRPr="00174459">
        <w:rPr>
          <w:color w:val="222222"/>
          <w:shd w:val="clear" w:color="auto" w:fill="FFFFFF"/>
        </w:rPr>
        <w:t>m</w:t>
      </w:r>
      <w:r w:rsidR="001C4883" w:rsidRPr="00174459">
        <w:rPr>
          <w:color w:val="222222"/>
          <w:shd w:val="clear" w:color="auto" w:fill="FFFFFF"/>
        </w:rPr>
        <w:t xml:space="preserve">ethyl-5-tetrazolethione core for inhibition of </w:t>
      </w:r>
      <w:proofErr w:type="spellStart"/>
      <w:r w:rsidR="001C4883" w:rsidRPr="00174459">
        <w:rPr>
          <w:i/>
          <w:color w:val="000000"/>
        </w:rPr>
        <w:t>Sm</w:t>
      </w:r>
      <w:r w:rsidR="001C4883" w:rsidRPr="00174459">
        <w:rPr>
          <w:color w:val="000000"/>
        </w:rPr>
        <w:t>TGR</w:t>
      </w:r>
      <w:proofErr w:type="spellEnd"/>
      <w:r w:rsidR="005D6177" w:rsidRPr="00174459">
        <w:rPr>
          <w:color w:val="000000"/>
        </w:rPr>
        <w:t>.</w:t>
      </w:r>
      <w:r w:rsidR="001C4883" w:rsidRPr="00174459">
        <w:rPr>
          <w:color w:val="222222"/>
          <w:shd w:val="clear" w:color="auto" w:fill="FFFFFF"/>
        </w:rPr>
        <w:t xml:space="preserve"> </w:t>
      </w:r>
      <w:r w:rsidR="004F3B1F" w:rsidRPr="00174459">
        <w:rPr>
          <w:color w:val="222222"/>
          <w:shd w:val="clear" w:color="auto" w:fill="FFFFFF"/>
        </w:rPr>
        <w:t>Based on</w:t>
      </w:r>
      <w:r w:rsidR="001C4883" w:rsidRPr="00174459">
        <w:rPr>
          <w:color w:val="222222"/>
          <w:shd w:val="clear" w:color="auto" w:fill="FFFFFF"/>
        </w:rPr>
        <w:t xml:space="preserve"> these results, we suggest that inhibition of </w:t>
      </w:r>
      <w:proofErr w:type="spellStart"/>
      <w:r w:rsidR="001C4883" w:rsidRPr="00174459">
        <w:rPr>
          <w:i/>
          <w:color w:val="000000"/>
        </w:rPr>
        <w:t>Sm</w:t>
      </w:r>
      <w:r w:rsidR="001C4883" w:rsidRPr="00174459">
        <w:rPr>
          <w:color w:val="000000"/>
        </w:rPr>
        <w:t>TGR</w:t>
      </w:r>
      <w:proofErr w:type="spellEnd"/>
      <w:r w:rsidR="001C4883" w:rsidRPr="00174459">
        <w:rPr>
          <w:color w:val="222222"/>
          <w:shd w:val="clear" w:color="auto" w:fill="FFFFFF"/>
        </w:rPr>
        <w:t xml:space="preserve"> by </w:t>
      </w:r>
      <w:proofErr w:type="spellStart"/>
      <w:r w:rsidR="001C4883" w:rsidRPr="00174459">
        <w:rPr>
          <w:color w:val="222222"/>
          <w:shd w:val="clear" w:color="auto" w:fill="FFFFFF"/>
        </w:rPr>
        <w:t>cephalosporins</w:t>
      </w:r>
      <w:proofErr w:type="spellEnd"/>
      <w:r w:rsidR="001C4883" w:rsidRPr="00174459">
        <w:rPr>
          <w:color w:val="222222"/>
          <w:shd w:val="clear" w:color="auto" w:fill="FFFFFF"/>
        </w:rPr>
        <w:t xml:space="preserve"> </w:t>
      </w:r>
      <w:r w:rsidR="00EF49C9" w:rsidRPr="00174459">
        <w:rPr>
          <w:color w:val="222222"/>
          <w:shd w:val="clear" w:color="auto" w:fill="FFFFFF"/>
        </w:rPr>
        <w:t xml:space="preserve">may </w:t>
      </w:r>
      <w:r w:rsidR="001C4883" w:rsidRPr="00174459">
        <w:rPr>
          <w:color w:val="222222"/>
          <w:shd w:val="clear" w:color="auto" w:fill="FFFFFF"/>
        </w:rPr>
        <w:t xml:space="preserve">occur </w:t>
      </w:r>
      <w:r w:rsidR="00EF49C9" w:rsidRPr="00174459">
        <w:rPr>
          <w:color w:val="222222"/>
          <w:shd w:val="clear" w:color="auto" w:fill="FFFFFF"/>
        </w:rPr>
        <w:t xml:space="preserve">via a mechanism similar to proposed by </w:t>
      </w:r>
      <w:proofErr w:type="spellStart"/>
      <w:r w:rsidR="00EF49C9" w:rsidRPr="00174459">
        <w:rPr>
          <w:color w:val="222222"/>
          <w:shd w:val="clear" w:color="auto" w:fill="FFFFFF"/>
        </w:rPr>
        <w:t>Triboulet</w:t>
      </w:r>
      <w:proofErr w:type="spellEnd"/>
      <w:r w:rsidR="00EF49C9" w:rsidRPr="00174459">
        <w:rPr>
          <w:color w:val="222222"/>
          <w:shd w:val="clear" w:color="auto" w:fill="FFFFFF"/>
        </w:rPr>
        <w:t xml:space="preserve"> and colleagues,</w:t>
      </w:r>
      <w:r w:rsidR="00F434C8" w:rsidRPr="00174459">
        <w:rPr>
          <w:color w:val="222222"/>
          <w:shd w:val="clear" w:color="auto" w:fill="FFFFFF"/>
        </w:rPr>
        <w:fldChar w:fldCharType="begin" w:fldLock="1"/>
      </w:r>
      <w:r w:rsidR="00A439B6" w:rsidRPr="00174459">
        <w:rPr>
          <w:color w:val="222222"/>
          <w:shd w:val="clear" w:color="auto" w:fill="FFFFFF"/>
        </w:rPr>
        <w:instrText>ADDIN CSL_CITATION { "citationItems" : [ { "id" : "ITEM-1", "itemData" : { "DOI" : "10.1371/journal.pone.0067831", "ISSN" : "1932-6203", "PMID" : "23861815", "abstract" : "Active-site serine D,D-transpeptidases belonging to the penicillin-binding protein family (PBPs) have been considered for a long time as essential for peptidoglycan cross-linking in all bacteria. However, bypass of the PBPs by an L,D-transpeptidase (Ldt(fm)) conveys high-level resistance to \u03b2-lactams of the penam class in Enterococcus faecium with a minimal inhibitory concentration (MIC) of ampicillin &gt;2,000 \u00b5g/ml. Unexpectedly, Ldt(fm) does not confer resistance to \u03b2-lactams of the carbapenem class (imipenem MIC\u200a=\u200a0.5 \u00b5g/ml) whereas cephems display residual activity (ceftriaxone MIC\u200a=\u200a128 \u00b5g/ml). Mass spectrometry, fluorescence kinetics, and NMR chemical shift perturbation experiments were performed to explore the basis for this specificity and identify \u03b2-lactam features that are critical for efficient L,D-transpeptidase inactivation. We show that imipenem, ceftriaxone, and ampicillin acylate Ldt(fm) by formation of a thioester bond between the active-site cysteine and the \u03b2-lactam-ring carbonyl. However, slow acylation and slow acylenzyme hydrolysis resulted in partial Ldt(fm) inactivation by ampicillin and ceftriaxone. For ampicillin, Ldt(fm) acylation was followed by rupture of the C(5)-C(6) bond of the \u03b2-lactam ring and formation of a secondary acylenzyme prone to hydrolysis. The saturable step of the catalytic cycle was the reversible formation of a tetrahedral intermediate (oxyanion) without significant accumulation of a non-covalent complex. In agreement, a derivative of Ldt(fm) blocked in acylation bound ertapenem (a carbapenem), ceftriaxone, and ampicillin with similar low affinities. Thus, oxyanion and acylenzyme stabilization are both critical for rapid L,D-transpeptidase inactivation and antibacterial activity. These results pave the way for optimization of the \u03b2-lactam scaffold for L,D-transpeptidase-inactivation.", "author" : [ { "dropping-particle" : "", "family" : "Triboulet", "given" : "S\u00e9bastien", "non-dropping-particle" : "", "parse-names" : false, "suffix" : "" }, { "dropping-particle" : "", "family" : "Dub\u00e9e", "given" : "Vincent", "non-dropping-particle" : "", "parse-names" : false, "suffix" : "" }, { "dropping-particle" : "", "family" : "Lecoq", "given" : "Lauriane", "non-dropping-particle" : "", "parse-names" : false, "suffix" : "" }, { "dropping-particle" : "", "family" : "Bougault", "given" : "Catherine", "non-dropping-particle" : "", "parse-names" : false, "suffix" : "" }, { "dropping-particle" : "", "family" : "Mainardi", "given" : "Jean-Luc", "non-dropping-particle" : "", "parse-names" : false, "suffix" : "" }, { "dropping-particle" : "", "family" : "Rice", "given" : "Louis B", "non-dropping-particle" : "", "parse-names" : false, "suffix" : "" }, { "dropping-particle" : "", "family" : "Eth\u00e8ve-Quelquejeu", "given" : "M\u00e9lanie", "non-dropping-particle" : "", "parse-names" : false, "suffix" : "" }, { "dropping-particle" : "", "family" : "Gutmann", "given" : "Laurent", "non-dropping-particle" : "", "parse-names" : false, "suffix" : "" }, { "dropping-particle" : "", "family" : "Marie", "given" : "Arul", "non-dropping-particle" : "", "parse-names" : false, "suffix" : "" }, { "dropping-particle" : "", "family" : "Dubost", "given" : "Lionel", "non-dropping-particle" : "", "parse-names" : false, "suffix" : "" }, { "dropping-particle" : "", "family" : "Hugonnet", "given" : "Jean-Emmanuel", "non-dropping-particle" : "", "parse-names" : false, "suffix" : "" }, { "dropping-particle" : "", "family" : "Simorre", "given" : "Jean-Pierre", "non-dropping-particle" : "", "parse-names" : false, "suffix" : "" }, { "dropping-particle" : "", "family" : "Arthur", "given" : "Michel", "non-dropping-particle" : "", "parse-names" : false, "suffix" : "" } ], "container-title" : "PloS one", "id" : "ITEM-1", "issue" : "7", "issued" : { "date-parts" : [ [ "2013", "1" ] ] }, "page" : "e67831", "title" : "Kinetic features of L,D-transpeptidase inactivation critical for \u03b2-lactam antibacterial activity.", "type" : "article-journal", "volume" : "8" }, "uris" : [ "http://www.mendeley.com/documents/?uuid=2629b8f0-6eff-4905-9140-fb61f4e8a158", "http://www.mendeley.com/documents/?uuid=a11b846e-20bb-4025-b2a3-179664f3f800" ] } ], "mendeley" : { "formattedCitation" : "&lt;sup&gt;56&lt;/sup&gt;", "plainTextFormattedCitation" : "56", "previouslyFormattedCitation" : "&lt;sup&gt;56&lt;/sup&gt;" }, "properties" : { "noteIndex" : 0 }, "schema" : "https://github.com/citation-style-language/schema/raw/master/csl-citation.json" }</w:instrText>
      </w:r>
      <w:r w:rsidR="00F434C8" w:rsidRPr="00174459">
        <w:rPr>
          <w:color w:val="222222"/>
          <w:shd w:val="clear" w:color="auto" w:fill="FFFFFF"/>
        </w:rPr>
        <w:fldChar w:fldCharType="separate"/>
      </w:r>
      <w:r w:rsidR="00F434C8" w:rsidRPr="00174459">
        <w:rPr>
          <w:noProof/>
          <w:color w:val="222222"/>
          <w:shd w:val="clear" w:color="auto" w:fill="FFFFFF"/>
          <w:vertAlign w:val="superscript"/>
        </w:rPr>
        <w:t>56</w:t>
      </w:r>
      <w:r w:rsidR="00F434C8" w:rsidRPr="00174459">
        <w:rPr>
          <w:color w:val="222222"/>
          <w:shd w:val="clear" w:color="auto" w:fill="FFFFFF"/>
        </w:rPr>
        <w:fldChar w:fldCharType="end"/>
      </w:r>
      <w:r w:rsidR="00EF49C9" w:rsidRPr="00174459">
        <w:rPr>
          <w:color w:val="222222"/>
          <w:shd w:val="clear" w:color="auto" w:fill="FFFFFF"/>
        </w:rPr>
        <w:t xml:space="preserve"> i.e., </w:t>
      </w:r>
      <w:r w:rsidR="001C4883" w:rsidRPr="00174459">
        <w:rPr>
          <w:color w:val="222222"/>
          <w:shd w:val="clear" w:color="auto" w:fill="FFFFFF"/>
        </w:rPr>
        <w:t>a nucleophilic attack of</w:t>
      </w:r>
      <w:r w:rsidR="001A6E5A" w:rsidRPr="00174459">
        <w:rPr>
          <w:color w:val="222222"/>
          <w:shd w:val="clear" w:color="auto" w:fill="FFFFFF"/>
        </w:rPr>
        <w:t xml:space="preserve"> </w:t>
      </w:r>
      <w:proofErr w:type="spellStart"/>
      <w:r w:rsidR="005D6177" w:rsidRPr="00174459">
        <w:rPr>
          <w:color w:val="222222"/>
          <w:shd w:val="clear" w:color="auto" w:fill="FFFFFF"/>
        </w:rPr>
        <w:t>Cys</w:t>
      </w:r>
      <w:proofErr w:type="spellEnd"/>
      <w:r w:rsidR="001C4883" w:rsidRPr="00174459">
        <w:rPr>
          <w:color w:val="222222"/>
          <w:shd w:val="clear" w:color="auto" w:fill="FFFFFF"/>
        </w:rPr>
        <w:t xml:space="preserve"> or </w:t>
      </w:r>
      <w:r w:rsidR="005D6177" w:rsidRPr="00174459">
        <w:rPr>
          <w:color w:val="222222"/>
          <w:shd w:val="clear" w:color="auto" w:fill="FFFFFF"/>
        </w:rPr>
        <w:t>Sec</w:t>
      </w:r>
      <w:r w:rsidR="001C4883" w:rsidRPr="00174459">
        <w:rPr>
          <w:color w:val="222222"/>
          <w:shd w:val="clear" w:color="auto" w:fill="FFFFFF"/>
        </w:rPr>
        <w:t xml:space="preserve"> on β-lactam carbonyl carbon, with formation of a tetrahedral intermediate, which collapses with β-lactam ring opening by N5-C8 bond fission. Then, the acyl-enzyme intermediate could hydrolyze or react further, with expulsion of the 1-Methyl-5-tetrazolethione from carbon 3, generating a reactive methylene that could be trapped by other</w:t>
      </w:r>
      <w:r w:rsidR="005D6177" w:rsidRPr="00174459">
        <w:rPr>
          <w:color w:val="222222"/>
          <w:shd w:val="clear" w:color="auto" w:fill="FFFFFF"/>
        </w:rPr>
        <w:t xml:space="preserve"> thiolate or </w:t>
      </w:r>
      <w:proofErr w:type="spellStart"/>
      <w:r w:rsidR="005D6177" w:rsidRPr="00174459">
        <w:rPr>
          <w:color w:val="222222"/>
          <w:shd w:val="clear" w:color="auto" w:fill="FFFFFF"/>
        </w:rPr>
        <w:t>selenoate</w:t>
      </w:r>
      <w:proofErr w:type="spellEnd"/>
      <w:r w:rsidR="005D6177" w:rsidRPr="00174459">
        <w:rPr>
          <w:color w:val="222222"/>
          <w:shd w:val="clear" w:color="auto" w:fill="FFFFFF"/>
        </w:rPr>
        <w:t xml:space="preserve"> (</w:t>
      </w:r>
      <w:r w:rsidR="000C4B39" w:rsidRPr="00174459">
        <w:rPr>
          <w:color w:val="222222"/>
          <w:shd w:val="clear" w:color="auto" w:fill="FFFFFF"/>
        </w:rPr>
        <w:t xml:space="preserve">Figure </w:t>
      </w:r>
      <w:r w:rsidR="00EF49C9" w:rsidRPr="00174459">
        <w:rPr>
          <w:color w:val="222222"/>
          <w:shd w:val="clear" w:color="auto" w:fill="FFFFFF"/>
        </w:rPr>
        <w:t>S2B</w:t>
      </w:r>
      <w:r w:rsidR="000C4B39" w:rsidRPr="00174459">
        <w:rPr>
          <w:color w:val="222222"/>
          <w:shd w:val="clear" w:color="auto" w:fill="FFFFFF"/>
        </w:rPr>
        <w:t>, Supporting Information</w:t>
      </w:r>
      <w:r w:rsidR="001C4883" w:rsidRPr="00174459">
        <w:rPr>
          <w:color w:val="222222"/>
          <w:shd w:val="clear" w:color="auto" w:fill="FFFFFF"/>
        </w:rPr>
        <w:t>).</w:t>
      </w:r>
    </w:p>
    <w:p w14:paraId="06EB05B6" w14:textId="5E204C44" w:rsidR="00FF0CF4" w:rsidRDefault="00597331">
      <w:pPr>
        <w:pStyle w:val="TAMainText"/>
        <w:rPr>
          <w:color w:val="000000"/>
        </w:rPr>
      </w:pPr>
      <w:r w:rsidRPr="00174459">
        <w:rPr>
          <w:b/>
        </w:rPr>
        <w:lastRenderedPageBreak/>
        <w:t xml:space="preserve">QSAR-Based </w:t>
      </w:r>
      <w:r w:rsidR="001C4883" w:rsidRPr="00174459">
        <w:rPr>
          <w:b/>
        </w:rPr>
        <w:t xml:space="preserve">Virtual Screening. </w:t>
      </w:r>
      <w:r w:rsidR="00B40289" w:rsidRPr="00174459">
        <w:t xml:space="preserve">The QSAR-based VS was carried out following the workflow </w:t>
      </w:r>
      <w:r w:rsidR="00142462" w:rsidRPr="00174459">
        <w:t xml:space="preserve">presented </w:t>
      </w:r>
      <w:r w:rsidR="00B40289" w:rsidRPr="00174459">
        <w:t xml:space="preserve">in Figure </w:t>
      </w:r>
      <w:r w:rsidR="00E02398" w:rsidRPr="00174459">
        <w:t>4</w:t>
      </w:r>
      <w:r w:rsidR="00B40289" w:rsidRPr="00174459">
        <w:t xml:space="preserve">. </w:t>
      </w:r>
      <w:r w:rsidR="00FF0CF4" w:rsidRPr="00174459">
        <w:t xml:space="preserve">Initially, </w:t>
      </w:r>
      <w:r w:rsidR="00FF0CF4" w:rsidRPr="00174459">
        <w:rPr>
          <w:color w:val="000000"/>
        </w:rPr>
        <w:t xml:space="preserve">150,000 compounds available on </w:t>
      </w:r>
      <w:proofErr w:type="spellStart"/>
      <w:r w:rsidR="00FF0CF4" w:rsidRPr="00174459">
        <w:t>PremiumSet</w:t>
      </w:r>
      <w:proofErr w:type="spellEnd"/>
      <w:r w:rsidR="00FF0CF4" w:rsidRPr="00174459">
        <w:t xml:space="preserve">, </w:t>
      </w:r>
      <w:proofErr w:type="spellStart"/>
      <w:r w:rsidR="00FF0CF4" w:rsidRPr="00174459">
        <w:t>DIVERSet</w:t>
      </w:r>
      <w:r w:rsidR="00FF0CF4" w:rsidRPr="00174459">
        <w:rPr>
          <w:vertAlign w:val="superscript"/>
        </w:rPr>
        <w:t>TM</w:t>
      </w:r>
      <w:proofErr w:type="spellEnd"/>
      <w:r w:rsidR="00FF0CF4" w:rsidRPr="00174459">
        <w:t xml:space="preserve">-CL, and </w:t>
      </w:r>
      <w:proofErr w:type="spellStart"/>
      <w:r w:rsidR="00FF0CF4" w:rsidRPr="00174459">
        <w:t>DIVERSet</w:t>
      </w:r>
      <w:r w:rsidR="00FF0CF4" w:rsidRPr="00174459">
        <w:rPr>
          <w:vertAlign w:val="superscript"/>
        </w:rPr>
        <w:t>TM</w:t>
      </w:r>
      <w:proofErr w:type="spellEnd"/>
      <w:r w:rsidR="00FF0CF4" w:rsidRPr="00174459">
        <w:t xml:space="preserve">-EXP libraries of </w:t>
      </w:r>
      <w:proofErr w:type="spellStart"/>
      <w:r w:rsidR="00FF0CF4" w:rsidRPr="00174459">
        <w:t>ChemBridge</w:t>
      </w:r>
      <w:proofErr w:type="spellEnd"/>
      <w:r w:rsidR="00FF0CF4" w:rsidRPr="00174459">
        <w:t xml:space="preserve"> were downloaded and prepared for VS</w:t>
      </w:r>
      <w:r w:rsidR="00FF0CF4" w:rsidRPr="00174459">
        <w:rPr>
          <w:color w:val="000000"/>
        </w:rPr>
        <w:t xml:space="preserve">. </w:t>
      </w:r>
      <w:r w:rsidR="00FF0CF4" w:rsidRPr="00174459">
        <w:t xml:space="preserve">As drug-like ligands are highly desirable for the development of new leads with good oral bioavailability, we first filtered these libraries and excluded 1,285 compounds that violated </w:t>
      </w:r>
      <w:r w:rsidR="00FF0CF4" w:rsidRPr="00174459">
        <w:rPr>
          <w:rFonts w:ascii="Times New Roman" w:hAnsi="Times New Roman"/>
          <w:szCs w:val="24"/>
        </w:rPr>
        <w:t>Veber</w:t>
      </w:r>
      <w:r w:rsidR="00FF0CF4" w:rsidRPr="00174459">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"10.1021/jm020017n", "ISBN" : "0022-2623", "ISSN" : "00222623", "PMID" : "12036371", "abstract" : "Oral bioavailability measurements in rats for over 1100 drug candidates studied at SmithKline Beecham Pharmaceuticals (now GlaxoSmithKline) have allowed us to analyze the relative importance of molecular properties considered to influence that drug property. Reduced molecular flexibility, as measured by the number of rotatable bonds, and low polar surface area or total hydrogen bond count (sum of donors and acceptors) are found to be important predictors of good oral bioavailability, independent of molecular weight. That on average both the number of rotatable bonds and polar surface area or hydrogen bond count tend to increase with molecular weight may in part explain the success of the molecular weight parameter in predicting oral bioavailability. The commonly applied molecular weight cutoff at 500 does not itself significantly separate compounds with poor oral bioavailability from those with acceptable values in this extensive data set. Our observations suggest that compounds which meet only the two criteria of (1) 10 or fewer rotatable bonds and (2) polar surface area equal to or less than 140 A(2) (or 12 or fewer H-bond donors and acceptors) will have a high probability of good oral bioavailability in the rat. Data sets for the artificial membrane permeation rate and for clearance in the rat were also examined. Reduced polar surface area correlates better with increased permeation rate than does lipophilicity (C log P), and increased rotatable bond count has a negative effect on the permeation rate. A threshold permeation rate is a prerequisite of oral bioavailability. The rotatable bond count does not correlate with the data examined here for the in vivo clearance rate in the rat.", "author" : [ { "dropping-particle" : "", "family" : "Veber", "given" : "Daniel F.", "non-dropping-particle" : "", "parse-names" : false, "suffix" : "" }, { "dropping-particle" : "", "family" : "Johnson", "given" : "Stephen R.", "non-dropping-particle" : "", "parse-names" : false, "suffix" : "" }, { "dropping-particle" : "", "family" : "Cheng", "given" : "Hung Yuan", "non-dropping-particle" : "", "parse-names" : false, "suffix" : "" }, { "dropping-particle" : "", "family" : "Smith", "given" : "Brian R", "non-dropping-particle" : "", "parse-names" : false, "suffix" : "" }, { "dropping-particle" : "", "family" : "Ward", "given" : "Keith W.", "non-dropping-particle" : "", "parse-names" : false, "suffix" : "" }, { "dropping-particle" : "", "family" : "Kopple", "given" : "Kenneth D.", "non-dropping-particle" : "", "parse-names" : false, "suffix" : "" } ], "container-title" : "Journal of Medicinal Chemistry", "id" : "ITEM-1", "issue" : "12", "issued" : { "date-parts" : [ [ "2002" ] ] }, "page" : "2615-2623", "title" : "Molecular properties that influence the oral bioavailability of drug candidates", "type" : "article-journal", "volume" : "45" }, "uris" : [ "http://www.mendeley.com/documents/?uuid=28223f0e-c78f-47ed-a125-5e3fcbdef73d" ] } ], "mendeley" : { "formattedCitation" : "&lt;sup&gt;57&lt;/sup&gt;", "plainTextFormattedCitation" : "57", "previouslyFormattedCitation" : "&lt;sup&gt;57&lt;/sup&gt;" }, "properties" : { "noteIndex" : 0 }, "schema" : "https://github.com/citation-style-language/schema/raw/master/csl-citation.json" }</w:instrText>
      </w:r>
      <w:r w:rsidR="00FF0CF4" w:rsidRPr="00174459">
        <w:rPr>
          <w:rFonts w:ascii="Times New Roman" w:hAnsi="Times New Roman"/>
          <w:szCs w:val="24"/>
        </w:rPr>
        <w:fldChar w:fldCharType="separate"/>
      </w:r>
      <w:r w:rsidR="00FF0CF4" w:rsidRPr="00174459">
        <w:rPr>
          <w:rFonts w:ascii="Times New Roman" w:hAnsi="Times New Roman"/>
          <w:noProof/>
          <w:szCs w:val="24"/>
          <w:vertAlign w:val="superscript"/>
        </w:rPr>
        <w:t>57</w:t>
      </w:r>
      <w:r w:rsidR="00FF0CF4" w:rsidRPr="00174459">
        <w:rPr>
          <w:rFonts w:ascii="Times New Roman" w:hAnsi="Times New Roman"/>
          <w:szCs w:val="24"/>
        </w:rPr>
        <w:fldChar w:fldCharType="end"/>
      </w:r>
      <w:r w:rsidR="00FF0CF4" w:rsidRPr="00174459">
        <w:rPr>
          <w:rFonts w:ascii="Times New Roman" w:hAnsi="Times New Roman"/>
          <w:szCs w:val="24"/>
        </w:rPr>
        <w:t xml:space="preserve"> and Lipinski’s rules.</w:t>
      </w:r>
      <w:r w:rsidR="00FF0CF4" w:rsidRPr="00174459">
        <w:rPr>
          <w:rFonts w:ascii="Times New Roman" w:hAnsi="Times New Roman"/>
          <w:szCs w:val="24"/>
        </w:rPr>
        <w:fldChar w:fldCharType="begin" w:fldLock="1"/>
      </w:r>
      <w:r w:rsidR="00BD74F5">
        <w:rPr>
          <w:rFonts w:ascii="Times New Roman" w:hAnsi="Times New Roman"/>
          <w:szCs w:val="24"/>
        </w:rPr>
        <w:instrText>ADDIN CSL_CITATION { "citationItems" : [ { "id" : "ITEM-1", "itemData" : { "DOI" : "10.1016/S0169-409X(96)00423-1", "ISBN" : "0169-409X (Print)\\r0169-409X (Linking)", "ISSN" : "0169409X", "PMID" : "11259830", "author" : [ { "dropping-particle" : "", "family" : "Lipinski", "given" : "Christopher A.", "non-dropping-particle" : "", "parse-names" : false, "suffix" : "" }, { "dropping-particle" : "", "family" : "Lombardo", "given" : "Franco", "non-dropping-particle" : "", "parse-names" : false, "suffix" : "" }, { "dropping-particle" : "", "family" : "Dominy", "given" : "Beryl W.", "non-dropping-particle" : "", "parse-names" : false, "suffix" : "" }, { "dropping-particle" : "", "family" : "Feeney", "given" : "Paul J", "non-dropping-particle" : "", "parse-names" : false, "suffix" : "" } ], "container-title" : "Advanced Drug Delivery Reviews", "id" : "ITEM-1", "issue" : "1-3", "issued" : { "date-parts" : [ [ "1997", "1" ] ] }, "page" : "3-25", "title" : "Experimental and computational approaches to estimate solubility and permeability in drug discovery and development settings", "type" : "article-journal", "volume" : "23" }, "uris" : [ "http://www.mendeley.com/documents/?uuid=ffffe30c-3844-4335-97de-4bc5c417cb44" ] } ], "mendeley" : { "formattedCitation" : "&lt;sup&gt;58&lt;/sup&gt;", "plainTextFormattedCitation" : "58", "previouslyFormattedCitation" : "&lt;sup&gt;58&lt;/sup&gt;" }, "properties" : { "noteIndex" : 0 }, "schema" : "https://github.com/citation-style-language/schema/raw/master/csl-citation.json" }</w:instrText>
      </w:r>
      <w:r w:rsidR="00FF0CF4" w:rsidRPr="00174459">
        <w:rPr>
          <w:rFonts w:ascii="Times New Roman" w:hAnsi="Times New Roman"/>
          <w:szCs w:val="24"/>
        </w:rPr>
        <w:fldChar w:fldCharType="separate"/>
      </w:r>
      <w:r w:rsidR="00FF0CF4" w:rsidRPr="00174459">
        <w:rPr>
          <w:rFonts w:ascii="Times New Roman" w:hAnsi="Times New Roman"/>
          <w:noProof/>
          <w:szCs w:val="24"/>
          <w:vertAlign w:val="superscript"/>
        </w:rPr>
        <w:t>58</w:t>
      </w:r>
      <w:r w:rsidR="00FF0CF4" w:rsidRPr="00174459">
        <w:rPr>
          <w:rFonts w:ascii="Times New Roman" w:hAnsi="Times New Roman"/>
          <w:szCs w:val="24"/>
        </w:rPr>
        <w:fldChar w:fldCharType="end"/>
      </w:r>
      <w:r w:rsidR="00FF0CF4" w:rsidRPr="00174459">
        <w:rPr>
          <w:rFonts w:ascii="Times New Roman" w:hAnsi="Times New Roman"/>
          <w:szCs w:val="24"/>
        </w:rPr>
        <w:t xml:space="preserve"> The remaining compounds were predicted by the consensus and consensus rigor models. </w:t>
      </w:r>
      <w:r w:rsidR="00FF0CF4" w:rsidRPr="00174459">
        <w:rPr>
          <w:color w:val="000000"/>
        </w:rPr>
        <w:t xml:space="preserve">To narrow down the compounds list and to obtain the highest level of confidence for each prediction, we took both the consensus score (average class prediction) and consensus model coverage into consideration. Consensus model coverage was defined as a fraction of individual models for which a compound was found to fall within the respective ADs. In that sense, introducing probability cutoffs can lead to predictions with higher confidence. Therefore, only putative hits with an average class number prediction of 1.0 and consensus model coverage over 50% were selected (470 putative hits). In addition, we removed compounds with previous bioactivity data reported against </w:t>
      </w:r>
      <w:proofErr w:type="spellStart"/>
      <w:r w:rsidR="00FF0CF4" w:rsidRPr="00174459">
        <w:rPr>
          <w:i/>
          <w:color w:val="000000"/>
        </w:rPr>
        <w:t>Sm</w:t>
      </w:r>
      <w:r w:rsidR="00FF0CF4" w:rsidRPr="00174459">
        <w:rPr>
          <w:color w:val="000000"/>
        </w:rPr>
        <w:t>TGR</w:t>
      </w:r>
      <w:proofErr w:type="spellEnd"/>
      <w:r w:rsidR="00FF0CF4" w:rsidRPr="00174459">
        <w:rPr>
          <w:color w:val="000000"/>
        </w:rPr>
        <w:t xml:space="preserve"> or </w:t>
      </w:r>
      <w:r w:rsidR="00FF0CF4" w:rsidRPr="00174459">
        <w:rPr>
          <w:i/>
          <w:color w:val="000000"/>
        </w:rPr>
        <w:t xml:space="preserve">S. </w:t>
      </w:r>
      <w:proofErr w:type="spellStart"/>
      <w:r w:rsidR="00FF0CF4" w:rsidRPr="00174459">
        <w:rPr>
          <w:i/>
          <w:color w:val="000000"/>
        </w:rPr>
        <w:t>mansoni</w:t>
      </w:r>
      <w:proofErr w:type="spellEnd"/>
      <w:r w:rsidR="00FF0CF4" w:rsidRPr="00174459">
        <w:rPr>
          <w:color w:val="000000"/>
        </w:rPr>
        <w:t xml:space="preserve"> and pan-assay interference compounds (PAINs)</w:t>
      </w:r>
      <w:r w:rsidR="00FF0CF4" w:rsidRPr="00174459">
        <w:rPr>
          <w:color w:val="000000"/>
        </w:rPr>
        <w:fldChar w:fldCharType="begin" w:fldLock="1"/>
      </w:r>
      <w:r w:rsidR="00BD74F5">
        <w:rPr>
          <w:color w:val="000000"/>
        </w:rPr>
        <w:instrText>ADDIN CSL_CITATION { "citationItems" : [ { "id" : "ITEM-1", "itemData" : { "ISSN" : "0028-0836", "PMID" : "25254460", "abstract" : "Naivety about promiscuous, assay-duping molecules is polluting the literature and wasting resources, warn Jonathan Baell and Michael A. Walters", "author" : [ { "dropping-particle" : "", "family" : "Baell", "given" : "Jonathan", "non-dropping-particle" : "", "parse-names" : false, "suffix" : "" }, { "dropping-particle" : "", "family" : "Walters", "given" : "Michael A", "non-dropping-particle" : "", "parse-names" : false, "suffix" : "" } ], "container-title" : "Nature", "id" : "ITEM-1", "issue" : "7519", "issued" : { "date-parts" : [ [ "2014", "9", "24" ] ] }, "page" : "481-483", "title" : "Chemistry: Chemical con artists foil drug discovery", "type" : "article-journal", "volume" : "513" }, "uris" : [ "http://www.mendeley.com/documents/?uuid=7dcf80b0-9f3f-4af0-90bb-20bc26effe4e", "http://www.mendeley.com/documents/?uuid=813fa5db-6b06-4c51-9890-b4a185507a3f", "http://www.mendeley.com/documents/?uuid=283fb6f0-3c52-4a44-b050-87a31e3e7e20" ] }, { "id" : "ITEM-2", "itemData" : { "DOI" : "10.1021/jm901137j", "ISBN" : "1520-4804 (Electronic)\\r0022-2623 (Linking)", "ISSN" : "00222623", "PMID" : "20131845", "abstract" : "This report describes a number of substructural features which can help to identify compounds that appear as frequent hitters (promiscuous compounds) in many biochemical high throughput screens. The compounds identified by such substructural features are not recognized by filters commonly used to identify reactive compounds. Even though these substructural features were identified using only one assay detection technology, such compounds have been reported to be active from many different assays. In fact, these compounds are increasingly prevalent in the literature as potential starting points for further exploration, whereas they may not be.", "author" : [ { "dropping-particle" : "", "family" : "Baell", "given" : "Jonathan B.", "non-dropping-particle" : "", "parse-names" : false, "suffix" : "" }, { "dropping-particle" : "", "family" : "Holloway", "given" : "Georgina a.", "non-dropping-particle" : "", "parse-names" : false, "suffix" : "" } ], "container-title" : "Journal of Medicinal Chemistry", "id" : "ITEM-2", "issue" : "7", "issued" : { "date-parts" : [ [ "2010" ] ] }, "page" : "2719-2740", "title" : "New substructure filters for removal of pan assay interference compounds (PAINS) from screening libraries and for their exclusion in bioassays", "type" : "article-journal", "volume" : "53" }, "uris" : [ "http://www.mendeley.com/documents/?uuid=93a92cd0-b775-4254-971c-dbd993cc73f4", "http://www.mendeley.com/documents/?uuid=f3978aee-0963-406d-aa4e-e5206c991483", "http://www.mendeley.com/documents/?uuid=0c0a0a52-6373-4d22-9622-08d21e4dd173" ] } ], "mendeley" : { "formattedCitation" : "&lt;sup&gt;59,60&lt;/sup&gt;", "plainTextFormattedCitation" : "59,60", "previouslyFormattedCitation" : "&lt;sup&gt;59,60&lt;/sup&gt;"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59,60</w:t>
      </w:r>
      <w:r w:rsidR="00FF0CF4" w:rsidRPr="00174459">
        <w:rPr>
          <w:color w:val="000000"/>
        </w:rPr>
        <w:fldChar w:fldCharType="end"/>
      </w:r>
      <w:r w:rsidR="00FF0CF4" w:rsidRPr="00174459">
        <w:rPr>
          <w:color w:val="000000"/>
        </w:rPr>
        <w:t xml:space="preserve"> </w:t>
      </w:r>
      <w:r w:rsidR="00BE7D5C">
        <w:rPr>
          <w:color w:val="000000"/>
        </w:rPr>
        <w:t>so that s</w:t>
      </w:r>
      <w:r w:rsidR="00FF0CF4" w:rsidRPr="00174459">
        <w:rPr>
          <w:color w:val="000000"/>
        </w:rPr>
        <w:t xml:space="preserve">elected compounds </w:t>
      </w:r>
      <w:r w:rsidR="00BE7D5C">
        <w:rPr>
          <w:color w:val="000000"/>
        </w:rPr>
        <w:t xml:space="preserve">would be novel </w:t>
      </w:r>
      <w:proofErr w:type="spellStart"/>
      <w:r w:rsidR="00FC2CDC" w:rsidRPr="00FC2CDC">
        <w:rPr>
          <w:i/>
          <w:color w:val="000000"/>
        </w:rPr>
        <w:t>Sm</w:t>
      </w:r>
      <w:r w:rsidR="00BE7D5C">
        <w:rPr>
          <w:color w:val="000000"/>
        </w:rPr>
        <w:t>TGR</w:t>
      </w:r>
      <w:proofErr w:type="spellEnd"/>
      <w:r w:rsidR="00BE7D5C">
        <w:rPr>
          <w:color w:val="000000"/>
        </w:rPr>
        <w:t xml:space="preserve"> inhibitors and </w:t>
      </w:r>
      <w:r w:rsidR="00FF0CF4" w:rsidRPr="00174459">
        <w:rPr>
          <w:color w:val="000000"/>
        </w:rPr>
        <w:t>contain no PAINs structures. Finally, the compounds were evaluated by predicting a panel of properties including high aqueous solubility (</w:t>
      </w:r>
      <w:proofErr w:type="spellStart"/>
      <w:r w:rsidR="00FF0CF4" w:rsidRPr="00174459">
        <w:rPr>
          <w:color w:val="000000"/>
        </w:rPr>
        <w:t>CIQPlogS</w:t>
      </w:r>
      <w:proofErr w:type="spellEnd"/>
      <w:r w:rsidR="00FF0CF4" w:rsidRPr="00174459">
        <w:rPr>
          <w:color w:val="000000"/>
        </w:rPr>
        <w:t>),</w:t>
      </w:r>
      <w:r w:rsidR="00FF0CF4" w:rsidRPr="00174459">
        <w:rPr>
          <w:color w:val="000000"/>
        </w:rPr>
        <w:fldChar w:fldCharType="begin" w:fldLock="1"/>
      </w:r>
      <w:r w:rsidR="00FF0CF4" w:rsidRPr="00174459">
        <w:rPr>
          <w:color w:val="000000"/>
        </w:rPr>
        <w:instrText>ADDIN CSL_CITATION { "citationItems" : [ { "id" : "ITEM-1", "itemData" : { "container-title" : "QikProp version 3.4. Schr\u00f6dinger Inc., New York, USA, http://www.schrodinger.com/, 2011.", "id" : "ITEM-1", "issued" : { "date-parts" : [ [ "0" ] ] }, "title" : "QikProp version 3.4. Schr\u00f6dinger Inc., New York, USA, http://www.schrodinger.com/, 2011.", "type" : "webpage" }, "uris" : [ "http://www.mendeley.com/documents/?uuid=029cdbf8-56cd-47df-8c07-dbdba8c10d8d", "http://www.mendeley.com/documents/?uuid=ef359e13-d064-4032-aeea-1174e7d7b2d3" ] } ], "mendeley" : { "formattedCitation" : "&lt;sup&gt;61&lt;/sup&gt;", "plainTextFormattedCitation" : "61", "previouslyFormattedCitation" : "&lt;sup&gt;61&lt;/sup&gt;"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61</w:t>
      </w:r>
      <w:r w:rsidR="00FF0CF4" w:rsidRPr="00174459">
        <w:rPr>
          <w:color w:val="000000"/>
        </w:rPr>
        <w:fldChar w:fldCharType="end"/>
      </w:r>
      <w:r w:rsidR="00FF0CF4" w:rsidRPr="00174459">
        <w:rPr>
          <w:color w:val="000000"/>
        </w:rPr>
        <w:t xml:space="preserve"> acceptable binding to human serum albumin (</w:t>
      </w:r>
      <w:proofErr w:type="spellStart"/>
      <w:r w:rsidR="00FF0CF4" w:rsidRPr="00174459">
        <w:rPr>
          <w:color w:val="000000"/>
        </w:rPr>
        <w:t>QPlogKhsa</w:t>
      </w:r>
      <w:proofErr w:type="spellEnd"/>
      <w:r w:rsidR="00FF0CF4" w:rsidRPr="00174459">
        <w:rPr>
          <w:color w:val="000000"/>
        </w:rPr>
        <w:t>),</w:t>
      </w:r>
      <w:r w:rsidR="00FF0CF4" w:rsidRPr="00174459">
        <w:rPr>
          <w:color w:val="000000"/>
        </w:rPr>
        <w:fldChar w:fldCharType="begin" w:fldLock="1"/>
      </w:r>
      <w:r w:rsidR="00FF0CF4" w:rsidRPr="00174459">
        <w:rPr>
          <w:color w:val="000000"/>
        </w:rPr>
        <w:instrText>ADDIN CSL_CITATION { "citationItems" : [ { "id" : "ITEM-1", "itemData" : { "container-title" : "QikProp version 3.4. Schr\u00f6dinger Inc., New York, USA, http://www.schrodinger.com/, 2011.", "id" : "ITEM-1", "issued" : { "date-parts" : [ [ "0" ] ] }, "title" : "QikProp version 3.4. Schr\u00f6dinger Inc., New York, USA, http://www.schrodinger.com/, 2011.", "type" : "webpage" }, "uris" : [ "http://www.mendeley.com/documents/?uuid=ef359e13-d064-4032-aeea-1174e7d7b2d3", "http://www.mendeley.com/documents/?uuid=029cdbf8-56cd-47df-8c07-dbdba8c10d8d" ] } ], "mendeley" : { "formattedCitation" : "&lt;sup&gt;61&lt;/sup&gt;", "plainTextFormattedCitation" : "61", "previouslyFormattedCitation" : "&lt;sup&gt;61&lt;/sup&gt;"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61</w:t>
      </w:r>
      <w:r w:rsidR="00FF0CF4" w:rsidRPr="00174459">
        <w:rPr>
          <w:color w:val="000000"/>
        </w:rPr>
        <w:fldChar w:fldCharType="end"/>
      </w:r>
      <w:r w:rsidR="00FF0CF4" w:rsidRPr="00174459">
        <w:rPr>
          <w:color w:val="000000"/>
        </w:rPr>
        <w:t xml:space="preserve"> acceptable brain/blood partition coefficient (</w:t>
      </w:r>
      <w:proofErr w:type="spellStart"/>
      <w:r w:rsidR="00FF0CF4" w:rsidRPr="00174459">
        <w:rPr>
          <w:color w:val="000000"/>
        </w:rPr>
        <w:t>QPlogBB</w:t>
      </w:r>
      <w:proofErr w:type="spellEnd"/>
      <w:r w:rsidR="00FF0CF4" w:rsidRPr="00174459">
        <w:rPr>
          <w:color w:val="000000"/>
        </w:rPr>
        <w:t>),</w:t>
      </w:r>
      <w:r w:rsidR="00FF0CF4" w:rsidRPr="00174459">
        <w:rPr>
          <w:color w:val="000000"/>
        </w:rPr>
        <w:fldChar w:fldCharType="begin" w:fldLock="1"/>
      </w:r>
      <w:r w:rsidR="00FF0CF4" w:rsidRPr="00174459">
        <w:rPr>
          <w:color w:val="000000"/>
        </w:rPr>
        <w:instrText>ADDIN CSL_CITATION { "citationItems" : [ { "id" : "ITEM-1", "itemData" : { "container-title" : "QikProp version 3.4. Schr\u00f6dinger Inc., New York, USA, http://www.schrodinger.com/, 2011.", "id" : "ITEM-1", "issued" : { "date-parts" : [ [ "0" ] ] }, "title" : "QikProp version 3.4. Schr\u00f6dinger Inc., New York, USA, http://www.schrodinger.com/, 2011.", "type" : "webpage" }, "uris" : [ "http://www.mendeley.com/documents/?uuid=ef359e13-d064-4032-aeea-1174e7d7b2d3", "http://www.mendeley.com/documents/?uuid=029cdbf8-56cd-47df-8c07-dbdba8c10d8d" ] } ], "mendeley" : { "formattedCitation" : "&lt;sup&gt;61&lt;/sup&gt;", "plainTextFormattedCitation" : "61", "previouslyFormattedCitation" : "&lt;sup&gt;61&lt;/sup&gt;"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61</w:t>
      </w:r>
      <w:r w:rsidR="00FF0CF4" w:rsidRPr="00174459">
        <w:rPr>
          <w:color w:val="000000"/>
        </w:rPr>
        <w:fldChar w:fldCharType="end"/>
      </w:r>
      <w:r w:rsidR="00FF0CF4" w:rsidRPr="00174459">
        <w:rPr>
          <w:color w:val="000000"/>
        </w:rPr>
        <w:t xml:space="preserve"> non-blocking or weak blocking of </w:t>
      </w:r>
      <w:proofErr w:type="spellStart"/>
      <w:r w:rsidR="00FF0CF4" w:rsidRPr="00174459">
        <w:rPr>
          <w:color w:val="000000"/>
        </w:rPr>
        <w:t>hERG</w:t>
      </w:r>
      <w:proofErr w:type="spellEnd"/>
      <w:r w:rsidR="00FF0CF4" w:rsidRPr="00174459">
        <w:rPr>
          <w:color w:val="000000"/>
        </w:rPr>
        <w:t xml:space="preserve"> channel,</w:t>
      </w:r>
      <w:r w:rsidR="00FF0CF4" w:rsidRPr="00174459">
        <w:rPr>
          <w:color w:val="000000"/>
        </w:rPr>
        <w:fldChar w:fldCharType="begin" w:fldLock="1"/>
      </w:r>
      <w:r w:rsidR="00BD74F5">
        <w:rPr>
          <w:color w:val="000000"/>
        </w:rPr>
        <w:instrText>ADDIN CSL_CITATION { "citationItems" : [ { "id" : "ITEM-1", "itemData" : { "DOI" : "10.1002/minf.201500040", "ISSN" : "18681743",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"Li\u00e3o", "given" : "Luciano M.", "non-dropping-particle" : "", "parse-names" : false, "suffix" : "" }, { "dropping-particle" : "", "family" : "Tropsha", "given" : "Alexander", "non-dropping-particle" : "", "parse-names" : false, "suffix" : "" }, { "dropping-particle" : "", "family" : "Andrade", "given" : "Carolina H.", "non-dropping-particle" : "", "parse-names" : false, "suffix" : "" } ], "container-title" : "Molecular Informatics", "id" : "ITEM-1", "issue" : "10", "issued" : { "date-parts" : [ [ "2015", "10" ] ] }, "page" : "698-701", "title" : "Pred-hERG: A Novel web-Accessible Computational Tool for Predicting Cardiac Toxicity", "type" : "article-journal", "volume" : "34" }, "uris" : [ "http://www.mendeley.com/documents/?uuid=ef17b04b-3f7a-4636-af82-a242652e65d8" ] }, { "id" : "ITEM-2", "itemData" : { "DOI" : "10.2174/1568026614666140506124442", "ISSN" : "1873-4294", "PMID" : "24805060", "abstract" : "Several non-cardiovascular drugs have been withdrawn from the market due to their inhibition of hERG K+ channels that can potentially lead to severe heart arrhythmia and death. As hERG safety testing is a mandatory FDArequired procedure, there is a considerable interest for developing predictive computational tools to identify and filter out potential hERG blockers early in the drug discovery process. In this study, we aimed to generate predictive and well-characterized quantitative structure-activity relationship (QSAR) models for hERG blockage using the largest publicly available dataset of 11,958 compounds from the ChEMBL database. The models have been developed and validated according to OECD guidelines using four types of descriptors and four different machine-learning techniques. The classification accuracies discriminating blockers from non-blockers were as high as 0.83-0.93 on external set. Model interpretation revealed several SAR rules, which can guide structural optimization of some hERG blockers into non-blockers. We have also applied the generated models for screening the World Drug Index (WDI) database and identify putative hERG blockers and non-blockers among currently marketed drugs. The developed models can reliably identify blockers and non-blockers, which could be useful for the scientific community. A freely accessible web server has been developed allowing users to identify putative hERG blockers and non-blockers in chemical libraries of their interest (http://labmol.farmacia.ufg.br/predherg).",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"Current Topics in Medicinal Chemistry", "id" : "ITEM-2", "issue" : "11", "issued" : { "date-parts" : [ [ "2014", "5" ] ] }, "page" : "1399-1415", "title" : "Tuning HERG out: antitarget QSAR models for drug development.", "type" : "article-journal", "volume" : "14" }, "uris" : [ "http://www.mendeley.com/documents/?uuid=d954d605-4769-4047-9460-818164b830a0" ] } ], "mendeley" : { "formattedCitation" : "&lt;sup&gt;46,47&lt;/sup&gt;", "plainTextFormattedCitation" : "46,47", "previouslyFormattedCitation" : "&lt;sup&gt;46,47&lt;/sup&gt;"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46,47</w:t>
      </w:r>
      <w:r w:rsidR="00FF0CF4" w:rsidRPr="00174459">
        <w:rPr>
          <w:color w:val="000000"/>
        </w:rPr>
        <w:fldChar w:fldCharType="end"/>
      </w:r>
      <w:r w:rsidR="00FF0CF4" w:rsidRPr="00174459">
        <w:rPr>
          <w:color w:val="000000"/>
        </w:rPr>
        <w:t xml:space="preserve"> absence of carcinogenicity and hepatotoxicity.</w:t>
      </w:r>
      <w:r w:rsidR="00FF0CF4" w:rsidRPr="00174459">
        <w:rPr>
          <w:color w:val="000000"/>
        </w:rPr>
        <w:fldChar w:fldCharType="begin" w:fldLock="1"/>
      </w:r>
      <w:r w:rsidR="00BD74F5">
        <w:rPr>
          <w:color w:val="000000"/>
        </w:rPr>
        <w:instrText>ADDIN CSL_CITATION { "citationItems" : [ { "id" : "ITEM-1", "itemData" : { "ISSN" : "1873-4294", "PMID" : "25262801", "abstract" : "Virtual screening (VS) techniques are well-established tools in the modern drug discovery process, mainly used for hit finding in drug discovery. The availability of knowledge of structural information, which includes an increasing number of 3D protein structures and the readiness of free databases of commercially available smallmolecules, provides a broad platform for VS. This review summarizes the current developments in VS regarding chemical databases and highlights the achievements as well as the challenges with an emphasis on a recent example of the successful application for the identification of new hits for sterol 14\u03b1-demethylase (CYP51) of Trypanosoma cruzi.", "author" : [ { "dropping-particle" : "", "family" : "Braga", "given" : "Rodolpho Campos", "non-dropping-particle" : "", "parse-names" : false, "suffix" : "" }, { "dropping-particle" : "", "family" : "Alves", "given" : "Vinicius M", "non-dropping-particle" : "", "parse-names" : false, "suffix" : "" }, { "dropping-particle" : "", "family" : "Silva", "given" : "Arthur C", "non-dropping-particle" : "", "parse-names" : false, "suffix" : "" }, { "dropping-particle" : "", "family" : "Nascimento", "given" : "Marilia N", "non-dropping-particle" : "", "parse-names" : false, "suffix" : "" }, { "dropping-particle" : "", "family" : "Silva", "given" : "Flavia C", "non-dropping-particle" : "", "parse-names" : false, "suffix" : "" }, { "dropping-particle" : "", "family" : "Liao", "given" : "Luciano M", "non-dropping-particle" : "", "parse-names" : false, "suffix" : "" }, { "dropping-particle" : "", "family" : "Andrade", "given" : "Carolina Horta", "non-dropping-particle" : "", "parse-names" : false, "suffix" : "" } ], "container-title" : "Current Topics in Medicinal Chemistry", "id" : "ITEM-1", "issue" : "16", "issued" : { "date-parts" : [ [ "2014", "1" ] ] }, "page" : "1899-1912", "title" : "Virtual screening strategies in medicinal chemistry: the state of the art and current challenges.", "type" : "article-journal", "volume" : "14" }, "uris" : [ "http://www.mendeley.com/documents/?uuid=3dcd3cc5-7526-4906-9cf9-6b05997911ae" ] } ], "mendeley" : { "formattedCitation" : "&lt;sup&gt;32&lt;/sup&gt;", "plainTextFormattedCitation" : "32", "previouslyFormattedCitation" : "&lt;sup&gt;32&lt;/sup&gt;" }, "properties" : { "noteIndex" : 0 }, "schema" : "https://github.com/citation-style-language/schema/raw/master/csl-citation.json" }</w:instrText>
      </w:r>
      <w:r w:rsidR="00FF0CF4" w:rsidRPr="00174459">
        <w:rPr>
          <w:color w:val="000000"/>
        </w:rPr>
        <w:fldChar w:fldCharType="separate"/>
      </w:r>
      <w:r w:rsidR="00FF0CF4" w:rsidRPr="00174459">
        <w:rPr>
          <w:noProof/>
          <w:color w:val="000000"/>
          <w:vertAlign w:val="superscript"/>
        </w:rPr>
        <w:t>32</w:t>
      </w:r>
      <w:r w:rsidR="00FF0CF4" w:rsidRPr="00174459">
        <w:rPr>
          <w:color w:val="000000"/>
        </w:rPr>
        <w:fldChar w:fldCharType="end"/>
      </w:r>
      <w:r w:rsidR="00FF0CF4" w:rsidRPr="00174459">
        <w:rPr>
          <w:color w:val="000000"/>
        </w:rPr>
        <w:t xml:space="preserve"> At the end of </w:t>
      </w:r>
      <w:r w:rsidR="00FF0CF4" w:rsidRPr="0082240C">
        <w:t xml:space="preserve">the VS workflow, 29 putative hits were visually inspected and acquired for biological evaluation (Table S6, </w:t>
      </w:r>
      <w:r w:rsidR="00FF0CF4" w:rsidRPr="0082240C">
        <w:rPr>
          <w:shd w:val="clear" w:color="auto" w:fill="FFFFFF"/>
        </w:rPr>
        <w:t>Supporting Information)</w:t>
      </w:r>
      <w:r w:rsidR="00FF0CF4" w:rsidRPr="0082240C">
        <w:t>.</w:t>
      </w:r>
    </w:p>
    <w:p w14:paraId="0CA62EBC" w14:textId="2F397F5D" w:rsidR="005F6F3F" w:rsidRPr="00174459" w:rsidRDefault="00FF60F4" w:rsidP="00A432BB">
      <w:pPr>
        <w:jc w:val="center"/>
        <w:rPr>
          <w:b/>
        </w:rPr>
      </w:pPr>
      <w:r w:rsidRPr="00174459">
        <w:rPr>
          <w:b/>
          <w:noProof/>
        </w:rPr>
        <w:lastRenderedPageBreak/>
        <w:drawing>
          <wp:inline distT="0" distB="0" distL="0" distR="0" wp14:anchorId="44E23549" wp14:editId="77B76A6A">
            <wp:extent cx="5690936" cy="4476750"/>
            <wp:effectExtent l="0" t="0" r="508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a:blip r:embed="rId11">
                      <a:extLst>
                        <a:ext uri="{28A0092B-C50C-407E-A947-70E740481C1C}">
                          <a14:useLocalDpi xmlns:a14="http://schemas.microsoft.com/office/drawing/2010/main" val="0"/>
                        </a:ext>
                      </a:extLst>
                    </a:blip>
                    <a:stretch>
                      <a:fillRect/>
                    </a:stretch>
                  </pic:blipFill>
                  <pic:spPr>
                    <a:xfrm>
                      <a:off x="0" y="0"/>
                      <a:ext cx="5703102" cy="4486320"/>
                    </a:xfrm>
                    <a:prstGeom prst="rect">
                      <a:avLst/>
                    </a:prstGeom>
                  </pic:spPr>
                </pic:pic>
              </a:graphicData>
            </a:graphic>
          </wp:inline>
        </w:drawing>
      </w:r>
    </w:p>
    <w:p w14:paraId="056BBE08" w14:textId="4955E5EA" w:rsidR="005F6F3F" w:rsidRPr="00174459" w:rsidRDefault="005F6F3F" w:rsidP="006247F8">
      <w:pPr>
        <w:pStyle w:val="VAFigureCaption"/>
        <w:outlineLvl w:val="0"/>
      </w:pPr>
      <w:r w:rsidRPr="00174459">
        <w:rPr>
          <w:b/>
        </w:rPr>
        <w:t xml:space="preserve">Figure </w:t>
      </w:r>
      <w:r w:rsidR="00E02398" w:rsidRPr="00174459">
        <w:rPr>
          <w:b/>
        </w:rPr>
        <w:t>4</w:t>
      </w:r>
      <w:r w:rsidRPr="00174459">
        <w:t xml:space="preserve">. QSAR-based VS workflow used for identifying new compounds </w:t>
      </w:r>
      <w:r w:rsidR="00023206">
        <w:t xml:space="preserve">active </w:t>
      </w:r>
      <w:r w:rsidRPr="00174459">
        <w:t xml:space="preserve">against </w:t>
      </w:r>
      <w:r w:rsidRPr="00174459">
        <w:rPr>
          <w:i/>
        </w:rPr>
        <w:t xml:space="preserve">S. </w:t>
      </w:r>
      <w:proofErr w:type="spellStart"/>
      <w:r w:rsidRPr="00174459">
        <w:rPr>
          <w:i/>
        </w:rPr>
        <w:t>mansoni</w:t>
      </w:r>
      <w:proofErr w:type="spellEnd"/>
      <w:r w:rsidRPr="00174459">
        <w:t>.</w:t>
      </w:r>
    </w:p>
    <w:p w14:paraId="35E60AEE" w14:textId="335BC14A" w:rsidR="008E6A7F" w:rsidRDefault="006A4DA2" w:rsidP="00C97866">
      <w:pPr>
        <w:pStyle w:val="TAMainText"/>
      </w:pPr>
      <w:r w:rsidRPr="00AA364E">
        <w:rPr>
          <w:b/>
          <w:i/>
          <w:color w:val="000000"/>
        </w:rPr>
        <w:t>Ex vivo</w:t>
      </w:r>
      <w:r>
        <w:rPr>
          <w:b/>
          <w:color w:val="000000"/>
        </w:rPr>
        <w:t xml:space="preserve"> Activity Against </w:t>
      </w:r>
      <w:proofErr w:type="spellStart"/>
      <w:r w:rsidR="009458F8">
        <w:rPr>
          <w:b/>
          <w:color w:val="000000"/>
        </w:rPr>
        <w:t>Schistosomula</w:t>
      </w:r>
      <w:proofErr w:type="spellEnd"/>
      <w:r w:rsidR="00597331" w:rsidRPr="00174459">
        <w:rPr>
          <w:b/>
          <w:color w:val="000000"/>
        </w:rPr>
        <w:t>.</w:t>
      </w:r>
      <w:r w:rsidR="00664FCE" w:rsidRPr="00174459">
        <w:rPr>
          <w:b/>
          <w:color w:val="000000"/>
        </w:rPr>
        <w:t xml:space="preserve"> </w:t>
      </w:r>
      <w:r w:rsidR="005923C7" w:rsidRPr="00174459">
        <w:t xml:space="preserve">Compared to target-based VS approaches, the traditional whole-organism </w:t>
      </w:r>
      <w:proofErr w:type="spellStart"/>
      <w:r w:rsidR="005923C7" w:rsidRPr="00174459">
        <w:t>schistosome</w:t>
      </w:r>
      <w:proofErr w:type="spellEnd"/>
      <w:r w:rsidR="005923C7" w:rsidRPr="00174459">
        <w:t xml:space="preserve"> screening approach (phenotypic screening) is an old but indispensable method to discover new anti-</w:t>
      </w:r>
      <w:proofErr w:type="spellStart"/>
      <w:r w:rsidR="005923C7" w:rsidRPr="00174459">
        <w:t>schistosomal</w:t>
      </w:r>
      <w:proofErr w:type="spellEnd"/>
      <w:r w:rsidR="005923C7" w:rsidRPr="00174459">
        <w:t xml:space="preserve"> agents. This phenotypic approach may be used to validate if the predicted </w:t>
      </w:r>
      <w:proofErr w:type="spellStart"/>
      <w:r w:rsidR="005923C7" w:rsidRPr="00174459">
        <w:rPr>
          <w:i/>
        </w:rPr>
        <w:t>Sm</w:t>
      </w:r>
      <w:r w:rsidR="005923C7" w:rsidRPr="00174459">
        <w:t>TGR</w:t>
      </w:r>
      <w:proofErr w:type="spellEnd"/>
      <w:r w:rsidR="005923C7" w:rsidRPr="00174459">
        <w:t>-inhibitor interaction has anti-</w:t>
      </w:r>
      <w:proofErr w:type="spellStart"/>
      <w:r w:rsidR="005923C7" w:rsidRPr="00174459">
        <w:t>schistosomal</w:t>
      </w:r>
      <w:proofErr w:type="spellEnd"/>
      <w:r w:rsidR="005923C7" w:rsidRPr="00174459">
        <w:t xml:space="preserve"> activity. </w:t>
      </w:r>
      <w:r w:rsidR="007A7A06">
        <w:t xml:space="preserve">Moreover, </w:t>
      </w:r>
      <w:r w:rsidR="005923C7" w:rsidRPr="00174459">
        <w:t>a validated compound from a phenotypic assay must ha</w:t>
      </w:r>
      <w:r w:rsidR="007A7A06">
        <w:t>ve</w:t>
      </w:r>
      <w:r w:rsidR="005923C7" w:rsidRPr="00174459">
        <w:t xml:space="preserve"> been able to reach its target within the assayed organism </w:t>
      </w:r>
      <w:r w:rsidR="007A7A06">
        <w:t xml:space="preserve">only after </w:t>
      </w:r>
      <w:r w:rsidR="005923C7" w:rsidRPr="00174459">
        <w:t xml:space="preserve">crossing several biological membranes and resisting to degradation by detoxification enzymes. Hence, a hit coming from a phenotypic screen has much more biological value than one coming from a simple biochemical assay. Advances in automated </w:t>
      </w:r>
      <w:r w:rsidR="005923C7" w:rsidRPr="00174459">
        <w:lastRenderedPageBreak/>
        <w:t>microscopes, liquid handling systems and computer-based image analysis programs have enabled the development of high-throughput phenotypic assays with cells or small whole organisms, a technique known as high-content screening (HCS).</w:t>
      </w:r>
      <w:r w:rsidR="005923C7" w:rsidRPr="00174459">
        <w:fldChar w:fldCharType="begin" w:fldLock="1"/>
      </w:r>
      <w:r w:rsidR="00456ABA">
        <w:instrText>ADDIN CSL_CITATION { "citationItems" : [ { "id" : "ITEM-1", "itemData" : { "DOI" : "10.1016/j.tibtech.2010.02.005", "ISSN" : "01677799", "author" : [ { "dropping-particle" : "", "family" : "Zanella", "given" : "Fabian", "non-dropping-particle" : "", "parse-names" : false, "suffix" : "" }, { "dropping-particle" : "", "family" : "Lorens", "given" : "James B.", "non-dropping-particle" : "", "parse-names" : false, "suffix" : "" }, { "dropping-particle" : "", "family" : "Link", "given" : "Wolfgang", "non-dropping-particle" : "", "parse-names" : false, "suffix" : "" } ], "container-title" : "Trends in Biotechnology", "id" : "ITEM-1", "issue" : "5", "issued" : { "date-parts" : [ [ "2010" ] ] }, "page" : "237-245", "publisher" : "Elsevier Ltd", "title" : "High content screening: seeing is believing", "type" : "article-journal", "volume" : "28" }, "uris" : [ "http://www.mendeley.com/documents/?uuid=484cc28e-7e9c-45d0-8e3d-74ac630fa282", "http://www.mendeley.com/documents/?uuid=f8b8abcb-3d9f-4fe2-955e-99db3bf47f2a" ] }, { "id" : "ITEM-2", "itemData" : { "DOI" : "10.1080/17460441.2016.1178230", "ISSN" : "1746-045X", "PMID" : "27073973", "abstract" : "INTRODUCTION The almost exclusive use of only praziquantel for the treatment of schistosomiasis has raised concerns about the possible emergence of drug-resistant schistosomes. Consequently, there is an urgent need for new antischistosomal drugs. The identification of leads and the generation of high quality data are crucial steps in the early stages of schistosome drug discovery projects. AREAS COVERED Herein, the authors focus on the current developments in antischistosomal lead discovery, specifically referring to the use of automated in vitro target-based and whole-organism screens and virtual screening of chemical databases. They highlight the strengths and pitfalls of each of the above-mentioned approaches, and suggest possible roadmaps towards the integration of several strategies, which may contribute for optimizing research outputs and led to more successful and cost-effective drug discovery endeavors. EXPERT OPINION Increasing partnerships and access to funding for drug discovery have strengthened the battle against schistosomiasis in recent years. However, the authors believe this battle also includes innovative strategies to overcome scientific challenges. In this context, significant advances of in vitro screening as well as computer-aided drug discovery have contributed to increase the success rate and reduce the costs of drug discovery campaigns. Although some of these approaches were already used in current antischistosomal lead discovery pipelines, the integration of these strategies in a solid workflow should allow the production of new treatments for schistosomiasis in the near future.", "author" : [ { "dropping-particle" : "", "family" : "Neves", "given" : "Bruno Junior", "non-dropping-particle" : "", "parse-names" : false, "suffix" : "" }, { "dropping-particle" : "", "family" : "Muratov", "given" : "Eugene", "non-dropping-particle" : "", "parse-names" : false, "suffix" : "" }, { "dropping-particle" : "", "family" : "Machado", "given" : "Renato Beilner", "non-dropping-particle" : "", "parse-names" : false, "suffix" : "" }, { "dropping-particle" : "", "family" : "Andrade", "given" : "Carolina Horta", "non-dropping-particle" : "", "parse-names" : false, "suffix" : "" }, { "dropping-particle" : "", "family" : "Cravo", "given" : "Pedro Vitor Lemos", "non-dropping-particle" : "", "parse-names" : false, "suffix" : "" } ], "container-title" : "Expert opinion on drug discovery", "id" : "ITEM-2", "issue" : "6", "issued" : { "date-parts" : [ [ "2016", "6" ] ] }, "page" : "557-67", "title" : "Modern approaches to accelerate discovery of new antischistosomal drugs.", "type" : "article-journal", "volume" : "11" }, "uris" : [ "http://www.mendeley.com/documents/?uuid=2e830dbd-2b54-4882-ab84-0d1e9353ed03" ] } ], "mendeley" : { "formattedCitation" : "&lt;sup&gt;62,63&lt;/sup&gt;", "plainTextFormattedCitation" : "62,63", "previouslyFormattedCitation" : "&lt;sup&gt;62,63&lt;/sup&gt;" }, "properties" : { "noteIndex" : 0 }, "schema" : "https://github.com/citation-style-language/schema/raw/master/csl-citation.json" }</w:instrText>
      </w:r>
      <w:r w:rsidR="005923C7" w:rsidRPr="00174459">
        <w:fldChar w:fldCharType="separate"/>
      </w:r>
      <w:r w:rsidR="00456ABA" w:rsidRPr="00456ABA">
        <w:rPr>
          <w:noProof/>
          <w:vertAlign w:val="superscript"/>
        </w:rPr>
        <w:t>62,63</w:t>
      </w:r>
      <w:r w:rsidR="005923C7" w:rsidRPr="00174459">
        <w:fldChar w:fldCharType="end"/>
      </w:r>
      <w:r w:rsidR="005923C7" w:rsidRPr="00174459">
        <w:t xml:space="preserve"> HCS microscopes are able to capture high resolution images of live organisms in quick succession</w:t>
      </w:r>
      <w:r w:rsidR="003D6BF1">
        <w:t xml:space="preserve">, a feature that has been explored to </w:t>
      </w:r>
      <w:r w:rsidR="005923C7" w:rsidRPr="00174459">
        <w:t>evaluate phenotypic and motility changes in schistosomula</w:t>
      </w:r>
      <w:r w:rsidR="005923C7" w:rsidRPr="00174459">
        <w:fldChar w:fldCharType="begin" w:fldLock="1"/>
      </w:r>
      <w:r w:rsidR="00456ABA">
        <w:instrText>ADDIN CSL_CITATION { "citationItems" : [ { "id" : "ITEM-1", "itemData" : { "DOI" : "10.1371/journal.pntd.0001762", "ISSN" : "1935-2735", "PMID" : "22860151", "abstract" : "Sole reliance on one drug, Praziquantel, for treatment and control of schistosomiasis raises concerns about development of widespread resistance, prompting renewed interest in the discovery of new anthelmintics. To discover new leads we designed an automated label-free, high content-based, high throughput screen (HTS) to assess drug-induced effects on in vitro cultured larvae (schistosomula) using bright-field imaging. Automatic image analysis and Bayesian prediction models define morphological damage, hit/non-hit prediction and larval phenotype characterization. Motility was also assessed from time-lapse images. In screening a 10,041 compound library the HTS correctly detected 99.8% of the hits scored visually. A proportion of these larval hits were also active in an adult worm ex-vivo screen and are the subject of ongoing studies. The method allows, for the first time, screening of large compound collections against schistosomes and the methods are adaptable to other whole organism and cell-based screening by morphology and motility phenotyping.", "author" : [ { "dropping-particle" : "", "family" : "Paveley", "given" : "Ross", "non-dropping-particle" : "", "parse-names" : false, "suffix" : "" }, { "dropping-particle" : "", "family" : "Mansour", "given" : "Nuha R", "non-dropping-particle" : "", "parse-names" : false, "suffix" : "" }, { "dropping-particle" : "", "family" : "Hallyburton", "given" : "Irene", "non-dropping-particle" : "", "parse-names" : false, "suffix" : "" }, { "dropping-particle" : "", "family" : "Bleicher", "given" : "Leo S", "non-dropping-particle" : "", "parse-names" : false, "suffix" : "" }, { "dropping-particle" : "", "family" : "Benn", "given" : "Alex E", "non-dropping-particle" : "", "parse-names" : false, "suffix" : "" }, { "dropping-particle" : "", "family" : "Mikic", "given" : "Ivana", "non-dropping-particle" : "", "parse-names" : false, "suffix" : "" }, { "dropping-particle" : "", "family" : "Guidi", "given" : "Alessandra", "non-dropping-particle" : "", "parse-names" : false, "suffix" : "" }, { "dropping-particle" : "", "family" : "Gilbert", "given" : "Ian H", "non-dropping-particle" : "", "parse-names" : false, "suffix" : "" }, { "dropping-particle" : "", "family" : "Hopkins", "given" : "Andrew L", "non-dropping-particle" : "", "parse-names" : false, "suffix" : "" }, { "dropping-particle" : "", "family" : "Bickle", "given" : "Quentin D", "non-dropping-particle" : "", "parse-names" : false, "suffix" : "" } ], "container-title" : "PLoS Neglected Tropical Diseases", "editor" : [ { "dropping-particle" : "", "family" : "Simeonov", "given" : "Anton", "non-dropping-particle" : "", "parse-names" : false, "suffix" : "" } ], "id" : "ITEM-1", "issue" : "7", "issued" : { "date-parts" : [ [ "2012", "7", "31" ] ] }, "page" : "e1762", "title" : "Whole Organism High-Content Screening by Label-Free, Image-Based Bayesian Classification for Parasitic Diseases", "type" : "article-journal", "volume" : "6" }, "uris" : [ "http://www.mendeley.com/documents/?uuid=d30ecd1d-e697-435b-afc9-7ed86f415efe", "http://www.mendeley.com/documents/?uuid=0338ed2d-2fc7-4034-8fe2-f336b77991e9" ] } ], "mendeley" : { "formattedCitation" : "&lt;sup&gt;64&lt;/sup&gt;", "plainTextFormattedCitation" : "64", "previouslyFormattedCitation" : "&lt;sup&gt;64&lt;/sup&gt;" }, "properties" : { "noteIndex" : 0 }, "schema" : "https://github.com/citation-style-language/schema/raw/master/csl-citation.json" }</w:instrText>
      </w:r>
      <w:r w:rsidR="005923C7" w:rsidRPr="00174459">
        <w:fldChar w:fldCharType="separate"/>
      </w:r>
      <w:r w:rsidR="00456ABA" w:rsidRPr="00456ABA">
        <w:rPr>
          <w:noProof/>
          <w:vertAlign w:val="superscript"/>
        </w:rPr>
        <w:t>64</w:t>
      </w:r>
      <w:r w:rsidR="005923C7" w:rsidRPr="00174459">
        <w:fldChar w:fldCharType="end"/>
      </w:r>
      <w:r w:rsidR="005923C7" w:rsidRPr="00174459">
        <w:t xml:space="preserve"> </w:t>
      </w:r>
      <w:r w:rsidR="007A7A06">
        <w:t>or adult worms.</w:t>
      </w:r>
      <w:r w:rsidR="00456ABA">
        <w:fldChar w:fldCharType="begin" w:fldLock="1"/>
      </w:r>
      <w:r w:rsidR="00456ABA">
        <w:instrText>ADDIN CSL_CITATION { "citationItems" : [ { "id" : "ITEM-1", "itemData" : { "DOI" : "10.1021/acs.jcim.6b00055", "ISSN" : "1549-9596", "author" : [ { "dropping-particle" : "", "family" : "Melo-Filho", "given" : "Cleber C", "non-dropping-particle" : "", "parse-names" : false, "suffix" : "" }, { "dropping-particle" : "", "family" : "Dantas", "given" : "Rafael F", "non-dropping-particle" : "", "parse-names" : false, "suffix" : "" }, { "dropping-particle" : "", "family" : "Braga", "given" : "Rodolpho C", "non-dropping-particle" : "", "parse-names" : false, "suffix" : "" }, { "dropping-particle" : "", "family" : "Neves", "given" : "Bruno J", "non-dropping-particle" : "", "parse-names" : false, "suffix" : "" }, { "dropping-particle" : "", "family" : "Senger", "given" : "Mario R", "non-dropping-particle" : "", "parse-names" : false, "suffix" : "" }, { "dropping-particle" : "", "family" : "Valente", "given" : "Walter C.G.", "non-dropping-particle" : "", "parse-names" : false, "suffix" : "" }, { "dropping-particle" : "", "family" : "Rezende-Neto", "given" : "Joao M", "non-dropping-particle" : "", "parse-names" : false, "suffix" : "" }, { "dropping-particle" : "", "family" : "Chaves", "given" : "Willian T", "non-dropping-particle" : "", "parse-names" : false, "suffix" : "" }, { "dropping-particle" : "", "family" : "Muratov", "given" : "Eugene N.", "non-dropping-particle" : "", "parse-names" : false, "suffix" : "" }, { "dropping-particle" : "", "family" : "Paveley", "given" : "Ross A", "non-dropping-particle" : "", "parse-names" : false, "suffix" : "" }, { "dropping-particle" : "", "family" : "Furnham", "given" : "Nicholas", "non-dropping-particle" : "", "parse-names" : false, "suffix" : "" }, { "dropping-particle" : "", "family" : "Kamentsky", "given" : "Lee", "non-dropping-particle" : "", "parse-names" : false, "suffix" : "" }, { "dropping-particle" : "", "family" : "Carpenter", "given" : "Anne E.", "non-dropping-particle" : "", "parse-names" : false, "suffix" : "" }, { "dropping-particle" : "", "family" : "Junior", "given" : "Floriano Paes Silva", "non-dropping-particle" : "", "parse-names" : false, "suffix" : "" }, { "dropping-particle" : "", "family" : "Andrade", "given" : "Carolina Horta", "non-dropping-particle" : "", "parse-names" : false, "suffix" : "" } ], "container-title" : "Journal of Chemical Information and Modeling", "id" : "ITEM-1", "issued" : { "date-parts" : [ [ "2016", "6", "2" ] ] }, "page" : "acs.jcim.6b00055", "title" : "QSAR-Driven Discovery of Novel Chemical Scaffolds Active Against Schistosoma mansoni", "type" : "article-journal" }, "uris" : [ "http://www.mendeley.com/documents/?uuid=eea901dc-3400-4ec5-ab66-23293ac126ac" ] }, { "id" : "ITEM-2", "itemData" : { "DOI" : "10.1039/C5MD00596E", "ISSN" : "2040-2503", "author" : [ { "dropping-particle" : "", "family" : "Neves", "given" : "Bruno Junior", "non-dropping-particle" : "", "parse-names" : false, "suffix" : "" }, { "dropping-particle" : "", "family" : "Dantas", "given" : "Rafael Ferreira", "non-dropping-particle" : "", "parse-names" : false, "suffix" : "" }, { "dropping-particle" : "", "family" : "Senger", "given" : "Mario Roberto", "non-dropping-particle" : "", "parse-names" : false, "suffix" : "" }, { "dropping-particle" : "", "family" : "Valente", "given" : "Walter C\u00e9sar G\u00f3es", "non-dropping-particle" : "", "parse-names" : false, "suffix" : "" }, { "dropping-particle" : "", "family" : "Rezende-Neto", "given" : "Jo\u00e3o de Mello", "non-dropping-particle" : "", "parse-names" : false, "suffix" : "" }, { "dropping-particle" : "", "family" : "Chaves", "given" : "Willian T\u00e1vora", "non-dropping-particle" : "", "parse-names" : false, "suffix" : "" }, { "dropping-particle" : "", "family" : "Kamentsky", "given" : "Lee", "non-dropping-particle" : "", "parse-names" : false, "suffix" : "" }, { "dropping-particle" : "", "family" : "Carpenter", "given" : "Anne", "non-dropping-particle" : "", "parse-names" : false, "suffix" : "" }, { "dropping-particle" : "", "family" : "Silva-Junior", "given" : "Floriano Paes", "non-dropping-particle" : "", "parse-names" : false, "suffix" : "" }, { "dropping-particle" : "", "family" : "Andrade", "given" : "Carolina Horta", "non-dropping-particle" : "", "parse-names" : false, "suffix" : "" } ], "container-title" : "Med. Chem. Commun.", "id" : "ITEM-2", "issued" : { "date-parts" : [ [ "2016" ] ] }, "title" : "The antidepressant drug paroxetine as a new lead candidate in schistosome drug discovery", "type" : "article-journal" }, "uris" : [ "http://www.mendeley.com/documents/?uuid=482b417b-8a46-467f-8ff5-038e6998e6fe" ] } ], "mendeley" : { "formattedCitation" : "&lt;sup&gt;65,66&lt;/sup&gt;", "plainTextFormattedCitation" : "65,66", "previouslyFormattedCitation" : "&lt;sup&gt;65,66&lt;/sup&gt;" }, "properties" : { "noteIndex" : 0 }, "schema" : "https://github.com/citation-style-language/schema/raw/master/csl-citation.json" }</w:instrText>
      </w:r>
      <w:r w:rsidR="00456ABA">
        <w:fldChar w:fldCharType="separate"/>
      </w:r>
      <w:r w:rsidR="00456ABA" w:rsidRPr="00456ABA">
        <w:rPr>
          <w:noProof/>
          <w:vertAlign w:val="superscript"/>
        </w:rPr>
        <w:t>65,66</w:t>
      </w:r>
      <w:r w:rsidR="00456ABA">
        <w:fldChar w:fldCharType="end"/>
      </w:r>
    </w:p>
    <w:p w14:paraId="7EF3D8AC" w14:textId="21DCFE75" w:rsidR="00532B53" w:rsidRPr="002761BB" w:rsidRDefault="005923C7" w:rsidP="00C97866">
      <w:pPr>
        <w:pStyle w:val="TAMainText"/>
      </w:pPr>
      <w:r w:rsidRPr="00174459">
        <w:t>Therefore</w:t>
      </w:r>
      <w:r w:rsidR="00BC3B1C" w:rsidRPr="00174459">
        <w:t>, w</w:t>
      </w:r>
      <w:r w:rsidR="00853AC5" w:rsidRPr="00174459">
        <w:t xml:space="preserve">e </w:t>
      </w:r>
      <w:r w:rsidR="003D6BF1">
        <w:t xml:space="preserve">employed a HCS assay to </w:t>
      </w:r>
      <w:r w:rsidR="00853AC5" w:rsidRPr="00174459">
        <w:t xml:space="preserve">evaluate the </w:t>
      </w:r>
      <w:r w:rsidR="00664FCE" w:rsidRPr="00174459">
        <w:t xml:space="preserve">biological activity of </w:t>
      </w:r>
      <w:r w:rsidR="00853AC5" w:rsidRPr="00174459">
        <w:t xml:space="preserve">the selected </w:t>
      </w:r>
      <w:r w:rsidR="00664FCE" w:rsidRPr="00174459">
        <w:t>compounds</w:t>
      </w:r>
      <w:r w:rsidR="00023206">
        <w:t xml:space="preserve"> from virtual screening</w:t>
      </w:r>
      <w:r w:rsidR="00664FCE" w:rsidRPr="00174459">
        <w:t xml:space="preserve"> against the </w:t>
      </w:r>
      <w:r w:rsidR="00664FCE" w:rsidRPr="00174459">
        <w:rPr>
          <w:i/>
        </w:rPr>
        <w:t xml:space="preserve">S. </w:t>
      </w:r>
      <w:proofErr w:type="spellStart"/>
      <w:r w:rsidR="00664FCE" w:rsidRPr="00174459">
        <w:rPr>
          <w:i/>
        </w:rPr>
        <w:t>mansoni</w:t>
      </w:r>
      <w:proofErr w:type="spellEnd"/>
      <w:r w:rsidR="00664FCE" w:rsidRPr="00174459">
        <w:rPr>
          <w:i/>
        </w:rPr>
        <w:t xml:space="preserve"> </w:t>
      </w:r>
      <w:proofErr w:type="spellStart"/>
      <w:r w:rsidR="009458F8">
        <w:t>schistosomula</w:t>
      </w:r>
      <w:proofErr w:type="spellEnd"/>
      <w:r w:rsidR="00664FCE" w:rsidRPr="00174459">
        <w:t xml:space="preserve">. </w:t>
      </w:r>
      <w:r w:rsidR="003D6BF1">
        <w:t xml:space="preserve">Assaying against this larval stage </w:t>
      </w:r>
      <w:r w:rsidR="00664FCE" w:rsidRPr="00174459">
        <w:t xml:space="preserve">is commonly used as an initial screening step in </w:t>
      </w:r>
      <w:proofErr w:type="spellStart"/>
      <w:r w:rsidR="00CE393B" w:rsidRPr="00174459">
        <w:t>antischistosomal</w:t>
      </w:r>
      <w:proofErr w:type="spellEnd"/>
      <w:r w:rsidR="00CE393B" w:rsidRPr="00174459">
        <w:t xml:space="preserve"> </w:t>
      </w:r>
      <w:r w:rsidR="00664FCE" w:rsidRPr="00174459">
        <w:t>drug discovery campaigns</w:t>
      </w:r>
      <w:r w:rsidR="00B95019" w:rsidRPr="00174459">
        <w:fldChar w:fldCharType="begin" w:fldLock="1"/>
      </w:r>
      <w:r w:rsidR="00456ABA">
        <w:instrText>ADDIN CSL_CITATION { "citationItems" : [ { "id" : "ITEM-1", "itemData" : { "DOI" : "10.1186/s13071-015-1233-3", "ISSN" : "1756-3305", "PMID" : "26644133", "abstract" : "BACKGROUND Schistosomiasis is responsible for a tremendous public health burden, yet only a single drug, praziquantel, is available. New antischistosomal treatments should therefore be developed. The accuracy, speed and objectivity of in vitro drug screening depend on the assay read-out. Microscopy is still the current gold standard and is in need of updating to an automated format. The aim of the present study was to investigate a panel of fluorescence/luminescence dyes for their applicability as viability markers in drug sensitivity assays for Schistosoma mansoni schistosomula. METHODS A search for available viability and cytotoxicity marker assays and dyes was carried out and a short-list of the most interesting candidates was created. The selected kits and dyes were tested on S. mansoni Newly Transformed Schistosomula (NTS), first to assess whether they correlate with parasite viability, with comparatively low background noise, and to optimise assay conditions. Markers fulfilling these criteria were then tested in a dose-response drug assay using standard and experimental drugs and those for which an IC50 value could be accurately and reproducibly calculated were also tested on a subset of a compound library to determine their hit-identification accuracy. RESULTS Of the 11 markers selected for testing, resazurin, Vybrant\u00ae and CellTiter-Glo\u00ae correlated best with NTS viability, produced signals \u2265 3-fold stronger than background noise and revealed a significant signal-to-NTS concentration relationship. Of these, CellTiter-Glo\u00ae could be used to accurately determine IC50 values for antischistosomals. Use of CellTiter-Glo\u00ae in a compound subset screen identified 100% of hits that were identified using standard microscopic evaluation. CONCLUSION This study presents a comprehensive overview of the utility of colorimetric markers in drug screening. Our study demonstrates that it is difficult to develop a simple, cheap \"just add\" colorimetric marker-based drug assay for the larval stage of S. mansoni. CellTiter-Glo\u00ae can likely be used for endpoint go/no go screens and potentially for drug dose-response studies.", "author" : [ { "dropping-particle" : "", "family" : "Panic", "given" : "Gordana", "non-dropping-particle" : "", "parse-names" : false, "suffix" : "" }, { "dropping-particle" : "", "family" : "Flores", "given" : "Dayana", "non-dropping-particle" : "", "parse-names" : false, "suffix" : "" }, { "dropping-particle" : "", "family" : "Ingram-Sieber", "given" : "Katrin", "non-dropping-particle" : "", "parse-names" : false, "suffix" : "" }, { "dropping-particle" : "", "family" : "Keiser", "given" : "Jennifer", "non-dropping-particle" : "", "parse-names" : false, "suffix" : "" } ], "container-title" : "Parasites &amp; vectors", "id" : "ITEM-1", "issue" : "8", "issued" : { "date-parts" : [ [ "2015" ] ] }, "page" : "624", "title" : "Fluorescence/luminescence-based markers for the assessment of Schistosoma mansoni schistosomula drug assays.", "type" : "article-journal", "volume" : "8" }, "uris" : [ "http://www.mendeley.com/documents/?uuid=f6593c05-4585-49ab-ad78-0ec460c415b7", "http://www.mendeley.com/documents/?uuid=2dd09e57-e16d-4762-9a60-3ef2585ed70f", "http://www.mendeley.com/documents/?uuid=a50e44bc-aad8-41d1-8319-1c58645c746e" ] }, { "id" : "ITEM-2", "itemData" : { "DOI" : "10.1186/s13071-015-1023-y", "ISSN" : "1756-3305", "PMID" : "26265386", "abstract" : "BACKGROUND Drug discovery for the neglected tropical disease schistosomiasis has a high priority. Anticancer drugs, especially protein kinase inhibitors, might serve as a starting point for drug discovery owing to the importance of protein kinases in helminth growth and development. Furthermore, the Schistosoma mansoni genome encodes several genes for targets of drugs marketed for human use, including several anticancer drugs. METHODS In this study, we screened the approved oncology drug set of the National Cancer Institute's Developmental Therapeutic Program for antischistosomal activity. Drugs were tested in vitro against the larval and adult stage of S. mansoni. IC50 values and albumin binding were determined for active compounds. Lead compounds were tested in the chronic S. mansoni mouse model. RESULTS Eleven of the 114 compounds tested revealed IC50 values \u2264 10 \u03bcM against both S. mansoni stages. Five of these lost activity against adult S. mansoni in the presence of serum albumin. Of 6 compounds studied in vivo, the highest activity was observed from two kinase inhibitors trametinib, and vandetanib, which reduced worm burden by 63.6 and 48.1% respectively, after a single oral dose of 400 mg/kg body weight. CONCLUSION Our study has confirmed that oncology drugs possess antischistosomal activity. There is space for further investigation, including elucidation of the mechanisms of action of schistosome-active cancer drugs, application of different treatment courses, and structure-activity relationship studies for improving drug potency.", "author" : [ { "dropping-particle" : "", "family" : "Cowan", "given" : "Noemi", "non-dropping-particle" : "", "parse-names" : false, "suffix" : "" }, { "dropping-particle" : "", "family" : "Keiser", "given" : "Jennifer", "non-dropping-particle" : "", "parse-names" : false, "suffix" : "" } ], "container-title" : "Parasites &amp; vectors", "id" : "ITEM-2", "issue" : "8", "issued" : { "date-parts" : [ [ "2015" ] ] }, "page" : "417", "title" : "Repurposing of anticancer drugs: in vitro and in vivo activities against Schistosoma mansoni.", "type" : "article-journal", "volume" : "13" }, "uris" : [ "http://www.mendeley.com/documents/?uuid=29fe1f25-4f42-4393-979f-b19b04b73472", "http://www.mendeley.com/documents/?uuid=5b0163da-a246-40dd-98c0-5fe65497b0ef" ] }, { "id" : "ITEM-3", "itemData" : { "DOI" : "10.1371/journal.pntd.0003962", "ISSN" : "1935-2735", "author" : [ { "dropping-particle" : "", "family" : "Panic", "given" : "Gordana", "non-dropping-particle" : "", "parse-names" : false, "suffix" : "" }, { "dropping-particle" : "", "family" : "Vargas", "given" : "Mireille", "non-dropping-particle" : "", "parse-names" : false, "suffix" : "" }, { "dropping-particle" : "", "family" : "Scandale", "given" : "Ivan", "non-dropping-particle" : "", "parse-names" : false, "suffix" : "" }, { "dropping-particle" : "", "family" : "Keiser", "given" : "Jennifer", "non-dropping-particle" : "", "parse-names" : false, "suffix" : "" } ], "container-title" : "PLOS Neglected Tropical Diseases", "editor" : [ { "dropping-particle" : "", "family" : "Cunningham", "given" : "Charles", "non-dropping-particle" : "", "parse-names" : false, "suffix" : "" } ], "id" : "ITEM-3", "issue" : "7", "issued" : { "date-parts" : [ [ "2015", "7", "31" ] ] }, "page" : "e0003962", "title" : "Activity Profile of an FDA-Approved Compound Library against Schistosoma mansoni", "type" : "article-journal", "volume" : "9" }, "uris" : [ "http://www.mendeley.com/documents/?uuid=c284cb77-5799-48f9-b6f1-d7b34ee7c695", "http://www.mendeley.com/documents/?uuid=5a9ef78d-898a-49c3-91d4-229d4aae6015" ] }, { "id" : "ITEM-4", "itemData" : { "DOI" : "10.1371/journal.pntd.0002610", "ISSN" : "1935-2735", "author" : [ { "dropping-particle" : "", "family" : "Ingram-Sieber", "given" : "Katrin", "non-dropping-particle" : "", "parse-names" : false, "suffix" : "" }, { "dropping-particle" : "", "family" : "Cowan", "given" : "Noemi", "non-dropping-particle" : "", "parse-names" : false, "suffix" : "" }, { "dropping-particle" : "", "family" : "Panic", "given" : "Gordana", "non-dropping-particle" : "", "parse-names" : false, "suffix" : "" }, { "dropping-particle" : "", "family" : "Vargas", "given" : "Mireille", "non-dropping-particle" : "", "parse-names" : false, "suffix" : "" }, { "dropping-particle" : "", "family" : "Mansour", "given" : "Nuha R.", "non-dropping-particle" : "", "parse-names" : false, "suffix" : "" }, { "dropping-particle" : "", "family" : "Bickle", "given" : "Quentin D.", "non-dropping-particle" : "", "parse-names" : false, "suffix" : "" }, { "dropping-particle" : "", "family" : "Wells", "given" : "Timothy N. C.", "non-dropping-particle" : "", "parse-names" : false, "suffix" : "" }, { "dropping-particle" : "", "family" : "Spangenberg", "given" : "Thomas", "non-dropping-particle" : "", "parse-names" : false, "suffix" : "" }, { "dropping-particle" : "", "family" : "Keiser", "given" : "Jennifer", "non-dropping-particle" : "", "parse-names" : false, "suffix" : "" } ], "container-title" : "PLoS Neglected Tropical Diseases", "id" : "ITEM-4", "issue" : "1", "issued" : { "date-parts" : [ [ "2014" ] ] }, "page" : "e2610", "title" : "Orally Active Antischistosomal Early Leads Identified from the Open Access Malaria Box", "type" : "article-journal", "volume" : "8" }, "uris" : [ "http://www.mendeley.com/documents/?uuid=7c58a0d7-90b0-402c-9f93-5681866d6ce1", "http://www.mendeley.com/documents/?uuid=5588cd9e-f98a-4aa3-9795-2699eeba094e" ] }, { "id" : "ITEM-5", "itemData" : { "DOI" : "10.1111/pim.12037", "ISSN" : "1365-3024", "PMID" : "23581722", "abstract" : "Helminth infections still represent a huge public health problem throughout the developing world and in the absence of vaccines control is based on periodic mass drug administration. Poor efficacy of some anthelmintics and concerns about emergence of drug resistance has highlighted the need for new drug discovery. Most current anthelmintics were discovered through in vivo screening of selected compounds in animal models but recent approaches have shifted towards screening for activity against adult or larval stages in vitro. Larvae are normally available in greater numbers than adults, can often be produced in vitro and are small enough for microplate assays. However, the manual visualization of drug effects in vitro is subjective, laborious and slow. This can be overcome by application of automated readouts including high-content imaging. Incorporated into robotically controlled HTS platforms such methods allow the very large compound collections being made available by the pharmaceutical industry or academic organizations to be screened against helminths for the first time, invigorating the drug discovery pipeline. Here, we review the status of whole-organism screens based on in vitro activity against living worms and highlight the recent progress towards automated image-based readouts.", "author" : [ { "dropping-particle" : "", "family" : "Paveley", "given" : "R A", "non-dropping-particle" : "", "parse-names" : false, "suffix" : "" }, { "dropping-particle" : "", "family" : "Bickle", "given" : "Q D", "non-dropping-particle" : "", "parse-names" : false, "suffix" : "" } ], "container-title" : "Parasite immunology", "id" : "ITEM-5", "issue" : "9-10", "issued" : { "date-parts" : [ [ "2013", "10" ] ] }, "page" : "302-313", "title" : "Automated imaging and other developments in whole-organism anthelmintic screening.", "type" : "article-journal", "volume" : "35" }, "uris" : [ "http://www.mendeley.com/documents/?uuid=a3460f53-0c74-4abe-af9a-2d0a165beac7", "http://www.mendeley.com/documents/?uuid=806f2cb8-a000-4b06-9cd1-e5794bb8a540", "http://www.mendeley.com/documents/?uuid=194aeec4-6fae-4582-b7cd-66275258715f" ] }, { "id" : "ITEM-6", "itemData" : { "DOI" : "10.1371/journal.pntd.0000478", "ISSN" : "1935-2735", "PMID" : "19597541", "abstract" : "BACKGROUND: Praziquantel (PZQ) is the only widely available drug to treat schistosomiasis. Given the potential for drug resistance, it is prudent to search for novel therapeutics. Identification of anti-schistosomal chemicals has traditionally relied on phenotypic (whole organism) screening with adult worms in vitro and/or animal models of disease-tools that limit automation and throughput with modern microtiter plate-formatted compound libraries. METHODS: A partially automated, three-component phenotypic screen workflow is presented that utilizes at its apex the schistosomular stage of the parasite adapted to a 96-well plate format with a throughput of 640 compounds per month. Hits that arise are subsequently screened in vitro against adult parasites and finally for efficacy in a murine model of disease. Two GO/NO GO criteria filters in the workflow prioritize hit compounds for tests in the animal disease model in accordance with a target drug profile that demands short-course oral therapy. The screen workflow was inaugurated with 2,160 chemically diverse natural and synthetic compounds, of which 821 are drugs already approved for human use. This affords a unique starting point to 'reposition' (re-profile) drugs as anti-schistosomals with potential savings in development timelines and costs. FINDINGS: Multiple and dynamic phenotypes could be categorized for schistosomula and adults in vitro, and a diverse set of 'hit' drugs and chemistries were identified, including anti-schistosomals, anthelmintics, antibiotics, and neuromodulators. Of those hits prioritized for tests in the animal disease model, a number of leads were identified, one of which compares reasonably well with PZQ in significantly decreasing worm and egg burdens, and disease-associated pathology. Data arising from the three components of the screen are posted online as a community resource. CONCLUSIONS: To accelerate the identification of novel anti-schistosomals, we have developed a partially automated screen workflow that interfaces schistosomula with microtiter plate-formatted compound libraries. The workflow has identified various compounds and drugs as hits in vitro and leads, with the prescribed oral efficacy, in vivo. Efforts to improve throughput, automation, and rigor of the screening workflow are ongoing.", "author" : [ { "dropping-particle" : "", "family" : "Abdulla", "given" : "Maha-Hamadien", "non-dropping-particle" : "", "parse-names" : false, "suffix" : "" }, { "dropping-particle" : "", "family" : "Ruelas", "given" : "Debbie S", "non-dropping-particle" : "", "parse-names" : false, "suffix" : "" }, { "dropping-particle" : "", "family" : "Wolff", "given" : "Brian", "non-dropping-particle" : "", "parse-names" : false, "suffix" : "" }, { "dropping-particle" : "", "family" : "Snedecor", "given" : "June", "non-dropping-particle" : "", "parse-names" : false, "suffix" : "" }, { "dropping-particle" : "", "family" : "Lim", "given" : "Kee-Chong", "non-dropping-particle" : "", "parse-names" : false, "suffix" : "" }, { "dropping-particle" : "", "family" : "Xu", "given" : "Fengyun", "non-dropping-particle" : "", "parse-names" : false, "suffix" : "" }, { "dropping-particle" : "", "family" : "Renslo", "given" : "Adam R", "non-dropping-particle" : "", "parse-names" : false, "suffix" : "" }, { "dropping-particle" : "", "family" : "Williams", "given" : "Janice", "non-dropping-particle" : "", "parse-names" : false, "suffix" : "" }, { "dropping-particle" : "", "family" : "McKerrow", "given" : "James H", "non-dropping-particle" : "", "parse-names" : false, "suffix" : "" }, { "dropping-particle" : "", "family" : "Caffrey", "given" : "Conor R", "non-dropping-particle" : "", "parse-names" : false, "suffix" : "" } ], "container-title" : "PLoS Neglected Tropical Diseases", "id" : "ITEM-6", "issue" : "7", "issued" : { "date-parts" : [ [ "2009", "1" ] ] }, "page" : "e478", "title" : "Drug discovery for schistosomiasis: hit and lead compounds identified in a library of known drugs by medium-throughput phenotypic screening.", "type" : "article-journal", "volume" : "3" }, "uris" : [ "http://www.mendeley.com/documents/?uuid=381c2b55-5ddf-422c-bf8d-b45c75bf476f" ] } ], "mendeley" : { "formattedCitation" : "&lt;sup&gt;67\u201372&lt;/sup&gt;", "plainTextFormattedCitation" : "67\u201372", "previouslyFormattedCitation" : "&lt;sup&gt;67\u201372&lt;/sup&gt;" }, "properties" : { "noteIndex" : 0 }, "schema" : "https://github.com/citation-style-language/schema/raw/master/csl-citation.json" }</w:instrText>
      </w:r>
      <w:r w:rsidR="00B95019" w:rsidRPr="00174459">
        <w:fldChar w:fldCharType="separate"/>
      </w:r>
      <w:r w:rsidR="00456ABA" w:rsidRPr="00456ABA">
        <w:rPr>
          <w:noProof/>
          <w:vertAlign w:val="superscript"/>
        </w:rPr>
        <w:t>67–72</w:t>
      </w:r>
      <w:r w:rsidR="00B95019" w:rsidRPr="00174459">
        <w:fldChar w:fldCharType="end"/>
      </w:r>
      <w:r w:rsidR="00664FCE" w:rsidRPr="00174459">
        <w:t xml:space="preserve"> since </w:t>
      </w:r>
      <w:proofErr w:type="spellStart"/>
      <w:r w:rsidR="009458F8">
        <w:t>schistosomula</w:t>
      </w:r>
      <w:proofErr w:type="spellEnd"/>
      <w:r w:rsidR="00664FCE" w:rsidRPr="00174459">
        <w:t xml:space="preserve"> are easier to obtain </w:t>
      </w:r>
      <w:r w:rsidR="00CE393B" w:rsidRPr="00174459">
        <w:t>in large</w:t>
      </w:r>
      <w:r w:rsidR="004063A6" w:rsidRPr="00174459">
        <w:t>r</w:t>
      </w:r>
      <w:r w:rsidR="00CE393B" w:rsidRPr="00174459">
        <w:t xml:space="preserve"> numbers </w:t>
      </w:r>
      <w:r w:rsidR="00DC40A0" w:rsidRPr="00174459">
        <w:t xml:space="preserve">than adult worms. Of the </w:t>
      </w:r>
      <w:r w:rsidR="00CE393B" w:rsidRPr="00174459">
        <w:t>2</w:t>
      </w:r>
      <w:r w:rsidR="00CA4655" w:rsidRPr="00174459">
        <w:t>9</w:t>
      </w:r>
      <w:r w:rsidR="00DF5A3E" w:rsidRPr="00174459">
        <w:t xml:space="preserve"> </w:t>
      </w:r>
      <w:r w:rsidR="00CE393B" w:rsidRPr="00174459">
        <w:t xml:space="preserve">compounds </w:t>
      </w:r>
      <w:r w:rsidR="00D332C5" w:rsidRPr="00174459">
        <w:t xml:space="preserve">tested </w:t>
      </w:r>
      <w:r w:rsidR="00664FCE" w:rsidRPr="00174459">
        <w:t xml:space="preserve">against </w:t>
      </w:r>
      <w:proofErr w:type="spellStart"/>
      <w:r w:rsidR="00664FCE" w:rsidRPr="00174459">
        <w:t>schistosomula</w:t>
      </w:r>
      <w:proofErr w:type="spellEnd"/>
      <w:r w:rsidR="00664FCE" w:rsidRPr="00174459">
        <w:t xml:space="preserve">, </w:t>
      </w:r>
      <w:r w:rsidR="00CA4655" w:rsidRPr="00174459">
        <w:t>six</w:t>
      </w:r>
      <w:r w:rsidR="00664FCE" w:rsidRPr="00174459">
        <w:t xml:space="preserve"> </w:t>
      </w:r>
      <w:r w:rsidR="00664FCE" w:rsidRPr="002761BB">
        <w:t xml:space="preserve">were declared </w:t>
      </w:r>
      <w:r w:rsidR="00853AC5" w:rsidRPr="002761BB">
        <w:t xml:space="preserve">confirmed actives </w:t>
      </w:r>
      <w:r w:rsidR="00664FCE" w:rsidRPr="002761BB">
        <w:t xml:space="preserve">based on motility and phenotype scores at 20 </w:t>
      </w:r>
      <w:r w:rsidR="00664FCE" w:rsidRPr="002761BB">
        <w:rPr>
          <w:rFonts w:cs="Times"/>
        </w:rPr>
        <w:t>µ</w:t>
      </w:r>
      <w:r w:rsidR="00664FCE" w:rsidRPr="002761BB">
        <w:t>M</w:t>
      </w:r>
      <w:r w:rsidR="00F47E7E" w:rsidRPr="002761BB">
        <w:t xml:space="preserve"> after 48h of </w:t>
      </w:r>
      <w:r w:rsidR="003A5A33" w:rsidRPr="002761BB">
        <w:t>exposure</w:t>
      </w:r>
      <w:r w:rsidR="007E1E0A" w:rsidRPr="002761BB">
        <w:t xml:space="preserve"> (Table S6)</w:t>
      </w:r>
      <w:r w:rsidR="00664FCE" w:rsidRPr="002761BB">
        <w:t xml:space="preserve">. </w:t>
      </w:r>
      <w:r w:rsidR="00975584" w:rsidRPr="00975584">
        <w:t xml:space="preserve">The </w:t>
      </w:r>
      <w:r w:rsidR="00975584">
        <w:t xml:space="preserve">chemical </w:t>
      </w:r>
      <w:r w:rsidR="00975584" w:rsidRPr="00975584">
        <w:t xml:space="preserve">structures of the </w:t>
      </w:r>
      <w:r w:rsidR="00975584">
        <w:t>six</w:t>
      </w:r>
      <w:r w:rsidR="00975584" w:rsidRPr="00975584">
        <w:t xml:space="preserve"> </w:t>
      </w:r>
      <w:r w:rsidR="000A7135">
        <w:t>primary hits</w:t>
      </w:r>
      <w:r w:rsidR="00975584" w:rsidRPr="00975584">
        <w:t xml:space="preserve"> are shown in Figure 5.</w:t>
      </w:r>
      <w:r w:rsidR="00975584" w:rsidRPr="00975584" w:rsidDel="007E1E0A">
        <w:t xml:space="preserve"> </w:t>
      </w:r>
    </w:p>
    <w:p w14:paraId="0DDF291C" w14:textId="513DD7A5" w:rsidR="00975584" w:rsidRDefault="001B7FAF" w:rsidP="00AE1417">
      <w:pPr>
        <w:pStyle w:val="TAMainText"/>
        <w:ind w:firstLine="0"/>
        <w:jc w:val="center"/>
      </w:pPr>
      <w:r>
        <w:rPr>
          <w:noProof/>
        </w:rPr>
        <w:drawing>
          <wp:inline distT="0" distB="0" distL="0" distR="0" wp14:anchorId="4C86BF30" wp14:editId="396751F2">
            <wp:extent cx="6018561" cy="2943225"/>
            <wp:effectExtent l="0" t="0" r="127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21347" cy="2944588"/>
                    </a:xfrm>
                    <a:prstGeom prst="rect">
                      <a:avLst/>
                    </a:prstGeom>
                  </pic:spPr>
                </pic:pic>
              </a:graphicData>
            </a:graphic>
          </wp:inline>
        </w:drawing>
      </w:r>
    </w:p>
    <w:p w14:paraId="696E57ED" w14:textId="2571BDB7" w:rsidR="00975584" w:rsidRDefault="00975584" w:rsidP="00AE1417">
      <w:pPr>
        <w:pStyle w:val="VAFigureCaption"/>
      </w:pPr>
      <w:r w:rsidRPr="00AE1417">
        <w:rPr>
          <w:b/>
        </w:rPr>
        <w:t>Figure 5.</w:t>
      </w:r>
      <w:r>
        <w:t xml:space="preserve"> </w:t>
      </w:r>
      <w:r w:rsidRPr="00975584">
        <w:t>Chemical structures of six priority hits selected for further follow up.</w:t>
      </w:r>
    </w:p>
    <w:p w14:paraId="0AD2EEED" w14:textId="7962A2DE" w:rsidR="008F3B6D" w:rsidRDefault="008F3B6D" w:rsidP="00C97866">
      <w:pPr>
        <w:pStyle w:val="TAMainText"/>
      </w:pPr>
      <w:r w:rsidRPr="008F3B6D">
        <w:lastRenderedPageBreak/>
        <w:t>Following the initi</w:t>
      </w:r>
      <w:r w:rsidRPr="004F4FA6">
        <w:rPr>
          <w:szCs w:val="24"/>
        </w:rPr>
        <w:t xml:space="preserve">al screening on </w:t>
      </w:r>
      <w:proofErr w:type="spellStart"/>
      <w:r w:rsidR="009458F8" w:rsidRPr="000F605D">
        <w:rPr>
          <w:szCs w:val="24"/>
        </w:rPr>
        <w:t>schistosomula</w:t>
      </w:r>
      <w:proofErr w:type="spellEnd"/>
      <w:r w:rsidRPr="000F605D">
        <w:rPr>
          <w:szCs w:val="24"/>
        </w:rPr>
        <w:t xml:space="preserve">, the six primary hits were selected for determining </w:t>
      </w:r>
      <w:r w:rsidR="001A4158" w:rsidRPr="000F605D">
        <w:rPr>
          <w:szCs w:val="24"/>
        </w:rPr>
        <w:t xml:space="preserve">half-maximal motility concentration </w:t>
      </w:r>
      <w:r w:rsidRPr="000F605D">
        <w:rPr>
          <w:szCs w:val="24"/>
        </w:rPr>
        <w:t>(EC</w:t>
      </w:r>
      <w:r w:rsidRPr="000F605D">
        <w:rPr>
          <w:szCs w:val="24"/>
          <w:vertAlign w:val="subscript"/>
        </w:rPr>
        <w:t>50</w:t>
      </w:r>
      <w:r w:rsidRPr="000F605D">
        <w:rPr>
          <w:szCs w:val="24"/>
        </w:rPr>
        <w:t>) a</w:t>
      </w:r>
      <w:r w:rsidR="007C23F2" w:rsidRPr="000F605D">
        <w:rPr>
          <w:szCs w:val="24"/>
        </w:rPr>
        <w:t xml:space="preserve">t 0.31–20 </w:t>
      </w:r>
      <w:r w:rsidR="00437457" w:rsidRPr="000F605D">
        <w:rPr>
          <w:rFonts w:ascii="Times New Roman" w:hAnsi="Times New Roman"/>
          <w:szCs w:val="24"/>
        </w:rPr>
        <w:t>µ</w:t>
      </w:r>
      <w:r w:rsidR="007C23F2" w:rsidRPr="000F605D">
        <w:rPr>
          <w:szCs w:val="24"/>
        </w:rPr>
        <w:t xml:space="preserve">M </w:t>
      </w:r>
      <w:r w:rsidR="003D6BF1" w:rsidRPr="000F605D">
        <w:rPr>
          <w:szCs w:val="24"/>
        </w:rPr>
        <w:t>range</w:t>
      </w:r>
      <w:r w:rsidR="007C23F2" w:rsidRPr="000F605D">
        <w:rPr>
          <w:szCs w:val="24"/>
        </w:rPr>
        <w:t xml:space="preserve"> (</w:t>
      </w:r>
      <w:r w:rsidRPr="000F605D">
        <w:rPr>
          <w:szCs w:val="24"/>
        </w:rPr>
        <w:t>Table</w:t>
      </w:r>
      <w:r w:rsidR="006F75B9" w:rsidRPr="000F605D">
        <w:rPr>
          <w:szCs w:val="24"/>
        </w:rPr>
        <w:t xml:space="preserve"> </w:t>
      </w:r>
      <w:r w:rsidRPr="000F605D">
        <w:rPr>
          <w:szCs w:val="24"/>
        </w:rPr>
        <w:t>2</w:t>
      </w:r>
      <w:r w:rsidR="001B7FAF" w:rsidRPr="000F605D">
        <w:rPr>
          <w:szCs w:val="24"/>
        </w:rPr>
        <w:t xml:space="preserve"> and Figure S3</w:t>
      </w:r>
      <w:r w:rsidRPr="000F605D">
        <w:rPr>
          <w:szCs w:val="24"/>
        </w:rPr>
        <w:t xml:space="preserve">). </w:t>
      </w:r>
      <w:r w:rsidR="00D53DC2" w:rsidRPr="000F605D">
        <w:rPr>
          <w:rFonts w:cs="Times"/>
          <w:szCs w:val="24"/>
        </w:rPr>
        <w:t>Among primary hits</w:t>
      </w:r>
      <w:r w:rsidR="00167135" w:rsidRPr="000F605D">
        <w:rPr>
          <w:rFonts w:cs="Times"/>
          <w:szCs w:val="24"/>
        </w:rPr>
        <w:t>,</w:t>
      </w:r>
      <w:r w:rsidR="00D53DC2" w:rsidRPr="000F605D">
        <w:rPr>
          <w:rFonts w:cs="Times"/>
          <w:szCs w:val="24"/>
        </w:rPr>
        <w:t xml:space="preserve"> 1,2-dimethoxy-4-(2-</w:t>
      </w:r>
      <w:proofErr w:type="gramStart"/>
      <w:r w:rsidR="00D53DC2" w:rsidRPr="000F605D">
        <w:rPr>
          <w:rFonts w:cs="Times"/>
          <w:szCs w:val="24"/>
        </w:rPr>
        <w:t>nitrovinyl)benzene</w:t>
      </w:r>
      <w:proofErr w:type="gramEnd"/>
      <w:r w:rsidRPr="000F605D">
        <w:rPr>
          <w:szCs w:val="24"/>
        </w:rPr>
        <w:t xml:space="preserve"> </w:t>
      </w:r>
      <w:r w:rsidR="00D53DC2" w:rsidRPr="000F605D">
        <w:rPr>
          <w:szCs w:val="24"/>
        </w:rPr>
        <w:t>(</w:t>
      </w:r>
      <w:r w:rsidRPr="000F605D">
        <w:rPr>
          <w:b/>
          <w:szCs w:val="24"/>
        </w:rPr>
        <w:t>1</w:t>
      </w:r>
      <w:r w:rsidR="00D53DC2" w:rsidRPr="000F605D">
        <w:rPr>
          <w:szCs w:val="24"/>
        </w:rPr>
        <w:t>)</w:t>
      </w:r>
      <w:r w:rsidRPr="000F605D">
        <w:rPr>
          <w:szCs w:val="24"/>
        </w:rPr>
        <w:t>,</w:t>
      </w:r>
      <w:r w:rsidR="00D53DC2" w:rsidRPr="000F605D">
        <w:rPr>
          <w:szCs w:val="24"/>
        </w:rPr>
        <w:t xml:space="preserve"> 1-(4-iodophenyl)-3-(4H-1,2,4-triazol-3-ylthio)-2,5-pyrrolidinedione</w:t>
      </w:r>
      <w:r w:rsidRPr="000F605D">
        <w:rPr>
          <w:szCs w:val="24"/>
        </w:rPr>
        <w:t xml:space="preserve"> </w:t>
      </w:r>
      <w:r w:rsidR="00D53DC2" w:rsidRPr="000F605D">
        <w:rPr>
          <w:szCs w:val="24"/>
        </w:rPr>
        <w:t>(</w:t>
      </w:r>
      <w:r w:rsidRPr="000F605D">
        <w:rPr>
          <w:b/>
          <w:szCs w:val="24"/>
        </w:rPr>
        <w:t>2</w:t>
      </w:r>
      <w:r w:rsidR="00D53DC2" w:rsidRPr="000F605D">
        <w:rPr>
          <w:szCs w:val="24"/>
        </w:rPr>
        <w:t>)</w:t>
      </w:r>
      <w:r w:rsidRPr="000F605D">
        <w:rPr>
          <w:szCs w:val="24"/>
        </w:rPr>
        <w:t xml:space="preserve">, </w:t>
      </w:r>
      <w:r w:rsidR="00D53DC2" w:rsidRPr="000F605D">
        <w:rPr>
          <w:szCs w:val="24"/>
        </w:rPr>
        <w:t>3-[(4-acetylphenyl)amino]-1-(2-thienyl)-1-propanone (</w:t>
      </w:r>
      <w:r w:rsidRPr="000F605D">
        <w:rPr>
          <w:b/>
          <w:szCs w:val="24"/>
        </w:rPr>
        <w:t>5</w:t>
      </w:r>
      <w:r w:rsidR="00D53DC2" w:rsidRPr="000F605D">
        <w:rPr>
          <w:szCs w:val="24"/>
        </w:rPr>
        <w:t>)</w:t>
      </w:r>
      <w:r w:rsidR="00AA364E" w:rsidRPr="000F605D">
        <w:rPr>
          <w:szCs w:val="24"/>
        </w:rPr>
        <w:t>,</w:t>
      </w:r>
      <w:r w:rsidRPr="000F605D">
        <w:rPr>
          <w:szCs w:val="24"/>
        </w:rPr>
        <w:t xml:space="preserve"> and</w:t>
      </w:r>
      <w:r w:rsidR="00D53DC2" w:rsidRPr="000F605D">
        <w:rPr>
          <w:szCs w:val="24"/>
        </w:rPr>
        <w:t xml:space="preserve"> 3-(2-furyl)-1-phenyl-1H-pyrazole-4-carbonitrile</w:t>
      </w:r>
      <w:r w:rsidRPr="000F605D">
        <w:rPr>
          <w:szCs w:val="24"/>
        </w:rPr>
        <w:t xml:space="preserve"> </w:t>
      </w:r>
      <w:r w:rsidR="00D53DC2" w:rsidRPr="000F605D">
        <w:rPr>
          <w:szCs w:val="24"/>
        </w:rPr>
        <w:t>(</w:t>
      </w:r>
      <w:r w:rsidRPr="000F605D">
        <w:rPr>
          <w:b/>
          <w:szCs w:val="24"/>
        </w:rPr>
        <w:t>6</w:t>
      </w:r>
      <w:r w:rsidR="00D53DC2" w:rsidRPr="000F605D">
        <w:rPr>
          <w:szCs w:val="24"/>
        </w:rPr>
        <w:t>)</w:t>
      </w:r>
      <w:r w:rsidRPr="000F605D">
        <w:rPr>
          <w:szCs w:val="24"/>
        </w:rPr>
        <w:t xml:space="preserve"> only showed inhibition activity at the highest tested concentration (&gt;20 </w:t>
      </w:r>
      <w:r w:rsidR="00437457" w:rsidRPr="000F605D">
        <w:rPr>
          <w:rFonts w:ascii="Times New Roman" w:hAnsi="Times New Roman"/>
          <w:szCs w:val="24"/>
        </w:rPr>
        <w:t>µ</w:t>
      </w:r>
      <w:r w:rsidRPr="000F605D">
        <w:rPr>
          <w:szCs w:val="24"/>
        </w:rPr>
        <w:t>M).</w:t>
      </w:r>
      <w:r w:rsidR="00423C0A" w:rsidRPr="000F605D">
        <w:rPr>
          <w:szCs w:val="24"/>
        </w:rPr>
        <w:t xml:space="preserve"> On the other hand, </w:t>
      </w:r>
      <w:r w:rsidR="00D53DC2" w:rsidRPr="000F605D">
        <w:rPr>
          <w:rFonts w:cs="Times"/>
          <w:szCs w:val="24"/>
        </w:rPr>
        <w:t>2-[2-(3-methyl-4-nitro-5-</w:t>
      </w:r>
      <w:proofErr w:type="gramStart"/>
      <w:r w:rsidR="00D53DC2" w:rsidRPr="000F605D">
        <w:rPr>
          <w:rFonts w:cs="Times"/>
          <w:szCs w:val="24"/>
        </w:rPr>
        <w:t>isoxazolyl)vinyl</w:t>
      </w:r>
      <w:proofErr w:type="gramEnd"/>
      <w:r w:rsidR="00D53DC2" w:rsidRPr="000F605D">
        <w:rPr>
          <w:rFonts w:cs="Times"/>
          <w:szCs w:val="24"/>
        </w:rPr>
        <w:t>]pyridine (</w:t>
      </w:r>
      <w:r w:rsidR="00D53DC2" w:rsidRPr="000F605D">
        <w:rPr>
          <w:rFonts w:cs="Times"/>
          <w:b/>
          <w:szCs w:val="24"/>
        </w:rPr>
        <w:t>3</w:t>
      </w:r>
      <w:r w:rsidR="00D53DC2" w:rsidRPr="000F605D">
        <w:rPr>
          <w:rFonts w:cs="Times"/>
          <w:szCs w:val="24"/>
        </w:rPr>
        <w:t>) and</w:t>
      </w:r>
      <w:r w:rsidR="00D53DC2" w:rsidRPr="000F605D">
        <w:rPr>
          <w:rFonts w:cs="Times"/>
          <w:b/>
          <w:szCs w:val="24"/>
        </w:rPr>
        <w:t xml:space="preserve"> </w:t>
      </w:r>
      <w:r w:rsidR="00D53DC2" w:rsidRPr="000F605D">
        <w:rPr>
          <w:rFonts w:cs="Times"/>
          <w:szCs w:val="24"/>
        </w:rPr>
        <w:t>2-(</w:t>
      </w:r>
      <w:proofErr w:type="spellStart"/>
      <w:r w:rsidR="00D53DC2" w:rsidRPr="000F605D">
        <w:rPr>
          <w:rFonts w:cs="Times"/>
          <w:szCs w:val="24"/>
        </w:rPr>
        <w:t>benzylsulfonyl</w:t>
      </w:r>
      <w:proofErr w:type="spellEnd"/>
      <w:r w:rsidR="00D53DC2" w:rsidRPr="000F605D">
        <w:rPr>
          <w:rFonts w:cs="Times"/>
          <w:szCs w:val="24"/>
        </w:rPr>
        <w:t>)-1,3-benzothiazole (</w:t>
      </w:r>
      <w:r w:rsidR="00D53DC2" w:rsidRPr="000F605D">
        <w:rPr>
          <w:b/>
          <w:szCs w:val="24"/>
        </w:rPr>
        <w:t>4</w:t>
      </w:r>
      <w:r w:rsidR="00D53DC2" w:rsidRPr="000F605D">
        <w:rPr>
          <w:szCs w:val="24"/>
        </w:rPr>
        <w:t xml:space="preserve">) </w:t>
      </w:r>
      <w:r w:rsidR="00423C0A" w:rsidRPr="000F605D">
        <w:rPr>
          <w:szCs w:val="24"/>
        </w:rPr>
        <w:t>showed efficacy in the same range</w:t>
      </w:r>
      <w:r w:rsidR="00D973A0" w:rsidRPr="000F605D">
        <w:rPr>
          <w:szCs w:val="24"/>
        </w:rPr>
        <w:t xml:space="preserve"> of activity</w:t>
      </w:r>
      <w:r w:rsidR="00423C0A" w:rsidRPr="000F605D">
        <w:rPr>
          <w:szCs w:val="24"/>
        </w:rPr>
        <w:t xml:space="preserve"> </w:t>
      </w:r>
      <w:r w:rsidR="00167135" w:rsidRPr="000F605D">
        <w:rPr>
          <w:szCs w:val="24"/>
        </w:rPr>
        <w:t xml:space="preserve">of </w:t>
      </w:r>
      <w:r w:rsidR="00D973A0" w:rsidRPr="000F605D">
        <w:rPr>
          <w:szCs w:val="24"/>
        </w:rPr>
        <w:t>th</w:t>
      </w:r>
      <w:r w:rsidR="00167135" w:rsidRPr="000F605D">
        <w:rPr>
          <w:szCs w:val="24"/>
        </w:rPr>
        <w:t>e</w:t>
      </w:r>
      <w:r w:rsidR="00423C0A" w:rsidRPr="000F605D">
        <w:rPr>
          <w:szCs w:val="24"/>
        </w:rPr>
        <w:t xml:space="preserve"> </w:t>
      </w:r>
      <w:r w:rsidR="009C2E65" w:rsidRPr="000F605D">
        <w:rPr>
          <w:szCs w:val="24"/>
        </w:rPr>
        <w:t>reference drug</w:t>
      </w:r>
      <w:r w:rsidR="00423C0A" w:rsidRPr="000F605D">
        <w:rPr>
          <w:szCs w:val="24"/>
        </w:rPr>
        <w:t xml:space="preserve"> PZQ (EC</w:t>
      </w:r>
      <w:r w:rsidR="00423C0A" w:rsidRPr="000F605D">
        <w:rPr>
          <w:szCs w:val="24"/>
          <w:vertAlign w:val="subscript"/>
        </w:rPr>
        <w:t>50</w:t>
      </w:r>
      <w:r w:rsidR="00423C0A" w:rsidRPr="000F605D">
        <w:rPr>
          <w:szCs w:val="24"/>
        </w:rPr>
        <w:t xml:space="preserve"> = 1.90 </w:t>
      </w:r>
      <w:r w:rsidR="00437457" w:rsidRPr="000F605D">
        <w:rPr>
          <w:rFonts w:ascii="Times New Roman" w:hAnsi="Times New Roman"/>
          <w:szCs w:val="24"/>
        </w:rPr>
        <w:t>µ</w:t>
      </w:r>
      <w:r w:rsidR="00423C0A" w:rsidRPr="000F605D">
        <w:rPr>
          <w:szCs w:val="24"/>
        </w:rPr>
        <w:t>M), with EC</w:t>
      </w:r>
      <w:r w:rsidR="00423C0A" w:rsidRPr="000F605D">
        <w:rPr>
          <w:szCs w:val="24"/>
          <w:vertAlign w:val="subscript"/>
        </w:rPr>
        <w:t>50</w:t>
      </w:r>
      <w:r w:rsidR="00423C0A" w:rsidRPr="000F605D">
        <w:rPr>
          <w:szCs w:val="24"/>
        </w:rPr>
        <w:t xml:space="preserve"> values of 3.23 </w:t>
      </w:r>
      <w:r w:rsidR="00437457" w:rsidRPr="000F605D">
        <w:rPr>
          <w:rFonts w:ascii="Times New Roman" w:hAnsi="Times New Roman"/>
          <w:szCs w:val="24"/>
        </w:rPr>
        <w:t>µ</w:t>
      </w:r>
      <w:r w:rsidR="00423C0A" w:rsidRPr="000F605D">
        <w:rPr>
          <w:szCs w:val="24"/>
        </w:rPr>
        <w:t xml:space="preserve">M and 2.62 </w:t>
      </w:r>
      <w:r w:rsidR="00437457" w:rsidRPr="000F605D">
        <w:rPr>
          <w:rFonts w:ascii="Times New Roman" w:hAnsi="Times New Roman"/>
          <w:szCs w:val="24"/>
        </w:rPr>
        <w:t>µ</w:t>
      </w:r>
      <w:r w:rsidR="00423C0A" w:rsidRPr="000F605D">
        <w:rPr>
          <w:szCs w:val="24"/>
        </w:rPr>
        <w:t xml:space="preserve">M, </w:t>
      </w:r>
      <w:r w:rsidR="00423C0A" w:rsidRPr="00423C0A">
        <w:t>respectively.</w:t>
      </w:r>
      <w:r w:rsidR="00BD74F5">
        <w:t xml:space="preserve"> </w:t>
      </w:r>
      <w:r w:rsidR="00BD74F5" w:rsidRPr="00BD74F5">
        <w:t>This is an important feature for a new anti-</w:t>
      </w:r>
      <w:proofErr w:type="spellStart"/>
      <w:r w:rsidR="00BD74F5" w:rsidRPr="00BD74F5">
        <w:t>schistosomal</w:t>
      </w:r>
      <w:proofErr w:type="spellEnd"/>
      <w:r w:rsidR="00BD74F5" w:rsidRPr="00BD74F5">
        <w:t xml:space="preserve"> drug since modern lead discovery pipelines prioritizes compounds</w:t>
      </w:r>
      <w:r w:rsidR="00BD74F5">
        <w:t xml:space="preserve"> that possess</w:t>
      </w:r>
      <w:r w:rsidR="00BD74F5" w:rsidRPr="00BD74F5">
        <w:t xml:space="preserve"> bioactivity across the entire developmental cycle of the parasite in the mammalian host.</w:t>
      </w:r>
      <w:r w:rsidR="00BD74F5">
        <w:fldChar w:fldCharType="begin" w:fldLock="1"/>
      </w:r>
      <w:r w:rsidR="00456ABA">
        <w:instrText>ADDIN CSL_CITATION { "citationItems" : [ { "id" : "ITEM-1", "itemData" : { "DOI" : "10.1371/journal.pntd.0004659", "ISSN" : "1935-2735", "author" : [ { "dropping-particle" : "", "family" : "Mansour", "given" : "Nuha R.", "non-dropping-particle" : "", "parse-names" : false, "suffix" : "" }, { "dropping-particle" : "", "family" : "Paveley", "given" : "Ross", "non-dropping-particle" : "", "parse-names" : false, "suffix" : "" }, { "dropping-particle" : "", "family" : "Gardner", "given" : "J. Mark F.", "non-dropping-particle" : "", "parse-names" : false, "suffix" : "" }, { "dropping-particle" : "", "family" : "Bell", "given" : "Andrew S.", "non-dropping-particle" : "", "parse-names" : false, "suffix" : "" }, { "dropping-particle" : "", "family" : "Parkinson", "given" : "Tanya", "non-dropping-particle" : "", "parse-names" : false, "suffix" : "" }, { "dropping-particle" : "", "family" : "Bickle", "given" : "Quentin", "non-dropping-particle" : "", "parse-names" : false, "suffix" : "" } ], "container-title" : "PLOS Neglected Tropical Diseases", "editor" : [ { "dropping-particle" : "", "family" : "Geary", "given" : "Timothy G.", "non-dropping-particle" : "", "parse-names" : false, "suffix" : "" } ], "id" : "ITEM-1", "issue" : "4", "issued" : { "date-parts" : [ [ "2016", "4", "29" ] ] }, "page" : "e0004659", "title" : "High Throughput Screening Identifies Novel Lead Compounds with Activity against Larval, Juvenile and Adult Schistosoma mansoni", "type" : "article-journal", "volume" : "10" }, "uris" : [ "http://www.mendeley.com/documents/?uuid=a1c0c24a-f15d-4889-b27f-00d7a29fcec4" ] }, { "id" : "ITEM-2", "itemData" : { "DOI" : "10.1371/journal.pntd.0004356", "ISSN" : "1935-2735", "PMID" : "26751972", "author" : [ { "dropping-particle" : "", "family" : "Long", "given" : "Thavy", "non-dropping-particle" : "", "parse-names" : false, "suffix" : "" }, { "dropping-particle" : "", "family" : "Neitz", "given" : "R. Jeffrey", "non-dropping-particle" : "", "parse-names" : false, "suffix" : "" }, { "dropping-particle" : "", "family" : "Beasley", "given" : "Rachel", "non-dropping-particle" : "", "parse-names" : false, "suffix" : "" }, { "dropping-particle" : "", "family" : "Kalyanaraman", "given" : "Chakrapani", "non-dropping-particle" : "", "parse-names" : false, "suffix" : "" }, { "dropping-particle" : "", "family" : "Suzuki", "given" : "Brian M.", "non-dropping-particle" : "", "parse-names" : false, "suffix" : "" }, { "dropping-particle" : "", "family" : "Jacobson", "given" : "Matthew P.", "non-dropping-particle" : "", "parse-names" : false, "suffix" : "" }, { "dropping-particle" : "", "family" : "Dissous", "given" : "Colette", "non-dropping-particle" : "", "parse-names" : false, "suffix" : "" }, { "dropping-particle" : "", "family" : "McKerrow", "given" : "James H.", "non-dropping-particle" : "", "parse-names" : false, "suffix" : "" }, { "dropping-particle" : "", "family" : "Drewry", "given" : "David H.", "non-dropping-particle" : "", "parse-names" : false, "suffix" : "" }, { "dropping-particle" : "", "family" : "Zuercher", "given" : "William J.", "non-dropping-particle" : "", "parse-names" : false, "suffix" : "" }, { "dropping-particle" : "", "family" : "Singh", "given" : "Rahul", "non-dropping-particle" : "", "parse-names" : false, "suffix" : "" }, { "dropping-particle" : "", "family" : "Caffrey", "given" : "Conor R.", "non-dropping-particle" : "", "parse-names" : false, "suffix" : "" } ], "container-title" : "PLOS Neglected Tropical Diseases", "editor" : [ { "dropping-particle" : "", "family" : "Geary", "given" : "Timothy G.", "non-dropping-particle" : "", "parse-names" : false, "suffix" : "" } ], "id" : "ITEM-2", "issue" : "1", "issued" : { "date-parts" : [ [ "2016", "1", "11" ] ] }, "page" : "e0004356", "title" : "Structure-Bioactivity Relationship for Benzimidazole Thiophene Inhibitors of Polo-Like Kinase 1 (PLK1), a Potential Drug Target in Schistosoma mansoni", "type" : "article-journal", "volume" : "10" }, "uris" : [ "http://www.mendeley.com/documents/?uuid=7ec2b670-42a9-4654-af5c-6bd2f8fe8ded" ] } ], "mendeley" : { "formattedCitation" : "&lt;sup&gt;73,74&lt;/sup&gt;", "plainTextFormattedCitation" : "73,74", "previouslyFormattedCitation" : "&lt;sup&gt;73,74&lt;/sup&gt;" }, "properties" : { "noteIndex" : 0 }, "schema" : "https://github.com/citation-style-language/schema/raw/master/csl-citation.json" }</w:instrText>
      </w:r>
      <w:r w:rsidR="00BD74F5">
        <w:fldChar w:fldCharType="separate"/>
      </w:r>
      <w:r w:rsidR="00456ABA" w:rsidRPr="00456ABA">
        <w:rPr>
          <w:noProof/>
          <w:vertAlign w:val="superscript"/>
        </w:rPr>
        <w:t>73,74</w:t>
      </w:r>
      <w:r w:rsidR="00BD74F5">
        <w:fldChar w:fldCharType="end"/>
      </w:r>
    </w:p>
    <w:p w14:paraId="293FF458" w14:textId="19557C98" w:rsidR="0004682F" w:rsidRDefault="0004682F" w:rsidP="00163474">
      <w:pPr>
        <w:pStyle w:val="VDTableTitle"/>
        <w:spacing w:line="276" w:lineRule="auto"/>
      </w:pPr>
      <w:r w:rsidRPr="00174459">
        <w:rPr>
          <w:b/>
        </w:rPr>
        <w:t xml:space="preserve">Table </w:t>
      </w:r>
      <w:r w:rsidR="008E6A7F">
        <w:rPr>
          <w:b/>
        </w:rPr>
        <w:t>2</w:t>
      </w:r>
      <w:r w:rsidRPr="00174459">
        <w:rPr>
          <w:b/>
        </w:rPr>
        <w:t xml:space="preserve">. </w:t>
      </w:r>
      <w:r w:rsidR="00E37C9F">
        <w:t>Biological a</w:t>
      </w:r>
      <w:r w:rsidR="008E6A7F">
        <w:t>ctivity data for hits of interest</w:t>
      </w:r>
      <w:r w:rsidRPr="00174459">
        <w:t xml:space="preserve">. </w:t>
      </w:r>
    </w:p>
    <w:tbl>
      <w:tblPr>
        <w:tblStyle w:val="LightShading"/>
        <w:tblW w:w="5000" w:type="pct"/>
        <w:tblLayout w:type="fixed"/>
        <w:tblLook w:val="04A0" w:firstRow="1" w:lastRow="0" w:firstColumn="1" w:lastColumn="0" w:noHBand="0" w:noVBand="1"/>
      </w:tblPr>
      <w:tblGrid>
        <w:gridCol w:w="1268"/>
        <w:gridCol w:w="1818"/>
        <w:gridCol w:w="1417"/>
        <w:gridCol w:w="1308"/>
        <w:gridCol w:w="1913"/>
        <w:gridCol w:w="1852"/>
      </w:tblGrid>
      <w:tr w:rsidR="008E6A7F" w:rsidRPr="008E6A7F" w14:paraId="5C6CDD9A" w14:textId="77777777" w:rsidTr="00AA364E">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62" w:type="pct"/>
            <w:vMerge w:val="restart"/>
            <w:shd w:val="clear" w:color="auto" w:fill="auto"/>
            <w:noWrap/>
            <w:vAlign w:val="center"/>
          </w:tcPr>
          <w:p w14:paraId="3D4DA9C5" w14:textId="10715742" w:rsidR="00775D3D" w:rsidRPr="00AA364E" w:rsidRDefault="00775D3D" w:rsidP="00AA364E">
            <w:pPr>
              <w:pStyle w:val="TCTableBody"/>
              <w:jc w:val="left"/>
              <w:rPr>
                <w:rFonts w:ascii="Times New Roman" w:hAnsi="Times New Roman"/>
                <w:sz w:val="22"/>
                <w:szCs w:val="22"/>
              </w:rPr>
            </w:pPr>
            <w:r w:rsidRPr="00AA364E">
              <w:rPr>
                <w:rFonts w:ascii="Times New Roman" w:hAnsi="Times New Roman"/>
                <w:sz w:val="22"/>
                <w:szCs w:val="22"/>
              </w:rPr>
              <w:t>Compound</w:t>
            </w:r>
          </w:p>
        </w:tc>
        <w:tc>
          <w:tcPr>
            <w:tcW w:w="949" w:type="pct"/>
            <w:vMerge w:val="restart"/>
            <w:shd w:val="clear" w:color="auto" w:fill="auto"/>
            <w:noWrap/>
            <w:vAlign w:val="center"/>
          </w:tcPr>
          <w:p w14:paraId="6776C5C1" w14:textId="4D74845D" w:rsidR="00775D3D" w:rsidRPr="00AA364E" w:rsidRDefault="00CE675C" w:rsidP="00AA364E">
            <w:pPr>
              <w:pStyle w:val="TCTableBody"/>
              <w:jc w:val="left"/>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rPr>
            </w:pPr>
            <w:proofErr w:type="spellStart"/>
            <w:r w:rsidRPr="00AA364E">
              <w:rPr>
                <w:rFonts w:ascii="Times New Roman" w:hAnsi="Times New Roman"/>
                <w:sz w:val="22"/>
                <w:szCs w:val="22"/>
              </w:rPr>
              <w:t>Schistosomula</w:t>
            </w:r>
            <w:proofErr w:type="spellEnd"/>
            <w:r w:rsidR="00775D3D" w:rsidRPr="00AA364E">
              <w:rPr>
                <w:rFonts w:ascii="Times New Roman" w:hAnsi="Times New Roman"/>
                <w:sz w:val="22"/>
                <w:szCs w:val="22"/>
              </w:rPr>
              <w:t xml:space="preserve"> </w:t>
            </w:r>
            <w:bookmarkStart w:id="12" w:name="OLE_LINK31"/>
            <w:bookmarkStart w:id="13" w:name="OLE_LINK36"/>
            <w:bookmarkStart w:id="14" w:name="OLE_LINK37"/>
            <w:bookmarkStart w:id="15" w:name="OLE_LINK38"/>
            <w:r w:rsidR="00775D3D" w:rsidRPr="00AA364E">
              <w:rPr>
                <w:rFonts w:ascii="Times New Roman" w:hAnsi="Times New Roman"/>
                <w:sz w:val="22"/>
                <w:szCs w:val="22"/>
              </w:rPr>
              <w:t>EC</w:t>
            </w:r>
            <w:r w:rsidR="00775D3D" w:rsidRPr="00AA364E">
              <w:rPr>
                <w:rFonts w:ascii="Times New Roman" w:hAnsi="Times New Roman"/>
                <w:sz w:val="22"/>
                <w:szCs w:val="22"/>
                <w:vertAlign w:val="subscript"/>
              </w:rPr>
              <w:t>50</w:t>
            </w:r>
            <w:r w:rsidR="00775D3D" w:rsidRPr="00AA364E">
              <w:rPr>
                <w:rFonts w:ascii="Times New Roman" w:hAnsi="Times New Roman"/>
                <w:sz w:val="22"/>
                <w:szCs w:val="22"/>
              </w:rPr>
              <w:t xml:space="preserve"> </w:t>
            </w:r>
            <w:bookmarkStart w:id="16" w:name="OLE_LINK20"/>
            <w:bookmarkStart w:id="17" w:name="OLE_LINK28"/>
            <w:bookmarkStart w:id="18" w:name="OLE_LINK29"/>
            <w:bookmarkStart w:id="19" w:name="OLE_LINK30"/>
            <w:bookmarkEnd w:id="12"/>
            <w:bookmarkEnd w:id="13"/>
            <w:bookmarkEnd w:id="14"/>
            <w:bookmarkEnd w:id="15"/>
            <w:r w:rsidR="00775D3D" w:rsidRPr="00AA364E">
              <w:rPr>
                <w:rFonts w:ascii="Times New Roman" w:hAnsi="Times New Roman"/>
                <w:sz w:val="22"/>
                <w:szCs w:val="22"/>
              </w:rPr>
              <w:t>(µM)</w:t>
            </w:r>
            <w:bookmarkEnd w:id="16"/>
            <w:bookmarkEnd w:id="17"/>
            <w:bookmarkEnd w:id="18"/>
            <w:bookmarkEnd w:id="19"/>
          </w:p>
        </w:tc>
        <w:tc>
          <w:tcPr>
            <w:tcW w:w="1423" w:type="pct"/>
            <w:gridSpan w:val="2"/>
            <w:tcBorders>
              <w:bottom w:val="single" w:sz="4" w:space="0" w:color="auto"/>
            </w:tcBorders>
            <w:shd w:val="clear" w:color="auto" w:fill="auto"/>
          </w:tcPr>
          <w:p w14:paraId="13A0FC91" w14:textId="4EEF5E3D" w:rsidR="00775D3D" w:rsidRPr="00AA364E" w:rsidRDefault="00775D3D" w:rsidP="00AA364E">
            <w:pPr>
              <w:pStyle w:val="TCTableBody"/>
              <w:jc w:val="left"/>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Adult EC</w:t>
            </w:r>
            <w:r w:rsidRPr="00AA364E">
              <w:rPr>
                <w:rFonts w:ascii="Times New Roman" w:hAnsi="Times New Roman"/>
                <w:sz w:val="22"/>
                <w:szCs w:val="22"/>
                <w:vertAlign w:val="subscript"/>
              </w:rPr>
              <w:t>50</w:t>
            </w:r>
            <w:r w:rsidRPr="00AA364E">
              <w:rPr>
                <w:rFonts w:ascii="Times New Roman" w:hAnsi="Times New Roman"/>
                <w:sz w:val="22"/>
                <w:szCs w:val="22"/>
              </w:rPr>
              <w:t xml:space="preserve"> (µM)</w:t>
            </w:r>
          </w:p>
        </w:tc>
        <w:tc>
          <w:tcPr>
            <w:tcW w:w="999" w:type="pct"/>
            <w:vMerge w:val="restart"/>
            <w:shd w:val="clear" w:color="auto" w:fill="auto"/>
            <w:noWrap/>
            <w:vAlign w:val="center"/>
          </w:tcPr>
          <w:p w14:paraId="2205F549" w14:textId="54BABC9C" w:rsidR="00775D3D" w:rsidRPr="00AA364E" w:rsidRDefault="00775D3D" w:rsidP="00AA364E">
            <w:pPr>
              <w:pStyle w:val="TCTableBody"/>
              <w:jc w:val="left"/>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WSS-1 CC</w:t>
            </w:r>
            <w:r w:rsidRPr="00AA364E">
              <w:rPr>
                <w:rFonts w:ascii="Times New Roman" w:hAnsi="Times New Roman"/>
                <w:sz w:val="22"/>
                <w:szCs w:val="22"/>
                <w:vertAlign w:val="subscript"/>
              </w:rPr>
              <w:t>50</w:t>
            </w:r>
            <w:r w:rsidRPr="00AA364E">
              <w:rPr>
                <w:rFonts w:ascii="Times New Roman" w:hAnsi="Times New Roman"/>
                <w:sz w:val="22"/>
                <w:szCs w:val="22"/>
              </w:rPr>
              <w:t xml:space="preserve"> </w:t>
            </w:r>
            <w:bookmarkStart w:id="20" w:name="OLE_LINK6"/>
            <w:bookmarkStart w:id="21" w:name="OLE_LINK7"/>
            <w:bookmarkStart w:id="22" w:name="OLE_LINK8"/>
            <w:bookmarkStart w:id="23" w:name="OLE_LINK9"/>
            <w:r w:rsidRPr="00AA364E">
              <w:rPr>
                <w:rFonts w:ascii="Times New Roman" w:hAnsi="Times New Roman"/>
                <w:sz w:val="22"/>
                <w:szCs w:val="22"/>
              </w:rPr>
              <w:t>(</w:t>
            </w:r>
            <w:bookmarkStart w:id="24" w:name="OLE_LINK4"/>
            <w:bookmarkStart w:id="25" w:name="OLE_LINK5"/>
            <w:r w:rsidRPr="00AA364E">
              <w:rPr>
                <w:rFonts w:ascii="Times New Roman" w:hAnsi="Times New Roman"/>
                <w:sz w:val="22"/>
                <w:szCs w:val="22"/>
              </w:rPr>
              <w:t>µM</w:t>
            </w:r>
            <w:bookmarkEnd w:id="24"/>
            <w:bookmarkEnd w:id="25"/>
            <w:r w:rsidRPr="00AA364E">
              <w:rPr>
                <w:rFonts w:ascii="Times New Roman" w:hAnsi="Times New Roman"/>
                <w:sz w:val="22"/>
                <w:szCs w:val="22"/>
              </w:rPr>
              <w:t>)</w:t>
            </w:r>
            <w:bookmarkEnd w:id="20"/>
            <w:bookmarkEnd w:id="21"/>
            <w:bookmarkEnd w:id="22"/>
            <w:bookmarkEnd w:id="23"/>
          </w:p>
        </w:tc>
        <w:tc>
          <w:tcPr>
            <w:tcW w:w="967" w:type="pct"/>
            <w:vMerge w:val="restart"/>
            <w:shd w:val="clear" w:color="auto" w:fill="auto"/>
            <w:noWrap/>
            <w:vAlign w:val="center"/>
          </w:tcPr>
          <w:p w14:paraId="599FA43F" w14:textId="728DA922" w:rsidR="00775D3D" w:rsidRPr="00AA364E" w:rsidDel="00B750DA" w:rsidRDefault="00775D3D" w:rsidP="00AA364E">
            <w:pPr>
              <w:pStyle w:val="TCTableBody"/>
              <w:jc w:val="left"/>
              <w:cnfStyle w:val="100000000000" w:firstRow="1"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Papain IC</w:t>
            </w:r>
            <w:r w:rsidRPr="00AA364E">
              <w:rPr>
                <w:rFonts w:ascii="Times New Roman" w:hAnsi="Times New Roman"/>
                <w:sz w:val="22"/>
                <w:szCs w:val="22"/>
                <w:vertAlign w:val="subscript"/>
              </w:rPr>
              <w:t>50</w:t>
            </w:r>
            <w:r w:rsidRPr="00AA364E">
              <w:rPr>
                <w:rFonts w:ascii="Times New Roman" w:hAnsi="Times New Roman"/>
                <w:sz w:val="22"/>
                <w:szCs w:val="22"/>
              </w:rPr>
              <w:t xml:space="preserve"> (µM)</w:t>
            </w:r>
          </w:p>
        </w:tc>
      </w:tr>
      <w:tr w:rsidR="008E6A7F" w:rsidRPr="008E6A7F" w14:paraId="5F910695" w14:textId="77777777" w:rsidTr="00AA36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62" w:type="pct"/>
            <w:vMerge/>
            <w:tcBorders>
              <w:bottom w:val="single" w:sz="4" w:space="0" w:color="auto"/>
            </w:tcBorders>
            <w:shd w:val="clear" w:color="auto" w:fill="auto"/>
            <w:noWrap/>
          </w:tcPr>
          <w:p w14:paraId="4DCBE919" w14:textId="77777777" w:rsidR="00775D3D" w:rsidRPr="00AA364E" w:rsidRDefault="00775D3D" w:rsidP="00AA364E">
            <w:pPr>
              <w:pStyle w:val="TCTableBody"/>
              <w:jc w:val="left"/>
              <w:rPr>
                <w:rFonts w:ascii="Times New Roman" w:hAnsi="Times New Roman"/>
                <w:sz w:val="22"/>
                <w:szCs w:val="22"/>
              </w:rPr>
            </w:pPr>
          </w:p>
        </w:tc>
        <w:tc>
          <w:tcPr>
            <w:tcW w:w="949" w:type="pct"/>
            <w:vMerge/>
            <w:tcBorders>
              <w:bottom w:val="single" w:sz="4" w:space="0" w:color="auto"/>
            </w:tcBorders>
            <w:shd w:val="clear" w:color="auto" w:fill="auto"/>
            <w:noWrap/>
          </w:tcPr>
          <w:p w14:paraId="22BA4AA9" w14:textId="7777777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c>
          <w:tcPr>
            <w:tcW w:w="740" w:type="pct"/>
            <w:tcBorders>
              <w:top w:val="single" w:sz="4" w:space="0" w:color="auto"/>
              <w:bottom w:val="single" w:sz="4" w:space="0" w:color="auto"/>
            </w:tcBorders>
            <w:shd w:val="clear" w:color="auto" w:fill="auto"/>
          </w:tcPr>
          <w:p w14:paraId="5FCF026B" w14:textId="2C7EDD24" w:rsidR="00775D3D" w:rsidRPr="00AA364E" w:rsidRDefault="004823BE"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b/>
                <w:sz w:val="22"/>
                <w:szCs w:val="22"/>
              </w:rPr>
            </w:pPr>
            <w:r>
              <w:rPr>
                <w:rFonts w:ascii="Times New Roman" w:hAnsi="Times New Roman"/>
                <w:b/>
                <w:sz w:val="22"/>
                <w:szCs w:val="22"/>
              </w:rPr>
              <w:t>Male</w:t>
            </w:r>
          </w:p>
        </w:tc>
        <w:tc>
          <w:tcPr>
            <w:tcW w:w="683" w:type="pct"/>
            <w:tcBorders>
              <w:top w:val="single" w:sz="4" w:space="0" w:color="auto"/>
              <w:bottom w:val="single" w:sz="4" w:space="0" w:color="auto"/>
            </w:tcBorders>
            <w:shd w:val="clear" w:color="auto" w:fill="auto"/>
          </w:tcPr>
          <w:p w14:paraId="239CB896" w14:textId="208CE245" w:rsidR="00775D3D" w:rsidRPr="00AA364E" w:rsidRDefault="004823BE"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b/>
                <w:sz w:val="22"/>
                <w:szCs w:val="22"/>
              </w:rPr>
            </w:pPr>
            <w:r w:rsidRPr="00A17679">
              <w:rPr>
                <w:rFonts w:ascii="Times New Roman" w:hAnsi="Times New Roman"/>
                <w:b/>
                <w:sz w:val="22"/>
                <w:szCs w:val="22"/>
              </w:rPr>
              <w:t>Female</w:t>
            </w:r>
          </w:p>
        </w:tc>
        <w:tc>
          <w:tcPr>
            <w:tcW w:w="999" w:type="pct"/>
            <w:vMerge/>
            <w:tcBorders>
              <w:bottom w:val="single" w:sz="4" w:space="0" w:color="auto"/>
            </w:tcBorders>
            <w:shd w:val="clear" w:color="auto" w:fill="auto"/>
            <w:noWrap/>
          </w:tcPr>
          <w:p w14:paraId="4E6213AE" w14:textId="7777777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c>
          <w:tcPr>
            <w:tcW w:w="967" w:type="pct"/>
            <w:vMerge/>
            <w:tcBorders>
              <w:bottom w:val="single" w:sz="4" w:space="0" w:color="auto"/>
            </w:tcBorders>
            <w:shd w:val="clear" w:color="auto" w:fill="auto"/>
            <w:noWrap/>
          </w:tcPr>
          <w:p w14:paraId="2399D51A" w14:textId="77777777" w:rsidR="00775D3D" w:rsidRPr="00AA364E" w:rsidDel="00B750DA"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r>
      <w:tr w:rsidR="00CE675C" w:rsidRPr="008E6A7F" w14:paraId="4018C43A" w14:textId="77777777" w:rsidTr="00AA364E">
        <w:trPr>
          <w:trHeight w:val="288"/>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auto"/>
              <w:bottom w:val="nil"/>
              <w:right w:val="nil"/>
            </w:tcBorders>
            <w:shd w:val="clear" w:color="auto" w:fill="auto"/>
            <w:noWrap/>
            <w:hideMark/>
          </w:tcPr>
          <w:p w14:paraId="4A9F171C" w14:textId="3DAE76AC"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1</w:t>
            </w:r>
          </w:p>
        </w:tc>
        <w:tc>
          <w:tcPr>
            <w:tcW w:w="0" w:type="pct"/>
            <w:tcBorders>
              <w:top w:val="single" w:sz="4" w:space="0" w:color="auto"/>
              <w:left w:val="nil"/>
              <w:bottom w:val="nil"/>
              <w:right w:val="nil"/>
            </w:tcBorders>
            <w:shd w:val="clear" w:color="auto" w:fill="auto"/>
            <w:noWrap/>
            <w:hideMark/>
          </w:tcPr>
          <w:p w14:paraId="54465D0B" w14:textId="77777777"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&gt;20</w:t>
            </w:r>
          </w:p>
        </w:tc>
        <w:tc>
          <w:tcPr>
            <w:tcW w:w="0" w:type="pct"/>
            <w:tcBorders>
              <w:top w:val="single" w:sz="4" w:space="0" w:color="auto"/>
              <w:left w:val="nil"/>
              <w:bottom w:val="nil"/>
              <w:right w:val="nil"/>
            </w:tcBorders>
            <w:shd w:val="clear" w:color="auto" w:fill="auto"/>
          </w:tcPr>
          <w:p w14:paraId="49A5E8F1" w14:textId="6AAB78FA"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29.8</w:t>
            </w:r>
          </w:p>
        </w:tc>
        <w:tc>
          <w:tcPr>
            <w:tcW w:w="0" w:type="pct"/>
            <w:tcBorders>
              <w:top w:val="single" w:sz="4" w:space="0" w:color="auto"/>
              <w:left w:val="nil"/>
              <w:bottom w:val="nil"/>
              <w:right w:val="nil"/>
            </w:tcBorders>
            <w:shd w:val="clear" w:color="auto" w:fill="auto"/>
          </w:tcPr>
          <w:p w14:paraId="68A5581E" w14:textId="4F4CFC37"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5.77</w:t>
            </w:r>
          </w:p>
        </w:tc>
        <w:tc>
          <w:tcPr>
            <w:tcW w:w="0" w:type="pct"/>
            <w:tcBorders>
              <w:top w:val="single" w:sz="4" w:space="0" w:color="auto"/>
              <w:left w:val="nil"/>
              <w:bottom w:val="nil"/>
              <w:right w:val="nil"/>
            </w:tcBorders>
            <w:shd w:val="clear" w:color="auto" w:fill="auto"/>
            <w:noWrap/>
            <w:hideMark/>
          </w:tcPr>
          <w:p w14:paraId="1AD0A1C6" w14:textId="6E986D48"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17.48</w:t>
            </w:r>
          </w:p>
        </w:tc>
        <w:tc>
          <w:tcPr>
            <w:tcW w:w="0" w:type="pct"/>
            <w:tcBorders>
              <w:top w:val="single" w:sz="4" w:space="0" w:color="auto"/>
              <w:left w:val="nil"/>
              <w:bottom w:val="nil"/>
            </w:tcBorders>
            <w:shd w:val="clear" w:color="auto" w:fill="auto"/>
            <w:noWrap/>
          </w:tcPr>
          <w:p w14:paraId="50DAEBB1" w14:textId="10D658EE"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bookmarkStart w:id="26" w:name="OLE_LINK39"/>
            <w:bookmarkStart w:id="27" w:name="OLE_LINK40"/>
            <w:bookmarkStart w:id="28" w:name="OLE_LINK41"/>
            <w:bookmarkStart w:id="29" w:name="OLE_LINK45"/>
            <w:r w:rsidRPr="00AA364E">
              <w:rPr>
                <w:rFonts w:ascii="Times New Roman" w:hAnsi="Times New Roman"/>
                <w:sz w:val="22"/>
                <w:szCs w:val="22"/>
              </w:rPr>
              <w:t>&gt;100</w:t>
            </w:r>
            <w:bookmarkEnd w:id="26"/>
            <w:bookmarkEnd w:id="27"/>
            <w:bookmarkEnd w:id="28"/>
            <w:bookmarkEnd w:id="29"/>
          </w:p>
        </w:tc>
      </w:tr>
      <w:tr w:rsidR="0027653D" w:rsidRPr="008E6A7F" w14:paraId="1BD9B4CD" w14:textId="77777777" w:rsidTr="00CE67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tcBorders>
            <w:shd w:val="clear" w:color="auto" w:fill="auto"/>
            <w:noWrap/>
            <w:hideMark/>
          </w:tcPr>
          <w:p w14:paraId="112CB313" w14:textId="766D852E"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2</w:t>
            </w:r>
          </w:p>
        </w:tc>
        <w:tc>
          <w:tcPr>
            <w:tcW w:w="0" w:type="pct"/>
            <w:tcBorders>
              <w:top w:val="nil"/>
              <w:bottom w:val="nil"/>
            </w:tcBorders>
            <w:shd w:val="clear" w:color="auto" w:fill="auto"/>
            <w:noWrap/>
            <w:hideMark/>
          </w:tcPr>
          <w:p w14:paraId="7ADE96BF" w14:textId="7777777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&gt;20</w:t>
            </w:r>
          </w:p>
        </w:tc>
        <w:tc>
          <w:tcPr>
            <w:tcW w:w="0" w:type="pct"/>
            <w:tcBorders>
              <w:top w:val="nil"/>
              <w:bottom w:val="nil"/>
            </w:tcBorders>
            <w:shd w:val="clear" w:color="auto" w:fill="auto"/>
          </w:tcPr>
          <w:p w14:paraId="2AAA1384" w14:textId="5774AB50"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10.2</w:t>
            </w:r>
          </w:p>
        </w:tc>
        <w:tc>
          <w:tcPr>
            <w:tcW w:w="0" w:type="pct"/>
            <w:tcBorders>
              <w:top w:val="nil"/>
              <w:bottom w:val="nil"/>
            </w:tcBorders>
            <w:shd w:val="clear" w:color="auto" w:fill="auto"/>
          </w:tcPr>
          <w:p w14:paraId="6A6F5061" w14:textId="31DCF408"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17.9</w:t>
            </w:r>
          </w:p>
        </w:tc>
        <w:tc>
          <w:tcPr>
            <w:tcW w:w="0" w:type="pct"/>
            <w:tcBorders>
              <w:top w:val="nil"/>
              <w:bottom w:val="nil"/>
            </w:tcBorders>
            <w:shd w:val="clear" w:color="auto" w:fill="auto"/>
            <w:noWrap/>
            <w:hideMark/>
          </w:tcPr>
          <w:p w14:paraId="5E247E30" w14:textId="2A326592"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133.40</w:t>
            </w:r>
          </w:p>
        </w:tc>
        <w:tc>
          <w:tcPr>
            <w:tcW w:w="0" w:type="pct"/>
            <w:tcBorders>
              <w:top w:val="nil"/>
              <w:bottom w:val="nil"/>
            </w:tcBorders>
            <w:shd w:val="clear" w:color="auto" w:fill="auto"/>
            <w:noWrap/>
          </w:tcPr>
          <w:p w14:paraId="3909DD7E" w14:textId="0A1E4FCC"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&gt;100</w:t>
            </w:r>
          </w:p>
        </w:tc>
      </w:tr>
      <w:tr w:rsidR="00CE675C" w:rsidRPr="008E6A7F" w14:paraId="736BDDD5" w14:textId="77777777" w:rsidTr="00AA364E">
        <w:trPr>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auto"/>
            <w:noWrap/>
            <w:hideMark/>
          </w:tcPr>
          <w:p w14:paraId="09F9DB0B" w14:textId="629B1DDC"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3</w:t>
            </w:r>
          </w:p>
        </w:tc>
        <w:tc>
          <w:tcPr>
            <w:tcW w:w="0" w:type="pct"/>
            <w:tcBorders>
              <w:top w:val="nil"/>
              <w:left w:val="nil"/>
              <w:bottom w:val="nil"/>
              <w:right w:val="nil"/>
            </w:tcBorders>
            <w:shd w:val="clear" w:color="auto" w:fill="auto"/>
            <w:noWrap/>
            <w:hideMark/>
          </w:tcPr>
          <w:p w14:paraId="5154DBCF" w14:textId="77777777"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3.23</w:t>
            </w:r>
          </w:p>
        </w:tc>
        <w:tc>
          <w:tcPr>
            <w:tcW w:w="0" w:type="pct"/>
            <w:tcBorders>
              <w:top w:val="nil"/>
              <w:left w:val="nil"/>
              <w:bottom w:val="nil"/>
              <w:right w:val="nil"/>
            </w:tcBorders>
            <w:shd w:val="clear" w:color="auto" w:fill="auto"/>
          </w:tcPr>
          <w:p w14:paraId="079606CA" w14:textId="048A93D4"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6.43</w:t>
            </w:r>
          </w:p>
        </w:tc>
        <w:tc>
          <w:tcPr>
            <w:tcW w:w="0" w:type="pct"/>
            <w:tcBorders>
              <w:top w:val="nil"/>
              <w:left w:val="nil"/>
              <w:bottom w:val="nil"/>
              <w:right w:val="nil"/>
            </w:tcBorders>
            <w:shd w:val="clear" w:color="auto" w:fill="auto"/>
          </w:tcPr>
          <w:p w14:paraId="74E28FA8" w14:textId="5355D2FA"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5.68</w:t>
            </w:r>
          </w:p>
        </w:tc>
        <w:tc>
          <w:tcPr>
            <w:tcW w:w="0" w:type="pct"/>
            <w:tcBorders>
              <w:top w:val="nil"/>
              <w:left w:val="nil"/>
              <w:bottom w:val="nil"/>
              <w:right w:val="nil"/>
            </w:tcBorders>
            <w:shd w:val="clear" w:color="auto" w:fill="auto"/>
            <w:noWrap/>
            <w:hideMark/>
          </w:tcPr>
          <w:p w14:paraId="63EB815B" w14:textId="4B6B77DF"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16.38</w:t>
            </w:r>
          </w:p>
        </w:tc>
        <w:tc>
          <w:tcPr>
            <w:tcW w:w="0" w:type="pct"/>
            <w:tcBorders>
              <w:top w:val="nil"/>
              <w:left w:val="nil"/>
              <w:bottom w:val="nil"/>
            </w:tcBorders>
            <w:shd w:val="clear" w:color="auto" w:fill="auto"/>
            <w:noWrap/>
          </w:tcPr>
          <w:p w14:paraId="5CCE5BB2" w14:textId="47E7F477"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&gt;100</w:t>
            </w:r>
          </w:p>
        </w:tc>
      </w:tr>
      <w:tr w:rsidR="0027653D" w:rsidRPr="008E6A7F" w14:paraId="23B8F874" w14:textId="77777777" w:rsidTr="00CE67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tcBorders>
            <w:shd w:val="clear" w:color="auto" w:fill="auto"/>
            <w:noWrap/>
            <w:hideMark/>
          </w:tcPr>
          <w:p w14:paraId="0C2A320A" w14:textId="73D56D31"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4</w:t>
            </w:r>
          </w:p>
        </w:tc>
        <w:tc>
          <w:tcPr>
            <w:tcW w:w="0" w:type="pct"/>
            <w:tcBorders>
              <w:top w:val="nil"/>
              <w:bottom w:val="nil"/>
            </w:tcBorders>
            <w:shd w:val="clear" w:color="auto" w:fill="auto"/>
            <w:noWrap/>
            <w:hideMark/>
          </w:tcPr>
          <w:p w14:paraId="49CE4E46" w14:textId="7777777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2.62</w:t>
            </w:r>
          </w:p>
        </w:tc>
        <w:tc>
          <w:tcPr>
            <w:tcW w:w="0" w:type="pct"/>
            <w:tcBorders>
              <w:top w:val="nil"/>
              <w:bottom w:val="nil"/>
            </w:tcBorders>
            <w:shd w:val="clear" w:color="auto" w:fill="auto"/>
          </w:tcPr>
          <w:p w14:paraId="0A1DAB41" w14:textId="1E8BAC0C"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21.1</w:t>
            </w:r>
          </w:p>
        </w:tc>
        <w:tc>
          <w:tcPr>
            <w:tcW w:w="0" w:type="pct"/>
            <w:tcBorders>
              <w:top w:val="nil"/>
              <w:bottom w:val="nil"/>
            </w:tcBorders>
            <w:shd w:val="clear" w:color="auto" w:fill="auto"/>
          </w:tcPr>
          <w:p w14:paraId="5DBE280B" w14:textId="6F53F90F"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lang w:eastAsia="pt-BR"/>
              </w:rPr>
              <w:t>4.91</w:t>
            </w:r>
          </w:p>
        </w:tc>
        <w:tc>
          <w:tcPr>
            <w:tcW w:w="0" w:type="pct"/>
            <w:tcBorders>
              <w:top w:val="nil"/>
              <w:bottom w:val="nil"/>
            </w:tcBorders>
            <w:shd w:val="clear" w:color="auto" w:fill="auto"/>
            <w:noWrap/>
            <w:hideMark/>
          </w:tcPr>
          <w:p w14:paraId="5D076D81" w14:textId="32AE2495"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28.49</w:t>
            </w:r>
          </w:p>
        </w:tc>
        <w:tc>
          <w:tcPr>
            <w:tcW w:w="0" w:type="pct"/>
            <w:tcBorders>
              <w:top w:val="nil"/>
              <w:bottom w:val="nil"/>
            </w:tcBorders>
            <w:shd w:val="clear" w:color="auto" w:fill="auto"/>
            <w:noWrap/>
          </w:tcPr>
          <w:p w14:paraId="0100E501" w14:textId="289A4B4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&gt;100</w:t>
            </w:r>
          </w:p>
        </w:tc>
      </w:tr>
      <w:tr w:rsidR="00CE675C" w:rsidRPr="008E6A7F" w14:paraId="252E7963" w14:textId="77777777" w:rsidTr="00AA364E">
        <w:trPr>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right w:val="nil"/>
            </w:tcBorders>
            <w:shd w:val="clear" w:color="auto" w:fill="auto"/>
            <w:noWrap/>
            <w:hideMark/>
          </w:tcPr>
          <w:p w14:paraId="0A204CE7" w14:textId="5DCADCB2"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5</w:t>
            </w:r>
          </w:p>
        </w:tc>
        <w:tc>
          <w:tcPr>
            <w:tcW w:w="0" w:type="pct"/>
            <w:tcBorders>
              <w:top w:val="nil"/>
              <w:left w:val="nil"/>
              <w:bottom w:val="nil"/>
              <w:right w:val="nil"/>
            </w:tcBorders>
            <w:shd w:val="clear" w:color="auto" w:fill="auto"/>
            <w:noWrap/>
            <w:hideMark/>
          </w:tcPr>
          <w:p w14:paraId="1432F214" w14:textId="4E3C02E2"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&gt;20</w:t>
            </w:r>
          </w:p>
        </w:tc>
        <w:tc>
          <w:tcPr>
            <w:tcW w:w="0" w:type="pct"/>
            <w:tcBorders>
              <w:top w:val="nil"/>
              <w:left w:val="nil"/>
              <w:bottom w:val="nil"/>
              <w:right w:val="nil"/>
            </w:tcBorders>
            <w:shd w:val="clear" w:color="auto" w:fill="auto"/>
          </w:tcPr>
          <w:p w14:paraId="36593F14" w14:textId="38B6ABA3" w:rsidR="00775D3D" w:rsidRPr="00AA364E" w:rsidRDefault="008E6A7F"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N.D.</w:t>
            </w:r>
          </w:p>
        </w:tc>
        <w:tc>
          <w:tcPr>
            <w:tcW w:w="0" w:type="pct"/>
            <w:tcBorders>
              <w:top w:val="nil"/>
              <w:left w:val="nil"/>
              <w:bottom w:val="nil"/>
              <w:right w:val="nil"/>
            </w:tcBorders>
            <w:shd w:val="clear" w:color="auto" w:fill="auto"/>
          </w:tcPr>
          <w:p w14:paraId="6BC7526C" w14:textId="4FBB5098" w:rsidR="00775D3D" w:rsidRPr="00AA364E" w:rsidRDefault="008E6A7F"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bookmarkStart w:id="30" w:name="OLE_LINK68"/>
            <w:bookmarkStart w:id="31" w:name="OLE_LINK69"/>
            <w:bookmarkStart w:id="32" w:name="OLE_LINK70"/>
            <w:bookmarkStart w:id="33" w:name="OLE_LINK71"/>
            <w:r w:rsidRPr="00AA364E">
              <w:rPr>
                <w:rFonts w:ascii="Times New Roman" w:hAnsi="Times New Roman"/>
                <w:sz w:val="22"/>
                <w:szCs w:val="22"/>
              </w:rPr>
              <w:t>N.D.</w:t>
            </w:r>
            <w:bookmarkEnd w:id="30"/>
            <w:bookmarkEnd w:id="31"/>
            <w:bookmarkEnd w:id="32"/>
            <w:bookmarkEnd w:id="33"/>
          </w:p>
        </w:tc>
        <w:tc>
          <w:tcPr>
            <w:tcW w:w="0" w:type="pct"/>
            <w:tcBorders>
              <w:top w:val="nil"/>
              <w:left w:val="nil"/>
              <w:bottom w:val="nil"/>
              <w:right w:val="nil"/>
            </w:tcBorders>
            <w:shd w:val="clear" w:color="auto" w:fill="auto"/>
            <w:noWrap/>
            <w:hideMark/>
          </w:tcPr>
          <w:p w14:paraId="4EA05C57" w14:textId="4246B8A9" w:rsidR="00775D3D" w:rsidRPr="00AA364E" w:rsidRDefault="008C43DA"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77529C">
              <w:rPr>
                <w:rFonts w:ascii="Times New Roman" w:hAnsi="Times New Roman"/>
                <w:sz w:val="22"/>
                <w:szCs w:val="22"/>
              </w:rPr>
              <w:t>N.D.</w:t>
            </w:r>
          </w:p>
        </w:tc>
        <w:tc>
          <w:tcPr>
            <w:tcW w:w="0" w:type="pct"/>
            <w:tcBorders>
              <w:top w:val="nil"/>
              <w:left w:val="nil"/>
              <w:bottom w:val="nil"/>
            </w:tcBorders>
            <w:shd w:val="clear" w:color="auto" w:fill="auto"/>
            <w:noWrap/>
          </w:tcPr>
          <w:p w14:paraId="79035B3E" w14:textId="2E270B61"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bookmarkStart w:id="34" w:name="OLE_LINK46"/>
            <w:bookmarkStart w:id="35" w:name="OLE_LINK47"/>
            <w:bookmarkStart w:id="36" w:name="OLE_LINK48"/>
            <w:bookmarkStart w:id="37" w:name="OLE_LINK49"/>
            <w:r w:rsidRPr="00AA364E">
              <w:rPr>
                <w:rFonts w:ascii="Times New Roman" w:hAnsi="Times New Roman"/>
                <w:sz w:val="22"/>
                <w:szCs w:val="22"/>
              </w:rPr>
              <w:t>N.D.</w:t>
            </w:r>
            <w:bookmarkEnd w:id="34"/>
            <w:bookmarkEnd w:id="35"/>
            <w:bookmarkEnd w:id="36"/>
            <w:bookmarkEnd w:id="37"/>
          </w:p>
        </w:tc>
      </w:tr>
      <w:tr w:rsidR="0027653D" w:rsidRPr="008E6A7F" w14:paraId="4852A13A" w14:textId="77777777" w:rsidTr="00CE675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nil"/>
            </w:tcBorders>
            <w:shd w:val="clear" w:color="auto" w:fill="auto"/>
            <w:noWrap/>
            <w:hideMark/>
          </w:tcPr>
          <w:p w14:paraId="02F38EDB" w14:textId="4A818815"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6</w:t>
            </w:r>
          </w:p>
        </w:tc>
        <w:tc>
          <w:tcPr>
            <w:tcW w:w="0" w:type="pct"/>
            <w:tcBorders>
              <w:top w:val="nil"/>
              <w:bottom w:val="nil"/>
            </w:tcBorders>
            <w:shd w:val="clear" w:color="auto" w:fill="auto"/>
            <w:noWrap/>
            <w:hideMark/>
          </w:tcPr>
          <w:p w14:paraId="54BC0A66" w14:textId="77777777"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&gt;20</w:t>
            </w:r>
          </w:p>
        </w:tc>
        <w:tc>
          <w:tcPr>
            <w:tcW w:w="0" w:type="pct"/>
            <w:tcBorders>
              <w:top w:val="nil"/>
              <w:bottom w:val="nil"/>
            </w:tcBorders>
            <w:shd w:val="clear" w:color="auto" w:fill="auto"/>
          </w:tcPr>
          <w:p w14:paraId="583CC4E5" w14:textId="34434966" w:rsidR="00775D3D" w:rsidRPr="00AA364E" w:rsidRDefault="008E6A7F"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N.D.</w:t>
            </w:r>
          </w:p>
        </w:tc>
        <w:tc>
          <w:tcPr>
            <w:tcW w:w="0" w:type="pct"/>
            <w:tcBorders>
              <w:top w:val="nil"/>
              <w:bottom w:val="nil"/>
            </w:tcBorders>
            <w:shd w:val="clear" w:color="auto" w:fill="auto"/>
          </w:tcPr>
          <w:p w14:paraId="3ACFDC7F" w14:textId="1E1D22B3" w:rsidR="00775D3D" w:rsidRPr="00AA364E" w:rsidRDefault="008E6A7F"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N.D.</w:t>
            </w:r>
          </w:p>
        </w:tc>
        <w:tc>
          <w:tcPr>
            <w:tcW w:w="0" w:type="pct"/>
            <w:tcBorders>
              <w:top w:val="nil"/>
              <w:bottom w:val="nil"/>
            </w:tcBorders>
            <w:shd w:val="clear" w:color="auto" w:fill="auto"/>
            <w:noWrap/>
            <w:hideMark/>
          </w:tcPr>
          <w:p w14:paraId="7522AF37" w14:textId="2AEC55DE" w:rsidR="00775D3D" w:rsidRPr="00AA364E" w:rsidRDefault="008C43DA"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77529C">
              <w:rPr>
                <w:rFonts w:ascii="Times New Roman" w:hAnsi="Times New Roman"/>
                <w:sz w:val="22"/>
                <w:szCs w:val="22"/>
              </w:rPr>
              <w:t>N.D.</w:t>
            </w:r>
          </w:p>
        </w:tc>
        <w:tc>
          <w:tcPr>
            <w:tcW w:w="0" w:type="pct"/>
            <w:tcBorders>
              <w:top w:val="nil"/>
              <w:bottom w:val="nil"/>
            </w:tcBorders>
            <w:shd w:val="clear" w:color="auto" w:fill="auto"/>
            <w:noWrap/>
          </w:tcPr>
          <w:p w14:paraId="4EA8B60F" w14:textId="47A6E004" w:rsidR="00775D3D" w:rsidRPr="00AA364E" w:rsidRDefault="00775D3D" w:rsidP="00AA364E">
            <w:pPr>
              <w:pStyle w:val="TCTableBody"/>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N.D.</w:t>
            </w:r>
          </w:p>
        </w:tc>
      </w:tr>
      <w:tr w:rsidR="00CE675C" w:rsidRPr="008E6A7F" w14:paraId="0D932254" w14:textId="77777777" w:rsidTr="00AA364E">
        <w:trPr>
          <w:trHeight w:val="288"/>
        </w:trPr>
        <w:tc>
          <w:tcPr>
            <w:cnfStyle w:val="001000000000" w:firstRow="0" w:lastRow="0" w:firstColumn="1" w:lastColumn="0" w:oddVBand="0" w:evenVBand="0" w:oddHBand="0" w:evenHBand="0" w:firstRowFirstColumn="0" w:firstRowLastColumn="0" w:lastRowFirstColumn="0" w:lastRowLastColumn="0"/>
            <w:tcW w:w="0" w:type="pct"/>
            <w:tcBorders>
              <w:top w:val="nil"/>
              <w:bottom w:val="single" w:sz="8" w:space="0" w:color="000000" w:themeColor="text1"/>
              <w:right w:val="nil"/>
            </w:tcBorders>
            <w:shd w:val="clear" w:color="auto" w:fill="auto"/>
            <w:noWrap/>
            <w:hideMark/>
          </w:tcPr>
          <w:p w14:paraId="25000A02" w14:textId="77777777" w:rsidR="00775D3D" w:rsidRPr="00AA364E" w:rsidRDefault="00775D3D" w:rsidP="00AA364E">
            <w:pPr>
              <w:pStyle w:val="TCTableBody"/>
              <w:jc w:val="left"/>
              <w:rPr>
                <w:rFonts w:ascii="Times New Roman" w:hAnsi="Times New Roman"/>
                <w:bCs w:val="0"/>
                <w:color w:val="auto"/>
                <w:sz w:val="22"/>
                <w:szCs w:val="22"/>
              </w:rPr>
            </w:pPr>
            <w:r w:rsidRPr="00AA364E">
              <w:rPr>
                <w:rFonts w:ascii="Times New Roman" w:hAnsi="Times New Roman"/>
                <w:sz w:val="22"/>
                <w:szCs w:val="22"/>
              </w:rPr>
              <w:t>PZQ</w:t>
            </w:r>
          </w:p>
        </w:tc>
        <w:tc>
          <w:tcPr>
            <w:tcW w:w="0" w:type="pct"/>
            <w:tcBorders>
              <w:top w:val="nil"/>
              <w:left w:val="nil"/>
              <w:bottom w:val="single" w:sz="8" w:space="0" w:color="000000" w:themeColor="text1"/>
              <w:right w:val="nil"/>
            </w:tcBorders>
            <w:shd w:val="clear" w:color="auto" w:fill="auto"/>
            <w:noWrap/>
            <w:hideMark/>
          </w:tcPr>
          <w:p w14:paraId="0D8CC3B3" w14:textId="67ECE666"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1.90</w:t>
            </w:r>
          </w:p>
        </w:tc>
        <w:tc>
          <w:tcPr>
            <w:tcW w:w="0" w:type="pct"/>
            <w:tcBorders>
              <w:top w:val="nil"/>
              <w:left w:val="nil"/>
              <w:bottom w:val="single" w:sz="8" w:space="0" w:color="000000" w:themeColor="text1"/>
              <w:right w:val="nil"/>
            </w:tcBorders>
            <w:shd w:val="clear" w:color="auto" w:fill="auto"/>
          </w:tcPr>
          <w:p w14:paraId="605D9524" w14:textId="20A0F714" w:rsidR="00775D3D" w:rsidRPr="00AA364E" w:rsidRDefault="008E6A7F"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lang w:eastAsia="pt-BR"/>
              </w:rPr>
              <w:t>0.22*</w:t>
            </w:r>
          </w:p>
        </w:tc>
        <w:tc>
          <w:tcPr>
            <w:tcW w:w="0" w:type="pct"/>
            <w:tcBorders>
              <w:top w:val="nil"/>
              <w:left w:val="nil"/>
              <w:bottom w:val="single" w:sz="8" w:space="0" w:color="000000" w:themeColor="text1"/>
              <w:right w:val="nil"/>
            </w:tcBorders>
            <w:shd w:val="clear" w:color="auto" w:fill="auto"/>
          </w:tcPr>
          <w:p w14:paraId="74CD4405" w14:textId="3DF34344"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0.64</w:t>
            </w:r>
          </w:p>
        </w:tc>
        <w:tc>
          <w:tcPr>
            <w:tcW w:w="0" w:type="pct"/>
            <w:tcBorders>
              <w:top w:val="nil"/>
              <w:left w:val="nil"/>
              <w:bottom w:val="single" w:sz="8" w:space="0" w:color="000000" w:themeColor="text1"/>
              <w:right w:val="nil"/>
            </w:tcBorders>
            <w:shd w:val="clear" w:color="auto" w:fill="auto"/>
            <w:noWrap/>
            <w:hideMark/>
          </w:tcPr>
          <w:p w14:paraId="62BF30D4" w14:textId="534AB9F8"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&gt;400</w:t>
            </w:r>
          </w:p>
        </w:tc>
        <w:tc>
          <w:tcPr>
            <w:tcW w:w="0" w:type="pct"/>
            <w:tcBorders>
              <w:top w:val="nil"/>
              <w:left w:val="nil"/>
              <w:bottom w:val="single" w:sz="8" w:space="0" w:color="000000" w:themeColor="text1"/>
            </w:tcBorders>
            <w:shd w:val="clear" w:color="auto" w:fill="auto"/>
            <w:noWrap/>
          </w:tcPr>
          <w:p w14:paraId="5BC11140" w14:textId="064FB4F2" w:rsidR="00775D3D" w:rsidRPr="00AA364E" w:rsidRDefault="00775D3D" w:rsidP="00AA364E">
            <w:pPr>
              <w:pStyle w:val="TCTableBody"/>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A364E">
              <w:rPr>
                <w:rFonts w:ascii="Times New Roman" w:hAnsi="Times New Roman"/>
                <w:sz w:val="22"/>
                <w:szCs w:val="22"/>
              </w:rPr>
              <w:t>N.D.</w:t>
            </w:r>
          </w:p>
        </w:tc>
      </w:tr>
    </w:tbl>
    <w:p w14:paraId="22740BE9" w14:textId="271D7ABD" w:rsidR="00F171E4" w:rsidRPr="00F30EF4" w:rsidRDefault="0004682F" w:rsidP="00163474">
      <w:pPr>
        <w:pStyle w:val="TAMainText"/>
        <w:spacing w:line="276" w:lineRule="auto"/>
        <w:ind w:firstLine="0"/>
      </w:pPr>
      <w:r w:rsidRPr="00F30EF4">
        <w:t>N.D. – not determined</w:t>
      </w:r>
      <w:r w:rsidR="00C96C1E" w:rsidRPr="00F30EF4">
        <w:t>.</w:t>
      </w:r>
      <w:r w:rsidR="008C43DA" w:rsidRPr="00F30EF4">
        <w:t xml:space="preserve"> * EC</w:t>
      </w:r>
      <w:r w:rsidR="008C43DA" w:rsidRPr="00AA364E">
        <w:rPr>
          <w:vertAlign w:val="subscript"/>
        </w:rPr>
        <w:t>50</w:t>
      </w:r>
      <w:r w:rsidR="008C43DA" w:rsidRPr="00F30EF4">
        <w:t xml:space="preserve"> values produced for adult </w:t>
      </w:r>
      <w:r w:rsidR="009C2E65" w:rsidRPr="00F30EF4">
        <w:t>male</w:t>
      </w:r>
      <w:r w:rsidR="008C43DA" w:rsidRPr="00F30EF4">
        <w:t xml:space="preserve"> after 72 h of exposure.</w:t>
      </w:r>
      <w:r w:rsidR="00D807D5">
        <w:t xml:space="preserve"> </w:t>
      </w:r>
      <w:r w:rsidR="002628AE" w:rsidRPr="00AA364E">
        <w:t>WSS-1 human kidney epithelial cells were used to evaluate cytotoxicity.</w:t>
      </w:r>
    </w:p>
    <w:p w14:paraId="17136C69" w14:textId="77777777" w:rsidR="00C204B4" w:rsidRDefault="00C204B4" w:rsidP="00AA364E">
      <w:pPr>
        <w:pStyle w:val="TAMainText"/>
        <w:spacing w:before="120"/>
        <w:ind w:firstLine="204"/>
        <w:rPr>
          <w:b/>
        </w:rPr>
      </w:pPr>
    </w:p>
    <w:p w14:paraId="4895A5BE" w14:textId="2C9B96AB" w:rsidR="00294956" w:rsidRPr="00174459" w:rsidRDefault="00294956" w:rsidP="00AA364E">
      <w:pPr>
        <w:pStyle w:val="TAMainText"/>
        <w:spacing w:before="120"/>
        <w:ind w:firstLine="204"/>
      </w:pPr>
      <w:r w:rsidRPr="00AA364E">
        <w:rPr>
          <w:b/>
        </w:rPr>
        <w:lastRenderedPageBreak/>
        <w:t>Analysis of Phenotypic Profile.</w:t>
      </w:r>
      <w:r>
        <w:t xml:space="preserve"> </w:t>
      </w:r>
      <w:r w:rsidR="00C0300C">
        <w:t>Compounds</w:t>
      </w:r>
      <w:r w:rsidR="00AA364E">
        <w:t xml:space="preserve"> </w:t>
      </w:r>
      <w:r w:rsidR="00C0300C" w:rsidRPr="00AA364E">
        <w:rPr>
          <w:b/>
        </w:rPr>
        <w:t>3</w:t>
      </w:r>
      <w:r w:rsidR="00C0300C">
        <w:t xml:space="preserve"> and </w:t>
      </w:r>
      <w:r w:rsidR="00C0300C" w:rsidRPr="00AA364E">
        <w:rPr>
          <w:b/>
        </w:rPr>
        <w:t>4</w:t>
      </w:r>
      <w:r w:rsidR="00C0300C">
        <w:t xml:space="preserve"> promoted the internal disruption of larvae as evidenced by the appearance of multiple vacuoles as well as the </w:t>
      </w:r>
      <w:r w:rsidR="00C0300C" w:rsidRPr="00ED4C9E">
        <w:t xml:space="preserve">rounding and darkening of the </w:t>
      </w:r>
      <w:proofErr w:type="spellStart"/>
      <w:r w:rsidR="00C0300C">
        <w:t>schistosomula</w:t>
      </w:r>
      <w:proofErr w:type="spellEnd"/>
      <w:r w:rsidR="00C0300C">
        <w:t xml:space="preserve"> (Figure 6). </w:t>
      </w:r>
      <w:r w:rsidRPr="00174459">
        <w:t xml:space="preserve">In order to evaluate if </w:t>
      </w:r>
      <w:proofErr w:type="spellStart"/>
      <w:r w:rsidR="009458F8">
        <w:t>schistosomula</w:t>
      </w:r>
      <w:proofErr w:type="spellEnd"/>
      <w:r w:rsidRPr="00174459">
        <w:t xml:space="preserve"> response profile towards hits resemble those observed in the presence of known anti-</w:t>
      </w:r>
      <w:proofErr w:type="spellStart"/>
      <w:r w:rsidRPr="00174459">
        <w:t>schistosomal</w:t>
      </w:r>
      <w:proofErr w:type="spellEnd"/>
      <w:r w:rsidRPr="00174459">
        <w:rPr>
          <w:rStyle w:val="CommentReference"/>
        </w:rPr>
        <w:t xml:space="preserve"> </w:t>
      </w:r>
      <w:r w:rsidRPr="00174459">
        <w:t xml:space="preserve">drugs (OLT, PZQ, </w:t>
      </w:r>
      <w:proofErr w:type="spellStart"/>
      <w:r w:rsidRPr="00174459">
        <w:t>dihydro</w:t>
      </w:r>
      <w:proofErr w:type="spellEnd"/>
      <w:r w:rsidRPr="00174459">
        <w:t xml:space="preserve">-artemisinin, methyl-clonazepam, Ro15-5458, and </w:t>
      </w:r>
      <w:proofErr w:type="spellStart"/>
      <w:r w:rsidRPr="00174459">
        <w:t>oxamniquine</w:t>
      </w:r>
      <w:proofErr w:type="spellEnd"/>
      <w:r w:rsidRPr="00174459">
        <w:t>), we applied a Bayesian treatment class model using phenotype scores.</w:t>
      </w:r>
      <w:r w:rsidRPr="00174459">
        <w:fldChar w:fldCharType="begin" w:fldLock="1"/>
      </w:r>
      <w:r w:rsidR="00456ABA">
        <w:instrText>ADDIN CSL_CITATION { "citationItems" : [ { "id" : "ITEM-1", "itemData" : { "DOI" : "10.1371/journal.pntd.0001762", "ISSN" : "1935-2735", "PMID" : "22860151", "abstract" : "Sole reliance on one drug, Praziquantel, for treatment and control of schistosomiasis raises concerns about development of widespread resistance, prompting renewed interest in the discovery of new anthelmintics. To discover new leads we designed an automated label-free, high content-based, high throughput screen (HTS) to assess drug-induced effects on in vitro cultured larvae (schistosomula) using bright-field imaging. Automatic image analysis and Bayesian prediction models define morphological damage, hit/non-hit prediction and larval phenotype characterization. Motility was also assessed from time-lapse images. In screening a 10,041 compound library the HTS correctly detected 99.8% of the hits scored visually. A proportion of these larval hits were also active in an adult worm ex-vivo screen and are the subject of ongoing studies. The method allows, for the first time, screening of large compound collections against schistosomes and the methods are adaptable to other whole organism and cell-based screening by morphology and motility phenotyping.", "author" : [ { "dropping-particle" : "", "family" : "Paveley", "given" : "Ross", "non-dropping-particle" : "", "parse-names" : false, "suffix" : "" }, { "dropping-particle" : "", "family" : "Mansour", "given" : "Nuha R", "non-dropping-particle" : "", "parse-names" : false, "suffix" : "" }, { "dropping-particle" : "", "family" : "Hallyburton", "given" : "Irene", "non-dropping-particle" : "", "parse-names" : false, "suffix" : "" }, { "dropping-particle" : "", "family" : "Bleicher", "given" : "Leo S", "non-dropping-particle" : "", "parse-names" : false, "suffix" : "" }, { "dropping-particle" : "", "family" : "Benn", "given" : "Alex E", "non-dropping-particle" : "", "parse-names" : false, "suffix" : "" }, { "dropping-particle" : "", "family" : "Mikic", "given" : "Ivana", "non-dropping-particle" : "", "parse-names" : false, "suffix" : "" }, { "dropping-particle" : "", "family" : "Guidi", "given" : "Alessandra", "non-dropping-particle" : "", "parse-names" : false, "suffix" : "" }, { "dropping-particle" : "", "family" : "Gilbert", "given" : "Ian H", "non-dropping-particle" : "", "parse-names" : false, "suffix" : "" }, { "dropping-particle" : "", "family" : "Hopkins", "given" : "Andrew L", "non-dropping-particle" : "", "parse-names" : false, "suffix" : "" }, { "dropping-particle" : "", "family" : "Bickle", "given" : "Quentin D", "non-dropping-particle" : "", "parse-names" : false, "suffix" : "" } ], "container-title" : "PLoS Neglected Tropical Diseases", "editor" : [ { "dropping-particle" : "", "family" : "Simeonov", "given" : "Anton", "non-dropping-particle" : "", "parse-names" : false, "suffix" : "" } ], "id" : "ITEM-1", "issue" : "7", "issued" : { "date-parts" : [ [ "2012", "7", "31" ] ] }, "page" : "e1762", "title" : "Whole Organism High-Content Screening by Label-Free, Image-Based Bayesian Classification for Parasitic Diseases", "type" : "article-journal", "volume" : "6" }, "uris" : [ "http://www.mendeley.com/documents/?uuid=0338ed2d-2fc7-4034-8fe2-f336b77991e9", "http://www.mendeley.com/documents/?uuid=d30ecd1d-e697-435b-afc9-7ed86f415efe" ] } ], "mendeley" : { "formattedCitation" : "&lt;sup&gt;64&lt;/sup&gt;", "plainTextFormattedCitation" : "64", "previouslyFormattedCitation" : "&lt;sup&gt;64&lt;/sup&gt;" }, "properties" : { "noteIndex" : 0 }, "schema" : "https://github.com/citation-style-language/schema/raw/master/csl-citation.json" }</w:instrText>
      </w:r>
      <w:r w:rsidRPr="00174459">
        <w:fldChar w:fldCharType="separate"/>
      </w:r>
      <w:r w:rsidR="00456ABA" w:rsidRPr="00456ABA">
        <w:rPr>
          <w:noProof/>
          <w:vertAlign w:val="superscript"/>
        </w:rPr>
        <w:t>64</w:t>
      </w:r>
      <w:r w:rsidRPr="00174459">
        <w:fldChar w:fldCharType="end"/>
      </w:r>
      <w:r w:rsidR="001B4735">
        <w:t xml:space="preserve"> </w:t>
      </w:r>
      <w:r w:rsidR="00E7629F" w:rsidRPr="006F75B9">
        <w:t xml:space="preserve">This </w:t>
      </w:r>
      <w:r w:rsidR="00C0300C">
        <w:t xml:space="preserve">analysis </w:t>
      </w:r>
      <w:r w:rsidR="00E7629F" w:rsidRPr="006F75B9">
        <w:t>indicate</w:t>
      </w:r>
      <w:r w:rsidR="00C0300C">
        <w:t>d</w:t>
      </w:r>
      <w:r w:rsidR="00E7629F" w:rsidRPr="006F75B9">
        <w:t xml:space="preserve"> a shared target and/or mechanism of action between OLT and hits</w:t>
      </w:r>
      <w:r w:rsidR="00E7629F">
        <w:t xml:space="preserve">, and therefore, all six </w:t>
      </w:r>
      <w:r w:rsidR="00E7629F" w:rsidRPr="00103B8A">
        <w:t>hits were c</w:t>
      </w:r>
      <w:r w:rsidR="00E7629F">
        <w:t xml:space="preserve">lassified as OLT-like compounds. </w:t>
      </w:r>
      <w:r w:rsidR="00C0300C">
        <w:t>At least i</w:t>
      </w:r>
      <w:r w:rsidRPr="00174459">
        <w:t>n part, th</w:t>
      </w:r>
      <w:r w:rsidR="00E7629F">
        <w:t>ese</w:t>
      </w:r>
      <w:r w:rsidRPr="00174459">
        <w:t xml:space="preserve"> result</w:t>
      </w:r>
      <w:r w:rsidR="00E7629F">
        <w:t>s</w:t>
      </w:r>
      <w:r w:rsidRPr="00174459">
        <w:t xml:space="preserve"> </w:t>
      </w:r>
      <w:r w:rsidR="00E7629F">
        <w:t>could</w:t>
      </w:r>
      <w:r w:rsidRPr="00174459">
        <w:t xml:space="preserve"> be related to </w:t>
      </w:r>
      <w:proofErr w:type="spellStart"/>
      <w:r w:rsidRPr="00174459">
        <w:rPr>
          <w:i/>
        </w:rPr>
        <w:t>Sm</w:t>
      </w:r>
      <w:r w:rsidRPr="00174459">
        <w:t>TGR</w:t>
      </w:r>
      <w:proofErr w:type="spellEnd"/>
      <w:r w:rsidRPr="00174459">
        <w:t xml:space="preserve"> inhibition since OLT has already been identified as a noncompetitive inhibitor of this enzyme. It is also important to note that these phenotypic profile has been also observed after </w:t>
      </w:r>
      <w:proofErr w:type="spellStart"/>
      <w:r w:rsidRPr="00174459">
        <w:rPr>
          <w:i/>
        </w:rPr>
        <w:t>Sm</w:t>
      </w:r>
      <w:r w:rsidRPr="00174459">
        <w:t>TGR</w:t>
      </w:r>
      <w:proofErr w:type="spellEnd"/>
      <w:r w:rsidRPr="00174459">
        <w:t xml:space="preserve"> gene knockout.</w:t>
      </w:r>
      <w:r w:rsidRPr="00174459">
        <w:fldChar w:fldCharType="begin" w:fldLock="1"/>
      </w:r>
      <w:r>
        <w:instrText>ADDIN CSL_CITATION { "citationItems" : [ { "id" : "ITEM-1", "itemData" : { "DOI" : "10.1371/journal.pmed.0040206", "ISSN" : "1549-1676", "PMID" : "17579510", "abstract" : "Schistosomiasis--infection with helminth parasites in the genus Schistosoma, including S. mansoni--is a widespread, devastating tropical disease affecting more than 200 million people. No vaccine is available, and praziquantel, the only drug extensively utilized, is currently administered more than 100 million people yearly. Because praziquantel resistance may develop it is essential to identify novel drug targets. Our goal was to investigate the potential of a unique, selenium-containing parasite enzyme thioredoxin glutathione reductase (TGR) as a drug target.", "author" : [ { "dropping-particle" : "", "family" : "Kuntz", "given" : "Angela N", "non-dropping-particle" : "", "parse-names" : false, "suffix" : "" }, { "dropping-particle" : "", "family" : "Davioud-Charvet", "given" : "Elisabeth", "non-dropping-particle" : "", "parse-names" : false, "suffix" : "" }, { "dropping-particle" : "", "family" : "Sayed", "given" : "Ahmed A", "non-dropping-particle" : "", "parse-names" : false, "suffix" : "" }, { "dropping-particle" : "", "family" : "Califf", "given" : "Lindsay L", "non-dropping-particle" : "", "parse-names" : false, "suffix" : "" }, { "dropping-particle" : "", "family" : "Dessolin", "given" : "Jean", "non-dropping-particle" : "", "parse-names" : false, "suffix" : "" }, { "dropping-particle" : "", "family" : "Arn\u00e9r", "given" : "Elias S J", "non-dropping-particle" : "", "parse-names" : false, "suffix" : "" }, { "dropping-particle" : "", "family" : "Williams", "given" : "David L", "non-dropping-particle" : "", "parse-names" : false, "suffix" : "" } ], "container-title" : "PLoS medicine", "id" : "ITEM-1", "issue" : "6", "issued" : { "date-parts" : [ [ "2007", "6" ] ] }, "page" : "e206", "title" : "Thioredoxin glutathione reductase from Schistosoma mansoni: an essential parasite enzyme and a key drug target.", "type" : "article-journal", "volume" : "4" }, "uris" : [ "http://www.mendeley.com/documents/?uuid=d571d3ae-5718-43c4-8e31-92c9b44e6944" ] } ], "mendeley" : { "formattedCitation" : "&lt;sup&gt;18&lt;/sup&gt;", "plainTextFormattedCitation" : "18", "previouslyFormattedCitation" : "&lt;sup&gt;18&lt;/sup&gt;" }, "properties" : { "noteIndex" : 0 }, "schema" : "https://github.com/citation-style-language/schema/raw/master/csl-citation.json" }</w:instrText>
      </w:r>
      <w:r w:rsidRPr="00174459">
        <w:fldChar w:fldCharType="separate"/>
      </w:r>
      <w:r w:rsidRPr="00174459">
        <w:rPr>
          <w:noProof/>
          <w:vertAlign w:val="superscript"/>
        </w:rPr>
        <w:t>18</w:t>
      </w:r>
      <w:r w:rsidRPr="00174459">
        <w:fldChar w:fldCharType="end"/>
      </w:r>
    </w:p>
    <w:p w14:paraId="3124AA82" w14:textId="3AE237D1" w:rsidR="00294956" w:rsidRPr="00174459" w:rsidRDefault="000545B0" w:rsidP="00294956">
      <w:pPr>
        <w:pStyle w:val="VDTableTitle"/>
        <w:jc w:val="center"/>
        <w:rPr>
          <w:b/>
        </w:rPr>
      </w:pPr>
      <w:r>
        <w:rPr>
          <w:noProof/>
        </w:rPr>
        <w:drawing>
          <wp:inline distT="0" distB="0" distL="0" distR="0" wp14:anchorId="13841323" wp14:editId="7161AFDF">
            <wp:extent cx="3030127" cy="30099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40935" cy="3020636"/>
                    </a:xfrm>
                    <a:prstGeom prst="rect">
                      <a:avLst/>
                    </a:prstGeom>
                  </pic:spPr>
                </pic:pic>
              </a:graphicData>
            </a:graphic>
          </wp:inline>
        </w:drawing>
      </w:r>
    </w:p>
    <w:p w14:paraId="77DF3232" w14:textId="581697D2" w:rsidR="00294956" w:rsidRPr="00174459" w:rsidRDefault="00294956" w:rsidP="00AA364E">
      <w:pPr>
        <w:pStyle w:val="VCSchemeTitle"/>
      </w:pPr>
      <w:r w:rsidRPr="00AA364E">
        <w:rPr>
          <w:b/>
        </w:rPr>
        <w:t>Figure 6.</w:t>
      </w:r>
      <w:r w:rsidRPr="00AA364E">
        <w:t xml:space="preserve"> Phenotypes </w:t>
      </w:r>
      <w:r w:rsidRPr="004F4FA6">
        <w:rPr>
          <w:szCs w:val="24"/>
        </w:rPr>
        <w:t xml:space="preserve">of </w:t>
      </w:r>
      <w:proofErr w:type="spellStart"/>
      <w:r w:rsidRPr="004F4FA6">
        <w:rPr>
          <w:szCs w:val="24"/>
        </w:rPr>
        <w:t>schistosomula</w:t>
      </w:r>
      <w:proofErr w:type="spellEnd"/>
      <w:r w:rsidRPr="004F4FA6">
        <w:rPr>
          <w:szCs w:val="24"/>
        </w:rPr>
        <w:t xml:space="preserve"> exposed for 48h </w:t>
      </w:r>
      <w:r w:rsidR="00C3532E" w:rsidRPr="000F605D">
        <w:rPr>
          <w:szCs w:val="24"/>
        </w:rPr>
        <w:t>to 0.625 % DMSO (control, A),</w:t>
      </w:r>
      <w:r w:rsidRPr="000F605D">
        <w:rPr>
          <w:szCs w:val="24"/>
        </w:rPr>
        <w:t xml:space="preserve"> 20 </w:t>
      </w:r>
      <w:r w:rsidR="00437457" w:rsidRPr="000F605D">
        <w:rPr>
          <w:rFonts w:ascii="Times New Roman" w:hAnsi="Times New Roman"/>
          <w:szCs w:val="24"/>
        </w:rPr>
        <w:t>µ</w:t>
      </w:r>
      <w:r w:rsidRPr="000F605D">
        <w:rPr>
          <w:szCs w:val="24"/>
        </w:rPr>
        <w:t xml:space="preserve">M of </w:t>
      </w:r>
      <w:r w:rsidRPr="000F605D">
        <w:rPr>
          <w:b/>
          <w:szCs w:val="24"/>
        </w:rPr>
        <w:t>4</w:t>
      </w:r>
      <w:r w:rsidRPr="000F605D">
        <w:rPr>
          <w:szCs w:val="24"/>
        </w:rPr>
        <w:t xml:space="preserve"> (B)</w:t>
      </w:r>
      <w:r w:rsidR="00C3532E" w:rsidRPr="000F605D">
        <w:rPr>
          <w:szCs w:val="24"/>
        </w:rPr>
        <w:t>,</w:t>
      </w:r>
      <w:r w:rsidRPr="000F605D">
        <w:rPr>
          <w:szCs w:val="24"/>
        </w:rPr>
        <w:t xml:space="preserve"> and 10 </w:t>
      </w:r>
      <w:r w:rsidR="00437457" w:rsidRPr="000F605D">
        <w:rPr>
          <w:rFonts w:ascii="Times New Roman" w:hAnsi="Times New Roman"/>
          <w:szCs w:val="24"/>
        </w:rPr>
        <w:t>µ</w:t>
      </w:r>
      <w:r w:rsidRPr="000F605D">
        <w:rPr>
          <w:szCs w:val="24"/>
        </w:rPr>
        <w:t>M of PZQ</w:t>
      </w:r>
      <w:r w:rsidRPr="00AA364E">
        <w:t xml:space="preserve"> (C) and OLT (D). The outlines represent the position of each parasite over 5 time points (11s interval).</w:t>
      </w:r>
    </w:p>
    <w:p w14:paraId="3BEF5BAB" w14:textId="0E2A8131" w:rsidR="00923A74" w:rsidRDefault="006A4DA2" w:rsidP="00AA364E">
      <w:pPr>
        <w:pStyle w:val="TAMainText"/>
        <w:spacing w:before="120"/>
        <w:ind w:firstLine="204"/>
      </w:pPr>
      <w:r w:rsidRPr="00AA364E">
        <w:rPr>
          <w:b/>
          <w:i/>
          <w:color w:val="000000"/>
        </w:rPr>
        <w:lastRenderedPageBreak/>
        <w:t>E</w:t>
      </w:r>
      <w:r w:rsidR="0090140B" w:rsidRPr="00AA364E">
        <w:rPr>
          <w:b/>
          <w:i/>
          <w:color w:val="000000"/>
        </w:rPr>
        <w:t>x vivo</w:t>
      </w:r>
      <w:r w:rsidR="0090140B" w:rsidRPr="00AA364E">
        <w:rPr>
          <w:b/>
          <w:color w:val="000000"/>
        </w:rPr>
        <w:t xml:space="preserve"> </w:t>
      </w:r>
      <w:r w:rsidR="00A10E8E">
        <w:rPr>
          <w:b/>
          <w:color w:val="000000"/>
        </w:rPr>
        <w:t>A</w:t>
      </w:r>
      <w:r w:rsidRPr="00AA364E">
        <w:rPr>
          <w:b/>
          <w:color w:val="000000"/>
        </w:rPr>
        <w:t>ctivity on Adult Worms</w:t>
      </w:r>
      <w:r w:rsidR="0090140B" w:rsidRPr="00AA364E">
        <w:rPr>
          <w:b/>
          <w:color w:val="000000"/>
        </w:rPr>
        <w:t xml:space="preserve">. </w:t>
      </w:r>
      <w:r w:rsidR="002055AA" w:rsidRPr="00174459">
        <w:t>O</w:t>
      </w:r>
      <w:r w:rsidR="00C97866" w:rsidRPr="00174459">
        <w:t xml:space="preserve">ur </w:t>
      </w:r>
      <w:r w:rsidR="0090140B" w:rsidRPr="00174459">
        <w:t xml:space="preserve">next step was to investigate if the </w:t>
      </w:r>
      <w:r w:rsidR="001C3B1A" w:rsidRPr="00174459">
        <w:t>comp</w:t>
      </w:r>
      <w:r w:rsidR="0068095C" w:rsidRPr="00174459">
        <w:t>o</w:t>
      </w:r>
      <w:r w:rsidR="001C3B1A" w:rsidRPr="00174459">
        <w:t>unds</w:t>
      </w:r>
      <w:r w:rsidR="0090140B" w:rsidRPr="00174459">
        <w:t xml:space="preserve"> identified as hits </w:t>
      </w:r>
      <w:r w:rsidR="00A81AB7">
        <w:t xml:space="preserve">for </w:t>
      </w:r>
      <w:proofErr w:type="spellStart"/>
      <w:r w:rsidR="009458F8">
        <w:t>schistosomula</w:t>
      </w:r>
      <w:proofErr w:type="spellEnd"/>
      <w:r w:rsidR="00A81AB7">
        <w:t xml:space="preserve"> </w:t>
      </w:r>
      <w:r w:rsidR="0090140B" w:rsidRPr="00174459">
        <w:t xml:space="preserve">also had an effect on adult </w:t>
      </w:r>
      <w:r w:rsidR="0090140B" w:rsidRPr="00174459">
        <w:rPr>
          <w:i/>
        </w:rPr>
        <w:t xml:space="preserve">S. </w:t>
      </w:r>
      <w:proofErr w:type="spellStart"/>
      <w:r w:rsidR="0090140B" w:rsidRPr="00174459">
        <w:rPr>
          <w:i/>
        </w:rPr>
        <w:t>mansoni</w:t>
      </w:r>
      <w:proofErr w:type="spellEnd"/>
      <w:r w:rsidR="0090140B" w:rsidRPr="00174459">
        <w:t xml:space="preserve"> </w:t>
      </w:r>
      <w:r w:rsidR="007B1835" w:rsidRPr="00174459">
        <w:t>worms</w:t>
      </w:r>
      <w:r w:rsidR="0090140B" w:rsidRPr="00174459">
        <w:t>.</w:t>
      </w:r>
      <w:r w:rsidR="00B519AB">
        <w:fldChar w:fldCharType="begin" w:fldLock="1"/>
      </w:r>
      <w:r w:rsidR="00B519AB">
        <w:instrText>ADDIN CSL_CITATION { "citationItems" : [ { "id" : "ITEM-1", "itemData" : { "DOI" : "10.1021/acs.jcim.6b00055", "ISSN" : "1549-9596", "author" : [ { "dropping-particle" : "", "family" : "Melo-Filho", "given" : "Cleber C", "non-dropping-particle" : "", "parse-names" : false, "suffix" : "" }, { "dropping-particle" : "", "family" : "Dantas", "given" : "Rafael F", "non-dropping-particle" : "", "parse-names" : false, "suffix" : "" }, { "dropping-particle" : "", "family" : "Braga", "given" : "Rodolpho C", "non-dropping-particle" : "", "parse-names" : false, "suffix" : "" }, { "dropping-particle" : "", "family" : "Neves", "given" : "Bruno J", "non-dropping-particle" : "", "parse-names" : false, "suffix" : "" }, { "dropping-particle" : "", "family" : "Senger", "given" : "Mario R", "non-dropping-particle" : "", "parse-names" : false, "suffix" : "" }, { "dropping-particle" : "", "family" : "Valente", "given" : "Walter C.G.", "non-dropping-particle" : "", "parse-names" : false, "suffix" : "" }, { "dropping-particle" : "", "family" : "Rezende-Neto", "given" : "Joao M", "non-dropping-particle" : "", "parse-names" : false, "suffix" : "" }, { "dropping-particle" : "", "family" : "Chaves", "given" : "Willian T", "non-dropping-particle" : "", "parse-names" : false, "suffix" : "" }, { "dropping-particle" : "", "family" : "Muratov", "given" : "Eugene N.", "non-dropping-particle" : "", "parse-names" : false, "suffix" : "" }, { "dropping-particle" : "", "family" : "Paveley", "given" : "Ross A", "non-dropping-particle" : "", "parse-names" : false, "suffix" : "" }, { "dropping-particle" : "", "family" : "Furnham", "given" : "Nicholas", "non-dropping-particle" : "", "parse-names" : false, "suffix" : "" }, { "dropping-particle" : "", "family" : "Kamentsky", "given" : "Lee", "non-dropping-particle" : "", "parse-names" : false, "suffix" : "" }, { "dropping-particle" : "", "family" : "Carpenter", "given" : "Anne E.", "non-dropping-particle" : "", "parse-names" : false, "suffix" : "" }, { "dropping-particle" : "", "family" : "Junior", "given" : "Floriano Paes Silva", "non-dropping-particle" : "", "parse-names" : false, "suffix" : "" }, { "dropping-particle" : "", "family" : "Andrade", "given" : "Carolina Horta", "non-dropping-particle" : "", "parse-names" : false, "suffix" : "" } ], "container-title" : "Journal of Chemical Information and Modeling", "id" : "ITEM-1", "issued" : { "date-parts" : [ [ "2016", "6", "2" ] ] }, "page" : "acs.jcim.6b00055", "title" : "QSAR-Driven Discovery of Novel Chemical Scaffolds Active Against Schistosoma mansoni", "type" : "article-journal" }, "uris" : [ "http://www.mendeley.com/documents/?uuid=eea901dc-3400-4ec5-ab66-23293ac126ac" ] }, { "id" : "ITEM-2", "itemData" : { "DOI" : "10.1039/C5MD00596E", "ISSN" : "2040-2503", "author" : [ { "dropping-particle" : "", "family" : "Neves", "given" : "Bruno Junior", "non-dropping-particle" : "", "parse-names" : false, "suffix" : "" }, { "dropping-particle" : "", "family" : "Dantas", "given" : "Rafael Ferreira", "non-dropping-particle" : "", "parse-names" : false, "suffix" : "" }, { "dropping-particle" : "", "family" : "Senger", "given" : "Mario Roberto", "non-dropping-particle" : "", "parse-names" : false, "suffix" : "" }, { "dropping-particle" : "", "family" : "Valente", "given" : "Walter C\u00e9sar G\u00f3es", "non-dropping-particle" : "", "parse-names" : false, "suffix" : "" }, { "dropping-particle" : "", "family" : "Rezende-Neto", "given" : "Jo\u00e3o de Mello", "non-dropping-particle" : "", "parse-names" : false, "suffix" : "" }, { "dropping-particle" : "", "family" : "Chaves", "given" : "Willian T\u00e1vora", "non-dropping-particle" : "", "parse-names" : false, "suffix" : "" }, { "dropping-particle" : "", "family" : "Kamentsky", "given" : "Lee", "non-dropping-particle" : "", "parse-names" : false, "suffix" : "" }, { "dropping-particle" : "", "family" : "Carpenter", "given" : "Anne", "non-dropping-particle" : "", "parse-names" : false, "suffix" : "" }, { "dropping-particle" : "", "family" : "Silva-Junior", "given" : "Floriano Paes", "non-dropping-particle" : "", "parse-names" : false, "suffix" : "" }, { "dropping-particle" : "", "family" : "Andrade", "given" : "Carolina Horta", "non-dropping-particle" : "", "parse-names" : false, "suffix" : "" } ], "container-title" : "Med. Chem. Commun.", "id" : "ITEM-2", "issued" : { "date-parts" : [ [ "2016" ] ] }, "title" : "The antidepressant drug paroxetine as a new lead candidate in schistosome drug discovery", "type" : "article-journal" }, "uris" : [ "http://www.mendeley.com/documents/?uuid=482b417b-8a46-467f-8ff5-038e6998e6fe" ] } ], "mendeley" : { "formattedCitation" : "&lt;sup&gt;65,66&lt;/sup&gt;", "plainTextFormattedCitation" : "65,66", "previouslyFormattedCitation" : "&lt;sup&gt;65,66&lt;/sup&gt;" }, "properties" : { "noteIndex" : 0 }, "schema" : "https://github.com/citation-style-language/schema/raw/master/csl-citation.json" }</w:instrText>
      </w:r>
      <w:r w:rsidR="00B519AB">
        <w:fldChar w:fldCharType="separate"/>
      </w:r>
      <w:r w:rsidR="00B519AB" w:rsidRPr="00456ABA">
        <w:rPr>
          <w:noProof/>
          <w:vertAlign w:val="superscript"/>
        </w:rPr>
        <w:t>65,66</w:t>
      </w:r>
      <w:r w:rsidR="00B519AB">
        <w:fldChar w:fldCharType="end"/>
      </w:r>
      <w:r w:rsidR="002761BB">
        <w:t xml:space="preserve"> </w:t>
      </w:r>
      <w:r w:rsidR="00734782" w:rsidRPr="00734782">
        <w:t xml:space="preserve">Therefore, we </w:t>
      </w:r>
      <w:r w:rsidR="00C0300C">
        <w:t xml:space="preserve">employed </w:t>
      </w:r>
      <w:r w:rsidR="00734782" w:rsidRPr="00734782">
        <w:t xml:space="preserve">a </w:t>
      </w:r>
      <w:r w:rsidR="00923A74">
        <w:t xml:space="preserve">new </w:t>
      </w:r>
      <w:r w:rsidR="00C0300C">
        <w:t>HCS</w:t>
      </w:r>
      <w:r w:rsidR="00734782" w:rsidRPr="00734782">
        <w:t xml:space="preserve"> platform </w:t>
      </w:r>
      <w:r w:rsidR="00923A74">
        <w:t xml:space="preserve">recently developed by our group </w:t>
      </w:r>
      <w:r w:rsidR="00734782" w:rsidRPr="00734782">
        <w:t>that allows for systematic evaluation</w:t>
      </w:r>
      <w:r w:rsidR="00445697" w:rsidRPr="00174459">
        <w:t xml:space="preserve"> of gender-, dose-, and time-dependent drug effects on individual male and female parasites by measuring over 100 image features related to worm motility and morphology.</w:t>
      </w:r>
      <w:r w:rsidR="006E2F52" w:rsidRPr="006E2F52">
        <w:t xml:space="preserve"> Previously, we have demonstrated the successful application of this platform in identification of potent </w:t>
      </w:r>
      <w:proofErr w:type="spellStart"/>
      <w:r w:rsidR="006E2F52" w:rsidRPr="006E2F52">
        <w:t>antischistosomal</w:t>
      </w:r>
      <w:proofErr w:type="spellEnd"/>
      <w:r w:rsidR="006E2F52" w:rsidRPr="006E2F52">
        <w:t xml:space="preserve"> hit compounds.</w:t>
      </w:r>
      <w:r w:rsidR="00B519AB">
        <w:fldChar w:fldCharType="begin" w:fldLock="1"/>
      </w:r>
      <w:r w:rsidR="00B519AB">
        <w:instrText>ADDIN CSL_CITATION { "citationItems" : [ { "id" : "ITEM-1", "itemData" : { "DOI" : "10.1021/acs.jcim.6b00055", "ISSN" : "1549-9596", "author" : [ { "dropping-particle" : "", "family" : "Melo-Filho", "given" : "Cleber C", "non-dropping-particle" : "", "parse-names" : false, "suffix" : "" }, { "dropping-particle" : "", "family" : "Dantas", "given" : "Rafael F", "non-dropping-particle" : "", "parse-names" : false, "suffix" : "" }, { "dropping-particle" : "", "family" : "Braga", "given" : "Rodolpho C", "non-dropping-particle" : "", "parse-names" : false, "suffix" : "" }, { "dropping-particle" : "", "family" : "Neves", "given" : "Bruno J", "non-dropping-particle" : "", "parse-names" : false, "suffix" : "" }, { "dropping-particle" : "", "family" : "Senger", "given" : "Mario R", "non-dropping-particle" : "", "parse-names" : false, "suffix" : "" }, { "dropping-particle" : "", "family" : "Valente", "given" : "Walter C.G.", "non-dropping-particle" : "", "parse-names" : false, "suffix" : "" }, { "dropping-particle" : "", "family" : "Rezende-Neto", "given" : "Joao M", "non-dropping-particle" : "", "parse-names" : false, "suffix" : "" }, { "dropping-particle" : "", "family" : "Chaves", "given" : "Willian T", "non-dropping-particle" : "", "parse-names" : false, "suffix" : "" }, { "dropping-particle" : "", "family" : "Muratov", "given" : "Eugene N.", "non-dropping-particle" : "", "parse-names" : false, "suffix" : "" }, { "dropping-particle" : "", "family" : "Paveley", "given" : "Ross A", "non-dropping-particle" : "", "parse-names" : false, "suffix" : "" }, { "dropping-particle" : "", "family" : "Furnham", "given" : "Nicholas", "non-dropping-particle" : "", "parse-names" : false, "suffix" : "" }, { "dropping-particle" : "", "family" : "Kamentsky", "given" : "Lee", "non-dropping-particle" : "", "parse-names" : false, "suffix" : "" }, { "dropping-particle" : "", "family" : "Carpenter", "given" : "Anne E.", "non-dropping-particle" : "", "parse-names" : false, "suffix" : "" }, { "dropping-particle" : "", "family" : "Junior", "given" : "Floriano Paes Silva", "non-dropping-particle" : "", "parse-names" : false, "suffix" : "" }, { "dropping-particle" : "", "family" : "Andrade", "given" : "Carolina Horta", "non-dropping-particle" : "", "parse-names" : false, "suffix" : "" } ], "container-title" : "Journal of Chemical Information and Modeling", "id" : "ITEM-1", "issued" : { "date-parts" : [ [ "2016", "6", "2" ] ] }, "page" : "acs.jcim.6b00055", "title" : "QSAR-Driven Discovery of Novel Chemical Scaffolds Active Against Schistosoma mansoni", "type" : "article-journal" }, "uris" : [ "http://www.mendeley.com/documents/?uuid=eea901dc-3400-4ec5-ab66-23293ac126ac" ] }, { "id" : "ITEM-2", "itemData" : { "DOI" : "10.1039/C5MD00596E", "ISSN" : "2040-2503", "author" : [ { "dropping-particle" : "", "family" : "Neves", "given" : "Bruno Junior", "non-dropping-particle" : "", "parse-names" : false, "suffix" : "" }, { "dropping-particle" : "", "family" : "Dantas", "given" : "Rafael Ferreira", "non-dropping-particle" : "", "parse-names" : false, "suffix" : "" }, { "dropping-particle" : "", "family" : "Senger", "given" : "Mario Roberto", "non-dropping-particle" : "", "parse-names" : false, "suffix" : "" }, { "dropping-particle" : "", "family" : "Valente", "given" : "Walter C\u00e9sar G\u00f3es", "non-dropping-particle" : "", "parse-names" : false, "suffix" : "" }, { "dropping-particle" : "", "family" : "Rezende-Neto", "given" : "Jo\u00e3o de Mello", "non-dropping-particle" : "", "parse-names" : false, "suffix" : "" }, { "dropping-particle" : "", "family" : "Chaves", "given" : "Willian T\u00e1vora", "non-dropping-particle" : "", "parse-names" : false, "suffix" : "" }, { "dropping-particle" : "", "family" : "Kamentsky", "given" : "Lee", "non-dropping-particle" : "", "parse-names" : false, "suffix" : "" }, { "dropping-particle" : "", "family" : "Carpenter", "given" : "Anne", "non-dropping-particle" : "", "parse-names" : false, "suffix" : "" }, { "dropping-particle" : "", "family" : "Silva-Junior", "given" : "Floriano Paes", "non-dropping-particle" : "", "parse-names" : false, "suffix" : "" }, { "dropping-particle" : "", "family" : "Andrade", "given" : "Carolina Horta", "non-dropping-particle" : "", "parse-names" : false, "suffix" : "" } ], "container-title" : "Med. Chem. Commun.", "id" : "ITEM-2", "issued" : { "date-parts" : [ [ "2016" ] ] }, "title" : "The antidepressant drug paroxetine as a new lead candidate in schistosome drug discovery", "type" : "article-journal" }, "uris" : [ "http://www.mendeley.com/documents/?uuid=482b417b-8a46-467f-8ff5-038e6998e6fe" ] } ], "mendeley" : { "formattedCitation" : "&lt;sup&gt;65,66&lt;/sup&gt;", "plainTextFormattedCitation" : "65,66", "previouslyFormattedCitation" : "&lt;sup&gt;65,66&lt;/sup&gt;" }, "properties" : { "noteIndex" : 0 }, "schema" : "https://github.com/citation-style-language/schema/raw/master/csl-citation.json" }</w:instrText>
      </w:r>
      <w:r w:rsidR="00B519AB">
        <w:fldChar w:fldCharType="separate"/>
      </w:r>
      <w:r w:rsidR="00B519AB" w:rsidRPr="00456ABA">
        <w:rPr>
          <w:noProof/>
          <w:vertAlign w:val="superscript"/>
        </w:rPr>
        <w:t>65,66</w:t>
      </w:r>
      <w:r w:rsidR="00B519AB">
        <w:fldChar w:fldCharType="end"/>
      </w:r>
      <w:r w:rsidR="00445697" w:rsidRPr="00174459">
        <w:t xml:space="preserve"> </w:t>
      </w:r>
      <w:r w:rsidR="00E24A38">
        <w:t>In this study, f</w:t>
      </w:r>
      <w:r w:rsidR="00445697" w:rsidRPr="00174459">
        <w:t>our compounds (</w:t>
      </w:r>
      <w:r w:rsidR="00E6615C" w:rsidRPr="00174459">
        <w:rPr>
          <w:b/>
        </w:rPr>
        <w:t>1</w:t>
      </w:r>
      <w:r w:rsidR="00734782">
        <w:rPr>
          <w:rFonts w:cs="Times"/>
        </w:rPr>
        <w:t>−</w:t>
      </w:r>
      <w:r w:rsidR="00E6615C" w:rsidRPr="00174459">
        <w:rPr>
          <w:b/>
        </w:rPr>
        <w:t>4</w:t>
      </w:r>
      <w:r w:rsidR="00445697" w:rsidRPr="00174459">
        <w:t xml:space="preserve">) were screened at </w:t>
      </w:r>
      <w:r w:rsidR="00310489" w:rsidRPr="0077529C">
        <w:rPr>
          <w:rFonts w:ascii="Times New Roman" w:hAnsi="Times New Roman"/>
          <w:szCs w:val="24"/>
        </w:rPr>
        <w:t>0.1</w:t>
      </w:r>
      <w:r w:rsidR="00310489">
        <w:rPr>
          <w:rFonts w:ascii="Times New Roman" w:hAnsi="Times New Roman"/>
          <w:szCs w:val="24"/>
        </w:rPr>
        <w:t>−</w:t>
      </w:r>
      <w:r w:rsidR="00310489" w:rsidRPr="0077529C">
        <w:rPr>
          <w:rFonts w:ascii="Times New Roman" w:hAnsi="Times New Roman"/>
          <w:szCs w:val="24"/>
        </w:rPr>
        <w:t>100 µM</w:t>
      </w:r>
      <w:r w:rsidR="00310489" w:rsidRPr="00174459">
        <w:t xml:space="preserve"> </w:t>
      </w:r>
      <w:r w:rsidR="00445697" w:rsidRPr="00174459">
        <w:t xml:space="preserve">concentrations for incubation times varying from 0h (immediately after compound addition to culture medium) to 72h. </w:t>
      </w:r>
    </w:p>
    <w:p w14:paraId="789FA9EC" w14:textId="0FAADEB0" w:rsidR="00155BC3" w:rsidRPr="00174459" w:rsidRDefault="00445697" w:rsidP="00C34073">
      <w:pPr>
        <w:pStyle w:val="TAMainText"/>
      </w:pPr>
      <w:r w:rsidRPr="00174459">
        <w:t xml:space="preserve">Inspection of the measured features suggested that </w:t>
      </w:r>
      <w:r w:rsidR="00923A74">
        <w:t xml:space="preserve">at least three features </w:t>
      </w:r>
      <w:r w:rsidR="00923A74" w:rsidRPr="00174459">
        <w:t>w</w:t>
      </w:r>
      <w:r w:rsidR="00923A74">
        <w:t>ere</w:t>
      </w:r>
      <w:r w:rsidR="00923A74" w:rsidRPr="00174459">
        <w:t xml:space="preserve"> able to distinguish active from inactive compound concentrations or the DMSO control</w:t>
      </w:r>
      <w:r w:rsidR="00923A74">
        <w:t>:</w:t>
      </w:r>
      <w:r w:rsidR="00923A74" w:rsidRPr="00174459">
        <w:t xml:space="preserve"> </w:t>
      </w:r>
      <w:proofErr w:type="gramStart"/>
      <w:r w:rsidRPr="00174459">
        <w:t>the</w:t>
      </w:r>
      <w:proofErr w:type="gramEnd"/>
      <w:r w:rsidRPr="00174459">
        <w:t xml:space="preserve"> </w:t>
      </w:r>
      <w:proofErr w:type="spellStart"/>
      <w:r w:rsidRPr="00174459">
        <w:t>Overlap_RandIndex</w:t>
      </w:r>
      <w:proofErr w:type="spellEnd"/>
      <w:r w:rsidRPr="00174459">
        <w:t xml:space="preserve"> feature, which is related to motility, the intensity and </w:t>
      </w:r>
      <w:r w:rsidR="00923A74">
        <w:t xml:space="preserve">the </w:t>
      </w:r>
      <w:r w:rsidRPr="00174459">
        <w:t>area of the identified worm object.</w:t>
      </w:r>
      <w:r w:rsidR="00923A74">
        <w:t xml:space="preserve"> F</w:t>
      </w:r>
      <w:r w:rsidR="009576B6" w:rsidRPr="00174459">
        <w:t xml:space="preserve">igure </w:t>
      </w:r>
      <w:r w:rsidR="00310489">
        <w:t>7</w:t>
      </w:r>
      <w:r w:rsidR="00310489" w:rsidRPr="00174459">
        <w:t xml:space="preserve"> </w:t>
      </w:r>
      <w:r w:rsidR="009576B6" w:rsidRPr="00174459">
        <w:t xml:space="preserve">shows a 3D plot of these relevant features for individual female worms exposed to the </w:t>
      </w:r>
      <w:r w:rsidR="004823BE">
        <w:t>investigated compounds</w:t>
      </w:r>
      <w:r w:rsidR="009576B6" w:rsidRPr="00174459">
        <w:t xml:space="preserve"> at </w:t>
      </w:r>
      <w:r w:rsidR="00310489" w:rsidRPr="00174459">
        <w:t>20</w:t>
      </w:r>
      <w:r w:rsidR="00310489" w:rsidRPr="004F4FA6">
        <w:rPr>
          <w:szCs w:val="24"/>
        </w:rPr>
        <w:t xml:space="preserve"> </w:t>
      </w:r>
      <w:r w:rsidR="00437457" w:rsidRPr="000F605D">
        <w:rPr>
          <w:rFonts w:ascii="Times New Roman" w:hAnsi="Times New Roman"/>
          <w:szCs w:val="24"/>
        </w:rPr>
        <w:t>µ</w:t>
      </w:r>
      <w:r w:rsidR="00310489" w:rsidRPr="004F4FA6">
        <w:rPr>
          <w:szCs w:val="24"/>
        </w:rPr>
        <w:t>M</w:t>
      </w:r>
      <w:r w:rsidR="00310489" w:rsidRPr="00174459">
        <w:t xml:space="preserve"> </w:t>
      </w:r>
      <w:r w:rsidR="009576B6" w:rsidRPr="00174459">
        <w:t xml:space="preserve">concentration as well as for the PZQ </w:t>
      </w:r>
      <w:r w:rsidR="001C456F">
        <w:t xml:space="preserve">and negative control </w:t>
      </w:r>
      <w:r w:rsidR="001C456F" w:rsidRPr="00174459">
        <w:t>(treated with 0.1% DMSO)</w:t>
      </w:r>
      <w:r w:rsidR="001C456F">
        <w:t xml:space="preserve"> </w:t>
      </w:r>
      <w:r w:rsidR="009576B6" w:rsidRPr="00174459">
        <w:t xml:space="preserve">after 48h incubation. </w:t>
      </w:r>
      <w:r w:rsidR="00310489">
        <w:t>The sample</w:t>
      </w:r>
      <w:r w:rsidR="009576B6" w:rsidRPr="00174459">
        <w:t xml:space="preserve"> images are shown to exemplify the phenotypes that can be captured by these features. In general, the feature most correlated to the </w:t>
      </w:r>
      <w:proofErr w:type="spellStart"/>
      <w:r w:rsidR="009576B6" w:rsidRPr="00174459">
        <w:t>antischistosomal</w:t>
      </w:r>
      <w:proofErr w:type="spellEnd"/>
      <w:r w:rsidR="009576B6" w:rsidRPr="00174459">
        <w:t xml:space="preserve"> activity of these compounds was the </w:t>
      </w:r>
      <w:proofErr w:type="spellStart"/>
      <w:r w:rsidR="009576B6" w:rsidRPr="00174459">
        <w:t>Overlap_RandIndex</w:t>
      </w:r>
      <w:proofErr w:type="spellEnd"/>
      <w:r w:rsidR="009576B6" w:rsidRPr="00174459">
        <w:t>, which roughly measures the difference in worm position from one time-lapse frame to the next</w:t>
      </w:r>
      <w:r w:rsidR="009576B6" w:rsidRPr="00174459" w:rsidDel="00EA78E4">
        <w:t xml:space="preserve"> </w:t>
      </w:r>
      <w:r w:rsidR="009576B6" w:rsidRPr="00174459">
        <w:t>and is inversely proportional to worm motility in a scale varying from 0 to 1. For simplicity, we hereafter refer to this feature as the “motility score”.</w:t>
      </w:r>
    </w:p>
    <w:p w14:paraId="3D56080F" w14:textId="0A8416AB" w:rsidR="00F617F7" w:rsidRPr="00174459" w:rsidRDefault="00F617F7" w:rsidP="00F617F7"/>
    <w:p w14:paraId="5987E70F" w14:textId="4F6E2DB8" w:rsidR="009576B6" w:rsidRPr="00174459" w:rsidRDefault="000A6A94" w:rsidP="000F605D">
      <w:pPr>
        <w:pStyle w:val="TAMainText"/>
        <w:spacing w:line="240" w:lineRule="auto"/>
        <w:jc w:val="center"/>
      </w:pPr>
      <w:r>
        <w:rPr>
          <w:noProof/>
        </w:rPr>
        <w:lastRenderedPageBreak/>
        <w:drawing>
          <wp:inline distT="0" distB="0" distL="0" distR="0" wp14:anchorId="55DBD9EC" wp14:editId="324C4221">
            <wp:extent cx="5123404" cy="3748405"/>
            <wp:effectExtent l="0" t="0" r="1270" b="444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8_final-20only.tif"/>
                    <pic:cNvPicPr/>
                  </pic:nvPicPr>
                  <pic:blipFill>
                    <a:blip r:embed="rId14"/>
                    <a:stretch>
                      <a:fillRect/>
                    </a:stretch>
                  </pic:blipFill>
                  <pic:spPr>
                    <a:xfrm>
                      <a:off x="0" y="0"/>
                      <a:ext cx="5123404" cy="3748405"/>
                    </a:xfrm>
                    <a:prstGeom prst="rect">
                      <a:avLst/>
                    </a:prstGeom>
                  </pic:spPr>
                </pic:pic>
              </a:graphicData>
            </a:graphic>
          </wp:inline>
        </w:drawing>
      </w:r>
    </w:p>
    <w:p w14:paraId="7DF087D8" w14:textId="533A941C" w:rsidR="00C11AB6" w:rsidRPr="00C34073" w:rsidRDefault="00C11AB6" w:rsidP="00C34073">
      <w:pPr>
        <w:pStyle w:val="VDTableTitle"/>
        <w:rPr>
          <w:rFonts w:ascii="Times New Roman" w:hAnsi="Times New Roman"/>
        </w:rPr>
      </w:pPr>
      <w:r w:rsidRPr="00C34073">
        <w:rPr>
          <w:rFonts w:ascii="Times New Roman" w:hAnsi="Times New Roman"/>
          <w:b/>
        </w:rPr>
        <w:t xml:space="preserve">Figure </w:t>
      </w:r>
      <w:r w:rsidR="00310489" w:rsidRPr="00C34073">
        <w:rPr>
          <w:rFonts w:ascii="Times New Roman" w:hAnsi="Times New Roman"/>
          <w:b/>
        </w:rPr>
        <w:t>7</w:t>
      </w:r>
      <w:r w:rsidRPr="00C34073">
        <w:rPr>
          <w:rFonts w:ascii="Times New Roman" w:hAnsi="Times New Roman"/>
          <w:b/>
        </w:rPr>
        <w:t>.</w:t>
      </w:r>
      <w:r w:rsidR="00B82C21" w:rsidRPr="00C34073">
        <w:rPr>
          <w:rFonts w:ascii="Times New Roman" w:hAnsi="Times New Roman"/>
        </w:rPr>
        <w:t xml:space="preserve"> 3D scatter plot of the top three</w:t>
      </w:r>
      <w:r w:rsidRPr="00C34073">
        <w:rPr>
          <w:rFonts w:ascii="Times New Roman" w:hAnsi="Times New Roman"/>
        </w:rPr>
        <w:t xml:space="preserve"> image features correlated to </w:t>
      </w:r>
      <w:proofErr w:type="spellStart"/>
      <w:r w:rsidRPr="00C34073">
        <w:rPr>
          <w:rFonts w:ascii="Times New Roman" w:hAnsi="Times New Roman"/>
        </w:rPr>
        <w:t>antischistosomal</w:t>
      </w:r>
      <w:proofErr w:type="spellEnd"/>
      <w:r w:rsidRPr="00C34073">
        <w:rPr>
          <w:rFonts w:ascii="Times New Roman" w:hAnsi="Times New Roman"/>
        </w:rPr>
        <w:t xml:space="preserve"> activity of the </w:t>
      </w:r>
      <w:r w:rsidR="004823BE" w:rsidRPr="00FA47CC">
        <w:rPr>
          <w:rFonts w:ascii="Times New Roman" w:hAnsi="Times New Roman"/>
        </w:rPr>
        <w:t xml:space="preserve">investigated compounds </w:t>
      </w:r>
      <w:r w:rsidRPr="00C34073">
        <w:rPr>
          <w:rFonts w:ascii="Times New Roman" w:hAnsi="Times New Roman"/>
        </w:rPr>
        <w:t xml:space="preserve">on female </w:t>
      </w:r>
      <w:r w:rsidRPr="00C34073">
        <w:rPr>
          <w:rFonts w:ascii="Times New Roman" w:hAnsi="Times New Roman"/>
          <w:i/>
        </w:rPr>
        <w:t xml:space="preserve">S. </w:t>
      </w:r>
      <w:proofErr w:type="spellStart"/>
      <w:r w:rsidRPr="00C34073">
        <w:rPr>
          <w:rFonts w:ascii="Times New Roman" w:hAnsi="Times New Roman"/>
          <w:i/>
        </w:rPr>
        <w:t>mansoni</w:t>
      </w:r>
      <w:proofErr w:type="spellEnd"/>
      <w:r w:rsidRPr="00C34073">
        <w:rPr>
          <w:rFonts w:ascii="Times New Roman" w:hAnsi="Times New Roman"/>
        </w:rPr>
        <w:t xml:space="preserve"> worms after 48 drug exposure. Each point in the graph represent a well/condition in the assay. Sample images are shown for selected wells to illustrate the different phenotypes</w:t>
      </w:r>
      <w:r w:rsidR="00B82C21" w:rsidRPr="00C34073">
        <w:rPr>
          <w:rFonts w:ascii="Times New Roman" w:hAnsi="Times New Roman"/>
        </w:rPr>
        <w:t xml:space="preserve"> captured by these three</w:t>
      </w:r>
      <w:r w:rsidRPr="00C34073">
        <w:rPr>
          <w:rFonts w:ascii="Times New Roman" w:hAnsi="Times New Roman"/>
        </w:rPr>
        <w:t xml:space="preserve"> parameters (</w:t>
      </w:r>
      <w:r w:rsidR="00C3532E" w:rsidRPr="00C3532E">
        <w:rPr>
          <w:rFonts w:ascii="Times New Roman" w:hAnsi="Times New Roman"/>
          <w:u w:val="single"/>
        </w:rPr>
        <w:t>O</w:t>
      </w:r>
      <w:r w:rsidR="00C3532E" w:rsidRPr="00C3532E">
        <w:rPr>
          <w:rFonts w:ascii="Times New Roman" w:hAnsi="Times New Roman"/>
        </w:rPr>
        <w:t xml:space="preserve">bject </w:t>
      </w:r>
      <w:r w:rsidR="00C3532E" w:rsidRPr="00C3532E">
        <w:rPr>
          <w:rFonts w:ascii="Times New Roman" w:hAnsi="Times New Roman"/>
          <w:u w:val="single"/>
        </w:rPr>
        <w:t>A</w:t>
      </w:r>
      <w:r w:rsidR="00C3532E" w:rsidRPr="00C3532E">
        <w:rPr>
          <w:rFonts w:ascii="Times New Roman" w:hAnsi="Times New Roman"/>
        </w:rPr>
        <w:t xml:space="preserve">rea; </w:t>
      </w:r>
      <w:r w:rsidR="00C3532E" w:rsidRPr="00C3532E">
        <w:rPr>
          <w:rFonts w:ascii="Times New Roman" w:hAnsi="Times New Roman"/>
          <w:u w:val="single"/>
        </w:rPr>
        <w:t>M</w:t>
      </w:r>
      <w:r w:rsidR="00C3532E" w:rsidRPr="00C3532E">
        <w:rPr>
          <w:rFonts w:ascii="Times New Roman" w:hAnsi="Times New Roman"/>
        </w:rPr>
        <w:t xml:space="preserve">obility </w:t>
      </w:r>
      <w:r w:rsidR="00C3532E" w:rsidRPr="00C3532E">
        <w:rPr>
          <w:rFonts w:ascii="Times New Roman" w:hAnsi="Times New Roman"/>
          <w:u w:val="single"/>
        </w:rPr>
        <w:t>S</w:t>
      </w:r>
      <w:r w:rsidR="00C3532E" w:rsidRPr="00C3532E">
        <w:rPr>
          <w:rFonts w:ascii="Times New Roman" w:hAnsi="Times New Roman"/>
        </w:rPr>
        <w:t xml:space="preserve">core; and </w:t>
      </w:r>
      <w:r w:rsidR="00C3532E" w:rsidRPr="00C3532E">
        <w:rPr>
          <w:rFonts w:ascii="Times New Roman" w:hAnsi="Times New Roman"/>
          <w:u w:val="single"/>
        </w:rPr>
        <w:t>P</w:t>
      </w:r>
      <w:r w:rsidR="00C3532E" w:rsidRPr="00C3532E">
        <w:rPr>
          <w:rFonts w:ascii="Times New Roman" w:hAnsi="Times New Roman"/>
        </w:rPr>
        <w:t xml:space="preserve">ixel </w:t>
      </w:r>
      <w:r w:rsidR="00C3532E" w:rsidRPr="00C3532E">
        <w:rPr>
          <w:rFonts w:ascii="Times New Roman" w:hAnsi="Times New Roman"/>
          <w:u w:val="single"/>
        </w:rPr>
        <w:t>I</w:t>
      </w:r>
      <w:r w:rsidR="00C3532E" w:rsidRPr="00C3532E">
        <w:rPr>
          <w:rFonts w:ascii="Times New Roman" w:hAnsi="Times New Roman"/>
        </w:rPr>
        <w:t>ntensity of the worm object</w:t>
      </w:r>
      <w:r w:rsidRPr="00C34073">
        <w:rPr>
          <w:rFonts w:ascii="Times New Roman" w:hAnsi="Times New Roman"/>
        </w:rPr>
        <w:t xml:space="preserve">). The green outlines represent the position of each parasite over 5 time points (3s interval) </w:t>
      </w:r>
      <w:r w:rsidR="00A87D39" w:rsidRPr="00C34073">
        <w:rPr>
          <w:rFonts w:ascii="Times New Roman" w:hAnsi="Times New Roman"/>
        </w:rPr>
        <w:t>overlaid</w:t>
      </w:r>
      <w:r w:rsidRPr="00C34073">
        <w:rPr>
          <w:rFonts w:ascii="Times New Roman" w:hAnsi="Times New Roman"/>
        </w:rPr>
        <w:t xml:space="preserve"> on the initial position (red outline).</w:t>
      </w:r>
    </w:p>
    <w:p w14:paraId="0002C66E" w14:textId="292DCE05" w:rsidR="008E2616" w:rsidRDefault="00DE03E8" w:rsidP="00C34073">
      <w:pPr>
        <w:pStyle w:val="TAMainText"/>
        <w:spacing w:before="120"/>
        <w:ind w:firstLine="204"/>
      </w:pPr>
      <w:r w:rsidRPr="00174459">
        <w:t xml:space="preserve">In order to </w:t>
      </w:r>
      <w:r w:rsidR="00FD4774">
        <w:t>determine</w:t>
      </w:r>
      <w:r w:rsidRPr="00174459">
        <w:t xml:space="preserve"> the potency of the hit compounds against adult worms with the reference drug PZQ, we have determined </w:t>
      </w:r>
      <w:r w:rsidR="00DF7E70">
        <w:t>E</w:t>
      </w:r>
      <w:r w:rsidR="00DF7E70" w:rsidRPr="00174459">
        <w:t>C</w:t>
      </w:r>
      <w:r w:rsidR="00DF7E70" w:rsidRPr="00174459">
        <w:rPr>
          <w:vertAlign w:val="subscript"/>
        </w:rPr>
        <w:t>50</w:t>
      </w:r>
      <w:r w:rsidR="00DF7E70" w:rsidRPr="00174459">
        <w:t xml:space="preserve"> </w:t>
      </w:r>
      <w:r w:rsidRPr="00174459">
        <w:t xml:space="preserve">values from dose response curves against male and female worms with varying incubation times (Table </w:t>
      </w:r>
      <w:r w:rsidR="00DF7E70">
        <w:t>S</w:t>
      </w:r>
      <w:r w:rsidR="00855F6E">
        <w:t>7</w:t>
      </w:r>
      <w:r w:rsidR="009C2E65" w:rsidRPr="00174459">
        <w:t xml:space="preserve"> </w:t>
      </w:r>
      <w:r w:rsidR="006247F8" w:rsidRPr="00174459">
        <w:t>and Figure S7</w:t>
      </w:r>
      <w:r w:rsidR="003F2373">
        <w:t>, Supporting information</w:t>
      </w:r>
      <w:r w:rsidRPr="00174459">
        <w:t>).</w:t>
      </w:r>
      <w:r w:rsidR="001B7FAF">
        <w:t xml:space="preserve"> C</w:t>
      </w:r>
      <w:r w:rsidR="00EF600E" w:rsidRPr="00D53312">
        <w:t>ompounds</w:t>
      </w:r>
      <w:r w:rsidR="00EF600E" w:rsidRPr="00174459">
        <w:t xml:space="preserve"> showed motility inhibition potencies against adult worms ranging from 4.9</w:t>
      </w:r>
      <w:r w:rsidR="00784105">
        <w:t>1</w:t>
      </w:r>
      <w:r w:rsidR="00EF600E" w:rsidRPr="00174459">
        <w:t xml:space="preserve"> to 35 </w:t>
      </w:r>
      <w:r w:rsidR="001F40AA" w:rsidRPr="00174459">
        <w:sym w:font="Symbol" w:char="F06D"/>
      </w:r>
      <w:r w:rsidR="00EF600E" w:rsidRPr="00174459">
        <w:t>M</w:t>
      </w:r>
      <w:r w:rsidR="002D1B72">
        <w:t>,</w:t>
      </w:r>
      <w:r w:rsidR="00EF600E" w:rsidRPr="00174459">
        <w:t xml:space="preserve"> depending on incubation time and </w:t>
      </w:r>
      <w:r w:rsidR="001F40AA" w:rsidRPr="00174459">
        <w:t>gender</w:t>
      </w:r>
      <w:r w:rsidR="003F2373">
        <w:t xml:space="preserve"> (Table 2)</w:t>
      </w:r>
      <w:r w:rsidR="001F40AA" w:rsidRPr="00174459">
        <w:t>.</w:t>
      </w:r>
      <w:r w:rsidR="007B5D16">
        <w:t xml:space="preserve"> </w:t>
      </w:r>
      <w:r w:rsidR="001F40AA" w:rsidRPr="00174459">
        <w:t xml:space="preserve">Overall, </w:t>
      </w:r>
      <w:r w:rsidR="00EF600E" w:rsidRPr="00174459">
        <w:t xml:space="preserve">inhibition was fully </w:t>
      </w:r>
      <w:r w:rsidR="003F2373">
        <w:t>achieved</w:t>
      </w:r>
      <w:r w:rsidR="003F2373" w:rsidRPr="00174459">
        <w:t xml:space="preserve"> </w:t>
      </w:r>
      <w:r w:rsidR="00EF600E" w:rsidRPr="007C23F2">
        <w:t xml:space="preserve">after 48h </w:t>
      </w:r>
      <w:r w:rsidR="00DF7E70" w:rsidRPr="00FA47CC">
        <w:t xml:space="preserve">of </w:t>
      </w:r>
      <w:r w:rsidR="00EF600E" w:rsidRPr="00D53312">
        <w:t>incubation</w:t>
      </w:r>
      <w:r w:rsidR="007C23F2" w:rsidRPr="00FA47CC">
        <w:t xml:space="preserve"> (Table 2)</w:t>
      </w:r>
      <w:r w:rsidR="00EF600E" w:rsidRPr="007C23F2">
        <w:t>.</w:t>
      </w:r>
      <w:r w:rsidR="00EF600E" w:rsidRPr="00174459">
        <w:t xml:space="preserve"> </w:t>
      </w:r>
      <w:r w:rsidR="00C71D26" w:rsidRPr="00174459">
        <w:t>Compound</w:t>
      </w:r>
      <w:r w:rsidR="00EF600E" w:rsidRPr="00174459">
        <w:t xml:space="preserve"> </w:t>
      </w:r>
      <w:r w:rsidR="001F40AA" w:rsidRPr="00174459">
        <w:rPr>
          <w:b/>
        </w:rPr>
        <w:t>3</w:t>
      </w:r>
      <w:r w:rsidR="00EF600E" w:rsidRPr="00174459">
        <w:t xml:space="preserve"> was the most active with </w:t>
      </w:r>
      <w:r w:rsidR="008937A0">
        <w:t>E</w:t>
      </w:r>
      <w:r w:rsidR="008937A0" w:rsidRPr="00174459">
        <w:t>C</w:t>
      </w:r>
      <w:r w:rsidR="008937A0" w:rsidRPr="00174459">
        <w:rPr>
          <w:vertAlign w:val="subscript"/>
        </w:rPr>
        <w:t>50</w:t>
      </w:r>
      <w:r w:rsidR="008937A0" w:rsidRPr="00174459">
        <w:t xml:space="preserve"> </w:t>
      </w:r>
      <w:r w:rsidR="00EF600E" w:rsidRPr="00174459">
        <w:t>around 6</w:t>
      </w:r>
      <w:r w:rsidR="003530DC">
        <w:t>.00</w:t>
      </w:r>
      <w:r w:rsidR="00EF600E" w:rsidRPr="00174459">
        <w:t xml:space="preserve"> </w:t>
      </w:r>
      <w:r w:rsidR="001F40AA" w:rsidRPr="00174459">
        <w:sym w:font="Symbol" w:char="F06D"/>
      </w:r>
      <w:r w:rsidR="00EF600E" w:rsidRPr="00174459">
        <w:t xml:space="preserve">M </w:t>
      </w:r>
      <w:r w:rsidR="00EF600E" w:rsidRPr="00174459">
        <w:lastRenderedPageBreak/>
        <w:t xml:space="preserve">for both genders. </w:t>
      </w:r>
      <w:r w:rsidR="008937A0">
        <w:t xml:space="preserve">Compounds </w:t>
      </w:r>
      <w:r w:rsidR="008937A0" w:rsidRPr="00FA47CC">
        <w:rPr>
          <w:b/>
        </w:rPr>
        <w:t>1</w:t>
      </w:r>
      <w:r w:rsidR="008937A0">
        <w:t xml:space="preserve"> and </w:t>
      </w:r>
      <w:r w:rsidR="008937A0" w:rsidRPr="00FA47CC">
        <w:rPr>
          <w:b/>
        </w:rPr>
        <w:t>4</w:t>
      </w:r>
      <w:r w:rsidR="008937A0">
        <w:t xml:space="preserve"> showed satisfactory potencies </w:t>
      </w:r>
      <w:r w:rsidR="00F143FF">
        <w:t>(&lt;</w:t>
      </w:r>
      <w:r w:rsidR="00F143FF" w:rsidRPr="004F4FA6">
        <w:rPr>
          <w:szCs w:val="24"/>
        </w:rPr>
        <w:t xml:space="preserve">10 </w:t>
      </w:r>
      <w:r w:rsidR="00437457" w:rsidRPr="000F605D">
        <w:rPr>
          <w:rFonts w:ascii="Times New Roman" w:hAnsi="Times New Roman"/>
          <w:szCs w:val="24"/>
        </w:rPr>
        <w:t>µ</w:t>
      </w:r>
      <w:r w:rsidR="00F143FF" w:rsidRPr="000F605D">
        <w:rPr>
          <w:szCs w:val="24"/>
        </w:rPr>
        <w:t xml:space="preserve">M) </w:t>
      </w:r>
      <w:r w:rsidR="008937A0" w:rsidRPr="000F605D">
        <w:rPr>
          <w:szCs w:val="24"/>
        </w:rPr>
        <w:t>for</w:t>
      </w:r>
      <w:r w:rsidR="008937A0">
        <w:t xml:space="preserve"> females worms, with EC</w:t>
      </w:r>
      <w:r w:rsidR="008937A0" w:rsidRPr="00FA47CC">
        <w:rPr>
          <w:vertAlign w:val="subscript"/>
        </w:rPr>
        <w:t>50</w:t>
      </w:r>
      <w:r w:rsidR="008937A0">
        <w:t xml:space="preserve"> = 5.77 </w:t>
      </w:r>
      <w:r w:rsidR="008937A0" w:rsidRPr="00174459">
        <w:sym w:font="Symbol" w:char="F06D"/>
      </w:r>
      <w:r w:rsidR="008937A0" w:rsidRPr="00174459">
        <w:t>M</w:t>
      </w:r>
      <w:r w:rsidR="008937A0">
        <w:t xml:space="preserve"> and 4.91 </w:t>
      </w:r>
      <w:r w:rsidR="008937A0" w:rsidRPr="00174459">
        <w:sym w:font="Symbol" w:char="F06D"/>
      </w:r>
      <w:r w:rsidR="008937A0" w:rsidRPr="00174459">
        <w:t>M</w:t>
      </w:r>
      <w:r w:rsidR="008937A0">
        <w:t>, respectively</w:t>
      </w:r>
      <w:r w:rsidR="007B5D16">
        <w:t xml:space="preserve">, but not for </w:t>
      </w:r>
      <w:r w:rsidR="00DF7E70">
        <w:t>male</w:t>
      </w:r>
      <w:r w:rsidR="007B5D16">
        <w:t xml:space="preserve"> worms.</w:t>
      </w:r>
      <w:r w:rsidR="008937A0">
        <w:t xml:space="preserve"> </w:t>
      </w:r>
      <w:r w:rsidR="00F143FF">
        <w:t xml:space="preserve">Compound </w:t>
      </w:r>
      <w:r w:rsidR="00F143FF" w:rsidRPr="00FA47CC">
        <w:rPr>
          <w:b/>
        </w:rPr>
        <w:t>2</w:t>
      </w:r>
      <w:r w:rsidR="00F143FF">
        <w:t xml:space="preserve"> was the less potent with EC</w:t>
      </w:r>
      <w:r w:rsidR="00F143FF" w:rsidRPr="00FA47CC">
        <w:rPr>
          <w:vertAlign w:val="subscript"/>
        </w:rPr>
        <w:t>50</w:t>
      </w:r>
      <w:r w:rsidR="00F143FF">
        <w:t xml:space="preserve"> values </w:t>
      </w:r>
      <w:r w:rsidR="00F143FF" w:rsidRPr="00D53312">
        <w:t xml:space="preserve">of </w:t>
      </w:r>
      <w:r w:rsidR="00F143FF" w:rsidRPr="00DF7E70">
        <w:t xml:space="preserve">10.2 and 17.9 for male and female, respectively. </w:t>
      </w:r>
      <w:r w:rsidR="007B5D16" w:rsidRPr="00DF7E70">
        <w:t xml:space="preserve">Despite the satisfactory potencies displayed, </w:t>
      </w:r>
      <w:r w:rsidR="00DF7E70" w:rsidRPr="00FA47CC">
        <w:t>all</w:t>
      </w:r>
      <w:r w:rsidR="007B5D16" w:rsidRPr="00FA47CC">
        <w:rPr>
          <w:color w:val="000000"/>
        </w:rPr>
        <w:t xml:space="preserve"> compounds</w:t>
      </w:r>
      <w:r w:rsidR="007B5D16" w:rsidRPr="00D53312">
        <w:rPr>
          <w:color w:val="000000"/>
        </w:rPr>
        <w:t xml:space="preserve"> had a less pronounced effect on</w:t>
      </w:r>
      <w:r w:rsidR="007B5D16" w:rsidRPr="00DF7E70">
        <w:rPr>
          <w:rStyle w:val="apple-converted-space"/>
          <w:color w:val="000000"/>
        </w:rPr>
        <w:t> </w:t>
      </w:r>
      <w:r w:rsidR="00DF7E70" w:rsidRPr="00FA47CC">
        <w:rPr>
          <w:rStyle w:val="italic"/>
          <w:iCs/>
          <w:color w:val="000000"/>
        </w:rPr>
        <w:t>adult worms</w:t>
      </w:r>
      <w:r w:rsidR="007B5D16" w:rsidRPr="00D53312">
        <w:rPr>
          <w:color w:val="000000"/>
        </w:rPr>
        <w:t xml:space="preserve"> than PZQ at all incubation times (E</w:t>
      </w:r>
      <w:r w:rsidR="007B5D16" w:rsidRPr="00DF7E70">
        <w:rPr>
          <w:color w:val="000000"/>
        </w:rPr>
        <w:t>C</w:t>
      </w:r>
      <w:r w:rsidR="007B5D16" w:rsidRPr="00DF7E70">
        <w:rPr>
          <w:color w:val="000000"/>
          <w:sz w:val="20"/>
          <w:vertAlign w:val="subscript"/>
        </w:rPr>
        <w:t>50</w:t>
      </w:r>
      <w:r w:rsidR="007B5D16" w:rsidRPr="00DF7E70">
        <w:rPr>
          <w:rStyle w:val="apple-converted-space"/>
          <w:color w:val="000000"/>
        </w:rPr>
        <w:t> </w:t>
      </w:r>
      <w:r w:rsidR="00F30EF4">
        <w:rPr>
          <w:color w:val="000000"/>
        </w:rPr>
        <w:t>values ≤</w:t>
      </w:r>
      <w:r w:rsidR="00437457">
        <w:rPr>
          <w:color w:val="000000"/>
        </w:rPr>
        <w:t xml:space="preserve"> </w:t>
      </w:r>
      <w:r w:rsidR="007B5D16" w:rsidRPr="00DF7E70">
        <w:rPr>
          <w:color w:val="000000"/>
        </w:rPr>
        <w:t xml:space="preserve">0.66 </w:t>
      </w:r>
      <w:proofErr w:type="spellStart"/>
      <w:r w:rsidR="007B5D16" w:rsidRPr="00DF7E70">
        <w:rPr>
          <w:color w:val="000000"/>
        </w:rPr>
        <w:t>μM</w:t>
      </w:r>
      <w:proofErr w:type="spellEnd"/>
      <w:r w:rsidR="007C23F2">
        <w:rPr>
          <w:color w:val="000000"/>
        </w:rPr>
        <w:t>, see Table S2</w:t>
      </w:r>
      <w:r w:rsidR="007B5D16" w:rsidRPr="00D53312">
        <w:rPr>
          <w:color w:val="000000"/>
        </w:rPr>
        <w:t xml:space="preserve">). </w:t>
      </w:r>
      <w:r w:rsidR="00DF7E70" w:rsidRPr="00DF7E70">
        <w:rPr>
          <w:color w:val="000000"/>
        </w:rPr>
        <w:t>R</w:t>
      </w:r>
      <w:r w:rsidR="00F143FF" w:rsidRPr="00DF7E70">
        <w:t xml:space="preserve">esults </w:t>
      </w:r>
      <w:r w:rsidR="00DF7E70" w:rsidRPr="00DF7E70">
        <w:t xml:space="preserve">also </w:t>
      </w:r>
      <w:r w:rsidR="00F143FF" w:rsidRPr="00DF7E70">
        <w:t>indicate</w:t>
      </w:r>
      <w:r w:rsidR="008F2CEB">
        <w:t>d</w:t>
      </w:r>
      <w:r w:rsidR="00F143FF" w:rsidRPr="00DF7E70">
        <w:t xml:space="preserve"> that female worms </w:t>
      </w:r>
      <w:r w:rsidR="00D101A4" w:rsidRPr="00DF7E70">
        <w:t xml:space="preserve">and </w:t>
      </w:r>
      <w:proofErr w:type="spellStart"/>
      <w:r w:rsidR="009458F8">
        <w:t>schistosomula</w:t>
      </w:r>
      <w:proofErr w:type="spellEnd"/>
      <w:r w:rsidR="00D101A4" w:rsidRPr="00DF7E70">
        <w:t xml:space="preserve"> </w:t>
      </w:r>
      <w:r w:rsidR="006A4545">
        <w:t xml:space="preserve">are slightly more sensitive to </w:t>
      </w:r>
      <w:r w:rsidR="00F143FF" w:rsidRPr="00DF7E70">
        <w:t>compounds action since</w:t>
      </w:r>
      <w:r w:rsidR="00F143FF" w:rsidRPr="00F143FF">
        <w:t xml:space="preserve"> they showed on EC</w:t>
      </w:r>
      <w:r w:rsidR="00F143FF" w:rsidRPr="00FA47CC">
        <w:rPr>
          <w:vertAlign w:val="subscript"/>
        </w:rPr>
        <w:t>50</w:t>
      </w:r>
      <w:r w:rsidR="00F143FF" w:rsidRPr="00F143FF">
        <w:t xml:space="preserve"> values up to 5</w:t>
      </w:r>
      <w:r w:rsidR="0049617E">
        <w:rPr>
          <w:rFonts w:cs="Times"/>
        </w:rPr>
        <w:t>−</w:t>
      </w:r>
      <w:r w:rsidR="0049617E">
        <w:t>8</w:t>
      </w:r>
      <w:r w:rsidR="00F143FF" w:rsidRPr="00F143FF">
        <w:t xml:space="preserve"> times lower than those determined in males.</w:t>
      </w:r>
      <w:r w:rsidR="00D101A4">
        <w:t xml:space="preserve"> </w:t>
      </w:r>
      <w:r w:rsidR="00D101A4">
        <w:rPr>
          <w:color w:val="000000"/>
        </w:rPr>
        <w:t xml:space="preserve">In part, this could be due to a gender-specific expression pattern of </w:t>
      </w:r>
      <w:proofErr w:type="spellStart"/>
      <w:r w:rsidR="00D101A4" w:rsidRPr="00FA47CC">
        <w:rPr>
          <w:i/>
          <w:color w:val="000000"/>
        </w:rPr>
        <w:t>Sm</w:t>
      </w:r>
      <w:r w:rsidR="00D101A4">
        <w:rPr>
          <w:color w:val="000000"/>
        </w:rPr>
        <w:t>TGR</w:t>
      </w:r>
      <w:proofErr w:type="spellEnd"/>
      <w:r w:rsidR="007C23F2">
        <w:rPr>
          <w:color w:val="000000"/>
        </w:rPr>
        <w:t xml:space="preserve"> </w:t>
      </w:r>
      <w:r w:rsidR="0049617E">
        <w:rPr>
          <w:color w:val="000000"/>
        </w:rPr>
        <w:t>and</w:t>
      </w:r>
      <w:r w:rsidR="00EF600E" w:rsidRPr="00174459">
        <w:t xml:space="preserve"> immature antioxidant system of the </w:t>
      </w:r>
      <w:proofErr w:type="spellStart"/>
      <w:r w:rsidR="009458F8">
        <w:t>schistosomula</w:t>
      </w:r>
      <w:proofErr w:type="spellEnd"/>
      <w:r w:rsidR="008B3BEA" w:rsidRPr="00174459">
        <w:t xml:space="preserve">. In fact, </w:t>
      </w:r>
      <w:proofErr w:type="spellStart"/>
      <w:r w:rsidR="009458F8">
        <w:t>schistosomula</w:t>
      </w:r>
      <w:proofErr w:type="spellEnd"/>
      <w:r w:rsidR="007B5D16" w:rsidRPr="00174459">
        <w:t xml:space="preserve"> </w:t>
      </w:r>
      <w:r w:rsidR="008B3BEA" w:rsidRPr="00174459">
        <w:t xml:space="preserve">express lower levels of </w:t>
      </w:r>
      <w:proofErr w:type="spellStart"/>
      <w:r w:rsidR="008B3BEA" w:rsidRPr="00174459">
        <w:rPr>
          <w:i/>
        </w:rPr>
        <w:t>Sm</w:t>
      </w:r>
      <w:r w:rsidR="008B3BEA" w:rsidRPr="00174459">
        <w:t>TGR</w:t>
      </w:r>
      <w:proofErr w:type="spellEnd"/>
      <w:r w:rsidR="008B3BEA" w:rsidRPr="00174459">
        <w:t xml:space="preserve"> than adults, which make them more susceptible to oxidative damage caused by inhibitors.</w:t>
      </w:r>
      <w:r w:rsidR="007B5D16" w:rsidRPr="00174459">
        <w:fldChar w:fldCharType="begin" w:fldLock="1"/>
      </w:r>
      <w:r w:rsidR="00456ABA">
        <w:instrText>ADDIN CSL_CITATION { "citationItems" : [ { "id" : "ITEM-1", "itemData" : { "ISSN" : "0020-7519", "PMID" : "2844689", "author" : [ { "dropping-particle" : "", "family" : "Mkoji", "given" : "G M", "non-dropping-particle" : "", "parse-names" : false, "suffix" : "" }, { "dropping-particle" : "", "family" : "Smith", "given" : "J M", "non-dropping-particle" : "", "parse-names" : false, "suffix" : "" }, { "dropping-particle" : "", "family" : "Prichard", "given" : "R K", "non-dropping-particle" : "", "parse-names" : false, "suffix" : "" } ], "container-title" : "International Journal for Parasitology", "id" : "ITEM-1", "issue" : "5", "issued" : { "date-parts" : [ [ "1988", "7" ] ] }, "page" : "667-673", "title" : "Antioxidant systems in Schistosoma mansoni: evidence for their role in protection of the adult worms against oxidant killing.", "type" : "article-journal", "volume" : "18" }, "uris" : [ "http://www.mendeley.com/documents/?uuid=d6edf5b2-2888-4cc9-afd7-60ced973adaa", "http://www.mendeley.com/documents/?uuid=647b09fa-0d4b-47aa-b2f7-66085a3b7870", "http://www.mendeley.com/documents/?uuid=b4d52d3c-7b94-4e95-9f3d-d3fce5e906c4" ] }, { "id" : "ITEM-2", "itemData" : { "ISSN" : "0014-4894", "PMID" : "2323392", "abstract" : "The effects of cell-free generated oxidants on migrating and developing stages of Schistosoma mansoni were investigated and the levels of antioxidant enzymes and of glutathione were determined for each stage. Schistosomula and 2-week-old parasites recovered from the livers of infected mice showed similar susceptibility to killing by added hydrogen peroxide and t-butylhydroperoxide. However, when glucose (0.5 mM)-glucose oxidase (2.5 mU ml-1) and xanthine (0.5 mM) or hypoxanthine (0.5 mM)-xanthine oxidase (5.0 mU ml-1) systems were used to generate hydrogen peroxide and oxygen free-radicals, schistosomula were more susceptible to oxidative killing than the 2-week-old parasites. The 4- and 8-week-old worms were more resistant to oxidants than all of the younger stages. High levels of superoxide dismutase (16.2-24.8 U mg-1 protein) were present in all stages. Catalase was not detected. Glutathione peroxidase activity with cumene hydroperoxide as substrate was not detectable in the schistosomula but the activity was present in the 2-week-old parasites. However, hydrogen peroxide-sensitive glutathione peroxidase activity was present in all the stages with a threefold difference in activity between schistosomula and the adult stages. Glutathione-s-transferase activity was significantly lower in the schistosomula, lung stages, and the 2-week-old parasites than in the older stages. Progressive increases in the levels of glutathione reductase and glutathione were also observed with development. The differences in the levels of antioxidants between different stages of development may partly explain the increase in resistance to oxidant-mediated damage as the parasite develops.", "author" : [ { "dropping-particle" : "", "family" : "Nare", "given" : "B", "non-dropping-particle" : "", "parse-names" : false, "suffix" : "" }, { "dropping-particle" : "", "family" : "Smith", "given" : "J M", "non-dropping-particle" : "", "parse-names" : false, "suffix" : "" }, { "dropping-particle" : "", "family" : "Prichard", "given" : "Roger K", "non-dropping-particle" : "", "parse-names" : false, "suffix" : "" } ], "container-title" : "Experimental parasitology", "id" : "ITEM-2", "issue" : "4", "issued" : { "date-parts" : [ [ "1990", "5" ] ] }, "page" : "389-97", "title" : "Schistosoma mansoni: levels of antioxidants and resistance to oxidants increase during development.", "type" : "article-journal", "volume" : "70" }, "uris" : [ "http://www.mendeley.com/documents/?uuid=ccb917aa-155e-41cc-a521-46601912b149", "http://www.mendeley.com/documents/?uuid=f047e42a-cac6-4af4-8fe5-12391ed172c3", "http://www.mendeley.com/documents/?uuid=dfadd2ed-9b43-47bf-9290-1e05d3643055" ] } ], "mendeley" : { "formattedCitation" : "&lt;sup&gt;75,76&lt;/sup&gt;", "plainTextFormattedCitation" : "75,76", "previouslyFormattedCitation" : "&lt;sup&gt;75,76&lt;/sup&gt;" }, "properties" : { "noteIndex" : 0 }, "schema" : "https://github.com/citation-style-language/schema/raw/master/csl-citation.json" }</w:instrText>
      </w:r>
      <w:r w:rsidR="007B5D16" w:rsidRPr="00174459">
        <w:fldChar w:fldCharType="separate"/>
      </w:r>
      <w:r w:rsidR="00456ABA" w:rsidRPr="00456ABA">
        <w:rPr>
          <w:noProof/>
          <w:vertAlign w:val="superscript"/>
        </w:rPr>
        <w:t>75,76</w:t>
      </w:r>
      <w:r w:rsidR="007B5D16" w:rsidRPr="00174459">
        <w:fldChar w:fldCharType="end"/>
      </w:r>
    </w:p>
    <w:p w14:paraId="35FA457E" w14:textId="46C05369" w:rsidR="007608D5" w:rsidRDefault="007608D5" w:rsidP="007608D5">
      <w:pPr>
        <w:pStyle w:val="TAMainText"/>
      </w:pPr>
      <w:r w:rsidRPr="00174459">
        <w:rPr>
          <w:b/>
        </w:rPr>
        <w:t xml:space="preserve">Cytotoxicity </w:t>
      </w:r>
      <w:r w:rsidR="00294956">
        <w:rPr>
          <w:b/>
        </w:rPr>
        <w:t>Against</w:t>
      </w:r>
      <w:r w:rsidRPr="004544A5">
        <w:rPr>
          <w:b/>
        </w:rPr>
        <w:t xml:space="preserve"> Human Cells. </w:t>
      </w:r>
      <w:r w:rsidR="006C75D7" w:rsidRPr="00F039D3">
        <w:t xml:space="preserve">Compounds </w:t>
      </w:r>
      <w:r w:rsidR="006C75D7" w:rsidRPr="00FA47CC">
        <w:rPr>
          <w:b/>
        </w:rPr>
        <w:t>1</w:t>
      </w:r>
      <w:r w:rsidR="006C75D7" w:rsidRPr="00F039D3">
        <w:t>−</w:t>
      </w:r>
      <w:r w:rsidR="006C75D7" w:rsidRPr="00FA47CC">
        <w:rPr>
          <w:b/>
        </w:rPr>
        <w:t>4</w:t>
      </w:r>
      <w:r w:rsidR="006C75D7" w:rsidRPr="00F039D3">
        <w:t xml:space="preserve"> </w:t>
      </w:r>
      <w:r w:rsidR="00A56D22">
        <w:t>and PZQ were</w:t>
      </w:r>
      <w:r w:rsidR="006C75D7" w:rsidRPr="00F039D3">
        <w:t xml:space="preserve"> further evaluated for its cytotoxicity against human epithelial cells </w:t>
      </w:r>
      <w:r w:rsidR="008410E6">
        <w:t>(</w:t>
      </w:r>
      <w:r w:rsidR="006C75D7" w:rsidRPr="00F039D3">
        <w:t>WSS-1</w:t>
      </w:r>
      <w:r w:rsidR="008410E6">
        <w:t>)</w:t>
      </w:r>
      <w:r w:rsidR="006C75D7" w:rsidRPr="00F039D3">
        <w:t xml:space="preserve"> from human kidney using a </w:t>
      </w:r>
      <w:proofErr w:type="spellStart"/>
      <w:r w:rsidR="006C75D7" w:rsidRPr="00F039D3">
        <w:t>resazurin</w:t>
      </w:r>
      <w:proofErr w:type="spellEnd"/>
      <w:r w:rsidR="006C75D7" w:rsidRPr="00F039D3">
        <w:t>-based viability assay</w:t>
      </w:r>
      <w:r w:rsidR="006C75D7">
        <w:t xml:space="preserve"> (Table 2)</w:t>
      </w:r>
      <w:r w:rsidR="006C75D7" w:rsidRPr="00F039D3">
        <w:t>.</w:t>
      </w:r>
      <w:r w:rsidR="006C75D7">
        <w:t xml:space="preserve"> </w:t>
      </w:r>
      <w:r w:rsidR="00A56D22" w:rsidRPr="004544A5">
        <w:t xml:space="preserve">PZQ </w:t>
      </w:r>
      <w:r w:rsidR="00A56D22" w:rsidRPr="004F4FA6">
        <w:rPr>
          <w:szCs w:val="24"/>
        </w:rPr>
        <w:t xml:space="preserve">showed </w:t>
      </w:r>
      <w:r w:rsidR="0035580E" w:rsidRPr="004F4FA6">
        <w:rPr>
          <w:szCs w:val="24"/>
        </w:rPr>
        <w:t xml:space="preserve">the </w:t>
      </w:r>
      <w:r w:rsidR="00A56D22" w:rsidRPr="000F605D">
        <w:rPr>
          <w:szCs w:val="24"/>
        </w:rPr>
        <w:t xml:space="preserve">lowest </w:t>
      </w:r>
      <w:r w:rsidR="009D012A" w:rsidRPr="000F605D">
        <w:rPr>
          <w:szCs w:val="24"/>
        </w:rPr>
        <w:t>cytotoxicity</w:t>
      </w:r>
      <w:r w:rsidR="008534EF" w:rsidRPr="000F605D">
        <w:rPr>
          <w:szCs w:val="24"/>
        </w:rPr>
        <w:t xml:space="preserve">, exhibiting </w:t>
      </w:r>
      <w:r w:rsidR="001A4158" w:rsidRPr="000F605D">
        <w:rPr>
          <w:szCs w:val="24"/>
        </w:rPr>
        <w:t>half-maximal cytotoxic concentration</w:t>
      </w:r>
      <w:r w:rsidR="00A56D22" w:rsidRPr="000F605D">
        <w:rPr>
          <w:szCs w:val="24"/>
        </w:rPr>
        <w:t xml:space="preserve"> (CC</w:t>
      </w:r>
      <w:r w:rsidR="00A56D22" w:rsidRPr="000F605D">
        <w:rPr>
          <w:szCs w:val="24"/>
          <w:vertAlign w:val="subscript"/>
        </w:rPr>
        <w:t>50</w:t>
      </w:r>
      <w:r w:rsidR="008534EF" w:rsidRPr="000F605D">
        <w:rPr>
          <w:szCs w:val="24"/>
        </w:rPr>
        <w:t xml:space="preserve">) </w:t>
      </w:r>
      <w:r w:rsidR="009B53F3" w:rsidRPr="000F605D">
        <w:rPr>
          <w:szCs w:val="24"/>
        </w:rPr>
        <w:t xml:space="preserve">above </w:t>
      </w:r>
      <w:r w:rsidR="008534EF" w:rsidRPr="000F605D">
        <w:rPr>
          <w:szCs w:val="24"/>
        </w:rPr>
        <w:t xml:space="preserve">400 </w:t>
      </w:r>
      <w:r w:rsidR="00BB28E4" w:rsidRPr="000F605D">
        <w:rPr>
          <w:rFonts w:ascii="Times New Roman" w:hAnsi="Times New Roman"/>
          <w:szCs w:val="24"/>
        </w:rPr>
        <w:t>µ</w:t>
      </w:r>
      <w:r w:rsidR="008534EF" w:rsidRPr="004F4FA6">
        <w:rPr>
          <w:szCs w:val="24"/>
        </w:rPr>
        <w:t>M</w:t>
      </w:r>
      <w:r w:rsidR="00A56D22" w:rsidRPr="000F605D">
        <w:rPr>
          <w:szCs w:val="24"/>
        </w:rPr>
        <w:t xml:space="preserve">. </w:t>
      </w:r>
      <w:r w:rsidR="00C03C54" w:rsidRPr="000F605D">
        <w:rPr>
          <w:szCs w:val="24"/>
        </w:rPr>
        <w:t>C</w:t>
      </w:r>
      <w:r w:rsidR="0062372A" w:rsidRPr="000F605D">
        <w:rPr>
          <w:szCs w:val="24"/>
        </w:rPr>
        <w:t xml:space="preserve">ompounds </w:t>
      </w:r>
      <w:r w:rsidR="0062372A" w:rsidRPr="000F605D">
        <w:rPr>
          <w:b/>
          <w:szCs w:val="24"/>
        </w:rPr>
        <w:t>2</w:t>
      </w:r>
      <w:r w:rsidR="0062372A" w:rsidRPr="000F605D">
        <w:rPr>
          <w:szCs w:val="24"/>
        </w:rPr>
        <w:t xml:space="preserve">, </w:t>
      </w:r>
      <w:r w:rsidR="0062372A" w:rsidRPr="000F605D">
        <w:rPr>
          <w:b/>
          <w:szCs w:val="24"/>
        </w:rPr>
        <w:t>3</w:t>
      </w:r>
      <w:r w:rsidR="0062372A" w:rsidRPr="000F605D">
        <w:rPr>
          <w:szCs w:val="24"/>
        </w:rPr>
        <w:t xml:space="preserve">, and </w:t>
      </w:r>
      <w:r w:rsidR="0062372A" w:rsidRPr="000F605D">
        <w:rPr>
          <w:b/>
          <w:szCs w:val="24"/>
        </w:rPr>
        <w:t>4</w:t>
      </w:r>
      <w:r w:rsidR="0062372A" w:rsidRPr="000F605D">
        <w:rPr>
          <w:szCs w:val="24"/>
        </w:rPr>
        <w:t xml:space="preserve"> only were cytotoxic in concentrations </w:t>
      </w:r>
      <w:r w:rsidR="0035580E" w:rsidRPr="000F605D">
        <w:rPr>
          <w:szCs w:val="24"/>
        </w:rPr>
        <w:t>higher than those</w:t>
      </w:r>
      <w:r w:rsidR="0062372A" w:rsidRPr="000F605D">
        <w:rPr>
          <w:szCs w:val="24"/>
        </w:rPr>
        <w:t xml:space="preserve"> </w:t>
      </w:r>
      <w:r w:rsidR="0035580E" w:rsidRPr="000F605D">
        <w:rPr>
          <w:szCs w:val="24"/>
        </w:rPr>
        <w:t>necessary for</w:t>
      </w:r>
      <w:r w:rsidR="0062372A" w:rsidRPr="000F605D">
        <w:rPr>
          <w:szCs w:val="24"/>
        </w:rPr>
        <w:t xml:space="preserve"> </w:t>
      </w:r>
      <w:proofErr w:type="spellStart"/>
      <w:r w:rsidR="0062372A" w:rsidRPr="000F605D">
        <w:rPr>
          <w:szCs w:val="24"/>
        </w:rPr>
        <w:t>antischistosomal</w:t>
      </w:r>
      <w:proofErr w:type="spellEnd"/>
      <w:r w:rsidR="0035580E" w:rsidRPr="000F605D">
        <w:rPr>
          <w:szCs w:val="24"/>
        </w:rPr>
        <w:t xml:space="preserve"> activity</w:t>
      </w:r>
      <w:r w:rsidR="004F3E78" w:rsidRPr="000F605D">
        <w:rPr>
          <w:szCs w:val="24"/>
        </w:rPr>
        <w:t>.</w:t>
      </w:r>
      <w:r w:rsidR="0062372A" w:rsidRPr="000F605D">
        <w:rPr>
          <w:szCs w:val="24"/>
        </w:rPr>
        <w:t xml:space="preserve"> </w:t>
      </w:r>
      <w:r w:rsidR="006E0E70" w:rsidRPr="000F605D">
        <w:rPr>
          <w:szCs w:val="24"/>
        </w:rPr>
        <w:t xml:space="preserve">Compound </w:t>
      </w:r>
      <w:r w:rsidR="006E0E70" w:rsidRPr="000F605D">
        <w:rPr>
          <w:b/>
          <w:szCs w:val="24"/>
        </w:rPr>
        <w:t>2</w:t>
      </w:r>
      <w:r w:rsidR="006E0E70" w:rsidRPr="000F605D">
        <w:rPr>
          <w:szCs w:val="24"/>
        </w:rPr>
        <w:t xml:space="preserve"> was</w:t>
      </w:r>
      <w:r w:rsidR="004F3E78" w:rsidRPr="000F605D">
        <w:rPr>
          <w:szCs w:val="24"/>
        </w:rPr>
        <w:t xml:space="preserve"> the least cytotoxic compound</w:t>
      </w:r>
      <w:r w:rsidR="006E0E70" w:rsidRPr="000F605D">
        <w:rPr>
          <w:szCs w:val="24"/>
        </w:rPr>
        <w:t xml:space="preserve"> </w:t>
      </w:r>
      <w:r w:rsidR="008534EF" w:rsidRPr="000F605D">
        <w:rPr>
          <w:szCs w:val="24"/>
        </w:rPr>
        <w:t>(</w:t>
      </w:r>
      <w:r w:rsidR="006E0E70" w:rsidRPr="000F605D">
        <w:rPr>
          <w:szCs w:val="24"/>
        </w:rPr>
        <w:t>CC</w:t>
      </w:r>
      <w:r w:rsidR="006E0E70" w:rsidRPr="000F605D">
        <w:rPr>
          <w:szCs w:val="24"/>
          <w:vertAlign w:val="subscript"/>
        </w:rPr>
        <w:t>50</w:t>
      </w:r>
      <w:r w:rsidR="008534EF" w:rsidRPr="000F605D">
        <w:rPr>
          <w:szCs w:val="24"/>
        </w:rPr>
        <w:t xml:space="preserve"> =</w:t>
      </w:r>
      <w:r w:rsidR="006E0E70" w:rsidRPr="000F605D">
        <w:rPr>
          <w:szCs w:val="24"/>
        </w:rPr>
        <w:t xml:space="preserve"> 133.40 </w:t>
      </w:r>
      <w:r w:rsidR="00BB28E4" w:rsidRPr="000F605D">
        <w:rPr>
          <w:rFonts w:ascii="Times New Roman" w:hAnsi="Times New Roman"/>
          <w:szCs w:val="24"/>
        </w:rPr>
        <w:t>µ</w:t>
      </w:r>
      <w:r w:rsidR="006E0E70" w:rsidRPr="004F4FA6">
        <w:rPr>
          <w:szCs w:val="24"/>
        </w:rPr>
        <w:t>M</w:t>
      </w:r>
      <w:r w:rsidR="008534EF" w:rsidRPr="000F605D">
        <w:rPr>
          <w:szCs w:val="24"/>
        </w:rPr>
        <w:t>)</w:t>
      </w:r>
      <w:r w:rsidR="006E0E70" w:rsidRPr="000F605D">
        <w:rPr>
          <w:szCs w:val="24"/>
        </w:rPr>
        <w:t>,</w:t>
      </w:r>
      <w:r w:rsidR="008534EF" w:rsidRPr="000F605D">
        <w:rPr>
          <w:szCs w:val="24"/>
        </w:rPr>
        <w:t xml:space="preserve"> followed by </w:t>
      </w:r>
      <w:r w:rsidRPr="000F605D">
        <w:rPr>
          <w:b/>
          <w:szCs w:val="24"/>
        </w:rPr>
        <w:t>4</w:t>
      </w:r>
      <w:r w:rsidRPr="000F605D">
        <w:rPr>
          <w:szCs w:val="24"/>
        </w:rPr>
        <w:t xml:space="preserve"> (</w:t>
      </w:r>
      <w:r w:rsidR="006A4DA2" w:rsidRPr="000F605D">
        <w:rPr>
          <w:szCs w:val="24"/>
        </w:rPr>
        <w:t>C</w:t>
      </w:r>
      <w:r w:rsidRPr="000F605D">
        <w:rPr>
          <w:szCs w:val="24"/>
        </w:rPr>
        <w:t>C</w:t>
      </w:r>
      <w:r w:rsidRPr="000F605D">
        <w:rPr>
          <w:szCs w:val="24"/>
          <w:vertAlign w:val="subscript"/>
        </w:rPr>
        <w:t>50</w:t>
      </w:r>
      <w:r w:rsidRPr="000F605D">
        <w:rPr>
          <w:szCs w:val="24"/>
        </w:rPr>
        <w:t xml:space="preserve"> = 28.49 </w:t>
      </w:r>
      <w:r w:rsidR="00BB28E4" w:rsidRPr="000F605D">
        <w:rPr>
          <w:rFonts w:ascii="Times New Roman" w:hAnsi="Times New Roman"/>
          <w:szCs w:val="24"/>
        </w:rPr>
        <w:t>µ</w:t>
      </w:r>
      <w:r w:rsidRPr="004F4FA6">
        <w:rPr>
          <w:szCs w:val="24"/>
        </w:rPr>
        <w:t xml:space="preserve">M), </w:t>
      </w:r>
      <w:r w:rsidRPr="000F605D">
        <w:rPr>
          <w:b/>
          <w:szCs w:val="24"/>
        </w:rPr>
        <w:t>1</w:t>
      </w:r>
      <w:r w:rsidRPr="000F605D">
        <w:rPr>
          <w:szCs w:val="24"/>
        </w:rPr>
        <w:t xml:space="preserve"> (</w:t>
      </w:r>
      <w:r w:rsidR="006A4DA2" w:rsidRPr="000F605D">
        <w:rPr>
          <w:szCs w:val="24"/>
        </w:rPr>
        <w:t>C</w:t>
      </w:r>
      <w:r w:rsidRPr="000F605D">
        <w:rPr>
          <w:szCs w:val="24"/>
        </w:rPr>
        <w:t>C</w:t>
      </w:r>
      <w:r w:rsidRPr="000F605D">
        <w:rPr>
          <w:szCs w:val="24"/>
          <w:vertAlign w:val="subscript"/>
        </w:rPr>
        <w:t>50</w:t>
      </w:r>
      <w:r w:rsidRPr="000F605D">
        <w:rPr>
          <w:szCs w:val="24"/>
        </w:rPr>
        <w:t xml:space="preserve"> = 17.48 </w:t>
      </w:r>
      <w:r w:rsidR="00BB28E4" w:rsidRPr="000F605D">
        <w:rPr>
          <w:rFonts w:ascii="Times New Roman" w:hAnsi="Times New Roman"/>
          <w:szCs w:val="24"/>
        </w:rPr>
        <w:t>µ</w:t>
      </w:r>
      <w:r w:rsidRPr="004F4FA6">
        <w:rPr>
          <w:szCs w:val="24"/>
        </w:rPr>
        <w:t xml:space="preserve">M), and </w:t>
      </w:r>
      <w:r w:rsidRPr="000F605D">
        <w:rPr>
          <w:b/>
          <w:szCs w:val="24"/>
        </w:rPr>
        <w:t>3</w:t>
      </w:r>
      <w:r w:rsidRPr="000F605D">
        <w:rPr>
          <w:szCs w:val="24"/>
        </w:rPr>
        <w:t xml:space="preserve"> (</w:t>
      </w:r>
      <w:r w:rsidR="006A4DA2" w:rsidRPr="000F605D">
        <w:rPr>
          <w:szCs w:val="24"/>
        </w:rPr>
        <w:t>C</w:t>
      </w:r>
      <w:r w:rsidRPr="000F605D">
        <w:rPr>
          <w:szCs w:val="24"/>
        </w:rPr>
        <w:t>C</w:t>
      </w:r>
      <w:r w:rsidRPr="000F605D">
        <w:rPr>
          <w:szCs w:val="24"/>
          <w:vertAlign w:val="subscript"/>
        </w:rPr>
        <w:t>50</w:t>
      </w:r>
      <w:r w:rsidRPr="000F605D">
        <w:rPr>
          <w:szCs w:val="24"/>
        </w:rPr>
        <w:t xml:space="preserve"> = 16.38 </w:t>
      </w:r>
      <w:r w:rsidR="00BB28E4" w:rsidRPr="000F605D">
        <w:rPr>
          <w:rFonts w:ascii="Times New Roman" w:hAnsi="Times New Roman"/>
          <w:szCs w:val="24"/>
        </w:rPr>
        <w:t>µ</w:t>
      </w:r>
      <w:r w:rsidRPr="004F4FA6">
        <w:rPr>
          <w:szCs w:val="24"/>
        </w:rPr>
        <w:t>M)</w:t>
      </w:r>
      <w:r w:rsidR="008534EF" w:rsidRPr="000F605D">
        <w:rPr>
          <w:szCs w:val="24"/>
        </w:rPr>
        <w:t>.</w:t>
      </w:r>
    </w:p>
    <w:p w14:paraId="0BF450C5" w14:textId="5FE2AA7D" w:rsidR="00FB673B" w:rsidRPr="00174459" w:rsidRDefault="000545B0" w:rsidP="00195F51">
      <w:pPr>
        <w:pStyle w:val="TAMainText"/>
      </w:pPr>
      <w:r>
        <w:rPr>
          <w:b/>
        </w:rPr>
        <w:t>Controls for</w:t>
      </w:r>
      <w:r w:rsidR="00294956">
        <w:rPr>
          <w:b/>
        </w:rPr>
        <w:t xml:space="preserve"> </w:t>
      </w:r>
      <w:r w:rsidR="00734782">
        <w:rPr>
          <w:b/>
        </w:rPr>
        <w:t>N</w:t>
      </w:r>
      <w:r w:rsidR="00FB673B" w:rsidRPr="0077529C">
        <w:rPr>
          <w:b/>
        </w:rPr>
        <w:t xml:space="preserve">on-specific </w:t>
      </w:r>
      <w:r w:rsidR="00294956">
        <w:rPr>
          <w:b/>
        </w:rPr>
        <w:t>I</w:t>
      </w:r>
      <w:r w:rsidR="00FB673B" w:rsidRPr="0077529C">
        <w:rPr>
          <w:b/>
        </w:rPr>
        <w:t>nhibition</w:t>
      </w:r>
      <w:r w:rsidR="005679F7">
        <w:rPr>
          <w:b/>
        </w:rPr>
        <w:t xml:space="preserve"> and Off-Target Effects</w:t>
      </w:r>
      <w:r w:rsidR="00FB673B">
        <w:rPr>
          <w:b/>
        </w:rPr>
        <w:t xml:space="preserve">. </w:t>
      </w:r>
      <w:r w:rsidR="005679F7" w:rsidRPr="004B5CBE">
        <w:t>Colloidal aggregates have long plagued early d</w:t>
      </w:r>
      <w:r w:rsidR="00660869">
        <w:t>rug discovery. When a colloid i</w:t>
      </w:r>
      <w:r w:rsidR="005679F7" w:rsidRPr="004B5CBE">
        <w:t>s formed, membrane and soluble proteins adsorb to its surface and are partially denatured, leading to nonspecific inhibition and occasionally activation.</w:t>
      </w:r>
      <w:r w:rsidR="005679F7">
        <w:fldChar w:fldCharType="begin" w:fldLock="1"/>
      </w:r>
      <w:r w:rsidR="00456ABA">
        <w:instrText>ADDIN CSL_CITATION { "citationItems" : [ { "id" : "ITEM-1", "itemData" : { "DOI" : "10.1021/acs.jmedchem.5b01105", "ISSN" : "1520-4804", "PMID" : "26295373", "abstract" : "Colloidal aggregation of organic molecules is the dominant mechanism for artifactual inhibition of proteins, and controls against it are widely deployed. Notwithstanding an increasingly detailed understanding of this phenomenon, a method to reliably predict aggregation has remained elusive. Correspondingly, active molecules that act via aggregation continue to be found in early discovery campaigns and remain common in the literature. Over the past decade, over 12 thousand aggregating organic molecules have been identified, potentially enabling a precedent-based approach to match known aggregators with new molecules that may be expected to aggregate and lead to artifacts. We investigate an approach that uses lipophilicity, affinity, and similarity to known aggregators to advise on the likelihood that a candidate compound is an aggregator. In prospective experimental testing, five of seven new molecules with Tanimoto coefficients (Tc's) between 0.95 and 0.99 to known aggregators aggregated at relevant concentrations. Ten of 19 with Tc's between 0.94 and 0.90 and three of seven with Tc's between 0.89 and 0.85 also aggregated. Another three of the predicted compounds aggregated at higher concentrations. This method finds that 61 827 or 5.1% of the ligands acting in the 0.1 to 10 \u03bcM range in the medicinal chemistry literature are at least 85% similar to a known aggregator with these physical properties and may aggregate at relevant concentrations. Intriguingly, only 0.73% of all drug-like commercially available compounds resemble the known aggregators, suggesting that colloidal aggregators are enriched in the literature. As a percentage of the literature, aggregator-like compounds have increased 9-fold since 1995, partly reflecting the advent of high-throughput and virtual screens against molecular targets. Emerging from this study is an aggregator advisor database and tool ( http://advisor.bkslab.org ), free to the community, that may help distinguish between fruitful and artifactual screening hits acting by this mechanism.", "author" : [ { "dropping-particle" : "", "family" : "Irwin", "given" : "John J", "non-dropping-particle" : "", "parse-names" : false, "suffix" : "" }, { "dropping-particle" : "", "family" : "Duan", "given" : "Da", "non-dropping-particle" : "", "parse-names" : false, "suffix" : "" }, { "dropping-particle" : "", "family" : "Torosyan", "given" : "Hayarpi", "non-dropping-particle" : "", "parse-names" : false, "suffix" : "" }, { "dropping-particle" : "", "family" : "Doak", "given" : "Allison K", "non-dropping-particle" : "", "parse-names" : false, "suffix" : "" }, { "dropping-particle" : "", "family" : "Ziebart", "given" : "Kristin T", "non-dropping-particle" : "", "parse-names" : false, "suffix" : "" }, { "dropping-particle" : "", "family" : "Sterling", "given" : "Teague", "non-dropping-particle" : "", "parse-names" : false, "suffix" : "" }, { "dropping-particle" : "", "family" : "Tumanian", "given" : "Gurgen", "non-dropping-particle" : "", "parse-names" : false, "suffix" : "" }, { "dropping-particle" : "", "family" : "Shoichet", "given" : "Brian K", "non-dropping-particle" : "", "parse-names" : false, "suffix" : "" } ], "container-title" : "Journal of medicinal chemistry", "id" : "ITEM-1", "issue" : "17", "issued" : { "date-parts" : [ [ "2015", "9", "10" ] ] }, "page" : "7076-87", "title" : "An Aggregation Advisor for Ligand Discovery.", "type" : "article-journal", "volume" : "58" }, "uris" : [ "http://www.mendeley.com/documents/?uuid=28a6a3ea-5419-41d2-9664-53ef020ddce2" ] }, { "id" : "ITEM-2", "itemData" : { "ISSN" : "1554-8929", "author" : [ { "dropping-particle" : "", "family" : "Owen", "given" : "Shawn C.", "non-dropping-particle" : "", "parse-names" : false, "suffix" : "" }, { "dropping-particle" : "", "family" : "Doak", "given" : "Allison K.", "non-dropping-particle" : "", "parse-names" : false, "suffix" : "" }, { "dropping-particle" : "", "family" : "Wassam", "given" : "Pascal", "non-dropping-particle" : "", "parse-names" : false, "suffix" : "" }, { "dropping-particle" : "", "family" : "Shoichet", "given" : "Molly S.", "non-dropping-particle" : "", "parse-names" : false, "suffix" : "" }, { "dropping-particle" : "", "family" : "Shoichet", "given" : "Brian K.", "non-dropping-particle" : "", "parse-names" : false, "suffix" : "" } ], "container-title" : "ACS Chemical Biology", "id" : "ITEM-2", "issue" : "8", "issued" : { "date-parts" : [ [ "2012", "8", "17" ] ] }, "page" : "1429-1435", "title" : "Colloidal Aggregation Affects the Efficacy of Anticancer Drugs in Cell Culture", "type" : "article-journal", "volume" : "7" }, "uris" : [ "http://www.mendeley.com/documents/?uuid=9ea175e8-8653-492a-84df-44004a0dfdc2" ] } ], "mendeley" : { "formattedCitation" : "&lt;sup&gt;77,78&lt;/sup&gt;", "plainTextFormattedCitation" : "77,78", "previouslyFormattedCitation" : "&lt;sup&gt;77,78&lt;/sup&gt;" }, "properties" : { "noteIndex" : 0 }, "schema" : "https://github.com/citation-style-language/schema/raw/master/csl-citation.json" }</w:instrText>
      </w:r>
      <w:r w:rsidR="005679F7">
        <w:fldChar w:fldCharType="separate"/>
      </w:r>
      <w:r w:rsidR="00456ABA" w:rsidRPr="00456ABA">
        <w:rPr>
          <w:noProof/>
          <w:vertAlign w:val="superscript"/>
        </w:rPr>
        <w:t>77,78</w:t>
      </w:r>
      <w:r w:rsidR="005679F7">
        <w:fldChar w:fldCharType="end"/>
      </w:r>
      <w:r w:rsidR="005679F7">
        <w:t xml:space="preserve"> </w:t>
      </w:r>
      <w:r w:rsidR="00660869" w:rsidRPr="00660869">
        <w:t xml:space="preserve">Therefore, adult worms were co-incubated with investigated compounds (at 20 </w:t>
      </w:r>
      <w:r w:rsidR="00BB28E4" w:rsidRPr="00AA364E">
        <w:rPr>
          <w:rFonts w:ascii="Times New Roman" w:hAnsi="Times New Roman"/>
          <w:sz w:val="22"/>
          <w:szCs w:val="22"/>
        </w:rPr>
        <w:t>µ</w:t>
      </w:r>
      <w:r w:rsidR="00660869" w:rsidRPr="00660869">
        <w:t xml:space="preserve">M and 100 </w:t>
      </w:r>
      <w:r w:rsidR="00BB28E4" w:rsidRPr="00AA364E">
        <w:rPr>
          <w:rFonts w:ascii="Times New Roman" w:hAnsi="Times New Roman"/>
          <w:sz w:val="22"/>
          <w:szCs w:val="22"/>
        </w:rPr>
        <w:t>µ</w:t>
      </w:r>
      <w:r w:rsidR="00660869" w:rsidRPr="00660869">
        <w:t xml:space="preserve">M) and detergent Triton X-100 (0.01%) and their </w:t>
      </w:r>
      <w:proofErr w:type="spellStart"/>
      <w:r w:rsidR="00660869" w:rsidRPr="00660869">
        <w:t>antischisto</w:t>
      </w:r>
      <w:r w:rsidR="00660869">
        <w:t>somal</w:t>
      </w:r>
      <w:proofErr w:type="spellEnd"/>
      <w:r w:rsidR="00660869">
        <w:t xml:space="preserve"> effect was compared with</w:t>
      </w:r>
      <w:r w:rsidR="00660869" w:rsidRPr="00660869">
        <w:t xml:space="preserve"> activities obtained without detergent for excluding a </w:t>
      </w:r>
      <w:r w:rsidR="00660869" w:rsidRPr="00660869">
        <w:lastRenderedPageBreak/>
        <w:t xml:space="preserve">possible promiscuous colloidal aggregate effect. </w:t>
      </w:r>
      <w:r w:rsidR="00D1681A">
        <w:t>N</w:t>
      </w:r>
      <w:r w:rsidR="00660869">
        <w:t xml:space="preserve">o significant differences were observed after comparison of inhibition </w:t>
      </w:r>
      <w:r w:rsidR="00660869" w:rsidRPr="00660869">
        <w:t xml:space="preserve">activities of both groups, showing that </w:t>
      </w:r>
      <w:proofErr w:type="spellStart"/>
      <w:r w:rsidR="00660869" w:rsidRPr="00660869">
        <w:t>antis</w:t>
      </w:r>
      <w:r w:rsidR="00660869">
        <w:t>chistosomal</w:t>
      </w:r>
      <w:proofErr w:type="spellEnd"/>
      <w:r w:rsidR="00660869">
        <w:t xml:space="preserve"> activity of the hit compounds</w:t>
      </w:r>
      <w:r w:rsidR="00660869" w:rsidRPr="00660869">
        <w:t xml:space="preserve"> is related with specific inhibition (Figure S5).</w:t>
      </w:r>
      <w:r w:rsidR="00660869">
        <w:t xml:space="preserve"> Further, we also investigated</w:t>
      </w:r>
      <w:r w:rsidR="00FB673B" w:rsidRPr="00174459">
        <w:t xml:space="preserve"> </w:t>
      </w:r>
      <w:r w:rsidR="00660869">
        <w:t>possible off-target effect</w:t>
      </w:r>
      <w:r w:rsidR="009B53F3">
        <w:t>s</w:t>
      </w:r>
      <w:r w:rsidR="00FB673B" w:rsidRPr="00174459">
        <w:t xml:space="preserve"> of the hit compounds towards nucleophilic thiols in a papain inhibition assay. Again, none of the anti-</w:t>
      </w:r>
      <w:proofErr w:type="spellStart"/>
      <w:r w:rsidR="00FB673B" w:rsidRPr="00174459">
        <w:t>schistosomal</w:t>
      </w:r>
      <w:proofErr w:type="spellEnd"/>
      <w:r w:rsidR="00FB673B" w:rsidRPr="00174459">
        <w:t xml:space="preserve"> hits showed significant inhibition of papain at 100 </w:t>
      </w:r>
      <w:proofErr w:type="spellStart"/>
      <w:r w:rsidR="00FB673B" w:rsidRPr="00174459">
        <w:rPr>
          <w:rFonts w:cs="Times"/>
        </w:rPr>
        <w:t>μ</w:t>
      </w:r>
      <w:r w:rsidR="00FB673B" w:rsidRPr="00174459">
        <w:t>M</w:t>
      </w:r>
      <w:proofErr w:type="spellEnd"/>
      <w:r w:rsidR="00FB673B" w:rsidRPr="00174459">
        <w:t xml:space="preserve"> </w:t>
      </w:r>
      <w:r w:rsidR="00660869" w:rsidRPr="00660869">
        <w:t>while positive control E-64 fully inhibit</w:t>
      </w:r>
      <w:r w:rsidR="00955C8C">
        <w:t>s</w:t>
      </w:r>
      <w:r w:rsidR="00660869" w:rsidRPr="00660869">
        <w:t xml:space="preserve"> </w:t>
      </w:r>
      <w:r w:rsidR="00660869">
        <w:t xml:space="preserve">this </w:t>
      </w:r>
      <w:r w:rsidR="00660869" w:rsidRPr="00660869">
        <w:t xml:space="preserve">enzyme at 20 </w:t>
      </w:r>
      <w:r w:rsidR="00BB28E4" w:rsidRPr="00AA364E">
        <w:rPr>
          <w:rFonts w:ascii="Times New Roman" w:hAnsi="Times New Roman"/>
          <w:sz w:val="22"/>
          <w:szCs w:val="22"/>
        </w:rPr>
        <w:t>µ</w:t>
      </w:r>
      <w:r w:rsidR="00660869" w:rsidRPr="00660869">
        <w:t xml:space="preserve">M concentration </w:t>
      </w:r>
      <w:r w:rsidR="00FB673B" w:rsidRPr="00174459">
        <w:t>(</w:t>
      </w:r>
      <w:r w:rsidR="00660869">
        <w:t xml:space="preserve">Table 2 and </w:t>
      </w:r>
      <w:r w:rsidR="00B6205B">
        <w:t>Figure S6).</w:t>
      </w:r>
    </w:p>
    <w:p w14:paraId="184E0980" w14:textId="130A22B9" w:rsidR="001C4883" w:rsidRPr="004544A5" w:rsidRDefault="0050625B" w:rsidP="00B519AB">
      <w:pPr>
        <w:pStyle w:val="TAMainText"/>
        <w:spacing w:before="360" w:after="240"/>
        <w:ind w:firstLine="204"/>
        <w:rPr>
          <w:b/>
        </w:rPr>
      </w:pPr>
      <w:r w:rsidRPr="004544A5">
        <w:t xml:space="preserve"> </w:t>
      </w:r>
      <w:r w:rsidR="001C4883" w:rsidRPr="004544A5">
        <w:rPr>
          <w:b/>
        </w:rPr>
        <w:t>CONCLUSIONS</w:t>
      </w:r>
    </w:p>
    <w:p w14:paraId="195F1EC6" w14:textId="065E0662" w:rsidR="00BE605B" w:rsidRPr="004544A5" w:rsidRDefault="007335CE">
      <w:pPr>
        <w:pStyle w:val="TAMainText"/>
      </w:pPr>
      <w:r w:rsidRPr="004544A5">
        <w:t xml:space="preserve">To the best of our knowledge, this is the first study integrating </w:t>
      </w:r>
      <w:r w:rsidR="00F617F7" w:rsidRPr="004544A5">
        <w:t>QSAR-b</w:t>
      </w:r>
      <w:r w:rsidRPr="004544A5">
        <w:t>ased VS and HCS methods</w:t>
      </w:r>
      <w:r w:rsidRPr="004544A5" w:rsidDel="00D524C7">
        <w:t xml:space="preserve"> </w:t>
      </w:r>
      <w:r w:rsidRPr="004544A5">
        <w:t>to discover new anti-</w:t>
      </w:r>
      <w:proofErr w:type="spellStart"/>
      <w:r w:rsidRPr="004544A5">
        <w:t>schistosomal</w:t>
      </w:r>
      <w:proofErr w:type="spellEnd"/>
      <w:r w:rsidRPr="004544A5">
        <w:t xml:space="preserve"> agents. </w:t>
      </w:r>
      <w:r w:rsidR="00CA2A93" w:rsidRPr="004544A5">
        <w:t>We have developed robust and predictive QSAR models for anti-</w:t>
      </w:r>
      <w:proofErr w:type="spellStart"/>
      <w:r w:rsidR="00CA2A93" w:rsidRPr="004544A5">
        <w:t>schistosomal</w:t>
      </w:r>
      <w:proofErr w:type="spellEnd"/>
      <w:r w:rsidR="00CA2A93" w:rsidRPr="004544A5">
        <w:t xml:space="preserve"> activity. Developed models were used in the most conservative way, i.e., in consensus fashion with the strictest AD criteria, for virtual screening of three </w:t>
      </w:r>
      <w:proofErr w:type="spellStart"/>
      <w:r w:rsidR="00CA2A93" w:rsidRPr="004544A5">
        <w:t>ChemBrigde</w:t>
      </w:r>
      <w:proofErr w:type="spellEnd"/>
      <w:r w:rsidR="00CA2A93" w:rsidRPr="004544A5">
        <w:t xml:space="preserve"> datasets: </w:t>
      </w:r>
      <w:proofErr w:type="spellStart"/>
      <w:r w:rsidR="00CA2A93" w:rsidRPr="004544A5">
        <w:rPr>
          <w:rFonts w:ascii="Times New Roman" w:hAnsi="Times New Roman"/>
          <w:szCs w:val="24"/>
        </w:rPr>
        <w:t>DIVERSet</w:t>
      </w:r>
      <w:r w:rsidR="00CA2A93" w:rsidRPr="004544A5">
        <w:rPr>
          <w:rFonts w:ascii="Times New Roman" w:hAnsi="Times New Roman"/>
          <w:szCs w:val="24"/>
          <w:vertAlign w:val="superscript"/>
        </w:rPr>
        <w:t>TM</w:t>
      </w:r>
      <w:proofErr w:type="spellEnd"/>
      <w:r w:rsidR="00CA2A93" w:rsidRPr="004544A5">
        <w:rPr>
          <w:rFonts w:ascii="Times New Roman" w:hAnsi="Times New Roman"/>
          <w:szCs w:val="24"/>
        </w:rPr>
        <w:t xml:space="preserve">-CL, </w:t>
      </w:r>
      <w:proofErr w:type="spellStart"/>
      <w:r w:rsidR="00CA2A93" w:rsidRPr="004544A5">
        <w:rPr>
          <w:rFonts w:ascii="Times New Roman" w:hAnsi="Times New Roman"/>
          <w:szCs w:val="24"/>
        </w:rPr>
        <w:t>DIVERSet</w:t>
      </w:r>
      <w:r w:rsidR="00CA2A93" w:rsidRPr="004544A5">
        <w:rPr>
          <w:rFonts w:ascii="Times New Roman" w:hAnsi="Times New Roman"/>
          <w:szCs w:val="24"/>
          <w:vertAlign w:val="superscript"/>
        </w:rPr>
        <w:t>TM</w:t>
      </w:r>
      <w:proofErr w:type="spellEnd"/>
      <w:r w:rsidR="00CA2A93" w:rsidRPr="004544A5">
        <w:rPr>
          <w:rFonts w:ascii="Times New Roman" w:hAnsi="Times New Roman"/>
          <w:szCs w:val="24"/>
        </w:rPr>
        <w:t xml:space="preserve">-EXP, and </w:t>
      </w:r>
      <w:proofErr w:type="spellStart"/>
      <w:r w:rsidR="00CA2A93" w:rsidRPr="004544A5">
        <w:rPr>
          <w:rFonts w:ascii="Times New Roman" w:hAnsi="Times New Roman"/>
          <w:szCs w:val="24"/>
        </w:rPr>
        <w:t>PremiumSet</w:t>
      </w:r>
      <w:proofErr w:type="spellEnd"/>
      <w:r w:rsidR="00CA2A93" w:rsidRPr="004544A5">
        <w:rPr>
          <w:rFonts w:ascii="Times New Roman" w:hAnsi="Times New Roman"/>
          <w:szCs w:val="24"/>
        </w:rPr>
        <w:t xml:space="preserve">. As a result, </w:t>
      </w:r>
      <w:r w:rsidR="00CA2A93" w:rsidRPr="004544A5">
        <w:rPr>
          <w:color w:val="000000"/>
        </w:rPr>
        <w:t>470</w:t>
      </w:r>
      <w:r w:rsidR="00CA2A93" w:rsidRPr="004544A5">
        <w:t xml:space="preserve"> putative </w:t>
      </w:r>
      <w:proofErr w:type="spellStart"/>
      <w:r w:rsidR="00CA2A93" w:rsidRPr="004544A5">
        <w:rPr>
          <w:i/>
        </w:rPr>
        <w:t>Sm</w:t>
      </w:r>
      <w:r w:rsidR="00CA2A93" w:rsidRPr="004544A5">
        <w:t>TGR</w:t>
      </w:r>
      <w:proofErr w:type="spellEnd"/>
      <w:r w:rsidR="00CA2A93" w:rsidRPr="004544A5">
        <w:t xml:space="preserve"> inhibitors were identified. Then, </w:t>
      </w:r>
      <w:r w:rsidR="00CA2A93" w:rsidRPr="004544A5">
        <w:rPr>
          <w:rFonts w:ascii="Times New Roman" w:hAnsi="Times New Roman"/>
          <w:szCs w:val="24"/>
        </w:rPr>
        <w:t xml:space="preserve">29 </w:t>
      </w:r>
      <w:r w:rsidR="00C10D92" w:rsidRPr="004544A5">
        <w:rPr>
          <w:rFonts w:ascii="Times New Roman" w:hAnsi="Times New Roman"/>
          <w:szCs w:val="24"/>
        </w:rPr>
        <w:t>compounds</w:t>
      </w:r>
      <w:r w:rsidR="00CA2A93" w:rsidRPr="004544A5">
        <w:rPr>
          <w:rFonts w:ascii="Times New Roman" w:hAnsi="Times New Roman"/>
          <w:szCs w:val="24"/>
        </w:rPr>
        <w:t xml:space="preserve"> were</w:t>
      </w:r>
      <w:r w:rsidR="00955C8C">
        <w:rPr>
          <w:rFonts w:ascii="Times New Roman" w:hAnsi="Times New Roman"/>
          <w:szCs w:val="24"/>
        </w:rPr>
        <w:t xml:space="preserve"> selected and</w:t>
      </w:r>
      <w:r w:rsidR="00CA2A93" w:rsidRPr="004544A5">
        <w:rPr>
          <w:rFonts w:ascii="Times New Roman" w:hAnsi="Times New Roman"/>
          <w:szCs w:val="24"/>
        </w:rPr>
        <w:t xml:space="preserve"> tested against</w:t>
      </w:r>
      <w:r w:rsidR="004E39DB">
        <w:rPr>
          <w:rFonts w:ascii="Times New Roman" w:hAnsi="Times New Roman"/>
          <w:szCs w:val="24"/>
        </w:rPr>
        <w:t xml:space="preserve"> </w:t>
      </w:r>
      <w:r w:rsidR="004E39DB" w:rsidRPr="004B5CBE">
        <w:rPr>
          <w:rFonts w:ascii="Times New Roman" w:hAnsi="Times New Roman"/>
          <w:i/>
          <w:szCs w:val="24"/>
        </w:rPr>
        <w:t xml:space="preserve">S. </w:t>
      </w:r>
      <w:proofErr w:type="spellStart"/>
      <w:r w:rsidR="004E39DB" w:rsidRPr="004B5CBE">
        <w:rPr>
          <w:rFonts w:ascii="Times New Roman" w:hAnsi="Times New Roman"/>
          <w:i/>
          <w:szCs w:val="24"/>
        </w:rPr>
        <w:t>mansoni</w:t>
      </w:r>
      <w:proofErr w:type="spellEnd"/>
      <w:r w:rsidR="00CA2A93" w:rsidRPr="004544A5">
        <w:rPr>
          <w:rFonts w:ascii="Times New Roman" w:hAnsi="Times New Roman"/>
          <w:szCs w:val="24"/>
        </w:rPr>
        <w:t xml:space="preserve"> </w:t>
      </w:r>
      <w:proofErr w:type="spellStart"/>
      <w:r w:rsidR="009458F8">
        <w:rPr>
          <w:rFonts w:ascii="Times New Roman" w:hAnsi="Times New Roman"/>
          <w:szCs w:val="24"/>
        </w:rPr>
        <w:t>schistosomula</w:t>
      </w:r>
      <w:proofErr w:type="spellEnd"/>
      <w:r w:rsidR="00DA39AB" w:rsidRPr="004544A5">
        <w:rPr>
          <w:rFonts w:ascii="Times New Roman" w:hAnsi="Times New Roman"/>
          <w:szCs w:val="24"/>
        </w:rPr>
        <w:t xml:space="preserve"> </w:t>
      </w:r>
      <w:r w:rsidR="00CA2A93" w:rsidRPr="004544A5">
        <w:rPr>
          <w:rFonts w:ascii="Times New Roman" w:hAnsi="Times New Roman"/>
          <w:szCs w:val="24"/>
        </w:rPr>
        <w:t xml:space="preserve">using </w:t>
      </w:r>
      <w:r w:rsidR="00DA39AB">
        <w:rPr>
          <w:rFonts w:ascii="Times New Roman" w:hAnsi="Times New Roman"/>
          <w:szCs w:val="24"/>
        </w:rPr>
        <w:t xml:space="preserve">a </w:t>
      </w:r>
      <w:r w:rsidR="00CA2A93" w:rsidRPr="004544A5">
        <w:rPr>
          <w:rFonts w:ascii="Times New Roman" w:hAnsi="Times New Roman"/>
          <w:szCs w:val="24"/>
        </w:rPr>
        <w:t xml:space="preserve">HCS </w:t>
      </w:r>
      <w:r w:rsidR="00DA39AB">
        <w:rPr>
          <w:rFonts w:ascii="Times New Roman" w:hAnsi="Times New Roman"/>
          <w:szCs w:val="24"/>
        </w:rPr>
        <w:t>platform</w:t>
      </w:r>
      <w:r w:rsidR="00DA39AB" w:rsidRPr="004544A5">
        <w:rPr>
          <w:rFonts w:ascii="Times New Roman" w:hAnsi="Times New Roman"/>
          <w:szCs w:val="24"/>
        </w:rPr>
        <w:t xml:space="preserve"> </w:t>
      </w:r>
      <w:r w:rsidR="006F5819" w:rsidRPr="004544A5">
        <w:rPr>
          <w:rFonts w:ascii="Times New Roman" w:hAnsi="Times New Roman"/>
          <w:szCs w:val="24"/>
        </w:rPr>
        <w:t>and</w:t>
      </w:r>
      <w:r w:rsidR="00CA2A93" w:rsidRPr="004544A5">
        <w:rPr>
          <w:rFonts w:ascii="Times New Roman" w:hAnsi="Times New Roman"/>
          <w:szCs w:val="24"/>
        </w:rPr>
        <w:t xml:space="preserve"> six </w:t>
      </w:r>
      <w:r w:rsidR="00C10D92" w:rsidRPr="004544A5">
        <w:rPr>
          <w:rFonts w:ascii="Times New Roman" w:hAnsi="Times New Roman"/>
          <w:szCs w:val="24"/>
        </w:rPr>
        <w:t xml:space="preserve">of them </w:t>
      </w:r>
      <w:r w:rsidR="00CA2A93" w:rsidRPr="004544A5">
        <w:rPr>
          <w:rFonts w:ascii="Times New Roman" w:hAnsi="Times New Roman"/>
          <w:szCs w:val="24"/>
        </w:rPr>
        <w:t xml:space="preserve">showed significant inhibition activities </w:t>
      </w:r>
      <w:r w:rsidR="00B744FA" w:rsidRPr="004544A5">
        <w:rPr>
          <w:rFonts w:ascii="Times New Roman" w:hAnsi="Times New Roman"/>
          <w:szCs w:val="24"/>
        </w:rPr>
        <w:t>at</w:t>
      </w:r>
      <w:r w:rsidR="00CA2A93" w:rsidRPr="004544A5">
        <w:rPr>
          <w:rFonts w:ascii="Times New Roman" w:hAnsi="Times New Roman"/>
          <w:szCs w:val="24"/>
        </w:rPr>
        <w:t xml:space="preserve"> 20 µM. </w:t>
      </w:r>
      <w:r w:rsidR="00B744FA" w:rsidRPr="004544A5">
        <w:rPr>
          <w:rFonts w:ascii="Times New Roman" w:hAnsi="Times New Roman"/>
          <w:szCs w:val="24"/>
        </w:rPr>
        <w:t>Among them</w:t>
      </w:r>
      <w:r w:rsidRPr="004544A5">
        <w:rPr>
          <w:rFonts w:ascii="Times New Roman" w:hAnsi="Times New Roman"/>
          <w:szCs w:val="24"/>
        </w:rPr>
        <w:t xml:space="preserve">, </w:t>
      </w:r>
      <w:r w:rsidR="00DA39AB">
        <w:rPr>
          <w:rFonts w:ascii="Times New Roman" w:hAnsi="Times New Roman"/>
          <w:szCs w:val="24"/>
        </w:rPr>
        <w:t>compounds</w:t>
      </w:r>
      <w:r w:rsidR="00733EA8" w:rsidRPr="004544A5">
        <w:rPr>
          <w:rFonts w:ascii="Times New Roman" w:hAnsi="Times New Roman"/>
          <w:szCs w:val="24"/>
        </w:rPr>
        <w:t xml:space="preserve"> </w:t>
      </w:r>
      <w:r w:rsidR="00DA39AB">
        <w:rPr>
          <w:rFonts w:ascii="Times New Roman" w:hAnsi="Times New Roman"/>
          <w:b/>
          <w:szCs w:val="24"/>
        </w:rPr>
        <w:t>3</w:t>
      </w:r>
      <w:r w:rsidR="006A4545">
        <w:rPr>
          <w:rFonts w:ascii="Times New Roman" w:hAnsi="Times New Roman"/>
          <w:b/>
          <w:szCs w:val="24"/>
        </w:rPr>
        <w:t xml:space="preserve"> </w:t>
      </w:r>
      <w:r w:rsidR="00DA39AB">
        <w:rPr>
          <w:rFonts w:ascii="Times New Roman" w:hAnsi="Times New Roman"/>
          <w:szCs w:val="24"/>
        </w:rPr>
        <w:t xml:space="preserve">and </w:t>
      </w:r>
      <w:r w:rsidR="00DA39AB">
        <w:rPr>
          <w:rFonts w:ascii="Times New Roman" w:hAnsi="Times New Roman"/>
          <w:b/>
          <w:szCs w:val="24"/>
        </w:rPr>
        <w:t>4</w:t>
      </w:r>
      <w:r w:rsidRPr="004544A5">
        <w:rPr>
          <w:rFonts w:ascii="Times New Roman" w:hAnsi="Times New Roman"/>
          <w:szCs w:val="24"/>
        </w:rPr>
        <w:t xml:space="preserve"> showed inhibitory effect equivalent to </w:t>
      </w:r>
      <w:r w:rsidR="00DA39AB">
        <w:rPr>
          <w:rFonts w:ascii="Times New Roman" w:hAnsi="Times New Roman"/>
          <w:szCs w:val="24"/>
        </w:rPr>
        <w:t>PZQ</w:t>
      </w:r>
      <w:r w:rsidR="006A4545">
        <w:rPr>
          <w:rFonts w:ascii="Times New Roman" w:hAnsi="Times New Roman"/>
          <w:szCs w:val="24"/>
        </w:rPr>
        <w:t>, with EC</w:t>
      </w:r>
      <w:r w:rsidR="006A4545" w:rsidRPr="004B5CBE">
        <w:rPr>
          <w:rFonts w:ascii="Times New Roman" w:hAnsi="Times New Roman"/>
          <w:szCs w:val="24"/>
          <w:vertAlign w:val="subscript"/>
        </w:rPr>
        <w:t>50</w:t>
      </w:r>
      <w:r w:rsidR="006A4545">
        <w:rPr>
          <w:rFonts w:ascii="Times New Roman" w:hAnsi="Times New Roman"/>
          <w:szCs w:val="24"/>
        </w:rPr>
        <w:t xml:space="preserve"> values around 2.50 µM</w:t>
      </w:r>
      <w:r w:rsidR="00D82338">
        <w:rPr>
          <w:rFonts w:ascii="Times New Roman" w:hAnsi="Times New Roman"/>
          <w:szCs w:val="24"/>
        </w:rPr>
        <w:t>.</w:t>
      </w:r>
      <w:r w:rsidR="00DC3136">
        <w:rPr>
          <w:rFonts w:ascii="Times New Roman" w:hAnsi="Times New Roman"/>
          <w:szCs w:val="24"/>
        </w:rPr>
        <w:t xml:space="preserve"> </w:t>
      </w:r>
      <w:r w:rsidR="009458F8">
        <w:rPr>
          <w:rFonts w:ascii="Times New Roman" w:hAnsi="Times New Roman"/>
          <w:szCs w:val="24"/>
        </w:rPr>
        <w:t>Both hit</w:t>
      </w:r>
      <w:r w:rsidR="00955C8C">
        <w:rPr>
          <w:rFonts w:ascii="Times New Roman" w:hAnsi="Times New Roman"/>
          <w:szCs w:val="24"/>
        </w:rPr>
        <w:t>s</w:t>
      </w:r>
      <w:r w:rsidR="009458F8">
        <w:rPr>
          <w:rFonts w:ascii="Times New Roman" w:hAnsi="Times New Roman"/>
          <w:szCs w:val="24"/>
        </w:rPr>
        <w:t xml:space="preserve"> </w:t>
      </w:r>
      <w:r w:rsidR="00DC3136" w:rsidRPr="00DC3136">
        <w:rPr>
          <w:rFonts w:ascii="Times New Roman" w:hAnsi="Times New Roman"/>
          <w:szCs w:val="24"/>
        </w:rPr>
        <w:t>were</w:t>
      </w:r>
      <w:r w:rsidR="009458F8">
        <w:rPr>
          <w:rFonts w:ascii="Times New Roman" w:hAnsi="Times New Roman"/>
          <w:szCs w:val="24"/>
        </w:rPr>
        <w:t xml:space="preserve"> also</w:t>
      </w:r>
      <w:r w:rsidR="00DC3136" w:rsidRPr="00DC3136">
        <w:rPr>
          <w:rFonts w:ascii="Times New Roman" w:hAnsi="Times New Roman"/>
          <w:szCs w:val="24"/>
        </w:rPr>
        <w:t xml:space="preserve"> classified as OLT-like compounds, </w:t>
      </w:r>
      <w:r w:rsidR="009B53F3">
        <w:rPr>
          <w:rFonts w:ascii="Times New Roman" w:hAnsi="Times New Roman"/>
          <w:szCs w:val="24"/>
        </w:rPr>
        <w:t xml:space="preserve">indicating </w:t>
      </w:r>
      <w:r w:rsidR="00DC3136" w:rsidRPr="00DC3136">
        <w:rPr>
          <w:rFonts w:ascii="Times New Roman" w:hAnsi="Times New Roman"/>
          <w:szCs w:val="24"/>
        </w:rPr>
        <w:t xml:space="preserve">a shared target </w:t>
      </w:r>
      <w:r w:rsidR="009B53F3">
        <w:rPr>
          <w:rFonts w:ascii="Times New Roman" w:hAnsi="Times New Roman"/>
          <w:szCs w:val="24"/>
        </w:rPr>
        <w:t xml:space="preserve">with </w:t>
      </w:r>
      <w:r w:rsidR="00DC3136" w:rsidRPr="00DC3136">
        <w:rPr>
          <w:rFonts w:ascii="Times New Roman" w:hAnsi="Times New Roman"/>
          <w:szCs w:val="24"/>
        </w:rPr>
        <w:t>OLT</w:t>
      </w:r>
      <w:r w:rsidR="009B53F3">
        <w:rPr>
          <w:rFonts w:ascii="Times New Roman" w:hAnsi="Times New Roman"/>
          <w:szCs w:val="24"/>
        </w:rPr>
        <w:t>, which</w:t>
      </w:r>
      <w:r w:rsidR="00DC3136" w:rsidRPr="00DC3136">
        <w:rPr>
          <w:rFonts w:ascii="Times New Roman" w:hAnsi="Times New Roman"/>
          <w:szCs w:val="24"/>
        </w:rPr>
        <w:t xml:space="preserve"> has already been identified as a</w:t>
      </w:r>
      <w:r w:rsidR="00DC3136">
        <w:rPr>
          <w:rFonts w:ascii="Times New Roman" w:hAnsi="Times New Roman"/>
          <w:szCs w:val="24"/>
        </w:rPr>
        <w:t>n</w:t>
      </w:r>
      <w:r w:rsidR="00DC3136" w:rsidRPr="00DC3136">
        <w:rPr>
          <w:rFonts w:ascii="Times New Roman" w:hAnsi="Times New Roman"/>
          <w:szCs w:val="24"/>
        </w:rPr>
        <w:t xml:space="preserve"> inhibitor of </w:t>
      </w:r>
      <w:r w:rsidR="00DC3136" w:rsidRPr="004B5CBE">
        <w:rPr>
          <w:rFonts w:ascii="Times New Roman" w:hAnsi="Times New Roman"/>
          <w:i/>
          <w:szCs w:val="24"/>
        </w:rPr>
        <w:t>Sm</w:t>
      </w:r>
      <w:r w:rsidR="00DC3136" w:rsidRPr="00DC3136">
        <w:rPr>
          <w:rFonts w:ascii="Times New Roman" w:hAnsi="Times New Roman"/>
          <w:szCs w:val="24"/>
        </w:rPr>
        <w:t>TGR.</w:t>
      </w:r>
      <w:r w:rsidR="009458F8">
        <w:rPr>
          <w:rFonts w:ascii="Times New Roman" w:hAnsi="Times New Roman"/>
          <w:szCs w:val="24"/>
        </w:rPr>
        <w:fldChar w:fldCharType="begin" w:fldLock="1"/>
      </w:r>
      <w:r w:rsidR="00456ABA">
        <w:rPr>
          <w:rFonts w:ascii="Times New Roman" w:hAnsi="Times New Roman"/>
          <w:szCs w:val="24"/>
        </w:rPr>
        <w:instrText>ADDIN CSL_CITATION { "citationItems" : [ { "id" : "ITEM-1", "itemData" : { "DOI" : "10.1371/journal.pmed.0040206", "ISSN" : "1549-1676", "PMID" : "17579510", "abstract" : "BACKGROUND: Schistosomiasis--infection with helminth parasites in the genus Schistosoma, including S. mansoni--is a widespread, devastating tropical disease affecting more than 200 million people. No vaccine is available, and praziquantel, the only drug extensively utilized, is currently administered more than 100 million people yearly. Because praziquantel resistance may develop it is essential to identify novel drug targets. Our goal was to investigate the potential of a unique, selenium-containing parasite enzyme thioredoxin glutathione reductase (TGR) as a drug target. METHODS AND FINDINGS: Using RNA interference we found that TGR is essential for parasite survival; after silencing of TGR expression, in vitro parasites died within 4 d. We also found that auranofin is an efficient inhibitor of pure TGR (Ki = 10 nM), able to kill parasites rapidly in culture at physiological concentrations (5 microM), and able to partially cure infected mice (worm burden reductions of ~60%). Furthermore, two previously used antischistosomal compounds inhibited TGR activity, suggesting that TGR is a key target during therapy with those compounds. CONCLUSIONS: Collectively, our results indicate that parasite TGR meets all the major criteria to be a key target for antischistosomal chemotherapy. To our knowledge this is the first validation of a Schistosoma drug target using a convergence of both genetic and biochemical approaches.", "author" : [ { "dropping-particle" : "", "family" : "Kuntz", "given" : "Angela N", "non-dropping-particle" : "", "parse-names" : false, "suffix" : "" }, { "dropping-particle" : "", "family" : "Davioud-Charvet", "given" : "Elisabeth", "non-dropping-particle" : "", "parse-names" : false, "suffix" : "" }, { "dropping-particle" : "", "family" : "Sayed", "given" : "Ahmed A", "non-dropping-particle" : "", "parse-names" : false, "suffix" : "" }, { "dropping-particle" : "", "family" : "Califf", "given" : "Lindsay L", "non-dropping-particle" : "", "parse-names" : false, "suffix" : "" }, { "dropping-particle" : "", "family" : "Dessolin", "given" : "Jean", "non-dropping-particle" : "", "parse-names" : false, "suffix" : "" }, { "dropping-particle" : "", "family" : "Arn\u00e9r", "given" : "Elias S J", "non-dropping-particle" : "", "parse-names" : false, "suffix" : "" }, { "dropping-particle" : "", "family" : "Williams", "given" : "David L", "non-dropping-particle" : "", "parse-names" : false, "suffix" : "" } ], "container-title" : "PLoS Medicine", "id" : "ITEM-1", "issue" : "6", "issued" : { "date-parts" : [ [ "2007", "6" ] ] }, "page" : "e206", "title" : "Thioredoxin glutathione reductase from Schistosoma mansoni: an essential parasite enzyme and a key drug target.", "type" : "article-journal", "volume" : "4" }, "uris" : [ "http://www.mendeley.com/documents/?uuid=6eb30339-b02c-4006-841c-3f0ec3fd00eb" ] } ], "mendeley" : { "formattedCitation" : "&lt;sup&gt;79&lt;/sup&gt;", "plainTextFormattedCitation" : "79", "previouslyFormattedCitation" : "&lt;sup&gt;79&lt;/sup&gt;" }, "properties" : { "noteIndex" : 0 }, "schema" : "https://github.com/citation-style-language/schema/raw/master/csl-citation.json" }</w:instrText>
      </w:r>
      <w:r w:rsidR="009458F8">
        <w:rPr>
          <w:rFonts w:ascii="Times New Roman" w:hAnsi="Times New Roman"/>
          <w:szCs w:val="24"/>
        </w:rPr>
        <w:fldChar w:fldCharType="separate"/>
      </w:r>
      <w:r w:rsidR="00456ABA" w:rsidRPr="00456ABA">
        <w:rPr>
          <w:rFonts w:ascii="Times New Roman" w:hAnsi="Times New Roman"/>
          <w:noProof/>
          <w:szCs w:val="24"/>
          <w:vertAlign w:val="superscript"/>
        </w:rPr>
        <w:t>79</w:t>
      </w:r>
      <w:r w:rsidR="009458F8">
        <w:rPr>
          <w:rFonts w:ascii="Times New Roman" w:hAnsi="Times New Roman"/>
          <w:szCs w:val="24"/>
        </w:rPr>
        <w:fldChar w:fldCharType="end"/>
      </w:r>
      <w:r w:rsidR="001B4735">
        <w:t xml:space="preserve"> </w:t>
      </w:r>
      <w:r w:rsidR="00ED787C" w:rsidRPr="004544A5">
        <w:rPr>
          <w:rFonts w:cs="Times"/>
          <w:szCs w:val="24"/>
        </w:rPr>
        <w:t>T</w:t>
      </w:r>
      <w:r w:rsidRPr="004544A5">
        <w:rPr>
          <w:rFonts w:cs="Times"/>
          <w:szCs w:val="24"/>
        </w:rPr>
        <w:t xml:space="preserve">he results of gender-, dose-, and time-dependent </w:t>
      </w:r>
      <w:r w:rsidR="008F2CEB">
        <w:rPr>
          <w:rFonts w:cs="Times"/>
          <w:szCs w:val="24"/>
        </w:rPr>
        <w:t>inhibitory</w:t>
      </w:r>
      <w:r w:rsidR="008F2CEB" w:rsidRPr="004544A5">
        <w:rPr>
          <w:rFonts w:cs="Times"/>
          <w:szCs w:val="24"/>
        </w:rPr>
        <w:t xml:space="preserve"> </w:t>
      </w:r>
      <w:r w:rsidRPr="004544A5">
        <w:rPr>
          <w:rFonts w:cs="Times"/>
          <w:szCs w:val="24"/>
        </w:rPr>
        <w:t xml:space="preserve">effect </w:t>
      </w:r>
      <w:r w:rsidR="008F2CEB" w:rsidRPr="008F2CEB">
        <w:rPr>
          <w:rFonts w:cs="Times"/>
          <w:szCs w:val="24"/>
        </w:rPr>
        <w:t xml:space="preserve">indicated that adult female worms of </w:t>
      </w:r>
      <w:r w:rsidR="008F2CEB" w:rsidRPr="004B5CBE">
        <w:rPr>
          <w:rFonts w:cs="Times"/>
          <w:i/>
          <w:szCs w:val="24"/>
        </w:rPr>
        <w:t xml:space="preserve">S. </w:t>
      </w:r>
      <w:proofErr w:type="spellStart"/>
      <w:r w:rsidR="008F2CEB" w:rsidRPr="004B5CBE">
        <w:rPr>
          <w:rFonts w:cs="Times"/>
          <w:i/>
          <w:szCs w:val="24"/>
        </w:rPr>
        <w:t>mansoni</w:t>
      </w:r>
      <w:proofErr w:type="spellEnd"/>
      <w:r w:rsidR="008F2CEB" w:rsidRPr="008F2CEB">
        <w:rPr>
          <w:rFonts w:cs="Times"/>
          <w:szCs w:val="24"/>
        </w:rPr>
        <w:t xml:space="preserve"> are slightly more sensitive</w:t>
      </w:r>
      <w:r w:rsidR="00233065">
        <w:rPr>
          <w:rFonts w:cs="Times"/>
          <w:szCs w:val="24"/>
        </w:rPr>
        <w:t xml:space="preserve"> than males</w:t>
      </w:r>
      <w:r w:rsidR="008F2CEB" w:rsidRPr="008F2CEB">
        <w:rPr>
          <w:rFonts w:cs="Times"/>
          <w:szCs w:val="24"/>
        </w:rPr>
        <w:t xml:space="preserve"> to compounds action.</w:t>
      </w:r>
      <w:r w:rsidR="006A4545">
        <w:rPr>
          <w:rFonts w:cs="Times"/>
          <w:szCs w:val="24"/>
        </w:rPr>
        <w:t xml:space="preserve"> </w:t>
      </w:r>
      <w:r w:rsidR="006A4545">
        <w:t xml:space="preserve">Compounds </w:t>
      </w:r>
      <w:r w:rsidR="006A4545">
        <w:rPr>
          <w:b/>
        </w:rPr>
        <w:t>3</w:t>
      </w:r>
      <w:r w:rsidR="006A4545">
        <w:t xml:space="preserve"> and </w:t>
      </w:r>
      <w:r w:rsidR="006A4545" w:rsidRPr="00E72643">
        <w:rPr>
          <w:b/>
        </w:rPr>
        <w:t>4</w:t>
      </w:r>
      <w:r w:rsidR="006A4545">
        <w:t xml:space="preserve"> showed satisfactory potencies for female worms, with EC</w:t>
      </w:r>
      <w:r w:rsidR="006A4545" w:rsidRPr="00E72643">
        <w:rPr>
          <w:vertAlign w:val="subscript"/>
        </w:rPr>
        <w:t>50</w:t>
      </w:r>
      <w:r w:rsidR="006A4545">
        <w:t xml:space="preserve"> </w:t>
      </w:r>
      <w:r w:rsidR="006A4545" w:rsidRPr="006A4545">
        <w:t xml:space="preserve">values around </w:t>
      </w:r>
      <w:r w:rsidR="006A4545" w:rsidRPr="004B5CBE">
        <w:t xml:space="preserve">6.00 </w:t>
      </w:r>
      <w:r w:rsidR="006A4545" w:rsidRPr="004B5CBE">
        <w:sym w:font="Symbol" w:char="F06D"/>
      </w:r>
      <w:r w:rsidR="006A4545" w:rsidRPr="004B5CBE">
        <w:t>M</w:t>
      </w:r>
      <w:r w:rsidR="004078AB">
        <w:t>. Both c</w:t>
      </w:r>
      <w:r w:rsidR="004078AB" w:rsidRPr="004078AB">
        <w:t xml:space="preserve">ompounds </w:t>
      </w:r>
      <w:r w:rsidR="004078AB">
        <w:t xml:space="preserve">also </w:t>
      </w:r>
      <w:r w:rsidR="004078AB" w:rsidRPr="004078AB">
        <w:t xml:space="preserve">demonstrated </w:t>
      </w:r>
      <w:r w:rsidR="009B53F3">
        <w:t>low</w:t>
      </w:r>
      <w:r w:rsidR="004078AB" w:rsidRPr="004078AB">
        <w:t xml:space="preserve"> cyto</w:t>
      </w:r>
      <w:r w:rsidR="004078AB">
        <w:t>to</w:t>
      </w:r>
      <w:r w:rsidR="004078AB" w:rsidRPr="004078AB">
        <w:t xml:space="preserve">xicity to WSS-1 </w:t>
      </w:r>
      <w:r w:rsidR="004078AB" w:rsidRPr="004078AB">
        <w:lastRenderedPageBreak/>
        <w:t>mammalian cells (C</w:t>
      </w:r>
      <w:r w:rsidR="004078AB" w:rsidRPr="0008144D">
        <w:rPr>
          <w:szCs w:val="24"/>
        </w:rPr>
        <w:t>C</w:t>
      </w:r>
      <w:r w:rsidR="004078AB" w:rsidRPr="000F605D">
        <w:rPr>
          <w:szCs w:val="24"/>
          <w:vertAlign w:val="subscript"/>
        </w:rPr>
        <w:t>50</w:t>
      </w:r>
      <w:r w:rsidR="004078AB" w:rsidRPr="000F605D">
        <w:rPr>
          <w:szCs w:val="24"/>
        </w:rPr>
        <w:t xml:space="preserve"> &gt;</w:t>
      </w:r>
      <w:r w:rsidR="009B53F3" w:rsidRPr="000F605D">
        <w:rPr>
          <w:szCs w:val="24"/>
        </w:rPr>
        <w:t xml:space="preserve"> </w:t>
      </w:r>
      <w:r w:rsidR="004078AB" w:rsidRPr="000F605D">
        <w:rPr>
          <w:szCs w:val="24"/>
        </w:rPr>
        <w:t xml:space="preserve">16 </w:t>
      </w:r>
      <w:r w:rsidR="00BB28E4" w:rsidRPr="000F605D">
        <w:rPr>
          <w:rFonts w:ascii="Times New Roman" w:hAnsi="Times New Roman"/>
          <w:szCs w:val="24"/>
        </w:rPr>
        <w:t>µ</w:t>
      </w:r>
      <w:r w:rsidR="004078AB" w:rsidRPr="000F605D">
        <w:rPr>
          <w:szCs w:val="24"/>
        </w:rPr>
        <w:t xml:space="preserve">M) and </w:t>
      </w:r>
      <w:r w:rsidR="00955C8C" w:rsidRPr="000F605D">
        <w:rPr>
          <w:szCs w:val="24"/>
        </w:rPr>
        <w:t xml:space="preserve">inhibition of </w:t>
      </w:r>
      <w:r w:rsidR="004078AB" w:rsidRPr="000F605D">
        <w:rPr>
          <w:szCs w:val="24"/>
        </w:rPr>
        <w:t xml:space="preserve">papain only in concentrations &gt;100 </w:t>
      </w:r>
      <w:r w:rsidR="00BB28E4" w:rsidRPr="000F605D">
        <w:rPr>
          <w:rFonts w:ascii="Times New Roman" w:hAnsi="Times New Roman"/>
          <w:szCs w:val="24"/>
        </w:rPr>
        <w:t>µ</w:t>
      </w:r>
      <w:r w:rsidR="004078AB" w:rsidRPr="000F605D">
        <w:rPr>
          <w:szCs w:val="24"/>
        </w:rPr>
        <w:t>M.</w:t>
      </w:r>
      <w:r w:rsidR="00653485" w:rsidRPr="000F605D">
        <w:rPr>
          <w:szCs w:val="24"/>
        </w:rPr>
        <w:t xml:space="preserve"> </w:t>
      </w:r>
      <w:r w:rsidR="004078AB" w:rsidRPr="000F605D">
        <w:rPr>
          <w:rFonts w:cs="Times"/>
          <w:szCs w:val="24"/>
        </w:rPr>
        <w:t>Finally,</w:t>
      </w:r>
      <w:r w:rsidRPr="000F605D">
        <w:rPr>
          <w:rFonts w:cs="Times"/>
          <w:szCs w:val="24"/>
        </w:rPr>
        <w:t xml:space="preserve"> </w:t>
      </w:r>
      <w:r w:rsidR="004078AB" w:rsidRPr="000F605D">
        <w:rPr>
          <w:rFonts w:cs="Times"/>
          <w:szCs w:val="24"/>
        </w:rPr>
        <w:t>both compounds</w:t>
      </w:r>
      <w:r w:rsidRPr="004544A5">
        <w:rPr>
          <w:rFonts w:cs="Times"/>
          <w:szCs w:val="24"/>
        </w:rPr>
        <w:t xml:space="preserve"> represent new </w:t>
      </w:r>
      <w:r w:rsidR="002B54FB" w:rsidRPr="004544A5">
        <w:rPr>
          <w:rFonts w:cs="Times"/>
          <w:szCs w:val="24"/>
        </w:rPr>
        <w:t>chemical scaffolds</w:t>
      </w:r>
      <w:r w:rsidR="002B54FB" w:rsidRPr="004544A5">
        <w:t xml:space="preserve">, which are </w:t>
      </w:r>
      <w:r w:rsidRPr="004544A5">
        <w:rPr>
          <w:rFonts w:cs="Times"/>
          <w:szCs w:val="24"/>
        </w:rPr>
        <w:t xml:space="preserve">structurally dissimilar to known inhibitors of </w:t>
      </w:r>
      <w:r w:rsidRPr="004544A5">
        <w:rPr>
          <w:i/>
        </w:rPr>
        <w:t xml:space="preserve">S. </w:t>
      </w:r>
      <w:proofErr w:type="spellStart"/>
      <w:r w:rsidRPr="004544A5">
        <w:rPr>
          <w:i/>
        </w:rPr>
        <w:t>mansoni</w:t>
      </w:r>
      <w:proofErr w:type="spellEnd"/>
      <w:r w:rsidR="00B766FA" w:rsidRPr="004544A5">
        <w:rPr>
          <w:i/>
        </w:rPr>
        <w:t>,</w:t>
      </w:r>
      <w:r w:rsidRPr="004544A5">
        <w:t xml:space="preserve"> and</w:t>
      </w:r>
      <w:r w:rsidR="002B54FB" w:rsidRPr="004544A5">
        <w:t xml:space="preserve"> thus</w:t>
      </w:r>
      <w:r w:rsidR="00CA2A93" w:rsidRPr="004544A5">
        <w:rPr>
          <w:rFonts w:ascii="Times New Roman" w:hAnsi="Times New Roman"/>
          <w:szCs w:val="24"/>
        </w:rPr>
        <w:t xml:space="preserve"> can be considered as new hit compounds </w:t>
      </w:r>
      <w:r w:rsidR="009D012A" w:rsidRPr="009D012A">
        <w:rPr>
          <w:rFonts w:ascii="Times New Roman" w:hAnsi="Times New Roman"/>
          <w:szCs w:val="24"/>
        </w:rPr>
        <w:t>for further chemical optimization.</w:t>
      </w:r>
      <w:r w:rsidR="00CA2A93" w:rsidRPr="004544A5">
        <w:t xml:space="preserve"> </w:t>
      </w:r>
    </w:p>
    <w:p w14:paraId="712C4028" w14:textId="77777777" w:rsidR="00333E65" w:rsidRDefault="001C4883" w:rsidP="004B5CBE">
      <w:pPr>
        <w:pStyle w:val="TAMainText"/>
        <w:spacing w:before="360" w:after="240"/>
        <w:ind w:firstLine="0"/>
        <w:outlineLvl w:val="0"/>
        <w:rPr>
          <w:b/>
        </w:rPr>
      </w:pPr>
      <w:r w:rsidRPr="004544A5">
        <w:rPr>
          <w:b/>
        </w:rPr>
        <w:t>EXPERIMENTAL SECTION</w:t>
      </w:r>
    </w:p>
    <w:p w14:paraId="705C3200" w14:textId="77777777" w:rsidR="00E05B40" w:rsidRPr="004544A5" w:rsidRDefault="00E05B40" w:rsidP="006247F8">
      <w:pPr>
        <w:pStyle w:val="TAMainText"/>
        <w:outlineLvl w:val="0"/>
        <w:rPr>
          <w:b/>
        </w:rPr>
      </w:pPr>
      <w:r w:rsidRPr="004544A5">
        <w:rPr>
          <w:b/>
        </w:rPr>
        <w:t>Computational</w:t>
      </w:r>
    </w:p>
    <w:p w14:paraId="49A64181" w14:textId="52A607F9" w:rsidR="00333E65" w:rsidRPr="004544A5" w:rsidRDefault="00333E65" w:rsidP="00333E65">
      <w:pPr>
        <w:pStyle w:val="TAMainText"/>
      </w:pPr>
      <w:r w:rsidRPr="004544A5">
        <w:rPr>
          <w:b/>
        </w:rPr>
        <w:t xml:space="preserve">Dataset. </w:t>
      </w:r>
      <w:r w:rsidR="00FE1EA3" w:rsidRPr="004544A5">
        <w:t xml:space="preserve">The QSAR models were </w:t>
      </w:r>
      <w:r w:rsidR="007335CE" w:rsidRPr="004544A5">
        <w:t>developed</w:t>
      </w:r>
      <w:r w:rsidR="00FE1EA3" w:rsidRPr="004544A5">
        <w:t xml:space="preserve"> according to</w:t>
      </w:r>
      <w:r w:rsidR="007335CE" w:rsidRPr="004544A5">
        <w:t xml:space="preserve"> best practices of predictive QSAR modeling,</w:t>
      </w:r>
      <w:r w:rsidR="0028166D" w:rsidRPr="004823BE">
        <w:fldChar w:fldCharType="begin" w:fldLock="1"/>
      </w:r>
      <w:r w:rsidR="00456ABA">
        <w:instrText>ADDIN CSL_CITATION { "citationItems" : [ { "id" : "ITEM-1", "itemData" : { "DOI" : "10.1002/minf.201000061", "ISSN" : "18681743", "author" : [ { "dropping-particle" : "", "family" : "Tropsha", "given" : "Alexander", "non-dropping-particle" : "", "parse-names" : false, "suffix" : "" } ], "container-title" : "Molecular Informatics", "id" : "ITEM-1", "issue" : "6-7", "issued" : { "date-parts" : [ [ "2010", "7", "6" ] ] }, "page" : "476-488", "title" : "Best Practices for QSAR Model Development, Validation, and Exploitation", "type" : "article-journal", "volume" : "29" }, "uris" : [ "http://www.mendeley.com/documents/?uuid=615a8a19-2435-4bce-a53f-67a6efde113e" ] }, { "id" : "ITEM-2", "itemData" : { "DOI" : "10.1021/jm4004285", "ISSN" : "1520-4804", "PMID" : "24351051", "abstract" : "Quantitative structure-activity relationship modeling is one of the major computational tools employed in medicinal chemistry. However, throughout its entire history it has drawn both praise and criticism concerning its reliability, limitations, successes, and failures. In this paper, we discuss (i) the development and evolution of QSAR; (ii) the current trends, unsolved problems, and pressing challenges; and (iii) several novel and emerging applications of QSAR modeling. Throughout this discussion, we provide guidelines for QSAR development, validation, and application, which are summarized in best practices for building rigorously validated and externally predictive QSAR models. We hope that this Perspective will help communications between computational and experimental chemists toward collaborative development and use of QSAR models. We also believe that the guidelines presented here will help journal editors and reviewers apply more stringent scientific standards to manuscripts reporting new QSAR studies, as well as encourage the use of high quality, validated QSARs for regulatory decision making.", "author" : [ { "dropping-particle" : "", "family" : "Cherkasov", "given" : "Artem", "non-dropping-particle" : "", "parse-names" : false, "suffix" : "" }, { "dropping-particle" : "", "family" : "Muratov", "given" : "Eugene N", "non-dropping-particle" : "", "parse-names" : false, "suffix" : "" }, { "dropping-particle" : "", "family" : "Fourches", "given" : "Denis", "non-dropping-particle" : "", "parse-names" : false, "suffix" : "" }, { "dropping-particle" : "", "family" : "Varnek", "given" : "Alexandre", "non-dropping-particle" : "", "parse-names" : false, "suffix" : "" }, { "dropping-particle" : "", "family" : "Baskin", "given" : "Igor I", "non-dropping-particle" : "", "parse-names" : false, "suffix" : "" }, { "dropping-particle" : "", "family" : "Cronin", "given" : "Mark", "non-dropping-particle" : "", "parse-names" : false, "suffix" : "" }, { "dropping-particle" : "", "family" : "Dearden", "given" : "John", "non-dropping-particle" : "", "parse-names" : false, "suffix" : "" }, { "dropping-particle" : "", "family" : "Gramatica", "given" : "Paola", "non-dropping-particle" : "", "parse-names" : false, "suffix" : "" }, { "dropping-particle" : "", "family" : "Martin", "given" : "Yvonne C", "non-dropping-particle" : "", "parse-names" : false, "suffix" : "" }, { "dropping-particle" : "", "family" : "Todeschini", "given" : "Roberto", "non-dropping-particle" : "", "parse-names" : false, "suffix" : "" }, { "dropping-particle" : "", "family" : "Consonni", "given" : "Viviana", "non-dropping-particle" : "", "parse-names" : false, "suffix" : "" }, { "dropping-particle" : "", "family" : "Kuz'min", "given" : "Victor E", "non-dropping-particle" : "", "parse-names" : false, "suffix" : "" }, { "dropping-particle" : "", "family" : "Cramer", "given" : "Richard", "non-dropping-particle" : "", "parse-names" : false, "suffix" : "" }, { "dropping-particle" : "", "family" : "Benigni", "given" : "Romualdo", "non-dropping-particle" : "", "parse-names" : false, "suffix" : "" }, { "dropping-particle" : "", "family" : "Yang", "given" : "Chihae", "non-dropping-particle" : "", "parse-names" : false, "suffix" : "" }, { "dropping-particle" : "", "family" : "Rathman", "given" : "James", "non-dropping-particle" : "", "parse-names" : false, "suffix" : "" }, { "dropping-particle" : "", "family" : "Terfloth", "given" : "Lothar", "non-dropping-particle" : "", "parse-names" : false, "suffix" : "" }, { "dropping-particle" : "", "family" : "Gasteiger", "given" : "Johann", "non-dropping-particle" : "", "parse-names" : false, "suffix" : "" }, { "dropping-particle" : "", "family" : "Richard", "given" : "Ann", "non-dropping-particle" : "", "parse-names" : false, "suffix" : "" }, { "dropping-particle" : "", "family" : "Tropsha", "given" : "Alexander", "non-dropping-particle" : "", "parse-names" : false, "suffix" : "" } ], "container-title" : "Journal of Medicinal Chemistry", "id" : "ITEM-2", "issue" : "12", "issued" : { "date-parts" : [ [ "2014", "6", "26" ] ] }, "page" : "4977-5010", "title" : "QSAR modeling: where have you been? Where are you going to?", "type" : "article-journal", "volume" : "57" }, "uris" : [ "http://www.mendeley.com/documents/?uuid=49b2b5b2-ad0d-4fe8-a760-6d8ee5773c85" ] } ], "mendeley" : { "formattedCitation" : "&lt;sup&gt;80,81&lt;/sup&gt;", "plainTextFormattedCitation" : "80,81", "previouslyFormattedCitation" : "&lt;sup&gt;80,81&lt;/sup&gt;" }, "properties" : { "noteIndex" : 0 }, "schema" : "https://github.com/citation-style-language/schema/raw/master/csl-citation.json" }</w:instrText>
      </w:r>
      <w:r w:rsidR="0028166D" w:rsidRPr="004823BE">
        <w:fldChar w:fldCharType="separate"/>
      </w:r>
      <w:r w:rsidR="00456ABA" w:rsidRPr="00456ABA">
        <w:rPr>
          <w:noProof/>
          <w:vertAlign w:val="superscript"/>
        </w:rPr>
        <w:t>80,81</w:t>
      </w:r>
      <w:r w:rsidR="0028166D" w:rsidRPr="004823BE">
        <w:fldChar w:fldCharType="end"/>
      </w:r>
      <w:r w:rsidR="007335CE" w:rsidRPr="004544A5">
        <w:t xml:space="preserve"> which is fully compliant to</w:t>
      </w:r>
      <w:r w:rsidR="00FE1EA3" w:rsidRPr="004544A5">
        <w:t xml:space="preserve"> </w:t>
      </w:r>
      <w:r w:rsidR="009D012A" w:rsidRPr="00DC3BB2">
        <w:t>Organization</w:t>
      </w:r>
      <w:r w:rsidR="00DC3BB2" w:rsidRPr="00DC3BB2">
        <w:t xml:space="preserve"> for Economic Co-operation and Development (OECD) </w:t>
      </w:r>
      <w:r w:rsidR="00FE1EA3" w:rsidRPr="004544A5">
        <w:t>guidance on development and validation of QSAR models, such as (</w:t>
      </w:r>
      <w:proofErr w:type="spellStart"/>
      <w:r w:rsidR="00FE1EA3" w:rsidRPr="004544A5">
        <w:rPr>
          <w:i/>
        </w:rPr>
        <w:t>i</w:t>
      </w:r>
      <w:proofErr w:type="spellEnd"/>
      <w:r w:rsidR="00FE1EA3" w:rsidRPr="004544A5">
        <w:t>) a defined end point, (</w:t>
      </w:r>
      <w:r w:rsidR="00FE1EA3" w:rsidRPr="004544A5">
        <w:rPr>
          <w:i/>
        </w:rPr>
        <w:t>ii</w:t>
      </w:r>
      <w:r w:rsidR="00FE1EA3" w:rsidRPr="004544A5">
        <w:t>) an unambiguous algorithm, (</w:t>
      </w:r>
      <w:r w:rsidR="00FE1EA3" w:rsidRPr="004544A5">
        <w:rPr>
          <w:i/>
        </w:rPr>
        <w:t>iii</w:t>
      </w:r>
      <w:r w:rsidR="00FE1EA3" w:rsidRPr="004544A5">
        <w:t>) a defined domain of applicability, (</w:t>
      </w:r>
      <w:proofErr w:type="spellStart"/>
      <w:r w:rsidR="00FE1EA3" w:rsidRPr="004544A5">
        <w:rPr>
          <w:i/>
        </w:rPr>
        <w:t>iv</w:t>
      </w:r>
      <w:proofErr w:type="spellEnd"/>
      <w:r w:rsidR="00FE1EA3" w:rsidRPr="004544A5">
        <w:t xml:space="preserve">) appropriate measures of goodness-of-fit, robustness, and </w:t>
      </w:r>
      <w:proofErr w:type="spellStart"/>
      <w:r w:rsidR="00FE1EA3" w:rsidRPr="004544A5">
        <w:t>predictivity</w:t>
      </w:r>
      <w:proofErr w:type="spellEnd"/>
      <w:r w:rsidR="00FE1EA3" w:rsidRPr="004544A5">
        <w:t>, and (</w:t>
      </w:r>
      <w:r w:rsidR="00FE1EA3" w:rsidRPr="004544A5">
        <w:rPr>
          <w:i/>
        </w:rPr>
        <w:t>v</w:t>
      </w:r>
      <w:r w:rsidR="00FE1EA3" w:rsidRPr="004544A5">
        <w:t>) mechanistic interpretation.</w:t>
      </w:r>
      <w:r w:rsidR="00FE1EA3" w:rsidRPr="004823BE">
        <w:fldChar w:fldCharType="begin" w:fldLock="1"/>
      </w:r>
      <w:r w:rsidR="00456ABA">
        <w:instrText>ADDIN CSL_CITATION { "citationItems" : [ { "id" : "ITEM-1", "itemData" : { "URL" : "http://www.oecd.org/chemicalsafety/risk-assessment/37849783.pdf", "accessed" : { "date-parts" : [ [ "2015", "10", "1" ] ] }, "author" : [ { "dropping-particle" : "", "family" : "OECD", "given" : "", "non-dropping-particle" : "", "parse-names" : false, "suffix" : "" } ], "id" : "ITEM-1", "issued" : { "date-parts" : [ [ "2004" ] ] }, "title" : "OECD principles for the validation, for regulatory purposes, of (Quantitative) Structure-Activity Relationship models", "type" : "webpage" }, "uris" : [ "http://www.mendeley.com/documents/?uuid=6aad92ef-2e20-4cf9-b354-a0c157e7d7b4" ] } ], "mendeley" : { "formattedCitation" : "&lt;sup&gt;82&lt;/sup&gt;", "plainTextFormattedCitation" : "82", "previouslyFormattedCitation" : "&lt;sup&gt;82&lt;/sup&gt;" }, "properties" : { "noteIndex" : 0 }, "schema" : "https://github.com/citation-style-language/schema/raw/master/csl-citation.json" }</w:instrText>
      </w:r>
      <w:r w:rsidR="00FE1EA3" w:rsidRPr="004823BE">
        <w:fldChar w:fldCharType="separate"/>
      </w:r>
      <w:r w:rsidR="00456ABA" w:rsidRPr="00456ABA">
        <w:rPr>
          <w:noProof/>
          <w:vertAlign w:val="superscript"/>
        </w:rPr>
        <w:t>82</w:t>
      </w:r>
      <w:r w:rsidR="00FE1EA3" w:rsidRPr="004823BE">
        <w:fldChar w:fldCharType="end"/>
      </w:r>
      <w:r w:rsidR="00FE1EA3" w:rsidRPr="004544A5">
        <w:t xml:space="preserve"> </w:t>
      </w:r>
      <w:r w:rsidR="004F0166" w:rsidRPr="004544A5">
        <w:t xml:space="preserve">All </w:t>
      </w:r>
      <w:r w:rsidR="004F0166" w:rsidRPr="004544A5">
        <w:rPr>
          <w:i/>
        </w:rPr>
        <w:t>in silico</w:t>
      </w:r>
      <w:r w:rsidR="004F0166" w:rsidRPr="004544A5">
        <w:t xml:space="preserve"> steps developed in this study were implemented in a publicly available KSAR workflow (http://labmol.farmacia.ufg.br/ksar). </w:t>
      </w:r>
      <w:r w:rsidR="00405F46" w:rsidRPr="004544A5">
        <w:t xml:space="preserve">The </w:t>
      </w:r>
      <w:r w:rsidR="004F0166" w:rsidRPr="004544A5">
        <w:t xml:space="preserve">KSAR workflow is tightly integrated with R and KNIME and includes many modules, such as the module for </w:t>
      </w:r>
      <w:r w:rsidR="00DC2BF4" w:rsidRPr="004544A5">
        <w:t>preparing</w:t>
      </w:r>
      <w:r w:rsidR="004F0166" w:rsidRPr="004544A5">
        <w:t xml:space="preserve"> the data, PCA, building of QSAR models, and VS.</w:t>
      </w:r>
      <w:r w:rsidR="004F0166" w:rsidRPr="004823BE">
        <w:fldChar w:fldCharType="begin" w:fldLock="1"/>
      </w:r>
      <w:r w:rsidR="00456ABA">
        <w:instrText>ADDIN CSL_CITATION { "citationItems" : [ { "id" : "ITEM-1", "itemData" : { "ISSN" : "1935-2735", "PMID" : "25569258", "author" : [ { "dropping-particle" : "", "family" : "Neves", "given" : "Bruno J.", "non-dropping-particle" : "", "parse-names" : false, "suffix" : "" }, { "dropping-particle" : "", "family" : "Braga", "given" : "Rodolpho C.", "non-dropping-particle" : "", "parse-names" : false, "suffix" : "" }, { "dropping-particle" : "", "family" : "Bezerra", "given" : "Jos\u00e9 Clecildo Barreto", "non-dropping-particle" : "", "parse-names" : false, "suffix" : "" }, { "dropping-particle" : "", "family" : "Cravo", "given" : "Pedro V. L.", "non-dropping-particle" : "", "parse-names" : false, "suffix" : "" }, { "dropping-particle" : "", "family" : "Andrade", "given" : "Carolina H.", "non-dropping-particle" : "", "parse-names" : false, "suffix" : "" } ], "container-title" : "PLoS Neglected Tropical Diseases", "id" : "ITEM-1", "issue" : "1", "issued" : { "date-parts" : [ [ "2015" ] ] }, "page" : "e3435", "title" : "In Silico Repositioning-Chemogenomics Strategy Identifies New Drugs with Potential Activity against Multiple Life Stages of Schistosoma mansoni", "type" : "article-journal", "volume" : "9" }, "uris" : [ "http://www.mendeley.com/documents/?uuid=9510deb8-2149-4256-9814-bdf1e0cb07af" ] }, { "id" : "ITEM-2", "itemData" : { "DOI" : "10.2174/1568026614666140506124442", "ISSN" : "1873-4294", "PMID" : "24805060", "abstract" : "Several non-cardiovascular drugs have been withdrawn from the market due to their inhibition of hERG K+ channels that can potentially lead to severe heart arrhythmia and death. As hERG safety testing is a mandatory FDArequired procedure, there is a considerable interest for developing predictive computational tools to identify and filter out potential hERG blockers early in the drug discovery process. In this study, we aimed to generate predictive and well-characterized quantitative structure-activity relationship (QSAR) models for hERG blockage using the largest publicly available dataset of 11,958 compounds from the ChEMBL database. The models have been developed and validated according to OECD guidelines using four types of descriptors and four different machine-learning techniques. The classification accuracies discriminating blockers from non-blockers were as high as 0.83-0.93 on external set. Model interpretation revealed several SAR rules, which can guide structural optimization of some hERG blockers into non-blockers. We have also applied the generated models for screening the World Drug Index (WDI) database and identify putative hERG blockers and non-blockers among currently marketed drugs. The developed models can reliably identify blockers and non-blockers, which could be useful for the scientific community. A freely accessible web server has been developed allowing users to identify putative hERG blockers and non-blockers in chemical libraries of their interest (http://labmol.farmacia.ufg.br/predherg).",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"Current Topics in Medicinal Chemistry", "id" : "ITEM-2", "issue" : "11", "issued" : { "date-parts" : [ [ "2014", "5" ] ] }, "page" : "1399-1415", "title" : "Tuning HERG out: antitarget QSAR models for drug development.", "type" : "article-journal", "volume" : "14" }, "uris" : [ "http://www.mendeley.com/documents/?uuid=d954d605-4769-4047-9460-818164b830a0" ] } ], "mendeley" : { "formattedCitation" : "&lt;sup&gt;46,83&lt;/sup&gt;", "plainTextFormattedCitation" : "46,83", "previouslyFormattedCitation" : "&lt;sup&gt;46,83&lt;/sup&gt;" }, "properties" : { "noteIndex" : 0 }, "schema" : "https://github.com/citation-style-language/schema/raw/master/csl-citation.json" }</w:instrText>
      </w:r>
      <w:r w:rsidR="004F0166" w:rsidRPr="004823BE">
        <w:fldChar w:fldCharType="separate"/>
      </w:r>
      <w:r w:rsidR="00456ABA" w:rsidRPr="00456ABA">
        <w:rPr>
          <w:noProof/>
          <w:vertAlign w:val="superscript"/>
        </w:rPr>
        <w:t>46,83</w:t>
      </w:r>
      <w:r w:rsidR="004F0166" w:rsidRPr="004823BE">
        <w:fldChar w:fldCharType="end"/>
      </w:r>
      <w:r w:rsidR="004F0166" w:rsidRPr="004544A5">
        <w:t xml:space="preserve"> </w:t>
      </w:r>
      <w:r w:rsidR="00AD74DD" w:rsidRPr="004544A5">
        <w:t>We first</w:t>
      </w:r>
      <w:r w:rsidRPr="004544A5">
        <w:t xml:space="preserve"> retrieved 359,841 compounds containing </w:t>
      </w:r>
      <w:r w:rsidR="001A4158" w:rsidRPr="001A4158">
        <w:t xml:space="preserve">half maximal inhibitory concentration </w:t>
      </w:r>
      <w:r w:rsidR="001A4158">
        <w:t>(</w:t>
      </w:r>
      <w:r w:rsidRPr="004544A5">
        <w:t>IC</w:t>
      </w:r>
      <w:r w:rsidRPr="004544A5">
        <w:rPr>
          <w:vertAlign w:val="subscript"/>
        </w:rPr>
        <w:t>50</w:t>
      </w:r>
      <w:r w:rsidR="001A4158">
        <w:t>)</w:t>
      </w:r>
      <w:r w:rsidRPr="004544A5">
        <w:t xml:space="preserve"> data for the </w:t>
      </w:r>
      <w:proofErr w:type="spellStart"/>
      <w:r w:rsidRPr="004544A5">
        <w:rPr>
          <w:i/>
          <w:color w:val="000000"/>
        </w:rPr>
        <w:t>Sm</w:t>
      </w:r>
      <w:r w:rsidRPr="004544A5">
        <w:rPr>
          <w:color w:val="000000"/>
        </w:rPr>
        <w:t>TGR</w:t>
      </w:r>
      <w:proofErr w:type="spellEnd"/>
      <w:r w:rsidRPr="004544A5">
        <w:t xml:space="preserve"> enzyme from the PubChem </w:t>
      </w:r>
      <w:proofErr w:type="spellStart"/>
      <w:r w:rsidRPr="004544A5">
        <w:t>BioAssay</w:t>
      </w:r>
      <w:proofErr w:type="spellEnd"/>
      <w:r w:rsidRPr="004544A5">
        <w:t xml:space="preserve"> database (AID: 485364). Compounds with inconclusive IC</w:t>
      </w:r>
      <w:r w:rsidRPr="004544A5">
        <w:rPr>
          <w:vertAlign w:val="subscript"/>
        </w:rPr>
        <w:t>50</w:t>
      </w:r>
      <w:r w:rsidRPr="004544A5">
        <w:t xml:space="preserve"> results were considered experimental errors and thus were not included in this study to avoid noise in model building. A total of 2,854 out of these 359,841 compounds had reproducible potency (IC</w:t>
      </w:r>
      <w:r w:rsidRPr="004544A5">
        <w:rPr>
          <w:vertAlign w:val="subscript"/>
        </w:rPr>
        <w:t>50</w:t>
      </w:r>
      <w:r w:rsidRPr="004544A5">
        <w:t xml:space="preserve"> ≤ 10 </w:t>
      </w:r>
      <w:proofErr w:type="spellStart"/>
      <w:r w:rsidRPr="004544A5">
        <w:t>μM</w:t>
      </w:r>
      <w:proofErr w:type="spellEnd"/>
      <w:r w:rsidR="001A4158">
        <w:t>)</w:t>
      </w:r>
      <w:r w:rsidRPr="004544A5">
        <w:t xml:space="preserve"> and were considered as inhibitors, whereas the remaining 356,987 compounds were considered as non-inhibitors. </w:t>
      </w:r>
    </w:p>
    <w:p w14:paraId="0A2BDF30" w14:textId="274A8219" w:rsidR="00333E65" w:rsidRPr="004544A5" w:rsidRDefault="00333E65" w:rsidP="00333E65">
      <w:pPr>
        <w:pStyle w:val="TAMainText"/>
      </w:pPr>
      <w:r w:rsidRPr="004544A5">
        <w:rPr>
          <w:b/>
        </w:rPr>
        <w:lastRenderedPageBreak/>
        <w:t xml:space="preserve">Dataset Curation. </w:t>
      </w:r>
      <w:r w:rsidR="00FE1EA3" w:rsidRPr="004544A5">
        <w:t>E</w:t>
      </w:r>
      <w:r w:rsidRPr="004544A5">
        <w:t>ach</w:t>
      </w:r>
      <w:r w:rsidRPr="004544A5">
        <w:rPr>
          <w:b/>
        </w:rPr>
        <w:t xml:space="preserve"> </w:t>
      </w:r>
      <w:r w:rsidR="00E05B40" w:rsidRPr="004544A5">
        <w:t>c</w:t>
      </w:r>
      <w:r w:rsidRPr="004544A5">
        <w:t xml:space="preserve">ompound </w:t>
      </w:r>
      <w:r w:rsidR="00FE1EA3" w:rsidRPr="004544A5">
        <w:t xml:space="preserve">of dataset </w:t>
      </w:r>
      <w:r w:rsidRPr="004544A5">
        <w:t xml:space="preserve">was carefully standardized according to the protocol proposed by </w:t>
      </w:r>
      <w:proofErr w:type="spellStart"/>
      <w:r w:rsidRPr="004544A5">
        <w:t>Fourches</w:t>
      </w:r>
      <w:proofErr w:type="spellEnd"/>
      <w:r w:rsidRPr="004544A5">
        <w:t xml:space="preserve"> and colleagues.</w:t>
      </w:r>
      <w:r w:rsidRPr="004823BE">
        <w:fldChar w:fldCharType="begin" w:fldLock="1"/>
      </w:r>
      <w:r w:rsidR="00456ABA">
        <w:instrText>ADDIN CSL_CITATION { "citationItems" : [ { "id" : "ITEM-1", "itemData" : { "DOI" : "10.1021/ci100176x", "ISSN" : "1549-960X", "PMID" : "20572635", "author" : [ { "dropping-particle" : "", "family" : "Fourches", "given" : "Denis", "non-dropping-particle" : "", "parse-names" : false, "suffix" : "" }, { "dropping-particle" : "", "family" : "Muratov", "given" : "Eugene", "non-dropping-particle" : "", "parse-names" : false, "suffix" : "" }, { "dropping-particle" : "", "family" : "Tropsha", "given" : "Alexander", "non-dropping-particle" : "", "parse-names" : false, "suffix" : "" } ], "container-title" : "Journal of Chemical Information and Modeling", "id" : "ITEM-1", "issue" : "7", "issued" : { "date-parts" : [ [ "2010", "7", "26" ] ] }, "page" : "1189-204", "title" : "Trust, but verify: on the importance of chemical structure curation in cheminformatics and QSAR modeling research.", "type" : "article-journal", "volume" : "50" }, "uris" : [ "http://www.mendeley.com/documents/?uuid=a8380730-5a06-4a69-974f-bece41c7b395" ] }, { "id" : "ITEM-2", "itemData" : { "DOI" : "10.1038/nchembio.1881", "ISSN" : "1552-4469", "PMID" : "26196763", "author" : [ { "dropping-particle" : "", "family" : "Fourches", "given" : "Denis", "non-dropping-particle" : "", "parse-names" : false, "suffix" : "" }, { "dropping-particle" : "", "family" : "Muratov", "given" : "Eugene", "non-dropping-particle" : "", "parse-names" : false, "suffix" : "" }, { "dropping-particle" : "", "family" : "Tropsha", "given" : "Alexander", "non-dropping-particle" : "", "parse-names" : false, "suffix" : "" } ], "container-title" : "Nature Chemical Biology", "id" : "ITEM-2", "issue" : "8", "issued" : { "date-parts" : [ [ "2015", "7", "21" ] ] }, "page" : "535", "publisher" : "Nature Publishing Group", "title" : "Curation of chemogenomics data.", "type" : "article-journal", "volume" : "11" }, "uris" : [ "http://www.mendeley.com/documents/?uuid=f0693cf3-4c17-4a39-ad6b-d1e022f4a077", "http://www.mendeley.com/documents/?uuid=70b8dc10-db0d-4490-a1e4-56e0a6cbb872", "http://www.mendeley.com/documents/?uuid=8e62e9ca-95c5-4b56-b8eb-bb373a4da038" ] } ], "mendeley" : { "formattedCitation" : "&lt;sup&gt;84,85&lt;/sup&gt;", "plainTextFormattedCitation" : "84,85", "previouslyFormattedCitation" : "&lt;sup&gt;84,85&lt;/sup&gt;" }, "properties" : { "noteIndex" : 0 }, "schema" : "https://github.com/citation-style-language/schema/raw/master/csl-citation.json" }</w:instrText>
      </w:r>
      <w:r w:rsidRPr="004823BE">
        <w:fldChar w:fldCharType="separate"/>
      </w:r>
      <w:r w:rsidR="00456ABA" w:rsidRPr="00456ABA">
        <w:rPr>
          <w:noProof/>
          <w:vertAlign w:val="superscript"/>
        </w:rPr>
        <w:t>84,85</w:t>
      </w:r>
      <w:r w:rsidRPr="004823BE">
        <w:fldChar w:fldCharType="end"/>
      </w:r>
      <w:r w:rsidRPr="004544A5">
        <w:t xml:space="preserve"> Briefly, explicit hydrogens were added, salts were removed, whereas specific </w:t>
      </w:r>
      <w:proofErr w:type="spellStart"/>
      <w:r w:rsidRPr="004544A5">
        <w:t>chemotypes</w:t>
      </w:r>
      <w:proofErr w:type="spellEnd"/>
      <w:r w:rsidRPr="004544A5">
        <w:t xml:space="preserve"> such as aromatic and nitro groups were normalized using </w:t>
      </w:r>
      <w:proofErr w:type="spellStart"/>
      <w:r w:rsidRPr="004544A5">
        <w:t>ChemAxon</w:t>
      </w:r>
      <w:proofErr w:type="spellEnd"/>
      <w:r w:rsidRPr="004544A5">
        <w:t xml:space="preserve"> Standardizer (v.6.1.2, </w:t>
      </w:r>
      <w:proofErr w:type="spellStart"/>
      <w:r w:rsidRPr="004544A5">
        <w:t>ChemAxon</w:t>
      </w:r>
      <w:proofErr w:type="spellEnd"/>
      <w:r w:rsidRPr="004544A5">
        <w:t>, Budapest, Hungary, http://www.chemaxon.com). Polymers, inorganic salts, organometallic compounds, and mixtures were also removed. In addition, 4</w:t>
      </w:r>
      <w:r w:rsidR="00F30EF4">
        <w:t>,</w:t>
      </w:r>
      <w:r w:rsidRPr="004544A5">
        <w:t xml:space="preserve">437 compounds with multiple </w:t>
      </w:r>
      <w:proofErr w:type="spellStart"/>
      <w:r w:rsidRPr="004544A5">
        <w:rPr>
          <w:i/>
          <w:color w:val="000000"/>
        </w:rPr>
        <w:t>Sm</w:t>
      </w:r>
      <w:r w:rsidRPr="004544A5">
        <w:rPr>
          <w:color w:val="000000"/>
        </w:rPr>
        <w:t>TGR</w:t>
      </w:r>
      <w:proofErr w:type="spellEnd"/>
      <w:r w:rsidRPr="004544A5">
        <w:t xml:space="preserve"> measurements were identified during analyses of duplicates. </w:t>
      </w:r>
      <w:r w:rsidR="000E62CD" w:rsidRPr="004544A5">
        <w:t>Further</w:t>
      </w:r>
      <w:r w:rsidR="007335CE" w:rsidRPr="004544A5">
        <w:t xml:space="preserve"> analysis showed </w:t>
      </w:r>
      <w:r w:rsidRPr="004544A5">
        <w:t>high concordance (99.9%)</w:t>
      </w:r>
      <w:r w:rsidR="000E62CD" w:rsidRPr="004544A5">
        <w:t xml:space="preserve"> of duplicated records</w:t>
      </w:r>
      <w:r w:rsidRPr="004544A5">
        <w:t xml:space="preserve">. In addition, 345 compounds with molecular weight greater than 700 Daltons were removed. In the end, the prepared dataset </w:t>
      </w:r>
      <w:r w:rsidR="000E62CD" w:rsidRPr="004544A5">
        <w:t xml:space="preserve">contained </w:t>
      </w:r>
      <w:r w:rsidRPr="004544A5">
        <w:t>2,854 inhibitors and 337,327 non-inhibitors.</w:t>
      </w:r>
    </w:p>
    <w:p w14:paraId="501DE870" w14:textId="60279D24" w:rsidR="00333E65" w:rsidRPr="004544A5" w:rsidRDefault="00333E65" w:rsidP="00333E65">
      <w:pPr>
        <w:pStyle w:val="TAMainText"/>
      </w:pPr>
      <w:r w:rsidRPr="004544A5">
        <w:rPr>
          <w:b/>
        </w:rPr>
        <w:t>Molecular Fingerprints</w:t>
      </w:r>
      <w:r w:rsidR="001134B9" w:rsidRPr="004544A5">
        <w:rPr>
          <w:b/>
        </w:rPr>
        <w:t xml:space="preserve"> and Descriptors</w:t>
      </w:r>
      <w:r w:rsidRPr="004544A5">
        <w:rPr>
          <w:b/>
        </w:rPr>
        <w:t xml:space="preserve">. </w:t>
      </w:r>
      <w:r w:rsidRPr="004544A5">
        <w:t xml:space="preserve">Three different types of fingerprints were used in this study: </w:t>
      </w:r>
      <w:r w:rsidR="00AD74DD" w:rsidRPr="004544A5">
        <w:t xml:space="preserve">the </w:t>
      </w:r>
      <w:r w:rsidRPr="004544A5">
        <w:t xml:space="preserve">Morgan fingerprint, a </w:t>
      </w:r>
      <w:proofErr w:type="spellStart"/>
      <w:r w:rsidRPr="004544A5">
        <w:t>RDKit</w:t>
      </w:r>
      <w:proofErr w:type="spellEnd"/>
      <w:r w:rsidRPr="004544A5">
        <w:t xml:space="preserve"> implementation</w:t>
      </w:r>
      <w:r w:rsidRPr="004823BE">
        <w:fldChar w:fldCharType="begin" w:fldLock="1"/>
      </w:r>
      <w:r w:rsidR="00BD74F5">
        <w:instrText>ADDIN CSL_CITATION { "citationItems" : [ { "id" : "ITEM-1", "itemData" : { "DOI" : "10.1186/1758-2946-5-26", "ISSN" : "17582946", "PMID" : "23721588", "abstract" : ": Similarity-search methods using molecular fingerprints are an important tool for ligand-based virtual screening. A huge variety of fingerprints exist and their performance, usually assessed in retrospective benchmarking studies using data sets with known actives and known or assumed inactives, depends largely on the validation data sets used and the similarity measure used. Comparing new methods to existing ones in any systematic way is rather difficult due to the lack of standard data sets and evaluation procedures. Here, we present a standard platform for the benchmarking of 2D fingerprints. The open-source platform contains all source code, structural data for the actives and inactives used (drawn from three publicly available collections of data sets), and lists of randomly selected query molecules to be used for statistically valid comparisons of methods. This allows the exact reproduction and comparison of results for future studies. The results for 12 standard fingerprints together with two simple baseline fingerprints assessed by seven evaluation methods are shown together with the correlations between methods. High correlations were found between the 12 fingerprints and a careful statistical analysis showed that only the two baseline fingerprints were different from the others in a statistically significant way. High correlations were also found between six of the seven evaluation methods, indicating that despite their seeming differences, many of these methods are similar to each other.", "author" : [ { "dropping-particle" : "", "family" : "Riniker", "given" : "Sereina", "non-dropping-particle" : "", "parse-names" : false, "suffix" : "" }, { "dropping-particle" : "", "family" : "Landrum", "given" : "Gregory a", "non-dropping-particle" : "", "parse-names" : false, "suffix" : "" } ], "container-title" : "Journal of Cheminformatics", "id" : "ITEM-1", "issue" : "1", "issued" : { "date-parts" : [ [ "2013", "1" ] ] }, "page" : "26", "title" : "Open-source platform to benchmark fingerprints for ligand-based virtual screening", "type" : "article-journal", "volume" : "5" }, "uris" : [ "http://www.mendeley.com/documents/?uuid=c4091280-e1e1-4466-abee-c22f1aeeafe2" ] } ], "mendeley" : { "formattedCitation" : "&lt;sup&gt;38&lt;/sup&gt;", "plainTextFormattedCitation" : "38", "previouslyFormattedCitation" : "&lt;sup&gt;38&lt;/sup&gt;" }, "properties" : { "noteIndex" : 0 }, "schema" : "https://github.com/citation-style-language/schema/raw/master/csl-citation.json" }</w:instrText>
      </w:r>
      <w:r w:rsidRPr="004823BE">
        <w:fldChar w:fldCharType="separate"/>
      </w:r>
      <w:r w:rsidR="00AC76A7" w:rsidRPr="004544A5">
        <w:rPr>
          <w:noProof/>
          <w:vertAlign w:val="superscript"/>
        </w:rPr>
        <w:t>38</w:t>
      </w:r>
      <w:r w:rsidRPr="004823BE">
        <w:fldChar w:fldCharType="end"/>
      </w:r>
      <w:r w:rsidRPr="004544A5">
        <w:t xml:space="preserve"> of the extended-connectivity fingerprints,</w:t>
      </w:r>
      <w:r w:rsidRPr="004823BE">
        <w:fldChar w:fldCharType="begin" w:fldLock="1"/>
      </w:r>
      <w:r w:rsidR="00BD74F5">
        <w:instrText>ADDIN CSL_CITATION { "citationItems" : [ { "id" : "ITEM-1", "itemData" : { "DOI" : "10.1021/ci100050t", "ISBN" : "1549-9596", "ISSN" : "15499596", "PMID" : "20426451", "abstract" : "Extended-connectivity fingerprints (ECFPs) are a novel class of topological fingerprints for molecular characterization. Historically, topological fingerprints were developed for substructure and similarity searching. ECFPs were developed specifically for structure-activity modeling. ECFPs are circular fingerprints with a number of useful qualities: they can be very rapidly calculated; they are not predefined and can represent an essentially infinite number of different molecular features (including stereochemical information); their features represent the presence of particular substructures, allowing easier interpretation of analysis results; and the ECFP algorithm can be tailored to generate different types of circular fingerprints, optimized for different uses. While the use of ECFPs has been widely adopted and validated, a description of their implementation has not previously been presented in the literature.", "author" : [ { "dropping-particle" : "", "family" : "Rogers", "given" : "David", "non-dropping-particle" : "", "parse-names" : false, "suffix" : "" }, { "dropping-particle" : "", "family" : "Hahn", "given" : "Mathew", "non-dropping-particle" : "", "parse-names" : false, "suffix" : "" } ], "container-title" : "Journal of Chemical Information and Modeling", "id" : "ITEM-1", "issue" : "5", "issued" : { "date-parts" : [ [ "2010" ] ] }, "page" : "742-754", "title" : "Extended-connectivity fingerprints", "type" : "article-journal", "volume" : "50" }, "uris" : [ "http://www.mendeley.com/documents/?uuid=c06b8fb2-2722-46be-938e-d49393b01a51" ] } ], "mendeley" : { "formattedCitation" : "&lt;sup&gt;42&lt;/sup&gt;", "plainTextFormattedCitation" : "42", "previouslyFormattedCitation" : "&lt;sup&gt;42&lt;/sup&gt;" }, "properties" : { "noteIndex" : 0 }, "schema" : "https://github.com/citation-style-language/schema/raw/master/csl-citation.json" }</w:instrText>
      </w:r>
      <w:r w:rsidRPr="004823BE">
        <w:fldChar w:fldCharType="separate"/>
      </w:r>
      <w:r w:rsidR="00AC76A7" w:rsidRPr="004544A5">
        <w:rPr>
          <w:noProof/>
          <w:vertAlign w:val="superscript"/>
        </w:rPr>
        <w:t>42</w:t>
      </w:r>
      <w:r w:rsidRPr="004823BE">
        <w:fldChar w:fldCharType="end"/>
      </w:r>
      <w:r w:rsidRPr="004544A5">
        <w:t xml:space="preserve"> with radius of 2 and bit vector of 1024 bits; the molecular access system (MACCS) structural key finge</w:t>
      </w:r>
      <w:r w:rsidR="00AD74DD" w:rsidRPr="004544A5">
        <w:t>r</w:t>
      </w:r>
      <w:r w:rsidRPr="004544A5">
        <w:t>prints;</w:t>
      </w:r>
      <w:r w:rsidRPr="004823BE">
        <w:fldChar w:fldCharType="begin" w:fldLock="1"/>
      </w:r>
      <w:r w:rsidR="00BD74F5">
        <w:instrText>ADDIN CSL_CITATION { "citationItems" : [ { "id" : "ITEM-1", "itemData" : { "author" : [ { "dropping-particle" : "", "family" : "Dill", "given" : "J. D.;", "non-dropping-particle" : "", "parse-names" : false, "suffix" : "" }, { "dropping-particle" : "", "family" : "Hounshell", "given" : "W. D.;", "non-dropping-particle" : "", "parse-names" : false, "suffix" : "" }, { "dropping-particle" : "", "family" : "Marson", "given" : "S.;", "non-dropping-particle" : "", "parse-names" : false, "suffix" : "" }, { "dropping-particle" : "", "family" : "Peacock", "given" : "S.;", "non-dropping-particle" : "", "parse-names" : false, "suffix" : "" }, { "dropping-particle" : "", "family" : "Wipke", "given" : "W. T.", "non-dropping-particle" : "", "parse-names" : false, "suffix" : "" } ], "container-title" : "182nd National Meeting of the American Chemical Society", "id" : "ITEM-1", "issued" : { "date-parts" : [ [ "1981" ] ] }, "page" : "23-28", "publisher-place" : "New York", "title" : "Search and Retrieval Using an Automated Molecular Access System", "type" : "paper-conference" }, "uris" : [ "http://www.mendeley.com/documents/?uuid=35679d1c-7253-4868-82f1-ec6bced03706", "http://www.mendeley.com/documents/?uuid=70f68b4e-80dc-4593-af6c-d4c59f2f14da", "http://www.mendeley.com/documents/?uuid=c7fc490e-ac4e-49e7-b940-255a6cb1885d", "http://www.mendeley.com/documents/?uuid=264c327e-9c5c-40f0-9400-42052dddcb43" ] }, { "id" : "ITEM-2", "itemData" : { "DOI" : "10.1016/0263-7855(84)80060-0", "ISSN" : "02637855", "author" : [ { "dropping-particle" : "", "family" : "Anderson", "given" : "Susan", "non-dropping-particle" : "", "parse-names" : false, "suffix" : "" } ], "container-title" : "Journal of Molecular Graphics", "id" : "ITEM-2", "issue" : "3", "issued" : { "date-parts" : [ [ "1984" ] ] }, "page" : "83-90", "title" : "Graphical representation of molecules and substructure-search queries in MACCStm", "type" : "article", "volume" : "2" }, "uris" : [ "http://www.mendeley.com/documents/?uuid=8f97142d-afce-4367-a027-a10ce8ef6065", "http://www.mendeley.com/documents/?uuid=4493ef4d-cf78-4d49-889d-4cf610a80e40", "http://www.mendeley.com/documents/?uuid=7ff6b653-57e5-4bd3-95bc-a07ddfa4d067", "http://www.mendeley.com/documents/?uuid=8c6a87df-a8ee-46ec-9153-276e9bfca93d", "http://www.mendeley.com/documents/?uuid=cf779eb9-2163-4646-9f1e-c08469ea1073" ] }, { "id" : "ITEM-3", "itemData" : { "DOI" : "10.1021/ci010132r", "ISBN" : "0095-2338", "ISSN" : "00952338", "PMID" : "12444722", "abstract" : "For a number of years MDL products have exposed both 166 bit and 960 bit keysets based on 2D descriptors. These keysets were originally constructed and optimized for substructure searching. We report on improvements in the performance of MDL keysets which are reoptimized for use in molecular similarity. Classification performance for a test data set of 957 compounds was increased from 0.65 for the 166 bit keyset and 0.67 for the 960 bit keyset to 0.71 for a surprisal S/N pruned keyset containing 208 bits and 0.71 for a genetic algorithm optimized keyset containing 548 bits. We present an overview of the underlying technology supporting the definition of descriptors and the encoding of these descriptors into keysets. This technology allows definition of descriptors as combinations of atom properties, bond properties, and atomic neighborhoods at various topological separations as well as supporting a number of custom descriptors. These descriptors can then be used to set one or more bits in a keyset. We constructed various keysets and optimized their performance in clustering bioactive substances. Performance was measured using methodology developed by Briem and Lessel. \"Directed pruning\" was carried out by eliminating bits from the keysets on the basis of random selection, values of the surprisal of the bit, or values of the surprisal S/N ratio of the bit. The random pruning experiment highlighted the insensitivity of keyset performance for keyset lengths of more than 1000 bits. Contrary to initial expectations, pruning on the basis of the surprisal values of the various bits resulted in keysets which underperformed those resulting from random pruning. In contrast, pruning on the basis of the surprisal S/N ratio was found to yield keysets which performed better than those resulting from random pruning. We also explored the use of genetic algorithms in the selection of optimal keysets. Once more the performance was only a weak function of keyset size, and the optimizations failed to identify a single globally optimal keyset. Instead multiple, equally optimal keysets could be produced which had relatively low overlap of the descriptors they encoded.", "author" : [ { "dropping-particle" : "", "family" : "Durant", "given" : "Joseph L.", "non-dropping-particle" : "", "parse-names" : false, "suffix" : "" }, { "dropping-particle" : "", "family" : "Leland", "given" : "Burton A.", "non-dropping-particle" : "", "parse-names" : false, "suffix" : "" }, { "dropping-particle" : "", "family" : "Henry", "given" : "Douglas R.", "non-dropping-particle" : "", "parse-names" : false, "suffix" : "" }, { "dropping-particle" : "", "family" : "Nourse", "given" : "James G.", "non-dropping-particle" : "", "parse-names" : false, "suffix" : "" } ], "container-title" : "Journal of Chemical Information and Computer Sciences", "id" : "ITEM-3", "issue" : "6", "issued" : { "date-parts" : [ [ "2002" ] ] }, "page" : "1273-1280", "title" : "Reoptimization of MDL keys for use in drug discovery", "type" : "article-journal", "volume" : "42" }, "uris" : [ "http://www.mendeley.com/documents/?uuid=18db6b89-57be-499d-bfae-0905b330cacf" ] } ], "mendeley" : { "formattedCitation" : "&lt;sup&gt;39\u201341&lt;/sup&gt;", "plainTextFormattedCitation" : "39\u201341", "previouslyFormattedCitation" : "&lt;sup&gt;39\u201341&lt;/sup&gt;" }, "properties" : { "noteIndex" : 0 }, "schema" : "https://github.com/citation-style-language/schema/raw/master/csl-citation.json" }</w:instrText>
      </w:r>
      <w:r w:rsidRPr="004823BE">
        <w:fldChar w:fldCharType="separate"/>
      </w:r>
      <w:r w:rsidR="00AC76A7" w:rsidRPr="004544A5">
        <w:rPr>
          <w:noProof/>
          <w:vertAlign w:val="superscript"/>
        </w:rPr>
        <w:t>39–41</w:t>
      </w:r>
      <w:r w:rsidRPr="004823BE">
        <w:fldChar w:fldCharType="end"/>
      </w:r>
      <w:r w:rsidRPr="004544A5">
        <w:t xml:space="preserve"> and </w:t>
      </w:r>
      <w:r w:rsidR="00AD74DD" w:rsidRPr="004544A5">
        <w:t xml:space="preserve">the </w:t>
      </w:r>
      <w:proofErr w:type="spellStart"/>
      <w:r w:rsidRPr="004544A5">
        <w:t>AtomPair</w:t>
      </w:r>
      <w:proofErr w:type="spellEnd"/>
      <w:r w:rsidRPr="004544A5">
        <w:t xml:space="preserve"> fingerprints (</w:t>
      </w:r>
      <w:proofErr w:type="spellStart"/>
      <w:r w:rsidRPr="004544A5">
        <w:t>RDKit</w:t>
      </w:r>
      <w:proofErr w:type="spellEnd"/>
      <w:r w:rsidRPr="004544A5">
        <w:t xml:space="preserve"> implementation</w:t>
      </w:r>
      <w:r w:rsidRPr="004823BE">
        <w:fldChar w:fldCharType="begin" w:fldLock="1"/>
      </w:r>
      <w:r w:rsidR="00BD74F5">
        <w:instrText>ADDIN CSL_CITATION { "citationItems" : [ { "id" : "ITEM-1", "itemData" : { "DOI" : "10.1186/1758-2946-5-26", "ISSN" : "17582946", "PMID" : "23721588", "abstract" : ": Similarity-search methods using molecular fingerprints are an important tool for ligand-based virtual screening. A huge variety of fingerprints exist and their performance, usually assessed in retrospective benchmarking studies using data sets with known actives and known or assumed inactives, depends largely on the validation data sets used and the similarity measure used. Comparing new methods to existing ones in any systematic way is rather difficult due to the lack of standard data sets and evaluation procedures. Here, we present a standard platform for the benchmarking of 2D fingerprints. The open-source platform contains all source code, structural data for the actives and inactives used (drawn from three publicly available collections of data sets), and lists of randomly selected query molecules to be used for statistically valid comparisons of methods. This allows the exact reproduction and comparison of results for future studies. The results for 12 standard fingerprints together with two simple baseline fingerprints assessed by seven evaluation methods are shown together with the correlations between methods. High correlations were found between the 12 fingerprints and a careful statistical analysis showed that only the two baseline fingerprints were different from the others in a statistically significant way. High correlations were also found between six of the seven evaluation methods, indicating that despite their seeming differences, many of these methods are similar to each other.", "author" : [ { "dropping-particle" : "", "family" : "Riniker", "given" : "Sereina", "non-dropping-particle" : "", "parse-names" : false, "suffix" : "" }, { "dropping-particle" : "", "family" : "Landrum", "given" : "Gregory a", "non-dropping-particle" : "", "parse-names" : false, "suffix" : "" } ], "container-title" : "Journal of Cheminformatics", "id" : "ITEM-1", "issue" : "1", "issued" : { "date-parts" : [ [ "2013", "1" ] ] }, "page" : "26", "title" : "Open-source platform to benchmark fingerprints for ligand-based virtual screening", "type" : "article-journal", "volume" : "5" }, "uris" : [ "http://www.mendeley.com/documents/?uuid=c4091280-e1e1-4466-abee-c22f1aeeafe2" ] } ], "mendeley" : { "formattedCitation" : "&lt;sup&gt;38&lt;/sup&gt;", "plainTextFormattedCitation" : "38", "previouslyFormattedCitation" : "&lt;sup&gt;38&lt;/sup&gt;" }, "properties" : { "noteIndex" : 0 }, "schema" : "https://github.com/citation-style-language/schema/raw/master/csl-citation.json" }</w:instrText>
      </w:r>
      <w:r w:rsidRPr="004823BE">
        <w:fldChar w:fldCharType="separate"/>
      </w:r>
      <w:r w:rsidR="00AC76A7" w:rsidRPr="004544A5">
        <w:rPr>
          <w:noProof/>
          <w:vertAlign w:val="superscript"/>
        </w:rPr>
        <w:t>38</w:t>
      </w:r>
      <w:r w:rsidRPr="004823BE">
        <w:fldChar w:fldCharType="end"/>
      </w:r>
      <w:r w:rsidRPr="004544A5">
        <w:t xml:space="preserve"> of the </w:t>
      </w:r>
      <w:proofErr w:type="spellStart"/>
      <w:r w:rsidRPr="004544A5">
        <w:t>Carhart’s</w:t>
      </w:r>
      <w:proofErr w:type="spellEnd"/>
      <w:r w:rsidRPr="004544A5">
        <w:t xml:space="preserve"> atom pairs)</w:t>
      </w:r>
      <w:r w:rsidRPr="004823BE">
        <w:fldChar w:fldCharType="begin" w:fldLock="1"/>
      </w:r>
      <w:r w:rsidR="00A439B6" w:rsidRPr="004544A5">
        <w:instrText>ADDIN CSL_CITATION { "citationItems" : [ { "id" : "ITEM-1", "itemData" : { "DOI" : "10.1021/ci00046a002", "ISBN" : "1549-9596", "ISSN" : "1549-9596", "abstract" : "no abstract", "author" : [ { "dropping-particle" : "", "family" : "Carhart", "given" : "Raymond E", "non-dropping-particle" : "", "parse-names" : false, "suffix" : "" }, { "dropping-particle" : "", "family" : "Smith", "given" : "Dennis H", "non-dropping-particle" : "", "parse-names" : false, "suffix" : "" }, { "dropping-particle" : "", "family" : "Venkataraghavan", "given" : "R", "non-dropping-particle" : "", "parse-names" : false, "suffix" : "" } ], "container-title" : "Journal of Chemical Information and Computer Science", "id" : "ITEM-1", "issue" : "4", "issued" : { "date-parts" : [ [ "1985" ] ] }, "page" : "64-73", "title" : "Atom pairs as molecular features in structure-activity studies: definition and applications", "type" : "article-journal", "volume" : "25" }, "uris" : [ "http://www.mendeley.com/documents/?uuid=549f2bd7-695e-4ca0-869b-b558e589cd39", "http://www.mendeley.com/documents/?uuid=2928a259-85a4-4f07-bf9f-332b230d5167" ] } ], "mendeley" : { "formattedCitation" : "&lt;sup&gt;37&lt;/sup&gt;", "plainTextFormattedCitation" : "37", "previouslyFormattedCitation" : "&lt;sup&gt;37&lt;/sup&gt;" }, "properties" : { "noteIndex" : 0 }, "schema" : "https://github.com/citation-style-language/schema/raw/master/csl-citation.json" }</w:instrText>
      </w:r>
      <w:r w:rsidRPr="004823BE">
        <w:fldChar w:fldCharType="separate"/>
      </w:r>
      <w:r w:rsidR="00AC76A7" w:rsidRPr="004544A5">
        <w:rPr>
          <w:noProof/>
          <w:vertAlign w:val="superscript"/>
        </w:rPr>
        <w:t>37</w:t>
      </w:r>
      <w:r w:rsidRPr="004823BE">
        <w:fldChar w:fldCharType="end"/>
      </w:r>
      <w:r w:rsidRPr="004544A5">
        <w:t xml:space="preserve"> with bit vector of 1024 bits. All the fingerprints were calculated by the open-source </w:t>
      </w:r>
      <w:r w:rsidR="00472F14" w:rsidRPr="004544A5">
        <w:t>cheminformatics</w:t>
      </w:r>
      <w:r w:rsidRPr="004544A5">
        <w:t xml:space="preserve"> toolkit </w:t>
      </w:r>
      <w:proofErr w:type="spellStart"/>
      <w:r w:rsidRPr="004544A5">
        <w:t>RDKit</w:t>
      </w:r>
      <w:proofErr w:type="spellEnd"/>
      <w:r w:rsidRPr="004544A5">
        <w:t xml:space="preserve"> v.2.4.0.</w:t>
      </w:r>
      <w:r w:rsidRPr="004823BE">
        <w:fldChar w:fldCharType="begin" w:fldLock="1"/>
      </w:r>
      <w:r w:rsidR="00456ABA">
        <w:instrText>ADDIN CSL_CITATION { "citationItems" : [ { "id" : "ITEM-1", "itemData" : { "author" : [ { "dropping-particle" : "", "family" : "Landrum", "given" : "Gregory", "non-dropping-particle" : "", "parse-names" : false, "suffix" : "" } ], "id" : "ITEM-1", "issued" : { "date-parts" : [ [ "2014" ] ] }, "note" : "From Duplicate 2 ( OEDocking version 3.0.0. OpenEye Scientific Software, Inc., Santa Fe, NM, USA, http://www.eyesopen.com, - )\nAnd Duplicate 3 ( BROOD version 2.0. OpenEye Scientific Software, Inc., Santa Fe, NM, USA, http://www.eyesopen.com, - )\n", "page" : "http://www.rdkit.org/", "title" : "RDKit: Open-source cheminformatics", "type" : "article" }, "uris" : [ "http://www.mendeley.com/documents/?uuid=3b9e1514-3e33-456c-93f2-eb5f7659fd75" ] } ], "mendeley" : { "formattedCitation" : "&lt;sup&gt;86&lt;/sup&gt;", "plainTextFormattedCitation" : "86", "previouslyFormattedCitation" : "&lt;sup&gt;86&lt;/sup&gt;" }, "properties" : { "noteIndex" : 0 }, "schema" : "https://github.com/citation-style-language/schema/raw/master/csl-citation.json" }</w:instrText>
      </w:r>
      <w:r w:rsidRPr="004823BE">
        <w:fldChar w:fldCharType="separate"/>
      </w:r>
      <w:r w:rsidR="00456ABA" w:rsidRPr="00456ABA">
        <w:rPr>
          <w:noProof/>
          <w:vertAlign w:val="superscript"/>
        </w:rPr>
        <w:t>86</w:t>
      </w:r>
      <w:r w:rsidRPr="004823BE">
        <w:fldChar w:fldCharType="end"/>
      </w:r>
      <w:r w:rsidRPr="004544A5">
        <w:t xml:space="preserve"> A brief description of Morgan, </w:t>
      </w:r>
      <w:proofErr w:type="spellStart"/>
      <w:r w:rsidRPr="004544A5">
        <w:t>AtomPair</w:t>
      </w:r>
      <w:proofErr w:type="spellEnd"/>
      <w:r w:rsidRPr="004544A5">
        <w:t xml:space="preserve"> and MACCS fingerprints is available in</w:t>
      </w:r>
      <w:r w:rsidR="00673410" w:rsidRPr="004544A5">
        <w:t xml:space="preserve"> Supporting Information</w:t>
      </w:r>
      <w:r w:rsidRPr="004544A5">
        <w:t>.</w:t>
      </w:r>
    </w:p>
    <w:p w14:paraId="266AECC7" w14:textId="43104168" w:rsidR="00333E65" w:rsidRPr="004544A5" w:rsidRDefault="00AD74DD" w:rsidP="00333E65">
      <w:pPr>
        <w:pStyle w:val="TAMainText"/>
      </w:pPr>
      <w:r w:rsidRPr="004544A5">
        <w:t xml:space="preserve">The </w:t>
      </w:r>
      <w:r w:rsidR="00333E65" w:rsidRPr="004544A5">
        <w:t>Chemistry Development Kit (CDK, v.1.4.19, GNU Lesser General Public License) descriptors and 0</w:t>
      </w:r>
      <w:r w:rsidR="000E62CD" w:rsidRPr="004544A5">
        <w:t>-</w:t>
      </w:r>
      <w:r w:rsidR="00333E65" w:rsidRPr="004544A5">
        <w:t xml:space="preserve">2D descriptors were calculated using </w:t>
      </w:r>
      <w:r w:rsidRPr="004544A5">
        <w:t xml:space="preserve">the </w:t>
      </w:r>
      <w:proofErr w:type="spellStart"/>
      <w:r w:rsidR="00333E65" w:rsidRPr="004544A5">
        <w:t>PaDEL</w:t>
      </w:r>
      <w:proofErr w:type="spellEnd"/>
      <w:r w:rsidR="00333E65" w:rsidRPr="004544A5">
        <w:t xml:space="preserve">-Descriptor </w:t>
      </w:r>
      <w:r w:rsidR="00ED1CF4" w:rsidRPr="004544A5">
        <w:t>program</w:t>
      </w:r>
      <w:r w:rsidR="00ED1CF4" w:rsidRPr="004823BE">
        <w:fldChar w:fldCharType="begin" w:fldLock="1"/>
      </w:r>
      <w:r w:rsidR="00BD74F5">
        <w:instrText>ADDIN CSL_CITATION { "citationItems" : [ { "id" : "ITEM-1", "itemData" : { "DOI" : "10.1002/jcc.21707", "ISSN" : "1096-987X", "PMID" : "21425294", "abstract" : "INTRODUCTION: PaDEL-Descriptor is a software for calculating molecular descriptors and fingerprints. The software currently calculates 797 descriptors (663 1D, 2D descriptors, and 134 3D descriptors) and 10 types of fingerprints. These descriptors and fingerprints are calculated mainly using The Chemistry Development Kit. Some additional descriptors and fingerprints were added, which include atom type electrotopological state descriptors, McGowan volume, molecular linear free energy relation descriptors, ring counts, count of chemical substructures identified by Laggner, and binary fingerprints and count of chemical substructures identified by Klekota and Roth. METHODS: PaDEL-Descriptor was developed using the Java language and consists of a library component and an interface component. The library component allows it to be easily integrated into quantitative structure activity relationship software to provide the descriptor calculation feature while the interface component allows it to be used as a standalone software. The software uses a Master/Worker pattern to take advantage of the multiple CPU cores that are present in most modern computers to speed up calculations of molecular descriptors. RESULTS: The software has several advantages over existing standalone molecular descriptor calculation software. It is free and open source, has both graphical user interface and command line interfaces, can work on all major platforms (Windows, Linux, MacOS), supports more than 90 different molecular file formats, and is multithreaded. CONCLUSION: PaDEL-Descriptor is a useful addition to the currently available molecular descriptor calculation software. The software can be downloaded at http://padel.nus.edu.sg/software/padeldescriptor.", "author" : [ { "dropping-particle" : "", "family" : "Yap", "given" : "Chun Wei", "non-dropping-particle" : "", "parse-names" : false, "suffix" : "" } ], "container-title" : "Journal of computational chemistry", "id" : "ITEM-1", "issue" : "7", "issued" : { "date-parts" : [ [ "2011", "5" ] ] }, "page" : "1466-74", "title" : "PaDEL-descriptor: an open source software to calculate molecular descriptors and fingerprints.", "type" : "article-journal", "volume" : "32" }, "uris" : [ "http://www.mendeley.com/documents/?uuid=056efbb3-f320-46d4-9bf9-633b1ac82cf2", "http://www.mendeley.com/documents/?uuid=e246e611-dafc-4c86-a4ea-ddfed63255aa" ] } ], "mendeley" : { "formattedCitation" : "&lt;sup&gt;43&lt;/sup&gt;", "plainTextFormattedCitation" : "43", "previouslyFormattedCitation" : "&lt;sup&gt;43&lt;/sup&gt;" }, "properties" : { "noteIndex" : 0 }, "schema" : "https://github.com/citation-style-language/schema/raw/master/csl-citation.json" }</w:instrText>
      </w:r>
      <w:r w:rsidR="00ED1CF4" w:rsidRPr="004823BE">
        <w:fldChar w:fldCharType="separate"/>
      </w:r>
      <w:r w:rsidR="00AC76A7" w:rsidRPr="004544A5">
        <w:rPr>
          <w:noProof/>
          <w:vertAlign w:val="superscript"/>
        </w:rPr>
        <w:t>43</w:t>
      </w:r>
      <w:r w:rsidR="00ED1CF4" w:rsidRPr="004823BE">
        <w:fldChar w:fldCharType="end"/>
      </w:r>
      <w:r w:rsidR="00333E65" w:rsidRPr="004544A5">
        <w:t xml:space="preserve"> and DRAGON (v.5.5, </w:t>
      </w:r>
      <w:proofErr w:type="spellStart"/>
      <w:r w:rsidR="00333E65" w:rsidRPr="004544A5">
        <w:t>Talete</w:t>
      </w:r>
      <w:proofErr w:type="spellEnd"/>
      <w:r w:rsidR="00333E65" w:rsidRPr="004544A5">
        <w:t xml:space="preserve"> SRL, Milan, Italy) programs, respectively. The complete list of CDK descriptors and a detailed discussion for DRAGON descriptors can be found elsewhere.</w:t>
      </w:r>
      <w:r w:rsidR="00333E65" w:rsidRPr="004823BE">
        <w:fldChar w:fldCharType="begin" w:fldLock="1"/>
      </w:r>
      <w:r w:rsidR="00BD74F5">
        <w:instrText>ADDIN CSL_CITATION { "citationItems" : [ { "id" : "ITEM-1", "itemData" : { "id" : "ITEM-1", "issued" : { "date-parts" : [ [ "0" ] ] }, "title" : "PaDEL-Descriptor. http://padel.nus.edu.sg/software/padeldescriptor/ (accessed January 5, 2015)", "type" : "article-journal" }, "uris" : [ "http://www.mendeley.com/documents/?uuid=6dd69b8b-b338-4c56-97ee-185175b28328", "http://www.mendeley.com/documents/?uuid=41215349-0809-42d4-9727-e8a547e5cb80", "http://www.mendeley.com/documents/?uuid=23fa7d99-faad-4c57-9a41-aeefa2cee097" ] }, { "id" : "ITEM-2", "itemData" : { "DOI" : "10.1002/9783527613106", "ISBN" : "9783527613106", "author" : [ { "dropping-particle" : "", "family" : "Todeschini", "given" : "Roberto", "non-dropping-particle" : "", "parse-names" : false, "suffix" : "" }, { "dropping-particle" : "", "family" : "Consonni", "given" : "Viviana", "non-dropping-particle" : "", "parse-names" : false, "suffix" : "" } ], "collection-title" : "Methods and Principles in Medicinal Chemistry", "edition" : "1", "editor" : [ { "dropping-particle" : "", "family" : "Todeschini", "given" : "Roberto", "non-dropping-particle" : "", "parse-names" : false, "suffix" : "" }, { "dropping-particle" : "", "family" : "Consonni", "given" : "Viviana", "non-dropping-particle" : "", "parse-names" : false, "suffix" : "" } ], "id" : "ITEM-2", "issued" : { "date-parts" : [ [ "2000", "9", "22" ] ] }, "publisher" : "Wiley-VCH Verlag GmbH", "publisher-place" : "Weinheim, Germany", "title" : "Handbook of Molecular Descriptors", "type" : "book" }, "uris" : [ "http://www.mendeley.com/documents/?uuid=ae1e09a1-643e-48b4-8a3d-42ad83c6be40" ] } ], "mendeley" : { "formattedCitation" : "&lt;sup&gt;44,45&lt;/sup&gt;", "plainTextFormattedCitation" : "44,45", "previouslyFormattedCitation" : "&lt;sup&gt;44,45&lt;/sup&gt;" }, "properties" : { "noteIndex" : 0 }, "schema" : "https://github.com/citation-style-language/schema/raw/master/csl-citation.json" }</w:instrText>
      </w:r>
      <w:r w:rsidR="00333E65" w:rsidRPr="004823BE">
        <w:fldChar w:fldCharType="separate"/>
      </w:r>
      <w:r w:rsidR="00AC76A7" w:rsidRPr="004544A5">
        <w:rPr>
          <w:noProof/>
          <w:vertAlign w:val="superscript"/>
        </w:rPr>
        <w:t>44,45</w:t>
      </w:r>
      <w:r w:rsidR="00333E65" w:rsidRPr="004823BE">
        <w:fldChar w:fldCharType="end"/>
      </w:r>
      <w:r w:rsidR="00333E65" w:rsidRPr="004544A5">
        <w:t xml:space="preserve"> </w:t>
      </w:r>
      <w:r w:rsidRPr="004544A5">
        <w:t>T</w:t>
      </w:r>
      <w:r w:rsidR="00333E65" w:rsidRPr="004544A5">
        <w:t>he descriptor</w:t>
      </w:r>
      <w:r w:rsidR="00C55AE3" w:rsidRPr="004544A5">
        <w:t>s</w:t>
      </w:r>
      <w:r w:rsidR="00333E65" w:rsidRPr="004544A5">
        <w:t xml:space="preserve"> matrix was </w:t>
      </w:r>
      <w:r w:rsidRPr="004544A5">
        <w:t xml:space="preserve">then </w:t>
      </w:r>
      <w:r w:rsidR="00333E65" w:rsidRPr="004544A5">
        <w:t xml:space="preserve">normalized and </w:t>
      </w:r>
      <w:r w:rsidR="000E62CD" w:rsidRPr="004544A5">
        <w:t>constant/near constant and highly correlated (</w:t>
      </w:r>
      <w:r w:rsidR="000E62CD" w:rsidRPr="004544A5">
        <w:rPr>
          <w:rFonts w:cs="Times"/>
        </w:rPr>
        <w:t xml:space="preserve">r ≥ 0.9) </w:t>
      </w:r>
      <w:r w:rsidR="00333E65" w:rsidRPr="004544A5">
        <w:t>descriptors were removed.</w:t>
      </w:r>
    </w:p>
    <w:p w14:paraId="6F0A4AD5" w14:textId="4B3A1F9A" w:rsidR="00333E65" w:rsidRPr="004544A5" w:rsidRDefault="001134B9" w:rsidP="00333E65">
      <w:pPr>
        <w:pStyle w:val="TAMainText"/>
      </w:pPr>
      <w:r w:rsidRPr="004544A5">
        <w:rPr>
          <w:b/>
        </w:rPr>
        <w:lastRenderedPageBreak/>
        <w:t>Dataset analysis and under-sampling</w:t>
      </w:r>
      <w:r w:rsidR="00333E65" w:rsidRPr="004544A5">
        <w:rPr>
          <w:b/>
        </w:rPr>
        <w:t xml:space="preserve">. </w:t>
      </w:r>
      <w:r w:rsidR="00333E65" w:rsidRPr="004544A5">
        <w:t xml:space="preserve">Because the original library was highly unbalanced (2,854 inhibitors and 337,327 non-inhibitors), </w:t>
      </w:r>
      <w:r w:rsidR="000E62CD" w:rsidRPr="004544A5">
        <w:t>it is</w:t>
      </w:r>
      <w:r w:rsidR="000A412A" w:rsidRPr="004544A5">
        <w:t xml:space="preserve"> not recommend</w:t>
      </w:r>
      <w:r w:rsidR="000E62CD" w:rsidRPr="004544A5">
        <w:t>ed</w:t>
      </w:r>
      <w:r w:rsidR="000A412A" w:rsidRPr="004544A5">
        <w:t xml:space="preserve"> building</w:t>
      </w:r>
      <w:r w:rsidR="000A412A" w:rsidRPr="004544A5" w:rsidDel="000A412A">
        <w:t xml:space="preserve"> </w:t>
      </w:r>
      <w:r w:rsidR="00333E65" w:rsidRPr="004544A5">
        <w:t xml:space="preserve">binary QSAR models for the entire data set. </w:t>
      </w:r>
      <w:r w:rsidR="000E62CD" w:rsidRPr="004544A5">
        <w:t>Thus, we decided to balance the dataset.</w:t>
      </w:r>
      <w:r w:rsidR="00333E65" w:rsidRPr="004544A5">
        <w:t xml:space="preserve"> Unlike the traditional under-sampling methods which randomly balance the dataset, our linear under-sampling strategy retains most </w:t>
      </w:r>
      <w:r w:rsidR="00CA676A" w:rsidRPr="004544A5">
        <w:t xml:space="preserve">of the </w:t>
      </w:r>
      <w:r w:rsidR="00333E65" w:rsidRPr="004544A5">
        <w:t xml:space="preserve">representative structures of </w:t>
      </w:r>
      <w:r w:rsidR="00CA676A" w:rsidRPr="004544A5">
        <w:t xml:space="preserve">the </w:t>
      </w:r>
      <w:r w:rsidR="00333E65" w:rsidRPr="004544A5">
        <w:t xml:space="preserve">non-inhibitors set, thus ensuring </w:t>
      </w:r>
      <w:r w:rsidR="000E62CD" w:rsidRPr="004544A5">
        <w:t xml:space="preserve">as high as possible coverage </w:t>
      </w:r>
      <w:r w:rsidR="00333E65" w:rsidRPr="004544A5">
        <w:t xml:space="preserve">of original chemical space. The basic principle here is to measure the whole inhibitors matrix represented by the MACCS key fingerprints evaluating the Euclidean distance to the MACCS key fingerprints of each non-inhibitor using </w:t>
      </w:r>
      <w:r w:rsidR="00CA676A" w:rsidRPr="004544A5">
        <w:t xml:space="preserve">a </w:t>
      </w:r>
      <w:proofErr w:type="spellStart"/>
      <w:r w:rsidR="00333E65" w:rsidRPr="004544A5">
        <w:rPr>
          <w:i/>
        </w:rPr>
        <w:t>k</w:t>
      </w:r>
      <w:r w:rsidR="00333E65" w:rsidRPr="004544A5">
        <w:t>NN</w:t>
      </w:r>
      <w:proofErr w:type="spellEnd"/>
      <w:r w:rsidR="00333E65" w:rsidRPr="004544A5">
        <w:t xml:space="preserve"> method,</w:t>
      </w:r>
      <w:r w:rsidR="00333E65" w:rsidRPr="004823BE">
        <w:fldChar w:fldCharType="begin" w:fldLock="1"/>
      </w:r>
      <w:r w:rsidR="00456ABA">
        <w:instrText>ADDIN CSL_CITATION { "citationItems" : [ { "id" : "ITEM-1", "itemData" : { "DOI" : "10.1080/00031305.1992.10475879", "ISSN" : "0003-1305", "abstract" : "Nonparametric regression is a set of techniques for es- timating a regression curve without making strong as- sumptions about the shape of the true regression func- tion. These techniques are therefore useful for building and checking parametric models, as well as for data description. Kernel and nearest-neighbor regression es- timators are local versions of univariate location esti- mators, and so they can readily be introduced to be- ginning students and consulting clients who are familiar with such summaries as the sample mean and median.", "author" : [ { "dropping-particle" : "", "family" : "Altman", "given" : "NS", "non-dropping-particle" : "", "parse-names" : false, "suffix" : "" } ], "container-title" : "The American Statistician", "id" : "ITEM-1", "issue" : "3", "issued" : { "date-parts" : [ [ "1992" ] ] }, "page" : "175-185", "title" : "An introduction to kernel and nearest-neighbor nonparametric regression", "type" : "article-journal", "volume" : "46" }, "uris" : [ "http://www.mendeley.com/documents/?uuid=14dd9fd2-2245-41b1-8130-fa9a842c27ba", "http://www.mendeley.com/documents/?uuid=2fb19a90-8800-4b96-83e9-94c70a9d4ffd", "http://www.mendeley.com/documents/?uuid=ba925b29-f32b-4ece-a273-7c80c456833d" ] } ], "mendeley" : { "formattedCitation" : "&lt;sup&gt;87&lt;/sup&gt;", "plainTextFormattedCitation" : "87", "previouslyFormattedCitation" : "&lt;sup&gt;87&lt;/sup&gt;" }, "properties" : { "noteIndex" : 0 }, "schema" : "https://github.com/citation-style-language/schema/raw/master/csl-citation.json" }</w:instrText>
      </w:r>
      <w:r w:rsidR="00333E65" w:rsidRPr="004823BE">
        <w:fldChar w:fldCharType="separate"/>
      </w:r>
      <w:r w:rsidR="00456ABA" w:rsidRPr="00456ABA">
        <w:rPr>
          <w:noProof/>
          <w:vertAlign w:val="superscript"/>
        </w:rPr>
        <w:t>87</w:t>
      </w:r>
      <w:r w:rsidR="00333E65" w:rsidRPr="004823BE">
        <w:fldChar w:fldCharType="end"/>
      </w:r>
      <w:r w:rsidR="00333E65" w:rsidRPr="004544A5">
        <w:t xml:space="preserve"> implemented in R software v.3.0.3.</w:t>
      </w:r>
      <w:r w:rsidR="00333E65" w:rsidRPr="004823BE">
        <w:fldChar w:fldCharType="begin" w:fldLock="1"/>
      </w:r>
      <w:r w:rsidR="00456ABA">
        <w:instrText>ADDIN CSL_CITATION { "citationItems" : [ { "id" : "ITEM-1", "itemData" : { "ISBN" : "3-900051-07-0", "author" : [ { "dropping-particle" : "", "family" : "R Development Core Team", "given" : "", "non-dropping-particle" : "", "parse-names" : false, "suffix" : "" } ], "id" : "ITEM-1", "issued" : { "date-parts" : [ [ "2008" ] ] }, "publisher" : "R Foundation for Statistical Computing", "publisher-place" : "Vienna, Austria", "title" : "R: A Language and Environment for Statistical Computing. R Foundation for Statistical Computing", "type" : "book" }, "uris" : [ "http://www.mendeley.com/documents/?uuid=953165e6-2dfd-44d5-a7de-40f0c59bd49b" ] } ], "mendeley" : { "formattedCitation" : "&lt;sup&gt;88&lt;/sup&gt;", "plainTextFormattedCitation" : "88", "previouslyFormattedCitation" : "&lt;sup&gt;88&lt;/sup&gt;" }, "properties" : { "noteIndex" : 0 }, "schema" : "https://github.com/citation-style-language/schema/raw/master/csl-citation.json" }</w:instrText>
      </w:r>
      <w:r w:rsidR="00333E65" w:rsidRPr="004823BE">
        <w:fldChar w:fldCharType="separate"/>
      </w:r>
      <w:r w:rsidR="00456ABA" w:rsidRPr="00456ABA">
        <w:rPr>
          <w:noProof/>
          <w:vertAlign w:val="superscript"/>
        </w:rPr>
        <w:t>88</w:t>
      </w:r>
      <w:r w:rsidR="00333E65" w:rsidRPr="004823BE">
        <w:fldChar w:fldCharType="end"/>
      </w:r>
      <w:r w:rsidR="00333E65" w:rsidRPr="004544A5">
        <w:t xml:space="preserve">  Then, the samples on non-inhibitors set were linearly extracted over the whole set </w:t>
      </w:r>
      <w:r w:rsidR="00CA676A" w:rsidRPr="004544A5">
        <w:t xml:space="preserve">by </w:t>
      </w:r>
      <w:r w:rsidR="00333E65" w:rsidRPr="004544A5">
        <w:t xml:space="preserve">using </w:t>
      </w:r>
      <w:r w:rsidR="00333E65" w:rsidRPr="004544A5">
        <w:rPr>
          <w:i/>
        </w:rPr>
        <w:t>k</w:t>
      </w:r>
      <w:r w:rsidR="00333E65" w:rsidRPr="004544A5">
        <w:t>-distances and were used to generate balanced and partially balanced datasets. Finally, we generated three under-sampled datasets with inhibitor-to-non-inhibitor ratios of 1:1 (2,854 inhibitors and 2,854 non-inhibitors), 1:2 (2,854 inhibitors and 5,705 non-inhibitors), and 1:3 (2,854 inhibitors and 8,562 non-inhibitors).</w:t>
      </w:r>
    </w:p>
    <w:p w14:paraId="78E5C496" w14:textId="3B2EB61C" w:rsidR="00333E65" w:rsidRPr="004544A5" w:rsidRDefault="00333E65" w:rsidP="00333E65">
      <w:pPr>
        <w:pStyle w:val="TAMainText"/>
      </w:pPr>
      <w:r w:rsidRPr="004544A5">
        <w:rPr>
          <w:b/>
        </w:rPr>
        <w:t xml:space="preserve">Machine Learning Implementation. </w:t>
      </w:r>
      <w:r w:rsidRPr="004544A5">
        <w:t>The building and optimization of statistically acceptable QSAR models requires a close combination between chemical information (i.e.</w:t>
      </w:r>
      <w:r w:rsidR="000E62CD" w:rsidRPr="004544A5">
        <w:t>,</w:t>
      </w:r>
      <w:r w:rsidRPr="004544A5">
        <w:t xml:space="preserve"> fingerprints or descriptors) and several machine learning classifiers. For this reason, eight different machine learning classifiers, includ</w:t>
      </w:r>
      <w:r w:rsidR="00A92ADA" w:rsidRPr="004544A5">
        <w:t>ing the SVM</w:t>
      </w:r>
      <w:r w:rsidRPr="004544A5">
        <w:t xml:space="preserve"> with the radial basis Kernel function,</w:t>
      </w:r>
      <w:r w:rsidRPr="004823BE">
        <w:fldChar w:fldCharType="begin" w:fldLock="1"/>
      </w:r>
      <w:r w:rsidR="00456ABA">
        <w:instrText>ADDIN CSL_CITATION { "citationItems" : [ { "id" : "ITEM-1", "itemData" : { "author" : [ { "dropping-particle" : "", "family" : "Vapnik", "given" : "Vladmir", "non-dropping-particle" : "", "parse-names" : false, "suffix" : "" } ], "edition" : "2nd", "id" : "ITEM-1", "issued" : { "date-parts" : [ [ "2000" ] ] }, "number-of-pages" : "314", "publisher" : "Springer", "publisher-place" : "New York", "title" : "The Nature of Statistical Learning Theory", "type" : "book" }, "uris" : [ "http://www.mendeley.com/documents/?uuid=354b3517-e0d4-4996-812e-47fe19f4c466" ] } ], "mendeley" : { "formattedCitation" : "&lt;sup&gt;89&lt;/sup&gt;", "plainTextFormattedCitation" : "89", "previouslyFormattedCitation" : "&lt;sup&gt;89&lt;/sup&gt;" }, "properties" : { "noteIndex" : 0 }, "schema" : "https://github.com/citation-style-language/schema/raw/master/csl-citation.json" }</w:instrText>
      </w:r>
      <w:r w:rsidRPr="004823BE">
        <w:fldChar w:fldCharType="separate"/>
      </w:r>
      <w:r w:rsidR="00456ABA" w:rsidRPr="00456ABA">
        <w:rPr>
          <w:noProof/>
          <w:vertAlign w:val="superscript"/>
        </w:rPr>
        <w:t>89</w:t>
      </w:r>
      <w:r w:rsidRPr="004823BE">
        <w:fldChar w:fldCharType="end"/>
      </w:r>
      <w:r w:rsidRPr="004544A5">
        <w:t xml:space="preserve"> the </w:t>
      </w:r>
      <w:r w:rsidR="00A92ADA" w:rsidRPr="004544A5">
        <w:t>RF</w:t>
      </w:r>
      <w:r w:rsidRPr="004544A5">
        <w:t>,</w:t>
      </w:r>
      <w:r w:rsidRPr="004823BE">
        <w:fldChar w:fldCharType="begin" w:fldLock="1"/>
      </w:r>
      <w:r w:rsidR="00456ABA">
        <w:instrText>ADDIN CSL_CITATION { "citationItems" : [ { "id" : "ITEM-1", "itemData" : { "DOI" : "10.1023/A:1010933404324", "ISBN" : "9781424444427", "ISSN" : "08856125", "PMID" : "20142443", "abstract" : "Random forests are a combination of tree predictors such that each tree depends on the values of a random vector sampled independently and with the same distribution for all trees in the forest. The generalization error for forests converges a.s. to a limit as the number of trees in the forest becomes large. The generalization error of a forest of tree classifiers depends on the strength of the individual trees in the forest and the correlation between them. Using a random selection of features to split each node yields error rates that compare favorably to Adaboost (Y. Freund &amp; R. Schapire, Machine Learning: Proceedings of the Thirteenth International conference, ***, 148\u2013156), but are more robust with respect to noise. Internal estimates monitor error, strength, and correlation and these are used to show the response to increasing the number of features used in the splitting. Internal estimates are also used to measure variable importance. These ideas are also applicable to regression.", "author" : [ { "dropping-particle" : "", "family" : "Breiman", "given" : "Leo", "non-dropping-particle" : "", "parse-names" : false, "suffix" : "" } ], "container-title" : "Machine Learning", "id" : "ITEM-1", "issue" : "1", "issued" : { "date-parts" : [ [ "2001" ] ] }, "page" : "5-32", "title" : "Random forests", "type" : "article-journal", "volume" : "45" }, "uris" : [ "http://www.mendeley.com/documents/?uuid=066d07ed-3852-4d64-b67b-e495f7a0c863" ] } ], "mendeley" : { "formattedCitation" : "&lt;sup&gt;90&lt;/sup&gt;", "plainTextFormattedCitation" : "90", "previouslyFormattedCitation" : "&lt;sup&gt;90&lt;/sup&gt;" }, "properties" : { "noteIndex" : 0 }, "schema" : "https://github.com/citation-style-language/schema/raw/master/csl-citation.json" }</w:instrText>
      </w:r>
      <w:r w:rsidRPr="004823BE">
        <w:fldChar w:fldCharType="separate"/>
      </w:r>
      <w:r w:rsidR="00456ABA" w:rsidRPr="00456ABA">
        <w:rPr>
          <w:noProof/>
          <w:vertAlign w:val="superscript"/>
        </w:rPr>
        <w:t>90</w:t>
      </w:r>
      <w:r w:rsidRPr="004823BE">
        <w:fldChar w:fldCharType="end"/>
      </w:r>
      <w:r w:rsidRPr="004544A5">
        <w:t xml:space="preserve"> </w:t>
      </w:r>
      <w:r w:rsidR="00A92ADA" w:rsidRPr="004544A5">
        <w:t>GBM</w:t>
      </w:r>
      <w:r w:rsidRPr="004544A5">
        <w:t>,</w:t>
      </w:r>
      <w:r w:rsidRPr="004823BE">
        <w:fldChar w:fldCharType="begin" w:fldLock="1"/>
      </w:r>
      <w:r w:rsidR="00456ABA">
        <w:instrText>ADDIN CSL_CITATION { "citationItems" : [ { "id" : "ITEM-1", "itemData" : { "author" : [ { "dropping-particle" : "", "family" : "Friedman", "given" : "J. H.", "non-dropping-particle" : "", "parse-names" : false, "suffix" : "" } ], "container-title" : "The Annals of Statistics", "id" : "ITEM-1", "issue" : "5", "issued" : { "date-parts" : [ [ "2001" ] ] }, "page" : "1189-1232", "title" : "Greedy Function Approximation: A Gradient Boosting Machine", "type" : "article-journal", "volume" : "29" }, "uris" : [ "http://www.mendeley.com/documents/?uuid=0a271bd0-de04-4682-bc4b-45e24867f25a", "http://www.mendeley.com/documents/?uuid=bfb857db-4993-4385-bcb0-22e219a94870", "http://www.mendeley.com/documents/?uuid=affe44da-17c6-4875-964e-7c5361cebe79" ] } ], "mendeley" : { "formattedCitation" : "&lt;sup&gt;91&lt;/sup&gt;", "plainTextFormattedCitation" : "91", "previouslyFormattedCitation" : "&lt;sup&gt;91&lt;/sup&gt;" }, "properties" : { "noteIndex" : 0 }, "schema" : "https://github.com/citation-style-language/schema/raw/master/csl-citation.json" }</w:instrText>
      </w:r>
      <w:r w:rsidRPr="004823BE">
        <w:fldChar w:fldCharType="separate"/>
      </w:r>
      <w:r w:rsidR="00456ABA" w:rsidRPr="00456ABA">
        <w:rPr>
          <w:noProof/>
          <w:vertAlign w:val="superscript"/>
        </w:rPr>
        <w:t>91</w:t>
      </w:r>
      <w:r w:rsidRPr="004823BE">
        <w:fldChar w:fldCharType="end"/>
      </w:r>
      <w:r w:rsidR="00A92ADA" w:rsidRPr="004544A5">
        <w:t xml:space="preserve"> </w:t>
      </w:r>
      <w:r w:rsidR="000E62CD" w:rsidRPr="004544A5">
        <w:t xml:space="preserve">and </w:t>
      </w:r>
      <w:r w:rsidR="00A92ADA" w:rsidRPr="004544A5">
        <w:t>partial least squares</w:t>
      </w:r>
      <w:r w:rsidRPr="004544A5">
        <w:t xml:space="preserve"> discriminant analysis (PLS-DA)</w:t>
      </w:r>
      <w:r w:rsidRPr="004823BE">
        <w:fldChar w:fldCharType="begin" w:fldLock="1"/>
      </w:r>
      <w:r w:rsidR="00456ABA">
        <w:instrText>ADDIN CSL_CITATION { "citationItems" : [ { "id" : "ITEM-1", "itemData" : { "DOI" : "10.1002/cem.785", "ISBN" : "0886-9383", "ISSN" : "08869383", "abstract" : "Partial least squares (PLS) was not originally designed as a tool for statistical discrimination. In spite of this, applied scientists routinely use PLS for classification and there is substantial empirical evidence to suggest that it performs well in that role. The interesting question is: why can a procedure that is principally designed for overdetermined regression problems locate and emphasize group structure? Using PLS in this manner has heurestic support owing to the relationship between PLS and canonical correlation analysis (CCA) and the relationship, in turn, between CCA and linear discriminant analysis (LDA). This paper replaces the heuristics with a formal statistical explanation. As a consequence, it will become clear that PLS is to be preferred over PCA when discrimination is the goal and dimension reduction is needed.", "author" : [ { "dropping-particle" : "", "family" : "Barker", "given" : "Matthew", "non-dropping-particle" : "", "parse-names" : false, "suffix" : "" }, { "dropping-particle" : "", "family" : "Rayens", "given" : "William", "non-dropping-particle" : "", "parse-names" : false, "suffix" : "" } ], "container-title" : "Journal of Chemometrics", "id" : "ITEM-1", "issued" : { "date-parts" : [ [ "2003" ] ] }, "page" : "166-173", "title" : "Partial least squares for discrimination", "type" : "article-journal", "volume" : "17" }, "uris" : [ "http://www.mendeley.com/documents/?uuid=a763dbc1-0397-423e-b5a3-ff0707f12f6e", "http://www.mendeley.com/documents/?uuid=fdb80004-262d-4581-a5de-85adb6821048", "http://www.mendeley.com/documents/?uuid=cf905ceb-073e-4de5-96eb-de1b5cd2d805" ] } ], "mendeley" : { "formattedCitation" : "&lt;sup&gt;92&lt;/sup&gt;", "plainTextFormattedCitation" : "92", "previouslyFormattedCitation" : "&lt;sup&gt;92&lt;/sup&gt;" }, "properties" : { "noteIndex" : 0 }, "schema" : "https://github.com/citation-style-language/schema/raw/master/csl-citation.json" }</w:instrText>
      </w:r>
      <w:r w:rsidRPr="004823BE">
        <w:fldChar w:fldCharType="separate"/>
      </w:r>
      <w:r w:rsidR="00456ABA" w:rsidRPr="00456ABA">
        <w:rPr>
          <w:noProof/>
          <w:vertAlign w:val="superscript"/>
        </w:rPr>
        <w:t>92</w:t>
      </w:r>
      <w:r w:rsidRPr="004823BE">
        <w:fldChar w:fldCharType="end"/>
      </w:r>
      <w:r w:rsidRPr="004544A5">
        <w:t xml:space="preserve"> </w:t>
      </w:r>
      <w:r w:rsidR="000E62CD" w:rsidRPr="004544A5">
        <w:t xml:space="preserve">approaches, </w:t>
      </w:r>
      <w:r w:rsidRPr="004544A5">
        <w:t>classification and regression trees (CART),</w:t>
      </w:r>
      <w:r w:rsidRPr="004823BE">
        <w:fldChar w:fldCharType="begin" w:fldLock="1"/>
      </w:r>
      <w:r w:rsidR="00456ABA">
        <w:instrText>ADDIN CSL_CITATION { "citationItems" : [ { "id" : "ITEM-1", "itemData" : { "author" : [ { "dropping-particle" : "", "family" : "Breiman", "given" : "Leo", "non-dropping-particle" : "", "parse-names" : false, "suffix" : "" }, { "dropping-particle" : "", "family" : "Friedman", "given" : "Jerome", "non-dropping-particle" : "", "parse-names" : false, "suffix" : "" }, { "dropping-particle" : "", "family" : "Olshen", "given" : "Ronald Arthur", "non-dropping-particle" : "", "parse-names" : false, "suffix" : "" }, { "dropping-particle" : "", "family" : "Charles", "given" : "Jeorge Stone", "non-dropping-particle" : "", "parse-names" : false, "suffix" : "" } ], "edition" : "1nd", "editor" : [ { "dropping-particle" : "", "family" : "Breiman", "given" : "Leo", "non-dropping-particle" : "", "parse-names" : false, "suffix" : "" } ], "id" : "ITEM-1", "issued" : { "date-parts" : [ [ "1984" ] ] }, "number-of-pages" : "358", "publisher" : "Wadsworth &amp; Brooks/Cole Advanced Books &amp; Software", "publisher-place" : "Monterey", "title" : "Classification and Regression Trees", "type" : "book" }, "uris" : [ "http://www.mendeley.com/documents/?uuid=eb8ce18a-af5a-48ae-915f-a380e70e41c5", "http://www.mendeley.com/documents/?uuid=0a94635f-2afd-409e-b7a7-f3416f3392ae", "http://www.mendeley.com/documents/?uuid=adcc9c2d-e5c0-44ce-adce-28b188278541" ] } ], "mendeley" : { "formattedCitation" : "&lt;sup&gt;93&lt;/sup&gt;", "plainTextFormattedCitation" : "93", "previouslyFormattedCitation" : "&lt;sup&gt;93&lt;/sup&gt;" }, "properties" : { "noteIndex" : 0 }, "schema" : "https://github.com/citation-style-language/schema/raw/master/csl-citation.json" }</w:instrText>
      </w:r>
      <w:r w:rsidRPr="004823BE">
        <w:fldChar w:fldCharType="separate"/>
      </w:r>
      <w:r w:rsidR="00456ABA" w:rsidRPr="00456ABA">
        <w:rPr>
          <w:noProof/>
          <w:vertAlign w:val="superscript"/>
        </w:rPr>
        <w:t>93</w:t>
      </w:r>
      <w:r w:rsidRPr="004823BE">
        <w:fldChar w:fldCharType="end"/>
      </w:r>
      <w:r w:rsidRPr="004544A5">
        <w:t xml:space="preserve"> </w:t>
      </w:r>
      <w:proofErr w:type="spellStart"/>
      <w:r w:rsidRPr="004544A5">
        <w:rPr>
          <w:i/>
        </w:rPr>
        <w:t>k</w:t>
      </w:r>
      <w:r w:rsidRPr="004544A5">
        <w:t>NN</w:t>
      </w:r>
      <w:proofErr w:type="spellEnd"/>
      <w:r w:rsidRPr="004544A5">
        <w:t xml:space="preserve"> with Euclidean distance,</w:t>
      </w:r>
      <w:r w:rsidRPr="004823BE">
        <w:fldChar w:fldCharType="begin" w:fldLock="1"/>
      </w:r>
      <w:r w:rsidR="00456ABA">
        <w:instrText>ADDIN CSL_CITATION { "citationItems" : [ { "id" : "ITEM-1", "itemData" : { "DOI" : "10.1080/00031305.1992.10475879", "ISSN" : "0003-1305", "abstract" : "Nonparametric regression is a set of techniques for es- timating a regression curve without making strong as- sumptions about the shape of the true regression func- tion. These techniques are therefore useful for building and checking parametric models, as well as for data description. Kernel and nearest-neighbor regression es- timators are local versions of univariate location esti- mators, and so they can readily be introduced to be- ginning students and consulting clients who are familiar with such summaries as the sample mean and median.", "author" : [ { "dropping-particle" : "", "family" : "Altman", "given" : "NS", "non-dropping-particle" : "", "parse-names" : false, "suffix" : "" } ], "container-title" : "The American Statistician", "id" : "ITEM-1", "issue" : "3", "issued" : { "date-parts" : [ [ "1992" ] ] }, "page" : "175-185", "title" : "An introduction to kernel and nearest-neighbor nonparametric regression", "type" : "article-journal", "volume" : "46" }, "uris" : [ "http://www.mendeley.com/documents/?uuid=ba925b29-f32b-4ece-a273-7c80c456833d", "http://www.mendeley.com/documents/?uuid=2fb19a90-8800-4b96-83e9-94c70a9d4ffd", "http://www.mendeley.com/documents/?uuid=14dd9fd2-2245-41b1-8130-fa9a842c27ba" ] } ], "mendeley" : { "formattedCitation" : "&lt;sup&gt;87&lt;/sup&gt;", "plainTextFormattedCitation" : "87", "previouslyFormattedCitation" : "&lt;sup&gt;87&lt;/sup&gt;" }, "properties" : { "noteIndex" : 0 }, "schema" : "https://github.com/citation-style-language/schema/raw/master/csl-citation.json" }</w:instrText>
      </w:r>
      <w:r w:rsidRPr="004823BE">
        <w:fldChar w:fldCharType="separate"/>
      </w:r>
      <w:r w:rsidR="00456ABA" w:rsidRPr="00456ABA">
        <w:rPr>
          <w:noProof/>
          <w:vertAlign w:val="superscript"/>
        </w:rPr>
        <w:t>87</w:t>
      </w:r>
      <w:r w:rsidRPr="004823BE">
        <w:fldChar w:fldCharType="end"/>
      </w:r>
      <w:r w:rsidRPr="004544A5">
        <w:t xml:space="preserve"> multi-layer perceptron (MLP),</w:t>
      </w:r>
      <w:r w:rsidRPr="004823BE">
        <w:fldChar w:fldCharType="begin" w:fldLock="1"/>
      </w:r>
      <w:r w:rsidR="00456ABA">
        <w:instrText>ADDIN CSL_CITATION { "citationItems" : [ { "id" : "ITEM-1", "itemData" : { "author" : [ { "dropping-particle" : "", "family" : "Rosenblatt", "given" : "Frank", "non-dropping-particle" : "", "parse-names" : false, "suffix" : "" } ], "edition" : "1nd", "editor" : [ { "dropping-particle" : "", "family" : "Rosenblatt", "given" : "Frank", "non-dropping-particle" : "", "parse-names" : false, "suffix" : "" } ], "id" : "ITEM-1", "issued" : { "date-parts" : [ [ "1962" ] ] }, "number-of-pages" : "616", "publisher" : "Spartan Books", "publisher-place" : "Washington", "title" : "Principles of neurodynamics; perceptrons and the theory of brain mechanisms", "type" : "book" }, "uris" : [ "http://www.mendeley.com/documents/?uuid=ff702b3a-0e50-4eec-95e9-5127fdd933de", "http://www.mendeley.com/documents/?uuid=0b48d03f-db9b-4db4-872f-0259bc5a1ae1", "http://www.mendeley.com/documents/?uuid=0abaa597-2579-419d-96db-9853331d5305" ] } ], "mendeley" : { "formattedCitation" : "&lt;sup&gt;94&lt;/sup&gt;", "plainTextFormattedCitation" : "94", "previouslyFormattedCitation" : "&lt;sup&gt;94&lt;/sup&gt;" }, "properties" : { "noteIndex" : 0 }, "schema" : "https://github.com/citation-style-language/schema/raw/master/csl-citation.json" }</w:instrText>
      </w:r>
      <w:r w:rsidRPr="004823BE">
        <w:fldChar w:fldCharType="separate"/>
      </w:r>
      <w:r w:rsidR="00456ABA" w:rsidRPr="00456ABA">
        <w:rPr>
          <w:noProof/>
          <w:vertAlign w:val="superscript"/>
        </w:rPr>
        <w:t>94</w:t>
      </w:r>
      <w:r w:rsidRPr="004823BE">
        <w:fldChar w:fldCharType="end"/>
      </w:r>
      <w:r w:rsidRPr="004544A5">
        <w:t xml:space="preserve"> and multivariate adaptive regression splines (MARS)</w:t>
      </w:r>
      <w:r w:rsidRPr="004823BE">
        <w:fldChar w:fldCharType="begin" w:fldLock="1"/>
      </w:r>
      <w:r w:rsidR="00456ABA">
        <w:instrText>ADDIN CSL_CITATION { "citationItems" : [ { "id" : "ITEM-1", "itemData" : { "DOI" : "10.1214/aos/1176347963", "ISBN" : "00905364", "ISSN" : "0090-5364", "abstract" : "A new method is presented for flexible regression modeling of high dimensional data. The model takes the form of an expansion in product spline basis functions, where the number of basis functions as well as the parameters associated with each one (product degree and knot locations) are automatically determined by the data. This procedure is motivated by the recursive partitioning approach to regression and shares its attractive properties. Unlike recursive partitioning, however, this method produces continuous models with continuous derivatives. It has more power and flexibility to model relationships that are nearly additive or involve interactions in at most a few variables. In addition, the model can be represented in a form that separately identifies the additive contributions and those associated with the different multivariable interactions.", "author" : [ { "dropping-particle" : "", "family" : "Friedman", "given" : "Jerome H.", "non-dropping-particle" : "", "parse-names" : false, "suffix" : "" } ], "container-title" : "The Annals of Statistics", "id" : "ITEM-1", "issue" : "1", "issued" : { "date-parts" : [ [ "1991" ] ] }, "page" : "1-67", "title" : "Multivariate Adaptive Regression Splines", "type" : "article-journal", "volume" : "19" }, "uris" : [ "http://www.mendeley.com/documents/?uuid=a11d4833-6c77-42fc-815a-83f0c1075272", "http://www.mendeley.com/documents/?uuid=126a664e-fb3e-4f57-9a32-3b438103509d", "http://www.mendeley.com/documents/?uuid=e34073fa-4635-40a1-afa9-a1db1c82cbb9" ] } ], "mendeley" : { "formattedCitation" : "&lt;sup&gt;95&lt;/sup&gt;", "plainTextFormattedCitation" : "95", "previouslyFormattedCitation" : "&lt;sup&gt;95&lt;/sup&gt;" }, "properties" : { "noteIndex" : 0 }, "schema" : "https://github.com/citation-style-language/schema/raw/master/csl-citation.json" }</w:instrText>
      </w:r>
      <w:r w:rsidRPr="004823BE">
        <w:fldChar w:fldCharType="separate"/>
      </w:r>
      <w:r w:rsidR="00456ABA" w:rsidRPr="00456ABA">
        <w:rPr>
          <w:noProof/>
          <w:vertAlign w:val="superscript"/>
        </w:rPr>
        <w:t>95</w:t>
      </w:r>
      <w:r w:rsidRPr="004823BE">
        <w:fldChar w:fldCharType="end"/>
      </w:r>
      <w:r w:rsidRPr="004544A5">
        <w:t xml:space="preserve"> were used. All machine learning classifiers were implemented using the R v.3.0.3.</w:t>
      </w:r>
      <w:r w:rsidRPr="004823BE">
        <w:fldChar w:fldCharType="begin" w:fldLock="1"/>
      </w:r>
      <w:r w:rsidR="00456ABA">
        <w:instrText>ADDIN CSL_CITATION { "citationItems" : [ { "id" : "ITEM-1", "itemData" : { "ISBN" : "3-900051-07-0", "author" : [ { "dropping-particle" : "", "family" : "R Development Core Team", "given" : "", "non-dropping-particle" : "", "parse-names" : false, "suffix" : "" } ], "id" : "ITEM-1", "issued" : { "date-parts" : [ [ "2008" ] ] }, "publisher" : "R Foundation for Statistical Computing", "publisher-place" : "Vienna, Austria", "title" : "R: A Language and Environment for Statistical Computing. R Foundation for Statistical Computing", "type" : "book" }, "uris" : [ "http://www.mendeley.com/documents/?uuid=953165e6-2dfd-44d5-a7de-40f0c59bd49b" ] } ], "mendeley" : { "formattedCitation" : "&lt;sup&gt;88&lt;/sup&gt;", "plainTextFormattedCitation" : "88", "previouslyFormattedCitation" : "&lt;sup&gt;88&lt;/sup&gt;" }, "properties" : { "noteIndex" : 0 }, "schema" : "https://github.com/citation-style-language/schema/raw/master/csl-citation.json" }</w:instrText>
      </w:r>
      <w:r w:rsidRPr="004823BE">
        <w:fldChar w:fldCharType="separate"/>
      </w:r>
      <w:r w:rsidR="00456ABA" w:rsidRPr="00456ABA">
        <w:rPr>
          <w:noProof/>
          <w:vertAlign w:val="superscript"/>
        </w:rPr>
        <w:t>88</w:t>
      </w:r>
      <w:r w:rsidRPr="004823BE">
        <w:fldChar w:fldCharType="end"/>
      </w:r>
      <w:r w:rsidRPr="004544A5">
        <w:t xml:space="preserve"> </w:t>
      </w:r>
      <w:r w:rsidR="004B5037" w:rsidRPr="004544A5">
        <w:t>A brief description about the theory of each machine lear</w:t>
      </w:r>
      <w:r w:rsidR="00CA6F5A" w:rsidRPr="004544A5">
        <w:t>ning method is described in Supporting Information</w:t>
      </w:r>
      <w:r w:rsidRPr="004544A5">
        <w:t>.</w:t>
      </w:r>
    </w:p>
    <w:p w14:paraId="21B3AE66" w14:textId="30A51D0F" w:rsidR="00333E65" w:rsidRPr="004544A5" w:rsidRDefault="002A09F2" w:rsidP="00673410">
      <w:pPr>
        <w:pStyle w:val="TAMainText"/>
      </w:pPr>
      <w:r w:rsidRPr="004544A5">
        <w:rPr>
          <w:b/>
        </w:rPr>
        <w:lastRenderedPageBreak/>
        <w:t>5-fold external cross</w:t>
      </w:r>
      <w:r w:rsidR="00333E65" w:rsidRPr="004544A5">
        <w:rPr>
          <w:b/>
        </w:rPr>
        <w:t xml:space="preserve">-validation. </w:t>
      </w:r>
      <w:r w:rsidR="00333E65" w:rsidRPr="004544A5">
        <w:t xml:space="preserve"> </w:t>
      </w:r>
      <w:r w:rsidR="00513753">
        <w:t>T</w:t>
      </w:r>
      <w:r w:rsidR="00513753" w:rsidRPr="00950C42">
        <w:t>he full dataset of compounds with known inhibition activities is randomly divided into five subsets of equal size; then one of these subsets (20% of all compounds) is set aside as an external validation set and the remaining four sets together form the modeling set (80% of the full set). This procedure is repeated five times allowing each of the five subsets to be used as external validation set. Models are built using the modeling set only, and it is important to emphasize that the compounds in momentary external set (fold) are not employed either to build or select the models.</w:t>
      </w:r>
    </w:p>
    <w:p w14:paraId="053634EF" w14:textId="634C7FA0" w:rsidR="00333E65" w:rsidRPr="004544A5" w:rsidRDefault="005D376F" w:rsidP="00333E65">
      <w:pPr>
        <w:pStyle w:val="TAMainText"/>
      </w:pPr>
      <w:r w:rsidRPr="004544A5">
        <w:rPr>
          <w:b/>
        </w:rPr>
        <w:t>Applicability Domain</w:t>
      </w:r>
      <w:r w:rsidR="00333E65" w:rsidRPr="004544A5">
        <w:rPr>
          <w:b/>
        </w:rPr>
        <w:t>.</w:t>
      </w:r>
      <w:r w:rsidR="00333E65" w:rsidRPr="004544A5">
        <w:t xml:space="preserve"> The AD for each descriptor or fingerprint type was estimated based on the Euclidean distances among the training set of each QSAR model generated in the external 5-fold cross-validation procedure. The distance of a test compound to its nearest neighbor in the training set was compared to the predefined AD threshold level. If the distance was greater than this threshold level, the prediction was considered to be less trustworthy.</w:t>
      </w:r>
      <w:r w:rsidR="00333E65" w:rsidRPr="004823BE">
        <w:fldChar w:fldCharType="begin" w:fldLock="1"/>
      </w:r>
      <w:r w:rsidR="00456ABA">
        <w:instrText>ADDIN CSL_CITATION { "citationItems" : [ { "id" : "ITEM-1", "itemData" : { "DOI" : "10.1021/ci060132x", "ISBN" : "1549-9596", "ISSN" : "15499596", "PMID" : "16995729", "abstract" : "A novel automated lazy learning quantitative structure-activity relationship (ALL-QSAR) modeling approach has been developed on the basis of the lazy learning theory. The activity of a test compound is predicted from a locally weighted linear regression model using chemical descriptors and the biological activity of the training set compounds most chemically similar to this test compound. The weights with which training set compounds are included in the regression depend on the similarity of those compounds to a test compound. We have applied the ALL-QSAR method to several experimental chemical data sets including 48 anticonvulsant agents with known ED50 values, 48 dopamine D1-receptor antagonists with known competitive binding affinities (Ki), and a Tetrahymena pyriformis data set containing 250 phenolic compounds with toxicity IGC50 values. When applied to database screening, models developed for anticonvulsant agents identified several known anticonvulsant compounds that were not only absent in the training set but highly chemically dissimilar to the training set compounds. This initial success indicates that ALL-QSAR can be further exploited as a general tool for accurate bioactivity prediction and database screening in drug design and discovery. Because of its local nature, the ALL-QSAR approach appears to be especially well-suited for the development of highly predictive models for the sparse or unevenly distributed data sets.", "author" : [ { "dropping-particle" : "", "family" : "Zhang", "given" : "Shuxing", "non-dropping-particle" : "", "parse-names" : false, "suffix" : "" }, { "dropping-particle" : "", "family" : "Golbraikh", "given" : "Alexander", "non-dropping-particle" : "", "parse-names" : false, "suffix" : "" }, { "dropping-particle" : "", "family" : "Oloff", "given" : "Scott", "non-dropping-particle" : "", "parse-names" : false, "suffix" : "" }, { "dropping-particle" : "", "family" : "Kohn", "given" : "Harold", "non-dropping-particle" : "", "parse-names" : false, "suffix" : "" }, { "dropping-particle" : "", "family" : "Tropsha", "given" : "Alexander", "non-dropping-particle" : "", "parse-names" : false, "suffix" : "" } ], "container-title" : "Journal of Chemical Information and Modeling", "id" : "ITEM-1", "issue" : "5", "issued" : { "date-parts" : [ [ "2006" ] ] }, "page" : "1984-1995", "title" : "A novel Automated Lazy Learning QSAR (ALL-QSAR) approach: Method development, applications, and virtual screening of chemical databases using validated ALL-QSAR models", "type" : "article-journal", "volume" : "46" }, "uris" : [ "http://www.mendeley.com/documents/?uuid=6abdb642-46d3-4ff8-9a97-325e73b0ee87" ] } ], "mendeley" : { "formattedCitation" : "&lt;sup&gt;96&lt;/sup&gt;", "plainTextFormattedCitation" : "96", "previouslyFormattedCitation" : "&lt;sup&gt;96&lt;/sup&gt;" }, "properties" : { "noteIndex" : 0 }, "schema" : "https://github.com/citation-style-language/schema/raw/master/csl-citation.json" }</w:instrText>
      </w:r>
      <w:r w:rsidR="00333E65" w:rsidRPr="004823BE">
        <w:fldChar w:fldCharType="separate"/>
      </w:r>
      <w:r w:rsidR="00456ABA" w:rsidRPr="00456ABA">
        <w:rPr>
          <w:noProof/>
          <w:vertAlign w:val="superscript"/>
        </w:rPr>
        <w:t>96</w:t>
      </w:r>
      <w:r w:rsidR="00333E65" w:rsidRPr="004823BE">
        <w:fldChar w:fldCharType="end"/>
      </w:r>
      <w:r w:rsidR="00333E65" w:rsidRPr="004544A5">
        <w:t xml:space="preserve"> In this study, we defined AD as a distance threshold D</w:t>
      </w:r>
      <w:r w:rsidR="00333E65" w:rsidRPr="004544A5">
        <w:rPr>
          <w:vertAlign w:val="subscript"/>
        </w:rPr>
        <w:t>T</w:t>
      </w:r>
      <w:r w:rsidR="00333E65" w:rsidRPr="004544A5">
        <w:t xml:space="preserve"> between a compound under prediction and its closest nearest neighbors of the training set. It was calculated as follows:</w:t>
      </w:r>
    </w:p>
    <w:p w14:paraId="0B9958F1" w14:textId="77777777" w:rsidR="00333E65" w:rsidRPr="004544A5" w:rsidRDefault="00333E65" w:rsidP="00333E65">
      <w:pPr>
        <w:pStyle w:val="TAMainText"/>
      </w:pPr>
    </w:p>
    <w:p w14:paraId="14F5DE29" w14:textId="77777777" w:rsidR="00333E65" w:rsidRPr="004544A5" w:rsidRDefault="00DE79C5" w:rsidP="00ED1CF4">
      <m:oMathPara>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T</m:t>
              </m:r>
            </m:sub>
          </m:sSub>
          <m:r>
            <m:rPr>
              <m:sty m:val="p"/>
            </m:rPr>
            <w:rPr>
              <w:rFonts w:ascii="Cambria Math" w:hAnsi="Cambria Math"/>
            </w:rPr>
            <m:t xml:space="preserve">= </m:t>
          </m:r>
          <m:acc>
            <m:accPr>
              <m:chr m:val="̅"/>
              <m:ctrlPr>
                <w:rPr>
                  <w:rFonts w:ascii="Cambria Math" w:hAnsi="Cambria Math"/>
                </w:rPr>
              </m:ctrlPr>
            </m:accPr>
            <m:e>
              <m:r>
                <m:rPr>
                  <m:sty m:val="p"/>
                </m:rPr>
                <w:rPr>
                  <w:rFonts w:ascii="Cambria Math" w:hAnsi="Cambria Math"/>
                </w:rPr>
                <m:t>y</m:t>
              </m:r>
            </m:e>
          </m:acc>
          <m:r>
            <m:rPr>
              <m:sty m:val="p"/>
            </m:rPr>
            <w:rPr>
              <w:rFonts w:ascii="Cambria Math" w:hAnsi="Cambria Math"/>
            </w:rPr>
            <m:t>+Z</m:t>
          </m:r>
          <m:r>
            <m:rPr>
              <m:sty m:val="p"/>
            </m:rPr>
            <w:rPr>
              <w:rFonts w:ascii="Cambria Math" w:hAnsi="Cambria Math" w:hint="eastAsia"/>
            </w:rPr>
            <m:t>σ</m:t>
          </m:r>
          <m:r>
            <m:rPr>
              <m:sty m:val="p"/>
            </m:rPr>
            <w:rPr>
              <w:rFonts w:ascii="Cambria Math" w:hAnsi="Cambria Math"/>
            </w:rPr>
            <m:t xml:space="preserve">                                                                                       (1)</m:t>
          </m:r>
        </m:oMath>
      </m:oMathPara>
    </w:p>
    <w:p w14:paraId="37587EBF" w14:textId="77777777" w:rsidR="00333E65" w:rsidRPr="004544A5" w:rsidRDefault="00333E65" w:rsidP="00333E65">
      <w:pPr>
        <w:pStyle w:val="TAMainText"/>
      </w:pPr>
    </w:p>
    <w:p w14:paraId="59033389" w14:textId="77777777" w:rsidR="00333E65" w:rsidRPr="004544A5" w:rsidRDefault="00333E65" w:rsidP="00333E65">
      <w:pPr>
        <w:pStyle w:val="TAMainText"/>
      </w:pPr>
      <w:r w:rsidRPr="004544A5">
        <w:t xml:space="preserve">Here, ӯ is the average Euclidean distance of the k nearest neighbors of each compound within the training set, σ is the standard deviation of these Euclidean distances, and Z is an arbitrary parameter to control the significance level. We set the default value of this parameter Z at 0.5. Thus, if the distance of the external compound from all of its nearest neighbors in the training set exceeds this threshold, the prediction is considered unreliable. </w:t>
      </w:r>
    </w:p>
    <w:p w14:paraId="6ADCF9EA" w14:textId="1744961D" w:rsidR="00333E65" w:rsidRPr="004544A5" w:rsidRDefault="00333E65" w:rsidP="00333E65">
      <w:pPr>
        <w:pStyle w:val="TAMainText"/>
      </w:pPr>
      <w:r w:rsidRPr="004544A5">
        <w:rPr>
          <w:b/>
        </w:rPr>
        <w:lastRenderedPageBreak/>
        <w:t xml:space="preserve">Evaluation of Performance and Robustness. </w:t>
      </w:r>
      <w:r w:rsidRPr="004544A5">
        <w:t xml:space="preserve">To access the predictive performance of the binary QSAR models, </w:t>
      </w:r>
      <w:r w:rsidR="008745C7" w:rsidRPr="004544A5">
        <w:t>SE, SP, and CCR were used</w:t>
      </w:r>
      <w:r w:rsidRPr="004544A5">
        <w:t>. These statistic metrics are calculated by the following equations:</w:t>
      </w:r>
    </w:p>
    <w:p w14:paraId="3A6C7C78" w14:textId="77777777" w:rsidR="00333E65" w:rsidRPr="004544A5" w:rsidRDefault="00333E65" w:rsidP="00ED1CF4">
      <w:pPr>
        <w:pStyle w:val="TAMainText"/>
      </w:pPr>
    </w:p>
    <w:p w14:paraId="6EEFE82C" w14:textId="77777777" w:rsidR="00333E65" w:rsidRPr="004544A5" w:rsidRDefault="00333E65" w:rsidP="00ED1CF4">
      <m:oMathPara>
        <m:oMath>
          <m:r>
            <m:rPr>
              <m:sty m:val="p"/>
            </m:rPr>
            <w:rPr>
              <w:rFonts w:ascii="Cambria Math" w:hAnsi="Cambria Math"/>
            </w:rPr>
            <m:t xml:space="preserve">SE= </m:t>
          </m:r>
          <m:f>
            <m:fPr>
              <m:ctrlPr>
                <w:rPr>
                  <w:rFonts w:ascii="Cambria Math" w:hAnsi="Cambria Math"/>
                </w:rPr>
              </m:ctrlPr>
            </m:fPr>
            <m:num>
              <m:r>
                <m:rPr>
                  <m:sty m:val="p"/>
                </m:rPr>
                <w:rPr>
                  <w:rFonts w:ascii="Cambria Math" w:hAnsi="Cambria Math"/>
                </w:rPr>
                <m:t>TP</m:t>
              </m:r>
            </m:num>
            <m:den>
              <m:r>
                <m:rPr>
                  <m:sty m:val="p"/>
                </m:rPr>
                <w:rPr>
                  <w:rFonts w:ascii="Cambria Math" w:hAnsi="Cambria Math"/>
                </w:rPr>
                <m:t>TP+FN</m:t>
              </m:r>
            </m:den>
          </m:f>
          <m:r>
            <m:rPr>
              <m:sty m:val="p"/>
            </m:rPr>
            <w:rPr>
              <w:rFonts w:ascii="Cambria Math" w:hAnsi="Cambria Math"/>
            </w:rPr>
            <m:t xml:space="preserve">                                                                                     (2)</m:t>
          </m:r>
        </m:oMath>
      </m:oMathPara>
    </w:p>
    <w:p w14:paraId="04AAE55C" w14:textId="77777777" w:rsidR="00333E65" w:rsidRPr="004544A5" w:rsidRDefault="00333E65" w:rsidP="00ED1CF4">
      <w:pPr>
        <w:pStyle w:val="TAMainText"/>
      </w:pPr>
    </w:p>
    <w:p w14:paraId="2B2DBA30" w14:textId="77777777" w:rsidR="00333E65" w:rsidRPr="004544A5" w:rsidRDefault="00333E65" w:rsidP="00ED1CF4">
      <m:oMathPara>
        <m:oMath>
          <m:r>
            <m:rPr>
              <m:sty m:val="p"/>
            </m:rPr>
            <w:rPr>
              <w:rFonts w:ascii="Cambria Math" w:hAnsi="Cambria Math"/>
            </w:rPr>
            <m:t xml:space="preserve">SP= </m:t>
          </m:r>
          <m:f>
            <m:fPr>
              <m:ctrlPr>
                <w:rPr>
                  <w:rFonts w:ascii="Cambria Math" w:hAnsi="Cambria Math"/>
                </w:rPr>
              </m:ctrlPr>
            </m:fPr>
            <m:num>
              <m:r>
                <m:rPr>
                  <m:sty m:val="p"/>
                </m:rPr>
                <w:rPr>
                  <w:rFonts w:ascii="Cambria Math" w:hAnsi="Cambria Math"/>
                </w:rPr>
                <m:t>TN</m:t>
              </m:r>
            </m:num>
            <m:den>
              <m:r>
                <m:rPr>
                  <m:sty m:val="p"/>
                </m:rPr>
                <w:rPr>
                  <w:rFonts w:ascii="Cambria Math" w:hAnsi="Cambria Math"/>
                </w:rPr>
                <m:t>TN+FP</m:t>
              </m:r>
            </m:den>
          </m:f>
          <m:r>
            <m:rPr>
              <m:sty m:val="p"/>
            </m:rPr>
            <w:rPr>
              <w:rFonts w:ascii="Cambria Math" w:hAnsi="Cambria Math"/>
            </w:rPr>
            <m:t xml:space="preserve">                                                                                     (3)</m:t>
          </m:r>
        </m:oMath>
      </m:oMathPara>
    </w:p>
    <w:p w14:paraId="144C8D05" w14:textId="77777777" w:rsidR="00333E65" w:rsidRPr="004544A5" w:rsidRDefault="00333E65" w:rsidP="00ED1CF4">
      <w:pPr>
        <w:pStyle w:val="TAMainText"/>
      </w:pPr>
    </w:p>
    <w:p w14:paraId="57CABA87" w14:textId="77777777" w:rsidR="00333E65" w:rsidRPr="004544A5" w:rsidRDefault="00333E65" w:rsidP="00ED1CF4">
      <m:oMathPara>
        <m:oMath>
          <m:r>
            <m:rPr>
              <m:sty m:val="p"/>
            </m:rPr>
            <w:rPr>
              <w:rFonts w:ascii="Cambria Math" w:hAnsi="Cambria Math"/>
            </w:rPr>
            <m:t xml:space="preserve">CCR=  </m:t>
          </m:r>
          <m:f>
            <m:fPr>
              <m:ctrlPr>
                <w:rPr>
                  <w:rFonts w:ascii="Cambria Math" w:hAnsi="Cambria Math"/>
                </w:rPr>
              </m:ctrlPr>
            </m:fPr>
            <m:num>
              <m:r>
                <m:rPr>
                  <m:sty m:val="p"/>
                </m:rPr>
                <w:rPr>
                  <w:rFonts w:ascii="Cambria Math" w:hAnsi="Cambria Math"/>
                </w:rPr>
                <m:t>SE+SP</m:t>
              </m:r>
            </m:num>
            <m:den>
              <m:r>
                <m:rPr>
                  <m:sty m:val="p"/>
                </m:rPr>
                <w:rPr>
                  <w:rFonts w:ascii="Cambria Math" w:hAnsi="Cambria Math"/>
                </w:rPr>
                <m:t>2</m:t>
              </m:r>
            </m:den>
          </m:f>
          <m:r>
            <m:rPr>
              <m:sty m:val="p"/>
            </m:rPr>
            <w:rPr>
              <w:rFonts w:ascii="Cambria Math" w:hAnsi="Cambria Math"/>
            </w:rPr>
            <m:t xml:space="preserve">                                                                                  (4)</m:t>
          </m:r>
        </m:oMath>
      </m:oMathPara>
    </w:p>
    <w:p w14:paraId="1762B259" w14:textId="77777777" w:rsidR="00333E65" w:rsidRPr="004544A5" w:rsidRDefault="00333E65" w:rsidP="00ED1CF4">
      <w:pPr>
        <w:pStyle w:val="TAMainText"/>
      </w:pPr>
    </w:p>
    <w:p w14:paraId="67F05523" w14:textId="77777777" w:rsidR="008745C7" w:rsidRPr="004544A5" w:rsidRDefault="00333E65" w:rsidP="00ED1CF4">
      <w:pPr>
        <w:pStyle w:val="TAMainText"/>
      </w:pPr>
      <w:r w:rsidRPr="004544A5">
        <w:t>Here, N denote</w:t>
      </w:r>
      <w:r w:rsidR="00A32277" w:rsidRPr="004544A5">
        <w:t>s</w:t>
      </w:r>
      <w:r w:rsidRPr="004544A5">
        <w:t xml:space="preserve"> the total number of compounds, TP and TN represent the number of true positives (correct classifications of inhibitors) and true negatives (correct classifications of non-inhibitors), respectively, while FP and FN represent the number of false positives (incorrect classifications of inhibitors) and false negatives (incorrect classifications of non-inhibitors), respectively. </w:t>
      </w:r>
    </w:p>
    <w:p w14:paraId="4060C9FD" w14:textId="1AB03B37" w:rsidR="00333E65" w:rsidRPr="004544A5" w:rsidRDefault="00333E65" w:rsidP="00ED1CF4">
      <w:pPr>
        <w:pStyle w:val="TAMainText"/>
      </w:pPr>
      <w:r w:rsidRPr="004544A5">
        <w:t>In addition to the above model evaluation metrics, Cohen’s kappa (</w:t>
      </w:r>
      <w:r w:rsidRPr="004544A5">
        <w:rPr>
          <w:i/>
        </w:rPr>
        <w:t>k</w:t>
      </w:r>
      <w:r w:rsidRPr="004544A5">
        <w:t xml:space="preserve">) </w:t>
      </w:r>
      <w:bookmarkStart w:id="38" w:name="OLE_LINK13"/>
      <w:bookmarkStart w:id="39" w:name="OLE_LINK14"/>
      <w:r w:rsidRPr="004544A5">
        <w:t xml:space="preserve">was used to measure </w:t>
      </w:r>
      <w:bookmarkEnd w:id="38"/>
      <w:bookmarkEnd w:id="39"/>
      <w:r w:rsidRPr="004544A5">
        <w:t>the agreement between model predictions and experimental data.</w:t>
      </w:r>
      <w:r w:rsidRPr="004823BE">
        <w:fldChar w:fldCharType="begin" w:fldLock="1"/>
      </w:r>
      <w:r w:rsidR="00456ABA">
        <w:instrText>ADDIN CSL_CITATION { "citationItems" : [ { "id" : "ITEM-1", "itemData" : { "DOI" : "10.1177/001316446002000104", "ISBN" : "0092-6361", "ISSN" : "0013-1644", "abstract" : "\"A coefficient of interjudge agreement for nominal scales, K = (Po - Pc)/(1 - Pc), is presented. It is directly interpretable as the proportion of joint judgments in which there is agreement, after chance agreement is excluded\u2026 . The maximum value which k can take for any given problem is given, and the implications of this value to the question of agreement discussed.\" Standard error and techniques for estimation and hypothesis testing are presented.", "author" : [ { "dropping-particle" : "", "family" : "Cohen", "given" : "Jacob", "non-dropping-particle" : "", "parse-names" : false, "suffix" : "" } ], "container-title" : "Educational and Psychological Measurement", "id" : "ITEM-1", "issued" : { "date-parts" : [ [ "1960" ] ] }, "page" : "37-46", "title" : "A coefficient of agreement of nominal scales", "type" : "article-journal", "volume" : "20" }, "uris" : [ "http://www.mendeley.com/documents/?uuid=bbfe1103-93e8-4ba0-b9bd-5976d50e2ac2", "http://www.mendeley.com/documents/?uuid=3a8ce77f-3a69-4dcf-968a-6b7e62b12b2a", "http://www.mendeley.com/documents/?uuid=4eff0e89-d6f0-4d42-9983-a8bbe6661cb2" ] } ], "mendeley" : { "formattedCitation" : "&lt;sup&gt;97&lt;/sup&gt;", "plainTextFormattedCitation" : "97", "previouslyFormattedCitation" : "&lt;sup&gt;97&lt;/sup&gt;" }, "properties" : { "noteIndex" : 0 }, "schema" : "https://github.com/citation-style-language/schema/raw/master/csl-citation.json" }</w:instrText>
      </w:r>
      <w:r w:rsidRPr="004823BE">
        <w:fldChar w:fldCharType="separate"/>
      </w:r>
      <w:r w:rsidR="00456ABA" w:rsidRPr="00456ABA">
        <w:rPr>
          <w:noProof/>
          <w:vertAlign w:val="superscript"/>
        </w:rPr>
        <w:t>97</w:t>
      </w:r>
      <w:r w:rsidRPr="004823BE">
        <w:fldChar w:fldCharType="end"/>
      </w:r>
      <w:r w:rsidRPr="004544A5">
        <w:t xml:space="preserve"> This statistical parameter is calculated by the following equations:</w:t>
      </w:r>
    </w:p>
    <w:p w14:paraId="5C31B797" w14:textId="77777777" w:rsidR="00333E65" w:rsidRPr="004544A5" w:rsidRDefault="00333E65" w:rsidP="00ED1CF4">
      <w:pPr>
        <w:pStyle w:val="TAMainText"/>
      </w:pPr>
    </w:p>
    <w:p w14:paraId="7A5CFD09" w14:textId="770E638B" w:rsidR="00333E65" w:rsidRPr="004544A5" w:rsidRDefault="00DE79C5" w:rsidP="00ED1CF4">
      <m:oMathPara>
        <m:oMath>
          <m:func>
            <m:funcPr>
              <m:ctrlPr>
                <w:rPr>
                  <w:rFonts w:ascii="Cambria Math" w:hAnsi="Cambria Math"/>
                </w:rPr>
              </m:ctrlPr>
            </m:funcPr>
            <m:fName>
              <m:r>
                <m:rPr>
                  <m:sty m:val="p"/>
                </m:rPr>
                <w:rPr>
                  <w:rFonts w:ascii="Cambria Math" w:hAnsi="Cambria Math"/>
                </w:rPr>
                <m:t>Pr</m:t>
              </m:r>
            </m:fName>
            <m:e>
              <m:d>
                <m:dPr>
                  <m:ctrlPr>
                    <w:rPr>
                      <w:rFonts w:ascii="Cambria Math" w:hAnsi="Cambria Math"/>
                    </w:rPr>
                  </m:ctrlPr>
                </m:dPr>
                <m:e>
                  <m:r>
                    <w:rPr>
                      <w:rFonts w:ascii="Cambria Math" w:hAnsi="Cambria Math"/>
                    </w:rPr>
                    <m:t>a</m:t>
                  </m:r>
                </m:e>
              </m:d>
            </m:e>
          </m:func>
          <m:r>
            <m:rPr>
              <m:sty m:val="p"/>
            </m:rPr>
            <w:rPr>
              <w:rFonts w:ascii="Cambria Math" w:hAnsi="Cambria Math"/>
            </w:rPr>
            <m:t xml:space="preserve">= </m:t>
          </m:r>
          <m:f>
            <m:fPr>
              <m:ctrlPr>
                <w:rPr>
                  <w:rFonts w:ascii="Cambria Math" w:hAnsi="Cambria Math"/>
                </w:rPr>
              </m:ctrlPr>
            </m:fPr>
            <m:num>
              <m:r>
                <m:rPr>
                  <m:sty m:val="p"/>
                </m:rPr>
                <w:rPr>
                  <w:rFonts w:ascii="Cambria Math" w:hAnsi="Cambria Math"/>
                </w:rPr>
                <m:t>TP+TN</m:t>
              </m:r>
            </m:num>
            <m:den>
              <m:r>
                <m:rPr>
                  <m:sty m:val="p"/>
                </m:rPr>
                <w:rPr>
                  <w:rFonts w:ascii="Cambria Math" w:hAnsi="Cambria Math"/>
                </w:rPr>
                <m:t>N</m:t>
              </m:r>
            </m:den>
          </m:f>
          <m:r>
            <m:rPr>
              <m:sty m:val="p"/>
            </m:rPr>
            <w:rPr>
              <w:rFonts w:ascii="Cambria Math" w:hAnsi="Cambria Math"/>
            </w:rPr>
            <m:t xml:space="preserve">                                                                               (5)</m:t>
          </m:r>
        </m:oMath>
      </m:oMathPara>
    </w:p>
    <w:p w14:paraId="5C6432A9" w14:textId="77777777" w:rsidR="00333E65" w:rsidRPr="004544A5" w:rsidRDefault="00333E65" w:rsidP="00ED1CF4">
      <w:pPr>
        <w:pStyle w:val="TAMainText"/>
      </w:pPr>
    </w:p>
    <w:p w14:paraId="0AF868EC" w14:textId="77777777" w:rsidR="00333E65" w:rsidRPr="004544A5" w:rsidRDefault="00333E65" w:rsidP="006247F8">
      <w:pPr>
        <w:outlineLvl w:val="0"/>
      </w:pPr>
      <m:oMathPara>
        <m:oMath>
          <m:r>
            <m:rPr>
              <m:sty m:val="p"/>
            </m:rPr>
            <w:rPr>
              <w:rFonts w:ascii="Cambria Math" w:hAnsi="Cambria Math"/>
            </w:rPr>
            <m:t xml:space="preserve">Pr⁡(e)= </m:t>
          </m:r>
          <m:f>
            <m:fPr>
              <m:ctrlPr>
                <w:rPr>
                  <w:rFonts w:ascii="Cambria Math" w:hAnsi="Cambria Math"/>
                </w:rPr>
              </m:ctrlPr>
            </m:fPr>
            <m:num>
              <m:d>
                <m:dPr>
                  <m:ctrlPr>
                    <w:rPr>
                      <w:rFonts w:ascii="Cambria Math" w:hAnsi="Cambria Math"/>
                    </w:rPr>
                  </m:ctrlPr>
                </m:dPr>
                <m:e>
                  <m:r>
                    <m:rPr>
                      <m:sty m:val="p"/>
                    </m:rPr>
                    <w:rPr>
                      <w:rFonts w:ascii="Cambria Math" w:hAnsi="Cambria Math"/>
                    </w:rPr>
                    <m:t>TP+FP) x (TP+FN</m:t>
                  </m:r>
                </m:e>
              </m:d>
              <m:r>
                <m:rPr>
                  <m:sty m:val="p"/>
                </m:rPr>
                <w:rPr>
                  <w:rFonts w:ascii="Cambria Math" w:hAnsi="Cambria Math"/>
                </w:rPr>
                <m:t xml:space="preserve">+ </m:t>
              </m:r>
              <m:d>
                <m:dPr>
                  <m:ctrlPr>
                    <w:rPr>
                      <w:rFonts w:ascii="Cambria Math" w:hAnsi="Cambria Math"/>
                    </w:rPr>
                  </m:ctrlPr>
                </m:dPr>
                <m:e>
                  <m:r>
                    <m:rPr>
                      <m:sty m:val="p"/>
                    </m:rPr>
                    <w:rPr>
                      <w:rFonts w:ascii="Cambria Math" w:hAnsi="Cambria Math"/>
                    </w:rPr>
                    <m:t>TN+FN</m:t>
                  </m:r>
                </m:e>
              </m:d>
              <m:r>
                <m:rPr>
                  <m:sty m:val="p"/>
                </m:rPr>
                <w:rPr>
                  <w:rFonts w:ascii="Cambria Math" w:hAnsi="Cambria Math"/>
                </w:rPr>
                <m:t xml:space="preserve"> x </m:t>
              </m:r>
              <m:d>
                <m:dPr>
                  <m:ctrlPr>
                    <w:rPr>
                      <w:rFonts w:ascii="Cambria Math" w:hAnsi="Cambria Math"/>
                    </w:rPr>
                  </m:ctrlPr>
                </m:dPr>
                <m:e>
                  <m:r>
                    <m:rPr>
                      <m:sty m:val="p"/>
                    </m:rPr>
                    <w:rPr>
                      <w:rFonts w:ascii="Cambria Math" w:hAnsi="Cambria Math"/>
                    </w:rPr>
                    <m:t>TN+FP</m:t>
                  </m:r>
                </m:e>
              </m:d>
            </m:num>
            <m:den>
              <m:r>
                <m:rPr>
                  <m:sty m:val="p"/>
                </m:rPr>
                <w:rPr>
                  <w:rFonts w:ascii="Cambria Math" w:hAnsi="Cambria Math"/>
                </w:rPr>
                <m:t>N</m:t>
              </m:r>
            </m:den>
          </m:f>
          <m:r>
            <m:rPr>
              <m:sty m:val="p"/>
            </m:rPr>
            <w:rPr>
              <w:rFonts w:ascii="Cambria Math" w:hAnsi="Cambria Math"/>
            </w:rPr>
            <m:t xml:space="preserve">  (6)</m:t>
          </m:r>
        </m:oMath>
      </m:oMathPara>
    </w:p>
    <w:p w14:paraId="76DDCBF2" w14:textId="77777777" w:rsidR="00333E65" w:rsidRPr="004544A5" w:rsidRDefault="00333E65" w:rsidP="00ED1CF4">
      <w:pPr>
        <w:pStyle w:val="TAMainText"/>
      </w:pPr>
    </w:p>
    <w:p w14:paraId="35E5F52E" w14:textId="77777777" w:rsidR="00333E65" w:rsidRPr="004544A5" w:rsidRDefault="00333E65" w:rsidP="00ED1CF4">
      <m:oMathPara>
        <m:oMath>
          <m:r>
            <w:rPr>
              <w:rFonts w:ascii="Cambria Math" w:hAnsi="Cambria Math"/>
            </w:rPr>
            <m:t>k</m:t>
          </m:r>
          <m:r>
            <m:rPr>
              <m:sty m:val="p"/>
            </m:rPr>
            <w:rPr>
              <w:rFonts w:ascii="Cambria Math" w:hAnsi="Cambria Math"/>
            </w:rPr>
            <m:t xml:space="preserve"> = </m:t>
          </m:r>
          <m:f>
            <m:fPr>
              <m:ctrlPr>
                <w:rPr>
                  <w:rFonts w:ascii="Cambria Math" w:hAnsi="Cambria Math"/>
                </w:rPr>
              </m:ctrlPr>
            </m:fPr>
            <m:num>
              <m:func>
                <m:funcPr>
                  <m:ctrlPr>
                    <w:rPr>
                      <w:rFonts w:ascii="Cambria Math" w:hAnsi="Cambria Math"/>
                    </w:rPr>
                  </m:ctrlPr>
                </m:funcPr>
                <m:fName>
                  <m:r>
                    <m:rPr>
                      <m:sty m:val="p"/>
                    </m:rPr>
                    <w:rPr>
                      <w:rFonts w:ascii="Cambria Math" w:hAnsi="Cambria Math"/>
                    </w:rPr>
                    <m:t>Pr</m:t>
                  </m:r>
                </m:fName>
                <m:e>
                  <m:d>
                    <m:dPr>
                      <m:ctrlPr>
                        <w:rPr>
                          <w:rFonts w:ascii="Cambria Math" w:hAnsi="Cambria Math"/>
                        </w:rPr>
                      </m:ctrlPr>
                    </m:dPr>
                    <m:e>
                      <m:r>
                        <w:rPr>
                          <w:rFonts w:ascii="Cambria Math" w:hAnsi="Cambria Math"/>
                        </w:rPr>
                        <m:t>a</m:t>
                      </m:r>
                    </m:e>
                  </m:d>
                </m:e>
              </m:func>
              <m:r>
                <m:rPr>
                  <m:sty m:val="p"/>
                </m:rPr>
                <w:rPr>
                  <w:rFonts w:ascii="Cambria Math" w:hAnsi="Cambria Math"/>
                </w:rPr>
                <m:t>- Pr⁡(</m:t>
              </m:r>
              <m:r>
                <w:rPr>
                  <w:rFonts w:ascii="Cambria Math" w:hAnsi="Cambria Math"/>
                </w:rPr>
                <m:t>e</m:t>
              </m:r>
              <m:r>
                <m:rPr>
                  <m:sty m:val="p"/>
                </m:rPr>
                <w:rPr>
                  <w:rFonts w:ascii="Cambria Math" w:hAnsi="Cambria Math"/>
                </w:rPr>
                <m:t>)</m:t>
              </m:r>
            </m:num>
            <m:den>
              <m:r>
                <m:rPr>
                  <m:sty m:val="p"/>
                </m:rPr>
                <w:rPr>
                  <w:rFonts w:ascii="Cambria Math" w:hAnsi="Cambria Math"/>
                </w:rPr>
                <m:t>1-Pr⁡(</m:t>
              </m:r>
              <m:r>
                <w:rPr>
                  <w:rFonts w:ascii="Cambria Math" w:hAnsi="Cambria Math"/>
                </w:rPr>
                <m:t>e</m:t>
              </m:r>
              <m:r>
                <m:rPr>
                  <m:sty m:val="p"/>
                </m:rPr>
                <w:rPr>
                  <w:rFonts w:ascii="Cambria Math" w:hAnsi="Cambria Math"/>
                </w:rPr>
                <m:t>)</m:t>
              </m:r>
            </m:den>
          </m:f>
          <m:r>
            <m:rPr>
              <m:sty m:val="p"/>
            </m:rPr>
            <w:rPr>
              <w:rFonts w:ascii="Cambria Math" w:hAnsi="Cambria Math"/>
            </w:rPr>
            <m:t xml:space="preserve">                                                                            (7)</m:t>
          </m:r>
        </m:oMath>
      </m:oMathPara>
    </w:p>
    <w:p w14:paraId="51FBBFB3" w14:textId="77777777" w:rsidR="00333E65" w:rsidRPr="004544A5" w:rsidRDefault="00333E65" w:rsidP="00ED1CF4">
      <w:pPr>
        <w:pStyle w:val="TAMainText"/>
      </w:pPr>
    </w:p>
    <w:p w14:paraId="41F615A3" w14:textId="77777777" w:rsidR="00333E65" w:rsidRPr="004544A5" w:rsidRDefault="00333E65" w:rsidP="00ED1CF4">
      <w:pPr>
        <w:pStyle w:val="TAMainText"/>
      </w:pPr>
      <w:r w:rsidRPr="004544A5">
        <w:t xml:space="preserve">Here, </w:t>
      </w:r>
      <w:proofErr w:type="spellStart"/>
      <w:r w:rsidRPr="004544A5">
        <w:t>Pr</w:t>
      </w:r>
      <w:proofErr w:type="spellEnd"/>
      <w:r w:rsidRPr="004544A5">
        <w:t xml:space="preserve">(a) represents the relative observed agreement between the predicted classification of the model and the known classification, and </w:t>
      </w:r>
      <w:proofErr w:type="spellStart"/>
      <w:r w:rsidRPr="004544A5">
        <w:t>Pr</w:t>
      </w:r>
      <w:proofErr w:type="spellEnd"/>
      <w:r w:rsidRPr="004544A5">
        <w:t xml:space="preserve">(e) is the hypothetical probability of chance agreement. In the end, </w:t>
      </w:r>
      <w:r w:rsidRPr="004544A5">
        <w:rPr>
          <w:i/>
        </w:rPr>
        <w:t>k</w:t>
      </w:r>
      <w:r w:rsidRPr="004544A5">
        <w:t xml:space="preserve"> analysis returns values between −1.0 (no agreement) and 1.0 (complete agreement), but values between 0.6 and 1.0 denote that the model is predictive. Finally, to further assure that the robustness of the models was not due to chance correlation, 10 rounds of Y-randomization were performed for each constructed model. </w:t>
      </w:r>
    </w:p>
    <w:p w14:paraId="18A8DF5D" w14:textId="2B54259C" w:rsidR="00333E65" w:rsidRPr="004544A5" w:rsidRDefault="00333E65" w:rsidP="00333E65">
      <w:pPr>
        <w:pStyle w:val="TAMainText"/>
      </w:pPr>
      <w:r w:rsidRPr="004544A5">
        <w:rPr>
          <w:b/>
        </w:rPr>
        <w:t>Consensus Modeling.</w:t>
      </w:r>
      <w:r w:rsidRPr="004544A5">
        <w:t xml:space="preserve"> After the building of QSAR models using all pairwise combinations of different types of chemical descriptors/fingerprints and various machine learning methods, the best models were used for consensus modeling, which can be derived by calculating an average for individual models. In consensus modeling, the final predicted value for each compound is estimated by including an average of the predicted values from the set of QSAR models. Thus, the averaged predicted activity for each compound is in the [0, 1] range. Formally, compounds with the predicted activity higher than 0.5 are classified as inhibitors, and those with the predicted activity lower than 0.5 are classified as non-inhibitors. Obviously, the closer the average predicted value</w:t>
      </w:r>
      <w:r w:rsidR="00A32277" w:rsidRPr="004544A5">
        <w:t xml:space="preserve"> is</w:t>
      </w:r>
      <w:r w:rsidRPr="004544A5">
        <w:t xml:space="preserve"> to 1 or 0, the higher the concordance among all models and the higher our confidence </w:t>
      </w:r>
      <w:r w:rsidR="00A32277" w:rsidRPr="004544A5">
        <w:t>is</w:t>
      </w:r>
      <w:r w:rsidRPr="004544A5">
        <w:t xml:space="preserve"> </w:t>
      </w:r>
      <w:r w:rsidR="00A32277" w:rsidRPr="004544A5">
        <w:t xml:space="preserve">in the </w:t>
      </w:r>
      <w:r w:rsidRPr="004544A5">
        <w:t>classif</w:t>
      </w:r>
      <w:r w:rsidR="00A32277" w:rsidRPr="004544A5">
        <w:t>ication of</w:t>
      </w:r>
      <w:r w:rsidRPr="004544A5">
        <w:t xml:space="preserve"> compounds as inhibitors or non-inhibitors, respectively.</w:t>
      </w:r>
    </w:p>
    <w:p w14:paraId="218DC1C3" w14:textId="6661E782" w:rsidR="00E07B9B" w:rsidRPr="004544A5" w:rsidRDefault="00333E65" w:rsidP="00333E65">
      <w:pPr>
        <w:pStyle w:val="TAMainText"/>
      </w:pPr>
      <w:r w:rsidRPr="004544A5">
        <w:rPr>
          <w:b/>
        </w:rPr>
        <w:t xml:space="preserve">Mechanistic Interpretation. </w:t>
      </w:r>
      <w:r w:rsidRPr="004544A5">
        <w:t xml:space="preserve">To explore favorable or unfavorable structural fragments for </w:t>
      </w:r>
      <w:proofErr w:type="spellStart"/>
      <w:r w:rsidRPr="004544A5">
        <w:rPr>
          <w:i/>
          <w:color w:val="000000"/>
        </w:rPr>
        <w:t>Sm</w:t>
      </w:r>
      <w:r w:rsidRPr="004544A5">
        <w:rPr>
          <w:color w:val="000000"/>
        </w:rPr>
        <w:t>TGR</w:t>
      </w:r>
      <w:proofErr w:type="spellEnd"/>
      <w:r w:rsidRPr="004544A5">
        <w:t xml:space="preserve"> inhibition, the </w:t>
      </w:r>
      <w:r w:rsidR="005D376F" w:rsidRPr="004544A5">
        <w:t>PPMs</w:t>
      </w:r>
      <w:r w:rsidRPr="004544A5">
        <w:t xml:space="preserve"> were generated to visualize the atomic and fragment contributions predicted by the best QSAR model.</w:t>
      </w:r>
      <w:r w:rsidRPr="004823BE">
        <w:fldChar w:fldCharType="begin" w:fldLock="1"/>
      </w:r>
      <w:r w:rsidR="00BD74F5">
        <w:instrText>ADDIN CSL_CITATION { "citationItems" : [ { "id" : "ITEM-1", "itemData" : { "DOI" : "10.1186/1758-2946-5-43", "ISSN" : "17582946", "PMID" : "24063533", "abstract" : ": Fingerprint similarity is a common method for comparing chemical structures. Similarity is an appealing approach because, with many fingerprint types, it provides intuitive results: a chemist looking at two molecules can understand why they have been determined to be similar. This transparency is partially lost with the fuzzier similarity methods that are often used for scaffold hopping and tends to vanish completely when molecular fingerprints are used as inputs to machine-learning (ML) models. Here we present similarity maps, a straightforward and general strategy to visualize the atomic contributions to the similarity between two molecules or the predicted probability of a ML model. We show the application of similarity maps to a set of dopamine D3 receptor ligands using atom-pair and circular fingerprints as well as two popular ML methods: random forests and na\u00efve Bayes. An open-source implementation of the method is provided.", "author" : [ { "dropping-particle" : "", "family" : "Riniker", "given" : "Sereina", "non-dropping-particle" : "", "parse-names" : false, "suffix" : "" }, { "dropping-particle" : "", "family" : "Landrum", "given" : "Gregory a.", "non-dropping-particle" : "", "parse-names" : false, "suffix" : "" } ], "container-title" : "Journal of Cheminformatics", "id" : "ITEM-1", "issue" : "9", "issued" : { "date-parts" : [ [ "2013" ] ] }, "page" : "1-7", "title" : "Similarity maps - A visualization strategy for molecular fingerprints and machine-learning methods", "type" : "article-journal", "volume" : "5" }, "uris" : [ "http://www.mendeley.com/documents/?uuid=d8cf034e-67c5-47d7-9691-ed924d5fe497" ] } ], "mendeley" : { "formattedCitation" : "&lt;sup&gt;50&lt;/sup&gt;", "plainTextFormattedCitation" : "50", "previouslyFormattedCitation" : "&lt;sup&gt;50&lt;/sup&gt;" }, "properties" : { "noteIndex" : 0 }, "schema" : "https://github.com/citation-style-language/schema/raw/master/csl-citation.json" }</w:instrText>
      </w:r>
      <w:r w:rsidRPr="004823BE">
        <w:fldChar w:fldCharType="separate"/>
      </w:r>
      <w:r w:rsidR="00AC76A7" w:rsidRPr="004544A5">
        <w:rPr>
          <w:noProof/>
          <w:vertAlign w:val="superscript"/>
        </w:rPr>
        <w:t>50</w:t>
      </w:r>
      <w:r w:rsidRPr="004823BE">
        <w:fldChar w:fldCharType="end"/>
      </w:r>
      <w:r w:rsidRPr="004544A5">
        <w:t xml:space="preserve"> </w:t>
      </w:r>
      <w:bookmarkStart w:id="40" w:name="OLE_LINK27"/>
      <w:bookmarkStart w:id="41" w:name="OLE_LINK32"/>
    </w:p>
    <w:bookmarkEnd w:id="40"/>
    <w:bookmarkEnd w:id="41"/>
    <w:p w14:paraId="30878779" w14:textId="6AC4491D" w:rsidR="00947C9C" w:rsidRDefault="00A92ADA" w:rsidP="00947C9C">
      <w:pPr>
        <w:pStyle w:val="TAMainText"/>
      </w:pPr>
      <w:r w:rsidRPr="004544A5">
        <w:rPr>
          <w:b/>
        </w:rPr>
        <w:lastRenderedPageBreak/>
        <w:t>Virtual Screening</w:t>
      </w:r>
      <w:r w:rsidR="00333E65" w:rsidRPr="004544A5">
        <w:rPr>
          <w:b/>
        </w:rPr>
        <w:t xml:space="preserve">. </w:t>
      </w:r>
      <w:r w:rsidR="00333E65" w:rsidRPr="004544A5">
        <w:t xml:space="preserve">The purpose of VS is to identify in a library of chemicals a subset of compounds with the desired properties based on computational calculations. Here the </w:t>
      </w:r>
      <w:proofErr w:type="spellStart"/>
      <w:r w:rsidR="00333E65" w:rsidRPr="004544A5">
        <w:t>DIVERSet</w:t>
      </w:r>
      <w:r w:rsidR="00333E65" w:rsidRPr="004544A5">
        <w:rPr>
          <w:vertAlign w:val="superscript"/>
        </w:rPr>
        <w:t>TM</w:t>
      </w:r>
      <w:proofErr w:type="spellEnd"/>
      <w:r w:rsidR="00333E65" w:rsidRPr="004544A5">
        <w:t xml:space="preserve">-CL, </w:t>
      </w:r>
      <w:proofErr w:type="spellStart"/>
      <w:r w:rsidR="00333E65" w:rsidRPr="004544A5">
        <w:t>DIVERSet</w:t>
      </w:r>
      <w:r w:rsidR="00333E65" w:rsidRPr="004544A5">
        <w:rPr>
          <w:vertAlign w:val="superscript"/>
        </w:rPr>
        <w:t>TM</w:t>
      </w:r>
      <w:proofErr w:type="spellEnd"/>
      <w:r w:rsidR="00333E65" w:rsidRPr="004544A5">
        <w:t xml:space="preserve">-EXP, and </w:t>
      </w:r>
      <w:proofErr w:type="spellStart"/>
      <w:r w:rsidR="00333E65" w:rsidRPr="004544A5">
        <w:t>PremiumSet</w:t>
      </w:r>
      <w:proofErr w:type="spellEnd"/>
      <w:r w:rsidR="00333E65" w:rsidRPr="004544A5">
        <w:t xml:space="preserve"> diversity datasets</w:t>
      </w:r>
      <w:r w:rsidR="00570664" w:rsidRPr="004544A5">
        <w:t xml:space="preserve"> taken</w:t>
      </w:r>
      <w:r w:rsidR="00333E65" w:rsidRPr="004544A5">
        <w:t xml:space="preserve"> </w:t>
      </w:r>
      <w:r w:rsidR="00A32277" w:rsidRPr="004544A5">
        <w:t>from the</w:t>
      </w:r>
      <w:r w:rsidR="00333E65" w:rsidRPr="004544A5">
        <w:t xml:space="preserve"> </w:t>
      </w:r>
      <w:proofErr w:type="spellStart"/>
      <w:r w:rsidR="00333E65" w:rsidRPr="004544A5">
        <w:t>ChemBrid</w:t>
      </w:r>
      <w:r w:rsidR="00A32277" w:rsidRPr="004544A5">
        <w:t>g</w:t>
      </w:r>
      <w:r w:rsidR="00333E65" w:rsidRPr="004544A5">
        <w:t>e</w:t>
      </w:r>
      <w:proofErr w:type="spellEnd"/>
      <w:r w:rsidR="00333E65" w:rsidRPr="004544A5">
        <w:t xml:space="preserve"> database were screened to identify inhibitors of </w:t>
      </w:r>
      <w:proofErr w:type="spellStart"/>
      <w:r w:rsidR="00333E65" w:rsidRPr="004544A5">
        <w:rPr>
          <w:i/>
          <w:color w:val="000000"/>
        </w:rPr>
        <w:t>Sm</w:t>
      </w:r>
      <w:r w:rsidR="00333E65" w:rsidRPr="004544A5">
        <w:rPr>
          <w:color w:val="000000"/>
        </w:rPr>
        <w:t>TGR</w:t>
      </w:r>
      <w:proofErr w:type="spellEnd"/>
      <w:r w:rsidR="00333E65" w:rsidRPr="004544A5">
        <w:t xml:space="preserve">. Prior to screening, the datasets were </w:t>
      </w:r>
      <w:r w:rsidR="008745C7" w:rsidRPr="004544A5">
        <w:t xml:space="preserve">curated in the same way as modeling set (see Data Curation section) </w:t>
      </w:r>
      <w:r w:rsidR="00333E65" w:rsidRPr="004544A5">
        <w:t>and filtered using the Veber</w:t>
      </w:r>
      <w:r w:rsidR="00333E65" w:rsidRPr="004823BE">
        <w:fldChar w:fldCharType="begin" w:fldLock="1"/>
      </w:r>
      <w:r w:rsidR="00BD74F5">
        <w:instrText>ADDIN CSL_CITATION { "citationItems" : [ { "id" : "ITEM-1", "itemData" : { "DOI" : "10.1021/jm020017n", "ISBN" : "0022-2623", "ISSN" : "00222623", "PMID" : "12036371", "abstract" : "Oral bioavailability measurements in rats for over 1100 drug candidates studied at SmithKline Beecham Pharmaceuticals (now GlaxoSmithKline) have allowed us to analyze the relative importance of molecular properties considered to influence that drug property. Reduced molecular flexibility, as measured by the number of rotatable bonds, and low polar surface area or total hydrogen bond count (sum of donors and acceptors) are found to be important predictors of good oral bioavailability, independent of molecular weight. That on average both the number of rotatable bonds and polar surface area or hydrogen bond count tend to increase with molecular weight may in part explain the success of the molecular weight parameter in predicting oral bioavailability. The commonly applied molecular weight cutoff at 500 does not itself significantly separate compounds with poor oral bioavailability from those with acceptable values in this extensive data set. Our observations suggest that compounds which meet only the two criteria of (1) 10 or fewer rotatable bonds and (2) polar surface area equal to or less than 140 A(2) (or 12 or fewer H-bond donors and acceptors) will have a high probability of good oral bioavailability in the rat. Data sets for the artificial membrane permeation rate and for clearance in the rat were also examined. Reduced polar surface area correlates better with increased permeation rate than does lipophilicity (C log P), and increased rotatable bond count has a negative effect on the permeation rate. A threshold permeation rate is a prerequisite of oral bioavailability. The rotatable bond count does not correlate with the data examined here for the in vivo clearance rate in the rat.", "author" : [ { "dropping-particle" : "", "family" : "Veber", "given" : "Daniel F.", "non-dropping-particle" : "", "parse-names" : false, "suffix" : "" }, { "dropping-particle" : "", "family" : "Johnson", "given" : "Stephen R.", "non-dropping-particle" : "", "parse-names" : false, "suffix" : "" }, { "dropping-particle" : "", "family" : "Cheng", "given" : "Hung Yuan", "non-dropping-particle" : "", "parse-names" : false, "suffix" : "" }, { "dropping-particle" : "", "family" : "Smith", "given" : "Brian R", "non-dropping-particle" : "", "parse-names" : false, "suffix" : "" }, { "dropping-particle" : "", "family" : "Ward", "given" : "Keith W.", "non-dropping-particle" : "", "parse-names" : false, "suffix" : "" }, { "dropping-particle" : "", "family" : "Kopple", "given" : "Kenneth D.", "non-dropping-particle" : "", "parse-names" : false, "suffix" : "" } ], "container-title" : "Journal of Medicinal Chemistry", "id" : "ITEM-1", "issue" : "12", "issued" : { "date-parts" : [ [ "2002" ] ] }, "page" : "2615-2623", "title" : "Molecular properties that influence the oral bioavailability of drug candidates", "type" : "article-journal", "volume" : "45" }, "uris" : [ "http://www.mendeley.com/documents/?uuid=28223f0e-c78f-47ed-a125-5e3fcbdef73d" ] } ], "mendeley" : { "formattedCitation" : "&lt;sup&gt;57&lt;/sup&gt;", "plainTextFormattedCitation" : "57", "previouslyFormattedCitation" : "&lt;sup&gt;57&lt;/sup&gt;" }, "properties" : { "noteIndex" : 0 }, "schema" : "https://github.com/citation-style-language/schema/raw/master/csl-citation.json" }</w:instrText>
      </w:r>
      <w:r w:rsidR="00333E65" w:rsidRPr="004823BE">
        <w:fldChar w:fldCharType="separate"/>
      </w:r>
      <w:r w:rsidR="00F434C8" w:rsidRPr="004544A5">
        <w:rPr>
          <w:noProof/>
          <w:vertAlign w:val="superscript"/>
        </w:rPr>
        <w:t>57</w:t>
      </w:r>
      <w:r w:rsidR="00333E65" w:rsidRPr="004823BE">
        <w:fldChar w:fldCharType="end"/>
      </w:r>
      <w:r w:rsidR="00333E65" w:rsidRPr="004544A5">
        <w:t xml:space="preserve"> and  Lipinski’s rule</w:t>
      </w:r>
      <w:r w:rsidR="008745C7" w:rsidRPr="004544A5">
        <w:t>s</w:t>
      </w:r>
      <w:r w:rsidR="00333E65" w:rsidRPr="004823BE">
        <w:fldChar w:fldCharType="begin" w:fldLock="1"/>
      </w:r>
      <w:r w:rsidR="00BD74F5">
        <w:instrText>ADDIN CSL_CITATION { "citationItems" : [ { "id" : "ITEM-1", "itemData" : { "DOI" : "10.1016/S0169-409X(96)00423-1", "ISBN" : "0169-409X (Print)\\r0169-409X (Linking)", "ISSN" : "0169409X", "PMID" : "11259830", "author" : [ { "dropping-particle" : "", "family" : "Lipinski", "given" : "Christopher A.", "non-dropping-particle" : "", "parse-names" : false, "suffix" : "" }, { "dropping-particle" : "", "family" : "Lombardo", "given" : "Franco", "non-dropping-particle" : "", "parse-names" : false, "suffix" : "" }, { "dropping-particle" : "", "family" : "Dominy", "given" : "Beryl W.", "non-dropping-particle" : "", "parse-names" : false, "suffix" : "" }, { "dropping-particle" : "", "family" : "Feeney", "given" : "Paul J", "non-dropping-particle" : "", "parse-names" : false, "suffix" : "" } ], "container-title" : "Advanced Drug Delivery Reviews", "id" : "ITEM-1", "issue" : "1-3", "issued" : { "date-parts" : [ [ "1997", "1" ] ] }, "page" : "3-25", "title" : "Experimental and computational approaches to estimate solubility and permeability in drug discovery and development settings", "type" : "article-journal", "volume" : "23" }, "uris" : [ "http://www.mendeley.com/documents/?uuid=ffffe30c-3844-4335-97de-4bc5c417cb44" ] } ], "mendeley" : { "formattedCitation" : "&lt;sup&gt;58&lt;/sup&gt;", "plainTextFormattedCitation" : "58", "previouslyFormattedCitation" : "&lt;sup&gt;58&lt;/sup&gt;" }, "properties" : { "noteIndex" : 0 }, "schema" : "https://github.com/citation-style-language/schema/raw/master/csl-citation.json" }</w:instrText>
      </w:r>
      <w:r w:rsidR="00333E65" w:rsidRPr="004823BE">
        <w:fldChar w:fldCharType="separate"/>
      </w:r>
      <w:r w:rsidR="00F434C8" w:rsidRPr="004544A5">
        <w:rPr>
          <w:noProof/>
          <w:vertAlign w:val="superscript"/>
        </w:rPr>
        <w:t>58</w:t>
      </w:r>
      <w:r w:rsidR="00333E65" w:rsidRPr="004823BE">
        <w:fldChar w:fldCharType="end"/>
      </w:r>
      <w:r w:rsidR="00333E65" w:rsidRPr="004544A5">
        <w:t xml:space="preserve"> to obtain drug-like compounds.  </w:t>
      </w:r>
      <w:r w:rsidR="008745C7" w:rsidRPr="004544A5">
        <w:t>F</w:t>
      </w:r>
      <w:r w:rsidR="00333E65" w:rsidRPr="004544A5">
        <w:t xml:space="preserve">ingerprints and molecular descriptors were generated for all compounds and normalized (except fingerprints) based on the minimum and maximum values of each descriptor of the modeling set. Then, best consensus and consensus rigor models were used to predict the </w:t>
      </w:r>
      <w:proofErr w:type="spellStart"/>
      <w:r w:rsidR="00333E65" w:rsidRPr="004544A5">
        <w:rPr>
          <w:i/>
          <w:color w:val="000000"/>
        </w:rPr>
        <w:t>Sm</w:t>
      </w:r>
      <w:r w:rsidR="00333E65" w:rsidRPr="004544A5">
        <w:rPr>
          <w:color w:val="000000"/>
        </w:rPr>
        <w:t>TGR</w:t>
      </w:r>
      <w:proofErr w:type="spellEnd"/>
      <w:r w:rsidR="00333E65" w:rsidRPr="004544A5">
        <w:t xml:space="preserve"> inhibition activity of compounds. The prediction results were accepted only when the compound was found within the applicability domains of more than 50% of all models used in consensus prediction. In addition, to estimate the structural novelty of </w:t>
      </w:r>
      <w:r w:rsidR="005A340E" w:rsidRPr="00FA47CC">
        <w:t>putative</w:t>
      </w:r>
      <w:r w:rsidR="00333E65" w:rsidRPr="00FA47CC">
        <w:t xml:space="preserve"> hits, we calculated the pairwise </w:t>
      </w:r>
      <w:proofErr w:type="spellStart"/>
      <w:r w:rsidR="00333E65" w:rsidRPr="004544A5">
        <w:t>Tanimoto</w:t>
      </w:r>
      <w:proofErr w:type="spellEnd"/>
      <w:r w:rsidR="00333E65" w:rsidRPr="004544A5">
        <w:t xml:space="preserve"> coefficients (using MACCS key fingerprints) between each screened </w:t>
      </w:r>
      <w:r w:rsidR="005A340E" w:rsidRPr="00FA47CC">
        <w:t xml:space="preserve">putative </w:t>
      </w:r>
      <w:r w:rsidR="00333E65" w:rsidRPr="00FA47CC">
        <w:t xml:space="preserve">hit and compounds in the full dataset </w:t>
      </w:r>
      <w:r w:rsidRPr="004544A5">
        <w:t xml:space="preserve">of </w:t>
      </w:r>
      <w:proofErr w:type="spellStart"/>
      <w:r w:rsidRPr="004544A5">
        <w:rPr>
          <w:i/>
        </w:rPr>
        <w:t>Sm</w:t>
      </w:r>
      <w:r w:rsidRPr="004544A5">
        <w:t>TGR</w:t>
      </w:r>
      <w:proofErr w:type="spellEnd"/>
      <w:r w:rsidRPr="004544A5">
        <w:t xml:space="preserve"> inhibitors. </w:t>
      </w:r>
      <w:r w:rsidR="00CF7BAC" w:rsidRPr="004544A5">
        <w:t xml:space="preserve">Then, </w:t>
      </w:r>
      <w:r w:rsidR="005A340E" w:rsidRPr="00FA47CC">
        <w:t xml:space="preserve">putative </w:t>
      </w:r>
      <w:r w:rsidR="00CF7BAC" w:rsidRPr="004544A5">
        <w:t xml:space="preserve">hits with previous bioactivity data against </w:t>
      </w:r>
      <w:proofErr w:type="spellStart"/>
      <w:r w:rsidR="00CF7BAC" w:rsidRPr="004544A5">
        <w:rPr>
          <w:i/>
        </w:rPr>
        <w:t>Sm</w:t>
      </w:r>
      <w:r w:rsidR="00CF7BAC" w:rsidRPr="004544A5">
        <w:t>TGR</w:t>
      </w:r>
      <w:proofErr w:type="spellEnd"/>
      <w:r w:rsidR="00CF7BAC" w:rsidRPr="004544A5">
        <w:t xml:space="preserve"> or </w:t>
      </w:r>
      <w:r w:rsidR="00CF7BAC" w:rsidRPr="004544A5">
        <w:rPr>
          <w:i/>
        </w:rPr>
        <w:t xml:space="preserve">S. </w:t>
      </w:r>
      <w:proofErr w:type="spellStart"/>
      <w:r w:rsidR="00CF7BAC" w:rsidRPr="004544A5">
        <w:rPr>
          <w:i/>
        </w:rPr>
        <w:t>mansoni</w:t>
      </w:r>
      <w:proofErr w:type="spellEnd"/>
      <w:r w:rsidR="00CF7BAC" w:rsidRPr="004544A5">
        <w:t xml:space="preserve"> were identified and PAINS were removed using a workflow developed by </w:t>
      </w:r>
      <w:proofErr w:type="spellStart"/>
      <w:r w:rsidR="00CF7BAC" w:rsidRPr="004544A5">
        <w:t>Saubern</w:t>
      </w:r>
      <w:proofErr w:type="spellEnd"/>
      <w:r w:rsidR="00CF7BAC" w:rsidRPr="004544A5">
        <w:t xml:space="preserve"> and colleagues.</w:t>
      </w:r>
      <w:r w:rsidR="00CF7BAC" w:rsidRPr="004823BE">
        <w:fldChar w:fldCharType="begin" w:fldLock="1"/>
      </w:r>
      <w:r w:rsidR="00456ABA">
        <w:instrText>ADDIN CSL_CITATION { "citationItems" : [ { "id" : "ITEM-1", "itemData" : { "DOI" : "10.1002/minf.201100076", "ISSN" : "18681743", "author" : [ { "dropping-particle" : "", "family" : "Saubern", "given" : "Simon", "non-dropping-particle" : "", "parse-names" : false, "suffix" : "" }, { "dropping-particle" : "", "family" : "Guha", "given" : "Rajarshi", "non-dropping-particle" : "", "parse-names" : false, "suffix" : "" }, { "dropping-particle" : "", "family" : "Baell", "given" : "Jonathan B.", "non-dropping-particle" : "", "parse-names" : false, "suffix" : "" } ], "container-title" : "Molecular Informatics", "id" : "ITEM-1", "issue" : "10", "issued" : { "date-parts" : [ [ "2011", "10" ] ] }, "page" : "847-850", "title" : "KNIME Workflow to Assess PAINS Filters in SMARTS Format. Comparison of RDKit and Indigo Cheminformatics Libraries", "type" : "article-journal", "volume" : "30" }, "uris" : [ "http://www.mendeley.com/documents/?uuid=ca9aec00-37bb-4a7e-a803-64a6370878c4", "http://www.mendeley.com/documents/?uuid=b638b3a5-57b7-4a6d-bfe8-231ed09261f2", "http://www.mendeley.com/documents/?uuid=80944dda-54a1-4418-9ba0-2a9115da6f6e" ] } ], "mendeley" : { "formattedCitation" : "&lt;sup&gt;98&lt;/sup&gt;", "plainTextFormattedCitation" : "98", "previouslyFormattedCitation" : "&lt;sup&gt;98&lt;/sup&gt;" }, "properties" : { "noteIndex" : 0 }, "schema" : "https://github.com/citation-style-language/schema/raw/master/csl-citation.json" }</w:instrText>
      </w:r>
      <w:r w:rsidR="00CF7BAC" w:rsidRPr="004823BE">
        <w:fldChar w:fldCharType="separate"/>
      </w:r>
      <w:r w:rsidR="00456ABA" w:rsidRPr="00456ABA">
        <w:rPr>
          <w:noProof/>
          <w:vertAlign w:val="superscript"/>
        </w:rPr>
        <w:t>98</w:t>
      </w:r>
      <w:r w:rsidR="00CF7BAC" w:rsidRPr="004823BE">
        <w:fldChar w:fldCharType="end"/>
      </w:r>
      <w:r w:rsidR="00D82B6F" w:rsidRPr="004544A5">
        <w:t xml:space="preserve"> Finally, hits were imported into Maestro workspace v.9.3</w:t>
      </w:r>
      <w:r w:rsidR="00D82B6F" w:rsidRPr="00D82B6F">
        <w:t xml:space="preserve"> and </w:t>
      </w:r>
      <w:r w:rsidR="00433C94">
        <w:t>their</w:t>
      </w:r>
      <w:r w:rsidR="00D82B6F" w:rsidRPr="00D82B6F">
        <w:t xml:space="preserve"> aqueous solubility (</w:t>
      </w:r>
      <w:proofErr w:type="spellStart"/>
      <w:r w:rsidR="00D82B6F" w:rsidRPr="00D82B6F">
        <w:t>CIQPlogS</w:t>
      </w:r>
      <w:proofErr w:type="spellEnd"/>
      <w:r w:rsidR="00D82B6F" w:rsidRPr="00D82B6F">
        <w:t>), binding to human serum albumin (</w:t>
      </w:r>
      <w:proofErr w:type="spellStart"/>
      <w:r w:rsidR="00D82B6F" w:rsidRPr="00D82B6F">
        <w:t>QPlogKhsa</w:t>
      </w:r>
      <w:proofErr w:type="spellEnd"/>
      <w:r w:rsidR="00D82B6F" w:rsidRPr="00D82B6F">
        <w:t>), brain/blood partition coefficient (</w:t>
      </w:r>
      <w:proofErr w:type="spellStart"/>
      <w:r w:rsidR="00D82B6F" w:rsidRPr="00D82B6F">
        <w:t>QPlogBB</w:t>
      </w:r>
      <w:proofErr w:type="spellEnd"/>
      <w:r w:rsidR="00D82B6F" w:rsidRPr="00D82B6F">
        <w:t xml:space="preserve">) properties </w:t>
      </w:r>
      <w:r w:rsidR="00433C94">
        <w:t xml:space="preserve">were </w:t>
      </w:r>
      <w:r w:rsidR="00D82B6F" w:rsidRPr="00D82B6F">
        <w:t xml:space="preserve">predicted using </w:t>
      </w:r>
      <w:proofErr w:type="spellStart"/>
      <w:r w:rsidR="00D82B6F" w:rsidRPr="00D82B6F">
        <w:t>QikProp</w:t>
      </w:r>
      <w:proofErr w:type="spellEnd"/>
      <w:r w:rsidR="00D82B6F" w:rsidRPr="00D82B6F">
        <w:t xml:space="preserve"> v.3.</w:t>
      </w:r>
      <w:r w:rsidR="00900B7E">
        <w:t>4</w:t>
      </w:r>
      <w:r w:rsidR="00900B7E">
        <w:fldChar w:fldCharType="begin" w:fldLock="1"/>
      </w:r>
      <w:r w:rsidR="00A439B6">
        <w:instrText>ADDIN CSL_CITATION { "citationItems" : [ { "id" : "ITEM-1", "itemData" : { "container-title" : "QikProp version 3.4. Schr\u00f6dinger Inc., New York, USA, http://www.schrodinger.com/, 2011.", "id" : "ITEM-1", "issued" : { "date-parts" : [ [ "0" ] ] }, "title" : "QikProp version 3.4. Schr\u00f6dinger Inc., New York, USA, http://www.schrodinger.com/, 2011.", "type" : "webpage" }, "uris" : [ "http://www.mendeley.com/documents/?uuid=ef359e13-d064-4032-aeea-1174e7d7b2d3", "http://www.mendeley.com/documents/?uuid=029cdbf8-56cd-47df-8c07-dbdba8c10d8d" ] } ], "mendeley" : { "formattedCitation" : "&lt;sup&gt;61&lt;/sup&gt;", "plainTextFormattedCitation" : "61", "previouslyFormattedCitation" : "&lt;sup&gt;61&lt;/sup&gt;" }, "properties" : { "noteIndex" : 0 }, "schema" : "https://github.com/citation-style-language/schema/raw/master/csl-citation.json" }</w:instrText>
      </w:r>
      <w:r w:rsidR="00900B7E">
        <w:fldChar w:fldCharType="separate"/>
      </w:r>
      <w:r w:rsidR="00F434C8" w:rsidRPr="00F434C8">
        <w:rPr>
          <w:noProof/>
          <w:vertAlign w:val="superscript"/>
        </w:rPr>
        <w:t>61</w:t>
      </w:r>
      <w:r w:rsidR="00900B7E">
        <w:fldChar w:fldCharType="end"/>
      </w:r>
      <w:r w:rsidR="00900B7E" w:rsidRPr="00D82B6F">
        <w:t xml:space="preserve"> </w:t>
      </w:r>
      <w:r w:rsidR="00433C94">
        <w:t>and</w:t>
      </w:r>
      <w:r w:rsidR="00D82B6F" w:rsidRPr="00D82B6F">
        <w:t xml:space="preserve"> </w:t>
      </w:r>
      <w:proofErr w:type="spellStart"/>
      <w:r w:rsidR="00146814">
        <w:t>hERG</w:t>
      </w:r>
      <w:proofErr w:type="spellEnd"/>
      <w:r w:rsidR="00146814">
        <w:t xml:space="preserve"> inhibition, carcinogenicity and hep</w:t>
      </w:r>
      <w:r w:rsidR="00472F14">
        <w:t>ato</w:t>
      </w:r>
      <w:r w:rsidR="00146814">
        <w:t>toxicity were predicted using</w:t>
      </w:r>
      <w:r w:rsidR="00146814" w:rsidRPr="00D82B6F">
        <w:t xml:space="preserve"> </w:t>
      </w:r>
      <w:r w:rsidR="00D82B6F" w:rsidRPr="00D82B6F">
        <w:t xml:space="preserve">the </w:t>
      </w:r>
      <w:proofErr w:type="spellStart"/>
      <w:r w:rsidR="00D82B6F" w:rsidRPr="00D82B6F">
        <w:t>Pred-hERG</w:t>
      </w:r>
      <w:proofErr w:type="spellEnd"/>
      <w:r w:rsidR="00D82B6F" w:rsidRPr="00D82B6F">
        <w:t xml:space="preserve"> server,</w:t>
      </w:r>
      <w:r w:rsidR="00D82B6F">
        <w:fldChar w:fldCharType="begin" w:fldLock="1"/>
      </w:r>
      <w:r w:rsidR="00456ABA">
        <w:instrText>ADDIN CSL_CITATION { "citationItems" : [ { "id" : "ITEM-1", "itemData" : { "abstract" : "Several non-cardiovascular drugs have been withdrawn from the market due to their crit. side effect of inhibiting the human ether-a-go-go related gene (hERG) K+ channels, which may lead to heart arrhythmia and death.  Thus, hERG safety testing is an indispensable process that is required by the US FDA.  There is considerable interest in developing computational tools to filter out potential hERG blockers in early stages of drug discovery.  In this work, we describe the development of a new tool for the rapid identification of potential cardiotoxic compds. by hERG inhibition.  We have compiled the largest publicly available dataset of hERG binding, contg. 11, 958 compds. from the ChEMBL database.  Once curated, this dataset contained 4, 980 compds. for modeling.  Several types of QSAR models have been developed and validated according to the OECD principles.  The external classification accuracies discriminating blockers from non-blockers were 0.83-0.93 on external set.  Model interpretation revealed several SAR rules, which can guide structural optimization of some hERG blockers into non-blockers.  Virtual screening of the WDI chem. library using selected QSAR models identified 4, 945 compds. as potential hERG blockers.  The developed models can reliably identify blockers and non-blockers, which could be useful for the scientific community.  A freely accessible web server has been developed allowing users to identify putative hERG blockers and non-blockers in chem. libraries of their interest (http://labmol.farmacia.ufg.br/predherg). [on SciFinder(R)]", "author" : [ { "dropping-particle" : "", "family" : "Alves", "given" : "Vinicius M", "non-dropping-particle" : "", "parse-names" : false, "suffix" : "" }, { "dropping-particle" : "", "family" : "Braga", "given" : "Rodolpho C", "non-dropping-particle" : "", "parse-names" : false, "suffix" : "" }, { "dropping-particle" : "", "family" : "Silva", "given" : "Meryck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"Abstracts of Papers, 248th ACS National Meeting &amp; Exposition, San Francisco, CA, United States, August 10-14, 2014", "id" : "ITEM-1", "issued" : { "date-parts" : [ [ "2014" ] ] }, "page" : "CINF-40", "publisher" : "American Chemical Society", "title" : "Pred-hERG: A novel web-accessible computational tool for predicting cardiac toxicity of drug candidates.", "type" : "paper-conference" }, "uris" : [ "http://www.mendeley.com/documents/?uuid=7f113c11-fbd7-4801-8f5e-dd6bf3242297" ] }, { "id" : "ITEM-2", "itemData" : { "DOI" : "10.1002/minf.201500040", "ISSN" : "18681743",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"Li\u00e3o", "given" : "Luciano M.", "non-dropping-particle" : "", "parse-names" : false, "suffix" : "" }, { "dropping-particle" : "", "family" : "Tropsha", "given" : "Alexander", "non-dropping-particle" : "", "parse-names" : false, "suffix" : "" }, { "dropping-particle" : "", "family" : "Andrade", "given" : "Carolina H.", "non-dropping-particle" : "", "parse-names" : false, "suffix" : "" } ], "container-title" : "Molecular Informatics", "id" : "ITEM-2", "issue" : "10", "issued" : { "date-parts" : [ [ "2015", "10" ] ] }, "page" : "698-701", "title" : "Pred-hERG: A Novel web-Accessible Computational Tool for Predicting Cardiac Toxicity", "type" : "article-journal", "volume" : "34" }, "uris" : [ "http://www.mendeley.com/documents/?uuid=ef17b04b-3f7a-4636-af82-a242652e65d8" ] }, { "id" : "ITEM-3", "itemData" : { "DOI" : "10.2174/1568026614666140506124442", "ISSN" : "1873-4294", "PMID" : "24805060", "abstract" : "Several non-cardiovascular drugs have been withdrawn from the market due to their inhibition of hERG K+ channels that can potentially lead to severe heart arrhythmia and death. As hERG safety testing is a mandatory FDArequired procedure, there is a considerable interest for developing predictive computational tools to identify and filter out potential hERG blockers early in the drug discovery process. In this study, we aimed to generate predictive and well-characterized quantitative structure-activity relationship (QSAR) models for hERG blockage using the largest publicly available dataset of 11,958 compounds from the ChEMBL database. The models have been developed and validated according to OECD guidelines using four types of descriptors and four different machine-learning techniques. The classification accuracies discriminating blockers from non-blockers were as high as 0.83-0.93 on external set. Model interpretation revealed several SAR rules, which can guide structural optimization of some hERG blockers into non-blockers. We have also applied the generated models for screening the World Drug Index (WDI) database and identify putative hERG blockers and non-blockers among currently marketed drugs. The developed models can reliably identify blockers and non-blockers, which could be useful for the scientific community. A freely accessible web server has been developed allowing users to identify putative hERG blockers and non-blockers in chemical libraries of their interest (http://labmol.farmacia.ufg.br/predherg).", "author" : [ { "dropping-particle" : "", "family" : "Braga", "given" : "Rodolpho C", "non-dropping-particle" : "", "parse-names" : false, "suffix" : "" }, { "dropping-particle" : "", "family" : "Alves", "given" : "Vinicius M", "non-dropping-particle" : "", "parse-names" : false, "suffix" : "" }, { "dropping-particle" : "", "family" : "Silva", "given" : "Meryck F B", "non-dropping-particle" : "", "parse-names" : false, "suffix" : "" }, { "dropping-particle" : "", "family" : "Muratov", "given" : "Eugene", "non-dropping-particle" : "", "parse-names" : false, "suffix" : "" }, { "dropping-particle" : "", "family" : "Fourches", "given" : "Denis", "non-dropping-particle" : "", "parse-names" : false, "suffix" : "" }, { "dropping-particle" : "", "family" : "Tropsha", "given" : "Alexander", "non-dropping-particle" : "", "parse-names" : false, "suffix" : "" }, { "dropping-particle" : "", "family" : "Andrade", "given" : "Carolina H", "non-dropping-particle" : "", "parse-names" : false, "suffix" : "" } ], "container-title" : "Current Topics in Medicinal Chemistry", "id" : "ITEM-3", "issue" : "11", "issued" : { "date-parts" : [ [ "2014", "5" ] ] }, "page" : "1399-1415", "title" : "Tuning HERG out: antitarget QSAR models for drug development.", "type" : "article-journal", "volume" : "14" }, "uris" : [ "http://www.mendeley.com/documents/?uuid=d954d605-4769-4047-9460-818164b830a0" ] } ], "mendeley" : { "formattedCitation" : "&lt;sup&gt;46,47,99&lt;/sup&gt;", "plainTextFormattedCitation" : "46,47,99", "previouslyFormattedCitation" : "&lt;sup&gt;46,47,99&lt;/sup&gt;" }, "properties" : { "noteIndex" : 0 }, "schema" : "https://github.com/citation-style-language/schema/raw/master/csl-citation.json" }</w:instrText>
      </w:r>
      <w:r w:rsidR="00D82B6F">
        <w:fldChar w:fldCharType="separate"/>
      </w:r>
      <w:r w:rsidR="00456ABA" w:rsidRPr="00456ABA">
        <w:rPr>
          <w:noProof/>
          <w:vertAlign w:val="superscript"/>
        </w:rPr>
        <w:t>46,47,99</w:t>
      </w:r>
      <w:r w:rsidR="00D82B6F">
        <w:fldChar w:fldCharType="end"/>
      </w:r>
      <w:r w:rsidR="00D82B6F" w:rsidRPr="00D82B6F">
        <w:t xml:space="preserve">  </w:t>
      </w:r>
      <w:proofErr w:type="spellStart"/>
      <w:r w:rsidR="00D82B6F" w:rsidRPr="00D82B6F">
        <w:t>admetSAR</w:t>
      </w:r>
      <w:proofErr w:type="spellEnd"/>
      <w:r w:rsidR="00D82B6F" w:rsidRPr="00D82B6F">
        <w:t xml:space="preserve"> server,</w:t>
      </w:r>
      <w:r w:rsidR="00D82B6F">
        <w:fldChar w:fldCharType="begin" w:fldLock="1"/>
      </w:r>
      <w:r w:rsidR="00456ABA">
        <w:instrText>ADDIN CSL_CITATION { "citationItems" : [ { "id" : "ITEM-1", "itemData" : { "DOI" : "10.1021/ci300367a", "ISSN" : "1549-9596", "author" : [ { "dropping-particle" : "", "family" : "Cheng", "given" : "Feixiong", "non-dropping-particle" : "", "parse-names" : false, "suffix" : "" }, { "dropping-particle" : "", "family" : "Li", "given" : "Weihua", "non-dropping-particle" : "", "parse-names" : false, "suffix" : "" }, { "dropping-particle" : "", "family" : "Zhou", "given" : "Yadi", "non-dropping-particle" : "", "parse-names" : false, "suffix" : "" }, { "dropping-particle" : "", "family" : "Shen", "given" : "Jie", "non-dropping-particle" : "", "parse-names" : false, "suffix" : "" }, { "dropping-particle" : "", "family" : "Wu", "given" : "Zengrui", "non-dropping-particle" : "", "parse-names" : false, "suffix" : "" }, { "dropping-particle" : "", "family" : "Liu", "given" : "Guixia", "non-dropping-particle" : "", "parse-names" : false, "suffix" : "" }, { "dropping-particle" : "", "family" : "Lee", "given" : "Philip W.", "non-dropping-particle" : "", "parse-names" : false, "suffix" : "" }, { "dropping-particle" : "", "family" : "Tang", "given" : "Yun", "non-dropping-particle" : "", "parse-names" : false, "suffix" : "" } ], "container-title" : "Journal of Chemical Information and Modeling", "id" : "ITEM-1", "issue" : "11", "issued" : { "date-parts" : [ [ "2012", "11", "26" ] ] }, "page" : "3099-3105", "title" : "admetSAR: A Comprehensive Source and Free Tool for Assessment of Chemical ADMET Properties", "type" : "article-journal", "volume" : "52" }, "uris" : [ "http://www.mendeley.com/documents/?uuid=350daa4e-f0c0-4296-aa57-ff1ac4a3e4cd" ] }, { "id" : "ITEM-2", "itemData" : { "DOI" : "10.1002/qsar.200860192", "ISBN" : "1611-020X", "ISSN" : "1611020X", "author" : [ { "dropping-particle" : "", "family" : "Lagunin", "given" : "Alexey", "non-dropping-particle" : "", "parse-names" : false, "suffix" : "" }, { "dropping-particle" : "", "family" : "Filimonov", "given" : "Dmitrii", "non-dropping-particle" : "", "parse-names" : false, "suffix" : "" }, { "dropping-particle" : "", "family" : "Zakharov", "given" : "Alexey", "non-dropping-particle" : "", "parse-names" : false, "suffix" : "" }, { "dropping-particle" : "", "family" : "Xie", "given" : "Wei", "non-dropping-particle" : "", "parse-names" : false, "suffix" : "" }, { "dropping-particle" : "", "family" : "Huang", "given" : "Ying", "non-dropping-particle" : "", "parse-names" : false, "suffix" : "" }, { "dropping-particle" : "", "family" : "Zhu", "given" : "Fucheng", "non-dropping-particle" : "", "parse-names" : false, "suffix" : "" }, { "dropping-particle" : "", "family" : "Shen", "given" : "Tianxiang", "non-dropping-particle" : "", "parse-names" : false, "suffix" : "" }, { "dropping-particle" : "", "family" : "Yao", "given" : "Jianhua", "non-dropping-particle" : "", "parse-names" : false, "suffix" : "" }, { "dropping-particle" : "", "family" : "Poroikov", "given" : "Vladimir", "non-dropping-particle" : "", "parse-names" : false, "suffix" : "" } ], "container-title" : "QSAR &amp; Combinatorial Science", "id" : "ITEM-2", "issue" : "8", "issued" : { "date-parts" : [ [ "2009" ] ] }, "page" : "806-810", "title" : "Computer-Aided Prediction of Rodent Carcinogenicity by PASS and CISOC-PSCT", "type" : "article-journal", "volume" : "28" }, "uris" : [ "http://www.mendeley.com/documents/?uuid=bb97766b-905c-4c10-929c-5660dfffaa5b", "http://www.mendeley.com/documents/?uuid=46297fa0-b9ac-4994-8dc4-b7082120e620", "http://www.mendeley.com/documents/?uuid=e8ac1516-83e3-4665-b4e1-8cf90928c1b2" ] } ], "mendeley" : { "formattedCitation" : "&lt;sup&gt;100,101&lt;/sup&gt;", "plainTextFormattedCitation" : "100,101", "previouslyFormattedCitation" : "&lt;sup&gt;100,101&lt;/sup&gt;" }, "properties" : { "noteIndex" : 0 }, "schema" : "https://github.com/citation-style-language/schema/raw/master/csl-citation.json" }</w:instrText>
      </w:r>
      <w:r w:rsidR="00D82B6F">
        <w:fldChar w:fldCharType="separate"/>
      </w:r>
      <w:r w:rsidR="00456ABA" w:rsidRPr="00456ABA">
        <w:rPr>
          <w:noProof/>
          <w:vertAlign w:val="superscript"/>
        </w:rPr>
        <w:t>100,101</w:t>
      </w:r>
      <w:r w:rsidR="00D82B6F">
        <w:fldChar w:fldCharType="end"/>
      </w:r>
      <w:r w:rsidR="00D82B6F" w:rsidRPr="00D82B6F">
        <w:t xml:space="preserve"> and </w:t>
      </w:r>
      <w:proofErr w:type="spellStart"/>
      <w:r w:rsidR="00D82B6F" w:rsidRPr="00D82B6F">
        <w:t>PaDEL-DDPredictor</w:t>
      </w:r>
      <w:proofErr w:type="spellEnd"/>
      <w:r w:rsidR="00D82B6F" w:rsidRPr="00D82B6F">
        <w:t xml:space="preserve"> program</w:t>
      </w:r>
      <w:r w:rsidR="00146814">
        <w:t>,</w:t>
      </w:r>
      <w:r w:rsidR="00D82B6F">
        <w:fldChar w:fldCharType="begin" w:fldLock="1"/>
      </w:r>
      <w:r w:rsidR="00456ABA">
        <w:instrText>ADDIN CSL_CITATION { "citationItems" : [ { "id" : "ITEM-1", "itemData" : { "DOI" : "10.1002/jcc.23173", "ISSN" : "1096-987X", "PMID" : "23114987", "abstract" : "ADMET (absorption, distribution, metabolism, excretion, and toxicity)-related failure of drug candidates is a major issue for the pharmaceutical industry today. Prediction of PD-PK-T properties using in silico tools has become very important in pharmaceutical research to reduce cost and enhance efficiency. PaDEL-DDPredictor is an in silico tool for rapid prediction of PD-PK-T properties of compounds from their chemical structures. It is free and open-source software that, has both graphical user interface and command line interface, can work on all major platforms (Windows, Linux, and MacOS) and supports more than 90 different molecular file formats. The software can be downloaded from http://padel.nus.edu.sg/software/padelddpredictor.", "author" : [ { "dropping-particle" : "", "family" : "He", "given" : "Yuye", "non-dropping-particle" : "", "parse-names" : false, "suffix" : "" }, { "dropping-particle" : "", "family" : "Liew", "given" : "Chin Yee", "non-dropping-particle" : "", "parse-names" : false, "suffix" : "" }, { "dropping-particle" : "", "family" : "Sharma", "given" : "Nitin", "non-dropping-particle" : "", "parse-names" : false, "suffix" : "" }, { "dropping-particle" : "", "family" : "Woo", "given" : "Sze Kwang", "non-dropping-particle" : "", "parse-names" : false, "suffix" : "" }, { "dropping-particle" : "", "family" : "Chau", "given" : "Yi Ting", "non-dropping-particle" : "", "parse-names" : false, "suffix" : "" }, { "dropping-particle" : "", "family" : "Yap", "given" : "Chun Wei", "non-dropping-particle" : "", "parse-names" : false, "suffix" : "" } ], "container-title" : "Journal of Computational Chemistry", "id" : "ITEM-1", "issue" : "7", "issued" : { "date-parts" : [ [ "2013", "3", "15" ] ] }, "page" : "604-610", "title" : "PaDEL-DDPredictor: open-source software for PD-PK-T prediction.", "type" : "article-journal", "volume" : "34" }, "uris" : [ "http://www.mendeley.com/documents/?uuid=13ff9cb4-e0da-4883-99cf-ec24995d82d9", "http://www.mendeley.com/documents/?uuid=1220634f-3d58-490b-9f34-63410bfe85d9", "http://www.mendeley.com/documents/?uuid=175595e6-e47f-4500-8fee-0a4b8877c649" ] }, { "id" : "ITEM-2", "itemData" : { "DOI" : "10.1007/s10822-011-9468-3", "ISSN" : "1573-4951", "PMID" : "21898162", "abstract" : "Drug-induced liver injury, although infrequent, is an important safety concern that can lead to fatality in patients and failure in drug developments. In this study, we have used an ensemble of mixed learning algorithms and mixed features for the development of a model to predict hepatic effects. This robust method is based on the premise that no single learning algorithm is optimum for all modelling problems. An ensemble model of 617 base classifiers was built from a diverse set of 1,087 compounds. The ensemble model was validated internally with five-fold cross-validation and 25 rounds of y-randomization. In the external validation of 120 compounds, the ensemble model had achieved an accuracy of 75.0%, sensitivity of 81.9% and specificity of 64.6%. The model was also able to identify 22 of 23 withdrawn drugs or drugs with black box warning against hepatotoxicity. Dronedarone which is associated with severe liver injuries, announced in a recent FDA drug safety communication, was predicted as hepatotoxic by the ensemble model. It was found that the ensemble model was capable of classifying positive compounds (with hepatic effects) well, but less so on negatives compounds when they were structurally similar. The ensemble model built in this study is made available for public use.", "author" : [ { "dropping-particle" : "", "family" : "Liew", "given" : "Chin Yee", "non-dropping-particle" : "", "parse-names" : false, "suffix" : "" }, { "dropping-particle" : "", "family" : "Lim", "given" : "Yen Ching", "non-dropping-particle" : "", "parse-names" : false, "suffix" : "" }, { "dropping-particle" : "", "family" : "Yap", "given" : "Chun Wei", "non-dropping-particle" : "", "parse-names" : false, "suffix" : "" } ], "container-title" : "Journal of Computer-Aided Molecular Design", "id" : "ITEM-2", "issue" : "9", "issued" : { "date-parts" : [ [ "2011", "9" ] ] }, "page" : "855-871", "title" : "Mixed learning algorithms and features ensemble in hepatotoxicity prediction.", "type" : "article-journal", "volume" : "25" }, "uris" : [ "http://www.mendeley.com/documents/?uuid=de54297c-4fcc-4005-9d6b-0aeb28bd1628", "http://www.mendeley.com/documents/?uuid=3a93cbb4-9f1f-4bba-b0e2-d2b181790bd9", "http://www.mendeley.com/documents/?uuid=ea2b3ec2-f182-4878-8fe5-9a0592c692ae" ] } ], "mendeley" : { "formattedCitation" : "&lt;sup&gt;102,103&lt;/sup&gt;", "plainTextFormattedCitation" : "102,103", "previouslyFormattedCitation" : "&lt;sup&gt;102,103&lt;/sup&gt;" }, "properties" : { "noteIndex" : 0 }, "schema" : "https://github.com/citation-style-language/schema/raw/master/csl-citation.json" }</w:instrText>
      </w:r>
      <w:r w:rsidR="00D82B6F">
        <w:fldChar w:fldCharType="separate"/>
      </w:r>
      <w:r w:rsidR="00456ABA" w:rsidRPr="00456ABA">
        <w:rPr>
          <w:noProof/>
          <w:vertAlign w:val="superscript"/>
        </w:rPr>
        <w:t>102,103</w:t>
      </w:r>
      <w:r w:rsidR="00D82B6F">
        <w:fldChar w:fldCharType="end"/>
      </w:r>
      <w:r w:rsidR="00D82B6F" w:rsidRPr="00D82B6F">
        <w:t xml:space="preserve"> respectively.</w:t>
      </w:r>
    </w:p>
    <w:p w14:paraId="33F8639E" w14:textId="77777777" w:rsidR="00E05B40" w:rsidRDefault="00E05B40" w:rsidP="006247F8">
      <w:pPr>
        <w:pStyle w:val="TAMainText"/>
        <w:outlineLvl w:val="0"/>
        <w:rPr>
          <w:rFonts w:ascii="Times New Roman" w:hAnsi="Times New Roman"/>
          <w:b/>
          <w:szCs w:val="24"/>
        </w:rPr>
      </w:pPr>
      <w:r>
        <w:rPr>
          <w:rFonts w:ascii="Times New Roman" w:hAnsi="Times New Roman"/>
          <w:b/>
          <w:szCs w:val="24"/>
        </w:rPr>
        <w:t>Experimental</w:t>
      </w:r>
    </w:p>
    <w:p w14:paraId="38BC4ABE" w14:textId="63755ACF" w:rsidR="00947C9C" w:rsidRDefault="00947C9C" w:rsidP="006247F8">
      <w:pPr>
        <w:pStyle w:val="TAMainText"/>
        <w:rPr>
          <w:rFonts w:ascii="Times New Roman" w:hAnsi="Times New Roman"/>
          <w:szCs w:val="24"/>
        </w:rPr>
      </w:pPr>
      <w:r>
        <w:rPr>
          <w:rFonts w:ascii="Times New Roman" w:hAnsi="Times New Roman"/>
          <w:b/>
          <w:szCs w:val="24"/>
        </w:rPr>
        <w:t>Materials</w:t>
      </w:r>
      <w:r w:rsidRPr="007909E4">
        <w:rPr>
          <w:rFonts w:ascii="Times New Roman" w:hAnsi="Times New Roman"/>
          <w:b/>
          <w:szCs w:val="24"/>
        </w:rPr>
        <w:t>.</w:t>
      </w:r>
      <w:r>
        <w:rPr>
          <w:rFonts w:ascii="Times New Roman" w:hAnsi="Times New Roman"/>
          <w:szCs w:val="24"/>
        </w:rPr>
        <w:t xml:space="preserve"> </w:t>
      </w:r>
      <w:r w:rsidR="00B942C2">
        <w:rPr>
          <w:rFonts w:ascii="Times New Roman" w:hAnsi="Times New Roman"/>
          <w:szCs w:val="24"/>
        </w:rPr>
        <w:t>Investigated</w:t>
      </w:r>
      <w:r w:rsidR="00B942C2" w:rsidRPr="00B77B8C">
        <w:rPr>
          <w:rFonts w:ascii="Times New Roman" w:hAnsi="Times New Roman"/>
          <w:szCs w:val="24"/>
        </w:rPr>
        <w:t xml:space="preserve"> </w:t>
      </w:r>
      <w:r w:rsidRPr="00B77B8C">
        <w:rPr>
          <w:rFonts w:ascii="Times New Roman" w:hAnsi="Times New Roman"/>
          <w:szCs w:val="24"/>
        </w:rPr>
        <w:t xml:space="preserve">compounds were </w:t>
      </w:r>
      <w:r w:rsidR="006247F8">
        <w:rPr>
          <w:rFonts w:ascii="Times New Roman" w:hAnsi="Times New Roman"/>
          <w:szCs w:val="24"/>
        </w:rPr>
        <w:t>purchased</w:t>
      </w:r>
      <w:r w:rsidRPr="00B77B8C">
        <w:rPr>
          <w:rFonts w:ascii="Times New Roman" w:hAnsi="Times New Roman"/>
          <w:szCs w:val="24"/>
        </w:rPr>
        <w:t xml:space="preserve"> from </w:t>
      </w:r>
      <w:proofErr w:type="spellStart"/>
      <w:r w:rsidRPr="00B77B8C">
        <w:rPr>
          <w:rFonts w:ascii="Times New Roman" w:hAnsi="Times New Roman"/>
          <w:szCs w:val="24"/>
        </w:rPr>
        <w:t>ChemBridge</w:t>
      </w:r>
      <w:proofErr w:type="spellEnd"/>
      <w:r w:rsidRPr="00B77B8C">
        <w:rPr>
          <w:rFonts w:ascii="Times New Roman" w:hAnsi="Times New Roman"/>
          <w:szCs w:val="24"/>
        </w:rPr>
        <w:t xml:space="preserve"> (San Diego-CA, USA)</w:t>
      </w:r>
      <w:r w:rsidR="008B166F">
        <w:rPr>
          <w:rFonts w:ascii="Times New Roman" w:hAnsi="Times New Roman"/>
          <w:szCs w:val="24"/>
        </w:rPr>
        <w:t>,</w:t>
      </w:r>
      <w:r w:rsidRPr="00B77B8C">
        <w:rPr>
          <w:rFonts w:ascii="Times New Roman" w:hAnsi="Times New Roman"/>
          <w:szCs w:val="24"/>
        </w:rPr>
        <w:t xml:space="preserve"> </w:t>
      </w:r>
      <w:proofErr w:type="spellStart"/>
      <w:r w:rsidRPr="00B77B8C">
        <w:rPr>
          <w:rFonts w:ascii="Times New Roman" w:hAnsi="Times New Roman"/>
          <w:szCs w:val="24"/>
        </w:rPr>
        <w:t>resuspended</w:t>
      </w:r>
      <w:proofErr w:type="spellEnd"/>
      <w:r w:rsidRPr="00B77B8C">
        <w:rPr>
          <w:rFonts w:ascii="Times New Roman" w:hAnsi="Times New Roman"/>
          <w:szCs w:val="24"/>
        </w:rPr>
        <w:t xml:space="preserve"> in </w:t>
      </w:r>
      <w:r w:rsidRPr="004544A5">
        <w:rPr>
          <w:rFonts w:ascii="Times New Roman" w:hAnsi="Times New Roman"/>
          <w:szCs w:val="24"/>
        </w:rPr>
        <w:t xml:space="preserve">100% DMSO and used immediately in the assays. </w:t>
      </w:r>
      <w:r w:rsidR="00B942C2">
        <w:t xml:space="preserve">It is important to mention that </w:t>
      </w:r>
      <w:r w:rsidR="00B942C2">
        <w:lastRenderedPageBreak/>
        <w:t>all</w:t>
      </w:r>
      <w:r w:rsidR="00B942C2" w:rsidRPr="00FA47CC">
        <w:t xml:space="preserve"> </w:t>
      </w:r>
      <w:r w:rsidR="006247F8" w:rsidRPr="00FA47CC">
        <w:t>chemical structure</w:t>
      </w:r>
      <w:r w:rsidR="00B942C2">
        <w:t>s</w:t>
      </w:r>
      <w:r w:rsidR="006247F8" w:rsidRPr="00FA47CC">
        <w:t xml:space="preserve"> </w:t>
      </w:r>
      <w:r w:rsidR="00B942C2">
        <w:t>were</w:t>
      </w:r>
      <w:r w:rsidR="006247F8" w:rsidRPr="00FA47CC">
        <w:t xml:space="preserve"> confirmed using proton (</w:t>
      </w:r>
      <w:r w:rsidR="006247F8" w:rsidRPr="00FA47CC">
        <w:rPr>
          <w:vertAlign w:val="superscript"/>
        </w:rPr>
        <w:t>1</w:t>
      </w:r>
      <w:r w:rsidR="006247F8" w:rsidRPr="00FA47CC">
        <w:t xml:space="preserve">H) NMR spectra at 300/400 MHz </w:t>
      </w:r>
      <w:r w:rsidR="00B942C2">
        <w:t>and</w:t>
      </w:r>
      <w:r w:rsidR="00B942C2" w:rsidRPr="00FA47CC">
        <w:t xml:space="preserve"> </w:t>
      </w:r>
      <w:r w:rsidR="006247F8" w:rsidRPr="00FA47CC">
        <w:t xml:space="preserve">Liquid </w:t>
      </w:r>
      <w:r w:rsidR="006247F8" w:rsidRPr="00FA47CC">
        <w:rPr>
          <w:rFonts w:ascii="Times New Roman" w:hAnsi="Times New Roman"/>
          <w:szCs w:val="24"/>
        </w:rPr>
        <w:t>Chromatography–Mass Spectrometry (LC-MS) analysis with evaporative light scattering and ultraviolet detectors</w:t>
      </w:r>
      <w:r w:rsidR="006247F8" w:rsidRPr="00FA47CC">
        <w:rPr>
          <w:rFonts w:ascii="Times New Roman" w:hAnsi="Times New Roman"/>
          <w:szCs w:val="24"/>
          <w:shd w:val="clear" w:color="auto" w:fill="FFFFFF"/>
        </w:rPr>
        <w:t xml:space="preserve"> confirmed a minimum purity of 95% for all compounds</w:t>
      </w:r>
      <w:r w:rsidR="00B942C2">
        <w:rPr>
          <w:rFonts w:ascii="Times New Roman" w:hAnsi="Times New Roman"/>
          <w:szCs w:val="24"/>
          <w:shd w:val="clear" w:color="auto" w:fill="FFFFFF"/>
        </w:rPr>
        <w:t xml:space="preserve"> </w:t>
      </w:r>
      <w:r w:rsidR="00B942C2">
        <w:t>(</w:t>
      </w:r>
      <w:r w:rsidR="00B942C2" w:rsidRPr="00E72643">
        <w:t>spectrums of compounds are listed in Supporting Information</w:t>
      </w:r>
      <w:r w:rsidR="00B942C2">
        <w:t>)</w:t>
      </w:r>
      <w:r w:rsidR="006247F8" w:rsidRPr="00FA47CC">
        <w:rPr>
          <w:rFonts w:ascii="Times New Roman" w:hAnsi="Times New Roman"/>
          <w:szCs w:val="24"/>
          <w:shd w:val="clear" w:color="auto" w:fill="FFFFFF"/>
        </w:rPr>
        <w:t>.</w:t>
      </w:r>
      <w:r w:rsidR="006247F8" w:rsidRPr="004544A5">
        <w:rPr>
          <w:rFonts w:ascii="Times New Roman" w:hAnsi="Times New Roman"/>
          <w:szCs w:val="24"/>
        </w:rPr>
        <w:t xml:space="preserve"> </w:t>
      </w:r>
      <w:r w:rsidRPr="004544A5">
        <w:rPr>
          <w:rFonts w:ascii="Times New Roman" w:hAnsi="Times New Roman"/>
          <w:szCs w:val="24"/>
        </w:rPr>
        <w:t xml:space="preserve">DMEM and M169 media were purchased from </w:t>
      </w:r>
      <w:proofErr w:type="spellStart"/>
      <w:r w:rsidRPr="004544A5">
        <w:rPr>
          <w:rFonts w:ascii="Times New Roman" w:hAnsi="Times New Roman"/>
          <w:szCs w:val="24"/>
        </w:rPr>
        <w:t>Vitrocell</w:t>
      </w:r>
      <w:proofErr w:type="spellEnd"/>
      <w:r w:rsidRPr="004544A5">
        <w:rPr>
          <w:rFonts w:ascii="Times New Roman" w:hAnsi="Times New Roman"/>
          <w:szCs w:val="24"/>
        </w:rPr>
        <w:t xml:space="preserve"> </w:t>
      </w:r>
      <w:proofErr w:type="spellStart"/>
      <w:r w:rsidRPr="004544A5">
        <w:rPr>
          <w:rFonts w:ascii="Times New Roman" w:hAnsi="Times New Roman"/>
          <w:szCs w:val="24"/>
        </w:rPr>
        <w:t>Embriolife</w:t>
      </w:r>
      <w:proofErr w:type="spellEnd"/>
      <w:r w:rsidRPr="004544A5">
        <w:rPr>
          <w:rFonts w:ascii="Times New Roman" w:hAnsi="Times New Roman"/>
          <w:szCs w:val="24"/>
        </w:rPr>
        <w:t xml:space="preserve"> (Campinas-SP, Brazil). All other reagents were purchased from Sigma-Aldrich (St. Louis-MO, USA)</w:t>
      </w:r>
      <w:r w:rsidR="00C14196" w:rsidRPr="004544A5">
        <w:rPr>
          <w:rFonts w:ascii="Times New Roman" w:hAnsi="Times New Roman"/>
          <w:szCs w:val="24"/>
        </w:rPr>
        <w:t>.</w:t>
      </w:r>
    </w:p>
    <w:p w14:paraId="1BEEF337" w14:textId="2FA6379A" w:rsidR="00947C9C" w:rsidRDefault="002A6770" w:rsidP="00947C9C">
      <w:pPr>
        <w:pStyle w:val="TAMainText"/>
        <w:rPr>
          <w:rFonts w:ascii="Times New Roman" w:hAnsi="Times New Roman"/>
          <w:szCs w:val="24"/>
        </w:rPr>
      </w:pPr>
      <w:proofErr w:type="spellStart"/>
      <w:r w:rsidRPr="0082240C">
        <w:rPr>
          <w:rFonts w:ascii="Times New Roman" w:hAnsi="Times New Roman"/>
          <w:b/>
          <w:szCs w:val="24"/>
          <w:lang w:val="pt-BR"/>
        </w:rPr>
        <w:t>Automated</w:t>
      </w:r>
      <w:proofErr w:type="spellEnd"/>
      <w:r w:rsidRPr="0082240C">
        <w:rPr>
          <w:rFonts w:ascii="Times New Roman" w:hAnsi="Times New Roman"/>
          <w:b/>
          <w:szCs w:val="24"/>
          <w:lang w:val="pt-BR"/>
        </w:rPr>
        <w:t xml:space="preserve"> </w:t>
      </w:r>
      <w:proofErr w:type="spellStart"/>
      <w:r w:rsidRPr="0082240C">
        <w:rPr>
          <w:rFonts w:ascii="Times New Roman" w:hAnsi="Times New Roman"/>
          <w:b/>
          <w:i/>
          <w:szCs w:val="24"/>
          <w:lang w:val="pt-BR"/>
        </w:rPr>
        <w:t>ex</w:t>
      </w:r>
      <w:proofErr w:type="spellEnd"/>
      <w:r w:rsidRPr="0082240C">
        <w:rPr>
          <w:rFonts w:ascii="Times New Roman" w:hAnsi="Times New Roman"/>
          <w:b/>
          <w:i/>
          <w:szCs w:val="24"/>
          <w:lang w:val="pt-BR"/>
        </w:rPr>
        <w:t xml:space="preserve"> vivo</w:t>
      </w:r>
      <w:r w:rsidRPr="0082240C">
        <w:rPr>
          <w:rFonts w:ascii="Times New Roman" w:hAnsi="Times New Roman"/>
          <w:b/>
          <w:szCs w:val="24"/>
          <w:lang w:val="pt-BR"/>
        </w:rPr>
        <w:t xml:space="preserve"> </w:t>
      </w:r>
      <w:r>
        <w:rPr>
          <w:rFonts w:ascii="Times New Roman" w:hAnsi="Times New Roman"/>
          <w:b/>
          <w:szCs w:val="24"/>
          <w:lang w:val="pt-BR"/>
        </w:rPr>
        <w:t>Larval</w:t>
      </w:r>
      <w:r w:rsidRPr="00E72643">
        <w:rPr>
          <w:rFonts w:ascii="Times New Roman" w:hAnsi="Times New Roman"/>
          <w:b/>
          <w:i/>
          <w:szCs w:val="24"/>
          <w:lang w:val="pt-BR"/>
        </w:rPr>
        <w:t xml:space="preserve"> S. mansoni</w:t>
      </w:r>
      <w:r w:rsidRPr="00E72643">
        <w:rPr>
          <w:rFonts w:ascii="Times New Roman" w:hAnsi="Times New Roman"/>
          <w:b/>
          <w:szCs w:val="24"/>
          <w:lang w:val="pt-BR"/>
        </w:rPr>
        <w:t xml:space="preserve"> HCS </w:t>
      </w:r>
      <w:proofErr w:type="spellStart"/>
      <w:r w:rsidRPr="00E72643">
        <w:rPr>
          <w:rFonts w:ascii="Times New Roman" w:hAnsi="Times New Roman"/>
          <w:b/>
          <w:szCs w:val="24"/>
          <w:lang w:val="pt-BR"/>
        </w:rPr>
        <w:t>Assay</w:t>
      </w:r>
      <w:proofErr w:type="spellEnd"/>
      <w:r w:rsidRPr="00E72643">
        <w:rPr>
          <w:rFonts w:ascii="Times New Roman" w:hAnsi="Times New Roman"/>
          <w:szCs w:val="24"/>
          <w:lang w:val="pt-BR"/>
        </w:rPr>
        <w:t>.</w:t>
      </w:r>
      <w:r w:rsidR="00947C9C" w:rsidRPr="00FA47CC">
        <w:rPr>
          <w:rFonts w:ascii="Times New Roman" w:hAnsi="Times New Roman"/>
          <w:b/>
          <w:szCs w:val="24"/>
          <w:lang w:val="pt-BR"/>
        </w:rPr>
        <w:t xml:space="preserve"> </w:t>
      </w:r>
      <w:proofErr w:type="spellStart"/>
      <w:r w:rsidR="00E1555C">
        <w:rPr>
          <w:rFonts w:ascii="Times New Roman" w:hAnsi="Times New Roman"/>
          <w:szCs w:val="24"/>
        </w:rPr>
        <w:t>C</w:t>
      </w:r>
      <w:r w:rsidR="00E1555C" w:rsidRPr="00B77B8C">
        <w:rPr>
          <w:rFonts w:ascii="Times New Roman" w:hAnsi="Times New Roman"/>
          <w:szCs w:val="24"/>
        </w:rPr>
        <w:t>ercarie</w:t>
      </w:r>
      <w:proofErr w:type="spellEnd"/>
      <w:r w:rsidR="00E1555C" w:rsidRPr="00B77B8C">
        <w:rPr>
          <w:rFonts w:ascii="Times New Roman" w:hAnsi="Times New Roman"/>
          <w:szCs w:val="24"/>
        </w:rPr>
        <w:t xml:space="preserve"> </w:t>
      </w:r>
      <w:r w:rsidR="00947C9C" w:rsidRPr="00B77B8C">
        <w:rPr>
          <w:rFonts w:ascii="Times New Roman" w:hAnsi="Times New Roman"/>
          <w:szCs w:val="24"/>
        </w:rPr>
        <w:t>(</w:t>
      </w:r>
      <w:r w:rsidR="00947C9C" w:rsidRPr="008B166F">
        <w:rPr>
          <w:rFonts w:ascii="Times New Roman" w:hAnsi="Times New Roman"/>
          <w:i/>
          <w:szCs w:val="24"/>
        </w:rPr>
        <w:t xml:space="preserve">S. </w:t>
      </w:r>
      <w:proofErr w:type="spellStart"/>
      <w:r w:rsidR="00947C9C" w:rsidRPr="008B166F">
        <w:rPr>
          <w:rFonts w:ascii="Times New Roman" w:hAnsi="Times New Roman"/>
          <w:i/>
          <w:szCs w:val="24"/>
        </w:rPr>
        <w:t>mansoni</w:t>
      </w:r>
      <w:proofErr w:type="spellEnd"/>
      <w:r w:rsidR="00947C9C" w:rsidRPr="00B77B8C">
        <w:rPr>
          <w:rFonts w:ascii="Times New Roman" w:hAnsi="Times New Roman"/>
          <w:szCs w:val="24"/>
        </w:rPr>
        <w:t xml:space="preserve">, BH strain) were vortexed at maximum speed for 5 minutes for tail shedding and transformation into </w:t>
      </w:r>
      <w:proofErr w:type="spellStart"/>
      <w:r w:rsidR="00947C9C" w:rsidRPr="00B77B8C">
        <w:rPr>
          <w:rFonts w:ascii="Times New Roman" w:hAnsi="Times New Roman"/>
          <w:szCs w:val="24"/>
        </w:rPr>
        <w:t>schistosomula</w:t>
      </w:r>
      <w:proofErr w:type="spellEnd"/>
      <w:r w:rsidR="00947C9C" w:rsidRPr="00B77B8C">
        <w:rPr>
          <w:rFonts w:ascii="Times New Roman" w:hAnsi="Times New Roman"/>
          <w:szCs w:val="24"/>
        </w:rPr>
        <w:t xml:space="preserve"> </w:t>
      </w:r>
      <w:r w:rsidR="00947C9C">
        <w:rPr>
          <w:rFonts w:ascii="Times New Roman" w:hAnsi="Times New Roman"/>
          <w:szCs w:val="24"/>
        </w:rPr>
        <w:t xml:space="preserve">by an </w:t>
      </w:r>
      <w:r w:rsidR="00947C9C" w:rsidRPr="00B77B8C">
        <w:rPr>
          <w:rFonts w:ascii="Times New Roman" w:hAnsi="Times New Roman"/>
          <w:szCs w:val="24"/>
        </w:rPr>
        <w:t xml:space="preserve">adapted </w:t>
      </w:r>
      <w:r w:rsidR="00947C9C">
        <w:rPr>
          <w:rFonts w:ascii="Times New Roman" w:hAnsi="Times New Roman"/>
          <w:szCs w:val="24"/>
        </w:rPr>
        <w:t>method</w:t>
      </w:r>
      <w:r w:rsidR="00947C9C" w:rsidRPr="00B77B8C">
        <w:rPr>
          <w:rFonts w:ascii="Times New Roman" w:hAnsi="Times New Roman"/>
          <w:szCs w:val="24"/>
        </w:rPr>
        <w:t xml:space="preserve"> from </w:t>
      </w:r>
      <w:r w:rsidR="006F18F5">
        <w:rPr>
          <w:rFonts w:ascii="Times New Roman" w:hAnsi="Times New Roman"/>
          <w:szCs w:val="24"/>
        </w:rPr>
        <w:t>literature</w:t>
      </w:r>
      <w:r w:rsidR="006754AD" w:rsidRPr="006754AD">
        <w:rPr>
          <w:rFonts w:ascii="Times New Roman" w:hAnsi="Times New Roman"/>
          <w:szCs w:val="24"/>
        </w:rPr>
        <w:t>.</w:t>
      </w:r>
      <w:r w:rsidR="006F18F5">
        <w:rPr>
          <w:rFonts w:ascii="Times New Roman" w:hAnsi="Times New Roman"/>
          <w:szCs w:val="24"/>
        </w:rPr>
        <w:fldChar w:fldCharType="begin" w:fldLock="1"/>
      </w:r>
      <w:r w:rsidR="00456ABA">
        <w:rPr>
          <w:rFonts w:ascii="Times New Roman" w:hAnsi="Times New Roman"/>
          <w:szCs w:val="24"/>
        </w:rPr>
        <w:instrText>ADDIN CSL_CITATION { "citationItems" : [ { "id" : "ITEM-1", "itemData" : { "DOI" : "10.1186/1756-3305-5-165", "ISSN" : "1756-3305", "PMID" : "22876861", "abstract" : "The development of novel antischistosomal drugs is crucial, as currently no vaccine and only a single drug is available for the treatment of schistosomiasis. Fast and accurate in vitro assays are urgently needed to identify new drug candidates and research efforts should include Schistosoma haematobium. The aim of the present study was to develop a S. haematobium drug sensitivity assay based on newly transformed schistosomula (NTS).", "author" : [ { "dropping-particle" : "", "family" : "Marxer", "given" : "Monika", "non-dropping-particle" : "", "parse-names" : false, "suffix" : "" }, { "dropping-particle" : "", "family" : "Ingram", "given" : "Katrin", "non-dropping-particle" : "", "parse-names" : false, "suffix" : "" }, { "dropping-particle" : "", "family" : "Keiser", "given" : "Jennifer", "non-dropping-particle" : "", "parse-names" : false, "suffix" : "" } ], "container-title" : "Parasites &amp; vectors", "id" : "ITEM-1", "issue" : "1", "issued" : { "date-parts" : [ [ "2012", "1" ] ] }, "page" : "165", "publisher" : "Parasites &amp; Vectors", "title" : "Development of an in vitro drug screening assay using Schistosoma haematobium schistosomula.", "type" : "article-journal", "volume" : "5" }, "uris" : [ "http://www.mendeley.com/documents/?uuid=581df05d-bcfc-429c-94b8-4dfd917d54d2", "http://www.mendeley.com/documents/?uuid=1fbae2be-c9b4-4b08-9f9d-bc82002319ab", "http://www.mendeley.com/documents/?uuid=fba7a342-2634-4be7-aef4-cd9e8ab3fedf" ] }, { "id" : "ITEM-2", "itemData" : { "DOI" : "10.1371/journal.pntd.0000795", "ISSN" : "1935-2735", "PMID" : "20706580", "abstract" : "BACKGROUND: In view of the current widespread use of and reliance on a single schistosomicide, praziquantel, there is a pressing need to discover and develop alternative drugs for schistosomiasis. One approach to this is to develop High Throughput in vitro whole organism screens (HTS) to identify hits amongst large compound libraries. METHODOLOGY/PRINCIPAL FINDINGS: We have been carrying out low throughput (24-well plate) in vitro testing based on microscopic evaluation of killing of ex-vivo adult S. mansoni worms using selected compound collections mainly provided through the WHO-TDR Helminth Drug Initiative. To increase throughput, we introduced a similar but higher throughput 96-well primary in vitro assay using the schistosomula stage which can be readily produced in vitro in large quantities. In addition to morphological readout of viability we have investigated using fluorometric determination of the reduction of Alamar blue (AB), a redox indicator of enzyme activity widely used in whole organism screening. A panel of 7 known schistosome active compounds including praziquantel, produced diverse effects on larval morphology within 3 days of culture although only two induced marked larval death within 7 days. The AB assay was very effective in detecting these lethal compounds but proved more inconsistent in detecting compounds which damaged but did not kill. The utility of the AB assay in detecting compounds which cause severe morbidity and/or death of schistosomula was confirmed in testing a panel of compounds previously selected in library screening as having activity against the adult worms. Furthermore, in prospective library screening, the AB assay was able to detect all compounds which induced killing and also the majority of compounds designated as hits based on morphological changes. CONCLUSION: We conclude that an HTS combining AB readout and image-based analysis would provide an efficient and stringent primary assay for schistosome drug discovery.", "author" : [ { "dropping-particle" : "", "family" : "Mansour", "given" : "Nuha R", "non-dropping-particle" : "", "parse-names" : false, "suffix" : "" }, { "dropping-particle" : "", "family" : "Bickle", "given" : "Quentin D", "non-dropping-particle" : "", "parse-names" : false, "suffix" : "" } ], "container-title" : "PLoS neglected tropical diseases", "id" : "ITEM-2", "issue" : "8", "issued" : { "date-parts" : [ [ "2010", "1" ] ] }, "page" : "e795", "title" : "Comparison of microscopy and Alamar blue reduction in a larval based assay for schistosome drug screening.", "type" : "article-journal", "volume" : "4" }, "uris" : [ "http://www.mendeley.com/documents/?uuid=344d2d1e-1e0f-4df9-9001-c84ff7ecbd37", "http://www.mendeley.com/documents/?uuid=17710033-5b3c-4683-8412-1df55117e602" ] } ], "mendeley" : { "formattedCitation" : "&lt;sup&gt;104,105&lt;/sup&gt;", "plainTextFormattedCitation" : "104,105", "previouslyFormattedCitation" : "&lt;sup&gt;104,105&lt;/sup&gt;" }, "properties" : { "noteIndex" : 0 }, "schema" : "https://github.com/citation-style-language/schema/raw/master/csl-citation.json" }</w:instrText>
      </w:r>
      <w:r w:rsidR="006F18F5">
        <w:rPr>
          <w:rFonts w:ascii="Times New Roman" w:hAnsi="Times New Roman"/>
          <w:szCs w:val="24"/>
        </w:rPr>
        <w:fldChar w:fldCharType="separate"/>
      </w:r>
      <w:r w:rsidR="00456ABA" w:rsidRPr="00456ABA">
        <w:rPr>
          <w:rFonts w:ascii="Times New Roman" w:hAnsi="Times New Roman"/>
          <w:noProof/>
          <w:szCs w:val="24"/>
          <w:vertAlign w:val="superscript"/>
        </w:rPr>
        <w:t>104,105</w:t>
      </w:r>
      <w:r w:rsidR="006F18F5">
        <w:rPr>
          <w:rFonts w:ascii="Times New Roman" w:hAnsi="Times New Roman"/>
          <w:szCs w:val="24"/>
        </w:rPr>
        <w:fldChar w:fldCharType="end"/>
      </w:r>
      <w:r w:rsidR="00200CC0">
        <w:rPr>
          <w:rFonts w:ascii="Times New Roman" w:hAnsi="Times New Roman"/>
          <w:szCs w:val="24"/>
        </w:rPr>
        <w:t xml:space="preserve"> Briefly,</w:t>
      </w:r>
      <w:r w:rsidR="00947C9C" w:rsidRPr="00B77B8C">
        <w:rPr>
          <w:rFonts w:ascii="Times New Roman" w:hAnsi="Times New Roman"/>
          <w:szCs w:val="24"/>
        </w:rPr>
        <w:t xml:space="preserve"> </w:t>
      </w:r>
      <w:proofErr w:type="spellStart"/>
      <w:r w:rsidR="00200CC0">
        <w:rPr>
          <w:rFonts w:ascii="Times New Roman" w:hAnsi="Times New Roman"/>
          <w:szCs w:val="24"/>
        </w:rPr>
        <w:t>s</w:t>
      </w:r>
      <w:r w:rsidR="00947C9C" w:rsidRPr="00B77B8C">
        <w:rPr>
          <w:rFonts w:ascii="Times New Roman" w:hAnsi="Times New Roman"/>
          <w:szCs w:val="24"/>
        </w:rPr>
        <w:t>chistosomula</w:t>
      </w:r>
      <w:proofErr w:type="spellEnd"/>
      <w:r w:rsidR="00947C9C" w:rsidRPr="00B77B8C">
        <w:rPr>
          <w:rFonts w:ascii="Times New Roman" w:hAnsi="Times New Roman"/>
          <w:szCs w:val="24"/>
        </w:rPr>
        <w:t xml:space="preserve"> were</w:t>
      </w:r>
      <w:r w:rsidR="00947C9C">
        <w:rPr>
          <w:rFonts w:ascii="Times New Roman" w:hAnsi="Times New Roman"/>
          <w:szCs w:val="24"/>
        </w:rPr>
        <w:t xml:space="preserve"> </w:t>
      </w:r>
      <w:proofErr w:type="spellStart"/>
      <w:r w:rsidR="00947C9C">
        <w:rPr>
          <w:rFonts w:ascii="Times New Roman" w:hAnsi="Times New Roman"/>
          <w:szCs w:val="24"/>
        </w:rPr>
        <w:t>resuspended</w:t>
      </w:r>
      <w:proofErr w:type="spellEnd"/>
      <w:r w:rsidR="00947C9C">
        <w:rPr>
          <w:rFonts w:ascii="Times New Roman" w:hAnsi="Times New Roman"/>
          <w:szCs w:val="24"/>
        </w:rPr>
        <w:t xml:space="preserve"> in Medium 169, plac</w:t>
      </w:r>
      <w:r w:rsidR="00947C9C" w:rsidRPr="00B77B8C">
        <w:rPr>
          <w:rFonts w:ascii="Times New Roman" w:hAnsi="Times New Roman"/>
          <w:szCs w:val="24"/>
        </w:rPr>
        <w:t>ed in 384 well plates (120 per well) and maintained in an incubator with 5% CO</w:t>
      </w:r>
      <w:r w:rsidR="00947C9C" w:rsidRPr="008B166F">
        <w:rPr>
          <w:rFonts w:ascii="Times New Roman" w:hAnsi="Times New Roman"/>
          <w:szCs w:val="24"/>
          <w:vertAlign w:val="subscript"/>
        </w:rPr>
        <w:t>2</w:t>
      </w:r>
      <w:r w:rsidR="00947C9C" w:rsidRPr="00B77B8C">
        <w:rPr>
          <w:rFonts w:ascii="Times New Roman" w:hAnsi="Times New Roman"/>
          <w:szCs w:val="24"/>
        </w:rPr>
        <w:t xml:space="preserve"> overnight</w:t>
      </w:r>
      <w:r w:rsidR="007A2E28">
        <w:rPr>
          <w:rFonts w:ascii="Times New Roman" w:hAnsi="Times New Roman"/>
          <w:szCs w:val="24"/>
        </w:rPr>
        <w:t xml:space="preserve"> </w:t>
      </w:r>
      <w:r w:rsidR="00947C9C" w:rsidRPr="00B77B8C">
        <w:rPr>
          <w:rFonts w:ascii="Times New Roman" w:hAnsi="Times New Roman"/>
          <w:szCs w:val="24"/>
        </w:rPr>
        <w:t xml:space="preserve">before compound addition. </w:t>
      </w:r>
      <w:r w:rsidR="00280A8D">
        <w:rPr>
          <w:rFonts w:ascii="Times New Roman" w:hAnsi="Times New Roman"/>
          <w:szCs w:val="24"/>
        </w:rPr>
        <w:t>The worms</w:t>
      </w:r>
      <w:r w:rsidR="00280A8D" w:rsidRPr="00B77B8C">
        <w:rPr>
          <w:rFonts w:ascii="Times New Roman" w:hAnsi="Times New Roman"/>
          <w:szCs w:val="24"/>
        </w:rPr>
        <w:t xml:space="preserve"> </w:t>
      </w:r>
      <w:r w:rsidR="00947C9C" w:rsidRPr="00B77B8C">
        <w:rPr>
          <w:rFonts w:ascii="Times New Roman" w:hAnsi="Times New Roman"/>
          <w:szCs w:val="24"/>
        </w:rPr>
        <w:t>were</w:t>
      </w:r>
      <w:r w:rsidR="001967A9">
        <w:rPr>
          <w:rFonts w:ascii="Times New Roman" w:hAnsi="Times New Roman"/>
          <w:szCs w:val="24"/>
        </w:rPr>
        <w:t xml:space="preserve"> then</w:t>
      </w:r>
      <w:r w:rsidR="007A2E28">
        <w:rPr>
          <w:rFonts w:ascii="Times New Roman" w:hAnsi="Times New Roman"/>
          <w:szCs w:val="24"/>
        </w:rPr>
        <w:t xml:space="preserve"> </w:t>
      </w:r>
      <w:r w:rsidR="00D91814">
        <w:rPr>
          <w:rFonts w:ascii="Times New Roman" w:hAnsi="Times New Roman"/>
          <w:szCs w:val="24"/>
        </w:rPr>
        <w:t>incubated</w:t>
      </w:r>
      <w:r w:rsidR="00B46D49">
        <w:rPr>
          <w:rFonts w:ascii="Times New Roman" w:hAnsi="Times New Roman"/>
          <w:szCs w:val="24"/>
        </w:rPr>
        <w:t xml:space="preserve"> with investigated compounds and PZQ</w:t>
      </w:r>
      <w:r w:rsidR="001967A9">
        <w:rPr>
          <w:rFonts w:ascii="Times New Roman" w:hAnsi="Times New Roman"/>
          <w:szCs w:val="24"/>
        </w:rPr>
        <w:t xml:space="preserve"> </w:t>
      </w:r>
      <w:r w:rsidR="00B46D49">
        <w:rPr>
          <w:rFonts w:ascii="Times New Roman" w:hAnsi="Times New Roman"/>
          <w:szCs w:val="24"/>
        </w:rPr>
        <w:t xml:space="preserve">at </w:t>
      </w:r>
      <w:r w:rsidR="00280A8D">
        <w:rPr>
          <w:rFonts w:ascii="Times New Roman" w:hAnsi="Times New Roman"/>
          <w:szCs w:val="24"/>
        </w:rPr>
        <w:t>0.31</w:t>
      </w:r>
      <w:r w:rsidR="008745C7">
        <w:rPr>
          <w:rFonts w:ascii="Times New Roman" w:hAnsi="Times New Roman"/>
          <w:szCs w:val="24"/>
        </w:rPr>
        <w:t>–</w:t>
      </w:r>
      <w:r w:rsidR="00280A8D">
        <w:rPr>
          <w:rFonts w:ascii="Times New Roman" w:hAnsi="Times New Roman"/>
          <w:szCs w:val="24"/>
        </w:rPr>
        <w:t>20 µM</w:t>
      </w:r>
      <w:r w:rsidR="00200CC0">
        <w:rPr>
          <w:rFonts w:ascii="Times New Roman" w:hAnsi="Times New Roman"/>
          <w:szCs w:val="24"/>
        </w:rPr>
        <w:t xml:space="preserve"> </w:t>
      </w:r>
      <w:r w:rsidR="00B46D49">
        <w:rPr>
          <w:rFonts w:ascii="Times New Roman" w:hAnsi="Times New Roman"/>
          <w:szCs w:val="24"/>
        </w:rPr>
        <w:t xml:space="preserve">concentrations </w:t>
      </w:r>
      <w:r w:rsidR="00200CC0">
        <w:rPr>
          <w:rFonts w:ascii="Times New Roman" w:hAnsi="Times New Roman"/>
          <w:szCs w:val="24"/>
        </w:rPr>
        <w:t>or DMSO (</w:t>
      </w:r>
      <w:r w:rsidR="00B46D49">
        <w:rPr>
          <w:rFonts w:ascii="Times New Roman" w:hAnsi="Times New Roman"/>
          <w:szCs w:val="24"/>
        </w:rPr>
        <w:t>0.625%</w:t>
      </w:r>
      <w:r w:rsidR="00280A8D">
        <w:rPr>
          <w:rFonts w:ascii="Times New Roman" w:hAnsi="Times New Roman"/>
          <w:szCs w:val="24"/>
        </w:rPr>
        <w:t xml:space="preserve">). </w:t>
      </w:r>
      <w:r w:rsidR="00947C9C" w:rsidRPr="00B77B8C">
        <w:rPr>
          <w:rFonts w:ascii="Times New Roman" w:hAnsi="Times New Roman"/>
          <w:szCs w:val="24"/>
        </w:rPr>
        <w:t xml:space="preserve">The effect of the compounds on </w:t>
      </w:r>
      <w:proofErr w:type="spellStart"/>
      <w:r w:rsidR="00947C9C" w:rsidRPr="00B77B8C">
        <w:rPr>
          <w:rFonts w:ascii="Times New Roman" w:hAnsi="Times New Roman"/>
          <w:szCs w:val="24"/>
        </w:rPr>
        <w:t>schistosomula</w:t>
      </w:r>
      <w:proofErr w:type="spellEnd"/>
      <w:r w:rsidR="00947C9C" w:rsidRPr="00B77B8C">
        <w:rPr>
          <w:rFonts w:ascii="Times New Roman" w:hAnsi="Times New Roman"/>
          <w:szCs w:val="24"/>
        </w:rPr>
        <w:t xml:space="preserve"> motility and phenotypes was assessed at 48h after compound addition using an automated</w:t>
      </w:r>
      <w:r w:rsidR="00D91814">
        <w:rPr>
          <w:rFonts w:ascii="Times New Roman" w:hAnsi="Times New Roman"/>
          <w:szCs w:val="24"/>
        </w:rPr>
        <w:t xml:space="preserve"> Bright-field </w:t>
      </w:r>
      <w:proofErr w:type="spellStart"/>
      <w:r w:rsidR="00D91814" w:rsidRPr="00D91814">
        <w:rPr>
          <w:rFonts w:ascii="Times New Roman" w:hAnsi="Times New Roman"/>
          <w:szCs w:val="24"/>
        </w:rPr>
        <w:t>ImageXpressMicro</w:t>
      </w:r>
      <w:proofErr w:type="spellEnd"/>
      <w:r w:rsidR="00D91814" w:rsidRPr="00D91814">
        <w:rPr>
          <w:rFonts w:ascii="Times New Roman" w:hAnsi="Times New Roman"/>
          <w:szCs w:val="24"/>
        </w:rPr>
        <w:t xml:space="preserve"> HCS microscope (IXM; Molecular Devices, Wokingham, UK)</w:t>
      </w:r>
      <w:r w:rsidR="00E1555C">
        <w:rPr>
          <w:rFonts w:ascii="Times New Roman" w:hAnsi="Times New Roman"/>
          <w:szCs w:val="24"/>
        </w:rPr>
        <w:t>.</w:t>
      </w:r>
      <w:r w:rsidR="00D91814">
        <w:rPr>
          <w:rFonts w:ascii="Times New Roman" w:hAnsi="Times New Roman"/>
          <w:szCs w:val="24"/>
        </w:rPr>
        <w:t xml:space="preserve"> </w:t>
      </w:r>
      <w:r w:rsidR="00947C9C" w:rsidRPr="00B77B8C">
        <w:rPr>
          <w:rFonts w:ascii="Times New Roman" w:hAnsi="Times New Roman"/>
          <w:szCs w:val="24"/>
        </w:rPr>
        <w:t xml:space="preserve">For motility analysis 5 x </w:t>
      </w:r>
      <w:r w:rsidR="00280A8D">
        <w:rPr>
          <w:rFonts w:ascii="Times New Roman" w:hAnsi="Times New Roman"/>
          <w:szCs w:val="24"/>
        </w:rPr>
        <w:t>11</w:t>
      </w:r>
      <w:r w:rsidR="00947C9C" w:rsidRPr="00B77B8C">
        <w:rPr>
          <w:rFonts w:ascii="Times New Roman" w:hAnsi="Times New Roman"/>
          <w:szCs w:val="24"/>
        </w:rPr>
        <w:t xml:space="preserve"> sec interval time-lapse images were collected using a 4x objective. For detailed morphology</w:t>
      </w:r>
      <w:r w:rsidR="001967A9">
        <w:rPr>
          <w:rFonts w:ascii="Times New Roman" w:hAnsi="Times New Roman"/>
          <w:szCs w:val="24"/>
        </w:rPr>
        <w:t>,</w:t>
      </w:r>
      <w:r w:rsidR="00947C9C" w:rsidRPr="00B77B8C">
        <w:rPr>
          <w:rFonts w:ascii="Times New Roman" w:hAnsi="Times New Roman"/>
          <w:szCs w:val="24"/>
        </w:rPr>
        <w:t xml:space="preserve"> a 10x objective was used to collect 4 adjacent images fields from within a well</w:t>
      </w:r>
      <w:r w:rsidR="00D91814">
        <w:rPr>
          <w:rFonts w:ascii="Times New Roman" w:hAnsi="Times New Roman"/>
          <w:szCs w:val="24"/>
        </w:rPr>
        <w:t xml:space="preserve"> in order to increase the number of </w:t>
      </w:r>
      <w:proofErr w:type="spellStart"/>
      <w:r w:rsidR="009458F8">
        <w:rPr>
          <w:rFonts w:ascii="Times New Roman" w:hAnsi="Times New Roman"/>
          <w:szCs w:val="24"/>
        </w:rPr>
        <w:t>schistosomula</w:t>
      </w:r>
      <w:proofErr w:type="spellEnd"/>
      <w:r w:rsidR="009458F8">
        <w:rPr>
          <w:rFonts w:ascii="Times New Roman" w:hAnsi="Times New Roman"/>
          <w:szCs w:val="24"/>
        </w:rPr>
        <w:t xml:space="preserve"> </w:t>
      </w:r>
      <w:r w:rsidR="00D91814">
        <w:rPr>
          <w:rFonts w:ascii="Times New Roman" w:hAnsi="Times New Roman"/>
          <w:szCs w:val="24"/>
        </w:rPr>
        <w:t>for phenotype analysis.</w:t>
      </w:r>
      <w:r w:rsidR="00947C9C" w:rsidRPr="00B77B8C">
        <w:rPr>
          <w:rFonts w:ascii="Times New Roman" w:hAnsi="Times New Roman"/>
          <w:szCs w:val="24"/>
        </w:rPr>
        <w:t xml:space="preserve"> Analysis of both the larval phenotype and motility was then carried out in Pipeline Pilot 9 as described by </w:t>
      </w:r>
      <w:proofErr w:type="spellStart"/>
      <w:r w:rsidR="00CA266D" w:rsidRPr="006F18F5">
        <w:rPr>
          <w:rFonts w:ascii="Times New Roman" w:hAnsi="Times New Roman"/>
          <w:szCs w:val="24"/>
        </w:rPr>
        <w:t>Paveley</w:t>
      </w:r>
      <w:proofErr w:type="spellEnd"/>
      <w:r w:rsidR="00CA266D" w:rsidRPr="006F18F5">
        <w:rPr>
          <w:rFonts w:ascii="Times New Roman" w:hAnsi="Times New Roman"/>
          <w:szCs w:val="24"/>
        </w:rPr>
        <w:t xml:space="preserve"> </w:t>
      </w:r>
      <w:r w:rsidR="006F18F5">
        <w:rPr>
          <w:rFonts w:ascii="Times New Roman" w:hAnsi="Times New Roman"/>
          <w:szCs w:val="24"/>
        </w:rPr>
        <w:t>and colleagues</w:t>
      </w:r>
      <w:r w:rsidR="00947C9C" w:rsidRPr="00B77B8C">
        <w:rPr>
          <w:rFonts w:ascii="Times New Roman" w:hAnsi="Times New Roman"/>
          <w:szCs w:val="24"/>
        </w:rPr>
        <w:t>.</w:t>
      </w:r>
      <w:r w:rsidR="006F18F5">
        <w:rPr>
          <w:rFonts w:ascii="Times New Roman" w:hAnsi="Times New Roman"/>
          <w:szCs w:val="24"/>
        </w:rPr>
        <w:fldChar w:fldCharType="begin" w:fldLock="1"/>
      </w:r>
      <w:r w:rsidR="00456ABA">
        <w:rPr>
          <w:rFonts w:ascii="Times New Roman" w:hAnsi="Times New Roman"/>
          <w:szCs w:val="24"/>
        </w:rPr>
        <w:instrText>ADDIN CSL_CITATION { "citationItems" : [ { "id" : "ITEM-1", "itemData" : { "DOI" : "10.1371/journal.pntd.0001762", "ISSN" : "1935-2735", "PMID" : "22860151", "abstract" : "Sole reliance on one drug, Praziquantel, for treatment and control of schistosomiasis raises concerns about development of widespread resistance, prompting renewed interest in the discovery of new anthelmintics. To discover new leads we designed an automated label-free, high content-based, high throughput screen (HTS) to assess drug-induced effects on in vitro cultured larvae (schistosomula) using bright-field imaging. Automatic image analysis and Bayesian prediction models define morphological damage, hit/non-hit prediction and larval phenotype characterization. Motility was also assessed from time-lapse images. In screening a 10,041 compound library the HTS correctly detected 99.8% of the hits scored visually. A proportion of these larval hits were also active in an adult worm ex-vivo screen and are the subject of ongoing studies. The method allows, for the first time, screening of large compound collections against schistosomes and the methods are adaptable to other whole organism and cell-based screening by morphology and motility phenotyping.", "author" : [ { "dropping-particle" : "", "family" : "Paveley", "given" : "Ross", "non-dropping-particle" : "", "parse-names" : false, "suffix" : "" }, { "dropping-particle" : "", "family" : "Mansour", "given" : "Nuha R", "non-dropping-particle" : "", "parse-names" : false, "suffix" : "" }, { "dropping-particle" : "", "family" : "Hallyburton", "given" : "Irene", "non-dropping-particle" : "", "parse-names" : false, "suffix" : "" }, { "dropping-particle" : "", "family" : "Bleicher", "given" : "Leo S", "non-dropping-particle" : "", "parse-names" : false, "suffix" : "" }, { "dropping-particle" : "", "family" : "Benn", "given" : "Alex E", "non-dropping-particle" : "", "parse-names" : false, "suffix" : "" }, { "dropping-particle" : "", "family" : "Mikic", "given" : "Ivana", "non-dropping-particle" : "", "parse-names" : false, "suffix" : "" }, { "dropping-particle" : "", "family" : "Guidi", "given" : "Alessandra", "non-dropping-particle" : "", "parse-names" : false, "suffix" : "" }, { "dropping-particle" : "", "family" : "Gilbert", "given" : "Ian H", "non-dropping-particle" : "", "parse-names" : false, "suffix" : "" }, { "dropping-particle" : "", "family" : "Hopkins", "given" : "Andrew L", "non-dropping-particle" : "", "parse-names" : false, "suffix" : "" }, { "dropping-particle" : "", "family" : "Bickle", "given" : "Quentin D", "non-dropping-particle" : "", "parse-names" : false, "suffix" : "" } ], "container-title" : "PLoS Neglected Tropical Diseases", "editor" : [ { "dropping-particle" : "", "family" : "Simeonov", "given" : "Anton", "non-dropping-particle" : "", "parse-names" : false, "suffix" : "" } ], "id" : "ITEM-1", "issue" : "7", "issued" : { "date-parts" : [ [ "2012", "7", "31" ] ] }, "page" : "e1762", "title" : "Whole Organism High-Content Screening by Label-Free, Image-Based Bayesian Classification for Parasitic Diseases", "type" : "article-journal", "volume" : "6" }, "uris" : [ "http://www.mendeley.com/documents/?uuid=0338ed2d-2fc7-4034-8fe2-f336b77991e9", "http://www.mendeley.com/documents/?uuid=d30ecd1d-e697-435b-afc9-7ed86f415efe" ] } ], "mendeley" : { "formattedCitation" : "&lt;sup&gt;64&lt;/sup&gt;", "plainTextFormattedCitation" : "64", "previouslyFormattedCitation" : "&lt;sup&gt;64&lt;/sup&gt;" }, "properties" : { "noteIndex" : 0 }, "schema" : "https://github.com/citation-style-language/schema/raw/master/csl-citation.json" }</w:instrText>
      </w:r>
      <w:r w:rsidR="006F18F5">
        <w:rPr>
          <w:rFonts w:ascii="Times New Roman" w:hAnsi="Times New Roman"/>
          <w:szCs w:val="24"/>
        </w:rPr>
        <w:fldChar w:fldCharType="separate"/>
      </w:r>
      <w:r w:rsidR="00456ABA" w:rsidRPr="00456ABA">
        <w:rPr>
          <w:rFonts w:ascii="Times New Roman" w:hAnsi="Times New Roman"/>
          <w:noProof/>
          <w:szCs w:val="24"/>
          <w:vertAlign w:val="superscript"/>
        </w:rPr>
        <w:t>64</w:t>
      </w:r>
      <w:r w:rsidR="006F18F5">
        <w:rPr>
          <w:rFonts w:ascii="Times New Roman" w:hAnsi="Times New Roman"/>
          <w:szCs w:val="24"/>
        </w:rPr>
        <w:fldChar w:fldCharType="end"/>
      </w:r>
      <w:r w:rsidR="00947C9C" w:rsidRPr="00B77B8C">
        <w:rPr>
          <w:rFonts w:ascii="Times New Roman" w:hAnsi="Times New Roman"/>
          <w:szCs w:val="24"/>
        </w:rPr>
        <w:t xml:space="preserve"> Phenotype analysis of individual parasites was carried out by a two class Laplacian-modified Bayesian categorization</w:t>
      </w:r>
      <w:r w:rsidR="00B46D49">
        <w:rPr>
          <w:rFonts w:ascii="Times New Roman" w:hAnsi="Times New Roman"/>
          <w:szCs w:val="24"/>
        </w:rPr>
        <w:t xml:space="preserve"> </w:t>
      </w:r>
      <w:r w:rsidR="00947C9C" w:rsidRPr="00B77B8C">
        <w:rPr>
          <w:rFonts w:ascii="Times New Roman" w:hAnsi="Times New Roman"/>
          <w:szCs w:val="24"/>
        </w:rPr>
        <w:t>analysis of 80 image descriptors which constituted shape, size, image intensity</w:t>
      </w:r>
      <w:r w:rsidR="008745C7">
        <w:rPr>
          <w:rFonts w:ascii="Times New Roman" w:hAnsi="Times New Roman"/>
          <w:szCs w:val="24"/>
        </w:rPr>
        <w:t>,</w:t>
      </w:r>
      <w:r w:rsidR="00947C9C" w:rsidRPr="00B77B8C">
        <w:rPr>
          <w:rFonts w:ascii="Times New Roman" w:hAnsi="Times New Roman"/>
          <w:szCs w:val="24"/>
        </w:rPr>
        <w:t xml:space="preserve"> and texture statistics and compared to a training set of data comprising 20,000 parasites. Motility analysis of individual parasites was also </w:t>
      </w:r>
      <w:r w:rsidR="008745C7">
        <w:rPr>
          <w:rFonts w:ascii="Times New Roman" w:hAnsi="Times New Roman"/>
          <w:szCs w:val="24"/>
        </w:rPr>
        <w:t>carried out</w:t>
      </w:r>
      <w:r w:rsidR="008745C7" w:rsidRPr="00B77B8C">
        <w:rPr>
          <w:rFonts w:ascii="Times New Roman" w:hAnsi="Times New Roman"/>
          <w:szCs w:val="24"/>
        </w:rPr>
        <w:t xml:space="preserve"> </w:t>
      </w:r>
      <w:r w:rsidR="00947C9C" w:rsidRPr="00B77B8C">
        <w:rPr>
          <w:rFonts w:ascii="Times New Roman" w:hAnsi="Times New Roman"/>
          <w:szCs w:val="24"/>
        </w:rPr>
        <w:t xml:space="preserve">by the average object displacement from the </w:t>
      </w:r>
      <w:r w:rsidR="00947C9C" w:rsidRPr="00B77B8C">
        <w:rPr>
          <w:rFonts w:ascii="Times New Roman" w:hAnsi="Times New Roman"/>
          <w:szCs w:val="24"/>
        </w:rPr>
        <w:lastRenderedPageBreak/>
        <w:t xml:space="preserve">origin point in subsequent 4x image across the time-frame series. Both the </w:t>
      </w:r>
      <w:r w:rsidR="00E1555C" w:rsidRPr="00B77B8C">
        <w:rPr>
          <w:rFonts w:ascii="Times New Roman" w:hAnsi="Times New Roman"/>
          <w:szCs w:val="24"/>
        </w:rPr>
        <w:t>Bayesian</w:t>
      </w:r>
      <w:r w:rsidR="00947C9C" w:rsidRPr="00B77B8C">
        <w:rPr>
          <w:rFonts w:ascii="Times New Roman" w:hAnsi="Times New Roman"/>
          <w:szCs w:val="24"/>
        </w:rPr>
        <w:t xml:space="preserve"> phenotype and motility scores </w:t>
      </w:r>
      <w:r w:rsidR="007A2E28">
        <w:rPr>
          <w:rFonts w:ascii="Times New Roman" w:hAnsi="Times New Roman"/>
          <w:szCs w:val="24"/>
        </w:rPr>
        <w:t>were</w:t>
      </w:r>
      <w:r w:rsidR="007A2E28" w:rsidRPr="00B77B8C">
        <w:rPr>
          <w:rFonts w:ascii="Times New Roman" w:hAnsi="Times New Roman"/>
          <w:szCs w:val="24"/>
        </w:rPr>
        <w:t xml:space="preserve"> </w:t>
      </w:r>
      <w:r w:rsidR="00947C9C" w:rsidRPr="00B77B8C">
        <w:rPr>
          <w:rFonts w:ascii="Times New Roman" w:hAnsi="Times New Roman"/>
          <w:szCs w:val="24"/>
        </w:rPr>
        <w:t>subsequently adjusted to the control wells (DMSO treated) on each plate.</w:t>
      </w:r>
      <w:r w:rsidR="006F18F5">
        <w:rPr>
          <w:rFonts w:ascii="Times New Roman" w:hAnsi="Times New Roman"/>
          <w:szCs w:val="24"/>
        </w:rPr>
        <w:fldChar w:fldCharType="begin" w:fldLock="1"/>
      </w:r>
      <w:r w:rsidR="00456ABA">
        <w:rPr>
          <w:rFonts w:ascii="Times New Roman" w:hAnsi="Times New Roman"/>
          <w:szCs w:val="24"/>
        </w:rPr>
        <w:instrText>ADDIN CSL_CITATION { "citationItems" : [ { "id" : "ITEM-1", "itemData" : { "DOI" : "10.1371/journal.pntd.0001762", "ISSN" : "1935-2735", "PMID" : "22860151", "abstract" : "Sole reliance on one drug, Praziquantel, for treatment and control of schistosomiasis raises concerns about development of widespread resistance, prompting renewed interest in the discovery of new anthelmintics. To discover new leads we designed an automated label-free, high content-based, high throughput screen (HTS) to assess drug-induced effects on in vitro cultured larvae (schistosomula) using bright-field imaging. Automatic image analysis and Bayesian prediction models define morphological damage, hit/non-hit prediction and larval phenotype characterization. Motility was also assessed from time-lapse images. In screening a 10,041 compound library the HTS correctly detected 99.8% of the hits scored visually. A proportion of these larval hits were also active in an adult worm ex-vivo screen and are the subject of ongoing studies. The method allows, for the first time, screening of large compound collections against schistosomes and the methods are adaptable to other whole organism and cell-based screening by morphology and motility phenotyping.", "author" : [ { "dropping-particle" : "", "family" : "Paveley", "given" : "Ross", "non-dropping-particle" : "", "parse-names" : false, "suffix" : "" }, { "dropping-particle" : "", "family" : "Mansour", "given" : "Nuha R", "non-dropping-particle" : "", "parse-names" : false, "suffix" : "" }, { "dropping-particle" : "", "family" : "Hallyburton", "given" : "Irene", "non-dropping-particle" : "", "parse-names" : false, "suffix" : "" }, { "dropping-particle" : "", "family" : "Bleicher", "given" : "Leo S", "non-dropping-particle" : "", "parse-names" : false, "suffix" : "" }, { "dropping-particle" : "", "family" : "Benn", "given" : "Alex E", "non-dropping-particle" : "", "parse-names" : false, "suffix" : "" }, { "dropping-particle" : "", "family" : "Mikic", "given" : "Ivana", "non-dropping-particle" : "", "parse-names" : false, "suffix" : "" }, { "dropping-particle" : "", "family" : "Guidi", "given" : "Alessandra", "non-dropping-particle" : "", "parse-names" : false, "suffix" : "" }, { "dropping-particle" : "", "family" : "Gilbert", "given" : "Ian H", "non-dropping-particle" : "", "parse-names" : false, "suffix" : "" }, { "dropping-particle" : "", "family" : "Hopkins", "given" : "Andrew L", "non-dropping-particle" : "", "parse-names" : false, "suffix" : "" }, { "dropping-particle" : "", "family" : "Bickle", "given" : "Quentin D", "non-dropping-particle" : "", "parse-names" : false, "suffix" : "" } ], "container-title" : "PLoS Neglected Tropical Diseases", "editor" : [ { "dropping-particle" : "", "family" : "Simeonov", "given" : "Anton", "non-dropping-particle" : "", "parse-names" : false, "suffix" : "" } ], "id" : "ITEM-1", "issue" : "7", "issued" : { "date-parts" : [ [ "2012", "7", "31" ] ] }, "page" : "e1762", "title" : "Whole Organism High-Content Screening by Label-Free, Image-Based Bayesian Classification for Parasitic Diseases", "type" : "article-journal", "volume" : "6" }, "uris" : [ "http://www.mendeley.com/documents/?uuid=0338ed2d-2fc7-4034-8fe2-f336b77991e9", "http://www.mendeley.com/documents/?uuid=d30ecd1d-e697-435b-afc9-7ed86f415efe" ] } ], "mendeley" : { "formattedCitation" : "&lt;sup&gt;64&lt;/sup&gt;", "plainTextFormattedCitation" : "64", "previouslyFormattedCitation" : "&lt;sup&gt;64&lt;/sup&gt;" }, "properties" : { "noteIndex" : 0 }, "schema" : "https://github.com/citation-style-language/schema/raw/master/csl-citation.json" }</w:instrText>
      </w:r>
      <w:r w:rsidR="006F18F5">
        <w:rPr>
          <w:rFonts w:ascii="Times New Roman" w:hAnsi="Times New Roman"/>
          <w:szCs w:val="24"/>
        </w:rPr>
        <w:fldChar w:fldCharType="separate"/>
      </w:r>
      <w:r w:rsidR="00456ABA" w:rsidRPr="00456ABA">
        <w:rPr>
          <w:rFonts w:ascii="Times New Roman" w:hAnsi="Times New Roman"/>
          <w:noProof/>
          <w:szCs w:val="24"/>
          <w:vertAlign w:val="superscript"/>
        </w:rPr>
        <w:t>64</w:t>
      </w:r>
      <w:r w:rsidR="006F18F5">
        <w:rPr>
          <w:rFonts w:ascii="Times New Roman" w:hAnsi="Times New Roman"/>
          <w:szCs w:val="24"/>
        </w:rPr>
        <w:fldChar w:fldCharType="end"/>
      </w:r>
    </w:p>
    <w:p w14:paraId="7A8C242A" w14:textId="4A65315B" w:rsidR="00BA4BFC" w:rsidRDefault="00947C9C" w:rsidP="00947C9C">
      <w:pPr>
        <w:pStyle w:val="TAMainText"/>
        <w:rPr>
          <w:rFonts w:ascii="Times New Roman" w:hAnsi="Times New Roman"/>
          <w:szCs w:val="24"/>
        </w:rPr>
      </w:pPr>
      <w:r w:rsidRPr="000F605D">
        <w:rPr>
          <w:rFonts w:ascii="Times New Roman" w:hAnsi="Times New Roman"/>
          <w:b/>
          <w:szCs w:val="24"/>
        </w:rPr>
        <w:t xml:space="preserve">Automated </w:t>
      </w:r>
      <w:r w:rsidRPr="000F605D">
        <w:rPr>
          <w:rFonts w:ascii="Times New Roman" w:hAnsi="Times New Roman"/>
          <w:b/>
          <w:i/>
          <w:szCs w:val="24"/>
        </w:rPr>
        <w:t>ex vivo</w:t>
      </w:r>
      <w:r w:rsidRPr="000F605D">
        <w:rPr>
          <w:rFonts w:ascii="Times New Roman" w:hAnsi="Times New Roman"/>
          <w:b/>
          <w:szCs w:val="24"/>
        </w:rPr>
        <w:t xml:space="preserve"> </w:t>
      </w:r>
      <w:r w:rsidR="004B58B9" w:rsidRPr="000F605D">
        <w:rPr>
          <w:rFonts w:ascii="Times New Roman" w:hAnsi="Times New Roman"/>
          <w:b/>
          <w:szCs w:val="24"/>
        </w:rPr>
        <w:t>Adult</w:t>
      </w:r>
      <w:r w:rsidR="004B58B9" w:rsidRPr="000F605D">
        <w:rPr>
          <w:rFonts w:ascii="Times New Roman" w:hAnsi="Times New Roman"/>
          <w:b/>
          <w:i/>
          <w:szCs w:val="24"/>
        </w:rPr>
        <w:t xml:space="preserve"> </w:t>
      </w:r>
      <w:r w:rsidRPr="000F605D">
        <w:rPr>
          <w:rFonts w:ascii="Times New Roman" w:hAnsi="Times New Roman"/>
          <w:b/>
          <w:i/>
          <w:szCs w:val="24"/>
        </w:rPr>
        <w:t>S</w:t>
      </w:r>
      <w:r w:rsidR="004B58B9" w:rsidRPr="000F605D">
        <w:rPr>
          <w:rFonts w:ascii="Times New Roman" w:hAnsi="Times New Roman"/>
          <w:b/>
          <w:i/>
          <w:szCs w:val="24"/>
        </w:rPr>
        <w:t>.</w:t>
      </w:r>
      <w:r w:rsidRPr="000F605D">
        <w:rPr>
          <w:rFonts w:ascii="Times New Roman" w:hAnsi="Times New Roman"/>
          <w:b/>
          <w:i/>
          <w:szCs w:val="24"/>
        </w:rPr>
        <w:t xml:space="preserve"> </w:t>
      </w:r>
      <w:proofErr w:type="spellStart"/>
      <w:r w:rsidRPr="000F605D">
        <w:rPr>
          <w:rFonts w:ascii="Times New Roman" w:hAnsi="Times New Roman"/>
          <w:b/>
          <w:i/>
          <w:szCs w:val="24"/>
        </w:rPr>
        <w:t>mansoni</w:t>
      </w:r>
      <w:proofErr w:type="spellEnd"/>
      <w:r w:rsidR="00087C0A" w:rsidRPr="000F605D">
        <w:rPr>
          <w:rFonts w:ascii="Times New Roman" w:hAnsi="Times New Roman"/>
          <w:b/>
          <w:szCs w:val="24"/>
        </w:rPr>
        <w:t xml:space="preserve"> </w:t>
      </w:r>
      <w:r w:rsidR="00403B16" w:rsidRPr="000F605D">
        <w:rPr>
          <w:rFonts w:ascii="Times New Roman" w:hAnsi="Times New Roman"/>
          <w:b/>
          <w:szCs w:val="24"/>
        </w:rPr>
        <w:t>HCS</w:t>
      </w:r>
      <w:r w:rsidRPr="000F605D">
        <w:rPr>
          <w:rFonts w:ascii="Times New Roman" w:hAnsi="Times New Roman"/>
          <w:b/>
          <w:szCs w:val="24"/>
        </w:rPr>
        <w:t xml:space="preserve"> </w:t>
      </w:r>
      <w:r w:rsidR="00087C0A" w:rsidRPr="000F605D">
        <w:rPr>
          <w:rFonts w:ascii="Times New Roman" w:hAnsi="Times New Roman"/>
          <w:b/>
          <w:szCs w:val="24"/>
        </w:rPr>
        <w:t>A</w:t>
      </w:r>
      <w:r w:rsidRPr="000F605D">
        <w:rPr>
          <w:rFonts w:ascii="Times New Roman" w:hAnsi="Times New Roman"/>
          <w:b/>
          <w:szCs w:val="24"/>
        </w:rPr>
        <w:t>ssay</w:t>
      </w:r>
      <w:r w:rsidRPr="000F605D">
        <w:rPr>
          <w:rFonts w:ascii="Times New Roman" w:hAnsi="Times New Roman"/>
          <w:szCs w:val="24"/>
        </w:rPr>
        <w:t xml:space="preserve">. </w:t>
      </w:r>
      <w:r w:rsidRPr="00B77B8C">
        <w:rPr>
          <w:rFonts w:ascii="Times New Roman" w:hAnsi="Times New Roman"/>
          <w:szCs w:val="24"/>
        </w:rPr>
        <w:t>A</w:t>
      </w:r>
      <w:r>
        <w:rPr>
          <w:rFonts w:ascii="Times New Roman" w:hAnsi="Times New Roman"/>
          <w:szCs w:val="24"/>
        </w:rPr>
        <w:t xml:space="preserve">fter 42-49 </w:t>
      </w:r>
      <w:proofErr w:type="gramStart"/>
      <w:r>
        <w:rPr>
          <w:rFonts w:ascii="Times New Roman" w:hAnsi="Times New Roman"/>
          <w:szCs w:val="24"/>
        </w:rPr>
        <w:t>days</w:t>
      </w:r>
      <w:proofErr w:type="gramEnd"/>
      <w:r>
        <w:rPr>
          <w:rFonts w:ascii="Times New Roman" w:hAnsi="Times New Roman"/>
          <w:szCs w:val="24"/>
        </w:rPr>
        <w:t xml:space="preserve"> post p</w:t>
      </w:r>
      <w:r w:rsidRPr="00B77B8C">
        <w:rPr>
          <w:rFonts w:ascii="Times New Roman" w:hAnsi="Times New Roman"/>
          <w:szCs w:val="24"/>
        </w:rPr>
        <w:t>ercutaneously infection</w:t>
      </w:r>
      <w:r>
        <w:rPr>
          <w:rFonts w:ascii="Times New Roman" w:hAnsi="Times New Roman"/>
          <w:szCs w:val="24"/>
        </w:rPr>
        <w:t xml:space="preserve"> of infant Swiss mice </w:t>
      </w:r>
      <w:r w:rsidRPr="002623A0">
        <w:rPr>
          <w:rFonts w:ascii="Times New Roman" w:hAnsi="Times New Roman"/>
          <w:szCs w:val="24"/>
        </w:rPr>
        <w:t xml:space="preserve">with 150 ± 10 </w:t>
      </w:r>
      <w:r w:rsidRPr="002623A0">
        <w:rPr>
          <w:rFonts w:ascii="Times New Roman" w:hAnsi="Times New Roman"/>
          <w:i/>
          <w:szCs w:val="24"/>
        </w:rPr>
        <w:t xml:space="preserve">S. </w:t>
      </w:r>
      <w:proofErr w:type="spellStart"/>
      <w:r w:rsidRPr="002623A0">
        <w:rPr>
          <w:rFonts w:ascii="Times New Roman" w:hAnsi="Times New Roman"/>
          <w:i/>
          <w:szCs w:val="24"/>
        </w:rPr>
        <w:t>mansoni</w:t>
      </w:r>
      <w:proofErr w:type="spellEnd"/>
      <w:r w:rsidRPr="002623A0">
        <w:rPr>
          <w:rFonts w:ascii="Times New Roman" w:hAnsi="Times New Roman"/>
          <w:szCs w:val="24"/>
        </w:rPr>
        <w:t xml:space="preserve"> </w:t>
      </w:r>
      <w:proofErr w:type="spellStart"/>
      <w:r w:rsidRPr="002623A0">
        <w:rPr>
          <w:rFonts w:ascii="Times New Roman" w:hAnsi="Times New Roman"/>
          <w:szCs w:val="24"/>
        </w:rPr>
        <w:t>cercariae</w:t>
      </w:r>
      <w:proofErr w:type="spellEnd"/>
      <w:r w:rsidRPr="002623A0">
        <w:rPr>
          <w:rFonts w:ascii="Times New Roman" w:hAnsi="Times New Roman"/>
          <w:szCs w:val="24"/>
        </w:rPr>
        <w:t xml:space="preserve"> (BH strain)</w:t>
      </w:r>
      <w:r>
        <w:rPr>
          <w:rFonts w:ascii="Times New Roman" w:hAnsi="Times New Roman"/>
          <w:szCs w:val="24"/>
        </w:rPr>
        <w:t xml:space="preserve">, animals were euthanized, and worms perfused </w:t>
      </w:r>
      <w:r w:rsidRPr="00B77B8C">
        <w:rPr>
          <w:rFonts w:ascii="Times New Roman" w:hAnsi="Times New Roman"/>
          <w:szCs w:val="24"/>
        </w:rPr>
        <w:t xml:space="preserve">from portal hepatic and mesenteric veins. </w:t>
      </w:r>
      <w:r w:rsidR="00B47478">
        <w:rPr>
          <w:rFonts w:ascii="Times New Roman" w:hAnsi="Times New Roman"/>
          <w:szCs w:val="24"/>
        </w:rPr>
        <w:t>Male and female p</w:t>
      </w:r>
      <w:r>
        <w:rPr>
          <w:rFonts w:ascii="Times New Roman" w:hAnsi="Times New Roman"/>
          <w:szCs w:val="24"/>
        </w:rPr>
        <w:t>arasites</w:t>
      </w:r>
      <w:r w:rsidR="00B47478">
        <w:rPr>
          <w:rFonts w:ascii="Times New Roman" w:hAnsi="Times New Roman"/>
          <w:szCs w:val="24"/>
        </w:rPr>
        <w:t xml:space="preserve"> </w:t>
      </w:r>
      <w:r w:rsidRPr="004544A5">
        <w:rPr>
          <w:rFonts w:ascii="Times New Roman" w:hAnsi="Times New Roman"/>
          <w:szCs w:val="24"/>
        </w:rPr>
        <w:t>were rinsed and individually transferred into 96 well plates with complete DMEM media (i.e. DMEM plus 10% fetal calf serum, 2mM L-glutamine, 100 µM/ml penicillin, 100 µg/ml streptomycin). The plates</w:t>
      </w:r>
      <w:r w:rsidR="0032600B" w:rsidRPr="004544A5">
        <w:rPr>
          <w:rFonts w:ascii="Times New Roman" w:hAnsi="Times New Roman"/>
          <w:szCs w:val="24"/>
        </w:rPr>
        <w:t xml:space="preserve"> </w:t>
      </w:r>
      <w:r w:rsidRPr="004544A5">
        <w:rPr>
          <w:rFonts w:ascii="Times New Roman" w:hAnsi="Times New Roman"/>
          <w:szCs w:val="24"/>
        </w:rPr>
        <w:t>were maintained</w:t>
      </w:r>
      <w:r w:rsidR="0032600B" w:rsidRPr="004544A5">
        <w:rPr>
          <w:rFonts w:ascii="Times New Roman" w:hAnsi="Times New Roman"/>
          <w:szCs w:val="24"/>
        </w:rPr>
        <w:t xml:space="preserve"> overnight</w:t>
      </w:r>
      <w:r w:rsidRPr="004544A5">
        <w:rPr>
          <w:rFonts w:ascii="Times New Roman" w:hAnsi="Times New Roman"/>
          <w:szCs w:val="24"/>
        </w:rPr>
        <w:t xml:space="preserve"> at 37 °C in a humidified atmosphere of 5% CO</w:t>
      </w:r>
      <w:r w:rsidRPr="004544A5">
        <w:rPr>
          <w:rFonts w:ascii="Times New Roman" w:hAnsi="Times New Roman"/>
          <w:szCs w:val="24"/>
          <w:vertAlign w:val="subscript"/>
        </w:rPr>
        <w:t>2</w:t>
      </w:r>
      <w:r w:rsidRPr="004544A5">
        <w:rPr>
          <w:rFonts w:ascii="Times New Roman" w:hAnsi="Times New Roman"/>
          <w:szCs w:val="24"/>
        </w:rPr>
        <w:t>.</w:t>
      </w:r>
      <w:r w:rsidR="0032600B" w:rsidRPr="004544A5">
        <w:rPr>
          <w:rFonts w:ascii="Times New Roman" w:hAnsi="Times New Roman"/>
          <w:szCs w:val="24"/>
        </w:rPr>
        <w:t xml:space="preserve"> </w:t>
      </w:r>
      <w:r w:rsidR="002A6770">
        <w:rPr>
          <w:rFonts w:ascii="Times New Roman" w:hAnsi="Times New Roman"/>
          <w:szCs w:val="24"/>
        </w:rPr>
        <w:t>Further</w:t>
      </w:r>
      <w:r w:rsidR="00C509AA" w:rsidRPr="00FA47CC">
        <w:rPr>
          <w:rFonts w:ascii="Times New Roman" w:hAnsi="Times New Roman"/>
          <w:szCs w:val="24"/>
        </w:rPr>
        <w:t>, w</w:t>
      </w:r>
      <w:r w:rsidR="0032600B" w:rsidRPr="00FA47CC">
        <w:rPr>
          <w:rFonts w:ascii="Times New Roman" w:hAnsi="Times New Roman"/>
          <w:szCs w:val="24"/>
        </w:rPr>
        <w:t xml:space="preserve">orms were then incubated up to 72h with </w:t>
      </w:r>
      <w:r w:rsidR="002A6770">
        <w:rPr>
          <w:rFonts w:ascii="Times New Roman" w:hAnsi="Times New Roman"/>
          <w:szCs w:val="24"/>
        </w:rPr>
        <w:t xml:space="preserve">0.10−100 µM of selected compounds and </w:t>
      </w:r>
      <w:r w:rsidR="0032600B" w:rsidRPr="004544A5">
        <w:rPr>
          <w:rFonts w:ascii="Times New Roman" w:hAnsi="Times New Roman"/>
          <w:szCs w:val="24"/>
        </w:rPr>
        <w:t xml:space="preserve">PZQ or </w:t>
      </w:r>
      <w:r w:rsidR="002A6770">
        <w:rPr>
          <w:rFonts w:ascii="Times New Roman" w:hAnsi="Times New Roman"/>
          <w:szCs w:val="24"/>
        </w:rPr>
        <w:t xml:space="preserve">negative control </w:t>
      </w:r>
      <w:r w:rsidR="0032600B" w:rsidRPr="004544A5">
        <w:rPr>
          <w:rFonts w:ascii="Times New Roman" w:hAnsi="Times New Roman"/>
          <w:szCs w:val="24"/>
        </w:rPr>
        <w:t xml:space="preserve">DMSO </w:t>
      </w:r>
      <w:r w:rsidR="002A6770">
        <w:rPr>
          <w:rFonts w:ascii="Times New Roman" w:hAnsi="Times New Roman"/>
          <w:szCs w:val="24"/>
        </w:rPr>
        <w:t xml:space="preserve">at </w:t>
      </w:r>
      <w:r w:rsidR="002A6770" w:rsidRPr="004544A5">
        <w:rPr>
          <w:rFonts w:ascii="Times New Roman" w:hAnsi="Times New Roman"/>
          <w:szCs w:val="24"/>
        </w:rPr>
        <w:t>0.1%</w:t>
      </w:r>
      <w:r w:rsidR="0032600B" w:rsidRPr="004544A5">
        <w:rPr>
          <w:rFonts w:ascii="Times New Roman" w:hAnsi="Times New Roman"/>
          <w:szCs w:val="24"/>
        </w:rPr>
        <w:t>.</w:t>
      </w:r>
      <w:r w:rsidRPr="004544A5">
        <w:rPr>
          <w:rFonts w:ascii="Times New Roman" w:hAnsi="Times New Roman"/>
          <w:szCs w:val="24"/>
        </w:rPr>
        <w:t xml:space="preserve"> The effect of the compounds on adult worm motility</w:t>
      </w:r>
      <w:r w:rsidR="00B47478" w:rsidRPr="004544A5">
        <w:rPr>
          <w:rFonts w:ascii="Times New Roman" w:hAnsi="Times New Roman"/>
          <w:szCs w:val="24"/>
        </w:rPr>
        <w:t xml:space="preserve"> </w:t>
      </w:r>
      <w:r w:rsidR="004B58B9" w:rsidRPr="004544A5">
        <w:rPr>
          <w:rFonts w:ascii="Times New Roman" w:hAnsi="Times New Roman"/>
          <w:szCs w:val="24"/>
        </w:rPr>
        <w:t xml:space="preserve">or phenotype </w:t>
      </w:r>
      <w:r w:rsidRPr="004544A5">
        <w:rPr>
          <w:rFonts w:ascii="Times New Roman" w:hAnsi="Times New Roman"/>
          <w:szCs w:val="24"/>
        </w:rPr>
        <w:t xml:space="preserve">was assessed either immediately 24, 48 or 72h after compound addition using </w:t>
      </w:r>
      <w:r w:rsidR="00B549CA" w:rsidRPr="004544A5">
        <w:rPr>
          <w:rFonts w:ascii="Times New Roman" w:hAnsi="Times New Roman"/>
          <w:szCs w:val="24"/>
        </w:rPr>
        <w:t>a newly developed HCS assay</w:t>
      </w:r>
      <w:r w:rsidRPr="004544A5">
        <w:rPr>
          <w:rFonts w:ascii="Times New Roman" w:hAnsi="Times New Roman"/>
          <w:szCs w:val="24"/>
        </w:rPr>
        <w:t>. Our</w:t>
      </w:r>
      <w:r w:rsidRPr="00146814">
        <w:rPr>
          <w:rFonts w:ascii="Times New Roman" w:hAnsi="Times New Roman"/>
          <w:szCs w:val="24"/>
        </w:rPr>
        <w:t xml:space="preserve"> </w:t>
      </w:r>
      <w:r w:rsidR="00A91924">
        <w:rPr>
          <w:rFonts w:ascii="Times New Roman" w:hAnsi="Times New Roman"/>
          <w:szCs w:val="24"/>
        </w:rPr>
        <w:t xml:space="preserve">method uses </w:t>
      </w:r>
      <w:r w:rsidRPr="00146814">
        <w:rPr>
          <w:rFonts w:ascii="Times New Roman" w:hAnsi="Times New Roman"/>
          <w:szCs w:val="24"/>
        </w:rPr>
        <w:t xml:space="preserve">100 time-lapse images captured every 250-300 </w:t>
      </w:r>
      <w:proofErr w:type="spellStart"/>
      <w:r w:rsidRPr="00146814">
        <w:rPr>
          <w:rFonts w:ascii="Times New Roman" w:hAnsi="Times New Roman"/>
          <w:szCs w:val="24"/>
        </w:rPr>
        <w:t>ms</w:t>
      </w:r>
      <w:proofErr w:type="spellEnd"/>
      <w:r w:rsidRPr="00146814">
        <w:rPr>
          <w:rFonts w:ascii="Times New Roman" w:hAnsi="Times New Roman"/>
          <w:szCs w:val="24"/>
        </w:rPr>
        <w:t xml:space="preserve"> </w:t>
      </w:r>
      <w:r w:rsidR="00B549CA">
        <w:rPr>
          <w:rFonts w:ascii="Times New Roman" w:hAnsi="Times New Roman"/>
          <w:szCs w:val="24"/>
        </w:rPr>
        <w:t xml:space="preserve">with </w:t>
      </w:r>
      <w:r w:rsidRPr="00146814">
        <w:rPr>
          <w:rFonts w:ascii="Times New Roman" w:hAnsi="Times New Roman"/>
          <w:szCs w:val="24"/>
        </w:rPr>
        <w:t xml:space="preserve">an automated bright-field microscope </w:t>
      </w:r>
      <w:r w:rsidR="00B549CA">
        <w:rPr>
          <w:rFonts w:ascii="Times New Roman" w:hAnsi="Times New Roman"/>
          <w:szCs w:val="24"/>
        </w:rPr>
        <w:t xml:space="preserve">using </w:t>
      </w:r>
      <w:r w:rsidRPr="00146814">
        <w:rPr>
          <w:rFonts w:ascii="Times New Roman" w:hAnsi="Times New Roman"/>
          <w:szCs w:val="24"/>
        </w:rPr>
        <w:t>a 2x objective lens (</w:t>
      </w:r>
      <w:proofErr w:type="spellStart"/>
      <w:r w:rsidRPr="00146814">
        <w:rPr>
          <w:rFonts w:ascii="Times New Roman" w:hAnsi="Times New Roman"/>
          <w:szCs w:val="24"/>
        </w:rPr>
        <w:t>ImageXpress</w:t>
      </w:r>
      <w:proofErr w:type="spellEnd"/>
      <w:r w:rsidRPr="00146814">
        <w:rPr>
          <w:rFonts w:ascii="Times New Roman" w:hAnsi="Times New Roman"/>
          <w:szCs w:val="24"/>
        </w:rPr>
        <w:t xml:space="preserve"> Micro XLS, Molecular Devices, CA). Subsequent quantitative image analysis used a custom-developed pipeline for detecting changes in parasite motility </w:t>
      </w:r>
      <w:r w:rsidR="00A91924">
        <w:rPr>
          <w:rFonts w:ascii="Times New Roman" w:hAnsi="Times New Roman"/>
          <w:szCs w:val="24"/>
        </w:rPr>
        <w:t xml:space="preserve">and morphology </w:t>
      </w:r>
      <w:r w:rsidRPr="00146814">
        <w:rPr>
          <w:rFonts w:ascii="Times New Roman" w:hAnsi="Times New Roman"/>
          <w:szCs w:val="24"/>
        </w:rPr>
        <w:t xml:space="preserve">using the open-source </w:t>
      </w:r>
      <w:proofErr w:type="spellStart"/>
      <w:r w:rsidRPr="00146814">
        <w:rPr>
          <w:rFonts w:ascii="Times New Roman" w:hAnsi="Times New Roman"/>
          <w:szCs w:val="24"/>
        </w:rPr>
        <w:t>CellProfiler</w:t>
      </w:r>
      <w:proofErr w:type="spellEnd"/>
      <w:r w:rsidRPr="00146814">
        <w:rPr>
          <w:rFonts w:ascii="Times New Roman" w:hAnsi="Times New Roman"/>
          <w:szCs w:val="24"/>
        </w:rPr>
        <w:t xml:space="preserve"> software v</w:t>
      </w:r>
      <w:r w:rsidR="00146814">
        <w:rPr>
          <w:rFonts w:ascii="Times New Roman" w:hAnsi="Times New Roman"/>
          <w:szCs w:val="24"/>
        </w:rPr>
        <w:t>.</w:t>
      </w:r>
      <w:r w:rsidRPr="00146814">
        <w:rPr>
          <w:rFonts w:ascii="Times New Roman" w:hAnsi="Times New Roman"/>
          <w:szCs w:val="24"/>
        </w:rPr>
        <w:t xml:space="preserve"> 2.1.2.</w:t>
      </w:r>
      <w:r w:rsidR="002A6770" w:rsidRPr="00EE480A">
        <w:fldChar w:fldCharType="begin" w:fldLock="1"/>
      </w:r>
      <w:r w:rsidR="00456ABA">
        <w:instrText>ADDIN CSL_CITATION { "citationItems" : [ { "id" : "ITEM-1", "itemData" : { "DOI" : "10.1093/bioinformatics/btr095", "ISSN" : "1367-4811", "PMID" : "21349861", "abstract" : "UNLABELLED There is a strong and growing need in the biology research community for accurate, automated image analysis. Here, we describe CellProfiler 2.0, which has been engineered to meet the needs of its growing user base. It is more robust and user friendly, with new algorithms and features to facilitate high-throughput work. ImageJ plugins can now be run within a CellProfiler pipeline. AVAILABILITY AND IMPLEMENTATION CellProfiler 2.0 is free and open source, available at http://www.cellprofiler.org under the GPL v. 2 license. It is available as a packaged application for Macintosh OS X and Microsoft Windows and can be compiled for Linux. CONTACT anne@broadinstitute.org SUPPLEMENTARY INFORMATION Supplementary data are available at Bioinformatics online.", "author" : [ { "dropping-particle" : "", "family" : "Kamentsky", "given" : "Lee", "non-dropping-particle" : "", "parse-names" : false, "suffix" : "" }, { "dropping-particle" : "", "family" : "Jones", "given" : "Thouis R", "non-dropping-particle" : "", "parse-names" : false, "suffix" : "" }, { "dropping-particle" : "", "family" : "Fraser", "given" : "Adam", "non-dropping-particle" : "", "parse-names" : false, "suffix" : "" }, { "dropping-particle" : "", "family" : "Bray", "given" : "Mark-Anthony", "non-dropping-particle" : "", "parse-names" : false, "suffix" : "" }, { "dropping-particle" : "", "family" : "Logan", "given" : "David J", "non-dropping-particle" : "", "parse-names" : false, "suffix" : "" }, { "dropping-particle" : "", "family" : "Madden", "given" : "Katherine L", "non-dropping-particle" : "", "parse-names" : false, "suffix" : "" }, { "dropping-particle" : "", "family" : "Ljosa", "given" : "Vebjorn", "non-dropping-particle" : "", "parse-names" : false, "suffix" : "" }, { "dropping-particle" : "", "family" : "Rueden", "given" : "Curtis", "non-dropping-particle" : "", "parse-names" : false, "suffix" : "" }, { "dropping-particle" : "", "family" : "Eliceiri", "given" : "Kevin W", "non-dropping-particle" : "", "parse-names" : false, "suffix" : "" }, { "dropping-particle" : "", "family" : "Carpenter", "given" : "Anne E", "non-dropping-particle" : "", "parse-names" : false, "suffix" : "" } ], "container-title" : "Bioinformatics", "id" : "ITEM-1", "issue" : "8", "issued" : { "date-parts" : [ [ "2011", "4", "15" ] ] }, "page" : "1179-1180", "title" : "Improved structure, function and compatibility for CellProfiler: modular high-throughput image analysis software.", "type" : "article-journal", "volume" : "27" }, "uris" : [ "http://www.mendeley.com/documents/?uuid=6e050e30-657d-4966-8feb-fe2987013814" ] } ], "mendeley" : { "formattedCitation" : "&lt;sup&gt;106&lt;/sup&gt;", "plainTextFormattedCitation" : "106", "previouslyFormattedCitation" : "&lt;sup&gt;106&lt;/sup&gt;" }, "properties" : { "noteIndex" : 0 }, "schema" : "https://github.com/citation-style-language/schema/raw/master/csl-citation.json" }</w:instrText>
      </w:r>
      <w:r w:rsidR="002A6770" w:rsidRPr="00EE480A">
        <w:fldChar w:fldCharType="separate"/>
      </w:r>
      <w:r w:rsidR="00456ABA" w:rsidRPr="00456ABA">
        <w:rPr>
          <w:noProof/>
          <w:vertAlign w:val="superscript"/>
        </w:rPr>
        <w:t>106</w:t>
      </w:r>
      <w:r w:rsidR="002A6770" w:rsidRPr="00EE480A">
        <w:fldChar w:fldCharType="end"/>
      </w:r>
      <w:r w:rsidRPr="00146814">
        <w:rPr>
          <w:rFonts w:ascii="Times New Roman" w:hAnsi="Times New Roman"/>
          <w:szCs w:val="24"/>
        </w:rPr>
        <w:t xml:space="preserve"> </w:t>
      </w:r>
      <w:r w:rsidR="00833A86" w:rsidRPr="00833A86">
        <w:rPr>
          <w:rFonts w:ascii="Times New Roman" w:hAnsi="Times New Roman"/>
          <w:szCs w:val="24"/>
        </w:rPr>
        <w:t xml:space="preserve">The pipeline along with its validation will be thoroughly described in a subsequent publication and the pipeline itself is freely available </w:t>
      </w:r>
      <w:r w:rsidR="002A6770">
        <w:rPr>
          <w:rFonts w:ascii="Times New Roman" w:hAnsi="Times New Roman"/>
          <w:szCs w:val="24"/>
        </w:rPr>
        <w:t>(</w:t>
      </w:r>
      <w:hyperlink r:id="rId15" w:history="1">
        <w:r w:rsidR="00833A86" w:rsidRPr="002A6770">
          <w:rPr>
            <w:rStyle w:val="Hyperlink"/>
            <w:rFonts w:ascii="Times New Roman" w:hAnsi="Times New Roman"/>
            <w:szCs w:val="24"/>
          </w:rPr>
          <w:t>www.cellprofiler.org/published_pipelines.shtml</w:t>
        </w:r>
      </w:hyperlink>
      <w:r w:rsidR="002A6770">
        <w:rPr>
          <w:rFonts w:ascii="Times New Roman" w:hAnsi="Times New Roman"/>
          <w:szCs w:val="24"/>
        </w:rPr>
        <w:t>)</w:t>
      </w:r>
      <w:r w:rsidR="007C2AEF">
        <w:rPr>
          <w:rFonts w:ascii="Times New Roman" w:hAnsi="Times New Roman"/>
          <w:szCs w:val="24"/>
        </w:rPr>
        <w:t>.</w:t>
      </w:r>
      <w:r w:rsidRPr="001854AE">
        <w:rPr>
          <w:rFonts w:ascii="Times New Roman" w:hAnsi="Times New Roman"/>
          <w:szCs w:val="24"/>
        </w:rPr>
        <w:t xml:space="preserve"> Briefly, </w:t>
      </w:r>
      <w:r w:rsidR="00DD3145">
        <w:rPr>
          <w:rFonts w:ascii="Times New Roman" w:hAnsi="Times New Roman"/>
          <w:szCs w:val="24"/>
        </w:rPr>
        <w:t>o</w:t>
      </w:r>
      <w:r w:rsidR="00A91924" w:rsidRPr="00FF5880">
        <w:rPr>
          <w:rFonts w:ascii="Times New Roman" w:hAnsi="Times New Roman"/>
          <w:szCs w:val="24"/>
        </w:rPr>
        <w:t xml:space="preserve">ur strategy </w:t>
      </w:r>
      <w:r w:rsidR="00DD3145">
        <w:rPr>
          <w:rFonts w:ascii="Times New Roman" w:hAnsi="Times New Roman"/>
          <w:szCs w:val="24"/>
        </w:rPr>
        <w:t xml:space="preserve">for motility measurement </w:t>
      </w:r>
      <w:r w:rsidR="00A91924" w:rsidRPr="00FF5880">
        <w:rPr>
          <w:rFonts w:ascii="Times New Roman" w:hAnsi="Times New Roman"/>
          <w:szCs w:val="24"/>
        </w:rPr>
        <w:t xml:space="preserve">was based on sequential pairwise comparison of </w:t>
      </w:r>
      <w:r w:rsidR="00DD3145">
        <w:rPr>
          <w:rFonts w:ascii="Times New Roman" w:hAnsi="Times New Roman"/>
          <w:szCs w:val="24"/>
        </w:rPr>
        <w:t xml:space="preserve">the </w:t>
      </w:r>
      <w:r w:rsidR="00A91924" w:rsidRPr="00FF5880">
        <w:rPr>
          <w:rFonts w:ascii="Times New Roman" w:hAnsi="Times New Roman"/>
          <w:szCs w:val="24"/>
        </w:rPr>
        <w:t xml:space="preserve">100 </w:t>
      </w:r>
      <w:r w:rsidR="00DD3145" w:rsidRPr="00FF5880">
        <w:rPr>
          <w:rFonts w:ascii="Times New Roman" w:hAnsi="Times New Roman"/>
          <w:szCs w:val="24"/>
        </w:rPr>
        <w:t xml:space="preserve">captured </w:t>
      </w:r>
      <w:r w:rsidR="00A91924" w:rsidRPr="00FF5880">
        <w:rPr>
          <w:rFonts w:ascii="Times New Roman" w:hAnsi="Times New Roman"/>
          <w:szCs w:val="24"/>
        </w:rPr>
        <w:t>time-lapse images</w:t>
      </w:r>
      <w:r w:rsidR="00DD3145">
        <w:rPr>
          <w:rFonts w:ascii="Times New Roman" w:hAnsi="Times New Roman"/>
          <w:szCs w:val="24"/>
        </w:rPr>
        <w:t>.</w:t>
      </w:r>
      <w:r w:rsidR="00A91924" w:rsidRPr="00FF5880">
        <w:rPr>
          <w:rFonts w:ascii="Times New Roman" w:hAnsi="Times New Roman"/>
          <w:szCs w:val="24"/>
        </w:rPr>
        <w:t xml:space="preserve"> </w:t>
      </w:r>
      <w:r w:rsidR="00FD51D6">
        <w:rPr>
          <w:rFonts w:ascii="Times New Roman" w:hAnsi="Times New Roman"/>
          <w:szCs w:val="24"/>
        </w:rPr>
        <w:t>T</w:t>
      </w:r>
      <w:r w:rsidR="00DD3145">
        <w:rPr>
          <w:rFonts w:ascii="Times New Roman" w:hAnsi="Times New Roman"/>
          <w:szCs w:val="24"/>
        </w:rPr>
        <w:t xml:space="preserve">he </w:t>
      </w:r>
      <w:r w:rsidRPr="00146814">
        <w:rPr>
          <w:rFonts w:ascii="Times New Roman" w:hAnsi="Times New Roman"/>
          <w:szCs w:val="24"/>
        </w:rPr>
        <w:t>motility measurement</w:t>
      </w:r>
      <w:r w:rsidR="00DD3145">
        <w:rPr>
          <w:rFonts w:ascii="Times New Roman" w:hAnsi="Times New Roman"/>
          <w:szCs w:val="24"/>
        </w:rPr>
        <w:t xml:space="preserve"> called</w:t>
      </w:r>
      <w:r w:rsidRPr="00146814">
        <w:rPr>
          <w:rFonts w:ascii="Times New Roman" w:hAnsi="Times New Roman"/>
          <w:szCs w:val="24"/>
        </w:rPr>
        <w:t xml:space="preserve"> “</w:t>
      </w:r>
      <w:proofErr w:type="spellStart"/>
      <w:r w:rsidRPr="00146814">
        <w:rPr>
          <w:rFonts w:ascii="Times New Roman" w:hAnsi="Times New Roman"/>
          <w:szCs w:val="24"/>
        </w:rPr>
        <w:t>AdjustedRandIndex</w:t>
      </w:r>
      <w:proofErr w:type="spellEnd"/>
      <w:r w:rsidRPr="00146814">
        <w:rPr>
          <w:rFonts w:ascii="Times New Roman" w:hAnsi="Times New Roman"/>
          <w:szCs w:val="24"/>
        </w:rPr>
        <w:t xml:space="preserve">” is calculated by comparing worm objects identified on images captured at times </w:t>
      </w:r>
      <w:proofErr w:type="spellStart"/>
      <w:r w:rsidRPr="00146814">
        <w:rPr>
          <w:rFonts w:ascii="Times New Roman" w:hAnsi="Times New Roman"/>
          <w:szCs w:val="24"/>
        </w:rPr>
        <w:t>t</w:t>
      </w:r>
      <w:r w:rsidRPr="00146814">
        <w:rPr>
          <w:rFonts w:ascii="Times New Roman" w:hAnsi="Times New Roman"/>
          <w:szCs w:val="24"/>
          <w:vertAlign w:val="subscript"/>
        </w:rPr>
        <w:t>n</w:t>
      </w:r>
      <w:proofErr w:type="spellEnd"/>
      <w:r w:rsidRPr="00146814">
        <w:rPr>
          <w:rFonts w:ascii="Times New Roman" w:hAnsi="Times New Roman"/>
          <w:szCs w:val="24"/>
        </w:rPr>
        <w:t xml:space="preserve"> and t</w:t>
      </w:r>
      <w:r w:rsidRPr="00146814">
        <w:rPr>
          <w:rFonts w:ascii="Times New Roman" w:hAnsi="Times New Roman"/>
          <w:szCs w:val="24"/>
          <w:vertAlign w:val="subscript"/>
        </w:rPr>
        <w:t>n-1</w:t>
      </w:r>
      <w:r w:rsidRPr="00146814">
        <w:rPr>
          <w:rFonts w:ascii="Times New Roman" w:hAnsi="Times New Roman"/>
          <w:szCs w:val="24"/>
        </w:rPr>
        <w:t xml:space="preserve"> with </w:t>
      </w:r>
      <w:proofErr w:type="spellStart"/>
      <w:r w:rsidRPr="00146814">
        <w:rPr>
          <w:rFonts w:ascii="Times New Roman" w:hAnsi="Times New Roman"/>
          <w:szCs w:val="24"/>
        </w:rPr>
        <w:t>CellProfiler’s</w:t>
      </w:r>
      <w:proofErr w:type="spellEnd"/>
      <w:r w:rsidRPr="00146814">
        <w:rPr>
          <w:rFonts w:ascii="Times New Roman" w:hAnsi="Times New Roman"/>
          <w:szCs w:val="24"/>
        </w:rPr>
        <w:t xml:space="preserve"> </w:t>
      </w:r>
      <w:proofErr w:type="spellStart"/>
      <w:r w:rsidR="00B752BA">
        <w:rPr>
          <w:rFonts w:ascii="Times New Roman" w:hAnsi="Times New Roman"/>
          <w:szCs w:val="24"/>
        </w:rPr>
        <w:t>CalculateImage</w:t>
      </w:r>
      <w:r w:rsidRPr="00146814">
        <w:rPr>
          <w:rFonts w:ascii="Times New Roman" w:hAnsi="Times New Roman"/>
          <w:szCs w:val="24"/>
        </w:rPr>
        <w:t>Overlap</w:t>
      </w:r>
      <w:proofErr w:type="spellEnd"/>
      <w:r w:rsidRPr="00146814">
        <w:rPr>
          <w:rFonts w:ascii="Times New Roman" w:hAnsi="Times New Roman"/>
          <w:szCs w:val="24"/>
        </w:rPr>
        <w:t xml:space="preserve"> module. This measure ranges from 0 to 1, with 1 meaning two objects are perfectly aligned (no </w:t>
      </w:r>
      <w:r w:rsidRPr="00146814">
        <w:rPr>
          <w:rFonts w:ascii="Times New Roman" w:hAnsi="Times New Roman"/>
          <w:szCs w:val="24"/>
        </w:rPr>
        <w:lastRenderedPageBreak/>
        <w:t xml:space="preserve">movement). </w:t>
      </w:r>
      <w:r w:rsidR="00DD3145">
        <w:rPr>
          <w:rFonts w:ascii="Times New Roman" w:hAnsi="Times New Roman"/>
          <w:szCs w:val="24"/>
        </w:rPr>
        <w:t xml:space="preserve">In addition to the </w:t>
      </w:r>
      <w:r w:rsidR="00403B16" w:rsidRPr="00FF5880">
        <w:rPr>
          <w:rFonts w:ascii="Times New Roman" w:hAnsi="Times New Roman"/>
          <w:szCs w:val="24"/>
        </w:rPr>
        <w:t>“Overlap” mobility score</w:t>
      </w:r>
      <w:r w:rsidR="00FD51D6">
        <w:rPr>
          <w:rFonts w:ascii="Times New Roman" w:hAnsi="Times New Roman"/>
          <w:szCs w:val="24"/>
        </w:rPr>
        <w:t xml:space="preserve">, over 100 </w:t>
      </w:r>
      <w:r w:rsidR="00FD51D6" w:rsidRPr="00FD51D6">
        <w:rPr>
          <w:rFonts w:ascii="Times New Roman" w:hAnsi="Times New Roman"/>
          <w:szCs w:val="24"/>
        </w:rPr>
        <w:t xml:space="preserve">features </w:t>
      </w:r>
      <w:r w:rsidR="00FD51D6">
        <w:rPr>
          <w:rFonts w:ascii="Times New Roman" w:hAnsi="Times New Roman"/>
          <w:szCs w:val="24"/>
        </w:rPr>
        <w:t>related to size, s</w:t>
      </w:r>
      <w:r w:rsidR="00FD51D6" w:rsidRPr="00FD51D6">
        <w:rPr>
          <w:rFonts w:ascii="Times New Roman" w:hAnsi="Times New Roman"/>
          <w:szCs w:val="24"/>
        </w:rPr>
        <w:t xml:space="preserve">hape, </w:t>
      </w:r>
      <w:r w:rsidR="00FD51D6">
        <w:rPr>
          <w:rFonts w:ascii="Times New Roman" w:hAnsi="Times New Roman"/>
          <w:szCs w:val="24"/>
        </w:rPr>
        <w:t>i</w:t>
      </w:r>
      <w:r w:rsidR="00FD51D6" w:rsidRPr="00FD51D6">
        <w:rPr>
          <w:rFonts w:ascii="Times New Roman" w:hAnsi="Times New Roman"/>
          <w:szCs w:val="24"/>
        </w:rPr>
        <w:t xml:space="preserve">ntensity, </w:t>
      </w:r>
      <w:r w:rsidR="00FD51D6">
        <w:rPr>
          <w:rFonts w:ascii="Times New Roman" w:hAnsi="Times New Roman"/>
          <w:szCs w:val="24"/>
        </w:rPr>
        <w:t>t</w:t>
      </w:r>
      <w:r w:rsidR="00FD51D6" w:rsidRPr="00FD51D6">
        <w:rPr>
          <w:rFonts w:ascii="Times New Roman" w:hAnsi="Times New Roman"/>
          <w:szCs w:val="24"/>
        </w:rPr>
        <w:t>exture</w:t>
      </w:r>
      <w:r w:rsidR="008745C7">
        <w:rPr>
          <w:rFonts w:ascii="Times New Roman" w:hAnsi="Times New Roman"/>
          <w:szCs w:val="24"/>
        </w:rPr>
        <w:t>,</w:t>
      </w:r>
      <w:r w:rsidR="00FD51D6">
        <w:rPr>
          <w:rFonts w:ascii="Times New Roman" w:hAnsi="Times New Roman"/>
          <w:szCs w:val="24"/>
        </w:rPr>
        <w:t xml:space="preserve"> and g</w:t>
      </w:r>
      <w:r w:rsidR="00FD51D6" w:rsidRPr="00FD51D6">
        <w:rPr>
          <w:rFonts w:ascii="Times New Roman" w:hAnsi="Times New Roman"/>
          <w:szCs w:val="24"/>
        </w:rPr>
        <w:t xml:space="preserve">ranularity </w:t>
      </w:r>
      <w:r w:rsidR="00FD51D6">
        <w:rPr>
          <w:rFonts w:ascii="Times New Roman" w:hAnsi="Times New Roman"/>
          <w:szCs w:val="24"/>
        </w:rPr>
        <w:t xml:space="preserve">are calculated </w:t>
      </w:r>
      <w:r w:rsidR="00FD51D6" w:rsidRPr="00FD51D6">
        <w:rPr>
          <w:rFonts w:ascii="Times New Roman" w:hAnsi="Times New Roman"/>
          <w:szCs w:val="24"/>
        </w:rPr>
        <w:t xml:space="preserve">for worm objects </w:t>
      </w:r>
      <w:r w:rsidR="00FD51D6">
        <w:rPr>
          <w:rFonts w:ascii="Times New Roman" w:hAnsi="Times New Roman"/>
          <w:szCs w:val="24"/>
        </w:rPr>
        <w:t xml:space="preserve">identified in the image analysis pipeline </w:t>
      </w:r>
      <w:r w:rsidR="00FD51D6" w:rsidRPr="00FD51D6">
        <w:rPr>
          <w:rFonts w:ascii="Times New Roman" w:hAnsi="Times New Roman"/>
          <w:szCs w:val="24"/>
        </w:rPr>
        <w:t>and save</w:t>
      </w:r>
      <w:r w:rsidR="00FD51D6">
        <w:rPr>
          <w:rFonts w:ascii="Times New Roman" w:hAnsi="Times New Roman"/>
          <w:szCs w:val="24"/>
        </w:rPr>
        <w:t>d</w:t>
      </w:r>
      <w:r w:rsidR="00FD51D6" w:rsidRPr="00FD51D6">
        <w:rPr>
          <w:rFonts w:ascii="Times New Roman" w:hAnsi="Times New Roman"/>
          <w:szCs w:val="24"/>
        </w:rPr>
        <w:t xml:space="preserve"> in </w:t>
      </w:r>
      <w:r w:rsidR="00FD51D6">
        <w:rPr>
          <w:rFonts w:ascii="Times New Roman" w:hAnsi="Times New Roman"/>
          <w:szCs w:val="24"/>
        </w:rPr>
        <w:t xml:space="preserve">a </w:t>
      </w:r>
      <w:r w:rsidR="00FD51D6" w:rsidRPr="00FD51D6">
        <w:rPr>
          <w:rFonts w:ascii="Times New Roman" w:hAnsi="Times New Roman"/>
          <w:szCs w:val="24"/>
        </w:rPr>
        <w:t>database</w:t>
      </w:r>
      <w:r w:rsidR="00FD51D6">
        <w:rPr>
          <w:rFonts w:ascii="Times New Roman" w:hAnsi="Times New Roman"/>
          <w:szCs w:val="24"/>
        </w:rPr>
        <w:t>.</w:t>
      </w:r>
      <w:r w:rsidR="00B549CA">
        <w:rPr>
          <w:rFonts w:ascii="Times New Roman" w:hAnsi="Times New Roman"/>
          <w:szCs w:val="24"/>
        </w:rPr>
        <w:t xml:space="preserve"> These features are expected to describe different parasite phenotypes in response to drug exposure.</w:t>
      </w:r>
    </w:p>
    <w:p w14:paraId="4F245098" w14:textId="36C521A3" w:rsidR="00403B16" w:rsidRDefault="00B549CA" w:rsidP="00947C9C">
      <w:pPr>
        <w:pStyle w:val="TAMainText"/>
      </w:pPr>
      <w:r>
        <w:rPr>
          <w:rFonts w:ascii="Times New Roman" w:hAnsi="Times New Roman"/>
          <w:szCs w:val="24"/>
        </w:rPr>
        <w:t xml:space="preserve"> </w:t>
      </w:r>
      <w:r w:rsidR="00403B16" w:rsidRPr="00947C9C">
        <w:rPr>
          <w:b/>
        </w:rPr>
        <w:t>Cytotoxicity Assay.</w:t>
      </w:r>
      <w:r w:rsidR="00403B16">
        <w:rPr>
          <w:b/>
        </w:rPr>
        <w:t xml:space="preserve"> </w:t>
      </w:r>
      <w:r w:rsidR="00403B16" w:rsidRPr="00947C9C">
        <w:t>WSS-1</w:t>
      </w:r>
      <w:r w:rsidR="000165BD">
        <w:t xml:space="preserve"> [WS-</w:t>
      </w:r>
      <w:proofErr w:type="gramStart"/>
      <w:r w:rsidR="000165BD">
        <w:t>1](</w:t>
      </w:r>
      <w:proofErr w:type="gramEnd"/>
      <w:r w:rsidR="000165BD">
        <w:t>ATCC</w:t>
      </w:r>
      <w:r w:rsidR="000165BD" w:rsidRPr="00FA47CC">
        <w:rPr>
          <w:rFonts w:cs="Times"/>
          <w:vertAlign w:val="superscript"/>
        </w:rPr>
        <w:t>®</w:t>
      </w:r>
      <w:r w:rsidR="000165BD">
        <w:t>CRL-2029</w:t>
      </w:r>
      <w:r w:rsidR="000165BD" w:rsidRPr="00FA47CC">
        <w:rPr>
          <w:rFonts w:cs="Times"/>
          <w:vertAlign w:val="superscript"/>
        </w:rPr>
        <w:t>™</w:t>
      </w:r>
      <w:r w:rsidR="000165BD">
        <w:t>)</w:t>
      </w:r>
      <w:r w:rsidR="00403B16">
        <w:rPr>
          <w:b/>
        </w:rPr>
        <w:t xml:space="preserve"> </w:t>
      </w:r>
      <w:r w:rsidR="00403B16">
        <w:t>epithelial cells derived from</w:t>
      </w:r>
      <w:r w:rsidR="00403B16" w:rsidRPr="0098723C">
        <w:t xml:space="preserve"> </w:t>
      </w:r>
      <w:r w:rsidR="00403B16">
        <w:t>human kidney</w:t>
      </w:r>
      <w:r w:rsidR="000165BD">
        <w:t xml:space="preserve"> </w:t>
      </w:r>
      <w:r w:rsidR="00403B16">
        <w:t xml:space="preserve">were </w:t>
      </w:r>
      <w:r w:rsidR="00403B16" w:rsidRPr="0098723C">
        <w:t>grown in DMEM medium</w:t>
      </w:r>
      <w:r w:rsidR="00403B16">
        <w:t>,</w:t>
      </w:r>
      <w:r w:rsidR="00403B16" w:rsidRPr="0098723C">
        <w:t xml:space="preserve"> supplemented with 4.5 g/L glucose, 50 </w:t>
      </w:r>
      <w:r w:rsidR="00BB28E4" w:rsidRPr="00AA364E">
        <w:rPr>
          <w:rFonts w:ascii="Times New Roman" w:hAnsi="Times New Roman"/>
          <w:sz w:val="22"/>
          <w:szCs w:val="22"/>
        </w:rPr>
        <w:t>µ</w:t>
      </w:r>
      <w:r w:rsidR="00403B16" w:rsidRPr="0098723C">
        <w:t>g/mL gentamicin and 10% fetal bovine serum</w:t>
      </w:r>
      <w:r w:rsidR="00403B16">
        <w:t>,</w:t>
      </w:r>
      <w:r w:rsidR="00403B16" w:rsidRPr="0098723C">
        <w:t xml:space="preserve"> </w:t>
      </w:r>
      <w:r w:rsidR="00403B16">
        <w:t>and</w:t>
      </w:r>
      <w:r w:rsidR="00403B16" w:rsidRPr="0098723C">
        <w:t xml:space="preserve"> seeded into 96-well microplates at 5 x 10</w:t>
      </w:r>
      <w:r w:rsidR="00403B16" w:rsidRPr="0098723C">
        <w:rPr>
          <w:vertAlign w:val="superscript"/>
        </w:rPr>
        <w:t>4</w:t>
      </w:r>
      <w:r w:rsidR="00403B16" w:rsidRPr="0098723C">
        <w:t xml:space="preserve"> cells/</w:t>
      </w:r>
      <w:proofErr w:type="spellStart"/>
      <w:r w:rsidR="00403B16" w:rsidRPr="0098723C">
        <w:t>mL.</w:t>
      </w:r>
      <w:proofErr w:type="spellEnd"/>
      <w:r w:rsidR="00403B16" w:rsidRPr="0098723C">
        <w:t xml:space="preserve"> Twenty hours later, cells were exposed to 0.2 - 400 </w:t>
      </w:r>
      <w:r w:rsidR="00BB28E4" w:rsidRPr="00AA364E">
        <w:rPr>
          <w:rFonts w:ascii="Times New Roman" w:hAnsi="Times New Roman"/>
          <w:sz w:val="22"/>
          <w:szCs w:val="22"/>
        </w:rPr>
        <w:t>µ</w:t>
      </w:r>
      <w:r w:rsidR="00403B16" w:rsidRPr="0098723C">
        <w:t>M of PZQ, OLT</w:t>
      </w:r>
      <w:r w:rsidR="00384306">
        <w:t>,</w:t>
      </w:r>
      <w:r w:rsidR="00403B16" w:rsidRPr="0098723C">
        <w:t xml:space="preserve"> and </w:t>
      </w:r>
      <w:proofErr w:type="spellStart"/>
      <w:r w:rsidR="00403B16" w:rsidRPr="0098723C">
        <w:t>LabMol</w:t>
      </w:r>
      <w:proofErr w:type="spellEnd"/>
      <w:r w:rsidR="00403B16" w:rsidRPr="0098723C">
        <w:t xml:space="preserve"> compounds and kept under a humidified atmosphere (37°C, 5% CO</w:t>
      </w:r>
      <w:r w:rsidR="00403B16" w:rsidRPr="0098723C">
        <w:rPr>
          <w:vertAlign w:val="subscript"/>
        </w:rPr>
        <w:t>2</w:t>
      </w:r>
      <w:r w:rsidR="00403B16" w:rsidRPr="0098723C">
        <w:t xml:space="preserve">) for 48h. In order to evaluate the cytotoxic effects of the compounds, the fluorescent viability dye </w:t>
      </w:r>
      <w:proofErr w:type="spellStart"/>
      <w:r w:rsidR="00403B16" w:rsidRPr="0098723C">
        <w:t>resazurin</w:t>
      </w:r>
      <w:proofErr w:type="spellEnd"/>
      <w:r w:rsidR="00403B16" w:rsidRPr="0098723C">
        <w:t xml:space="preserve"> was added to each well at a final concentration of 0.01 mg/mL</w:t>
      </w:r>
      <w:r w:rsidR="00384306">
        <w:t xml:space="preserve"> 4 hours</w:t>
      </w:r>
      <w:r w:rsidR="00384306" w:rsidRPr="0098723C">
        <w:t xml:space="preserve"> before the end of the incubation</w:t>
      </w:r>
      <w:r w:rsidR="00403B16" w:rsidRPr="0098723C">
        <w:t xml:space="preserve">. </w:t>
      </w:r>
      <w:proofErr w:type="spellStart"/>
      <w:r w:rsidR="00403B16" w:rsidRPr="0098723C">
        <w:t>Resorufin</w:t>
      </w:r>
      <w:proofErr w:type="spellEnd"/>
      <w:r w:rsidR="00403B16" w:rsidRPr="0098723C">
        <w:t xml:space="preserve"> fluorescence readings (</w:t>
      </w:r>
      <w:proofErr w:type="spellStart"/>
      <w:r w:rsidR="00403B16">
        <w:rPr>
          <w:rFonts w:cs="Times"/>
        </w:rPr>
        <w:t>λ</w:t>
      </w:r>
      <w:r w:rsidR="00403B16" w:rsidRPr="0098723C">
        <w:rPr>
          <w:vertAlign w:val="subscript"/>
        </w:rPr>
        <w:t>ex</w:t>
      </w:r>
      <w:proofErr w:type="spellEnd"/>
      <w:r w:rsidR="00403B16" w:rsidRPr="0098723C">
        <w:t xml:space="preserve"> = 560 nm,</w:t>
      </w:r>
      <w:r w:rsidR="00403B16">
        <w:t xml:space="preserve"> </w:t>
      </w:r>
      <w:proofErr w:type="spellStart"/>
      <w:r w:rsidR="00403B16">
        <w:rPr>
          <w:rFonts w:cs="Times"/>
        </w:rPr>
        <w:t>λ</w:t>
      </w:r>
      <w:r w:rsidR="00403B16" w:rsidRPr="0098723C">
        <w:rPr>
          <w:vertAlign w:val="subscript"/>
        </w:rPr>
        <w:t>em</w:t>
      </w:r>
      <w:proofErr w:type="spellEnd"/>
      <w:r w:rsidR="00403B16" w:rsidRPr="0098723C">
        <w:t xml:space="preserve"> = 590 nm) were performed immediately and 4 hours after </w:t>
      </w:r>
      <w:proofErr w:type="spellStart"/>
      <w:r w:rsidR="00403B16" w:rsidRPr="0098723C">
        <w:t>resazurin</w:t>
      </w:r>
      <w:proofErr w:type="spellEnd"/>
      <w:r w:rsidR="00403B16" w:rsidRPr="0098723C">
        <w:t xml:space="preserve"> addition in a </w:t>
      </w:r>
      <w:proofErr w:type="spellStart"/>
      <w:r w:rsidR="00403B16" w:rsidRPr="0098723C">
        <w:t>FlexStation</w:t>
      </w:r>
      <w:proofErr w:type="spellEnd"/>
      <w:r w:rsidR="00403B16" w:rsidRPr="0098723C">
        <w:t xml:space="preserve"> 3 Benchtop Multi-Mode Microplate Reader (Molecular Devices, Sunnyvale, CA). The percentage of </w:t>
      </w:r>
      <w:r w:rsidR="00403B16">
        <w:t xml:space="preserve">viable </w:t>
      </w:r>
      <w:r w:rsidR="00403B16" w:rsidRPr="0098723C">
        <w:t>cell was calculated using cells treated</w:t>
      </w:r>
      <w:r w:rsidR="00403B16">
        <w:t xml:space="preserve"> only</w:t>
      </w:r>
      <w:r w:rsidR="00403B16" w:rsidRPr="0098723C">
        <w:t xml:space="preserve"> with DMSO (0.2 – 0.8%) as controls.</w:t>
      </w:r>
    </w:p>
    <w:p w14:paraId="0A14F2B2" w14:textId="28700875" w:rsidR="00BD20EB" w:rsidRDefault="00FC2041" w:rsidP="00FA47CC">
      <w:pPr>
        <w:pStyle w:val="TAMainText"/>
      </w:pPr>
      <w:r w:rsidRPr="00FA47CC">
        <w:rPr>
          <w:b/>
        </w:rPr>
        <w:t>Colloidal aggregation assay.</w:t>
      </w:r>
      <w:r>
        <w:t xml:space="preserve"> A</w:t>
      </w:r>
      <w:r w:rsidRPr="00660869">
        <w:t xml:space="preserve">dult worms were co-incubated with compounds (at 20 </w:t>
      </w:r>
      <w:r w:rsidR="00BB28E4" w:rsidRPr="00AA364E">
        <w:rPr>
          <w:rFonts w:ascii="Times New Roman" w:hAnsi="Times New Roman"/>
          <w:sz w:val="22"/>
          <w:szCs w:val="22"/>
        </w:rPr>
        <w:t>µ</w:t>
      </w:r>
      <w:r w:rsidRPr="00660869">
        <w:t xml:space="preserve">M and 100 </w:t>
      </w:r>
      <w:r w:rsidR="00BB28E4" w:rsidRPr="00AA364E">
        <w:rPr>
          <w:rFonts w:ascii="Times New Roman" w:hAnsi="Times New Roman"/>
          <w:sz w:val="22"/>
          <w:szCs w:val="22"/>
        </w:rPr>
        <w:t>µ</w:t>
      </w:r>
      <w:r w:rsidRPr="00660869">
        <w:t>M) and deter</w:t>
      </w:r>
      <w:r>
        <w:t xml:space="preserve">gent Triton X-100 (0.01%). The, motility measurements were performed after 48h and 72h </w:t>
      </w:r>
      <w:r w:rsidRPr="00660869">
        <w:t xml:space="preserve">and their </w:t>
      </w:r>
      <w:proofErr w:type="spellStart"/>
      <w:r w:rsidRPr="00660869">
        <w:t>antischisto</w:t>
      </w:r>
      <w:r>
        <w:t>somal</w:t>
      </w:r>
      <w:proofErr w:type="spellEnd"/>
      <w:r>
        <w:t xml:space="preserve"> effect was compared with</w:t>
      </w:r>
      <w:r w:rsidRPr="00660869">
        <w:t xml:space="preserve"> activities obtained without detergent</w:t>
      </w:r>
      <w:r>
        <w:t>.</w:t>
      </w:r>
      <w:r w:rsidRPr="00660869">
        <w:t xml:space="preserve"> </w:t>
      </w:r>
    </w:p>
    <w:p w14:paraId="3C3521DD" w14:textId="77B66786" w:rsidR="00FC2041" w:rsidRPr="00FA47CC" w:rsidRDefault="00FC2041" w:rsidP="00FA47CC">
      <w:pPr>
        <w:pStyle w:val="TAMainText"/>
        <w:rPr>
          <w:b/>
          <w:szCs w:val="24"/>
        </w:rPr>
      </w:pPr>
      <w:r w:rsidRPr="00FA47CC">
        <w:rPr>
          <w:b/>
          <w:szCs w:val="24"/>
        </w:rPr>
        <w:t>Papain inhibition assay.</w:t>
      </w:r>
      <w:r>
        <w:rPr>
          <w:b/>
          <w:szCs w:val="24"/>
        </w:rPr>
        <w:t xml:space="preserve"> </w:t>
      </w:r>
      <w:r w:rsidRPr="00AC2D52">
        <w:t>Enzymatic assay was performed at 37</w:t>
      </w:r>
      <w:r w:rsidRPr="00657E8B">
        <w:rPr>
          <w:vertAlign w:val="superscript"/>
        </w:rPr>
        <w:t>o</w:t>
      </w:r>
      <w:r w:rsidRPr="00AC2D52">
        <w:t xml:space="preserve">C in 100 </w:t>
      </w:r>
      <w:proofErr w:type="spellStart"/>
      <w:r w:rsidRPr="00AC2D52">
        <w:t>mM</w:t>
      </w:r>
      <w:proofErr w:type="spellEnd"/>
      <w:r w:rsidRPr="00AC2D52">
        <w:t xml:space="preserve"> sodium acetate buffer, pH 3.5. </w:t>
      </w:r>
      <w:r>
        <w:t xml:space="preserve">Positive control </w:t>
      </w:r>
      <w:r w:rsidRPr="00AC2D52">
        <w:t>E-64</w:t>
      </w:r>
      <w:r>
        <w:t xml:space="preserve"> and c</w:t>
      </w:r>
      <w:r w:rsidR="00195F51">
        <w:t>ompounds</w:t>
      </w:r>
      <w:r>
        <w:t xml:space="preserve"> </w:t>
      </w:r>
      <w:r w:rsidRPr="00AC2D52">
        <w:t>were incubated</w:t>
      </w:r>
      <w:r w:rsidR="00195F51">
        <w:t xml:space="preserve"> at 20 </w:t>
      </w:r>
      <w:r w:rsidR="00BB28E4" w:rsidRPr="00AA364E">
        <w:rPr>
          <w:rFonts w:ascii="Times New Roman" w:hAnsi="Times New Roman"/>
          <w:sz w:val="22"/>
          <w:szCs w:val="22"/>
        </w:rPr>
        <w:t>µ</w:t>
      </w:r>
      <w:r w:rsidR="00195F51">
        <w:t xml:space="preserve">M and 100 </w:t>
      </w:r>
      <w:r w:rsidR="00BB28E4" w:rsidRPr="00AA364E">
        <w:rPr>
          <w:rFonts w:ascii="Times New Roman" w:hAnsi="Times New Roman"/>
          <w:sz w:val="22"/>
          <w:szCs w:val="22"/>
        </w:rPr>
        <w:t>µ</w:t>
      </w:r>
      <w:r w:rsidR="00195F51">
        <w:t>M concentrations</w:t>
      </w:r>
      <w:r w:rsidRPr="00AC2D52">
        <w:t xml:space="preserve"> for 5 min with papain (5 </w:t>
      </w:r>
      <w:r w:rsidR="00BB28E4" w:rsidRPr="00AA364E">
        <w:rPr>
          <w:rFonts w:ascii="Times New Roman" w:hAnsi="Times New Roman"/>
          <w:sz w:val="22"/>
          <w:szCs w:val="22"/>
        </w:rPr>
        <w:t>µ</w:t>
      </w:r>
      <w:r w:rsidRPr="00AC2D52">
        <w:t xml:space="preserve">g/mL) and the reaction was initiated with the addition of 50 µM Z-FR-AMC </w:t>
      </w:r>
      <w:proofErr w:type="spellStart"/>
      <w:r w:rsidRPr="00AC2D52">
        <w:t>fluorogenic</w:t>
      </w:r>
      <w:proofErr w:type="spellEnd"/>
      <w:r w:rsidRPr="00AC2D52">
        <w:t xml:space="preserve"> peptide substrate.</w:t>
      </w:r>
    </w:p>
    <w:p w14:paraId="680CFD4D" w14:textId="352368DF" w:rsidR="00CA2458" w:rsidRDefault="00CA2458" w:rsidP="00CA2458">
      <w:pPr>
        <w:pStyle w:val="TAMainText"/>
        <w:rPr>
          <w:rFonts w:ascii="Times New Roman" w:hAnsi="Times New Roman"/>
          <w:b/>
          <w:szCs w:val="24"/>
        </w:rPr>
      </w:pPr>
      <w:r w:rsidRPr="00DA035B">
        <w:rPr>
          <w:b/>
        </w:rPr>
        <w:lastRenderedPageBreak/>
        <w:t>Statistical analysis.</w:t>
      </w:r>
      <w:r>
        <w:t xml:space="preserve"> </w:t>
      </w:r>
      <w:r w:rsidRPr="00942C1E">
        <w:t xml:space="preserve">One-way ANOVA followed by </w:t>
      </w:r>
      <w:r>
        <w:t>Tukey</w:t>
      </w:r>
      <w:r w:rsidRPr="00942C1E">
        <w:t>’s multiple comparisons test was performe</w:t>
      </w:r>
      <w:r>
        <w:t xml:space="preserve">d using </w:t>
      </w:r>
      <w:proofErr w:type="spellStart"/>
      <w:r>
        <w:t>GraphPad</w:t>
      </w:r>
      <w:proofErr w:type="spellEnd"/>
      <w:r>
        <w:t xml:space="preserve"> Prism v</w:t>
      </w:r>
      <w:r w:rsidR="00195F51">
        <w:t>.</w:t>
      </w:r>
      <w:r>
        <w:t>5</w:t>
      </w:r>
      <w:r w:rsidRPr="00942C1E">
        <w:t xml:space="preserve">.00 </w:t>
      </w:r>
      <w:r w:rsidR="00BE6F7B">
        <w:t>(</w:t>
      </w:r>
      <w:proofErr w:type="spellStart"/>
      <w:r w:rsidRPr="00942C1E">
        <w:t>GraphPad</w:t>
      </w:r>
      <w:proofErr w:type="spellEnd"/>
      <w:r w:rsidRPr="00942C1E">
        <w:t xml:space="preserve"> Software, La Jolla California USA, </w:t>
      </w:r>
      <w:hyperlink r:id="rId16" w:history="1">
        <w:r w:rsidRPr="00F978F2">
          <w:rPr>
            <w:rStyle w:val="Hyperlink"/>
          </w:rPr>
          <w:t>www.graphpad.com</w:t>
        </w:r>
      </w:hyperlink>
      <w:r w:rsidR="00BE6F7B">
        <w:t>).</w:t>
      </w:r>
      <w:r>
        <w:t xml:space="preserve"> The EC</w:t>
      </w:r>
      <w:r w:rsidRPr="00DA035B">
        <w:rPr>
          <w:vertAlign w:val="subscript"/>
        </w:rPr>
        <w:t xml:space="preserve">50 </w:t>
      </w:r>
      <w:r w:rsidR="00BA4BFC">
        <w:t>and CC</w:t>
      </w:r>
      <w:r w:rsidR="00BA4BFC" w:rsidRPr="00195F51">
        <w:rPr>
          <w:vertAlign w:val="subscript"/>
        </w:rPr>
        <w:t>50</w:t>
      </w:r>
      <w:r w:rsidR="00BA4BFC">
        <w:t xml:space="preserve"> </w:t>
      </w:r>
      <w:r>
        <w:t xml:space="preserve">values were determined by four parameter </w:t>
      </w:r>
      <w:proofErr w:type="spellStart"/>
      <w:r>
        <w:t>logist</w:t>
      </w:r>
      <w:proofErr w:type="spellEnd"/>
      <w:r>
        <w:t xml:space="preserve"> curve function using the same software. </w:t>
      </w:r>
      <w:r w:rsidR="00195F51">
        <w:t>EC</w:t>
      </w:r>
      <w:r w:rsidR="00195F51" w:rsidRPr="00195F51">
        <w:rPr>
          <w:vertAlign w:val="subscript"/>
        </w:rPr>
        <w:t>50</w:t>
      </w:r>
      <w:r w:rsidR="00195F51">
        <w:t xml:space="preserve"> values obtained for adult worms were calculated </w:t>
      </w:r>
      <w:r w:rsidR="00195F51">
        <w:rPr>
          <w:rFonts w:ascii="Times New Roman" w:hAnsi="Times New Roman"/>
          <w:szCs w:val="24"/>
        </w:rPr>
        <w:t xml:space="preserve">using TIBCO </w:t>
      </w:r>
      <w:proofErr w:type="spellStart"/>
      <w:r w:rsidR="00195F51">
        <w:rPr>
          <w:rFonts w:ascii="Times New Roman" w:hAnsi="Times New Roman"/>
          <w:szCs w:val="24"/>
        </w:rPr>
        <w:t>Spotfire</w:t>
      </w:r>
      <w:proofErr w:type="spellEnd"/>
      <w:r w:rsidR="00195F51">
        <w:rPr>
          <w:rFonts w:ascii="Times New Roman" w:hAnsi="Times New Roman"/>
          <w:szCs w:val="24"/>
        </w:rPr>
        <w:t xml:space="preserve"> software (</w:t>
      </w:r>
      <w:r w:rsidR="00195F51" w:rsidRPr="00403B16">
        <w:rPr>
          <w:rFonts w:ascii="Times New Roman" w:hAnsi="Times New Roman"/>
          <w:szCs w:val="24"/>
        </w:rPr>
        <w:t>Boston, MA</w:t>
      </w:r>
      <w:r w:rsidR="00195F51">
        <w:rPr>
          <w:rFonts w:ascii="Times New Roman" w:hAnsi="Times New Roman"/>
          <w:szCs w:val="24"/>
        </w:rPr>
        <w:t>).</w:t>
      </w:r>
    </w:p>
    <w:p w14:paraId="4CBA4B5D" w14:textId="4BCFDD2D" w:rsidR="00947C9C" w:rsidRPr="000B7698" w:rsidRDefault="00087C0A">
      <w:pPr>
        <w:pStyle w:val="TAMainText"/>
      </w:pPr>
      <w:r w:rsidRPr="00FA47CC">
        <w:rPr>
          <w:b/>
        </w:rPr>
        <w:t>Ethics S</w:t>
      </w:r>
      <w:r w:rsidR="00947C9C" w:rsidRPr="00FA47CC">
        <w:rPr>
          <w:b/>
        </w:rPr>
        <w:t>tatement.</w:t>
      </w:r>
      <w:r w:rsidR="00947C9C" w:rsidRPr="00FA47CC">
        <w:t xml:space="preserve"> Animal’s maintenance and experiments were carried out in accordance with the Institutional Ethics Committee for Laboratory Animal Use at the Oswaldo Cruz Foundation (CEUA/FIOCRUZ, Brazil; license number, L-044/15)</w:t>
      </w:r>
      <w:r w:rsidR="00906FFA" w:rsidRPr="00FA47CC">
        <w:t>.</w:t>
      </w:r>
    </w:p>
    <w:p w14:paraId="0F75CD54" w14:textId="77777777" w:rsidR="00DD6DBB" w:rsidRDefault="00C10EE0" w:rsidP="00FA47CC">
      <w:pPr>
        <w:pStyle w:val="TESupportingInformation"/>
        <w:spacing w:before="360" w:after="240"/>
        <w:ind w:firstLine="0"/>
        <w:jc w:val="left"/>
        <w:outlineLvl w:val="0"/>
        <w:rPr>
          <w:b/>
        </w:rPr>
      </w:pPr>
      <w:r w:rsidRPr="005866E0">
        <w:rPr>
          <w:b/>
        </w:rPr>
        <w:t>ASSOCIATED CONTENT</w:t>
      </w:r>
    </w:p>
    <w:p w14:paraId="591BFD89" w14:textId="2F0110D6" w:rsidR="001C2576" w:rsidRDefault="001C2576" w:rsidP="001C2576">
      <w:pPr>
        <w:pStyle w:val="TAMainText"/>
        <w:ind w:firstLine="0"/>
      </w:pPr>
      <w:r w:rsidRPr="00157E12">
        <w:rPr>
          <w:b/>
        </w:rPr>
        <w:t>Supporting Information</w:t>
      </w:r>
      <w:r>
        <w:t xml:space="preserve">. </w:t>
      </w:r>
      <w:r w:rsidR="009977AC">
        <w:t>More computa</w:t>
      </w:r>
      <w:r w:rsidR="00C14196">
        <w:t xml:space="preserve">tional details regarding </w:t>
      </w:r>
      <w:r w:rsidR="009977AC">
        <w:t xml:space="preserve">molecular fingerprints </w:t>
      </w:r>
      <w:r w:rsidR="00C14196">
        <w:t>calculation</w:t>
      </w:r>
      <w:r w:rsidR="009977AC">
        <w:t xml:space="preserve"> and QSAR model development are available in the Supporting Information, as well as additional tables and figures</w:t>
      </w:r>
      <w:r w:rsidR="00922B96">
        <w:t xml:space="preserve"> </w:t>
      </w:r>
      <w:r w:rsidR="00C204B4">
        <w:t>of</w:t>
      </w:r>
      <w:r w:rsidR="00922B96">
        <w:t xml:space="preserve"> experimental results</w:t>
      </w:r>
      <w:r w:rsidR="009977AC">
        <w:t xml:space="preserve">. </w:t>
      </w:r>
      <w:r>
        <w:t xml:space="preserve">This material is available free of charge via the Internet at </w:t>
      </w:r>
      <w:hyperlink r:id="rId17" w:history="1">
        <w:r w:rsidRPr="00946369">
          <w:rPr>
            <w:rStyle w:val="Hyperlink"/>
          </w:rPr>
          <w:t>http://pubs.acs.org</w:t>
        </w:r>
      </w:hyperlink>
      <w:r w:rsidR="00C14196">
        <w:t>.</w:t>
      </w:r>
    </w:p>
    <w:p w14:paraId="42BBFFB2" w14:textId="77777777" w:rsidR="00DD6DBB" w:rsidRPr="00064BFF" w:rsidRDefault="00DD6DBB" w:rsidP="00FA47CC">
      <w:pPr>
        <w:pStyle w:val="FACorrespondingAuthorFootnote"/>
        <w:spacing w:before="360" w:after="240"/>
        <w:jc w:val="left"/>
        <w:outlineLvl w:val="0"/>
        <w:rPr>
          <w:b/>
        </w:rPr>
      </w:pPr>
      <w:r w:rsidRPr="00064BFF">
        <w:rPr>
          <w:b/>
        </w:rPr>
        <w:t>AUTHOR INFORMATION</w:t>
      </w:r>
    </w:p>
    <w:p w14:paraId="414D2D79" w14:textId="77777777" w:rsidR="00DD6DBB" w:rsidRPr="00064BFF" w:rsidRDefault="00DD6DBB" w:rsidP="006247F8">
      <w:pPr>
        <w:pStyle w:val="FAAuthorInfoSubtitle"/>
        <w:outlineLvl w:val="0"/>
      </w:pPr>
      <w:r w:rsidRPr="00064BFF">
        <w:t>Corresponding Author</w:t>
      </w:r>
    </w:p>
    <w:p w14:paraId="48D664AE" w14:textId="6D5BDFEE" w:rsidR="009246AD" w:rsidRDefault="00DD6DBB" w:rsidP="00322153">
      <w:pPr>
        <w:pStyle w:val="FACorrespondingAuthorFootnote"/>
        <w:rPr>
          <w:lang w:val="pt-BR"/>
        </w:rPr>
      </w:pPr>
      <w:r w:rsidRPr="00064BFF">
        <w:t>*</w:t>
      </w:r>
      <w:proofErr w:type="spellStart"/>
      <w:r w:rsidR="00322153" w:rsidRPr="00064BFF">
        <w:t>LabMol</w:t>
      </w:r>
      <w:proofErr w:type="spellEnd"/>
      <w:r w:rsidR="00322153" w:rsidRPr="00064BFF">
        <w:t>,</w:t>
      </w:r>
      <w:r w:rsidR="00CA266D" w:rsidRPr="00064BFF">
        <w:t xml:space="preserve"> </w:t>
      </w:r>
      <w:r w:rsidR="00E05B40" w:rsidRPr="00064BFF">
        <w:t>Laboratory for Molecular Modeling and Drug Design</w:t>
      </w:r>
      <w:r w:rsidR="00CA266D" w:rsidRPr="00064BFF">
        <w:t>,</w:t>
      </w:r>
      <w:r w:rsidR="00322153" w:rsidRPr="00064BFF">
        <w:t xml:space="preserve"> </w:t>
      </w:r>
      <w:proofErr w:type="spellStart"/>
      <w:r w:rsidR="00322153" w:rsidRPr="00064BFF">
        <w:t>Faculdade</w:t>
      </w:r>
      <w:proofErr w:type="spellEnd"/>
      <w:r w:rsidR="00322153" w:rsidRPr="00064BFF">
        <w:t xml:space="preserve"> de </w:t>
      </w:r>
      <w:proofErr w:type="spellStart"/>
      <w:r w:rsidR="00322153" w:rsidRPr="00064BFF">
        <w:t>Farmácia</w:t>
      </w:r>
      <w:proofErr w:type="spellEnd"/>
      <w:r w:rsidR="00322153" w:rsidRPr="00064BFF">
        <w:t xml:space="preserve">, </w:t>
      </w:r>
      <w:proofErr w:type="spellStart"/>
      <w:r w:rsidR="00322153" w:rsidRPr="00064BFF">
        <w:t>Universidade</w:t>
      </w:r>
      <w:proofErr w:type="spellEnd"/>
      <w:r w:rsidR="00322153" w:rsidRPr="00064BFF">
        <w:t xml:space="preserve"> Federal de </w:t>
      </w:r>
      <w:proofErr w:type="spellStart"/>
      <w:r w:rsidR="00322153" w:rsidRPr="00064BFF">
        <w:t>Goiás</w:t>
      </w:r>
      <w:proofErr w:type="spellEnd"/>
      <w:r w:rsidR="00322153" w:rsidRPr="00064BFF">
        <w:t xml:space="preserve">, </w:t>
      </w:r>
      <w:proofErr w:type="spellStart"/>
      <w:r w:rsidR="00322153" w:rsidRPr="00064BFF">
        <w:t>Rua</w:t>
      </w:r>
      <w:proofErr w:type="spellEnd"/>
      <w:r w:rsidR="00322153" w:rsidRPr="00064BFF">
        <w:t xml:space="preserve"> 240, Qd.87, </w:t>
      </w:r>
      <w:proofErr w:type="spellStart"/>
      <w:r w:rsidR="00322153" w:rsidRPr="00064BFF">
        <w:t>Setor</w:t>
      </w:r>
      <w:proofErr w:type="spellEnd"/>
      <w:r w:rsidR="00322153" w:rsidRPr="00064BFF">
        <w:t xml:space="preserve"> </w:t>
      </w:r>
      <w:proofErr w:type="spellStart"/>
      <w:r w:rsidR="00322153" w:rsidRPr="00064BFF">
        <w:t>Leste</w:t>
      </w:r>
      <w:proofErr w:type="spellEnd"/>
      <w:r w:rsidR="00322153" w:rsidRPr="00064BFF">
        <w:t xml:space="preserve"> </w:t>
      </w:r>
      <w:proofErr w:type="spellStart"/>
      <w:r w:rsidR="00322153" w:rsidRPr="00064BFF">
        <w:t>Univ</w:t>
      </w:r>
      <w:r w:rsidR="00F617F7" w:rsidRPr="00064BFF">
        <w:t>ersitário</w:t>
      </w:r>
      <w:proofErr w:type="spellEnd"/>
      <w:r w:rsidR="00F617F7" w:rsidRPr="00064BFF">
        <w:t xml:space="preserve">, </w:t>
      </w:r>
      <w:proofErr w:type="spellStart"/>
      <w:r w:rsidR="00F617F7" w:rsidRPr="00064BFF">
        <w:t>Goiânia</w:t>
      </w:r>
      <w:proofErr w:type="spellEnd"/>
      <w:r w:rsidR="00F617F7" w:rsidRPr="00064BFF">
        <w:t xml:space="preserve"> – GO 74605-17</w:t>
      </w:r>
      <w:r w:rsidR="00322153" w:rsidRPr="00064BFF">
        <w:t>0, Brazil</w:t>
      </w:r>
      <w:r w:rsidR="00E05B40" w:rsidRPr="00064BFF">
        <w:t>.</w:t>
      </w:r>
      <w:r w:rsidR="00322153" w:rsidRPr="00064BFF">
        <w:t xml:space="preserve"> </w:t>
      </w:r>
      <w:proofErr w:type="spellStart"/>
      <w:r w:rsidR="00322153" w:rsidRPr="00676BC0">
        <w:rPr>
          <w:lang w:val="pt-BR"/>
        </w:rPr>
        <w:t>Tel</w:t>
      </w:r>
      <w:proofErr w:type="spellEnd"/>
      <w:r w:rsidR="00322153" w:rsidRPr="00676BC0">
        <w:rPr>
          <w:lang w:val="pt-BR"/>
        </w:rPr>
        <w:t>: + 55</w:t>
      </w:r>
      <w:r w:rsidR="00F617F7">
        <w:rPr>
          <w:lang w:val="pt-BR"/>
        </w:rPr>
        <w:t xml:space="preserve"> 62 3209-6451; Fax: +55 62 3209-</w:t>
      </w:r>
      <w:r w:rsidR="00322153" w:rsidRPr="00676BC0">
        <w:rPr>
          <w:lang w:val="pt-BR"/>
        </w:rPr>
        <w:t>6037; E-mail: carolina@ufg.br</w:t>
      </w:r>
      <w:r w:rsidR="00C10EE0" w:rsidRPr="00676BC0">
        <w:rPr>
          <w:lang w:val="pt-BR"/>
        </w:rPr>
        <w:t xml:space="preserve">. </w:t>
      </w:r>
    </w:p>
    <w:p w14:paraId="31AC247E" w14:textId="5DFFFA72" w:rsidR="00676BC0" w:rsidRPr="000F605D" w:rsidRDefault="00676BC0" w:rsidP="00676BC0">
      <w:pPr>
        <w:pStyle w:val="TAMainText"/>
        <w:ind w:firstLine="0"/>
      </w:pPr>
      <w:r w:rsidRPr="00676BC0">
        <w:rPr>
          <w:lang w:val="pt-BR"/>
        </w:rPr>
        <w:t xml:space="preserve">* </w:t>
      </w:r>
      <w:proofErr w:type="spellStart"/>
      <w:r w:rsidRPr="00676BC0">
        <w:rPr>
          <w:lang w:val="pt-BR"/>
        </w:rPr>
        <w:t>LaBECFar</w:t>
      </w:r>
      <w:proofErr w:type="spellEnd"/>
      <w:r>
        <w:rPr>
          <w:lang w:val="pt-BR"/>
        </w:rPr>
        <w:t>,</w:t>
      </w:r>
      <w:r w:rsidRPr="00676BC0">
        <w:rPr>
          <w:lang w:val="pt-BR"/>
        </w:rPr>
        <w:t xml:space="preserve"> Laboratório de Bioquímica Experimental e Computacional de Fármacos, Fundação Oswaldo Cruz, Instituto Oswaldo Cruz, Av. Brasil, 4365, Rio de Janeiro, RJ 21040-900, </w:t>
      </w:r>
      <w:proofErr w:type="spellStart"/>
      <w:r w:rsidRPr="00676BC0">
        <w:rPr>
          <w:lang w:val="pt-BR"/>
        </w:rPr>
        <w:t>Brazil</w:t>
      </w:r>
      <w:proofErr w:type="spellEnd"/>
      <w:r w:rsidRPr="00676BC0">
        <w:rPr>
          <w:lang w:val="pt-BR"/>
        </w:rPr>
        <w:t xml:space="preserve">. </w:t>
      </w:r>
      <w:r w:rsidRPr="000F605D">
        <w:t>Tel: + 55 21 3865 8248; Fax: +55 21 2590 3495. E-mail: floriano@ioc.fiocruz.br</w:t>
      </w:r>
    </w:p>
    <w:p w14:paraId="63E14C5D" w14:textId="77777777" w:rsidR="00C10EE0" w:rsidRPr="00DD6DBB" w:rsidRDefault="00C10EE0" w:rsidP="006247F8">
      <w:pPr>
        <w:pStyle w:val="FAAuthorInfoSubtitle"/>
        <w:outlineLvl w:val="0"/>
      </w:pPr>
      <w:r w:rsidRPr="00DD6DBB">
        <w:lastRenderedPageBreak/>
        <w:t>Author Contributions</w:t>
      </w:r>
    </w:p>
    <w:p w14:paraId="553B6DDE" w14:textId="77777777" w:rsidR="00D87C01" w:rsidRPr="00322153" w:rsidRDefault="00D87C01" w:rsidP="00322153">
      <w:pPr>
        <w:pStyle w:val="TAMainText"/>
      </w:pPr>
      <w:r w:rsidRPr="00322153">
        <w:t>BJN, RFD, and MRS contributed equally.</w:t>
      </w:r>
    </w:p>
    <w:p w14:paraId="63F2AE92" w14:textId="77777777" w:rsidR="00C10EE0" w:rsidRDefault="00C10EE0" w:rsidP="006247F8">
      <w:pPr>
        <w:pStyle w:val="FAAuthorInfoSubtitle"/>
        <w:outlineLvl w:val="0"/>
      </w:pPr>
      <w:r w:rsidRPr="00DD6DBB">
        <w:t>Funding Sources</w:t>
      </w:r>
    </w:p>
    <w:p w14:paraId="701FF778" w14:textId="450999FF" w:rsidR="00D87C01" w:rsidRPr="00322153" w:rsidRDefault="00D87C01" w:rsidP="00322153">
      <w:pPr>
        <w:pStyle w:val="TAMainText"/>
      </w:pPr>
      <w:r w:rsidRPr="00322153">
        <w:t>BJN was supported by a fellowship from the Coordination for the Improvement of Higher Education Personnel (CAPES). This work has been funded by the National Counsel of Technological and Scientific Development (</w:t>
      </w:r>
      <w:proofErr w:type="spellStart"/>
      <w:r w:rsidRPr="00322153">
        <w:t>CNPq</w:t>
      </w:r>
      <w:proofErr w:type="spellEnd"/>
      <w:r w:rsidRPr="00322153">
        <w:t xml:space="preserve">), the State of </w:t>
      </w:r>
      <w:proofErr w:type="spellStart"/>
      <w:r w:rsidRPr="00322153">
        <w:t>Goiás</w:t>
      </w:r>
      <w:proofErr w:type="spellEnd"/>
      <w:r w:rsidRPr="00322153">
        <w:t xml:space="preserve"> Research Foundation (FAPEG), and State of Rio de Janeiro Research Foundation (FAPERJ). </w:t>
      </w:r>
      <w:r w:rsidR="00BB28E4">
        <w:t xml:space="preserve">C.H.A. and </w:t>
      </w:r>
      <w:proofErr w:type="spellStart"/>
      <w:r w:rsidR="00BB28E4">
        <w:t>F.P.</w:t>
      </w:r>
      <w:proofErr w:type="gramStart"/>
      <w:r w:rsidR="00BB28E4">
        <w:t>S.Jr</w:t>
      </w:r>
      <w:proofErr w:type="spellEnd"/>
      <w:proofErr w:type="gramEnd"/>
      <w:r w:rsidR="00BB28E4">
        <w:t xml:space="preserve"> are </w:t>
      </w:r>
      <w:proofErr w:type="spellStart"/>
      <w:r w:rsidR="00BB28E4">
        <w:t>CNPq</w:t>
      </w:r>
      <w:proofErr w:type="spellEnd"/>
      <w:r w:rsidR="00BB28E4">
        <w:t xml:space="preserve"> productivity fellows. </w:t>
      </w:r>
      <w:r w:rsidR="00C40222">
        <w:t xml:space="preserve">LEK and AEC were supported by </w:t>
      </w:r>
      <w:r w:rsidR="00C40222">
        <w:rPr>
          <w:lang w:val="en-GB"/>
        </w:rPr>
        <w:t xml:space="preserve">a grant from the U.S. </w:t>
      </w:r>
      <w:r w:rsidR="00C40222" w:rsidRPr="009A735D">
        <w:rPr>
          <w:lang w:val="en-GB"/>
        </w:rPr>
        <w:t>National Institutes of Health (</w:t>
      </w:r>
      <w:r w:rsidR="00C40222" w:rsidRPr="009A735D">
        <w:t>GM095672</w:t>
      </w:r>
      <w:r w:rsidR="00C40222" w:rsidRPr="009A735D">
        <w:rPr>
          <w:lang w:val="en-GB"/>
        </w:rPr>
        <w:t>)</w:t>
      </w:r>
      <w:r w:rsidR="00C40222">
        <w:rPr>
          <w:lang w:val="en-GB"/>
        </w:rPr>
        <w:t>.</w:t>
      </w:r>
      <w:r w:rsidR="00233065">
        <w:rPr>
          <w:lang w:val="en-GB"/>
        </w:rPr>
        <w:t xml:space="preserve"> </w:t>
      </w:r>
      <w:r w:rsidR="00233065">
        <w:t xml:space="preserve">E.M. also acknowledge </w:t>
      </w:r>
      <w:r w:rsidR="00233065" w:rsidRPr="00EA70C0">
        <w:t>NIH (grants GM66940 and GM096967)</w:t>
      </w:r>
      <w:r w:rsidR="00233065">
        <w:t xml:space="preserve">, </w:t>
      </w:r>
      <w:proofErr w:type="spellStart"/>
      <w:r w:rsidR="00233065" w:rsidRPr="00BB28E4">
        <w:t>CNPq</w:t>
      </w:r>
      <w:proofErr w:type="spellEnd"/>
      <w:r w:rsidR="00233065" w:rsidRPr="00BB28E4">
        <w:t xml:space="preserve"> (grant 400760/2014-2), and UNC for Ju</w:t>
      </w:r>
      <w:r w:rsidR="00233065">
        <w:t>nior Faculty Development Award for partial financial support.</w:t>
      </w:r>
      <w:r w:rsidR="00C40222">
        <w:t xml:space="preserve"> </w:t>
      </w:r>
      <w:r w:rsidRPr="00322153">
        <w:t>The funders had no role in study design, data collection and analysis, decision to publish, or preparation of the manuscript.</w:t>
      </w:r>
      <w:r w:rsidR="00C543A5">
        <w:t xml:space="preserve"> </w:t>
      </w:r>
    </w:p>
    <w:p w14:paraId="1565AE08" w14:textId="77777777" w:rsidR="00DD6DBB" w:rsidRPr="00DD6DBB" w:rsidRDefault="00C10EE0" w:rsidP="006247F8">
      <w:pPr>
        <w:pStyle w:val="FAAuthorInfoSubtitle"/>
        <w:outlineLvl w:val="0"/>
      </w:pPr>
      <w:r w:rsidRPr="00DD6DBB">
        <w:t>Notes</w:t>
      </w:r>
    </w:p>
    <w:p w14:paraId="78D2310F" w14:textId="77777777" w:rsidR="00C10EE0" w:rsidRPr="00C349BD" w:rsidRDefault="00D87C01" w:rsidP="00C349BD">
      <w:pPr>
        <w:pStyle w:val="TAMainText"/>
      </w:pPr>
      <w:r w:rsidRPr="00C349BD">
        <w:t>The authors declare no competing financial interest.</w:t>
      </w:r>
    </w:p>
    <w:p w14:paraId="4CC959CB" w14:textId="77777777" w:rsidR="00DD6DBB" w:rsidRPr="00C349BD" w:rsidRDefault="00DD6DBB" w:rsidP="00FA47CC">
      <w:pPr>
        <w:spacing w:before="360" w:after="240" w:line="480" w:lineRule="auto"/>
        <w:outlineLvl w:val="0"/>
        <w:rPr>
          <w:b/>
        </w:rPr>
      </w:pPr>
      <w:r w:rsidRPr="00C349BD">
        <w:rPr>
          <w:b/>
        </w:rPr>
        <w:t>ACKNOWLEDGMENT</w:t>
      </w:r>
    </w:p>
    <w:p w14:paraId="63869138" w14:textId="75F915BD" w:rsidR="009246AD" w:rsidRDefault="00221575" w:rsidP="00BB28E4">
      <w:pPr>
        <w:pStyle w:val="TDAcknowledgments"/>
      </w:pPr>
      <w:r w:rsidRPr="00221575">
        <w:t xml:space="preserve">The authors would like to thank Brazilian funding agencies, </w:t>
      </w:r>
      <w:proofErr w:type="spellStart"/>
      <w:r w:rsidRPr="00221575">
        <w:t>CNPq</w:t>
      </w:r>
      <w:proofErr w:type="spellEnd"/>
      <w:r w:rsidRPr="00221575">
        <w:t xml:space="preserve">, CAPES, FAPEG, FAPERJ and FIOCRUZ for financial support and fellowships. </w:t>
      </w:r>
      <w:r w:rsidR="0020459E" w:rsidRPr="001C786A">
        <w:t xml:space="preserve">We are grateful to </w:t>
      </w:r>
      <w:proofErr w:type="spellStart"/>
      <w:r w:rsidR="0020459E">
        <w:t>ChemAxon</w:t>
      </w:r>
      <w:proofErr w:type="spellEnd"/>
      <w:r w:rsidR="0020459E" w:rsidRPr="001C786A">
        <w:t xml:space="preserve"> for providing academic license of their </w:t>
      </w:r>
      <w:r w:rsidR="0020459E">
        <w:t>program</w:t>
      </w:r>
      <w:r w:rsidR="0020459E" w:rsidRPr="001C786A">
        <w:t>.</w:t>
      </w:r>
      <w:r w:rsidR="0020459E">
        <w:t xml:space="preserve"> </w:t>
      </w:r>
      <w:r w:rsidRPr="00221575">
        <w:t xml:space="preserve">Authors also thank the Malacology Laboratory (Dr. Silvana C. </w:t>
      </w:r>
      <w:proofErr w:type="spellStart"/>
      <w:r w:rsidRPr="00221575">
        <w:t>Thiengo</w:t>
      </w:r>
      <w:proofErr w:type="spellEnd"/>
      <w:r w:rsidRPr="00221575">
        <w:t xml:space="preserve">) from IOC/FIOCRUZ for providing </w:t>
      </w:r>
      <w:r w:rsidRPr="0020459E">
        <w:rPr>
          <w:i/>
        </w:rPr>
        <w:t xml:space="preserve">S. </w:t>
      </w:r>
      <w:proofErr w:type="spellStart"/>
      <w:r w:rsidRPr="0020459E">
        <w:rPr>
          <w:i/>
        </w:rPr>
        <w:t>mansoni</w:t>
      </w:r>
      <w:proofErr w:type="spellEnd"/>
      <w:r w:rsidRPr="00221575">
        <w:t xml:space="preserve"> </w:t>
      </w:r>
      <w:proofErr w:type="spellStart"/>
      <w:r w:rsidRPr="00221575">
        <w:t>cercari</w:t>
      </w:r>
      <w:r w:rsidR="0020459E">
        <w:t>a</w:t>
      </w:r>
      <w:r w:rsidRPr="00221575">
        <w:t>e</w:t>
      </w:r>
      <w:proofErr w:type="spellEnd"/>
      <w:r w:rsidR="0020459E">
        <w:t>,</w:t>
      </w:r>
      <w:r w:rsidRPr="00221575">
        <w:t xml:space="preserve"> and the Bioassays and Drug Screening Platform (FIOCRUZ RPT11-I subunit)</w:t>
      </w:r>
      <w:r w:rsidR="00C21BFE">
        <w:t xml:space="preserve">, and </w:t>
      </w:r>
      <w:r w:rsidR="00C21BFE" w:rsidRPr="00C21BFE">
        <w:t xml:space="preserve">NIH R01 GM095672 (Automated image analysis for high-throughput phenotypic screening in </w:t>
      </w:r>
      <w:r w:rsidR="00C21BFE" w:rsidRPr="00C21BFE">
        <w:rPr>
          <w:i/>
        </w:rPr>
        <w:t xml:space="preserve">C. </w:t>
      </w:r>
      <w:proofErr w:type="spellStart"/>
      <w:r w:rsidR="00C21BFE" w:rsidRPr="00C21BFE">
        <w:rPr>
          <w:i/>
        </w:rPr>
        <w:t>elegans</w:t>
      </w:r>
      <w:proofErr w:type="spellEnd"/>
      <w:r w:rsidR="00C21BFE">
        <w:t>)</w:t>
      </w:r>
      <w:r w:rsidRPr="00221575">
        <w:t xml:space="preserve"> for technological support.</w:t>
      </w:r>
      <w:r w:rsidR="00384306">
        <w:t xml:space="preserve"> </w:t>
      </w:r>
    </w:p>
    <w:p w14:paraId="462CF650" w14:textId="77777777" w:rsidR="00DD6DBB" w:rsidRPr="005866E0" w:rsidRDefault="00DD6DBB" w:rsidP="00FA47CC">
      <w:pPr>
        <w:spacing w:before="360" w:after="240" w:line="480" w:lineRule="auto"/>
        <w:outlineLvl w:val="0"/>
        <w:rPr>
          <w:b/>
        </w:rPr>
      </w:pPr>
      <w:r w:rsidRPr="005866E0">
        <w:rPr>
          <w:b/>
        </w:rPr>
        <w:lastRenderedPageBreak/>
        <w:t>ABBREVIATIONS</w:t>
      </w:r>
    </w:p>
    <w:p w14:paraId="2BA5B361" w14:textId="5A8A9A05" w:rsidR="009510A3" w:rsidRDefault="009510A3" w:rsidP="00195F51">
      <w:pPr>
        <w:pStyle w:val="TAMainText"/>
      </w:pPr>
      <w:r w:rsidRPr="0048346E">
        <w:t>AD, applicability domain; CART, clas</w:t>
      </w:r>
      <w:r>
        <w:t xml:space="preserve">sification and regression trees; </w:t>
      </w:r>
      <w:r w:rsidRPr="0048346E">
        <w:t>CC</w:t>
      </w:r>
      <w:r w:rsidRPr="0048346E">
        <w:rPr>
          <w:vertAlign w:val="subscript"/>
        </w:rPr>
        <w:t>50</w:t>
      </w:r>
      <w:r w:rsidRPr="0048346E">
        <w:t xml:space="preserve">, half-maximal cytotoxic concentration; </w:t>
      </w:r>
      <w:r>
        <w:t xml:space="preserve"> </w:t>
      </w:r>
      <w:r w:rsidRPr="0048346E">
        <w:t>CDK, chemistry development kit; EC</w:t>
      </w:r>
      <w:r w:rsidRPr="0048346E">
        <w:rPr>
          <w:vertAlign w:val="subscript"/>
        </w:rPr>
        <w:t>50</w:t>
      </w:r>
      <w:r w:rsidRPr="0048346E">
        <w:t>, half-maximal motility concentration; FN, false negatives; FP, false positives; GBM, gradient boosting machine; GR, glutathione reductase; GSH, glutathione; GSSG, glutathione disulfide; HCS, high content screening; IC</w:t>
      </w:r>
      <w:r w:rsidRPr="0048346E">
        <w:rPr>
          <w:vertAlign w:val="subscript"/>
        </w:rPr>
        <w:t>50</w:t>
      </w:r>
      <w:r w:rsidRPr="0048346E">
        <w:t>, half m</w:t>
      </w:r>
      <w:r>
        <w:t xml:space="preserve">aximal inhibitory concentration; </w:t>
      </w:r>
      <w:proofErr w:type="spellStart"/>
      <w:r w:rsidRPr="00195F51">
        <w:rPr>
          <w:i/>
        </w:rPr>
        <w:t>k</w:t>
      </w:r>
      <w:r w:rsidRPr="0048346E">
        <w:t>NN</w:t>
      </w:r>
      <w:proofErr w:type="spellEnd"/>
      <w:r w:rsidRPr="0048346E">
        <w:t xml:space="preserve">, </w:t>
      </w:r>
      <w:r w:rsidRPr="00195F51">
        <w:rPr>
          <w:i/>
        </w:rPr>
        <w:t>k</w:t>
      </w:r>
      <w:r w:rsidRPr="0048346E">
        <w:t xml:space="preserve">-nearest neighbors; MACCS, Molecular </w:t>
      </w:r>
      <w:proofErr w:type="spellStart"/>
      <w:r w:rsidRPr="0048346E">
        <w:t>ACCess</w:t>
      </w:r>
      <w:proofErr w:type="spellEnd"/>
      <w:r w:rsidRPr="0048346E">
        <w:t xml:space="preserve"> System (MACCS) keys; MARS, multivariate adaptive regression splines; MLP, multi-layer perceptron; NADPH, nicotinamide adenine dinucleotide phosphate; OECD, Organization for Economic Cooperation and Development; </w:t>
      </w:r>
      <w:r>
        <w:t xml:space="preserve">OLT, </w:t>
      </w:r>
      <w:proofErr w:type="spellStart"/>
      <w:r>
        <w:t>oltipraz</w:t>
      </w:r>
      <w:proofErr w:type="spellEnd"/>
      <w:r>
        <w:t xml:space="preserve">; </w:t>
      </w:r>
      <w:r w:rsidRPr="0048346E">
        <w:t xml:space="preserve">PCA, principal component analysis; PLS-DA, partial least squares discriminant analysis; PPMs, predicted probability maps; PZQ, </w:t>
      </w:r>
      <w:proofErr w:type="spellStart"/>
      <w:r w:rsidRPr="0048346E">
        <w:t>praziquantel</w:t>
      </w:r>
      <w:proofErr w:type="spellEnd"/>
      <w:r w:rsidRPr="0048346E">
        <w:t xml:space="preserve">; QSAR, quantitative structure-activity relationships; RF, random forest; </w:t>
      </w:r>
      <w:r w:rsidRPr="0048346E">
        <w:rPr>
          <w:i/>
        </w:rPr>
        <w:t xml:space="preserve">S. </w:t>
      </w:r>
      <w:proofErr w:type="spellStart"/>
      <w:r w:rsidRPr="0048346E">
        <w:rPr>
          <w:i/>
        </w:rPr>
        <w:t>mansoni</w:t>
      </w:r>
      <w:proofErr w:type="spellEnd"/>
      <w:r w:rsidRPr="0048346E">
        <w:t xml:space="preserve">, </w:t>
      </w:r>
      <w:r w:rsidRPr="0048346E">
        <w:rPr>
          <w:i/>
        </w:rPr>
        <w:t xml:space="preserve">Schistosoma </w:t>
      </w:r>
      <w:proofErr w:type="spellStart"/>
      <w:r w:rsidRPr="0048346E">
        <w:rPr>
          <w:i/>
        </w:rPr>
        <w:t>mansoni</w:t>
      </w:r>
      <w:proofErr w:type="spellEnd"/>
      <w:r w:rsidRPr="0048346E">
        <w:t xml:space="preserve">; SAR, structure-activity relationships; SE, sensitivity; SMARTS, SMILES arbitrary target specification; </w:t>
      </w:r>
      <w:proofErr w:type="spellStart"/>
      <w:r w:rsidRPr="0048346E">
        <w:rPr>
          <w:i/>
        </w:rPr>
        <w:t>Sm</w:t>
      </w:r>
      <w:r w:rsidRPr="0048346E">
        <w:t>TGR</w:t>
      </w:r>
      <w:proofErr w:type="spellEnd"/>
      <w:r w:rsidRPr="0048346E">
        <w:t xml:space="preserve">, </w:t>
      </w:r>
      <w:r w:rsidRPr="0048346E">
        <w:rPr>
          <w:i/>
        </w:rPr>
        <w:t xml:space="preserve">S. </w:t>
      </w:r>
      <w:proofErr w:type="spellStart"/>
      <w:r w:rsidRPr="0048346E">
        <w:rPr>
          <w:i/>
        </w:rPr>
        <w:t>mansoni</w:t>
      </w:r>
      <w:proofErr w:type="spellEnd"/>
      <w:r w:rsidRPr="0048346E">
        <w:t xml:space="preserve"> TGR; SP, specificity; SVM, support vector machine; TGR, </w:t>
      </w:r>
      <w:proofErr w:type="spellStart"/>
      <w:r w:rsidRPr="0048346E">
        <w:t>thioredoxin</w:t>
      </w:r>
      <w:proofErr w:type="spellEnd"/>
      <w:r w:rsidRPr="0048346E">
        <w:t xml:space="preserve"> glutathione reductase; TN, true negatives; TP, true positives; TR, </w:t>
      </w:r>
      <w:proofErr w:type="spellStart"/>
      <w:r w:rsidRPr="0048346E">
        <w:t>thioredoxin</w:t>
      </w:r>
      <w:proofErr w:type="spellEnd"/>
      <w:r w:rsidRPr="0048346E">
        <w:t xml:space="preserve"> reductase; </w:t>
      </w:r>
      <w:proofErr w:type="spellStart"/>
      <w:r w:rsidRPr="0048346E">
        <w:t>Trx</w:t>
      </w:r>
      <w:proofErr w:type="spellEnd"/>
      <w:r w:rsidRPr="0048346E">
        <w:t xml:space="preserve">, </w:t>
      </w:r>
      <w:proofErr w:type="spellStart"/>
      <w:r w:rsidRPr="0048346E">
        <w:t>thioredoxin</w:t>
      </w:r>
      <w:proofErr w:type="spellEnd"/>
      <w:r w:rsidRPr="0048346E">
        <w:t xml:space="preserve">; </w:t>
      </w:r>
      <w:r>
        <w:t xml:space="preserve">and </w:t>
      </w:r>
      <w:r w:rsidR="00195F51">
        <w:t>VS, virtual screening.</w:t>
      </w:r>
    </w:p>
    <w:p w14:paraId="290A4EC9" w14:textId="77777777" w:rsidR="006F18F5" w:rsidRPr="00FA47CC" w:rsidRDefault="00DD6DBB" w:rsidP="00FA47CC">
      <w:pPr>
        <w:pStyle w:val="TAMainText"/>
        <w:spacing w:before="360" w:after="240"/>
        <w:ind w:firstLine="204"/>
        <w:rPr>
          <w:b/>
        </w:rPr>
      </w:pPr>
      <w:r w:rsidRPr="00FA47CC">
        <w:rPr>
          <w:b/>
        </w:rPr>
        <w:t>REFERENCES</w:t>
      </w:r>
    </w:p>
    <w:p w14:paraId="38A2B873" w14:textId="09A96EEC" w:rsidR="00B519AB" w:rsidRPr="00B519AB" w:rsidRDefault="008D5E81" w:rsidP="00B519AB">
      <w:pPr>
        <w:widowControl w:val="0"/>
        <w:autoSpaceDE w:val="0"/>
        <w:autoSpaceDN w:val="0"/>
        <w:adjustRightInd w:val="0"/>
        <w:spacing w:line="480" w:lineRule="auto"/>
        <w:ind w:left="640" w:hanging="640"/>
        <w:rPr>
          <w:rFonts w:cs="Times"/>
          <w:noProof/>
          <w:szCs w:val="24"/>
        </w:rPr>
      </w:pPr>
      <w:r>
        <w:rPr>
          <w:b/>
        </w:rPr>
        <w:fldChar w:fldCharType="begin" w:fldLock="1"/>
      </w:r>
      <w:r w:rsidRPr="000F469D">
        <w:rPr>
          <w:b/>
        </w:rPr>
        <w:instrText xml:space="preserve">ADDIN Mendeley Bibliography CSL_BIBLIOGRAPHY </w:instrText>
      </w:r>
      <w:r>
        <w:rPr>
          <w:b/>
        </w:rPr>
        <w:fldChar w:fldCharType="separate"/>
      </w:r>
      <w:r w:rsidR="00B519AB" w:rsidRPr="00B519AB">
        <w:rPr>
          <w:rFonts w:cs="Times"/>
          <w:noProof/>
          <w:szCs w:val="24"/>
        </w:rPr>
        <w:t xml:space="preserve">(1) </w:t>
      </w:r>
      <w:r w:rsidR="00B519AB" w:rsidRPr="00B519AB">
        <w:rPr>
          <w:rFonts w:cs="Times"/>
          <w:noProof/>
          <w:szCs w:val="24"/>
        </w:rPr>
        <w:tab/>
        <w:t xml:space="preserve">Colley, D. G.; Bustinduy, A. L.; Secor, W. E.; King, C. H. Human Schistosomiasis. </w:t>
      </w:r>
      <w:r w:rsidR="00B519AB" w:rsidRPr="00B519AB">
        <w:rPr>
          <w:rFonts w:cs="Times"/>
          <w:i/>
          <w:iCs/>
          <w:noProof/>
          <w:szCs w:val="24"/>
        </w:rPr>
        <w:t>Lancet</w:t>
      </w:r>
      <w:r w:rsidR="00B519AB" w:rsidRPr="00B519AB">
        <w:rPr>
          <w:rFonts w:cs="Times"/>
          <w:noProof/>
          <w:szCs w:val="24"/>
        </w:rPr>
        <w:t xml:space="preserve"> </w:t>
      </w:r>
      <w:r w:rsidR="00B519AB" w:rsidRPr="00B519AB">
        <w:rPr>
          <w:rFonts w:cs="Times"/>
          <w:b/>
          <w:bCs/>
          <w:noProof/>
          <w:szCs w:val="24"/>
        </w:rPr>
        <w:t>2014</w:t>
      </w:r>
      <w:r w:rsidR="00B519AB" w:rsidRPr="00B519AB">
        <w:rPr>
          <w:rFonts w:cs="Times"/>
          <w:noProof/>
          <w:szCs w:val="24"/>
        </w:rPr>
        <w:t xml:space="preserve">, </w:t>
      </w:r>
      <w:r w:rsidR="00B519AB" w:rsidRPr="00B519AB">
        <w:rPr>
          <w:rFonts w:cs="Times"/>
          <w:i/>
          <w:iCs/>
          <w:noProof/>
          <w:szCs w:val="24"/>
        </w:rPr>
        <w:t>383</w:t>
      </w:r>
      <w:r w:rsidR="00B519AB" w:rsidRPr="00B519AB">
        <w:rPr>
          <w:rFonts w:cs="Times"/>
          <w:noProof/>
          <w:szCs w:val="24"/>
        </w:rPr>
        <w:t xml:space="preserve"> (9936), 2253–2264.</w:t>
      </w:r>
    </w:p>
    <w:p w14:paraId="558AEFA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 </w:t>
      </w:r>
      <w:r w:rsidRPr="00B519AB">
        <w:rPr>
          <w:rFonts w:cs="Times"/>
          <w:noProof/>
          <w:szCs w:val="24"/>
        </w:rPr>
        <w:tab/>
        <w:t xml:space="preserve">Ross, A. G. P.; Bartley, P. B.; Sleigh, A. C.; Olds, G. R.; Li, Y.; Williams, G. M.; McManus, D. P. Schistosomiasis. </w:t>
      </w:r>
      <w:r w:rsidRPr="00B519AB">
        <w:rPr>
          <w:rFonts w:cs="Times"/>
          <w:i/>
          <w:iCs/>
          <w:noProof/>
          <w:szCs w:val="24"/>
        </w:rPr>
        <w:t>N. Engl. J. Med.</w:t>
      </w:r>
      <w:r w:rsidRPr="00B519AB">
        <w:rPr>
          <w:rFonts w:cs="Times"/>
          <w:noProof/>
          <w:szCs w:val="24"/>
        </w:rPr>
        <w:t xml:space="preserve"> </w:t>
      </w:r>
      <w:r w:rsidRPr="00B519AB">
        <w:rPr>
          <w:rFonts w:cs="Times"/>
          <w:b/>
          <w:bCs/>
          <w:noProof/>
          <w:szCs w:val="24"/>
        </w:rPr>
        <w:t>2002</w:t>
      </w:r>
      <w:r w:rsidRPr="00B519AB">
        <w:rPr>
          <w:rFonts w:cs="Times"/>
          <w:noProof/>
          <w:szCs w:val="24"/>
        </w:rPr>
        <w:t xml:space="preserve">, </w:t>
      </w:r>
      <w:r w:rsidRPr="00B519AB">
        <w:rPr>
          <w:rFonts w:cs="Times"/>
          <w:i/>
          <w:iCs/>
          <w:noProof/>
          <w:szCs w:val="24"/>
        </w:rPr>
        <w:t>346</w:t>
      </w:r>
      <w:r w:rsidRPr="00B519AB">
        <w:rPr>
          <w:rFonts w:cs="Times"/>
          <w:noProof/>
          <w:szCs w:val="24"/>
        </w:rPr>
        <w:t xml:space="preserve"> (16), 1212–1220.</w:t>
      </w:r>
    </w:p>
    <w:p w14:paraId="4E183494"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(3) </w:t>
      </w:r>
      <w:r w:rsidRPr="00B519AB">
        <w:rPr>
          <w:rFonts w:cs="Times"/>
          <w:noProof/>
          <w:szCs w:val="24"/>
        </w:rPr>
        <w:tab/>
        <w:t xml:space="preserve">King, C. H. Toward the Elimination of Schistosomiasis. </w:t>
      </w:r>
      <w:r w:rsidRPr="00B519AB">
        <w:rPr>
          <w:rFonts w:cs="Times"/>
          <w:i/>
          <w:iCs/>
          <w:noProof/>
          <w:szCs w:val="24"/>
        </w:rPr>
        <w:t>N. Engl. J. Med.</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360</w:t>
      </w:r>
      <w:r w:rsidRPr="00B519AB">
        <w:rPr>
          <w:rFonts w:cs="Times"/>
          <w:noProof/>
          <w:szCs w:val="24"/>
        </w:rPr>
        <w:t xml:space="preserve"> (2), 106–109.</w:t>
      </w:r>
    </w:p>
    <w:p w14:paraId="11A5EEF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 </w:t>
      </w:r>
      <w:r w:rsidRPr="00B519AB">
        <w:rPr>
          <w:rFonts w:cs="Times"/>
          <w:noProof/>
          <w:szCs w:val="24"/>
        </w:rPr>
        <w:tab/>
        <w:t xml:space="preserve">Gryseels, B.; Polman, K.; Clerinx, J.; Kestens, L. Human Schistosomiasis. </w:t>
      </w:r>
      <w:r w:rsidRPr="00B519AB">
        <w:rPr>
          <w:rFonts w:cs="Times"/>
          <w:i/>
          <w:iCs/>
          <w:noProof/>
          <w:szCs w:val="24"/>
        </w:rPr>
        <w:t>Lancet</w:t>
      </w:r>
      <w:r w:rsidRPr="00B519AB">
        <w:rPr>
          <w:rFonts w:cs="Times"/>
          <w:noProof/>
          <w:szCs w:val="24"/>
        </w:rPr>
        <w:t xml:space="preserve"> </w:t>
      </w:r>
      <w:r w:rsidRPr="00B519AB">
        <w:rPr>
          <w:rFonts w:cs="Times"/>
          <w:b/>
          <w:bCs/>
          <w:noProof/>
          <w:szCs w:val="24"/>
        </w:rPr>
        <w:t>2006</w:t>
      </w:r>
      <w:r w:rsidRPr="00B519AB">
        <w:rPr>
          <w:rFonts w:cs="Times"/>
          <w:noProof/>
          <w:szCs w:val="24"/>
        </w:rPr>
        <w:t xml:space="preserve">, </w:t>
      </w:r>
      <w:r w:rsidRPr="00B519AB">
        <w:rPr>
          <w:rFonts w:cs="Times"/>
          <w:i/>
          <w:iCs/>
          <w:noProof/>
          <w:szCs w:val="24"/>
        </w:rPr>
        <w:t>368</w:t>
      </w:r>
      <w:r w:rsidRPr="00B519AB">
        <w:rPr>
          <w:rFonts w:cs="Times"/>
          <w:noProof/>
          <w:szCs w:val="24"/>
        </w:rPr>
        <w:t xml:space="preserve"> (9541), 1106–1118.</w:t>
      </w:r>
    </w:p>
    <w:p w14:paraId="25CDC52A" w14:textId="610ED356"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 </w:t>
      </w:r>
      <w:r w:rsidRPr="00B519AB">
        <w:rPr>
          <w:rFonts w:cs="Times"/>
          <w:noProof/>
          <w:szCs w:val="24"/>
        </w:rPr>
        <w:tab/>
        <w:t xml:space="preserve">World Health Organization. Schistosomiasis. Available from: http://www.who.int/mediacentre/factsheets/fs115/en. </w:t>
      </w:r>
      <w:r w:rsidR="0042498F" w:rsidRPr="000135F1">
        <w:rPr>
          <w:noProof/>
        </w:rPr>
        <w:t>(</w:t>
      </w:r>
      <w:r w:rsidR="0042498F">
        <w:rPr>
          <w:noProof/>
        </w:rPr>
        <w:t>A</w:t>
      </w:r>
      <w:r w:rsidR="0042498F" w:rsidRPr="000135F1">
        <w:rPr>
          <w:noProof/>
        </w:rPr>
        <w:t>ccessed</w:t>
      </w:r>
      <w:r w:rsidR="0042498F">
        <w:rPr>
          <w:noProof/>
        </w:rPr>
        <w:t>:</w:t>
      </w:r>
      <w:r w:rsidR="0042498F" w:rsidRPr="000135F1">
        <w:rPr>
          <w:noProof/>
        </w:rPr>
        <w:t xml:space="preserve"> </w:t>
      </w:r>
      <w:r w:rsidR="0042498F">
        <w:rPr>
          <w:noProof/>
        </w:rPr>
        <w:t>June</w:t>
      </w:r>
      <w:r w:rsidR="0042498F" w:rsidRPr="000135F1">
        <w:rPr>
          <w:noProof/>
        </w:rPr>
        <w:t xml:space="preserve"> 1</w:t>
      </w:r>
      <w:r w:rsidR="0042498F">
        <w:rPr>
          <w:noProof/>
        </w:rPr>
        <w:t>3</w:t>
      </w:r>
      <w:r w:rsidR="0042498F" w:rsidRPr="000135F1">
        <w:rPr>
          <w:noProof/>
        </w:rPr>
        <w:t>, 201</w:t>
      </w:r>
      <w:r w:rsidR="0042498F">
        <w:rPr>
          <w:noProof/>
        </w:rPr>
        <w:t>6</w:t>
      </w:r>
      <w:r w:rsidR="0042498F" w:rsidRPr="000135F1">
        <w:rPr>
          <w:noProof/>
        </w:rPr>
        <w:t>)</w:t>
      </w:r>
      <w:r w:rsidRPr="00B519AB">
        <w:rPr>
          <w:rFonts w:cs="Times"/>
          <w:noProof/>
          <w:szCs w:val="24"/>
        </w:rPr>
        <w:t>.</w:t>
      </w:r>
    </w:p>
    <w:p w14:paraId="621195A7"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 </w:t>
      </w:r>
      <w:r w:rsidRPr="00B519AB">
        <w:rPr>
          <w:rFonts w:cs="Times"/>
          <w:noProof/>
          <w:szCs w:val="24"/>
        </w:rPr>
        <w:tab/>
        <w:t xml:space="preserve">Gönnert, R.; Andrews, P. Praziquantel, a New Board-Spectrum Antischistosomal Agent. </w:t>
      </w:r>
      <w:r w:rsidRPr="00B519AB">
        <w:rPr>
          <w:rFonts w:cs="Times"/>
          <w:i/>
          <w:iCs/>
          <w:noProof/>
          <w:szCs w:val="24"/>
        </w:rPr>
        <w:t>Z. Parasitenkd.</w:t>
      </w:r>
      <w:r w:rsidRPr="00B519AB">
        <w:rPr>
          <w:rFonts w:cs="Times"/>
          <w:noProof/>
          <w:szCs w:val="24"/>
        </w:rPr>
        <w:t xml:space="preserve"> </w:t>
      </w:r>
      <w:r w:rsidRPr="00B519AB">
        <w:rPr>
          <w:rFonts w:cs="Times"/>
          <w:b/>
          <w:bCs/>
          <w:noProof/>
          <w:szCs w:val="24"/>
        </w:rPr>
        <w:t>1977</w:t>
      </w:r>
      <w:r w:rsidRPr="00B519AB">
        <w:rPr>
          <w:rFonts w:cs="Times"/>
          <w:noProof/>
          <w:szCs w:val="24"/>
        </w:rPr>
        <w:t xml:space="preserve">, </w:t>
      </w:r>
      <w:r w:rsidRPr="00B519AB">
        <w:rPr>
          <w:rFonts w:cs="Times"/>
          <w:i/>
          <w:iCs/>
          <w:noProof/>
          <w:szCs w:val="24"/>
        </w:rPr>
        <w:t>52</w:t>
      </w:r>
      <w:r w:rsidRPr="00B519AB">
        <w:rPr>
          <w:rFonts w:cs="Times"/>
          <w:noProof/>
          <w:szCs w:val="24"/>
        </w:rPr>
        <w:t xml:space="preserve"> (2), 129–150.</w:t>
      </w:r>
    </w:p>
    <w:p w14:paraId="57A706C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 </w:t>
      </w:r>
      <w:r w:rsidRPr="00B519AB">
        <w:rPr>
          <w:rFonts w:cs="Times"/>
          <w:noProof/>
          <w:szCs w:val="24"/>
        </w:rPr>
        <w:tab/>
        <w:t xml:space="preserve">Ismail, M.; Metwally, A.; Farghaly, A.; Bruce, J.; Tao, L. F.; Bennett, J. L. Characterization of Isolates of Schistosoma Mansoni from Egyptian Villagers That Tolerate High Doses of Praziquantel. </w:t>
      </w:r>
      <w:r w:rsidRPr="00B519AB">
        <w:rPr>
          <w:rFonts w:cs="Times"/>
          <w:i/>
          <w:iCs/>
          <w:noProof/>
          <w:szCs w:val="24"/>
        </w:rPr>
        <w:t>Am. J. Trop. Med. Hyg.</w:t>
      </w:r>
      <w:r w:rsidRPr="00B519AB">
        <w:rPr>
          <w:rFonts w:cs="Times"/>
          <w:noProof/>
          <w:szCs w:val="24"/>
        </w:rPr>
        <w:t xml:space="preserve"> </w:t>
      </w:r>
      <w:r w:rsidRPr="00B519AB">
        <w:rPr>
          <w:rFonts w:cs="Times"/>
          <w:b/>
          <w:bCs/>
          <w:noProof/>
          <w:szCs w:val="24"/>
        </w:rPr>
        <w:t>1996</w:t>
      </w:r>
      <w:r w:rsidRPr="00B519AB">
        <w:rPr>
          <w:rFonts w:cs="Times"/>
          <w:noProof/>
          <w:szCs w:val="24"/>
        </w:rPr>
        <w:t xml:space="preserve">, </w:t>
      </w:r>
      <w:r w:rsidRPr="00B519AB">
        <w:rPr>
          <w:rFonts w:cs="Times"/>
          <w:i/>
          <w:iCs/>
          <w:noProof/>
          <w:szCs w:val="24"/>
        </w:rPr>
        <w:t>55</w:t>
      </w:r>
      <w:r w:rsidRPr="00B519AB">
        <w:rPr>
          <w:rFonts w:cs="Times"/>
          <w:noProof/>
          <w:szCs w:val="24"/>
        </w:rPr>
        <w:t xml:space="preserve"> (2), 214–218.</w:t>
      </w:r>
    </w:p>
    <w:p w14:paraId="3DBAE0D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 </w:t>
      </w:r>
      <w:r w:rsidRPr="00B519AB">
        <w:rPr>
          <w:rFonts w:cs="Times"/>
          <w:noProof/>
          <w:szCs w:val="24"/>
        </w:rPr>
        <w:tab/>
        <w:t xml:space="preserve">Melman, S. D.; Steinauer, M. L.; Cunningham, C.; Kubatko, L. S.; Mwangi, I. N.; Wynn, N. B.; Mutuku, M. W.; Karanja, D. M. S.; Colley, D. G.; Black, C. L.; Secor, W. E.; Mkoji, G. M.; Loker, E. S. Reduced Susceptibility to Praziquantel among Naturally Occurring Kenyan Isolates of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3</w:t>
      </w:r>
      <w:r w:rsidRPr="00B519AB">
        <w:rPr>
          <w:rFonts w:cs="Times"/>
          <w:noProof/>
          <w:szCs w:val="24"/>
        </w:rPr>
        <w:t xml:space="preserve"> (8), e504.</w:t>
      </w:r>
    </w:p>
    <w:p w14:paraId="4550AA4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 </w:t>
      </w:r>
      <w:r w:rsidRPr="00B519AB">
        <w:rPr>
          <w:rFonts w:cs="Times"/>
          <w:noProof/>
          <w:szCs w:val="24"/>
        </w:rPr>
        <w:tab/>
        <w:t xml:space="preserve">Fallon, P. G.; Sturrock, R. F.; Niang, A. C.; Doenhoff, M. J. Short Report: Diminished Susceptibility to Praziquantel in a Senegal Isolate of Schistosoma Mansoni. </w:t>
      </w:r>
      <w:r w:rsidRPr="00B519AB">
        <w:rPr>
          <w:rFonts w:cs="Times"/>
          <w:i/>
          <w:iCs/>
          <w:noProof/>
          <w:szCs w:val="24"/>
        </w:rPr>
        <w:t>Am. J. Trop. Med. Hyg.</w:t>
      </w:r>
      <w:r w:rsidRPr="00B519AB">
        <w:rPr>
          <w:rFonts w:cs="Times"/>
          <w:noProof/>
          <w:szCs w:val="24"/>
        </w:rPr>
        <w:t xml:space="preserve"> </w:t>
      </w:r>
      <w:r w:rsidRPr="00B519AB">
        <w:rPr>
          <w:rFonts w:cs="Times"/>
          <w:b/>
          <w:bCs/>
          <w:noProof/>
          <w:szCs w:val="24"/>
        </w:rPr>
        <w:t>1995</w:t>
      </w:r>
      <w:r w:rsidRPr="00B519AB">
        <w:rPr>
          <w:rFonts w:cs="Times"/>
          <w:noProof/>
          <w:szCs w:val="24"/>
        </w:rPr>
        <w:t xml:space="preserve">, </w:t>
      </w:r>
      <w:r w:rsidRPr="00B519AB">
        <w:rPr>
          <w:rFonts w:cs="Times"/>
          <w:i/>
          <w:iCs/>
          <w:noProof/>
          <w:szCs w:val="24"/>
        </w:rPr>
        <w:t>53</w:t>
      </w:r>
      <w:r w:rsidRPr="00B519AB">
        <w:rPr>
          <w:rFonts w:cs="Times"/>
          <w:noProof/>
          <w:szCs w:val="24"/>
        </w:rPr>
        <w:t xml:space="preserve"> (1), 61–62.</w:t>
      </w:r>
    </w:p>
    <w:p w14:paraId="42A1C155"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 </w:t>
      </w:r>
      <w:r w:rsidRPr="00B519AB">
        <w:rPr>
          <w:rFonts w:cs="Times"/>
          <w:noProof/>
          <w:szCs w:val="24"/>
        </w:rPr>
        <w:tab/>
        <w:t xml:space="preserve">Hagan, P.; Appleton, C. C.; Coles, G. C.; Kusel, J. R.; Tchuem-Tchuenté, L.-A. Schistosomiasis Control: Keep Taking the Tablets. </w:t>
      </w:r>
      <w:r w:rsidRPr="00B519AB">
        <w:rPr>
          <w:rFonts w:cs="Times"/>
          <w:i/>
          <w:iCs/>
          <w:noProof/>
          <w:szCs w:val="24"/>
        </w:rPr>
        <w:t>Trends Parasitol.</w:t>
      </w:r>
      <w:r w:rsidRPr="00B519AB">
        <w:rPr>
          <w:rFonts w:cs="Times"/>
          <w:noProof/>
          <w:szCs w:val="24"/>
        </w:rPr>
        <w:t xml:space="preserve"> </w:t>
      </w:r>
      <w:r w:rsidRPr="00B519AB">
        <w:rPr>
          <w:rFonts w:cs="Times"/>
          <w:b/>
          <w:bCs/>
          <w:noProof/>
          <w:szCs w:val="24"/>
        </w:rPr>
        <w:t>2004</w:t>
      </w:r>
      <w:r w:rsidRPr="00B519AB">
        <w:rPr>
          <w:rFonts w:cs="Times"/>
          <w:noProof/>
          <w:szCs w:val="24"/>
        </w:rPr>
        <w:t xml:space="preserve">, </w:t>
      </w:r>
      <w:r w:rsidRPr="00B519AB">
        <w:rPr>
          <w:rFonts w:cs="Times"/>
          <w:i/>
          <w:iCs/>
          <w:noProof/>
          <w:szCs w:val="24"/>
        </w:rPr>
        <w:t>20</w:t>
      </w:r>
      <w:r w:rsidRPr="00B519AB">
        <w:rPr>
          <w:rFonts w:cs="Times"/>
          <w:noProof/>
          <w:szCs w:val="24"/>
        </w:rPr>
        <w:t xml:space="preserve"> (2), 92–97.</w:t>
      </w:r>
    </w:p>
    <w:p w14:paraId="5282BBA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(11) </w:t>
      </w:r>
      <w:r w:rsidRPr="00B519AB">
        <w:rPr>
          <w:rFonts w:cs="Times"/>
          <w:noProof/>
          <w:szCs w:val="24"/>
        </w:rPr>
        <w:tab/>
        <w:t xml:space="preserve">Loukas, A.; Bethony, J. M. New Drugs for an Ancient Parasite. </w:t>
      </w:r>
      <w:r w:rsidRPr="00B519AB">
        <w:rPr>
          <w:rFonts w:cs="Times"/>
          <w:i/>
          <w:iCs/>
          <w:noProof/>
          <w:szCs w:val="24"/>
        </w:rPr>
        <w:t>Nat. Med.</w:t>
      </w:r>
      <w:r w:rsidRPr="00B519AB">
        <w:rPr>
          <w:rFonts w:cs="Times"/>
          <w:noProof/>
          <w:szCs w:val="24"/>
        </w:rPr>
        <w:t xml:space="preserve"> </w:t>
      </w:r>
      <w:r w:rsidRPr="00B519AB">
        <w:rPr>
          <w:rFonts w:cs="Times"/>
          <w:b/>
          <w:bCs/>
          <w:noProof/>
          <w:szCs w:val="24"/>
        </w:rPr>
        <w:t>2008</w:t>
      </w:r>
      <w:r w:rsidRPr="00B519AB">
        <w:rPr>
          <w:rFonts w:cs="Times"/>
          <w:noProof/>
          <w:szCs w:val="24"/>
        </w:rPr>
        <w:t xml:space="preserve">, </w:t>
      </w:r>
      <w:r w:rsidRPr="00B519AB">
        <w:rPr>
          <w:rFonts w:cs="Times"/>
          <w:i/>
          <w:iCs/>
          <w:noProof/>
          <w:szCs w:val="24"/>
        </w:rPr>
        <w:t>14</w:t>
      </w:r>
      <w:r w:rsidRPr="00B519AB">
        <w:rPr>
          <w:rFonts w:cs="Times"/>
          <w:noProof/>
          <w:szCs w:val="24"/>
        </w:rPr>
        <w:t xml:space="preserve"> (4), 365–367.</w:t>
      </w:r>
    </w:p>
    <w:p w14:paraId="7C661DC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(12) </w:t>
      </w:r>
      <w:r w:rsidRPr="00B519AB">
        <w:rPr>
          <w:rFonts w:cs="Times"/>
          <w:noProof/>
          <w:szCs w:val="24"/>
        </w:rPr>
        <w:tab/>
        <w:t xml:space="preserve">Wang, W.; Wang, L.; Liang, Y. Susceptibility or Resistance of Praziquantel in Human Schistosomiasis: A Review. </w:t>
      </w:r>
      <w:r w:rsidRPr="00B519AB">
        <w:rPr>
          <w:rFonts w:cs="Times"/>
          <w:i/>
          <w:iCs/>
          <w:noProof/>
          <w:szCs w:val="24"/>
        </w:rPr>
        <w:t>Parasitol. Res.</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111</w:t>
      </w:r>
      <w:r w:rsidRPr="00B519AB">
        <w:rPr>
          <w:rFonts w:cs="Times"/>
          <w:noProof/>
          <w:szCs w:val="24"/>
        </w:rPr>
        <w:t xml:space="preserve"> (5), 1871–1877.</w:t>
      </w:r>
    </w:p>
    <w:p w14:paraId="749258C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(13) </w:t>
      </w:r>
      <w:r w:rsidRPr="00B519AB">
        <w:rPr>
          <w:rFonts w:cs="Times"/>
          <w:noProof/>
          <w:szCs w:val="24"/>
        </w:rPr>
        <w:tab/>
        <w:t xml:space="preserve">Berriman, M.; Haas, B. J.; LoVerde, P. T.; Wilson, R. A.; Dillon, G. P.; Cerqueira, G. C.; Mashiyama, S. T.; Al-Lazikani, B.; Andrade, L. F.; Ashton, P. D.; Aslett, M. a; Bartholomeu, D. C.; Blandin, G.; Caffrey, C. R.; Coghlan, A.; Coulson, R.; Day, T. a; Delcher, A.; DeMarco, R.; Djikeng, A.; Eyre, T.; Gamble, J. a; Ghedin, E.; Gu, Y.; Hertz-Fowler, C.; Hirai, H.; Hirai, Y.; Houston, R.; Ivens, A.; Johnston, D. a; Lacerda, D.; Macedo, C. D.; McVeigh, P.; Ning, Z.; Oliveira, G.; Overington, J. P.; Parkhill, J.; Pertea, M.; Pierce, R. J.; Protasio, A. V; Quail, M. a; Rajandream, M.-A.; Rogers, J.; Sajid, M.; Salzberg, S. L.; Stanke, M.; Tivey, A. R.; White, O.; Williams, D. L.; Wortman, J.; Wu, W.; Zamanian, M.; Zerlotini, A.; Fraser-Liggett, C. M.; Barrell, B. G.; El-Sayed, N. M. The Genome of the Blood Fluke Schistosoma Mansoni. </w:t>
      </w:r>
      <w:r w:rsidRPr="00B519AB">
        <w:rPr>
          <w:rFonts w:cs="Times"/>
          <w:i/>
          <w:iCs/>
          <w:noProof/>
          <w:szCs w:val="24"/>
        </w:rPr>
        <w:t>Nature</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460</w:t>
      </w:r>
      <w:r w:rsidRPr="00B519AB">
        <w:rPr>
          <w:rFonts w:cs="Times"/>
          <w:noProof/>
          <w:szCs w:val="24"/>
        </w:rPr>
        <w:t xml:space="preserve"> (7253), 352–358.</w:t>
      </w:r>
    </w:p>
    <w:p w14:paraId="2D63B3C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(14) </w:t>
      </w:r>
      <w:r w:rsidRPr="00B519AB">
        <w:rPr>
          <w:rFonts w:cs="Times"/>
          <w:noProof/>
          <w:szCs w:val="24"/>
        </w:rPr>
        <w:tab/>
        <w:t xml:space="preserve">Protasio, A. V; Tsai, I. J.; Babbage, A.; Nichol, S.; Hunt, M.; Aslett, M. a; De Silva, N.; Velarde, G. S.; Anderson, T. J. C.; Clark, R. C.; Davidson, C.; Dillon, G. P.; Holroyd, N. E.; LoVerde, P. T.; Lloyd, C.; McQuillan, J.; Oliveira, G.; Otto, T. D.; Parker-Manuel, S. J.; Quail, M. a; Wilson, R. A.; Zerlotini, A.; Dunne, D. W.; Berriman, M. A Systematically Improved High Quality Genome and Transcriptome of the Human Blood Fluke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6</w:t>
      </w:r>
      <w:r w:rsidRPr="00B519AB">
        <w:rPr>
          <w:rFonts w:cs="Times"/>
          <w:noProof/>
          <w:szCs w:val="24"/>
        </w:rPr>
        <w:t xml:space="preserve"> (1), e1455.</w:t>
      </w:r>
    </w:p>
    <w:p w14:paraId="64F41CF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(15) </w:t>
      </w:r>
      <w:r w:rsidRPr="00B519AB">
        <w:rPr>
          <w:rFonts w:cs="Times"/>
          <w:noProof/>
          <w:szCs w:val="24"/>
        </w:rPr>
        <w:tab/>
        <w:t xml:space="preserve">Zhou, Y.; Zheng, H.; Chen, Y.; Zhang, L.; Wang, K.; Guo, J.; Huang, Z.; Zhang, B.; </w:t>
      </w:r>
      <w:r w:rsidRPr="00B519AB">
        <w:rPr>
          <w:rFonts w:cs="Times"/>
          <w:noProof/>
          <w:szCs w:val="24"/>
        </w:rPr>
        <w:lastRenderedPageBreak/>
        <w:t xml:space="preserve">Huang, W.; Jin, K.; Dou, T.; Hasegawa, M.; Wang, L.; Zhang, Y.; Zhou, J.; Tao, L.; Cao, Z.; Li, Y.; Vinar, T.; Brejova, B.; Brown, D.; Li, M.; Miller, D. J.; Blair, D.; Zhong, Y.; Chen, Z.; Liu, F.; Hu, W.; Wang, Z.-Q.; Zhang, Q.-H.; Song, H.-D.; Chen, S.; Xu, X.; Xu, B.; Ju, C.; Huang, Y.; Brindley, P. J.; McManus, D. P.; Feng, Z.; Han, Z.-G.; Lu, G.; Ren, S.; Wang, Y.; Gu, W.; Kang, H.; Chen, J.; Chen, X.; Chen, S.; Wang, L.; Yan, J.; Wang, B.; Lv, X.; Jin, L.; Wang, B.; Pu, S.; Zhang, X.; Zhang, W.; Hu, Q.; Zhu, G.; Wang, J.; Yu, J.; Wang, J.; Yang, H.; Ning, Z.; Beriman, M.; Wei, C.-L.; Ruan, Y.; Zhao, G.; Wang, S.; Liu, F.; Zhou, Y.; Wang, Z.-Q.; Lu, G.; Zheng, H.; Brindley, P. J.; McManus, D. P.; Blair, D.; Zhang, Q.; Zhong, Y.; Wang, S.; Han, Z.-G.; Chen, Z.; Wang, S.; Han, Z.-G.; Chen, Z. The Schistosoma Japonicum Genome Reveals Features of Host–parasite Interplay. </w:t>
      </w:r>
      <w:r w:rsidRPr="00B519AB">
        <w:rPr>
          <w:rFonts w:cs="Times"/>
          <w:i/>
          <w:iCs/>
          <w:noProof/>
          <w:szCs w:val="24"/>
        </w:rPr>
        <w:t>Nature</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460</w:t>
      </w:r>
      <w:r w:rsidRPr="00B519AB">
        <w:rPr>
          <w:rFonts w:cs="Times"/>
          <w:noProof/>
          <w:szCs w:val="24"/>
        </w:rPr>
        <w:t xml:space="preserve"> (7253), 345–351.</w:t>
      </w:r>
    </w:p>
    <w:p w14:paraId="0408743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(16) </w:t>
      </w:r>
      <w:r w:rsidRPr="00B519AB">
        <w:rPr>
          <w:rFonts w:cs="Times"/>
          <w:noProof/>
          <w:szCs w:val="24"/>
        </w:rPr>
        <w:tab/>
        <w:t xml:space="preserve">Young, N. D.; Jex, A. R.; Li, B.; Liu, S.; Yang, L.; Xiong, Z.; Li, Y.; Cantacessi, C.; Hall, R. S.; Xu, X.; Chen, F.; Wu, X.; Zerlotini, A.; Oliveira, G.; Hofmann, A.; Zhang, G.; Fang, X.; Kang, Y.; Campbell, B. E.; Loukas, A.; Ranganathan, S.; Rollinson, D.; Rinaldi, G.; Brindley, P. J.; Yang, H.; Wang, J.; Wang, J.; Gasser, R. B. Whole-Genome Sequence of Schistosoma Haematobium. </w:t>
      </w:r>
      <w:r w:rsidRPr="00B519AB">
        <w:rPr>
          <w:rFonts w:cs="Times"/>
          <w:i/>
          <w:iCs/>
          <w:noProof/>
          <w:szCs w:val="24"/>
        </w:rPr>
        <w:t>Nat. Genet.</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44</w:t>
      </w:r>
      <w:r w:rsidRPr="00B519AB">
        <w:rPr>
          <w:rFonts w:cs="Times"/>
          <w:noProof/>
          <w:szCs w:val="24"/>
        </w:rPr>
        <w:t xml:space="preserve"> (2), 221–225.</w:t>
      </w:r>
    </w:p>
    <w:p w14:paraId="535E5FA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(17) </w:t>
      </w:r>
      <w:r w:rsidRPr="00B519AB">
        <w:rPr>
          <w:rFonts w:cs="Times"/>
          <w:noProof/>
          <w:szCs w:val="24"/>
        </w:rPr>
        <w:tab/>
        <w:t xml:space="preserve">Ferreira, L. G.; Oliva, G.; Andricopulo, A. D. Target-Based Molecular Modeling Strategies for Schistosomiasis Drug Discovery. </w:t>
      </w:r>
      <w:r w:rsidRPr="00B519AB">
        <w:rPr>
          <w:rFonts w:cs="Times"/>
          <w:i/>
          <w:iCs/>
          <w:noProof/>
          <w:szCs w:val="24"/>
        </w:rPr>
        <w:t>Future Med. Chem.</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7</w:t>
      </w:r>
      <w:r w:rsidRPr="00B519AB">
        <w:rPr>
          <w:rFonts w:cs="Times"/>
          <w:noProof/>
          <w:szCs w:val="24"/>
        </w:rPr>
        <w:t xml:space="preserve"> (6), 753–764.</w:t>
      </w:r>
    </w:p>
    <w:p w14:paraId="668974E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(18) </w:t>
      </w:r>
      <w:r w:rsidRPr="00B519AB">
        <w:rPr>
          <w:rFonts w:cs="Times"/>
          <w:noProof/>
          <w:szCs w:val="24"/>
        </w:rPr>
        <w:tab/>
        <w:t xml:space="preserve">Kuntz, A. N.; Davioud-Charvet, E.; Sayed, A. A.; Califf, L. L.; Dessolin, J.; Arnér, E. S. J.; Williams, D. L. Thioredoxin Glutathione Reductase from Schistosoma Mansoni: An Essential Parasite Enzyme and a Key Drug Target. </w:t>
      </w:r>
      <w:r w:rsidRPr="00B519AB">
        <w:rPr>
          <w:rFonts w:cs="Times"/>
          <w:i/>
          <w:iCs/>
          <w:noProof/>
          <w:szCs w:val="24"/>
        </w:rPr>
        <w:t>PLoS Med.</w:t>
      </w:r>
      <w:r w:rsidRPr="00B519AB">
        <w:rPr>
          <w:rFonts w:cs="Times"/>
          <w:noProof/>
          <w:szCs w:val="24"/>
        </w:rPr>
        <w:t xml:space="preserve"> </w:t>
      </w:r>
      <w:r w:rsidRPr="00B519AB">
        <w:rPr>
          <w:rFonts w:cs="Times"/>
          <w:b/>
          <w:bCs/>
          <w:noProof/>
          <w:szCs w:val="24"/>
        </w:rPr>
        <w:t>2007</w:t>
      </w:r>
      <w:r w:rsidRPr="00B519AB">
        <w:rPr>
          <w:rFonts w:cs="Times"/>
          <w:noProof/>
          <w:szCs w:val="24"/>
        </w:rPr>
        <w:t xml:space="preserve">, </w:t>
      </w:r>
      <w:r w:rsidRPr="00B519AB">
        <w:rPr>
          <w:rFonts w:cs="Times"/>
          <w:i/>
          <w:iCs/>
          <w:noProof/>
          <w:szCs w:val="24"/>
        </w:rPr>
        <w:t>4</w:t>
      </w:r>
      <w:r w:rsidRPr="00B519AB">
        <w:rPr>
          <w:rFonts w:cs="Times"/>
          <w:noProof/>
          <w:szCs w:val="24"/>
        </w:rPr>
        <w:t xml:space="preserve"> (6), e206.</w:t>
      </w:r>
    </w:p>
    <w:p w14:paraId="42574BF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(19) </w:t>
      </w:r>
      <w:r w:rsidRPr="00B519AB">
        <w:rPr>
          <w:rFonts w:cs="Times"/>
          <w:noProof/>
          <w:szCs w:val="24"/>
        </w:rPr>
        <w:tab/>
        <w:t xml:space="preserve">TIMMS, A. R.; BUEDING, E. Studies of a Proteolytic Enzyme from Schistosoma </w:t>
      </w:r>
      <w:r w:rsidRPr="00B519AB">
        <w:rPr>
          <w:rFonts w:cs="Times"/>
          <w:noProof/>
          <w:szCs w:val="24"/>
        </w:rPr>
        <w:lastRenderedPageBreak/>
        <w:t xml:space="preserve">Mansoni. </w:t>
      </w:r>
      <w:r w:rsidRPr="00B519AB">
        <w:rPr>
          <w:rFonts w:cs="Times"/>
          <w:i/>
          <w:iCs/>
          <w:noProof/>
          <w:szCs w:val="24"/>
        </w:rPr>
        <w:t>Br. J. Pharmacol. Chemother.</w:t>
      </w:r>
      <w:r w:rsidRPr="00B519AB">
        <w:rPr>
          <w:rFonts w:cs="Times"/>
          <w:noProof/>
          <w:szCs w:val="24"/>
        </w:rPr>
        <w:t xml:space="preserve"> </w:t>
      </w:r>
      <w:r w:rsidRPr="00B519AB">
        <w:rPr>
          <w:rFonts w:cs="Times"/>
          <w:b/>
          <w:bCs/>
          <w:noProof/>
          <w:szCs w:val="24"/>
        </w:rPr>
        <w:t>1959</w:t>
      </w:r>
      <w:r w:rsidRPr="00B519AB">
        <w:rPr>
          <w:rFonts w:cs="Times"/>
          <w:noProof/>
          <w:szCs w:val="24"/>
        </w:rPr>
        <w:t xml:space="preserve">, </w:t>
      </w:r>
      <w:r w:rsidRPr="00B519AB">
        <w:rPr>
          <w:rFonts w:cs="Times"/>
          <w:i/>
          <w:iCs/>
          <w:noProof/>
          <w:szCs w:val="24"/>
        </w:rPr>
        <w:t>14</w:t>
      </w:r>
      <w:r w:rsidRPr="00B519AB">
        <w:rPr>
          <w:rFonts w:cs="Times"/>
          <w:noProof/>
          <w:szCs w:val="24"/>
        </w:rPr>
        <w:t xml:space="preserve"> (1), 68–73.</w:t>
      </w:r>
    </w:p>
    <w:p w14:paraId="2A0B02F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(20) </w:t>
      </w:r>
      <w:r w:rsidRPr="00B519AB">
        <w:rPr>
          <w:rFonts w:cs="Times"/>
          <w:noProof/>
          <w:szCs w:val="24"/>
        </w:rPr>
        <w:tab/>
        <w:t xml:space="preserve">Hall, S. L.; Braschi, S.; Truscott, M.; Mathieson, W.; Cesari, I. M.; Wilson, R. A. Insights into Blood Feeding by Schistosomes from a Proteomic Analysis of Worm Vomitus. </w:t>
      </w:r>
      <w:r w:rsidRPr="00B519AB">
        <w:rPr>
          <w:rFonts w:cs="Times"/>
          <w:i/>
          <w:iCs/>
          <w:noProof/>
          <w:szCs w:val="24"/>
        </w:rPr>
        <w:t>Mol. Biochem. Parasitol.</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179</w:t>
      </w:r>
      <w:r w:rsidRPr="00B519AB">
        <w:rPr>
          <w:rFonts w:cs="Times"/>
          <w:noProof/>
          <w:szCs w:val="24"/>
        </w:rPr>
        <w:t xml:space="preserve"> (1), 18–29.</w:t>
      </w:r>
    </w:p>
    <w:p w14:paraId="037DF10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(21) </w:t>
      </w:r>
      <w:r w:rsidRPr="00B519AB">
        <w:rPr>
          <w:rFonts w:cs="Times"/>
          <w:noProof/>
          <w:szCs w:val="24"/>
        </w:rPr>
        <w:tab/>
        <w:t xml:space="preserve">LoVerde, P. . Do Antioxidants Play a Role in Schistosome Host–Parasite Interactions? </w:t>
      </w:r>
      <w:r w:rsidRPr="00B519AB">
        <w:rPr>
          <w:rFonts w:cs="Times"/>
          <w:i/>
          <w:iCs/>
          <w:noProof/>
          <w:szCs w:val="24"/>
        </w:rPr>
        <w:t>Parasitol. Today</w:t>
      </w:r>
      <w:r w:rsidRPr="00B519AB">
        <w:rPr>
          <w:rFonts w:cs="Times"/>
          <w:noProof/>
          <w:szCs w:val="24"/>
        </w:rPr>
        <w:t xml:space="preserve"> </w:t>
      </w:r>
      <w:r w:rsidRPr="00B519AB">
        <w:rPr>
          <w:rFonts w:cs="Times"/>
          <w:b/>
          <w:bCs/>
          <w:noProof/>
          <w:szCs w:val="24"/>
        </w:rPr>
        <w:t>1998</w:t>
      </w:r>
      <w:r w:rsidRPr="00B519AB">
        <w:rPr>
          <w:rFonts w:cs="Times"/>
          <w:noProof/>
          <w:szCs w:val="24"/>
        </w:rPr>
        <w:t xml:space="preserve">, </w:t>
      </w:r>
      <w:r w:rsidRPr="00B519AB">
        <w:rPr>
          <w:rFonts w:cs="Times"/>
          <w:i/>
          <w:iCs/>
          <w:noProof/>
          <w:szCs w:val="24"/>
        </w:rPr>
        <w:t>14</w:t>
      </w:r>
      <w:r w:rsidRPr="00B519AB">
        <w:rPr>
          <w:rFonts w:cs="Times"/>
          <w:noProof/>
          <w:szCs w:val="24"/>
        </w:rPr>
        <w:t xml:space="preserve"> (7), 284–289.</w:t>
      </w:r>
    </w:p>
    <w:p w14:paraId="1194B34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(22) </w:t>
      </w:r>
      <w:r w:rsidRPr="00B519AB">
        <w:rPr>
          <w:rFonts w:cs="Times"/>
          <w:noProof/>
          <w:szCs w:val="24"/>
        </w:rPr>
        <w:tab/>
        <w:t xml:space="preserve">Callahan, H. L.; Crouch, R. K.; James, E. R. Helminth Anti-Oxidant Enzymes: A Protective Mechanism against Host Oxidants? </w:t>
      </w:r>
      <w:r w:rsidRPr="00B519AB">
        <w:rPr>
          <w:rFonts w:cs="Times"/>
          <w:i/>
          <w:iCs/>
          <w:noProof/>
          <w:szCs w:val="24"/>
        </w:rPr>
        <w:t>Parasitol. today</w:t>
      </w:r>
      <w:r w:rsidRPr="00B519AB">
        <w:rPr>
          <w:rFonts w:cs="Times"/>
          <w:noProof/>
          <w:szCs w:val="24"/>
        </w:rPr>
        <w:t xml:space="preserve"> </w:t>
      </w:r>
      <w:r w:rsidRPr="00B519AB">
        <w:rPr>
          <w:rFonts w:cs="Times"/>
          <w:b/>
          <w:bCs/>
          <w:noProof/>
          <w:szCs w:val="24"/>
        </w:rPr>
        <w:t>1988</w:t>
      </w:r>
      <w:r w:rsidRPr="00B519AB">
        <w:rPr>
          <w:rFonts w:cs="Times"/>
          <w:noProof/>
          <w:szCs w:val="24"/>
        </w:rPr>
        <w:t xml:space="preserve">, </w:t>
      </w:r>
      <w:r w:rsidRPr="00B519AB">
        <w:rPr>
          <w:rFonts w:cs="Times"/>
          <w:i/>
          <w:iCs/>
          <w:noProof/>
          <w:szCs w:val="24"/>
        </w:rPr>
        <w:t>4</w:t>
      </w:r>
      <w:r w:rsidRPr="00B519AB">
        <w:rPr>
          <w:rFonts w:cs="Times"/>
          <w:noProof/>
          <w:szCs w:val="24"/>
        </w:rPr>
        <w:t xml:space="preserve"> (8), 218–225.</w:t>
      </w:r>
    </w:p>
    <w:p w14:paraId="10AF39F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(23) </w:t>
      </w:r>
      <w:r w:rsidRPr="00B519AB">
        <w:rPr>
          <w:rFonts w:cs="Times"/>
          <w:noProof/>
          <w:szCs w:val="24"/>
        </w:rPr>
        <w:tab/>
        <w:t xml:space="preserve">Alger, H. M.; Williams, D. L. The Disulfide Redox System of Schistosoma Mansoni and the Importance of a Multifunctional Enzyme, Thioredoxin Glutathione Reductase. </w:t>
      </w:r>
      <w:r w:rsidRPr="00B519AB">
        <w:rPr>
          <w:rFonts w:cs="Times"/>
          <w:i/>
          <w:iCs/>
          <w:noProof/>
          <w:szCs w:val="24"/>
        </w:rPr>
        <w:t>Mol. Biochem. Parasitol.</w:t>
      </w:r>
      <w:r w:rsidRPr="00B519AB">
        <w:rPr>
          <w:rFonts w:cs="Times"/>
          <w:noProof/>
          <w:szCs w:val="24"/>
        </w:rPr>
        <w:t xml:space="preserve"> </w:t>
      </w:r>
      <w:r w:rsidRPr="00B519AB">
        <w:rPr>
          <w:rFonts w:cs="Times"/>
          <w:b/>
          <w:bCs/>
          <w:noProof/>
          <w:szCs w:val="24"/>
        </w:rPr>
        <w:t>2002</w:t>
      </w:r>
      <w:r w:rsidRPr="00B519AB">
        <w:rPr>
          <w:rFonts w:cs="Times"/>
          <w:noProof/>
          <w:szCs w:val="24"/>
        </w:rPr>
        <w:t xml:space="preserve">, </w:t>
      </w:r>
      <w:r w:rsidRPr="00B519AB">
        <w:rPr>
          <w:rFonts w:cs="Times"/>
          <w:i/>
          <w:iCs/>
          <w:noProof/>
          <w:szCs w:val="24"/>
        </w:rPr>
        <w:t>121</w:t>
      </w:r>
      <w:r w:rsidRPr="00B519AB">
        <w:rPr>
          <w:rFonts w:cs="Times"/>
          <w:noProof/>
          <w:szCs w:val="24"/>
        </w:rPr>
        <w:t xml:space="preserve"> (1), 129–139.</w:t>
      </w:r>
    </w:p>
    <w:p w14:paraId="2D4F538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(24) </w:t>
      </w:r>
      <w:r w:rsidRPr="00B519AB">
        <w:rPr>
          <w:rFonts w:cs="Times"/>
          <w:noProof/>
          <w:szCs w:val="24"/>
        </w:rPr>
        <w:tab/>
        <w:t xml:space="preserve">Huang, H.; Day, L.; Cass, C. L.; Ballou, D. P.; Williams, C. H.; Williams, D. L. Investigations of the Catalytic Mechanism of Thioredoxin Glutathione Reductase from Schistosoma Mansoni. </w:t>
      </w:r>
      <w:r w:rsidRPr="00B519AB">
        <w:rPr>
          <w:rFonts w:cs="Times"/>
          <w:i/>
          <w:iCs/>
          <w:noProof/>
          <w:szCs w:val="24"/>
        </w:rPr>
        <w:t>Biochemistry</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50</w:t>
      </w:r>
      <w:r w:rsidRPr="00B519AB">
        <w:rPr>
          <w:rFonts w:cs="Times"/>
          <w:noProof/>
          <w:szCs w:val="24"/>
        </w:rPr>
        <w:t xml:space="preserve"> (26), 5870–5882.</w:t>
      </w:r>
    </w:p>
    <w:p w14:paraId="5745497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(25) </w:t>
      </w:r>
      <w:r w:rsidRPr="00B519AB">
        <w:rPr>
          <w:rFonts w:cs="Times"/>
          <w:noProof/>
          <w:szCs w:val="24"/>
        </w:rPr>
        <w:tab/>
        <w:t xml:space="preserve">Bonilla, M.; Denicola, A.; Marino, S. M.; Gladyshev, V. N.; Salinas, G. Linked Thioredoxin-Glutathione Systems in Platyhelminth Parasites: Alternative Pathways for Glutathione Reduction and Deglutathionylation. </w:t>
      </w:r>
      <w:r w:rsidRPr="00B519AB">
        <w:rPr>
          <w:rFonts w:cs="Times"/>
          <w:i/>
          <w:iCs/>
          <w:noProof/>
          <w:szCs w:val="24"/>
        </w:rPr>
        <w:t>J. Biol. Chem.</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286</w:t>
      </w:r>
      <w:r w:rsidRPr="00B519AB">
        <w:rPr>
          <w:rFonts w:cs="Times"/>
          <w:noProof/>
          <w:szCs w:val="24"/>
        </w:rPr>
        <w:t xml:space="preserve"> (7), 4959–4967.</w:t>
      </w:r>
    </w:p>
    <w:p w14:paraId="18208D7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(26) </w:t>
      </w:r>
      <w:r w:rsidRPr="00B519AB">
        <w:rPr>
          <w:rFonts w:cs="Times"/>
          <w:noProof/>
          <w:szCs w:val="24"/>
        </w:rPr>
        <w:tab/>
        <w:t xml:space="preserve">Williams, D. L.; Bonilla, M.; Gladyshev, V. N.; Salinas, G. Thioredoxin Glutathione Reductase-Dependent Redox Networks in Platyhelminth Parasites. </w:t>
      </w:r>
      <w:r w:rsidRPr="00B519AB">
        <w:rPr>
          <w:rFonts w:cs="Times"/>
          <w:i/>
          <w:iCs/>
          <w:noProof/>
          <w:szCs w:val="24"/>
        </w:rPr>
        <w:t>Antioxid. Redox Signal.</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19</w:t>
      </w:r>
      <w:r w:rsidRPr="00B519AB">
        <w:rPr>
          <w:rFonts w:cs="Times"/>
          <w:noProof/>
          <w:szCs w:val="24"/>
        </w:rPr>
        <w:t xml:space="preserve"> (7), 735–745.</w:t>
      </w:r>
    </w:p>
    <w:p w14:paraId="33DFADE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(27) </w:t>
      </w:r>
      <w:r w:rsidRPr="00B519AB">
        <w:rPr>
          <w:rFonts w:cs="Times"/>
          <w:noProof/>
          <w:szCs w:val="24"/>
        </w:rPr>
        <w:tab/>
        <w:t xml:space="preserve">Song, L.; Li, J.; Xie, S.; Qian, C.; Wang, J.; Zhang, W.; Yin, X.; Hua, Z.; Yu, C. Thioredoxin Glutathione Reductase as a Novel Drug Target: Evidence from Schistosoma Japonicum. </w:t>
      </w:r>
      <w:r w:rsidRPr="00B519AB">
        <w:rPr>
          <w:rFonts w:cs="Times"/>
          <w:i/>
          <w:iCs/>
          <w:noProof/>
          <w:szCs w:val="24"/>
        </w:rPr>
        <w:t>PLoS One</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7</w:t>
      </w:r>
      <w:r w:rsidRPr="00B519AB">
        <w:rPr>
          <w:rFonts w:cs="Times"/>
          <w:noProof/>
          <w:szCs w:val="24"/>
        </w:rPr>
        <w:t xml:space="preserve"> (2), e31456.</w:t>
      </w:r>
    </w:p>
    <w:p w14:paraId="2720309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(28) </w:t>
      </w:r>
      <w:r w:rsidRPr="00B519AB">
        <w:rPr>
          <w:rFonts w:cs="Times"/>
          <w:noProof/>
          <w:szCs w:val="24"/>
        </w:rPr>
        <w:tab/>
        <w:t xml:space="preserve">Han, Y.; Fu, Z.; Hong, Y.; Zhang, M.; Han, H.; Lu, K.; Yang, J.; Li, X.; Lin, J. Inhibitory Effects and Analysis of RNA Interference on Thioredoxin Glutathione Reductase Expression in Schistosoma Japonicum. </w:t>
      </w:r>
      <w:r w:rsidRPr="00B519AB">
        <w:rPr>
          <w:rFonts w:cs="Times"/>
          <w:i/>
          <w:iCs/>
          <w:noProof/>
          <w:szCs w:val="24"/>
        </w:rPr>
        <w:t>J. Parasitol.</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100</w:t>
      </w:r>
      <w:r w:rsidRPr="00B519AB">
        <w:rPr>
          <w:rFonts w:cs="Times"/>
          <w:noProof/>
          <w:szCs w:val="24"/>
        </w:rPr>
        <w:t xml:space="preserve"> (4), 463–469.</w:t>
      </w:r>
    </w:p>
    <w:p w14:paraId="18F411D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(29) </w:t>
      </w:r>
      <w:r w:rsidRPr="00B519AB">
        <w:rPr>
          <w:rFonts w:cs="Times"/>
          <w:noProof/>
          <w:szCs w:val="24"/>
        </w:rPr>
        <w:tab/>
        <w:t xml:space="preserve">Zhang, L.; Fourches, D.; Sedykh, A.; Zhu, H.; Golbraikh, A.; Ekins, S.; Clark, J.; Connelly, M. C.; Sigal, M.; Hodges, D.; Guiguemde, A.; Guy, R. K.; Tropsha, A. Discovery of Novel Antimalarial Compounds Enabled by QSAR-Based Virtual Screening.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53</w:t>
      </w:r>
      <w:r w:rsidRPr="00B519AB">
        <w:rPr>
          <w:rFonts w:cs="Times"/>
          <w:noProof/>
          <w:szCs w:val="24"/>
        </w:rPr>
        <w:t xml:space="preserve"> (2), 475–492.</w:t>
      </w:r>
    </w:p>
    <w:p w14:paraId="665DB69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(30) </w:t>
      </w:r>
      <w:r w:rsidRPr="00B519AB">
        <w:rPr>
          <w:rFonts w:cs="Times"/>
          <w:noProof/>
          <w:szCs w:val="24"/>
        </w:rPr>
        <w:tab/>
        <w:t xml:space="preserve">Neves, B. J.; Bueno, R. V; Braga, R. C.; Andrade, C. H. Discovery of New Potential Hits of Plasmodium Falciparum Enoyl-ACP Reductase through Ligand- and Structure-Based Drug Design Approaches. </w:t>
      </w:r>
      <w:r w:rsidRPr="00B519AB">
        <w:rPr>
          <w:rFonts w:cs="Times"/>
          <w:i/>
          <w:iCs/>
          <w:noProof/>
          <w:szCs w:val="24"/>
        </w:rPr>
        <w:t>Bioorg. Med. Chem. Lett.</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23</w:t>
      </w:r>
      <w:r w:rsidRPr="00B519AB">
        <w:rPr>
          <w:rFonts w:cs="Times"/>
          <w:noProof/>
          <w:szCs w:val="24"/>
        </w:rPr>
        <w:t xml:space="preserve"> (8), 2436–2441.</w:t>
      </w:r>
    </w:p>
    <w:p w14:paraId="34332D0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(31) </w:t>
      </w:r>
      <w:r w:rsidRPr="00B519AB">
        <w:rPr>
          <w:rFonts w:cs="Times"/>
          <w:noProof/>
          <w:szCs w:val="24"/>
        </w:rPr>
        <w:tab/>
        <w:t xml:space="preserve">Bueno, R. V; Toledo, N. R.; Neves, B. J.; Braga, R. C.; Andrade, C. H. Structural and Chemical Basis for Enhanced Affinity to a Series of Mycobacterial Thymidine Monophosphate Kinase Inhibitors: Fragment-Based QSAR and QM/MM Docking Studies. </w:t>
      </w:r>
      <w:r w:rsidRPr="00B519AB">
        <w:rPr>
          <w:rFonts w:cs="Times"/>
          <w:i/>
          <w:iCs/>
          <w:noProof/>
          <w:szCs w:val="24"/>
        </w:rPr>
        <w:t>J. Mol. Model.</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19</w:t>
      </w:r>
      <w:r w:rsidRPr="00B519AB">
        <w:rPr>
          <w:rFonts w:cs="Times"/>
          <w:noProof/>
          <w:szCs w:val="24"/>
        </w:rPr>
        <w:t xml:space="preserve"> (1), 179–192.</w:t>
      </w:r>
    </w:p>
    <w:p w14:paraId="2A54364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(32) </w:t>
      </w:r>
      <w:r w:rsidRPr="00B519AB">
        <w:rPr>
          <w:rFonts w:cs="Times"/>
          <w:noProof/>
          <w:szCs w:val="24"/>
        </w:rPr>
        <w:tab/>
        <w:t xml:space="preserve">Braga, R. C.; Alves, V. M.; Silva, A. C.; Nascimento, M. N.; Silva, F. C.; Liao, L. M.; Andrade, C. H. Virtual Screening Strategies in Medicinal Chemistry: The State of the Art and Current Challenges. </w:t>
      </w:r>
      <w:r w:rsidRPr="00B519AB">
        <w:rPr>
          <w:rFonts w:cs="Times"/>
          <w:i/>
          <w:iCs/>
          <w:noProof/>
          <w:szCs w:val="24"/>
        </w:rPr>
        <w:t>Curr. Top. Med. Chem.</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14</w:t>
      </w:r>
      <w:r w:rsidRPr="00B519AB">
        <w:rPr>
          <w:rFonts w:cs="Times"/>
          <w:noProof/>
          <w:szCs w:val="24"/>
        </w:rPr>
        <w:t xml:space="preserve"> (16), 1899–1912.</w:t>
      </w:r>
    </w:p>
    <w:p w14:paraId="7BB2DA24"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(33) </w:t>
      </w:r>
      <w:r w:rsidRPr="00B519AB">
        <w:rPr>
          <w:rFonts w:cs="Times"/>
          <w:noProof/>
          <w:szCs w:val="24"/>
        </w:rPr>
        <w:tab/>
        <w:t xml:space="preserve">Melo-Filho, C. C.; Braga, R. C.; Andrade, C. H. 3D-QSAR Approaches in Drug Design: </w:t>
      </w:r>
      <w:r w:rsidRPr="00B519AB">
        <w:rPr>
          <w:rFonts w:cs="Times"/>
          <w:noProof/>
          <w:szCs w:val="24"/>
        </w:rPr>
        <w:lastRenderedPageBreak/>
        <w:t xml:space="preserve">Perspectives to Generate Reliable CoMFA Models. </w:t>
      </w:r>
      <w:r w:rsidRPr="00B519AB">
        <w:rPr>
          <w:rFonts w:cs="Times"/>
          <w:i/>
          <w:iCs/>
          <w:noProof/>
          <w:szCs w:val="24"/>
        </w:rPr>
        <w:t>Curr. Comput. Aided. Drug Des.</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10</w:t>
      </w:r>
      <w:r w:rsidRPr="00B519AB">
        <w:rPr>
          <w:rFonts w:cs="Times"/>
          <w:noProof/>
          <w:szCs w:val="24"/>
        </w:rPr>
        <w:t xml:space="preserve"> (2), 148–159.</w:t>
      </w:r>
    </w:p>
    <w:p w14:paraId="1767988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(34) </w:t>
      </w:r>
      <w:r w:rsidRPr="00B519AB">
        <w:rPr>
          <w:rFonts w:cs="Times"/>
          <w:noProof/>
          <w:szCs w:val="24"/>
        </w:rPr>
        <w:tab/>
        <w:t xml:space="preserve">Artemenko, A. G.; Muratov, E. N.; Kuz’min, V. E.; Kovdienko, N. A.; Hromov, A. I.; Makarov, V. A.; Riabova, O. B.; Wutzler, P.; Schmidtke, M. Identification of Individual Structural Fragments of N,N’-(bis-5-Nitropyrimidyl)dispirotripiperazine Derivatives for Cytotoxicity and Antiherpetic Activity Allows the Prediction of New Highly Active Compounds. </w:t>
      </w:r>
      <w:r w:rsidRPr="00B519AB">
        <w:rPr>
          <w:rFonts w:cs="Times"/>
          <w:i/>
          <w:iCs/>
          <w:noProof/>
          <w:szCs w:val="24"/>
        </w:rPr>
        <w:t>J. Antimicrob. Chemother.</w:t>
      </w:r>
      <w:r w:rsidRPr="00B519AB">
        <w:rPr>
          <w:rFonts w:cs="Times"/>
          <w:noProof/>
          <w:szCs w:val="24"/>
        </w:rPr>
        <w:t xml:space="preserve"> </w:t>
      </w:r>
      <w:r w:rsidRPr="00B519AB">
        <w:rPr>
          <w:rFonts w:cs="Times"/>
          <w:b/>
          <w:bCs/>
          <w:noProof/>
          <w:szCs w:val="24"/>
        </w:rPr>
        <w:t>2007</w:t>
      </w:r>
      <w:r w:rsidRPr="00B519AB">
        <w:rPr>
          <w:rFonts w:cs="Times"/>
          <w:noProof/>
          <w:szCs w:val="24"/>
        </w:rPr>
        <w:t xml:space="preserve">, </w:t>
      </w:r>
      <w:r w:rsidRPr="00B519AB">
        <w:rPr>
          <w:rFonts w:cs="Times"/>
          <w:i/>
          <w:iCs/>
          <w:noProof/>
          <w:szCs w:val="24"/>
        </w:rPr>
        <w:t>60</w:t>
      </w:r>
      <w:r w:rsidRPr="00B519AB">
        <w:rPr>
          <w:rFonts w:cs="Times"/>
          <w:noProof/>
          <w:szCs w:val="24"/>
        </w:rPr>
        <w:t xml:space="preserve"> (1), 68–77.</w:t>
      </w:r>
    </w:p>
    <w:p w14:paraId="7C5454A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(35) </w:t>
      </w:r>
      <w:r w:rsidRPr="00B519AB">
        <w:rPr>
          <w:rFonts w:cs="Times"/>
          <w:noProof/>
          <w:szCs w:val="24"/>
        </w:rPr>
        <w:tab/>
        <w:t xml:space="preserve">Kuz’min, V. E.; Artemenko, A. G.; Muratov, E. N.; Volineckaya, I. L.; Makarov, V. A.; Riabova, O. B.; Wutzler, P.; Schmidtke, M. Quantitative Structure-Activity Relationship Studies of [(Biphenyloxy)propyl]isoxazole Derivatives. Inhibitors of Human Rhinovirus 2 Replication. </w:t>
      </w:r>
      <w:r w:rsidRPr="00B519AB">
        <w:rPr>
          <w:rFonts w:cs="Times"/>
          <w:i/>
          <w:iCs/>
          <w:noProof/>
          <w:szCs w:val="24"/>
        </w:rPr>
        <w:t>J. Med. Chem.</w:t>
      </w:r>
      <w:r w:rsidRPr="00B519AB">
        <w:rPr>
          <w:rFonts w:cs="Times"/>
          <w:noProof/>
          <w:szCs w:val="24"/>
        </w:rPr>
        <w:t xml:space="preserve"> </w:t>
      </w:r>
      <w:r w:rsidRPr="00B519AB">
        <w:rPr>
          <w:rFonts w:cs="Times"/>
          <w:b/>
          <w:bCs/>
          <w:noProof/>
          <w:szCs w:val="24"/>
        </w:rPr>
        <w:t>2007</w:t>
      </w:r>
      <w:r w:rsidRPr="00B519AB">
        <w:rPr>
          <w:rFonts w:cs="Times"/>
          <w:noProof/>
          <w:szCs w:val="24"/>
        </w:rPr>
        <w:t xml:space="preserve">, </w:t>
      </w:r>
      <w:r w:rsidRPr="00B519AB">
        <w:rPr>
          <w:rFonts w:cs="Times"/>
          <w:i/>
          <w:iCs/>
          <w:noProof/>
          <w:szCs w:val="24"/>
        </w:rPr>
        <w:t>50</w:t>
      </w:r>
      <w:r w:rsidRPr="00B519AB">
        <w:rPr>
          <w:rFonts w:cs="Times"/>
          <w:noProof/>
          <w:szCs w:val="24"/>
        </w:rPr>
        <w:t xml:space="preserve"> (17), 4205–4213.</w:t>
      </w:r>
    </w:p>
    <w:p w14:paraId="4A3F848C"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(36) </w:t>
      </w:r>
      <w:r w:rsidRPr="00B519AB">
        <w:rPr>
          <w:rFonts w:cs="Times"/>
          <w:noProof/>
          <w:szCs w:val="24"/>
        </w:rPr>
        <w:tab/>
        <w:t xml:space="preserve">Zakharov, A. V.; Peach, M. L.; Sitzmann, M.; Nicklaus, M. C. QSAR Modeling of Imbalanced High-Throughput Screening Data in PubChem.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54</w:t>
      </w:r>
      <w:r w:rsidRPr="00B519AB">
        <w:rPr>
          <w:rFonts w:cs="Times"/>
          <w:noProof/>
          <w:szCs w:val="24"/>
        </w:rPr>
        <w:t xml:space="preserve"> (3), 705–712.</w:t>
      </w:r>
    </w:p>
    <w:p w14:paraId="01CCC375"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(37) </w:t>
      </w:r>
      <w:r w:rsidRPr="00B519AB">
        <w:rPr>
          <w:rFonts w:cs="Times"/>
          <w:noProof/>
          <w:szCs w:val="24"/>
        </w:rPr>
        <w:tab/>
        <w:t xml:space="preserve">Carhart, R. E.; Smith, D. H.; Venkataraghavan, R. Atom Pairs as Molecular Features in Structure-Activity Studies: Definition and Applications. </w:t>
      </w:r>
      <w:r w:rsidRPr="00B519AB">
        <w:rPr>
          <w:rFonts w:cs="Times"/>
          <w:i/>
          <w:iCs/>
          <w:noProof/>
          <w:szCs w:val="24"/>
        </w:rPr>
        <w:t>J. Chem. Inf. Comput. Sci.</w:t>
      </w:r>
      <w:r w:rsidRPr="00B519AB">
        <w:rPr>
          <w:rFonts w:cs="Times"/>
          <w:noProof/>
          <w:szCs w:val="24"/>
        </w:rPr>
        <w:t xml:space="preserve"> </w:t>
      </w:r>
      <w:r w:rsidRPr="00B519AB">
        <w:rPr>
          <w:rFonts w:cs="Times"/>
          <w:b/>
          <w:bCs/>
          <w:noProof/>
          <w:szCs w:val="24"/>
        </w:rPr>
        <w:t>1985</w:t>
      </w:r>
      <w:r w:rsidRPr="00B519AB">
        <w:rPr>
          <w:rFonts w:cs="Times"/>
          <w:noProof/>
          <w:szCs w:val="24"/>
        </w:rPr>
        <w:t xml:space="preserve">, </w:t>
      </w:r>
      <w:r w:rsidRPr="00B519AB">
        <w:rPr>
          <w:rFonts w:cs="Times"/>
          <w:i/>
          <w:iCs/>
          <w:noProof/>
          <w:szCs w:val="24"/>
        </w:rPr>
        <w:t>25</w:t>
      </w:r>
      <w:r w:rsidRPr="00B519AB">
        <w:rPr>
          <w:rFonts w:cs="Times"/>
          <w:noProof/>
          <w:szCs w:val="24"/>
        </w:rPr>
        <w:t xml:space="preserve"> (4), 64–73.</w:t>
      </w:r>
    </w:p>
    <w:p w14:paraId="277315C1"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(38) </w:t>
      </w:r>
      <w:r w:rsidRPr="00B519AB">
        <w:rPr>
          <w:rFonts w:cs="Times"/>
          <w:noProof/>
          <w:szCs w:val="24"/>
        </w:rPr>
        <w:tab/>
        <w:t xml:space="preserve">Riniker, S.; Landrum, G. a. Open-Source Platform to Benchmark Fingerprints for Ligand-Based Virtual Screening. </w:t>
      </w:r>
      <w:r w:rsidRPr="00B519AB">
        <w:rPr>
          <w:rFonts w:cs="Times"/>
          <w:i/>
          <w:iCs/>
          <w:noProof/>
          <w:szCs w:val="24"/>
        </w:rPr>
        <w:t>J. Cheminform.</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5</w:t>
      </w:r>
      <w:r w:rsidRPr="00B519AB">
        <w:rPr>
          <w:rFonts w:cs="Times"/>
          <w:noProof/>
          <w:szCs w:val="24"/>
        </w:rPr>
        <w:t xml:space="preserve"> (1), 26.</w:t>
      </w:r>
    </w:p>
    <w:p w14:paraId="05165414"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(39) </w:t>
      </w:r>
      <w:r w:rsidRPr="00B519AB">
        <w:rPr>
          <w:rFonts w:cs="Times"/>
          <w:noProof/>
          <w:szCs w:val="24"/>
        </w:rPr>
        <w:tab/>
        <w:t xml:space="preserve">Durant, J. L.; Leland, B. A.; Henry, D. R.; Nourse, J. G. Reoptimization of MDL Keys for Use in Drug Discovery. </w:t>
      </w:r>
      <w:r w:rsidRPr="00B519AB">
        <w:rPr>
          <w:rFonts w:cs="Times"/>
          <w:i/>
          <w:iCs/>
          <w:noProof/>
          <w:szCs w:val="24"/>
        </w:rPr>
        <w:t>J. Chem. Inf. Comput. Sci.</w:t>
      </w:r>
      <w:r w:rsidRPr="00B519AB">
        <w:rPr>
          <w:rFonts w:cs="Times"/>
          <w:noProof/>
          <w:szCs w:val="24"/>
        </w:rPr>
        <w:t xml:space="preserve"> </w:t>
      </w:r>
      <w:r w:rsidRPr="00B519AB">
        <w:rPr>
          <w:rFonts w:cs="Times"/>
          <w:b/>
          <w:bCs/>
          <w:noProof/>
          <w:szCs w:val="24"/>
        </w:rPr>
        <w:t>2002</w:t>
      </w:r>
      <w:r w:rsidRPr="00B519AB">
        <w:rPr>
          <w:rFonts w:cs="Times"/>
          <w:noProof/>
          <w:szCs w:val="24"/>
        </w:rPr>
        <w:t xml:space="preserve">, </w:t>
      </w:r>
      <w:r w:rsidRPr="00B519AB">
        <w:rPr>
          <w:rFonts w:cs="Times"/>
          <w:i/>
          <w:iCs/>
          <w:noProof/>
          <w:szCs w:val="24"/>
        </w:rPr>
        <w:t>42</w:t>
      </w:r>
      <w:r w:rsidRPr="00B519AB">
        <w:rPr>
          <w:rFonts w:cs="Times"/>
          <w:noProof/>
          <w:szCs w:val="24"/>
        </w:rPr>
        <w:t xml:space="preserve"> (6), 1273–1280.</w:t>
      </w:r>
    </w:p>
    <w:p w14:paraId="44A427E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(40) </w:t>
      </w:r>
      <w:r w:rsidRPr="00B519AB">
        <w:rPr>
          <w:rFonts w:cs="Times"/>
          <w:noProof/>
          <w:szCs w:val="24"/>
        </w:rPr>
        <w:tab/>
        <w:t xml:space="preserve">Dill, J. D. .; Hounshell, W. D. .; Marson, S. .; Peacock, S. .; Wipke, W. T. Search and Retrieval Using an Automated Molecular Access System. In </w:t>
      </w:r>
      <w:r w:rsidRPr="00B519AB">
        <w:rPr>
          <w:rFonts w:cs="Times"/>
          <w:i/>
          <w:iCs/>
          <w:noProof/>
          <w:szCs w:val="24"/>
        </w:rPr>
        <w:t>182nd National Meeting of the American Chemical Society</w:t>
      </w:r>
      <w:r w:rsidRPr="00B519AB">
        <w:rPr>
          <w:rFonts w:cs="Times"/>
          <w:noProof/>
          <w:szCs w:val="24"/>
        </w:rPr>
        <w:t>; New York, 1981; pp 23–28.</w:t>
      </w:r>
    </w:p>
    <w:p w14:paraId="689BC24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(41) </w:t>
      </w:r>
      <w:r w:rsidRPr="00B519AB">
        <w:rPr>
          <w:rFonts w:cs="Times"/>
          <w:noProof/>
          <w:szCs w:val="24"/>
        </w:rPr>
        <w:tab/>
        <w:t xml:space="preserve">Anderson, S. Graphical Representation of Molecules and Substructure-Search Queries in MACCStm. </w:t>
      </w:r>
      <w:r w:rsidRPr="00B519AB">
        <w:rPr>
          <w:rFonts w:cs="Times"/>
          <w:i/>
          <w:iCs/>
          <w:noProof/>
          <w:szCs w:val="24"/>
        </w:rPr>
        <w:t>Journal of Molecular Graphics</w:t>
      </w:r>
      <w:r w:rsidRPr="00B519AB">
        <w:rPr>
          <w:rFonts w:cs="Times"/>
          <w:noProof/>
          <w:szCs w:val="24"/>
        </w:rPr>
        <w:t>. 1984, pp 83–90.</w:t>
      </w:r>
    </w:p>
    <w:p w14:paraId="3A79E7B4"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(42) </w:t>
      </w:r>
      <w:r w:rsidRPr="00B519AB">
        <w:rPr>
          <w:rFonts w:cs="Times"/>
          <w:noProof/>
          <w:szCs w:val="24"/>
        </w:rPr>
        <w:tab/>
        <w:t xml:space="preserve">Rogers, D.; Hahn, M. Extended-Connectivity Fingerprints.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50</w:t>
      </w:r>
      <w:r w:rsidRPr="00B519AB">
        <w:rPr>
          <w:rFonts w:cs="Times"/>
          <w:noProof/>
          <w:szCs w:val="24"/>
        </w:rPr>
        <w:t xml:space="preserve"> (5), 742–754.</w:t>
      </w:r>
    </w:p>
    <w:p w14:paraId="71BAB52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(43) </w:t>
      </w:r>
      <w:r w:rsidRPr="00B519AB">
        <w:rPr>
          <w:rFonts w:cs="Times"/>
          <w:noProof/>
          <w:szCs w:val="24"/>
        </w:rPr>
        <w:tab/>
        <w:t xml:space="preserve">Yap, C. W. PaDEL-Descriptor: An Open Source Software to Calculate Molecular Descriptors and Fingerprints. </w:t>
      </w:r>
      <w:r w:rsidRPr="00B519AB">
        <w:rPr>
          <w:rFonts w:cs="Times"/>
          <w:i/>
          <w:iCs/>
          <w:noProof/>
          <w:szCs w:val="24"/>
        </w:rPr>
        <w:t>J. Comput. Chem.</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32</w:t>
      </w:r>
      <w:r w:rsidRPr="00B519AB">
        <w:rPr>
          <w:rFonts w:cs="Times"/>
          <w:noProof/>
          <w:szCs w:val="24"/>
        </w:rPr>
        <w:t xml:space="preserve"> (7), 1466–1474.</w:t>
      </w:r>
    </w:p>
    <w:p w14:paraId="22C4DEC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(44) </w:t>
      </w:r>
      <w:r w:rsidRPr="00B519AB">
        <w:rPr>
          <w:rFonts w:cs="Times"/>
          <w:noProof/>
          <w:szCs w:val="24"/>
        </w:rPr>
        <w:tab/>
        <w:t>PaDEL-Descriptor. Http://padel.nus.edu.sg/software/padeldescriptor/ (Accessed January 5, 2015).</w:t>
      </w:r>
    </w:p>
    <w:p w14:paraId="75A26B8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(45) </w:t>
      </w:r>
      <w:r w:rsidRPr="00B519AB">
        <w:rPr>
          <w:rFonts w:cs="Times"/>
          <w:noProof/>
          <w:szCs w:val="24"/>
        </w:rPr>
        <w:tab/>
        <w:t xml:space="preserve">Todeschini, R.; Consonni, V. </w:t>
      </w:r>
      <w:r w:rsidRPr="00B519AB">
        <w:rPr>
          <w:rFonts w:cs="Times"/>
          <w:i/>
          <w:iCs/>
          <w:noProof/>
          <w:szCs w:val="24"/>
        </w:rPr>
        <w:t>Handbook of Molecular Descriptors</w:t>
      </w:r>
      <w:r w:rsidRPr="00B519AB">
        <w:rPr>
          <w:rFonts w:cs="Times"/>
          <w:noProof/>
          <w:szCs w:val="24"/>
        </w:rPr>
        <w:t>, 1st ed.; Todeschini, R., Consonni, V., Eds.; Methods and Principles in Medicinal Chemistry; Wiley-VCH Verlag GmbH: Weinheim, Germany, 2000.</w:t>
      </w:r>
    </w:p>
    <w:p w14:paraId="7303021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(46) </w:t>
      </w:r>
      <w:r w:rsidRPr="00B519AB">
        <w:rPr>
          <w:rFonts w:cs="Times"/>
          <w:noProof/>
          <w:szCs w:val="24"/>
        </w:rPr>
        <w:tab/>
        <w:t xml:space="preserve">Braga, R. C.; Alves, V. M.; Silva, M. F. B.; Muratov, E.; Fourches, D.; Tropsha, A.; Andrade, C. H. Tuning HERG out: Antitarget QSAR Models for Drug Development. </w:t>
      </w:r>
      <w:r w:rsidRPr="00B519AB">
        <w:rPr>
          <w:rFonts w:cs="Times"/>
          <w:i/>
          <w:iCs/>
          <w:noProof/>
          <w:szCs w:val="24"/>
        </w:rPr>
        <w:t>Curr. Top. Med. Chem.</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14</w:t>
      </w:r>
      <w:r w:rsidRPr="00B519AB">
        <w:rPr>
          <w:rFonts w:cs="Times"/>
          <w:noProof/>
          <w:szCs w:val="24"/>
        </w:rPr>
        <w:t xml:space="preserve"> (11), 1399–1415.</w:t>
      </w:r>
    </w:p>
    <w:p w14:paraId="5573F81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(47) </w:t>
      </w:r>
      <w:r w:rsidRPr="00B519AB">
        <w:rPr>
          <w:rFonts w:cs="Times"/>
          <w:noProof/>
          <w:szCs w:val="24"/>
        </w:rPr>
        <w:tab/>
        <w:t xml:space="preserve">Braga, R. C.; Alves, V. M.; Silva, M. F. B.; Muratov, E.; Fourches, D.; Lião, L. M.; Tropsha, A.; Andrade, C. H. Pred-hERG: A Novel Web-Accessible Computational Tool for Predicting Cardiac Toxicity. </w:t>
      </w:r>
      <w:r w:rsidRPr="00B519AB">
        <w:rPr>
          <w:rFonts w:cs="Times"/>
          <w:i/>
          <w:iCs/>
          <w:noProof/>
          <w:szCs w:val="24"/>
        </w:rPr>
        <w:t>Mol. Inform.</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34</w:t>
      </w:r>
      <w:r w:rsidRPr="00B519AB">
        <w:rPr>
          <w:rFonts w:cs="Times"/>
          <w:noProof/>
          <w:szCs w:val="24"/>
        </w:rPr>
        <w:t xml:space="preserve"> (10), 698–701.</w:t>
      </w:r>
    </w:p>
    <w:p w14:paraId="5D02163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(48) </w:t>
      </w:r>
      <w:r w:rsidRPr="00B519AB">
        <w:rPr>
          <w:rFonts w:cs="Times"/>
          <w:noProof/>
          <w:szCs w:val="24"/>
        </w:rPr>
        <w:tab/>
        <w:t xml:space="preserve">Alves, V. M.; Muratov, E.; Fourches, D.; Strickland, J.; Kleinstreuer, N.; Andrade, C. H.; Tropsha, A. Predicting Chemically-Induced Skin Reactions. Part I: QSAR Models of Skin Sensitization and Their Application to Identify Potentially Hazardous Compounds. </w:t>
      </w:r>
      <w:r w:rsidRPr="00B519AB">
        <w:rPr>
          <w:rFonts w:cs="Times"/>
          <w:i/>
          <w:iCs/>
          <w:noProof/>
          <w:szCs w:val="24"/>
        </w:rPr>
        <w:t>Toxicol. Appl. Pharmacol.</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284</w:t>
      </w:r>
      <w:r w:rsidRPr="00B519AB">
        <w:rPr>
          <w:rFonts w:cs="Times"/>
          <w:noProof/>
          <w:szCs w:val="24"/>
        </w:rPr>
        <w:t xml:space="preserve"> (2), 262–272.</w:t>
      </w:r>
    </w:p>
    <w:p w14:paraId="341B708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(49) </w:t>
      </w:r>
      <w:r w:rsidRPr="00B519AB">
        <w:rPr>
          <w:rFonts w:cs="Times"/>
          <w:noProof/>
          <w:szCs w:val="24"/>
        </w:rPr>
        <w:tab/>
        <w:t xml:space="preserve">Alves, V. M.; Muratov, E.; Fourches, D.; Strickland, J.; Kleinstreuer, N.; Andrade, C. H.; Tropsha, A. Predicting Chemically-Induced Skin Reactions. Part II: QSAR Models of Skin Permeability and the Relationships between Skin Permeability and Skin Sensitization. </w:t>
      </w:r>
      <w:r w:rsidRPr="00B519AB">
        <w:rPr>
          <w:rFonts w:cs="Times"/>
          <w:i/>
          <w:iCs/>
          <w:noProof/>
          <w:szCs w:val="24"/>
        </w:rPr>
        <w:t>Toxicol Appl Pharmacol</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284</w:t>
      </w:r>
      <w:r w:rsidRPr="00B519AB">
        <w:rPr>
          <w:rFonts w:cs="Times"/>
          <w:noProof/>
          <w:szCs w:val="24"/>
        </w:rPr>
        <w:t xml:space="preserve"> (2), 273–280.</w:t>
      </w:r>
    </w:p>
    <w:p w14:paraId="1BB9EE5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(50) </w:t>
      </w:r>
      <w:r w:rsidRPr="00B519AB">
        <w:rPr>
          <w:rFonts w:cs="Times"/>
          <w:noProof/>
          <w:szCs w:val="24"/>
        </w:rPr>
        <w:tab/>
        <w:t xml:space="preserve">Riniker, S.; Landrum, G. a. Similarity Maps - A Visualization Strategy for Molecular Fingerprints and Machine-Learning Methods. </w:t>
      </w:r>
      <w:r w:rsidRPr="00B519AB">
        <w:rPr>
          <w:rFonts w:cs="Times"/>
          <w:i/>
          <w:iCs/>
          <w:noProof/>
          <w:szCs w:val="24"/>
        </w:rPr>
        <w:t>J. Cheminform.</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5</w:t>
      </w:r>
      <w:r w:rsidRPr="00B519AB">
        <w:rPr>
          <w:rFonts w:cs="Times"/>
          <w:noProof/>
          <w:szCs w:val="24"/>
        </w:rPr>
        <w:t xml:space="preserve"> (9), 1–7.</w:t>
      </w:r>
    </w:p>
    <w:p w14:paraId="46F9A25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(51) </w:t>
      </w:r>
      <w:r w:rsidRPr="00B519AB">
        <w:rPr>
          <w:rFonts w:cs="Times"/>
          <w:noProof/>
          <w:szCs w:val="24"/>
        </w:rPr>
        <w:tab/>
        <w:t xml:space="preserve">Bonilla, M.; Denicola, A.; Novoselov, S. V; Turanov, A. A.; Protasio, A.; Izmendi, D.; Gladyshev, V. N.; Salinas, G. Platyhelminth Mitochondrial and Cytosolic Redox Homeostasis Is Controlled by a Single Thioredoxin Glutathione Reductase and Dependent on Selenium and Glutathione. </w:t>
      </w:r>
      <w:r w:rsidRPr="00B519AB">
        <w:rPr>
          <w:rFonts w:cs="Times"/>
          <w:i/>
          <w:iCs/>
          <w:noProof/>
          <w:szCs w:val="24"/>
        </w:rPr>
        <w:t>J. Biol. Chem.</w:t>
      </w:r>
      <w:r w:rsidRPr="00B519AB">
        <w:rPr>
          <w:rFonts w:cs="Times"/>
          <w:noProof/>
          <w:szCs w:val="24"/>
        </w:rPr>
        <w:t xml:space="preserve"> </w:t>
      </w:r>
      <w:r w:rsidRPr="00B519AB">
        <w:rPr>
          <w:rFonts w:cs="Times"/>
          <w:b/>
          <w:bCs/>
          <w:noProof/>
          <w:szCs w:val="24"/>
        </w:rPr>
        <w:t>2008</w:t>
      </w:r>
      <w:r w:rsidRPr="00B519AB">
        <w:rPr>
          <w:rFonts w:cs="Times"/>
          <w:noProof/>
          <w:szCs w:val="24"/>
        </w:rPr>
        <w:t xml:space="preserve">, </w:t>
      </w:r>
      <w:r w:rsidRPr="00B519AB">
        <w:rPr>
          <w:rFonts w:cs="Times"/>
          <w:i/>
          <w:iCs/>
          <w:noProof/>
          <w:szCs w:val="24"/>
        </w:rPr>
        <w:t>283</w:t>
      </w:r>
      <w:r w:rsidRPr="00B519AB">
        <w:rPr>
          <w:rFonts w:cs="Times"/>
          <w:noProof/>
          <w:szCs w:val="24"/>
        </w:rPr>
        <w:t xml:space="preserve"> (26), 17898–17907.</w:t>
      </w:r>
    </w:p>
    <w:p w14:paraId="71D61E4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(52) </w:t>
      </w:r>
      <w:r w:rsidRPr="00B519AB">
        <w:rPr>
          <w:rFonts w:cs="Times"/>
          <w:noProof/>
          <w:szCs w:val="24"/>
        </w:rPr>
        <w:tab/>
        <w:t xml:space="preserve">Nauser, T.; Steinmann, D.; Koppenol, W. H. Why Do Proteins Use Selenocysteine instead of Cysteine? </w:t>
      </w:r>
      <w:r w:rsidRPr="00B519AB">
        <w:rPr>
          <w:rFonts w:cs="Times"/>
          <w:i/>
          <w:iCs/>
          <w:noProof/>
          <w:szCs w:val="24"/>
        </w:rPr>
        <w:t>Amino Acids</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42</w:t>
      </w:r>
      <w:r w:rsidRPr="00B519AB">
        <w:rPr>
          <w:rFonts w:cs="Times"/>
          <w:noProof/>
          <w:szCs w:val="24"/>
        </w:rPr>
        <w:t xml:space="preserve"> (1), 39–44.</w:t>
      </w:r>
    </w:p>
    <w:p w14:paraId="3E5368F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(53) </w:t>
      </w:r>
      <w:r w:rsidRPr="00B519AB">
        <w:rPr>
          <w:rFonts w:cs="Times"/>
          <w:noProof/>
          <w:szCs w:val="24"/>
        </w:rPr>
        <w:tab/>
        <w:t xml:space="preserve">Johansson, L.; Gafvelin, G.; Arnér, E. S. J. Selenocysteine in Proteins-Properties and Biotechnological Use. </w:t>
      </w:r>
      <w:r w:rsidRPr="00B519AB">
        <w:rPr>
          <w:rFonts w:cs="Times"/>
          <w:i/>
          <w:iCs/>
          <w:noProof/>
          <w:szCs w:val="24"/>
        </w:rPr>
        <w:t>Biochim. Biophys. Acta</w:t>
      </w:r>
      <w:r w:rsidRPr="00B519AB">
        <w:rPr>
          <w:rFonts w:cs="Times"/>
          <w:noProof/>
          <w:szCs w:val="24"/>
        </w:rPr>
        <w:t xml:space="preserve"> </w:t>
      </w:r>
      <w:r w:rsidRPr="00B519AB">
        <w:rPr>
          <w:rFonts w:cs="Times"/>
          <w:b/>
          <w:bCs/>
          <w:noProof/>
          <w:szCs w:val="24"/>
        </w:rPr>
        <w:t>2005</w:t>
      </w:r>
      <w:r w:rsidRPr="00B519AB">
        <w:rPr>
          <w:rFonts w:cs="Times"/>
          <w:noProof/>
          <w:szCs w:val="24"/>
        </w:rPr>
        <w:t xml:space="preserve">, </w:t>
      </w:r>
      <w:r w:rsidRPr="00B519AB">
        <w:rPr>
          <w:rFonts w:cs="Times"/>
          <w:i/>
          <w:iCs/>
          <w:noProof/>
          <w:szCs w:val="24"/>
        </w:rPr>
        <w:t>1726</w:t>
      </w:r>
      <w:r w:rsidRPr="00B519AB">
        <w:rPr>
          <w:rFonts w:cs="Times"/>
          <w:noProof/>
          <w:szCs w:val="24"/>
        </w:rPr>
        <w:t xml:space="preserve"> (1), 1–13.</w:t>
      </w:r>
    </w:p>
    <w:p w14:paraId="20EFE01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(54) </w:t>
      </w:r>
      <w:r w:rsidRPr="00B519AB">
        <w:rPr>
          <w:rFonts w:cs="Times"/>
          <w:noProof/>
          <w:szCs w:val="24"/>
        </w:rPr>
        <w:tab/>
        <w:t xml:space="preserve">Rai, G.; Sayed, A. A.; Lea, W. A.; Luecke, H. F.; Chakrapani, H.; Prast-Nielsen, S.; Jadhav, A.; Leister, W.; Shen, M.; Inglese, J.; Austin, C. P.; Keefer, L.; Arnér, E. S. J.; Simeonov, A.; Maloney, D. J.; Williams, D. L.; Thomas, C. J. Structure Mechanism </w:t>
      </w:r>
      <w:r w:rsidRPr="00B519AB">
        <w:rPr>
          <w:rFonts w:cs="Times"/>
          <w:noProof/>
          <w:szCs w:val="24"/>
        </w:rPr>
        <w:lastRenderedPageBreak/>
        <w:t xml:space="preserve">Insights and the Role of Nitric Oxide Donation Guide the Development of Oxadiazole-2-Oxides as Therapeutic Agents against Schistosomiasis. </w:t>
      </w:r>
      <w:r w:rsidRPr="00B519AB">
        <w:rPr>
          <w:rFonts w:cs="Times"/>
          <w:i/>
          <w:iCs/>
          <w:noProof/>
          <w:szCs w:val="24"/>
        </w:rPr>
        <w:t>J. Med. Chem.</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52</w:t>
      </w:r>
      <w:r w:rsidRPr="00B519AB">
        <w:rPr>
          <w:rFonts w:cs="Times"/>
          <w:noProof/>
          <w:szCs w:val="24"/>
        </w:rPr>
        <w:t xml:space="preserve"> (20), 6474–6483.</w:t>
      </w:r>
    </w:p>
    <w:p w14:paraId="2D75C4C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(55) </w:t>
      </w:r>
      <w:r w:rsidRPr="00B519AB">
        <w:rPr>
          <w:rFonts w:cs="Times"/>
          <w:noProof/>
          <w:szCs w:val="24"/>
        </w:rPr>
        <w:tab/>
        <w:t xml:space="preserve">Gasco, A.; Fruttero, R.; Sorba, G.; Di Stilo, A.; Calvino, R. NO Donors: Focus on Furoxan Derivatives. </w:t>
      </w:r>
      <w:r w:rsidRPr="00B519AB">
        <w:rPr>
          <w:rFonts w:cs="Times"/>
          <w:i/>
          <w:iCs/>
          <w:noProof/>
          <w:szCs w:val="24"/>
        </w:rPr>
        <w:t>Pure Appl. Chem.</w:t>
      </w:r>
      <w:r w:rsidRPr="00B519AB">
        <w:rPr>
          <w:rFonts w:cs="Times"/>
          <w:noProof/>
          <w:szCs w:val="24"/>
        </w:rPr>
        <w:t xml:space="preserve"> </w:t>
      </w:r>
      <w:r w:rsidRPr="00B519AB">
        <w:rPr>
          <w:rFonts w:cs="Times"/>
          <w:b/>
          <w:bCs/>
          <w:noProof/>
          <w:szCs w:val="24"/>
        </w:rPr>
        <w:t>2004</w:t>
      </w:r>
      <w:r w:rsidRPr="00B519AB">
        <w:rPr>
          <w:rFonts w:cs="Times"/>
          <w:noProof/>
          <w:szCs w:val="24"/>
        </w:rPr>
        <w:t xml:space="preserve">, </w:t>
      </w:r>
      <w:r w:rsidRPr="00B519AB">
        <w:rPr>
          <w:rFonts w:cs="Times"/>
          <w:i/>
          <w:iCs/>
          <w:noProof/>
          <w:szCs w:val="24"/>
        </w:rPr>
        <w:t>76</w:t>
      </w:r>
      <w:r w:rsidRPr="00B519AB">
        <w:rPr>
          <w:rFonts w:cs="Times"/>
          <w:noProof/>
          <w:szCs w:val="24"/>
        </w:rPr>
        <w:t xml:space="preserve"> (5), 973–981.</w:t>
      </w:r>
    </w:p>
    <w:p w14:paraId="1A0BC78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(56) </w:t>
      </w:r>
      <w:r w:rsidRPr="00B519AB">
        <w:rPr>
          <w:rFonts w:cs="Times"/>
          <w:noProof/>
          <w:szCs w:val="24"/>
        </w:rPr>
        <w:tab/>
        <w:t xml:space="preserve">Triboulet, S.; Dubée, V.; Lecoq, L.; Bougault, C.; Mainardi, J.-L.; Rice, L. B.; Ethève-Quelquejeu, M.; Gutmann, L.; Marie, A.; Dubost, L.; Hugonnet, J.-E.; Simorre, J.-P.; Arthur, M. Kinetic Features of L,D-Transpeptidase Inactivation Critical for β-Lactam Antibacterial Activity. </w:t>
      </w:r>
      <w:r w:rsidRPr="00B519AB">
        <w:rPr>
          <w:rFonts w:cs="Times"/>
          <w:i/>
          <w:iCs/>
          <w:noProof/>
          <w:szCs w:val="24"/>
        </w:rPr>
        <w:t>PLoS One</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8</w:t>
      </w:r>
      <w:r w:rsidRPr="00B519AB">
        <w:rPr>
          <w:rFonts w:cs="Times"/>
          <w:noProof/>
          <w:szCs w:val="24"/>
        </w:rPr>
        <w:t xml:space="preserve"> (7), e67831.</w:t>
      </w:r>
    </w:p>
    <w:p w14:paraId="50F1BAA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(57) </w:t>
      </w:r>
      <w:r w:rsidRPr="00B519AB">
        <w:rPr>
          <w:rFonts w:cs="Times"/>
          <w:noProof/>
          <w:szCs w:val="24"/>
        </w:rPr>
        <w:tab/>
        <w:t xml:space="preserve">Veber, D. F.; Johnson, S. R.; Cheng, H. Y.; Smith, B. R.; Ward, K. W.; Kopple, K. D. Molecular Properties That Influence the Oral Bioavailability of Drug Candidates. </w:t>
      </w:r>
      <w:r w:rsidRPr="00B519AB">
        <w:rPr>
          <w:rFonts w:cs="Times"/>
          <w:i/>
          <w:iCs/>
          <w:noProof/>
          <w:szCs w:val="24"/>
        </w:rPr>
        <w:t>J. Med. Chem.</w:t>
      </w:r>
      <w:r w:rsidRPr="00B519AB">
        <w:rPr>
          <w:rFonts w:cs="Times"/>
          <w:noProof/>
          <w:szCs w:val="24"/>
        </w:rPr>
        <w:t xml:space="preserve"> </w:t>
      </w:r>
      <w:r w:rsidRPr="00B519AB">
        <w:rPr>
          <w:rFonts w:cs="Times"/>
          <w:b/>
          <w:bCs/>
          <w:noProof/>
          <w:szCs w:val="24"/>
        </w:rPr>
        <w:t>2002</w:t>
      </w:r>
      <w:r w:rsidRPr="00B519AB">
        <w:rPr>
          <w:rFonts w:cs="Times"/>
          <w:noProof/>
          <w:szCs w:val="24"/>
        </w:rPr>
        <w:t xml:space="preserve">, </w:t>
      </w:r>
      <w:r w:rsidRPr="00B519AB">
        <w:rPr>
          <w:rFonts w:cs="Times"/>
          <w:i/>
          <w:iCs/>
          <w:noProof/>
          <w:szCs w:val="24"/>
        </w:rPr>
        <w:t>45</w:t>
      </w:r>
      <w:r w:rsidRPr="00B519AB">
        <w:rPr>
          <w:rFonts w:cs="Times"/>
          <w:noProof/>
          <w:szCs w:val="24"/>
        </w:rPr>
        <w:t xml:space="preserve"> (12), 2615–2623.</w:t>
      </w:r>
    </w:p>
    <w:p w14:paraId="6492EFE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(58) </w:t>
      </w:r>
      <w:r w:rsidRPr="00B519AB">
        <w:rPr>
          <w:rFonts w:cs="Times"/>
          <w:noProof/>
          <w:szCs w:val="24"/>
        </w:rPr>
        <w:tab/>
        <w:t xml:space="preserve">Lipinski, C. A.; Lombardo, F.; Dominy, B. W.; Feeney, P. J. Experimental and Computational Approaches to Estimate Solubility and Permeability in Drug Discovery and Development Settings. </w:t>
      </w:r>
      <w:r w:rsidRPr="00B519AB">
        <w:rPr>
          <w:rFonts w:cs="Times"/>
          <w:i/>
          <w:iCs/>
          <w:noProof/>
          <w:szCs w:val="24"/>
        </w:rPr>
        <w:t>Adv. Drug Deliv. Rev.</w:t>
      </w:r>
      <w:r w:rsidRPr="00B519AB">
        <w:rPr>
          <w:rFonts w:cs="Times"/>
          <w:noProof/>
          <w:szCs w:val="24"/>
        </w:rPr>
        <w:t xml:space="preserve"> </w:t>
      </w:r>
      <w:r w:rsidRPr="00B519AB">
        <w:rPr>
          <w:rFonts w:cs="Times"/>
          <w:b/>
          <w:bCs/>
          <w:noProof/>
          <w:szCs w:val="24"/>
        </w:rPr>
        <w:t>1997</w:t>
      </w:r>
      <w:r w:rsidRPr="00B519AB">
        <w:rPr>
          <w:rFonts w:cs="Times"/>
          <w:noProof/>
          <w:szCs w:val="24"/>
        </w:rPr>
        <w:t xml:space="preserve">, </w:t>
      </w:r>
      <w:r w:rsidRPr="00B519AB">
        <w:rPr>
          <w:rFonts w:cs="Times"/>
          <w:i/>
          <w:iCs/>
          <w:noProof/>
          <w:szCs w:val="24"/>
        </w:rPr>
        <w:t>23</w:t>
      </w:r>
      <w:r w:rsidRPr="00B519AB">
        <w:rPr>
          <w:rFonts w:cs="Times"/>
          <w:noProof/>
          <w:szCs w:val="24"/>
        </w:rPr>
        <w:t xml:space="preserve"> (1-3), 3–25.</w:t>
      </w:r>
    </w:p>
    <w:p w14:paraId="740B9E67"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(59) </w:t>
      </w:r>
      <w:r w:rsidRPr="00B519AB">
        <w:rPr>
          <w:rFonts w:cs="Times"/>
          <w:noProof/>
          <w:szCs w:val="24"/>
        </w:rPr>
        <w:tab/>
        <w:t xml:space="preserve">Baell, J.; Walters, M. A. Chemistry: Chemical Con Artists Foil Drug Discovery. </w:t>
      </w:r>
      <w:r w:rsidRPr="00B519AB">
        <w:rPr>
          <w:rFonts w:cs="Times"/>
          <w:i/>
          <w:iCs/>
          <w:noProof/>
          <w:szCs w:val="24"/>
        </w:rPr>
        <w:t>Nature</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513</w:t>
      </w:r>
      <w:r w:rsidRPr="00B519AB">
        <w:rPr>
          <w:rFonts w:cs="Times"/>
          <w:noProof/>
          <w:szCs w:val="24"/>
        </w:rPr>
        <w:t xml:space="preserve"> (7519), 481–483.</w:t>
      </w:r>
    </w:p>
    <w:p w14:paraId="7CC8DBE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(60) </w:t>
      </w:r>
      <w:r w:rsidRPr="00B519AB">
        <w:rPr>
          <w:rFonts w:cs="Times"/>
          <w:noProof/>
          <w:szCs w:val="24"/>
        </w:rPr>
        <w:tab/>
        <w:t xml:space="preserve">Baell, J. B.; Holloway, G. a. New Substructure Filters for Removal of Pan Assay Interference Compounds (PAINS) from Screening Libraries and for Their Exclusion in Bioassays. </w:t>
      </w:r>
      <w:r w:rsidRPr="00B519AB">
        <w:rPr>
          <w:rFonts w:cs="Times"/>
          <w:i/>
          <w:iCs/>
          <w:noProof/>
          <w:szCs w:val="24"/>
        </w:rPr>
        <w:t>J. Med. Chem.</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53</w:t>
      </w:r>
      <w:r w:rsidRPr="00B519AB">
        <w:rPr>
          <w:rFonts w:cs="Times"/>
          <w:noProof/>
          <w:szCs w:val="24"/>
        </w:rPr>
        <w:t xml:space="preserve"> (7), 2719–2740.</w:t>
      </w:r>
    </w:p>
    <w:p w14:paraId="40A97BA5"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(61) </w:t>
      </w:r>
      <w:r w:rsidRPr="00B519AB">
        <w:rPr>
          <w:rFonts w:cs="Times"/>
          <w:noProof/>
          <w:szCs w:val="24"/>
        </w:rPr>
        <w:tab/>
        <w:t xml:space="preserve">QikProp version 3.4. Schrödinger Inc., New York, USA, http://www.schrodinger.com/, </w:t>
      </w:r>
      <w:r w:rsidRPr="00B519AB">
        <w:rPr>
          <w:rFonts w:cs="Times"/>
          <w:noProof/>
          <w:szCs w:val="24"/>
        </w:rPr>
        <w:lastRenderedPageBreak/>
        <w:t>2011.</w:t>
      </w:r>
    </w:p>
    <w:p w14:paraId="40F9487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(62) </w:t>
      </w:r>
      <w:r w:rsidRPr="00B519AB">
        <w:rPr>
          <w:rFonts w:cs="Times"/>
          <w:noProof/>
          <w:szCs w:val="24"/>
        </w:rPr>
        <w:tab/>
        <w:t xml:space="preserve">Zanella, F.; Lorens, J. B.; Link, W. High Content Screening: Seeing Is Believing. </w:t>
      </w:r>
      <w:r w:rsidRPr="00B519AB">
        <w:rPr>
          <w:rFonts w:cs="Times"/>
          <w:i/>
          <w:iCs/>
          <w:noProof/>
          <w:szCs w:val="24"/>
        </w:rPr>
        <w:t>Trends Biotechnol.</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28</w:t>
      </w:r>
      <w:r w:rsidRPr="00B519AB">
        <w:rPr>
          <w:rFonts w:cs="Times"/>
          <w:noProof/>
          <w:szCs w:val="24"/>
        </w:rPr>
        <w:t xml:space="preserve"> (5), 237–245.</w:t>
      </w:r>
    </w:p>
    <w:p w14:paraId="365E3A8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(63) </w:t>
      </w:r>
      <w:r w:rsidRPr="00B519AB">
        <w:rPr>
          <w:rFonts w:cs="Times"/>
          <w:noProof/>
          <w:szCs w:val="24"/>
        </w:rPr>
        <w:tab/>
        <w:t xml:space="preserve">Neves, B. J.; Muratov, E.; Machado, R. B.; Andrade, C. H.; Cravo, P. V. L. Modern Approaches to Accelerate Discovery of New Antischistosomal Drugs. </w:t>
      </w:r>
      <w:r w:rsidRPr="00B519AB">
        <w:rPr>
          <w:rFonts w:cs="Times"/>
          <w:i/>
          <w:iCs/>
          <w:noProof/>
          <w:szCs w:val="24"/>
        </w:rPr>
        <w:t>Expert Opin. Drug Discov.</w:t>
      </w:r>
      <w:r w:rsidRPr="00B519AB">
        <w:rPr>
          <w:rFonts w:cs="Times"/>
          <w:noProof/>
          <w:szCs w:val="24"/>
        </w:rPr>
        <w:t xml:space="preserve"> </w:t>
      </w:r>
      <w:r w:rsidRPr="00B519AB">
        <w:rPr>
          <w:rFonts w:cs="Times"/>
          <w:b/>
          <w:bCs/>
          <w:noProof/>
          <w:szCs w:val="24"/>
        </w:rPr>
        <w:t>2016</w:t>
      </w:r>
      <w:r w:rsidRPr="00B519AB">
        <w:rPr>
          <w:rFonts w:cs="Times"/>
          <w:noProof/>
          <w:szCs w:val="24"/>
        </w:rPr>
        <w:t xml:space="preserve">, </w:t>
      </w:r>
      <w:r w:rsidRPr="00B519AB">
        <w:rPr>
          <w:rFonts w:cs="Times"/>
          <w:i/>
          <w:iCs/>
          <w:noProof/>
          <w:szCs w:val="24"/>
        </w:rPr>
        <w:t>11</w:t>
      </w:r>
      <w:r w:rsidRPr="00B519AB">
        <w:rPr>
          <w:rFonts w:cs="Times"/>
          <w:noProof/>
          <w:szCs w:val="24"/>
        </w:rPr>
        <w:t xml:space="preserve"> (6), 557–567.</w:t>
      </w:r>
    </w:p>
    <w:p w14:paraId="57F7139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(64) </w:t>
      </w:r>
      <w:r w:rsidRPr="00B519AB">
        <w:rPr>
          <w:rFonts w:cs="Times"/>
          <w:noProof/>
          <w:szCs w:val="24"/>
        </w:rPr>
        <w:tab/>
        <w:t xml:space="preserve">Paveley, R.; Mansour, N. R.; Hallyburton, I.; Bleicher, L. S.; Benn, A. E.; Mikic, I.; Guidi, A.; Gilbert, I. H.; Hopkins, A. L.; Bickle, Q. D. Whole Organism High-Content Screening by Label-Free, Image-Based Bayesian Classification for Parasitic Diseases.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6</w:t>
      </w:r>
      <w:r w:rsidRPr="00B519AB">
        <w:rPr>
          <w:rFonts w:cs="Times"/>
          <w:noProof/>
          <w:szCs w:val="24"/>
        </w:rPr>
        <w:t xml:space="preserve"> (7), e1762.</w:t>
      </w:r>
    </w:p>
    <w:p w14:paraId="3CB798EB" w14:textId="4605B6CE"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(65) </w:t>
      </w:r>
      <w:r w:rsidRPr="00B519AB">
        <w:rPr>
          <w:rFonts w:cs="Times"/>
          <w:noProof/>
          <w:szCs w:val="24"/>
        </w:rPr>
        <w:tab/>
        <w:t xml:space="preserve">Melo-Filho, C. C.; Dantas, R. F.; Braga, R. C.; Neves, B. J.; Senger, M. R.; Valente, W. C. G.; Rezende-Neto, J. M.; Chaves, W. T.; Muratov, E. N.; Paveley, R. A.; Furnham, N.; Kamentsky, L.; Carpenter, A. E.; Junior, F. P. S.; Andrade, C. H. QSAR-Driven Discovery of Novel Chemical Scaffolds Active Against Schistosoma Mansoni. </w:t>
      </w:r>
      <w:r w:rsidRPr="00B519AB">
        <w:rPr>
          <w:rFonts w:cs="Times"/>
          <w:i/>
          <w:iCs/>
          <w:noProof/>
          <w:szCs w:val="24"/>
        </w:rPr>
        <w:t>J. Chem. Inf. Model.</w:t>
      </w:r>
      <w:r w:rsidRPr="00B519AB">
        <w:rPr>
          <w:rFonts w:cs="Times"/>
          <w:noProof/>
          <w:szCs w:val="24"/>
        </w:rPr>
        <w:t xml:space="preserve"> </w:t>
      </w:r>
      <w:r w:rsidR="00987B3D">
        <w:rPr>
          <w:color w:val="000000"/>
        </w:rPr>
        <w:t xml:space="preserve">[Online early access]. DOI: </w:t>
      </w:r>
      <w:r w:rsidR="00987B3D" w:rsidRPr="00987B3D">
        <w:rPr>
          <w:color w:val="000000"/>
        </w:rPr>
        <w:t>10.1021/acs.jcim.6b00055</w:t>
      </w:r>
      <w:r w:rsidR="00987B3D">
        <w:rPr>
          <w:color w:val="000000"/>
        </w:rPr>
        <w:t>. Published Online: June 2, 2016.</w:t>
      </w:r>
    </w:p>
    <w:p w14:paraId="6A723C05" w14:textId="657F9159"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(66) </w:t>
      </w:r>
      <w:r w:rsidRPr="00B519AB">
        <w:rPr>
          <w:rFonts w:cs="Times"/>
          <w:noProof/>
          <w:szCs w:val="24"/>
        </w:rPr>
        <w:tab/>
        <w:t xml:space="preserve">Neves, B. J.; Dantas, R. F.; Senger, M. R.; Valente, W. C. G.; Rezende-Neto, J. de M.; Chaves, W. T.; Kamentsky, L.; Carpenter, A.; Silva-Junior, F. P.; Andrade, C. H. The Antidepressant Drug Paroxetine as a New Lead Candidate in Schistosome Drug Discovery. </w:t>
      </w:r>
      <w:r w:rsidRPr="00B519AB">
        <w:rPr>
          <w:rFonts w:cs="Times"/>
          <w:i/>
          <w:iCs/>
          <w:noProof/>
          <w:szCs w:val="24"/>
        </w:rPr>
        <w:t>Med. Chem. Commun.</w:t>
      </w:r>
      <w:r w:rsidRPr="00B519AB">
        <w:rPr>
          <w:rFonts w:cs="Times"/>
          <w:noProof/>
          <w:szCs w:val="24"/>
        </w:rPr>
        <w:t xml:space="preserve"> </w:t>
      </w:r>
      <w:r w:rsidR="00987B3D">
        <w:rPr>
          <w:color w:val="000000"/>
        </w:rPr>
        <w:t xml:space="preserve">[Online early access]. DOI: </w:t>
      </w:r>
      <w:r w:rsidR="00987B3D" w:rsidRPr="00B519AB">
        <w:rPr>
          <w:color w:val="000000"/>
        </w:rPr>
        <w:t>10.1039/C5MD00596E</w:t>
      </w:r>
      <w:r w:rsidR="00987B3D">
        <w:rPr>
          <w:color w:val="000000"/>
        </w:rPr>
        <w:t>. Published Online: April 25, 2016.</w:t>
      </w:r>
    </w:p>
    <w:p w14:paraId="3B75850D"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(67) </w:t>
      </w:r>
      <w:r w:rsidRPr="00B519AB">
        <w:rPr>
          <w:rFonts w:cs="Times"/>
          <w:noProof/>
          <w:szCs w:val="24"/>
        </w:rPr>
        <w:tab/>
        <w:t xml:space="preserve">Panic, G.; Flores, D.; Ingram-Sieber, K.; Keiser, J. Fluorescence/luminescence-Based Markers for the Assessment of Schistosoma Mansoni Schistosomula Drug Assays. </w:t>
      </w:r>
      <w:r w:rsidRPr="00B519AB">
        <w:rPr>
          <w:rFonts w:cs="Times"/>
          <w:i/>
          <w:iCs/>
          <w:noProof/>
          <w:szCs w:val="24"/>
        </w:rPr>
        <w:t>Parasit. Vectors</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8</w:t>
      </w:r>
      <w:r w:rsidRPr="00B519AB">
        <w:rPr>
          <w:rFonts w:cs="Times"/>
          <w:noProof/>
          <w:szCs w:val="24"/>
        </w:rPr>
        <w:t xml:space="preserve"> (8), 624.</w:t>
      </w:r>
    </w:p>
    <w:p w14:paraId="267E1984"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(68) </w:t>
      </w:r>
      <w:r w:rsidRPr="00B519AB">
        <w:rPr>
          <w:rFonts w:cs="Times"/>
          <w:noProof/>
          <w:szCs w:val="24"/>
        </w:rPr>
        <w:tab/>
        <w:t xml:space="preserve">Cowan, N.; Keiser, J. Repurposing of Anticancer Drugs: In Vitro and in Vivo Activities against Schistosoma Mansoni. </w:t>
      </w:r>
      <w:r w:rsidRPr="00B519AB">
        <w:rPr>
          <w:rFonts w:cs="Times"/>
          <w:i/>
          <w:iCs/>
          <w:noProof/>
          <w:szCs w:val="24"/>
        </w:rPr>
        <w:t>Parasit. Vectors</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13</w:t>
      </w:r>
      <w:r w:rsidRPr="00B519AB">
        <w:rPr>
          <w:rFonts w:cs="Times"/>
          <w:noProof/>
          <w:szCs w:val="24"/>
        </w:rPr>
        <w:t xml:space="preserve"> (8), 417.</w:t>
      </w:r>
    </w:p>
    <w:p w14:paraId="4EA5B5F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(69) </w:t>
      </w:r>
      <w:r w:rsidRPr="00B519AB">
        <w:rPr>
          <w:rFonts w:cs="Times"/>
          <w:noProof/>
          <w:szCs w:val="24"/>
        </w:rPr>
        <w:tab/>
        <w:t xml:space="preserve">Panic, G.; Vargas, M.; Scandale, I.; Keiser, J. Activity Profile of an FDA-Approved Compound Library against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9</w:t>
      </w:r>
      <w:r w:rsidRPr="00B519AB">
        <w:rPr>
          <w:rFonts w:cs="Times"/>
          <w:noProof/>
          <w:szCs w:val="24"/>
        </w:rPr>
        <w:t xml:space="preserve"> (7), e0003962.</w:t>
      </w:r>
    </w:p>
    <w:p w14:paraId="4642BCD7"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(70) </w:t>
      </w:r>
      <w:r w:rsidRPr="00B519AB">
        <w:rPr>
          <w:rFonts w:cs="Times"/>
          <w:noProof/>
          <w:szCs w:val="24"/>
        </w:rPr>
        <w:tab/>
        <w:t xml:space="preserve">Ingram-Sieber, K.; Cowan, N.; Panic, G.; Vargas, M.; Mansour, N. R.; Bickle, Q. D.; Wells, T. N. C.; Spangenberg, T.; Keiser, J. Orally Active Antischistosomal Early Leads Identified from the Open Access Malaria Box.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8</w:t>
      </w:r>
      <w:r w:rsidRPr="00B519AB">
        <w:rPr>
          <w:rFonts w:cs="Times"/>
          <w:noProof/>
          <w:szCs w:val="24"/>
        </w:rPr>
        <w:t xml:space="preserve"> (1), e2610.</w:t>
      </w:r>
    </w:p>
    <w:p w14:paraId="0953647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(71) </w:t>
      </w:r>
      <w:r w:rsidRPr="00B519AB">
        <w:rPr>
          <w:rFonts w:cs="Times"/>
          <w:noProof/>
          <w:szCs w:val="24"/>
        </w:rPr>
        <w:tab/>
        <w:t xml:space="preserve">Paveley, R. A.; Bickle, Q. D. Automated Imaging and Other Developments in Whole-Organism Anthelmintic Screening. </w:t>
      </w:r>
      <w:r w:rsidRPr="00B519AB">
        <w:rPr>
          <w:rFonts w:cs="Times"/>
          <w:i/>
          <w:iCs/>
          <w:noProof/>
          <w:szCs w:val="24"/>
        </w:rPr>
        <w:t>Parasite Immunol.</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35</w:t>
      </w:r>
      <w:r w:rsidRPr="00B519AB">
        <w:rPr>
          <w:rFonts w:cs="Times"/>
          <w:noProof/>
          <w:szCs w:val="24"/>
        </w:rPr>
        <w:t xml:space="preserve"> (9-10), 302–313.</w:t>
      </w:r>
    </w:p>
    <w:p w14:paraId="5F41F355"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(72) </w:t>
      </w:r>
      <w:r w:rsidRPr="00B519AB">
        <w:rPr>
          <w:rFonts w:cs="Times"/>
          <w:noProof/>
          <w:szCs w:val="24"/>
        </w:rPr>
        <w:tab/>
        <w:t xml:space="preserve">Abdulla, M.-H.; Ruelas, D. S.; Wolff, B.; Snedecor, J.; Lim, K.-C.; Xu, F.; Renslo, A. R.; Williams, J.; McKerrow, J. H.; Caffrey, C. R. Drug Discovery for Schistosomiasis: Hit and Lead Compounds Identified in a Library of Known Drugs by Medium-Throughput Phenotypic Screening.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3</w:t>
      </w:r>
      <w:r w:rsidRPr="00B519AB">
        <w:rPr>
          <w:rFonts w:cs="Times"/>
          <w:noProof/>
          <w:szCs w:val="24"/>
        </w:rPr>
        <w:t xml:space="preserve"> (7), e478.</w:t>
      </w:r>
    </w:p>
    <w:p w14:paraId="0020F66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(73) </w:t>
      </w:r>
      <w:r w:rsidRPr="00B519AB">
        <w:rPr>
          <w:rFonts w:cs="Times"/>
          <w:noProof/>
          <w:szCs w:val="24"/>
        </w:rPr>
        <w:tab/>
        <w:t xml:space="preserve">Mansour, N. R.; Paveley, R.; Gardner, J. M. F.; Bell, A. S.; Parkinson, T.; Bickle, Q. High Throughput Screening Identifies Novel Lead Compounds with Activity against Larval, Juvenile and Adult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2016</w:t>
      </w:r>
      <w:r w:rsidRPr="00B519AB">
        <w:rPr>
          <w:rFonts w:cs="Times"/>
          <w:noProof/>
          <w:szCs w:val="24"/>
        </w:rPr>
        <w:t xml:space="preserve">, </w:t>
      </w:r>
      <w:r w:rsidRPr="00B519AB">
        <w:rPr>
          <w:rFonts w:cs="Times"/>
          <w:i/>
          <w:iCs/>
          <w:noProof/>
          <w:szCs w:val="24"/>
        </w:rPr>
        <w:t>10</w:t>
      </w:r>
      <w:r w:rsidRPr="00B519AB">
        <w:rPr>
          <w:rFonts w:cs="Times"/>
          <w:noProof/>
          <w:szCs w:val="24"/>
        </w:rPr>
        <w:t xml:space="preserve"> (4), e0004659.</w:t>
      </w:r>
    </w:p>
    <w:p w14:paraId="0B9862F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(74) </w:t>
      </w:r>
      <w:r w:rsidRPr="00B519AB">
        <w:rPr>
          <w:rFonts w:cs="Times"/>
          <w:noProof/>
          <w:szCs w:val="24"/>
        </w:rPr>
        <w:tab/>
        <w:t xml:space="preserve">Long, T.; Neitz, R. J.; Beasley, R.; Kalyanaraman, C.; Suzuki, B. M.; Jacobson, M. P.; </w:t>
      </w:r>
      <w:r w:rsidRPr="00B519AB">
        <w:rPr>
          <w:rFonts w:cs="Times"/>
          <w:noProof/>
          <w:szCs w:val="24"/>
        </w:rPr>
        <w:lastRenderedPageBreak/>
        <w:t xml:space="preserve">Dissous, C.; McKerrow, J. H.; Drewry, D. H.; Zuercher, W. J.; Singh, R.; Caffrey, C. R. Structure-Bioactivity Relationship for Benzimidazole Thiophene Inhibitors of Polo-Like Kinase 1 (PLK1), a Potential Drug Target in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2016</w:t>
      </w:r>
      <w:r w:rsidRPr="00B519AB">
        <w:rPr>
          <w:rFonts w:cs="Times"/>
          <w:noProof/>
          <w:szCs w:val="24"/>
        </w:rPr>
        <w:t xml:space="preserve">, </w:t>
      </w:r>
      <w:r w:rsidRPr="00B519AB">
        <w:rPr>
          <w:rFonts w:cs="Times"/>
          <w:i/>
          <w:iCs/>
          <w:noProof/>
          <w:szCs w:val="24"/>
        </w:rPr>
        <w:t>10</w:t>
      </w:r>
      <w:r w:rsidRPr="00B519AB">
        <w:rPr>
          <w:rFonts w:cs="Times"/>
          <w:noProof/>
          <w:szCs w:val="24"/>
        </w:rPr>
        <w:t xml:space="preserve"> (1), e0004356.</w:t>
      </w:r>
    </w:p>
    <w:p w14:paraId="7019905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(75) </w:t>
      </w:r>
      <w:r w:rsidRPr="00B519AB">
        <w:rPr>
          <w:rFonts w:cs="Times"/>
          <w:noProof/>
          <w:szCs w:val="24"/>
        </w:rPr>
        <w:tab/>
        <w:t xml:space="preserve">Mkoji, G. M.; Smith, J. M.; Prichard, R. K. Antioxidant Systems in Schistosoma Mansoni: Evidence for Their Role in Protection of the Adult Worms against Oxidant Killing. </w:t>
      </w:r>
      <w:r w:rsidRPr="00B519AB">
        <w:rPr>
          <w:rFonts w:cs="Times"/>
          <w:i/>
          <w:iCs/>
          <w:noProof/>
          <w:szCs w:val="24"/>
        </w:rPr>
        <w:t>Int. J. Parasitol.</w:t>
      </w:r>
      <w:r w:rsidRPr="00B519AB">
        <w:rPr>
          <w:rFonts w:cs="Times"/>
          <w:noProof/>
          <w:szCs w:val="24"/>
        </w:rPr>
        <w:t xml:space="preserve"> </w:t>
      </w:r>
      <w:r w:rsidRPr="00B519AB">
        <w:rPr>
          <w:rFonts w:cs="Times"/>
          <w:b/>
          <w:bCs/>
          <w:noProof/>
          <w:szCs w:val="24"/>
        </w:rPr>
        <w:t>1988</w:t>
      </w:r>
      <w:r w:rsidRPr="00B519AB">
        <w:rPr>
          <w:rFonts w:cs="Times"/>
          <w:noProof/>
          <w:szCs w:val="24"/>
        </w:rPr>
        <w:t xml:space="preserve">, </w:t>
      </w:r>
      <w:r w:rsidRPr="00B519AB">
        <w:rPr>
          <w:rFonts w:cs="Times"/>
          <w:i/>
          <w:iCs/>
          <w:noProof/>
          <w:szCs w:val="24"/>
        </w:rPr>
        <w:t>18</w:t>
      </w:r>
      <w:r w:rsidRPr="00B519AB">
        <w:rPr>
          <w:rFonts w:cs="Times"/>
          <w:noProof/>
          <w:szCs w:val="24"/>
        </w:rPr>
        <w:t xml:space="preserve"> (5), 667–673.</w:t>
      </w:r>
    </w:p>
    <w:p w14:paraId="1FC4714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(76) </w:t>
      </w:r>
      <w:r w:rsidRPr="00B519AB">
        <w:rPr>
          <w:rFonts w:cs="Times"/>
          <w:noProof/>
          <w:szCs w:val="24"/>
        </w:rPr>
        <w:tab/>
        <w:t xml:space="preserve">Nare, B.; Smith, J. M.; Prichard, R. K. Schistosoma Mansoni: Levels of Antioxidants and Resistance to Oxidants Increase during Development. </w:t>
      </w:r>
      <w:r w:rsidRPr="00B519AB">
        <w:rPr>
          <w:rFonts w:cs="Times"/>
          <w:i/>
          <w:iCs/>
          <w:noProof/>
          <w:szCs w:val="24"/>
        </w:rPr>
        <w:t>Exp. Parasitol.</w:t>
      </w:r>
      <w:r w:rsidRPr="00B519AB">
        <w:rPr>
          <w:rFonts w:cs="Times"/>
          <w:noProof/>
          <w:szCs w:val="24"/>
        </w:rPr>
        <w:t xml:space="preserve"> </w:t>
      </w:r>
      <w:r w:rsidRPr="00B519AB">
        <w:rPr>
          <w:rFonts w:cs="Times"/>
          <w:b/>
          <w:bCs/>
          <w:noProof/>
          <w:szCs w:val="24"/>
        </w:rPr>
        <w:t>1990</w:t>
      </w:r>
      <w:r w:rsidRPr="00B519AB">
        <w:rPr>
          <w:rFonts w:cs="Times"/>
          <w:noProof/>
          <w:szCs w:val="24"/>
        </w:rPr>
        <w:t xml:space="preserve">, </w:t>
      </w:r>
      <w:r w:rsidRPr="00B519AB">
        <w:rPr>
          <w:rFonts w:cs="Times"/>
          <w:i/>
          <w:iCs/>
          <w:noProof/>
          <w:szCs w:val="24"/>
        </w:rPr>
        <w:t>70</w:t>
      </w:r>
      <w:r w:rsidRPr="00B519AB">
        <w:rPr>
          <w:rFonts w:cs="Times"/>
          <w:noProof/>
          <w:szCs w:val="24"/>
        </w:rPr>
        <w:t xml:space="preserve"> (4), 389–397.</w:t>
      </w:r>
    </w:p>
    <w:p w14:paraId="4E3AAD8C"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(77) </w:t>
      </w:r>
      <w:r w:rsidRPr="00B519AB">
        <w:rPr>
          <w:rFonts w:cs="Times"/>
          <w:noProof/>
          <w:szCs w:val="24"/>
        </w:rPr>
        <w:tab/>
        <w:t xml:space="preserve">Irwin, J. J.; Duan, D.; Torosyan, H.; Doak, A. K.; Ziebart, K. T.; Sterling, T.; Tumanian, G.; Shoichet, B. K. An Aggregation Advisor for Ligand Discovery. </w:t>
      </w:r>
      <w:r w:rsidRPr="00B519AB">
        <w:rPr>
          <w:rFonts w:cs="Times"/>
          <w:i/>
          <w:iCs/>
          <w:noProof/>
          <w:szCs w:val="24"/>
        </w:rPr>
        <w:t>J. Med. Chem.</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58</w:t>
      </w:r>
      <w:r w:rsidRPr="00B519AB">
        <w:rPr>
          <w:rFonts w:cs="Times"/>
          <w:noProof/>
          <w:szCs w:val="24"/>
        </w:rPr>
        <w:t xml:space="preserve"> (17), 7076–7087.</w:t>
      </w:r>
    </w:p>
    <w:p w14:paraId="3C20BE4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(78) </w:t>
      </w:r>
      <w:r w:rsidRPr="00B519AB">
        <w:rPr>
          <w:rFonts w:cs="Times"/>
          <w:noProof/>
          <w:szCs w:val="24"/>
        </w:rPr>
        <w:tab/>
        <w:t xml:space="preserve">Owen, S. C.; Doak, A. K.; Wassam, P.; Shoichet, M. S.; Shoichet, B. K. Colloidal Aggregation Affects the Efficacy of Anticancer Drugs in Cell Culture. </w:t>
      </w:r>
      <w:r w:rsidRPr="00B519AB">
        <w:rPr>
          <w:rFonts w:cs="Times"/>
          <w:i/>
          <w:iCs/>
          <w:noProof/>
          <w:szCs w:val="24"/>
        </w:rPr>
        <w:t>ACS Chem. Biol.</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7</w:t>
      </w:r>
      <w:r w:rsidRPr="00B519AB">
        <w:rPr>
          <w:rFonts w:cs="Times"/>
          <w:noProof/>
          <w:szCs w:val="24"/>
        </w:rPr>
        <w:t xml:space="preserve"> (8), 1429–1435.</w:t>
      </w:r>
    </w:p>
    <w:p w14:paraId="4F2FC11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(79) </w:t>
      </w:r>
      <w:r w:rsidRPr="00B519AB">
        <w:rPr>
          <w:rFonts w:cs="Times"/>
          <w:noProof/>
          <w:szCs w:val="24"/>
        </w:rPr>
        <w:tab/>
        <w:t xml:space="preserve">Kuntz, A. N.; Davioud-Charvet, E.; Sayed, A. A.; Califf, L. L.; Dessolin, J.; Arnér, E. S. J.; Williams, D. L. Thioredoxin Glutathione Reductase from Schistosoma Mansoni: An Essential Parasite Enzyme and a Key Drug Target. </w:t>
      </w:r>
      <w:r w:rsidRPr="00B519AB">
        <w:rPr>
          <w:rFonts w:cs="Times"/>
          <w:i/>
          <w:iCs/>
          <w:noProof/>
          <w:szCs w:val="24"/>
        </w:rPr>
        <w:t>PLoS Med.</w:t>
      </w:r>
      <w:r w:rsidRPr="00B519AB">
        <w:rPr>
          <w:rFonts w:cs="Times"/>
          <w:noProof/>
          <w:szCs w:val="24"/>
        </w:rPr>
        <w:t xml:space="preserve"> </w:t>
      </w:r>
      <w:r w:rsidRPr="00B519AB">
        <w:rPr>
          <w:rFonts w:cs="Times"/>
          <w:b/>
          <w:bCs/>
          <w:noProof/>
          <w:szCs w:val="24"/>
        </w:rPr>
        <w:t>2007</w:t>
      </w:r>
      <w:r w:rsidRPr="00B519AB">
        <w:rPr>
          <w:rFonts w:cs="Times"/>
          <w:noProof/>
          <w:szCs w:val="24"/>
        </w:rPr>
        <w:t xml:space="preserve">, </w:t>
      </w:r>
      <w:r w:rsidRPr="00B519AB">
        <w:rPr>
          <w:rFonts w:cs="Times"/>
          <w:i/>
          <w:iCs/>
          <w:noProof/>
          <w:szCs w:val="24"/>
        </w:rPr>
        <w:t>4</w:t>
      </w:r>
      <w:r w:rsidRPr="00B519AB">
        <w:rPr>
          <w:rFonts w:cs="Times"/>
          <w:noProof/>
          <w:szCs w:val="24"/>
        </w:rPr>
        <w:t xml:space="preserve"> (6), e206.</w:t>
      </w:r>
    </w:p>
    <w:p w14:paraId="76107F4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(80) </w:t>
      </w:r>
      <w:r w:rsidRPr="00B519AB">
        <w:rPr>
          <w:rFonts w:cs="Times"/>
          <w:noProof/>
          <w:szCs w:val="24"/>
        </w:rPr>
        <w:tab/>
        <w:t xml:space="preserve">Tropsha, A. Best Practices for QSAR Model Development, Validation, and Exploitation. </w:t>
      </w:r>
      <w:r w:rsidRPr="00B519AB">
        <w:rPr>
          <w:rFonts w:cs="Times"/>
          <w:i/>
          <w:iCs/>
          <w:noProof/>
          <w:szCs w:val="24"/>
        </w:rPr>
        <w:t>Mol. Inform.</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29</w:t>
      </w:r>
      <w:r w:rsidRPr="00B519AB">
        <w:rPr>
          <w:rFonts w:cs="Times"/>
          <w:noProof/>
          <w:szCs w:val="24"/>
        </w:rPr>
        <w:t xml:space="preserve"> (6-7), 476–488.</w:t>
      </w:r>
    </w:p>
    <w:p w14:paraId="71EEB4E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(81) </w:t>
      </w:r>
      <w:r w:rsidRPr="00B519AB">
        <w:rPr>
          <w:rFonts w:cs="Times"/>
          <w:noProof/>
          <w:szCs w:val="24"/>
        </w:rPr>
        <w:tab/>
        <w:t xml:space="preserve">Cherkasov, A.; Muratov, E. N.; Fourches, D.; Varnek, A.; Baskin, I. I.; Cronin, M.; Dearden, J.; Gramatica, P.; Martin, Y. C.; Todeschini, R.; Consonni, V.; Kuz’min, V. E.; Cramer, R.; Benigni, R.; Yang, C.; Rathman, J.; Terfloth, L.; Gasteiger, J.; Richard, A.; Tropsha, A. QSAR Modeling: Where Have You Been? Where Are You Going To? </w:t>
      </w:r>
      <w:r w:rsidRPr="00B519AB">
        <w:rPr>
          <w:rFonts w:cs="Times"/>
          <w:i/>
          <w:iCs/>
          <w:noProof/>
          <w:szCs w:val="24"/>
        </w:rPr>
        <w:t>J. Med. Chem.</w:t>
      </w:r>
      <w:r w:rsidRPr="00B519AB">
        <w:rPr>
          <w:rFonts w:cs="Times"/>
          <w:noProof/>
          <w:szCs w:val="24"/>
        </w:rPr>
        <w:t xml:space="preserve"> </w:t>
      </w:r>
      <w:r w:rsidRPr="00B519AB">
        <w:rPr>
          <w:rFonts w:cs="Times"/>
          <w:b/>
          <w:bCs/>
          <w:noProof/>
          <w:szCs w:val="24"/>
        </w:rPr>
        <w:t>2014</w:t>
      </w:r>
      <w:r w:rsidRPr="00B519AB">
        <w:rPr>
          <w:rFonts w:cs="Times"/>
          <w:noProof/>
          <w:szCs w:val="24"/>
        </w:rPr>
        <w:t xml:space="preserve">, </w:t>
      </w:r>
      <w:r w:rsidRPr="00B519AB">
        <w:rPr>
          <w:rFonts w:cs="Times"/>
          <w:i/>
          <w:iCs/>
          <w:noProof/>
          <w:szCs w:val="24"/>
        </w:rPr>
        <w:t>57</w:t>
      </w:r>
      <w:r w:rsidRPr="00B519AB">
        <w:rPr>
          <w:rFonts w:cs="Times"/>
          <w:noProof/>
          <w:szCs w:val="24"/>
        </w:rPr>
        <w:t xml:space="preserve"> (12), 4977–5010.</w:t>
      </w:r>
    </w:p>
    <w:p w14:paraId="6D9F0F74" w14:textId="7B1454E9"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(82) </w:t>
      </w:r>
      <w:r w:rsidRPr="00B519AB">
        <w:rPr>
          <w:rFonts w:cs="Times"/>
          <w:noProof/>
          <w:szCs w:val="24"/>
        </w:rPr>
        <w:tab/>
      </w:r>
      <w:r w:rsidR="00F9598C" w:rsidRPr="00F9598C">
        <w:rPr>
          <w:rFonts w:cs="Times"/>
          <w:noProof/>
          <w:szCs w:val="24"/>
        </w:rPr>
        <w:t>Organisation for Economic Co-operation and Development</w:t>
      </w:r>
      <w:r w:rsidRPr="00B519AB">
        <w:rPr>
          <w:rFonts w:cs="Times"/>
          <w:noProof/>
          <w:szCs w:val="24"/>
        </w:rPr>
        <w:t>. OECD principles for the validation, for regulatory purposes, of (Quantitative) Structure-Activity Relationship models</w:t>
      </w:r>
      <w:r w:rsidR="00F9598C">
        <w:rPr>
          <w:rFonts w:cs="Times"/>
          <w:noProof/>
          <w:szCs w:val="24"/>
        </w:rPr>
        <w:t>. Available from:</w:t>
      </w:r>
      <w:r w:rsidRPr="00B519AB">
        <w:rPr>
          <w:rFonts w:cs="Times"/>
          <w:noProof/>
          <w:szCs w:val="24"/>
        </w:rPr>
        <w:t xml:space="preserve"> http://www.oecd.org/chemicalsafety/risk-assessment/37849783.pdf</w:t>
      </w:r>
      <w:r w:rsidR="00F9598C">
        <w:rPr>
          <w:rFonts w:cs="Times"/>
          <w:noProof/>
          <w:szCs w:val="24"/>
        </w:rPr>
        <w:t>.</w:t>
      </w:r>
      <w:r w:rsidRPr="00B519AB">
        <w:rPr>
          <w:rFonts w:cs="Times"/>
          <w:noProof/>
          <w:szCs w:val="24"/>
        </w:rPr>
        <w:t xml:space="preserve"> (</w:t>
      </w:r>
      <w:r w:rsidR="00F9598C">
        <w:rPr>
          <w:rFonts w:cs="Times"/>
          <w:noProof/>
          <w:szCs w:val="24"/>
        </w:rPr>
        <w:t>A</w:t>
      </w:r>
      <w:r w:rsidRPr="00B519AB">
        <w:rPr>
          <w:rFonts w:cs="Times"/>
          <w:noProof/>
          <w:szCs w:val="24"/>
        </w:rPr>
        <w:t xml:space="preserve">ccessed </w:t>
      </w:r>
      <w:r w:rsidR="00F9598C">
        <w:rPr>
          <w:rFonts w:cs="Times"/>
          <w:noProof/>
          <w:szCs w:val="24"/>
        </w:rPr>
        <w:t>June</w:t>
      </w:r>
      <w:r w:rsidRPr="00B519AB">
        <w:rPr>
          <w:rFonts w:cs="Times"/>
          <w:noProof/>
          <w:szCs w:val="24"/>
        </w:rPr>
        <w:t xml:space="preserve"> 1</w:t>
      </w:r>
      <w:r w:rsidR="00F9598C">
        <w:rPr>
          <w:rFonts w:cs="Times"/>
          <w:noProof/>
          <w:szCs w:val="24"/>
        </w:rPr>
        <w:t>3</w:t>
      </w:r>
      <w:r w:rsidRPr="00B519AB">
        <w:rPr>
          <w:rFonts w:cs="Times"/>
          <w:noProof/>
          <w:szCs w:val="24"/>
        </w:rPr>
        <w:t>, 201</w:t>
      </w:r>
      <w:r w:rsidR="00F9598C">
        <w:rPr>
          <w:rFonts w:cs="Times"/>
          <w:noProof/>
          <w:szCs w:val="24"/>
        </w:rPr>
        <w:t>6</w:t>
      </w:r>
      <w:r w:rsidRPr="00B519AB">
        <w:rPr>
          <w:rFonts w:cs="Times"/>
          <w:noProof/>
          <w:szCs w:val="24"/>
        </w:rPr>
        <w:t>).</w:t>
      </w:r>
    </w:p>
    <w:p w14:paraId="0A20D9F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(83) </w:t>
      </w:r>
      <w:r w:rsidRPr="00B519AB">
        <w:rPr>
          <w:rFonts w:cs="Times"/>
          <w:noProof/>
          <w:szCs w:val="24"/>
        </w:rPr>
        <w:tab/>
        <w:t xml:space="preserve">Neves, B. J.; Braga, R. C.; Bezerra, J. C. B.; Cravo, P. V. L.; Andrade, C. H. In Silico Repositioning-Chemogenomics Strategy Identifies New Drugs with Potential Activity against Multiple Life Stages of Schistosoma Mansoni.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9</w:t>
      </w:r>
      <w:r w:rsidRPr="00B519AB">
        <w:rPr>
          <w:rFonts w:cs="Times"/>
          <w:noProof/>
          <w:szCs w:val="24"/>
        </w:rPr>
        <w:t xml:space="preserve"> (1), e3435.</w:t>
      </w:r>
    </w:p>
    <w:p w14:paraId="29579AB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(84) </w:t>
      </w:r>
      <w:r w:rsidRPr="00B519AB">
        <w:rPr>
          <w:rFonts w:cs="Times"/>
          <w:noProof/>
          <w:szCs w:val="24"/>
        </w:rPr>
        <w:tab/>
        <w:t xml:space="preserve">Fourches, D.; Muratov, E.; Tropsha, A. Trust, but Verify: On the Importance of Chemical Structure Curation in Cheminformatics and QSAR Modeling Research.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50</w:t>
      </w:r>
      <w:r w:rsidRPr="00B519AB">
        <w:rPr>
          <w:rFonts w:cs="Times"/>
          <w:noProof/>
          <w:szCs w:val="24"/>
        </w:rPr>
        <w:t xml:space="preserve"> (7), 1189–1204.</w:t>
      </w:r>
    </w:p>
    <w:p w14:paraId="20D68C10"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(85) </w:t>
      </w:r>
      <w:r w:rsidRPr="00B519AB">
        <w:rPr>
          <w:rFonts w:cs="Times"/>
          <w:noProof/>
          <w:szCs w:val="24"/>
        </w:rPr>
        <w:tab/>
        <w:t xml:space="preserve">Fourches, D.; Muratov, E.; Tropsha, A. Curation of Chemogenomics Data. </w:t>
      </w:r>
      <w:r w:rsidRPr="00B519AB">
        <w:rPr>
          <w:rFonts w:cs="Times"/>
          <w:i/>
          <w:iCs/>
          <w:noProof/>
          <w:szCs w:val="24"/>
        </w:rPr>
        <w:t>Nat. Chem. Biol.</w:t>
      </w:r>
      <w:r w:rsidRPr="00B519AB">
        <w:rPr>
          <w:rFonts w:cs="Times"/>
          <w:noProof/>
          <w:szCs w:val="24"/>
        </w:rPr>
        <w:t xml:space="preserve"> </w:t>
      </w:r>
      <w:r w:rsidRPr="00B519AB">
        <w:rPr>
          <w:rFonts w:cs="Times"/>
          <w:b/>
          <w:bCs/>
          <w:noProof/>
          <w:szCs w:val="24"/>
        </w:rPr>
        <w:t>2015</w:t>
      </w:r>
      <w:r w:rsidRPr="00B519AB">
        <w:rPr>
          <w:rFonts w:cs="Times"/>
          <w:noProof/>
          <w:szCs w:val="24"/>
        </w:rPr>
        <w:t xml:space="preserve">, </w:t>
      </w:r>
      <w:r w:rsidRPr="00B519AB">
        <w:rPr>
          <w:rFonts w:cs="Times"/>
          <w:i/>
          <w:iCs/>
          <w:noProof/>
          <w:szCs w:val="24"/>
        </w:rPr>
        <w:t>11</w:t>
      </w:r>
      <w:r w:rsidRPr="00B519AB">
        <w:rPr>
          <w:rFonts w:cs="Times"/>
          <w:noProof/>
          <w:szCs w:val="24"/>
        </w:rPr>
        <w:t xml:space="preserve"> (8), 535.</w:t>
      </w:r>
    </w:p>
    <w:p w14:paraId="61C7FCC8"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(86) </w:t>
      </w:r>
      <w:r w:rsidRPr="00B519AB">
        <w:rPr>
          <w:rFonts w:cs="Times"/>
          <w:noProof/>
          <w:szCs w:val="24"/>
        </w:rPr>
        <w:tab/>
        <w:t>Landrum, G. RDKit: Open-Source Cheminformatics. 2014, p http://www.rdkit.org/.</w:t>
      </w:r>
    </w:p>
    <w:p w14:paraId="50395C9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(87) </w:t>
      </w:r>
      <w:r w:rsidRPr="00B519AB">
        <w:rPr>
          <w:rFonts w:cs="Times"/>
          <w:noProof/>
          <w:szCs w:val="24"/>
        </w:rPr>
        <w:tab/>
        <w:t xml:space="preserve">Altman, N. An Introduction to Kernel and Nearest-Neighbor Nonparametric Regression. </w:t>
      </w:r>
      <w:r w:rsidRPr="00B519AB">
        <w:rPr>
          <w:rFonts w:cs="Times"/>
          <w:i/>
          <w:iCs/>
          <w:noProof/>
          <w:szCs w:val="24"/>
        </w:rPr>
        <w:t>Am. Stat.</w:t>
      </w:r>
      <w:r w:rsidRPr="00B519AB">
        <w:rPr>
          <w:rFonts w:cs="Times"/>
          <w:noProof/>
          <w:szCs w:val="24"/>
        </w:rPr>
        <w:t xml:space="preserve"> </w:t>
      </w:r>
      <w:r w:rsidRPr="00B519AB">
        <w:rPr>
          <w:rFonts w:cs="Times"/>
          <w:b/>
          <w:bCs/>
          <w:noProof/>
          <w:szCs w:val="24"/>
        </w:rPr>
        <w:t>1992</w:t>
      </w:r>
      <w:r w:rsidRPr="00B519AB">
        <w:rPr>
          <w:rFonts w:cs="Times"/>
          <w:noProof/>
          <w:szCs w:val="24"/>
        </w:rPr>
        <w:t xml:space="preserve">, </w:t>
      </w:r>
      <w:r w:rsidRPr="00B519AB">
        <w:rPr>
          <w:rFonts w:cs="Times"/>
          <w:i/>
          <w:iCs/>
          <w:noProof/>
          <w:szCs w:val="24"/>
        </w:rPr>
        <w:t>46</w:t>
      </w:r>
      <w:r w:rsidRPr="00B519AB">
        <w:rPr>
          <w:rFonts w:cs="Times"/>
          <w:noProof/>
          <w:szCs w:val="24"/>
        </w:rPr>
        <w:t xml:space="preserve"> (3), 175–185.</w:t>
      </w:r>
    </w:p>
    <w:p w14:paraId="43A3230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(88) </w:t>
      </w:r>
      <w:r w:rsidRPr="00B519AB">
        <w:rPr>
          <w:rFonts w:cs="Times"/>
          <w:noProof/>
          <w:szCs w:val="24"/>
        </w:rPr>
        <w:tab/>
        <w:t xml:space="preserve">R Development Core Team. </w:t>
      </w:r>
      <w:r w:rsidRPr="00B519AB">
        <w:rPr>
          <w:rFonts w:cs="Times"/>
          <w:i/>
          <w:iCs/>
          <w:noProof/>
          <w:szCs w:val="24"/>
        </w:rPr>
        <w:t>R: A Language and Environment for Statistical Computing. R Foundation for Statistical Computing</w:t>
      </w:r>
      <w:r w:rsidRPr="00B519AB">
        <w:rPr>
          <w:rFonts w:cs="Times"/>
          <w:noProof/>
          <w:szCs w:val="24"/>
        </w:rPr>
        <w:t>; R Foundation for Statistical Computing: Vienna, Austria, 2008.</w:t>
      </w:r>
    </w:p>
    <w:p w14:paraId="64842A5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(89) </w:t>
      </w:r>
      <w:r w:rsidRPr="00B519AB">
        <w:rPr>
          <w:rFonts w:cs="Times"/>
          <w:noProof/>
          <w:szCs w:val="24"/>
        </w:rPr>
        <w:tab/>
        <w:t xml:space="preserve">Vapnik, V. </w:t>
      </w:r>
      <w:r w:rsidRPr="00B519AB">
        <w:rPr>
          <w:rFonts w:cs="Times"/>
          <w:i/>
          <w:iCs/>
          <w:noProof/>
          <w:szCs w:val="24"/>
        </w:rPr>
        <w:t>The Nature of Statistical Learning Theory</w:t>
      </w:r>
      <w:r w:rsidRPr="00B519AB">
        <w:rPr>
          <w:rFonts w:cs="Times"/>
          <w:noProof/>
          <w:szCs w:val="24"/>
        </w:rPr>
        <w:t>, 2nd ed.; Springer: New York, 2000.</w:t>
      </w:r>
    </w:p>
    <w:p w14:paraId="3D58770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(90) </w:t>
      </w:r>
      <w:r w:rsidRPr="00B519AB">
        <w:rPr>
          <w:rFonts w:cs="Times"/>
          <w:noProof/>
          <w:szCs w:val="24"/>
        </w:rPr>
        <w:tab/>
        <w:t xml:space="preserve">Breiman, L. Random Forests. </w:t>
      </w:r>
      <w:r w:rsidRPr="00B519AB">
        <w:rPr>
          <w:rFonts w:cs="Times"/>
          <w:i/>
          <w:iCs/>
          <w:noProof/>
          <w:szCs w:val="24"/>
        </w:rPr>
        <w:t>Mach. Learn.</w:t>
      </w:r>
      <w:r w:rsidRPr="00B519AB">
        <w:rPr>
          <w:rFonts w:cs="Times"/>
          <w:noProof/>
          <w:szCs w:val="24"/>
        </w:rPr>
        <w:t xml:space="preserve"> </w:t>
      </w:r>
      <w:r w:rsidRPr="00B519AB">
        <w:rPr>
          <w:rFonts w:cs="Times"/>
          <w:b/>
          <w:bCs/>
          <w:noProof/>
          <w:szCs w:val="24"/>
        </w:rPr>
        <w:t>2001</w:t>
      </w:r>
      <w:r w:rsidRPr="00B519AB">
        <w:rPr>
          <w:rFonts w:cs="Times"/>
          <w:noProof/>
          <w:szCs w:val="24"/>
        </w:rPr>
        <w:t xml:space="preserve">, </w:t>
      </w:r>
      <w:r w:rsidRPr="00B519AB">
        <w:rPr>
          <w:rFonts w:cs="Times"/>
          <w:i/>
          <w:iCs/>
          <w:noProof/>
          <w:szCs w:val="24"/>
        </w:rPr>
        <w:t>45</w:t>
      </w:r>
      <w:r w:rsidRPr="00B519AB">
        <w:rPr>
          <w:rFonts w:cs="Times"/>
          <w:noProof/>
          <w:szCs w:val="24"/>
        </w:rPr>
        <w:t xml:space="preserve"> (1), 5–32.</w:t>
      </w:r>
    </w:p>
    <w:p w14:paraId="05DA852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(91) </w:t>
      </w:r>
      <w:r w:rsidRPr="00B519AB">
        <w:rPr>
          <w:rFonts w:cs="Times"/>
          <w:noProof/>
          <w:szCs w:val="24"/>
        </w:rPr>
        <w:tab/>
        <w:t xml:space="preserve">Friedman, J. H. Greedy Function Approximation: A Gradient Boosting Machine. </w:t>
      </w:r>
      <w:r w:rsidRPr="00B519AB">
        <w:rPr>
          <w:rFonts w:cs="Times"/>
          <w:i/>
          <w:iCs/>
          <w:noProof/>
          <w:szCs w:val="24"/>
        </w:rPr>
        <w:t>Ann. Stat.</w:t>
      </w:r>
      <w:r w:rsidRPr="00B519AB">
        <w:rPr>
          <w:rFonts w:cs="Times"/>
          <w:noProof/>
          <w:szCs w:val="24"/>
        </w:rPr>
        <w:t xml:space="preserve"> </w:t>
      </w:r>
      <w:r w:rsidRPr="00B519AB">
        <w:rPr>
          <w:rFonts w:cs="Times"/>
          <w:b/>
          <w:bCs/>
          <w:noProof/>
          <w:szCs w:val="24"/>
        </w:rPr>
        <w:t>2001</w:t>
      </w:r>
      <w:r w:rsidRPr="00B519AB">
        <w:rPr>
          <w:rFonts w:cs="Times"/>
          <w:noProof/>
          <w:szCs w:val="24"/>
        </w:rPr>
        <w:t xml:space="preserve">, </w:t>
      </w:r>
      <w:r w:rsidRPr="00B519AB">
        <w:rPr>
          <w:rFonts w:cs="Times"/>
          <w:i/>
          <w:iCs/>
          <w:noProof/>
          <w:szCs w:val="24"/>
        </w:rPr>
        <w:t>29</w:t>
      </w:r>
      <w:r w:rsidRPr="00B519AB">
        <w:rPr>
          <w:rFonts w:cs="Times"/>
          <w:noProof/>
          <w:szCs w:val="24"/>
        </w:rPr>
        <w:t xml:space="preserve"> (5), 1189–1232.</w:t>
      </w:r>
    </w:p>
    <w:p w14:paraId="2B332BEB"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(92) </w:t>
      </w:r>
      <w:r w:rsidRPr="00B519AB">
        <w:rPr>
          <w:rFonts w:cs="Times"/>
          <w:noProof/>
          <w:szCs w:val="24"/>
        </w:rPr>
        <w:tab/>
        <w:t xml:space="preserve">Barker, M.; Rayens, W. Partial Least Squares for Discrimination. </w:t>
      </w:r>
      <w:r w:rsidRPr="00B519AB">
        <w:rPr>
          <w:rFonts w:cs="Times"/>
          <w:i/>
          <w:iCs/>
          <w:noProof/>
          <w:szCs w:val="24"/>
        </w:rPr>
        <w:t>J. Chemom.</w:t>
      </w:r>
      <w:r w:rsidRPr="00B519AB">
        <w:rPr>
          <w:rFonts w:cs="Times"/>
          <w:noProof/>
          <w:szCs w:val="24"/>
        </w:rPr>
        <w:t xml:space="preserve"> </w:t>
      </w:r>
      <w:r w:rsidRPr="00B519AB">
        <w:rPr>
          <w:rFonts w:cs="Times"/>
          <w:b/>
          <w:bCs/>
          <w:noProof/>
          <w:szCs w:val="24"/>
        </w:rPr>
        <w:t>2003</w:t>
      </w:r>
      <w:r w:rsidRPr="00B519AB">
        <w:rPr>
          <w:rFonts w:cs="Times"/>
          <w:noProof/>
          <w:szCs w:val="24"/>
        </w:rPr>
        <w:t xml:space="preserve">, </w:t>
      </w:r>
      <w:r w:rsidRPr="00B519AB">
        <w:rPr>
          <w:rFonts w:cs="Times"/>
          <w:i/>
          <w:iCs/>
          <w:noProof/>
          <w:szCs w:val="24"/>
        </w:rPr>
        <w:t>17</w:t>
      </w:r>
      <w:r w:rsidRPr="00B519AB">
        <w:rPr>
          <w:rFonts w:cs="Times"/>
          <w:noProof/>
          <w:szCs w:val="24"/>
        </w:rPr>
        <w:t>, 166–173.</w:t>
      </w:r>
    </w:p>
    <w:p w14:paraId="6528AEC9"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(93) </w:t>
      </w:r>
      <w:r w:rsidRPr="00B519AB">
        <w:rPr>
          <w:rFonts w:cs="Times"/>
          <w:noProof/>
          <w:szCs w:val="24"/>
        </w:rPr>
        <w:tab/>
        <w:t xml:space="preserve">Breiman, L.; Friedman, J.; Olshen, R. A.; Charles, J. S. </w:t>
      </w:r>
      <w:r w:rsidRPr="00B519AB">
        <w:rPr>
          <w:rFonts w:cs="Times"/>
          <w:i/>
          <w:iCs/>
          <w:noProof/>
          <w:szCs w:val="24"/>
        </w:rPr>
        <w:t>Classification and Regression Trees</w:t>
      </w:r>
      <w:r w:rsidRPr="00B519AB">
        <w:rPr>
          <w:rFonts w:cs="Times"/>
          <w:noProof/>
          <w:szCs w:val="24"/>
        </w:rPr>
        <w:t>, 1nd ed.; Breiman, L., Ed.; Wadsworth &amp; Brooks/Cole Advanced Books &amp; Software: Monterey, 1984.</w:t>
      </w:r>
    </w:p>
    <w:p w14:paraId="64C63BBF"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(94) </w:t>
      </w:r>
      <w:r w:rsidRPr="00B519AB">
        <w:rPr>
          <w:rFonts w:cs="Times"/>
          <w:noProof/>
          <w:szCs w:val="24"/>
        </w:rPr>
        <w:tab/>
        <w:t xml:space="preserve">Rosenblatt, F. </w:t>
      </w:r>
      <w:r w:rsidRPr="00B519AB">
        <w:rPr>
          <w:rFonts w:cs="Times"/>
          <w:i/>
          <w:iCs/>
          <w:noProof/>
          <w:szCs w:val="24"/>
        </w:rPr>
        <w:t>Principles of Neurodynamics; Perceptrons and the Theory of Brain Mechanisms</w:t>
      </w:r>
      <w:r w:rsidRPr="00B519AB">
        <w:rPr>
          <w:rFonts w:cs="Times"/>
          <w:noProof/>
          <w:szCs w:val="24"/>
        </w:rPr>
        <w:t>, 1nd ed.; Rosenblatt, F., Ed.; Spartan Books: Washington, 1962.</w:t>
      </w:r>
    </w:p>
    <w:p w14:paraId="23EEE95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(95) </w:t>
      </w:r>
      <w:r w:rsidRPr="00B519AB">
        <w:rPr>
          <w:rFonts w:cs="Times"/>
          <w:noProof/>
          <w:szCs w:val="24"/>
        </w:rPr>
        <w:tab/>
        <w:t xml:space="preserve">Friedman, J. H. Multivariate Adaptive Regression Splines. </w:t>
      </w:r>
      <w:r w:rsidRPr="00B519AB">
        <w:rPr>
          <w:rFonts w:cs="Times"/>
          <w:i/>
          <w:iCs/>
          <w:noProof/>
          <w:szCs w:val="24"/>
        </w:rPr>
        <w:t>Ann. Stat.</w:t>
      </w:r>
      <w:r w:rsidRPr="00B519AB">
        <w:rPr>
          <w:rFonts w:cs="Times"/>
          <w:noProof/>
          <w:szCs w:val="24"/>
        </w:rPr>
        <w:t xml:space="preserve"> </w:t>
      </w:r>
      <w:r w:rsidRPr="00B519AB">
        <w:rPr>
          <w:rFonts w:cs="Times"/>
          <w:b/>
          <w:bCs/>
          <w:noProof/>
          <w:szCs w:val="24"/>
        </w:rPr>
        <w:t>1991</w:t>
      </w:r>
      <w:r w:rsidRPr="00B519AB">
        <w:rPr>
          <w:rFonts w:cs="Times"/>
          <w:noProof/>
          <w:szCs w:val="24"/>
        </w:rPr>
        <w:t xml:space="preserve">, </w:t>
      </w:r>
      <w:r w:rsidRPr="00B519AB">
        <w:rPr>
          <w:rFonts w:cs="Times"/>
          <w:i/>
          <w:iCs/>
          <w:noProof/>
          <w:szCs w:val="24"/>
        </w:rPr>
        <w:t>19</w:t>
      </w:r>
      <w:r w:rsidRPr="00B519AB">
        <w:rPr>
          <w:rFonts w:cs="Times"/>
          <w:noProof/>
          <w:szCs w:val="24"/>
        </w:rPr>
        <w:t xml:space="preserve"> (1), 1–67.</w:t>
      </w:r>
    </w:p>
    <w:p w14:paraId="1F7AE8CE"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(96) </w:t>
      </w:r>
      <w:r w:rsidRPr="00B519AB">
        <w:rPr>
          <w:rFonts w:cs="Times"/>
          <w:noProof/>
          <w:szCs w:val="24"/>
        </w:rPr>
        <w:tab/>
        <w:t xml:space="preserve">Zhang, S.; Golbraikh, A.; Oloff, S.; Kohn, H.; Tropsha, A. A Novel Automated Lazy Learning QSAR (ALL-QSAR) Approach: Method Development, Applications, and Virtual Screening of Chemical Databases Using Validated ALL-QSAR Models.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2006</w:t>
      </w:r>
      <w:r w:rsidRPr="00B519AB">
        <w:rPr>
          <w:rFonts w:cs="Times"/>
          <w:noProof/>
          <w:szCs w:val="24"/>
        </w:rPr>
        <w:t xml:space="preserve">, </w:t>
      </w:r>
      <w:r w:rsidRPr="00B519AB">
        <w:rPr>
          <w:rFonts w:cs="Times"/>
          <w:i/>
          <w:iCs/>
          <w:noProof/>
          <w:szCs w:val="24"/>
        </w:rPr>
        <w:t>46</w:t>
      </w:r>
      <w:r w:rsidRPr="00B519AB">
        <w:rPr>
          <w:rFonts w:cs="Times"/>
          <w:noProof/>
          <w:szCs w:val="24"/>
        </w:rPr>
        <w:t xml:space="preserve"> (5), 1984–1995.</w:t>
      </w:r>
    </w:p>
    <w:p w14:paraId="4941E8C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(97) </w:t>
      </w:r>
      <w:r w:rsidRPr="00B519AB">
        <w:rPr>
          <w:rFonts w:cs="Times"/>
          <w:noProof/>
          <w:szCs w:val="24"/>
        </w:rPr>
        <w:tab/>
        <w:t xml:space="preserve">Cohen, J. A Coefficient of Agreement of Nominal Scales. </w:t>
      </w:r>
      <w:r w:rsidRPr="00B519AB">
        <w:rPr>
          <w:rFonts w:cs="Times"/>
          <w:i/>
          <w:iCs/>
          <w:noProof/>
          <w:szCs w:val="24"/>
        </w:rPr>
        <w:t>Educ. Psychol. Meas.</w:t>
      </w:r>
      <w:r w:rsidRPr="00B519AB">
        <w:rPr>
          <w:rFonts w:cs="Times"/>
          <w:noProof/>
          <w:szCs w:val="24"/>
        </w:rPr>
        <w:t xml:space="preserve"> </w:t>
      </w:r>
      <w:r w:rsidRPr="00B519AB">
        <w:rPr>
          <w:rFonts w:cs="Times"/>
          <w:b/>
          <w:bCs/>
          <w:noProof/>
          <w:szCs w:val="24"/>
        </w:rPr>
        <w:t>1960</w:t>
      </w:r>
      <w:r w:rsidRPr="00B519AB">
        <w:rPr>
          <w:rFonts w:cs="Times"/>
          <w:noProof/>
          <w:szCs w:val="24"/>
        </w:rPr>
        <w:t xml:space="preserve">, </w:t>
      </w:r>
      <w:r w:rsidRPr="00B519AB">
        <w:rPr>
          <w:rFonts w:cs="Times"/>
          <w:i/>
          <w:iCs/>
          <w:noProof/>
          <w:szCs w:val="24"/>
        </w:rPr>
        <w:t>20</w:t>
      </w:r>
      <w:r w:rsidRPr="00B519AB">
        <w:rPr>
          <w:rFonts w:cs="Times"/>
          <w:noProof/>
          <w:szCs w:val="24"/>
        </w:rPr>
        <w:t>, 37–46.</w:t>
      </w:r>
    </w:p>
    <w:p w14:paraId="008BC7C7"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(98) </w:t>
      </w:r>
      <w:r w:rsidRPr="00B519AB">
        <w:rPr>
          <w:rFonts w:cs="Times"/>
          <w:noProof/>
          <w:szCs w:val="24"/>
        </w:rPr>
        <w:tab/>
        <w:t xml:space="preserve">Saubern, S.; Guha, R.; Baell, J. B. KNIME Workflow to Assess PAINS Filters in SMARTS Format. Comparison of RDKit and Indigo Cheminformatics Libraries. </w:t>
      </w:r>
      <w:r w:rsidRPr="00B519AB">
        <w:rPr>
          <w:rFonts w:cs="Times"/>
          <w:i/>
          <w:iCs/>
          <w:noProof/>
          <w:szCs w:val="24"/>
        </w:rPr>
        <w:t>Mol. Inform.</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30</w:t>
      </w:r>
      <w:r w:rsidRPr="00B519AB">
        <w:rPr>
          <w:rFonts w:cs="Times"/>
          <w:noProof/>
          <w:szCs w:val="24"/>
        </w:rPr>
        <w:t xml:space="preserve"> (10), 847–850.</w:t>
      </w:r>
    </w:p>
    <w:p w14:paraId="0D7BDA9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(99) </w:t>
      </w:r>
      <w:r w:rsidRPr="00B519AB">
        <w:rPr>
          <w:rFonts w:cs="Times"/>
          <w:noProof/>
          <w:szCs w:val="24"/>
        </w:rPr>
        <w:tab/>
        <w:t xml:space="preserve">Alves, V. M.; Braga, R. C.; Silva, M. B.; Muratov, E.; Fourches, D.; Tropsha, A.; Andrade, C. H. Pred-hERG: A Novel Web-Accessible Computational Tool for Predicting Cardiac Toxicity of Drug Candidates. In </w:t>
      </w:r>
      <w:r w:rsidRPr="00B519AB">
        <w:rPr>
          <w:rFonts w:cs="Times"/>
          <w:i/>
          <w:iCs/>
          <w:noProof/>
          <w:szCs w:val="24"/>
        </w:rPr>
        <w:t>Abstracts of Papers, 248th ACS National Meeting &amp; Exposition, San Francisco, CA, United States, August 10-14, 2014</w:t>
      </w:r>
      <w:r w:rsidRPr="00B519AB">
        <w:rPr>
          <w:rFonts w:cs="Times"/>
          <w:noProof/>
          <w:szCs w:val="24"/>
        </w:rPr>
        <w:t>; American Chemical Society, 2014; p CINF – 40.</w:t>
      </w:r>
    </w:p>
    <w:p w14:paraId="637D764C"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(100) </w:t>
      </w:r>
      <w:r w:rsidRPr="00B519AB">
        <w:rPr>
          <w:rFonts w:cs="Times"/>
          <w:noProof/>
          <w:szCs w:val="24"/>
        </w:rPr>
        <w:tab/>
        <w:t xml:space="preserve">Cheng, F.; Li, W.; Zhou, Y.; Shen, J.; Wu, Z.; Liu, G.; Lee, P. W.; Tang, Y. admetSAR: A Comprehensive Source and Free Tool for Assessment of Chemical ADMET Properties. </w:t>
      </w:r>
      <w:r w:rsidRPr="00B519AB">
        <w:rPr>
          <w:rFonts w:cs="Times"/>
          <w:i/>
          <w:iCs/>
          <w:noProof/>
          <w:szCs w:val="24"/>
        </w:rPr>
        <w:t>J. Chem. Inf. Model.</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52</w:t>
      </w:r>
      <w:r w:rsidRPr="00B519AB">
        <w:rPr>
          <w:rFonts w:cs="Times"/>
          <w:noProof/>
          <w:szCs w:val="24"/>
        </w:rPr>
        <w:t xml:space="preserve"> (11), 3099–3105.</w:t>
      </w:r>
    </w:p>
    <w:p w14:paraId="5F3023BA"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(101) </w:t>
      </w:r>
      <w:r w:rsidRPr="00B519AB">
        <w:rPr>
          <w:rFonts w:cs="Times"/>
          <w:noProof/>
          <w:szCs w:val="24"/>
        </w:rPr>
        <w:tab/>
        <w:t xml:space="preserve">Lagunin, A.; Filimonov, D.; Zakharov, A.; Xie, W.; Huang, Y.; Zhu, F.; Shen, T.; Yao, J.; Poroikov, V. Computer-Aided Prediction of Rodent Carcinogenicity by PASS and CISOC-PSCT. </w:t>
      </w:r>
      <w:r w:rsidRPr="00B519AB">
        <w:rPr>
          <w:rFonts w:cs="Times"/>
          <w:i/>
          <w:iCs/>
          <w:noProof/>
          <w:szCs w:val="24"/>
        </w:rPr>
        <w:t>QSAR Comb. Sci.</w:t>
      </w:r>
      <w:r w:rsidRPr="00B519AB">
        <w:rPr>
          <w:rFonts w:cs="Times"/>
          <w:noProof/>
          <w:szCs w:val="24"/>
        </w:rPr>
        <w:t xml:space="preserve"> </w:t>
      </w:r>
      <w:r w:rsidRPr="00B519AB">
        <w:rPr>
          <w:rFonts w:cs="Times"/>
          <w:b/>
          <w:bCs/>
          <w:noProof/>
          <w:szCs w:val="24"/>
        </w:rPr>
        <w:t>2009</w:t>
      </w:r>
      <w:r w:rsidRPr="00B519AB">
        <w:rPr>
          <w:rFonts w:cs="Times"/>
          <w:noProof/>
          <w:szCs w:val="24"/>
        </w:rPr>
        <w:t xml:space="preserve">, </w:t>
      </w:r>
      <w:r w:rsidRPr="00B519AB">
        <w:rPr>
          <w:rFonts w:cs="Times"/>
          <w:i/>
          <w:iCs/>
          <w:noProof/>
          <w:szCs w:val="24"/>
        </w:rPr>
        <w:t>28</w:t>
      </w:r>
      <w:r w:rsidRPr="00B519AB">
        <w:rPr>
          <w:rFonts w:cs="Times"/>
          <w:noProof/>
          <w:szCs w:val="24"/>
        </w:rPr>
        <w:t xml:space="preserve"> (8), 806–810.</w:t>
      </w:r>
    </w:p>
    <w:p w14:paraId="54D77E32"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(102) </w:t>
      </w:r>
      <w:r w:rsidRPr="00B519AB">
        <w:rPr>
          <w:rFonts w:cs="Times"/>
          <w:noProof/>
          <w:szCs w:val="24"/>
        </w:rPr>
        <w:tab/>
        <w:t xml:space="preserve">He, Y.; Liew, C. Y.; Sharma, N.; Woo, S. K.; Chau, Y. T.; Yap, C. W. PaDEL-DDPredictor: Open-Source Software for PD-PK-T Prediction. </w:t>
      </w:r>
      <w:r w:rsidRPr="00B519AB">
        <w:rPr>
          <w:rFonts w:cs="Times"/>
          <w:i/>
          <w:iCs/>
          <w:noProof/>
          <w:szCs w:val="24"/>
        </w:rPr>
        <w:t>J. Comput. Chem.</w:t>
      </w:r>
      <w:r w:rsidRPr="00B519AB">
        <w:rPr>
          <w:rFonts w:cs="Times"/>
          <w:noProof/>
          <w:szCs w:val="24"/>
        </w:rPr>
        <w:t xml:space="preserve"> </w:t>
      </w:r>
      <w:r w:rsidRPr="00B519AB">
        <w:rPr>
          <w:rFonts w:cs="Times"/>
          <w:b/>
          <w:bCs/>
          <w:noProof/>
          <w:szCs w:val="24"/>
        </w:rPr>
        <w:t>2013</w:t>
      </w:r>
      <w:r w:rsidRPr="00B519AB">
        <w:rPr>
          <w:rFonts w:cs="Times"/>
          <w:noProof/>
          <w:szCs w:val="24"/>
        </w:rPr>
        <w:t xml:space="preserve">, </w:t>
      </w:r>
      <w:r w:rsidRPr="00B519AB">
        <w:rPr>
          <w:rFonts w:cs="Times"/>
          <w:i/>
          <w:iCs/>
          <w:noProof/>
          <w:szCs w:val="24"/>
        </w:rPr>
        <w:t>34</w:t>
      </w:r>
      <w:r w:rsidRPr="00B519AB">
        <w:rPr>
          <w:rFonts w:cs="Times"/>
          <w:noProof/>
          <w:szCs w:val="24"/>
        </w:rPr>
        <w:t xml:space="preserve"> (7), 604–610.</w:t>
      </w:r>
    </w:p>
    <w:p w14:paraId="6A112605"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(103) </w:t>
      </w:r>
      <w:r w:rsidRPr="00B519AB">
        <w:rPr>
          <w:rFonts w:cs="Times"/>
          <w:noProof/>
          <w:szCs w:val="24"/>
        </w:rPr>
        <w:tab/>
        <w:t xml:space="preserve">Liew, C. Y.; Lim, Y. C.; Yap, C. W. Mixed Learning Algorithms and Features Ensemble in Hepatotoxicity Prediction. </w:t>
      </w:r>
      <w:r w:rsidRPr="00B519AB">
        <w:rPr>
          <w:rFonts w:cs="Times"/>
          <w:i/>
          <w:iCs/>
          <w:noProof/>
          <w:szCs w:val="24"/>
        </w:rPr>
        <w:t>J. Comput. Aided. Mol. Des.</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25</w:t>
      </w:r>
      <w:r w:rsidRPr="00B519AB">
        <w:rPr>
          <w:rFonts w:cs="Times"/>
          <w:noProof/>
          <w:szCs w:val="24"/>
        </w:rPr>
        <w:t xml:space="preserve"> (9), 855–871.</w:t>
      </w:r>
    </w:p>
    <w:p w14:paraId="2EEC7033"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lastRenderedPageBreak/>
        <w:t xml:space="preserve">(104) </w:t>
      </w:r>
      <w:r w:rsidRPr="00B519AB">
        <w:rPr>
          <w:rFonts w:cs="Times"/>
          <w:noProof/>
          <w:szCs w:val="24"/>
        </w:rPr>
        <w:tab/>
        <w:t xml:space="preserve">Marxer, M.; Ingram, K.; Keiser, J. Development of an in Vitro Drug Screening Assay Using Schistosoma Haematobium Schistosomula. </w:t>
      </w:r>
      <w:r w:rsidRPr="00B519AB">
        <w:rPr>
          <w:rFonts w:cs="Times"/>
          <w:i/>
          <w:iCs/>
          <w:noProof/>
          <w:szCs w:val="24"/>
        </w:rPr>
        <w:t>Parasit. Vectors</w:t>
      </w:r>
      <w:r w:rsidRPr="00B519AB">
        <w:rPr>
          <w:rFonts w:cs="Times"/>
          <w:noProof/>
          <w:szCs w:val="24"/>
        </w:rPr>
        <w:t xml:space="preserve"> </w:t>
      </w:r>
      <w:r w:rsidRPr="00B519AB">
        <w:rPr>
          <w:rFonts w:cs="Times"/>
          <w:b/>
          <w:bCs/>
          <w:noProof/>
          <w:szCs w:val="24"/>
        </w:rPr>
        <w:t>2012</w:t>
      </w:r>
      <w:r w:rsidRPr="00B519AB">
        <w:rPr>
          <w:rFonts w:cs="Times"/>
          <w:noProof/>
          <w:szCs w:val="24"/>
        </w:rPr>
        <w:t xml:space="preserve">, </w:t>
      </w:r>
      <w:r w:rsidRPr="00B519AB">
        <w:rPr>
          <w:rFonts w:cs="Times"/>
          <w:i/>
          <w:iCs/>
          <w:noProof/>
          <w:szCs w:val="24"/>
        </w:rPr>
        <w:t>5</w:t>
      </w:r>
      <w:r w:rsidRPr="00B519AB">
        <w:rPr>
          <w:rFonts w:cs="Times"/>
          <w:noProof/>
          <w:szCs w:val="24"/>
        </w:rPr>
        <w:t xml:space="preserve"> (1), 165.</w:t>
      </w:r>
    </w:p>
    <w:p w14:paraId="3F991AF6" w14:textId="77777777" w:rsidR="00B519AB" w:rsidRPr="00B519AB" w:rsidRDefault="00B519AB" w:rsidP="00B519AB">
      <w:pPr>
        <w:widowControl w:val="0"/>
        <w:autoSpaceDE w:val="0"/>
        <w:autoSpaceDN w:val="0"/>
        <w:adjustRightInd w:val="0"/>
        <w:spacing w:line="480" w:lineRule="auto"/>
        <w:ind w:left="640" w:hanging="640"/>
        <w:rPr>
          <w:rFonts w:cs="Times"/>
          <w:noProof/>
          <w:szCs w:val="24"/>
        </w:rPr>
      </w:pPr>
      <w:r w:rsidRPr="00B519AB">
        <w:rPr>
          <w:rFonts w:cs="Times"/>
          <w:noProof/>
          <w:szCs w:val="24"/>
        </w:rPr>
        <w:t xml:space="preserve">(105) </w:t>
      </w:r>
      <w:r w:rsidRPr="00B519AB">
        <w:rPr>
          <w:rFonts w:cs="Times"/>
          <w:noProof/>
          <w:szCs w:val="24"/>
        </w:rPr>
        <w:tab/>
        <w:t xml:space="preserve">Mansour, N. R.; Bickle, Q. D. Comparison of Microscopy and Alamar Blue Reduction in a Larval Based Assay for Schistosome Drug Screening. </w:t>
      </w:r>
      <w:r w:rsidRPr="00B519AB">
        <w:rPr>
          <w:rFonts w:cs="Times"/>
          <w:i/>
          <w:iCs/>
          <w:noProof/>
          <w:szCs w:val="24"/>
        </w:rPr>
        <w:t>PLoS Negl. Trop. Dis.</w:t>
      </w:r>
      <w:r w:rsidRPr="00B519AB">
        <w:rPr>
          <w:rFonts w:cs="Times"/>
          <w:noProof/>
          <w:szCs w:val="24"/>
        </w:rPr>
        <w:t xml:space="preserve"> </w:t>
      </w:r>
      <w:r w:rsidRPr="00B519AB">
        <w:rPr>
          <w:rFonts w:cs="Times"/>
          <w:b/>
          <w:bCs/>
          <w:noProof/>
          <w:szCs w:val="24"/>
        </w:rPr>
        <w:t>2010</w:t>
      </w:r>
      <w:r w:rsidRPr="00B519AB">
        <w:rPr>
          <w:rFonts w:cs="Times"/>
          <w:noProof/>
          <w:szCs w:val="24"/>
        </w:rPr>
        <w:t xml:space="preserve">, </w:t>
      </w:r>
      <w:r w:rsidRPr="00B519AB">
        <w:rPr>
          <w:rFonts w:cs="Times"/>
          <w:i/>
          <w:iCs/>
          <w:noProof/>
          <w:szCs w:val="24"/>
        </w:rPr>
        <w:t>4</w:t>
      </w:r>
      <w:r w:rsidRPr="00B519AB">
        <w:rPr>
          <w:rFonts w:cs="Times"/>
          <w:noProof/>
          <w:szCs w:val="24"/>
        </w:rPr>
        <w:t xml:space="preserve"> (8), e795.</w:t>
      </w:r>
    </w:p>
    <w:p w14:paraId="6FAC1F50" w14:textId="77777777" w:rsidR="00B519AB" w:rsidRPr="00B519AB" w:rsidRDefault="00B519AB" w:rsidP="00B519AB">
      <w:pPr>
        <w:widowControl w:val="0"/>
        <w:autoSpaceDE w:val="0"/>
        <w:autoSpaceDN w:val="0"/>
        <w:adjustRightInd w:val="0"/>
        <w:spacing w:line="480" w:lineRule="auto"/>
        <w:ind w:left="640" w:hanging="640"/>
        <w:rPr>
          <w:rFonts w:cs="Times"/>
          <w:noProof/>
        </w:rPr>
      </w:pPr>
      <w:r w:rsidRPr="00B519AB">
        <w:rPr>
          <w:rFonts w:cs="Times"/>
          <w:noProof/>
          <w:szCs w:val="24"/>
        </w:rPr>
        <w:t xml:space="preserve">(106) </w:t>
      </w:r>
      <w:r w:rsidRPr="00B519AB">
        <w:rPr>
          <w:rFonts w:cs="Times"/>
          <w:noProof/>
          <w:szCs w:val="24"/>
        </w:rPr>
        <w:tab/>
        <w:t xml:space="preserve">Kamentsky, L.; Jones, T. R.; Fraser, A.; Bray, M.-A.; Logan, D. J.; Madden, K. L.; Ljosa, V.; Rueden, C.; Eliceiri, K. W.; Carpenter, A. E. Improved Structure, Function and Compatibility for CellProfiler: Modular High-Throughput Image Analysis Software. </w:t>
      </w:r>
      <w:r w:rsidRPr="00B519AB">
        <w:rPr>
          <w:rFonts w:cs="Times"/>
          <w:i/>
          <w:iCs/>
          <w:noProof/>
          <w:szCs w:val="24"/>
        </w:rPr>
        <w:t>Bioinformatics</w:t>
      </w:r>
      <w:r w:rsidRPr="00B519AB">
        <w:rPr>
          <w:rFonts w:cs="Times"/>
          <w:noProof/>
          <w:szCs w:val="24"/>
        </w:rPr>
        <w:t xml:space="preserve"> </w:t>
      </w:r>
      <w:r w:rsidRPr="00B519AB">
        <w:rPr>
          <w:rFonts w:cs="Times"/>
          <w:b/>
          <w:bCs/>
          <w:noProof/>
          <w:szCs w:val="24"/>
        </w:rPr>
        <w:t>2011</w:t>
      </w:r>
      <w:r w:rsidRPr="00B519AB">
        <w:rPr>
          <w:rFonts w:cs="Times"/>
          <w:noProof/>
          <w:szCs w:val="24"/>
        </w:rPr>
        <w:t xml:space="preserve">, </w:t>
      </w:r>
      <w:r w:rsidRPr="00B519AB">
        <w:rPr>
          <w:rFonts w:cs="Times"/>
          <w:i/>
          <w:iCs/>
          <w:noProof/>
          <w:szCs w:val="24"/>
        </w:rPr>
        <w:t>27</w:t>
      </w:r>
      <w:r w:rsidRPr="00B519AB">
        <w:rPr>
          <w:rFonts w:cs="Times"/>
          <w:noProof/>
          <w:szCs w:val="24"/>
        </w:rPr>
        <w:t xml:space="preserve"> (8), 1179–1180.</w:t>
      </w:r>
    </w:p>
    <w:p w14:paraId="1F66ECF1" w14:textId="4E235D5E" w:rsidR="00A5572E" w:rsidRDefault="008D5E81" w:rsidP="00B519AB">
      <w:pPr>
        <w:widowControl w:val="0"/>
        <w:autoSpaceDE w:val="0"/>
        <w:autoSpaceDN w:val="0"/>
        <w:adjustRightInd w:val="0"/>
        <w:spacing w:line="480" w:lineRule="auto"/>
        <w:ind w:left="640" w:hanging="640"/>
      </w:pPr>
      <w:r>
        <w:fldChar w:fldCharType="end"/>
      </w:r>
    </w:p>
    <w:p w14:paraId="2D36B7E7" w14:textId="77777777" w:rsidR="00203757" w:rsidRDefault="00203757" w:rsidP="002C176F"/>
    <w:p w14:paraId="2EBEC2E1" w14:textId="77777777" w:rsidR="00F617F7" w:rsidRDefault="00F617F7" w:rsidP="002C176F"/>
    <w:p w14:paraId="74AB9B2F" w14:textId="77777777" w:rsidR="00BE6F7B" w:rsidRDefault="00BE6F7B" w:rsidP="002C176F"/>
    <w:p w14:paraId="766D46DE" w14:textId="77777777" w:rsidR="00BE6F7B" w:rsidRDefault="00BE6F7B" w:rsidP="002C176F"/>
    <w:p w14:paraId="5944B47F" w14:textId="77777777" w:rsidR="00BE6F7B" w:rsidRDefault="00BE6F7B" w:rsidP="002C176F"/>
    <w:p w14:paraId="3BCD6419" w14:textId="77777777" w:rsidR="00BE6F7B" w:rsidRDefault="00BE6F7B" w:rsidP="002C176F"/>
    <w:p w14:paraId="513E3B48" w14:textId="77777777" w:rsidR="002D40A7" w:rsidRDefault="002D40A7" w:rsidP="002C176F"/>
    <w:p w14:paraId="5B751099" w14:textId="77777777" w:rsidR="002D40A7" w:rsidRDefault="002D40A7" w:rsidP="002C176F"/>
    <w:p w14:paraId="350A9673" w14:textId="77777777" w:rsidR="002D40A7" w:rsidRDefault="002D40A7" w:rsidP="002C176F"/>
    <w:p w14:paraId="723A7D96" w14:textId="77777777" w:rsidR="002D40A7" w:rsidRDefault="002D40A7" w:rsidP="002C176F"/>
    <w:p w14:paraId="48F0CC18" w14:textId="77777777" w:rsidR="002D40A7" w:rsidRDefault="002D40A7" w:rsidP="002C176F"/>
    <w:p w14:paraId="58D27E13" w14:textId="77777777" w:rsidR="002D40A7" w:rsidRDefault="002D40A7" w:rsidP="002C176F"/>
    <w:p w14:paraId="1E3B7213" w14:textId="77777777" w:rsidR="002D40A7" w:rsidRDefault="002D40A7" w:rsidP="002C176F"/>
    <w:p w14:paraId="5185E581" w14:textId="77777777" w:rsidR="00BE6F7B" w:rsidRDefault="00BE6F7B" w:rsidP="002C176F"/>
    <w:p w14:paraId="76511819" w14:textId="486213B9" w:rsidR="002C176F" w:rsidRDefault="002C176F" w:rsidP="006247F8">
      <w:pPr>
        <w:jc w:val="center"/>
        <w:outlineLvl w:val="0"/>
        <w:rPr>
          <w:b/>
        </w:rPr>
      </w:pPr>
      <w:r w:rsidRPr="00195F51">
        <w:rPr>
          <w:b/>
        </w:rPr>
        <w:lastRenderedPageBreak/>
        <w:t>Table of Contents Graphic (TOC)</w:t>
      </w:r>
    </w:p>
    <w:p w14:paraId="448FD20E" w14:textId="77777777" w:rsidR="00FF60F4" w:rsidRDefault="00FF60F4" w:rsidP="002C176F">
      <w:pPr>
        <w:jc w:val="center"/>
        <w:rPr>
          <w:b/>
        </w:rPr>
      </w:pPr>
    </w:p>
    <w:p w14:paraId="53251190" w14:textId="75C517CA" w:rsidR="00BD797C" w:rsidRPr="00DE60AC" w:rsidRDefault="00FF60F4" w:rsidP="00FF60F4">
      <w:pPr>
        <w:pStyle w:val="BBAuthorName"/>
        <w:spacing w:line="240" w:lineRule="auto"/>
        <w:rPr>
          <w:rFonts w:ascii="Times New Roman" w:hAnsi="Times New Roman"/>
          <w:i w:val="0"/>
          <w:sz w:val="22"/>
          <w:szCs w:val="22"/>
        </w:rPr>
      </w:pPr>
      <w:r>
        <w:rPr>
          <w:rFonts w:ascii="Times New Roman" w:hAnsi="Times New Roman"/>
          <w:i w:val="0"/>
          <w:noProof/>
          <w:sz w:val="22"/>
          <w:szCs w:val="22"/>
        </w:rPr>
        <w:drawing>
          <wp:inline distT="0" distB="0" distL="0" distR="0" wp14:anchorId="252E9B0B" wp14:editId="5C7A482A">
            <wp:extent cx="5284800" cy="1980000"/>
            <wp:effectExtent l="0" t="0" r="0" b="127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png"/>
                    <pic:cNvPicPr/>
                  </pic:nvPicPr>
                  <pic:blipFill>
                    <a:blip r:embed="rId18">
                      <a:extLst>
                        <a:ext uri="{28A0092B-C50C-407E-A947-70E740481C1C}">
                          <a14:useLocalDpi xmlns:a14="http://schemas.microsoft.com/office/drawing/2010/main" val="0"/>
                        </a:ext>
                      </a:extLst>
                    </a:blip>
                    <a:stretch>
                      <a:fillRect/>
                    </a:stretch>
                  </pic:blipFill>
                  <pic:spPr>
                    <a:xfrm>
                      <a:off x="0" y="0"/>
                      <a:ext cx="5284800" cy="1980000"/>
                    </a:xfrm>
                    <a:prstGeom prst="rect">
                      <a:avLst/>
                    </a:prstGeom>
                  </pic:spPr>
                </pic:pic>
              </a:graphicData>
            </a:graphic>
          </wp:inline>
        </w:drawing>
      </w:r>
    </w:p>
    <w:p w14:paraId="7534E9EF" w14:textId="59200F7C" w:rsidR="002C176F" w:rsidRDefault="002C176F" w:rsidP="002C176F">
      <w:pPr>
        <w:jc w:val="center"/>
        <w:rPr>
          <w:b/>
        </w:rPr>
      </w:pPr>
    </w:p>
    <w:p w14:paraId="50332EBB" w14:textId="77777777" w:rsidR="00653C45" w:rsidRDefault="00653C45" w:rsidP="006247F8">
      <w:pPr>
        <w:pStyle w:val="VBChartTitle"/>
        <w:outlineLvl w:val="0"/>
        <w:rPr>
          <w:rFonts w:ascii="Times New Roman" w:hAnsi="Times New Roman"/>
          <w:b/>
          <w:highlight w:val="yellow"/>
        </w:rPr>
      </w:pPr>
    </w:p>
    <w:p w14:paraId="5694AA60" w14:textId="77777777" w:rsidR="00653C45" w:rsidRDefault="00653C45" w:rsidP="006247F8">
      <w:pPr>
        <w:pStyle w:val="VBChartTitle"/>
        <w:outlineLvl w:val="0"/>
        <w:rPr>
          <w:rFonts w:ascii="Times New Roman" w:hAnsi="Times New Roman"/>
          <w:b/>
          <w:highlight w:val="yellow"/>
        </w:rPr>
      </w:pPr>
    </w:p>
    <w:p w14:paraId="20591B0A" w14:textId="77777777" w:rsidR="00653C45" w:rsidRDefault="00653C45" w:rsidP="006247F8">
      <w:pPr>
        <w:pStyle w:val="VBChartTitle"/>
        <w:outlineLvl w:val="0"/>
        <w:rPr>
          <w:rFonts w:ascii="Times New Roman" w:hAnsi="Times New Roman"/>
          <w:b/>
          <w:highlight w:val="yellow"/>
        </w:rPr>
      </w:pPr>
    </w:p>
    <w:p w14:paraId="156F1345" w14:textId="77777777" w:rsidR="00653C45" w:rsidRDefault="00653C45" w:rsidP="006247F8">
      <w:pPr>
        <w:pStyle w:val="VBChartTitle"/>
        <w:outlineLvl w:val="0"/>
        <w:rPr>
          <w:rFonts w:ascii="Times New Roman" w:hAnsi="Times New Roman"/>
          <w:b/>
          <w:highlight w:val="yellow"/>
        </w:rPr>
      </w:pPr>
    </w:p>
    <w:p w14:paraId="6143003A" w14:textId="77777777" w:rsidR="00653C45" w:rsidRDefault="00653C45" w:rsidP="006247F8">
      <w:pPr>
        <w:pStyle w:val="VBChartTitle"/>
        <w:outlineLvl w:val="0"/>
        <w:rPr>
          <w:rFonts w:ascii="Times New Roman" w:hAnsi="Times New Roman"/>
          <w:b/>
          <w:highlight w:val="yellow"/>
        </w:rPr>
      </w:pPr>
    </w:p>
    <w:p w14:paraId="626C99D1" w14:textId="77777777" w:rsidR="00653C45" w:rsidRDefault="00653C45" w:rsidP="006247F8">
      <w:pPr>
        <w:pStyle w:val="VBChartTitle"/>
        <w:outlineLvl w:val="0"/>
        <w:rPr>
          <w:rFonts w:ascii="Times New Roman" w:hAnsi="Times New Roman"/>
          <w:b/>
          <w:highlight w:val="yellow"/>
        </w:rPr>
      </w:pPr>
    </w:p>
    <w:p w14:paraId="7B55E494" w14:textId="77777777" w:rsidR="00653C45" w:rsidRDefault="00653C45" w:rsidP="006247F8">
      <w:pPr>
        <w:pStyle w:val="VBChartTitle"/>
        <w:outlineLvl w:val="0"/>
        <w:rPr>
          <w:rFonts w:ascii="Times New Roman" w:hAnsi="Times New Roman"/>
          <w:b/>
          <w:highlight w:val="yellow"/>
        </w:rPr>
      </w:pPr>
    </w:p>
    <w:p w14:paraId="292EF30F" w14:textId="77777777" w:rsidR="00653C45" w:rsidRDefault="00653C45" w:rsidP="006247F8">
      <w:pPr>
        <w:pStyle w:val="VBChartTitle"/>
        <w:outlineLvl w:val="0"/>
        <w:rPr>
          <w:rFonts w:ascii="Times New Roman" w:hAnsi="Times New Roman"/>
          <w:b/>
          <w:highlight w:val="yellow"/>
        </w:rPr>
      </w:pPr>
    </w:p>
    <w:p w14:paraId="092F5281" w14:textId="77777777" w:rsidR="00653C45" w:rsidRDefault="00653C45" w:rsidP="006247F8">
      <w:pPr>
        <w:pStyle w:val="VBChartTitle"/>
        <w:outlineLvl w:val="0"/>
        <w:rPr>
          <w:rFonts w:ascii="Times New Roman" w:hAnsi="Times New Roman"/>
          <w:b/>
          <w:highlight w:val="yellow"/>
        </w:rPr>
      </w:pPr>
    </w:p>
    <w:p w14:paraId="777CE059" w14:textId="77777777" w:rsidR="00653C45" w:rsidRDefault="00653C45" w:rsidP="006247F8">
      <w:pPr>
        <w:pStyle w:val="VBChartTitle"/>
        <w:outlineLvl w:val="0"/>
        <w:rPr>
          <w:rFonts w:ascii="Times New Roman" w:hAnsi="Times New Roman"/>
          <w:b/>
          <w:highlight w:val="yellow"/>
        </w:rPr>
      </w:pPr>
    </w:p>
    <w:p w14:paraId="24822E45" w14:textId="77777777" w:rsidR="00195F51" w:rsidRDefault="00195F51" w:rsidP="00195F51">
      <w:pPr>
        <w:pStyle w:val="VBChartTitle"/>
        <w:outlineLvl w:val="0"/>
        <w:rPr>
          <w:highlight w:val="yellow"/>
        </w:rPr>
      </w:pPr>
    </w:p>
    <w:p w14:paraId="082046F8" w14:textId="77777777" w:rsidR="002D40A7" w:rsidRDefault="002D40A7" w:rsidP="002D40A7">
      <w:pPr>
        <w:rPr>
          <w:highlight w:val="yellow"/>
        </w:rPr>
      </w:pPr>
    </w:p>
    <w:p w14:paraId="594F4606" w14:textId="77777777" w:rsidR="002D40A7" w:rsidRPr="002D40A7" w:rsidRDefault="002D40A7" w:rsidP="002D40A7">
      <w:pPr>
        <w:rPr>
          <w:highlight w:val="yellow"/>
        </w:rPr>
      </w:pPr>
    </w:p>
    <w:p w14:paraId="2B0AA813" w14:textId="77777777" w:rsidR="00A5572E" w:rsidRPr="00FA47CC" w:rsidRDefault="00385895" w:rsidP="006247F8">
      <w:pPr>
        <w:pStyle w:val="VBChartTitle"/>
        <w:outlineLvl w:val="0"/>
        <w:rPr>
          <w:rFonts w:ascii="Times New Roman" w:hAnsi="Times New Roman"/>
          <w:b/>
        </w:rPr>
      </w:pPr>
      <w:r w:rsidRPr="00FA47CC">
        <w:rPr>
          <w:rFonts w:ascii="Times New Roman" w:hAnsi="Times New Roman"/>
          <w:b/>
        </w:rPr>
        <w:t>List of Figures</w:t>
      </w:r>
    </w:p>
    <w:p w14:paraId="4489A9E3" w14:textId="7B9A24D6" w:rsidR="00A5572E" w:rsidRPr="00FA47CC" w:rsidRDefault="00A5572E" w:rsidP="00FA47CC">
      <w:pPr>
        <w:pStyle w:val="VAFigureCaption"/>
        <w:spacing w:after="240"/>
      </w:pPr>
      <w:r w:rsidRPr="00FA47CC">
        <w:rPr>
          <w:b/>
        </w:rPr>
        <w:t xml:space="preserve">Figure </w:t>
      </w:r>
      <w:r w:rsidR="00FF60F4" w:rsidRPr="00FA47CC">
        <w:rPr>
          <w:b/>
        </w:rPr>
        <w:t>1</w:t>
      </w:r>
      <w:r w:rsidRPr="00FA47CC">
        <w:rPr>
          <w:b/>
        </w:rPr>
        <w:t>.</w:t>
      </w:r>
      <w:r w:rsidRPr="00FA47CC">
        <w:t xml:space="preserve"> Favorable fragments for </w:t>
      </w:r>
      <w:proofErr w:type="spellStart"/>
      <w:r w:rsidRPr="00C204B4">
        <w:rPr>
          <w:i/>
        </w:rPr>
        <w:t>Sm</w:t>
      </w:r>
      <w:r w:rsidRPr="00FA47CC">
        <w:t>TGR</w:t>
      </w:r>
      <w:proofErr w:type="spellEnd"/>
      <w:r w:rsidRPr="00FA47CC">
        <w:t xml:space="preserve"> inhibition predicted by the best individual QSAR model and their respective frequencies </w:t>
      </w:r>
      <w:bookmarkStart w:id="42" w:name="OLE_LINK11"/>
      <w:bookmarkStart w:id="43" w:name="OLE_LINK12"/>
      <w:bookmarkStart w:id="44" w:name="OLE_LINK15"/>
      <w:bookmarkStart w:id="45" w:name="OLE_LINK16"/>
      <w:bookmarkStart w:id="46" w:name="OLE_LINK17"/>
      <w:bookmarkStart w:id="47" w:name="OLE_LINK18"/>
      <w:r w:rsidRPr="00FA47CC">
        <w:t>in inhibitors and non-inhibitors sets</w:t>
      </w:r>
      <w:bookmarkEnd w:id="42"/>
      <w:bookmarkEnd w:id="43"/>
      <w:bookmarkEnd w:id="44"/>
      <w:bookmarkEnd w:id="45"/>
      <w:bookmarkEnd w:id="46"/>
      <w:bookmarkEnd w:id="47"/>
      <w:r w:rsidRPr="00FA47CC">
        <w:t xml:space="preserve">. </w:t>
      </w:r>
    </w:p>
    <w:p w14:paraId="70474134" w14:textId="638430CF" w:rsidR="00A5572E" w:rsidRPr="00FA47CC" w:rsidRDefault="00A5572E" w:rsidP="00FA47CC">
      <w:pPr>
        <w:pStyle w:val="VAFigureCaption"/>
        <w:spacing w:after="240"/>
        <w:rPr>
          <w:rFonts w:ascii="Times New Roman" w:hAnsi="Times New Roman"/>
        </w:rPr>
      </w:pPr>
      <w:r w:rsidRPr="00FA47CC">
        <w:rPr>
          <w:rFonts w:ascii="Times New Roman" w:hAnsi="Times New Roman"/>
          <w:b/>
        </w:rPr>
        <w:t xml:space="preserve">Figure </w:t>
      </w:r>
      <w:r w:rsidR="00FF60F4" w:rsidRPr="00FA47CC">
        <w:rPr>
          <w:rFonts w:ascii="Times New Roman" w:hAnsi="Times New Roman"/>
          <w:b/>
        </w:rPr>
        <w:t>2</w:t>
      </w:r>
      <w:r w:rsidRPr="00FA47CC">
        <w:rPr>
          <w:rFonts w:ascii="Times New Roman" w:hAnsi="Times New Roman"/>
          <w:b/>
        </w:rPr>
        <w:t>.</w:t>
      </w:r>
      <w:r w:rsidRPr="00FA47CC">
        <w:rPr>
          <w:rFonts w:ascii="Times New Roman" w:hAnsi="Times New Roman"/>
        </w:rPr>
        <w:t xml:space="preserve"> Unfavorable fragments for </w:t>
      </w:r>
      <w:proofErr w:type="spellStart"/>
      <w:r w:rsidRPr="00FA47CC">
        <w:rPr>
          <w:rFonts w:ascii="Times New Roman" w:hAnsi="Times New Roman"/>
          <w:i/>
          <w:color w:val="000000"/>
        </w:rPr>
        <w:t>Sm</w:t>
      </w:r>
      <w:r w:rsidRPr="00FA47CC">
        <w:rPr>
          <w:rFonts w:ascii="Times New Roman" w:hAnsi="Times New Roman"/>
          <w:color w:val="000000"/>
        </w:rPr>
        <w:t>TGR</w:t>
      </w:r>
      <w:proofErr w:type="spellEnd"/>
      <w:r w:rsidRPr="00FA47CC">
        <w:rPr>
          <w:rFonts w:ascii="Times New Roman" w:hAnsi="Times New Roman"/>
        </w:rPr>
        <w:t xml:space="preserve"> inhibition predicted by the best individual QSAR model and their respective frequencies in inhibitors and non-inhibitors sets. </w:t>
      </w:r>
    </w:p>
    <w:p w14:paraId="789D5CA0" w14:textId="615153D5" w:rsidR="00A5572E" w:rsidRPr="00FA47CC" w:rsidRDefault="00A5572E" w:rsidP="00FA47CC">
      <w:pPr>
        <w:pStyle w:val="VAFigureCaption"/>
        <w:spacing w:after="240"/>
        <w:rPr>
          <w:rFonts w:ascii="Times New Roman" w:hAnsi="Times New Roman"/>
        </w:rPr>
      </w:pPr>
      <w:r w:rsidRPr="00FA47CC">
        <w:rPr>
          <w:rFonts w:ascii="Times New Roman" w:hAnsi="Times New Roman"/>
          <w:b/>
        </w:rPr>
        <w:t xml:space="preserve">Figure </w:t>
      </w:r>
      <w:r w:rsidR="00FF60F4" w:rsidRPr="00FA47CC">
        <w:rPr>
          <w:rFonts w:ascii="Times New Roman" w:hAnsi="Times New Roman"/>
          <w:b/>
        </w:rPr>
        <w:t>3</w:t>
      </w:r>
      <w:r w:rsidRPr="00FA47CC">
        <w:rPr>
          <w:rFonts w:ascii="Times New Roman" w:hAnsi="Times New Roman"/>
          <w:b/>
        </w:rPr>
        <w:t>.</w:t>
      </w:r>
      <w:r w:rsidRPr="00FA47CC">
        <w:rPr>
          <w:rFonts w:ascii="Times New Roman" w:hAnsi="Times New Roman"/>
        </w:rPr>
        <w:t xml:space="preserve"> Predicted probability maps </w:t>
      </w:r>
      <w:r w:rsidR="00AA6D8F" w:rsidRPr="00FA47CC">
        <w:rPr>
          <w:rFonts w:ascii="Times New Roman" w:hAnsi="Times New Roman"/>
        </w:rPr>
        <w:t xml:space="preserve">generated </w:t>
      </w:r>
      <w:r w:rsidRPr="00FA47CC">
        <w:rPr>
          <w:rFonts w:ascii="Times New Roman" w:hAnsi="Times New Roman"/>
        </w:rPr>
        <w:t xml:space="preserve">for </w:t>
      </w:r>
      <w:proofErr w:type="spellStart"/>
      <w:r w:rsidRPr="00FA47CC">
        <w:rPr>
          <w:rFonts w:ascii="Times New Roman" w:hAnsi="Times New Roman"/>
        </w:rPr>
        <w:t>oxadiazoles</w:t>
      </w:r>
      <w:proofErr w:type="spellEnd"/>
      <w:r w:rsidRPr="00FA47CC">
        <w:rPr>
          <w:rFonts w:ascii="Times New Roman" w:hAnsi="Times New Roman"/>
        </w:rPr>
        <w:t xml:space="preserve"> (A</w:t>
      </w:r>
      <w:r w:rsidR="00AA6D8F" w:rsidRPr="00FA47CC">
        <w:rPr>
          <w:rFonts w:ascii="Times New Roman" w:hAnsi="Times New Roman"/>
        </w:rPr>
        <w:t>, B, and C</w:t>
      </w:r>
      <w:r w:rsidRPr="00FA47CC">
        <w:rPr>
          <w:rFonts w:ascii="Times New Roman" w:hAnsi="Times New Roman"/>
        </w:rPr>
        <w:t xml:space="preserve">) and their probable </w:t>
      </w:r>
      <w:r w:rsidR="00484CC7" w:rsidRPr="00FA47CC">
        <w:rPr>
          <w:rFonts w:ascii="Times New Roman" w:hAnsi="Times New Roman"/>
        </w:rPr>
        <w:t xml:space="preserve">mechanism of </w:t>
      </w:r>
      <w:r w:rsidRPr="00FA47CC">
        <w:rPr>
          <w:rFonts w:ascii="Times New Roman" w:hAnsi="Times New Roman"/>
        </w:rPr>
        <w:t xml:space="preserve">action in the </w:t>
      </w:r>
      <w:proofErr w:type="spellStart"/>
      <w:r w:rsidRPr="00FA47CC">
        <w:rPr>
          <w:rFonts w:ascii="Times New Roman" w:hAnsi="Times New Roman"/>
          <w:i/>
          <w:color w:val="000000"/>
        </w:rPr>
        <w:t>Sm</w:t>
      </w:r>
      <w:r w:rsidRPr="00FA47CC">
        <w:rPr>
          <w:rFonts w:ascii="Times New Roman" w:hAnsi="Times New Roman"/>
          <w:color w:val="000000"/>
        </w:rPr>
        <w:t>TGR</w:t>
      </w:r>
      <w:proofErr w:type="spellEnd"/>
      <w:r w:rsidRPr="00FA47CC">
        <w:rPr>
          <w:rFonts w:ascii="Times New Roman" w:hAnsi="Times New Roman"/>
        </w:rPr>
        <w:t xml:space="preserve"> active site (</w:t>
      </w:r>
      <w:r w:rsidR="0018750C" w:rsidRPr="00FA47CC">
        <w:rPr>
          <w:rFonts w:ascii="Times New Roman" w:hAnsi="Times New Roman"/>
        </w:rPr>
        <w:t>D</w:t>
      </w:r>
      <w:r w:rsidRPr="00FA47CC">
        <w:rPr>
          <w:rFonts w:ascii="Times New Roman" w:hAnsi="Times New Roman"/>
        </w:rPr>
        <w:t xml:space="preserve">). </w:t>
      </w:r>
    </w:p>
    <w:p w14:paraId="1E047790" w14:textId="0809FC08" w:rsidR="00CD0E59" w:rsidRDefault="00CA2458" w:rsidP="00CF7AA4">
      <w:pPr>
        <w:pStyle w:val="VAFigureCaption"/>
        <w:rPr>
          <w:rFonts w:ascii="Times New Roman" w:hAnsi="Times New Roman"/>
        </w:rPr>
      </w:pPr>
      <w:r w:rsidRPr="00FA47CC">
        <w:rPr>
          <w:rFonts w:ascii="Times New Roman" w:hAnsi="Times New Roman"/>
          <w:b/>
        </w:rPr>
        <w:t xml:space="preserve">Figure </w:t>
      </w:r>
      <w:r w:rsidR="00FF60F4" w:rsidRPr="00FA47CC">
        <w:rPr>
          <w:rFonts w:ascii="Times New Roman" w:hAnsi="Times New Roman"/>
          <w:b/>
        </w:rPr>
        <w:t>4</w:t>
      </w:r>
      <w:r w:rsidRPr="00FA47CC">
        <w:rPr>
          <w:rFonts w:ascii="Times New Roman" w:hAnsi="Times New Roman"/>
          <w:b/>
        </w:rPr>
        <w:t xml:space="preserve">. </w:t>
      </w:r>
      <w:r w:rsidR="00CD0E59" w:rsidRPr="00FA47CC">
        <w:rPr>
          <w:rFonts w:ascii="Times New Roman" w:hAnsi="Times New Roman"/>
        </w:rPr>
        <w:t>QSAR-based VS w</w:t>
      </w:r>
      <w:r w:rsidRPr="00FA47CC">
        <w:rPr>
          <w:rFonts w:ascii="Times New Roman" w:hAnsi="Times New Roman"/>
        </w:rPr>
        <w:t>orkflow</w:t>
      </w:r>
      <w:r w:rsidR="00CD0E59" w:rsidRPr="00FA47CC">
        <w:rPr>
          <w:rFonts w:ascii="Times New Roman" w:hAnsi="Times New Roman"/>
        </w:rPr>
        <w:t xml:space="preserve"> used for identifying new hit compounds against </w:t>
      </w:r>
      <w:r w:rsidR="00CD0E59" w:rsidRPr="00FA47CC">
        <w:rPr>
          <w:rFonts w:ascii="Times New Roman" w:hAnsi="Times New Roman"/>
          <w:i/>
        </w:rPr>
        <w:t xml:space="preserve">S. </w:t>
      </w:r>
      <w:proofErr w:type="spellStart"/>
      <w:r w:rsidR="00CD0E59" w:rsidRPr="00FA47CC">
        <w:rPr>
          <w:rFonts w:ascii="Times New Roman" w:hAnsi="Times New Roman"/>
          <w:i/>
        </w:rPr>
        <w:t>mansoni</w:t>
      </w:r>
      <w:proofErr w:type="spellEnd"/>
      <w:r w:rsidR="00CD0E59" w:rsidRPr="00FA47CC">
        <w:rPr>
          <w:rFonts w:ascii="Times New Roman" w:hAnsi="Times New Roman"/>
        </w:rPr>
        <w:t>.</w:t>
      </w:r>
    </w:p>
    <w:p w14:paraId="0F08E64B" w14:textId="63777A86" w:rsidR="00C3532E" w:rsidRPr="00FA47CC" w:rsidRDefault="00C3532E" w:rsidP="00FA47CC">
      <w:pPr>
        <w:spacing w:after="240" w:line="480" w:lineRule="auto"/>
      </w:pPr>
      <w:r w:rsidRPr="00AE1417">
        <w:rPr>
          <w:b/>
        </w:rPr>
        <w:t>Figure 5.</w:t>
      </w:r>
      <w:r>
        <w:t xml:space="preserve"> </w:t>
      </w:r>
      <w:r w:rsidRPr="00975584">
        <w:t>Chemical structures of six priority hits selected for further follow up.</w:t>
      </w:r>
    </w:p>
    <w:p w14:paraId="11AFFE72" w14:textId="54553F8B" w:rsidR="00A21A8F" w:rsidRPr="00FA47CC" w:rsidRDefault="00A21A8F" w:rsidP="00FA47CC">
      <w:pPr>
        <w:pStyle w:val="VAFigureCaption"/>
        <w:spacing w:after="240"/>
        <w:rPr>
          <w:rFonts w:ascii="Times New Roman" w:hAnsi="Times New Roman"/>
        </w:rPr>
      </w:pPr>
      <w:r w:rsidRPr="00FA47CC">
        <w:rPr>
          <w:rFonts w:ascii="Times New Roman" w:hAnsi="Times New Roman"/>
          <w:b/>
        </w:rPr>
        <w:t xml:space="preserve">Figure </w:t>
      </w:r>
      <w:r w:rsidR="00C3532E">
        <w:rPr>
          <w:rFonts w:ascii="Times New Roman" w:hAnsi="Times New Roman"/>
          <w:b/>
        </w:rPr>
        <w:t>6</w:t>
      </w:r>
      <w:r w:rsidRPr="00FA47CC">
        <w:rPr>
          <w:rFonts w:ascii="Times New Roman" w:hAnsi="Times New Roman"/>
          <w:b/>
        </w:rPr>
        <w:t>.</w:t>
      </w:r>
      <w:r w:rsidRPr="00FA47CC">
        <w:rPr>
          <w:rFonts w:ascii="Times New Roman" w:hAnsi="Times New Roman"/>
        </w:rPr>
        <w:t xml:space="preserve"> </w:t>
      </w:r>
      <w:r w:rsidR="00C3532E" w:rsidRPr="00492534">
        <w:t xml:space="preserve">Phenotypes of </w:t>
      </w:r>
      <w:proofErr w:type="spellStart"/>
      <w:r w:rsidR="00C3532E" w:rsidRPr="00492534">
        <w:t>schistosomula</w:t>
      </w:r>
      <w:proofErr w:type="spellEnd"/>
      <w:r w:rsidR="00C3532E" w:rsidRPr="00492534">
        <w:t xml:space="preserve"> exposed fo</w:t>
      </w:r>
      <w:bookmarkStart w:id="48" w:name="_GoBack"/>
      <w:bookmarkEnd w:id="48"/>
      <w:r w:rsidR="00C3532E" w:rsidRPr="00492534">
        <w:t xml:space="preserve">r 48h </w:t>
      </w:r>
      <w:r w:rsidR="00C3532E">
        <w:t>to 0.625 % DMSO (control, A),</w:t>
      </w:r>
      <w:r w:rsidR="00C3532E" w:rsidRPr="00492534">
        <w:t xml:space="preserve"> 20 </w:t>
      </w:r>
      <w:r w:rsidR="00C3532E" w:rsidRPr="00492534">
        <w:rPr>
          <w:rFonts w:cs="Times"/>
        </w:rPr>
        <w:t>µ</w:t>
      </w:r>
      <w:r w:rsidR="00C3532E" w:rsidRPr="00492534">
        <w:t xml:space="preserve">M of </w:t>
      </w:r>
      <w:r w:rsidR="00C3532E" w:rsidRPr="00492534">
        <w:rPr>
          <w:b/>
        </w:rPr>
        <w:t>4</w:t>
      </w:r>
      <w:r w:rsidR="00C3532E" w:rsidRPr="00492534">
        <w:t xml:space="preserve"> (B)</w:t>
      </w:r>
      <w:r w:rsidR="00C3532E">
        <w:t>,</w:t>
      </w:r>
      <w:r w:rsidR="00C3532E" w:rsidRPr="00492534">
        <w:t xml:space="preserve"> and 10 </w:t>
      </w:r>
      <w:r w:rsidR="00C3532E" w:rsidRPr="00492534">
        <w:rPr>
          <w:rFonts w:cs="Times"/>
        </w:rPr>
        <w:t>µ</w:t>
      </w:r>
      <w:r w:rsidR="00C3532E" w:rsidRPr="00492534">
        <w:t>M of PZQ (C) and OLT (D). The outlines represent the position of each parasite over 5 time points (11s interval).</w:t>
      </w:r>
    </w:p>
    <w:p w14:paraId="088272A4" w14:textId="58B29A27" w:rsidR="00DF3482" w:rsidRDefault="00A21A8F" w:rsidP="00CF7AA4">
      <w:pPr>
        <w:pStyle w:val="VAFigureCaption"/>
      </w:pPr>
      <w:r w:rsidRPr="00FA47CC">
        <w:rPr>
          <w:rFonts w:ascii="Times New Roman" w:hAnsi="Times New Roman"/>
          <w:b/>
        </w:rPr>
        <w:t xml:space="preserve">Figure </w:t>
      </w:r>
      <w:r w:rsidR="00C3532E">
        <w:rPr>
          <w:rFonts w:ascii="Times New Roman" w:hAnsi="Times New Roman"/>
          <w:b/>
        </w:rPr>
        <w:t>7</w:t>
      </w:r>
      <w:r w:rsidRPr="00FA47CC">
        <w:rPr>
          <w:rFonts w:ascii="Times New Roman" w:hAnsi="Times New Roman"/>
          <w:b/>
        </w:rPr>
        <w:t>.</w:t>
      </w:r>
      <w:r w:rsidR="00B82C21" w:rsidRPr="00FA47CC">
        <w:rPr>
          <w:rFonts w:ascii="Times New Roman" w:hAnsi="Times New Roman"/>
        </w:rPr>
        <w:t xml:space="preserve"> 3D scatter plot of the top three</w:t>
      </w:r>
      <w:r w:rsidRPr="00FA47CC">
        <w:rPr>
          <w:rFonts w:ascii="Times New Roman" w:hAnsi="Times New Roman"/>
        </w:rPr>
        <w:t xml:space="preserve"> image features correlated to </w:t>
      </w:r>
      <w:proofErr w:type="spellStart"/>
      <w:r w:rsidRPr="00FA47CC">
        <w:rPr>
          <w:rFonts w:ascii="Times New Roman" w:hAnsi="Times New Roman"/>
        </w:rPr>
        <w:t>antischistosomal</w:t>
      </w:r>
      <w:proofErr w:type="spellEnd"/>
      <w:r w:rsidRPr="00FA47CC">
        <w:rPr>
          <w:rFonts w:ascii="Times New Roman" w:hAnsi="Times New Roman"/>
        </w:rPr>
        <w:t xml:space="preserve"> activity of the </w:t>
      </w:r>
      <w:r w:rsidR="00B82C21" w:rsidRPr="00FA47CC">
        <w:rPr>
          <w:rFonts w:ascii="Times New Roman" w:hAnsi="Times New Roman"/>
        </w:rPr>
        <w:t>hits</w:t>
      </w:r>
      <w:r w:rsidRPr="00FA47CC">
        <w:rPr>
          <w:rFonts w:ascii="Times New Roman" w:hAnsi="Times New Roman"/>
        </w:rPr>
        <w:t xml:space="preserve"> on female </w:t>
      </w:r>
      <w:r w:rsidRPr="00FA47CC">
        <w:rPr>
          <w:rFonts w:ascii="Times New Roman" w:hAnsi="Times New Roman"/>
          <w:i/>
        </w:rPr>
        <w:t xml:space="preserve">S. </w:t>
      </w:r>
      <w:proofErr w:type="spellStart"/>
      <w:r w:rsidRPr="00FA47CC">
        <w:rPr>
          <w:rFonts w:ascii="Times New Roman" w:hAnsi="Times New Roman"/>
          <w:i/>
        </w:rPr>
        <w:t>mansoni</w:t>
      </w:r>
      <w:proofErr w:type="spellEnd"/>
      <w:r w:rsidRPr="00FA47CC">
        <w:rPr>
          <w:rFonts w:ascii="Times New Roman" w:hAnsi="Times New Roman"/>
        </w:rPr>
        <w:t xml:space="preserve"> worms after 48 drug exposure. Each point in the graph represent a well/condition in the assay. Sample images are shown for selected wells to illustrate the different phenotypes captured by these </w:t>
      </w:r>
      <w:r w:rsidR="00B82C21" w:rsidRPr="00FA47CC">
        <w:rPr>
          <w:rFonts w:ascii="Times New Roman" w:hAnsi="Times New Roman"/>
        </w:rPr>
        <w:t>three</w:t>
      </w:r>
      <w:r w:rsidRPr="00FA47CC">
        <w:rPr>
          <w:rFonts w:ascii="Times New Roman" w:hAnsi="Times New Roman"/>
        </w:rPr>
        <w:t xml:space="preserve"> parameters (</w:t>
      </w:r>
      <w:r w:rsidRPr="00FA47CC">
        <w:rPr>
          <w:rFonts w:ascii="Times New Roman" w:hAnsi="Times New Roman"/>
          <w:u w:val="single"/>
        </w:rPr>
        <w:t>O</w:t>
      </w:r>
      <w:r w:rsidRPr="00FA47CC">
        <w:rPr>
          <w:rFonts w:ascii="Times New Roman" w:hAnsi="Times New Roman"/>
        </w:rPr>
        <w:t xml:space="preserve">bject </w:t>
      </w:r>
      <w:r w:rsidRPr="00FA47CC">
        <w:rPr>
          <w:rFonts w:ascii="Times New Roman" w:hAnsi="Times New Roman"/>
          <w:u w:val="single"/>
        </w:rPr>
        <w:t>A</w:t>
      </w:r>
      <w:r w:rsidRPr="00FA47CC">
        <w:rPr>
          <w:rFonts w:ascii="Times New Roman" w:hAnsi="Times New Roman"/>
        </w:rPr>
        <w:t xml:space="preserve">rea; </w:t>
      </w:r>
      <w:r w:rsidRPr="00FA47CC">
        <w:rPr>
          <w:rFonts w:ascii="Times New Roman" w:hAnsi="Times New Roman"/>
          <w:u w:val="single"/>
        </w:rPr>
        <w:t>M</w:t>
      </w:r>
      <w:r w:rsidRPr="00FA47CC">
        <w:rPr>
          <w:rFonts w:ascii="Times New Roman" w:hAnsi="Times New Roman"/>
        </w:rPr>
        <w:t xml:space="preserve">obility </w:t>
      </w:r>
      <w:r w:rsidRPr="00FA47CC">
        <w:rPr>
          <w:rFonts w:ascii="Times New Roman" w:hAnsi="Times New Roman"/>
          <w:u w:val="single"/>
        </w:rPr>
        <w:t>S</w:t>
      </w:r>
      <w:r w:rsidRPr="00FA47CC">
        <w:rPr>
          <w:rFonts w:ascii="Times New Roman" w:hAnsi="Times New Roman"/>
        </w:rPr>
        <w:t xml:space="preserve">core; and </w:t>
      </w:r>
      <w:r w:rsidRPr="00FA47CC">
        <w:rPr>
          <w:rFonts w:ascii="Times New Roman" w:hAnsi="Times New Roman"/>
          <w:u w:val="single"/>
        </w:rPr>
        <w:t>P</w:t>
      </w:r>
      <w:r w:rsidRPr="00FA47CC">
        <w:rPr>
          <w:rFonts w:ascii="Times New Roman" w:hAnsi="Times New Roman"/>
        </w:rPr>
        <w:t xml:space="preserve">ixel </w:t>
      </w:r>
      <w:r w:rsidRPr="00FA47CC">
        <w:rPr>
          <w:rFonts w:ascii="Times New Roman" w:hAnsi="Times New Roman"/>
          <w:u w:val="single"/>
        </w:rPr>
        <w:t>I</w:t>
      </w:r>
      <w:r w:rsidRPr="00FA47CC">
        <w:rPr>
          <w:rFonts w:ascii="Times New Roman" w:hAnsi="Times New Roman"/>
        </w:rPr>
        <w:t>ntensity of the worm object). The green outlines represent the position of each parasite over 5 time points (3s interval) overlaid on the initial position (red outline).</w:t>
      </w:r>
    </w:p>
    <w:sectPr w:rsidR="00DF3482" w:rsidSect="000B5610">
      <w:footerReference w:type="even" r:id="rId19"/>
      <w:footerReference w:type="default" r:id="rId20"/>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F0C5A4" w14:textId="77777777" w:rsidR="00DE79C5" w:rsidRDefault="00DE79C5">
      <w:r>
        <w:separator/>
      </w:r>
    </w:p>
  </w:endnote>
  <w:endnote w:type="continuationSeparator" w:id="0">
    <w:p w14:paraId="3E8E2389" w14:textId="77777777" w:rsidR="00DE79C5" w:rsidRDefault="00DE7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Arno Pro">
    <w:altName w:val="Times New Roman"/>
    <w:charset w:val="00"/>
    <w:family w:val="roman"/>
    <w:pitch w:val="variable"/>
    <w:sig w:usb0="60000287" w:usb1="00000001"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TimesNewRoman">
    <w:altName w:val="Times New Roman"/>
    <w:panose1 w:val="00000000000000000000"/>
    <w:charset w:val="00"/>
    <w:family w:val="roman"/>
    <w:notTrueType/>
    <w:pitch w:val="default"/>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8C177" w14:textId="77777777" w:rsidR="00233065" w:rsidRDefault="002330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ED2F3DB" w14:textId="77777777" w:rsidR="00233065" w:rsidRDefault="0023306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174B1" w14:textId="130CA082" w:rsidR="00233065" w:rsidRDefault="002330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204B4">
      <w:rPr>
        <w:rStyle w:val="PageNumber"/>
        <w:noProof/>
      </w:rPr>
      <w:t>54</w:t>
    </w:r>
    <w:r>
      <w:rPr>
        <w:rStyle w:val="PageNumber"/>
      </w:rPr>
      <w:fldChar w:fldCharType="end"/>
    </w:r>
  </w:p>
  <w:p w14:paraId="4E667767" w14:textId="77777777" w:rsidR="00233065" w:rsidRDefault="0023306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3F5CD3" w14:textId="77777777" w:rsidR="00DE79C5" w:rsidRDefault="00DE79C5">
      <w:r>
        <w:separator/>
      </w:r>
    </w:p>
  </w:footnote>
  <w:footnote w:type="continuationSeparator" w:id="0">
    <w:p w14:paraId="2469EDFD" w14:textId="77777777" w:rsidR="00DE79C5" w:rsidRDefault="00DE79C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3">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4">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5">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6">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6"/>
  </w:num>
  <w:num w:numId="2">
    <w:abstractNumId w:val="4"/>
  </w:num>
  <w:num w:numId="3">
    <w:abstractNumId w:val="7"/>
  </w:num>
  <w:num w:numId="4">
    <w:abstractNumId w:val="5"/>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8F9"/>
    <w:rsid w:val="00007652"/>
    <w:rsid w:val="000135F1"/>
    <w:rsid w:val="00013D73"/>
    <w:rsid w:val="000165BD"/>
    <w:rsid w:val="00023206"/>
    <w:rsid w:val="00030879"/>
    <w:rsid w:val="00030F4B"/>
    <w:rsid w:val="00037627"/>
    <w:rsid w:val="0004450F"/>
    <w:rsid w:val="000451D9"/>
    <w:rsid w:val="00045FDC"/>
    <w:rsid w:val="0004682F"/>
    <w:rsid w:val="00046A37"/>
    <w:rsid w:val="000545B0"/>
    <w:rsid w:val="0005660F"/>
    <w:rsid w:val="00057171"/>
    <w:rsid w:val="0005765D"/>
    <w:rsid w:val="00060548"/>
    <w:rsid w:val="000641CF"/>
    <w:rsid w:val="000645DF"/>
    <w:rsid w:val="00064A7F"/>
    <w:rsid w:val="00064B8B"/>
    <w:rsid w:val="00064BFF"/>
    <w:rsid w:val="00067F02"/>
    <w:rsid w:val="000702AD"/>
    <w:rsid w:val="00070E73"/>
    <w:rsid w:val="0008144D"/>
    <w:rsid w:val="0008284C"/>
    <w:rsid w:val="00084D03"/>
    <w:rsid w:val="0008583D"/>
    <w:rsid w:val="00085B62"/>
    <w:rsid w:val="000868C2"/>
    <w:rsid w:val="00087C0A"/>
    <w:rsid w:val="00094C73"/>
    <w:rsid w:val="000A056D"/>
    <w:rsid w:val="000A07C3"/>
    <w:rsid w:val="000A16D8"/>
    <w:rsid w:val="000A29AD"/>
    <w:rsid w:val="000A35B0"/>
    <w:rsid w:val="000A412A"/>
    <w:rsid w:val="000A6A94"/>
    <w:rsid w:val="000A6C4F"/>
    <w:rsid w:val="000A7135"/>
    <w:rsid w:val="000B01F4"/>
    <w:rsid w:val="000B14FF"/>
    <w:rsid w:val="000B4738"/>
    <w:rsid w:val="000B5610"/>
    <w:rsid w:val="000B5EF8"/>
    <w:rsid w:val="000B6C2E"/>
    <w:rsid w:val="000B7698"/>
    <w:rsid w:val="000B7AF9"/>
    <w:rsid w:val="000C05CC"/>
    <w:rsid w:val="000C3D11"/>
    <w:rsid w:val="000C4B39"/>
    <w:rsid w:val="000C5ED7"/>
    <w:rsid w:val="000C709E"/>
    <w:rsid w:val="000D2AC9"/>
    <w:rsid w:val="000D6C5F"/>
    <w:rsid w:val="000E09F4"/>
    <w:rsid w:val="000E4CB0"/>
    <w:rsid w:val="000E52B5"/>
    <w:rsid w:val="000E62CD"/>
    <w:rsid w:val="000F0495"/>
    <w:rsid w:val="000F0A64"/>
    <w:rsid w:val="000F469D"/>
    <w:rsid w:val="000F48D7"/>
    <w:rsid w:val="000F52FF"/>
    <w:rsid w:val="000F5A54"/>
    <w:rsid w:val="000F5BD6"/>
    <w:rsid w:val="000F5E36"/>
    <w:rsid w:val="000F605D"/>
    <w:rsid w:val="000F7268"/>
    <w:rsid w:val="001030D0"/>
    <w:rsid w:val="00103B8A"/>
    <w:rsid w:val="00110534"/>
    <w:rsid w:val="00112BBA"/>
    <w:rsid w:val="001134B9"/>
    <w:rsid w:val="00114E58"/>
    <w:rsid w:val="0012015C"/>
    <w:rsid w:val="00121D81"/>
    <w:rsid w:val="00125C71"/>
    <w:rsid w:val="00127850"/>
    <w:rsid w:val="00131BC2"/>
    <w:rsid w:val="00131BF9"/>
    <w:rsid w:val="00132A3F"/>
    <w:rsid w:val="001333DE"/>
    <w:rsid w:val="00134482"/>
    <w:rsid w:val="00137F3B"/>
    <w:rsid w:val="00142462"/>
    <w:rsid w:val="001445AE"/>
    <w:rsid w:val="00146814"/>
    <w:rsid w:val="00146864"/>
    <w:rsid w:val="00150334"/>
    <w:rsid w:val="0015038C"/>
    <w:rsid w:val="00150C44"/>
    <w:rsid w:val="001557E2"/>
    <w:rsid w:val="00155BC3"/>
    <w:rsid w:val="00160F8A"/>
    <w:rsid w:val="00163474"/>
    <w:rsid w:val="00163AC9"/>
    <w:rsid w:val="001646C3"/>
    <w:rsid w:val="001654FE"/>
    <w:rsid w:val="00165919"/>
    <w:rsid w:val="00167135"/>
    <w:rsid w:val="00170292"/>
    <w:rsid w:val="00170E20"/>
    <w:rsid w:val="00174459"/>
    <w:rsid w:val="00174C37"/>
    <w:rsid w:val="00183674"/>
    <w:rsid w:val="001854AE"/>
    <w:rsid w:val="0018750C"/>
    <w:rsid w:val="00187DD5"/>
    <w:rsid w:val="00191C05"/>
    <w:rsid w:val="00192000"/>
    <w:rsid w:val="001936DE"/>
    <w:rsid w:val="00193D01"/>
    <w:rsid w:val="001958AC"/>
    <w:rsid w:val="00195ACA"/>
    <w:rsid w:val="00195F51"/>
    <w:rsid w:val="001967A9"/>
    <w:rsid w:val="001A38EF"/>
    <w:rsid w:val="001A4158"/>
    <w:rsid w:val="001A6E5A"/>
    <w:rsid w:val="001A7A90"/>
    <w:rsid w:val="001B2526"/>
    <w:rsid w:val="001B32A8"/>
    <w:rsid w:val="001B4735"/>
    <w:rsid w:val="001B4F08"/>
    <w:rsid w:val="001B7FAF"/>
    <w:rsid w:val="001C2493"/>
    <w:rsid w:val="001C2576"/>
    <w:rsid w:val="001C387C"/>
    <w:rsid w:val="001C3B1A"/>
    <w:rsid w:val="001C415D"/>
    <w:rsid w:val="001C455A"/>
    <w:rsid w:val="001C456F"/>
    <w:rsid w:val="001C4883"/>
    <w:rsid w:val="001D0E5A"/>
    <w:rsid w:val="001D1F15"/>
    <w:rsid w:val="001D366C"/>
    <w:rsid w:val="001D4189"/>
    <w:rsid w:val="001D5F78"/>
    <w:rsid w:val="001D652C"/>
    <w:rsid w:val="001E1F2C"/>
    <w:rsid w:val="001E27DF"/>
    <w:rsid w:val="001E2E7A"/>
    <w:rsid w:val="001E7F7C"/>
    <w:rsid w:val="001F04F2"/>
    <w:rsid w:val="001F06B9"/>
    <w:rsid w:val="001F17FB"/>
    <w:rsid w:val="001F1838"/>
    <w:rsid w:val="001F40AA"/>
    <w:rsid w:val="00200CC0"/>
    <w:rsid w:val="00202BE9"/>
    <w:rsid w:val="002032A9"/>
    <w:rsid w:val="0020369E"/>
    <w:rsid w:val="00203757"/>
    <w:rsid w:val="00204297"/>
    <w:rsid w:val="002042F5"/>
    <w:rsid w:val="0020459E"/>
    <w:rsid w:val="002055AA"/>
    <w:rsid w:val="00207E61"/>
    <w:rsid w:val="00210B58"/>
    <w:rsid w:val="00212AA9"/>
    <w:rsid w:val="00212B1D"/>
    <w:rsid w:val="00212FE5"/>
    <w:rsid w:val="00215713"/>
    <w:rsid w:val="002159AE"/>
    <w:rsid w:val="00215D33"/>
    <w:rsid w:val="00221575"/>
    <w:rsid w:val="00223ECC"/>
    <w:rsid w:val="002240A3"/>
    <w:rsid w:val="00230634"/>
    <w:rsid w:val="00233065"/>
    <w:rsid w:val="002371C9"/>
    <w:rsid w:val="00241517"/>
    <w:rsid w:val="002426CB"/>
    <w:rsid w:val="0024374D"/>
    <w:rsid w:val="0024730E"/>
    <w:rsid w:val="00250B03"/>
    <w:rsid w:val="00252B16"/>
    <w:rsid w:val="00257731"/>
    <w:rsid w:val="002577FB"/>
    <w:rsid w:val="00260622"/>
    <w:rsid w:val="00262062"/>
    <w:rsid w:val="002628AE"/>
    <w:rsid w:val="00264415"/>
    <w:rsid w:val="002670BC"/>
    <w:rsid w:val="00270481"/>
    <w:rsid w:val="00271A02"/>
    <w:rsid w:val="002761BB"/>
    <w:rsid w:val="0027653D"/>
    <w:rsid w:val="00277B22"/>
    <w:rsid w:val="00280A8D"/>
    <w:rsid w:val="0028166D"/>
    <w:rsid w:val="00281F44"/>
    <w:rsid w:val="00286513"/>
    <w:rsid w:val="00293978"/>
    <w:rsid w:val="002942CA"/>
    <w:rsid w:val="00294324"/>
    <w:rsid w:val="00294956"/>
    <w:rsid w:val="00294E5C"/>
    <w:rsid w:val="002A09F2"/>
    <w:rsid w:val="002A4538"/>
    <w:rsid w:val="002A5B35"/>
    <w:rsid w:val="002A6733"/>
    <w:rsid w:val="002A6770"/>
    <w:rsid w:val="002A7493"/>
    <w:rsid w:val="002B4306"/>
    <w:rsid w:val="002B4B18"/>
    <w:rsid w:val="002B52E0"/>
    <w:rsid w:val="002B54FB"/>
    <w:rsid w:val="002C0E6D"/>
    <w:rsid w:val="002C176F"/>
    <w:rsid w:val="002C26ED"/>
    <w:rsid w:val="002C3431"/>
    <w:rsid w:val="002C3554"/>
    <w:rsid w:val="002D0D6C"/>
    <w:rsid w:val="002D1B72"/>
    <w:rsid w:val="002D40A7"/>
    <w:rsid w:val="002D6130"/>
    <w:rsid w:val="002D755D"/>
    <w:rsid w:val="002E3D5D"/>
    <w:rsid w:val="002E4F63"/>
    <w:rsid w:val="002E5B16"/>
    <w:rsid w:val="002E76FE"/>
    <w:rsid w:val="002F04E3"/>
    <w:rsid w:val="002F05BF"/>
    <w:rsid w:val="002F093A"/>
    <w:rsid w:val="002F1367"/>
    <w:rsid w:val="002F142C"/>
    <w:rsid w:val="002F52C5"/>
    <w:rsid w:val="002F7250"/>
    <w:rsid w:val="00300385"/>
    <w:rsid w:val="00305064"/>
    <w:rsid w:val="00306088"/>
    <w:rsid w:val="00310489"/>
    <w:rsid w:val="003105BC"/>
    <w:rsid w:val="0031627C"/>
    <w:rsid w:val="00317CD2"/>
    <w:rsid w:val="00322153"/>
    <w:rsid w:val="00324128"/>
    <w:rsid w:val="0032600B"/>
    <w:rsid w:val="00327B25"/>
    <w:rsid w:val="0033176D"/>
    <w:rsid w:val="003319B3"/>
    <w:rsid w:val="00333273"/>
    <w:rsid w:val="00333436"/>
    <w:rsid w:val="00333758"/>
    <w:rsid w:val="00333E65"/>
    <w:rsid w:val="003344AA"/>
    <w:rsid w:val="00336520"/>
    <w:rsid w:val="00340C3D"/>
    <w:rsid w:val="00342717"/>
    <w:rsid w:val="00343606"/>
    <w:rsid w:val="003436D7"/>
    <w:rsid w:val="00345897"/>
    <w:rsid w:val="00346D53"/>
    <w:rsid w:val="0035170C"/>
    <w:rsid w:val="003530DC"/>
    <w:rsid w:val="00353525"/>
    <w:rsid w:val="00354E6F"/>
    <w:rsid w:val="0035580E"/>
    <w:rsid w:val="00362749"/>
    <w:rsid w:val="003647EC"/>
    <w:rsid w:val="003664E9"/>
    <w:rsid w:val="003672FA"/>
    <w:rsid w:val="003679A1"/>
    <w:rsid w:val="0037061F"/>
    <w:rsid w:val="00370780"/>
    <w:rsid w:val="00371AB2"/>
    <w:rsid w:val="00375DCD"/>
    <w:rsid w:val="00382B1B"/>
    <w:rsid w:val="00382C4A"/>
    <w:rsid w:val="00384306"/>
    <w:rsid w:val="0038480A"/>
    <w:rsid w:val="00385895"/>
    <w:rsid w:val="003863FE"/>
    <w:rsid w:val="00391903"/>
    <w:rsid w:val="003A0C0F"/>
    <w:rsid w:val="003A10B7"/>
    <w:rsid w:val="003A13AB"/>
    <w:rsid w:val="003A178B"/>
    <w:rsid w:val="003A2160"/>
    <w:rsid w:val="003A398F"/>
    <w:rsid w:val="003A5A33"/>
    <w:rsid w:val="003A68AF"/>
    <w:rsid w:val="003A6DD8"/>
    <w:rsid w:val="003B26DB"/>
    <w:rsid w:val="003B4AF3"/>
    <w:rsid w:val="003B7FFD"/>
    <w:rsid w:val="003C0126"/>
    <w:rsid w:val="003C27FC"/>
    <w:rsid w:val="003C2DA4"/>
    <w:rsid w:val="003C4453"/>
    <w:rsid w:val="003D6BF1"/>
    <w:rsid w:val="003E1A84"/>
    <w:rsid w:val="003E1F76"/>
    <w:rsid w:val="003E5772"/>
    <w:rsid w:val="003E6285"/>
    <w:rsid w:val="003F2373"/>
    <w:rsid w:val="003F29C2"/>
    <w:rsid w:val="00400670"/>
    <w:rsid w:val="0040173C"/>
    <w:rsid w:val="00402493"/>
    <w:rsid w:val="004026F4"/>
    <w:rsid w:val="004030FA"/>
    <w:rsid w:val="00403B16"/>
    <w:rsid w:val="00404125"/>
    <w:rsid w:val="00404FC2"/>
    <w:rsid w:val="004056B7"/>
    <w:rsid w:val="00405B95"/>
    <w:rsid w:val="00405F46"/>
    <w:rsid w:val="004063A6"/>
    <w:rsid w:val="00407047"/>
    <w:rsid w:val="0040731E"/>
    <w:rsid w:val="004078AB"/>
    <w:rsid w:val="00411723"/>
    <w:rsid w:val="0041244A"/>
    <w:rsid w:val="004140AD"/>
    <w:rsid w:val="00415F95"/>
    <w:rsid w:val="0041670F"/>
    <w:rsid w:val="00420BF5"/>
    <w:rsid w:val="00422AA9"/>
    <w:rsid w:val="00422CDB"/>
    <w:rsid w:val="00423362"/>
    <w:rsid w:val="00423C0A"/>
    <w:rsid w:val="0042498F"/>
    <w:rsid w:val="00427FE4"/>
    <w:rsid w:val="00427FE5"/>
    <w:rsid w:val="00433C94"/>
    <w:rsid w:val="00437457"/>
    <w:rsid w:val="00445472"/>
    <w:rsid w:val="00445697"/>
    <w:rsid w:val="004461EF"/>
    <w:rsid w:val="00446212"/>
    <w:rsid w:val="004467A0"/>
    <w:rsid w:val="004544A5"/>
    <w:rsid w:val="00454AA8"/>
    <w:rsid w:val="00456ABA"/>
    <w:rsid w:val="00456B61"/>
    <w:rsid w:val="004606F9"/>
    <w:rsid w:val="0046285D"/>
    <w:rsid w:val="004636E2"/>
    <w:rsid w:val="00471083"/>
    <w:rsid w:val="004720F0"/>
    <w:rsid w:val="00472F14"/>
    <w:rsid w:val="00473B58"/>
    <w:rsid w:val="004747B4"/>
    <w:rsid w:val="00475FD2"/>
    <w:rsid w:val="004823BE"/>
    <w:rsid w:val="00484CC7"/>
    <w:rsid w:val="0048501E"/>
    <w:rsid w:val="00491AB1"/>
    <w:rsid w:val="00492393"/>
    <w:rsid w:val="0049617E"/>
    <w:rsid w:val="0049780A"/>
    <w:rsid w:val="004A0BB4"/>
    <w:rsid w:val="004A4145"/>
    <w:rsid w:val="004B437D"/>
    <w:rsid w:val="004B5037"/>
    <w:rsid w:val="004B588B"/>
    <w:rsid w:val="004B58B9"/>
    <w:rsid w:val="004B5CBE"/>
    <w:rsid w:val="004B5F20"/>
    <w:rsid w:val="004C14E5"/>
    <w:rsid w:val="004C1A93"/>
    <w:rsid w:val="004C29C0"/>
    <w:rsid w:val="004C46D0"/>
    <w:rsid w:val="004C4E99"/>
    <w:rsid w:val="004D6530"/>
    <w:rsid w:val="004E0B7D"/>
    <w:rsid w:val="004E302B"/>
    <w:rsid w:val="004E39DB"/>
    <w:rsid w:val="004E685C"/>
    <w:rsid w:val="004E6E61"/>
    <w:rsid w:val="004E7185"/>
    <w:rsid w:val="004F0166"/>
    <w:rsid w:val="004F14FC"/>
    <w:rsid w:val="004F2770"/>
    <w:rsid w:val="004F3B1F"/>
    <w:rsid w:val="004F3E78"/>
    <w:rsid w:val="004F4FA6"/>
    <w:rsid w:val="004F69A5"/>
    <w:rsid w:val="005042DB"/>
    <w:rsid w:val="005044E7"/>
    <w:rsid w:val="0050625B"/>
    <w:rsid w:val="00512DAA"/>
    <w:rsid w:val="00513753"/>
    <w:rsid w:val="00520BBC"/>
    <w:rsid w:val="00520FF8"/>
    <w:rsid w:val="005259FD"/>
    <w:rsid w:val="0052748E"/>
    <w:rsid w:val="00527D8F"/>
    <w:rsid w:val="00530566"/>
    <w:rsid w:val="00531313"/>
    <w:rsid w:val="005323E1"/>
    <w:rsid w:val="00532B53"/>
    <w:rsid w:val="005332DA"/>
    <w:rsid w:val="00533C98"/>
    <w:rsid w:val="005455DE"/>
    <w:rsid w:val="00545CC7"/>
    <w:rsid w:val="005464B9"/>
    <w:rsid w:val="00554249"/>
    <w:rsid w:val="005553EF"/>
    <w:rsid w:val="0056179B"/>
    <w:rsid w:val="005617EF"/>
    <w:rsid w:val="00566660"/>
    <w:rsid w:val="005679F7"/>
    <w:rsid w:val="00570664"/>
    <w:rsid w:val="005718A9"/>
    <w:rsid w:val="00573955"/>
    <w:rsid w:val="0057436E"/>
    <w:rsid w:val="00583A47"/>
    <w:rsid w:val="005866E0"/>
    <w:rsid w:val="005870E1"/>
    <w:rsid w:val="00590901"/>
    <w:rsid w:val="00591644"/>
    <w:rsid w:val="00591A57"/>
    <w:rsid w:val="005923C7"/>
    <w:rsid w:val="00592E44"/>
    <w:rsid w:val="00597331"/>
    <w:rsid w:val="005A22C1"/>
    <w:rsid w:val="005A2C60"/>
    <w:rsid w:val="005A340E"/>
    <w:rsid w:val="005B156F"/>
    <w:rsid w:val="005B4FB7"/>
    <w:rsid w:val="005C2113"/>
    <w:rsid w:val="005C22B1"/>
    <w:rsid w:val="005C3C9E"/>
    <w:rsid w:val="005C5447"/>
    <w:rsid w:val="005C79EF"/>
    <w:rsid w:val="005D0C10"/>
    <w:rsid w:val="005D2C38"/>
    <w:rsid w:val="005D345D"/>
    <w:rsid w:val="005D376F"/>
    <w:rsid w:val="005D3950"/>
    <w:rsid w:val="005D6177"/>
    <w:rsid w:val="005E0CAE"/>
    <w:rsid w:val="005E1389"/>
    <w:rsid w:val="005E20A3"/>
    <w:rsid w:val="005E3796"/>
    <w:rsid w:val="005E6E36"/>
    <w:rsid w:val="005F1640"/>
    <w:rsid w:val="005F6F3F"/>
    <w:rsid w:val="0060009A"/>
    <w:rsid w:val="00602DCC"/>
    <w:rsid w:val="00603BE1"/>
    <w:rsid w:val="006066C2"/>
    <w:rsid w:val="00607381"/>
    <w:rsid w:val="006076EE"/>
    <w:rsid w:val="0061059E"/>
    <w:rsid w:val="006106EA"/>
    <w:rsid w:val="006209A8"/>
    <w:rsid w:val="00622282"/>
    <w:rsid w:val="0062372A"/>
    <w:rsid w:val="006247F8"/>
    <w:rsid w:val="0063053E"/>
    <w:rsid w:val="00634571"/>
    <w:rsid w:val="006378F9"/>
    <w:rsid w:val="00640752"/>
    <w:rsid w:val="0064437D"/>
    <w:rsid w:val="006455A5"/>
    <w:rsid w:val="006459CD"/>
    <w:rsid w:val="006506F0"/>
    <w:rsid w:val="00650BF1"/>
    <w:rsid w:val="00653485"/>
    <w:rsid w:val="00653A31"/>
    <w:rsid w:val="00653C45"/>
    <w:rsid w:val="0065417A"/>
    <w:rsid w:val="006553C8"/>
    <w:rsid w:val="00660869"/>
    <w:rsid w:val="00662C38"/>
    <w:rsid w:val="006633F4"/>
    <w:rsid w:val="00663938"/>
    <w:rsid w:val="00664FCE"/>
    <w:rsid w:val="0067093D"/>
    <w:rsid w:val="00672508"/>
    <w:rsid w:val="00672B19"/>
    <w:rsid w:val="00673410"/>
    <w:rsid w:val="006754AD"/>
    <w:rsid w:val="00676BC0"/>
    <w:rsid w:val="0068095C"/>
    <w:rsid w:val="00687C0F"/>
    <w:rsid w:val="00692B35"/>
    <w:rsid w:val="00694349"/>
    <w:rsid w:val="00697B3A"/>
    <w:rsid w:val="00697BBA"/>
    <w:rsid w:val="006A1DEE"/>
    <w:rsid w:val="006A4545"/>
    <w:rsid w:val="006A45C7"/>
    <w:rsid w:val="006A4DA2"/>
    <w:rsid w:val="006A6BA0"/>
    <w:rsid w:val="006A753A"/>
    <w:rsid w:val="006B07D5"/>
    <w:rsid w:val="006B2581"/>
    <w:rsid w:val="006B3957"/>
    <w:rsid w:val="006B5C24"/>
    <w:rsid w:val="006C0520"/>
    <w:rsid w:val="006C1C45"/>
    <w:rsid w:val="006C1DBE"/>
    <w:rsid w:val="006C2C65"/>
    <w:rsid w:val="006C34EA"/>
    <w:rsid w:val="006C68BF"/>
    <w:rsid w:val="006C6FD9"/>
    <w:rsid w:val="006C75D7"/>
    <w:rsid w:val="006D4B91"/>
    <w:rsid w:val="006D4EB5"/>
    <w:rsid w:val="006D610D"/>
    <w:rsid w:val="006D6819"/>
    <w:rsid w:val="006E0E70"/>
    <w:rsid w:val="006E1B67"/>
    <w:rsid w:val="006E2A2C"/>
    <w:rsid w:val="006E2F52"/>
    <w:rsid w:val="006E548B"/>
    <w:rsid w:val="006E57FD"/>
    <w:rsid w:val="006E7E87"/>
    <w:rsid w:val="006F1006"/>
    <w:rsid w:val="006F171D"/>
    <w:rsid w:val="006F18F5"/>
    <w:rsid w:val="006F5819"/>
    <w:rsid w:val="006F7020"/>
    <w:rsid w:val="006F75B9"/>
    <w:rsid w:val="006F7B3F"/>
    <w:rsid w:val="00700D2E"/>
    <w:rsid w:val="007017CA"/>
    <w:rsid w:val="007027F6"/>
    <w:rsid w:val="00707EB5"/>
    <w:rsid w:val="00710A66"/>
    <w:rsid w:val="007133B0"/>
    <w:rsid w:val="00714ABB"/>
    <w:rsid w:val="007151D6"/>
    <w:rsid w:val="00715CD1"/>
    <w:rsid w:val="007225EB"/>
    <w:rsid w:val="00723676"/>
    <w:rsid w:val="00723C8F"/>
    <w:rsid w:val="00724191"/>
    <w:rsid w:val="0072423B"/>
    <w:rsid w:val="00727B7B"/>
    <w:rsid w:val="00732D30"/>
    <w:rsid w:val="007335CE"/>
    <w:rsid w:val="00733EA8"/>
    <w:rsid w:val="00734782"/>
    <w:rsid w:val="00735C65"/>
    <w:rsid w:val="00737B3F"/>
    <w:rsid w:val="007407C4"/>
    <w:rsid w:val="007463D1"/>
    <w:rsid w:val="00747619"/>
    <w:rsid w:val="00752725"/>
    <w:rsid w:val="007544A1"/>
    <w:rsid w:val="00755337"/>
    <w:rsid w:val="007608D5"/>
    <w:rsid w:val="007629D3"/>
    <w:rsid w:val="00763581"/>
    <w:rsid w:val="007709FA"/>
    <w:rsid w:val="00775D3D"/>
    <w:rsid w:val="007761EF"/>
    <w:rsid w:val="007776F3"/>
    <w:rsid w:val="00780D67"/>
    <w:rsid w:val="0078134A"/>
    <w:rsid w:val="00784105"/>
    <w:rsid w:val="00784E39"/>
    <w:rsid w:val="00792B12"/>
    <w:rsid w:val="00794616"/>
    <w:rsid w:val="007972EF"/>
    <w:rsid w:val="007A175C"/>
    <w:rsid w:val="007A1EFE"/>
    <w:rsid w:val="007A28E6"/>
    <w:rsid w:val="007A2E28"/>
    <w:rsid w:val="007A3702"/>
    <w:rsid w:val="007A5798"/>
    <w:rsid w:val="007A7A06"/>
    <w:rsid w:val="007B0F75"/>
    <w:rsid w:val="007B16AA"/>
    <w:rsid w:val="007B1835"/>
    <w:rsid w:val="007B1E79"/>
    <w:rsid w:val="007B5D16"/>
    <w:rsid w:val="007C23F2"/>
    <w:rsid w:val="007C2AEF"/>
    <w:rsid w:val="007C6288"/>
    <w:rsid w:val="007C74E1"/>
    <w:rsid w:val="007D0CF7"/>
    <w:rsid w:val="007D632D"/>
    <w:rsid w:val="007D7A9B"/>
    <w:rsid w:val="007E0AF8"/>
    <w:rsid w:val="007E0E66"/>
    <w:rsid w:val="007E1E0A"/>
    <w:rsid w:val="007E3930"/>
    <w:rsid w:val="007E73A5"/>
    <w:rsid w:val="007E7BEB"/>
    <w:rsid w:val="007F4AFB"/>
    <w:rsid w:val="00803FCF"/>
    <w:rsid w:val="008047DE"/>
    <w:rsid w:val="0081594F"/>
    <w:rsid w:val="00815E73"/>
    <w:rsid w:val="0081784C"/>
    <w:rsid w:val="008179F2"/>
    <w:rsid w:val="00817BBF"/>
    <w:rsid w:val="00817DFC"/>
    <w:rsid w:val="0082240C"/>
    <w:rsid w:val="00833A86"/>
    <w:rsid w:val="00834BE5"/>
    <w:rsid w:val="0083728C"/>
    <w:rsid w:val="0083742B"/>
    <w:rsid w:val="0084058E"/>
    <w:rsid w:val="008410E6"/>
    <w:rsid w:val="00841607"/>
    <w:rsid w:val="0084287A"/>
    <w:rsid w:val="00846E7D"/>
    <w:rsid w:val="00847B39"/>
    <w:rsid w:val="00847F11"/>
    <w:rsid w:val="008534EF"/>
    <w:rsid w:val="0085388B"/>
    <w:rsid w:val="00853AC5"/>
    <w:rsid w:val="0085404A"/>
    <w:rsid w:val="00855F6E"/>
    <w:rsid w:val="00863513"/>
    <w:rsid w:val="008655C0"/>
    <w:rsid w:val="00866354"/>
    <w:rsid w:val="00870D1C"/>
    <w:rsid w:val="00870D7B"/>
    <w:rsid w:val="008714A2"/>
    <w:rsid w:val="0087281C"/>
    <w:rsid w:val="008745C7"/>
    <w:rsid w:val="00881F44"/>
    <w:rsid w:val="00882714"/>
    <w:rsid w:val="00882A86"/>
    <w:rsid w:val="00883F88"/>
    <w:rsid w:val="008848CD"/>
    <w:rsid w:val="008851C4"/>
    <w:rsid w:val="0089029D"/>
    <w:rsid w:val="0089119A"/>
    <w:rsid w:val="008937A0"/>
    <w:rsid w:val="0089425E"/>
    <w:rsid w:val="0089733D"/>
    <w:rsid w:val="00897CB2"/>
    <w:rsid w:val="008A1F68"/>
    <w:rsid w:val="008A6580"/>
    <w:rsid w:val="008B166F"/>
    <w:rsid w:val="008B16F5"/>
    <w:rsid w:val="008B244D"/>
    <w:rsid w:val="008B3BEA"/>
    <w:rsid w:val="008C3418"/>
    <w:rsid w:val="008C379E"/>
    <w:rsid w:val="008C43DA"/>
    <w:rsid w:val="008C6B4A"/>
    <w:rsid w:val="008D1CBE"/>
    <w:rsid w:val="008D26CB"/>
    <w:rsid w:val="008D599A"/>
    <w:rsid w:val="008D5B9F"/>
    <w:rsid w:val="008D5E81"/>
    <w:rsid w:val="008D6B84"/>
    <w:rsid w:val="008D76BD"/>
    <w:rsid w:val="008E084C"/>
    <w:rsid w:val="008E2616"/>
    <w:rsid w:val="008E386F"/>
    <w:rsid w:val="008E3983"/>
    <w:rsid w:val="008E5BC4"/>
    <w:rsid w:val="008E6A7F"/>
    <w:rsid w:val="008E7655"/>
    <w:rsid w:val="008F09BE"/>
    <w:rsid w:val="008F1280"/>
    <w:rsid w:val="008F12D2"/>
    <w:rsid w:val="008F14F5"/>
    <w:rsid w:val="008F2CEB"/>
    <w:rsid w:val="008F3B6D"/>
    <w:rsid w:val="008F3F05"/>
    <w:rsid w:val="008F3F46"/>
    <w:rsid w:val="008F3FE9"/>
    <w:rsid w:val="008F4DD7"/>
    <w:rsid w:val="008F6291"/>
    <w:rsid w:val="00900B7E"/>
    <w:rsid w:val="0090140B"/>
    <w:rsid w:val="00906FFA"/>
    <w:rsid w:val="00907B61"/>
    <w:rsid w:val="00912169"/>
    <w:rsid w:val="009136CE"/>
    <w:rsid w:val="0092037A"/>
    <w:rsid w:val="009216F6"/>
    <w:rsid w:val="00922B96"/>
    <w:rsid w:val="00922BC4"/>
    <w:rsid w:val="00923A74"/>
    <w:rsid w:val="009246AD"/>
    <w:rsid w:val="0092676F"/>
    <w:rsid w:val="00937EED"/>
    <w:rsid w:val="00940913"/>
    <w:rsid w:val="00941FED"/>
    <w:rsid w:val="009420C6"/>
    <w:rsid w:val="009458F8"/>
    <w:rsid w:val="00945B80"/>
    <w:rsid w:val="00947C9C"/>
    <w:rsid w:val="009510A3"/>
    <w:rsid w:val="009523DE"/>
    <w:rsid w:val="00952402"/>
    <w:rsid w:val="00954EA2"/>
    <w:rsid w:val="00955C8C"/>
    <w:rsid w:val="009563AB"/>
    <w:rsid w:val="00956B82"/>
    <w:rsid w:val="009576A0"/>
    <w:rsid w:val="009576B6"/>
    <w:rsid w:val="0096000C"/>
    <w:rsid w:val="00965E11"/>
    <w:rsid w:val="00966598"/>
    <w:rsid w:val="0097254F"/>
    <w:rsid w:val="00974B31"/>
    <w:rsid w:val="00975584"/>
    <w:rsid w:val="00981B99"/>
    <w:rsid w:val="00983F3A"/>
    <w:rsid w:val="00985002"/>
    <w:rsid w:val="009856BB"/>
    <w:rsid w:val="0098723C"/>
    <w:rsid w:val="00987B3D"/>
    <w:rsid w:val="009916CD"/>
    <w:rsid w:val="0099538B"/>
    <w:rsid w:val="009957DA"/>
    <w:rsid w:val="00996AF1"/>
    <w:rsid w:val="00996BE4"/>
    <w:rsid w:val="009977AC"/>
    <w:rsid w:val="009A0D7D"/>
    <w:rsid w:val="009A1583"/>
    <w:rsid w:val="009A433E"/>
    <w:rsid w:val="009A786D"/>
    <w:rsid w:val="009B2011"/>
    <w:rsid w:val="009B53F3"/>
    <w:rsid w:val="009B6FC5"/>
    <w:rsid w:val="009B7B46"/>
    <w:rsid w:val="009C1646"/>
    <w:rsid w:val="009C1C84"/>
    <w:rsid w:val="009C2E65"/>
    <w:rsid w:val="009C4F4F"/>
    <w:rsid w:val="009D012A"/>
    <w:rsid w:val="009D1099"/>
    <w:rsid w:val="009D20E3"/>
    <w:rsid w:val="009D2116"/>
    <w:rsid w:val="009D575A"/>
    <w:rsid w:val="009D6D80"/>
    <w:rsid w:val="009E30A1"/>
    <w:rsid w:val="009E4853"/>
    <w:rsid w:val="009E664B"/>
    <w:rsid w:val="009E69E2"/>
    <w:rsid w:val="009F2E7E"/>
    <w:rsid w:val="009F44F0"/>
    <w:rsid w:val="009F6E90"/>
    <w:rsid w:val="00A02D62"/>
    <w:rsid w:val="00A1082C"/>
    <w:rsid w:val="00A10E8E"/>
    <w:rsid w:val="00A137AE"/>
    <w:rsid w:val="00A15CAB"/>
    <w:rsid w:val="00A201F0"/>
    <w:rsid w:val="00A20EB5"/>
    <w:rsid w:val="00A2116F"/>
    <w:rsid w:val="00A21A8F"/>
    <w:rsid w:val="00A23196"/>
    <w:rsid w:val="00A26B69"/>
    <w:rsid w:val="00A274C8"/>
    <w:rsid w:val="00A3026B"/>
    <w:rsid w:val="00A30E14"/>
    <w:rsid w:val="00A31B15"/>
    <w:rsid w:val="00A32277"/>
    <w:rsid w:val="00A359DE"/>
    <w:rsid w:val="00A370D1"/>
    <w:rsid w:val="00A4215A"/>
    <w:rsid w:val="00A423B7"/>
    <w:rsid w:val="00A432BB"/>
    <w:rsid w:val="00A439B6"/>
    <w:rsid w:val="00A45840"/>
    <w:rsid w:val="00A526CF"/>
    <w:rsid w:val="00A54DB9"/>
    <w:rsid w:val="00A5572E"/>
    <w:rsid w:val="00A56D22"/>
    <w:rsid w:val="00A62095"/>
    <w:rsid w:val="00A66197"/>
    <w:rsid w:val="00A707DA"/>
    <w:rsid w:val="00A762A3"/>
    <w:rsid w:val="00A764EF"/>
    <w:rsid w:val="00A81AB7"/>
    <w:rsid w:val="00A82E3E"/>
    <w:rsid w:val="00A868B9"/>
    <w:rsid w:val="00A87D39"/>
    <w:rsid w:val="00A91861"/>
    <w:rsid w:val="00A91924"/>
    <w:rsid w:val="00A92ADA"/>
    <w:rsid w:val="00A92D94"/>
    <w:rsid w:val="00A96443"/>
    <w:rsid w:val="00A96BFA"/>
    <w:rsid w:val="00AA364E"/>
    <w:rsid w:val="00AA4471"/>
    <w:rsid w:val="00AA6D8F"/>
    <w:rsid w:val="00AA73E0"/>
    <w:rsid w:val="00AB34C5"/>
    <w:rsid w:val="00AB6132"/>
    <w:rsid w:val="00AB7F6D"/>
    <w:rsid w:val="00AC0818"/>
    <w:rsid w:val="00AC0CD0"/>
    <w:rsid w:val="00AC1C48"/>
    <w:rsid w:val="00AC2A7C"/>
    <w:rsid w:val="00AC76A7"/>
    <w:rsid w:val="00AD320C"/>
    <w:rsid w:val="00AD6072"/>
    <w:rsid w:val="00AD62C2"/>
    <w:rsid w:val="00AD74DD"/>
    <w:rsid w:val="00AE1417"/>
    <w:rsid w:val="00AE1532"/>
    <w:rsid w:val="00AE2DFF"/>
    <w:rsid w:val="00AF213F"/>
    <w:rsid w:val="00AF3B2B"/>
    <w:rsid w:val="00AF7F6A"/>
    <w:rsid w:val="00B03106"/>
    <w:rsid w:val="00B03FB4"/>
    <w:rsid w:val="00B0500B"/>
    <w:rsid w:val="00B05A88"/>
    <w:rsid w:val="00B061A3"/>
    <w:rsid w:val="00B061B2"/>
    <w:rsid w:val="00B07F5E"/>
    <w:rsid w:val="00B10E98"/>
    <w:rsid w:val="00B12595"/>
    <w:rsid w:val="00B13774"/>
    <w:rsid w:val="00B17AB5"/>
    <w:rsid w:val="00B20B40"/>
    <w:rsid w:val="00B22A79"/>
    <w:rsid w:val="00B2384F"/>
    <w:rsid w:val="00B24FD5"/>
    <w:rsid w:val="00B25AC7"/>
    <w:rsid w:val="00B2652F"/>
    <w:rsid w:val="00B26EF1"/>
    <w:rsid w:val="00B270D1"/>
    <w:rsid w:val="00B34E0A"/>
    <w:rsid w:val="00B350CE"/>
    <w:rsid w:val="00B37178"/>
    <w:rsid w:val="00B40289"/>
    <w:rsid w:val="00B41F85"/>
    <w:rsid w:val="00B44358"/>
    <w:rsid w:val="00B44ADB"/>
    <w:rsid w:val="00B46D49"/>
    <w:rsid w:val="00B47478"/>
    <w:rsid w:val="00B475EA"/>
    <w:rsid w:val="00B519AB"/>
    <w:rsid w:val="00B549CA"/>
    <w:rsid w:val="00B6205B"/>
    <w:rsid w:val="00B651B5"/>
    <w:rsid w:val="00B66E72"/>
    <w:rsid w:val="00B72D25"/>
    <w:rsid w:val="00B737F5"/>
    <w:rsid w:val="00B744FA"/>
    <w:rsid w:val="00B750DA"/>
    <w:rsid w:val="00B752BA"/>
    <w:rsid w:val="00B7618D"/>
    <w:rsid w:val="00B766FA"/>
    <w:rsid w:val="00B82C21"/>
    <w:rsid w:val="00B82EBA"/>
    <w:rsid w:val="00B8375B"/>
    <w:rsid w:val="00B846A8"/>
    <w:rsid w:val="00B90065"/>
    <w:rsid w:val="00B91734"/>
    <w:rsid w:val="00B942C2"/>
    <w:rsid w:val="00B9459A"/>
    <w:rsid w:val="00B95019"/>
    <w:rsid w:val="00BA11FB"/>
    <w:rsid w:val="00BA2A17"/>
    <w:rsid w:val="00BA4BFC"/>
    <w:rsid w:val="00BA5F79"/>
    <w:rsid w:val="00BB0BD1"/>
    <w:rsid w:val="00BB28E4"/>
    <w:rsid w:val="00BB47E5"/>
    <w:rsid w:val="00BB6486"/>
    <w:rsid w:val="00BB667B"/>
    <w:rsid w:val="00BC2F12"/>
    <w:rsid w:val="00BC3B1C"/>
    <w:rsid w:val="00BC3D1C"/>
    <w:rsid w:val="00BC4466"/>
    <w:rsid w:val="00BD0E9B"/>
    <w:rsid w:val="00BD20EB"/>
    <w:rsid w:val="00BD2B7B"/>
    <w:rsid w:val="00BD2C44"/>
    <w:rsid w:val="00BD74F5"/>
    <w:rsid w:val="00BD797C"/>
    <w:rsid w:val="00BE2D73"/>
    <w:rsid w:val="00BE605B"/>
    <w:rsid w:val="00BE6F7B"/>
    <w:rsid w:val="00BE7D5C"/>
    <w:rsid w:val="00BF0463"/>
    <w:rsid w:val="00BF0D61"/>
    <w:rsid w:val="00C0300C"/>
    <w:rsid w:val="00C03C54"/>
    <w:rsid w:val="00C05E98"/>
    <w:rsid w:val="00C108A4"/>
    <w:rsid w:val="00C10D92"/>
    <w:rsid w:val="00C10EE0"/>
    <w:rsid w:val="00C11AB6"/>
    <w:rsid w:val="00C12556"/>
    <w:rsid w:val="00C14196"/>
    <w:rsid w:val="00C153B6"/>
    <w:rsid w:val="00C16DD0"/>
    <w:rsid w:val="00C204B4"/>
    <w:rsid w:val="00C20C96"/>
    <w:rsid w:val="00C21BFE"/>
    <w:rsid w:val="00C271E0"/>
    <w:rsid w:val="00C3029D"/>
    <w:rsid w:val="00C3082F"/>
    <w:rsid w:val="00C336F6"/>
    <w:rsid w:val="00C34073"/>
    <w:rsid w:val="00C349BD"/>
    <w:rsid w:val="00C3532E"/>
    <w:rsid w:val="00C363CA"/>
    <w:rsid w:val="00C37439"/>
    <w:rsid w:val="00C376F9"/>
    <w:rsid w:val="00C40222"/>
    <w:rsid w:val="00C41B1F"/>
    <w:rsid w:val="00C43903"/>
    <w:rsid w:val="00C43CD4"/>
    <w:rsid w:val="00C509AA"/>
    <w:rsid w:val="00C51580"/>
    <w:rsid w:val="00C543A5"/>
    <w:rsid w:val="00C54EEA"/>
    <w:rsid w:val="00C55288"/>
    <w:rsid w:val="00C55AE3"/>
    <w:rsid w:val="00C6168C"/>
    <w:rsid w:val="00C6170A"/>
    <w:rsid w:val="00C62208"/>
    <w:rsid w:val="00C63934"/>
    <w:rsid w:val="00C65C5E"/>
    <w:rsid w:val="00C67D20"/>
    <w:rsid w:val="00C71C5F"/>
    <w:rsid w:val="00C71D26"/>
    <w:rsid w:val="00C72563"/>
    <w:rsid w:val="00C727A1"/>
    <w:rsid w:val="00C72A43"/>
    <w:rsid w:val="00C72E5E"/>
    <w:rsid w:val="00C74612"/>
    <w:rsid w:val="00C8592C"/>
    <w:rsid w:val="00C95D6C"/>
    <w:rsid w:val="00C96C1E"/>
    <w:rsid w:val="00C97866"/>
    <w:rsid w:val="00CA2458"/>
    <w:rsid w:val="00CA266D"/>
    <w:rsid w:val="00CA2A93"/>
    <w:rsid w:val="00CA4655"/>
    <w:rsid w:val="00CA65BC"/>
    <w:rsid w:val="00CA676A"/>
    <w:rsid w:val="00CA693E"/>
    <w:rsid w:val="00CA6EC0"/>
    <w:rsid w:val="00CA6F5A"/>
    <w:rsid w:val="00CA7856"/>
    <w:rsid w:val="00CB1854"/>
    <w:rsid w:val="00CB56F0"/>
    <w:rsid w:val="00CB77B5"/>
    <w:rsid w:val="00CB77FB"/>
    <w:rsid w:val="00CC4301"/>
    <w:rsid w:val="00CD0620"/>
    <w:rsid w:val="00CD0E59"/>
    <w:rsid w:val="00CD43E2"/>
    <w:rsid w:val="00CD48F7"/>
    <w:rsid w:val="00CD5AAA"/>
    <w:rsid w:val="00CD7A9A"/>
    <w:rsid w:val="00CE1252"/>
    <w:rsid w:val="00CE2712"/>
    <w:rsid w:val="00CE393B"/>
    <w:rsid w:val="00CE675C"/>
    <w:rsid w:val="00CF1A14"/>
    <w:rsid w:val="00CF1A5E"/>
    <w:rsid w:val="00CF1B3D"/>
    <w:rsid w:val="00CF3E64"/>
    <w:rsid w:val="00CF7174"/>
    <w:rsid w:val="00CF7AA4"/>
    <w:rsid w:val="00CF7BAC"/>
    <w:rsid w:val="00D016C6"/>
    <w:rsid w:val="00D026D0"/>
    <w:rsid w:val="00D03442"/>
    <w:rsid w:val="00D0391E"/>
    <w:rsid w:val="00D06D31"/>
    <w:rsid w:val="00D079AE"/>
    <w:rsid w:val="00D07E28"/>
    <w:rsid w:val="00D07F62"/>
    <w:rsid w:val="00D101A4"/>
    <w:rsid w:val="00D1681A"/>
    <w:rsid w:val="00D16B17"/>
    <w:rsid w:val="00D2730A"/>
    <w:rsid w:val="00D2798D"/>
    <w:rsid w:val="00D27C5C"/>
    <w:rsid w:val="00D32378"/>
    <w:rsid w:val="00D32E24"/>
    <w:rsid w:val="00D332C5"/>
    <w:rsid w:val="00D34BB3"/>
    <w:rsid w:val="00D34E2C"/>
    <w:rsid w:val="00D53312"/>
    <w:rsid w:val="00D53621"/>
    <w:rsid w:val="00D53DC2"/>
    <w:rsid w:val="00D545CF"/>
    <w:rsid w:val="00D54BB4"/>
    <w:rsid w:val="00D60B03"/>
    <w:rsid w:val="00D702B5"/>
    <w:rsid w:val="00D72FA3"/>
    <w:rsid w:val="00D74643"/>
    <w:rsid w:val="00D76460"/>
    <w:rsid w:val="00D807D5"/>
    <w:rsid w:val="00D8095F"/>
    <w:rsid w:val="00D812D7"/>
    <w:rsid w:val="00D81896"/>
    <w:rsid w:val="00D82338"/>
    <w:rsid w:val="00D82B6F"/>
    <w:rsid w:val="00D874AC"/>
    <w:rsid w:val="00D87514"/>
    <w:rsid w:val="00D87A9E"/>
    <w:rsid w:val="00D87C01"/>
    <w:rsid w:val="00D91814"/>
    <w:rsid w:val="00D921F0"/>
    <w:rsid w:val="00D933E9"/>
    <w:rsid w:val="00D945FB"/>
    <w:rsid w:val="00D94AB3"/>
    <w:rsid w:val="00D95889"/>
    <w:rsid w:val="00D973A0"/>
    <w:rsid w:val="00DA39AB"/>
    <w:rsid w:val="00DA530D"/>
    <w:rsid w:val="00DA5328"/>
    <w:rsid w:val="00DA5635"/>
    <w:rsid w:val="00DB07C5"/>
    <w:rsid w:val="00DB0DB9"/>
    <w:rsid w:val="00DB1A1B"/>
    <w:rsid w:val="00DB25AF"/>
    <w:rsid w:val="00DB3723"/>
    <w:rsid w:val="00DB5C03"/>
    <w:rsid w:val="00DB6B91"/>
    <w:rsid w:val="00DC14D4"/>
    <w:rsid w:val="00DC2BF4"/>
    <w:rsid w:val="00DC3136"/>
    <w:rsid w:val="00DC3BB2"/>
    <w:rsid w:val="00DC40A0"/>
    <w:rsid w:val="00DC51C2"/>
    <w:rsid w:val="00DC796C"/>
    <w:rsid w:val="00DC7A9C"/>
    <w:rsid w:val="00DD152B"/>
    <w:rsid w:val="00DD3145"/>
    <w:rsid w:val="00DD31B1"/>
    <w:rsid w:val="00DD3647"/>
    <w:rsid w:val="00DD4A67"/>
    <w:rsid w:val="00DD5C8A"/>
    <w:rsid w:val="00DD60CF"/>
    <w:rsid w:val="00DD6BFF"/>
    <w:rsid w:val="00DD6DBB"/>
    <w:rsid w:val="00DE03E8"/>
    <w:rsid w:val="00DE0B58"/>
    <w:rsid w:val="00DE0C84"/>
    <w:rsid w:val="00DE1A08"/>
    <w:rsid w:val="00DE60AC"/>
    <w:rsid w:val="00DE79C5"/>
    <w:rsid w:val="00DF0039"/>
    <w:rsid w:val="00DF011B"/>
    <w:rsid w:val="00DF32C8"/>
    <w:rsid w:val="00DF32D0"/>
    <w:rsid w:val="00DF3482"/>
    <w:rsid w:val="00DF4BDF"/>
    <w:rsid w:val="00DF5861"/>
    <w:rsid w:val="00DF5A3E"/>
    <w:rsid w:val="00DF7E70"/>
    <w:rsid w:val="00E02398"/>
    <w:rsid w:val="00E05217"/>
    <w:rsid w:val="00E05B40"/>
    <w:rsid w:val="00E05E23"/>
    <w:rsid w:val="00E07014"/>
    <w:rsid w:val="00E074F2"/>
    <w:rsid w:val="00E07B9B"/>
    <w:rsid w:val="00E10607"/>
    <w:rsid w:val="00E1555C"/>
    <w:rsid w:val="00E15D94"/>
    <w:rsid w:val="00E16342"/>
    <w:rsid w:val="00E17188"/>
    <w:rsid w:val="00E17AC5"/>
    <w:rsid w:val="00E24A38"/>
    <w:rsid w:val="00E2667A"/>
    <w:rsid w:val="00E33AF5"/>
    <w:rsid w:val="00E37C9F"/>
    <w:rsid w:val="00E513CC"/>
    <w:rsid w:val="00E51AB7"/>
    <w:rsid w:val="00E527A3"/>
    <w:rsid w:val="00E531F8"/>
    <w:rsid w:val="00E55513"/>
    <w:rsid w:val="00E57E1D"/>
    <w:rsid w:val="00E60D3A"/>
    <w:rsid w:val="00E6107A"/>
    <w:rsid w:val="00E61A84"/>
    <w:rsid w:val="00E6307D"/>
    <w:rsid w:val="00E6340A"/>
    <w:rsid w:val="00E638DB"/>
    <w:rsid w:val="00E6615C"/>
    <w:rsid w:val="00E70C2F"/>
    <w:rsid w:val="00E71622"/>
    <w:rsid w:val="00E71780"/>
    <w:rsid w:val="00E73F99"/>
    <w:rsid w:val="00E740E6"/>
    <w:rsid w:val="00E751F5"/>
    <w:rsid w:val="00E7629F"/>
    <w:rsid w:val="00E77129"/>
    <w:rsid w:val="00E80D64"/>
    <w:rsid w:val="00E815DE"/>
    <w:rsid w:val="00E91482"/>
    <w:rsid w:val="00E92B10"/>
    <w:rsid w:val="00E93AE8"/>
    <w:rsid w:val="00E96302"/>
    <w:rsid w:val="00E96F0F"/>
    <w:rsid w:val="00EA24C5"/>
    <w:rsid w:val="00EA2F5F"/>
    <w:rsid w:val="00EA44D7"/>
    <w:rsid w:val="00EA517D"/>
    <w:rsid w:val="00EA78E4"/>
    <w:rsid w:val="00EB6D5C"/>
    <w:rsid w:val="00EC129D"/>
    <w:rsid w:val="00EC2431"/>
    <w:rsid w:val="00EC2917"/>
    <w:rsid w:val="00EC46D3"/>
    <w:rsid w:val="00EC4839"/>
    <w:rsid w:val="00EC5188"/>
    <w:rsid w:val="00ED070A"/>
    <w:rsid w:val="00ED1CF4"/>
    <w:rsid w:val="00ED4AE2"/>
    <w:rsid w:val="00ED4C9E"/>
    <w:rsid w:val="00ED5036"/>
    <w:rsid w:val="00ED787C"/>
    <w:rsid w:val="00EE1D0B"/>
    <w:rsid w:val="00EE37CD"/>
    <w:rsid w:val="00EE5F3A"/>
    <w:rsid w:val="00EF0070"/>
    <w:rsid w:val="00EF07FF"/>
    <w:rsid w:val="00EF4091"/>
    <w:rsid w:val="00EF49C9"/>
    <w:rsid w:val="00EF5DC4"/>
    <w:rsid w:val="00EF600E"/>
    <w:rsid w:val="00EF71CD"/>
    <w:rsid w:val="00F01AAA"/>
    <w:rsid w:val="00F01DAE"/>
    <w:rsid w:val="00F04FA2"/>
    <w:rsid w:val="00F051A5"/>
    <w:rsid w:val="00F061DD"/>
    <w:rsid w:val="00F10319"/>
    <w:rsid w:val="00F11135"/>
    <w:rsid w:val="00F11AF9"/>
    <w:rsid w:val="00F1221B"/>
    <w:rsid w:val="00F134F5"/>
    <w:rsid w:val="00F13F43"/>
    <w:rsid w:val="00F143FF"/>
    <w:rsid w:val="00F171E4"/>
    <w:rsid w:val="00F20174"/>
    <w:rsid w:val="00F20921"/>
    <w:rsid w:val="00F209FC"/>
    <w:rsid w:val="00F24774"/>
    <w:rsid w:val="00F26163"/>
    <w:rsid w:val="00F27C98"/>
    <w:rsid w:val="00F30EF4"/>
    <w:rsid w:val="00F40866"/>
    <w:rsid w:val="00F434C8"/>
    <w:rsid w:val="00F43C21"/>
    <w:rsid w:val="00F4439E"/>
    <w:rsid w:val="00F44C99"/>
    <w:rsid w:val="00F45710"/>
    <w:rsid w:val="00F475A6"/>
    <w:rsid w:val="00F47B85"/>
    <w:rsid w:val="00F47BBE"/>
    <w:rsid w:val="00F47E7E"/>
    <w:rsid w:val="00F50FDE"/>
    <w:rsid w:val="00F555E9"/>
    <w:rsid w:val="00F5645C"/>
    <w:rsid w:val="00F60CD8"/>
    <w:rsid w:val="00F617F7"/>
    <w:rsid w:val="00F61F00"/>
    <w:rsid w:val="00F66545"/>
    <w:rsid w:val="00F67AF5"/>
    <w:rsid w:val="00F7135E"/>
    <w:rsid w:val="00F7298D"/>
    <w:rsid w:val="00F77D97"/>
    <w:rsid w:val="00F87F22"/>
    <w:rsid w:val="00F93307"/>
    <w:rsid w:val="00F94EB3"/>
    <w:rsid w:val="00F9598C"/>
    <w:rsid w:val="00F960EF"/>
    <w:rsid w:val="00FA0489"/>
    <w:rsid w:val="00FA3FE2"/>
    <w:rsid w:val="00FA4680"/>
    <w:rsid w:val="00FA47CC"/>
    <w:rsid w:val="00FA671E"/>
    <w:rsid w:val="00FB1EA4"/>
    <w:rsid w:val="00FB2825"/>
    <w:rsid w:val="00FB38A1"/>
    <w:rsid w:val="00FB673B"/>
    <w:rsid w:val="00FC1C2E"/>
    <w:rsid w:val="00FC2041"/>
    <w:rsid w:val="00FC2CDC"/>
    <w:rsid w:val="00FC3229"/>
    <w:rsid w:val="00FC5A17"/>
    <w:rsid w:val="00FD13BF"/>
    <w:rsid w:val="00FD177C"/>
    <w:rsid w:val="00FD442F"/>
    <w:rsid w:val="00FD4774"/>
    <w:rsid w:val="00FD51D6"/>
    <w:rsid w:val="00FD576D"/>
    <w:rsid w:val="00FE1EA3"/>
    <w:rsid w:val="00FE218E"/>
    <w:rsid w:val="00FE5527"/>
    <w:rsid w:val="00FE6219"/>
    <w:rsid w:val="00FE6389"/>
    <w:rsid w:val="00FF0CF4"/>
    <w:rsid w:val="00FF2438"/>
    <w:rsid w:val="00FF2D4B"/>
    <w:rsid w:val="00FF4D6B"/>
    <w:rsid w:val="00FF60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E1A75B"/>
  <w15:docId w15:val="{C17EAC26-DFE0-402C-A3FC-A20DD85B7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80">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qFormat/>
    <w:rsid w:val="001702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semiHidden/>
    <w:unhideWhenUsed/>
    <w:qFormat/>
    <w:rsid w:val="008E765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170292"/>
    <w:pPr>
      <w:spacing w:before="120" w:after="60" w:line="480" w:lineRule="auto"/>
      <w:jc w:val="left"/>
    </w:pPr>
  </w:style>
  <w:style w:type="character" w:customStyle="1" w:styleId="FAAuthorInfoSubtitleChar">
    <w:name w:val="FA_Author_Info_Subtitle Char"/>
    <w:link w:val="FAAuthorInfoSubtitle"/>
    <w:rsid w:val="00170292"/>
    <w:rPr>
      <w:rFonts w:ascii="Times" w:hAnsi="Times"/>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Heading1Char">
    <w:name w:val="Heading 1 Char"/>
    <w:basedOn w:val="DefaultParagraphFont"/>
    <w:link w:val="Heading1"/>
    <w:rsid w:val="00170292"/>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1C4883"/>
    <w:pPr>
      <w:spacing w:before="100" w:beforeAutospacing="1" w:after="100" w:afterAutospacing="1"/>
      <w:jc w:val="left"/>
    </w:pPr>
    <w:rPr>
      <w:rFonts w:ascii="Times New Roman" w:eastAsiaTheme="minorEastAsia" w:hAnsi="Times New Roman"/>
      <w:szCs w:val="24"/>
      <w:lang w:val="pt-BR" w:eastAsia="pt-BR"/>
    </w:rPr>
  </w:style>
  <w:style w:type="table" w:styleId="TableGrid">
    <w:name w:val="Table Grid"/>
    <w:basedOn w:val="TableNormal"/>
    <w:uiPriority w:val="39"/>
    <w:rsid w:val="001C4883"/>
    <w:rPr>
      <w:rFonts w:asciiTheme="minorHAnsi" w:eastAsiaTheme="minorEastAsia" w:hAnsiTheme="minorHAnsi" w:cstheme="minorBidi"/>
      <w:sz w:val="22"/>
      <w:szCs w:val="22"/>
      <w:lang w:val="pt-BR"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C4883"/>
    <w:rPr>
      <w:color w:val="808080"/>
    </w:rPr>
  </w:style>
  <w:style w:type="character" w:styleId="CommentReference">
    <w:name w:val="annotation reference"/>
    <w:basedOn w:val="DefaultParagraphFont"/>
    <w:rsid w:val="00CF7174"/>
    <w:rPr>
      <w:sz w:val="16"/>
      <w:szCs w:val="16"/>
    </w:rPr>
  </w:style>
  <w:style w:type="paragraph" w:styleId="CommentText">
    <w:name w:val="annotation text"/>
    <w:basedOn w:val="Normal"/>
    <w:link w:val="CommentTextChar"/>
    <w:rsid w:val="00CF7174"/>
    <w:rPr>
      <w:sz w:val="20"/>
    </w:rPr>
  </w:style>
  <w:style w:type="character" w:customStyle="1" w:styleId="CommentTextChar">
    <w:name w:val="Comment Text Char"/>
    <w:basedOn w:val="DefaultParagraphFont"/>
    <w:link w:val="CommentText"/>
    <w:rsid w:val="00CF7174"/>
    <w:rPr>
      <w:rFonts w:ascii="Times" w:hAnsi="Times"/>
    </w:rPr>
  </w:style>
  <w:style w:type="paragraph" w:styleId="CommentSubject">
    <w:name w:val="annotation subject"/>
    <w:basedOn w:val="CommentText"/>
    <w:next w:val="CommentText"/>
    <w:link w:val="CommentSubjectChar"/>
    <w:rsid w:val="00CF7174"/>
    <w:rPr>
      <w:b/>
      <w:bCs/>
    </w:rPr>
  </w:style>
  <w:style w:type="character" w:customStyle="1" w:styleId="CommentSubjectChar">
    <w:name w:val="Comment Subject Char"/>
    <w:basedOn w:val="CommentTextChar"/>
    <w:link w:val="CommentSubject"/>
    <w:rsid w:val="00CF7174"/>
    <w:rPr>
      <w:rFonts w:ascii="Times" w:hAnsi="Times"/>
      <w:b/>
      <w:bCs/>
    </w:rPr>
  </w:style>
  <w:style w:type="character" w:customStyle="1" w:styleId="Heading3Char">
    <w:name w:val="Heading 3 Char"/>
    <w:basedOn w:val="DefaultParagraphFont"/>
    <w:link w:val="Heading3"/>
    <w:semiHidden/>
    <w:rsid w:val="008E7655"/>
    <w:rPr>
      <w:rFonts w:asciiTheme="majorHAnsi" w:eastAsiaTheme="majorEastAsia" w:hAnsiTheme="majorHAnsi" w:cstheme="majorBidi"/>
      <w:b/>
      <w:bCs/>
      <w:color w:val="4F81BD" w:themeColor="accent1"/>
      <w:sz w:val="24"/>
    </w:rPr>
  </w:style>
  <w:style w:type="paragraph" w:styleId="Revision">
    <w:name w:val="Revision"/>
    <w:hidden/>
    <w:uiPriority w:val="99"/>
    <w:semiHidden/>
    <w:rsid w:val="004D6530"/>
    <w:rPr>
      <w:rFonts w:ascii="Times" w:hAnsi="Times"/>
      <w:sz w:val="24"/>
    </w:rPr>
  </w:style>
  <w:style w:type="paragraph" w:styleId="Header">
    <w:name w:val="header"/>
    <w:basedOn w:val="Normal"/>
    <w:link w:val="HeaderChar"/>
    <w:unhideWhenUsed/>
    <w:rsid w:val="008D5B9F"/>
    <w:pPr>
      <w:tabs>
        <w:tab w:val="center" w:pos="4680"/>
        <w:tab w:val="right" w:pos="9360"/>
      </w:tabs>
      <w:spacing w:after="0"/>
    </w:pPr>
  </w:style>
  <w:style w:type="character" w:customStyle="1" w:styleId="HeaderChar">
    <w:name w:val="Header Char"/>
    <w:basedOn w:val="DefaultParagraphFont"/>
    <w:link w:val="Header"/>
    <w:rsid w:val="008D5B9F"/>
    <w:rPr>
      <w:rFonts w:ascii="Times" w:hAnsi="Times"/>
      <w:sz w:val="24"/>
    </w:rPr>
  </w:style>
  <w:style w:type="table" w:styleId="LightShading">
    <w:name w:val="Light Shading"/>
    <w:basedOn w:val="TableNormal"/>
    <w:uiPriority w:val="60"/>
    <w:rsid w:val="0027048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pple-converted-space">
    <w:name w:val="apple-converted-space"/>
    <w:basedOn w:val="DefaultParagraphFont"/>
    <w:rsid w:val="007B5D16"/>
  </w:style>
  <w:style w:type="character" w:customStyle="1" w:styleId="italic">
    <w:name w:val="italic"/>
    <w:basedOn w:val="DefaultParagraphFont"/>
    <w:rsid w:val="007B5D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818815">
      <w:bodyDiv w:val="1"/>
      <w:marLeft w:val="0"/>
      <w:marRight w:val="0"/>
      <w:marTop w:val="0"/>
      <w:marBottom w:val="0"/>
      <w:divBdr>
        <w:top w:val="none" w:sz="0" w:space="0" w:color="auto"/>
        <w:left w:val="none" w:sz="0" w:space="0" w:color="auto"/>
        <w:bottom w:val="none" w:sz="0" w:space="0" w:color="auto"/>
        <w:right w:val="none" w:sz="0" w:space="0" w:color="auto"/>
      </w:divBdr>
    </w:div>
    <w:div w:id="359940707">
      <w:bodyDiv w:val="1"/>
      <w:marLeft w:val="0"/>
      <w:marRight w:val="0"/>
      <w:marTop w:val="0"/>
      <w:marBottom w:val="0"/>
      <w:divBdr>
        <w:top w:val="none" w:sz="0" w:space="0" w:color="auto"/>
        <w:left w:val="none" w:sz="0" w:space="0" w:color="auto"/>
        <w:bottom w:val="none" w:sz="0" w:space="0" w:color="auto"/>
        <w:right w:val="none" w:sz="0" w:space="0" w:color="auto"/>
      </w:divBdr>
    </w:div>
    <w:div w:id="368993717">
      <w:bodyDiv w:val="1"/>
      <w:marLeft w:val="0"/>
      <w:marRight w:val="0"/>
      <w:marTop w:val="0"/>
      <w:marBottom w:val="0"/>
      <w:divBdr>
        <w:top w:val="none" w:sz="0" w:space="0" w:color="auto"/>
        <w:left w:val="none" w:sz="0" w:space="0" w:color="auto"/>
        <w:bottom w:val="none" w:sz="0" w:space="0" w:color="auto"/>
        <w:right w:val="none" w:sz="0" w:space="0" w:color="auto"/>
      </w:divBdr>
    </w:div>
    <w:div w:id="387845946">
      <w:bodyDiv w:val="1"/>
      <w:marLeft w:val="0"/>
      <w:marRight w:val="0"/>
      <w:marTop w:val="0"/>
      <w:marBottom w:val="0"/>
      <w:divBdr>
        <w:top w:val="none" w:sz="0" w:space="0" w:color="auto"/>
        <w:left w:val="none" w:sz="0" w:space="0" w:color="auto"/>
        <w:bottom w:val="none" w:sz="0" w:space="0" w:color="auto"/>
        <w:right w:val="none" w:sz="0" w:space="0" w:color="auto"/>
      </w:divBdr>
    </w:div>
    <w:div w:id="474100776">
      <w:bodyDiv w:val="1"/>
      <w:marLeft w:val="0"/>
      <w:marRight w:val="0"/>
      <w:marTop w:val="0"/>
      <w:marBottom w:val="0"/>
      <w:divBdr>
        <w:top w:val="none" w:sz="0" w:space="0" w:color="auto"/>
        <w:left w:val="none" w:sz="0" w:space="0" w:color="auto"/>
        <w:bottom w:val="none" w:sz="0" w:space="0" w:color="auto"/>
        <w:right w:val="none" w:sz="0" w:space="0" w:color="auto"/>
      </w:divBdr>
    </w:div>
    <w:div w:id="513492772">
      <w:bodyDiv w:val="1"/>
      <w:marLeft w:val="0"/>
      <w:marRight w:val="0"/>
      <w:marTop w:val="0"/>
      <w:marBottom w:val="0"/>
      <w:divBdr>
        <w:top w:val="none" w:sz="0" w:space="0" w:color="auto"/>
        <w:left w:val="none" w:sz="0" w:space="0" w:color="auto"/>
        <w:bottom w:val="none" w:sz="0" w:space="0" w:color="auto"/>
        <w:right w:val="none" w:sz="0" w:space="0" w:color="auto"/>
      </w:divBdr>
    </w:div>
    <w:div w:id="519465674">
      <w:bodyDiv w:val="1"/>
      <w:marLeft w:val="0"/>
      <w:marRight w:val="0"/>
      <w:marTop w:val="0"/>
      <w:marBottom w:val="0"/>
      <w:divBdr>
        <w:top w:val="none" w:sz="0" w:space="0" w:color="auto"/>
        <w:left w:val="none" w:sz="0" w:space="0" w:color="auto"/>
        <w:bottom w:val="none" w:sz="0" w:space="0" w:color="auto"/>
        <w:right w:val="none" w:sz="0" w:space="0" w:color="auto"/>
      </w:divBdr>
    </w:div>
    <w:div w:id="877856801">
      <w:bodyDiv w:val="1"/>
      <w:marLeft w:val="0"/>
      <w:marRight w:val="0"/>
      <w:marTop w:val="0"/>
      <w:marBottom w:val="0"/>
      <w:divBdr>
        <w:top w:val="none" w:sz="0" w:space="0" w:color="auto"/>
        <w:left w:val="none" w:sz="0" w:space="0" w:color="auto"/>
        <w:bottom w:val="none" w:sz="0" w:space="0" w:color="auto"/>
        <w:right w:val="none" w:sz="0" w:space="0" w:color="auto"/>
      </w:divBdr>
    </w:div>
    <w:div w:id="1138111411">
      <w:bodyDiv w:val="1"/>
      <w:marLeft w:val="0"/>
      <w:marRight w:val="0"/>
      <w:marTop w:val="0"/>
      <w:marBottom w:val="0"/>
      <w:divBdr>
        <w:top w:val="none" w:sz="0" w:space="0" w:color="auto"/>
        <w:left w:val="none" w:sz="0" w:space="0" w:color="auto"/>
        <w:bottom w:val="none" w:sz="0" w:space="0" w:color="auto"/>
        <w:right w:val="none" w:sz="0" w:space="0" w:color="auto"/>
      </w:divBdr>
    </w:div>
    <w:div w:id="1372149620">
      <w:bodyDiv w:val="1"/>
      <w:marLeft w:val="0"/>
      <w:marRight w:val="0"/>
      <w:marTop w:val="0"/>
      <w:marBottom w:val="0"/>
      <w:divBdr>
        <w:top w:val="none" w:sz="0" w:space="0" w:color="auto"/>
        <w:left w:val="none" w:sz="0" w:space="0" w:color="auto"/>
        <w:bottom w:val="none" w:sz="0" w:space="0" w:color="auto"/>
        <w:right w:val="none" w:sz="0" w:space="0" w:color="auto"/>
      </w:divBdr>
    </w:div>
    <w:div w:id="1719014887">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18905098">
      <w:bodyDiv w:val="1"/>
      <w:marLeft w:val="0"/>
      <w:marRight w:val="0"/>
      <w:marTop w:val="0"/>
      <w:marBottom w:val="0"/>
      <w:divBdr>
        <w:top w:val="none" w:sz="0" w:space="0" w:color="auto"/>
        <w:left w:val="none" w:sz="0" w:space="0" w:color="auto"/>
        <w:bottom w:val="none" w:sz="0" w:space="0" w:color="auto"/>
        <w:right w:val="none" w:sz="0" w:space="0" w:color="auto"/>
      </w:divBdr>
    </w:div>
    <w:div w:id="1984697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tif"/><Relationship Id="rId15" Type="http://schemas.openxmlformats.org/officeDocument/2006/relationships/hyperlink" Target="file:///C:\Users\Rafael\Desktop\Paper%20SmTGR\www.cellprofiler.org\published_pipelines.shtml" TargetMode="External"/><Relationship Id="rId16" Type="http://schemas.openxmlformats.org/officeDocument/2006/relationships/hyperlink" Target="http://www.graphpad.com" TargetMode="External"/><Relationship Id="rId17" Type="http://schemas.openxmlformats.org/officeDocument/2006/relationships/hyperlink" Target="http://pubs.acs.org" TargetMode="External"/><Relationship Id="rId18" Type="http://schemas.openxmlformats.org/officeDocument/2006/relationships/image" Target="media/image8.png"/><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uno\Downloads\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9603D8-35F8-A94D-B64A-4F96D3756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C:\Users\Bruno\Downloads\acstemplate_msw2010.dotx</Template>
  <TotalTime>4</TotalTime>
  <Pages>54</Pages>
  <Words>66125</Words>
  <Characters>376913</Characters>
  <Application>Microsoft Macintosh Word</Application>
  <DocSecurity>0</DocSecurity>
  <Lines>3140</Lines>
  <Paragraphs>884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442154</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Bruno</dc:creator>
  <cp:lastModifiedBy>Carolina Andrade</cp:lastModifiedBy>
  <cp:revision>7</cp:revision>
  <cp:lastPrinted>2008-06-11T21:33:00Z</cp:lastPrinted>
  <dcterms:created xsi:type="dcterms:W3CDTF">2016-06-22T21:27:00Z</dcterms:created>
  <dcterms:modified xsi:type="dcterms:W3CDTF">2016-06-22T21:31:00Z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bruno.labmol@gmail.com@www.mendeley.com</vt:lpwstr>
  </property>
  <property fmtid="{D5CDD505-2E9C-101B-9397-08002B2CF9AE}" pid="4" name="Mendeley Citation Style_1">
    <vt:lpwstr>http://www.zotero.org/styles/journal-of-medicinal-chemistry</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16th edition (author-date)</vt:lpwstr>
  </property>
  <property fmtid="{D5CDD505-2E9C-101B-9397-08002B2CF9AE}" pid="9" name="Mendeley Recent Style Id 2_1">
    <vt:lpwstr>http://www.zotero.org/styles/harvard1</vt:lpwstr>
  </property>
  <property fmtid="{D5CDD505-2E9C-101B-9397-08002B2CF9AE}" pid="10" name="Mendeley Recent Style Name 2_1">
    <vt:lpwstr>Harvard Reference format 1 (author-date)</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http://www.zotero.org/styles/journal-of-medicinal-chemistry</vt:lpwstr>
  </property>
  <property fmtid="{D5CDD505-2E9C-101B-9397-08002B2CF9AE}" pid="14" name="Mendeley Recent Style Name 4_1">
    <vt:lpwstr>Journal of Medicinal Chemistry</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7th edition</vt:lpwstr>
  </property>
  <property fmtid="{D5CDD505-2E9C-101B-9397-08002B2CF9AE}" pid="19" name="Mendeley Recent Style Id 7_1">
    <vt:lpwstr>http://www.zotero.org/styles/plos-neglected-tropical-diseases</vt:lpwstr>
  </property>
  <property fmtid="{D5CDD505-2E9C-101B-9397-08002B2CF9AE}" pid="20" name="Mendeley Recent Style Name 7_1">
    <vt:lpwstr>PLOS Neglected Tropical Diseases</vt:lpwstr>
  </property>
  <property fmtid="{D5CDD505-2E9C-101B-9397-08002B2CF9AE}" pid="21" name="Mendeley Recent Style Id 8_1">
    <vt:lpwstr>http://www.zotero.org/styles/plos-one</vt:lpwstr>
  </property>
  <property fmtid="{D5CDD505-2E9C-101B-9397-08002B2CF9AE}" pid="22" name="Mendeley Recent Style Name 8_1">
    <vt:lpwstr>PLOS ONE</vt:lpwstr>
  </property>
  <property fmtid="{D5CDD505-2E9C-101B-9397-08002B2CF9AE}" pid="23" name="Mendeley Recent Style Id 9_1">
    <vt:lpwstr>http://www.zotero.org/styles/phytomedicine</vt:lpwstr>
  </property>
  <property fmtid="{D5CDD505-2E9C-101B-9397-08002B2CF9AE}" pid="24" name="Mendeley Recent Style Name 9_1">
    <vt:lpwstr>Phytomedicine</vt:lpwstr>
  </property>
</Properties>
</file>