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E4EF4" w14:textId="77777777" w:rsidR="0007175B" w:rsidRPr="004F38BE" w:rsidRDefault="0007175B" w:rsidP="0033455D">
      <w:pPr>
        <w:spacing w:line="360" w:lineRule="auto"/>
        <w:jc w:val="both"/>
        <w:rPr>
          <w:lang w:eastAsia="en-ZA"/>
        </w:rPr>
      </w:pPr>
      <w:r w:rsidRPr="004F38BE">
        <w:rPr>
          <w:b/>
          <w:bCs/>
          <w:lang w:eastAsia="en-ZA"/>
        </w:rPr>
        <w:t>What is the key question?</w:t>
      </w:r>
    </w:p>
    <w:p w14:paraId="0010A60D" w14:textId="46B9E89E" w:rsidR="0007175B" w:rsidRPr="004F38BE" w:rsidRDefault="0007175B" w:rsidP="0033455D">
      <w:pPr>
        <w:spacing w:line="360" w:lineRule="auto"/>
        <w:jc w:val="both"/>
        <w:rPr>
          <w:lang w:eastAsia="en-ZA"/>
        </w:rPr>
      </w:pPr>
      <w:r w:rsidRPr="004F38BE">
        <w:rPr>
          <w:lang w:eastAsia="en-ZA"/>
        </w:rPr>
        <w:t xml:space="preserve">Are there </w:t>
      </w:r>
      <w:r w:rsidR="00C31E67" w:rsidRPr="004F38BE">
        <w:rPr>
          <w:lang w:eastAsia="en-ZA"/>
        </w:rPr>
        <w:t xml:space="preserve">serum </w:t>
      </w:r>
      <w:r w:rsidRPr="004F38BE">
        <w:rPr>
          <w:lang w:eastAsia="en-ZA"/>
        </w:rPr>
        <w:t xml:space="preserve">host </w:t>
      </w:r>
      <w:r w:rsidR="00C31E67" w:rsidRPr="004F38BE">
        <w:rPr>
          <w:lang w:eastAsia="en-ZA"/>
        </w:rPr>
        <w:t>marker signatures, which are suitable for point</w:t>
      </w:r>
      <w:r w:rsidR="00F66651" w:rsidRPr="004F38BE">
        <w:rPr>
          <w:lang w:eastAsia="en-ZA"/>
        </w:rPr>
        <w:t>-</w:t>
      </w:r>
      <w:r w:rsidR="00C31E67" w:rsidRPr="004F38BE">
        <w:rPr>
          <w:lang w:eastAsia="en-ZA"/>
        </w:rPr>
        <w:t>o</w:t>
      </w:r>
      <w:r w:rsidR="00F66651" w:rsidRPr="004F38BE">
        <w:rPr>
          <w:lang w:eastAsia="en-ZA"/>
        </w:rPr>
        <w:t>f-</w:t>
      </w:r>
      <w:r w:rsidR="00C31E67" w:rsidRPr="004F38BE">
        <w:rPr>
          <w:lang w:eastAsia="en-ZA"/>
        </w:rPr>
        <w:t xml:space="preserve">care </w:t>
      </w:r>
      <w:r w:rsidR="009B044B" w:rsidRPr="004F38BE">
        <w:rPr>
          <w:lang w:eastAsia="en-ZA"/>
        </w:rPr>
        <w:t>tests that</w:t>
      </w:r>
      <w:r w:rsidR="00C31E67" w:rsidRPr="004F38BE">
        <w:rPr>
          <w:lang w:eastAsia="en-ZA"/>
        </w:rPr>
        <w:t xml:space="preserve"> differentiate between active pulmonary TB and other conditions in </w:t>
      </w:r>
      <w:r w:rsidRPr="004F38BE">
        <w:rPr>
          <w:lang w:eastAsia="en-ZA"/>
        </w:rPr>
        <w:t xml:space="preserve">individuals </w:t>
      </w:r>
      <w:r w:rsidR="00C31E67" w:rsidRPr="004F38BE">
        <w:rPr>
          <w:lang w:eastAsia="en-ZA"/>
        </w:rPr>
        <w:t xml:space="preserve">presenting with </w:t>
      </w:r>
      <w:r w:rsidR="003206EA">
        <w:rPr>
          <w:sz w:val="22"/>
          <w:szCs w:val="22"/>
        </w:rPr>
        <w:t xml:space="preserve">signs and symptoms suggestive of TB </w:t>
      </w:r>
      <w:r w:rsidR="00C31E67" w:rsidRPr="004F38BE">
        <w:rPr>
          <w:lang w:eastAsia="en-ZA"/>
        </w:rPr>
        <w:t>in primary health care settings in Africa</w:t>
      </w:r>
      <w:r w:rsidRPr="004F38BE">
        <w:rPr>
          <w:lang w:eastAsia="en-ZA"/>
        </w:rPr>
        <w:t>?</w:t>
      </w:r>
    </w:p>
    <w:p w14:paraId="339B27A5" w14:textId="77777777" w:rsidR="007020F4" w:rsidRPr="004F38BE" w:rsidRDefault="007020F4" w:rsidP="0033455D">
      <w:pPr>
        <w:spacing w:line="360" w:lineRule="auto"/>
        <w:jc w:val="both"/>
        <w:rPr>
          <w:b/>
          <w:bCs/>
          <w:lang w:eastAsia="en-ZA"/>
        </w:rPr>
      </w:pPr>
    </w:p>
    <w:p w14:paraId="37A7F00F" w14:textId="77777777" w:rsidR="0007175B" w:rsidRPr="004F38BE" w:rsidRDefault="0007175B" w:rsidP="0033455D">
      <w:pPr>
        <w:spacing w:line="360" w:lineRule="auto"/>
        <w:jc w:val="both"/>
        <w:rPr>
          <w:b/>
          <w:bCs/>
          <w:lang w:eastAsia="en-ZA"/>
        </w:rPr>
      </w:pPr>
      <w:r w:rsidRPr="004F38BE">
        <w:rPr>
          <w:b/>
          <w:bCs/>
          <w:lang w:eastAsia="en-ZA"/>
        </w:rPr>
        <w:t>What is the bottom line?</w:t>
      </w:r>
    </w:p>
    <w:p w14:paraId="2B02AEDA" w14:textId="61B3074C" w:rsidR="0041432E" w:rsidRPr="004F38BE" w:rsidRDefault="0041432E" w:rsidP="0033455D">
      <w:pPr>
        <w:spacing w:line="360" w:lineRule="auto"/>
        <w:jc w:val="both"/>
        <w:rPr>
          <w:sz w:val="22"/>
          <w:szCs w:val="22"/>
        </w:rPr>
      </w:pPr>
      <w:r w:rsidRPr="004F38BE">
        <w:rPr>
          <w:sz w:val="22"/>
          <w:szCs w:val="22"/>
        </w:rPr>
        <w:t xml:space="preserve">A seven-marker host serum protein biosignature </w:t>
      </w:r>
      <w:r w:rsidR="00C31E67" w:rsidRPr="004F38BE">
        <w:rPr>
          <w:sz w:val="22"/>
          <w:szCs w:val="22"/>
        </w:rPr>
        <w:t xml:space="preserve">consisting </w:t>
      </w:r>
      <w:r w:rsidRPr="004F38BE">
        <w:rPr>
          <w:sz w:val="22"/>
          <w:szCs w:val="22"/>
        </w:rPr>
        <w:t>of CRP, transthyretin, IFN-γ, complement factor H, apolipoprotein-A1, IP-10 and serum amyloid A</w:t>
      </w:r>
      <w:r w:rsidR="0029053C" w:rsidRPr="004F38BE">
        <w:rPr>
          <w:sz w:val="22"/>
          <w:szCs w:val="22"/>
        </w:rPr>
        <w:t>,</w:t>
      </w:r>
      <w:r w:rsidRPr="004F38BE">
        <w:rPr>
          <w:sz w:val="22"/>
          <w:szCs w:val="22"/>
        </w:rPr>
        <w:t xml:space="preserve"> </w:t>
      </w:r>
      <w:r w:rsidR="00C31E67" w:rsidRPr="004F38BE">
        <w:rPr>
          <w:sz w:val="22"/>
          <w:szCs w:val="22"/>
        </w:rPr>
        <w:t>is promising as</w:t>
      </w:r>
      <w:r w:rsidR="0029053C" w:rsidRPr="004F38BE">
        <w:rPr>
          <w:sz w:val="22"/>
          <w:szCs w:val="22"/>
        </w:rPr>
        <w:t xml:space="preserve"> </w:t>
      </w:r>
      <w:r w:rsidR="00F66651" w:rsidRPr="004F38BE">
        <w:rPr>
          <w:sz w:val="22"/>
          <w:szCs w:val="22"/>
        </w:rPr>
        <w:t xml:space="preserve">a </w:t>
      </w:r>
      <w:r w:rsidR="0029053C" w:rsidRPr="004F38BE">
        <w:rPr>
          <w:sz w:val="22"/>
          <w:szCs w:val="22"/>
        </w:rPr>
        <w:t xml:space="preserve">diagnostic biosignature for TB disease, </w:t>
      </w:r>
      <w:r w:rsidRPr="004F38BE">
        <w:rPr>
          <w:sz w:val="22"/>
          <w:szCs w:val="22"/>
        </w:rPr>
        <w:t>regardless of HI</w:t>
      </w:r>
      <w:r w:rsidR="0029053C" w:rsidRPr="004F38BE">
        <w:rPr>
          <w:sz w:val="22"/>
          <w:szCs w:val="22"/>
        </w:rPr>
        <w:t>V infection status</w:t>
      </w:r>
      <w:r w:rsidR="00D65F39" w:rsidRPr="004F38BE">
        <w:rPr>
          <w:sz w:val="22"/>
          <w:szCs w:val="22"/>
        </w:rPr>
        <w:t xml:space="preserve"> or African country of sample origin</w:t>
      </w:r>
      <w:r w:rsidRPr="004F38BE">
        <w:rPr>
          <w:sz w:val="22"/>
          <w:szCs w:val="22"/>
        </w:rPr>
        <w:t>.</w:t>
      </w:r>
    </w:p>
    <w:p w14:paraId="11A89472" w14:textId="77777777" w:rsidR="007D5685" w:rsidRPr="004F38BE" w:rsidRDefault="007D5685" w:rsidP="0033455D">
      <w:pPr>
        <w:spacing w:line="360" w:lineRule="auto"/>
        <w:jc w:val="both"/>
        <w:rPr>
          <w:lang w:eastAsia="en-ZA"/>
        </w:rPr>
      </w:pPr>
    </w:p>
    <w:p w14:paraId="40B14E62" w14:textId="77777777" w:rsidR="0007175B" w:rsidRPr="004F38BE" w:rsidRDefault="0007175B" w:rsidP="0033455D">
      <w:pPr>
        <w:spacing w:line="360" w:lineRule="auto"/>
        <w:jc w:val="both"/>
        <w:rPr>
          <w:b/>
          <w:bCs/>
          <w:lang w:eastAsia="en-ZA"/>
        </w:rPr>
      </w:pPr>
      <w:r w:rsidRPr="004F38BE">
        <w:rPr>
          <w:b/>
          <w:bCs/>
          <w:lang w:eastAsia="en-ZA"/>
        </w:rPr>
        <w:t xml:space="preserve">Why read on? </w:t>
      </w:r>
    </w:p>
    <w:p w14:paraId="055B1FAE" w14:textId="5635CF01" w:rsidR="00873BF8" w:rsidRPr="004F38BE" w:rsidRDefault="00873BF8" w:rsidP="00873BF8">
      <w:pPr>
        <w:pStyle w:val="ColorfulList-Accent11"/>
        <w:spacing w:line="360" w:lineRule="auto"/>
        <w:ind w:left="0"/>
        <w:jc w:val="both"/>
        <w:rPr>
          <w:sz w:val="22"/>
          <w:szCs w:val="22"/>
          <w:lang w:val="en-ZA"/>
        </w:rPr>
      </w:pPr>
      <w:r w:rsidRPr="004F38BE">
        <w:rPr>
          <w:sz w:val="22"/>
          <w:szCs w:val="22"/>
        </w:rPr>
        <w:t xml:space="preserve">The 7 serum marker biosignature </w:t>
      </w:r>
      <w:r>
        <w:rPr>
          <w:sz w:val="22"/>
          <w:szCs w:val="22"/>
        </w:rPr>
        <w:t xml:space="preserve">identified in this large multi-centered study on 716 individuals with </w:t>
      </w:r>
      <w:r w:rsidR="006C5133">
        <w:rPr>
          <w:sz w:val="22"/>
          <w:szCs w:val="22"/>
        </w:rPr>
        <w:t>signs and symptoms suggestive of</w:t>
      </w:r>
      <w:r>
        <w:rPr>
          <w:sz w:val="22"/>
          <w:szCs w:val="22"/>
        </w:rPr>
        <w:t xml:space="preserve"> TB </w:t>
      </w:r>
      <w:r w:rsidRPr="004F38BE">
        <w:rPr>
          <w:sz w:val="22"/>
          <w:szCs w:val="22"/>
        </w:rPr>
        <w:t>could form the basis of a rapid, point-of-care screening test</w:t>
      </w:r>
      <w:r>
        <w:rPr>
          <w:sz w:val="22"/>
          <w:szCs w:val="22"/>
        </w:rPr>
        <w:t>, and with a</w:t>
      </w:r>
      <w:r w:rsidRPr="004F38BE">
        <w:rPr>
          <w:sz w:val="22"/>
          <w:szCs w:val="22"/>
        </w:rPr>
        <w:t xml:space="preserve"> sensitivity of 94% and negative predictive value of 96%</w:t>
      </w:r>
      <w:r>
        <w:rPr>
          <w:sz w:val="22"/>
          <w:szCs w:val="22"/>
        </w:rPr>
        <w:t>, such a test would rend</w:t>
      </w:r>
      <w:r w:rsidRPr="004F38BE">
        <w:rPr>
          <w:sz w:val="22"/>
          <w:szCs w:val="22"/>
        </w:rPr>
        <w:t xml:space="preserve">er </w:t>
      </w:r>
      <w:r w:rsidR="006C5133">
        <w:rPr>
          <w:sz w:val="22"/>
          <w:szCs w:val="22"/>
        </w:rPr>
        <w:t xml:space="preserve">about </w:t>
      </w:r>
      <w:r w:rsidRPr="004F38BE">
        <w:rPr>
          <w:sz w:val="22"/>
          <w:szCs w:val="22"/>
        </w:rPr>
        <w:t xml:space="preserve">75% of the currently performed GeneXpert or TB cultures unnecessary. </w:t>
      </w:r>
    </w:p>
    <w:p w14:paraId="4E6C63BA" w14:textId="77777777" w:rsidR="00CB088F" w:rsidRPr="004F38BE" w:rsidRDefault="00CB088F" w:rsidP="0033455D">
      <w:pPr>
        <w:jc w:val="both"/>
        <w:rPr>
          <w:b/>
        </w:rPr>
      </w:pPr>
      <w:r w:rsidRPr="004F38BE">
        <w:rPr>
          <w:b/>
        </w:rPr>
        <w:br w:type="page"/>
      </w:r>
    </w:p>
    <w:p w14:paraId="1864E7C2" w14:textId="212BB584" w:rsidR="0090791F" w:rsidRPr="004F38BE" w:rsidRDefault="0090791F" w:rsidP="0033455D">
      <w:pPr>
        <w:spacing w:line="360" w:lineRule="auto"/>
        <w:jc w:val="both"/>
        <w:rPr>
          <w:b/>
        </w:rPr>
      </w:pPr>
      <w:r w:rsidRPr="004F38BE">
        <w:rPr>
          <w:b/>
        </w:rPr>
        <w:lastRenderedPageBreak/>
        <w:t xml:space="preserve">Diagnostic </w:t>
      </w:r>
      <w:r w:rsidR="0048219E" w:rsidRPr="004F38BE">
        <w:rPr>
          <w:b/>
        </w:rPr>
        <w:t>P</w:t>
      </w:r>
      <w:r w:rsidRPr="004F38BE">
        <w:rPr>
          <w:b/>
        </w:rPr>
        <w:t xml:space="preserve">erformance of a </w:t>
      </w:r>
      <w:r w:rsidR="0048219E" w:rsidRPr="004F38BE">
        <w:rPr>
          <w:b/>
        </w:rPr>
        <w:t>S</w:t>
      </w:r>
      <w:r w:rsidR="00DA5105" w:rsidRPr="004F38BE">
        <w:rPr>
          <w:b/>
        </w:rPr>
        <w:t>even</w:t>
      </w:r>
      <w:r w:rsidRPr="004F38BE">
        <w:rPr>
          <w:b/>
        </w:rPr>
        <w:t xml:space="preserve">-marker </w:t>
      </w:r>
      <w:r w:rsidR="0048219E" w:rsidRPr="004F38BE">
        <w:rPr>
          <w:b/>
        </w:rPr>
        <w:t>S</w:t>
      </w:r>
      <w:r w:rsidRPr="004F38BE">
        <w:rPr>
          <w:b/>
        </w:rPr>
        <w:t xml:space="preserve">erum </w:t>
      </w:r>
      <w:r w:rsidR="0048219E" w:rsidRPr="004F38BE">
        <w:rPr>
          <w:b/>
        </w:rPr>
        <w:t>P</w:t>
      </w:r>
      <w:r w:rsidRPr="004F38BE">
        <w:rPr>
          <w:b/>
        </w:rPr>
        <w:t xml:space="preserve">rotein </w:t>
      </w:r>
      <w:r w:rsidR="0048219E" w:rsidRPr="004F38BE">
        <w:rPr>
          <w:b/>
        </w:rPr>
        <w:t>B</w:t>
      </w:r>
      <w:r w:rsidRPr="004F38BE">
        <w:rPr>
          <w:b/>
        </w:rPr>
        <w:t xml:space="preserve">iosignature for the </w:t>
      </w:r>
      <w:r w:rsidR="0048219E" w:rsidRPr="004F38BE">
        <w:rPr>
          <w:b/>
        </w:rPr>
        <w:t>D</w:t>
      </w:r>
      <w:r w:rsidRPr="004F38BE">
        <w:rPr>
          <w:b/>
        </w:rPr>
        <w:t xml:space="preserve">iagnosis of </w:t>
      </w:r>
      <w:r w:rsidR="0048219E" w:rsidRPr="004F38BE">
        <w:rPr>
          <w:b/>
        </w:rPr>
        <w:t>A</w:t>
      </w:r>
      <w:r w:rsidRPr="004F38BE">
        <w:rPr>
          <w:b/>
        </w:rPr>
        <w:t xml:space="preserve">ctive TB </w:t>
      </w:r>
      <w:r w:rsidR="0048219E" w:rsidRPr="004F38BE">
        <w:rPr>
          <w:b/>
        </w:rPr>
        <w:t>D</w:t>
      </w:r>
      <w:r w:rsidRPr="004F38BE">
        <w:rPr>
          <w:b/>
        </w:rPr>
        <w:t xml:space="preserve">isease in African </w:t>
      </w:r>
      <w:r w:rsidR="0048219E" w:rsidRPr="004F38BE">
        <w:rPr>
          <w:b/>
        </w:rPr>
        <w:t>P</w:t>
      </w:r>
      <w:r w:rsidRPr="004F38BE">
        <w:rPr>
          <w:b/>
        </w:rPr>
        <w:t xml:space="preserve">rimary </w:t>
      </w:r>
      <w:r w:rsidR="0048219E" w:rsidRPr="004F38BE">
        <w:rPr>
          <w:b/>
        </w:rPr>
        <w:t>H</w:t>
      </w:r>
      <w:r w:rsidRPr="004F38BE">
        <w:rPr>
          <w:b/>
        </w:rPr>
        <w:t xml:space="preserve">ealth </w:t>
      </w:r>
      <w:r w:rsidR="0048219E" w:rsidRPr="004F38BE">
        <w:rPr>
          <w:b/>
        </w:rPr>
        <w:t>C</w:t>
      </w:r>
      <w:r w:rsidRPr="004F38BE">
        <w:rPr>
          <w:b/>
        </w:rPr>
        <w:t xml:space="preserve">are </w:t>
      </w:r>
      <w:r w:rsidR="0048219E" w:rsidRPr="004F38BE">
        <w:rPr>
          <w:b/>
        </w:rPr>
        <w:t>C</w:t>
      </w:r>
      <w:r w:rsidRPr="004F38BE">
        <w:rPr>
          <w:b/>
        </w:rPr>
        <w:t xml:space="preserve">linic </w:t>
      </w:r>
      <w:r w:rsidR="0048219E" w:rsidRPr="004F38BE">
        <w:rPr>
          <w:b/>
        </w:rPr>
        <w:t>A</w:t>
      </w:r>
      <w:r w:rsidRPr="004F38BE">
        <w:rPr>
          <w:b/>
        </w:rPr>
        <w:t xml:space="preserve">ttendees </w:t>
      </w:r>
      <w:r w:rsidR="00C77A73" w:rsidRPr="004F38BE">
        <w:rPr>
          <w:b/>
        </w:rPr>
        <w:t xml:space="preserve">with </w:t>
      </w:r>
      <w:r w:rsidR="007D6E98" w:rsidRPr="00A43C52">
        <w:rPr>
          <w:b/>
        </w:rPr>
        <w:t>Signs and Symptoms Suggestive of TB</w:t>
      </w:r>
      <w:r w:rsidRPr="004F38BE">
        <w:rPr>
          <w:b/>
        </w:rPr>
        <w:t xml:space="preserve"> </w:t>
      </w:r>
    </w:p>
    <w:p w14:paraId="0249DA14" w14:textId="77777777" w:rsidR="00652BB2" w:rsidRPr="004F38BE" w:rsidRDefault="00652BB2" w:rsidP="0033455D">
      <w:pPr>
        <w:spacing w:line="360" w:lineRule="auto"/>
        <w:jc w:val="both"/>
        <w:rPr>
          <w:b/>
        </w:rPr>
      </w:pPr>
    </w:p>
    <w:p w14:paraId="1E81BB88" w14:textId="5169F500" w:rsidR="00BA0C73" w:rsidRPr="004F38BE" w:rsidRDefault="00BA0C73" w:rsidP="0033455D">
      <w:pPr>
        <w:spacing w:line="360" w:lineRule="auto"/>
        <w:jc w:val="both"/>
      </w:pPr>
      <w:r w:rsidRPr="004F38BE">
        <w:t>Novel N. Chegou</w:t>
      </w:r>
      <w:r w:rsidRPr="004F38BE">
        <w:rPr>
          <w:vertAlign w:val="superscript"/>
        </w:rPr>
        <w:t>1</w:t>
      </w:r>
      <w:r w:rsidRPr="004F38BE">
        <w:t>, Jayne S. Sutherland</w:t>
      </w:r>
      <w:r w:rsidRPr="004F38BE">
        <w:rPr>
          <w:vertAlign w:val="superscript"/>
        </w:rPr>
        <w:t>2</w:t>
      </w:r>
      <w:r w:rsidRPr="004F38BE">
        <w:t>, Stephanus Malherbe</w:t>
      </w:r>
      <w:r w:rsidRPr="004F38BE">
        <w:rPr>
          <w:vertAlign w:val="superscript"/>
        </w:rPr>
        <w:t>1</w:t>
      </w:r>
      <w:r w:rsidRPr="004F38BE">
        <w:t>, Amelia C. Crampin</w:t>
      </w:r>
      <w:r w:rsidRPr="004F38BE">
        <w:rPr>
          <w:vertAlign w:val="superscript"/>
        </w:rPr>
        <w:t>3</w:t>
      </w:r>
      <w:r w:rsidRPr="004F38BE">
        <w:t>, Paul L.A.M. Corstjens</w:t>
      </w:r>
      <w:r w:rsidRPr="004F38BE">
        <w:rPr>
          <w:vertAlign w:val="superscript"/>
        </w:rPr>
        <w:t>4</w:t>
      </w:r>
      <w:r w:rsidRPr="004F38BE">
        <w:t>, Annemieke Geluk</w:t>
      </w:r>
      <w:r w:rsidRPr="004F38BE">
        <w:rPr>
          <w:vertAlign w:val="superscript"/>
        </w:rPr>
        <w:t>5</w:t>
      </w:r>
      <w:r w:rsidRPr="004F38BE">
        <w:t>,</w:t>
      </w:r>
      <w:r w:rsidRPr="004F38BE">
        <w:rPr>
          <w:vertAlign w:val="superscript"/>
        </w:rPr>
        <w:t xml:space="preserve"> </w:t>
      </w:r>
      <w:r w:rsidRPr="004F38BE">
        <w:t>Harriet Mayanja-Kizza</w:t>
      </w:r>
      <w:r w:rsidRPr="004F38BE">
        <w:rPr>
          <w:vertAlign w:val="superscript"/>
        </w:rPr>
        <w:t>6</w:t>
      </w:r>
      <w:r w:rsidRPr="004F38BE">
        <w:t>, Andre G. Loxton</w:t>
      </w:r>
      <w:r w:rsidRPr="004F38BE">
        <w:rPr>
          <w:vertAlign w:val="superscript"/>
        </w:rPr>
        <w:t>1</w:t>
      </w:r>
      <w:r w:rsidRPr="004F38BE">
        <w:t>, Gian van der Spuy</w:t>
      </w:r>
      <w:r w:rsidRPr="004F38BE">
        <w:rPr>
          <w:vertAlign w:val="superscript"/>
        </w:rPr>
        <w:t>1</w:t>
      </w:r>
      <w:r w:rsidRPr="004F38BE">
        <w:t>, Kim Stanley</w:t>
      </w:r>
      <w:r w:rsidRPr="004F38BE">
        <w:rPr>
          <w:vertAlign w:val="superscript"/>
        </w:rPr>
        <w:t>1</w:t>
      </w:r>
      <w:r w:rsidRPr="004F38BE">
        <w:t>, Leigh A. Kotzé</w:t>
      </w:r>
      <w:r w:rsidRPr="004F38BE">
        <w:rPr>
          <w:vertAlign w:val="superscript"/>
        </w:rPr>
        <w:t>1</w:t>
      </w:r>
      <w:r w:rsidRPr="004F38BE">
        <w:t>, Marieta van der Vyver</w:t>
      </w:r>
      <w:r w:rsidRPr="004F38BE">
        <w:rPr>
          <w:vertAlign w:val="superscript"/>
        </w:rPr>
        <w:t>7</w:t>
      </w:r>
      <w:r w:rsidRPr="004F38BE">
        <w:t xml:space="preserve">, </w:t>
      </w:r>
      <w:r w:rsidRPr="004F38BE">
        <w:rPr>
          <w:lang w:val="de-DE"/>
        </w:rPr>
        <w:t>Ida Rosenkrands</w:t>
      </w:r>
      <w:r w:rsidRPr="004F38BE">
        <w:rPr>
          <w:vertAlign w:val="superscript"/>
        </w:rPr>
        <w:t>8</w:t>
      </w:r>
      <w:r w:rsidRPr="004F38BE">
        <w:rPr>
          <w:lang w:val="de-DE"/>
        </w:rPr>
        <w:t>, Martin Kidd</w:t>
      </w:r>
      <w:r w:rsidRPr="004F38BE">
        <w:rPr>
          <w:vertAlign w:val="superscript"/>
        </w:rPr>
        <w:t>9</w:t>
      </w:r>
      <w:r w:rsidRPr="004F38BE">
        <w:rPr>
          <w:lang w:val="de-DE"/>
        </w:rPr>
        <w:t>, Paul D. van Helden</w:t>
      </w:r>
      <w:r w:rsidRPr="004F38BE">
        <w:rPr>
          <w:vertAlign w:val="superscript"/>
        </w:rPr>
        <w:t>1</w:t>
      </w:r>
      <w:r w:rsidRPr="004F38BE">
        <w:rPr>
          <w:lang w:val="de-DE"/>
        </w:rPr>
        <w:t>,</w:t>
      </w:r>
      <w:r w:rsidRPr="004F38BE">
        <w:t xml:space="preserve"> Hazel M. Dockrell</w:t>
      </w:r>
      <w:r w:rsidRPr="004F38BE">
        <w:rPr>
          <w:vertAlign w:val="superscript"/>
        </w:rPr>
        <w:t>10</w:t>
      </w:r>
      <w:r w:rsidRPr="004F38BE">
        <w:t>, Tom H.M. Ottenhoff</w:t>
      </w:r>
      <w:r w:rsidRPr="004F38BE">
        <w:rPr>
          <w:vertAlign w:val="superscript"/>
        </w:rPr>
        <w:t>5</w:t>
      </w:r>
      <w:r w:rsidRPr="004F38BE">
        <w:t>, Stefan H.E. Kaufmann</w:t>
      </w:r>
      <w:r w:rsidRPr="004F38BE">
        <w:rPr>
          <w:vertAlign w:val="superscript"/>
        </w:rPr>
        <w:t>11</w:t>
      </w:r>
      <w:r w:rsidRPr="004F38BE">
        <w:t>, and Gerhard Walzl</w:t>
      </w:r>
      <w:r w:rsidRPr="004F38BE">
        <w:rPr>
          <w:vertAlign w:val="superscript"/>
        </w:rPr>
        <w:t>1#</w:t>
      </w:r>
      <w:r w:rsidRPr="004F38BE">
        <w:t xml:space="preserve"> on behalf of the AE-TBC consortium</w:t>
      </w:r>
    </w:p>
    <w:p w14:paraId="001853EB" w14:textId="77777777" w:rsidR="00BA0C73" w:rsidRPr="004F38BE" w:rsidRDefault="00BA0C73" w:rsidP="0033455D">
      <w:pPr>
        <w:spacing w:line="360" w:lineRule="auto"/>
        <w:jc w:val="both"/>
        <w:rPr>
          <w:b/>
        </w:rPr>
      </w:pPr>
    </w:p>
    <w:p w14:paraId="72040DC5" w14:textId="77777777" w:rsidR="00BA0C73" w:rsidRPr="004F38BE" w:rsidRDefault="00BA0C73" w:rsidP="0033455D">
      <w:pPr>
        <w:spacing w:line="360" w:lineRule="auto"/>
        <w:jc w:val="both"/>
      </w:pPr>
      <w:r w:rsidRPr="004F38BE">
        <w:rPr>
          <w:vertAlign w:val="superscript"/>
        </w:rPr>
        <w:t>1</w:t>
      </w:r>
      <w:r w:rsidRPr="004F38BE">
        <w:t>DST/NRF Centre of Excellence for Biomedical Tuberculosis Research and SAMRC Centre for Tuberculosis Research, Division of Molecular Biology and Human Genetics, Faculty of Medicine and Health Sciences, Stellenbosch University, PO Box 241, Cape Town, 8000, South Africa</w:t>
      </w:r>
    </w:p>
    <w:p w14:paraId="209135B4" w14:textId="77777777" w:rsidR="00BA0C73" w:rsidRPr="004F38BE" w:rsidRDefault="00BA0C73" w:rsidP="0033455D">
      <w:pPr>
        <w:spacing w:line="360" w:lineRule="auto"/>
        <w:jc w:val="both"/>
      </w:pPr>
      <w:r w:rsidRPr="004F38BE">
        <w:rPr>
          <w:vertAlign w:val="superscript"/>
        </w:rPr>
        <w:t>2</w:t>
      </w:r>
      <w:r w:rsidRPr="004F38BE">
        <w:t xml:space="preserve">Vaccines and Immunity, Medical Research Council Unit, </w:t>
      </w:r>
      <w:proofErr w:type="spellStart"/>
      <w:r w:rsidRPr="004F38BE">
        <w:t>Fajara</w:t>
      </w:r>
      <w:proofErr w:type="spellEnd"/>
      <w:r w:rsidRPr="004F38BE">
        <w:t>, The Gambia</w:t>
      </w:r>
    </w:p>
    <w:p w14:paraId="7DC60D08" w14:textId="77777777" w:rsidR="00BA0C73" w:rsidRPr="004F38BE" w:rsidRDefault="00BA0C73" w:rsidP="0033455D">
      <w:pPr>
        <w:spacing w:line="360" w:lineRule="auto"/>
        <w:jc w:val="both"/>
      </w:pPr>
      <w:r w:rsidRPr="004F38BE">
        <w:rPr>
          <w:vertAlign w:val="superscript"/>
        </w:rPr>
        <w:t>3</w:t>
      </w:r>
      <w:r w:rsidRPr="004F38BE">
        <w:t xml:space="preserve">Karonga Prevention Study, </w:t>
      </w:r>
      <w:proofErr w:type="spellStart"/>
      <w:r w:rsidRPr="004F38BE">
        <w:t>Chilumba</w:t>
      </w:r>
      <w:proofErr w:type="spellEnd"/>
      <w:r w:rsidRPr="004F38BE">
        <w:t>, Malawi</w:t>
      </w:r>
    </w:p>
    <w:p w14:paraId="31EEF986" w14:textId="77777777" w:rsidR="00BA0C73" w:rsidRPr="004F38BE" w:rsidRDefault="00BA0C73" w:rsidP="0033455D">
      <w:pPr>
        <w:spacing w:line="360" w:lineRule="auto"/>
        <w:jc w:val="both"/>
      </w:pPr>
      <w:r w:rsidRPr="004F38BE">
        <w:rPr>
          <w:vertAlign w:val="superscript"/>
        </w:rPr>
        <w:t>4</w:t>
      </w:r>
      <w:r w:rsidRPr="004F38BE">
        <w:t>Department of Molecular Cell Biology, Leiden University Medical Centre, PO Box 9600, 2300 RC Leiden, The Netherlands</w:t>
      </w:r>
    </w:p>
    <w:p w14:paraId="37E748D8" w14:textId="77777777" w:rsidR="00BA0C73" w:rsidRPr="004F38BE" w:rsidRDefault="00BA0C73" w:rsidP="0033455D">
      <w:pPr>
        <w:spacing w:line="360" w:lineRule="auto"/>
        <w:jc w:val="both"/>
      </w:pPr>
      <w:r w:rsidRPr="004F38BE">
        <w:rPr>
          <w:vertAlign w:val="superscript"/>
        </w:rPr>
        <w:t>5</w:t>
      </w:r>
      <w:r w:rsidRPr="004F38BE">
        <w:t>Department of Infectious Diseases, Leiden University Medical Centre, PO Box 9600, 2300 RC Leiden, The Netherlands</w:t>
      </w:r>
    </w:p>
    <w:p w14:paraId="3EE26507" w14:textId="77777777" w:rsidR="00BA0C73" w:rsidRPr="004F38BE" w:rsidRDefault="00BA0C73" w:rsidP="0033455D">
      <w:pPr>
        <w:spacing w:line="360" w:lineRule="auto"/>
        <w:jc w:val="both"/>
      </w:pPr>
      <w:r w:rsidRPr="004F38BE">
        <w:rPr>
          <w:vertAlign w:val="superscript"/>
        </w:rPr>
        <w:t>6</w:t>
      </w:r>
      <w:r w:rsidRPr="004F38BE">
        <w:t xml:space="preserve">Department of Medicine, </w:t>
      </w:r>
      <w:proofErr w:type="spellStart"/>
      <w:r w:rsidRPr="004F38BE">
        <w:t>Makerere</w:t>
      </w:r>
      <w:proofErr w:type="spellEnd"/>
      <w:r w:rsidRPr="004F38BE">
        <w:t xml:space="preserve"> University, Kampala, Uganda</w:t>
      </w:r>
    </w:p>
    <w:p w14:paraId="0E4AA03A" w14:textId="77777777" w:rsidR="00BA0C73" w:rsidRPr="004F38BE" w:rsidRDefault="00BA0C73" w:rsidP="0033455D">
      <w:pPr>
        <w:spacing w:line="360" w:lineRule="auto"/>
        <w:jc w:val="both"/>
      </w:pPr>
      <w:r w:rsidRPr="004F38BE">
        <w:rPr>
          <w:vertAlign w:val="superscript"/>
        </w:rPr>
        <w:t>7</w:t>
      </w:r>
      <w:r w:rsidRPr="004F38BE">
        <w:t>School of Medicine, Faculty of Health Sciences, University of Namibia, Namibia</w:t>
      </w:r>
    </w:p>
    <w:p w14:paraId="5FF18D03" w14:textId="77777777" w:rsidR="00BA0C73" w:rsidRPr="004F38BE" w:rsidRDefault="00BA0C73" w:rsidP="0033455D">
      <w:pPr>
        <w:spacing w:line="360" w:lineRule="auto"/>
        <w:jc w:val="both"/>
      </w:pPr>
      <w:r w:rsidRPr="004F38BE">
        <w:rPr>
          <w:vertAlign w:val="superscript"/>
        </w:rPr>
        <w:t>8</w:t>
      </w:r>
      <w:r w:rsidRPr="004F38BE">
        <w:t xml:space="preserve">Department of Infectious Disease Immunology, </w:t>
      </w:r>
      <w:proofErr w:type="spellStart"/>
      <w:r w:rsidRPr="004F38BE">
        <w:t>Statens</w:t>
      </w:r>
      <w:proofErr w:type="spellEnd"/>
      <w:r w:rsidRPr="004F38BE">
        <w:t xml:space="preserve"> Serum </w:t>
      </w:r>
      <w:proofErr w:type="spellStart"/>
      <w:r w:rsidRPr="004F38BE">
        <w:t>Institut</w:t>
      </w:r>
      <w:proofErr w:type="spellEnd"/>
      <w:r w:rsidRPr="004F38BE">
        <w:t>, Copenhagen 2300s, Denmark</w:t>
      </w:r>
    </w:p>
    <w:p w14:paraId="50BB91EB" w14:textId="77777777" w:rsidR="00BA0C73" w:rsidRPr="004F38BE" w:rsidRDefault="00BA0C73" w:rsidP="0033455D">
      <w:pPr>
        <w:spacing w:line="360" w:lineRule="auto"/>
        <w:jc w:val="both"/>
        <w:rPr>
          <w:noProof/>
        </w:rPr>
      </w:pPr>
      <w:r w:rsidRPr="004F38BE">
        <w:rPr>
          <w:vertAlign w:val="superscript"/>
          <w:lang w:val="en-GB"/>
        </w:rPr>
        <w:t>9</w:t>
      </w:r>
      <w:r w:rsidRPr="004F38BE">
        <w:rPr>
          <w:noProof/>
        </w:rPr>
        <w:t xml:space="preserve">Centre for Statistical Consultation, </w:t>
      </w:r>
      <w:r w:rsidRPr="004F38BE">
        <w:t xml:space="preserve">Department of Statistics and Actuarial Sciences, </w:t>
      </w:r>
      <w:r w:rsidRPr="004F38BE">
        <w:rPr>
          <w:noProof/>
        </w:rPr>
        <w:t>Stellenbosch University, Cape Town, South Africa</w:t>
      </w:r>
    </w:p>
    <w:p w14:paraId="46D9B871" w14:textId="77777777" w:rsidR="00BA0C73" w:rsidRPr="004F38BE" w:rsidRDefault="00BA0C73" w:rsidP="0033455D">
      <w:pPr>
        <w:spacing w:line="360" w:lineRule="auto"/>
        <w:jc w:val="both"/>
      </w:pPr>
      <w:r w:rsidRPr="004F38BE">
        <w:rPr>
          <w:vertAlign w:val="superscript"/>
        </w:rPr>
        <w:t>10</w:t>
      </w:r>
      <w:r w:rsidRPr="004F38BE">
        <w:t>Department of Immunology and Infection, London School of Hygiene and Tropical Medicine, Keppel Street, London WC1E 7HT, UK</w:t>
      </w:r>
    </w:p>
    <w:p w14:paraId="29859940" w14:textId="77777777" w:rsidR="00BA0C73" w:rsidRPr="004F38BE" w:rsidRDefault="00BA0C73" w:rsidP="0033455D">
      <w:pPr>
        <w:spacing w:line="360" w:lineRule="auto"/>
        <w:jc w:val="both"/>
      </w:pPr>
      <w:r w:rsidRPr="004F38BE">
        <w:rPr>
          <w:vertAlign w:val="superscript"/>
        </w:rPr>
        <w:t>11</w:t>
      </w:r>
      <w:r w:rsidRPr="004F38BE">
        <w:t xml:space="preserve">Department of Immunology, Max Planck Institute for Infection Biology, </w:t>
      </w:r>
      <w:proofErr w:type="spellStart"/>
      <w:r w:rsidRPr="004F38BE">
        <w:t>Charitéplatz</w:t>
      </w:r>
      <w:proofErr w:type="spellEnd"/>
      <w:r w:rsidRPr="004F38BE">
        <w:t xml:space="preserve"> 1, 10117 Berlin, Germany</w:t>
      </w:r>
    </w:p>
    <w:p w14:paraId="6EFD20AD" w14:textId="77777777" w:rsidR="00D12CC5" w:rsidRPr="004F38BE" w:rsidRDefault="00D12CC5" w:rsidP="0033455D">
      <w:pPr>
        <w:spacing w:line="360" w:lineRule="auto"/>
        <w:jc w:val="both"/>
        <w:rPr>
          <w:b/>
        </w:rPr>
      </w:pPr>
    </w:p>
    <w:p w14:paraId="1CBDF636" w14:textId="2121D3E3" w:rsidR="00660628" w:rsidRPr="004F38BE" w:rsidRDefault="00AD48E8" w:rsidP="0033455D">
      <w:pPr>
        <w:spacing w:line="360" w:lineRule="auto"/>
        <w:jc w:val="both"/>
        <w:rPr>
          <w:rStyle w:val="Hyperlink"/>
        </w:rPr>
      </w:pPr>
      <w:r>
        <w:rPr>
          <w:b/>
        </w:rPr>
        <w:t>#</w:t>
      </w:r>
      <w:r w:rsidR="00660628" w:rsidRPr="004F38BE">
        <w:rPr>
          <w:b/>
        </w:rPr>
        <w:t>Corresponding Author:</w:t>
      </w:r>
      <w:r w:rsidR="00EE0377" w:rsidRPr="004F38BE">
        <w:rPr>
          <w:b/>
        </w:rPr>
        <w:t xml:space="preserve"> </w:t>
      </w:r>
      <w:r w:rsidR="00EE0377" w:rsidRPr="004F38BE">
        <w:t>Gerhard Walzl,</w:t>
      </w:r>
      <w:r w:rsidR="00682D61" w:rsidRPr="004F38BE">
        <w:rPr>
          <w:vertAlign w:val="superscript"/>
        </w:rPr>
        <w:t xml:space="preserve"> </w:t>
      </w:r>
      <w:r w:rsidR="00682D61" w:rsidRPr="004F38BE">
        <w:t xml:space="preserve">DST/NRF Centre of Excellence for Biomedical Tuberculosis Research and SAMRC Centre for Tuberculosis Research, Division of Molecular Biology and Human Genetics, Faculty of Medicine and Health Sciences, Stellenbosch </w:t>
      </w:r>
      <w:r w:rsidR="00682D61" w:rsidRPr="004F38BE">
        <w:lastRenderedPageBreak/>
        <w:t xml:space="preserve">University, PO Box 241, Cape Town, 8000, South Africa, Telephone: +27219389158, Fax: </w:t>
      </w:r>
      <w:r w:rsidR="00911B2E" w:rsidRPr="004F38BE">
        <w:t xml:space="preserve">+27219389863, </w:t>
      </w:r>
      <w:r w:rsidR="00660628" w:rsidRPr="004F38BE">
        <w:t xml:space="preserve">E-mail: </w:t>
      </w:r>
      <w:hyperlink r:id="rId8" w:history="1">
        <w:r w:rsidR="00660628" w:rsidRPr="004F38BE">
          <w:rPr>
            <w:rStyle w:val="Hyperlink"/>
          </w:rPr>
          <w:t>gwalzl@sun.ac.za</w:t>
        </w:r>
      </w:hyperlink>
    </w:p>
    <w:p w14:paraId="20348AE4" w14:textId="77777777" w:rsidR="007E07F2" w:rsidRPr="004F38BE" w:rsidRDefault="007E07F2" w:rsidP="0033455D">
      <w:pPr>
        <w:spacing w:line="360" w:lineRule="auto"/>
        <w:jc w:val="both"/>
        <w:rPr>
          <w:b/>
        </w:rPr>
      </w:pPr>
    </w:p>
    <w:p w14:paraId="0D44782F" w14:textId="62A38243" w:rsidR="00911B2E" w:rsidRPr="004F38BE" w:rsidRDefault="00911B2E" w:rsidP="0033455D">
      <w:pPr>
        <w:spacing w:line="360" w:lineRule="auto"/>
        <w:rPr>
          <w:b/>
        </w:rPr>
      </w:pPr>
      <w:r w:rsidRPr="004F38BE">
        <w:rPr>
          <w:b/>
        </w:rPr>
        <w:t>Alternate</w:t>
      </w:r>
      <w:r w:rsidR="004D4EF4" w:rsidRPr="004F38BE">
        <w:rPr>
          <w:b/>
        </w:rPr>
        <w:t xml:space="preserve"> (Pre-publication)</w:t>
      </w:r>
      <w:r w:rsidRPr="004F38BE">
        <w:rPr>
          <w:b/>
        </w:rPr>
        <w:t xml:space="preserve"> corresponding Author: </w:t>
      </w:r>
      <w:r w:rsidRPr="004F38BE">
        <w:t xml:space="preserve">Novel N. </w:t>
      </w:r>
      <w:r w:rsidR="00D53668" w:rsidRPr="004F38BE">
        <w:t>Chegou</w:t>
      </w:r>
      <w:r w:rsidRPr="004F38BE">
        <w:t>,</w:t>
      </w:r>
      <w:r w:rsidRPr="004F38BE">
        <w:rPr>
          <w:vertAlign w:val="superscript"/>
        </w:rPr>
        <w:t xml:space="preserve"> </w:t>
      </w:r>
      <w:r w:rsidRPr="004F38BE">
        <w:t xml:space="preserve">DST/NRF Centre of Excellence for Biomedical Tuberculosis Research and SAMRC Centre for Tuberculosis Research, Division of Molecular Biology and Human Genetics, Faculty of Medicine and Health Sciences, Stellenbosch University, PO Box 241, Cape Town, 8000, South Africa, Telephone: +27219389069, Fax: +27219389863, E-mail: </w:t>
      </w:r>
      <w:hyperlink r:id="rId9" w:history="1">
        <w:r w:rsidRPr="004F38BE">
          <w:rPr>
            <w:rStyle w:val="Hyperlink"/>
          </w:rPr>
          <w:t>novel@sun.ac.za</w:t>
        </w:r>
      </w:hyperlink>
      <w:r w:rsidRPr="004F38BE">
        <w:t>/novel01@gmail.com</w:t>
      </w:r>
    </w:p>
    <w:p w14:paraId="0DA8BC42" w14:textId="77777777" w:rsidR="00DA4DA4" w:rsidRPr="004F38BE" w:rsidRDefault="00DA4DA4" w:rsidP="0033455D">
      <w:pPr>
        <w:spacing w:line="360" w:lineRule="auto"/>
        <w:jc w:val="both"/>
        <w:rPr>
          <w:b/>
        </w:rPr>
      </w:pPr>
    </w:p>
    <w:p w14:paraId="577AD003" w14:textId="214305F5" w:rsidR="00004BC1" w:rsidRPr="004F38BE" w:rsidRDefault="00004BC1" w:rsidP="0033455D">
      <w:pPr>
        <w:pStyle w:val="ColorfulList-Accent11"/>
        <w:spacing w:line="360" w:lineRule="auto"/>
        <w:ind w:left="0"/>
        <w:jc w:val="both"/>
      </w:pPr>
    </w:p>
    <w:p w14:paraId="5CDB9B9F" w14:textId="77289988" w:rsidR="003D4852" w:rsidRPr="004F38BE" w:rsidRDefault="003D4852" w:rsidP="003D4852">
      <w:pPr>
        <w:spacing w:after="200" w:line="360" w:lineRule="auto"/>
        <w:jc w:val="both"/>
        <w:rPr>
          <w:b/>
          <w:sz w:val="22"/>
          <w:szCs w:val="22"/>
        </w:rPr>
      </w:pPr>
      <w:r w:rsidRPr="004F38BE">
        <w:rPr>
          <w:b/>
          <w:sz w:val="22"/>
          <w:szCs w:val="22"/>
        </w:rPr>
        <w:t>Keywords</w:t>
      </w:r>
      <w:r w:rsidR="00227C27" w:rsidRPr="004F38BE">
        <w:rPr>
          <w:b/>
          <w:sz w:val="22"/>
          <w:szCs w:val="22"/>
        </w:rPr>
        <w:t>:</w:t>
      </w:r>
    </w:p>
    <w:p w14:paraId="48E08F99" w14:textId="77777777" w:rsidR="00227C27" w:rsidRPr="004F38BE" w:rsidRDefault="003D4852" w:rsidP="003D4852">
      <w:pPr>
        <w:spacing w:after="200" w:line="360" w:lineRule="auto"/>
        <w:jc w:val="both"/>
        <w:rPr>
          <w:sz w:val="22"/>
          <w:szCs w:val="22"/>
        </w:rPr>
      </w:pPr>
      <w:r w:rsidRPr="004F38BE">
        <w:rPr>
          <w:sz w:val="22"/>
          <w:szCs w:val="22"/>
        </w:rPr>
        <w:t>Sensitivity, specificity, tuberculosis, biomarker, diagnosis</w:t>
      </w:r>
    </w:p>
    <w:p w14:paraId="76B794FA" w14:textId="77777777" w:rsidR="00227C27" w:rsidRPr="004F38BE" w:rsidRDefault="00227C27" w:rsidP="003D4852">
      <w:pPr>
        <w:spacing w:after="200" w:line="360" w:lineRule="auto"/>
        <w:jc w:val="both"/>
        <w:rPr>
          <w:sz w:val="22"/>
          <w:szCs w:val="22"/>
        </w:rPr>
      </w:pPr>
    </w:p>
    <w:p w14:paraId="6FEE15B3" w14:textId="69F38FD8" w:rsidR="003D4852" w:rsidRPr="008A4BC6" w:rsidRDefault="00227C27" w:rsidP="003D4852">
      <w:pPr>
        <w:spacing w:after="200" w:line="360" w:lineRule="auto"/>
        <w:jc w:val="both"/>
        <w:rPr>
          <w:b/>
          <w:sz w:val="22"/>
          <w:szCs w:val="22"/>
        </w:rPr>
      </w:pPr>
      <w:r w:rsidRPr="008A4BC6">
        <w:rPr>
          <w:b/>
          <w:sz w:val="22"/>
          <w:szCs w:val="22"/>
        </w:rPr>
        <w:t>Word Count</w:t>
      </w:r>
      <w:r w:rsidRPr="004F38BE">
        <w:rPr>
          <w:b/>
          <w:sz w:val="22"/>
          <w:szCs w:val="22"/>
        </w:rPr>
        <w:t>:</w:t>
      </w:r>
      <w:r w:rsidRPr="008A4BC6">
        <w:rPr>
          <w:sz w:val="22"/>
          <w:szCs w:val="22"/>
        </w:rPr>
        <w:t xml:space="preserve"> 3</w:t>
      </w:r>
      <w:r w:rsidR="003357C0">
        <w:rPr>
          <w:sz w:val="22"/>
          <w:szCs w:val="22"/>
        </w:rPr>
        <w:t>6</w:t>
      </w:r>
      <w:r w:rsidR="00E324D9">
        <w:rPr>
          <w:sz w:val="22"/>
          <w:szCs w:val="22"/>
        </w:rPr>
        <w:t>4</w:t>
      </w:r>
      <w:r w:rsidR="003357C0">
        <w:rPr>
          <w:sz w:val="22"/>
          <w:szCs w:val="22"/>
        </w:rPr>
        <w:t>8</w:t>
      </w:r>
    </w:p>
    <w:p w14:paraId="276F0C37" w14:textId="77777777" w:rsidR="00E145B7" w:rsidRPr="004F38BE" w:rsidRDefault="00E145B7" w:rsidP="0033455D">
      <w:pPr>
        <w:spacing w:after="200" w:line="360" w:lineRule="auto"/>
        <w:jc w:val="both"/>
        <w:rPr>
          <w:b/>
        </w:rPr>
      </w:pPr>
    </w:p>
    <w:p w14:paraId="5AF30FF2" w14:textId="77777777" w:rsidR="00E145B7" w:rsidRPr="004F38BE" w:rsidRDefault="00E145B7" w:rsidP="0033455D">
      <w:pPr>
        <w:spacing w:after="200" w:line="360" w:lineRule="auto"/>
        <w:jc w:val="both"/>
        <w:rPr>
          <w:b/>
        </w:rPr>
      </w:pPr>
    </w:p>
    <w:p w14:paraId="08C74610" w14:textId="77777777" w:rsidR="004D4EF4" w:rsidRPr="004F38BE" w:rsidRDefault="004D4EF4" w:rsidP="0033455D">
      <w:pPr>
        <w:spacing w:line="360" w:lineRule="auto"/>
        <w:rPr>
          <w:b/>
        </w:rPr>
      </w:pPr>
      <w:r w:rsidRPr="004F38BE">
        <w:rPr>
          <w:b/>
        </w:rPr>
        <w:br w:type="page"/>
      </w:r>
    </w:p>
    <w:p w14:paraId="55944031" w14:textId="48B5A0A0" w:rsidR="00C90E83" w:rsidRPr="004F38BE" w:rsidRDefault="00C90E83" w:rsidP="0033455D">
      <w:pPr>
        <w:spacing w:after="200" w:line="360" w:lineRule="auto"/>
        <w:jc w:val="both"/>
        <w:rPr>
          <w:b/>
        </w:rPr>
      </w:pPr>
      <w:r w:rsidRPr="004F38BE">
        <w:rPr>
          <w:b/>
        </w:rPr>
        <w:lastRenderedPageBreak/>
        <w:t>A</w:t>
      </w:r>
      <w:r w:rsidR="000725F6" w:rsidRPr="004F38BE">
        <w:rPr>
          <w:b/>
        </w:rPr>
        <w:t>BSTRACT</w:t>
      </w:r>
      <w:r w:rsidR="00325B4B" w:rsidRPr="004F38BE">
        <w:rPr>
          <w:b/>
        </w:rPr>
        <w:t xml:space="preserve"> </w:t>
      </w:r>
    </w:p>
    <w:p w14:paraId="44A9ADFB" w14:textId="77777777" w:rsidR="009E5BCE" w:rsidRPr="004F38BE" w:rsidRDefault="009E5BCE" w:rsidP="0033455D">
      <w:pPr>
        <w:spacing w:line="360" w:lineRule="auto"/>
        <w:jc w:val="both"/>
        <w:rPr>
          <w:b/>
        </w:rPr>
      </w:pPr>
      <w:r w:rsidRPr="004F38BE">
        <w:rPr>
          <w:b/>
        </w:rPr>
        <w:t>Background</w:t>
      </w:r>
    </w:p>
    <w:p w14:paraId="3C84538B" w14:textId="22E3CC0E" w:rsidR="009E5BCE" w:rsidRPr="004F38BE" w:rsidRDefault="009E5566" w:rsidP="0033455D">
      <w:pPr>
        <w:spacing w:line="360" w:lineRule="auto"/>
        <w:jc w:val="both"/>
        <w:rPr>
          <w:color w:val="00000A"/>
        </w:rPr>
      </w:pPr>
      <w:r w:rsidRPr="004F38BE">
        <w:t>U</w:t>
      </w:r>
      <w:r w:rsidR="009E5BCE" w:rsidRPr="004F38BE">
        <w:t xml:space="preserve">ser-friendly, rapid, inexpensive yet accurate </w:t>
      </w:r>
      <w:r w:rsidR="00E63DAC" w:rsidRPr="004F38BE">
        <w:t xml:space="preserve">TB </w:t>
      </w:r>
      <w:r w:rsidR="009E5BCE" w:rsidRPr="004F38BE">
        <w:t>diagnos</w:t>
      </w:r>
      <w:r w:rsidR="00E63DAC" w:rsidRPr="004F38BE">
        <w:t xml:space="preserve">tic tools </w:t>
      </w:r>
      <w:r w:rsidRPr="004F38BE">
        <w:t xml:space="preserve">are urgently needed </w:t>
      </w:r>
      <w:r w:rsidR="009E5BCE" w:rsidRPr="004F38BE">
        <w:t xml:space="preserve">at points-of-care in resource-limited settings. We investigated host biomarkers detected in serum samples obtained from adults </w:t>
      </w:r>
      <w:r w:rsidRPr="004F38BE">
        <w:t xml:space="preserve">with </w:t>
      </w:r>
      <w:r w:rsidR="00C81810">
        <w:t>signs and symptoms suggestive of</w:t>
      </w:r>
      <w:r w:rsidR="009E5BCE" w:rsidRPr="004F38BE">
        <w:t xml:space="preserve"> TB at primary health care clinics in five African countries (</w:t>
      </w:r>
      <w:r w:rsidR="009E5BCE" w:rsidRPr="004F38BE">
        <w:rPr>
          <w:color w:val="00000A"/>
        </w:rPr>
        <w:t>Malawi,</w:t>
      </w:r>
      <w:r w:rsidR="009E5BCE" w:rsidRPr="004F38BE">
        <w:t xml:space="preserve"> </w:t>
      </w:r>
      <w:r w:rsidR="009E5BCE" w:rsidRPr="004F38BE">
        <w:rPr>
          <w:color w:val="00000A"/>
        </w:rPr>
        <w:t xml:space="preserve">Namibia, South Africa, The Gambia, and Uganda), for the diagnosis of TB disease. </w:t>
      </w:r>
    </w:p>
    <w:p w14:paraId="3B85E1C6" w14:textId="77777777" w:rsidR="009E5BCE" w:rsidRPr="004F38BE" w:rsidRDefault="009E5BCE" w:rsidP="0033455D">
      <w:pPr>
        <w:spacing w:line="360" w:lineRule="auto"/>
        <w:jc w:val="both"/>
      </w:pPr>
    </w:p>
    <w:p w14:paraId="1A334073" w14:textId="4BBBA564" w:rsidR="009E5BCE" w:rsidRPr="004F38BE" w:rsidRDefault="009E5BCE" w:rsidP="0033455D">
      <w:pPr>
        <w:spacing w:line="360" w:lineRule="auto"/>
        <w:jc w:val="both"/>
        <w:rPr>
          <w:b/>
        </w:rPr>
      </w:pPr>
      <w:r w:rsidRPr="004F38BE">
        <w:rPr>
          <w:b/>
        </w:rPr>
        <w:t xml:space="preserve">Methods </w:t>
      </w:r>
    </w:p>
    <w:p w14:paraId="214CA51F" w14:textId="1C7DC1BE" w:rsidR="0024011B" w:rsidRPr="004F38BE" w:rsidRDefault="00DA2E71" w:rsidP="0033455D">
      <w:pPr>
        <w:spacing w:line="360" w:lineRule="auto"/>
        <w:jc w:val="both"/>
      </w:pPr>
      <w:r w:rsidRPr="004F38BE">
        <w:t xml:space="preserve">We </w:t>
      </w:r>
      <w:r w:rsidR="00CA0B58" w:rsidRPr="004F38BE">
        <w:t xml:space="preserve">prospectively </w:t>
      </w:r>
      <w:r w:rsidR="00C70FE5" w:rsidRPr="004F38BE">
        <w:t>enrolled</w:t>
      </w:r>
      <w:r w:rsidR="009E5BCE" w:rsidRPr="004F38BE">
        <w:t xml:space="preserve"> individuals presenting with symptoms warranting investigation for pulmonary TB, prior to assessment for TB disease. We evaluated 22 host protein biomarkers in stored serum samples using a multiplex cytokine platform. </w:t>
      </w:r>
      <w:r w:rsidR="0098256D" w:rsidRPr="004F38BE">
        <w:t xml:space="preserve">Using </w:t>
      </w:r>
      <w:r w:rsidR="009E5BCE" w:rsidRPr="004F38BE">
        <w:t>a pre-established diagnostic algorithm</w:t>
      </w:r>
      <w:r w:rsidR="0098256D" w:rsidRPr="004F38BE">
        <w:t xml:space="preserve"> comprising of laboratory, clinical and radiological findings</w:t>
      </w:r>
      <w:r w:rsidR="009E5BCE" w:rsidRPr="004F38BE">
        <w:t>, participants were classified</w:t>
      </w:r>
      <w:r w:rsidR="00E145B7" w:rsidRPr="004F38BE">
        <w:t xml:space="preserve"> as</w:t>
      </w:r>
      <w:r w:rsidR="009E5BCE" w:rsidRPr="004F38BE">
        <w:t xml:space="preserve"> </w:t>
      </w:r>
      <w:r w:rsidR="00E145B7" w:rsidRPr="004F38BE">
        <w:t xml:space="preserve">either </w:t>
      </w:r>
      <w:r w:rsidR="009E5BCE" w:rsidRPr="004F38BE">
        <w:t xml:space="preserve">definite TB, probable TB, questionable TB status or non-pulmonary TB. </w:t>
      </w:r>
    </w:p>
    <w:p w14:paraId="7AB94B6A" w14:textId="77777777" w:rsidR="0024011B" w:rsidRPr="004F38BE" w:rsidRDefault="0024011B" w:rsidP="0033455D">
      <w:pPr>
        <w:spacing w:line="360" w:lineRule="auto"/>
        <w:jc w:val="both"/>
      </w:pPr>
    </w:p>
    <w:p w14:paraId="7E9C03FB" w14:textId="77777777" w:rsidR="0024011B" w:rsidRPr="004F38BE" w:rsidRDefault="0024011B" w:rsidP="0033455D">
      <w:pPr>
        <w:spacing w:line="360" w:lineRule="auto"/>
        <w:jc w:val="both"/>
        <w:rPr>
          <w:b/>
        </w:rPr>
      </w:pPr>
      <w:r w:rsidRPr="004F38BE">
        <w:rPr>
          <w:b/>
        </w:rPr>
        <w:t>Results</w:t>
      </w:r>
    </w:p>
    <w:p w14:paraId="3B3C353F" w14:textId="0B6309E8" w:rsidR="009E5BCE" w:rsidRPr="004F38BE" w:rsidRDefault="00B82FCF" w:rsidP="0033455D">
      <w:pPr>
        <w:spacing w:line="360" w:lineRule="auto"/>
        <w:jc w:val="both"/>
      </w:pPr>
      <w:r w:rsidRPr="004F38BE">
        <w:t>O</w:t>
      </w:r>
      <w:r w:rsidR="009E5BCE" w:rsidRPr="004F38BE">
        <w:t xml:space="preserve">f the </w:t>
      </w:r>
      <w:r w:rsidRPr="004F38BE">
        <w:t xml:space="preserve">716 participants enrolled, </w:t>
      </w:r>
      <w:r w:rsidR="009E5BCE" w:rsidRPr="004F38BE">
        <w:t>18</w:t>
      </w:r>
      <w:r w:rsidR="000B0981" w:rsidRPr="004F38BE">
        <w:t>5</w:t>
      </w:r>
      <w:r w:rsidR="009E5BCE" w:rsidRPr="004F38BE">
        <w:t xml:space="preserve"> were definite and 29 were probable TB cases, six </w:t>
      </w:r>
      <w:r w:rsidR="00CA0B58" w:rsidRPr="004F38BE">
        <w:t xml:space="preserve">had </w:t>
      </w:r>
      <w:r w:rsidR="009E5BCE" w:rsidRPr="004F38BE">
        <w:t>questionable</w:t>
      </w:r>
      <w:r w:rsidR="00CA0B58" w:rsidRPr="004F38BE">
        <w:t xml:space="preserve"> </w:t>
      </w:r>
      <w:r w:rsidR="00DB5F4D" w:rsidRPr="004F38BE">
        <w:t xml:space="preserve">TB </w:t>
      </w:r>
      <w:r w:rsidR="00CA0B58" w:rsidRPr="004F38BE">
        <w:t>disease status</w:t>
      </w:r>
      <w:r w:rsidR="009E5BCE" w:rsidRPr="004F38BE">
        <w:t xml:space="preserve">, </w:t>
      </w:r>
      <w:r w:rsidR="00C70FE5" w:rsidRPr="004F38BE">
        <w:t xml:space="preserve">whereas </w:t>
      </w:r>
      <w:r w:rsidR="009E5BCE" w:rsidRPr="004F38BE">
        <w:t>487 had no evidence of TB.</w:t>
      </w:r>
      <w:r w:rsidR="00BD54BA" w:rsidRPr="004F38BE">
        <w:t xml:space="preserve"> </w:t>
      </w:r>
      <w:r w:rsidR="009E5BCE" w:rsidRPr="004F38BE">
        <w:t>A s</w:t>
      </w:r>
      <w:r w:rsidR="000B0981" w:rsidRPr="004F38BE">
        <w:t>even</w:t>
      </w:r>
      <w:r w:rsidR="009E5BCE" w:rsidRPr="004F38BE">
        <w:t>-marker biosignature of CRP, transthyretin, IFN-γ, CFH, apolipoprotein-A1</w:t>
      </w:r>
      <w:r w:rsidR="000B0981" w:rsidRPr="004F38BE">
        <w:t xml:space="preserve">, </w:t>
      </w:r>
      <w:r w:rsidR="009E5BCE" w:rsidRPr="004F38BE">
        <w:t>IP-10</w:t>
      </w:r>
      <w:r w:rsidR="000B0981" w:rsidRPr="004F38BE">
        <w:t xml:space="preserve"> and SAA</w:t>
      </w:r>
      <w:r w:rsidR="009E5BCE" w:rsidRPr="004F38BE">
        <w:t xml:space="preserve"> </w:t>
      </w:r>
      <w:r w:rsidR="005568E5" w:rsidRPr="004F38BE">
        <w:t>identifie</w:t>
      </w:r>
      <w:r w:rsidR="00FA75F5" w:rsidRPr="004F38BE">
        <w:t xml:space="preserve">d on a </w:t>
      </w:r>
      <w:r w:rsidR="005568E5" w:rsidRPr="004F38BE">
        <w:t xml:space="preserve">training sample set (n=491), </w:t>
      </w:r>
      <w:r w:rsidR="009E5BCE" w:rsidRPr="004F38BE">
        <w:t xml:space="preserve">diagnosed TB disease </w:t>
      </w:r>
      <w:r w:rsidR="005568E5" w:rsidRPr="004F38BE">
        <w:t xml:space="preserve">in the test set (n=210) </w:t>
      </w:r>
      <w:r w:rsidR="009E5BCE" w:rsidRPr="004F38BE">
        <w:t xml:space="preserve">with sensitivity </w:t>
      </w:r>
      <w:r w:rsidR="005568E5" w:rsidRPr="004F38BE">
        <w:t xml:space="preserve">of </w:t>
      </w:r>
      <w:r w:rsidR="000B0981" w:rsidRPr="004F38BE">
        <w:t>93.8</w:t>
      </w:r>
      <w:r w:rsidR="009E5BCE" w:rsidRPr="004F38BE">
        <w:t xml:space="preserve">% (95% CI, </w:t>
      </w:r>
      <w:r w:rsidR="000B0981" w:rsidRPr="004F38BE">
        <w:t>84</w:t>
      </w:r>
      <w:r w:rsidR="009E5BCE" w:rsidRPr="004F38BE">
        <w:t>.</w:t>
      </w:r>
      <w:r w:rsidR="000B0981" w:rsidRPr="004F38BE">
        <w:t>0</w:t>
      </w:r>
      <w:r w:rsidR="009E5BCE" w:rsidRPr="004F38BE">
        <w:t>-</w:t>
      </w:r>
      <w:r w:rsidR="000B0981" w:rsidRPr="004F38BE">
        <w:t>98</w:t>
      </w:r>
      <w:r w:rsidR="009E5BCE" w:rsidRPr="004F38BE">
        <w:t>.0%)</w:t>
      </w:r>
      <w:r w:rsidR="0098256D" w:rsidRPr="004F38BE">
        <w:t xml:space="preserve">, </w:t>
      </w:r>
      <w:r w:rsidR="005568E5" w:rsidRPr="004F38BE">
        <w:t xml:space="preserve">specificity of </w:t>
      </w:r>
      <w:r w:rsidR="009E5BCE" w:rsidRPr="004F38BE">
        <w:t>7</w:t>
      </w:r>
      <w:r w:rsidR="000B0981" w:rsidRPr="004F38BE">
        <w:t>3</w:t>
      </w:r>
      <w:r w:rsidR="009E5BCE" w:rsidRPr="004F38BE">
        <w:t>.</w:t>
      </w:r>
      <w:r w:rsidR="000B0981" w:rsidRPr="004F38BE">
        <w:t>3</w:t>
      </w:r>
      <w:r w:rsidR="009E5BCE" w:rsidRPr="004F38BE">
        <w:t>% (95% CI, 6</w:t>
      </w:r>
      <w:r w:rsidR="000B0981" w:rsidRPr="004F38BE">
        <w:t>5</w:t>
      </w:r>
      <w:r w:rsidR="009E5BCE" w:rsidRPr="004F38BE">
        <w:t>.</w:t>
      </w:r>
      <w:r w:rsidR="000B0981" w:rsidRPr="004F38BE">
        <w:t>2</w:t>
      </w:r>
      <w:r w:rsidR="009E5BCE" w:rsidRPr="004F38BE">
        <w:t>-8</w:t>
      </w:r>
      <w:r w:rsidR="000B0981" w:rsidRPr="004F38BE">
        <w:t>0</w:t>
      </w:r>
      <w:r w:rsidR="009E5BCE" w:rsidRPr="004F38BE">
        <w:t>.</w:t>
      </w:r>
      <w:r w:rsidR="000B0981" w:rsidRPr="004F38BE">
        <w:t>1</w:t>
      </w:r>
      <w:r w:rsidR="009E5BCE" w:rsidRPr="004F38BE">
        <w:t xml:space="preserve">%), </w:t>
      </w:r>
      <w:r w:rsidR="0098256D" w:rsidRPr="004F38BE">
        <w:t xml:space="preserve">and </w:t>
      </w:r>
      <w:r w:rsidR="009E5BCE" w:rsidRPr="004F38BE">
        <w:t>positive and negative predictive values of 6</w:t>
      </w:r>
      <w:r w:rsidR="000B0981" w:rsidRPr="004F38BE">
        <w:t>0</w:t>
      </w:r>
      <w:r w:rsidR="009E5BCE" w:rsidRPr="004F38BE">
        <w:t>.</w:t>
      </w:r>
      <w:r w:rsidR="000B0981" w:rsidRPr="004F38BE">
        <w:t>6</w:t>
      </w:r>
      <w:r w:rsidR="009E5BCE" w:rsidRPr="004F38BE">
        <w:t>% (95%</w:t>
      </w:r>
      <w:r w:rsidR="0024011B" w:rsidRPr="004F38BE">
        <w:t xml:space="preserve"> </w:t>
      </w:r>
      <w:r w:rsidR="009E5BCE" w:rsidRPr="004F38BE">
        <w:t>CI, 50.</w:t>
      </w:r>
      <w:r w:rsidR="000B0981" w:rsidRPr="004F38BE">
        <w:t>3</w:t>
      </w:r>
      <w:r w:rsidR="009E5BCE" w:rsidRPr="004F38BE">
        <w:t>-7</w:t>
      </w:r>
      <w:r w:rsidR="000B0981" w:rsidRPr="004F38BE">
        <w:t>0</w:t>
      </w:r>
      <w:r w:rsidR="009E5BCE" w:rsidRPr="004F38BE">
        <w:t>.</w:t>
      </w:r>
      <w:r w:rsidR="000B0981" w:rsidRPr="004F38BE">
        <w:t>1</w:t>
      </w:r>
      <w:r w:rsidR="009E5BCE" w:rsidRPr="004F38BE">
        <w:t>) and 9</w:t>
      </w:r>
      <w:r w:rsidR="000B0981" w:rsidRPr="004F38BE">
        <w:t>6</w:t>
      </w:r>
      <w:r w:rsidR="009E5BCE" w:rsidRPr="004F38BE">
        <w:t>.</w:t>
      </w:r>
      <w:r w:rsidR="000B0981" w:rsidRPr="004F38BE">
        <w:t>4</w:t>
      </w:r>
      <w:r w:rsidR="009E5BCE" w:rsidRPr="004F38BE">
        <w:t xml:space="preserve">% (95% CI, </w:t>
      </w:r>
      <w:r w:rsidR="000B0981" w:rsidRPr="004F38BE">
        <w:t>90.5</w:t>
      </w:r>
      <w:r w:rsidR="009E5BCE" w:rsidRPr="004F38BE">
        <w:t>-9</w:t>
      </w:r>
      <w:r w:rsidR="000B0981" w:rsidRPr="004F38BE">
        <w:t>8</w:t>
      </w:r>
      <w:r w:rsidR="009E5BCE" w:rsidRPr="004F38BE">
        <w:t>.</w:t>
      </w:r>
      <w:r w:rsidR="000B0981" w:rsidRPr="004F38BE">
        <w:t>8</w:t>
      </w:r>
      <w:r w:rsidR="009E5BCE" w:rsidRPr="004F38BE">
        <w:t xml:space="preserve">%) respectively, regardless of HIV infection status or study site. </w:t>
      </w:r>
    </w:p>
    <w:p w14:paraId="22BAD6B8" w14:textId="77777777" w:rsidR="00B37872" w:rsidRPr="004F38BE" w:rsidRDefault="00B37872" w:rsidP="0033455D">
      <w:pPr>
        <w:spacing w:line="360" w:lineRule="auto"/>
        <w:jc w:val="both"/>
      </w:pPr>
    </w:p>
    <w:p w14:paraId="09B10018" w14:textId="77777777" w:rsidR="009E5BCE" w:rsidRPr="004F38BE" w:rsidRDefault="009E5BCE" w:rsidP="0033455D">
      <w:pPr>
        <w:spacing w:line="360" w:lineRule="auto"/>
        <w:jc w:val="both"/>
      </w:pPr>
      <w:r w:rsidRPr="004F38BE">
        <w:rPr>
          <w:b/>
        </w:rPr>
        <w:t>Conclusion</w:t>
      </w:r>
      <w:r w:rsidRPr="004F38BE">
        <w:t>:</w:t>
      </w:r>
    </w:p>
    <w:p w14:paraId="665D5748" w14:textId="2966C40E" w:rsidR="009E5BCE" w:rsidRPr="004F38BE" w:rsidRDefault="009E5BCE" w:rsidP="0033455D">
      <w:pPr>
        <w:spacing w:line="360" w:lineRule="auto"/>
        <w:jc w:val="both"/>
      </w:pPr>
      <w:r w:rsidRPr="004F38BE">
        <w:t>We have identified a s</w:t>
      </w:r>
      <w:r w:rsidR="00BE507C" w:rsidRPr="004F38BE">
        <w:t>even</w:t>
      </w:r>
      <w:r w:rsidRPr="004F38BE">
        <w:t xml:space="preserve">-marker host serum protein biosignature for the diagnosis of TB disease </w:t>
      </w:r>
      <w:r w:rsidR="00531ADF" w:rsidRPr="004F38BE">
        <w:t>i</w:t>
      </w:r>
      <w:r w:rsidRPr="004F38BE">
        <w:t>rrespective of HIV infection status</w:t>
      </w:r>
      <w:r w:rsidR="00273686" w:rsidRPr="004F38BE">
        <w:t xml:space="preserve"> or ethnicity in Africa</w:t>
      </w:r>
      <w:r w:rsidRPr="004F38BE">
        <w:t>. These results hold promise for the development of a field-friendly point-of-care screening test for pulmonary TB.</w:t>
      </w:r>
    </w:p>
    <w:p w14:paraId="3D99791C" w14:textId="77777777" w:rsidR="00923958" w:rsidRPr="004F38BE" w:rsidRDefault="00923958" w:rsidP="0033455D">
      <w:pPr>
        <w:spacing w:line="360" w:lineRule="auto"/>
        <w:jc w:val="both"/>
      </w:pPr>
    </w:p>
    <w:p w14:paraId="198E8841" w14:textId="77777777" w:rsidR="00923958" w:rsidRPr="004F38BE" w:rsidRDefault="00923958" w:rsidP="0033455D">
      <w:pPr>
        <w:spacing w:line="360" w:lineRule="auto"/>
        <w:jc w:val="both"/>
      </w:pPr>
    </w:p>
    <w:p w14:paraId="16468B56" w14:textId="77777777" w:rsidR="00FA312B" w:rsidRPr="004F38BE" w:rsidRDefault="00FA312B">
      <w:pPr>
        <w:rPr>
          <w:b/>
          <w:sz w:val="22"/>
          <w:szCs w:val="22"/>
        </w:rPr>
      </w:pPr>
      <w:r w:rsidRPr="004F38BE">
        <w:rPr>
          <w:b/>
          <w:sz w:val="22"/>
          <w:szCs w:val="22"/>
        </w:rPr>
        <w:br w:type="page"/>
      </w:r>
    </w:p>
    <w:p w14:paraId="3C4EBA18" w14:textId="5ABEA40E" w:rsidR="00C7755F" w:rsidRPr="004F38BE" w:rsidRDefault="00C7755F" w:rsidP="0033455D">
      <w:pPr>
        <w:spacing w:after="200" w:line="360" w:lineRule="auto"/>
        <w:jc w:val="both"/>
      </w:pPr>
      <w:r w:rsidRPr="004F38BE">
        <w:rPr>
          <w:b/>
        </w:rPr>
        <w:lastRenderedPageBreak/>
        <w:t>I</w:t>
      </w:r>
      <w:r w:rsidR="004D7872" w:rsidRPr="004F38BE">
        <w:rPr>
          <w:b/>
        </w:rPr>
        <w:t>NTRODUCTION</w:t>
      </w:r>
      <w:r w:rsidRPr="004F38BE">
        <w:rPr>
          <w:b/>
        </w:rPr>
        <w:t>:</w:t>
      </w:r>
    </w:p>
    <w:p w14:paraId="3345FD97" w14:textId="3038B767" w:rsidR="00DC6938" w:rsidRPr="004F38BE" w:rsidRDefault="00C7755F" w:rsidP="0033455D">
      <w:pPr>
        <w:pStyle w:val="DefaultStyle"/>
        <w:spacing w:line="360" w:lineRule="auto"/>
        <w:jc w:val="both"/>
        <w:rPr>
          <w:rFonts w:ascii="Times New Roman" w:hAnsi="Times New Roman" w:cs="Times New Roman"/>
          <w:color w:val="auto"/>
        </w:rPr>
      </w:pPr>
      <w:r w:rsidRPr="001411B4">
        <w:rPr>
          <w:rFonts w:ascii="Times New Roman" w:hAnsi="Times New Roman" w:cs="Times New Roman"/>
          <w:color w:val="auto"/>
        </w:rPr>
        <w:t xml:space="preserve">Tuberculosis (TB) remains a global health problem with an estimated </w:t>
      </w:r>
      <w:r w:rsidR="006816F8" w:rsidRPr="001411B4">
        <w:rPr>
          <w:rFonts w:ascii="Times New Roman" w:hAnsi="Times New Roman" w:cs="Times New Roman"/>
          <w:color w:val="auto"/>
        </w:rPr>
        <w:t>9</w:t>
      </w:r>
      <w:r w:rsidR="00501B08" w:rsidRPr="00A43C52">
        <w:rPr>
          <w:rFonts w:ascii="Times New Roman" w:hAnsi="Times New Roman" w:cs="Times New Roman"/>
          <w:color w:val="auto"/>
        </w:rPr>
        <w:t>.6</w:t>
      </w:r>
      <w:r w:rsidR="006816F8" w:rsidRPr="001411B4">
        <w:rPr>
          <w:rFonts w:ascii="Times New Roman" w:hAnsi="Times New Roman" w:cs="Times New Roman"/>
          <w:color w:val="auto"/>
        </w:rPr>
        <w:t xml:space="preserve"> million </w:t>
      </w:r>
      <w:r w:rsidR="00501B08" w:rsidRPr="00A43C52">
        <w:rPr>
          <w:rFonts w:ascii="Times New Roman" w:hAnsi="Times New Roman" w:cs="Times New Roman"/>
          <w:color w:val="auto"/>
        </w:rPr>
        <w:t xml:space="preserve">people reported to have fallen ill with the disease and </w:t>
      </w:r>
      <w:r w:rsidR="006816F8" w:rsidRPr="001411B4">
        <w:rPr>
          <w:rFonts w:ascii="Times New Roman" w:hAnsi="Times New Roman" w:cs="Times New Roman"/>
          <w:color w:val="auto"/>
        </w:rPr>
        <w:t>1.5 million deaths in 201</w:t>
      </w:r>
      <w:r w:rsidR="00916313" w:rsidRPr="00A43C52">
        <w:rPr>
          <w:rFonts w:ascii="Times New Roman" w:hAnsi="Times New Roman" w:cs="Times New Roman"/>
          <w:color w:val="auto"/>
        </w:rPr>
        <w:t>4</w:t>
      </w:r>
      <w:r w:rsidR="00916313" w:rsidRPr="00A43C52">
        <w:rPr>
          <w:rFonts w:ascii="Times New Roman" w:hAnsi="Times New Roman" w:cs="Times New Roman"/>
          <w:color w:val="auto"/>
        </w:rPr>
        <w:fldChar w:fldCharType="begin"/>
      </w:r>
      <w:r w:rsidR="00CB2263" w:rsidRPr="00A43C52">
        <w:rPr>
          <w:rFonts w:ascii="Times New Roman" w:hAnsi="Times New Roman" w:cs="Times New Roman"/>
          <w:color w:val="auto"/>
        </w:rPr>
        <w:instrText xml:space="preserve"> ADDIN REFMGR.CITE &lt;Refman&gt;&lt;Cite&gt;&lt;Author&gt;World Health Organisation&lt;/Author&gt;&lt;Year&gt;2015&lt;/Year&gt;&lt;RecNum&gt;702&lt;/RecNum&gt;&lt;IDText&gt;Global Tuberculosis Report 2015&lt;/IDText&gt;&lt;MDL Ref_Type="Report"&gt;&lt;Ref_Type&gt;Report&lt;/Ref_Type&gt;&lt;Ref_ID&gt;702&lt;/Ref_ID&gt;&lt;Title_Primary&gt;Global Tuberculosis Report 2015&lt;/Title_Primary&gt;&lt;Authors_Primary&gt;World Health Organisation&lt;/Authors_Primary&gt;&lt;Date_Primary&gt;2015/11/1&lt;/Date_Primary&gt;&lt;Keywords&gt;Tuberculosis&lt;/Keywords&gt;&lt;Reprint&gt;Not in File&lt;/Reprint&gt;&lt;ZZ_WorkformID&gt;24&lt;/ZZ_WorkformID&gt;&lt;/MDL&gt;&lt;/Cite&gt;&lt;/Refman&gt;</w:instrText>
      </w:r>
      <w:r w:rsidR="00916313" w:rsidRPr="00A43C52">
        <w:rPr>
          <w:rFonts w:ascii="Times New Roman" w:hAnsi="Times New Roman" w:cs="Times New Roman"/>
          <w:color w:val="auto"/>
        </w:rPr>
        <w:fldChar w:fldCharType="separate"/>
      </w:r>
      <w:r w:rsidR="00916313" w:rsidRPr="00A43C52">
        <w:rPr>
          <w:rFonts w:ascii="Times New Roman" w:hAnsi="Times New Roman" w:cs="Times New Roman"/>
          <w:color w:val="auto"/>
          <w:vertAlign w:val="superscript"/>
        </w:rPr>
        <w:t>1</w:t>
      </w:r>
      <w:r w:rsidR="00916313" w:rsidRPr="00A43C52">
        <w:rPr>
          <w:rFonts w:ascii="Times New Roman" w:hAnsi="Times New Roman" w:cs="Times New Roman"/>
          <w:color w:val="auto"/>
        </w:rPr>
        <w:fldChar w:fldCharType="end"/>
      </w:r>
      <w:r w:rsidRPr="00F92112">
        <w:rPr>
          <w:rFonts w:ascii="Times New Roman" w:hAnsi="Times New Roman" w:cs="Times New Roman"/>
          <w:color w:val="auto"/>
        </w:rPr>
        <w:t xml:space="preserve">. </w:t>
      </w:r>
      <w:r w:rsidR="0053534B" w:rsidRPr="00F92112">
        <w:rPr>
          <w:rFonts w:ascii="Times New Roman" w:hAnsi="Times New Roman" w:cs="Times New Roman"/>
          <w:color w:val="auto"/>
        </w:rPr>
        <w:t>Sputum smear</w:t>
      </w:r>
      <w:r w:rsidR="0053534B" w:rsidRPr="004F38BE">
        <w:rPr>
          <w:rFonts w:ascii="Times New Roman" w:hAnsi="Times New Roman" w:cs="Times New Roman"/>
          <w:color w:val="auto"/>
        </w:rPr>
        <w:t xml:space="preserve"> microscopy, </w:t>
      </w:r>
      <w:r w:rsidR="0095145A" w:rsidRPr="004F38BE">
        <w:rPr>
          <w:rFonts w:ascii="Times New Roman" w:hAnsi="Times New Roman" w:cs="Times New Roman"/>
          <w:color w:val="auto"/>
        </w:rPr>
        <w:t xml:space="preserve">which has </w:t>
      </w:r>
      <w:r w:rsidR="003A468A" w:rsidRPr="004F38BE">
        <w:rPr>
          <w:rFonts w:ascii="Times New Roman" w:hAnsi="Times New Roman" w:cs="Times New Roman"/>
          <w:color w:val="auto"/>
        </w:rPr>
        <w:t>well described</w:t>
      </w:r>
      <w:r w:rsidR="0095145A" w:rsidRPr="004F38BE">
        <w:rPr>
          <w:rFonts w:ascii="Times New Roman" w:hAnsi="Times New Roman" w:cs="Times New Roman"/>
          <w:color w:val="auto"/>
        </w:rPr>
        <w:t xml:space="preserve"> limitations</w:t>
      </w:r>
      <w:r w:rsidR="00361CDA" w:rsidRPr="004F38BE">
        <w:rPr>
          <w:rFonts w:ascii="Times New Roman" w:hAnsi="Times New Roman" w:cs="Times New Roman"/>
          <w:color w:val="auto"/>
        </w:rPr>
        <w:t>,</w:t>
      </w:r>
      <w:r w:rsidR="0053534B" w:rsidRPr="004F38BE">
        <w:rPr>
          <w:rFonts w:ascii="Times New Roman" w:hAnsi="Times New Roman" w:cs="Times New Roman"/>
          <w:color w:val="auto"/>
        </w:rPr>
        <w:t xml:space="preserve"> </w:t>
      </w:r>
      <w:r w:rsidR="00361CDA" w:rsidRPr="004F38BE">
        <w:rPr>
          <w:rFonts w:ascii="Times New Roman" w:hAnsi="Times New Roman" w:cs="Times New Roman"/>
          <w:color w:val="auto"/>
        </w:rPr>
        <w:t>particularly sensitivity</w:t>
      </w:r>
      <w:r w:rsidR="00020281" w:rsidRPr="004F38BE">
        <w:rPr>
          <w:rFonts w:ascii="Times New Roman" w:hAnsi="Times New Roman" w:cs="Times New Roman"/>
        </w:rPr>
        <w:fldChar w:fldCharType="begin"/>
      </w:r>
      <w:r w:rsidR="00CB2263">
        <w:rPr>
          <w:rFonts w:ascii="Times New Roman" w:hAnsi="Times New Roman" w:cs="Times New Roman"/>
          <w:color w:val="auto"/>
        </w:rPr>
        <w:instrText xml:space="preserve"> ADDIN REFMGR.CITE &lt;Refman&gt;&lt;Cite&gt;&lt;Author&gt;Chegou&lt;/Author&gt;&lt;Year&gt;2011&lt;/Year&gt;&lt;RecNum&gt;448&lt;/RecNum&gt;&lt;IDText&gt;Tuberculosis assays: past, present and future&lt;/IDText&gt;&lt;MDL Ref_Type="Journal"&gt;&lt;Ref_Type&gt;Journal&lt;/Ref_Type&gt;&lt;Ref_ID&gt;448&lt;/Ref_ID&gt;&lt;Title_Primary&gt;Tuberculosis assays: past, present and future&lt;/Title_Primary&gt;&lt;Authors_Primary&gt;Chegou,N.N.&lt;/Authors_Primary&gt;&lt;Authors_Primary&gt;Hoek,K.G.&lt;/Authors_Primary&gt;&lt;Authors_Primary&gt;Kriel,M.&lt;/Authors_Primary&gt;&lt;Authors_Primary&gt;Warren,R.M.&lt;/Authors_Primary&gt;&lt;Authors_Primary&gt;Victor,T.C.&lt;/Authors_Primary&gt;&lt;Authors_Primary&gt;Walzl,G.&lt;/Authors_Primary&gt;&lt;Date_Primary&gt;2011/4&lt;/Date_Primary&gt;&lt;Keywords&gt;Africa&lt;/Keywords&gt;&lt;Keywords&gt;extrapulmonary&lt;/Keywords&gt;&lt;Keywords&gt;genetics&lt;/Keywords&gt;&lt;Keywords&gt;Molecular Biology&lt;/Keywords&gt;&lt;Keywords&gt;Research&lt;/Keywords&gt;&lt;Keywords&gt;South Africa&lt;/Keywords&gt;&lt;Keywords&gt;Sputum&lt;/Keywords&gt;&lt;Keywords&gt;Tuberculosis&lt;/Keywords&gt;&lt;Reprint&gt;Not in File&lt;/Reprint&gt;&lt;Start_Page&gt;457&lt;/Start_Page&gt;&lt;End_Page&gt;469&lt;/End_Page&gt;&lt;Periodical&gt;Expert.Rev.Anti.Infect.Ther.&lt;/Periodical&gt;&lt;Volume&gt;9&lt;/Volume&gt;&lt;Issue&gt;4&lt;/Issue&gt;&lt;Address&gt;DST/NRF Centre of Excellence for Biomedical Tuberculosis Research and MRC Centre for Molecular and Cellular Biology, Division of Molecular Biology and Human Genetics, Department of Biomedical Sciences, University of Stellenbosch, P.O. Box 19063, Francie van Zijl Drive, Tygerberg 7505, South Africa&lt;/Address&gt;&lt;Web_URL&gt;PM:21504402&lt;/Web_URL&gt;&lt;ZZ_JournalStdAbbrev&gt;&lt;f name="System"&gt;Expert.Rev.Anti.Infect.Ther.&lt;/f&gt;&lt;/ZZ_JournalStdAbbrev&gt;&lt;ZZ_WorkformID&gt;1&lt;/ZZ_WorkformID&gt;&lt;/MDL&gt;&lt;/Cite&gt;&lt;/Refman&gt;</w:instrText>
      </w:r>
      <w:r w:rsidR="00020281" w:rsidRPr="004F38BE">
        <w:rPr>
          <w:rFonts w:ascii="Times New Roman" w:hAnsi="Times New Roman" w:cs="Times New Roman"/>
        </w:rPr>
        <w:fldChar w:fldCharType="separate"/>
      </w:r>
      <w:r w:rsidR="00916313" w:rsidRPr="00916313">
        <w:rPr>
          <w:rFonts w:ascii="Times New Roman" w:hAnsi="Times New Roman" w:cs="Times New Roman"/>
          <w:color w:val="auto"/>
          <w:vertAlign w:val="superscript"/>
        </w:rPr>
        <w:t>2</w:t>
      </w:r>
      <w:r w:rsidR="00020281" w:rsidRPr="004F38BE">
        <w:rPr>
          <w:rFonts w:ascii="Times New Roman" w:hAnsi="Times New Roman" w:cs="Times New Roman"/>
        </w:rPr>
        <w:fldChar w:fldCharType="end"/>
      </w:r>
      <w:r w:rsidR="0053534B" w:rsidRPr="004F38BE">
        <w:rPr>
          <w:rFonts w:ascii="Times New Roman" w:hAnsi="Times New Roman" w:cs="Times New Roman"/>
          <w:color w:val="auto"/>
        </w:rPr>
        <w:t>,</w:t>
      </w:r>
      <w:r w:rsidR="00361CDA" w:rsidRPr="004F38BE">
        <w:rPr>
          <w:rFonts w:ascii="Times New Roman" w:hAnsi="Times New Roman" w:cs="Times New Roman"/>
          <w:color w:val="auto"/>
        </w:rPr>
        <w:t xml:space="preserve"> </w:t>
      </w:r>
      <w:r w:rsidR="0053534B" w:rsidRPr="004F38BE">
        <w:rPr>
          <w:rFonts w:ascii="Times New Roman" w:hAnsi="Times New Roman" w:cs="Times New Roman"/>
          <w:color w:val="auto"/>
        </w:rPr>
        <w:t>remains t</w:t>
      </w:r>
      <w:r w:rsidRPr="004F38BE">
        <w:rPr>
          <w:rFonts w:ascii="Times New Roman" w:hAnsi="Times New Roman" w:cs="Times New Roman"/>
          <w:color w:val="auto"/>
        </w:rPr>
        <w:t xml:space="preserve">he </w:t>
      </w:r>
      <w:r w:rsidR="008B41B6" w:rsidRPr="004F38BE">
        <w:rPr>
          <w:rFonts w:ascii="Times New Roman" w:hAnsi="Times New Roman" w:cs="Times New Roman"/>
          <w:color w:val="auto"/>
        </w:rPr>
        <w:t xml:space="preserve"> most commonly used diagnostic test for TB</w:t>
      </w:r>
      <w:r w:rsidR="004501A2" w:rsidRPr="004F38BE">
        <w:rPr>
          <w:rFonts w:ascii="Times New Roman" w:hAnsi="Times New Roman" w:cs="Times New Roman"/>
          <w:color w:val="auto"/>
        </w:rPr>
        <w:t xml:space="preserve"> in resource-constrained settings</w:t>
      </w:r>
      <w:r w:rsidRPr="004F38BE">
        <w:rPr>
          <w:rFonts w:ascii="Times New Roman" w:hAnsi="Times New Roman" w:cs="Times New Roman"/>
          <w:color w:val="auto"/>
        </w:rPr>
        <w:t xml:space="preserve">. </w:t>
      </w:r>
      <w:r w:rsidRPr="004F38BE">
        <w:rPr>
          <w:rFonts w:ascii="Times New Roman" w:hAnsi="Times New Roman" w:cs="Times New Roman"/>
          <w:i/>
          <w:color w:val="auto"/>
        </w:rPr>
        <w:t>Mycobacterium tuberculosis</w:t>
      </w:r>
      <w:r w:rsidRPr="004F38BE">
        <w:rPr>
          <w:rFonts w:ascii="Times New Roman" w:hAnsi="Times New Roman" w:cs="Times New Roman"/>
          <w:color w:val="auto"/>
        </w:rPr>
        <w:t xml:space="preserve"> (</w:t>
      </w:r>
      <w:r w:rsidRPr="004F38BE">
        <w:rPr>
          <w:rFonts w:ascii="Times New Roman" w:hAnsi="Times New Roman" w:cs="Times New Roman"/>
          <w:i/>
          <w:color w:val="auto"/>
        </w:rPr>
        <w:t>M.tb</w:t>
      </w:r>
      <w:r w:rsidRPr="004F38BE">
        <w:rPr>
          <w:rFonts w:ascii="Times New Roman" w:hAnsi="Times New Roman" w:cs="Times New Roman"/>
          <w:color w:val="auto"/>
        </w:rPr>
        <w:t>)</w:t>
      </w:r>
      <w:r w:rsidR="0045262F" w:rsidRPr="004F38BE">
        <w:rPr>
          <w:rFonts w:ascii="Times New Roman" w:hAnsi="Times New Roman" w:cs="Times New Roman"/>
          <w:color w:val="auto"/>
        </w:rPr>
        <w:t xml:space="preserve"> culture</w:t>
      </w:r>
      <w:r w:rsidR="003E0DD9" w:rsidRPr="004F38BE">
        <w:rPr>
          <w:rFonts w:ascii="Times New Roman" w:hAnsi="Times New Roman" w:cs="Times New Roman"/>
          <w:color w:val="auto"/>
        </w:rPr>
        <w:t xml:space="preserve">, </w:t>
      </w:r>
      <w:r w:rsidR="00AE0DAD" w:rsidRPr="004F38BE">
        <w:rPr>
          <w:rFonts w:ascii="Times New Roman" w:hAnsi="Times New Roman" w:cs="Times New Roman"/>
          <w:color w:val="auto"/>
        </w:rPr>
        <w:t>the reference standard</w:t>
      </w:r>
      <w:r w:rsidR="003E0DD9" w:rsidRPr="004F38BE">
        <w:rPr>
          <w:rFonts w:ascii="Times New Roman" w:hAnsi="Times New Roman" w:cs="Times New Roman"/>
          <w:color w:val="auto"/>
        </w:rPr>
        <w:t xml:space="preserve"> test</w:t>
      </w:r>
      <w:r w:rsidR="00192C1F" w:rsidRPr="004F38BE">
        <w:rPr>
          <w:rFonts w:ascii="Times New Roman" w:hAnsi="Times New Roman" w:cs="Times New Roman"/>
          <w:color w:val="auto"/>
        </w:rPr>
        <w:t>,</w:t>
      </w:r>
      <w:r w:rsidR="003E0DD9" w:rsidRPr="004F38BE">
        <w:rPr>
          <w:rFonts w:ascii="Times New Roman" w:hAnsi="Times New Roman" w:cs="Times New Roman"/>
          <w:color w:val="auto"/>
        </w:rPr>
        <w:t xml:space="preserve"> </w:t>
      </w:r>
      <w:r w:rsidR="007A5358" w:rsidRPr="004F38BE">
        <w:rPr>
          <w:rFonts w:ascii="Times New Roman" w:hAnsi="Times New Roman" w:cs="Times New Roman"/>
          <w:color w:val="auto"/>
        </w:rPr>
        <w:t xml:space="preserve">has </w:t>
      </w:r>
      <w:r w:rsidR="006816F8" w:rsidRPr="004F38BE">
        <w:rPr>
          <w:rFonts w:ascii="Times New Roman" w:hAnsi="Times New Roman" w:cs="Times New Roman"/>
          <w:color w:val="auto"/>
        </w:rPr>
        <w:t>a long turn-around time</w:t>
      </w:r>
      <w:r w:rsidR="00143F58" w:rsidRPr="004F38BE">
        <w:rPr>
          <w:rFonts w:ascii="Times New Roman" w:hAnsi="Times New Roman" w:cs="Times New Roman"/>
          <w:color w:val="auto"/>
        </w:rPr>
        <w:fldChar w:fldCharType="begin"/>
      </w:r>
      <w:r w:rsidR="00CB2263">
        <w:rPr>
          <w:rFonts w:ascii="Times New Roman" w:hAnsi="Times New Roman" w:cs="Times New Roman"/>
          <w:color w:val="auto"/>
        </w:rPr>
        <w:instrText xml:space="preserve"> ADDIN REFMGR.CITE &lt;Refman&gt;&lt;Cite&gt;&lt;Author&gt;Chegou&lt;/Author&gt;&lt;Year&gt;2011&lt;/Year&gt;&lt;RecNum&gt;448&lt;/RecNum&gt;&lt;IDText&gt;Tuberculosis assays: past, present and future&lt;/IDText&gt;&lt;MDL Ref_Type="Journal"&gt;&lt;Ref_Type&gt;Journal&lt;/Ref_Type&gt;&lt;Ref_ID&gt;448&lt;/Ref_ID&gt;&lt;Title_Primary&gt;Tuberculosis assays: past, present and future&lt;/Title_Primary&gt;&lt;Authors_Primary&gt;Chegou,N.N.&lt;/Authors_Primary&gt;&lt;Authors_Primary&gt;Hoek,K.G.&lt;/Authors_Primary&gt;&lt;Authors_Primary&gt;Kriel,M.&lt;/Authors_Primary&gt;&lt;Authors_Primary&gt;Warren,R.M.&lt;/Authors_Primary&gt;&lt;Authors_Primary&gt;Victor,T.C.&lt;/Authors_Primary&gt;&lt;Authors_Primary&gt;Walzl,G.&lt;/Authors_Primary&gt;&lt;Date_Primary&gt;2011/4&lt;/Date_Primary&gt;&lt;Keywords&gt;Africa&lt;/Keywords&gt;&lt;Keywords&gt;extrapulmonary&lt;/Keywords&gt;&lt;Keywords&gt;genetics&lt;/Keywords&gt;&lt;Keywords&gt;Molecular Biology&lt;/Keywords&gt;&lt;Keywords&gt;Research&lt;/Keywords&gt;&lt;Keywords&gt;South Africa&lt;/Keywords&gt;&lt;Keywords&gt;Sputum&lt;/Keywords&gt;&lt;Keywords&gt;Tuberculosis&lt;/Keywords&gt;&lt;Reprint&gt;Not in File&lt;/Reprint&gt;&lt;Start_Page&gt;457&lt;/Start_Page&gt;&lt;End_Page&gt;469&lt;/End_Page&gt;&lt;Periodical&gt;Expert.Rev.Anti.Infect.Ther.&lt;/Periodical&gt;&lt;Volume&gt;9&lt;/Volume&gt;&lt;Issue&gt;4&lt;/Issue&gt;&lt;Address&gt;DST/NRF Centre of Excellence for Biomedical Tuberculosis Research and MRC Centre for Molecular and Cellular Biology, Division of Molecular Biology and Human Genetics, Department of Biomedical Sciences, University of Stellenbosch, P.O. Box 19063, Francie van Zijl Drive, Tygerberg 7505, South Africa&lt;/Address&gt;&lt;Web_URL&gt;PM:21504402&lt;/Web_URL&gt;&lt;ZZ_JournalStdAbbrev&gt;&lt;f name="System"&gt;Expert.Rev.Anti.Infect.Ther.&lt;/f&gt;&lt;/ZZ_JournalStdAbbrev&gt;&lt;ZZ_WorkformID&gt;1&lt;/ZZ_WorkformID&gt;&lt;/MDL&gt;&lt;/Cite&gt;&lt;/Refman&gt;</w:instrText>
      </w:r>
      <w:r w:rsidR="00143F58" w:rsidRPr="004F38BE">
        <w:rPr>
          <w:rFonts w:ascii="Times New Roman" w:hAnsi="Times New Roman" w:cs="Times New Roman"/>
          <w:color w:val="auto"/>
        </w:rPr>
        <w:fldChar w:fldCharType="separate"/>
      </w:r>
      <w:r w:rsidR="00916313" w:rsidRPr="00916313">
        <w:rPr>
          <w:rFonts w:ascii="Times New Roman" w:hAnsi="Times New Roman" w:cs="Times New Roman"/>
          <w:color w:val="auto"/>
          <w:vertAlign w:val="superscript"/>
        </w:rPr>
        <w:t>2</w:t>
      </w:r>
      <w:r w:rsidR="00143F58" w:rsidRPr="004F38BE">
        <w:rPr>
          <w:rFonts w:ascii="Times New Roman" w:hAnsi="Times New Roman" w:cs="Times New Roman"/>
          <w:color w:val="auto"/>
        </w:rPr>
        <w:fldChar w:fldCharType="end"/>
      </w:r>
      <w:r w:rsidR="007A5358" w:rsidRPr="004F38BE">
        <w:rPr>
          <w:rFonts w:ascii="Times New Roman" w:hAnsi="Times New Roman" w:cs="Times New Roman"/>
          <w:color w:val="auto"/>
        </w:rPr>
        <w:t xml:space="preserve">, </w:t>
      </w:r>
      <w:r w:rsidR="003E0DD9" w:rsidRPr="004F38BE">
        <w:rPr>
          <w:rFonts w:ascii="Times New Roman" w:hAnsi="Times New Roman" w:cs="Times New Roman"/>
          <w:color w:val="auto"/>
        </w:rPr>
        <w:t xml:space="preserve">is expensive, prone to contamination and </w:t>
      </w:r>
      <w:r w:rsidR="00BF23E0" w:rsidRPr="004F38BE">
        <w:rPr>
          <w:rFonts w:ascii="Times New Roman" w:hAnsi="Times New Roman" w:cs="Times New Roman"/>
          <w:color w:val="auto"/>
        </w:rPr>
        <w:t>is not</w:t>
      </w:r>
      <w:r w:rsidR="005A46DD" w:rsidRPr="004F38BE">
        <w:rPr>
          <w:rFonts w:ascii="Times New Roman" w:hAnsi="Times New Roman" w:cs="Times New Roman"/>
          <w:color w:val="auto"/>
        </w:rPr>
        <w:t xml:space="preserve"> widely available</w:t>
      </w:r>
      <w:r w:rsidRPr="004F38BE">
        <w:rPr>
          <w:rFonts w:ascii="Times New Roman" w:hAnsi="Times New Roman" w:cs="Times New Roman"/>
          <w:color w:val="auto"/>
        </w:rPr>
        <w:t xml:space="preserve"> in </w:t>
      </w:r>
      <w:r w:rsidR="0045262F" w:rsidRPr="004F38BE">
        <w:rPr>
          <w:rFonts w:ascii="Times New Roman" w:hAnsi="Times New Roman" w:cs="Times New Roman"/>
          <w:color w:val="auto"/>
        </w:rPr>
        <w:t>resource-limited settings</w:t>
      </w:r>
      <w:r w:rsidR="003E0DD9" w:rsidRPr="004F38BE">
        <w:rPr>
          <w:rFonts w:ascii="Times New Roman" w:hAnsi="Times New Roman" w:cs="Times New Roman"/>
          <w:color w:val="auto"/>
        </w:rPr>
        <w:t xml:space="preserve">. </w:t>
      </w:r>
      <w:r w:rsidRPr="004F38BE">
        <w:rPr>
          <w:rFonts w:ascii="Times New Roman" w:hAnsi="Times New Roman" w:cs="Times New Roman"/>
          <w:color w:val="auto"/>
        </w:rPr>
        <w:t>The</w:t>
      </w:r>
      <w:r w:rsidR="00067D46" w:rsidRPr="004F38BE">
        <w:rPr>
          <w:rFonts w:ascii="Times New Roman" w:hAnsi="Times New Roman" w:cs="Times New Roman"/>
          <w:color w:val="auto"/>
        </w:rPr>
        <w:t xml:space="preserve"> </w:t>
      </w:r>
      <w:r w:rsidR="00767B33" w:rsidRPr="004F38BE">
        <w:rPr>
          <w:rFonts w:ascii="Times New Roman" w:hAnsi="Times New Roman" w:cs="Times New Roman"/>
          <w:color w:val="auto"/>
        </w:rPr>
        <w:t>Gene</w:t>
      </w:r>
      <w:r w:rsidRPr="004F38BE">
        <w:rPr>
          <w:rFonts w:ascii="Times New Roman" w:hAnsi="Times New Roman" w:cs="Times New Roman"/>
          <w:color w:val="auto"/>
        </w:rPr>
        <w:t xml:space="preserve">Xpert MTB/RIF </w:t>
      </w:r>
      <w:r w:rsidR="003A468A" w:rsidRPr="004F38BE">
        <w:rPr>
          <w:rFonts w:ascii="Times New Roman" w:hAnsi="Times New Roman" w:cs="Times New Roman"/>
          <w:color w:val="auto"/>
        </w:rPr>
        <w:t xml:space="preserve">sputum </w:t>
      </w:r>
      <w:r w:rsidRPr="004F38BE">
        <w:rPr>
          <w:rFonts w:ascii="Times New Roman" w:hAnsi="Times New Roman" w:cs="Times New Roman"/>
          <w:color w:val="auto"/>
        </w:rPr>
        <w:t xml:space="preserve">test (Cepheid </w:t>
      </w:r>
      <w:proofErr w:type="spellStart"/>
      <w:r w:rsidRPr="004F38BE">
        <w:rPr>
          <w:rFonts w:ascii="Times New Roman" w:hAnsi="Times New Roman" w:cs="Times New Roman"/>
          <w:color w:val="auto"/>
        </w:rPr>
        <w:t>Inc</w:t>
      </w:r>
      <w:proofErr w:type="spellEnd"/>
      <w:r w:rsidR="001D5FC7" w:rsidRPr="004F38BE">
        <w:rPr>
          <w:rFonts w:ascii="Times New Roman" w:hAnsi="Times New Roman" w:cs="Times New Roman"/>
          <w:color w:val="auto"/>
        </w:rPr>
        <w:t xml:space="preserve">, </w:t>
      </w:r>
      <w:r w:rsidR="001D5FC7" w:rsidRPr="004F38BE">
        <w:rPr>
          <w:rFonts w:ascii="Times New Roman" w:hAnsi="Times New Roman" w:cs="Times New Roman"/>
        </w:rPr>
        <w:t>Sunnyvale, CA</w:t>
      </w:r>
      <w:r w:rsidRPr="004F38BE">
        <w:rPr>
          <w:rFonts w:ascii="Times New Roman" w:hAnsi="Times New Roman" w:cs="Times New Roman"/>
          <w:color w:val="auto"/>
        </w:rPr>
        <w:t>)</w:t>
      </w:r>
      <w:r w:rsidR="007B5CC1" w:rsidRPr="004F38BE">
        <w:rPr>
          <w:rFonts w:ascii="Times New Roman" w:hAnsi="Times New Roman" w:cs="Times New Roman"/>
          <w:color w:val="auto"/>
        </w:rPr>
        <w:t xml:space="preserve">, </w:t>
      </w:r>
      <w:r w:rsidR="00BE6EE4" w:rsidRPr="004F38BE">
        <w:rPr>
          <w:rFonts w:ascii="Times New Roman" w:hAnsi="Times New Roman" w:cs="Times New Roman"/>
          <w:color w:val="auto"/>
        </w:rPr>
        <w:t xml:space="preserve">arguably the most </w:t>
      </w:r>
      <w:r w:rsidR="006816F8" w:rsidRPr="004F38BE">
        <w:rPr>
          <w:rFonts w:ascii="Times New Roman" w:hAnsi="Times New Roman" w:cs="Times New Roman"/>
          <w:color w:val="auto"/>
        </w:rPr>
        <w:t xml:space="preserve"> important </w:t>
      </w:r>
      <w:r w:rsidR="00BE6EE4" w:rsidRPr="004F38BE">
        <w:rPr>
          <w:rFonts w:ascii="Times New Roman" w:hAnsi="Times New Roman" w:cs="Times New Roman"/>
          <w:color w:val="auto"/>
        </w:rPr>
        <w:t xml:space="preserve">commercial </w:t>
      </w:r>
      <w:r w:rsidR="006816F8" w:rsidRPr="004F38BE">
        <w:rPr>
          <w:rFonts w:ascii="Times New Roman" w:hAnsi="Times New Roman" w:cs="Times New Roman"/>
          <w:color w:val="auto"/>
        </w:rPr>
        <w:t>recent advance in the TB diagnostic</w:t>
      </w:r>
      <w:r w:rsidR="00361CDA" w:rsidRPr="004F38BE">
        <w:rPr>
          <w:rFonts w:ascii="Times New Roman" w:hAnsi="Times New Roman" w:cs="Times New Roman"/>
          <w:color w:val="auto"/>
        </w:rPr>
        <w:t xml:space="preserve"> field</w:t>
      </w:r>
      <w:r w:rsidR="00BF23E0" w:rsidRPr="004F38BE">
        <w:rPr>
          <w:rFonts w:ascii="Times New Roman" w:hAnsi="Times New Roman" w:cs="Times New Roman"/>
          <w:color w:val="auto"/>
        </w:rPr>
        <w:t xml:space="preserve"> </w:t>
      </w:r>
      <w:r w:rsidR="006816F8" w:rsidRPr="004F38BE">
        <w:rPr>
          <w:rFonts w:ascii="Times New Roman" w:hAnsi="Times New Roman" w:cs="Times New Roman"/>
          <w:color w:val="auto"/>
        </w:rPr>
        <w:t xml:space="preserve">yields results within 2hours, coupled with the detection of rifampicin resistance. </w:t>
      </w:r>
      <w:r w:rsidR="0099755D" w:rsidRPr="004F38BE">
        <w:rPr>
          <w:rFonts w:ascii="Times New Roman" w:hAnsi="Times New Roman" w:cs="Times New Roman"/>
          <w:color w:val="auto"/>
        </w:rPr>
        <w:t xml:space="preserve">The </w:t>
      </w:r>
      <w:proofErr w:type="spellStart"/>
      <w:r w:rsidR="00483065" w:rsidRPr="004F38BE">
        <w:rPr>
          <w:rFonts w:ascii="Times New Roman" w:hAnsi="Times New Roman" w:cs="Times New Roman"/>
          <w:color w:val="auto"/>
        </w:rPr>
        <w:t>Xpert</w:t>
      </w:r>
      <w:proofErr w:type="spellEnd"/>
      <w:r w:rsidR="00483065" w:rsidRPr="004F38BE">
        <w:rPr>
          <w:rFonts w:ascii="Times New Roman" w:hAnsi="Times New Roman" w:cs="Times New Roman"/>
          <w:color w:val="auto"/>
        </w:rPr>
        <w:t xml:space="preserve"> </w:t>
      </w:r>
      <w:r w:rsidR="0099755D" w:rsidRPr="004F38BE">
        <w:rPr>
          <w:rFonts w:ascii="Times New Roman" w:hAnsi="Times New Roman" w:cs="Times New Roman"/>
          <w:color w:val="auto"/>
        </w:rPr>
        <w:t xml:space="preserve">test has been massively rolled out in developed countries but </w:t>
      </w:r>
      <w:r w:rsidRPr="004F38BE">
        <w:rPr>
          <w:rFonts w:ascii="Times New Roman" w:hAnsi="Times New Roman" w:cs="Times New Roman"/>
          <w:color w:val="auto"/>
        </w:rPr>
        <w:t>limitations</w:t>
      </w:r>
      <w:r w:rsidR="005A46DD" w:rsidRPr="004F38BE">
        <w:rPr>
          <w:rFonts w:ascii="Times New Roman" w:hAnsi="Times New Roman" w:cs="Times New Roman"/>
          <w:color w:val="auto"/>
        </w:rPr>
        <w:t>,</w:t>
      </w:r>
      <w:r w:rsidRPr="004F38BE">
        <w:rPr>
          <w:rFonts w:ascii="Times New Roman" w:hAnsi="Times New Roman" w:cs="Times New Roman"/>
          <w:color w:val="auto"/>
        </w:rPr>
        <w:t xml:space="preserve"> including </w:t>
      </w:r>
      <w:r w:rsidR="00AE07F9" w:rsidRPr="004F38BE">
        <w:rPr>
          <w:rFonts w:ascii="Times New Roman" w:hAnsi="Times New Roman" w:cs="Times New Roman"/>
          <w:color w:val="auto"/>
        </w:rPr>
        <w:t xml:space="preserve">relatively </w:t>
      </w:r>
      <w:r w:rsidRPr="004F38BE">
        <w:rPr>
          <w:rFonts w:ascii="Times New Roman" w:hAnsi="Times New Roman" w:cs="Times New Roman"/>
          <w:color w:val="auto"/>
        </w:rPr>
        <w:t xml:space="preserve">high </w:t>
      </w:r>
      <w:r w:rsidR="00AE07F9" w:rsidRPr="004F38BE">
        <w:rPr>
          <w:rFonts w:ascii="Times New Roman" w:hAnsi="Times New Roman" w:cs="Times New Roman"/>
          <w:color w:val="auto"/>
        </w:rPr>
        <w:t xml:space="preserve">operating </w:t>
      </w:r>
      <w:r w:rsidRPr="004F38BE">
        <w:rPr>
          <w:rFonts w:ascii="Times New Roman" w:hAnsi="Times New Roman" w:cs="Times New Roman"/>
          <w:color w:val="auto"/>
        </w:rPr>
        <w:t>costs</w:t>
      </w:r>
      <w:r w:rsidR="00CE2A8A" w:rsidRPr="004F38BE">
        <w:rPr>
          <w:rFonts w:ascii="Times New Roman" w:hAnsi="Times New Roman" w:cs="Times New Roman"/>
          <w:color w:val="auto"/>
        </w:rPr>
        <w:t xml:space="preserve"> </w:t>
      </w:r>
      <w:r w:rsidR="0099755D" w:rsidRPr="004F38BE">
        <w:rPr>
          <w:rFonts w:ascii="Times New Roman" w:hAnsi="Times New Roman" w:cs="Times New Roman"/>
          <w:color w:val="auto"/>
        </w:rPr>
        <w:t>and infrastructural requ</w:t>
      </w:r>
      <w:r w:rsidRPr="004F38BE">
        <w:rPr>
          <w:rFonts w:ascii="Times New Roman" w:hAnsi="Times New Roman" w:cs="Times New Roman"/>
          <w:color w:val="auto"/>
        </w:rPr>
        <w:t>irement</w:t>
      </w:r>
      <w:r w:rsidR="0099755D" w:rsidRPr="004F38BE">
        <w:rPr>
          <w:rFonts w:ascii="Times New Roman" w:hAnsi="Times New Roman" w:cs="Times New Roman"/>
          <w:color w:val="auto"/>
        </w:rPr>
        <w:t>s</w:t>
      </w:r>
      <w:r w:rsidR="00020281" w:rsidRPr="004F38BE">
        <w:rPr>
          <w:rFonts w:ascii="Times New Roman" w:hAnsi="Times New Roman" w:cs="Times New Roman"/>
        </w:rPr>
        <w:fldChar w:fldCharType="begin"/>
      </w:r>
      <w:r w:rsidR="00CB2263">
        <w:rPr>
          <w:rFonts w:ascii="Times New Roman" w:hAnsi="Times New Roman" w:cs="Times New Roman"/>
          <w:color w:val="auto"/>
        </w:rPr>
        <w:instrText xml:space="preserve"> ADDIN REFMGR.CITE &lt;Refman&gt;&lt;Cite&gt;&lt;Author&gt;Trebucq&lt;/Author&gt;&lt;Year&gt;2011&lt;/Year&gt;&lt;RecNum&gt;470&lt;/RecNum&gt;&lt;IDText&gt;Xpert((R)) MTB/RIF for national tuberculosis programmes in low-income countries: when, where and how?&lt;/IDText&gt;&lt;MDL Ref_Type="Journal"&gt;&lt;Ref_Type&gt;Journal&lt;/Ref_Type&gt;&lt;Ref_ID&gt;470&lt;/Ref_ID&gt;&lt;Title_Primary&gt;Xpert((R)) MTB/RIF for national tuberculosis programmes in low-income countries: when, where and how?&lt;/Title_Primary&gt;&lt;Authors_Primary&gt;Trebucq,A.&lt;/Authors_Primary&gt;&lt;Authors_Primary&gt;Enarson,D.A.&lt;/Authors_Primary&gt;&lt;Authors_Primary&gt;Chiang,C.Y.&lt;/Authors_Primary&gt;&lt;Authors_Primary&gt;Van,Deun A.&lt;/Authors_Primary&gt;&lt;Authors_Primary&gt;Harries,A.D.&lt;/Authors_Primary&gt;&lt;Authors_Primary&gt;Boillot,F.&lt;/Authors_Primary&gt;&lt;Authors_Primary&gt;Detjen,A.&lt;/Authors_Primary&gt;&lt;Authors_Primary&gt;Fujiwara,P.I.&lt;/Authors_Primary&gt;&lt;Authors_Primary&gt;Graham,S.M.&lt;/Authors_Primary&gt;&lt;Authors_Primary&gt;Monedero,I.&lt;/Authors_Primary&gt;&lt;Authors_Primary&gt;Rusen,I.D.&lt;/Authors_Primary&gt;&lt;Authors_Primary&gt;Rieder,H.L.&lt;/Authors_Primary&gt;&lt;Date_Primary&gt;2011/12&lt;/Date_Primary&gt;&lt;Keywords&gt;Algorithms&lt;/Keywords&gt;&lt;Keywords&gt;diagnosis&lt;/Keywords&gt;&lt;Keywords&gt;Lung&lt;/Keywords&gt;&lt;Keywords&gt;Microscopy&lt;/Keywords&gt;&lt;Keywords&gt;Prevalence&lt;/Keywords&gt;&lt;Keywords&gt;Research&lt;/Keywords&gt;&lt;Keywords&gt;Risk&lt;/Keywords&gt;&lt;Keywords&gt;Sputum&lt;/Keywords&gt;&lt;Keywords&gt;Tuberculosis&lt;/Keywords&gt;&lt;Reprint&gt;Not in File&lt;/Reprint&gt;&lt;Start_Page&gt;1567&lt;/Start_Page&gt;&lt;End_Page&gt;1572&lt;/End_Page&gt;&lt;Periodical&gt;Int J.Tuberc.Lung Dis.&lt;/Periodical&gt;&lt;Volume&gt;15&lt;/Volume&gt;&lt;Issue&gt;12&lt;/Issue&gt;&lt;Address&gt;Institute of the International Union Against Tuberculosis and Lung Disease, Paris, France&lt;/Address&gt;&lt;Web_URL&gt;PM:22005110&lt;/Web_URL&gt;&lt;ZZ_JournalStdAbbrev&gt;&lt;f name="System"&gt;Int J.Tuberc.Lung Dis.&lt;/f&gt;&lt;/ZZ_JournalStdAbbrev&gt;&lt;ZZ_WorkformID&gt;1&lt;/ZZ_WorkformID&gt;&lt;/MDL&gt;&lt;/Cite&gt;&lt;/Refman&gt;</w:instrText>
      </w:r>
      <w:r w:rsidR="00020281" w:rsidRPr="004F38BE">
        <w:rPr>
          <w:rFonts w:ascii="Times New Roman" w:hAnsi="Times New Roman" w:cs="Times New Roman"/>
        </w:rPr>
        <w:fldChar w:fldCharType="separate"/>
      </w:r>
      <w:r w:rsidR="00916313" w:rsidRPr="00916313">
        <w:rPr>
          <w:rFonts w:ascii="Times New Roman" w:hAnsi="Times New Roman" w:cs="Times New Roman"/>
          <w:color w:val="auto"/>
          <w:vertAlign w:val="superscript"/>
        </w:rPr>
        <w:t>3</w:t>
      </w:r>
      <w:r w:rsidR="00020281" w:rsidRPr="004F38BE">
        <w:rPr>
          <w:rFonts w:ascii="Times New Roman" w:hAnsi="Times New Roman" w:cs="Times New Roman"/>
        </w:rPr>
        <w:fldChar w:fldCharType="end"/>
      </w:r>
      <w:r w:rsidR="003E0DD9" w:rsidRPr="004F38BE">
        <w:rPr>
          <w:rFonts w:ascii="Times New Roman" w:hAnsi="Times New Roman" w:cs="Times New Roman"/>
          <w:color w:val="auto"/>
        </w:rPr>
        <w:t xml:space="preserve">, hamper its use </w:t>
      </w:r>
      <w:r w:rsidR="006F3E57" w:rsidRPr="004F38BE">
        <w:rPr>
          <w:rFonts w:ascii="Times New Roman" w:hAnsi="Times New Roman" w:cs="Times New Roman"/>
          <w:color w:val="auto"/>
        </w:rPr>
        <w:t>in</w:t>
      </w:r>
      <w:r w:rsidRPr="004F38BE">
        <w:rPr>
          <w:rFonts w:ascii="Times New Roman" w:hAnsi="Times New Roman" w:cs="Times New Roman"/>
          <w:color w:val="auto"/>
        </w:rPr>
        <w:t xml:space="preserve"> resource-constrained </w:t>
      </w:r>
      <w:r w:rsidR="004501A2" w:rsidRPr="004F38BE">
        <w:rPr>
          <w:rFonts w:ascii="Times New Roman" w:hAnsi="Times New Roman" w:cs="Times New Roman"/>
          <w:color w:val="auto"/>
        </w:rPr>
        <w:t xml:space="preserve">settings. </w:t>
      </w:r>
      <w:r w:rsidR="00916313">
        <w:rPr>
          <w:rFonts w:ascii="Times New Roman" w:hAnsi="Times New Roman" w:cs="Times New Roman"/>
          <w:color w:val="auto"/>
        </w:rPr>
        <w:t>A</w:t>
      </w:r>
      <w:r w:rsidR="00C51120" w:rsidRPr="004F38BE">
        <w:rPr>
          <w:rFonts w:ascii="Times New Roman" w:hAnsi="Times New Roman" w:cs="Times New Roman"/>
          <w:color w:val="auto"/>
        </w:rPr>
        <w:t>n important limitation of d</w:t>
      </w:r>
      <w:r w:rsidRPr="004F38BE">
        <w:rPr>
          <w:rFonts w:ascii="Times New Roman" w:hAnsi="Times New Roman" w:cs="Times New Roman"/>
          <w:color w:val="auto"/>
        </w:rPr>
        <w:t>iagnostic tests based on sputum</w:t>
      </w:r>
      <w:r w:rsidR="00D274BE" w:rsidRPr="004F38BE">
        <w:rPr>
          <w:rFonts w:ascii="Times New Roman" w:hAnsi="Times New Roman" w:cs="Times New Roman"/>
          <w:color w:val="auto"/>
        </w:rPr>
        <w:t>,</w:t>
      </w:r>
      <w:r w:rsidRPr="004F38BE">
        <w:rPr>
          <w:rFonts w:ascii="Times New Roman" w:hAnsi="Times New Roman" w:cs="Times New Roman"/>
          <w:color w:val="auto"/>
        </w:rPr>
        <w:t xml:space="preserve"> </w:t>
      </w:r>
      <w:r w:rsidR="00C51120" w:rsidRPr="004F38BE">
        <w:rPr>
          <w:rFonts w:ascii="Times New Roman" w:hAnsi="Times New Roman" w:cs="Times New Roman"/>
          <w:color w:val="auto"/>
        </w:rPr>
        <w:t xml:space="preserve">is that they </w:t>
      </w:r>
      <w:r w:rsidRPr="004F38BE">
        <w:rPr>
          <w:rFonts w:ascii="Times New Roman" w:hAnsi="Times New Roman" w:cs="Times New Roman"/>
          <w:color w:val="auto"/>
        </w:rPr>
        <w:t xml:space="preserve">are </w:t>
      </w:r>
      <w:r w:rsidR="00CC53F4" w:rsidRPr="004F38BE">
        <w:rPr>
          <w:rFonts w:ascii="Times New Roman" w:hAnsi="Times New Roman" w:cs="Times New Roman"/>
          <w:color w:val="auto"/>
        </w:rPr>
        <w:t>un</w:t>
      </w:r>
      <w:r w:rsidRPr="004F38BE">
        <w:rPr>
          <w:rFonts w:ascii="Times New Roman" w:hAnsi="Times New Roman" w:cs="Times New Roman"/>
          <w:color w:val="auto"/>
        </w:rPr>
        <w:t>suitable in individuals</w:t>
      </w:r>
      <w:r w:rsidR="00D274BE" w:rsidRPr="004F38BE">
        <w:rPr>
          <w:rFonts w:ascii="Times New Roman" w:hAnsi="Times New Roman" w:cs="Times New Roman"/>
          <w:color w:val="auto"/>
        </w:rPr>
        <w:t>, particularly children,</w:t>
      </w:r>
      <w:r w:rsidRPr="004F38BE">
        <w:rPr>
          <w:rFonts w:ascii="Times New Roman" w:hAnsi="Times New Roman" w:cs="Times New Roman"/>
          <w:color w:val="auto"/>
        </w:rPr>
        <w:t xml:space="preserve"> who have difficulty in providing good quality sputum</w:t>
      </w:r>
      <w:r w:rsidR="00020281" w:rsidRPr="004F38BE">
        <w:rPr>
          <w:rFonts w:ascii="Times New Roman" w:hAnsi="Times New Roman" w:cs="Times New Roman"/>
        </w:rPr>
        <w:fldChar w:fldCharType="begin"/>
      </w:r>
      <w:r w:rsidR="00CB2263">
        <w:rPr>
          <w:rFonts w:ascii="Times New Roman" w:hAnsi="Times New Roman" w:cs="Times New Roman"/>
          <w:color w:val="auto"/>
        </w:rPr>
        <w:instrText xml:space="preserve"> ADDIN REFMGR.CITE &lt;Refman&gt;&lt;Cite&gt;&lt;Author&gt;Marais&lt;/Author&gt;&lt;Year&gt;2007&lt;/Year&gt;&lt;RecNum&gt;534&lt;/RecNum&gt;&lt;IDText&gt;New approaches and emerging technologies in the diagnosis of childhood tuberculosis&lt;/IDText&gt;&lt;MDL Ref_Type="Journal"&gt;&lt;Ref_Type&gt;Journal&lt;/Ref_Type&gt;&lt;Ref_ID&gt;534&lt;/Ref_ID&gt;&lt;Title_Primary&gt;New approaches and emerging technologies in the diagnosis of childhood tuberculosis&lt;/Title_Primary&gt;&lt;Authors_Primary&gt;Marais,B.J.&lt;/Authors_Primary&gt;&lt;Authors_Primary&gt;Pai,M.&lt;/Authors_Primary&gt;&lt;Date_Primary&gt;2007/6&lt;/Date_Primary&gt;&lt;Keywords&gt;Africa&lt;/Keywords&gt;&lt;Keywords&gt;Child&lt;/Keywords&gt;&lt;Keywords&gt;diagnosis&lt;/Keywords&gt;&lt;Keywords&gt;Health&lt;/Keywords&gt;&lt;Keywords&gt;Humans&lt;/Keywords&gt;&lt;Keywords&gt;Infection&lt;/Keywords&gt;&lt;Keywords&gt;mortality&lt;/Keywords&gt;&lt;Keywords&gt;South Africa&lt;/Keywords&gt;&lt;Keywords&gt;Sputum&lt;/Keywords&gt;&lt;Keywords&gt;transmission&lt;/Keywords&gt;&lt;Keywords&gt;Tuberculosis&lt;/Keywords&gt;&lt;Reprint&gt;Not in File&lt;/Reprint&gt;&lt;Start_Page&gt;124&lt;/Start_Page&gt;&lt;End_Page&gt;133&lt;/End_Page&gt;&lt;Periodical&gt;Paediatr.Respir.Rev.&lt;/Periodical&gt;&lt;Volume&gt;8&lt;/Volume&gt;&lt;Issue&gt;2&lt;/Issue&gt;&lt;Address&gt;Desmond Tutu TB Centre, Department of Paediatrics and Child Health, Cape Town, South Africa. bjmarais@sun.ac.za&lt;/Address&gt;&lt;Web_URL&gt;PM:17574156&lt;/Web_URL&gt;&lt;ZZ_JournalStdAbbrev&gt;&lt;f name="System"&gt;Paediatr.Respir.Rev.&lt;/f&gt;&lt;/ZZ_JournalStdAbbrev&gt;&lt;ZZ_WorkformID&gt;1&lt;/ZZ_WorkformID&gt;&lt;/MDL&gt;&lt;/Cite&gt;&lt;/Refman&gt;</w:instrText>
      </w:r>
      <w:r w:rsidR="00020281" w:rsidRPr="004F38BE">
        <w:rPr>
          <w:rFonts w:ascii="Times New Roman" w:hAnsi="Times New Roman" w:cs="Times New Roman"/>
        </w:rPr>
        <w:fldChar w:fldCharType="separate"/>
      </w:r>
      <w:r w:rsidR="00916313" w:rsidRPr="00916313">
        <w:rPr>
          <w:rFonts w:ascii="Times New Roman" w:hAnsi="Times New Roman" w:cs="Times New Roman"/>
          <w:color w:val="auto"/>
          <w:vertAlign w:val="superscript"/>
        </w:rPr>
        <w:t>4</w:t>
      </w:r>
      <w:r w:rsidR="00020281" w:rsidRPr="004F38BE">
        <w:rPr>
          <w:rFonts w:ascii="Times New Roman" w:hAnsi="Times New Roman" w:cs="Times New Roman"/>
        </w:rPr>
        <w:fldChar w:fldCharType="end"/>
      </w:r>
      <w:r w:rsidR="00967F18">
        <w:rPr>
          <w:rFonts w:ascii="Times New Roman" w:hAnsi="Times New Roman" w:cs="Times New Roman"/>
        </w:rPr>
        <w:t xml:space="preserve">, and also in individuals with </w:t>
      </w:r>
      <w:proofErr w:type="spellStart"/>
      <w:r w:rsidR="00967F18">
        <w:rPr>
          <w:rFonts w:ascii="Times New Roman" w:hAnsi="Times New Roman" w:cs="Times New Roman"/>
        </w:rPr>
        <w:t>extrapulmonary</w:t>
      </w:r>
      <w:proofErr w:type="spellEnd"/>
      <w:r w:rsidR="00967F18">
        <w:rPr>
          <w:rFonts w:ascii="Times New Roman" w:hAnsi="Times New Roman" w:cs="Times New Roman"/>
        </w:rPr>
        <w:t xml:space="preserve"> TB</w:t>
      </w:r>
      <w:r w:rsidRPr="004F38BE">
        <w:rPr>
          <w:rFonts w:ascii="Times New Roman" w:hAnsi="Times New Roman" w:cs="Times New Roman"/>
          <w:color w:val="auto"/>
        </w:rPr>
        <w:t>.</w:t>
      </w:r>
      <w:r w:rsidR="00DD408A" w:rsidRPr="004F38BE">
        <w:rPr>
          <w:rFonts w:ascii="Times New Roman" w:hAnsi="Times New Roman" w:cs="Times New Roman"/>
          <w:color w:val="auto"/>
        </w:rPr>
        <w:t xml:space="preserve"> </w:t>
      </w:r>
      <w:r w:rsidR="00CC53F4" w:rsidRPr="004F38BE">
        <w:rPr>
          <w:rFonts w:ascii="Times New Roman" w:hAnsi="Times New Roman" w:cs="Times New Roman"/>
          <w:color w:val="auto"/>
        </w:rPr>
        <w:t>There is</w:t>
      </w:r>
      <w:r w:rsidR="00AE07F9" w:rsidRPr="004F38BE">
        <w:rPr>
          <w:rFonts w:ascii="Times New Roman" w:hAnsi="Times New Roman" w:cs="Times New Roman"/>
          <w:color w:val="auto"/>
        </w:rPr>
        <w:t xml:space="preserve"> </w:t>
      </w:r>
      <w:r w:rsidR="0013409C" w:rsidRPr="004F38BE">
        <w:rPr>
          <w:rFonts w:ascii="Times New Roman" w:hAnsi="Times New Roman" w:cs="Times New Roman"/>
          <w:color w:val="auto"/>
        </w:rPr>
        <w:t xml:space="preserve">an urgent need for alternative diagnostic tests </w:t>
      </w:r>
      <w:r w:rsidR="00CC53F4" w:rsidRPr="004F38BE">
        <w:rPr>
          <w:rFonts w:ascii="Times New Roman" w:hAnsi="Times New Roman" w:cs="Times New Roman"/>
          <w:color w:val="auto"/>
        </w:rPr>
        <w:t>that are</w:t>
      </w:r>
      <w:r w:rsidR="0013409C" w:rsidRPr="004F38BE">
        <w:rPr>
          <w:rFonts w:ascii="Times New Roman" w:hAnsi="Times New Roman" w:cs="Times New Roman"/>
          <w:color w:val="auto"/>
        </w:rPr>
        <w:t xml:space="preserve"> suitable for use in </w:t>
      </w:r>
      <w:r w:rsidR="00F92112">
        <w:rPr>
          <w:rFonts w:ascii="Times New Roman" w:hAnsi="Times New Roman" w:cs="Times New Roman"/>
          <w:color w:val="auto"/>
        </w:rPr>
        <w:t>all patient types, especially</w:t>
      </w:r>
      <w:r w:rsidR="00C81810">
        <w:rPr>
          <w:rFonts w:ascii="Times New Roman" w:hAnsi="Times New Roman" w:cs="Times New Roman"/>
          <w:color w:val="auto"/>
        </w:rPr>
        <w:t xml:space="preserve"> in</w:t>
      </w:r>
      <w:r w:rsidR="006A1F68">
        <w:rPr>
          <w:rFonts w:ascii="Times New Roman" w:hAnsi="Times New Roman" w:cs="Times New Roman"/>
          <w:color w:val="auto"/>
        </w:rPr>
        <w:t xml:space="preserve"> </w:t>
      </w:r>
      <w:r w:rsidR="000301AD" w:rsidRPr="004F38BE">
        <w:rPr>
          <w:rFonts w:ascii="Times New Roman" w:hAnsi="Times New Roman" w:cs="Times New Roman"/>
          <w:color w:val="auto"/>
        </w:rPr>
        <w:t>resource-</w:t>
      </w:r>
      <w:r w:rsidR="009C5B0D" w:rsidRPr="004F38BE">
        <w:rPr>
          <w:rFonts w:ascii="Times New Roman" w:hAnsi="Times New Roman" w:cs="Times New Roman"/>
          <w:color w:val="auto"/>
        </w:rPr>
        <w:t>poor</w:t>
      </w:r>
      <w:r w:rsidR="0013409C" w:rsidRPr="004F38BE">
        <w:rPr>
          <w:rFonts w:ascii="Times New Roman" w:hAnsi="Times New Roman" w:cs="Times New Roman"/>
          <w:color w:val="auto"/>
        </w:rPr>
        <w:t xml:space="preserve"> settings. Tests based on the detection of host inflammatory molecules</w:t>
      </w:r>
      <w:r w:rsidR="00020281" w:rsidRPr="004F38BE">
        <w:rPr>
          <w:rFonts w:ascii="Times New Roman" w:hAnsi="Times New Roman" w:cs="Times New Roman"/>
        </w:rPr>
        <w:fldChar w:fldCharType="begin"/>
      </w:r>
      <w:r w:rsidR="00CB2263">
        <w:rPr>
          <w:rFonts w:ascii="Times New Roman" w:hAnsi="Times New Roman" w:cs="Times New Roman"/>
          <w:color w:val="auto"/>
        </w:rPr>
        <w:instrText xml:space="preserve"> ADDIN REFMGR.CITE &lt;Refman&gt;&lt;Cite&gt;&lt;Author&gt;Chegou&lt;/Author&gt;&lt;Year&gt;2008&lt;/Year&gt;&lt;RecNum&gt;287&lt;/RecNum&gt;&lt;IDText&gt;Evaluation of adapted whole-blood interferon-gamma release assays for the diagnosis of pleural tuberculosis&lt;/IDText&gt;&lt;MDL Ref_Type="Journal"&gt;&lt;Ref_Type&gt;Journal&lt;/Ref_Type&gt;&lt;Ref_ID&gt;287&lt;/Ref_ID&gt;&lt;Title_Primary&gt;Evaluation of adapted whole-blood interferon-gamma release assays for the diagnosis of pleural tuberculosis&lt;/Title_Primary&gt;&lt;Authors_Primary&gt;Chegou,N.N.&lt;/Authors_Primary&gt;&lt;Authors_Primary&gt;Walzl,G.&lt;/Authors_Primary&gt;&lt;Authors_Primary&gt;Bolliger,C.T.&lt;/Authors_Primary&gt;&lt;Authors_Primary&gt;Diacon,A.H.&lt;/Authors_Primary&gt;&lt;Authors_Primary&gt;van den Heuvel,M.M.&lt;/Authors_Primary&gt;&lt;Date_Primary&gt;2008&lt;/Date_Primary&gt;&lt;Keywords&gt;Adult&lt;/Keywords&gt;&lt;Keywords&gt;Africa&lt;/Keywords&gt;&lt;Keywords&gt;Aged&lt;/Keywords&gt;&lt;Keywords&gt;blood&lt;/Keywords&gt;&lt;Keywords&gt;complications&lt;/Keywords&gt;&lt;Keywords&gt;cytology&lt;/Keywords&gt;&lt;Keywords&gt;diagnosis&lt;/Keywords&gt;&lt;Keywords&gt;etiology&lt;/Keywords&gt;&lt;Keywords&gt;Evaluation Studies&lt;/Keywords&gt;&lt;Keywords&gt;Extracellular Fluid&lt;/Keywords&gt;&lt;Keywords&gt;Female&lt;/Keywords&gt;&lt;Keywords&gt;genetics&lt;/Keywords&gt;&lt;Keywords&gt;Humans&lt;/Keywords&gt;&lt;Keywords&gt;immunology&lt;/Keywords&gt;&lt;Keywords&gt;Interferon-gamma&lt;/Keywords&gt;&lt;Keywords&gt;Male&lt;/Keywords&gt;&lt;Keywords&gt;metabolism&lt;/Keywords&gt;&lt;Keywords&gt;methods&lt;/Keywords&gt;&lt;Keywords&gt;Middle Aged&lt;/Keywords&gt;&lt;Keywords&gt;Molecular Biology&lt;/Keywords&gt;&lt;Keywords&gt;Pleural Effusion&lt;/Keywords&gt;&lt;Keywords&gt;Prevalence&lt;/Keywords&gt;&lt;Keywords&gt;South Africa&lt;/Keywords&gt;&lt;Keywords&gt;T-Lymphocytes&lt;/Keywords&gt;&lt;Keywords&gt;Tuberculosis&lt;/Keywords&gt;&lt;Keywords&gt;Tuberculosis,Pleural&lt;/Keywords&gt;&lt;Reprint&gt;Not in File&lt;/Reprint&gt;&lt;Start_Page&gt;131&lt;/Start_Page&gt;&lt;End_Page&gt;138&lt;/End_Page&gt;&lt;Periodical&gt;Respiration&lt;/Periodical&gt;&lt;Volume&gt;76&lt;/Volume&gt;&lt;Issue&gt;2&lt;/Issue&gt;&lt;Address&gt;Department of Biomedical Sciences, Division of Molecular Biology and Human Genetics, DST/NRF Centre of Excellence for Biomedical Tuberculosis Research, US/MRC Centre for Molecular and Cellular Biology, Stellenbosch University, Cape Town, South Africa&lt;/Address&gt;&lt;Web_URL&gt;PM:18434705&lt;/Web_URL&gt;&lt;ZZ_JournalStdAbbrev&gt;&lt;f name="System"&gt;Respiration&lt;/f&gt;&lt;/ZZ_JournalStdAbbrev&gt;&lt;ZZ_WorkformID&gt;1&lt;/ZZ_WorkformID&gt;&lt;/MDL&gt;&lt;/Cite&gt;&lt;Cite&gt;&lt;Author&gt;Phalane&lt;/Author&gt;&lt;Year&gt;2013&lt;/Year&gt;&lt;RecNum&gt;634&lt;/RecNum&gt;&lt;IDText&gt;Differential expression of host biomarkers in saliva and serum samples from individuals with suspected pulmonary tuberculosis&lt;/IDText&gt;&lt;MDL Ref_Type="Journal"&gt;&lt;Ref_Type&gt;Journal&lt;/Ref_Type&gt;&lt;Ref_ID&gt;634&lt;/Ref_ID&gt;&lt;Title_Primary&gt;Differential expression of host biomarkers in saliva and serum samples from individuals with suspected pulmonary tuberculosis&lt;/Title_Primary&gt;&lt;Authors_Primary&gt;Phalane,K.G.&lt;/Authors_Primary&gt;&lt;Authors_Primary&gt;Kriel,M.&lt;/Authors_Primary&gt;&lt;Authors_Primary&gt;Loxton,A.G.&lt;/Authors_Primary&gt;&lt;Authors_Primary&gt;Menezes,A.&lt;/Authors_Primary&gt;&lt;Authors_Primary&gt;Stanley,K.&lt;/Authors_Primary&gt;&lt;Authors_Primary&gt;van der Spuy,G.D.&lt;/Authors_Primary&gt;&lt;Authors_Primary&gt;Walzl,G.&lt;/Authors_Primary&gt;&lt;Authors_Primary&gt;Chegou,N.N.&lt;/Authors_Primary&gt;&lt;Date_Primary&gt;2013&lt;/Date_Primary&gt;&lt;Keywords&gt;Africa&lt;/Keywords&gt;&lt;Keywords&gt;diagnosis&lt;/Keywords&gt;&lt;Keywords&gt;Disease&lt;/Keywords&gt;&lt;Keywords&gt;genetics&lt;/Keywords&gt;&lt;Keywords&gt;Health&lt;/Keywords&gt;&lt;Keywords&gt;Molecular Biology&lt;/Keywords&gt;&lt;Keywords&gt;Research&lt;/Keywords&gt;&lt;Keywords&gt;Saliva&lt;/Keywords&gt;&lt;Keywords&gt;Serum&lt;/Keywords&gt;&lt;Keywords&gt;South Africa&lt;/Keywords&gt;&lt;Keywords&gt;Sputum&lt;/Keywords&gt;&lt;Keywords&gt;Tuberculosis&lt;/Keywords&gt;&lt;Reprint&gt;Not in File&lt;/Reprint&gt;&lt;Start_Page&gt;981984&lt;/Start_Page&gt;&lt;Periodical&gt;Mediators Inflamm.&lt;/Periodical&gt;&lt;Volume&gt;2013&lt;/Volume&gt;&lt;Address&gt;DST/NRF Centre of Excellence for Biomedical Tuberculosis Research and MRC Centre for Molecular and Cellular Biology, Division of Molecular Biology and Human Genetics, Department of Biomedical Sciences, Faculty of Medicine and Health Sciences, University of Stellenbosch, P.O. Box 19063, Francie van Zijl Drive, Tygerberg 7505, South Africa&lt;/Address&gt;&lt;Web_URL&gt;PM:24327799&lt;/Web_URL&gt;&lt;ZZ_JournalStdAbbrev&gt;&lt;f name="System"&gt;Mediators Inflamm.&lt;/f&gt;&lt;/ZZ_JournalStdAbbrev&gt;&lt;ZZ_WorkformID&gt;1&lt;/ZZ_WorkformID&gt;&lt;/MDL&gt;&lt;/Cite&gt;&lt;/Refman&gt;</w:instrText>
      </w:r>
      <w:r w:rsidR="00020281" w:rsidRPr="004F38BE">
        <w:rPr>
          <w:rFonts w:ascii="Times New Roman" w:hAnsi="Times New Roman" w:cs="Times New Roman"/>
        </w:rPr>
        <w:fldChar w:fldCharType="separate"/>
      </w:r>
      <w:r w:rsidR="00CB2263" w:rsidRPr="00A43C52">
        <w:rPr>
          <w:rFonts w:ascii="Times New Roman" w:hAnsi="Times New Roman" w:cs="Times New Roman"/>
          <w:color w:val="auto"/>
          <w:vertAlign w:val="superscript"/>
        </w:rPr>
        <w:t>5;6</w:t>
      </w:r>
      <w:r w:rsidR="00020281" w:rsidRPr="004F38BE">
        <w:rPr>
          <w:rFonts w:ascii="Times New Roman" w:hAnsi="Times New Roman" w:cs="Times New Roman"/>
        </w:rPr>
        <w:fldChar w:fldCharType="end"/>
      </w:r>
      <w:r w:rsidR="0013409C" w:rsidRPr="004F38BE">
        <w:rPr>
          <w:rFonts w:ascii="Times New Roman" w:hAnsi="Times New Roman" w:cs="Times New Roman"/>
          <w:color w:val="auto"/>
        </w:rPr>
        <w:t xml:space="preserve"> may be beneficial, especially </w:t>
      </w:r>
      <w:r w:rsidR="005F4880" w:rsidRPr="004F38BE">
        <w:rPr>
          <w:rFonts w:ascii="Times New Roman" w:hAnsi="Times New Roman" w:cs="Times New Roman"/>
          <w:color w:val="auto"/>
        </w:rPr>
        <w:t>when applied to</w:t>
      </w:r>
      <w:r w:rsidR="0013409C" w:rsidRPr="004F38BE">
        <w:rPr>
          <w:rFonts w:ascii="Times New Roman" w:hAnsi="Times New Roman" w:cs="Times New Roman"/>
          <w:color w:val="auto"/>
        </w:rPr>
        <w:t xml:space="preserve"> easily available samples such as </w:t>
      </w:r>
      <w:r w:rsidR="00843BEB" w:rsidRPr="004F38BE">
        <w:rPr>
          <w:rFonts w:ascii="Times New Roman" w:hAnsi="Times New Roman" w:cs="Times New Roman"/>
          <w:color w:val="auto"/>
        </w:rPr>
        <w:t xml:space="preserve">finger-prick </w:t>
      </w:r>
      <w:r w:rsidR="00DD408A" w:rsidRPr="004F38BE">
        <w:rPr>
          <w:rFonts w:ascii="Times New Roman" w:hAnsi="Times New Roman" w:cs="Times New Roman"/>
          <w:color w:val="auto"/>
        </w:rPr>
        <w:t>blood</w:t>
      </w:r>
      <w:r w:rsidR="00483065" w:rsidRPr="004F38BE">
        <w:rPr>
          <w:rFonts w:ascii="Times New Roman" w:hAnsi="Times New Roman" w:cs="Times New Roman"/>
          <w:color w:val="auto"/>
        </w:rPr>
        <w:t xml:space="preserve"> or </w:t>
      </w:r>
      <w:r w:rsidR="00DD408A" w:rsidRPr="004F38BE">
        <w:rPr>
          <w:rFonts w:ascii="Times New Roman" w:hAnsi="Times New Roman" w:cs="Times New Roman"/>
          <w:color w:val="auto"/>
        </w:rPr>
        <w:t>serum</w:t>
      </w:r>
      <w:r w:rsidR="0013409C" w:rsidRPr="004F38BE">
        <w:rPr>
          <w:rFonts w:ascii="Times New Roman" w:hAnsi="Times New Roman" w:cs="Times New Roman"/>
          <w:color w:val="auto"/>
        </w:rPr>
        <w:t xml:space="preserve">. </w:t>
      </w:r>
    </w:p>
    <w:p w14:paraId="1F1E5FA7" w14:textId="77777777" w:rsidR="009D02C3" w:rsidRPr="004F38BE" w:rsidRDefault="009D02C3" w:rsidP="0033455D">
      <w:pPr>
        <w:pStyle w:val="DefaultStyle"/>
        <w:spacing w:line="360" w:lineRule="auto"/>
        <w:jc w:val="both"/>
        <w:rPr>
          <w:rFonts w:ascii="Times New Roman" w:hAnsi="Times New Roman" w:cs="Times New Roman"/>
          <w:color w:val="auto"/>
        </w:rPr>
      </w:pPr>
    </w:p>
    <w:p w14:paraId="6B483C51" w14:textId="4FADB332" w:rsidR="00DF687E" w:rsidRPr="004F38BE" w:rsidRDefault="00544BB2" w:rsidP="0033455D">
      <w:pPr>
        <w:spacing w:line="360" w:lineRule="auto"/>
        <w:jc w:val="both"/>
      </w:pPr>
      <w:r w:rsidRPr="004F38BE">
        <w:t>In</w:t>
      </w:r>
      <w:r w:rsidR="008C7584" w:rsidRPr="004F38BE">
        <w:t xml:space="preserve"> </w:t>
      </w:r>
      <w:r w:rsidRPr="004F38BE">
        <w:t xml:space="preserve">search </w:t>
      </w:r>
      <w:r w:rsidR="00F651ED" w:rsidRPr="004F38BE">
        <w:t>of</w:t>
      </w:r>
      <w:r w:rsidR="008C7584" w:rsidRPr="004F38BE">
        <w:t xml:space="preserve"> </w:t>
      </w:r>
      <w:r w:rsidR="00B6790D" w:rsidRPr="004F38BE">
        <w:t>immunodiagnostic tools that could be useful for the diagnosis of active TB,</w:t>
      </w:r>
      <w:r w:rsidRPr="004F38BE">
        <w:t xml:space="preserve"> a</w:t>
      </w:r>
      <w:r w:rsidR="00B27771" w:rsidRPr="004F38BE">
        <w:t xml:space="preserve">ttempts </w:t>
      </w:r>
      <w:r w:rsidR="0068096D" w:rsidRPr="004F38BE">
        <w:t xml:space="preserve">are being made </w:t>
      </w:r>
      <w:r w:rsidR="00D274BE" w:rsidRPr="004F38BE">
        <w:t>to identify</w:t>
      </w:r>
      <w:r w:rsidR="00E76E11" w:rsidRPr="004F38BE">
        <w:t xml:space="preserve"> novel antigens</w:t>
      </w:r>
      <w:r w:rsidR="0008244C" w:rsidRPr="004F38BE">
        <w:fldChar w:fldCharType="begin"/>
      </w:r>
      <w:r w:rsidR="00CB2263">
        <w:instrText xml:space="preserve"> ADDIN REFMGR.CITE &lt;Refman&gt;&lt;Cite&gt;&lt;Author&gt;Chegou&lt;/Author&gt;&lt;Year&gt;2012&lt;/Year&gt;&lt;RecNum&gt;472&lt;/RecNum&gt;&lt;IDText&gt;Potential of novel Mycobacterium tuberculosis infection phase-dependent antigens in the diagnosis of TB disease in a high burden setting&lt;/IDText&gt;&lt;MDL Ref_Type="Journal"&gt;&lt;Ref_Type&gt;Journal&lt;/Ref_Type&gt;&lt;Ref_ID&gt;472&lt;/Ref_ID&gt;&lt;Title_Primary&gt;Potential of novel Mycobacterium tuberculosis infection phase-dependent antigens in the diagnosis of TB disease in a high burden setting&lt;/Title_Primary&gt;&lt;Authors_Primary&gt;Chegou,N.N.&lt;/Authors_Primary&gt;&lt;Authors_Primary&gt;Black,G.F.&lt;/Authors_Primary&gt;&lt;Authors_Primary&gt;Loxton,A.G.&lt;/Authors_Primary&gt;&lt;Authors_Primary&gt;Stanley,K.&lt;/Authors_Primary&gt;&lt;Authors_Primary&gt;Essone,P.N.&lt;/Authors_Primary&gt;&lt;Authors_Primary&gt;Klein,M.R.&lt;/Authors_Primary&gt;&lt;Authors_Primary&gt;Parida,S.K.&lt;/Authors_Primary&gt;&lt;Authors_Primary&gt;Kaufmann,S.H.&lt;/Authors_Primary&gt;&lt;Authors_Primary&gt;Doherty,T.M.&lt;/Authors_Primary&gt;&lt;Authors_Primary&gt;Friggen,A.H.&lt;/Authors_Primary&gt;&lt;Authors_Primary&gt;Franken,K.L.&lt;/Authors_Primary&gt;&lt;Authors_Primary&gt;Ottenhoff,T.H.&lt;/Authors_Primary&gt;&lt;Authors_Primary&gt;Walzl,G.&lt;/Authors_Primary&gt;&lt;Date_Primary&gt;2012/1/20&lt;/Date_Primary&gt;&lt;Keywords&gt;Africa&lt;/Keywords&gt;&lt;Keywords&gt;blood&lt;/Keywords&gt;&lt;Keywords&gt;diagnosis&lt;/Keywords&gt;&lt;Keywords&gt;Incidence&lt;/Keywords&gt;&lt;Keywords&gt;Interferon-gamma&lt;/Keywords&gt;&lt;Keywords&gt;methods&lt;/Keywords&gt;&lt;Keywords&gt;Mycobacterium&lt;/Keywords&gt;&lt;Keywords&gt;Mycobacterium tuberculosis&lt;/Keywords&gt;&lt;Keywords&gt;Regulon&lt;/Keywords&gt;&lt;Keywords&gt;South Africa&lt;/Keywords&gt;&lt;Keywords&gt;Tuberculosis&lt;/Keywords&gt;&lt;Reprint&gt;Not in File&lt;/Reprint&gt;&lt;Start_Page&gt;10&lt;/Start_Page&gt;&lt;Periodical&gt;BMC.Infect.Dis.&lt;/Periodical&gt;&lt;Volume&gt;12&lt;/Volume&gt;&lt;Issue&gt;1&lt;/Issue&gt;&lt;Web_URL&gt;PM:22260319&lt;/Web_URL&gt;&lt;ZZ_JournalStdAbbrev&gt;&lt;f name="System"&gt;BMC.Infect.Dis.&lt;/f&gt;&lt;/ZZ_JournalStdAbbrev&gt;&lt;ZZ_WorkformID&gt;1&lt;/ZZ_WorkformID&gt;&lt;/MDL&gt;&lt;/Cite&gt;&lt;Cite&gt;&lt;Author&gt;Essone&lt;/Author&gt;&lt;Year&gt;2014&lt;/Year&gt;&lt;RecNum&gt;672&lt;/RecNum&gt;&lt;IDText&gt;Host cytokine responses induced after overnight stimulation with novel M. tuberculosis infection phase-dependent antigens show promise as diagnostic candidates for TB disease&lt;/IDText&gt;&lt;MDL Ref_Type="Journal"&gt;&lt;Ref_Type&gt;Journal&lt;/Ref_Type&gt;&lt;Ref_ID&gt;672&lt;/Ref_ID&gt;&lt;Title_Primary&gt;Host cytokine responses induced after overnight stimulation with novel M. tuberculosis infection phase-dependent antigens show promise as diagnostic candidates for TB disease&lt;/Title_Primary&gt;&lt;Authors_Primary&gt;Essone,P.N.&lt;/Authors_Primary&gt;&lt;Authors_Primary&gt;Chegou,N.N.&lt;/Authors_Primary&gt;&lt;Authors_Primary&gt;Loxton,A.G.&lt;/Authors_Primary&gt;&lt;Authors_Primary&gt;Stanley,K.&lt;/Authors_Primary&gt;&lt;Authors_Primary&gt;Kriel,M.&lt;/Authors_Primary&gt;&lt;Authors_Primary&gt;van der,Spuy G.&lt;/Authors_Primary&gt;&lt;Authors_Primary&gt;Franken,K.L.&lt;/Authors_Primary&gt;&lt;Authors_Primary&gt;Ottenhoff,T.H.&lt;/Authors_Primary&gt;&lt;Authors_Primary&gt;Walzl,G.&lt;/Authors_Primary&gt;&lt;Date_Primary&gt;2014&lt;/Date_Primary&gt;&lt;Keywords&gt;Africa&lt;/Keywords&gt;&lt;Keywords&gt;Amyloid&lt;/Keywords&gt;&lt;Keywords&gt;Antigens&lt;/Keywords&gt;&lt;Keywords&gt;blood&lt;/Keywords&gt;&lt;Keywords&gt;Case-Control Studies&lt;/Keywords&gt;&lt;Keywords&gt;Disease&lt;/Keywords&gt;&lt;Keywords&gt;genetics&lt;/Keywords&gt;&lt;Keywords&gt;Health&lt;/Keywords&gt;&lt;Keywords&gt;Infection&lt;/Keywords&gt;&lt;Keywords&gt;methods&lt;/Keywords&gt;&lt;Keywords&gt;Molecular Biology&lt;/Keywords&gt;&lt;Keywords&gt;Mycobacterium&lt;/Keywords&gt;&lt;Keywords&gt;Mycobacterium tuberculosis&lt;/Keywords&gt;&lt;Keywords&gt;Netherlands&lt;/Keywords&gt;&lt;Keywords&gt;Research&lt;/Keywords&gt;&lt;Keywords&gt;Serum&lt;/Keywords&gt;&lt;Keywords&gt;South Africa&lt;/Keywords&gt;&lt;Keywords&gt;Tuberculosis&lt;/Keywords&gt;&lt;Reprint&gt;Not in File&lt;/Reprint&gt;&lt;Start_Page&gt;e102584&lt;/Start_Page&gt;&lt;Periodical&gt;Plos One&lt;/Periodical&gt;&lt;Volume&gt;9&lt;/Volume&gt;&lt;Issue&gt;7&lt;/Issue&gt;&lt;User_Def_5&gt;PMC4099213&lt;/User_Def_5&gt;&lt;Misc_3&gt;10.1371/journal.pone.0102584 [doi];PONE-D-14-06811 [pii]&lt;/Misc_3&gt;&lt;Address&gt;DST/NRF Centre of Excellence for Biomedical Tuberculosis Research and MRC Centre for Tuberculosis Research, Division of Molecular Biology and Human Genetics, Department of Biomedical Sciences, Faculty of Medicine and Health Sciences, Stellenbosch University, Tygerberg, South Africa&amp;#xA;DST/NRF Centre of Excellence for Biomedical Tuberculosis Research and MRC Centre for Tuberculosis Research, Division of Molecular Biology and Human Genetics, Department of Biomedical Sciences, Faculty of Medicine and Health Sciences, Stellenbosch University, Tygerberg, South Africa&amp;#xA;DST/NRF Centre of Excellence for Biomedical Tuberculosis Research and MRC Centre for Tuberculosis Research, Division of Molecular Biology and Human Genetics, Department of Biomedical Sciences, Faculty of Medicine and Health Sciences, Stellenbosch University, Tygerberg, South Africa&amp;#xA;DST/NRF Centre of Excellence for Biomedical Tuberculosis Research and MRC Centre for Tuberculosis Research, Division of Molecular Biology and Human Genetics, Department of Biomedical Sciences, Faculty of Medicine and Health Sciences, Stellenbosch University, Tygerberg, South Africa&amp;#xA;DST/NRF Centre of Excellence for Biomedical Tuberculosis Research and MRC Centre for Tuberculosis Research, Division of Molecular Biology and Human Genetics, Department of Biomedical Sciences, Faculty of Medicine and Health Sciences, Stellenbosch University, Tygerberg, South Africa&amp;#xA;DST/NRF Centre of Excellence for Biomedical Tuberculosis Research and MRC Centre for Tuberculosis Research, Division of Molecular Biology and Human Genetics, Department of Biomedical Sciences, Faculty of Medicine and Health Sciences, Stellenbosch University, Tygerberg, South Africa&amp;#xA;Department of Infectious Diseases, Leiden University Medical Centre, Leiden, The Netherlands&amp;#xA;Department of Infectious Diseases, Leiden University Medical Centre, Leiden, The Netherlands&amp;#xA;DST/NRF Centre of Excellence for Biomedical Tuberculosis Research and MRC Centre for Tuberculosis Research, Division of Molecular Biology and Human Genetics, Department of Biomedical Sciences, Faculty of Medicine and Health Sciences, Stellenbosch University, Tygerberg, South Africa&lt;/Address&gt;&lt;Web_URL&gt;PM:25025278&lt;/Web_URL&gt;&lt;ZZ_JournalFull&gt;&lt;f name="System"&gt;Plos One&lt;/f&gt;&lt;/ZZ_JournalFull&gt;&lt;ZZ_WorkformID&gt;1&lt;/ZZ_WorkformID&gt;&lt;/MDL&gt;&lt;/Cite&gt;&lt;Cite&gt;&lt;Author&gt;Goletti&lt;/Author&gt;&lt;Year&gt;2005&lt;/Year&gt;&lt;RecNum&gt;417&lt;/RecNum&gt;&lt;IDText&gt;Selected RD1 peptides for active tuberculosis diagnosis: comparison of a gamma interferon whole-blood enzyme-linked immunosorbent assay and an enzyme-linked immunospot assay&lt;/IDText&gt;&lt;MDL Ref_Type="Journal"&gt;&lt;Ref_Type&gt;Journal&lt;/Ref_Type&gt;&lt;Ref_ID&gt;417&lt;/Ref_ID&gt;&lt;Title_Primary&gt;Selected RD1 peptides for active tuberculosis diagnosis: comparison of a gamma interferon whole-blood enzyme-linked immunosorbent assay and an enzyme-linked immunospot assay&lt;/Title_Primary&gt;&lt;Authors_Primary&gt;Goletti,D.&lt;/Authors_Primary&gt;&lt;Authors_Primary&gt;Vincenti,D.&lt;/Authors_Primary&gt;&lt;Authors_Primary&gt;Carrara,S.&lt;/Authors_Primary&gt;&lt;Authors_Primary&gt;Butera,O.&lt;/Authors_Primary&gt;&lt;Authors_Primary&gt;Bizzoni,F.&lt;/Authors_Primary&gt;&lt;Authors_Primary&gt;Bernardini,G.&lt;/Authors_Primary&gt;&lt;Authors_Primary&gt;Amicosante,M.&lt;/Authors_Primary&gt;&lt;Authors_Primary&gt;Girardi,E.&lt;/Authors_Primary&gt;&lt;Date_Primary&gt;2005/11&lt;/Date_Primary&gt;&lt;Keywords&gt;analysis&lt;/Keywords&gt;&lt;Keywords&gt;Antigens,Bacterial&lt;/Keywords&gt;&lt;Keywords&gt;Bacterial Proteins&lt;/Keywords&gt;&lt;Keywords&gt;blood&lt;/Keywords&gt;&lt;Keywords&gt;Comparative Study&lt;/Keywords&gt;&lt;Keywords&gt;diagnosis&lt;/Keywords&gt;&lt;Keywords&gt;diagnostic use&lt;/Keywords&gt;&lt;Keywords&gt;Enzyme-Linked Immunosorbent Assay&lt;/Keywords&gt;&lt;Keywords&gt;Humans&lt;/Keywords&gt;&lt;Keywords&gt;immunology&lt;/Keywords&gt;&lt;Keywords&gt;Interferon-gamma&lt;/Keywords&gt;&lt;Keywords&gt;Italy&lt;/Keywords&gt;&lt;Keywords&gt;Laboratories&lt;/Keywords&gt;&lt;Keywords&gt;methods&lt;/Keywords&gt;&lt;Keywords&gt;Mycobacterium&lt;/Keywords&gt;&lt;Keywords&gt;Mycobacterium tuberculosis&lt;/Keywords&gt;&lt;Keywords&gt;Peptide Fragments&lt;/Keywords&gt;&lt;Keywords&gt;Peptides&lt;/Keywords&gt;&lt;Keywords&gt;Recombinant Fusion Proteins&lt;/Keywords&gt;&lt;Keywords&gt;Research&lt;/Keywords&gt;&lt;Keywords&gt;Tuberculosis&lt;/Keywords&gt;&lt;Keywords&gt;Tuberculosis,Pulmonary&lt;/Keywords&gt;&lt;Reprint&gt;Not in File&lt;/Reprint&gt;&lt;Start_Page&gt;1311&lt;/Start_Page&gt;&lt;End_Page&gt;1316&lt;/End_Page&gt;&lt;Periodical&gt;Clin Diagn.Lab Immunol.&lt;/Periodical&gt;&lt;Volume&gt;12&lt;/Volume&gt;&lt;Issue&gt;11&lt;/Issue&gt;&lt;Address&gt;Laboratorio di collegamento tra ricerca di base e clinica, Padiglione Del Vecchio, Istituto Nazionale per le Malattie Infettive Lazzaro Spallanzani, I.R.C.C.S., Roma 00149, Italy. d.goletti@tiscali.it&lt;/Address&gt;&lt;Web_URL&gt;PM:16275946&lt;/Web_URL&gt;&lt;ZZ_JournalStdAbbrev&gt;&lt;f name="System"&gt;Clin Diagn.Lab Immunol.&lt;/f&gt;&lt;/ZZ_JournalStdAbbrev&gt;&lt;ZZ_WorkformID&gt;1&lt;/ZZ_WorkformID&gt;&lt;/MDL&gt;&lt;/Cite&gt;&lt;/Refman&gt;</w:instrText>
      </w:r>
      <w:r w:rsidR="0008244C" w:rsidRPr="004F38BE">
        <w:fldChar w:fldCharType="separate"/>
      </w:r>
      <w:r w:rsidR="00CB2263" w:rsidRPr="00CB2263">
        <w:rPr>
          <w:vertAlign w:val="superscript"/>
        </w:rPr>
        <w:t>7-9</w:t>
      </w:r>
      <w:r w:rsidR="0008244C" w:rsidRPr="004F38BE">
        <w:fldChar w:fldCharType="end"/>
      </w:r>
      <w:r w:rsidR="00D274BE" w:rsidRPr="004F38BE">
        <w:t>. T</w:t>
      </w:r>
      <w:r w:rsidR="00B27771" w:rsidRPr="004F38BE">
        <w:t xml:space="preserve">hose </w:t>
      </w:r>
      <w:r w:rsidR="00E76E11" w:rsidRPr="004F38BE">
        <w:t xml:space="preserve">currently </w:t>
      </w:r>
      <w:r w:rsidR="00B27771" w:rsidRPr="004F38BE">
        <w:t xml:space="preserve">used in </w:t>
      </w:r>
      <w:r w:rsidR="00E6635E" w:rsidRPr="004F38BE">
        <w:t>the Interferon-gam</w:t>
      </w:r>
      <w:r w:rsidR="003812D5" w:rsidRPr="004F38BE">
        <w:t>m</w:t>
      </w:r>
      <w:r w:rsidR="00E6635E" w:rsidRPr="004F38BE">
        <w:t xml:space="preserve">a (IFN-γ) release assays </w:t>
      </w:r>
      <w:r w:rsidR="00B27771" w:rsidRPr="004F38BE">
        <w:t>(ESAT-6/CFP-10/TB7.7)</w:t>
      </w:r>
      <w:r w:rsidR="00B6790D" w:rsidRPr="004F38BE">
        <w:t xml:space="preserve"> </w:t>
      </w:r>
      <w:r w:rsidR="001F7646" w:rsidRPr="004F38BE">
        <w:t>cannot differentiate between latent and active TB</w:t>
      </w:r>
      <w:r w:rsidR="00D274BE" w:rsidRPr="004F38BE">
        <w:t>. There is also a search for</w:t>
      </w:r>
      <w:r w:rsidRPr="004F38BE">
        <w:t xml:space="preserve"> </w:t>
      </w:r>
      <w:r w:rsidR="00B27771" w:rsidRPr="004F38BE">
        <w:t>host markers</w:t>
      </w:r>
      <w:r w:rsidRPr="004F38BE">
        <w:t xml:space="preserve"> other than IFN-γ</w:t>
      </w:r>
      <w:r w:rsidR="00D274BE" w:rsidRPr="004F38BE">
        <w:t>,</w:t>
      </w:r>
      <w:r w:rsidRPr="004F38BE">
        <w:t xml:space="preserve"> that are p</w:t>
      </w:r>
      <w:r w:rsidR="00B27771" w:rsidRPr="004F38BE">
        <w:t xml:space="preserve">roduced </w:t>
      </w:r>
      <w:r w:rsidR="00C71247" w:rsidRPr="004F38BE">
        <w:t xml:space="preserve">after overnight stimulation of blood cells with </w:t>
      </w:r>
      <w:r w:rsidRPr="004F38BE">
        <w:t>ESAT-6/CFP-10/TB7.7</w:t>
      </w:r>
      <w:r w:rsidR="00020281" w:rsidRPr="004F38BE">
        <w:fldChar w:fldCharType="begin"/>
      </w:r>
      <w:r w:rsidR="00CB2263">
        <w:instrText xml:space="preserve"> ADDIN REFMGR.CITE &lt;Refman&gt;&lt;Cite&gt;&lt;Author&gt;Chegou&lt;/Author&gt;&lt;Year&gt;2009&lt;/Year&gt;&lt;RecNum&gt;338&lt;/RecNum&gt;&lt;IDText&gt;Host markers in Quantiferon supernatants differentiate active TB from latent TB infection : preliminary report&lt;/IDText&gt;&lt;MDL Ref_Type="Journal"&gt;&lt;Ref_Type&gt;Journal&lt;/Ref_Type&gt;&lt;Ref_ID&gt;338&lt;/Ref_ID&gt;&lt;Title_Primary&gt;Host markers in Quantiferon supernatants differentiate active TB from latent TB infection : preliminary report&lt;/Title_Primary&gt;&lt;Authors_Primary&gt;Chegou,N.N.&lt;/Authors_Primary&gt;&lt;Authors_Primary&gt;Black,G.F.&lt;/Authors_Primary&gt;&lt;Authors_Primary&gt;Kidd,M.&lt;/Authors_Primary&gt;&lt;Authors_Primary&gt;van Helden,P.D.&lt;/Authors_Primary&gt;&lt;Authors_Primary&gt;Walzl,G.&lt;/Authors_Primary&gt;&lt;Date_Primary&gt;2009/5/16&lt;/Date_Primary&gt;&lt;Keywords&gt;Africa&lt;/Keywords&gt;&lt;Keywords&gt;CD40 Ligand&lt;/Keywords&gt;&lt;Keywords&gt;Epidermal Growth Factor&lt;/Keywords&gt;&lt;Keywords&gt;Interferon-gamma&lt;/Keywords&gt;&lt;Keywords&gt;methods&lt;/Keywords&gt;&lt;Keywords&gt;Mycobacterium&lt;/Keywords&gt;&lt;Keywords&gt;Mycobacterium tuberculosis&lt;/Keywords&gt;&lt;Keywords&gt;South Africa&lt;/Keywords&gt;&lt;Keywords&gt;Tuberculosis&lt;/Keywords&gt;&lt;Reprint&gt;Not in File&lt;/Reprint&gt;&lt;Start_Page&gt;21&lt;/Start_Page&gt;&lt;Periodical&gt;BMC.Pulm.Med.&lt;/Periodical&gt;&lt;Volume&gt;9&lt;/Volume&gt;&lt;Issue&gt;1&lt;/Issue&gt;&lt;Web_URL&gt;PM:19445695&lt;/Web_URL&gt;&lt;ZZ_JournalStdAbbrev&gt;&lt;f name="System"&gt;BMC.Pulm.Med.&lt;/f&gt;&lt;/ZZ_JournalStdAbbrev&gt;&lt;ZZ_WorkformID&gt;1&lt;/ZZ_WorkformID&gt;&lt;/MDL&gt;&lt;/Cite&gt;&lt;Cite&gt;&lt;Author&gt;Chegou&lt;/Author&gt;&lt;Year&gt;2012&lt;/Year&gt;&lt;RecNum&gt;502&lt;/RecNum&gt;&lt;IDText&gt;Potential of host markers produced by infection phase-dependent antigen-stimulated cells for the diagnosis of tuberculosis in a highly endemic area&lt;/IDText&gt;&lt;MDL Ref_Type="Journal"&gt;&lt;Ref_Type&gt;Journal&lt;/Ref_Type&gt;&lt;Ref_ID&gt;502&lt;/Ref_ID&gt;&lt;Title_Primary&gt;Potential of host markers produced by infection phase-dependent antigen-stimulated cells for the diagnosis of tuberculosis in a highly endemic area&lt;/Title_Primary&gt;&lt;Authors_Primary&gt;Chegou,N.N.&lt;/Authors_Primary&gt;&lt;Authors_Primary&gt;Essone,P.N.&lt;/Authors_Primary&gt;&lt;Authors_Primary&gt;Loxton,A.G.&lt;/Authors_Primary&gt;&lt;Authors_Primary&gt;Stanley,K.&lt;/Authors_Primary&gt;&lt;Authors_Primary&gt;Black,G.F.&lt;/Authors_Primary&gt;&lt;Authors_Primary&gt;van der Spuy,G.D.&lt;/Authors_Primary&gt;&lt;Authors_Primary&gt;van Helden,P.D.&lt;/Authors_Primary&gt;&lt;Authors_Primary&gt;Franken,K.L.&lt;/Authors_Primary&gt;&lt;Authors_Primary&gt;Parida,S.K.&lt;/Authors_Primary&gt;&lt;Authors_Primary&gt;Klein,M.R.&lt;/Authors_Primary&gt;&lt;Authors_Primary&gt;Kaufmann,S.H.&lt;/Authors_Primary&gt;&lt;Authors_Primary&gt;Ottenhoff,T.H.&lt;/Authors_Primary&gt;&lt;Authors_Primary&gt;Walzl,G.&lt;/Authors_Primary&gt;&lt;Date_Primary&gt;2012&lt;/Date_Primary&gt;&lt;Keywords&gt;Africa&lt;/Keywords&gt;&lt;Keywords&gt;blood&lt;/Keywords&gt;&lt;Keywords&gt;Case-Control Studies&lt;/Keywords&gt;&lt;Keywords&gt;Cytokines&lt;/Keywords&gt;&lt;Keywords&gt;diagnosis&lt;/Keywords&gt;&lt;Keywords&gt;genetics&lt;/Keywords&gt;&lt;Keywords&gt;Health&lt;/Keywords&gt;&lt;Keywords&gt;Incidence&lt;/Keywords&gt;&lt;Keywords&gt;Interferon-gamma&lt;/Keywords&gt;&lt;Keywords&gt;Molecular Biology&lt;/Keywords&gt;&lt;Keywords&gt;Mycobacterium&lt;/Keywords&gt;&lt;Keywords&gt;Mycobacterium tuberculosis&lt;/Keywords&gt;&lt;Keywords&gt;Proteins&lt;/Keywords&gt;&lt;Keywords&gt;Research&lt;/Keywords&gt;&lt;Keywords&gt;South Africa&lt;/Keywords&gt;&lt;Keywords&gt;Tuberculosis&lt;/Keywords&gt;&lt;Reprint&gt;Not in File&lt;/Reprint&gt;&lt;Start_Page&gt;e38501&lt;/Start_Page&gt;&lt;Periodical&gt;PLoS.ONE.&lt;/Periodical&gt;&lt;Volume&gt;7&lt;/Volume&gt;&lt;Issue&gt;6&lt;/Issue&gt;&lt;Address&gt;DST/NRF Centre of Excellence for Biomedical Tuberculosis Research and MRC Centre for Molecular and Cellular Biology, Division of Molecular Biology and Human Genetics, Department of Biomedical Sciences, Faculty of Health Sciences, Stellenbosch University, Tygerberg, South Africa&lt;/Address&gt;&lt;Web_URL&gt;PM:22693640&lt;/Web_URL&gt;&lt;ZZ_JournalStdAbbrev&gt;&lt;f name="System"&gt;PLoS.ONE.&lt;/f&gt;&lt;/ZZ_JournalStdAbbrev&gt;&lt;ZZ_WorkformID&gt;1&lt;/ZZ_WorkformID&gt;&lt;/MDL&gt;&lt;/Cite&gt;&lt;Cite&gt;&lt;Author&gt;Chegou&lt;/Author&gt;&lt;Year&gt;2013&lt;/Year&gt;&lt;RecNum&gt;570&lt;/RecNum&gt;&lt;IDText&gt;Utility of host markers detected in quantiferon supernatants for the diagnosis of tuberculosis in children in a high-burden setting&lt;/IDText&gt;&lt;MDL Ref_Type="Journal"&gt;&lt;Ref_Type&gt;Journal&lt;/Ref_Type&gt;&lt;Ref_ID&gt;570&lt;/Ref_ID&gt;&lt;Title_Primary&gt;Utility of host markers detected in quantiferon supernatants for the diagnosis of tuberculosis in children in a high-burden setting&lt;/Title_Primary&gt;&lt;Authors_Primary&gt;Chegou,N.N.&lt;/Authors_Primary&gt;&lt;Authors_Primary&gt;Detjen,A.K.&lt;/Authors_Primary&gt;&lt;Authors_Primary&gt;Thiart,L.&lt;/Authors_Primary&gt;&lt;Authors_Primary&gt;Walters,E.&lt;/Authors_Primary&gt;&lt;Authors_Primary&gt;Mandalakas,A.M.&lt;/Authors_Primary&gt;&lt;Authors_Primary&gt;Hesseling,A.C.&lt;/Authors_Primary&gt;&lt;Authors_Primary&gt;Walzl,G.&lt;/Authors_Primary&gt;&lt;Date_Primary&gt;2013&lt;/Date_Primary&gt;&lt;Keywords&gt;Africa&lt;/Keywords&gt;&lt;Keywords&gt;blood&lt;/Keywords&gt;&lt;Keywords&gt;diagnosis&lt;/Keywords&gt;&lt;Keywords&gt;Disease&lt;/Keywords&gt;&lt;Keywords&gt;genetics&lt;/Keywords&gt;&lt;Keywords&gt;Health&lt;/Keywords&gt;&lt;Keywords&gt;Incidence&lt;/Keywords&gt;&lt;Keywords&gt;Infection&lt;/Keywords&gt;&lt;Keywords&gt;Molecular Biology&lt;/Keywords&gt;&lt;Keywords&gt;Mycobacterium&lt;/Keywords&gt;&lt;Keywords&gt;Mycobacterium tuberculosis&lt;/Keywords&gt;&lt;Keywords&gt;Research&lt;/Keywords&gt;&lt;Keywords&gt;South Africa&lt;/Keywords&gt;&lt;Keywords&gt;Tuberculosis&lt;/Keywords&gt;&lt;Reprint&gt;Not in File&lt;/Reprint&gt;&lt;Start_Page&gt;e64226&lt;/Start_Page&gt;&lt;Periodical&gt;PLoS.ONE.&lt;/Periodical&gt;&lt;Volume&gt;8&lt;/Volume&gt;&lt;Issue&gt;5&lt;/Issue&gt;&lt;Address&gt;DST/NRF Centre of Excellence for Biomedical Tuberculosis Research and MRC Centre for Molecular and Cellular Biology, Division of Molecular Biology and Human Genetics, Department of Biomedical Sciences, Faculty of Medicine and Health Sciences, Stellenbosch University, Tygerberg, South Africa&lt;/Address&gt;&lt;Web_URL&gt;PM:23691173&lt;/Web_URL&gt;&lt;ZZ_JournalStdAbbrev&gt;&lt;f name="System"&gt;PLoS.ONE.&lt;/f&gt;&lt;/ZZ_JournalStdAbbrev&gt;&lt;ZZ_WorkformID&gt;1&lt;/ZZ_WorkformID&gt;&lt;/MDL&gt;&lt;/Cite&gt;&lt;Cite&gt;&lt;Author&gt;Frahm&lt;/Author&gt;&lt;Year&gt;2011&lt;/Year&gt;&lt;RecNum&gt;474&lt;/RecNum&gt;&lt;IDText&gt;Discriminating between latent and active tuberculosis with multiple biomarker responses&lt;/IDText&gt;&lt;MDL Ref_Type="Journal"&gt;&lt;Ref_Type&gt;Journal&lt;/Ref_Type&gt;&lt;Ref_ID&gt;474&lt;/Ref_ID&gt;&lt;Title_Primary&gt;Discriminating between latent and active tuberculosis with multiple biomarker responses&lt;/Title_Primary&gt;&lt;Authors_Primary&gt;Frahm,M.&lt;/Authors_Primary&gt;&lt;Authors_Primary&gt;Goswami,N.D.&lt;/Authors_Primary&gt;&lt;Authors_Primary&gt;Owzar,K.&lt;/Authors_Primary&gt;&lt;Authors_Primary&gt;Hecker,E.&lt;/Authors_Primary&gt;&lt;Authors_Primary&gt;Mosher,A.&lt;/Authors_Primary&gt;&lt;Authors_Primary&gt;Cadogan,E.&lt;/Authors_Primary&gt;&lt;Authors_Primary&gt;Nahid,P.&lt;/Authors_Primary&gt;&lt;Authors_Primary&gt;Ferrari,G.&lt;/Authors_Primary&gt;&lt;Authors_Primary&gt;Stout,J.E.&lt;/Authors_Primary&gt;&lt;Date_Primary&gt;2011/5&lt;/Date_Primary&gt;&lt;Keywords&gt;Adolescent&lt;/Keywords&gt;&lt;Keywords&gt;Adult&lt;/Keywords&gt;&lt;Keywords&gt;Aged&lt;/Keywords&gt;&lt;Keywords&gt;Aged,80 and over&lt;/Keywords&gt;&lt;Keywords&gt;Biological Markers&lt;/Keywords&gt;&lt;Keywords&gt;blood&lt;/Keywords&gt;&lt;Keywords&gt;Chemokine CCL2&lt;/Keywords&gt;&lt;Keywords&gt;Child&lt;/Keywords&gt;&lt;Keywords&gt;Child,Preschool&lt;/Keywords&gt;&lt;Keywords&gt;Cohort Studies&lt;/Keywords&gt;&lt;Keywords&gt;diagnosis&lt;/Keywords&gt;&lt;Keywords&gt;Female&lt;/Keywords&gt;&lt;Keywords&gt;genetics&lt;/Keywords&gt;&lt;Keywords&gt;Humans&lt;/Keywords&gt;&lt;Keywords&gt;immunology&lt;/Keywords&gt;&lt;Keywords&gt;Interleukin-15&lt;/Keywords&gt;&lt;Keywords&gt;Latent Tuberculosis&lt;/Keywords&gt;&lt;Keywords&gt;Male&lt;/Keywords&gt;&lt;Keywords&gt;microbiology&lt;/Keywords&gt;&lt;Keywords&gt;Middle Aged&lt;/Keywords&gt;&lt;Keywords&gt;Mycobacterium tuberculosis&lt;/Keywords&gt;&lt;Keywords&gt;Research&lt;/Keywords&gt;&lt;Keywords&gt;Tuberculin Test&lt;/Keywords&gt;&lt;Keywords&gt;Tuberculosis&lt;/Keywords&gt;&lt;Reprint&gt;Not in File&lt;/Reprint&gt;&lt;Start_Page&gt;250&lt;/Start_Page&gt;&lt;End_Page&gt;256&lt;/End_Page&gt;&lt;Periodical&gt;Tuberculosis.(Edinb.)&lt;/Periodical&gt;&lt;Volume&gt;91&lt;/Volume&gt;&lt;Issue&gt;3&lt;/Issue&gt;&lt;Address&gt;Center for AIDS Research, Department of Molecular Genetics and Microbiology, Duke University Medical Center, Durham, NC 27710, USA&lt;/Address&gt;&lt;Web_URL&gt;PM:21393062&lt;/Web_URL&gt;&lt;ZZ_JournalStdAbbrev&gt;&lt;f name="System"&gt;Tuberculosis.(Edinb.)&lt;/f&gt;&lt;/ZZ_JournalStdAbbrev&gt;&lt;ZZ_WorkformID&gt;1&lt;/ZZ_WorkformID&gt;&lt;/MDL&gt;&lt;/Cite&gt;&lt;Cite&gt;&lt;Author&gt;Kellar&lt;/Author&gt;&lt;Year&gt;2011&lt;/Year&gt;&lt;RecNum&gt;473&lt;/RecNum&gt;&lt;IDText&gt;Multiple cytokines are released when blood from patients with tuberculosis is stimulated with Mycobacterium tuberculosis antigens&lt;/IDText&gt;&lt;MDL Ref_Type="Journal"&gt;&lt;Ref_Type&gt;Journal&lt;/Ref_Type&gt;&lt;Ref_ID&gt;473&lt;/Ref_ID&gt;&lt;Title_Primary&gt;Multiple cytokines are released when blood from patients with tuberculosis is stimulated with Mycobacterium tuberculosis antigens&lt;/Title_Primary&gt;&lt;Authors_Primary&gt;Kellar,K.L.&lt;/Authors_Primary&gt;&lt;Authors_Primary&gt;Gehrke,J.&lt;/Authors_Primary&gt;&lt;Authors_Primary&gt;Weis,S.E.&lt;/Authors_Primary&gt;&lt;Authors_Primary&gt;Mahmutovic-Mayhew,A.&lt;/Authors_Primary&gt;&lt;Authors_Primary&gt;Davila,B.&lt;/Authors_Primary&gt;&lt;Authors_Primary&gt;Zajdowicz,M.J.&lt;/Authors_Primary&gt;&lt;Authors_Primary&gt;Scarborough,R.&lt;/Authors_Primary&gt;&lt;Authors_Primary&gt;LoBue,P.A.&lt;/Authors_Primary&gt;&lt;Authors_Primary&gt;Lardizabal,A.A.&lt;/Authors_Primary&gt;&lt;Authors_Primary&gt;Daley,C.L.&lt;/Authors_Primary&gt;&lt;Authors_Primary&gt;Reves,R.R.&lt;/Authors_Primary&gt;&lt;Authors_Primary&gt;Bernardo,J.&lt;/Authors_Primary&gt;&lt;Authors_Primary&gt;Campbell,B.H.&lt;/Authors_Primary&gt;&lt;Authors_Primary&gt;Whitworth,W.C.&lt;/Authors_Primary&gt;&lt;Authors_Primary&gt;Mazurek,G.H.&lt;/Authors_Primary&gt;&lt;Date_Primary&gt;2011&lt;/Date_Primary&gt;&lt;Keywords&gt;blood&lt;/Keywords&gt;&lt;Keywords&gt;Cytokines&lt;/Keywords&gt;&lt;Keywords&gt;Georgia&lt;/Keywords&gt;&lt;Keywords&gt;Immunoassay&lt;/Keywords&gt;&lt;Keywords&gt;Interferon-gamma&lt;/Keywords&gt;&lt;Keywords&gt;methods&lt;/Keywords&gt;&lt;Keywords&gt;Mycobacterium&lt;/Keywords&gt;&lt;Keywords&gt;Mycobacterium tuberculosis&lt;/Keywords&gt;&lt;Keywords&gt;Research&lt;/Keywords&gt;&lt;Keywords&gt;Risk&lt;/Keywords&gt;&lt;Keywords&gt;standards&lt;/Keywords&gt;&lt;Keywords&gt;Tuberculosis&lt;/Keywords&gt;&lt;Keywords&gt;United States&lt;/Keywords&gt;&lt;Reprint&gt;Not in File&lt;/Reprint&gt;&lt;Start_Page&gt;e26545&lt;/Start_Page&gt;&lt;Periodical&gt;PLoS.ONE.&lt;/Periodical&gt;&lt;Volume&gt;6&lt;/Volume&gt;&lt;Issue&gt;11&lt;/Issue&gt;&lt;Address&gt;Division of Scientific Resources, Centers for Disease Control and Prevention, Atlanta, Georgia, United States of America&lt;/Address&gt;&lt;Web_URL&gt;PM:22132075&lt;/Web_URL&gt;&lt;ZZ_JournalStdAbbrev&gt;&lt;f name="System"&gt;PLoS.ONE.&lt;/f&gt;&lt;/ZZ_JournalStdAbbrev&gt;&lt;ZZ_WorkformID&gt;1&lt;/ZZ_WorkformID&gt;&lt;/MDL&gt;&lt;/Cite&gt;&lt;/Refman&gt;</w:instrText>
      </w:r>
      <w:r w:rsidR="00020281" w:rsidRPr="004F38BE">
        <w:fldChar w:fldCharType="separate"/>
      </w:r>
      <w:r w:rsidR="00CB2263" w:rsidRPr="00CB2263">
        <w:rPr>
          <w:vertAlign w:val="superscript"/>
        </w:rPr>
        <w:t>10-14</w:t>
      </w:r>
      <w:r w:rsidR="00020281" w:rsidRPr="004F38BE">
        <w:fldChar w:fldCharType="end"/>
      </w:r>
      <w:r w:rsidR="009F1003" w:rsidRPr="004F38BE">
        <w:t xml:space="preserve">, and antibodies against novel </w:t>
      </w:r>
      <w:r w:rsidR="006816F8" w:rsidRPr="004F38BE">
        <w:rPr>
          <w:i/>
        </w:rPr>
        <w:t>M.tb</w:t>
      </w:r>
      <w:r w:rsidR="009F1003" w:rsidRPr="004F38BE">
        <w:t xml:space="preserve"> antigens</w:t>
      </w:r>
      <w:r w:rsidR="00020281" w:rsidRPr="004F38BE">
        <w:fldChar w:fldCharType="begin"/>
      </w:r>
      <w:r w:rsidR="00CB2263">
        <w:instrText xml:space="preserve"> ADDIN REFMGR.CITE &lt;Refman&gt;&lt;Cite&gt;&lt;Author&gt;Baumann&lt;/Author&gt;&lt;Year&gt;2014&lt;/Year&gt;&lt;RecNum&gt;673&lt;/RecNum&gt;&lt;IDText&gt;Serologic diagnosis of tuberculosis by combining Ig classes against selected mycobacterial targets&lt;/IDText&gt;&lt;MDL Ref_Type="Journal"&gt;&lt;Ref_Type&gt;Journal&lt;/Ref_Type&gt;&lt;Ref_ID&gt;673&lt;/Ref_ID&gt;&lt;Title_Primary&gt;Serologic diagnosis of tuberculosis by combining Ig classes against selected mycobacterial targets&lt;/Title_Primary&gt;&lt;Authors_Primary&gt;Baumann,R.&lt;/Authors_Primary&gt;&lt;Authors_Primary&gt;Kaempfer,S.&lt;/Authors_Primary&gt;&lt;Authors_Primary&gt;Chegou,N.N.&lt;/Authors_Primary&gt;&lt;Authors_Primary&gt;Oehlmann,W.&lt;/Authors_Primary&gt;&lt;Authors_Primary&gt;Loxton,A.G.&lt;/Authors_Primary&gt;&lt;Authors_Primary&gt;Kaufmann,S.H.&lt;/Authors_Primary&gt;&lt;Authors_Primary&gt;van Helden,P.D.&lt;/Authors_Primary&gt;&lt;Authors_Primary&gt;Black,G.F.&lt;/Authors_Primary&gt;&lt;Authors_Primary&gt;Singh,M.&lt;/Authors_Primary&gt;&lt;Authors_Primary&gt;Walzl,G.&lt;/Authors_Primary&gt;&lt;Date_Primary&gt;2014/12&lt;/Date_Primary&gt;&lt;Keywords&gt;Africa&lt;/Keywords&gt;&lt;Keywords&gt;analysis&lt;/Keywords&gt;&lt;Keywords&gt;Antibodies&lt;/Keywords&gt;&lt;Keywords&gt;Antigens&lt;/Keywords&gt;&lt;Keywords&gt;diagnosis&lt;/Keywords&gt;&lt;Keywords&gt;genetics&lt;/Keywords&gt;&lt;Keywords&gt;Germany&lt;/Keywords&gt;&lt;Keywords&gt;Health&lt;/Keywords&gt;&lt;Keywords&gt;immunology&lt;/Keywords&gt;&lt;Keywords&gt;Infection&lt;/Keywords&gt;&lt;Keywords&gt;methods&lt;/Keywords&gt;&lt;Keywords&gt;Molecular Biology&lt;/Keywords&gt;&lt;Keywords&gt;Mycobacterium&lt;/Keywords&gt;&lt;Keywords&gt;Mycobacterium tuberculosis&lt;/Keywords&gt;&lt;Keywords&gt;Research&lt;/Keywords&gt;&lt;Keywords&gt;Sensitivity and Specificity&lt;/Keywords&gt;&lt;Keywords&gt;South Africa&lt;/Keywords&gt;&lt;Keywords&gt;Tuberculosis&lt;/Keywords&gt;&lt;Reprint&gt;Not in File&lt;/Reprint&gt;&lt;Start_Page&gt;581&lt;/Start_Page&gt;&lt;End_Page&gt;589&lt;/End_Page&gt;&lt;Periodical&gt;J Infect.&lt;/Periodical&gt;&lt;Volume&gt;69&lt;/Volume&gt;&lt;Issue&gt;6&lt;/Issue&gt;&lt;Misc_3&gt;S0163-4453(14)00165-0 [pii];10.1016/j.jinf.2014.05.014 [doi]&lt;/Misc_3&gt;&lt;Address&gt;DST/NRF Centre of Excellence for Biomedical TB Research and MRC Centre for TB Research, Division of Molecular Biology and Human Genetics, Department of Biomedical Sciences, Faculty of Medicine and Health Sciences, Stellenbosch University, P.O. Box 19063, Tygerberg 7505, South Africa; Lionex Diagnostics and Therapeutics, 38126 Braunschweig, Germany&amp;#xA;Lionex Diagnostics and Therapeutics, 38126 Braunschweig, Germany&amp;#xA;DST/NRF Centre of Excellence for Biomedical TB Research and MRC Centre for TB Research, Division of Molecular Biology and Human Genetics, Department of Biomedical Sciences, Faculty of Medicine and Health Sciences, Stellenbosch University, P.O. Box 19063, Tygerberg 7505, South Africa&amp;#xA;Lionex Diagnostics and Therapeutics, 38126 Braunschweig, Germany&amp;#xA;DST/NRF Centre of Excellence for Biomedical TB Research and MRC Centre for TB Research, Division of Molecular Biology and Human Genetics, Department of Biomedical Sciences, Faculty of Medicine and Health Sciences, Stellenbosch University, P.O. Box 19063, Tygerberg 7505, South Africa&amp;#xA;Department of Immunology, Max Planck Institute for Infection Biology, Chariteplatz 1, 10117 Berlin, Germany&amp;#xA;DST/NRF Centre of Excellence for Biomedical TB Research and MRC Centre for TB Research, Division of Molecular Biology and Human Genetics, Department of Biomedical Sciences, Faculty of Medicine and Health Sciences, Stellenbosch University, P.O. Box 19063, Tygerberg 7505, South Africa&amp;#xA;DST/NRF Centre of Excellence for Biomedical TB Research and MRC Centre for TB Research, Division of Molecular Biology and Human Genetics, Department of Biomedical Sciences, Faculty of Medicine and Health Sciences, Stellenbosch University, P.O. Box 19063, Tygerberg 7505, South Africa&amp;#xA;Lionex Diagnostics and Therapeutics, 38126 Braunschweig, Germany. Electronic address: info@lionex.de&amp;#xA;DST/NRF Centre of Excellence for Biomedical TB Research and MRC Centre for TB Research, Division of Molecular Biology and Human Genetics, Department of Biomedical Sciences, Faculty of Medicine and Health Sciences, Stellenbosch University, P.O. Box 19063, Tygerberg 7505, South Africa&lt;/Address&gt;&lt;Web_URL&gt;PM:24968240&lt;/Web_URL&gt;&lt;ZZ_JournalStdAbbrev&gt;&lt;f name="System"&gt;J Infect.&lt;/f&gt;&lt;/ZZ_JournalStdAbbrev&gt;&lt;ZZ_WorkformID&gt;1&lt;/ZZ_WorkformID&gt;&lt;/MDL&gt;&lt;/Cite&gt;&lt;Cite&gt;&lt;Author&gt;Baumann&lt;/Author&gt;&lt;Year&gt;2015&lt;/Year&gt;&lt;RecNum&gt;674&lt;/RecNum&gt;&lt;IDText&gt;A Subgroup of Latently Mycobacterium tuberculosis Infected Individuals Is Characterized by Consistently Elevated IgA Responses to Several Mycobacterial Antigens&lt;/IDText&gt;&lt;MDL Ref_Type="Journal (Full)"&gt;&lt;Ref_Type&gt;Journal (Full)&lt;/Ref_Type&gt;&lt;Ref_ID&gt;674&lt;/Ref_ID&gt;&lt;Title_Primary&gt;A Subgroup of Latently Mycobacterium tuberculosis Infected Individuals Is Characterized by Consistently Elevated IgA Responses to Several Mycobacterial Antigens&lt;/Title_Primary&gt;&lt;Authors_Primary&gt;Baumann,R.&lt;/Authors_Primary&gt;&lt;Authors_Primary&gt;Kaempfer,S.&lt;/Authors_Primary&gt;&lt;Authors_Primary&gt;Chegou,N.N.&lt;/Authors_Primary&gt;&lt;Authors_Primary&gt;Oehlmann,W.&lt;/Authors_Primary&gt;&lt;Authors_Primary&gt;Spallek,R.&lt;/Authors_Primary&gt;&lt;Authors_Primary&gt;Loxton,A.G.&lt;/Authors_Primary&gt;&lt;Authors_Primary&gt;van Helden,P.D.&lt;/Authors_Primary&gt;&lt;Authors_Primary&gt;Black,G.F.&lt;/Authors_Primary&gt;&lt;Authors_Primary&gt;Singh,M.&lt;/Authors_Primary&gt;&lt;Authors_Primary&gt;Walzl,G.&lt;/Authors_Primary&gt;&lt;Date_Primary&gt;2015&lt;/Date_Primary&gt;&lt;Keywords&gt;Antigens&lt;/Keywords&gt;&lt;Keywords&gt;Mycobacterium&lt;/Keywords&gt;&lt;Keywords&gt;Mycobacterium tuberculosis&lt;/Keywords&gt;&lt;Keywords&gt;Tuberculosis&lt;/Keywords&gt;&lt;Reprint&gt;Not in File&lt;/Reprint&gt;&lt;Periodical&gt;Mediators of Inflammation&lt;/Periodical&gt;&lt;Volume&gt;2015&lt;/Volume&gt;&lt;Misc_2&gt;Article ID 364758&lt;/Misc_2&gt;&lt;Misc_3&gt;10.1155/2015/364758&lt;/Misc_3&gt;&lt;Web_URL&gt;&lt;u&gt;http://www.hindawi.com/journals/mi/aa/364758/cta/&lt;/u&gt;&lt;/Web_URL&gt;&lt;Web_URL_Link1&gt;&lt;u&gt;http://www.hindawi.com/journals/mi/aa/364758/cta/&lt;/u&gt;&lt;/Web_URL_Link1&gt;&lt;Web_URL_Link2&gt;&lt;u&gt;http://www.hindawi.com/journals/mi/aa/364758/cta/&lt;/u&gt;&lt;/Web_URL_Link2&gt;&lt;ZZ_JournalFull&gt;&lt;f name="System"&gt;Mediators of Inflammation&lt;/f&gt;&lt;/ZZ_JournalFull&gt;&lt;ZZ_WorkformID&gt;32&lt;/ZZ_WorkformID&gt;&lt;/MDL&gt;&lt;/Cite&gt;&lt;/Refman&gt;</w:instrText>
      </w:r>
      <w:r w:rsidR="00020281" w:rsidRPr="004F38BE">
        <w:fldChar w:fldCharType="separate"/>
      </w:r>
      <w:r w:rsidR="00CB2263" w:rsidRPr="00CB2263">
        <w:rPr>
          <w:vertAlign w:val="superscript"/>
        </w:rPr>
        <w:t>15;16</w:t>
      </w:r>
      <w:r w:rsidR="00020281" w:rsidRPr="004F38BE">
        <w:fldChar w:fldCharType="end"/>
      </w:r>
      <w:r w:rsidR="00DF687E" w:rsidRPr="004F38BE">
        <w:t>.</w:t>
      </w:r>
    </w:p>
    <w:p w14:paraId="4D3EE789" w14:textId="77777777" w:rsidR="009D02C3" w:rsidRPr="004F38BE" w:rsidRDefault="009D02C3" w:rsidP="0033455D">
      <w:pPr>
        <w:spacing w:line="360" w:lineRule="auto"/>
        <w:jc w:val="both"/>
      </w:pPr>
    </w:p>
    <w:p w14:paraId="01455335" w14:textId="1E94E6EB" w:rsidR="00DF687E" w:rsidRPr="004F38BE" w:rsidRDefault="00DF687E" w:rsidP="0033455D">
      <w:pPr>
        <w:spacing w:line="360" w:lineRule="auto"/>
        <w:jc w:val="both"/>
      </w:pPr>
      <w:r w:rsidRPr="004F38BE">
        <w:t>Although some T-cell-based approaches</w:t>
      </w:r>
      <w:r w:rsidR="00020281" w:rsidRPr="004F38BE">
        <w:fldChar w:fldCharType="begin"/>
      </w:r>
      <w:r w:rsidR="00CB2263">
        <w:instrText xml:space="preserve"> ADDIN REFMGR.CITE &lt;Refman&gt;&lt;Cite&gt;&lt;Author&gt;Chegou&lt;/Author&gt;&lt;Year&gt;2014&lt;/Year&gt;&lt;RecNum&gt;689&lt;/RecNum&gt;&lt;IDText&gt;Beyond the IFN-gamma horizon: biomarkers for immunodiagnosis of infection with Mycobacterium tuberculosis&lt;/IDText&gt;&lt;MDL Ref_Type="Journal"&gt;&lt;Ref_Type&gt;Journal&lt;/Ref_Type&gt;&lt;Ref_ID&gt;689&lt;/Ref_ID&gt;&lt;Title_Primary&gt;Beyond the IFN-gamma horizon: biomarkers for immunodiagnosis of infection with Mycobacterium tuberculosis&lt;/Title_Primary&gt;&lt;Authors_Primary&gt;Chegou,N.N.&lt;/Authors_Primary&gt;&lt;Authors_Primary&gt;Heyckendorf,J.&lt;/Authors_Primary&gt;&lt;Authors_Primary&gt;Walzl,G.&lt;/Authors_Primary&gt;&lt;Authors_Primary&gt;Lange,C.&lt;/Authors_Primary&gt;&lt;Authors_Primary&gt;Ruhwald,M.&lt;/Authors_Primary&gt;&lt;Date_Primary&gt;2014/5&lt;/Date_Primary&gt;&lt;Keywords&gt;Africa&lt;/Keywords&gt;&lt;Keywords&gt;analysis&lt;/Keywords&gt;&lt;Keywords&gt;Biological Markers&lt;/Keywords&gt;&lt;Keywords&gt;Chemokine CCL2&lt;/Keywords&gt;&lt;Keywords&gt;Chemokine CCL4&lt;/Keywords&gt;&lt;Keywords&gt;Chemokine CCL8&lt;/Keywords&gt;&lt;Keywords&gt;Chemokine CXCL10&lt;/Keywords&gt;&lt;Keywords&gt;Chemokine CXCL9&lt;/Keywords&gt;&lt;Keywords&gt;diagnosis&lt;/Keywords&gt;&lt;Keywords&gt;genetics&lt;/Keywords&gt;&lt;Keywords&gt;Health&lt;/Keywords&gt;&lt;Keywords&gt;Humans&lt;/Keywords&gt;&lt;Keywords&gt;Immunity&lt;/Keywords&gt;&lt;Keywords&gt;Immunologic Tests&lt;/Keywords&gt;&lt;Keywords&gt;immunology&lt;/Keywords&gt;&lt;Keywords&gt;Infection&lt;/Keywords&gt;&lt;Keywords&gt;Interferon-gamma&lt;/Keywords&gt;&lt;Keywords&gt;Interleukin 1 Receptor Antagonist Protein&lt;/Keywords&gt;&lt;Keywords&gt;Interleukin-1&lt;/Keywords&gt;&lt;Keywords&gt;Interleukin-2&lt;/Keywords&gt;&lt;Keywords&gt;metabolism&lt;/Keywords&gt;&lt;Keywords&gt;methods&lt;/Keywords&gt;&lt;Keywords&gt;Molecular Biology&lt;/Keywords&gt;&lt;Keywords&gt;Mycobacterium&lt;/Keywords&gt;&lt;Keywords&gt;Mycobacterium tuberculosis&lt;/Keywords&gt;&lt;Keywords&gt;Risk&lt;/Keywords&gt;&lt;Keywords&gt;South Africa&lt;/Keywords&gt;&lt;Keywords&gt;Tuberculin Test&lt;/Keywords&gt;&lt;Keywords&gt;Tuberculosis&lt;/Keywords&gt;&lt;Reprint&gt;Not in File&lt;/Reprint&gt;&lt;Start_Page&gt;1472&lt;/Start_Page&gt;&lt;End_Page&gt;1486&lt;/End_Page&gt;&lt;Periodical&gt;Eur Respir J&lt;/Periodical&gt;&lt;Volume&gt;43&lt;/Volume&gt;&lt;Issue&gt;5&lt;/Issue&gt;&lt;Misc_3&gt;09031936.00151413 [pii];10.1183/09031936.00151413 [doi]&lt;/Misc_3&gt;&lt;Address&gt;Division of Molecular Biology and Human Genetics, Dept of Biomedical Sciences, Faculty of Medicine and Health Sciences, Stellenbosch University, Tygerberg, South Africa&lt;/Address&gt;&lt;Web_URL&gt;PM:24311770&lt;/Web_URL&gt;&lt;ZZ_JournalFull&gt;&lt;f name="System"&gt;Eur Respir J&lt;/f&gt;&lt;/ZZ_JournalFull&gt;&lt;ZZ_WorkformID&gt;1&lt;/ZZ_WorkformID&gt;&lt;/MDL&gt;&lt;/Cite&gt;&lt;/Refman&gt;</w:instrText>
      </w:r>
      <w:r w:rsidR="00020281" w:rsidRPr="004F38BE">
        <w:fldChar w:fldCharType="separate"/>
      </w:r>
      <w:r w:rsidR="00CB2263" w:rsidRPr="00CB2263">
        <w:rPr>
          <w:vertAlign w:val="superscript"/>
        </w:rPr>
        <w:t>17</w:t>
      </w:r>
      <w:r w:rsidR="00020281" w:rsidRPr="004F38BE">
        <w:fldChar w:fldCharType="end"/>
      </w:r>
      <w:r w:rsidRPr="004F38BE">
        <w:t xml:space="preserve"> are promising for the diagnosis of active TB, overnight culture-based assays are not optimal as point-of-care tests. The importance of diagnosis of individuals with TB disease at the first patient contact and real-time notification to TB </w:t>
      </w:r>
      <w:r w:rsidR="003812D5" w:rsidRPr="004F38BE">
        <w:t>programs</w:t>
      </w:r>
      <w:r w:rsidRPr="004F38BE">
        <w:t xml:space="preserve"> cannot be overemphasized, as delays in these steps lead to delays in the initiation of treatment and substantial loss to follow-up</w:t>
      </w:r>
      <w:r w:rsidR="00020281" w:rsidRPr="004F38BE">
        <w:fldChar w:fldCharType="begin"/>
      </w:r>
      <w:r w:rsidR="00CB2263">
        <w:instrText xml:space="preserve"> ADDIN REFMGR.CITE &lt;Refman&gt;&lt;Cite&gt;&lt;Author&gt;Claassens&lt;/Author&gt;&lt;Year&gt;2013&lt;/Year&gt;&lt;RecNum&gt;692&lt;/RecNum&gt;&lt;IDText&gt;Tuberculosis patients in primary care do not start treatment. What role do health system delays play?&lt;/IDText&gt;&lt;MDL Ref_Type="Journal"&gt;&lt;Ref_Type&gt;Journal&lt;/Ref_Type&gt;&lt;Ref_ID&gt;692&lt;/Ref_ID&gt;&lt;Title_Primary&gt;Tuberculosis patients in primary care do not start treatment. What role do health system delays play?&lt;/Title_Primary&gt;&lt;Authors_Primary&gt;Claassens,M.M.&lt;/Authors_Primary&gt;&lt;Authors_Primary&gt;du,Toit E.&lt;/Authors_Primary&gt;&lt;Authors_Primary&gt;Dunbar,R.&lt;/Authors_Primary&gt;&lt;Authors_Primary&gt;Lombard,C.&lt;/Authors_Primary&gt;&lt;Authors_Primary&gt;Enarson,D.A.&lt;/Authors_Primary&gt;&lt;Authors_Primary&gt;Beyers,N.&lt;/Authors_Primary&gt;&lt;Authors_Primary&gt;Borgdorff,M.W.&lt;/Authors_Primary&gt;&lt;Date_Primary&gt;2013/5&lt;/Date_Primary&gt;&lt;Keywords&gt;Africa&lt;/Keywords&gt;&lt;Keywords&gt;Antitubercular Agents&lt;/Keywords&gt;&lt;Keywords&gt;Bacteriological Techniques&lt;/Keywords&gt;&lt;Keywords&gt;Child&lt;/Keywords&gt;&lt;Keywords&gt;diagnosis&lt;/Keywords&gt;&lt;Keywords&gt;drug therapy&lt;/Keywords&gt;&lt;Keywords&gt;Health&lt;/Keywords&gt;&lt;Keywords&gt;Humans&lt;/Keywords&gt;&lt;Keywords&gt;isolation &amp;amp; purification&lt;/Keywords&gt;&lt;Keywords&gt;microbiology&lt;/Keywords&gt;&lt;Keywords&gt;Multivariate Analysis&lt;/Keywords&gt;&lt;Keywords&gt;Mycobacterium tuberculosis&lt;/Keywords&gt;&lt;Keywords&gt;Odds Ratio&lt;/Keywords&gt;&lt;Keywords&gt;Predictive Value of Tests&lt;/Keywords&gt;&lt;Keywords&gt;Primary Health Care&lt;/Keywords&gt;&lt;Keywords&gt;Registries&lt;/Keywords&gt;&lt;Keywords&gt;Research&lt;/Keywords&gt;&lt;Keywords&gt;Risk Factors&lt;/Keywords&gt;&lt;Keywords&gt;South Africa&lt;/Keywords&gt;&lt;Keywords&gt;Sputum&lt;/Keywords&gt;&lt;Keywords&gt;therapeutic use&lt;/Keywords&gt;&lt;Keywords&gt;Time Factors&lt;/Keywords&gt;&lt;Keywords&gt;Time-to-Treatment&lt;/Keywords&gt;&lt;Keywords&gt;transmission&lt;/Keywords&gt;&lt;Keywords&gt;Treatment Outcome&lt;/Keywords&gt;&lt;Keywords&gt;Tuberculosis&lt;/Keywords&gt;&lt;Keywords&gt;Tuberculosis,Pulmonary&lt;/Keywords&gt;&lt;Reprint&gt;Not in File&lt;/Reprint&gt;&lt;Start_Page&gt;603&lt;/Start_Page&gt;&lt;End_Page&gt;607&lt;/End_Page&gt;&lt;Periodical&gt;Int J Tuberc.Lung Dis&lt;/Periodical&gt;&lt;Volume&gt;17&lt;/Volume&gt;&lt;Issue&gt;5&lt;/Issue&gt;&lt;Misc_3&gt;10.5588/ijtld.12.0505 [doi]&lt;/Misc_3&gt;&lt;Address&gt;Desmond Tutu TB Centre, Department of Paediatrics and Child Health, Stellenbosch University, Cape Town, South Africa. mcla@sun.ac.za&lt;/Address&gt;&lt;Web_URL&gt;PM:23575324&lt;/Web_URL&gt;&lt;ZZ_JournalStdAbbrev&gt;&lt;f name="System"&gt;Int J Tuberc.Lung Dis&lt;/f&gt;&lt;/ZZ_JournalStdAbbrev&gt;&lt;ZZ_WorkformID&gt;1&lt;/ZZ_WorkformID&gt;&lt;/MDL&gt;&lt;/Cite&gt;&lt;/Refman&gt;</w:instrText>
      </w:r>
      <w:r w:rsidR="00020281" w:rsidRPr="004F38BE">
        <w:fldChar w:fldCharType="separate"/>
      </w:r>
      <w:r w:rsidR="00CB2263" w:rsidRPr="00CB2263">
        <w:rPr>
          <w:vertAlign w:val="superscript"/>
        </w:rPr>
        <w:t>18</w:t>
      </w:r>
      <w:r w:rsidR="00020281" w:rsidRPr="004F38BE">
        <w:fldChar w:fldCharType="end"/>
      </w:r>
      <w:r w:rsidRPr="004F38BE">
        <w:t xml:space="preserve">. Therefore, diagnostic tests that can be easily performed at points-of-care by healthcare providers, without the need for </w:t>
      </w:r>
      <w:r w:rsidRPr="004F38BE">
        <w:lastRenderedPageBreak/>
        <w:t xml:space="preserve">sophisticated laboratory equipment will contribute significantly to the management of TB disease. </w:t>
      </w:r>
    </w:p>
    <w:p w14:paraId="5B95C2F6" w14:textId="77777777" w:rsidR="00DF687E" w:rsidRPr="004F38BE" w:rsidRDefault="00DF687E" w:rsidP="0033455D">
      <w:pPr>
        <w:spacing w:line="360" w:lineRule="auto"/>
        <w:jc w:val="both"/>
      </w:pPr>
    </w:p>
    <w:p w14:paraId="1B6545BE" w14:textId="22FBD633" w:rsidR="00DF687E" w:rsidRPr="004F38BE" w:rsidRDefault="00DF687E" w:rsidP="0033455D">
      <w:pPr>
        <w:spacing w:line="360" w:lineRule="auto"/>
        <w:jc w:val="both"/>
      </w:pPr>
      <w:r w:rsidRPr="004F38BE">
        <w:t>We conducted a study investigating the potential of protein serum host markers to identify pulmonary TB in primary health care clinic attendees from five African countries.</w:t>
      </w:r>
      <w:r w:rsidR="00471924">
        <w:t xml:space="preserve"> Our aim was to further investigate the diagnostic potential of biosignatures identified in </w:t>
      </w:r>
      <w:r w:rsidR="00821302">
        <w:t xml:space="preserve">our own </w:t>
      </w:r>
      <w:r w:rsidR="00471924">
        <w:t>unpublished pilot studies</w:t>
      </w:r>
      <w:r w:rsidR="00471924" w:rsidRPr="00471924">
        <w:t xml:space="preserve"> </w:t>
      </w:r>
      <w:r w:rsidR="00BE2329">
        <w:t>in a relatively large cohort of study participants, from different regions of the African continent</w:t>
      </w:r>
      <w:r w:rsidR="0038426F">
        <w:t>, as such biosignatures might be useful as point-of-care tests for TB</w:t>
      </w:r>
      <w:r w:rsidR="00562C02">
        <w:t xml:space="preserve"> disease</w:t>
      </w:r>
      <w:r w:rsidR="00BE2329">
        <w:t xml:space="preserve">. </w:t>
      </w:r>
      <w:r w:rsidRPr="004F38BE">
        <w:t xml:space="preserve"> </w:t>
      </w:r>
    </w:p>
    <w:p w14:paraId="173137F5" w14:textId="77777777" w:rsidR="00976FC4" w:rsidRPr="004F38BE" w:rsidRDefault="00976FC4" w:rsidP="0033455D">
      <w:pPr>
        <w:spacing w:line="360" w:lineRule="auto"/>
        <w:jc w:val="both"/>
      </w:pPr>
    </w:p>
    <w:p w14:paraId="563C72BE" w14:textId="31E7358F" w:rsidR="00B84BDA" w:rsidRPr="004F38BE" w:rsidRDefault="00B84BDA" w:rsidP="0033455D">
      <w:pPr>
        <w:spacing w:line="360" w:lineRule="auto"/>
        <w:jc w:val="both"/>
        <w:rPr>
          <w:b/>
        </w:rPr>
      </w:pPr>
      <w:r w:rsidRPr="004F38BE">
        <w:rPr>
          <w:b/>
        </w:rPr>
        <w:t>M</w:t>
      </w:r>
      <w:r w:rsidR="004D7872" w:rsidRPr="004F38BE">
        <w:rPr>
          <w:b/>
        </w:rPr>
        <w:t>ETHODS</w:t>
      </w:r>
      <w:r w:rsidR="0022736C" w:rsidRPr="004F38BE">
        <w:rPr>
          <w:b/>
        </w:rPr>
        <w:t xml:space="preserve"> </w:t>
      </w:r>
    </w:p>
    <w:p w14:paraId="680ABA76" w14:textId="77777777" w:rsidR="002F7CA2" w:rsidRPr="008A4BC6" w:rsidRDefault="002F7CA2" w:rsidP="0033455D">
      <w:pPr>
        <w:pStyle w:val="Heading2"/>
        <w:spacing w:before="0" w:line="360" w:lineRule="auto"/>
        <w:jc w:val="both"/>
        <w:rPr>
          <w:rFonts w:ascii="Times New Roman" w:hAnsi="Times New Roman"/>
          <w:color w:val="00000A"/>
          <w:sz w:val="24"/>
          <w:szCs w:val="24"/>
        </w:rPr>
      </w:pPr>
      <w:r w:rsidRPr="008A4BC6">
        <w:rPr>
          <w:rFonts w:ascii="Times New Roman" w:hAnsi="Times New Roman"/>
          <w:color w:val="00000A"/>
          <w:sz w:val="24"/>
          <w:szCs w:val="24"/>
        </w:rPr>
        <w:t>Study participants</w:t>
      </w:r>
    </w:p>
    <w:p w14:paraId="7EA04018" w14:textId="01845D47" w:rsidR="00F74937" w:rsidRPr="004F38BE" w:rsidRDefault="00F75166" w:rsidP="0033455D">
      <w:pPr>
        <w:pStyle w:val="DefaultStyle"/>
        <w:spacing w:line="360" w:lineRule="auto"/>
        <w:jc w:val="both"/>
        <w:rPr>
          <w:rFonts w:ascii="Times New Roman" w:hAnsi="Times New Roman" w:cs="Times New Roman"/>
        </w:rPr>
      </w:pPr>
      <w:r w:rsidRPr="004F38BE">
        <w:rPr>
          <w:rFonts w:ascii="Times New Roman" w:hAnsi="Times New Roman" w:cs="Times New Roman"/>
          <w:color w:val="00000A"/>
        </w:rPr>
        <w:t xml:space="preserve">We prospectively recruited </w:t>
      </w:r>
      <w:r w:rsidR="00D274BE" w:rsidRPr="004F38BE">
        <w:rPr>
          <w:rFonts w:ascii="Times New Roman" w:hAnsi="Times New Roman" w:cs="Times New Roman"/>
          <w:color w:val="00000A"/>
        </w:rPr>
        <w:t>adults</w:t>
      </w:r>
      <w:r w:rsidR="002F7CA2" w:rsidRPr="004F38BE">
        <w:rPr>
          <w:rFonts w:ascii="Times New Roman" w:hAnsi="Times New Roman" w:cs="Times New Roman"/>
          <w:color w:val="00000A"/>
        </w:rPr>
        <w:t xml:space="preserve"> </w:t>
      </w:r>
      <w:r w:rsidR="00C35D01" w:rsidRPr="004F38BE">
        <w:rPr>
          <w:rFonts w:ascii="Times New Roman" w:hAnsi="Times New Roman" w:cs="Times New Roman"/>
          <w:color w:val="00000A"/>
        </w:rPr>
        <w:t xml:space="preserve">who </w:t>
      </w:r>
      <w:r w:rsidRPr="004F38BE">
        <w:rPr>
          <w:rFonts w:ascii="Times New Roman" w:hAnsi="Times New Roman" w:cs="Times New Roman"/>
          <w:color w:val="00000A"/>
        </w:rPr>
        <w:t>presented with symptoms requiring investigation for pulmonary TB disease at</w:t>
      </w:r>
      <w:r w:rsidR="00FF12F4" w:rsidRPr="004F38BE">
        <w:rPr>
          <w:rFonts w:ascii="Times New Roman" w:hAnsi="Times New Roman" w:cs="Times New Roman"/>
        </w:rPr>
        <w:t xml:space="preserve"> primary health care clinics</w:t>
      </w:r>
      <w:r w:rsidRPr="004F38BE">
        <w:rPr>
          <w:rFonts w:ascii="Times New Roman" w:hAnsi="Times New Roman" w:cs="Times New Roman"/>
          <w:color w:val="00000A"/>
        </w:rPr>
        <w:t xml:space="preserve"> at </w:t>
      </w:r>
      <w:r w:rsidR="00005CF2" w:rsidRPr="004F38BE">
        <w:rPr>
          <w:rFonts w:ascii="Times New Roman" w:hAnsi="Times New Roman" w:cs="Times New Roman"/>
          <w:color w:val="00000A"/>
        </w:rPr>
        <w:t>five</w:t>
      </w:r>
      <w:r w:rsidR="002F7CA2" w:rsidRPr="004F38BE">
        <w:rPr>
          <w:rFonts w:ascii="Times New Roman" w:hAnsi="Times New Roman" w:cs="Times New Roman"/>
          <w:color w:val="00000A"/>
        </w:rPr>
        <w:t xml:space="preserve"> field sites </w:t>
      </w:r>
      <w:r w:rsidRPr="004F38BE">
        <w:rPr>
          <w:rFonts w:ascii="Times New Roman" w:hAnsi="Times New Roman" w:cs="Times New Roman"/>
          <w:color w:val="00000A"/>
        </w:rPr>
        <w:t xml:space="preserve">in </w:t>
      </w:r>
      <w:r w:rsidR="00005CF2" w:rsidRPr="004F38BE">
        <w:rPr>
          <w:rFonts w:ascii="Times New Roman" w:hAnsi="Times New Roman" w:cs="Times New Roman"/>
          <w:color w:val="00000A"/>
        </w:rPr>
        <w:t>five</w:t>
      </w:r>
      <w:r w:rsidRPr="004F38BE">
        <w:rPr>
          <w:rFonts w:ascii="Times New Roman" w:hAnsi="Times New Roman" w:cs="Times New Roman"/>
          <w:color w:val="00000A"/>
        </w:rPr>
        <w:t xml:space="preserve"> African countries</w:t>
      </w:r>
      <w:r w:rsidR="00BD723F" w:rsidRPr="004F38BE">
        <w:rPr>
          <w:rFonts w:ascii="Times New Roman" w:hAnsi="Times New Roman" w:cs="Times New Roman"/>
          <w:color w:val="00000A"/>
        </w:rPr>
        <w:t>. The clinics served as field study sites for researchers at</w:t>
      </w:r>
      <w:r w:rsidRPr="004F38BE">
        <w:rPr>
          <w:rFonts w:ascii="Times New Roman" w:hAnsi="Times New Roman" w:cs="Times New Roman"/>
          <w:color w:val="00000A"/>
        </w:rPr>
        <w:t xml:space="preserve"> Stellenbosch University (SUN), South Africa</w:t>
      </w:r>
      <w:r w:rsidR="00AA6FA7" w:rsidRPr="004F38BE">
        <w:rPr>
          <w:rFonts w:ascii="Times New Roman" w:hAnsi="Times New Roman" w:cs="Times New Roman"/>
          <w:color w:val="00000A"/>
        </w:rPr>
        <w:t xml:space="preserve">; </w:t>
      </w:r>
      <w:proofErr w:type="spellStart"/>
      <w:r w:rsidRPr="004F38BE">
        <w:rPr>
          <w:rFonts w:ascii="Times New Roman" w:hAnsi="Times New Roman" w:cs="Times New Roman"/>
          <w:color w:val="00000A"/>
        </w:rPr>
        <w:t>Makerere</w:t>
      </w:r>
      <w:proofErr w:type="spellEnd"/>
      <w:r w:rsidRPr="004F38BE">
        <w:rPr>
          <w:rFonts w:ascii="Times New Roman" w:hAnsi="Times New Roman" w:cs="Times New Roman"/>
          <w:color w:val="00000A"/>
        </w:rPr>
        <w:t xml:space="preserve"> University (UCRC), </w:t>
      </w:r>
      <w:r w:rsidR="002F7CA2" w:rsidRPr="004F38BE">
        <w:rPr>
          <w:rFonts w:ascii="Times New Roman" w:hAnsi="Times New Roman" w:cs="Times New Roman"/>
          <w:color w:val="00000A"/>
        </w:rPr>
        <w:t>Uganda</w:t>
      </w:r>
      <w:r w:rsidR="009D5E31" w:rsidRPr="004F38BE">
        <w:rPr>
          <w:rFonts w:ascii="Times New Roman" w:hAnsi="Times New Roman" w:cs="Times New Roman"/>
          <w:color w:val="00000A"/>
        </w:rPr>
        <w:t xml:space="preserve">; </w:t>
      </w:r>
      <w:r w:rsidRPr="004F38BE">
        <w:rPr>
          <w:rFonts w:ascii="Times New Roman" w:hAnsi="Times New Roman" w:cs="Times New Roman"/>
          <w:color w:val="00000A"/>
        </w:rPr>
        <w:t xml:space="preserve">Medical Research Council Unit (MRC), </w:t>
      </w:r>
      <w:r w:rsidR="002F7CA2" w:rsidRPr="004F38BE">
        <w:rPr>
          <w:rFonts w:ascii="Times New Roman" w:hAnsi="Times New Roman" w:cs="Times New Roman"/>
          <w:color w:val="00000A"/>
        </w:rPr>
        <w:t>The Gambia</w:t>
      </w:r>
      <w:r w:rsidR="009D5E31" w:rsidRPr="004F38BE">
        <w:rPr>
          <w:rFonts w:ascii="Times New Roman" w:hAnsi="Times New Roman" w:cs="Times New Roman"/>
          <w:color w:val="00000A"/>
        </w:rPr>
        <w:t xml:space="preserve">; </w:t>
      </w:r>
      <w:proofErr w:type="spellStart"/>
      <w:r w:rsidRPr="004F38BE">
        <w:rPr>
          <w:rFonts w:ascii="Times New Roman" w:hAnsi="Times New Roman" w:cs="Times New Roman"/>
          <w:color w:val="00000A"/>
        </w:rPr>
        <w:t>Karonga</w:t>
      </w:r>
      <w:proofErr w:type="spellEnd"/>
      <w:r w:rsidRPr="004F38BE">
        <w:rPr>
          <w:rFonts w:ascii="Times New Roman" w:hAnsi="Times New Roman" w:cs="Times New Roman"/>
          <w:color w:val="00000A"/>
        </w:rPr>
        <w:t xml:space="preserve"> Prevention Study (KPS), Malawi</w:t>
      </w:r>
      <w:r w:rsidR="009D5E31" w:rsidRPr="004F38BE">
        <w:rPr>
          <w:rFonts w:ascii="Times New Roman" w:hAnsi="Times New Roman" w:cs="Times New Roman"/>
          <w:color w:val="00000A"/>
        </w:rPr>
        <w:t xml:space="preserve">; </w:t>
      </w:r>
      <w:r w:rsidRPr="004F38BE">
        <w:rPr>
          <w:rFonts w:ascii="Times New Roman" w:hAnsi="Times New Roman" w:cs="Times New Roman"/>
          <w:color w:val="00000A"/>
        </w:rPr>
        <w:t>an</w:t>
      </w:r>
      <w:r w:rsidR="006816F8" w:rsidRPr="004F38BE">
        <w:rPr>
          <w:rFonts w:ascii="Times New Roman" w:hAnsi="Times New Roman" w:cs="Times New Roman"/>
          <w:color w:val="00000A"/>
        </w:rPr>
        <w:t xml:space="preserve">d the University of Namibia (UNAM), Namibia, as part of the African European Tuberculosis Consortium (AE-TBC) for TB </w:t>
      </w:r>
      <w:r w:rsidR="00493161" w:rsidRPr="004F38BE">
        <w:rPr>
          <w:rFonts w:ascii="Times New Roman" w:hAnsi="Times New Roman" w:cs="Times New Roman"/>
          <w:color w:val="00000A"/>
        </w:rPr>
        <w:t>D</w:t>
      </w:r>
      <w:r w:rsidR="006816F8" w:rsidRPr="004F38BE">
        <w:rPr>
          <w:rFonts w:ascii="Times New Roman" w:hAnsi="Times New Roman" w:cs="Times New Roman"/>
          <w:color w:val="00000A"/>
        </w:rPr>
        <w:t xml:space="preserve">iagnostic </w:t>
      </w:r>
      <w:r w:rsidR="00493161" w:rsidRPr="004F38BE">
        <w:rPr>
          <w:rFonts w:ascii="Times New Roman" w:hAnsi="Times New Roman" w:cs="Times New Roman"/>
          <w:color w:val="00000A"/>
        </w:rPr>
        <w:t>B</w:t>
      </w:r>
      <w:r w:rsidR="006816F8" w:rsidRPr="004F38BE">
        <w:rPr>
          <w:rFonts w:ascii="Times New Roman" w:hAnsi="Times New Roman" w:cs="Times New Roman"/>
          <w:color w:val="00000A"/>
        </w:rPr>
        <w:t>iomarkers (</w:t>
      </w:r>
      <w:r w:rsidR="0095249B" w:rsidRPr="004F38BE">
        <w:rPr>
          <w:rFonts w:ascii="Times New Roman" w:hAnsi="Times New Roman" w:cs="Times New Roman"/>
        </w:rPr>
        <w:t>www.ae-tbc.eu</w:t>
      </w:r>
      <w:r w:rsidR="00A342F5" w:rsidRPr="004F38BE">
        <w:rPr>
          <w:rFonts w:ascii="Times New Roman" w:hAnsi="Times New Roman" w:cs="Times New Roman"/>
          <w:color w:val="00000A"/>
        </w:rPr>
        <w:t>)</w:t>
      </w:r>
      <w:r w:rsidR="002F7CA2" w:rsidRPr="004F38BE">
        <w:rPr>
          <w:rFonts w:ascii="Times New Roman" w:hAnsi="Times New Roman" w:cs="Times New Roman"/>
          <w:color w:val="00000A"/>
        </w:rPr>
        <w:t>.</w:t>
      </w:r>
      <w:r w:rsidR="00495313" w:rsidRPr="004F38BE">
        <w:rPr>
          <w:rFonts w:ascii="Times New Roman" w:hAnsi="Times New Roman" w:cs="Times New Roman"/>
          <w:color w:val="00000A"/>
        </w:rPr>
        <w:t xml:space="preserve"> </w:t>
      </w:r>
      <w:r w:rsidR="00F923FF" w:rsidRPr="004F38BE">
        <w:rPr>
          <w:rFonts w:ascii="Times New Roman" w:hAnsi="Times New Roman" w:cs="Times New Roman"/>
          <w:color w:val="00000A"/>
        </w:rPr>
        <w:t>S</w:t>
      </w:r>
      <w:r w:rsidR="00495313" w:rsidRPr="004F38BE">
        <w:rPr>
          <w:rFonts w:ascii="Times New Roman" w:hAnsi="Times New Roman" w:cs="Times New Roman"/>
          <w:color w:val="00000A"/>
        </w:rPr>
        <w:t xml:space="preserve">tudy participants </w:t>
      </w:r>
      <w:r w:rsidR="00F923FF" w:rsidRPr="004F38BE">
        <w:rPr>
          <w:rFonts w:ascii="Times New Roman" w:hAnsi="Times New Roman" w:cs="Times New Roman"/>
          <w:color w:val="00000A"/>
        </w:rPr>
        <w:t>were recruited</w:t>
      </w:r>
      <w:r w:rsidR="00495313" w:rsidRPr="004F38BE">
        <w:rPr>
          <w:rFonts w:ascii="Times New Roman" w:hAnsi="Times New Roman" w:cs="Times New Roman"/>
          <w:color w:val="00000A"/>
        </w:rPr>
        <w:t xml:space="preserve"> between November 2010 and </w:t>
      </w:r>
      <w:r w:rsidR="00374750" w:rsidRPr="004F38BE">
        <w:rPr>
          <w:rFonts w:ascii="Times New Roman" w:hAnsi="Times New Roman" w:cs="Times New Roman"/>
          <w:color w:val="00000A"/>
        </w:rPr>
        <w:t>November</w:t>
      </w:r>
      <w:r w:rsidR="00495313" w:rsidRPr="004F38BE">
        <w:rPr>
          <w:rFonts w:ascii="Times New Roman" w:hAnsi="Times New Roman" w:cs="Times New Roman"/>
          <w:color w:val="00000A"/>
        </w:rPr>
        <w:t xml:space="preserve"> 2012. </w:t>
      </w:r>
      <w:r w:rsidR="003F4FF1" w:rsidRPr="004F38BE">
        <w:rPr>
          <w:rFonts w:ascii="Times New Roman" w:hAnsi="Times New Roman" w:cs="Times New Roman"/>
          <w:color w:val="00000A"/>
        </w:rPr>
        <w:t xml:space="preserve">All study participants </w:t>
      </w:r>
      <w:r w:rsidR="00A8059D" w:rsidRPr="004F38BE">
        <w:rPr>
          <w:rFonts w:ascii="Times New Roman" w:hAnsi="Times New Roman" w:cs="Times New Roman"/>
          <w:color w:val="00000A"/>
        </w:rPr>
        <w:t xml:space="preserve">presented with </w:t>
      </w:r>
      <w:r w:rsidR="00F74937" w:rsidRPr="004F38BE">
        <w:rPr>
          <w:rFonts w:ascii="Times New Roman" w:eastAsia="Arial Unicode MS" w:hAnsi="Times New Roman" w:cs="Times New Roman"/>
          <w:color w:val="00000A"/>
        </w:rPr>
        <w:t xml:space="preserve">persistent cough lasting </w:t>
      </w:r>
      <w:r w:rsidR="005C436D" w:rsidRPr="004F38BE">
        <w:rPr>
          <w:rFonts w:ascii="Times New Roman" w:eastAsia="Arial Unicode MS" w:hAnsi="Times New Roman" w:cs="Times New Roman"/>
          <w:color w:val="00000A"/>
        </w:rPr>
        <w:t>≥</w:t>
      </w:r>
      <w:r w:rsidR="00F74937" w:rsidRPr="004F38BE">
        <w:rPr>
          <w:rFonts w:ascii="Times New Roman" w:eastAsia="Arial Unicode MS" w:hAnsi="Times New Roman" w:cs="Times New Roman"/>
          <w:color w:val="00000A"/>
        </w:rPr>
        <w:t>2 week</w:t>
      </w:r>
      <w:r w:rsidR="000C5279" w:rsidRPr="004F38BE">
        <w:rPr>
          <w:rFonts w:ascii="Times New Roman" w:eastAsia="Arial Unicode MS" w:hAnsi="Times New Roman" w:cs="Times New Roman"/>
          <w:color w:val="00000A"/>
        </w:rPr>
        <w:t>s and at least one of either</w:t>
      </w:r>
      <w:r w:rsidR="00F74937" w:rsidRPr="004F38BE">
        <w:rPr>
          <w:rFonts w:ascii="Times New Roman" w:eastAsia="Arial Unicode MS" w:hAnsi="Times New Roman" w:cs="Times New Roman"/>
          <w:color w:val="00000A"/>
        </w:rPr>
        <w:t xml:space="preserve"> fever, malaise, recent weight loss, night sweats, knowledge of close contact with a TB patient, haemoptysis, chest pain or loss of appetite</w:t>
      </w:r>
      <w:r w:rsidR="005C436D" w:rsidRPr="004F38BE">
        <w:rPr>
          <w:rFonts w:ascii="Times New Roman" w:eastAsia="Arial Unicode MS" w:hAnsi="Times New Roman" w:cs="Times New Roman"/>
          <w:color w:val="00000A"/>
        </w:rPr>
        <w:t xml:space="preserve">. </w:t>
      </w:r>
      <w:r w:rsidR="00D439DD" w:rsidRPr="004F38BE">
        <w:rPr>
          <w:rFonts w:ascii="Times New Roman" w:eastAsia="Arial Unicode MS" w:hAnsi="Times New Roman" w:cs="Times New Roman"/>
          <w:color w:val="00000A"/>
        </w:rPr>
        <w:t>P</w:t>
      </w:r>
      <w:r w:rsidR="00F74937" w:rsidRPr="004F38BE">
        <w:rPr>
          <w:rFonts w:ascii="Times New Roman" w:eastAsia="Arial Unicode MS" w:hAnsi="Times New Roman" w:cs="Times New Roman"/>
          <w:color w:val="00000A"/>
        </w:rPr>
        <w:t>articipants</w:t>
      </w:r>
      <w:r w:rsidR="00D439DD" w:rsidRPr="004F38BE">
        <w:rPr>
          <w:rFonts w:ascii="Times New Roman" w:eastAsia="Arial Unicode MS" w:hAnsi="Times New Roman" w:cs="Times New Roman"/>
          <w:color w:val="00000A"/>
        </w:rPr>
        <w:t xml:space="preserve"> were </w:t>
      </w:r>
      <w:r w:rsidR="005C436D" w:rsidRPr="004F38BE">
        <w:rPr>
          <w:rFonts w:ascii="Times New Roman" w:eastAsia="Arial Unicode MS" w:hAnsi="Times New Roman" w:cs="Times New Roman"/>
          <w:color w:val="00000A"/>
        </w:rPr>
        <w:t xml:space="preserve">eligible for the study </w:t>
      </w:r>
      <w:r w:rsidR="00D439DD" w:rsidRPr="004F38BE">
        <w:rPr>
          <w:rFonts w:ascii="Times New Roman" w:eastAsia="Arial Unicode MS" w:hAnsi="Times New Roman" w:cs="Times New Roman"/>
          <w:color w:val="00000A"/>
        </w:rPr>
        <w:t>if they</w:t>
      </w:r>
      <w:r w:rsidR="00F74937" w:rsidRPr="004F38BE">
        <w:rPr>
          <w:rFonts w:ascii="Times New Roman" w:eastAsia="Arial Unicode MS" w:hAnsi="Times New Roman" w:cs="Times New Roman"/>
          <w:color w:val="00000A"/>
        </w:rPr>
        <w:t xml:space="preserve"> </w:t>
      </w:r>
      <w:r w:rsidR="006816F8" w:rsidRPr="004F38BE">
        <w:rPr>
          <w:rFonts w:ascii="Times New Roman" w:eastAsia="Arial Unicode MS" w:hAnsi="Times New Roman" w:cs="Times New Roman"/>
          <w:color w:val="00000A"/>
        </w:rPr>
        <w:t xml:space="preserve">were 18 years or older and </w:t>
      </w:r>
      <w:r w:rsidR="006816F8" w:rsidRPr="004F38BE">
        <w:rPr>
          <w:rFonts w:ascii="Times New Roman" w:hAnsi="Times New Roman" w:cs="Times New Roman"/>
          <w:color w:val="00000A"/>
        </w:rPr>
        <w:t xml:space="preserve">willing to give written informed consent for participation in the study, including </w:t>
      </w:r>
      <w:r w:rsidR="009D5E31" w:rsidRPr="004F38BE">
        <w:rPr>
          <w:rFonts w:ascii="Times New Roman" w:hAnsi="Times New Roman" w:cs="Times New Roman"/>
          <w:color w:val="00000A"/>
        </w:rPr>
        <w:t xml:space="preserve">consent </w:t>
      </w:r>
      <w:r w:rsidR="006816F8" w:rsidRPr="004F38BE">
        <w:rPr>
          <w:rFonts w:ascii="Times New Roman" w:hAnsi="Times New Roman" w:cs="Times New Roman"/>
          <w:color w:val="00000A"/>
        </w:rPr>
        <w:t>for HIV testing.  Patients were excluded if they</w:t>
      </w:r>
      <w:r w:rsidR="00DC6938" w:rsidRPr="004F38BE">
        <w:rPr>
          <w:rFonts w:ascii="Times New Roman" w:hAnsi="Times New Roman" w:cs="Times New Roman"/>
          <w:color w:val="00000A"/>
        </w:rPr>
        <w:t xml:space="preserve"> were pregnant,</w:t>
      </w:r>
      <w:r w:rsidR="006816F8" w:rsidRPr="004F38BE">
        <w:rPr>
          <w:rFonts w:ascii="Times New Roman" w:hAnsi="Times New Roman" w:cs="Times New Roman"/>
          <w:color w:val="00000A"/>
        </w:rPr>
        <w:t xml:space="preserve"> had not been residing in the study community for more than 3 months, were severely anaemic (</w:t>
      </w:r>
      <w:r w:rsidR="00FF347C" w:rsidRPr="004F38BE">
        <w:rPr>
          <w:rFonts w:ascii="Times New Roman" w:hAnsi="Times New Roman" w:cs="Times New Roman"/>
          <w:color w:val="00000A"/>
        </w:rPr>
        <w:t xml:space="preserve">haemoglobin </w:t>
      </w:r>
      <w:r w:rsidR="006816F8" w:rsidRPr="004F38BE">
        <w:rPr>
          <w:rFonts w:ascii="Times New Roman" w:hAnsi="Times New Roman" w:cs="Times New Roman"/>
          <w:color w:val="00000A"/>
        </w:rPr>
        <w:t xml:space="preserve">&lt;10g/l), </w:t>
      </w:r>
      <w:r w:rsidR="00DB72DE" w:rsidRPr="004F38BE">
        <w:rPr>
          <w:rFonts w:ascii="Times New Roman" w:hAnsi="Times New Roman" w:cs="Times New Roman"/>
          <w:color w:val="00000A"/>
        </w:rPr>
        <w:t xml:space="preserve">were </w:t>
      </w:r>
      <w:r w:rsidR="006816F8" w:rsidRPr="004F38BE">
        <w:rPr>
          <w:rFonts w:ascii="Times New Roman" w:hAnsi="Times New Roman" w:cs="Times New Roman"/>
          <w:color w:val="00000A"/>
        </w:rPr>
        <w:t xml:space="preserve">on anti-TB treatment, had received anti-TB treatment in the previous 90 days or if they were on quinolone or aminoglycoside antibiotics </w:t>
      </w:r>
      <w:r w:rsidR="00F923FF" w:rsidRPr="004F38BE">
        <w:rPr>
          <w:rFonts w:ascii="Times New Roman" w:hAnsi="Times New Roman" w:cs="Times New Roman"/>
          <w:color w:val="00000A"/>
        </w:rPr>
        <w:t xml:space="preserve">during </w:t>
      </w:r>
      <w:r w:rsidR="006816F8" w:rsidRPr="004F38BE">
        <w:rPr>
          <w:rFonts w:ascii="Times New Roman" w:hAnsi="Times New Roman" w:cs="Times New Roman"/>
          <w:color w:val="00000A"/>
        </w:rPr>
        <w:t>the past 60 days</w:t>
      </w:r>
      <w:r w:rsidR="007F3F85" w:rsidRPr="004F38BE">
        <w:rPr>
          <w:rFonts w:ascii="Times New Roman" w:hAnsi="Times New Roman" w:cs="Times New Roman"/>
          <w:color w:val="00000A"/>
        </w:rPr>
        <w:t>.</w:t>
      </w:r>
      <w:r w:rsidR="006816F8" w:rsidRPr="004F38BE">
        <w:rPr>
          <w:rFonts w:ascii="Times New Roman" w:hAnsi="Times New Roman" w:cs="Times New Roman"/>
          <w:color w:val="00000A"/>
        </w:rPr>
        <w:t xml:space="preserve"> The study protocol was approved by the Health Research Ethics Committee</w:t>
      </w:r>
      <w:r w:rsidR="00BD723F" w:rsidRPr="004F38BE">
        <w:rPr>
          <w:rFonts w:ascii="Times New Roman" w:hAnsi="Times New Roman" w:cs="Times New Roman"/>
          <w:color w:val="00000A"/>
        </w:rPr>
        <w:t>s of the participating institutions.</w:t>
      </w:r>
    </w:p>
    <w:p w14:paraId="64C7C2E4" w14:textId="77777777" w:rsidR="00F74937" w:rsidRPr="004F38BE" w:rsidRDefault="00F74937" w:rsidP="0033455D">
      <w:pPr>
        <w:pStyle w:val="Heading2"/>
        <w:spacing w:before="0" w:line="360" w:lineRule="auto"/>
        <w:jc w:val="both"/>
        <w:rPr>
          <w:rFonts w:ascii="Times New Roman" w:hAnsi="Times New Roman"/>
          <w:sz w:val="24"/>
          <w:szCs w:val="24"/>
        </w:rPr>
      </w:pPr>
    </w:p>
    <w:p w14:paraId="5E8C8D80" w14:textId="77777777" w:rsidR="00776605" w:rsidRPr="008A4BC6" w:rsidRDefault="006816F8" w:rsidP="0033455D">
      <w:pPr>
        <w:pStyle w:val="Heading2"/>
        <w:spacing w:before="0" w:line="360" w:lineRule="auto"/>
        <w:jc w:val="both"/>
        <w:rPr>
          <w:rFonts w:ascii="Times New Roman" w:hAnsi="Times New Roman"/>
          <w:sz w:val="24"/>
          <w:szCs w:val="24"/>
        </w:rPr>
      </w:pPr>
      <w:r w:rsidRPr="008A4BC6">
        <w:rPr>
          <w:rFonts w:ascii="Times New Roman" w:hAnsi="Times New Roman"/>
          <w:color w:val="00000A"/>
          <w:sz w:val="24"/>
          <w:szCs w:val="24"/>
        </w:rPr>
        <w:t>Sample collection and microbiological diagnostic tests</w:t>
      </w:r>
    </w:p>
    <w:p w14:paraId="511D5E30" w14:textId="5332B0AD" w:rsidR="00955A63" w:rsidRPr="004F38BE" w:rsidRDefault="00955A63" w:rsidP="0033455D">
      <w:pPr>
        <w:pStyle w:val="NormalWeb"/>
        <w:spacing w:before="0" w:beforeAutospacing="0" w:after="0" w:afterAutospacing="0" w:line="360" w:lineRule="auto"/>
        <w:jc w:val="both"/>
      </w:pPr>
      <w:r w:rsidRPr="004F38BE">
        <w:t>Harmonized protocols were used for collection and processing of samples across all study sites. Briefly, blood samples were collected at first contact with the patient, in 4-ml plain BD vacutainer</w:t>
      </w:r>
      <w:r w:rsidR="00367C48">
        <w:t xml:space="preserve"> serum</w:t>
      </w:r>
      <w:r w:rsidRPr="004F38BE">
        <w:t xml:space="preserve"> tubes (BD Biosciences) and transported within 3 hours at ambient </w:t>
      </w:r>
      <w:r w:rsidRPr="004F38BE">
        <w:lastRenderedPageBreak/>
        <w:t xml:space="preserve">temperature to the laboratory, where tubes were centrifuged at 2500 rpm for 10 minutes, after which serum was harvested, aliquoted and frozen (–80˚C) until use. Sputum samples were collected from all participants and cultured using either the MGIT method (BD Biosciences) or Lowenstein–Jensen media, depending on facilities available at the study site. Specimens demonstrating growth of microorganisms were examined for acid-fast bacilli using the </w:t>
      </w:r>
      <w:proofErr w:type="spellStart"/>
      <w:r w:rsidRPr="004F38BE">
        <w:t>Ziehl-Neelsen</w:t>
      </w:r>
      <w:proofErr w:type="spellEnd"/>
      <w:r w:rsidRPr="004F38BE">
        <w:t xml:space="preserve"> method followed by either </w:t>
      </w:r>
      <w:proofErr w:type="spellStart"/>
      <w:r w:rsidRPr="004F38BE">
        <w:t>Capilia</w:t>
      </w:r>
      <w:proofErr w:type="spellEnd"/>
      <w:r w:rsidRPr="004F38BE">
        <w:t xml:space="preserve"> TB testing (TAUNS, Numazu, Japan) or standard </w:t>
      </w:r>
      <w:r w:rsidR="00AA20B3" w:rsidRPr="004F38BE">
        <w:t>molecular</w:t>
      </w:r>
      <w:r w:rsidRPr="004F38BE">
        <w:t xml:space="preserve"> methods, to confirm the isolation of organisms of the </w:t>
      </w:r>
      <w:r w:rsidRPr="004F38BE">
        <w:rPr>
          <w:i/>
        </w:rPr>
        <w:t>M.tb</w:t>
      </w:r>
      <w:r w:rsidRPr="004F38BE">
        <w:t xml:space="preserve"> complex, before being designated as positive cultures. </w:t>
      </w:r>
    </w:p>
    <w:p w14:paraId="6EB3267C" w14:textId="77777777" w:rsidR="003B7192" w:rsidRPr="004F38BE" w:rsidRDefault="003B7192" w:rsidP="0033455D">
      <w:pPr>
        <w:pStyle w:val="NormalWeb"/>
        <w:spacing w:before="0" w:beforeAutospacing="0" w:after="0" w:afterAutospacing="0" w:line="360" w:lineRule="auto"/>
        <w:jc w:val="both"/>
      </w:pPr>
    </w:p>
    <w:p w14:paraId="69D85516" w14:textId="77777777" w:rsidR="003B7192" w:rsidRPr="008A4BC6" w:rsidRDefault="006816F8" w:rsidP="0033455D">
      <w:pPr>
        <w:pStyle w:val="NormalWeb"/>
        <w:spacing w:before="0" w:beforeAutospacing="0" w:after="0" w:afterAutospacing="0" w:line="360" w:lineRule="auto"/>
        <w:jc w:val="both"/>
        <w:rPr>
          <w:b/>
        </w:rPr>
      </w:pPr>
      <w:r w:rsidRPr="008A4BC6">
        <w:rPr>
          <w:b/>
        </w:rPr>
        <w:t>Classification of study participants and reference standard</w:t>
      </w:r>
    </w:p>
    <w:p w14:paraId="7E0E908C" w14:textId="4B3761CB" w:rsidR="006A3552" w:rsidRPr="004F38BE" w:rsidRDefault="006A3552" w:rsidP="0033455D">
      <w:pPr>
        <w:pStyle w:val="NormalWeb"/>
        <w:spacing w:before="0" w:beforeAutospacing="0" w:after="0" w:afterAutospacing="0" w:line="360" w:lineRule="auto"/>
        <w:jc w:val="both"/>
      </w:pPr>
      <w:r w:rsidRPr="004F38BE">
        <w:t xml:space="preserve">Using a combination of clinical, radiological, and laboratory findings, participants were classified as definite TB cases, probable TB cases, participants without pulmonary TB (no-PTB) or questionable disease status as described in table 1. Briefly, No-PTB cases had a range of other diagnoses, including upper and lower respiratory tract infections (viral and bacterial infections, although attempts to identify organisms by bacterial or viral cultures were not made), and acute exacerbations of chronic obstructive pulmonary disease or asthma. In assessing the accuracy of host biosignatures in the diagnosis of TB disease, all the definite and probable TB cases were classified as “TB”, and then compared to the no-PTB cases, whereas </w:t>
      </w:r>
      <w:proofErr w:type="spellStart"/>
      <w:r w:rsidRPr="004F38BE">
        <w:t>questionables</w:t>
      </w:r>
      <w:proofErr w:type="spellEnd"/>
      <w:r w:rsidRPr="004F38BE">
        <w:t xml:space="preserve"> were excluded from the main analysis</w:t>
      </w:r>
      <w:r w:rsidR="008871FA" w:rsidRPr="004F38BE">
        <w:t xml:space="preserve"> (Figure 1)</w:t>
      </w:r>
      <w:r w:rsidRPr="004F38BE">
        <w:t xml:space="preserve">.  </w:t>
      </w:r>
    </w:p>
    <w:p w14:paraId="695805F1" w14:textId="77777777" w:rsidR="00EE38CC" w:rsidRPr="004F38BE" w:rsidRDefault="00EE38CC" w:rsidP="00EE38CC">
      <w:pPr>
        <w:spacing w:line="480" w:lineRule="auto"/>
      </w:pPr>
    </w:p>
    <w:p w14:paraId="70E8D846" w14:textId="77777777" w:rsidR="00EE38CC" w:rsidRPr="004F38BE" w:rsidRDefault="00EE38CC" w:rsidP="00EE38CC">
      <w:pPr>
        <w:spacing w:line="480" w:lineRule="auto"/>
      </w:pPr>
      <w:r w:rsidRPr="004F38BE">
        <w:rPr>
          <w:b/>
        </w:rPr>
        <w:t>Table 1</w:t>
      </w:r>
      <w:r w:rsidRPr="004F38BE">
        <w:t xml:space="preserve">: </w:t>
      </w:r>
      <w:r w:rsidRPr="004F38BE">
        <w:rPr>
          <w:b/>
        </w:rPr>
        <w:t xml:space="preserve">Harmonized definitions used in classifying study participants </w:t>
      </w:r>
    </w:p>
    <w:tbl>
      <w:tblPr>
        <w:tblStyle w:val="PlainTable11"/>
        <w:tblpPr w:leftFromText="180" w:rightFromText="180" w:vertAnchor="text" w:horzAnchor="margin" w:tblpY="40"/>
        <w:tblW w:w="0" w:type="auto"/>
        <w:tblLook w:val="04A0" w:firstRow="1" w:lastRow="0" w:firstColumn="1" w:lastColumn="0" w:noHBand="0" w:noVBand="1"/>
      </w:tblPr>
      <w:tblGrid>
        <w:gridCol w:w="2093"/>
        <w:gridCol w:w="6520"/>
      </w:tblGrid>
      <w:tr w:rsidR="00EE38CC" w:rsidRPr="004F38BE" w14:paraId="7CEB7047" w14:textId="77777777" w:rsidTr="00967F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FBDDA96" w14:textId="77777777" w:rsidR="00EE38CC" w:rsidRPr="004F38BE" w:rsidRDefault="00EE38CC" w:rsidP="00967F18">
            <w:pPr>
              <w:rPr>
                <w:b w:val="0"/>
                <w:bCs w:val="0"/>
                <w:color w:val="000000"/>
              </w:rPr>
            </w:pPr>
            <w:r w:rsidRPr="004F38BE">
              <w:rPr>
                <w:b w:val="0"/>
                <w:bCs w:val="0"/>
                <w:color w:val="000000"/>
              </w:rPr>
              <w:t>Classification</w:t>
            </w:r>
          </w:p>
        </w:tc>
        <w:tc>
          <w:tcPr>
            <w:tcW w:w="6520" w:type="dxa"/>
          </w:tcPr>
          <w:p w14:paraId="2177685D" w14:textId="77777777" w:rsidR="00EE38CC" w:rsidRPr="004F38BE" w:rsidRDefault="00EE38CC" w:rsidP="00967F18">
            <w:pPr>
              <w:cnfStyle w:val="100000000000" w:firstRow="1" w:lastRow="0" w:firstColumn="0" w:lastColumn="0" w:oddVBand="0" w:evenVBand="0" w:oddHBand="0" w:evenHBand="0" w:firstRowFirstColumn="0" w:firstRowLastColumn="0" w:lastRowFirstColumn="0" w:lastRowLastColumn="0"/>
              <w:rPr>
                <w:b w:val="0"/>
                <w:bCs w:val="0"/>
                <w:color w:val="000000"/>
              </w:rPr>
            </w:pPr>
            <w:r w:rsidRPr="004F38BE">
              <w:rPr>
                <w:b w:val="0"/>
                <w:bCs w:val="0"/>
                <w:color w:val="000000"/>
              </w:rPr>
              <w:t>Definition</w:t>
            </w:r>
          </w:p>
        </w:tc>
      </w:tr>
      <w:tr w:rsidR="00EE38CC" w:rsidRPr="004F38BE" w14:paraId="3250C099" w14:textId="77777777" w:rsidTr="00967F18">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14:paraId="6F3F5258" w14:textId="77777777" w:rsidR="00EE38CC" w:rsidRPr="004F38BE" w:rsidRDefault="00EE38CC" w:rsidP="00967F18">
            <w:pPr>
              <w:rPr>
                <w:b w:val="0"/>
                <w:bCs w:val="0"/>
                <w:color w:val="000000"/>
              </w:rPr>
            </w:pPr>
          </w:p>
          <w:p w14:paraId="6B46F23A" w14:textId="77777777" w:rsidR="00EE38CC" w:rsidRPr="004F38BE" w:rsidRDefault="00EE38CC" w:rsidP="00967F18">
            <w:pPr>
              <w:rPr>
                <w:b w:val="0"/>
                <w:bCs w:val="0"/>
                <w:color w:val="000000"/>
              </w:rPr>
            </w:pPr>
            <w:r w:rsidRPr="004F38BE">
              <w:rPr>
                <w:b w:val="0"/>
                <w:bCs w:val="0"/>
                <w:color w:val="000000"/>
              </w:rPr>
              <w:t>Definite TB</w:t>
            </w:r>
          </w:p>
        </w:tc>
        <w:tc>
          <w:tcPr>
            <w:tcW w:w="6520" w:type="dxa"/>
            <w:shd w:val="clear" w:color="auto" w:fill="auto"/>
          </w:tcPr>
          <w:p w14:paraId="1BC78971" w14:textId="77777777" w:rsidR="00EE38CC" w:rsidRPr="004F38BE" w:rsidRDefault="00EE38CC" w:rsidP="00967F1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kern w:val="24"/>
                <w:sz w:val="22"/>
                <w:szCs w:val="22"/>
              </w:rPr>
            </w:pPr>
            <w:r w:rsidRPr="004F38BE">
              <w:rPr>
                <w:color w:val="000000"/>
                <w:kern w:val="24"/>
                <w:sz w:val="22"/>
                <w:szCs w:val="22"/>
              </w:rPr>
              <w:t>Sputum culture positive for MTB</w:t>
            </w:r>
          </w:p>
          <w:p w14:paraId="50F07CF5" w14:textId="77777777" w:rsidR="00EE38CC" w:rsidRPr="004F38BE" w:rsidRDefault="00EE38CC" w:rsidP="00967F1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kern w:val="24"/>
                <w:sz w:val="22"/>
                <w:szCs w:val="22"/>
              </w:rPr>
            </w:pPr>
            <w:r w:rsidRPr="004F38BE">
              <w:rPr>
                <w:color w:val="000000"/>
                <w:kern w:val="24"/>
                <w:sz w:val="22"/>
                <w:szCs w:val="22"/>
              </w:rPr>
              <w:t>OR</w:t>
            </w:r>
          </w:p>
          <w:p w14:paraId="34F692BB" w14:textId="77777777" w:rsidR="00EE38CC" w:rsidRPr="004F38BE" w:rsidRDefault="00EE38CC" w:rsidP="00967F1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sz w:val="22"/>
                <w:szCs w:val="22"/>
              </w:rPr>
            </w:pPr>
            <w:r w:rsidRPr="004F38BE">
              <w:rPr>
                <w:color w:val="000000"/>
                <w:kern w:val="24"/>
                <w:sz w:val="22"/>
                <w:szCs w:val="22"/>
              </w:rPr>
              <w:t>2 positive smears and symptoms responding to TB treatment</w:t>
            </w:r>
          </w:p>
          <w:p w14:paraId="7267CD99" w14:textId="77777777" w:rsidR="00EE38CC" w:rsidRPr="004F38BE" w:rsidRDefault="00EE38CC" w:rsidP="00967F18">
            <w:pPr>
              <w:cnfStyle w:val="000000100000" w:firstRow="0" w:lastRow="0" w:firstColumn="0" w:lastColumn="0" w:oddVBand="0" w:evenVBand="0" w:oddHBand="1" w:evenHBand="0" w:firstRowFirstColumn="0" w:firstRowLastColumn="0" w:lastRowFirstColumn="0" w:lastRowLastColumn="0"/>
              <w:rPr>
                <w:color w:val="000000"/>
              </w:rPr>
            </w:pPr>
            <w:r w:rsidRPr="004F38BE">
              <w:rPr>
                <w:color w:val="000000"/>
              </w:rPr>
              <w:t>OR</w:t>
            </w:r>
          </w:p>
          <w:p w14:paraId="1347533B" w14:textId="77777777" w:rsidR="00EE38CC" w:rsidRPr="004F38BE" w:rsidRDefault="00EE38CC" w:rsidP="00967F18">
            <w:pPr>
              <w:cnfStyle w:val="000000100000" w:firstRow="0" w:lastRow="0" w:firstColumn="0" w:lastColumn="0" w:oddVBand="0" w:evenVBand="0" w:oddHBand="1" w:evenHBand="0" w:firstRowFirstColumn="0" w:firstRowLastColumn="0" w:lastRowFirstColumn="0" w:lastRowLastColumn="0"/>
              <w:rPr>
                <w:color w:val="000000"/>
              </w:rPr>
            </w:pPr>
            <w:r w:rsidRPr="004F38BE">
              <w:rPr>
                <w:color w:val="000000"/>
              </w:rPr>
              <w:t>1 Positive smear plus CXR suggestive of PTB</w:t>
            </w:r>
          </w:p>
        </w:tc>
      </w:tr>
      <w:tr w:rsidR="00EE38CC" w:rsidRPr="004F38BE" w14:paraId="0D3C7B57" w14:textId="77777777" w:rsidTr="00967F18">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14:paraId="5EF96FF8" w14:textId="77777777" w:rsidR="00EE38CC" w:rsidRPr="004F38BE" w:rsidRDefault="00EE38CC" w:rsidP="00967F18">
            <w:pPr>
              <w:rPr>
                <w:b w:val="0"/>
                <w:bCs w:val="0"/>
                <w:color w:val="000000"/>
              </w:rPr>
            </w:pPr>
          </w:p>
          <w:p w14:paraId="22495463" w14:textId="77777777" w:rsidR="00EE38CC" w:rsidRPr="004F38BE" w:rsidRDefault="00EE38CC" w:rsidP="00967F18">
            <w:pPr>
              <w:rPr>
                <w:b w:val="0"/>
                <w:bCs w:val="0"/>
                <w:color w:val="000000"/>
              </w:rPr>
            </w:pPr>
          </w:p>
          <w:p w14:paraId="723724E4" w14:textId="77777777" w:rsidR="00EE38CC" w:rsidRPr="004F38BE" w:rsidRDefault="00EE38CC" w:rsidP="00967F18">
            <w:pPr>
              <w:rPr>
                <w:b w:val="0"/>
                <w:bCs w:val="0"/>
                <w:color w:val="000000"/>
              </w:rPr>
            </w:pPr>
            <w:r w:rsidRPr="004F38BE">
              <w:rPr>
                <w:b w:val="0"/>
                <w:bCs w:val="0"/>
                <w:color w:val="000000"/>
              </w:rPr>
              <w:t>Probable TB</w:t>
            </w:r>
          </w:p>
        </w:tc>
        <w:tc>
          <w:tcPr>
            <w:tcW w:w="6520" w:type="dxa"/>
            <w:shd w:val="clear" w:color="auto" w:fill="auto"/>
          </w:tcPr>
          <w:p w14:paraId="488F313E" w14:textId="77777777" w:rsidR="00EE38CC" w:rsidRPr="004F38BE" w:rsidRDefault="00EE38CC" w:rsidP="00967F1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sz w:val="22"/>
                <w:szCs w:val="22"/>
              </w:rPr>
            </w:pPr>
            <w:r w:rsidRPr="004F38BE">
              <w:rPr>
                <w:color w:val="000000"/>
                <w:sz w:val="22"/>
                <w:szCs w:val="22"/>
              </w:rPr>
              <w:t xml:space="preserve">1 positive smear and symptoms responding to TB treatment </w:t>
            </w:r>
          </w:p>
          <w:p w14:paraId="3860FF73" w14:textId="77777777" w:rsidR="00EE38CC" w:rsidRPr="004F38BE" w:rsidRDefault="00EE38CC" w:rsidP="00967F1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sz w:val="22"/>
                <w:szCs w:val="22"/>
              </w:rPr>
            </w:pPr>
            <w:r w:rsidRPr="004F38BE">
              <w:rPr>
                <w:color w:val="000000"/>
                <w:sz w:val="22"/>
                <w:szCs w:val="22"/>
              </w:rPr>
              <w:t>OR</w:t>
            </w:r>
          </w:p>
          <w:p w14:paraId="7C34B624" w14:textId="77777777" w:rsidR="00EE38CC" w:rsidRPr="004F38BE" w:rsidRDefault="00EE38CC" w:rsidP="00967F1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sz w:val="22"/>
                <w:szCs w:val="22"/>
              </w:rPr>
            </w:pPr>
            <w:r w:rsidRPr="004F38BE">
              <w:rPr>
                <w:color w:val="000000"/>
                <w:sz w:val="22"/>
                <w:szCs w:val="22"/>
              </w:rPr>
              <w:t>CXR evidence and symptoms responding to TB treatment</w:t>
            </w:r>
          </w:p>
        </w:tc>
      </w:tr>
      <w:tr w:rsidR="00EE38CC" w:rsidRPr="004F38BE" w14:paraId="0E6B6D32" w14:textId="77777777" w:rsidTr="00967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14:paraId="6454809C" w14:textId="77777777" w:rsidR="00EE38CC" w:rsidRPr="004F38BE" w:rsidRDefault="00EE38CC" w:rsidP="00967F18">
            <w:pPr>
              <w:rPr>
                <w:b w:val="0"/>
                <w:bCs w:val="0"/>
                <w:color w:val="000000"/>
              </w:rPr>
            </w:pPr>
          </w:p>
          <w:p w14:paraId="18D6CFDE" w14:textId="77777777" w:rsidR="00EE38CC" w:rsidRPr="004F38BE" w:rsidRDefault="00EE38CC" w:rsidP="00967F18">
            <w:pPr>
              <w:rPr>
                <w:b w:val="0"/>
                <w:bCs w:val="0"/>
                <w:color w:val="000000"/>
              </w:rPr>
            </w:pPr>
          </w:p>
          <w:p w14:paraId="03F14068" w14:textId="77777777" w:rsidR="00EE38CC" w:rsidRPr="004F38BE" w:rsidRDefault="00EE38CC" w:rsidP="00967F18">
            <w:pPr>
              <w:rPr>
                <w:b w:val="0"/>
                <w:bCs w:val="0"/>
                <w:color w:val="000000"/>
              </w:rPr>
            </w:pPr>
          </w:p>
          <w:p w14:paraId="59409791" w14:textId="77777777" w:rsidR="00EE38CC" w:rsidRPr="004F38BE" w:rsidRDefault="00EE38CC" w:rsidP="00967F18">
            <w:pPr>
              <w:rPr>
                <w:b w:val="0"/>
                <w:bCs w:val="0"/>
                <w:color w:val="000000"/>
              </w:rPr>
            </w:pPr>
            <w:r w:rsidRPr="004F38BE">
              <w:rPr>
                <w:b w:val="0"/>
                <w:bCs w:val="0"/>
                <w:color w:val="000000"/>
              </w:rPr>
              <w:t>Questionable</w:t>
            </w:r>
          </w:p>
        </w:tc>
        <w:tc>
          <w:tcPr>
            <w:tcW w:w="6520" w:type="dxa"/>
            <w:shd w:val="clear" w:color="auto" w:fill="auto"/>
          </w:tcPr>
          <w:p w14:paraId="1E0381F3" w14:textId="77777777" w:rsidR="00EE38CC" w:rsidRPr="004F38BE" w:rsidRDefault="00EE38CC" w:rsidP="00967F1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sz w:val="22"/>
                <w:szCs w:val="22"/>
              </w:rPr>
            </w:pPr>
            <w:r w:rsidRPr="004F38BE">
              <w:rPr>
                <w:color w:val="000000"/>
                <w:sz w:val="22"/>
                <w:szCs w:val="22"/>
              </w:rPr>
              <w:t>Positive smear(s), but no other supporting evidence</w:t>
            </w:r>
          </w:p>
          <w:p w14:paraId="079D0CD1" w14:textId="77777777" w:rsidR="00EE38CC" w:rsidRPr="004F38BE" w:rsidRDefault="00EE38CC" w:rsidP="00967F1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sz w:val="22"/>
                <w:szCs w:val="22"/>
              </w:rPr>
            </w:pPr>
            <w:r w:rsidRPr="004F38BE">
              <w:rPr>
                <w:color w:val="000000"/>
                <w:sz w:val="22"/>
                <w:szCs w:val="22"/>
              </w:rPr>
              <w:t>OR</w:t>
            </w:r>
          </w:p>
          <w:p w14:paraId="2F01509E" w14:textId="77777777" w:rsidR="00EE38CC" w:rsidRPr="004F38BE" w:rsidRDefault="00EE38CC" w:rsidP="00967F1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sz w:val="22"/>
                <w:szCs w:val="22"/>
              </w:rPr>
            </w:pPr>
            <w:r w:rsidRPr="004F38BE">
              <w:rPr>
                <w:color w:val="000000"/>
                <w:sz w:val="22"/>
                <w:szCs w:val="22"/>
              </w:rPr>
              <w:t>CXR suggestive of PTB, but no other supporting evidence.</w:t>
            </w:r>
          </w:p>
          <w:p w14:paraId="607E9B0F" w14:textId="77777777" w:rsidR="00EE38CC" w:rsidRPr="004F38BE" w:rsidRDefault="00EE38CC" w:rsidP="00967F1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sz w:val="22"/>
                <w:szCs w:val="22"/>
              </w:rPr>
            </w:pPr>
            <w:r w:rsidRPr="004F38BE">
              <w:rPr>
                <w:color w:val="000000"/>
                <w:sz w:val="22"/>
                <w:szCs w:val="22"/>
              </w:rPr>
              <w:t>OR</w:t>
            </w:r>
          </w:p>
          <w:p w14:paraId="740F6A3C" w14:textId="77777777" w:rsidR="00EE38CC" w:rsidRPr="004F38BE" w:rsidRDefault="00EE38CC" w:rsidP="00967F1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sz w:val="22"/>
                <w:szCs w:val="22"/>
              </w:rPr>
            </w:pPr>
            <w:r w:rsidRPr="004F38BE">
              <w:rPr>
                <w:color w:val="000000"/>
                <w:sz w:val="22"/>
                <w:szCs w:val="22"/>
              </w:rPr>
              <w:t>Treatment initiated by healthcare providers on clinical suspicion only.  No other supporting evidence</w:t>
            </w:r>
          </w:p>
        </w:tc>
      </w:tr>
      <w:tr w:rsidR="00EE38CC" w:rsidRPr="004F38BE" w14:paraId="26E4A515" w14:textId="77777777" w:rsidTr="00967F18">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14:paraId="4A48D222" w14:textId="77777777" w:rsidR="00EE38CC" w:rsidRPr="004F38BE" w:rsidRDefault="00EE38CC" w:rsidP="00967F18">
            <w:pPr>
              <w:rPr>
                <w:b w:val="0"/>
                <w:bCs w:val="0"/>
                <w:color w:val="000000"/>
              </w:rPr>
            </w:pPr>
          </w:p>
          <w:p w14:paraId="66B23A51" w14:textId="77777777" w:rsidR="00EE38CC" w:rsidRPr="004F38BE" w:rsidRDefault="00EE38CC" w:rsidP="00967F18">
            <w:pPr>
              <w:rPr>
                <w:b w:val="0"/>
                <w:bCs w:val="0"/>
                <w:color w:val="000000"/>
              </w:rPr>
            </w:pPr>
            <w:r w:rsidRPr="004F38BE">
              <w:rPr>
                <w:b w:val="0"/>
                <w:bCs w:val="0"/>
                <w:color w:val="000000"/>
              </w:rPr>
              <w:t>No-PTB</w:t>
            </w:r>
          </w:p>
        </w:tc>
        <w:tc>
          <w:tcPr>
            <w:tcW w:w="6520" w:type="dxa"/>
            <w:shd w:val="clear" w:color="auto" w:fill="auto"/>
          </w:tcPr>
          <w:p w14:paraId="5E7418B4" w14:textId="77777777" w:rsidR="00EE38CC" w:rsidRPr="004F38BE" w:rsidRDefault="00EE38CC" w:rsidP="00967F1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sz w:val="22"/>
                <w:szCs w:val="22"/>
              </w:rPr>
            </w:pPr>
            <w:r w:rsidRPr="004F38BE">
              <w:rPr>
                <w:color w:val="000000"/>
                <w:kern w:val="24"/>
                <w:sz w:val="22"/>
                <w:szCs w:val="22"/>
              </w:rPr>
              <w:t>Negative cultures, negative smears, negative CXR and treatment never initiated by healthcare providers</w:t>
            </w:r>
          </w:p>
        </w:tc>
      </w:tr>
    </w:tbl>
    <w:p w14:paraId="2C9DDB7D" w14:textId="77777777" w:rsidR="00EE38CC" w:rsidRPr="004F38BE" w:rsidRDefault="00EE38CC" w:rsidP="00CC3D95">
      <w:pPr>
        <w:spacing w:line="276" w:lineRule="auto"/>
      </w:pPr>
      <w:r w:rsidRPr="004F38BE">
        <w:lastRenderedPageBreak/>
        <w:t xml:space="preserve">Abbreviations: CXR, chest X ray; MTB, </w:t>
      </w:r>
      <w:r w:rsidRPr="004F38BE">
        <w:rPr>
          <w:i/>
        </w:rPr>
        <w:t>Mycobacterium tuberculosis;</w:t>
      </w:r>
      <w:r w:rsidRPr="004F38BE">
        <w:t xml:space="preserve"> TB, pulmonary tuberculosis, No-PTB, non-“pulmonary tuberculosis”.</w:t>
      </w:r>
    </w:p>
    <w:p w14:paraId="5C133989" w14:textId="77777777" w:rsidR="003A0141" w:rsidRPr="004F38BE" w:rsidRDefault="003A0141" w:rsidP="0033455D">
      <w:pPr>
        <w:pStyle w:val="DefaultStyle"/>
        <w:spacing w:line="360" w:lineRule="auto"/>
        <w:jc w:val="both"/>
        <w:rPr>
          <w:rFonts w:ascii="Times New Roman" w:hAnsi="Times New Roman" w:cs="Times New Roman"/>
          <w:b/>
        </w:rPr>
      </w:pPr>
    </w:p>
    <w:p w14:paraId="2FE6C94F" w14:textId="77777777" w:rsidR="00776605" w:rsidRPr="008A4BC6" w:rsidRDefault="00A90877" w:rsidP="0033455D">
      <w:pPr>
        <w:pStyle w:val="DefaultStyle"/>
        <w:spacing w:line="360" w:lineRule="auto"/>
        <w:jc w:val="both"/>
        <w:rPr>
          <w:rFonts w:ascii="Times New Roman" w:hAnsi="Times New Roman" w:cs="Times New Roman"/>
        </w:rPr>
      </w:pPr>
      <w:r w:rsidRPr="008A4BC6">
        <w:rPr>
          <w:rFonts w:ascii="Times New Roman" w:hAnsi="Times New Roman" w:cs="Times New Roman"/>
          <w:b/>
        </w:rPr>
        <w:t>Multiplex</w:t>
      </w:r>
      <w:r w:rsidR="006816F8" w:rsidRPr="008A4BC6">
        <w:rPr>
          <w:rFonts w:ascii="Times New Roman" w:hAnsi="Times New Roman" w:cs="Times New Roman"/>
          <w:b/>
        </w:rPr>
        <w:t xml:space="preserve"> immunoassay</w:t>
      </w:r>
      <w:r w:rsidRPr="008A4BC6">
        <w:rPr>
          <w:rFonts w:ascii="Times New Roman" w:hAnsi="Times New Roman" w:cs="Times New Roman"/>
          <w:b/>
        </w:rPr>
        <w:t>s</w:t>
      </w:r>
    </w:p>
    <w:p w14:paraId="43C5B59D" w14:textId="756E1239" w:rsidR="00776605" w:rsidRPr="004F38BE" w:rsidRDefault="00EF2DA8" w:rsidP="0033455D">
      <w:pPr>
        <w:pStyle w:val="DefaultStyle"/>
        <w:tabs>
          <w:tab w:val="left" w:pos="3969"/>
        </w:tabs>
        <w:spacing w:line="360" w:lineRule="auto"/>
        <w:jc w:val="both"/>
        <w:rPr>
          <w:rFonts w:ascii="Times New Roman" w:hAnsi="Times New Roman" w:cs="Times New Roman"/>
        </w:rPr>
      </w:pPr>
      <w:r>
        <w:rPr>
          <w:rFonts w:ascii="Times New Roman" w:hAnsi="Times New Roman" w:cs="Times New Roman"/>
          <w:color w:val="auto"/>
        </w:rPr>
        <w:t>Using the Luminex technology</w:t>
      </w:r>
      <w:r w:rsidR="009F2781">
        <w:rPr>
          <w:rFonts w:ascii="Times New Roman" w:hAnsi="Times New Roman" w:cs="Times New Roman"/>
          <w:color w:val="auto"/>
        </w:rPr>
        <w:t xml:space="preserve">, we evaluated the levels of 22 host biomarkers including </w:t>
      </w:r>
      <w:r w:rsidR="00662384" w:rsidRPr="004F38BE">
        <w:rPr>
          <w:rFonts w:ascii="Times New Roman" w:hAnsi="Times New Roman" w:cs="Times New Roman"/>
        </w:rPr>
        <w:t>interleukin</w:t>
      </w:r>
      <w:r w:rsidR="00EE2827" w:rsidRPr="004F38BE">
        <w:rPr>
          <w:rFonts w:ascii="Times New Roman" w:hAnsi="Times New Roman" w:cs="Times New Roman"/>
        </w:rPr>
        <w:t>-1 receptor antagonis</w:t>
      </w:r>
      <w:r w:rsidR="00662384" w:rsidRPr="004F38BE">
        <w:rPr>
          <w:rFonts w:ascii="Times New Roman" w:hAnsi="Times New Roman" w:cs="Times New Roman"/>
        </w:rPr>
        <w:t>t</w:t>
      </w:r>
      <w:r w:rsidR="00EE2827" w:rsidRPr="004F38BE">
        <w:rPr>
          <w:rFonts w:ascii="Times New Roman" w:hAnsi="Times New Roman" w:cs="Times New Roman"/>
        </w:rPr>
        <w:t xml:space="preserve"> (</w:t>
      </w:r>
      <w:r w:rsidR="006816F8" w:rsidRPr="004F38BE">
        <w:rPr>
          <w:rFonts w:ascii="Times New Roman" w:hAnsi="Times New Roman" w:cs="Times New Roman"/>
        </w:rPr>
        <w:t>IL-1ra</w:t>
      </w:r>
      <w:r w:rsidR="00EE2827" w:rsidRPr="004F38BE">
        <w:rPr>
          <w:rFonts w:ascii="Times New Roman" w:hAnsi="Times New Roman" w:cs="Times New Roman"/>
        </w:rPr>
        <w:t>)</w:t>
      </w:r>
      <w:r w:rsidR="006816F8" w:rsidRPr="004F38BE">
        <w:rPr>
          <w:rFonts w:ascii="Times New Roman" w:hAnsi="Times New Roman" w:cs="Times New Roman"/>
        </w:rPr>
        <w:t>,</w:t>
      </w:r>
      <w:r w:rsidR="00EE2827" w:rsidRPr="004F38BE">
        <w:rPr>
          <w:rFonts w:ascii="Times New Roman" w:hAnsi="Times New Roman" w:cs="Times New Roman"/>
        </w:rPr>
        <w:t xml:space="preserve"> transforming growth factor (</w:t>
      </w:r>
      <w:r w:rsidR="006816F8" w:rsidRPr="004F38BE">
        <w:rPr>
          <w:rFonts w:ascii="Times New Roman" w:hAnsi="Times New Roman" w:cs="Times New Roman"/>
        </w:rPr>
        <w:t>TGF</w:t>
      </w:r>
      <w:r w:rsidR="00EE2827" w:rsidRPr="004F38BE">
        <w:rPr>
          <w:rFonts w:ascii="Times New Roman" w:hAnsi="Times New Roman" w:cs="Times New Roman"/>
        </w:rPr>
        <w:t>)</w:t>
      </w:r>
      <w:r w:rsidR="006816F8" w:rsidRPr="004F38BE">
        <w:rPr>
          <w:rFonts w:ascii="Times New Roman" w:hAnsi="Times New Roman" w:cs="Times New Roman"/>
        </w:rPr>
        <w:t xml:space="preserve">-α, </w:t>
      </w:r>
      <w:r w:rsidR="00EE2827" w:rsidRPr="004F38BE">
        <w:rPr>
          <w:rFonts w:ascii="Times New Roman" w:hAnsi="Times New Roman" w:cs="Times New Roman"/>
        </w:rPr>
        <w:t>IFN-γ, IFN-</w:t>
      </w:r>
      <w:r w:rsidR="00662384" w:rsidRPr="004F38BE">
        <w:rPr>
          <w:rFonts w:ascii="Times New Roman" w:hAnsi="Times New Roman" w:cs="Times New Roman"/>
        </w:rPr>
        <w:t>γ-</w:t>
      </w:r>
      <w:r w:rsidR="00EE2827" w:rsidRPr="004F38BE">
        <w:rPr>
          <w:rFonts w:ascii="Times New Roman" w:hAnsi="Times New Roman" w:cs="Times New Roman"/>
        </w:rPr>
        <w:t>inducible protein (</w:t>
      </w:r>
      <w:r w:rsidR="006816F8" w:rsidRPr="004F38BE">
        <w:rPr>
          <w:rFonts w:ascii="Times New Roman" w:hAnsi="Times New Roman" w:cs="Times New Roman"/>
        </w:rPr>
        <w:t>IP</w:t>
      </w:r>
      <w:r w:rsidR="00EE2827" w:rsidRPr="004F38BE">
        <w:rPr>
          <w:rFonts w:ascii="Times New Roman" w:hAnsi="Times New Roman" w:cs="Times New Roman"/>
        </w:rPr>
        <w:t>)</w:t>
      </w:r>
      <w:r w:rsidR="006816F8" w:rsidRPr="004F38BE">
        <w:rPr>
          <w:rFonts w:ascii="Times New Roman" w:hAnsi="Times New Roman" w:cs="Times New Roman"/>
        </w:rPr>
        <w:t xml:space="preserve">-10, </w:t>
      </w:r>
      <w:r w:rsidR="00EE2827" w:rsidRPr="004F38BE">
        <w:rPr>
          <w:rFonts w:ascii="Times New Roman" w:hAnsi="Times New Roman" w:cs="Times New Roman"/>
        </w:rPr>
        <w:t>tumour necrosis factor (</w:t>
      </w:r>
      <w:r w:rsidR="006816F8" w:rsidRPr="004F38BE">
        <w:rPr>
          <w:rFonts w:ascii="Times New Roman" w:hAnsi="Times New Roman" w:cs="Times New Roman"/>
        </w:rPr>
        <w:t>TNF</w:t>
      </w:r>
      <w:r w:rsidR="00EE2827" w:rsidRPr="004F38BE">
        <w:rPr>
          <w:rFonts w:ascii="Times New Roman" w:hAnsi="Times New Roman" w:cs="Times New Roman"/>
        </w:rPr>
        <w:t>)</w:t>
      </w:r>
      <w:r w:rsidR="006816F8" w:rsidRPr="004F38BE">
        <w:rPr>
          <w:rFonts w:ascii="Times New Roman" w:hAnsi="Times New Roman" w:cs="Times New Roman"/>
        </w:rPr>
        <w:t xml:space="preserve">-α,  IFN-α2, </w:t>
      </w:r>
      <w:r w:rsidR="00EE2827" w:rsidRPr="004F38BE">
        <w:rPr>
          <w:rFonts w:ascii="Times New Roman" w:hAnsi="Times New Roman" w:cs="Times New Roman"/>
        </w:rPr>
        <w:t>vascular endothelial growth factor (</w:t>
      </w:r>
      <w:r w:rsidR="006816F8" w:rsidRPr="004F38BE">
        <w:rPr>
          <w:rFonts w:ascii="Times New Roman" w:hAnsi="Times New Roman" w:cs="Times New Roman"/>
        </w:rPr>
        <w:t>VEGF</w:t>
      </w:r>
      <w:r w:rsidR="00EE2827" w:rsidRPr="004F38BE">
        <w:rPr>
          <w:rFonts w:ascii="Times New Roman" w:hAnsi="Times New Roman" w:cs="Times New Roman"/>
        </w:rPr>
        <w:t>)</w:t>
      </w:r>
      <w:r w:rsidR="006816F8" w:rsidRPr="004F38BE">
        <w:rPr>
          <w:rFonts w:ascii="Times New Roman" w:hAnsi="Times New Roman" w:cs="Times New Roman"/>
        </w:rPr>
        <w:t xml:space="preserve">, matrix </w:t>
      </w:r>
      <w:proofErr w:type="spellStart"/>
      <w:r w:rsidR="006816F8" w:rsidRPr="004F38BE">
        <w:rPr>
          <w:rFonts w:ascii="Times New Roman" w:hAnsi="Times New Roman" w:cs="Times New Roman"/>
        </w:rPr>
        <w:t>metallo</w:t>
      </w:r>
      <w:proofErr w:type="spellEnd"/>
      <w:r w:rsidR="006816F8" w:rsidRPr="004F38BE">
        <w:rPr>
          <w:rFonts w:ascii="Times New Roman" w:hAnsi="Times New Roman" w:cs="Times New Roman"/>
        </w:rPr>
        <w:t xml:space="preserve">-proteinase (MMP)-2, MMP-9, </w:t>
      </w:r>
      <w:r w:rsidR="006816F8" w:rsidRPr="004F38BE">
        <w:rPr>
          <w:rFonts w:ascii="Times New Roman" w:hAnsi="Times New Roman" w:cs="Times New Roman"/>
          <w:color w:val="auto"/>
        </w:rPr>
        <w:t>apolipoprotein</w:t>
      </w:r>
      <w:r w:rsidR="00DC4F83" w:rsidRPr="004F38BE">
        <w:rPr>
          <w:rFonts w:ascii="Times New Roman" w:hAnsi="Times New Roman" w:cs="Times New Roman"/>
          <w:color w:val="auto"/>
        </w:rPr>
        <w:t xml:space="preserve"> A-1</w:t>
      </w:r>
      <w:r w:rsidR="006816F8" w:rsidRPr="004F38BE">
        <w:rPr>
          <w:rFonts w:ascii="Times New Roman" w:hAnsi="Times New Roman" w:cs="Times New Roman"/>
          <w:color w:val="auto"/>
        </w:rPr>
        <w:t xml:space="preserve"> (A</w:t>
      </w:r>
      <w:r w:rsidR="00DC4F83" w:rsidRPr="004F38BE">
        <w:rPr>
          <w:rFonts w:ascii="Times New Roman" w:hAnsi="Times New Roman" w:cs="Times New Roman"/>
          <w:color w:val="auto"/>
        </w:rPr>
        <w:t>poA-</w:t>
      </w:r>
      <w:r w:rsidR="006816F8" w:rsidRPr="004F38BE">
        <w:rPr>
          <w:rFonts w:ascii="Times New Roman" w:hAnsi="Times New Roman" w:cs="Times New Roman"/>
          <w:color w:val="auto"/>
        </w:rPr>
        <w:t>1</w:t>
      </w:r>
      <w:r w:rsidR="00DC4F83" w:rsidRPr="004F38BE">
        <w:rPr>
          <w:rFonts w:ascii="Times New Roman" w:hAnsi="Times New Roman" w:cs="Times New Roman"/>
          <w:color w:val="auto"/>
        </w:rPr>
        <w:t>)</w:t>
      </w:r>
      <w:r w:rsidR="006816F8" w:rsidRPr="004F38BE">
        <w:rPr>
          <w:rFonts w:ascii="Times New Roman" w:hAnsi="Times New Roman" w:cs="Times New Roman"/>
          <w:color w:val="auto"/>
        </w:rPr>
        <w:t xml:space="preserve">, </w:t>
      </w:r>
      <w:r w:rsidR="00DC4F83" w:rsidRPr="004F38BE">
        <w:rPr>
          <w:rFonts w:ascii="Times New Roman" w:hAnsi="Times New Roman" w:cs="Times New Roman"/>
          <w:color w:val="auto"/>
        </w:rPr>
        <w:t>Apo-CIII</w:t>
      </w:r>
      <w:r w:rsidR="006816F8" w:rsidRPr="004F38BE">
        <w:rPr>
          <w:rFonts w:ascii="Times New Roman" w:hAnsi="Times New Roman" w:cs="Times New Roman"/>
          <w:color w:val="auto"/>
        </w:rPr>
        <w:t xml:space="preserve">, </w:t>
      </w:r>
      <w:r w:rsidR="006816F8" w:rsidRPr="004F38BE">
        <w:rPr>
          <w:rFonts w:ascii="Times New Roman" w:hAnsi="Times New Roman" w:cs="Times New Roman"/>
        </w:rPr>
        <w:t>transthyretin</w:t>
      </w:r>
      <w:r w:rsidR="009F2781">
        <w:rPr>
          <w:rFonts w:ascii="Times New Roman" w:hAnsi="Times New Roman" w:cs="Times New Roman"/>
        </w:rPr>
        <w:t>,</w:t>
      </w:r>
      <w:r w:rsidR="009F2781">
        <w:rPr>
          <w:rFonts w:ascii="Times New Roman" w:hAnsi="Times New Roman" w:cs="Times New Roman"/>
          <w:color w:val="auto"/>
        </w:rPr>
        <w:t xml:space="preserve"> </w:t>
      </w:r>
      <w:r w:rsidR="006816F8" w:rsidRPr="004F38BE">
        <w:rPr>
          <w:rFonts w:ascii="Times New Roman" w:hAnsi="Times New Roman" w:cs="Times New Roman"/>
          <w:color w:val="auto"/>
        </w:rPr>
        <w:t>complement factor H (CFH)</w:t>
      </w:r>
      <w:r w:rsidR="003246CD" w:rsidRPr="004F38BE">
        <w:rPr>
          <w:rFonts w:ascii="Times New Roman" w:hAnsi="Times New Roman" w:cs="Times New Roman"/>
          <w:color w:val="auto"/>
        </w:rPr>
        <w:t xml:space="preserve"> (</w:t>
      </w:r>
      <w:r w:rsidR="006816F8" w:rsidRPr="004F38BE">
        <w:rPr>
          <w:rFonts w:ascii="Times New Roman" w:hAnsi="Times New Roman" w:cs="Times New Roman"/>
          <w:color w:val="auto"/>
        </w:rPr>
        <w:t>Merck Millipore</w:t>
      </w:r>
      <w:r w:rsidR="00EE2827" w:rsidRPr="004F38BE">
        <w:rPr>
          <w:rFonts w:ascii="Times New Roman" w:hAnsi="Times New Roman" w:cs="Times New Roman"/>
          <w:color w:val="auto"/>
        </w:rPr>
        <w:t>,</w:t>
      </w:r>
      <w:r w:rsidR="006816F8" w:rsidRPr="004F38BE">
        <w:rPr>
          <w:rFonts w:ascii="Times New Roman" w:hAnsi="Times New Roman" w:cs="Times New Roman"/>
          <w:color w:val="auto"/>
        </w:rPr>
        <w:t xml:space="preserve"> </w:t>
      </w:r>
      <w:r w:rsidR="006816F8" w:rsidRPr="004F38BE">
        <w:rPr>
          <w:rFonts w:ascii="Times New Roman" w:hAnsi="Times New Roman" w:cs="Times New Roman"/>
        </w:rPr>
        <w:t>Billerica, MA, USA</w:t>
      </w:r>
      <w:r w:rsidR="006816F8" w:rsidRPr="004F38BE">
        <w:rPr>
          <w:rFonts w:ascii="Times New Roman" w:hAnsi="Times New Roman" w:cs="Times New Roman"/>
          <w:color w:val="auto"/>
        </w:rPr>
        <w:t>)</w:t>
      </w:r>
      <w:r w:rsidR="00EE2827" w:rsidRPr="004F38BE">
        <w:rPr>
          <w:rFonts w:ascii="Times New Roman" w:hAnsi="Times New Roman" w:cs="Times New Roman"/>
          <w:color w:val="auto"/>
        </w:rPr>
        <w:t>,</w:t>
      </w:r>
      <w:r w:rsidR="003246CD" w:rsidRPr="004F38BE">
        <w:rPr>
          <w:rFonts w:ascii="Times New Roman" w:hAnsi="Times New Roman" w:cs="Times New Roman"/>
          <w:color w:val="auto"/>
        </w:rPr>
        <w:t xml:space="preserve"> </w:t>
      </w:r>
      <w:r w:rsidR="009F2781">
        <w:rPr>
          <w:rFonts w:ascii="Times New Roman" w:hAnsi="Times New Roman" w:cs="Times New Roman"/>
          <w:color w:val="auto"/>
        </w:rPr>
        <w:t xml:space="preserve">and </w:t>
      </w:r>
      <w:r w:rsidR="006816F8" w:rsidRPr="004F38BE">
        <w:rPr>
          <w:rFonts w:ascii="Times New Roman" w:hAnsi="Times New Roman" w:cs="Times New Roman"/>
          <w:color w:val="auto"/>
        </w:rPr>
        <w:t xml:space="preserve">C-reactive protein (CRP), serum amyloid A (SAA), serum amyloid P (SAP), fibrinogen, ferritin, tissue plasminogen activator (TPA), </w:t>
      </w:r>
      <w:proofErr w:type="spellStart"/>
      <w:r w:rsidR="006816F8" w:rsidRPr="004F38BE">
        <w:rPr>
          <w:rFonts w:ascii="Times New Roman" w:hAnsi="Times New Roman" w:cs="Times New Roman"/>
          <w:color w:val="auto"/>
        </w:rPr>
        <w:t>procalcitonin</w:t>
      </w:r>
      <w:proofErr w:type="spellEnd"/>
      <w:r w:rsidR="006816F8" w:rsidRPr="004F38BE">
        <w:rPr>
          <w:rFonts w:ascii="Times New Roman" w:hAnsi="Times New Roman" w:cs="Times New Roman"/>
          <w:color w:val="auto"/>
        </w:rPr>
        <w:t xml:space="preserve"> (PCT), </w:t>
      </w:r>
      <w:proofErr w:type="spellStart"/>
      <w:r w:rsidR="006816F8" w:rsidRPr="004F38BE">
        <w:rPr>
          <w:rFonts w:ascii="Times New Roman" w:hAnsi="Times New Roman" w:cs="Times New Roman"/>
          <w:color w:val="auto"/>
        </w:rPr>
        <w:t>haptoglobulin</w:t>
      </w:r>
      <w:proofErr w:type="spellEnd"/>
      <w:r w:rsidR="006816F8" w:rsidRPr="004F38BE">
        <w:rPr>
          <w:rFonts w:ascii="Times New Roman" w:hAnsi="Times New Roman" w:cs="Times New Roman"/>
          <w:color w:val="auto"/>
        </w:rPr>
        <w:t xml:space="preserve"> and alpha-2-macroglobulin (A2M)</w:t>
      </w:r>
      <w:r w:rsidR="003246CD" w:rsidRPr="004F38BE">
        <w:rPr>
          <w:rFonts w:ascii="Times New Roman" w:hAnsi="Times New Roman" w:cs="Times New Roman"/>
          <w:color w:val="auto"/>
        </w:rPr>
        <w:t xml:space="preserve"> (</w:t>
      </w:r>
      <w:r w:rsidR="006816F8" w:rsidRPr="004F38BE">
        <w:rPr>
          <w:rFonts w:ascii="Times New Roman" w:hAnsi="Times New Roman" w:cs="Times New Roman"/>
          <w:color w:val="auto"/>
        </w:rPr>
        <w:t>Bio</w:t>
      </w:r>
      <w:r w:rsidR="00493161" w:rsidRPr="004F38BE">
        <w:rPr>
          <w:rFonts w:ascii="Times New Roman" w:hAnsi="Times New Roman" w:cs="Times New Roman"/>
          <w:color w:val="auto"/>
        </w:rPr>
        <w:t>-</w:t>
      </w:r>
      <w:r w:rsidR="006816F8" w:rsidRPr="004F38BE">
        <w:rPr>
          <w:rFonts w:ascii="Times New Roman" w:hAnsi="Times New Roman" w:cs="Times New Roman"/>
          <w:color w:val="auto"/>
        </w:rPr>
        <w:t xml:space="preserve">Rad Laboratories, Hercules, CA, USA).  Prior to testing, </w:t>
      </w:r>
      <w:r w:rsidR="006816F8" w:rsidRPr="004F38BE">
        <w:rPr>
          <w:rFonts w:ascii="Times New Roman" w:hAnsi="Times New Roman" w:cs="Times New Roman"/>
        </w:rPr>
        <w:t>samples for MMP-2 and MMP-9 were pre-diluted 1:100 following optimization experiments. Samples for all other analytes were evaluated undiluted, or diluted as recommended by the</w:t>
      </w:r>
      <w:r w:rsidR="00E046D4" w:rsidRPr="004F38BE">
        <w:rPr>
          <w:rFonts w:ascii="Times New Roman" w:hAnsi="Times New Roman" w:cs="Times New Roman"/>
        </w:rPr>
        <w:t xml:space="preserve"> different</w:t>
      </w:r>
      <w:r w:rsidR="006816F8" w:rsidRPr="004F38BE">
        <w:rPr>
          <w:rFonts w:ascii="Times New Roman" w:hAnsi="Times New Roman" w:cs="Times New Roman"/>
        </w:rPr>
        <w:t xml:space="preserve"> manufacturers in the package inserts. The laboratory </w:t>
      </w:r>
      <w:r w:rsidR="00E046D4" w:rsidRPr="004F38BE">
        <w:rPr>
          <w:rFonts w:ascii="Times New Roman" w:hAnsi="Times New Roman" w:cs="Times New Roman"/>
        </w:rPr>
        <w:t>staff performing the experiments w</w:t>
      </w:r>
      <w:r w:rsidR="00BE6EE4" w:rsidRPr="004F38BE">
        <w:rPr>
          <w:rFonts w:ascii="Times New Roman" w:hAnsi="Times New Roman" w:cs="Times New Roman"/>
        </w:rPr>
        <w:t>ere</w:t>
      </w:r>
      <w:r w:rsidR="006816F8" w:rsidRPr="004F38BE">
        <w:rPr>
          <w:rFonts w:ascii="Times New Roman" w:hAnsi="Times New Roman" w:cs="Times New Roman"/>
        </w:rPr>
        <w:t xml:space="preserve"> blinded to the clinical groups of study participants. All assays were</w:t>
      </w:r>
      <w:r w:rsidR="001740BB" w:rsidRPr="004F38BE">
        <w:rPr>
          <w:rFonts w:ascii="Times New Roman" w:hAnsi="Times New Roman" w:cs="Times New Roman"/>
        </w:rPr>
        <w:t xml:space="preserve"> performed</w:t>
      </w:r>
      <w:r w:rsidR="006816F8" w:rsidRPr="004F38BE">
        <w:rPr>
          <w:rFonts w:ascii="Times New Roman" w:hAnsi="Times New Roman" w:cs="Times New Roman"/>
        </w:rPr>
        <w:t xml:space="preserve"> </w:t>
      </w:r>
      <w:r w:rsidR="001740BB" w:rsidRPr="004F38BE">
        <w:rPr>
          <w:rFonts w:ascii="Times New Roman" w:hAnsi="Times New Roman" w:cs="Times New Roman"/>
        </w:rPr>
        <w:t xml:space="preserve">and </w:t>
      </w:r>
      <w:r w:rsidR="006816F8" w:rsidRPr="004F38BE">
        <w:rPr>
          <w:rFonts w:ascii="Times New Roman" w:hAnsi="Times New Roman" w:cs="Times New Roman"/>
        </w:rPr>
        <w:t>read</w:t>
      </w:r>
      <w:r w:rsidR="001740BB" w:rsidRPr="004F38BE">
        <w:rPr>
          <w:rFonts w:ascii="Times New Roman" w:hAnsi="Times New Roman" w:cs="Times New Roman"/>
        </w:rPr>
        <w:t xml:space="preserve"> in a central lab</w:t>
      </w:r>
      <w:r w:rsidR="00FF1EA8" w:rsidRPr="004F38BE">
        <w:rPr>
          <w:rFonts w:ascii="Times New Roman" w:hAnsi="Times New Roman" w:cs="Times New Roman"/>
        </w:rPr>
        <w:t>oratory</w:t>
      </w:r>
      <w:r w:rsidR="001740BB" w:rsidRPr="004F38BE">
        <w:rPr>
          <w:rFonts w:ascii="Times New Roman" w:hAnsi="Times New Roman" w:cs="Times New Roman"/>
        </w:rPr>
        <w:t xml:space="preserve"> (SUN)</w:t>
      </w:r>
      <w:r w:rsidR="006816F8" w:rsidRPr="004F38BE">
        <w:rPr>
          <w:rFonts w:ascii="Times New Roman" w:hAnsi="Times New Roman" w:cs="Times New Roman"/>
        </w:rPr>
        <w:t xml:space="preserve"> on the Bio</w:t>
      </w:r>
      <w:r w:rsidR="00493161" w:rsidRPr="004F38BE">
        <w:rPr>
          <w:rFonts w:ascii="Times New Roman" w:hAnsi="Times New Roman" w:cs="Times New Roman"/>
        </w:rPr>
        <w:t>-</w:t>
      </w:r>
      <w:r w:rsidR="006816F8" w:rsidRPr="004F38BE">
        <w:rPr>
          <w:rFonts w:ascii="Times New Roman" w:hAnsi="Times New Roman" w:cs="Times New Roman"/>
        </w:rPr>
        <w:t>Plex platform (Bio</w:t>
      </w:r>
      <w:r w:rsidR="00493161" w:rsidRPr="004F38BE">
        <w:rPr>
          <w:rFonts w:ascii="Times New Roman" w:hAnsi="Times New Roman" w:cs="Times New Roman"/>
        </w:rPr>
        <w:t>-</w:t>
      </w:r>
      <w:r w:rsidR="006816F8" w:rsidRPr="004F38BE">
        <w:rPr>
          <w:rFonts w:ascii="Times New Roman" w:hAnsi="Times New Roman" w:cs="Times New Roman"/>
        </w:rPr>
        <w:t>Rad)</w:t>
      </w:r>
      <w:r w:rsidR="00822E86" w:rsidRPr="004F38BE">
        <w:rPr>
          <w:rFonts w:ascii="Times New Roman" w:hAnsi="Times New Roman" w:cs="Times New Roman"/>
        </w:rPr>
        <w:t>, with the Bio-Plex Manager</w:t>
      </w:r>
      <w:r w:rsidR="00822E86" w:rsidRPr="004F38BE">
        <w:rPr>
          <w:rFonts w:ascii="Times New Roman" w:hAnsi="Times New Roman" w:cs="Times New Roman"/>
          <w:vertAlign w:val="superscript"/>
        </w:rPr>
        <w:t>™</w:t>
      </w:r>
      <w:r w:rsidR="00822E86" w:rsidRPr="004F38BE">
        <w:rPr>
          <w:rFonts w:ascii="Times New Roman" w:hAnsi="Times New Roman" w:cs="Times New Roman"/>
        </w:rPr>
        <w:t xml:space="preserve"> Software version 6.1 used for bead acquisition and analysis</w:t>
      </w:r>
      <w:r w:rsidR="00640CF9" w:rsidRPr="004F38BE">
        <w:rPr>
          <w:rFonts w:ascii="Times New Roman" w:hAnsi="Times New Roman" w:cs="Times New Roman"/>
        </w:rPr>
        <w:t>.</w:t>
      </w:r>
      <w:r w:rsidR="006816F8" w:rsidRPr="004F38BE">
        <w:rPr>
          <w:rFonts w:ascii="Times New Roman" w:hAnsi="Times New Roman" w:cs="Times New Roman"/>
        </w:rPr>
        <w:t xml:space="preserve"> </w:t>
      </w:r>
    </w:p>
    <w:p w14:paraId="331E7A49" w14:textId="77777777" w:rsidR="00581AD0" w:rsidRPr="004F38BE" w:rsidRDefault="00581AD0" w:rsidP="0033455D">
      <w:pPr>
        <w:pStyle w:val="DefaultStyle"/>
        <w:spacing w:line="360" w:lineRule="auto"/>
        <w:jc w:val="both"/>
        <w:rPr>
          <w:rFonts w:ascii="Times New Roman" w:hAnsi="Times New Roman" w:cs="Times New Roman"/>
          <w:b/>
          <w:i/>
        </w:rPr>
      </w:pPr>
    </w:p>
    <w:p w14:paraId="1553621E" w14:textId="77777777" w:rsidR="00776605" w:rsidRPr="008A4BC6" w:rsidRDefault="006816F8" w:rsidP="0033455D">
      <w:pPr>
        <w:pStyle w:val="DefaultStyle"/>
        <w:spacing w:line="360" w:lineRule="auto"/>
        <w:jc w:val="both"/>
        <w:rPr>
          <w:rFonts w:ascii="Times New Roman" w:hAnsi="Times New Roman" w:cs="Times New Roman"/>
        </w:rPr>
      </w:pPr>
      <w:r w:rsidRPr="008A4BC6">
        <w:rPr>
          <w:rFonts w:ascii="Times New Roman" w:hAnsi="Times New Roman" w:cs="Times New Roman"/>
          <w:b/>
        </w:rPr>
        <w:t>Statistical analysis</w:t>
      </w:r>
    </w:p>
    <w:p w14:paraId="3AE7E780" w14:textId="7F951D36" w:rsidR="00233E01" w:rsidRPr="004F38BE" w:rsidRDefault="006816F8" w:rsidP="0033455D">
      <w:pPr>
        <w:pStyle w:val="DefaultStyle"/>
        <w:spacing w:line="360" w:lineRule="auto"/>
        <w:jc w:val="both"/>
        <w:rPr>
          <w:rFonts w:ascii="Times New Roman" w:hAnsi="Times New Roman" w:cs="Times New Roman"/>
        </w:rPr>
      </w:pPr>
      <w:r w:rsidRPr="004F38BE">
        <w:rPr>
          <w:rFonts w:ascii="Times New Roman" w:hAnsi="Times New Roman" w:cs="Times New Roman"/>
        </w:rPr>
        <w:t xml:space="preserve">Differences in </w:t>
      </w:r>
      <w:proofErr w:type="spellStart"/>
      <w:r w:rsidRPr="004F38BE">
        <w:rPr>
          <w:rFonts w:ascii="Times New Roman" w:hAnsi="Times New Roman" w:cs="Times New Roman"/>
        </w:rPr>
        <w:t>analyte</w:t>
      </w:r>
      <w:proofErr w:type="spellEnd"/>
      <w:r w:rsidRPr="004F38BE">
        <w:rPr>
          <w:rFonts w:ascii="Times New Roman" w:hAnsi="Times New Roman" w:cs="Times New Roman"/>
        </w:rPr>
        <w:t xml:space="preserve"> </w:t>
      </w:r>
      <w:r w:rsidR="00C032C6" w:rsidRPr="004F38BE">
        <w:rPr>
          <w:rFonts w:ascii="Times New Roman" w:hAnsi="Times New Roman" w:cs="Times New Roman"/>
        </w:rPr>
        <w:t>concentration</w:t>
      </w:r>
      <w:r w:rsidRPr="004F38BE">
        <w:rPr>
          <w:rFonts w:ascii="Times New Roman" w:hAnsi="Times New Roman" w:cs="Times New Roman"/>
        </w:rPr>
        <w:t>s between participants with TB disease and those without TB were evaluated by the Mann</w:t>
      </w:r>
      <w:r w:rsidR="00662384" w:rsidRPr="004F38BE">
        <w:rPr>
          <w:rFonts w:ascii="Times New Roman" w:hAnsi="Times New Roman" w:cs="Times New Roman"/>
        </w:rPr>
        <w:t>–</w:t>
      </w:r>
      <w:r w:rsidRPr="004F38BE">
        <w:rPr>
          <w:rFonts w:ascii="Times New Roman" w:hAnsi="Times New Roman" w:cs="Times New Roman"/>
        </w:rPr>
        <w:t xml:space="preserve">Whitney </w:t>
      </w:r>
      <w:r w:rsidR="00662384" w:rsidRPr="004F38BE">
        <w:rPr>
          <w:rFonts w:ascii="Times New Roman" w:hAnsi="Times New Roman" w:cs="Times New Roman"/>
        </w:rPr>
        <w:t>U-</w:t>
      </w:r>
      <w:r w:rsidRPr="004F38BE">
        <w:rPr>
          <w:rFonts w:ascii="Times New Roman" w:hAnsi="Times New Roman" w:cs="Times New Roman"/>
        </w:rPr>
        <w:t xml:space="preserve">test for non-parametric data analysis. The diagnostic accuracy of individual </w:t>
      </w:r>
      <w:r w:rsidR="001740BB" w:rsidRPr="004F38BE">
        <w:rPr>
          <w:rFonts w:ascii="Times New Roman" w:hAnsi="Times New Roman" w:cs="Times New Roman"/>
        </w:rPr>
        <w:t xml:space="preserve">analytes </w:t>
      </w:r>
      <w:r w:rsidRPr="004F38BE">
        <w:rPr>
          <w:rFonts w:ascii="Times New Roman" w:hAnsi="Times New Roman" w:cs="Times New Roman"/>
        </w:rPr>
        <w:t xml:space="preserve">was investigated by receiver operator characteristics (ROC) curve analysis. Optimal cut-off values and associated sensitivity and specificity were selected based on the </w:t>
      </w:r>
      <w:proofErr w:type="spellStart"/>
      <w:r w:rsidRPr="004F38BE">
        <w:rPr>
          <w:rFonts w:ascii="Times New Roman" w:hAnsi="Times New Roman" w:cs="Times New Roman"/>
        </w:rPr>
        <w:t>Youden’s</w:t>
      </w:r>
      <w:proofErr w:type="spellEnd"/>
      <w:r w:rsidRPr="004F38BE">
        <w:rPr>
          <w:rFonts w:ascii="Times New Roman" w:hAnsi="Times New Roman" w:cs="Times New Roman"/>
        </w:rPr>
        <w:t xml:space="preserve"> </w:t>
      </w:r>
      <w:r w:rsidR="00662384" w:rsidRPr="004F38BE">
        <w:rPr>
          <w:rFonts w:ascii="Times New Roman" w:hAnsi="Times New Roman" w:cs="Times New Roman"/>
        </w:rPr>
        <w:t>index</w:t>
      </w:r>
      <w:r w:rsidR="00020281" w:rsidRPr="004F38BE">
        <w:rPr>
          <w:rFonts w:ascii="Times New Roman" w:hAnsi="Times New Roman" w:cs="Times New Roman"/>
        </w:rPr>
        <w:fldChar w:fldCharType="begin"/>
      </w:r>
      <w:r w:rsidR="00CB2263">
        <w:rPr>
          <w:rFonts w:ascii="Times New Roman" w:hAnsi="Times New Roman" w:cs="Times New Roman"/>
        </w:rPr>
        <w:instrText xml:space="preserve"> ADDIN REFMGR.CITE &lt;Refman&gt;&lt;Cite&gt;&lt;Author&gt;Fluss&lt;/Author&gt;&lt;Year&gt;2005&lt;/Year&gt;&lt;RecNum&gt;660&lt;/RecNum&gt;&lt;IDText&gt;Estimation of the Youden Index and its Associated Cutoff Point&lt;/IDText&gt;&lt;MDL Ref_Type="Journal"&gt;&lt;Ref_Type&gt;Journal&lt;/Ref_Type&gt;&lt;Ref_ID&gt;660&lt;/Ref_ID&gt;&lt;Title_Primary&gt;&lt;f name="AdvTIB"&gt;Estimation of the Youden Index and its Associated Cutoff Point&lt;/f&gt;&lt;/Title_Primary&gt;&lt;Authors_Primary&gt;Fluss,R.&lt;/Authors_Primary&gt;&lt;Authors_Primary&gt;Faraggi,D.&lt;/Authors_Primary&gt;&lt;Authors_Primary&gt;Reiser,B.&lt;/Authors_Primary&gt;&lt;Date_Primary&gt;2005&lt;/Date_Primary&gt;&lt;Reprint&gt;Not in File&lt;/Reprint&gt;&lt;Start_Page&gt;458&lt;/Start_Page&gt;&lt;End_Page&gt;472&lt;/End_Page&gt;&lt;Periodical&gt;Biometrical Journal&lt;/Periodical&gt;&lt;Volume&gt;47&lt;/Volume&gt;&lt;Issue&gt;4&lt;/Issue&gt;&lt;ZZ_JournalFull&gt;&lt;f name="System"&gt;Biometrical Journal&lt;/f&gt;&lt;/ZZ_JournalFull&gt;&lt;ZZ_WorkformID&gt;1&lt;/ZZ_WorkformID&gt;&lt;/MDL&gt;&lt;/Cite&gt;&lt;/Refman&gt;</w:instrText>
      </w:r>
      <w:r w:rsidR="00020281" w:rsidRPr="004F38BE">
        <w:rPr>
          <w:rFonts w:ascii="Times New Roman" w:hAnsi="Times New Roman" w:cs="Times New Roman"/>
        </w:rPr>
        <w:fldChar w:fldCharType="separate"/>
      </w:r>
      <w:r w:rsidR="00CB2263" w:rsidRPr="00CB2263">
        <w:rPr>
          <w:rFonts w:ascii="Times New Roman" w:hAnsi="Times New Roman" w:cs="Times New Roman"/>
          <w:vertAlign w:val="superscript"/>
        </w:rPr>
        <w:t>19</w:t>
      </w:r>
      <w:r w:rsidR="00020281" w:rsidRPr="004F38BE">
        <w:rPr>
          <w:rFonts w:ascii="Times New Roman" w:hAnsi="Times New Roman" w:cs="Times New Roman"/>
        </w:rPr>
        <w:fldChar w:fldCharType="end"/>
      </w:r>
      <w:r w:rsidR="00A41D33" w:rsidRPr="004F38BE">
        <w:rPr>
          <w:rFonts w:ascii="Times New Roman" w:hAnsi="Times New Roman" w:cs="Times New Roman"/>
        </w:rPr>
        <w:t xml:space="preserve">. </w:t>
      </w:r>
      <w:r w:rsidR="00776605" w:rsidRPr="004F38BE">
        <w:rPr>
          <w:rFonts w:ascii="Times New Roman" w:hAnsi="Times New Roman" w:cs="Times New Roman"/>
        </w:rPr>
        <w:t xml:space="preserve">The predictive abilities of combinations of analytes were </w:t>
      </w:r>
      <w:r w:rsidR="00A358C5" w:rsidRPr="004F38BE">
        <w:rPr>
          <w:rFonts w:ascii="Times New Roman" w:hAnsi="Times New Roman" w:cs="Times New Roman"/>
        </w:rPr>
        <w:t>investig</w:t>
      </w:r>
      <w:r w:rsidR="00776605" w:rsidRPr="004F38BE">
        <w:rPr>
          <w:rFonts w:ascii="Times New Roman" w:hAnsi="Times New Roman" w:cs="Times New Roman"/>
        </w:rPr>
        <w:t xml:space="preserve">ated by </w:t>
      </w:r>
      <w:r w:rsidR="00FC2ECE">
        <w:rPr>
          <w:rFonts w:ascii="Times New Roman" w:hAnsi="Times New Roman" w:cs="Times New Roman"/>
        </w:rPr>
        <w:t>General</w:t>
      </w:r>
      <w:r w:rsidR="00776605" w:rsidRPr="004F38BE">
        <w:rPr>
          <w:rFonts w:ascii="Times New Roman" w:hAnsi="Times New Roman" w:cs="Times New Roman"/>
        </w:rPr>
        <w:t xml:space="preserve"> discriminant analysis (</w:t>
      </w:r>
      <w:r w:rsidR="00FC2ECE">
        <w:rPr>
          <w:rFonts w:ascii="Times New Roman" w:hAnsi="Times New Roman" w:cs="Times New Roman"/>
        </w:rPr>
        <w:t>G</w:t>
      </w:r>
      <w:r w:rsidR="00776605" w:rsidRPr="004F38BE">
        <w:rPr>
          <w:rFonts w:ascii="Times New Roman" w:hAnsi="Times New Roman" w:cs="Times New Roman"/>
        </w:rPr>
        <w:t>DA)</w:t>
      </w:r>
      <w:r w:rsidR="00020281" w:rsidRPr="004F38BE">
        <w:rPr>
          <w:rFonts w:ascii="Times New Roman" w:hAnsi="Times New Roman" w:cs="Times New Roman"/>
        </w:rPr>
        <w:fldChar w:fldCharType="begin"/>
      </w:r>
      <w:r w:rsidR="00CB2263">
        <w:rPr>
          <w:rFonts w:ascii="Times New Roman" w:hAnsi="Times New Roman" w:cs="Times New Roman"/>
        </w:rPr>
        <w:instrText xml:space="preserve"> ADDIN REFMGR.CITE &lt;Refman&gt;&lt;Cite&gt;&lt;Author&gt;Statsoft&lt;/Author&gt;&lt;Year&gt;2014&lt;/Year&gt;&lt;RecNum&gt;662&lt;/RecNum&gt;&lt;IDText&gt;General Discriminant Analysis (GDA)&lt;/IDText&gt;&lt;MDL Ref_Type="Electronic Citation"&gt;&lt;Ref_Type&gt;Electronic Citation&lt;/Ref_Type&gt;&lt;Ref_ID&gt;662&lt;/Ref_ID&gt;&lt;Title_Primary&gt;General Discriminant Analysis (GDA)&lt;/Title_Primary&gt;&lt;Authors_Primary&gt;Statsoft&lt;/Authors_Primary&gt;&lt;Date_Primary&gt;2014&lt;/Date_Primary&gt;&lt;Keywords&gt;Discriminant Analysis&lt;/Keywords&gt;&lt;Keywords&gt;analysis&lt;/Keywords&gt;&lt;Reprint&gt;Not in File&lt;/Reprint&gt;&lt;Periodical&gt;Statsoft Electronic Statistics Textbook&lt;/Periodical&gt;&lt;Web_URL_Link2&gt;&lt;u&gt;http://www.statsoft.com/Textbook/General-Discriminant-Analysis/button/1&lt;/u&gt;&lt;/Web_URL_Link2&gt;&lt;Web_URL_Link3&gt;&lt;u&gt;http://www.statsoft.com/Textbook/General-Discriminant-Analysis/button/1&lt;/u&gt;&lt;/Web_URL_Link3&gt;&lt;ZZ_JournalFull&gt;&lt;f name="System"&gt;Statsoft Electronic Statistics Textbook&lt;/f&gt;&lt;/ZZ_JournalFull&gt;&lt;ZZ_WorkformID&gt;34&lt;/ZZ_WorkformID&gt;&lt;/MDL&gt;&lt;/Cite&gt;&lt;/Refman&gt;</w:instrText>
      </w:r>
      <w:r w:rsidR="00020281" w:rsidRPr="004F38BE">
        <w:rPr>
          <w:rFonts w:ascii="Times New Roman" w:hAnsi="Times New Roman" w:cs="Times New Roman"/>
        </w:rPr>
        <w:fldChar w:fldCharType="separate"/>
      </w:r>
      <w:r w:rsidR="00CB2263" w:rsidRPr="00CB2263">
        <w:rPr>
          <w:rFonts w:ascii="Times New Roman" w:hAnsi="Times New Roman" w:cs="Times New Roman"/>
          <w:vertAlign w:val="superscript"/>
        </w:rPr>
        <w:t>20</w:t>
      </w:r>
      <w:r w:rsidR="00020281" w:rsidRPr="004F38BE">
        <w:rPr>
          <w:rFonts w:ascii="Times New Roman" w:hAnsi="Times New Roman" w:cs="Times New Roman"/>
        </w:rPr>
        <w:fldChar w:fldCharType="end"/>
      </w:r>
      <w:r w:rsidR="0001452A">
        <w:rPr>
          <w:rFonts w:ascii="Times New Roman" w:hAnsi="Times New Roman" w:cs="Times New Roman"/>
        </w:rPr>
        <w:t xml:space="preserve"> and random forests</w:t>
      </w:r>
      <w:r w:rsidR="00FD0E76">
        <w:rPr>
          <w:rFonts w:ascii="Times New Roman" w:hAnsi="Times New Roman" w:cs="Times New Roman"/>
        </w:rPr>
        <w:fldChar w:fldCharType="begin"/>
      </w:r>
      <w:r w:rsidR="00CB2263">
        <w:rPr>
          <w:rFonts w:ascii="Times New Roman" w:hAnsi="Times New Roman" w:cs="Times New Roman"/>
        </w:rPr>
        <w:instrText xml:space="preserve"> ADDIN REFMGR.CITE &lt;Refman&gt;&lt;Cite&gt;&lt;Author&gt;Breiman&lt;/Author&gt;&lt;Year&gt;2001&lt;/Year&gt;&lt;RecNum&gt;703&lt;/RecNum&gt;&lt;IDText&gt;Random Forests&lt;/IDText&gt;&lt;MDL Ref_Type="Journal"&gt;&lt;Ref_Type&gt;Journal&lt;/Ref_Type&gt;&lt;Ref_ID&gt;703&lt;/Ref_ID&gt;&lt;Title_Primary&gt;Random Forests&lt;/Title_Primary&gt;&lt;Authors_Primary&gt;Breiman,L.&lt;/Authors_Primary&gt;&lt;Date_Primary&gt;2001&lt;/Date_Primary&gt;&lt;Reprint&gt;Not in File&lt;/Reprint&gt;&lt;Start_Page&gt;5&lt;/Start_Page&gt;&lt;End_Page&gt;32&lt;/End_Page&gt;&lt;Periodical&gt;Machine Learning&lt;/Periodical&gt;&lt;Volume&gt;45&lt;/Volume&gt;&lt;Issue&gt;1&lt;/Issue&gt;&lt;Misc_3&gt; 10.1023/A:1010933404324&lt;/Misc_3&gt;&lt;ZZ_JournalFull&gt;&lt;f name="System"&gt;Machine Learning&lt;/f&gt;&lt;/ZZ_JournalFull&gt;&lt;ZZ_WorkformID&gt;1&lt;/ZZ_WorkformID&gt;&lt;/MDL&gt;&lt;/Cite&gt;&lt;/Refman&gt;</w:instrText>
      </w:r>
      <w:r w:rsidR="00FD0E76">
        <w:rPr>
          <w:rFonts w:ascii="Times New Roman" w:hAnsi="Times New Roman" w:cs="Times New Roman"/>
        </w:rPr>
        <w:fldChar w:fldCharType="separate"/>
      </w:r>
      <w:r w:rsidR="00CB2263" w:rsidRPr="00CB2263">
        <w:rPr>
          <w:rFonts w:ascii="Times New Roman" w:hAnsi="Times New Roman" w:cs="Times New Roman"/>
          <w:vertAlign w:val="superscript"/>
        </w:rPr>
        <w:t>21</w:t>
      </w:r>
      <w:r w:rsidR="00FD0E76">
        <w:rPr>
          <w:rFonts w:ascii="Times New Roman" w:hAnsi="Times New Roman" w:cs="Times New Roman"/>
        </w:rPr>
        <w:fldChar w:fldCharType="end"/>
      </w:r>
      <w:r w:rsidR="00EB4E6E" w:rsidRPr="004F38BE">
        <w:rPr>
          <w:rFonts w:ascii="Times New Roman" w:hAnsi="Times New Roman" w:cs="Times New Roman"/>
        </w:rPr>
        <w:t>,</w:t>
      </w:r>
      <w:r w:rsidR="001F4D34" w:rsidRPr="004F38BE">
        <w:rPr>
          <w:rFonts w:ascii="Times New Roman" w:hAnsi="Times New Roman" w:cs="Times New Roman"/>
        </w:rPr>
        <w:t xml:space="preserve"> following the training/test set approach.</w:t>
      </w:r>
      <w:r w:rsidR="00312AAF" w:rsidRPr="004F38BE">
        <w:rPr>
          <w:rFonts w:ascii="Times New Roman" w:hAnsi="Times New Roman" w:cs="Times New Roman"/>
        </w:rPr>
        <w:t xml:space="preserve"> Briefly, patients were randomly assigned int</w:t>
      </w:r>
      <w:r w:rsidR="00577441" w:rsidRPr="004F38BE">
        <w:rPr>
          <w:rFonts w:ascii="Times New Roman" w:hAnsi="Times New Roman" w:cs="Times New Roman"/>
        </w:rPr>
        <w:t xml:space="preserve">o the </w:t>
      </w:r>
      <w:r w:rsidR="00577441" w:rsidRPr="004F38BE">
        <w:rPr>
          <w:rFonts w:ascii="Times New Roman" w:hAnsi="Times New Roman" w:cs="Times New Roman"/>
          <w:color w:val="auto"/>
        </w:rPr>
        <w:t>training</w:t>
      </w:r>
      <w:r w:rsidR="00B83784" w:rsidRPr="004F38BE">
        <w:rPr>
          <w:rFonts w:ascii="Times New Roman" w:hAnsi="Times New Roman" w:cs="Times New Roman"/>
          <w:color w:val="auto"/>
        </w:rPr>
        <w:t xml:space="preserve"> set (70% of study participants, </w:t>
      </w:r>
      <w:r w:rsidR="00577441" w:rsidRPr="004F38BE">
        <w:rPr>
          <w:rFonts w:ascii="Times New Roman" w:hAnsi="Times New Roman" w:cs="Times New Roman"/>
          <w:color w:val="auto"/>
        </w:rPr>
        <w:t>n=4</w:t>
      </w:r>
      <w:r w:rsidR="00B83784" w:rsidRPr="004F38BE">
        <w:rPr>
          <w:rFonts w:ascii="Times New Roman" w:hAnsi="Times New Roman" w:cs="Times New Roman"/>
          <w:color w:val="auto"/>
        </w:rPr>
        <w:t>91</w:t>
      </w:r>
      <w:r w:rsidR="00312AAF" w:rsidRPr="004F38BE">
        <w:rPr>
          <w:rFonts w:ascii="Times New Roman" w:hAnsi="Times New Roman" w:cs="Times New Roman"/>
          <w:color w:val="auto"/>
        </w:rPr>
        <w:t>) or test set (</w:t>
      </w:r>
      <w:r w:rsidR="00B83784" w:rsidRPr="004F38BE">
        <w:rPr>
          <w:rFonts w:ascii="Times New Roman" w:hAnsi="Times New Roman" w:cs="Times New Roman"/>
          <w:color w:val="auto"/>
        </w:rPr>
        <w:t xml:space="preserve">30%, </w:t>
      </w:r>
      <w:r w:rsidR="00312AAF" w:rsidRPr="004F38BE">
        <w:rPr>
          <w:rFonts w:ascii="Times New Roman" w:hAnsi="Times New Roman" w:cs="Times New Roman"/>
          <w:color w:val="auto"/>
        </w:rPr>
        <w:t>n=2</w:t>
      </w:r>
      <w:r w:rsidR="00B83784" w:rsidRPr="004F38BE">
        <w:rPr>
          <w:rFonts w:ascii="Times New Roman" w:hAnsi="Times New Roman" w:cs="Times New Roman"/>
          <w:color w:val="auto"/>
        </w:rPr>
        <w:t>10</w:t>
      </w:r>
      <w:r w:rsidR="00312AAF" w:rsidRPr="004F38BE">
        <w:rPr>
          <w:rFonts w:ascii="Times New Roman" w:hAnsi="Times New Roman" w:cs="Times New Roman"/>
          <w:color w:val="auto"/>
        </w:rPr>
        <w:t xml:space="preserve">), regardless of </w:t>
      </w:r>
      <w:r w:rsidR="00737E10" w:rsidRPr="004F38BE">
        <w:rPr>
          <w:rFonts w:ascii="Times New Roman" w:hAnsi="Times New Roman" w:cs="Times New Roman"/>
          <w:color w:val="auto"/>
        </w:rPr>
        <w:t xml:space="preserve">HIV infection status or </w:t>
      </w:r>
      <w:r w:rsidR="00312AAF" w:rsidRPr="004F38BE">
        <w:rPr>
          <w:rFonts w:ascii="Times New Roman" w:hAnsi="Times New Roman" w:cs="Times New Roman"/>
          <w:color w:val="auto"/>
        </w:rPr>
        <w:t xml:space="preserve">study site by the software used in </w:t>
      </w:r>
      <w:r w:rsidR="00737E10" w:rsidRPr="004F38BE">
        <w:rPr>
          <w:rFonts w:ascii="Times New Roman" w:hAnsi="Times New Roman" w:cs="Times New Roman"/>
          <w:color w:val="auto"/>
        </w:rPr>
        <w:t xml:space="preserve">data analysis </w:t>
      </w:r>
      <w:r w:rsidR="00B01467" w:rsidRPr="004F38BE">
        <w:rPr>
          <w:rFonts w:ascii="Times New Roman" w:hAnsi="Times New Roman" w:cs="Times New Roman"/>
          <w:color w:val="auto"/>
        </w:rPr>
        <w:t>(</w:t>
      </w:r>
      <w:r w:rsidR="00EA50E2" w:rsidRPr="004F38BE">
        <w:rPr>
          <w:rFonts w:ascii="Times New Roman" w:hAnsi="Times New Roman" w:cs="Times New Roman"/>
          <w:color w:val="auto"/>
        </w:rPr>
        <w:t xml:space="preserve">Statistica, </w:t>
      </w:r>
      <w:proofErr w:type="spellStart"/>
      <w:r w:rsidR="00B01467" w:rsidRPr="004F38BE">
        <w:rPr>
          <w:rFonts w:ascii="Times New Roman" w:hAnsi="Times New Roman" w:cs="Times New Roman"/>
          <w:color w:val="auto"/>
        </w:rPr>
        <w:t>Statsoft</w:t>
      </w:r>
      <w:proofErr w:type="spellEnd"/>
      <w:r w:rsidR="00B01467" w:rsidRPr="004F38BE">
        <w:rPr>
          <w:rFonts w:ascii="Times New Roman" w:hAnsi="Times New Roman" w:cs="Times New Roman"/>
          <w:color w:val="auto"/>
        </w:rPr>
        <w:t>, Ohio, USA)</w:t>
      </w:r>
      <w:r w:rsidR="00737E10" w:rsidRPr="004F38BE">
        <w:rPr>
          <w:rFonts w:ascii="Times New Roman" w:hAnsi="Times New Roman" w:cs="Times New Roman"/>
          <w:color w:val="auto"/>
        </w:rPr>
        <w:t xml:space="preserve">. </w:t>
      </w:r>
      <w:r w:rsidR="000D312F" w:rsidRPr="004F38BE">
        <w:rPr>
          <w:rFonts w:ascii="Times New Roman" w:hAnsi="Times New Roman" w:cs="Times New Roman"/>
          <w:color w:val="auto"/>
        </w:rPr>
        <w:t xml:space="preserve">These training and test sets were selected using random sampling, stratified on the dependent (TB) variable. </w:t>
      </w:r>
      <w:r w:rsidR="00737E10" w:rsidRPr="004F38BE">
        <w:rPr>
          <w:rFonts w:ascii="Times New Roman" w:hAnsi="Times New Roman" w:cs="Times New Roman"/>
          <w:color w:val="auto"/>
        </w:rPr>
        <w:t xml:space="preserve">The most accurate of the top 20 </w:t>
      </w:r>
      <w:r w:rsidR="00737E10" w:rsidRPr="004F38BE">
        <w:rPr>
          <w:rFonts w:ascii="Times New Roman" w:hAnsi="Times New Roman" w:cs="Times New Roman"/>
        </w:rPr>
        <w:t xml:space="preserve">marker combinations identified in the training set were then evaluated on the test </w:t>
      </w:r>
      <w:r w:rsidR="00487E4F" w:rsidRPr="004F38BE">
        <w:rPr>
          <w:rFonts w:ascii="Times New Roman" w:hAnsi="Times New Roman" w:cs="Times New Roman"/>
        </w:rPr>
        <w:t xml:space="preserve">sample </w:t>
      </w:r>
      <w:r w:rsidR="00737E10" w:rsidRPr="004F38BE">
        <w:rPr>
          <w:rFonts w:ascii="Times New Roman" w:hAnsi="Times New Roman" w:cs="Times New Roman"/>
        </w:rPr>
        <w:t xml:space="preserve">set. </w:t>
      </w:r>
    </w:p>
    <w:p w14:paraId="04A8FD27" w14:textId="77777777" w:rsidR="00CD618F" w:rsidRPr="004F38BE" w:rsidRDefault="00CD618F" w:rsidP="0033455D">
      <w:pPr>
        <w:spacing w:line="360" w:lineRule="auto"/>
        <w:jc w:val="both"/>
        <w:rPr>
          <w:b/>
        </w:rPr>
      </w:pPr>
    </w:p>
    <w:p w14:paraId="02E8A0AC" w14:textId="5AC192B6" w:rsidR="00452E31" w:rsidRPr="004F38BE" w:rsidRDefault="00CF4DE2" w:rsidP="0033455D">
      <w:pPr>
        <w:spacing w:line="360" w:lineRule="auto"/>
        <w:jc w:val="both"/>
      </w:pPr>
      <w:r w:rsidRPr="004F38BE">
        <w:rPr>
          <w:b/>
        </w:rPr>
        <w:t>R</w:t>
      </w:r>
      <w:r w:rsidR="004D7872" w:rsidRPr="004F38BE">
        <w:rPr>
          <w:b/>
        </w:rPr>
        <w:t>ESULTS</w:t>
      </w:r>
    </w:p>
    <w:p w14:paraId="3168A2F4" w14:textId="4D58C998" w:rsidR="00233E01" w:rsidRPr="004F38BE" w:rsidRDefault="00CF4DE2" w:rsidP="0033455D">
      <w:pPr>
        <w:spacing w:line="360" w:lineRule="auto"/>
        <w:jc w:val="both"/>
      </w:pPr>
      <w:r w:rsidRPr="004F38BE">
        <w:lastRenderedPageBreak/>
        <w:t>A total of</w:t>
      </w:r>
      <w:r w:rsidR="00B42FBD" w:rsidRPr="004F38BE">
        <w:t xml:space="preserve"> </w:t>
      </w:r>
      <w:r w:rsidR="009D20C2" w:rsidRPr="004F38BE">
        <w:t>71</w:t>
      </w:r>
      <w:r w:rsidR="006F3EA4" w:rsidRPr="004F38BE">
        <w:t>6</w:t>
      </w:r>
      <w:r w:rsidR="009D20C2" w:rsidRPr="004F38BE">
        <w:t xml:space="preserve"> </w:t>
      </w:r>
      <w:r w:rsidR="00B42FBD" w:rsidRPr="004F38BE">
        <w:t>individuals</w:t>
      </w:r>
      <w:r w:rsidR="009D20C2" w:rsidRPr="004F38BE">
        <w:t xml:space="preserve"> </w:t>
      </w:r>
      <w:r w:rsidR="00B42FBD" w:rsidRPr="004F38BE">
        <w:t>were prospectively evaluated in the current study.</w:t>
      </w:r>
      <w:r w:rsidR="006816F8" w:rsidRPr="004F38BE">
        <w:t xml:space="preserve"> </w:t>
      </w:r>
      <w:r w:rsidR="003B5E90" w:rsidRPr="004F38BE">
        <w:t>O</w:t>
      </w:r>
      <w:r w:rsidR="009D20C2" w:rsidRPr="004F38BE">
        <w:t>ne</w:t>
      </w:r>
      <w:r w:rsidR="00512490" w:rsidRPr="004F38BE">
        <w:t xml:space="preserve"> </w:t>
      </w:r>
      <w:r w:rsidR="006816F8" w:rsidRPr="004F38BE">
        <w:t xml:space="preserve">study participant was found to </w:t>
      </w:r>
      <w:r w:rsidR="003B5E90" w:rsidRPr="004F38BE">
        <w:t>be</w:t>
      </w:r>
      <w:r w:rsidR="006816F8" w:rsidRPr="004F38BE">
        <w:t xml:space="preserve"> pregnant at the time of recruitment, and data for </w:t>
      </w:r>
      <w:r w:rsidR="00512490" w:rsidRPr="004F38BE">
        <w:t xml:space="preserve">8 </w:t>
      </w:r>
      <w:r w:rsidR="006816F8" w:rsidRPr="004F38BE">
        <w:t xml:space="preserve">other participants </w:t>
      </w:r>
      <w:r w:rsidR="00512490" w:rsidRPr="004F38BE">
        <w:t xml:space="preserve">were </w:t>
      </w:r>
      <w:r w:rsidR="006816F8" w:rsidRPr="004F38BE">
        <w:t xml:space="preserve">not appropriately captured. These 9 individuals were excluded from further analysis (Figure 1). </w:t>
      </w:r>
      <w:r w:rsidR="003B5E90" w:rsidRPr="004F38BE">
        <w:t xml:space="preserve">Table </w:t>
      </w:r>
      <w:r w:rsidR="00127413" w:rsidRPr="004F38BE">
        <w:t>2</w:t>
      </w:r>
      <w:r w:rsidR="003B5E90" w:rsidRPr="004F38BE">
        <w:t xml:space="preserve"> shows </w:t>
      </w:r>
      <w:r w:rsidR="004B39EB" w:rsidRPr="004F38BE">
        <w:t xml:space="preserve">participant </w:t>
      </w:r>
      <w:r w:rsidR="003B5E90" w:rsidRPr="004F38BE">
        <w:t>characteristics.</w:t>
      </w:r>
      <w:r w:rsidR="00512490" w:rsidRPr="004F38BE">
        <w:t xml:space="preserve"> </w:t>
      </w:r>
    </w:p>
    <w:p w14:paraId="003D15D5" w14:textId="77777777" w:rsidR="00EE38CC" w:rsidRPr="004F38BE" w:rsidRDefault="00EE38CC" w:rsidP="00EE38CC">
      <w:pPr>
        <w:spacing w:line="360" w:lineRule="auto"/>
        <w:jc w:val="both"/>
      </w:pPr>
    </w:p>
    <w:p w14:paraId="20A2044D" w14:textId="77777777" w:rsidR="00EE38CC" w:rsidRPr="004F38BE" w:rsidRDefault="00EE38CC" w:rsidP="00CC3D95">
      <w:pPr>
        <w:spacing w:line="276" w:lineRule="auto"/>
      </w:pPr>
      <w:r w:rsidRPr="004F38BE">
        <w:rPr>
          <w:b/>
        </w:rPr>
        <w:t xml:space="preserve">Table 2: Clinical and demographic characteristics of study participants. </w:t>
      </w:r>
      <w:r w:rsidRPr="004F38BE">
        <w:t>The number and characteristics of participants enrolled from the different study sites are shown</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1951"/>
        <w:gridCol w:w="1292"/>
        <w:gridCol w:w="1205"/>
        <w:gridCol w:w="1129"/>
        <w:gridCol w:w="1205"/>
        <w:gridCol w:w="1154"/>
        <w:gridCol w:w="1205"/>
      </w:tblGrid>
      <w:tr w:rsidR="00EE38CC" w:rsidRPr="004F38BE" w14:paraId="6094E195" w14:textId="77777777" w:rsidTr="00967F18">
        <w:tc>
          <w:tcPr>
            <w:tcW w:w="1951" w:type="dxa"/>
            <w:tcBorders>
              <w:top w:val="single" w:sz="8" w:space="0" w:color="000000"/>
              <w:left w:val="nil"/>
              <w:bottom w:val="single" w:sz="8" w:space="0" w:color="000000"/>
              <w:right w:val="nil"/>
            </w:tcBorders>
            <w:shd w:val="clear" w:color="auto" w:fill="auto"/>
          </w:tcPr>
          <w:p w14:paraId="028BAF0E" w14:textId="77777777" w:rsidR="00EE38CC" w:rsidRPr="004F38BE" w:rsidRDefault="00EE38CC" w:rsidP="00967F18">
            <w:pPr>
              <w:rPr>
                <w:b/>
                <w:bCs/>
                <w:color w:val="000000"/>
              </w:rPr>
            </w:pPr>
            <w:r w:rsidRPr="004F38BE">
              <w:rPr>
                <w:b/>
                <w:bCs/>
                <w:color w:val="000000"/>
              </w:rPr>
              <w:t>Study site</w:t>
            </w:r>
          </w:p>
        </w:tc>
        <w:tc>
          <w:tcPr>
            <w:tcW w:w="1292" w:type="dxa"/>
            <w:tcBorders>
              <w:top w:val="single" w:sz="8" w:space="0" w:color="000000"/>
              <w:left w:val="nil"/>
              <w:bottom w:val="single" w:sz="8" w:space="0" w:color="000000"/>
              <w:right w:val="nil"/>
            </w:tcBorders>
            <w:shd w:val="clear" w:color="auto" w:fill="auto"/>
          </w:tcPr>
          <w:p w14:paraId="43C75E96" w14:textId="77777777" w:rsidR="00EE38CC" w:rsidRPr="004F38BE" w:rsidRDefault="00EE38CC" w:rsidP="00967F18">
            <w:pPr>
              <w:rPr>
                <w:b/>
                <w:bCs/>
                <w:color w:val="000000"/>
              </w:rPr>
            </w:pPr>
            <w:r w:rsidRPr="004F38BE">
              <w:rPr>
                <w:b/>
                <w:bCs/>
                <w:color w:val="000000"/>
              </w:rPr>
              <w:t>SUN</w:t>
            </w:r>
          </w:p>
        </w:tc>
        <w:tc>
          <w:tcPr>
            <w:tcW w:w="1205" w:type="dxa"/>
            <w:tcBorders>
              <w:top w:val="single" w:sz="8" w:space="0" w:color="000000"/>
              <w:left w:val="nil"/>
              <w:bottom w:val="single" w:sz="8" w:space="0" w:color="000000"/>
              <w:right w:val="nil"/>
            </w:tcBorders>
            <w:shd w:val="clear" w:color="auto" w:fill="auto"/>
          </w:tcPr>
          <w:p w14:paraId="52848AAB" w14:textId="77777777" w:rsidR="00EE38CC" w:rsidRPr="004F38BE" w:rsidRDefault="00EE38CC" w:rsidP="00967F18">
            <w:pPr>
              <w:rPr>
                <w:b/>
                <w:bCs/>
                <w:color w:val="000000"/>
              </w:rPr>
            </w:pPr>
            <w:r w:rsidRPr="004F38BE">
              <w:rPr>
                <w:b/>
                <w:bCs/>
                <w:color w:val="000000"/>
              </w:rPr>
              <w:t>MRC</w:t>
            </w:r>
          </w:p>
        </w:tc>
        <w:tc>
          <w:tcPr>
            <w:tcW w:w="1129" w:type="dxa"/>
            <w:tcBorders>
              <w:top w:val="single" w:sz="8" w:space="0" w:color="000000"/>
              <w:left w:val="nil"/>
              <w:bottom w:val="single" w:sz="8" w:space="0" w:color="000000"/>
              <w:right w:val="nil"/>
            </w:tcBorders>
            <w:shd w:val="clear" w:color="auto" w:fill="auto"/>
          </w:tcPr>
          <w:p w14:paraId="41C89B5C" w14:textId="77777777" w:rsidR="00EE38CC" w:rsidRPr="004F38BE" w:rsidRDefault="00EE38CC" w:rsidP="00967F18">
            <w:pPr>
              <w:rPr>
                <w:b/>
                <w:bCs/>
                <w:color w:val="000000"/>
              </w:rPr>
            </w:pPr>
            <w:r w:rsidRPr="004F38BE">
              <w:rPr>
                <w:b/>
                <w:bCs/>
                <w:color w:val="000000"/>
              </w:rPr>
              <w:t>UCRC</w:t>
            </w:r>
          </w:p>
        </w:tc>
        <w:tc>
          <w:tcPr>
            <w:tcW w:w="1205" w:type="dxa"/>
            <w:tcBorders>
              <w:top w:val="single" w:sz="8" w:space="0" w:color="000000"/>
              <w:left w:val="nil"/>
              <w:bottom w:val="single" w:sz="8" w:space="0" w:color="000000"/>
              <w:right w:val="nil"/>
            </w:tcBorders>
            <w:shd w:val="clear" w:color="auto" w:fill="auto"/>
          </w:tcPr>
          <w:p w14:paraId="47FCFF13" w14:textId="77777777" w:rsidR="00EE38CC" w:rsidRPr="004F38BE" w:rsidRDefault="00EE38CC" w:rsidP="00967F18">
            <w:pPr>
              <w:rPr>
                <w:b/>
                <w:bCs/>
                <w:color w:val="000000"/>
              </w:rPr>
            </w:pPr>
            <w:r w:rsidRPr="004F38BE">
              <w:rPr>
                <w:b/>
                <w:bCs/>
                <w:color w:val="000000"/>
              </w:rPr>
              <w:t>KPS</w:t>
            </w:r>
          </w:p>
        </w:tc>
        <w:tc>
          <w:tcPr>
            <w:tcW w:w="1154" w:type="dxa"/>
            <w:tcBorders>
              <w:top w:val="single" w:sz="8" w:space="0" w:color="000000"/>
              <w:left w:val="nil"/>
              <w:bottom w:val="single" w:sz="8" w:space="0" w:color="000000"/>
              <w:right w:val="nil"/>
            </w:tcBorders>
            <w:shd w:val="clear" w:color="auto" w:fill="auto"/>
          </w:tcPr>
          <w:p w14:paraId="4FD24FE5" w14:textId="77777777" w:rsidR="00EE38CC" w:rsidRPr="004F38BE" w:rsidRDefault="00EE38CC" w:rsidP="00967F18">
            <w:pPr>
              <w:rPr>
                <w:b/>
                <w:bCs/>
                <w:color w:val="000000"/>
              </w:rPr>
            </w:pPr>
            <w:r w:rsidRPr="004F38BE">
              <w:rPr>
                <w:b/>
                <w:bCs/>
                <w:color w:val="000000"/>
              </w:rPr>
              <w:t>UNAM</w:t>
            </w:r>
          </w:p>
        </w:tc>
        <w:tc>
          <w:tcPr>
            <w:tcW w:w="1205" w:type="dxa"/>
            <w:tcBorders>
              <w:top w:val="single" w:sz="8" w:space="0" w:color="000000"/>
              <w:left w:val="nil"/>
              <w:bottom w:val="single" w:sz="8" w:space="0" w:color="000000"/>
              <w:right w:val="nil"/>
            </w:tcBorders>
            <w:shd w:val="clear" w:color="auto" w:fill="auto"/>
          </w:tcPr>
          <w:p w14:paraId="524FF5C8" w14:textId="77777777" w:rsidR="00EE38CC" w:rsidRPr="004F38BE" w:rsidRDefault="00EE38CC" w:rsidP="00967F18">
            <w:pPr>
              <w:rPr>
                <w:b/>
                <w:bCs/>
                <w:color w:val="000000"/>
              </w:rPr>
            </w:pPr>
            <w:r w:rsidRPr="004F38BE">
              <w:rPr>
                <w:b/>
                <w:bCs/>
                <w:color w:val="000000"/>
              </w:rPr>
              <w:t>Total</w:t>
            </w:r>
          </w:p>
        </w:tc>
      </w:tr>
      <w:tr w:rsidR="00EE38CC" w:rsidRPr="004F38BE" w14:paraId="0A76B14A" w14:textId="77777777" w:rsidTr="00967F18">
        <w:tc>
          <w:tcPr>
            <w:tcW w:w="1951" w:type="dxa"/>
            <w:tcBorders>
              <w:left w:val="nil"/>
              <w:right w:val="nil"/>
            </w:tcBorders>
            <w:shd w:val="clear" w:color="auto" w:fill="auto"/>
          </w:tcPr>
          <w:p w14:paraId="4A9EE87F" w14:textId="77777777" w:rsidR="00EE38CC" w:rsidRPr="004F38BE" w:rsidRDefault="00EE38CC" w:rsidP="00967F18">
            <w:pPr>
              <w:rPr>
                <w:b/>
                <w:bCs/>
                <w:color w:val="000000"/>
              </w:rPr>
            </w:pPr>
            <w:r w:rsidRPr="004F38BE">
              <w:rPr>
                <w:bCs/>
                <w:color w:val="000000"/>
              </w:rPr>
              <w:t>Participants (n)</w:t>
            </w:r>
          </w:p>
        </w:tc>
        <w:tc>
          <w:tcPr>
            <w:tcW w:w="1292" w:type="dxa"/>
            <w:tcBorders>
              <w:left w:val="nil"/>
              <w:right w:val="nil"/>
            </w:tcBorders>
            <w:shd w:val="clear" w:color="auto" w:fill="auto"/>
          </w:tcPr>
          <w:p w14:paraId="4D4A2208" w14:textId="77777777" w:rsidR="00EE38CC" w:rsidRPr="004F38BE" w:rsidRDefault="00EE38CC" w:rsidP="00967F18">
            <w:pPr>
              <w:rPr>
                <w:color w:val="000000"/>
              </w:rPr>
            </w:pPr>
            <w:r w:rsidRPr="004F38BE">
              <w:rPr>
                <w:color w:val="000000"/>
              </w:rPr>
              <w:t>161</w:t>
            </w:r>
          </w:p>
        </w:tc>
        <w:tc>
          <w:tcPr>
            <w:tcW w:w="1205" w:type="dxa"/>
            <w:tcBorders>
              <w:left w:val="nil"/>
              <w:right w:val="nil"/>
            </w:tcBorders>
            <w:shd w:val="clear" w:color="auto" w:fill="auto"/>
          </w:tcPr>
          <w:p w14:paraId="30087B34" w14:textId="77777777" w:rsidR="00EE38CC" w:rsidRPr="004F38BE" w:rsidRDefault="00EE38CC" w:rsidP="00967F18">
            <w:pPr>
              <w:rPr>
                <w:color w:val="000000"/>
              </w:rPr>
            </w:pPr>
            <w:r w:rsidRPr="004F38BE">
              <w:rPr>
                <w:color w:val="000000"/>
              </w:rPr>
              <w:t>209</w:t>
            </w:r>
          </w:p>
        </w:tc>
        <w:tc>
          <w:tcPr>
            <w:tcW w:w="1129" w:type="dxa"/>
            <w:tcBorders>
              <w:left w:val="nil"/>
              <w:right w:val="nil"/>
            </w:tcBorders>
            <w:shd w:val="clear" w:color="auto" w:fill="auto"/>
          </w:tcPr>
          <w:p w14:paraId="506B3BC0" w14:textId="77777777" w:rsidR="00EE38CC" w:rsidRPr="004F38BE" w:rsidRDefault="00EE38CC" w:rsidP="00967F18">
            <w:pPr>
              <w:rPr>
                <w:color w:val="000000"/>
              </w:rPr>
            </w:pPr>
            <w:r w:rsidRPr="004F38BE">
              <w:rPr>
                <w:color w:val="000000"/>
              </w:rPr>
              <w:t>171</w:t>
            </w:r>
          </w:p>
        </w:tc>
        <w:tc>
          <w:tcPr>
            <w:tcW w:w="1205" w:type="dxa"/>
            <w:tcBorders>
              <w:left w:val="nil"/>
              <w:right w:val="nil"/>
            </w:tcBorders>
            <w:shd w:val="clear" w:color="auto" w:fill="auto"/>
          </w:tcPr>
          <w:p w14:paraId="3CE027FD" w14:textId="77777777" w:rsidR="00EE38CC" w:rsidRPr="004F38BE" w:rsidRDefault="00EE38CC" w:rsidP="00967F18">
            <w:pPr>
              <w:rPr>
                <w:color w:val="000000"/>
              </w:rPr>
            </w:pPr>
            <w:r w:rsidRPr="004F38BE">
              <w:rPr>
                <w:color w:val="000000"/>
              </w:rPr>
              <w:t>117</w:t>
            </w:r>
          </w:p>
        </w:tc>
        <w:tc>
          <w:tcPr>
            <w:tcW w:w="1154" w:type="dxa"/>
            <w:tcBorders>
              <w:left w:val="nil"/>
              <w:right w:val="nil"/>
            </w:tcBorders>
            <w:shd w:val="clear" w:color="auto" w:fill="auto"/>
          </w:tcPr>
          <w:p w14:paraId="7E6AFCAF" w14:textId="77777777" w:rsidR="00EE38CC" w:rsidRPr="004F38BE" w:rsidRDefault="00EE38CC" w:rsidP="00967F18">
            <w:pPr>
              <w:rPr>
                <w:color w:val="000000"/>
              </w:rPr>
            </w:pPr>
            <w:r w:rsidRPr="004F38BE">
              <w:rPr>
                <w:color w:val="000000"/>
              </w:rPr>
              <w:t>49</w:t>
            </w:r>
          </w:p>
        </w:tc>
        <w:tc>
          <w:tcPr>
            <w:tcW w:w="1205" w:type="dxa"/>
            <w:tcBorders>
              <w:left w:val="nil"/>
              <w:right w:val="nil"/>
            </w:tcBorders>
            <w:shd w:val="clear" w:color="auto" w:fill="auto"/>
          </w:tcPr>
          <w:p w14:paraId="696CB55D" w14:textId="77777777" w:rsidR="00EE38CC" w:rsidRPr="004F38BE" w:rsidRDefault="00EE38CC" w:rsidP="00967F18">
            <w:pPr>
              <w:rPr>
                <w:color w:val="000000"/>
              </w:rPr>
            </w:pPr>
            <w:r w:rsidRPr="004F38BE">
              <w:rPr>
                <w:color w:val="000000"/>
              </w:rPr>
              <w:t>707</w:t>
            </w:r>
          </w:p>
        </w:tc>
      </w:tr>
      <w:tr w:rsidR="00EE38CC" w:rsidRPr="004F38BE" w14:paraId="346E22BB" w14:textId="77777777" w:rsidTr="00967F18">
        <w:tc>
          <w:tcPr>
            <w:tcW w:w="1951" w:type="dxa"/>
            <w:shd w:val="clear" w:color="auto" w:fill="auto"/>
          </w:tcPr>
          <w:p w14:paraId="067C2B12" w14:textId="77777777" w:rsidR="00EE38CC" w:rsidRPr="004F38BE" w:rsidRDefault="00EE38CC" w:rsidP="00967F18">
            <w:pPr>
              <w:rPr>
                <w:b/>
                <w:bCs/>
                <w:color w:val="000000"/>
              </w:rPr>
            </w:pPr>
            <w:r w:rsidRPr="004F38BE">
              <w:rPr>
                <w:bCs/>
                <w:color w:val="000000"/>
              </w:rPr>
              <w:t xml:space="preserve">Age, </w:t>
            </w:r>
            <w:proofErr w:type="spellStart"/>
            <w:r w:rsidRPr="004F38BE">
              <w:rPr>
                <w:bCs/>
                <w:color w:val="000000"/>
              </w:rPr>
              <w:t>mean±SD</w:t>
            </w:r>
            <w:proofErr w:type="spellEnd"/>
            <w:r w:rsidRPr="004F38BE">
              <w:rPr>
                <w:bCs/>
                <w:color w:val="000000"/>
              </w:rPr>
              <w:t xml:space="preserve">, </w:t>
            </w:r>
            <w:proofErr w:type="spellStart"/>
            <w:r w:rsidRPr="004F38BE">
              <w:rPr>
                <w:bCs/>
                <w:color w:val="000000"/>
              </w:rPr>
              <w:t>yr</w:t>
            </w:r>
            <w:proofErr w:type="spellEnd"/>
          </w:p>
        </w:tc>
        <w:tc>
          <w:tcPr>
            <w:tcW w:w="1292" w:type="dxa"/>
            <w:shd w:val="clear" w:color="auto" w:fill="auto"/>
          </w:tcPr>
          <w:p w14:paraId="648CF414" w14:textId="77777777" w:rsidR="00EE38CC" w:rsidRPr="004F38BE" w:rsidRDefault="00EE38CC" w:rsidP="00967F18">
            <w:pPr>
              <w:rPr>
                <w:color w:val="000000"/>
              </w:rPr>
            </w:pPr>
            <w:r w:rsidRPr="004F38BE">
              <w:rPr>
                <w:color w:val="000000"/>
              </w:rPr>
              <w:t>37.4±11.3</w:t>
            </w:r>
          </w:p>
        </w:tc>
        <w:tc>
          <w:tcPr>
            <w:tcW w:w="1205" w:type="dxa"/>
            <w:shd w:val="clear" w:color="auto" w:fill="auto"/>
          </w:tcPr>
          <w:p w14:paraId="0E7C995B" w14:textId="77777777" w:rsidR="00EE38CC" w:rsidRPr="004F38BE" w:rsidRDefault="00EE38CC" w:rsidP="00967F18">
            <w:pPr>
              <w:rPr>
                <w:color w:val="000000"/>
              </w:rPr>
            </w:pPr>
            <w:r w:rsidRPr="004F38BE">
              <w:rPr>
                <w:color w:val="000000"/>
              </w:rPr>
              <w:t>34.9±12.1</w:t>
            </w:r>
          </w:p>
        </w:tc>
        <w:tc>
          <w:tcPr>
            <w:tcW w:w="1129" w:type="dxa"/>
            <w:shd w:val="clear" w:color="auto" w:fill="auto"/>
          </w:tcPr>
          <w:p w14:paraId="5D13F5B9" w14:textId="77777777" w:rsidR="00EE38CC" w:rsidRPr="004F38BE" w:rsidRDefault="00EE38CC" w:rsidP="00967F18">
            <w:pPr>
              <w:rPr>
                <w:color w:val="000000"/>
              </w:rPr>
            </w:pPr>
            <w:r w:rsidRPr="004F38BE">
              <w:rPr>
                <w:color w:val="000000"/>
              </w:rPr>
              <w:t>33.1±10</w:t>
            </w:r>
          </w:p>
        </w:tc>
        <w:tc>
          <w:tcPr>
            <w:tcW w:w="1205" w:type="dxa"/>
            <w:shd w:val="clear" w:color="auto" w:fill="auto"/>
          </w:tcPr>
          <w:p w14:paraId="61C6A6DA" w14:textId="77777777" w:rsidR="00EE38CC" w:rsidRPr="004F38BE" w:rsidRDefault="00EE38CC" w:rsidP="00967F18">
            <w:pPr>
              <w:rPr>
                <w:color w:val="000000"/>
              </w:rPr>
            </w:pPr>
            <w:r w:rsidRPr="004F38BE">
              <w:rPr>
                <w:color w:val="000000"/>
              </w:rPr>
              <w:t>39.9±13.6</w:t>
            </w:r>
          </w:p>
        </w:tc>
        <w:tc>
          <w:tcPr>
            <w:tcW w:w="1154" w:type="dxa"/>
            <w:shd w:val="clear" w:color="auto" w:fill="auto"/>
          </w:tcPr>
          <w:p w14:paraId="1CFBE193" w14:textId="77777777" w:rsidR="00EE38CC" w:rsidRPr="004F38BE" w:rsidRDefault="00EE38CC" w:rsidP="00967F18">
            <w:pPr>
              <w:rPr>
                <w:color w:val="000000"/>
              </w:rPr>
            </w:pPr>
            <w:r w:rsidRPr="004F38BE">
              <w:rPr>
                <w:color w:val="000000"/>
              </w:rPr>
              <w:t>36.5±9.6</w:t>
            </w:r>
          </w:p>
        </w:tc>
        <w:tc>
          <w:tcPr>
            <w:tcW w:w="1205" w:type="dxa"/>
            <w:shd w:val="clear" w:color="auto" w:fill="auto"/>
          </w:tcPr>
          <w:p w14:paraId="060978DB" w14:textId="77777777" w:rsidR="00EE38CC" w:rsidRPr="004F38BE" w:rsidRDefault="00EE38CC" w:rsidP="00967F18">
            <w:pPr>
              <w:rPr>
                <w:color w:val="000000"/>
              </w:rPr>
            </w:pPr>
            <w:r w:rsidRPr="004F38BE">
              <w:rPr>
                <w:color w:val="000000"/>
              </w:rPr>
              <w:t>36.0±11.8</w:t>
            </w:r>
          </w:p>
        </w:tc>
      </w:tr>
      <w:tr w:rsidR="00EE38CC" w:rsidRPr="004F38BE" w14:paraId="33215E91" w14:textId="77777777" w:rsidTr="00967F18">
        <w:tc>
          <w:tcPr>
            <w:tcW w:w="1951" w:type="dxa"/>
            <w:tcBorders>
              <w:left w:val="nil"/>
              <w:right w:val="nil"/>
            </w:tcBorders>
            <w:shd w:val="clear" w:color="auto" w:fill="auto"/>
          </w:tcPr>
          <w:p w14:paraId="00372A1E" w14:textId="168EAED5" w:rsidR="00EE38CC" w:rsidRPr="004F38BE" w:rsidRDefault="00EE38CC" w:rsidP="00192597">
            <w:pPr>
              <w:rPr>
                <w:b/>
                <w:bCs/>
                <w:color w:val="000000"/>
              </w:rPr>
            </w:pPr>
            <w:r w:rsidRPr="004F38BE">
              <w:rPr>
                <w:bCs/>
                <w:color w:val="000000"/>
              </w:rPr>
              <w:t>Males</w:t>
            </w:r>
            <w:r w:rsidR="00192597">
              <w:rPr>
                <w:bCs/>
                <w:color w:val="000000"/>
              </w:rPr>
              <w:t>, n(%)</w:t>
            </w:r>
          </w:p>
        </w:tc>
        <w:tc>
          <w:tcPr>
            <w:tcW w:w="1292" w:type="dxa"/>
            <w:tcBorders>
              <w:left w:val="nil"/>
              <w:right w:val="nil"/>
            </w:tcBorders>
            <w:shd w:val="clear" w:color="auto" w:fill="auto"/>
          </w:tcPr>
          <w:p w14:paraId="5F576DA1" w14:textId="7AD5F1EC" w:rsidR="00EE38CC" w:rsidRPr="004F38BE" w:rsidRDefault="00EE38CC" w:rsidP="00967F18">
            <w:pPr>
              <w:rPr>
                <w:color w:val="000000"/>
              </w:rPr>
            </w:pPr>
            <w:r w:rsidRPr="004F38BE">
              <w:rPr>
                <w:color w:val="000000"/>
              </w:rPr>
              <w:t>68</w:t>
            </w:r>
            <w:r w:rsidR="00192597">
              <w:rPr>
                <w:color w:val="000000"/>
              </w:rPr>
              <w:t>(42)</w:t>
            </w:r>
          </w:p>
        </w:tc>
        <w:tc>
          <w:tcPr>
            <w:tcW w:w="1205" w:type="dxa"/>
            <w:tcBorders>
              <w:left w:val="nil"/>
              <w:right w:val="nil"/>
            </w:tcBorders>
            <w:shd w:val="clear" w:color="auto" w:fill="auto"/>
          </w:tcPr>
          <w:p w14:paraId="3815A430" w14:textId="7CAEF50C" w:rsidR="00EE38CC" w:rsidRPr="004F38BE" w:rsidRDefault="00EE38CC" w:rsidP="00967F18">
            <w:pPr>
              <w:rPr>
                <w:color w:val="000000"/>
              </w:rPr>
            </w:pPr>
            <w:r w:rsidRPr="004F38BE">
              <w:rPr>
                <w:color w:val="000000"/>
              </w:rPr>
              <w:t>123</w:t>
            </w:r>
            <w:r w:rsidR="00192597">
              <w:rPr>
                <w:color w:val="000000"/>
              </w:rPr>
              <w:t>(59)</w:t>
            </w:r>
          </w:p>
        </w:tc>
        <w:tc>
          <w:tcPr>
            <w:tcW w:w="1129" w:type="dxa"/>
            <w:tcBorders>
              <w:left w:val="nil"/>
              <w:right w:val="nil"/>
            </w:tcBorders>
            <w:shd w:val="clear" w:color="auto" w:fill="auto"/>
          </w:tcPr>
          <w:p w14:paraId="3148A07A" w14:textId="5EFBD98C" w:rsidR="00EE38CC" w:rsidRPr="004F38BE" w:rsidRDefault="00EE38CC" w:rsidP="00967F18">
            <w:pPr>
              <w:rPr>
                <w:color w:val="000000"/>
              </w:rPr>
            </w:pPr>
            <w:r w:rsidRPr="004F38BE">
              <w:rPr>
                <w:color w:val="000000"/>
              </w:rPr>
              <w:t>87</w:t>
            </w:r>
            <w:r w:rsidR="00560BB9">
              <w:rPr>
                <w:color w:val="000000"/>
              </w:rPr>
              <w:t>(51)</w:t>
            </w:r>
          </w:p>
        </w:tc>
        <w:tc>
          <w:tcPr>
            <w:tcW w:w="1205" w:type="dxa"/>
            <w:tcBorders>
              <w:left w:val="nil"/>
              <w:right w:val="nil"/>
            </w:tcBorders>
            <w:shd w:val="clear" w:color="auto" w:fill="auto"/>
          </w:tcPr>
          <w:p w14:paraId="4A413665" w14:textId="7ED5CA5D" w:rsidR="00EE38CC" w:rsidRPr="004F38BE" w:rsidRDefault="00EE38CC" w:rsidP="00967F18">
            <w:pPr>
              <w:rPr>
                <w:color w:val="000000"/>
              </w:rPr>
            </w:pPr>
            <w:r w:rsidRPr="004F38BE">
              <w:rPr>
                <w:color w:val="000000"/>
              </w:rPr>
              <w:t>59</w:t>
            </w:r>
            <w:r w:rsidR="00560BB9">
              <w:rPr>
                <w:color w:val="000000"/>
              </w:rPr>
              <w:t>(50)</w:t>
            </w:r>
          </w:p>
        </w:tc>
        <w:tc>
          <w:tcPr>
            <w:tcW w:w="1154" w:type="dxa"/>
            <w:tcBorders>
              <w:left w:val="nil"/>
              <w:right w:val="nil"/>
            </w:tcBorders>
            <w:shd w:val="clear" w:color="auto" w:fill="auto"/>
          </w:tcPr>
          <w:p w14:paraId="42D0A4DF" w14:textId="6AC15150" w:rsidR="00EE38CC" w:rsidRPr="004F38BE" w:rsidRDefault="00EE38CC" w:rsidP="00967F18">
            <w:pPr>
              <w:rPr>
                <w:color w:val="000000"/>
              </w:rPr>
            </w:pPr>
            <w:r w:rsidRPr="004F38BE">
              <w:rPr>
                <w:color w:val="000000"/>
              </w:rPr>
              <w:t>28</w:t>
            </w:r>
            <w:r w:rsidR="00560BB9">
              <w:rPr>
                <w:color w:val="000000"/>
              </w:rPr>
              <w:t>(57)</w:t>
            </w:r>
          </w:p>
        </w:tc>
        <w:tc>
          <w:tcPr>
            <w:tcW w:w="1205" w:type="dxa"/>
            <w:tcBorders>
              <w:left w:val="nil"/>
              <w:right w:val="nil"/>
            </w:tcBorders>
            <w:shd w:val="clear" w:color="auto" w:fill="auto"/>
          </w:tcPr>
          <w:p w14:paraId="5951D33B" w14:textId="155949E6" w:rsidR="00EE38CC" w:rsidRPr="004F38BE" w:rsidRDefault="00EE38CC" w:rsidP="00967F18">
            <w:pPr>
              <w:rPr>
                <w:color w:val="000000"/>
              </w:rPr>
            </w:pPr>
            <w:r w:rsidRPr="004F38BE">
              <w:rPr>
                <w:color w:val="000000"/>
              </w:rPr>
              <w:t>365</w:t>
            </w:r>
            <w:r w:rsidR="00560BB9">
              <w:rPr>
                <w:color w:val="000000"/>
              </w:rPr>
              <w:t>(52)</w:t>
            </w:r>
          </w:p>
        </w:tc>
      </w:tr>
      <w:tr w:rsidR="00EE38CC" w:rsidRPr="004F38BE" w14:paraId="39BAE691" w14:textId="77777777" w:rsidTr="00967F18">
        <w:tc>
          <w:tcPr>
            <w:tcW w:w="1951" w:type="dxa"/>
            <w:shd w:val="clear" w:color="auto" w:fill="auto"/>
          </w:tcPr>
          <w:p w14:paraId="2235BC3E" w14:textId="77777777" w:rsidR="00EE38CC" w:rsidRPr="004F38BE" w:rsidRDefault="00EE38CC" w:rsidP="00967F18">
            <w:pPr>
              <w:rPr>
                <w:b/>
                <w:bCs/>
                <w:color w:val="000000"/>
              </w:rPr>
            </w:pPr>
            <w:r w:rsidRPr="004F38BE">
              <w:rPr>
                <w:bCs/>
                <w:color w:val="000000"/>
              </w:rPr>
              <w:t xml:space="preserve">HIV </w:t>
            </w:r>
            <w:proofErr w:type="spellStart"/>
            <w:r w:rsidRPr="004F38BE">
              <w:rPr>
                <w:bCs/>
                <w:color w:val="000000"/>
              </w:rPr>
              <w:t>pos</w:t>
            </w:r>
            <w:proofErr w:type="spellEnd"/>
            <w:r w:rsidRPr="004F38BE">
              <w:rPr>
                <w:bCs/>
                <w:color w:val="000000"/>
              </w:rPr>
              <w:t>, n (%)</w:t>
            </w:r>
          </w:p>
        </w:tc>
        <w:tc>
          <w:tcPr>
            <w:tcW w:w="1292" w:type="dxa"/>
            <w:shd w:val="clear" w:color="auto" w:fill="auto"/>
          </w:tcPr>
          <w:p w14:paraId="028348A8" w14:textId="77777777" w:rsidR="00EE38CC" w:rsidRPr="004F38BE" w:rsidRDefault="00EE38CC" w:rsidP="00967F18">
            <w:pPr>
              <w:rPr>
                <w:color w:val="000000"/>
              </w:rPr>
            </w:pPr>
            <w:r w:rsidRPr="004F38BE">
              <w:rPr>
                <w:color w:val="000000"/>
              </w:rPr>
              <w:t>28(17)</w:t>
            </w:r>
          </w:p>
        </w:tc>
        <w:tc>
          <w:tcPr>
            <w:tcW w:w="1205" w:type="dxa"/>
            <w:shd w:val="clear" w:color="auto" w:fill="auto"/>
          </w:tcPr>
          <w:p w14:paraId="0186F601" w14:textId="77777777" w:rsidR="00EE38CC" w:rsidRPr="004F38BE" w:rsidRDefault="00EE38CC" w:rsidP="00967F18">
            <w:pPr>
              <w:rPr>
                <w:color w:val="000000"/>
              </w:rPr>
            </w:pPr>
            <w:r w:rsidRPr="004F38BE">
              <w:rPr>
                <w:color w:val="000000"/>
              </w:rPr>
              <w:t>20(10)</w:t>
            </w:r>
          </w:p>
        </w:tc>
        <w:tc>
          <w:tcPr>
            <w:tcW w:w="1129" w:type="dxa"/>
            <w:shd w:val="clear" w:color="auto" w:fill="auto"/>
          </w:tcPr>
          <w:p w14:paraId="319834D8" w14:textId="77777777" w:rsidR="00EE38CC" w:rsidRPr="004F38BE" w:rsidRDefault="00EE38CC" w:rsidP="00967F18">
            <w:pPr>
              <w:rPr>
                <w:color w:val="000000"/>
              </w:rPr>
            </w:pPr>
            <w:r w:rsidRPr="004F38BE">
              <w:rPr>
                <w:color w:val="000000"/>
              </w:rPr>
              <w:t>28(16)</w:t>
            </w:r>
          </w:p>
        </w:tc>
        <w:tc>
          <w:tcPr>
            <w:tcW w:w="1205" w:type="dxa"/>
            <w:shd w:val="clear" w:color="auto" w:fill="auto"/>
          </w:tcPr>
          <w:p w14:paraId="373020F3" w14:textId="77777777" w:rsidR="00EE38CC" w:rsidRPr="004F38BE" w:rsidRDefault="00EE38CC" w:rsidP="00967F18">
            <w:pPr>
              <w:rPr>
                <w:color w:val="000000"/>
              </w:rPr>
            </w:pPr>
            <w:r w:rsidRPr="004F38BE">
              <w:rPr>
                <w:color w:val="000000"/>
              </w:rPr>
              <w:t>67(57)</w:t>
            </w:r>
          </w:p>
        </w:tc>
        <w:tc>
          <w:tcPr>
            <w:tcW w:w="1154" w:type="dxa"/>
            <w:shd w:val="clear" w:color="auto" w:fill="auto"/>
          </w:tcPr>
          <w:p w14:paraId="4C6CD2D8" w14:textId="77777777" w:rsidR="00EE38CC" w:rsidRPr="004F38BE" w:rsidRDefault="00EE38CC" w:rsidP="00967F18">
            <w:pPr>
              <w:rPr>
                <w:color w:val="000000"/>
              </w:rPr>
            </w:pPr>
            <w:r w:rsidRPr="004F38BE">
              <w:rPr>
                <w:color w:val="000000"/>
              </w:rPr>
              <w:t>27(55)</w:t>
            </w:r>
          </w:p>
        </w:tc>
        <w:tc>
          <w:tcPr>
            <w:tcW w:w="1205" w:type="dxa"/>
            <w:shd w:val="clear" w:color="auto" w:fill="auto"/>
          </w:tcPr>
          <w:p w14:paraId="05E1926C" w14:textId="77777777" w:rsidR="00EE38CC" w:rsidRPr="004F38BE" w:rsidRDefault="00EE38CC" w:rsidP="00967F18">
            <w:pPr>
              <w:rPr>
                <w:color w:val="000000"/>
              </w:rPr>
            </w:pPr>
            <w:r w:rsidRPr="004F38BE">
              <w:rPr>
                <w:color w:val="000000"/>
              </w:rPr>
              <w:t>170(24)</w:t>
            </w:r>
          </w:p>
        </w:tc>
      </w:tr>
      <w:tr w:rsidR="00EE38CC" w:rsidRPr="004F38BE" w14:paraId="7EFC3961" w14:textId="77777777" w:rsidTr="00967F18">
        <w:tc>
          <w:tcPr>
            <w:tcW w:w="1951" w:type="dxa"/>
            <w:tcBorders>
              <w:left w:val="nil"/>
              <w:right w:val="nil"/>
            </w:tcBorders>
            <w:shd w:val="clear" w:color="auto" w:fill="auto"/>
          </w:tcPr>
          <w:p w14:paraId="522C1E65" w14:textId="77777777" w:rsidR="00EE38CC" w:rsidRPr="004F38BE" w:rsidRDefault="00EE38CC" w:rsidP="00967F18">
            <w:pPr>
              <w:rPr>
                <w:b/>
                <w:bCs/>
                <w:color w:val="000000"/>
              </w:rPr>
            </w:pPr>
            <w:r w:rsidRPr="004F38BE">
              <w:rPr>
                <w:bCs/>
                <w:color w:val="000000"/>
              </w:rPr>
              <w:t xml:space="preserve">QFT </w:t>
            </w:r>
            <w:proofErr w:type="spellStart"/>
            <w:r w:rsidRPr="004F38BE">
              <w:rPr>
                <w:bCs/>
                <w:color w:val="000000"/>
              </w:rPr>
              <w:t>pos</w:t>
            </w:r>
            <w:proofErr w:type="spellEnd"/>
            <w:r w:rsidRPr="004F38BE">
              <w:rPr>
                <w:bCs/>
                <w:color w:val="000000"/>
              </w:rPr>
              <w:t>, n(%)</w:t>
            </w:r>
          </w:p>
        </w:tc>
        <w:tc>
          <w:tcPr>
            <w:tcW w:w="1292" w:type="dxa"/>
            <w:tcBorders>
              <w:left w:val="nil"/>
              <w:right w:val="nil"/>
            </w:tcBorders>
            <w:shd w:val="clear" w:color="auto" w:fill="auto"/>
          </w:tcPr>
          <w:p w14:paraId="0196DABE" w14:textId="77777777" w:rsidR="00EE38CC" w:rsidRPr="004F38BE" w:rsidRDefault="00EE38CC" w:rsidP="00967F18">
            <w:pPr>
              <w:rPr>
                <w:color w:val="000000"/>
              </w:rPr>
            </w:pPr>
            <w:r w:rsidRPr="004F38BE">
              <w:rPr>
                <w:color w:val="000000"/>
              </w:rPr>
              <w:t>105(69)</w:t>
            </w:r>
          </w:p>
        </w:tc>
        <w:tc>
          <w:tcPr>
            <w:tcW w:w="1205" w:type="dxa"/>
            <w:tcBorders>
              <w:left w:val="nil"/>
              <w:right w:val="nil"/>
            </w:tcBorders>
            <w:shd w:val="clear" w:color="auto" w:fill="auto"/>
          </w:tcPr>
          <w:p w14:paraId="13525A88" w14:textId="77777777" w:rsidR="00EE38CC" w:rsidRPr="004F38BE" w:rsidRDefault="00EE38CC" w:rsidP="00967F18">
            <w:pPr>
              <w:rPr>
                <w:color w:val="000000"/>
              </w:rPr>
            </w:pPr>
            <w:r w:rsidRPr="004F38BE">
              <w:rPr>
                <w:color w:val="000000"/>
              </w:rPr>
              <w:t>83(41)</w:t>
            </w:r>
          </w:p>
        </w:tc>
        <w:tc>
          <w:tcPr>
            <w:tcW w:w="1129" w:type="dxa"/>
            <w:tcBorders>
              <w:left w:val="nil"/>
              <w:right w:val="nil"/>
            </w:tcBorders>
            <w:shd w:val="clear" w:color="auto" w:fill="auto"/>
          </w:tcPr>
          <w:p w14:paraId="5967CD07" w14:textId="77777777" w:rsidR="00EE38CC" w:rsidRPr="004F38BE" w:rsidRDefault="00EE38CC" w:rsidP="00967F18">
            <w:pPr>
              <w:rPr>
                <w:color w:val="000000"/>
              </w:rPr>
            </w:pPr>
            <w:r w:rsidRPr="004F38BE">
              <w:rPr>
                <w:color w:val="000000"/>
              </w:rPr>
              <w:t>119(70)</w:t>
            </w:r>
          </w:p>
        </w:tc>
        <w:tc>
          <w:tcPr>
            <w:tcW w:w="1205" w:type="dxa"/>
            <w:tcBorders>
              <w:left w:val="nil"/>
              <w:right w:val="nil"/>
            </w:tcBorders>
            <w:shd w:val="clear" w:color="auto" w:fill="auto"/>
          </w:tcPr>
          <w:p w14:paraId="7E315EAB" w14:textId="77777777" w:rsidR="00EE38CC" w:rsidRPr="004F38BE" w:rsidRDefault="00EE38CC" w:rsidP="00967F18">
            <w:pPr>
              <w:rPr>
                <w:color w:val="000000"/>
              </w:rPr>
            </w:pPr>
            <w:r w:rsidRPr="004F38BE">
              <w:rPr>
                <w:color w:val="000000"/>
              </w:rPr>
              <w:t>44(38)</w:t>
            </w:r>
          </w:p>
        </w:tc>
        <w:tc>
          <w:tcPr>
            <w:tcW w:w="1154" w:type="dxa"/>
            <w:tcBorders>
              <w:left w:val="nil"/>
              <w:right w:val="nil"/>
            </w:tcBorders>
            <w:shd w:val="clear" w:color="auto" w:fill="auto"/>
          </w:tcPr>
          <w:p w14:paraId="4709B577" w14:textId="77777777" w:rsidR="00EE38CC" w:rsidRPr="004F38BE" w:rsidRDefault="00EE38CC" w:rsidP="00967F18">
            <w:pPr>
              <w:rPr>
                <w:color w:val="000000"/>
              </w:rPr>
            </w:pPr>
            <w:r w:rsidRPr="004F38BE">
              <w:rPr>
                <w:color w:val="000000"/>
              </w:rPr>
              <w:t>35(71)</w:t>
            </w:r>
          </w:p>
        </w:tc>
        <w:tc>
          <w:tcPr>
            <w:tcW w:w="1205" w:type="dxa"/>
            <w:tcBorders>
              <w:left w:val="nil"/>
              <w:right w:val="nil"/>
            </w:tcBorders>
            <w:shd w:val="clear" w:color="auto" w:fill="auto"/>
          </w:tcPr>
          <w:p w14:paraId="5A836D12" w14:textId="77777777" w:rsidR="00EE38CC" w:rsidRPr="004F38BE" w:rsidRDefault="00EE38CC" w:rsidP="00967F18">
            <w:pPr>
              <w:rPr>
                <w:color w:val="000000"/>
              </w:rPr>
            </w:pPr>
            <w:r w:rsidRPr="004F38BE">
              <w:rPr>
                <w:color w:val="000000"/>
              </w:rPr>
              <w:t>386(56)</w:t>
            </w:r>
          </w:p>
        </w:tc>
      </w:tr>
      <w:tr w:rsidR="00EE38CC" w:rsidRPr="004F38BE" w14:paraId="2BD98A9B" w14:textId="77777777" w:rsidTr="00967F18">
        <w:tc>
          <w:tcPr>
            <w:tcW w:w="1951" w:type="dxa"/>
            <w:shd w:val="clear" w:color="auto" w:fill="auto"/>
          </w:tcPr>
          <w:p w14:paraId="2D324962" w14:textId="77777777" w:rsidR="00EE38CC" w:rsidRPr="004F38BE" w:rsidRDefault="00EE38CC" w:rsidP="00967F18">
            <w:pPr>
              <w:rPr>
                <w:b/>
                <w:bCs/>
                <w:color w:val="000000"/>
              </w:rPr>
            </w:pPr>
            <w:r w:rsidRPr="004F38BE">
              <w:rPr>
                <w:bCs/>
                <w:color w:val="000000"/>
              </w:rPr>
              <w:t>Definite TB, n(%)</w:t>
            </w:r>
          </w:p>
        </w:tc>
        <w:tc>
          <w:tcPr>
            <w:tcW w:w="1292" w:type="dxa"/>
            <w:shd w:val="clear" w:color="auto" w:fill="auto"/>
          </w:tcPr>
          <w:p w14:paraId="7D35F3EA" w14:textId="77777777" w:rsidR="00EE38CC" w:rsidRPr="004F38BE" w:rsidRDefault="00EE38CC" w:rsidP="00967F18">
            <w:pPr>
              <w:rPr>
                <w:color w:val="000000"/>
              </w:rPr>
            </w:pPr>
            <w:r w:rsidRPr="004F38BE">
              <w:rPr>
                <w:color w:val="000000"/>
              </w:rPr>
              <w:t>22(14)</w:t>
            </w:r>
          </w:p>
        </w:tc>
        <w:tc>
          <w:tcPr>
            <w:tcW w:w="1205" w:type="dxa"/>
            <w:shd w:val="clear" w:color="auto" w:fill="auto"/>
          </w:tcPr>
          <w:p w14:paraId="19DB4482" w14:textId="77777777" w:rsidR="00EE38CC" w:rsidRPr="004F38BE" w:rsidRDefault="00EE38CC" w:rsidP="00967F18">
            <w:pPr>
              <w:rPr>
                <w:color w:val="000000"/>
              </w:rPr>
            </w:pPr>
            <w:r w:rsidRPr="004F38BE">
              <w:rPr>
                <w:color w:val="000000"/>
              </w:rPr>
              <w:t>53(25)</w:t>
            </w:r>
          </w:p>
        </w:tc>
        <w:tc>
          <w:tcPr>
            <w:tcW w:w="1129" w:type="dxa"/>
            <w:shd w:val="clear" w:color="auto" w:fill="auto"/>
          </w:tcPr>
          <w:p w14:paraId="0BDFE34E" w14:textId="77777777" w:rsidR="00EE38CC" w:rsidRPr="004F38BE" w:rsidRDefault="00EE38CC" w:rsidP="00967F18">
            <w:pPr>
              <w:rPr>
                <w:color w:val="000000"/>
              </w:rPr>
            </w:pPr>
            <w:r w:rsidRPr="004F38BE">
              <w:rPr>
                <w:color w:val="000000"/>
              </w:rPr>
              <w:t>59(35)</w:t>
            </w:r>
          </w:p>
        </w:tc>
        <w:tc>
          <w:tcPr>
            <w:tcW w:w="1205" w:type="dxa"/>
            <w:shd w:val="clear" w:color="auto" w:fill="auto"/>
          </w:tcPr>
          <w:p w14:paraId="271FE408" w14:textId="77777777" w:rsidR="00EE38CC" w:rsidRPr="004F38BE" w:rsidRDefault="00EE38CC" w:rsidP="00967F18">
            <w:pPr>
              <w:rPr>
                <w:color w:val="000000"/>
              </w:rPr>
            </w:pPr>
            <w:r w:rsidRPr="004F38BE">
              <w:rPr>
                <w:color w:val="000000"/>
              </w:rPr>
              <w:t>18(15)</w:t>
            </w:r>
          </w:p>
        </w:tc>
        <w:tc>
          <w:tcPr>
            <w:tcW w:w="1154" w:type="dxa"/>
            <w:shd w:val="clear" w:color="auto" w:fill="auto"/>
          </w:tcPr>
          <w:p w14:paraId="0D7BBF55" w14:textId="77777777" w:rsidR="00EE38CC" w:rsidRPr="004F38BE" w:rsidRDefault="00EE38CC" w:rsidP="00967F18">
            <w:pPr>
              <w:rPr>
                <w:color w:val="000000"/>
              </w:rPr>
            </w:pPr>
            <w:r w:rsidRPr="004F38BE">
              <w:rPr>
                <w:color w:val="000000"/>
              </w:rPr>
              <w:t>33(67)</w:t>
            </w:r>
          </w:p>
        </w:tc>
        <w:tc>
          <w:tcPr>
            <w:tcW w:w="1205" w:type="dxa"/>
            <w:shd w:val="clear" w:color="auto" w:fill="auto"/>
          </w:tcPr>
          <w:p w14:paraId="5F67CABC" w14:textId="77777777" w:rsidR="00EE38CC" w:rsidRPr="004F38BE" w:rsidRDefault="00EE38CC" w:rsidP="00967F18">
            <w:pPr>
              <w:rPr>
                <w:color w:val="000000"/>
              </w:rPr>
            </w:pPr>
            <w:r w:rsidRPr="004F38BE">
              <w:rPr>
                <w:color w:val="000000"/>
              </w:rPr>
              <w:t>185(26)</w:t>
            </w:r>
          </w:p>
        </w:tc>
      </w:tr>
      <w:tr w:rsidR="00EE38CC" w:rsidRPr="004F38BE" w14:paraId="2D0705A4" w14:textId="77777777" w:rsidTr="00967F18">
        <w:tc>
          <w:tcPr>
            <w:tcW w:w="1951" w:type="dxa"/>
            <w:shd w:val="clear" w:color="auto" w:fill="auto"/>
          </w:tcPr>
          <w:p w14:paraId="53A71CE5" w14:textId="77777777" w:rsidR="00EE38CC" w:rsidRPr="004F38BE" w:rsidRDefault="00EE38CC" w:rsidP="00967F18">
            <w:pPr>
              <w:rPr>
                <w:b/>
                <w:bCs/>
                <w:color w:val="000000"/>
              </w:rPr>
            </w:pPr>
            <w:r w:rsidRPr="004F38BE">
              <w:rPr>
                <w:bCs/>
                <w:color w:val="000000"/>
              </w:rPr>
              <w:t>Probable TB, n(%)</w:t>
            </w:r>
          </w:p>
        </w:tc>
        <w:tc>
          <w:tcPr>
            <w:tcW w:w="1292" w:type="dxa"/>
            <w:shd w:val="clear" w:color="auto" w:fill="auto"/>
          </w:tcPr>
          <w:p w14:paraId="4D0C6D0F" w14:textId="77777777" w:rsidR="00EE38CC" w:rsidRPr="004F38BE" w:rsidRDefault="00EE38CC" w:rsidP="00967F18">
            <w:pPr>
              <w:rPr>
                <w:color w:val="000000"/>
              </w:rPr>
            </w:pPr>
            <w:r w:rsidRPr="004F38BE">
              <w:rPr>
                <w:color w:val="000000"/>
              </w:rPr>
              <w:t>4(2)</w:t>
            </w:r>
          </w:p>
        </w:tc>
        <w:tc>
          <w:tcPr>
            <w:tcW w:w="1205" w:type="dxa"/>
            <w:shd w:val="clear" w:color="auto" w:fill="auto"/>
          </w:tcPr>
          <w:p w14:paraId="70C0B98E" w14:textId="77777777" w:rsidR="00EE38CC" w:rsidRPr="004F38BE" w:rsidRDefault="00EE38CC" w:rsidP="00967F18">
            <w:pPr>
              <w:rPr>
                <w:color w:val="000000"/>
              </w:rPr>
            </w:pPr>
            <w:r w:rsidRPr="004F38BE">
              <w:rPr>
                <w:color w:val="000000"/>
              </w:rPr>
              <w:t>13(6)</w:t>
            </w:r>
          </w:p>
        </w:tc>
        <w:tc>
          <w:tcPr>
            <w:tcW w:w="1129" w:type="dxa"/>
            <w:shd w:val="clear" w:color="auto" w:fill="auto"/>
          </w:tcPr>
          <w:p w14:paraId="2C9B6603" w14:textId="77777777" w:rsidR="00EE38CC" w:rsidRPr="004F38BE" w:rsidRDefault="00EE38CC" w:rsidP="00967F18">
            <w:pPr>
              <w:rPr>
                <w:color w:val="000000"/>
              </w:rPr>
            </w:pPr>
            <w:r w:rsidRPr="004F38BE">
              <w:rPr>
                <w:color w:val="000000"/>
              </w:rPr>
              <w:t>4(2)</w:t>
            </w:r>
          </w:p>
        </w:tc>
        <w:tc>
          <w:tcPr>
            <w:tcW w:w="1205" w:type="dxa"/>
            <w:shd w:val="clear" w:color="auto" w:fill="auto"/>
          </w:tcPr>
          <w:p w14:paraId="60A54A71" w14:textId="77777777" w:rsidR="00EE38CC" w:rsidRPr="004F38BE" w:rsidRDefault="00EE38CC" w:rsidP="00967F18">
            <w:pPr>
              <w:rPr>
                <w:color w:val="000000"/>
              </w:rPr>
            </w:pPr>
            <w:r w:rsidRPr="004F38BE">
              <w:rPr>
                <w:color w:val="000000"/>
              </w:rPr>
              <w:t>3(3)</w:t>
            </w:r>
          </w:p>
        </w:tc>
        <w:tc>
          <w:tcPr>
            <w:tcW w:w="1154" w:type="dxa"/>
            <w:shd w:val="clear" w:color="auto" w:fill="auto"/>
          </w:tcPr>
          <w:p w14:paraId="4025CA96" w14:textId="77777777" w:rsidR="00EE38CC" w:rsidRPr="004F38BE" w:rsidRDefault="00EE38CC" w:rsidP="00967F18">
            <w:pPr>
              <w:rPr>
                <w:color w:val="000000"/>
              </w:rPr>
            </w:pPr>
            <w:r w:rsidRPr="004F38BE">
              <w:rPr>
                <w:color w:val="000000"/>
              </w:rPr>
              <w:t>5(10)</w:t>
            </w:r>
          </w:p>
        </w:tc>
        <w:tc>
          <w:tcPr>
            <w:tcW w:w="1205" w:type="dxa"/>
            <w:shd w:val="clear" w:color="auto" w:fill="auto"/>
          </w:tcPr>
          <w:p w14:paraId="04D9A7CD" w14:textId="77777777" w:rsidR="00EE38CC" w:rsidRPr="004F38BE" w:rsidRDefault="00EE38CC" w:rsidP="00967F18">
            <w:pPr>
              <w:rPr>
                <w:color w:val="000000"/>
              </w:rPr>
            </w:pPr>
            <w:r w:rsidRPr="004F38BE">
              <w:rPr>
                <w:color w:val="000000"/>
              </w:rPr>
              <w:t>29(4)</w:t>
            </w:r>
          </w:p>
        </w:tc>
      </w:tr>
      <w:tr w:rsidR="00EE38CC" w:rsidRPr="004F38BE" w14:paraId="1CA59769" w14:textId="77777777" w:rsidTr="00967F18">
        <w:tc>
          <w:tcPr>
            <w:tcW w:w="1951" w:type="dxa"/>
            <w:tcBorders>
              <w:left w:val="nil"/>
              <w:right w:val="nil"/>
            </w:tcBorders>
            <w:shd w:val="clear" w:color="auto" w:fill="auto"/>
          </w:tcPr>
          <w:p w14:paraId="017037D4" w14:textId="77777777" w:rsidR="00EE38CC" w:rsidRPr="004F38BE" w:rsidRDefault="00EE38CC" w:rsidP="00967F18">
            <w:pPr>
              <w:rPr>
                <w:b/>
                <w:bCs/>
                <w:color w:val="000000"/>
              </w:rPr>
            </w:pPr>
            <w:r w:rsidRPr="004F38BE">
              <w:rPr>
                <w:bCs/>
                <w:color w:val="000000"/>
              </w:rPr>
              <w:t>Total TB</w:t>
            </w:r>
            <w:r w:rsidRPr="004F38BE">
              <w:rPr>
                <w:bCs/>
                <w:color w:val="000000"/>
                <w:vertAlign w:val="superscript"/>
              </w:rPr>
              <w:t>#</w:t>
            </w:r>
            <w:r w:rsidRPr="004F38BE">
              <w:rPr>
                <w:bCs/>
                <w:color w:val="000000"/>
              </w:rPr>
              <w:t>, (n)</w:t>
            </w:r>
          </w:p>
        </w:tc>
        <w:tc>
          <w:tcPr>
            <w:tcW w:w="1292" w:type="dxa"/>
            <w:tcBorders>
              <w:left w:val="nil"/>
              <w:right w:val="nil"/>
            </w:tcBorders>
            <w:shd w:val="clear" w:color="auto" w:fill="auto"/>
          </w:tcPr>
          <w:p w14:paraId="491A6BEC" w14:textId="77777777" w:rsidR="00EE38CC" w:rsidRPr="004F38BE" w:rsidRDefault="00EE38CC" w:rsidP="00967F18">
            <w:pPr>
              <w:rPr>
                <w:color w:val="000000"/>
              </w:rPr>
            </w:pPr>
            <w:r w:rsidRPr="004F38BE">
              <w:rPr>
                <w:color w:val="000000"/>
              </w:rPr>
              <w:t>26</w:t>
            </w:r>
          </w:p>
        </w:tc>
        <w:tc>
          <w:tcPr>
            <w:tcW w:w="1205" w:type="dxa"/>
            <w:tcBorders>
              <w:left w:val="nil"/>
              <w:right w:val="nil"/>
            </w:tcBorders>
            <w:shd w:val="clear" w:color="auto" w:fill="auto"/>
          </w:tcPr>
          <w:p w14:paraId="15AB2783" w14:textId="77777777" w:rsidR="00EE38CC" w:rsidRPr="004F38BE" w:rsidRDefault="00EE38CC" w:rsidP="00967F18">
            <w:pPr>
              <w:rPr>
                <w:color w:val="000000"/>
              </w:rPr>
            </w:pPr>
            <w:r w:rsidRPr="004F38BE">
              <w:rPr>
                <w:color w:val="000000"/>
              </w:rPr>
              <w:t>66</w:t>
            </w:r>
          </w:p>
        </w:tc>
        <w:tc>
          <w:tcPr>
            <w:tcW w:w="1129" w:type="dxa"/>
            <w:tcBorders>
              <w:left w:val="nil"/>
              <w:right w:val="nil"/>
            </w:tcBorders>
            <w:shd w:val="clear" w:color="auto" w:fill="auto"/>
          </w:tcPr>
          <w:p w14:paraId="6217854F" w14:textId="77777777" w:rsidR="00EE38CC" w:rsidRPr="004F38BE" w:rsidRDefault="00EE38CC" w:rsidP="00967F18">
            <w:pPr>
              <w:rPr>
                <w:color w:val="000000"/>
              </w:rPr>
            </w:pPr>
            <w:r w:rsidRPr="004F38BE">
              <w:rPr>
                <w:color w:val="000000"/>
              </w:rPr>
              <w:t>63</w:t>
            </w:r>
          </w:p>
        </w:tc>
        <w:tc>
          <w:tcPr>
            <w:tcW w:w="1205" w:type="dxa"/>
            <w:tcBorders>
              <w:left w:val="nil"/>
              <w:right w:val="nil"/>
            </w:tcBorders>
            <w:shd w:val="clear" w:color="auto" w:fill="auto"/>
          </w:tcPr>
          <w:p w14:paraId="3B6214CC" w14:textId="77777777" w:rsidR="00EE38CC" w:rsidRPr="004F38BE" w:rsidRDefault="00EE38CC" w:rsidP="00967F18">
            <w:pPr>
              <w:rPr>
                <w:color w:val="000000"/>
              </w:rPr>
            </w:pPr>
            <w:r w:rsidRPr="004F38BE">
              <w:rPr>
                <w:color w:val="000000"/>
              </w:rPr>
              <w:t>21</w:t>
            </w:r>
          </w:p>
        </w:tc>
        <w:tc>
          <w:tcPr>
            <w:tcW w:w="1154" w:type="dxa"/>
            <w:tcBorders>
              <w:left w:val="nil"/>
              <w:right w:val="nil"/>
            </w:tcBorders>
            <w:shd w:val="clear" w:color="auto" w:fill="auto"/>
          </w:tcPr>
          <w:p w14:paraId="3CC49B92" w14:textId="77777777" w:rsidR="00EE38CC" w:rsidRPr="004F38BE" w:rsidRDefault="00EE38CC" w:rsidP="00967F18">
            <w:pPr>
              <w:rPr>
                <w:color w:val="000000"/>
              </w:rPr>
            </w:pPr>
            <w:r w:rsidRPr="004F38BE">
              <w:rPr>
                <w:color w:val="000000"/>
              </w:rPr>
              <w:t>38</w:t>
            </w:r>
          </w:p>
        </w:tc>
        <w:tc>
          <w:tcPr>
            <w:tcW w:w="1205" w:type="dxa"/>
            <w:tcBorders>
              <w:left w:val="nil"/>
              <w:right w:val="nil"/>
            </w:tcBorders>
            <w:shd w:val="clear" w:color="auto" w:fill="auto"/>
          </w:tcPr>
          <w:p w14:paraId="5D90F220" w14:textId="77777777" w:rsidR="00EE38CC" w:rsidRPr="004F38BE" w:rsidRDefault="00EE38CC" w:rsidP="00967F18">
            <w:pPr>
              <w:rPr>
                <w:color w:val="000000"/>
              </w:rPr>
            </w:pPr>
            <w:r w:rsidRPr="004F38BE">
              <w:rPr>
                <w:color w:val="000000"/>
              </w:rPr>
              <w:t>214</w:t>
            </w:r>
          </w:p>
        </w:tc>
      </w:tr>
      <w:tr w:rsidR="00EE38CC" w:rsidRPr="004F38BE" w14:paraId="0658DD0A" w14:textId="77777777" w:rsidTr="00967F18">
        <w:tc>
          <w:tcPr>
            <w:tcW w:w="1951" w:type="dxa"/>
            <w:shd w:val="clear" w:color="auto" w:fill="auto"/>
          </w:tcPr>
          <w:p w14:paraId="17AE4C32" w14:textId="77777777" w:rsidR="00EE38CC" w:rsidRPr="004F38BE" w:rsidRDefault="00EE38CC" w:rsidP="00967F18">
            <w:pPr>
              <w:rPr>
                <w:b/>
                <w:bCs/>
                <w:color w:val="000000"/>
              </w:rPr>
            </w:pPr>
            <w:r w:rsidRPr="004F38BE">
              <w:rPr>
                <w:bCs/>
                <w:color w:val="000000"/>
              </w:rPr>
              <w:t>No-PTB, n (%)</w:t>
            </w:r>
          </w:p>
        </w:tc>
        <w:tc>
          <w:tcPr>
            <w:tcW w:w="1292" w:type="dxa"/>
            <w:shd w:val="clear" w:color="auto" w:fill="auto"/>
          </w:tcPr>
          <w:p w14:paraId="14ADE4B8" w14:textId="77777777" w:rsidR="00EE38CC" w:rsidRPr="004F38BE" w:rsidRDefault="00EE38CC" w:rsidP="00967F18">
            <w:pPr>
              <w:rPr>
                <w:color w:val="000000"/>
              </w:rPr>
            </w:pPr>
            <w:r w:rsidRPr="004F38BE">
              <w:rPr>
                <w:color w:val="000000"/>
              </w:rPr>
              <w:t>133(83)</w:t>
            </w:r>
          </w:p>
        </w:tc>
        <w:tc>
          <w:tcPr>
            <w:tcW w:w="1205" w:type="dxa"/>
            <w:shd w:val="clear" w:color="auto" w:fill="auto"/>
          </w:tcPr>
          <w:p w14:paraId="6E2C366A" w14:textId="77777777" w:rsidR="00EE38CC" w:rsidRPr="004F38BE" w:rsidRDefault="00EE38CC" w:rsidP="00967F18">
            <w:pPr>
              <w:rPr>
                <w:color w:val="000000"/>
              </w:rPr>
            </w:pPr>
            <w:r w:rsidRPr="004F38BE">
              <w:rPr>
                <w:color w:val="000000"/>
              </w:rPr>
              <w:t>140(67)</w:t>
            </w:r>
          </w:p>
        </w:tc>
        <w:tc>
          <w:tcPr>
            <w:tcW w:w="1129" w:type="dxa"/>
            <w:shd w:val="clear" w:color="auto" w:fill="auto"/>
          </w:tcPr>
          <w:p w14:paraId="31307CF7" w14:textId="77777777" w:rsidR="00EE38CC" w:rsidRPr="004F38BE" w:rsidRDefault="00EE38CC" w:rsidP="00967F18">
            <w:pPr>
              <w:rPr>
                <w:color w:val="000000"/>
              </w:rPr>
            </w:pPr>
            <w:r w:rsidRPr="004F38BE">
              <w:rPr>
                <w:color w:val="000000"/>
              </w:rPr>
              <w:t>108(63)</w:t>
            </w:r>
          </w:p>
        </w:tc>
        <w:tc>
          <w:tcPr>
            <w:tcW w:w="1205" w:type="dxa"/>
            <w:shd w:val="clear" w:color="auto" w:fill="auto"/>
          </w:tcPr>
          <w:p w14:paraId="2C36DE55" w14:textId="77777777" w:rsidR="00EE38CC" w:rsidRPr="004F38BE" w:rsidRDefault="00EE38CC" w:rsidP="00967F18">
            <w:pPr>
              <w:rPr>
                <w:color w:val="000000"/>
              </w:rPr>
            </w:pPr>
            <w:r w:rsidRPr="004F38BE">
              <w:rPr>
                <w:color w:val="000000"/>
              </w:rPr>
              <w:t>96(82)</w:t>
            </w:r>
          </w:p>
        </w:tc>
        <w:tc>
          <w:tcPr>
            <w:tcW w:w="1154" w:type="dxa"/>
            <w:shd w:val="clear" w:color="auto" w:fill="auto"/>
          </w:tcPr>
          <w:p w14:paraId="4FFC2B1C" w14:textId="77777777" w:rsidR="00EE38CC" w:rsidRPr="004F38BE" w:rsidRDefault="00EE38CC" w:rsidP="00967F18">
            <w:pPr>
              <w:rPr>
                <w:color w:val="000000"/>
              </w:rPr>
            </w:pPr>
            <w:r w:rsidRPr="004F38BE">
              <w:rPr>
                <w:color w:val="000000"/>
              </w:rPr>
              <w:t>10(20)</w:t>
            </w:r>
          </w:p>
        </w:tc>
        <w:tc>
          <w:tcPr>
            <w:tcW w:w="1205" w:type="dxa"/>
            <w:shd w:val="clear" w:color="auto" w:fill="auto"/>
          </w:tcPr>
          <w:p w14:paraId="180EAEE9" w14:textId="77777777" w:rsidR="00EE38CC" w:rsidRPr="004F38BE" w:rsidRDefault="00EE38CC" w:rsidP="00967F18">
            <w:pPr>
              <w:rPr>
                <w:color w:val="000000"/>
              </w:rPr>
            </w:pPr>
            <w:r w:rsidRPr="004F38BE">
              <w:rPr>
                <w:color w:val="000000"/>
              </w:rPr>
              <w:t>487(69)</w:t>
            </w:r>
          </w:p>
        </w:tc>
      </w:tr>
      <w:tr w:rsidR="00EE38CC" w:rsidRPr="004F38BE" w14:paraId="31D825DD" w14:textId="77777777" w:rsidTr="00967F18">
        <w:tc>
          <w:tcPr>
            <w:tcW w:w="1951" w:type="dxa"/>
            <w:tcBorders>
              <w:left w:val="nil"/>
              <w:right w:val="nil"/>
            </w:tcBorders>
            <w:shd w:val="clear" w:color="auto" w:fill="auto"/>
          </w:tcPr>
          <w:p w14:paraId="1A248B8C" w14:textId="77777777" w:rsidR="00EE38CC" w:rsidRPr="004F38BE" w:rsidRDefault="00EE38CC" w:rsidP="00967F18">
            <w:pPr>
              <w:rPr>
                <w:b/>
                <w:bCs/>
                <w:color w:val="000000"/>
              </w:rPr>
            </w:pPr>
            <w:r w:rsidRPr="004F38BE">
              <w:rPr>
                <w:bCs/>
                <w:color w:val="000000"/>
              </w:rPr>
              <w:t>Questionable, n(%)</w:t>
            </w:r>
          </w:p>
        </w:tc>
        <w:tc>
          <w:tcPr>
            <w:tcW w:w="1292" w:type="dxa"/>
            <w:tcBorders>
              <w:left w:val="nil"/>
              <w:right w:val="nil"/>
            </w:tcBorders>
            <w:shd w:val="clear" w:color="auto" w:fill="auto"/>
          </w:tcPr>
          <w:p w14:paraId="070A3535" w14:textId="77777777" w:rsidR="00EE38CC" w:rsidRPr="004F38BE" w:rsidRDefault="00EE38CC" w:rsidP="00967F18">
            <w:pPr>
              <w:rPr>
                <w:color w:val="000000"/>
              </w:rPr>
            </w:pPr>
            <w:r w:rsidRPr="004F38BE">
              <w:rPr>
                <w:color w:val="000000"/>
              </w:rPr>
              <w:t>2(1)</w:t>
            </w:r>
          </w:p>
        </w:tc>
        <w:tc>
          <w:tcPr>
            <w:tcW w:w="1205" w:type="dxa"/>
            <w:tcBorders>
              <w:left w:val="nil"/>
              <w:right w:val="nil"/>
            </w:tcBorders>
            <w:shd w:val="clear" w:color="auto" w:fill="auto"/>
          </w:tcPr>
          <w:p w14:paraId="2DA7E056" w14:textId="77777777" w:rsidR="00EE38CC" w:rsidRPr="004F38BE" w:rsidRDefault="00EE38CC" w:rsidP="00967F18">
            <w:pPr>
              <w:rPr>
                <w:color w:val="000000"/>
              </w:rPr>
            </w:pPr>
            <w:r w:rsidRPr="004F38BE">
              <w:rPr>
                <w:color w:val="000000"/>
              </w:rPr>
              <w:t>3(1)</w:t>
            </w:r>
          </w:p>
        </w:tc>
        <w:tc>
          <w:tcPr>
            <w:tcW w:w="1129" w:type="dxa"/>
            <w:tcBorders>
              <w:left w:val="nil"/>
              <w:right w:val="nil"/>
            </w:tcBorders>
            <w:shd w:val="clear" w:color="auto" w:fill="auto"/>
          </w:tcPr>
          <w:p w14:paraId="1C5611EB" w14:textId="77777777" w:rsidR="00EE38CC" w:rsidRPr="004F38BE" w:rsidRDefault="00EE38CC" w:rsidP="00967F18">
            <w:pPr>
              <w:rPr>
                <w:color w:val="000000"/>
              </w:rPr>
            </w:pPr>
            <w:r w:rsidRPr="004F38BE">
              <w:rPr>
                <w:color w:val="000000"/>
              </w:rPr>
              <w:t>0(0)</w:t>
            </w:r>
          </w:p>
        </w:tc>
        <w:tc>
          <w:tcPr>
            <w:tcW w:w="1205" w:type="dxa"/>
            <w:tcBorders>
              <w:left w:val="nil"/>
              <w:right w:val="nil"/>
            </w:tcBorders>
            <w:shd w:val="clear" w:color="auto" w:fill="auto"/>
          </w:tcPr>
          <w:p w14:paraId="2CFA3392" w14:textId="77777777" w:rsidR="00EE38CC" w:rsidRPr="004F38BE" w:rsidRDefault="00EE38CC" w:rsidP="00967F18">
            <w:pPr>
              <w:rPr>
                <w:color w:val="000000"/>
              </w:rPr>
            </w:pPr>
            <w:r w:rsidRPr="004F38BE">
              <w:rPr>
                <w:color w:val="000000"/>
              </w:rPr>
              <w:t>0(0)</w:t>
            </w:r>
          </w:p>
        </w:tc>
        <w:tc>
          <w:tcPr>
            <w:tcW w:w="1154" w:type="dxa"/>
            <w:tcBorders>
              <w:left w:val="nil"/>
              <w:right w:val="nil"/>
            </w:tcBorders>
            <w:shd w:val="clear" w:color="auto" w:fill="auto"/>
          </w:tcPr>
          <w:p w14:paraId="159941A8" w14:textId="77777777" w:rsidR="00EE38CC" w:rsidRPr="004F38BE" w:rsidRDefault="00EE38CC" w:rsidP="00967F18">
            <w:pPr>
              <w:rPr>
                <w:color w:val="000000"/>
              </w:rPr>
            </w:pPr>
            <w:r w:rsidRPr="004F38BE">
              <w:rPr>
                <w:color w:val="000000"/>
              </w:rPr>
              <w:t>1(2)</w:t>
            </w:r>
          </w:p>
        </w:tc>
        <w:tc>
          <w:tcPr>
            <w:tcW w:w="1205" w:type="dxa"/>
            <w:tcBorders>
              <w:left w:val="nil"/>
              <w:right w:val="nil"/>
            </w:tcBorders>
            <w:shd w:val="clear" w:color="auto" w:fill="auto"/>
          </w:tcPr>
          <w:p w14:paraId="337886CD" w14:textId="77777777" w:rsidR="00EE38CC" w:rsidRPr="004F38BE" w:rsidRDefault="00EE38CC" w:rsidP="00967F18">
            <w:pPr>
              <w:rPr>
                <w:color w:val="000000"/>
              </w:rPr>
            </w:pPr>
            <w:r w:rsidRPr="004F38BE">
              <w:rPr>
                <w:color w:val="000000"/>
              </w:rPr>
              <w:t>6 (1)</w:t>
            </w:r>
          </w:p>
        </w:tc>
      </w:tr>
    </w:tbl>
    <w:p w14:paraId="4C315C63" w14:textId="77777777" w:rsidR="00EE38CC" w:rsidRPr="004F38BE" w:rsidRDefault="00EE38CC" w:rsidP="00CC3D95">
      <w:pPr>
        <w:spacing w:line="276" w:lineRule="auto"/>
        <w:jc w:val="both"/>
      </w:pPr>
      <w:r w:rsidRPr="004F38BE">
        <w:t xml:space="preserve">Table notes: SUN, Stellenbosch University, South Africa; KPS, </w:t>
      </w:r>
      <w:proofErr w:type="spellStart"/>
      <w:r w:rsidRPr="004F38BE">
        <w:t>Karonga</w:t>
      </w:r>
      <w:proofErr w:type="spellEnd"/>
      <w:r w:rsidRPr="004F38BE">
        <w:t xml:space="preserve"> Prevention Study, Malawi; MRC, Medical Research Council Unit, The Gambia; UCRC, </w:t>
      </w:r>
      <w:proofErr w:type="spellStart"/>
      <w:r w:rsidRPr="004F38BE">
        <w:t>Makerere</w:t>
      </w:r>
      <w:proofErr w:type="spellEnd"/>
      <w:r w:rsidRPr="004F38BE">
        <w:t xml:space="preserve"> University, Uganda; UNAM, University of Namibia, Namibia; SD, standard deviation; QFT, Quantiferon TB Gold In Tube; </w:t>
      </w:r>
      <w:proofErr w:type="spellStart"/>
      <w:r w:rsidRPr="004F38BE">
        <w:t>pos</w:t>
      </w:r>
      <w:proofErr w:type="spellEnd"/>
      <w:r w:rsidRPr="004F38BE">
        <w:t xml:space="preserve">, positive; </w:t>
      </w:r>
      <w:proofErr w:type="spellStart"/>
      <w:r w:rsidRPr="004F38BE">
        <w:t>neg</w:t>
      </w:r>
      <w:proofErr w:type="spellEnd"/>
      <w:r w:rsidRPr="004F38BE">
        <w:t xml:space="preserve">, negative; </w:t>
      </w:r>
      <w:proofErr w:type="spellStart"/>
      <w:r w:rsidRPr="004F38BE">
        <w:t>indet</w:t>
      </w:r>
      <w:proofErr w:type="spellEnd"/>
      <w:r w:rsidRPr="004F38BE">
        <w:t>, indeterminate. ♯Total TB cases = all the Definite TB + Probable TB cases; TB, Pulmonary TB; No-PTB, non-“pulmonary tuberculosis”.</w:t>
      </w:r>
    </w:p>
    <w:p w14:paraId="5D28F3B5" w14:textId="77777777" w:rsidR="00EE38CC" w:rsidRPr="004F38BE" w:rsidRDefault="00EE38CC" w:rsidP="0033455D">
      <w:pPr>
        <w:spacing w:line="360" w:lineRule="auto"/>
        <w:jc w:val="both"/>
      </w:pPr>
    </w:p>
    <w:p w14:paraId="16403486" w14:textId="6E4AC1C6" w:rsidR="00233E01" w:rsidRPr="004F38BE" w:rsidRDefault="006816F8" w:rsidP="0033455D">
      <w:pPr>
        <w:spacing w:line="360" w:lineRule="auto"/>
        <w:jc w:val="both"/>
      </w:pPr>
      <w:r w:rsidRPr="004F38BE">
        <w:t>Using pre-established and harmonized case definitions (</w:t>
      </w:r>
      <w:r w:rsidR="008323BE" w:rsidRPr="004F38BE">
        <w:t>T</w:t>
      </w:r>
      <w:r w:rsidRPr="004F38BE">
        <w:t>able 1), 1</w:t>
      </w:r>
      <w:r w:rsidR="00616195" w:rsidRPr="004F38BE">
        <w:t>8</w:t>
      </w:r>
      <w:r w:rsidR="006F3EA4" w:rsidRPr="004F38BE">
        <w:t>5</w:t>
      </w:r>
      <w:r w:rsidRPr="004F38BE">
        <w:t xml:space="preserve"> (2</w:t>
      </w:r>
      <w:r w:rsidR="00616195" w:rsidRPr="004F38BE">
        <w:t>6</w:t>
      </w:r>
      <w:r w:rsidRPr="004F38BE">
        <w:t>.</w:t>
      </w:r>
      <w:r w:rsidR="006F3EA4" w:rsidRPr="004F38BE">
        <w:t>2</w:t>
      </w:r>
      <w:r w:rsidRPr="004F38BE">
        <w:t>%) of the study participants were</w:t>
      </w:r>
      <w:r w:rsidR="00A52A1A" w:rsidRPr="004F38BE">
        <w:t xml:space="preserve"> classified as</w:t>
      </w:r>
      <w:r w:rsidRPr="004F38BE">
        <w:t xml:space="preserve"> definite </w:t>
      </w:r>
      <w:r w:rsidR="00FB441A" w:rsidRPr="004F38BE">
        <w:t xml:space="preserve">pulmonary </w:t>
      </w:r>
      <w:r w:rsidRPr="004F38BE">
        <w:t xml:space="preserve">TB cases, 29 (4.1%) were </w:t>
      </w:r>
      <w:r w:rsidR="0042011A" w:rsidRPr="004F38BE">
        <w:t>probable</w:t>
      </w:r>
      <w:r w:rsidRPr="004F38BE">
        <w:t xml:space="preserve"> TB cases</w:t>
      </w:r>
      <w:r w:rsidR="00ED4ED6" w:rsidRPr="004F38BE">
        <w:t>, representing the active TB group (21</w:t>
      </w:r>
      <w:r w:rsidR="006F3EA4" w:rsidRPr="004F38BE">
        <w:t>4</w:t>
      </w:r>
      <w:r w:rsidR="00ED4ED6" w:rsidRPr="004F38BE">
        <w:t xml:space="preserve"> participants; 30</w:t>
      </w:r>
      <w:r w:rsidR="00765CF2" w:rsidRPr="004F38BE">
        <w:t>.</w:t>
      </w:r>
      <w:r w:rsidR="006F3EA4" w:rsidRPr="004F38BE">
        <w:t>3</w:t>
      </w:r>
      <w:r w:rsidR="00ED4ED6" w:rsidRPr="004F38BE">
        <w:t>%)</w:t>
      </w:r>
      <w:r w:rsidRPr="004F38BE">
        <w:t>, whereas 487 (6</w:t>
      </w:r>
      <w:r w:rsidR="00765CF2" w:rsidRPr="004F38BE">
        <w:t>8.</w:t>
      </w:r>
      <w:r w:rsidR="006F3EA4" w:rsidRPr="004F38BE">
        <w:t>9</w:t>
      </w:r>
      <w:r w:rsidRPr="004F38BE">
        <w:t xml:space="preserve">%) were </w:t>
      </w:r>
      <w:r w:rsidR="007F3F85" w:rsidRPr="004F38BE">
        <w:t>No-PTB</w:t>
      </w:r>
      <w:r w:rsidRPr="004F38BE">
        <w:t xml:space="preserve"> cases and 6 (0.8%) had an uncertain diagnosis</w:t>
      </w:r>
      <w:r w:rsidR="00962AC7" w:rsidRPr="004F38BE">
        <w:t xml:space="preserve"> </w:t>
      </w:r>
      <w:r w:rsidRPr="004F38BE">
        <w:t xml:space="preserve">(Table </w:t>
      </w:r>
      <w:r w:rsidR="00127413" w:rsidRPr="004F38BE">
        <w:t>2</w:t>
      </w:r>
      <w:r w:rsidRPr="004F38BE">
        <w:t xml:space="preserve">). The characteristics of the different patient subgroups are shown in </w:t>
      </w:r>
      <w:r w:rsidR="00512490" w:rsidRPr="004F38BE">
        <w:t xml:space="preserve">Table </w:t>
      </w:r>
      <w:r w:rsidR="00127413" w:rsidRPr="004F38BE">
        <w:t>3</w:t>
      </w:r>
      <w:r w:rsidRPr="004F38BE">
        <w:t xml:space="preserve">. </w:t>
      </w:r>
    </w:p>
    <w:p w14:paraId="1FD81A9C" w14:textId="77777777" w:rsidR="00EE38CC" w:rsidRDefault="00EE38CC" w:rsidP="0033455D">
      <w:pPr>
        <w:spacing w:line="360" w:lineRule="auto"/>
        <w:jc w:val="both"/>
      </w:pPr>
    </w:p>
    <w:p w14:paraId="7284B62A" w14:textId="77777777" w:rsidR="003A0141" w:rsidRDefault="003A0141" w:rsidP="0033455D">
      <w:pPr>
        <w:spacing w:line="360" w:lineRule="auto"/>
        <w:jc w:val="both"/>
      </w:pPr>
    </w:p>
    <w:p w14:paraId="75787BA9" w14:textId="77777777" w:rsidR="003A0141" w:rsidRDefault="003A0141" w:rsidP="0033455D">
      <w:pPr>
        <w:spacing w:line="360" w:lineRule="auto"/>
        <w:jc w:val="both"/>
      </w:pPr>
    </w:p>
    <w:p w14:paraId="320925C6" w14:textId="77777777" w:rsidR="003A0141" w:rsidRDefault="003A0141" w:rsidP="0033455D">
      <w:pPr>
        <w:spacing w:line="360" w:lineRule="auto"/>
        <w:jc w:val="both"/>
      </w:pPr>
    </w:p>
    <w:p w14:paraId="03DE30E4" w14:textId="77777777" w:rsidR="003A0141" w:rsidRDefault="003A0141" w:rsidP="0033455D">
      <w:pPr>
        <w:spacing w:line="360" w:lineRule="auto"/>
        <w:jc w:val="both"/>
      </w:pPr>
    </w:p>
    <w:p w14:paraId="505EB3DD" w14:textId="77777777" w:rsidR="003A0141" w:rsidRDefault="003A0141" w:rsidP="0033455D">
      <w:pPr>
        <w:spacing w:line="360" w:lineRule="auto"/>
        <w:jc w:val="both"/>
      </w:pPr>
    </w:p>
    <w:p w14:paraId="7C2606A8" w14:textId="77777777" w:rsidR="003A0141" w:rsidRDefault="003A0141" w:rsidP="0033455D">
      <w:pPr>
        <w:spacing w:line="360" w:lineRule="auto"/>
        <w:jc w:val="both"/>
      </w:pPr>
    </w:p>
    <w:p w14:paraId="4A70424B" w14:textId="77777777" w:rsidR="003A0141" w:rsidRPr="004F38BE" w:rsidRDefault="003A0141" w:rsidP="0033455D">
      <w:pPr>
        <w:spacing w:line="360" w:lineRule="auto"/>
        <w:jc w:val="both"/>
      </w:pPr>
    </w:p>
    <w:p w14:paraId="699291B5" w14:textId="77777777" w:rsidR="00EE38CC" w:rsidRPr="004F38BE" w:rsidRDefault="00EE38CC" w:rsidP="00CC3D95">
      <w:pPr>
        <w:spacing w:line="276" w:lineRule="auto"/>
      </w:pPr>
      <w:r w:rsidRPr="004F38BE">
        <w:rPr>
          <w:b/>
        </w:rPr>
        <w:t xml:space="preserve">Table 3: Characteristics of TB and no-PTB cases and individuals with “Questionable TB” disease status. </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2093"/>
        <w:gridCol w:w="1276"/>
        <w:gridCol w:w="1275"/>
        <w:gridCol w:w="1134"/>
        <w:gridCol w:w="1276"/>
        <w:gridCol w:w="1593"/>
      </w:tblGrid>
      <w:tr w:rsidR="00EE38CC" w:rsidRPr="004F38BE" w14:paraId="1604C265" w14:textId="77777777" w:rsidTr="00967F18">
        <w:tc>
          <w:tcPr>
            <w:tcW w:w="2093" w:type="dxa"/>
            <w:tcBorders>
              <w:top w:val="single" w:sz="8" w:space="0" w:color="000000"/>
              <w:left w:val="nil"/>
              <w:bottom w:val="single" w:sz="8" w:space="0" w:color="000000"/>
              <w:right w:val="nil"/>
            </w:tcBorders>
          </w:tcPr>
          <w:p w14:paraId="36ECC52A" w14:textId="77777777" w:rsidR="00EE38CC" w:rsidRPr="004F38BE" w:rsidRDefault="00EE38CC" w:rsidP="00967F18">
            <w:pPr>
              <w:rPr>
                <w:b/>
                <w:bCs/>
                <w:color w:val="000000"/>
              </w:rPr>
            </w:pPr>
          </w:p>
        </w:tc>
        <w:tc>
          <w:tcPr>
            <w:tcW w:w="1276" w:type="dxa"/>
            <w:tcBorders>
              <w:top w:val="single" w:sz="8" w:space="0" w:color="000000"/>
              <w:left w:val="nil"/>
              <w:bottom w:val="single" w:sz="8" w:space="0" w:color="000000"/>
              <w:right w:val="nil"/>
            </w:tcBorders>
          </w:tcPr>
          <w:p w14:paraId="3454B220" w14:textId="77777777" w:rsidR="00EE38CC" w:rsidRPr="004F38BE" w:rsidRDefault="00EE38CC" w:rsidP="00967F18">
            <w:pPr>
              <w:rPr>
                <w:b/>
                <w:bCs/>
                <w:color w:val="000000"/>
              </w:rPr>
            </w:pPr>
            <w:r w:rsidRPr="004F38BE">
              <w:rPr>
                <w:b/>
                <w:bCs/>
                <w:color w:val="000000"/>
              </w:rPr>
              <w:t>Definite TB (n=185)</w:t>
            </w:r>
          </w:p>
        </w:tc>
        <w:tc>
          <w:tcPr>
            <w:tcW w:w="1275" w:type="dxa"/>
            <w:tcBorders>
              <w:top w:val="single" w:sz="8" w:space="0" w:color="000000"/>
              <w:left w:val="nil"/>
              <w:bottom w:val="single" w:sz="8" w:space="0" w:color="000000"/>
              <w:right w:val="nil"/>
            </w:tcBorders>
          </w:tcPr>
          <w:p w14:paraId="3042559C" w14:textId="77777777" w:rsidR="00EE38CC" w:rsidRPr="004F38BE" w:rsidRDefault="00EE38CC" w:rsidP="00967F18">
            <w:pPr>
              <w:rPr>
                <w:b/>
                <w:bCs/>
                <w:color w:val="000000"/>
              </w:rPr>
            </w:pPr>
            <w:r w:rsidRPr="004F38BE">
              <w:rPr>
                <w:b/>
                <w:bCs/>
                <w:color w:val="000000"/>
              </w:rPr>
              <w:t>Probable TB (n=29)</w:t>
            </w:r>
          </w:p>
        </w:tc>
        <w:tc>
          <w:tcPr>
            <w:tcW w:w="1134" w:type="dxa"/>
            <w:tcBorders>
              <w:top w:val="single" w:sz="8" w:space="0" w:color="000000"/>
              <w:left w:val="nil"/>
              <w:bottom w:val="single" w:sz="8" w:space="0" w:color="000000"/>
              <w:right w:val="nil"/>
            </w:tcBorders>
          </w:tcPr>
          <w:p w14:paraId="7BDB0F4B" w14:textId="77777777" w:rsidR="00EE38CC" w:rsidRPr="004F38BE" w:rsidRDefault="00EE38CC" w:rsidP="00967F18">
            <w:pPr>
              <w:rPr>
                <w:b/>
                <w:bCs/>
                <w:color w:val="000000"/>
              </w:rPr>
            </w:pPr>
            <w:r w:rsidRPr="004F38BE">
              <w:rPr>
                <w:b/>
                <w:bCs/>
                <w:color w:val="000000"/>
              </w:rPr>
              <w:t>ALL TB (n=214)</w:t>
            </w:r>
          </w:p>
        </w:tc>
        <w:tc>
          <w:tcPr>
            <w:tcW w:w="1276" w:type="dxa"/>
            <w:tcBorders>
              <w:top w:val="single" w:sz="8" w:space="0" w:color="000000"/>
              <w:left w:val="nil"/>
              <w:bottom w:val="single" w:sz="8" w:space="0" w:color="000000"/>
              <w:right w:val="nil"/>
            </w:tcBorders>
          </w:tcPr>
          <w:p w14:paraId="1DE6B758" w14:textId="77777777" w:rsidR="00EE38CC" w:rsidRPr="004F38BE" w:rsidRDefault="00EE38CC" w:rsidP="00967F18">
            <w:pPr>
              <w:rPr>
                <w:b/>
                <w:bCs/>
                <w:color w:val="000000"/>
              </w:rPr>
            </w:pPr>
            <w:r w:rsidRPr="004F38BE">
              <w:rPr>
                <w:b/>
                <w:bCs/>
                <w:color w:val="000000"/>
              </w:rPr>
              <w:t>No-PTB (n=487)</w:t>
            </w:r>
          </w:p>
        </w:tc>
        <w:tc>
          <w:tcPr>
            <w:tcW w:w="1593" w:type="dxa"/>
            <w:tcBorders>
              <w:top w:val="single" w:sz="8" w:space="0" w:color="000000"/>
              <w:left w:val="nil"/>
              <w:bottom w:val="single" w:sz="8" w:space="0" w:color="000000"/>
              <w:right w:val="nil"/>
            </w:tcBorders>
          </w:tcPr>
          <w:p w14:paraId="371471A1" w14:textId="77777777" w:rsidR="00EE38CC" w:rsidRPr="004F38BE" w:rsidRDefault="00EE38CC" w:rsidP="00967F18">
            <w:pPr>
              <w:rPr>
                <w:b/>
                <w:bCs/>
                <w:color w:val="000000"/>
              </w:rPr>
            </w:pPr>
            <w:r w:rsidRPr="004F38BE">
              <w:rPr>
                <w:b/>
                <w:bCs/>
                <w:color w:val="000000"/>
              </w:rPr>
              <w:t xml:space="preserve">Questionable TB </w:t>
            </w:r>
          </w:p>
          <w:p w14:paraId="2657EBFB" w14:textId="77777777" w:rsidR="00EE38CC" w:rsidRPr="004F38BE" w:rsidRDefault="00EE38CC" w:rsidP="00967F18">
            <w:pPr>
              <w:rPr>
                <w:b/>
                <w:bCs/>
                <w:color w:val="000000"/>
              </w:rPr>
            </w:pPr>
            <w:r w:rsidRPr="004F38BE">
              <w:rPr>
                <w:b/>
                <w:bCs/>
                <w:color w:val="000000"/>
              </w:rPr>
              <w:t>(n=6)</w:t>
            </w:r>
          </w:p>
        </w:tc>
      </w:tr>
      <w:tr w:rsidR="00EE38CC" w:rsidRPr="004F38BE" w14:paraId="4D569C0B" w14:textId="77777777" w:rsidTr="00967F18">
        <w:tc>
          <w:tcPr>
            <w:tcW w:w="2093" w:type="dxa"/>
            <w:tcBorders>
              <w:left w:val="nil"/>
              <w:right w:val="nil"/>
            </w:tcBorders>
            <w:shd w:val="clear" w:color="auto" w:fill="auto"/>
          </w:tcPr>
          <w:p w14:paraId="4FA257BC" w14:textId="77777777" w:rsidR="00EE38CC" w:rsidRPr="004F38BE" w:rsidRDefault="00EE38CC" w:rsidP="00967F18">
            <w:pPr>
              <w:rPr>
                <w:b/>
                <w:bCs/>
                <w:color w:val="000000"/>
              </w:rPr>
            </w:pPr>
            <w:r w:rsidRPr="004F38BE">
              <w:rPr>
                <w:bCs/>
                <w:color w:val="000000"/>
              </w:rPr>
              <w:t xml:space="preserve">Age, </w:t>
            </w:r>
            <w:proofErr w:type="spellStart"/>
            <w:r w:rsidRPr="004F38BE">
              <w:rPr>
                <w:bCs/>
                <w:color w:val="000000"/>
              </w:rPr>
              <w:t>mean±SD</w:t>
            </w:r>
            <w:proofErr w:type="spellEnd"/>
            <w:r w:rsidRPr="004F38BE">
              <w:rPr>
                <w:bCs/>
                <w:color w:val="000000"/>
              </w:rPr>
              <w:t xml:space="preserve">, </w:t>
            </w:r>
            <w:proofErr w:type="spellStart"/>
            <w:r w:rsidRPr="004F38BE">
              <w:rPr>
                <w:bCs/>
                <w:color w:val="000000"/>
              </w:rPr>
              <w:t>yr</w:t>
            </w:r>
            <w:proofErr w:type="spellEnd"/>
          </w:p>
        </w:tc>
        <w:tc>
          <w:tcPr>
            <w:tcW w:w="1276" w:type="dxa"/>
            <w:tcBorders>
              <w:left w:val="nil"/>
              <w:right w:val="nil"/>
            </w:tcBorders>
            <w:shd w:val="clear" w:color="auto" w:fill="auto"/>
          </w:tcPr>
          <w:p w14:paraId="220CA63C" w14:textId="77777777" w:rsidR="00EE38CC" w:rsidRPr="004F38BE" w:rsidRDefault="00EE38CC" w:rsidP="00967F18">
            <w:pPr>
              <w:rPr>
                <w:color w:val="000000"/>
              </w:rPr>
            </w:pPr>
            <w:r w:rsidRPr="004F38BE">
              <w:rPr>
                <w:color w:val="000000"/>
              </w:rPr>
              <w:t>33.8±9.6</w:t>
            </w:r>
          </w:p>
        </w:tc>
        <w:tc>
          <w:tcPr>
            <w:tcW w:w="1275" w:type="dxa"/>
            <w:tcBorders>
              <w:left w:val="nil"/>
              <w:right w:val="nil"/>
            </w:tcBorders>
            <w:shd w:val="clear" w:color="auto" w:fill="auto"/>
          </w:tcPr>
          <w:p w14:paraId="5A520497" w14:textId="77777777" w:rsidR="00EE38CC" w:rsidRPr="004F38BE" w:rsidRDefault="00EE38CC" w:rsidP="00967F18">
            <w:pPr>
              <w:rPr>
                <w:color w:val="000000"/>
              </w:rPr>
            </w:pPr>
            <w:r w:rsidRPr="004F38BE">
              <w:rPr>
                <w:color w:val="000000"/>
              </w:rPr>
              <w:t>36.3±9.6</w:t>
            </w:r>
          </w:p>
        </w:tc>
        <w:tc>
          <w:tcPr>
            <w:tcW w:w="1134" w:type="dxa"/>
            <w:tcBorders>
              <w:left w:val="nil"/>
              <w:right w:val="nil"/>
            </w:tcBorders>
            <w:shd w:val="clear" w:color="auto" w:fill="auto"/>
          </w:tcPr>
          <w:p w14:paraId="178708EC" w14:textId="77777777" w:rsidR="00EE38CC" w:rsidRPr="004F38BE" w:rsidRDefault="00EE38CC" w:rsidP="00967F18">
            <w:pPr>
              <w:rPr>
                <w:color w:val="000000"/>
              </w:rPr>
            </w:pPr>
            <w:r w:rsidRPr="004F38BE">
              <w:rPr>
                <w:color w:val="000000"/>
              </w:rPr>
              <w:t>34.1±9.6</w:t>
            </w:r>
          </w:p>
        </w:tc>
        <w:tc>
          <w:tcPr>
            <w:tcW w:w="1276" w:type="dxa"/>
            <w:tcBorders>
              <w:left w:val="nil"/>
              <w:right w:val="nil"/>
            </w:tcBorders>
            <w:shd w:val="clear" w:color="auto" w:fill="auto"/>
          </w:tcPr>
          <w:p w14:paraId="326E0713" w14:textId="77777777" w:rsidR="00EE38CC" w:rsidRPr="004F38BE" w:rsidRDefault="00EE38CC" w:rsidP="00967F18">
            <w:pPr>
              <w:rPr>
                <w:color w:val="000000"/>
              </w:rPr>
            </w:pPr>
            <w:r w:rsidRPr="004F38BE">
              <w:rPr>
                <w:color w:val="000000"/>
              </w:rPr>
              <w:t>36.8±12.6</w:t>
            </w:r>
          </w:p>
        </w:tc>
        <w:tc>
          <w:tcPr>
            <w:tcW w:w="1593" w:type="dxa"/>
            <w:tcBorders>
              <w:left w:val="nil"/>
              <w:right w:val="nil"/>
            </w:tcBorders>
            <w:shd w:val="clear" w:color="auto" w:fill="auto"/>
          </w:tcPr>
          <w:p w14:paraId="4212265D" w14:textId="77777777" w:rsidR="00EE38CC" w:rsidRPr="004F38BE" w:rsidRDefault="00EE38CC" w:rsidP="00967F18">
            <w:pPr>
              <w:rPr>
                <w:color w:val="000000"/>
              </w:rPr>
            </w:pPr>
            <w:r w:rsidRPr="004F38BE">
              <w:rPr>
                <w:color w:val="000000"/>
              </w:rPr>
              <w:t>36.5±12.0</w:t>
            </w:r>
          </w:p>
        </w:tc>
      </w:tr>
      <w:tr w:rsidR="00EE38CC" w:rsidRPr="004F38BE" w14:paraId="2771D7FF" w14:textId="77777777" w:rsidTr="00967F18">
        <w:tc>
          <w:tcPr>
            <w:tcW w:w="2093" w:type="dxa"/>
          </w:tcPr>
          <w:p w14:paraId="0EAD3F2C" w14:textId="1D74BC3F" w:rsidR="00EE38CC" w:rsidRPr="004F38BE" w:rsidRDefault="00EE38CC" w:rsidP="00967F18">
            <w:pPr>
              <w:rPr>
                <w:b/>
                <w:bCs/>
                <w:color w:val="000000"/>
              </w:rPr>
            </w:pPr>
            <w:r w:rsidRPr="004F38BE">
              <w:rPr>
                <w:bCs/>
                <w:color w:val="000000"/>
              </w:rPr>
              <w:t>Male</w:t>
            </w:r>
            <w:r w:rsidR="002F016A">
              <w:rPr>
                <w:bCs/>
                <w:color w:val="000000"/>
              </w:rPr>
              <w:t>s, n(%)</w:t>
            </w:r>
          </w:p>
        </w:tc>
        <w:tc>
          <w:tcPr>
            <w:tcW w:w="1276" w:type="dxa"/>
          </w:tcPr>
          <w:p w14:paraId="275D210D" w14:textId="22667F80" w:rsidR="00EE38CC" w:rsidRPr="004F38BE" w:rsidRDefault="00EE38CC" w:rsidP="00967F18">
            <w:pPr>
              <w:rPr>
                <w:color w:val="000000"/>
              </w:rPr>
            </w:pPr>
            <w:r w:rsidRPr="004F38BE">
              <w:rPr>
                <w:color w:val="000000"/>
              </w:rPr>
              <w:t>118</w:t>
            </w:r>
            <w:r w:rsidR="002F016A">
              <w:rPr>
                <w:color w:val="000000"/>
              </w:rPr>
              <w:t>(64)</w:t>
            </w:r>
          </w:p>
        </w:tc>
        <w:tc>
          <w:tcPr>
            <w:tcW w:w="1275" w:type="dxa"/>
          </w:tcPr>
          <w:p w14:paraId="3AC9ADB0" w14:textId="51361755" w:rsidR="00EE38CC" w:rsidRPr="004F38BE" w:rsidRDefault="00EE38CC" w:rsidP="00967F18">
            <w:pPr>
              <w:rPr>
                <w:color w:val="000000"/>
              </w:rPr>
            </w:pPr>
            <w:r w:rsidRPr="004F38BE">
              <w:rPr>
                <w:color w:val="000000"/>
              </w:rPr>
              <w:t>14</w:t>
            </w:r>
            <w:r w:rsidR="002F016A">
              <w:rPr>
                <w:color w:val="000000"/>
              </w:rPr>
              <w:t>(48)</w:t>
            </w:r>
          </w:p>
        </w:tc>
        <w:tc>
          <w:tcPr>
            <w:tcW w:w="1134" w:type="dxa"/>
          </w:tcPr>
          <w:p w14:paraId="66191B17" w14:textId="2329FCCF" w:rsidR="00EE38CC" w:rsidRPr="004F38BE" w:rsidRDefault="00EE38CC" w:rsidP="00967F18">
            <w:pPr>
              <w:rPr>
                <w:color w:val="000000"/>
              </w:rPr>
            </w:pPr>
            <w:r w:rsidRPr="004F38BE">
              <w:rPr>
                <w:color w:val="000000"/>
              </w:rPr>
              <w:t>13</w:t>
            </w:r>
            <w:r w:rsidR="002F016A">
              <w:rPr>
                <w:color w:val="000000"/>
              </w:rPr>
              <w:t>2(62)</w:t>
            </w:r>
          </w:p>
        </w:tc>
        <w:tc>
          <w:tcPr>
            <w:tcW w:w="1276" w:type="dxa"/>
          </w:tcPr>
          <w:p w14:paraId="6C313F9B" w14:textId="1CD45E61" w:rsidR="00EE38CC" w:rsidRPr="004F38BE" w:rsidRDefault="00EE38CC" w:rsidP="00967F18">
            <w:pPr>
              <w:rPr>
                <w:color w:val="000000"/>
              </w:rPr>
            </w:pPr>
            <w:r w:rsidRPr="004F38BE">
              <w:rPr>
                <w:color w:val="000000"/>
              </w:rPr>
              <w:t>229</w:t>
            </w:r>
            <w:r w:rsidR="002F016A">
              <w:rPr>
                <w:color w:val="000000"/>
              </w:rPr>
              <w:t>(47)</w:t>
            </w:r>
          </w:p>
        </w:tc>
        <w:tc>
          <w:tcPr>
            <w:tcW w:w="1593" w:type="dxa"/>
          </w:tcPr>
          <w:p w14:paraId="38621FFC" w14:textId="1A35662A" w:rsidR="00EE38CC" w:rsidRPr="004F38BE" w:rsidRDefault="00EE38CC" w:rsidP="00967F18">
            <w:pPr>
              <w:rPr>
                <w:color w:val="000000"/>
              </w:rPr>
            </w:pPr>
            <w:r w:rsidRPr="004F38BE">
              <w:rPr>
                <w:color w:val="000000"/>
              </w:rPr>
              <w:t>4</w:t>
            </w:r>
            <w:r w:rsidR="002F016A">
              <w:rPr>
                <w:color w:val="000000"/>
              </w:rPr>
              <w:t>(67)</w:t>
            </w:r>
          </w:p>
        </w:tc>
      </w:tr>
      <w:tr w:rsidR="00EE38CC" w:rsidRPr="004F38BE" w14:paraId="702A7B36" w14:textId="77777777" w:rsidTr="00967F18">
        <w:tc>
          <w:tcPr>
            <w:tcW w:w="2093" w:type="dxa"/>
            <w:tcBorders>
              <w:left w:val="nil"/>
              <w:right w:val="nil"/>
            </w:tcBorders>
            <w:shd w:val="clear" w:color="auto" w:fill="auto"/>
          </w:tcPr>
          <w:p w14:paraId="5578161F" w14:textId="77777777" w:rsidR="00EE38CC" w:rsidRPr="004F38BE" w:rsidRDefault="00EE38CC" w:rsidP="00967F18">
            <w:pPr>
              <w:rPr>
                <w:b/>
                <w:bCs/>
                <w:color w:val="000000"/>
              </w:rPr>
            </w:pPr>
            <w:r w:rsidRPr="004F38BE">
              <w:rPr>
                <w:bCs/>
                <w:color w:val="000000"/>
              </w:rPr>
              <w:t xml:space="preserve">HIV </w:t>
            </w:r>
            <w:proofErr w:type="spellStart"/>
            <w:r w:rsidRPr="004F38BE">
              <w:rPr>
                <w:bCs/>
                <w:color w:val="000000"/>
              </w:rPr>
              <w:t>pos</w:t>
            </w:r>
            <w:proofErr w:type="spellEnd"/>
            <w:r w:rsidRPr="004F38BE">
              <w:rPr>
                <w:bCs/>
                <w:color w:val="000000"/>
              </w:rPr>
              <w:t>, n(%)</w:t>
            </w:r>
          </w:p>
        </w:tc>
        <w:tc>
          <w:tcPr>
            <w:tcW w:w="1276" w:type="dxa"/>
            <w:tcBorders>
              <w:left w:val="nil"/>
              <w:right w:val="nil"/>
            </w:tcBorders>
            <w:shd w:val="clear" w:color="auto" w:fill="auto"/>
          </w:tcPr>
          <w:p w14:paraId="7AF57DD9" w14:textId="77777777" w:rsidR="00EE38CC" w:rsidRPr="004F38BE" w:rsidRDefault="00EE38CC" w:rsidP="00967F18">
            <w:pPr>
              <w:rPr>
                <w:color w:val="000000"/>
              </w:rPr>
            </w:pPr>
            <w:r w:rsidRPr="004F38BE">
              <w:rPr>
                <w:color w:val="000000"/>
              </w:rPr>
              <w:t>47 (25)</w:t>
            </w:r>
          </w:p>
        </w:tc>
        <w:tc>
          <w:tcPr>
            <w:tcW w:w="1275" w:type="dxa"/>
            <w:tcBorders>
              <w:left w:val="nil"/>
              <w:right w:val="nil"/>
            </w:tcBorders>
            <w:shd w:val="clear" w:color="auto" w:fill="auto"/>
          </w:tcPr>
          <w:p w14:paraId="36E9DED3" w14:textId="77777777" w:rsidR="00EE38CC" w:rsidRPr="004F38BE" w:rsidRDefault="00EE38CC" w:rsidP="00967F18">
            <w:pPr>
              <w:rPr>
                <w:color w:val="000000"/>
              </w:rPr>
            </w:pPr>
            <w:r w:rsidRPr="004F38BE">
              <w:rPr>
                <w:color w:val="000000"/>
              </w:rPr>
              <w:t>8(28)</w:t>
            </w:r>
          </w:p>
        </w:tc>
        <w:tc>
          <w:tcPr>
            <w:tcW w:w="1134" w:type="dxa"/>
            <w:tcBorders>
              <w:left w:val="nil"/>
              <w:right w:val="nil"/>
            </w:tcBorders>
            <w:shd w:val="clear" w:color="auto" w:fill="auto"/>
          </w:tcPr>
          <w:p w14:paraId="45161B32" w14:textId="77777777" w:rsidR="00EE38CC" w:rsidRPr="004F38BE" w:rsidRDefault="00EE38CC" w:rsidP="00967F18">
            <w:pPr>
              <w:rPr>
                <w:color w:val="000000"/>
              </w:rPr>
            </w:pPr>
            <w:r w:rsidRPr="004F38BE">
              <w:rPr>
                <w:color w:val="000000"/>
              </w:rPr>
              <w:t>55(26)</w:t>
            </w:r>
          </w:p>
        </w:tc>
        <w:tc>
          <w:tcPr>
            <w:tcW w:w="1276" w:type="dxa"/>
            <w:tcBorders>
              <w:left w:val="nil"/>
              <w:right w:val="nil"/>
            </w:tcBorders>
            <w:shd w:val="clear" w:color="auto" w:fill="auto"/>
          </w:tcPr>
          <w:p w14:paraId="7C1E1F22" w14:textId="77777777" w:rsidR="00EE38CC" w:rsidRPr="004F38BE" w:rsidRDefault="00EE38CC" w:rsidP="00967F18">
            <w:pPr>
              <w:rPr>
                <w:color w:val="000000"/>
              </w:rPr>
            </w:pPr>
            <w:r w:rsidRPr="004F38BE">
              <w:rPr>
                <w:color w:val="000000"/>
              </w:rPr>
              <w:t>114(23)</w:t>
            </w:r>
          </w:p>
        </w:tc>
        <w:tc>
          <w:tcPr>
            <w:tcW w:w="1593" w:type="dxa"/>
            <w:tcBorders>
              <w:left w:val="nil"/>
              <w:right w:val="nil"/>
            </w:tcBorders>
            <w:shd w:val="clear" w:color="auto" w:fill="auto"/>
          </w:tcPr>
          <w:p w14:paraId="2A9D509E" w14:textId="77777777" w:rsidR="00EE38CC" w:rsidRPr="004F38BE" w:rsidRDefault="00EE38CC" w:rsidP="00967F18">
            <w:pPr>
              <w:rPr>
                <w:color w:val="000000"/>
              </w:rPr>
            </w:pPr>
            <w:r w:rsidRPr="004F38BE">
              <w:rPr>
                <w:color w:val="000000"/>
              </w:rPr>
              <w:t>1(17)</w:t>
            </w:r>
          </w:p>
        </w:tc>
      </w:tr>
      <w:tr w:rsidR="00EE38CC" w:rsidRPr="004F38BE" w14:paraId="5AFA310F" w14:textId="77777777" w:rsidTr="00967F18">
        <w:tc>
          <w:tcPr>
            <w:tcW w:w="2093" w:type="dxa"/>
            <w:shd w:val="clear" w:color="auto" w:fill="auto"/>
          </w:tcPr>
          <w:p w14:paraId="28C5C134" w14:textId="77777777" w:rsidR="00EE38CC" w:rsidRPr="004F38BE" w:rsidRDefault="00EE38CC" w:rsidP="00967F18">
            <w:pPr>
              <w:rPr>
                <w:b/>
                <w:bCs/>
                <w:color w:val="000000"/>
              </w:rPr>
            </w:pPr>
            <w:r w:rsidRPr="004F38BE">
              <w:rPr>
                <w:bCs/>
                <w:color w:val="000000"/>
              </w:rPr>
              <w:t xml:space="preserve">QFT </w:t>
            </w:r>
            <w:proofErr w:type="spellStart"/>
            <w:r w:rsidRPr="004F38BE">
              <w:rPr>
                <w:bCs/>
                <w:color w:val="000000"/>
              </w:rPr>
              <w:t>pos</w:t>
            </w:r>
            <w:proofErr w:type="spellEnd"/>
            <w:r w:rsidRPr="004F38BE">
              <w:rPr>
                <w:bCs/>
                <w:color w:val="000000"/>
              </w:rPr>
              <w:t>, n(%)</w:t>
            </w:r>
          </w:p>
        </w:tc>
        <w:tc>
          <w:tcPr>
            <w:tcW w:w="1276" w:type="dxa"/>
            <w:shd w:val="clear" w:color="auto" w:fill="auto"/>
          </w:tcPr>
          <w:p w14:paraId="4591A1A9" w14:textId="77777777" w:rsidR="00EE38CC" w:rsidRPr="004F38BE" w:rsidRDefault="00EE38CC" w:rsidP="00967F18">
            <w:pPr>
              <w:rPr>
                <w:color w:val="000000"/>
              </w:rPr>
            </w:pPr>
            <w:r w:rsidRPr="004F38BE">
              <w:rPr>
                <w:color w:val="000000"/>
              </w:rPr>
              <w:t>144 (78)</w:t>
            </w:r>
          </w:p>
        </w:tc>
        <w:tc>
          <w:tcPr>
            <w:tcW w:w="1275" w:type="dxa"/>
            <w:shd w:val="clear" w:color="auto" w:fill="auto"/>
          </w:tcPr>
          <w:p w14:paraId="7EF3ABF4" w14:textId="77777777" w:rsidR="00EE38CC" w:rsidRPr="004F38BE" w:rsidRDefault="00EE38CC" w:rsidP="00967F18">
            <w:pPr>
              <w:rPr>
                <w:color w:val="000000"/>
              </w:rPr>
            </w:pPr>
            <w:r w:rsidRPr="004F38BE">
              <w:rPr>
                <w:color w:val="000000"/>
              </w:rPr>
              <w:t>19(66)</w:t>
            </w:r>
          </w:p>
        </w:tc>
        <w:tc>
          <w:tcPr>
            <w:tcW w:w="1134" w:type="dxa"/>
            <w:shd w:val="clear" w:color="auto" w:fill="auto"/>
          </w:tcPr>
          <w:p w14:paraId="6518AE7E" w14:textId="77777777" w:rsidR="00EE38CC" w:rsidRPr="004F38BE" w:rsidRDefault="00EE38CC" w:rsidP="00967F18">
            <w:pPr>
              <w:rPr>
                <w:color w:val="000000"/>
              </w:rPr>
            </w:pPr>
            <w:r w:rsidRPr="004F38BE">
              <w:rPr>
                <w:color w:val="000000"/>
              </w:rPr>
              <w:t>164(78)</w:t>
            </w:r>
          </w:p>
        </w:tc>
        <w:tc>
          <w:tcPr>
            <w:tcW w:w="1276" w:type="dxa"/>
            <w:shd w:val="clear" w:color="auto" w:fill="auto"/>
          </w:tcPr>
          <w:p w14:paraId="7EEB058A" w14:textId="77777777" w:rsidR="00EE38CC" w:rsidRPr="004F38BE" w:rsidRDefault="00EE38CC" w:rsidP="00967F18">
            <w:pPr>
              <w:rPr>
                <w:color w:val="000000"/>
              </w:rPr>
            </w:pPr>
            <w:r w:rsidRPr="004F38BE">
              <w:rPr>
                <w:color w:val="000000"/>
              </w:rPr>
              <w:t>221(47)</w:t>
            </w:r>
          </w:p>
        </w:tc>
        <w:tc>
          <w:tcPr>
            <w:tcW w:w="1593" w:type="dxa"/>
            <w:shd w:val="clear" w:color="auto" w:fill="auto"/>
          </w:tcPr>
          <w:p w14:paraId="1940834F" w14:textId="77777777" w:rsidR="00EE38CC" w:rsidRPr="004F38BE" w:rsidRDefault="00EE38CC" w:rsidP="00967F18">
            <w:pPr>
              <w:rPr>
                <w:color w:val="000000"/>
              </w:rPr>
            </w:pPr>
            <w:r w:rsidRPr="004F38BE">
              <w:rPr>
                <w:color w:val="000000"/>
              </w:rPr>
              <w:t>2(33)</w:t>
            </w:r>
          </w:p>
        </w:tc>
      </w:tr>
      <w:tr w:rsidR="00EE38CC" w:rsidRPr="004F38BE" w14:paraId="7532BC89" w14:textId="77777777" w:rsidTr="00967F18">
        <w:tc>
          <w:tcPr>
            <w:tcW w:w="2093" w:type="dxa"/>
            <w:tcBorders>
              <w:left w:val="nil"/>
              <w:right w:val="nil"/>
            </w:tcBorders>
            <w:shd w:val="clear" w:color="auto" w:fill="auto"/>
          </w:tcPr>
          <w:p w14:paraId="4B38F19A" w14:textId="77777777" w:rsidR="00EE38CC" w:rsidRPr="004F38BE" w:rsidRDefault="00EE38CC" w:rsidP="00967F18">
            <w:pPr>
              <w:rPr>
                <w:b/>
                <w:bCs/>
                <w:color w:val="000000"/>
              </w:rPr>
            </w:pPr>
            <w:r w:rsidRPr="004F38BE">
              <w:rPr>
                <w:bCs/>
                <w:color w:val="000000"/>
              </w:rPr>
              <w:t xml:space="preserve">QFT </w:t>
            </w:r>
            <w:proofErr w:type="spellStart"/>
            <w:r w:rsidRPr="004F38BE">
              <w:rPr>
                <w:bCs/>
                <w:color w:val="000000"/>
              </w:rPr>
              <w:t>neg</w:t>
            </w:r>
            <w:proofErr w:type="spellEnd"/>
            <w:r w:rsidRPr="004F38BE">
              <w:rPr>
                <w:bCs/>
                <w:color w:val="000000"/>
              </w:rPr>
              <w:t>, n(%)</w:t>
            </w:r>
          </w:p>
        </w:tc>
        <w:tc>
          <w:tcPr>
            <w:tcW w:w="1276" w:type="dxa"/>
            <w:tcBorders>
              <w:left w:val="nil"/>
              <w:right w:val="nil"/>
            </w:tcBorders>
            <w:shd w:val="clear" w:color="auto" w:fill="auto"/>
          </w:tcPr>
          <w:p w14:paraId="62998306" w14:textId="77777777" w:rsidR="00EE38CC" w:rsidRPr="004F38BE" w:rsidRDefault="00EE38CC" w:rsidP="00967F18">
            <w:pPr>
              <w:rPr>
                <w:color w:val="000000"/>
              </w:rPr>
            </w:pPr>
            <w:r w:rsidRPr="004F38BE">
              <w:rPr>
                <w:color w:val="000000"/>
              </w:rPr>
              <w:t>28 (15)</w:t>
            </w:r>
          </w:p>
        </w:tc>
        <w:tc>
          <w:tcPr>
            <w:tcW w:w="1275" w:type="dxa"/>
            <w:tcBorders>
              <w:left w:val="nil"/>
              <w:right w:val="nil"/>
            </w:tcBorders>
            <w:shd w:val="clear" w:color="auto" w:fill="auto"/>
          </w:tcPr>
          <w:p w14:paraId="36447477" w14:textId="77777777" w:rsidR="00EE38CC" w:rsidRPr="004F38BE" w:rsidRDefault="00EE38CC" w:rsidP="00967F18">
            <w:pPr>
              <w:rPr>
                <w:color w:val="000000"/>
              </w:rPr>
            </w:pPr>
            <w:r w:rsidRPr="004F38BE">
              <w:rPr>
                <w:color w:val="000000"/>
              </w:rPr>
              <w:t>10(34)</w:t>
            </w:r>
          </w:p>
        </w:tc>
        <w:tc>
          <w:tcPr>
            <w:tcW w:w="1134" w:type="dxa"/>
            <w:tcBorders>
              <w:left w:val="nil"/>
              <w:right w:val="nil"/>
            </w:tcBorders>
            <w:shd w:val="clear" w:color="auto" w:fill="auto"/>
          </w:tcPr>
          <w:p w14:paraId="7B34D9A9" w14:textId="77777777" w:rsidR="00EE38CC" w:rsidRPr="004F38BE" w:rsidRDefault="00EE38CC" w:rsidP="00967F18">
            <w:pPr>
              <w:rPr>
                <w:color w:val="000000"/>
              </w:rPr>
            </w:pPr>
            <w:r w:rsidRPr="004F38BE">
              <w:rPr>
                <w:color w:val="000000"/>
              </w:rPr>
              <w:t>38(18)</w:t>
            </w:r>
          </w:p>
        </w:tc>
        <w:tc>
          <w:tcPr>
            <w:tcW w:w="1276" w:type="dxa"/>
            <w:tcBorders>
              <w:left w:val="nil"/>
              <w:right w:val="nil"/>
            </w:tcBorders>
            <w:shd w:val="clear" w:color="auto" w:fill="auto"/>
          </w:tcPr>
          <w:p w14:paraId="358F1FD5" w14:textId="77777777" w:rsidR="00EE38CC" w:rsidRPr="004F38BE" w:rsidRDefault="00EE38CC" w:rsidP="00967F18">
            <w:pPr>
              <w:rPr>
                <w:color w:val="000000"/>
              </w:rPr>
            </w:pPr>
            <w:r w:rsidRPr="004F38BE">
              <w:rPr>
                <w:color w:val="000000"/>
              </w:rPr>
              <w:t>235(49)</w:t>
            </w:r>
          </w:p>
        </w:tc>
        <w:tc>
          <w:tcPr>
            <w:tcW w:w="1593" w:type="dxa"/>
            <w:tcBorders>
              <w:left w:val="nil"/>
              <w:right w:val="nil"/>
            </w:tcBorders>
            <w:shd w:val="clear" w:color="auto" w:fill="auto"/>
          </w:tcPr>
          <w:p w14:paraId="4EC4F689" w14:textId="77777777" w:rsidR="00EE38CC" w:rsidRPr="004F38BE" w:rsidRDefault="00EE38CC" w:rsidP="00967F18">
            <w:pPr>
              <w:rPr>
                <w:color w:val="000000"/>
              </w:rPr>
            </w:pPr>
            <w:r w:rsidRPr="004F38BE">
              <w:rPr>
                <w:color w:val="000000"/>
              </w:rPr>
              <w:t>3(50)</w:t>
            </w:r>
          </w:p>
        </w:tc>
      </w:tr>
      <w:tr w:rsidR="00EE38CC" w:rsidRPr="004F38BE" w14:paraId="1B67E407" w14:textId="77777777" w:rsidTr="00967F18">
        <w:tc>
          <w:tcPr>
            <w:tcW w:w="2093" w:type="dxa"/>
            <w:shd w:val="clear" w:color="auto" w:fill="auto"/>
          </w:tcPr>
          <w:p w14:paraId="3677BAA6" w14:textId="77777777" w:rsidR="00EE38CC" w:rsidRPr="004F38BE" w:rsidRDefault="00EE38CC" w:rsidP="00967F18">
            <w:pPr>
              <w:rPr>
                <w:b/>
                <w:bCs/>
                <w:color w:val="000000"/>
              </w:rPr>
            </w:pPr>
            <w:r w:rsidRPr="004F38BE">
              <w:rPr>
                <w:bCs/>
                <w:color w:val="000000"/>
              </w:rPr>
              <w:t xml:space="preserve">QFT </w:t>
            </w:r>
            <w:proofErr w:type="spellStart"/>
            <w:r w:rsidRPr="004F38BE">
              <w:rPr>
                <w:bCs/>
                <w:color w:val="000000"/>
              </w:rPr>
              <w:t>Indet</w:t>
            </w:r>
            <w:proofErr w:type="spellEnd"/>
            <w:r w:rsidRPr="004F38BE">
              <w:rPr>
                <w:bCs/>
                <w:color w:val="000000"/>
              </w:rPr>
              <w:t>, n(%)</w:t>
            </w:r>
          </w:p>
        </w:tc>
        <w:tc>
          <w:tcPr>
            <w:tcW w:w="1276" w:type="dxa"/>
            <w:shd w:val="clear" w:color="auto" w:fill="auto"/>
          </w:tcPr>
          <w:p w14:paraId="2A4034EB" w14:textId="77777777" w:rsidR="00EE38CC" w:rsidRPr="004F38BE" w:rsidRDefault="00EE38CC" w:rsidP="00967F18">
            <w:pPr>
              <w:rPr>
                <w:color w:val="000000"/>
              </w:rPr>
            </w:pPr>
            <w:r w:rsidRPr="004F38BE">
              <w:rPr>
                <w:color w:val="000000"/>
              </w:rPr>
              <w:t>8 (4)</w:t>
            </w:r>
          </w:p>
        </w:tc>
        <w:tc>
          <w:tcPr>
            <w:tcW w:w="1275" w:type="dxa"/>
            <w:shd w:val="clear" w:color="auto" w:fill="auto"/>
          </w:tcPr>
          <w:p w14:paraId="7C3AE133" w14:textId="77777777" w:rsidR="00EE38CC" w:rsidRPr="004F38BE" w:rsidRDefault="00EE38CC" w:rsidP="00967F18">
            <w:pPr>
              <w:rPr>
                <w:color w:val="000000"/>
              </w:rPr>
            </w:pPr>
            <w:r w:rsidRPr="004F38BE">
              <w:rPr>
                <w:color w:val="000000"/>
              </w:rPr>
              <w:t>0(0)</w:t>
            </w:r>
          </w:p>
        </w:tc>
        <w:tc>
          <w:tcPr>
            <w:tcW w:w="1134" w:type="dxa"/>
            <w:shd w:val="clear" w:color="auto" w:fill="auto"/>
          </w:tcPr>
          <w:p w14:paraId="79DE6CD1" w14:textId="77777777" w:rsidR="00EE38CC" w:rsidRPr="004F38BE" w:rsidRDefault="00EE38CC" w:rsidP="00967F18">
            <w:pPr>
              <w:rPr>
                <w:color w:val="000000"/>
              </w:rPr>
            </w:pPr>
            <w:r w:rsidRPr="004F38BE">
              <w:rPr>
                <w:color w:val="000000"/>
              </w:rPr>
              <w:t>8(4)</w:t>
            </w:r>
          </w:p>
        </w:tc>
        <w:tc>
          <w:tcPr>
            <w:tcW w:w="1276" w:type="dxa"/>
            <w:shd w:val="clear" w:color="auto" w:fill="auto"/>
          </w:tcPr>
          <w:p w14:paraId="6501818A" w14:textId="77777777" w:rsidR="00EE38CC" w:rsidRPr="004F38BE" w:rsidRDefault="00EE38CC" w:rsidP="00967F18">
            <w:pPr>
              <w:rPr>
                <w:color w:val="000000"/>
              </w:rPr>
            </w:pPr>
            <w:r w:rsidRPr="004F38BE">
              <w:rPr>
                <w:color w:val="000000"/>
              </w:rPr>
              <w:t>19(4)</w:t>
            </w:r>
          </w:p>
        </w:tc>
        <w:tc>
          <w:tcPr>
            <w:tcW w:w="1593" w:type="dxa"/>
            <w:shd w:val="clear" w:color="auto" w:fill="auto"/>
          </w:tcPr>
          <w:p w14:paraId="05D36F77" w14:textId="77777777" w:rsidR="00EE38CC" w:rsidRPr="004F38BE" w:rsidRDefault="00EE38CC" w:rsidP="00967F18">
            <w:pPr>
              <w:rPr>
                <w:color w:val="000000"/>
              </w:rPr>
            </w:pPr>
            <w:r w:rsidRPr="004F38BE">
              <w:rPr>
                <w:color w:val="000000"/>
              </w:rPr>
              <w:t>1(17)</w:t>
            </w:r>
          </w:p>
        </w:tc>
      </w:tr>
    </w:tbl>
    <w:p w14:paraId="7BA39211" w14:textId="77777777" w:rsidR="00EE38CC" w:rsidRPr="004F38BE" w:rsidRDefault="00EE38CC" w:rsidP="00CC3D95">
      <w:pPr>
        <w:spacing w:line="276" w:lineRule="auto"/>
        <w:jc w:val="both"/>
      </w:pPr>
      <w:r w:rsidRPr="004F38BE">
        <w:t xml:space="preserve">SD, standard deviation; QFT= Quantiferon TB Gold </w:t>
      </w:r>
      <w:proofErr w:type="gramStart"/>
      <w:r w:rsidRPr="004F38BE">
        <w:t>In</w:t>
      </w:r>
      <w:proofErr w:type="gramEnd"/>
      <w:r w:rsidRPr="004F38BE">
        <w:t xml:space="preserve"> Tube; </w:t>
      </w:r>
      <w:proofErr w:type="spellStart"/>
      <w:r w:rsidRPr="004F38BE">
        <w:t>pos</w:t>
      </w:r>
      <w:proofErr w:type="spellEnd"/>
      <w:r w:rsidRPr="004F38BE">
        <w:t xml:space="preserve">, positive; </w:t>
      </w:r>
      <w:proofErr w:type="spellStart"/>
      <w:r w:rsidRPr="004F38BE">
        <w:t>neg</w:t>
      </w:r>
      <w:proofErr w:type="spellEnd"/>
      <w:r w:rsidRPr="004F38BE">
        <w:t xml:space="preserve">, negative; </w:t>
      </w:r>
      <w:proofErr w:type="spellStart"/>
      <w:r w:rsidRPr="004F38BE">
        <w:t>indet</w:t>
      </w:r>
      <w:proofErr w:type="spellEnd"/>
      <w:r w:rsidRPr="004F38BE">
        <w:t>, indeterminate.</w:t>
      </w:r>
    </w:p>
    <w:p w14:paraId="382BC6E8" w14:textId="77777777" w:rsidR="00233E01" w:rsidRPr="004F38BE" w:rsidRDefault="00233E01" w:rsidP="0033455D">
      <w:pPr>
        <w:spacing w:line="360" w:lineRule="auto"/>
        <w:jc w:val="both"/>
        <w:rPr>
          <w:i/>
        </w:rPr>
      </w:pPr>
    </w:p>
    <w:p w14:paraId="027A7E0A" w14:textId="77777777" w:rsidR="00233E01" w:rsidRPr="004F38BE" w:rsidRDefault="006816F8" w:rsidP="0033455D">
      <w:pPr>
        <w:spacing w:line="360" w:lineRule="auto"/>
        <w:jc w:val="both"/>
      </w:pPr>
      <w:r w:rsidRPr="008A4BC6">
        <w:rPr>
          <w:b/>
        </w:rPr>
        <w:t xml:space="preserve">Utility of individual serum biomarkers in the diagnosis of TB disease </w:t>
      </w:r>
    </w:p>
    <w:p w14:paraId="3041EB40" w14:textId="72F6E170" w:rsidR="00233E01" w:rsidRDefault="009D20C2" w:rsidP="0033455D">
      <w:pPr>
        <w:spacing w:line="360" w:lineRule="auto"/>
        <w:jc w:val="both"/>
      </w:pPr>
      <w:r w:rsidRPr="004F38BE">
        <w:t xml:space="preserve">All serum markers </w:t>
      </w:r>
      <w:r w:rsidR="00752285" w:rsidRPr="004F38BE">
        <w:t xml:space="preserve">investigated </w:t>
      </w:r>
      <w:r w:rsidRPr="004F38BE">
        <w:t xml:space="preserve">showed significant differences (p&lt;0.05) between </w:t>
      </w:r>
      <w:r w:rsidR="00127413" w:rsidRPr="004F38BE">
        <w:t xml:space="preserve">the </w:t>
      </w:r>
      <w:r w:rsidRPr="004F38BE">
        <w:t xml:space="preserve">TB cases and </w:t>
      </w:r>
      <w:r w:rsidR="007F3F85" w:rsidRPr="004F38BE">
        <w:t>No-PTB</w:t>
      </w:r>
      <w:r w:rsidR="00127413" w:rsidRPr="004F38BE">
        <w:t xml:space="preserve"> </w:t>
      </w:r>
      <w:r w:rsidRPr="004F38BE">
        <w:t xml:space="preserve">cases </w:t>
      </w:r>
      <w:r w:rsidR="00ED4ED6" w:rsidRPr="004F38BE">
        <w:t xml:space="preserve">except A2M and MMP-2 </w:t>
      </w:r>
      <w:r w:rsidR="00DC4F83" w:rsidRPr="004F38BE">
        <w:t>(</w:t>
      </w:r>
      <w:r w:rsidR="003A0141">
        <w:t>Supplementary Table 1</w:t>
      </w:r>
      <w:r w:rsidR="00DC4F83" w:rsidRPr="004F38BE">
        <w:t>)</w:t>
      </w:r>
      <w:r w:rsidR="006816F8" w:rsidRPr="004F38BE">
        <w:t>,</w:t>
      </w:r>
      <w:r w:rsidR="00024E85" w:rsidRPr="004F38BE">
        <w:t xml:space="preserve"> </w:t>
      </w:r>
      <w:r w:rsidR="006816F8" w:rsidRPr="004F38BE">
        <w:t>irrespective of HIV infection status</w:t>
      </w:r>
      <w:r w:rsidR="00ED4ED6" w:rsidRPr="004F38BE">
        <w:t>.</w:t>
      </w:r>
      <w:r w:rsidR="006816F8" w:rsidRPr="004F38BE">
        <w:t xml:space="preserve"> </w:t>
      </w:r>
      <w:r w:rsidR="00493161" w:rsidRPr="004F38BE">
        <w:t>Concentrations</w:t>
      </w:r>
      <w:r w:rsidR="006816F8" w:rsidRPr="004F38BE">
        <w:t xml:space="preserve"> of </w:t>
      </w:r>
      <w:r w:rsidR="00BC2E00" w:rsidRPr="004F38BE">
        <w:t xml:space="preserve">CFH, CRP, </w:t>
      </w:r>
      <w:r w:rsidR="00D802C5" w:rsidRPr="004F38BE">
        <w:t xml:space="preserve">ferritin, fibrinogen, </w:t>
      </w:r>
      <w:proofErr w:type="spellStart"/>
      <w:r w:rsidR="00BC2E00" w:rsidRPr="004F38BE">
        <w:t>haptoglobulin</w:t>
      </w:r>
      <w:proofErr w:type="spellEnd"/>
      <w:r w:rsidR="00BC2E00" w:rsidRPr="004F38BE">
        <w:t xml:space="preserve">, IFN-α2, IFN-γ, </w:t>
      </w:r>
      <w:r w:rsidR="006816F8" w:rsidRPr="004F38BE">
        <w:t xml:space="preserve">IL-1ra, </w:t>
      </w:r>
      <w:r w:rsidR="00BC2E00" w:rsidRPr="004F38BE">
        <w:t xml:space="preserve">IP-10, MMP-9, </w:t>
      </w:r>
      <w:r w:rsidR="00D802C5" w:rsidRPr="004F38BE">
        <w:t xml:space="preserve">PCT, SAA, SAP, </w:t>
      </w:r>
      <w:r w:rsidR="006816F8" w:rsidRPr="004F38BE">
        <w:t>TGF-α, TNF-α,</w:t>
      </w:r>
      <w:r w:rsidR="00BC2E00" w:rsidRPr="004F38BE">
        <w:t xml:space="preserve"> </w:t>
      </w:r>
      <w:r w:rsidR="00D802C5" w:rsidRPr="004F38BE">
        <w:t xml:space="preserve">TPA, and </w:t>
      </w:r>
      <w:r w:rsidR="006816F8" w:rsidRPr="004F38BE">
        <w:t>VEGF</w:t>
      </w:r>
      <w:r w:rsidR="00D802C5" w:rsidRPr="004F38BE">
        <w:t xml:space="preserve"> </w:t>
      </w:r>
      <w:r w:rsidR="006816F8" w:rsidRPr="004F38BE">
        <w:t xml:space="preserve">were significantly higher in the TB cases while those of </w:t>
      </w:r>
      <w:r w:rsidR="00213F5F" w:rsidRPr="004F38BE">
        <w:t>ApoA-1</w:t>
      </w:r>
      <w:r w:rsidR="006816F8" w:rsidRPr="004F38BE">
        <w:t>, Apo-CIII, and transthyretin were higher in the no-</w:t>
      </w:r>
      <w:r w:rsidR="00D31D85" w:rsidRPr="004F38BE">
        <w:t>P</w:t>
      </w:r>
      <w:r w:rsidR="006816F8" w:rsidRPr="004F38BE">
        <w:t>TB cases (</w:t>
      </w:r>
      <w:r w:rsidR="003A0141">
        <w:t>Supplementary Table 1</w:t>
      </w:r>
      <w:r w:rsidR="006816F8" w:rsidRPr="004F38BE">
        <w:t>). When the accuracy for the diagnosis of TB disease was investigated by ROC curve analysis, the areas under the ROC curve (AUC) were between 0.70 and 0.84 for 10 analytes</w:t>
      </w:r>
      <w:r w:rsidR="00FC2F0D" w:rsidRPr="004F38BE">
        <w:t>:</w:t>
      </w:r>
      <w:r w:rsidR="006816F8" w:rsidRPr="004F38BE">
        <w:t xml:space="preserve"> </w:t>
      </w:r>
      <w:r w:rsidR="002131C1" w:rsidRPr="004F38BE">
        <w:t xml:space="preserve">CRP, ferritin, fibrinogen, IFN-γ, IP-10, </w:t>
      </w:r>
      <w:r w:rsidR="006816F8" w:rsidRPr="004F38BE">
        <w:t xml:space="preserve">TGF-α, </w:t>
      </w:r>
      <w:r w:rsidR="002131C1" w:rsidRPr="004F38BE">
        <w:t xml:space="preserve">TPA, transthyretin, SAA and </w:t>
      </w:r>
      <w:r w:rsidR="006816F8" w:rsidRPr="004F38BE">
        <w:t xml:space="preserve">VEGF </w:t>
      </w:r>
      <w:r w:rsidR="00475363" w:rsidRPr="004F38BE">
        <w:t>(Figure 2)</w:t>
      </w:r>
      <w:r w:rsidR="006816F8" w:rsidRPr="004F38BE">
        <w:t>. Sensitivity and specificity were both &gt;70% for six of these analytes</w:t>
      </w:r>
      <w:r w:rsidR="00E75135" w:rsidRPr="004F38BE">
        <w:t>, namely;</w:t>
      </w:r>
      <w:r w:rsidR="006816F8" w:rsidRPr="004F38BE">
        <w:t xml:space="preserve"> CRP, ferritin</w:t>
      </w:r>
      <w:r w:rsidR="002131C1" w:rsidRPr="004F38BE">
        <w:t>, IFN-γ</w:t>
      </w:r>
      <w:r w:rsidR="006816F8" w:rsidRPr="004F38BE">
        <w:t>, IP-10,</w:t>
      </w:r>
      <w:r w:rsidR="002131C1" w:rsidRPr="004F38BE">
        <w:t xml:space="preserve"> </w:t>
      </w:r>
      <w:r w:rsidR="006816F8" w:rsidRPr="004F38BE">
        <w:t xml:space="preserve">transthyretin </w:t>
      </w:r>
      <w:r w:rsidR="002131C1" w:rsidRPr="004F38BE">
        <w:t>and SAA</w:t>
      </w:r>
      <w:r w:rsidR="00ED4ED6" w:rsidRPr="004F38BE">
        <w:t xml:space="preserve"> </w:t>
      </w:r>
      <w:r w:rsidR="006816F8" w:rsidRPr="004F38BE">
        <w:t>(</w:t>
      </w:r>
      <w:r w:rsidR="003A0141">
        <w:t>Supplementary Table 1</w:t>
      </w:r>
      <w:r w:rsidR="006816F8" w:rsidRPr="004F38BE">
        <w:t>).</w:t>
      </w:r>
    </w:p>
    <w:p w14:paraId="11E70673" w14:textId="77777777" w:rsidR="001B336E" w:rsidRPr="004F38BE" w:rsidRDefault="001B336E" w:rsidP="0033455D">
      <w:pPr>
        <w:spacing w:line="360" w:lineRule="auto"/>
        <w:jc w:val="both"/>
      </w:pPr>
    </w:p>
    <w:p w14:paraId="2BD6EE0C" w14:textId="77777777" w:rsidR="001B336E" w:rsidRPr="004F38BE" w:rsidRDefault="001B336E" w:rsidP="001B336E">
      <w:pPr>
        <w:spacing w:line="360" w:lineRule="auto"/>
        <w:jc w:val="both"/>
        <w:rPr>
          <w:b/>
        </w:rPr>
      </w:pPr>
      <w:r w:rsidRPr="00D50003">
        <w:rPr>
          <w:b/>
        </w:rPr>
        <w:t>Supplementary Table 1</w:t>
      </w:r>
      <w:r w:rsidRPr="004F38BE">
        <w:rPr>
          <w:b/>
        </w:rPr>
        <w:t>:</w:t>
      </w:r>
      <w:r w:rsidRPr="004F38BE">
        <w:t xml:space="preserve"> </w:t>
      </w:r>
      <w:r w:rsidRPr="004F38BE">
        <w:rPr>
          <w:b/>
        </w:rPr>
        <w:t xml:space="preserve">Median levels of analytes detected in serum samples from individuals with pulmonary TB disease (n=214) or no-PTB disease (n=487), and accuracies in the diagnosis of TB disease </w:t>
      </w:r>
    </w:p>
    <w:tbl>
      <w:tblPr>
        <w:tblW w:w="10462" w:type="dxa"/>
        <w:jc w:val="center"/>
        <w:tblBorders>
          <w:top w:val="single" w:sz="8" w:space="0" w:color="000000"/>
          <w:bottom w:val="single" w:sz="8" w:space="0" w:color="000000"/>
        </w:tblBorders>
        <w:tblLayout w:type="fixed"/>
        <w:tblLook w:val="04A0" w:firstRow="1" w:lastRow="0" w:firstColumn="1" w:lastColumn="0" w:noHBand="0" w:noVBand="1"/>
      </w:tblPr>
      <w:tblGrid>
        <w:gridCol w:w="1111"/>
        <w:gridCol w:w="1308"/>
        <w:gridCol w:w="1276"/>
        <w:gridCol w:w="1134"/>
        <w:gridCol w:w="1559"/>
        <w:gridCol w:w="1276"/>
        <w:gridCol w:w="1408"/>
        <w:gridCol w:w="1277"/>
        <w:gridCol w:w="113"/>
      </w:tblGrid>
      <w:tr w:rsidR="001B336E" w:rsidRPr="004F38BE" w14:paraId="73AD4CE2" w14:textId="77777777" w:rsidTr="00027658">
        <w:trPr>
          <w:trHeight w:val="300"/>
          <w:jc w:val="center"/>
        </w:trPr>
        <w:tc>
          <w:tcPr>
            <w:tcW w:w="1111" w:type="dxa"/>
            <w:tcBorders>
              <w:top w:val="single" w:sz="8" w:space="0" w:color="000000"/>
              <w:left w:val="nil"/>
              <w:bottom w:val="single" w:sz="8" w:space="0" w:color="000000"/>
              <w:right w:val="nil"/>
            </w:tcBorders>
            <w:shd w:val="clear" w:color="auto" w:fill="auto"/>
            <w:noWrap/>
            <w:hideMark/>
          </w:tcPr>
          <w:p w14:paraId="6F771574" w14:textId="77777777" w:rsidR="001B336E" w:rsidRPr="004F38BE" w:rsidRDefault="001B336E" w:rsidP="00027658">
            <w:pPr>
              <w:jc w:val="center"/>
              <w:rPr>
                <w:b/>
                <w:bCs/>
                <w:color w:val="000000"/>
              </w:rPr>
            </w:pPr>
            <w:r w:rsidRPr="004F38BE">
              <w:rPr>
                <w:b/>
                <w:bCs/>
                <w:color w:val="000000"/>
              </w:rPr>
              <w:t>Host marker</w:t>
            </w:r>
          </w:p>
        </w:tc>
        <w:tc>
          <w:tcPr>
            <w:tcW w:w="1308" w:type="dxa"/>
            <w:tcBorders>
              <w:top w:val="single" w:sz="8" w:space="0" w:color="000000"/>
              <w:left w:val="nil"/>
              <w:bottom w:val="single" w:sz="8" w:space="0" w:color="000000"/>
              <w:right w:val="nil"/>
            </w:tcBorders>
            <w:shd w:val="clear" w:color="auto" w:fill="auto"/>
            <w:noWrap/>
            <w:hideMark/>
          </w:tcPr>
          <w:p w14:paraId="467EEDD7" w14:textId="77777777" w:rsidR="001B336E" w:rsidRPr="004F38BE" w:rsidRDefault="001B336E" w:rsidP="00027658">
            <w:pPr>
              <w:rPr>
                <w:b/>
                <w:bCs/>
                <w:color w:val="000000"/>
              </w:rPr>
            </w:pPr>
            <w:r>
              <w:rPr>
                <w:b/>
                <w:bCs/>
                <w:color w:val="000000"/>
              </w:rPr>
              <w:t>No-P</w:t>
            </w:r>
            <w:r w:rsidRPr="004F38BE">
              <w:rPr>
                <w:b/>
                <w:bCs/>
                <w:color w:val="000000"/>
              </w:rPr>
              <w:t xml:space="preserve">TB </w:t>
            </w:r>
          </w:p>
          <w:p w14:paraId="0E771DC3" w14:textId="77777777" w:rsidR="001B336E" w:rsidRPr="004F38BE" w:rsidRDefault="001B336E" w:rsidP="00027658">
            <w:pPr>
              <w:rPr>
                <w:b/>
                <w:bCs/>
                <w:color w:val="000000"/>
              </w:rPr>
            </w:pPr>
            <w:r w:rsidRPr="004F38BE">
              <w:rPr>
                <w:b/>
                <w:bCs/>
                <w:color w:val="000000"/>
              </w:rPr>
              <w:t>(IQR)</w:t>
            </w:r>
          </w:p>
        </w:tc>
        <w:tc>
          <w:tcPr>
            <w:tcW w:w="1276" w:type="dxa"/>
            <w:tcBorders>
              <w:top w:val="single" w:sz="8" w:space="0" w:color="000000"/>
              <w:left w:val="nil"/>
              <w:bottom w:val="single" w:sz="8" w:space="0" w:color="000000"/>
              <w:right w:val="nil"/>
            </w:tcBorders>
            <w:shd w:val="clear" w:color="auto" w:fill="auto"/>
            <w:noWrap/>
            <w:hideMark/>
          </w:tcPr>
          <w:p w14:paraId="0ABD6E5A" w14:textId="77777777" w:rsidR="001B336E" w:rsidRPr="004F38BE" w:rsidRDefault="001B336E" w:rsidP="00027658">
            <w:pPr>
              <w:rPr>
                <w:b/>
                <w:bCs/>
                <w:color w:val="000000"/>
              </w:rPr>
            </w:pPr>
            <w:r w:rsidRPr="004F38BE">
              <w:rPr>
                <w:b/>
                <w:bCs/>
                <w:color w:val="000000"/>
              </w:rPr>
              <w:t xml:space="preserve">TB </w:t>
            </w:r>
          </w:p>
          <w:p w14:paraId="203F2221" w14:textId="77777777" w:rsidR="001B336E" w:rsidRPr="004F38BE" w:rsidRDefault="001B336E" w:rsidP="00027658">
            <w:pPr>
              <w:rPr>
                <w:b/>
                <w:bCs/>
                <w:color w:val="000000"/>
              </w:rPr>
            </w:pPr>
            <w:r w:rsidRPr="004F38BE">
              <w:rPr>
                <w:b/>
                <w:bCs/>
                <w:color w:val="000000"/>
              </w:rPr>
              <w:t>(IQR)</w:t>
            </w:r>
          </w:p>
        </w:tc>
        <w:tc>
          <w:tcPr>
            <w:tcW w:w="1134" w:type="dxa"/>
            <w:tcBorders>
              <w:top w:val="single" w:sz="8" w:space="0" w:color="000000"/>
              <w:left w:val="nil"/>
              <w:bottom w:val="single" w:sz="8" w:space="0" w:color="000000"/>
              <w:right w:val="nil"/>
            </w:tcBorders>
            <w:shd w:val="clear" w:color="auto" w:fill="auto"/>
            <w:hideMark/>
          </w:tcPr>
          <w:p w14:paraId="310CFEA4" w14:textId="77777777" w:rsidR="001B336E" w:rsidRPr="004F38BE" w:rsidRDefault="001B336E" w:rsidP="00027658">
            <w:pPr>
              <w:jc w:val="center"/>
              <w:rPr>
                <w:b/>
                <w:bCs/>
                <w:color w:val="000000"/>
              </w:rPr>
            </w:pPr>
            <w:r w:rsidRPr="004F38BE">
              <w:rPr>
                <w:b/>
                <w:bCs/>
                <w:color w:val="000000"/>
              </w:rPr>
              <w:t>P-value</w:t>
            </w:r>
          </w:p>
        </w:tc>
        <w:tc>
          <w:tcPr>
            <w:tcW w:w="1559" w:type="dxa"/>
            <w:tcBorders>
              <w:top w:val="single" w:sz="8" w:space="0" w:color="000000"/>
              <w:left w:val="nil"/>
              <w:bottom w:val="single" w:sz="8" w:space="0" w:color="000000"/>
              <w:right w:val="nil"/>
            </w:tcBorders>
            <w:shd w:val="clear" w:color="auto" w:fill="auto"/>
            <w:hideMark/>
          </w:tcPr>
          <w:p w14:paraId="5A91AB53" w14:textId="77777777" w:rsidR="001B336E" w:rsidRPr="004F38BE" w:rsidRDefault="001B336E" w:rsidP="00027658">
            <w:pPr>
              <w:jc w:val="center"/>
              <w:rPr>
                <w:b/>
                <w:bCs/>
                <w:color w:val="000000"/>
              </w:rPr>
            </w:pPr>
            <w:r w:rsidRPr="004F38BE">
              <w:rPr>
                <w:b/>
                <w:bCs/>
                <w:color w:val="000000"/>
              </w:rPr>
              <w:t>AUC</w:t>
            </w:r>
          </w:p>
        </w:tc>
        <w:tc>
          <w:tcPr>
            <w:tcW w:w="1276" w:type="dxa"/>
            <w:tcBorders>
              <w:top w:val="single" w:sz="8" w:space="0" w:color="000000"/>
              <w:left w:val="nil"/>
              <w:bottom w:val="single" w:sz="8" w:space="0" w:color="000000"/>
              <w:right w:val="nil"/>
            </w:tcBorders>
            <w:shd w:val="clear" w:color="auto" w:fill="auto"/>
            <w:hideMark/>
          </w:tcPr>
          <w:p w14:paraId="21666F83" w14:textId="77777777" w:rsidR="001B336E" w:rsidRPr="004F38BE" w:rsidRDefault="001B336E" w:rsidP="00027658">
            <w:pPr>
              <w:jc w:val="center"/>
              <w:rPr>
                <w:b/>
                <w:bCs/>
                <w:color w:val="000000"/>
              </w:rPr>
            </w:pPr>
            <w:r w:rsidRPr="004F38BE">
              <w:rPr>
                <w:b/>
                <w:bCs/>
                <w:color w:val="000000"/>
              </w:rPr>
              <w:t>Cut-off value</w:t>
            </w:r>
          </w:p>
        </w:tc>
        <w:tc>
          <w:tcPr>
            <w:tcW w:w="1408" w:type="dxa"/>
            <w:tcBorders>
              <w:top w:val="single" w:sz="8" w:space="0" w:color="000000"/>
              <w:left w:val="nil"/>
              <w:bottom w:val="single" w:sz="8" w:space="0" w:color="000000"/>
              <w:right w:val="nil"/>
            </w:tcBorders>
            <w:shd w:val="clear" w:color="auto" w:fill="auto"/>
            <w:noWrap/>
            <w:hideMark/>
          </w:tcPr>
          <w:p w14:paraId="71D0BEB1" w14:textId="77777777" w:rsidR="001B336E" w:rsidRPr="004F38BE" w:rsidRDefault="001B336E" w:rsidP="00027658">
            <w:pPr>
              <w:jc w:val="center"/>
              <w:rPr>
                <w:b/>
                <w:bCs/>
                <w:color w:val="000000"/>
              </w:rPr>
            </w:pPr>
            <w:r w:rsidRPr="004F38BE">
              <w:rPr>
                <w:b/>
                <w:bCs/>
                <w:color w:val="000000"/>
              </w:rPr>
              <w:t>Sensitivity</w:t>
            </w:r>
          </w:p>
          <w:p w14:paraId="70307ECA" w14:textId="77777777" w:rsidR="001B336E" w:rsidRPr="004F38BE" w:rsidRDefault="001B336E" w:rsidP="00027658">
            <w:pPr>
              <w:jc w:val="center"/>
              <w:rPr>
                <w:b/>
                <w:bCs/>
                <w:color w:val="000000"/>
              </w:rPr>
            </w:pPr>
            <w:r>
              <w:rPr>
                <w:b/>
                <w:bCs/>
                <w:color w:val="000000"/>
              </w:rPr>
              <w:t>(</w:t>
            </w:r>
            <w:r w:rsidRPr="004F38BE">
              <w:rPr>
                <w:b/>
                <w:bCs/>
                <w:color w:val="000000"/>
              </w:rPr>
              <w:t>%</w:t>
            </w:r>
            <w:r>
              <w:rPr>
                <w:b/>
                <w:bCs/>
                <w:color w:val="000000"/>
              </w:rPr>
              <w:t>)</w:t>
            </w:r>
          </w:p>
        </w:tc>
        <w:tc>
          <w:tcPr>
            <w:tcW w:w="1390" w:type="dxa"/>
            <w:gridSpan w:val="2"/>
            <w:tcBorders>
              <w:top w:val="single" w:sz="8" w:space="0" w:color="000000"/>
              <w:left w:val="nil"/>
              <w:bottom w:val="single" w:sz="8" w:space="0" w:color="000000"/>
              <w:right w:val="nil"/>
            </w:tcBorders>
            <w:shd w:val="clear" w:color="auto" w:fill="auto"/>
            <w:hideMark/>
          </w:tcPr>
          <w:p w14:paraId="0F7CFA34" w14:textId="77777777" w:rsidR="001B336E" w:rsidRPr="004F38BE" w:rsidRDefault="001B336E" w:rsidP="00027658">
            <w:pPr>
              <w:jc w:val="center"/>
              <w:rPr>
                <w:b/>
                <w:bCs/>
                <w:color w:val="000000"/>
              </w:rPr>
            </w:pPr>
            <w:r w:rsidRPr="004F38BE">
              <w:rPr>
                <w:b/>
                <w:bCs/>
                <w:color w:val="000000"/>
              </w:rPr>
              <w:t>Specificity</w:t>
            </w:r>
          </w:p>
          <w:p w14:paraId="4897693E" w14:textId="77777777" w:rsidR="001B336E" w:rsidRPr="004F38BE" w:rsidRDefault="001B336E" w:rsidP="00027658">
            <w:pPr>
              <w:jc w:val="center"/>
              <w:rPr>
                <w:b/>
                <w:bCs/>
                <w:color w:val="000000"/>
              </w:rPr>
            </w:pPr>
            <w:r>
              <w:rPr>
                <w:b/>
                <w:bCs/>
                <w:color w:val="000000"/>
              </w:rPr>
              <w:t>(</w:t>
            </w:r>
            <w:r w:rsidRPr="004F38BE">
              <w:rPr>
                <w:b/>
                <w:bCs/>
                <w:color w:val="000000"/>
              </w:rPr>
              <w:t>%</w:t>
            </w:r>
            <w:r>
              <w:rPr>
                <w:b/>
                <w:bCs/>
                <w:color w:val="000000"/>
              </w:rPr>
              <w:t>)</w:t>
            </w:r>
          </w:p>
        </w:tc>
      </w:tr>
      <w:tr w:rsidR="001B336E" w:rsidRPr="004F38BE" w14:paraId="1415B38F" w14:textId="77777777" w:rsidTr="00027658">
        <w:trPr>
          <w:gridAfter w:val="1"/>
          <w:wAfter w:w="113" w:type="dxa"/>
          <w:trHeight w:val="300"/>
          <w:jc w:val="center"/>
        </w:trPr>
        <w:tc>
          <w:tcPr>
            <w:tcW w:w="1111" w:type="dxa"/>
            <w:tcBorders>
              <w:left w:val="nil"/>
              <w:right w:val="nil"/>
            </w:tcBorders>
            <w:shd w:val="clear" w:color="auto" w:fill="auto"/>
            <w:noWrap/>
            <w:hideMark/>
          </w:tcPr>
          <w:p w14:paraId="5A6B6061" w14:textId="77777777" w:rsidR="001B336E" w:rsidRPr="004F38BE" w:rsidRDefault="001B336E" w:rsidP="00027658">
            <w:pPr>
              <w:rPr>
                <w:b/>
                <w:bCs/>
                <w:color w:val="000000"/>
              </w:rPr>
            </w:pPr>
            <w:r w:rsidRPr="004F38BE">
              <w:rPr>
                <w:b/>
                <w:bCs/>
                <w:color w:val="000000"/>
              </w:rPr>
              <w:t>IL-1ra</w:t>
            </w:r>
          </w:p>
        </w:tc>
        <w:tc>
          <w:tcPr>
            <w:tcW w:w="1308" w:type="dxa"/>
            <w:tcBorders>
              <w:left w:val="nil"/>
              <w:right w:val="nil"/>
            </w:tcBorders>
            <w:shd w:val="clear" w:color="auto" w:fill="auto"/>
            <w:noWrap/>
            <w:hideMark/>
          </w:tcPr>
          <w:p w14:paraId="645D40D4" w14:textId="77777777" w:rsidR="001B336E" w:rsidRPr="004F38BE" w:rsidRDefault="001B336E" w:rsidP="00027658">
            <w:pPr>
              <w:jc w:val="center"/>
              <w:rPr>
                <w:color w:val="000000"/>
              </w:rPr>
            </w:pPr>
            <w:r w:rsidRPr="004F38BE">
              <w:rPr>
                <w:color w:val="000000"/>
              </w:rPr>
              <w:t>8 (0-40)</w:t>
            </w:r>
          </w:p>
        </w:tc>
        <w:tc>
          <w:tcPr>
            <w:tcW w:w="1276" w:type="dxa"/>
            <w:tcBorders>
              <w:left w:val="nil"/>
              <w:right w:val="nil"/>
            </w:tcBorders>
            <w:shd w:val="clear" w:color="auto" w:fill="auto"/>
            <w:noWrap/>
            <w:hideMark/>
          </w:tcPr>
          <w:p w14:paraId="688CEBD1" w14:textId="77777777" w:rsidR="001B336E" w:rsidRPr="004F38BE" w:rsidRDefault="001B336E" w:rsidP="00027658">
            <w:pPr>
              <w:jc w:val="center"/>
              <w:rPr>
                <w:color w:val="000000"/>
              </w:rPr>
            </w:pPr>
            <w:r w:rsidRPr="004F38BE">
              <w:rPr>
                <w:color w:val="000000"/>
              </w:rPr>
              <w:t>35 (0-77)</w:t>
            </w:r>
          </w:p>
        </w:tc>
        <w:tc>
          <w:tcPr>
            <w:tcW w:w="1134" w:type="dxa"/>
            <w:tcBorders>
              <w:left w:val="nil"/>
              <w:right w:val="nil"/>
            </w:tcBorders>
            <w:shd w:val="clear" w:color="auto" w:fill="auto"/>
            <w:hideMark/>
          </w:tcPr>
          <w:p w14:paraId="013F92DC" w14:textId="77777777" w:rsidR="001B336E" w:rsidRPr="004F38BE" w:rsidRDefault="001B336E" w:rsidP="00027658">
            <w:pPr>
              <w:jc w:val="center"/>
              <w:rPr>
                <w:b/>
                <w:color w:val="000000"/>
              </w:rPr>
            </w:pPr>
            <w:r w:rsidRPr="004F38BE">
              <w:rPr>
                <w:b/>
                <w:color w:val="000000"/>
              </w:rPr>
              <w:t>&lt;0.0001</w:t>
            </w:r>
          </w:p>
        </w:tc>
        <w:tc>
          <w:tcPr>
            <w:tcW w:w="1559" w:type="dxa"/>
            <w:tcBorders>
              <w:left w:val="nil"/>
              <w:right w:val="nil"/>
            </w:tcBorders>
            <w:shd w:val="clear" w:color="auto" w:fill="auto"/>
            <w:hideMark/>
          </w:tcPr>
          <w:p w14:paraId="7EF1C4E7" w14:textId="07E3850C" w:rsidR="001B336E" w:rsidRPr="004F38BE" w:rsidRDefault="001B336E" w:rsidP="00027658">
            <w:pPr>
              <w:jc w:val="center"/>
              <w:rPr>
                <w:color w:val="000000"/>
              </w:rPr>
            </w:pPr>
            <w:r w:rsidRPr="004F38BE">
              <w:rPr>
                <w:color w:val="000000"/>
              </w:rPr>
              <w:t>0</w:t>
            </w:r>
            <w:r w:rsidR="00AA18BE">
              <w:rPr>
                <w:color w:val="000000"/>
              </w:rPr>
              <w:t>.</w:t>
            </w:r>
            <w:r w:rsidRPr="004F38BE">
              <w:rPr>
                <w:color w:val="000000"/>
              </w:rPr>
              <w:t>63 [0.58-0.68]</w:t>
            </w:r>
          </w:p>
        </w:tc>
        <w:tc>
          <w:tcPr>
            <w:tcW w:w="1276" w:type="dxa"/>
            <w:tcBorders>
              <w:left w:val="nil"/>
              <w:right w:val="nil"/>
            </w:tcBorders>
            <w:shd w:val="clear" w:color="auto" w:fill="auto"/>
            <w:hideMark/>
          </w:tcPr>
          <w:p w14:paraId="1C1BE0F6" w14:textId="77777777" w:rsidR="001B336E" w:rsidRPr="004F38BE" w:rsidRDefault="001B336E" w:rsidP="00027658">
            <w:pPr>
              <w:jc w:val="center"/>
              <w:rPr>
                <w:color w:val="000000"/>
              </w:rPr>
            </w:pPr>
            <w:r w:rsidRPr="004F38BE">
              <w:rPr>
                <w:color w:val="000000"/>
              </w:rPr>
              <w:t>&gt;33.9</w:t>
            </w:r>
          </w:p>
        </w:tc>
        <w:tc>
          <w:tcPr>
            <w:tcW w:w="1408" w:type="dxa"/>
            <w:tcBorders>
              <w:left w:val="nil"/>
              <w:right w:val="nil"/>
            </w:tcBorders>
            <w:shd w:val="clear" w:color="auto" w:fill="auto"/>
            <w:noWrap/>
            <w:hideMark/>
          </w:tcPr>
          <w:p w14:paraId="7491F2F0" w14:textId="77777777" w:rsidR="001B336E" w:rsidRPr="004F38BE" w:rsidRDefault="001B336E" w:rsidP="00027658">
            <w:pPr>
              <w:jc w:val="center"/>
              <w:rPr>
                <w:color w:val="000000"/>
              </w:rPr>
            </w:pPr>
            <w:r w:rsidRPr="004F38BE">
              <w:rPr>
                <w:color w:val="000000"/>
              </w:rPr>
              <w:t>52.2  [45.1-59.2]</w:t>
            </w:r>
          </w:p>
        </w:tc>
        <w:tc>
          <w:tcPr>
            <w:tcW w:w="1277" w:type="dxa"/>
            <w:tcBorders>
              <w:left w:val="nil"/>
              <w:right w:val="nil"/>
            </w:tcBorders>
            <w:shd w:val="clear" w:color="auto" w:fill="auto"/>
            <w:hideMark/>
          </w:tcPr>
          <w:p w14:paraId="1E21DC86" w14:textId="77777777" w:rsidR="001B336E" w:rsidRPr="004F38BE" w:rsidRDefault="001B336E" w:rsidP="00027658">
            <w:pPr>
              <w:jc w:val="center"/>
              <w:rPr>
                <w:color w:val="000000"/>
              </w:rPr>
            </w:pPr>
            <w:r w:rsidRPr="004F38BE">
              <w:rPr>
                <w:color w:val="000000"/>
              </w:rPr>
              <w:t>71.9  [67.6-75.9]</w:t>
            </w:r>
          </w:p>
        </w:tc>
      </w:tr>
      <w:tr w:rsidR="001B336E" w:rsidRPr="004F38BE" w14:paraId="0B297FC7" w14:textId="77777777" w:rsidTr="00027658">
        <w:trPr>
          <w:gridAfter w:val="1"/>
          <w:wAfter w:w="113" w:type="dxa"/>
          <w:trHeight w:val="300"/>
          <w:jc w:val="center"/>
        </w:trPr>
        <w:tc>
          <w:tcPr>
            <w:tcW w:w="1111" w:type="dxa"/>
            <w:shd w:val="clear" w:color="auto" w:fill="auto"/>
            <w:noWrap/>
            <w:hideMark/>
          </w:tcPr>
          <w:p w14:paraId="1F96353D" w14:textId="77777777" w:rsidR="001B336E" w:rsidRPr="004F38BE" w:rsidRDefault="001B336E" w:rsidP="00027658">
            <w:pPr>
              <w:rPr>
                <w:b/>
                <w:bCs/>
                <w:color w:val="000000"/>
              </w:rPr>
            </w:pPr>
            <w:r w:rsidRPr="004F38BE">
              <w:rPr>
                <w:b/>
                <w:bCs/>
                <w:color w:val="000000"/>
              </w:rPr>
              <w:t>TGF-α</w:t>
            </w:r>
          </w:p>
        </w:tc>
        <w:tc>
          <w:tcPr>
            <w:tcW w:w="1308" w:type="dxa"/>
            <w:shd w:val="clear" w:color="auto" w:fill="auto"/>
            <w:noWrap/>
            <w:hideMark/>
          </w:tcPr>
          <w:p w14:paraId="60853927" w14:textId="77777777" w:rsidR="001B336E" w:rsidRPr="004F38BE" w:rsidRDefault="001B336E" w:rsidP="00027658">
            <w:pPr>
              <w:jc w:val="center"/>
              <w:rPr>
                <w:color w:val="000000"/>
              </w:rPr>
            </w:pPr>
            <w:r w:rsidRPr="004F38BE">
              <w:rPr>
                <w:color w:val="000000"/>
              </w:rPr>
              <w:t>3 (1-6)</w:t>
            </w:r>
          </w:p>
        </w:tc>
        <w:tc>
          <w:tcPr>
            <w:tcW w:w="1276" w:type="dxa"/>
            <w:shd w:val="clear" w:color="auto" w:fill="auto"/>
            <w:noWrap/>
            <w:hideMark/>
          </w:tcPr>
          <w:p w14:paraId="71EE7EC2" w14:textId="77777777" w:rsidR="001B336E" w:rsidRPr="004F38BE" w:rsidRDefault="001B336E" w:rsidP="00027658">
            <w:pPr>
              <w:jc w:val="center"/>
              <w:rPr>
                <w:color w:val="000000"/>
              </w:rPr>
            </w:pPr>
            <w:r w:rsidRPr="004F38BE">
              <w:rPr>
                <w:color w:val="000000"/>
              </w:rPr>
              <w:t>7 (3-13)</w:t>
            </w:r>
          </w:p>
        </w:tc>
        <w:tc>
          <w:tcPr>
            <w:tcW w:w="1134" w:type="dxa"/>
            <w:shd w:val="clear" w:color="auto" w:fill="auto"/>
            <w:hideMark/>
          </w:tcPr>
          <w:p w14:paraId="6581C066" w14:textId="77777777" w:rsidR="001B336E" w:rsidRPr="004F38BE" w:rsidRDefault="001B336E" w:rsidP="00027658">
            <w:pPr>
              <w:jc w:val="center"/>
              <w:rPr>
                <w:b/>
                <w:color w:val="000000"/>
              </w:rPr>
            </w:pPr>
            <w:r w:rsidRPr="004F38BE">
              <w:rPr>
                <w:b/>
                <w:color w:val="000000"/>
              </w:rPr>
              <w:t>&lt;0.0001</w:t>
            </w:r>
          </w:p>
        </w:tc>
        <w:tc>
          <w:tcPr>
            <w:tcW w:w="1559" w:type="dxa"/>
            <w:shd w:val="clear" w:color="auto" w:fill="auto"/>
            <w:hideMark/>
          </w:tcPr>
          <w:p w14:paraId="3DBF06DC" w14:textId="77777777" w:rsidR="001B336E" w:rsidRPr="004F38BE" w:rsidRDefault="001B336E" w:rsidP="00027658">
            <w:pPr>
              <w:jc w:val="center"/>
              <w:rPr>
                <w:color w:val="000000"/>
              </w:rPr>
            </w:pPr>
            <w:r w:rsidRPr="004F38BE">
              <w:rPr>
                <w:color w:val="000000"/>
              </w:rPr>
              <w:t>0.73 [69.1-77.4]</w:t>
            </w:r>
          </w:p>
        </w:tc>
        <w:tc>
          <w:tcPr>
            <w:tcW w:w="1276" w:type="dxa"/>
            <w:shd w:val="clear" w:color="auto" w:fill="auto"/>
            <w:hideMark/>
          </w:tcPr>
          <w:p w14:paraId="6476FEC9" w14:textId="77777777" w:rsidR="001B336E" w:rsidRPr="004F38BE" w:rsidRDefault="001B336E" w:rsidP="00027658">
            <w:pPr>
              <w:jc w:val="center"/>
              <w:rPr>
                <w:color w:val="000000"/>
              </w:rPr>
            </w:pPr>
            <w:r w:rsidRPr="004F38BE">
              <w:rPr>
                <w:color w:val="000000"/>
              </w:rPr>
              <w:t>&gt;5.6</w:t>
            </w:r>
          </w:p>
        </w:tc>
        <w:tc>
          <w:tcPr>
            <w:tcW w:w="1408" w:type="dxa"/>
            <w:shd w:val="clear" w:color="auto" w:fill="auto"/>
            <w:noWrap/>
            <w:hideMark/>
          </w:tcPr>
          <w:p w14:paraId="44194F31" w14:textId="77777777" w:rsidR="001B336E" w:rsidRPr="004F38BE" w:rsidRDefault="001B336E" w:rsidP="00027658">
            <w:pPr>
              <w:jc w:val="center"/>
              <w:rPr>
                <w:color w:val="000000"/>
              </w:rPr>
            </w:pPr>
            <w:r w:rsidRPr="004F38BE">
              <w:rPr>
                <w:color w:val="000000"/>
              </w:rPr>
              <w:t>62.8 [55.8-69.4]</w:t>
            </w:r>
          </w:p>
        </w:tc>
        <w:tc>
          <w:tcPr>
            <w:tcW w:w="1277" w:type="dxa"/>
            <w:shd w:val="clear" w:color="auto" w:fill="auto"/>
            <w:hideMark/>
          </w:tcPr>
          <w:p w14:paraId="19FFF367" w14:textId="77777777" w:rsidR="001B336E" w:rsidRPr="004F38BE" w:rsidRDefault="001B336E" w:rsidP="00027658">
            <w:pPr>
              <w:jc w:val="center"/>
              <w:rPr>
                <w:color w:val="000000"/>
              </w:rPr>
            </w:pPr>
            <w:r w:rsidRPr="004F38BE">
              <w:rPr>
                <w:color w:val="000000"/>
              </w:rPr>
              <w:t>76.0 [72.0-79.8]</w:t>
            </w:r>
          </w:p>
        </w:tc>
      </w:tr>
      <w:tr w:rsidR="001B336E" w:rsidRPr="004F38BE" w14:paraId="14833C51" w14:textId="77777777" w:rsidTr="00027658">
        <w:trPr>
          <w:gridAfter w:val="1"/>
          <w:wAfter w:w="113" w:type="dxa"/>
          <w:trHeight w:val="300"/>
          <w:jc w:val="center"/>
        </w:trPr>
        <w:tc>
          <w:tcPr>
            <w:tcW w:w="1111" w:type="dxa"/>
            <w:tcBorders>
              <w:left w:val="nil"/>
              <w:right w:val="nil"/>
            </w:tcBorders>
            <w:shd w:val="clear" w:color="auto" w:fill="auto"/>
            <w:noWrap/>
            <w:hideMark/>
          </w:tcPr>
          <w:p w14:paraId="5217A219" w14:textId="77777777" w:rsidR="001B336E" w:rsidRPr="004F38BE" w:rsidRDefault="001B336E" w:rsidP="00027658">
            <w:pPr>
              <w:rPr>
                <w:b/>
                <w:bCs/>
                <w:color w:val="000000"/>
              </w:rPr>
            </w:pPr>
            <w:r w:rsidRPr="004F38BE">
              <w:rPr>
                <w:b/>
                <w:bCs/>
                <w:color w:val="000000"/>
              </w:rPr>
              <w:lastRenderedPageBreak/>
              <w:t>IP-10</w:t>
            </w:r>
          </w:p>
        </w:tc>
        <w:tc>
          <w:tcPr>
            <w:tcW w:w="1308" w:type="dxa"/>
            <w:tcBorders>
              <w:left w:val="nil"/>
              <w:right w:val="nil"/>
            </w:tcBorders>
            <w:shd w:val="clear" w:color="auto" w:fill="auto"/>
            <w:noWrap/>
            <w:hideMark/>
          </w:tcPr>
          <w:p w14:paraId="6FB28ABF" w14:textId="77777777" w:rsidR="001B336E" w:rsidRPr="004F38BE" w:rsidRDefault="001B336E" w:rsidP="00027658">
            <w:pPr>
              <w:jc w:val="center"/>
              <w:rPr>
                <w:color w:val="000000"/>
              </w:rPr>
            </w:pPr>
            <w:r w:rsidRPr="004F38BE">
              <w:rPr>
                <w:color w:val="000000"/>
              </w:rPr>
              <w:t>368 (209-652)</w:t>
            </w:r>
          </w:p>
        </w:tc>
        <w:tc>
          <w:tcPr>
            <w:tcW w:w="1276" w:type="dxa"/>
            <w:tcBorders>
              <w:left w:val="nil"/>
              <w:right w:val="nil"/>
            </w:tcBorders>
            <w:shd w:val="clear" w:color="auto" w:fill="auto"/>
            <w:noWrap/>
            <w:hideMark/>
          </w:tcPr>
          <w:p w14:paraId="2F81B048" w14:textId="77777777" w:rsidR="001B336E" w:rsidRPr="004F38BE" w:rsidRDefault="001B336E" w:rsidP="00027658">
            <w:pPr>
              <w:jc w:val="center"/>
              <w:rPr>
                <w:color w:val="000000"/>
              </w:rPr>
            </w:pPr>
            <w:r w:rsidRPr="004F38BE">
              <w:rPr>
                <w:color w:val="000000"/>
              </w:rPr>
              <w:t>1712 (808-3558)</w:t>
            </w:r>
          </w:p>
        </w:tc>
        <w:tc>
          <w:tcPr>
            <w:tcW w:w="1134" w:type="dxa"/>
            <w:tcBorders>
              <w:left w:val="nil"/>
              <w:right w:val="nil"/>
            </w:tcBorders>
            <w:shd w:val="clear" w:color="auto" w:fill="auto"/>
            <w:hideMark/>
          </w:tcPr>
          <w:p w14:paraId="1D548D67" w14:textId="77777777" w:rsidR="001B336E" w:rsidRPr="004F38BE" w:rsidRDefault="001B336E" w:rsidP="00027658">
            <w:pPr>
              <w:jc w:val="center"/>
              <w:rPr>
                <w:b/>
                <w:color w:val="000000"/>
              </w:rPr>
            </w:pPr>
            <w:r w:rsidRPr="004F38BE">
              <w:rPr>
                <w:b/>
                <w:color w:val="000000"/>
              </w:rPr>
              <w:t>&lt;0.00001</w:t>
            </w:r>
          </w:p>
        </w:tc>
        <w:tc>
          <w:tcPr>
            <w:tcW w:w="1559" w:type="dxa"/>
            <w:tcBorders>
              <w:left w:val="nil"/>
              <w:right w:val="nil"/>
            </w:tcBorders>
            <w:shd w:val="clear" w:color="auto" w:fill="auto"/>
            <w:hideMark/>
          </w:tcPr>
          <w:p w14:paraId="4FC17AB0" w14:textId="77777777" w:rsidR="001B336E" w:rsidRPr="004F38BE" w:rsidRDefault="001B336E" w:rsidP="00027658">
            <w:pPr>
              <w:jc w:val="center"/>
              <w:rPr>
                <w:color w:val="000000"/>
              </w:rPr>
            </w:pPr>
            <w:r w:rsidRPr="004F38BE">
              <w:rPr>
                <w:color w:val="000000"/>
              </w:rPr>
              <w:t>0.82  [0.79-0.86]</w:t>
            </w:r>
          </w:p>
        </w:tc>
        <w:tc>
          <w:tcPr>
            <w:tcW w:w="1276" w:type="dxa"/>
            <w:tcBorders>
              <w:left w:val="nil"/>
              <w:right w:val="nil"/>
            </w:tcBorders>
            <w:shd w:val="clear" w:color="auto" w:fill="auto"/>
            <w:hideMark/>
          </w:tcPr>
          <w:p w14:paraId="4C8C9CB6" w14:textId="77777777" w:rsidR="001B336E" w:rsidRPr="004F38BE" w:rsidRDefault="001B336E" w:rsidP="00027658">
            <w:pPr>
              <w:jc w:val="center"/>
              <w:rPr>
                <w:color w:val="000000"/>
              </w:rPr>
            </w:pPr>
            <w:r w:rsidRPr="004F38BE">
              <w:rPr>
                <w:color w:val="000000"/>
              </w:rPr>
              <w:t>&gt;651.7</w:t>
            </w:r>
          </w:p>
        </w:tc>
        <w:tc>
          <w:tcPr>
            <w:tcW w:w="1408" w:type="dxa"/>
            <w:tcBorders>
              <w:left w:val="nil"/>
              <w:right w:val="nil"/>
            </w:tcBorders>
            <w:shd w:val="clear" w:color="auto" w:fill="auto"/>
            <w:noWrap/>
            <w:hideMark/>
          </w:tcPr>
          <w:p w14:paraId="4964C5BD" w14:textId="77777777" w:rsidR="001B336E" w:rsidRPr="004F38BE" w:rsidRDefault="001B336E" w:rsidP="00027658">
            <w:pPr>
              <w:jc w:val="center"/>
              <w:rPr>
                <w:color w:val="000000"/>
              </w:rPr>
            </w:pPr>
            <w:r w:rsidRPr="004F38BE">
              <w:rPr>
                <w:color w:val="000000"/>
              </w:rPr>
              <w:t>81.2 [75.2-86.3]</w:t>
            </w:r>
          </w:p>
        </w:tc>
        <w:tc>
          <w:tcPr>
            <w:tcW w:w="1277" w:type="dxa"/>
            <w:tcBorders>
              <w:left w:val="nil"/>
              <w:right w:val="nil"/>
            </w:tcBorders>
            <w:shd w:val="clear" w:color="auto" w:fill="auto"/>
            <w:hideMark/>
          </w:tcPr>
          <w:p w14:paraId="3A02B269" w14:textId="77777777" w:rsidR="001B336E" w:rsidRPr="004F38BE" w:rsidRDefault="001B336E" w:rsidP="00027658">
            <w:pPr>
              <w:jc w:val="center"/>
              <w:rPr>
                <w:color w:val="000000"/>
              </w:rPr>
            </w:pPr>
            <w:r w:rsidRPr="004F38BE">
              <w:rPr>
                <w:color w:val="000000"/>
              </w:rPr>
              <w:t>75.0 [71.0-78.8]</w:t>
            </w:r>
          </w:p>
        </w:tc>
      </w:tr>
      <w:tr w:rsidR="001B336E" w:rsidRPr="004F38BE" w14:paraId="1BF40F6E" w14:textId="77777777" w:rsidTr="00027658">
        <w:trPr>
          <w:gridAfter w:val="1"/>
          <w:wAfter w:w="113" w:type="dxa"/>
          <w:trHeight w:val="300"/>
          <w:jc w:val="center"/>
        </w:trPr>
        <w:tc>
          <w:tcPr>
            <w:tcW w:w="1111" w:type="dxa"/>
            <w:shd w:val="clear" w:color="auto" w:fill="auto"/>
            <w:noWrap/>
            <w:hideMark/>
          </w:tcPr>
          <w:p w14:paraId="09AD9E8F" w14:textId="77777777" w:rsidR="001B336E" w:rsidRPr="004F38BE" w:rsidRDefault="001B336E" w:rsidP="00027658">
            <w:pPr>
              <w:rPr>
                <w:b/>
                <w:bCs/>
                <w:color w:val="000000"/>
              </w:rPr>
            </w:pPr>
            <w:r w:rsidRPr="004F38BE">
              <w:rPr>
                <w:b/>
                <w:bCs/>
                <w:color w:val="000000"/>
              </w:rPr>
              <w:t>TNF-α</w:t>
            </w:r>
          </w:p>
        </w:tc>
        <w:tc>
          <w:tcPr>
            <w:tcW w:w="1308" w:type="dxa"/>
            <w:shd w:val="clear" w:color="auto" w:fill="auto"/>
            <w:noWrap/>
            <w:hideMark/>
          </w:tcPr>
          <w:p w14:paraId="64A89117" w14:textId="77777777" w:rsidR="001B336E" w:rsidRPr="004F38BE" w:rsidRDefault="001B336E" w:rsidP="00027658">
            <w:pPr>
              <w:jc w:val="center"/>
              <w:rPr>
                <w:color w:val="000000"/>
              </w:rPr>
            </w:pPr>
            <w:r w:rsidRPr="004F38BE">
              <w:rPr>
                <w:color w:val="000000"/>
              </w:rPr>
              <w:t>7 (3-12)</w:t>
            </w:r>
          </w:p>
        </w:tc>
        <w:tc>
          <w:tcPr>
            <w:tcW w:w="1276" w:type="dxa"/>
            <w:shd w:val="clear" w:color="auto" w:fill="auto"/>
            <w:noWrap/>
            <w:hideMark/>
          </w:tcPr>
          <w:p w14:paraId="31D30196" w14:textId="77777777" w:rsidR="001B336E" w:rsidRPr="004F38BE" w:rsidRDefault="001B336E" w:rsidP="00027658">
            <w:pPr>
              <w:jc w:val="center"/>
              <w:rPr>
                <w:color w:val="000000"/>
              </w:rPr>
            </w:pPr>
            <w:r w:rsidRPr="004F38BE">
              <w:rPr>
                <w:color w:val="000000"/>
              </w:rPr>
              <w:t>14  (8-27)</w:t>
            </w:r>
          </w:p>
        </w:tc>
        <w:tc>
          <w:tcPr>
            <w:tcW w:w="1134" w:type="dxa"/>
            <w:shd w:val="clear" w:color="auto" w:fill="auto"/>
            <w:hideMark/>
          </w:tcPr>
          <w:p w14:paraId="06F0B65B" w14:textId="77777777" w:rsidR="001B336E" w:rsidRPr="004F38BE" w:rsidRDefault="001B336E" w:rsidP="00027658">
            <w:pPr>
              <w:jc w:val="center"/>
              <w:rPr>
                <w:b/>
                <w:color w:val="000000"/>
              </w:rPr>
            </w:pPr>
            <w:r w:rsidRPr="004F38BE">
              <w:rPr>
                <w:b/>
                <w:color w:val="000000"/>
              </w:rPr>
              <w:t>&lt;0.0001</w:t>
            </w:r>
          </w:p>
        </w:tc>
        <w:tc>
          <w:tcPr>
            <w:tcW w:w="1559" w:type="dxa"/>
            <w:shd w:val="clear" w:color="auto" w:fill="auto"/>
            <w:hideMark/>
          </w:tcPr>
          <w:p w14:paraId="5B9072E2" w14:textId="77777777" w:rsidR="001B336E" w:rsidRPr="004F38BE" w:rsidRDefault="001B336E" w:rsidP="00027658">
            <w:pPr>
              <w:jc w:val="center"/>
              <w:rPr>
                <w:color w:val="000000"/>
              </w:rPr>
            </w:pPr>
            <w:r w:rsidRPr="004F38BE">
              <w:rPr>
                <w:color w:val="000000"/>
              </w:rPr>
              <w:t>0.69  [0.65-0.74]</w:t>
            </w:r>
          </w:p>
        </w:tc>
        <w:tc>
          <w:tcPr>
            <w:tcW w:w="1276" w:type="dxa"/>
            <w:shd w:val="clear" w:color="auto" w:fill="auto"/>
            <w:hideMark/>
          </w:tcPr>
          <w:p w14:paraId="4F944049" w14:textId="77777777" w:rsidR="001B336E" w:rsidRPr="004F38BE" w:rsidRDefault="001B336E" w:rsidP="00027658">
            <w:pPr>
              <w:jc w:val="center"/>
              <w:rPr>
                <w:color w:val="000000"/>
              </w:rPr>
            </w:pPr>
            <w:r w:rsidRPr="004F38BE">
              <w:rPr>
                <w:color w:val="000000"/>
              </w:rPr>
              <w:t>&gt;9.5</w:t>
            </w:r>
          </w:p>
        </w:tc>
        <w:tc>
          <w:tcPr>
            <w:tcW w:w="1408" w:type="dxa"/>
            <w:shd w:val="clear" w:color="auto" w:fill="auto"/>
            <w:noWrap/>
            <w:hideMark/>
          </w:tcPr>
          <w:p w14:paraId="057317D9" w14:textId="77777777" w:rsidR="001B336E" w:rsidRPr="004F38BE" w:rsidRDefault="001B336E" w:rsidP="00027658">
            <w:pPr>
              <w:jc w:val="center"/>
              <w:rPr>
                <w:color w:val="000000"/>
              </w:rPr>
            </w:pPr>
            <w:r w:rsidRPr="004F38BE">
              <w:rPr>
                <w:color w:val="000000"/>
              </w:rPr>
              <w:t>67.2 [60.3-73.5]</w:t>
            </w:r>
          </w:p>
        </w:tc>
        <w:tc>
          <w:tcPr>
            <w:tcW w:w="1277" w:type="dxa"/>
            <w:shd w:val="clear" w:color="auto" w:fill="auto"/>
            <w:hideMark/>
          </w:tcPr>
          <w:p w14:paraId="2B66A5D1" w14:textId="77777777" w:rsidR="001B336E" w:rsidRPr="004F38BE" w:rsidRDefault="001B336E" w:rsidP="00027658">
            <w:pPr>
              <w:jc w:val="center"/>
              <w:rPr>
                <w:color w:val="000000"/>
              </w:rPr>
            </w:pPr>
            <w:r w:rsidRPr="004F38BE">
              <w:rPr>
                <w:color w:val="000000"/>
              </w:rPr>
              <w:t>65.0 [60.6-69.3]</w:t>
            </w:r>
          </w:p>
        </w:tc>
      </w:tr>
      <w:tr w:rsidR="001B336E" w:rsidRPr="004F38BE" w14:paraId="451153E9" w14:textId="77777777" w:rsidTr="00027658">
        <w:trPr>
          <w:gridAfter w:val="1"/>
          <w:wAfter w:w="113" w:type="dxa"/>
          <w:trHeight w:val="300"/>
          <w:jc w:val="center"/>
        </w:trPr>
        <w:tc>
          <w:tcPr>
            <w:tcW w:w="1111" w:type="dxa"/>
            <w:tcBorders>
              <w:left w:val="nil"/>
              <w:right w:val="nil"/>
            </w:tcBorders>
            <w:shd w:val="clear" w:color="auto" w:fill="auto"/>
            <w:noWrap/>
            <w:hideMark/>
          </w:tcPr>
          <w:p w14:paraId="7D00B3E4" w14:textId="77777777" w:rsidR="001B336E" w:rsidRPr="004F38BE" w:rsidRDefault="001B336E" w:rsidP="00027658">
            <w:pPr>
              <w:rPr>
                <w:b/>
                <w:bCs/>
                <w:color w:val="000000"/>
              </w:rPr>
            </w:pPr>
            <w:r w:rsidRPr="004F38BE">
              <w:rPr>
                <w:b/>
                <w:bCs/>
                <w:color w:val="000000"/>
              </w:rPr>
              <w:t>IFN-α2</w:t>
            </w:r>
          </w:p>
        </w:tc>
        <w:tc>
          <w:tcPr>
            <w:tcW w:w="1308" w:type="dxa"/>
            <w:tcBorders>
              <w:left w:val="nil"/>
              <w:right w:val="nil"/>
            </w:tcBorders>
            <w:shd w:val="clear" w:color="auto" w:fill="auto"/>
            <w:noWrap/>
            <w:hideMark/>
          </w:tcPr>
          <w:p w14:paraId="1F02363B" w14:textId="77777777" w:rsidR="001B336E" w:rsidRPr="004F38BE" w:rsidRDefault="001B336E" w:rsidP="00027658">
            <w:pPr>
              <w:jc w:val="center"/>
              <w:rPr>
                <w:color w:val="000000"/>
              </w:rPr>
            </w:pPr>
            <w:r w:rsidRPr="004F38BE">
              <w:rPr>
                <w:color w:val="000000"/>
              </w:rPr>
              <w:t>0  (0-6)</w:t>
            </w:r>
          </w:p>
        </w:tc>
        <w:tc>
          <w:tcPr>
            <w:tcW w:w="1276" w:type="dxa"/>
            <w:tcBorders>
              <w:left w:val="nil"/>
              <w:right w:val="nil"/>
            </w:tcBorders>
            <w:shd w:val="clear" w:color="auto" w:fill="auto"/>
            <w:noWrap/>
            <w:hideMark/>
          </w:tcPr>
          <w:p w14:paraId="32E72769" w14:textId="77777777" w:rsidR="001B336E" w:rsidRPr="004F38BE" w:rsidRDefault="001B336E" w:rsidP="00027658">
            <w:pPr>
              <w:jc w:val="center"/>
              <w:rPr>
                <w:color w:val="000000"/>
              </w:rPr>
            </w:pPr>
            <w:r w:rsidRPr="004F38BE">
              <w:rPr>
                <w:color w:val="000000"/>
              </w:rPr>
              <w:t>7 (0-19)</w:t>
            </w:r>
          </w:p>
        </w:tc>
        <w:tc>
          <w:tcPr>
            <w:tcW w:w="1134" w:type="dxa"/>
            <w:tcBorders>
              <w:left w:val="nil"/>
              <w:right w:val="nil"/>
            </w:tcBorders>
            <w:shd w:val="clear" w:color="auto" w:fill="auto"/>
            <w:hideMark/>
          </w:tcPr>
          <w:p w14:paraId="68DFC6E7" w14:textId="77777777" w:rsidR="001B336E" w:rsidRPr="004F38BE" w:rsidRDefault="001B336E" w:rsidP="00027658">
            <w:pPr>
              <w:jc w:val="center"/>
              <w:rPr>
                <w:b/>
                <w:color w:val="000000"/>
              </w:rPr>
            </w:pPr>
            <w:r w:rsidRPr="004F38BE">
              <w:rPr>
                <w:b/>
                <w:color w:val="000000"/>
              </w:rPr>
              <w:t>&lt;0.0001</w:t>
            </w:r>
          </w:p>
        </w:tc>
        <w:tc>
          <w:tcPr>
            <w:tcW w:w="1559" w:type="dxa"/>
            <w:tcBorders>
              <w:left w:val="nil"/>
              <w:right w:val="nil"/>
            </w:tcBorders>
            <w:shd w:val="clear" w:color="auto" w:fill="auto"/>
            <w:hideMark/>
          </w:tcPr>
          <w:p w14:paraId="6BDE6B00" w14:textId="77777777" w:rsidR="001B336E" w:rsidRPr="004F38BE" w:rsidRDefault="001B336E" w:rsidP="00027658">
            <w:pPr>
              <w:jc w:val="center"/>
              <w:rPr>
                <w:color w:val="000000"/>
              </w:rPr>
            </w:pPr>
            <w:r w:rsidRPr="004F38BE">
              <w:rPr>
                <w:color w:val="000000"/>
              </w:rPr>
              <w:t>0.67 [0.62-0.71]</w:t>
            </w:r>
          </w:p>
        </w:tc>
        <w:tc>
          <w:tcPr>
            <w:tcW w:w="1276" w:type="dxa"/>
            <w:tcBorders>
              <w:left w:val="nil"/>
              <w:right w:val="nil"/>
            </w:tcBorders>
            <w:shd w:val="clear" w:color="auto" w:fill="auto"/>
            <w:hideMark/>
          </w:tcPr>
          <w:p w14:paraId="4EBBCC18" w14:textId="77777777" w:rsidR="001B336E" w:rsidRPr="004F38BE" w:rsidRDefault="001B336E" w:rsidP="00027658">
            <w:pPr>
              <w:jc w:val="center"/>
              <w:rPr>
                <w:color w:val="000000"/>
              </w:rPr>
            </w:pPr>
            <w:r w:rsidRPr="004F38BE">
              <w:rPr>
                <w:color w:val="000000"/>
              </w:rPr>
              <w:t>&gt;2.9</w:t>
            </w:r>
          </w:p>
        </w:tc>
        <w:tc>
          <w:tcPr>
            <w:tcW w:w="1408" w:type="dxa"/>
            <w:tcBorders>
              <w:left w:val="nil"/>
              <w:right w:val="nil"/>
            </w:tcBorders>
            <w:shd w:val="clear" w:color="auto" w:fill="auto"/>
            <w:noWrap/>
            <w:hideMark/>
          </w:tcPr>
          <w:p w14:paraId="1591A08B" w14:textId="77777777" w:rsidR="001B336E" w:rsidRPr="004F38BE" w:rsidRDefault="001B336E" w:rsidP="00027658">
            <w:pPr>
              <w:jc w:val="center"/>
              <w:rPr>
                <w:color w:val="000000"/>
              </w:rPr>
            </w:pPr>
            <w:r w:rsidRPr="004F38BE">
              <w:rPr>
                <w:color w:val="000000"/>
              </w:rPr>
              <w:t>59.4 [52.4-66.2]</w:t>
            </w:r>
          </w:p>
        </w:tc>
        <w:tc>
          <w:tcPr>
            <w:tcW w:w="1277" w:type="dxa"/>
            <w:tcBorders>
              <w:left w:val="nil"/>
              <w:right w:val="nil"/>
            </w:tcBorders>
            <w:shd w:val="clear" w:color="auto" w:fill="auto"/>
            <w:hideMark/>
          </w:tcPr>
          <w:p w14:paraId="0EC8B696" w14:textId="77777777" w:rsidR="001B336E" w:rsidRPr="004F38BE" w:rsidRDefault="001B336E" w:rsidP="00027658">
            <w:pPr>
              <w:jc w:val="center"/>
              <w:rPr>
                <w:color w:val="000000"/>
              </w:rPr>
            </w:pPr>
            <w:r w:rsidRPr="004F38BE">
              <w:rPr>
                <w:color w:val="000000"/>
              </w:rPr>
              <w:t>71.3 [67.0-75.3]</w:t>
            </w:r>
          </w:p>
        </w:tc>
      </w:tr>
      <w:tr w:rsidR="001B336E" w:rsidRPr="004F38BE" w14:paraId="7B565729" w14:textId="77777777" w:rsidTr="00027658">
        <w:trPr>
          <w:gridAfter w:val="1"/>
          <w:wAfter w:w="113" w:type="dxa"/>
          <w:trHeight w:val="300"/>
          <w:jc w:val="center"/>
        </w:trPr>
        <w:tc>
          <w:tcPr>
            <w:tcW w:w="1111" w:type="dxa"/>
            <w:shd w:val="clear" w:color="auto" w:fill="auto"/>
            <w:noWrap/>
            <w:hideMark/>
          </w:tcPr>
          <w:p w14:paraId="44CCED0F" w14:textId="77777777" w:rsidR="001B336E" w:rsidRPr="004F38BE" w:rsidRDefault="001B336E" w:rsidP="00027658">
            <w:pPr>
              <w:rPr>
                <w:b/>
                <w:bCs/>
                <w:color w:val="000000"/>
              </w:rPr>
            </w:pPr>
            <w:r w:rsidRPr="004F38BE">
              <w:rPr>
                <w:b/>
                <w:bCs/>
                <w:color w:val="000000"/>
              </w:rPr>
              <w:t>IFN-γ</w:t>
            </w:r>
          </w:p>
        </w:tc>
        <w:tc>
          <w:tcPr>
            <w:tcW w:w="1308" w:type="dxa"/>
            <w:shd w:val="clear" w:color="auto" w:fill="auto"/>
            <w:noWrap/>
            <w:hideMark/>
          </w:tcPr>
          <w:p w14:paraId="04AF2302" w14:textId="77777777" w:rsidR="001B336E" w:rsidRPr="004F38BE" w:rsidRDefault="001B336E" w:rsidP="00027658">
            <w:pPr>
              <w:jc w:val="center"/>
              <w:rPr>
                <w:color w:val="000000"/>
              </w:rPr>
            </w:pPr>
            <w:r w:rsidRPr="004F38BE">
              <w:rPr>
                <w:color w:val="000000"/>
              </w:rPr>
              <w:t>1 (0-3)</w:t>
            </w:r>
          </w:p>
        </w:tc>
        <w:tc>
          <w:tcPr>
            <w:tcW w:w="1276" w:type="dxa"/>
            <w:shd w:val="clear" w:color="auto" w:fill="auto"/>
            <w:noWrap/>
            <w:hideMark/>
          </w:tcPr>
          <w:p w14:paraId="4DDEACF0" w14:textId="77777777" w:rsidR="001B336E" w:rsidRPr="004F38BE" w:rsidRDefault="001B336E" w:rsidP="00027658">
            <w:pPr>
              <w:jc w:val="center"/>
              <w:rPr>
                <w:color w:val="000000"/>
              </w:rPr>
            </w:pPr>
            <w:r w:rsidRPr="004F38BE">
              <w:rPr>
                <w:color w:val="000000"/>
              </w:rPr>
              <w:t>9 (3-21)</w:t>
            </w:r>
          </w:p>
        </w:tc>
        <w:tc>
          <w:tcPr>
            <w:tcW w:w="1134" w:type="dxa"/>
            <w:shd w:val="clear" w:color="auto" w:fill="auto"/>
            <w:hideMark/>
          </w:tcPr>
          <w:p w14:paraId="729D4947" w14:textId="77777777" w:rsidR="001B336E" w:rsidRPr="004F38BE" w:rsidRDefault="001B336E" w:rsidP="00027658">
            <w:pPr>
              <w:jc w:val="center"/>
              <w:rPr>
                <w:b/>
                <w:color w:val="000000"/>
              </w:rPr>
            </w:pPr>
            <w:r w:rsidRPr="004F38BE">
              <w:rPr>
                <w:b/>
                <w:color w:val="000000"/>
              </w:rPr>
              <w:t>&lt;0.0001</w:t>
            </w:r>
          </w:p>
        </w:tc>
        <w:tc>
          <w:tcPr>
            <w:tcW w:w="1559" w:type="dxa"/>
            <w:shd w:val="clear" w:color="auto" w:fill="auto"/>
            <w:hideMark/>
          </w:tcPr>
          <w:p w14:paraId="17111DAF" w14:textId="77777777" w:rsidR="001B336E" w:rsidRPr="004F38BE" w:rsidRDefault="001B336E" w:rsidP="00027658">
            <w:pPr>
              <w:jc w:val="center"/>
              <w:rPr>
                <w:color w:val="000000"/>
              </w:rPr>
            </w:pPr>
            <w:r w:rsidRPr="004F38BE">
              <w:rPr>
                <w:color w:val="000000"/>
              </w:rPr>
              <w:t>0.80 [0.76-0.84]</w:t>
            </w:r>
          </w:p>
        </w:tc>
        <w:tc>
          <w:tcPr>
            <w:tcW w:w="1276" w:type="dxa"/>
            <w:shd w:val="clear" w:color="auto" w:fill="auto"/>
            <w:hideMark/>
          </w:tcPr>
          <w:p w14:paraId="06AC83D7" w14:textId="77777777" w:rsidR="001B336E" w:rsidRPr="004F38BE" w:rsidRDefault="001B336E" w:rsidP="00027658">
            <w:pPr>
              <w:jc w:val="center"/>
              <w:rPr>
                <w:color w:val="000000"/>
              </w:rPr>
            </w:pPr>
            <w:r w:rsidRPr="004F38BE">
              <w:rPr>
                <w:color w:val="000000"/>
              </w:rPr>
              <w:t>&gt;2.8</w:t>
            </w:r>
          </w:p>
        </w:tc>
        <w:tc>
          <w:tcPr>
            <w:tcW w:w="1408" w:type="dxa"/>
            <w:shd w:val="clear" w:color="auto" w:fill="auto"/>
            <w:noWrap/>
            <w:hideMark/>
          </w:tcPr>
          <w:p w14:paraId="234A8A9A" w14:textId="77777777" w:rsidR="001B336E" w:rsidRPr="004F38BE" w:rsidRDefault="001B336E" w:rsidP="00027658">
            <w:pPr>
              <w:jc w:val="center"/>
              <w:rPr>
                <w:color w:val="000000"/>
              </w:rPr>
            </w:pPr>
            <w:r w:rsidRPr="004F38BE">
              <w:rPr>
                <w:color w:val="000000"/>
              </w:rPr>
              <w:t>78.3 [72.0-83.7]</w:t>
            </w:r>
          </w:p>
        </w:tc>
        <w:tc>
          <w:tcPr>
            <w:tcW w:w="1277" w:type="dxa"/>
            <w:shd w:val="clear" w:color="auto" w:fill="auto"/>
            <w:hideMark/>
          </w:tcPr>
          <w:p w14:paraId="7DB3F1F6" w14:textId="77777777" w:rsidR="001B336E" w:rsidRPr="004F38BE" w:rsidRDefault="001B336E" w:rsidP="00027658">
            <w:pPr>
              <w:jc w:val="center"/>
              <w:rPr>
                <w:color w:val="000000"/>
              </w:rPr>
            </w:pPr>
            <w:r w:rsidRPr="004F38BE">
              <w:rPr>
                <w:color w:val="000000"/>
              </w:rPr>
              <w:t>74.2 [70.0-78.0]</w:t>
            </w:r>
          </w:p>
        </w:tc>
      </w:tr>
      <w:tr w:rsidR="001B336E" w:rsidRPr="004F38BE" w14:paraId="3E0CDBC2" w14:textId="77777777" w:rsidTr="00027658">
        <w:trPr>
          <w:gridAfter w:val="1"/>
          <w:wAfter w:w="113" w:type="dxa"/>
          <w:trHeight w:val="300"/>
          <w:jc w:val="center"/>
        </w:trPr>
        <w:tc>
          <w:tcPr>
            <w:tcW w:w="1111" w:type="dxa"/>
            <w:tcBorders>
              <w:left w:val="nil"/>
              <w:right w:val="nil"/>
            </w:tcBorders>
            <w:shd w:val="clear" w:color="auto" w:fill="auto"/>
            <w:noWrap/>
            <w:hideMark/>
          </w:tcPr>
          <w:p w14:paraId="3A5AB635" w14:textId="77777777" w:rsidR="001B336E" w:rsidRPr="004F38BE" w:rsidRDefault="001B336E" w:rsidP="00027658">
            <w:pPr>
              <w:rPr>
                <w:b/>
                <w:bCs/>
                <w:color w:val="000000"/>
              </w:rPr>
            </w:pPr>
            <w:r w:rsidRPr="004F38BE">
              <w:rPr>
                <w:b/>
                <w:bCs/>
                <w:color w:val="000000"/>
              </w:rPr>
              <w:t>VEGF</w:t>
            </w:r>
          </w:p>
        </w:tc>
        <w:tc>
          <w:tcPr>
            <w:tcW w:w="1308" w:type="dxa"/>
            <w:tcBorders>
              <w:left w:val="nil"/>
              <w:right w:val="nil"/>
            </w:tcBorders>
            <w:shd w:val="clear" w:color="auto" w:fill="auto"/>
            <w:noWrap/>
            <w:hideMark/>
          </w:tcPr>
          <w:p w14:paraId="450CE1E6" w14:textId="77777777" w:rsidR="001B336E" w:rsidRPr="004F38BE" w:rsidRDefault="001B336E" w:rsidP="00027658">
            <w:pPr>
              <w:jc w:val="center"/>
              <w:rPr>
                <w:color w:val="000000"/>
              </w:rPr>
            </w:pPr>
            <w:r w:rsidRPr="004F38BE">
              <w:rPr>
                <w:color w:val="000000"/>
              </w:rPr>
              <w:t>158  (19-286)</w:t>
            </w:r>
          </w:p>
        </w:tc>
        <w:tc>
          <w:tcPr>
            <w:tcW w:w="1276" w:type="dxa"/>
            <w:tcBorders>
              <w:left w:val="nil"/>
              <w:right w:val="nil"/>
            </w:tcBorders>
            <w:shd w:val="clear" w:color="auto" w:fill="auto"/>
            <w:noWrap/>
            <w:hideMark/>
          </w:tcPr>
          <w:p w14:paraId="1A431BCF" w14:textId="77777777" w:rsidR="001B336E" w:rsidRPr="004F38BE" w:rsidRDefault="001B336E" w:rsidP="00027658">
            <w:pPr>
              <w:jc w:val="center"/>
              <w:rPr>
                <w:color w:val="000000"/>
              </w:rPr>
            </w:pPr>
            <w:r w:rsidRPr="004F38BE">
              <w:rPr>
                <w:color w:val="000000"/>
              </w:rPr>
              <w:t>341 (144-624)</w:t>
            </w:r>
          </w:p>
        </w:tc>
        <w:tc>
          <w:tcPr>
            <w:tcW w:w="1134" w:type="dxa"/>
            <w:tcBorders>
              <w:left w:val="nil"/>
              <w:right w:val="nil"/>
            </w:tcBorders>
            <w:shd w:val="clear" w:color="auto" w:fill="auto"/>
            <w:hideMark/>
          </w:tcPr>
          <w:p w14:paraId="1B8E9337" w14:textId="77777777" w:rsidR="001B336E" w:rsidRPr="004F38BE" w:rsidRDefault="001B336E" w:rsidP="00027658">
            <w:pPr>
              <w:jc w:val="center"/>
              <w:rPr>
                <w:b/>
                <w:color w:val="000000"/>
              </w:rPr>
            </w:pPr>
            <w:r w:rsidRPr="004F38BE">
              <w:rPr>
                <w:b/>
                <w:color w:val="000000"/>
              </w:rPr>
              <w:t>&lt;0.0001</w:t>
            </w:r>
          </w:p>
        </w:tc>
        <w:tc>
          <w:tcPr>
            <w:tcW w:w="1559" w:type="dxa"/>
            <w:tcBorders>
              <w:left w:val="nil"/>
              <w:right w:val="nil"/>
            </w:tcBorders>
            <w:shd w:val="clear" w:color="auto" w:fill="auto"/>
            <w:hideMark/>
          </w:tcPr>
          <w:p w14:paraId="47B2759A" w14:textId="77777777" w:rsidR="001B336E" w:rsidRPr="004F38BE" w:rsidRDefault="001B336E" w:rsidP="00027658">
            <w:pPr>
              <w:jc w:val="center"/>
              <w:rPr>
                <w:color w:val="000000"/>
              </w:rPr>
            </w:pPr>
            <w:r w:rsidRPr="004F38BE">
              <w:rPr>
                <w:color w:val="000000"/>
              </w:rPr>
              <w:t>0.70 [0.65-74]</w:t>
            </w:r>
          </w:p>
        </w:tc>
        <w:tc>
          <w:tcPr>
            <w:tcW w:w="1276" w:type="dxa"/>
            <w:tcBorders>
              <w:left w:val="nil"/>
              <w:right w:val="nil"/>
            </w:tcBorders>
            <w:shd w:val="clear" w:color="auto" w:fill="auto"/>
            <w:hideMark/>
          </w:tcPr>
          <w:p w14:paraId="24567FDF" w14:textId="77777777" w:rsidR="001B336E" w:rsidRPr="004F38BE" w:rsidRDefault="001B336E" w:rsidP="00027658">
            <w:pPr>
              <w:jc w:val="center"/>
              <w:rPr>
                <w:color w:val="000000"/>
              </w:rPr>
            </w:pPr>
            <w:r w:rsidRPr="004F38BE">
              <w:rPr>
                <w:color w:val="000000"/>
              </w:rPr>
              <w:t>&gt;269.8</w:t>
            </w:r>
          </w:p>
        </w:tc>
        <w:tc>
          <w:tcPr>
            <w:tcW w:w="1408" w:type="dxa"/>
            <w:tcBorders>
              <w:left w:val="nil"/>
              <w:right w:val="nil"/>
            </w:tcBorders>
            <w:shd w:val="clear" w:color="auto" w:fill="auto"/>
            <w:noWrap/>
            <w:hideMark/>
          </w:tcPr>
          <w:p w14:paraId="25744935" w14:textId="77777777" w:rsidR="001B336E" w:rsidRPr="004F38BE" w:rsidRDefault="001B336E" w:rsidP="00027658">
            <w:pPr>
              <w:jc w:val="center"/>
              <w:rPr>
                <w:color w:val="000000"/>
              </w:rPr>
            </w:pPr>
            <w:r w:rsidRPr="004F38BE">
              <w:rPr>
                <w:color w:val="000000"/>
              </w:rPr>
              <w:t>60.4 [53.4-67.1]</w:t>
            </w:r>
          </w:p>
        </w:tc>
        <w:tc>
          <w:tcPr>
            <w:tcW w:w="1277" w:type="dxa"/>
            <w:tcBorders>
              <w:left w:val="nil"/>
              <w:right w:val="nil"/>
            </w:tcBorders>
            <w:shd w:val="clear" w:color="auto" w:fill="auto"/>
            <w:hideMark/>
          </w:tcPr>
          <w:p w14:paraId="79293CC2" w14:textId="77777777" w:rsidR="001B336E" w:rsidRPr="004F38BE" w:rsidRDefault="001B336E" w:rsidP="00027658">
            <w:pPr>
              <w:jc w:val="center"/>
              <w:rPr>
                <w:color w:val="000000"/>
              </w:rPr>
            </w:pPr>
            <w:r w:rsidRPr="004F38BE">
              <w:rPr>
                <w:color w:val="000000"/>
              </w:rPr>
              <w:t>72.5 [68.3-76.5]</w:t>
            </w:r>
          </w:p>
        </w:tc>
      </w:tr>
      <w:tr w:rsidR="001B336E" w:rsidRPr="004F38BE" w14:paraId="2E681256" w14:textId="77777777" w:rsidTr="00027658">
        <w:trPr>
          <w:gridAfter w:val="1"/>
          <w:wAfter w:w="113" w:type="dxa"/>
          <w:trHeight w:val="300"/>
          <w:jc w:val="center"/>
        </w:trPr>
        <w:tc>
          <w:tcPr>
            <w:tcW w:w="1111" w:type="dxa"/>
            <w:shd w:val="clear" w:color="auto" w:fill="auto"/>
            <w:noWrap/>
            <w:hideMark/>
          </w:tcPr>
          <w:p w14:paraId="0E576FEE" w14:textId="77777777" w:rsidR="001B336E" w:rsidRPr="004F38BE" w:rsidRDefault="001B336E" w:rsidP="00027658">
            <w:pPr>
              <w:rPr>
                <w:b/>
                <w:bCs/>
                <w:color w:val="000000"/>
              </w:rPr>
            </w:pPr>
            <w:r w:rsidRPr="004F38BE">
              <w:rPr>
                <w:b/>
                <w:bCs/>
                <w:color w:val="000000"/>
              </w:rPr>
              <w:t>MMP-2</w:t>
            </w:r>
          </w:p>
        </w:tc>
        <w:tc>
          <w:tcPr>
            <w:tcW w:w="1308" w:type="dxa"/>
            <w:shd w:val="clear" w:color="auto" w:fill="auto"/>
            <w:noWrap/>
            <w:hideMark/>
          </w:tcPr>
          <w:p w14:paraId="4B6DB7C1" w14:textId="77777777" w:rsidR="001B336E" w:rsidRPr="004F38BE" w:rsidRDefault="001B336E" w:rsidP="00027658">
            <w:pPr>
              <w:jc w:val="center"/>
              <w:rPr>
                <w:color w:val="000000"/>
              </w:rPr>
            </w:pPr>
            <w:r w:rsidRPr="004F38BE">
              <w:rPr>
                <w:color w:val="000000"/>
              </w:rPr>
              <w:t>175792 (28693-474927)</w:t>
            </w:r>
          </w:p>
        </w:tc>
        <w:tc>
          <w:tcPr>
            <w:tcW w:w="1276" w:type="dxa"/>
            <w:shd w:val="clear" w:color="auto" w:fill="auto"/>
            <w:noWrap/>
            <w:hideMark/>
          </w:tcPr>
          <w:p w14:paraId="4B2F4D17" w14:textId="77777777" w:rsidR="001B336E" w:rsidRPr="004F38BE" w:rsidRDefault="001B336E" w:rsidP="00027658">
            <w:pPr>
              <w:jc w:val="center"/>
              <w:rPr>
                <w:color w:val="000000"/>
              </w:rPr>
            </w:pPr>
            <w:r w:rsidRPr="004F38BE">
              <w:rPr>
                <w:color w:val="000000"/>
              </w:rPr>
              <w:t xml:space="preserve">92881 </w:t>
            </w:r>
          </w:p>
          <w:p w14:paraId="70AD4D5C" w14:textId="77777777" w:rsidR="001B336E" w:rsidRPr="004F38BE" w:rsidRDefault="001B336E" w:rsidP="00027658">
            <w:pPr>
              <w:jc w:val="center"/>
              <w:rPr>
                <w:color w:val="000000"/>
              </w:rPr>
            </w:pPr>
            <w:r w:rsidRPr="004F38BE">
              <w:rPr>
                <w:color w:val="000000"/>
              </w:rPr>
              <w:t>(22348-312697)</w:t>
            </w:r>
          </w:p>
        </w:tc>
        <w:tc>
          <w:tcPr>
            <w:tcW w:w="1134" w:type="dxa"/>
            <w:shd w:val="clear" w:color="auto" w:fill="auto"/>
            <w:hideMark/>
          </w:tcPr>
          <w:p w14:paraId="437DB2BD" w14:textId="77777777" w:rsidR="001B336E" w:rsidRPr="004F38BE" w:rsidRDefault="001B336E" w:rsidP="00027658">
            <w:pPr>
              <w:jc w:val="center"/>
              <w:rPr>
                <w:color w:val="000000"/>
              </w:rPr>
            </w:pPr>
            <w:r w:rsidRPr="004F38BE">
              <w:rPr>
                <w:color w:val="000000"/>
              </w:rPr>
              <w:t>0.091</w:t>
            </w:r>
          </w:p>
        </w:tc>
        <w:tc>
          <w:tcPr>
            <w:tcW w:w="1559" w:type="dxa"/>
            <w:shd w:val="clear" w:color="auto" w:fill="auto"/>
            <w:hideMark/>
          </w:tcPr>
          <w:p w14:paraId="483EE14A" w14:textId="77777777" w:rsidR="001B336E" w:rsidRPr="004F38BE" w:rsidRDefault="001B336E" w:rsidP="00027658">
            <w:pPr>
              <w:jc w:val="center"/>
              <w:rPr>
                <w:color w:val="000000"/>
              </w:rPr>
            </w:pPr>
            <w:r w:rsidRPr="004F38BE">
              <w:rPr>
                <w:color w:val="000000"/>
              </w:rPr>
              <w:t>0.54 [0.49-0.59]</w:t>
            </w:r>
          </w:p>
        </w:tc>
        <w:tc>
          <w:tcPr>
            <w:tcW w:w="1276" w:type="dxa"/>
            <w:shd w:val="clear" w:color="auto" w:fill="auto"/>
            <w:hideMark/>
          </w:tcPr>
          <w:p w14:paraId="2F55AB8D" w14:textId="77777777" w:rsidR="001B336E" w:rsidRPr="004F38BE" w:rsidRDefault="001B336E" w:rsidP="00027658">
            <w:pPr>
              <w:jc w:val="center"/>
              <w:rPr>
                <w:color w:val="000000"/>
              </w:rPr>
            </w:pPr>
            <w:r w:rsidRPr="004F38BE">
              <w:rPr>
                <w:color w:val="000000"/>
              </w:rPr>
              <w:t>&lt;254965</w:t>
            </w:r>
          </w:p>
        </w:tc>
        <w:tc>
          <w:tcPr>
            <w:tcW w:w="1408" w:type="dxa"/>
            <w:shd w:val="clear" w:color="auto" w:fill="auto"/>
            <w:noWrap/>
            <w:hideMark/>
          </w:tcPr>
          <w:p w14:paraId="04A307A2" w14:textId="77777777" w:rsidR="001B336E" w:rsidRPr="004F38BE" w:rsidRDefault="001B336E" w:rsidP="00027658">
            <w:pPr>
              <w:jc w:val="center"/>
              <w:rPr>
                <w:color w:val="000000"/>
              </w:rPr>
            </w:pPr>
            <w:r w:rsidRPr="004F38BE">
              <w:rPr>
                <w:color w:val="000000"/>
              </w:rPr>
              <w:t>64.3 [57.3-70.8]</w:t>
            </w:r>
          </w:p>
        </w:tc>
        <w:tc>
          <w:tcPr>
            <w:tcW w:w="1277" w:type="dxa"/>
            <w:shd w:val="clear" w:color="auto" w:fill="auto"/>
            <w:hideMark/>
          </w:tcPr>
          <w:p w14:paraId="7D68894C" w14:textId="77777777" w:rsidR="001B336E" w:rsidRPr="004F38BE" w:rsidRDefault="001B336E" w:rsidP="00027658">
            <w:pPr>
              <w:jc w:val="center"/>
              <w:rPr>
                <w:color w:val="000000"/>
              </w:rPr>
            </w:pPr>
            <w:r w:rsidRPr="004F38BE">
              <w:rPr>
                <w:color w:val="000000"/>
              </w:rPr>
              <w:t>44.6 [40.1-49.2]</w:t>
            </w:r>
          </w:p>
        </w:tc>
      </w:tr>
      <w:tr w:rsidR="001B336E" w:rsidRPr="004F38BE" w14:paraId="37554C52" w14:textId="77777777" w:rsidTr="00027658">
        <w:trPr>
          <w:gridAfter w:val="1"/>
          <w:wAfter w:w="113" w:type="dxa"/>
          <w:trHeight w:val="300"/>
          <w:jc w:val="center"/>
        </w:trPr>
        <w:tc>
          <w:tcPr>
            <w:tcW w:w="1111" w:type="dxa"/>
            <w:tcBorders>
              <w:left w:val="nil"/>
              <w:right w:val="nil"/>
            </w:tcBorders>
            <w:shd w:val="clear" w:color="auto" w:fill="auto"/>
            <w:noWrap/>
            <w:hideMark/>
          </w:tcPr>
          <w:p w14:paraId="69942C1B" w14:textId="77777777" w:rsidR="001B336E" w:rsidRPr="004F38BE" w:rsidRDefault="001B336E" w:rsidP="00027658">
            <w:pPr>
              <w:rPr>
                <w:b/>
                <w:bCs/>
                <w:color w:val="000000"/>
              </w:rPr>
            </w:pPr>
            <w:r w:rsidRPr="004F38BE">
              <w:rPr>
                <w:b/>
                <w:bCs/>
                <w:color w:val="000000"/>
              </w:rPr>
              <w:t>MMP-9</w:t>
            </w:r>
          </w:p>
        </w:tc>
        <w:tc>
          <w:tcPr>
            <w:tcW w:w="1308" w:type="dxa"/>
            <w:tcBorders>
              <w:left w:val="nil"/>
              <w:right w:val="nil"/>
            </w:tcBorders>
            <w:shd w:val="clear" w:color="auto" w:fill="auto"/>
            <w:noWrap/>
            <w:hideMark/>
          </w:tcPr>
          <w:p w14:paraId="746CF0DB" w14:textId="77777777" w:rsidR="001B336E" w:rsidRPr="004F38BE" w:rsidRDefault="001B336E" w:rsidP="00027658">
            <w:pPr>
              <w:jc w:val="center"/>
              <w:rPr>
                <w:color w:val="000000"/>
              </w:rPr>
            </w:pPr>
            <w:r w:rsidRPr="004F38BE">
              <w:rPr>
                <w:color w:val="000000"/>
              </w:rPr>
              <w:t>401540 (155072-756297)</w:t>
            </w:r>
          </w:p>
        </w:tc>
        <w:tc>
          <w:tcPr>
            <w:tcW w:w="1276" w:type="dxa"/>
            <w:tcBorders>
              <w:left w:val="nil"/>
              <w:right w:val="nil"/>
            </w:tcBorders>
            <w:shd w:val="clear" w:color="auto" w:fill="auto"/>
            <w:noWrap/>
            <w:hideMark/>
          </w:tcPr>
          <w:p w14:paraId="1260F4BA" w14:textId="77777777" w:rsidR="001B336E" w:rsidRPr="004F38BE" w:rsidRDefault="001B336E" w:rsidP="00027658">
            <w:pPr>
              <w:jc w:val="center"/>
              <w:rPr>
                <w:color w:val="000000"/>
              </w:rPr>
            </w:pPr>
            <w:r w:rsidRPr="004F38BE">
              <w:rPr>
                <w:color w:val="000000"/>
              </w:rPr>
              <w:t>651549 (43831-1299700)</w:t>
            </w:r>
          </w:p>
        </w:tc>
        <w:tc>
          <w:tcPr>
            <w:tcW w:w="1134" w:type="dxa"/>
            <w:tcBorders>
              <w:left w:val="nil"/>
              <w:right w:val="nil"/>
            </w:tcBorders>
            <w:shd w:val="clear" w:color="auto" w:fill="auto"/>
            <w:hideMark/>
          </w:tcPr>
          <w:p w14:paraId="2C993E17" w14:textId="77777777" w:rsidR="001B336E" w:rsidRPr="004F38BE" w:rsidRDefault="001B336E" w:rsidP="00027658">
            <w:pPr>
              <w:jc w:val="center"/>
              <w:rPr>
                <w:b/>
                <w:color w:val="000000"/>
              </w:rPr>
            </w:pPr>
            <w:r w:rsidRPr="004F38BE">
              <w:rPr>
                <w:b/>
                <w:color w:val="000000"/>
              </w:rPr>
              <w:t>0.0004</w:t>
            </w:r>
          </w:p>
        </w:tc>
        <w:tc>
          <w:tcPr>
            <w:tcW w:w="1559" w:type="dxa"/>
            <w:tcBorders>
              <w:left w:val="nil"/>
              <w:right w:val="nil"/>
            </w:tcBorders>
            <w:shd w:val="clear" w:color="auto" w:fill="auto"/>
            <w:hideMark/>
          </w:tcPr>
          <w:p w14:paraId="0DEFCCE1" w14:textId="77777777" w:rsidR="001B336E" w:rsidRPr="004F38BE" w:rsidRDefault="001B336E" w:rsidP="00027658">
            <w:pPr>
              <w:jc w:val="center"/>
              <w:rPr>
                <w:color w:val="000000"/>
              </w:rPr>
            </w:pPr>
            <w:r w:rsidRPr="004F38BE">
              <w:rPr>
                <w:color w:val="000000"/>
              </w:rPr>
              <w:t>0.59 [0.53-0.64]</w:t>
            </w:r>
          </w:p>
        </w:tc>
        <w:tc>
          <w:tcPr>
            <w:tcW w:w="1276" w:type="dxa"/>
            <w:tcBorders>
              <w:left w:val="nil"/>
              <w:right w:val="nil"/>
            </w:tcBorders>
            <w:shd w:val="clear" w:color="auto" w:fill="auto"/>
            <w:hideMark/>
          </w:tcPr>
          <w:p w14:paraId="43938305" w14:textId="77777777" w:rsidR="001B336E" w:rsidRPr="004F38BE" w:rsidRDefault="001B336E" w:rsidP="00027658">
            <w:pPr>
              <w:jc w:val="center"/>
              <w:rPr>
                <w:color w:val="000000"/>
              </w:rPr>
            </w:pPr>
            <w:r w:rsidRPr="004F38BE">
              <w:rPr>
                <w:color w:val="000000"/>
              </w:rPr>
              <w:t>&gt; 525174</w:t>
            </w:r>
          </w:p>
        </w:tc>
        <w:tc>
          <w:tcPr>
            <w:tcW w:w="1408" w:type="dxa"/>
            <w:tcBorders>
              <w:left w:val="nil"/>
              <w:right w:val="nil"/>
            </w:tcBorders>
            <w:shd w:val="clear" w:color="auto" w:fill="auto"/>
            <w:noWrap/>
            <w:hideMark/>
          </w:tcPr>
          <w:p w14:paraId="0D1621E6" w14:textId="77777777" w:rsidR="001B336E" w:rsidRPr="004F38BE" w:rsidRDefault="001B336E" w:rsidP="00027658">
            <w:pPr>
              <w:jc w:val="center"/>
              <w:rPr>
                <w:color w:val="000000"/>
              </w:rPr>
            </w:pPr>
            <w:r w:rsidRPr="004F38BE">
              <w:rPr>
                <w:color w:val="000000"/>
              </w:rPr>
              <w:t>0.56  [0.49-0.63]</w:t>
            </w:r>
          </w:p>
        </w:tc>
        <w:tc>
          <w:tcPr>
            <w:tcW w:w="1277" w:type="dxa"/>
            <w:tcBorders>
              <w:left w:val="nil"/>
              <w:right w:val="nil"/>
            </w:tcBorders>
            <w:shd w:val="clear" w:color="auto" w:fill="auto"/>
            <w:hideMark/>
          </w:tcPr>
          <w:p w14:paraId="251F282F" w14:textId="77777777" w:rsidR="001B336E" w:rsidRPr="004F38BE" w:rsidRDefault="001B336E" w:rsidP="00027658">
            <w:pPr>
              <w:jc w:val="center"/>
              <w:rPr>
                <w:color w:val="000000"/>
              </w:rPr>
            </w:pPr>
            <w:r w:rsidRPr="004F38BE">
              <w:rPr>
                <w:color w:val="000000"/>
              </w:rPr>
              <w:t>0.62 [0.58-0.66]</w:t>
            </w:r>
          </w:p>
        </w:tc>
      </w:tr>
      <w:tr w:rsidR="001B336E" w:rsidRPr="004F38BE" w14:paraId="77DD5054" w14:textId="77777777" w:rsidTr="00027658">
        <w:trPr>
          <w:gridAfter w:val="1"/>
          <w:wAfter w:w="113" w:type="dxa"/>
          <w:trHeight w:val="300"/>
          <w:jc w:val="center"/>
        </w:trPr>
        <w:tc>
          <w:tcPr>
            <w:tcW w:w="1111" w:type="dxa"/>
            <w:shd w:val="clear" w:color="auto" w:fill="auto"/>
            <w:noWrap/>
            <w:hideMark/>
          </w:tcPr>
          <w:p w14:paraId="5E5DB6EF" w14:textId="77777777" w:rsidR="001B336E" w:rsidRPr="004F38BE" w:rsidRDefault="001B336E" w:rsidP="00027658">
            <w:pPr>
              <w:rPr>
                <w:b/>
                <w:bCs/>
                <w:color w:val="000000"/>
              </w:rPr>
            </w:pPr>
            <w:r w:rsidRPr="004F38BE">
              <w:rPr>
                <w:b/>
                <w:bCs/>
                <w:color w:val="000000"/>
              </w:rPr>
              <w:t>ApoA-1</w:t>
            </w:r>
          </w:p>
        </w:tc>
        <w:tc>
          <w:tcPr>
            <w:tcW w:w="1308" w:type="dxa"/>
            <w:shd w:val="clear" w:color="auto" w:fill="auto"/>
            <w:noWrap/>
            <w:hideMark/>
          </w:tcPr>
          <w:p w14:paraId="4C3FE429" w14:textId="77777777" w:rsidR="001B336E" w:rsidRPr="004F38BE" w:rsidRDefault="001B336E" w:rsidP="00027658">
            <w:pPr>
              <w:jc w:val="center"/>
              <w:rPr>
                <w:color w:val="000000"/>
              </w:rPr>
            </w:pPr>
            <w:r w:rsidRPr="004F38BE">
              <w:rPr>
                <w:color w:val="000000"/>
              </w:rPr>
              <w:t>2593900 (2101500-3847700)</w:t>
            </w:r>
          </w:p>
        </w:tc>
        <w:tc>
          <w:tcPr>
            <w:tcW w:w="1276" w:type="dxa"/>
            <w:shd w:val="clear" w:color="auto" w:fill="auto"/>
            <w:noWrap/>
            <w:hideMark/>
          </w:tcPr>
          <w:p w14:paraId="4A20E3F7" w14:textId="77777777" w:rsidR="001B336E" w:rsidRPr="004F38BE" w:rsidRDefault="001B336E" w:rsidP="00027658">
            <w:pPr>
              <w:jc w:val="center"/>
              <w:rPr>
                <w:color w:val="000000"/>
              </w:rPr>
            </w:pPr>
            <w:r w:rsidRPr="004F38BE">
              <w:rPr>
                <w:color w:val="000000"/>
              </w:rPr>
              <w:t>1999800 (1493900-2604300)</w:t>
            </w:r>
          </w:p>
        </w:tc>
        <w:tc>
          <w:tcPr>
            <w:tcW w:w="1134" w:type="dxa"/>
            <w:shd w:val="clear" w:color="auto" w:fill="auto"/>
            <w:hideMark/>
          </w:tcPr>
          <w:p w14:paraId="6AD66A39" w14:textId="77777777" w:rsidR="001B336E" w:rsidRPr="004F38BE" w:rsidRDefault="001B336E" w:rsidP="00027658">
            <w:pPr>
              <w:jc w:val="center"/>
              <w:rPr>
                <w:b/>
                <w:color w:val="000000"/>
              </w:rPr>
            </w:pPr>
            <w:r w:rsidRPr="004F38BE">
              <w:rPr>
                <w:b/>
                <w:color w:val="000000"/>
              </w:rPr>
              <w:t>&lt;0.0001</w:t>
            </w:r>
          </w:p>
        </w:tc>
        <w:tc>
          <w:tcPr>
            <w:tcW w:w="1559" w:type="dxa"/>
            <w:shd w:val="clear" w:color="auto" w:fill="auto"/>
            <w:hideMark/>
          </w:tcPr>
          <w:p w14:paraId="3EB5F156" w14:textId="77777777" w:rsidR="001B336E" w:rsidRPr="004F38BE" w:rsidRDefault="001B336E" w:rsidP="00027658">
            <w:pPr>
              <w:jc w:val="center"/>
              <w:rPr>
                <w:color w:val="000000"/>
              </w:rPr>
            </w:pPr>
            <w:r w:rsidRPr="004F38BE">
              <w:rPr>
                <w:color w:val="000000"/>
              </w:rPr>
              <w:t>0.69 [0.65-0.73]</w:t>
            </w:r>
          </w:p>
        </w:tc>
        <w:tc>
          <w:tcPr>
            <w:tcW w:w="1276" w:type="dxa"/>
            <w:shd w:val="clear" w:color="auto" w:fill="auto"/>
            <w:hideMark/>
          </w:tcPr>
          <w:p w14:paraId="64F847FB" w14:textId="77777777" w:rsidR="001B336E" w:rsidRPr="004F38BE" w:rsidRDefault="001B336E" w:rsidP="00027658">
            <w:pPr>
              <w:jc w:val="center"/>
              <w:rPr>
                <w:color w:val="000000"/>
              </w:rPr>
            </w:pPr>
            <w:r w:rsidRPr="004F38BE">
              <w:rPr>
                <w:color w:val="000000"/>
              </w:rPr>
              <w:t>&lt; 2.17e+006</w:t>
            </w:r>
          </w:p>
        </w:tc>
        <w:tc>
          <w:tcPr>
            <w:tcW w:w="1408" w:type="dxa"/>
            <w:shd w:val="clear" w:color="auto" w:fill="auto"/>
            <w:noWrap/>
            <w:hideMark/>
          </w:tcPr>
          <w:p w14:paraId="23EE5CED" w14:textId="77777777" w:rsidR="001B336E" w:rsidRPr="004F38BE" w:rsidRDefault="001B336E" w:rsidP="00027658">
            <w:pPr>
              <w:jc w:val="center"/>
              <w:rPr>
                <w:color w:val="000000"/>
              </w:rPr>
            </w:pPr>
            <w:r w:rsidRPr="004F38BE">
              <w:rPr>
                <w:color w:val="000000"/>
              </w:rPr>
              <w:t>0.57 [0.50-0.64]</w:t>
            </w:r>
          </w:p>
        </w:tc>
        <w:tc>
          <w:tcPr>
            <w:tcW w:w="1277" w:type="dxa"/>
            <w:shd w:val="clear" w:color="auto" w:fill="auto"/>
            <w:hideMark/>
          </w:tcPr>
          <w:p w14:paraId="0A6FA36D" w14:textId="77777777" w:rsidR="001B336E" w:rsidRPr="004F38BE" w:rsidRDefault="001B336E" w:rsidP="00027658">
            <w:pPr>
              <w:jc w:val="center"/>
              <w:rPr>
                <w:color w:val="000000"/>
              </w:rPr>
            </w:pPr>
            <w:r w:rsidRPr="004F38BE">
              <w:rPr>
                <w:color w:val="000000"/>
              </w:rPr>
              <w:t>0.72 [0.68-0.76]</w:t>
            </w:r>
          </w:p>
        </w:tc>
      </w:tr>
      <w:tr w:rsidR="001B336E" w:rsidRPr="004F38BE" w14:paraId="1A551428" w14:textId="77777777" w:rsidTr="00027658">
        <w:trPr>
          <w:gridAfter w:val="1"/>
          <w:wAfter w:w="113" w:type="dxa"/>
          <w:trHeight w:val="300"/>
          <w:jc w:val="center"/>
        </w:trPr>
        <w:tc>
          <w:tcPr>
            <w:tcW w:w="1111" w:type="dxa"/>
            <w:tcBorders>
              <w:left w:val="nil"/>
              <w:right w:val="nil"/>
            </w:tcBorders>
            <w:shd w:val="clear" w:color="auto" w:fill="auto"/>
            <w:noWrap/>
            <w:hideMark/>
          </w:tcPr>
          <w:p w14:paraId="005FAE84" w14:textId="77777777" w:rsidR="001B336E" w:rsidRPr="004F38BE" w:rsidRDefault="001B336E" w:rsidP="00027658">
            <w:pPr>
              <w:rPr>
                <w:b/>
                <w:bCs/>
                <w:color w:val="000000"/>
              </w:rPr>
            </w:pPr>
            <w:r w:rsidRPr="004F38BE">
              <w:rPr>
                <w:b/>
                <w:bCs/>
                <w:color w:val="000000"/>
              </w:rPr>
              <w:t>Apo C-III</w:t>
            </w:r>
          </w:p>
        </w:tc>
        <w:tc>
          <w:tcPr>
            <w:tcW w:w="1308" w:type="dxa"/>
            <w:tcBorders>
              <w:left w:val="nil"/>
              <w:right w:val="nil"/>
            </w:tcBorders>
            <w:shd w:val="clear" w:color="auto" w:fill="auto"/>
            <w:noWrap/>
            <w:hideMark/>
          </w:tcPr>
          <w:p w14:paraId="71B6A523" w14:textId="77777777" w:rsidR="001B336E" w:rsidRPr="004F38BE" w:rsidRDefault="001B336E" w:rsidP="00027658">
            <w:pPr>
              <w:jc w:val="center"/>
              <w:rPr>
                <w:color w:val="000000"/>
              </w:rPr>
            </w:pPr>
            <w:r w:rsidRPr="004F38BE">
              <w:rPr>
                <w:color w:val="000000"/>
              </w:rPr>
              <w:t>261321 (178708-418395)</w:t>
            </w:r>
          </w:p>
        </w:tc>
        <w:tc>
          <w:tcPr>
            <w:tcW w:w="1276" w:type="dxa"/>
            <w:tcBorders>
              <w:left w:val="nil"/>
              <w:right w:val="nil"/>
            </w:tcBorders>
            <w:shd w:val="clear" w:color="auto" w:fill="auto"/>
            <w:noWrap/>
            <w:hideMark/>
          </w:tcPr>
          <w:p w14:paraId="06EA2FD9" w14:textId="77777777" w:rsidR="001B336E" w:rsidRPr="004F38BE" w:rsidRDefault="001B336E" w:rsidP="00027658">
            <w:pPr>
              <w:jc w:val="center"/>
              <w:rPr>
                <w:color w:val="000000"/>
              </w:rPr>
            </w:pPr>
            <w:r w:rsidRPr="004F38BE">
              <w:rPr>
                <w:color w:val="000000"/>
              </w:rPr>
              <w:t>180967 (115790-297779)</w:t>
            </w:r>
          </w:p>
        </w:tc>
        <w:tc>
          <w:tcPr>
            <w:tcW w:w="1134" w:type="dxa"/>
            <w:tcBorders>
              <w:left w:val="nil"/>
              <w:right w:val="nil"/>
            </w:tcBorders>
            <w:shd w:val="clear" w:color="auto" w:fill="auto"/>
            <w:hideMark/>
          </w:tcPr>
          <w:p w14:paraId="613A4A8F" w14:textId="77777777" w:rsidR="001B336E" w:rsidRPr="004F38BE" w:rsidRDefault="001B336E" w:rsidP="00027658">
            <w:pPr>
              <w:jc w:val="center"/>
              <w:rPr>
                <w:b/>
                <w:color w:val="000000"/>
              </w:rPr>
            </w:pPr>
            <w:r w:rsidRPr="004F38BE">
              <w:rPr>
                <w:b/>
                <w:color w:val="000000"/>
              </w:rPr>
              <w:t>&lt;0.0001</w:t>
            </w:r>
          </w:p>
        </w:tc>
        <w:tc>
          <w:tcPr>
            <w:tcW w:w="1559" w:type="dxa"/>
            <w:tcBorders>
              <w:left w:val="nil"/>
              <w:right w:val="nil"/>
            </w:tcBorders>
            <w:shd w:val="clear" w:color="auto" w:fill="auto"/>
            <w:hideMark/>
          </w:tcPr>
          <w:p w14:paraId="144B28AB" w14:textId="77777777" w:rsidR="001B336E" w:rsidRPr="004F38BE" w:rsidRDefault="001B336E" w:rsidP="00027658">
            <w:pPr>
              <w:jc w:val="center"/>
              <w:rPr>
                <w:color w:val="000000"/>
              </w:rPr>
            </w:pPr>
            <w:r w:rsidRPr="004F38BE">
              <w:rPr>
                <w:color w:val="000000"/>
              </w:rPr>
              <w:t>0.65 [0.61-0.70]</w:t>
            </w:r>
          </w:p>
        </w:tc>
        <w:tc>
          <w:tcPr>
            <w:tcW w:w="1276" w:type="dxa"/>
            <w:tcBorders>
              <w:left w:val="nil"/>
              <w:right w:val="nil"/>
            </w:tcBorders>
            <w:shd w:val="clear" w:color="auto" w:fill="auto"/>
            <w:hideMark/>
          </w:tcPr>
          <w:p w14:paraId="2263DDFF" w14:textId="77777777" w:rsidR="001B336E" w:rsidRPr="004F38BE" w:rsidRDefault="001B336E" w:rsidP="00027658">
            <w:pPr>
              <w:jc w:val="center"/>
              <w:rPr>
                <w:color w:val="000000"/>
              </w:rPr>
            </w:pPr>
            <w:r w:rsidRPr="004F38BE">
              <w:rPr>
                <w:color w:val="000000"/>
              </w:rPr>
              <w:t>&lt; 265480</w:t>
            </w:r>
          </w:p>
        </w:tc>
        <w:tc>
          <w:tcPr>
            <w:tcW w:w="1408" w:type="dxa"/>
            <w:tcBorders>
              <w:left w:val="nil"/>
              <w:right w:val="nil"/>
            </w:tcBorders>
            <w:shd w:val="clear" w:color="auto" w:fill="auto"/>
            <w:noWrap/>
            <w:hideMark/>
          </w:tcPr>
          <w:p w14:paraId="6C484A1D" w14:textId="77777777" w:rsidR="001B336E" w:rsidRPr="004F38BE" w:rsidRDefault="001B336E" w:rsidP="00027658">
            <w:pPr>
              <w:jc w:val="center"/>
              <w:rPr>
                <w:color w:val="000000"/>
              </w:rPr>
            </w:pPr>
            <w:r w:rsidRPr="004F38BE">
              <w:rPr>
                <w:color w:val="000000"/>
              </w:rPr>
              <w:t>0.70  [0.63 -0.76]</w:t>
            </w:r>
          </w:p>
        </w:tc>
        <w:tc>
          <w:tcPr>
            <w:tcW w:w="1277" w:type="dxa"/>
            <w:tcBorders>
              <w:left w:val="nil"/>
              <w:right w:val="nil"/>
            </w:tcBorders>
            <w:shd w:val="clear" w:color="auto" w:fill="auto"/>
            <w:hideMark/>
          </w:tcPr>
          <w:p w14:paraId="2C502981" w14:textId="77777777" w:rsidR="001B336E" w:rsidRPr="004F38BE" w:rsidRDefault="001B336E" w:rsidP="00027658">
            <w:pPr>
              <w:jc w:val="center"/>
              <w:rPr>
                <w:color w:val="000000"/>
              </w:rPr>
            </w:pPr>
            <w:r w:rsidRPr="004F38BE">
              <w:rPr>
                <w:color w:val="000000"/>
              </w:rPr>
              <w:t>0.50 [0.45-0.55]</w:t>
            </w:r>
          </w:p>
        </w:tc>
      </w:tr>
      <w:tr w:rsidR="001B336E" w:rsidRPr="004F38BE" w14:paraId="1BB3F697" w14:textId="77777777" w:rsidTr="00027658">
        <w:trPr>
          <w:gridAfter w:val="1"/>
          <w:wAfter w:w="113" w:type="dxa"/>
          <w:trHeight w:val="300"/>
          <w:jc w:val="center"/>
        </w:trPr>
        <w:tc>
          <w:tcPr>
            <w:tcW w:w="1111" w:type="dxa"/>
            <w:shd w:val="clear" w:color="auto" w:fill="auto"/>
            <w:noWrap/>
            <w:hideMark/>
          </w:tcPr>
          <w:p w14:paraId="4CF2F149" w14:textId="77777777" w:rsidR="001B336E" w:rsidRPr="004F38BE" w:rsidRDefault="001B336E" w:rsidP="00027658">
            <w:pPr>
              <w:rPr>
                <w:b/>
                <w:bCs/>
                <w:color w:val="000000"/>
              </w:rPr>
            </w:pPr>
            <w:r w:rsidRPr="004F38BE">
              <w:rPr>
                <w:b/>
                <w:bCs/>
                <w:color w:val="000000"/>
              </w:rPr>
              <w:t>Transthyretin</w:t>
            </w:r>
          </w:p>
        </w:tc>
        <w:tc>
          <w:tcPr>
            <w:tcW w:w="1308" w:type="dxa"/>
            <w:shd w:val="clear" w:color="auto" w:fill="auto"/>
            <w:noWrap/>
            <w:hideMark/>
          </w:tcPr>
          <w:p w14:paraId="1F1F648C" w14:textId="77777777" w:rsidR="001B336E" w:rsidRPr="004F38BE" w:rsidRDefault="001B336E" w:rsidP="00027658">
            <w:pPr>
              <w:jc w:val="center"/>
              <w:rPr>
                <w:color w:val="000000"/>
              </w:rPr>
            </w:pPr>
            <w:r w:rsidRPr="004F38BE">
              <w:rPr>
                <w:color w:val="000000"/>
              </w:rPr>
              <w:t>411528 (261059-591773)</w:t>
            </w:r>
          </w:p>
        </w:tc>
        <w:tc>
          <w:tcPr>
            <w:tcW w:w="1276" w:type="dxa"/>
            <w:shd w:val="clear" w:color="auto" w:fill="auto"/>
            <w:noWrap/>
            <w:hideMark/>
          </w:tcPr>
          <w:p w14:paraId="12611F56" w14:textId="77777777" w:rsidR="001B336E" w:rsidRPr="004F38BE" w:rsidRDefault="001B336E" w:rsidP="00027658">
            <w:pPr>
              <w:jc w:val="center"/>
              <w:rPr>
                <w:color w:val="000000"/>
              </w:rPr>
            </w:pPr>
            <w:r w:rsidRPr="004F38BE">
              <w:rPr>
                <w:color w:val="000000"/>
              </w:rPr>
              <w:t>184107 (107526-291488)</w:t>
            </w:r>
          </w:p>
        </w:tc>
        <w:tc>
          <w:tcPr>
            <w:tcW w:w="1134" w:type="dxa"/>
            <w:shd w:val="clear" w:color="auto" w:fill="auto"/>
            <w:hideMark/>
          </w:tcPr>
          <w:p w14:paraId="32FBDCDE" w14:textId="77777777" w:rsidR="001B336E" w:rsidRPr="004F38BE" w:rsidRDefault="001B336E" w:rsidP="00027658">
            <w:pPr>
              <w:jc w:val="center"/>
              <w:rPr>
                <w:b/>
                <w:color w:val="000000"/>
              </w:rPr>
            </w:pPr>
            <w:r w:rsidRPr="004F38BE">
              <w:rPr>
                <w:b/>
                <w:color w:val="000000"/>
              </w:rPr>
              <w:t>&lt;0.0001</w:t>
            </w:r>
          </w:p>
        </w:tc>
        <w:tc>
          <w:tcPr>
            <w:tcW w:w="1559" w:type="dxa"/>
            <w:shd w:val="clear" w:color="auto" w:fill="auto"/>
            <w:hideMark/>
          </w:tcPr>
          <w:p w14:paraId="0354F417" w14:textId="77777777" w:rsidR="001B336E" w:rsidRPr="004F38BE" w:rsidRDefault="001B336E" w:rsidP="00027658">
            <w:pPr>
              <w:jc w:val="center"/>
              <w:rPr>
                <w:color w:val="000000"/>
              </w:rPr>
            </w:pPr>
            <w:r w:rsidRPr="004F38BE">
              <w:rPr>
                <w:color w:val="000000"/>
              </w:rPr>
              <w:t>0.78 [0.74-0.82]</w:t>
            </w:r>
          </w:p>
        </w:tc>
        <w:tc>
          <w:tcPr>
            <w:tcW w:w="1276" w:type="dxa"/>
            <w:shd w:val="clear" w:color="auto" w:fill="auto"/>
            <w:hideMark/>
          </w:tcPr>
          <w:p w14:paraId="6D24B5BF" w14:textId="77777777" w:rsidR="001B336E" w:rsidRPr="004F38BE" w:rsidRDefault="001B336E" w:rsidP="00027658">
            <w:pPr>
              <w:jc w:val="center"/>
              <w:rPr>
                <w:color w:val="000000"/>
              </w:rPr>
            </w:pPr>
            <w:r w:rsidRPr="004F38BE">
              <w:rPr>
                <w:color w:val="000000"/>
              </w:rPr>
              <w:t>&lt; 280585</w:t>
            </w:r>
          </w:p>
        </w:tc>
        <w:tc>
          <w:tcPr>
            <w:tcW w:w="1408" w:type="dxa"/>
            <w:shd w:val="clear" w:color="auto" w:fill="auto"/>
            <w:noWrap/>
            <w:hideMark/>
          </w:tcPr>
          <w:p w14:paraId="345D64B7" w14:textId="77777777" w:rsidR="001B336E" w:rsidRPr="004F38BE" w:rsidRDefault="001B336E" w:rsidP="00027658">
            <w:pPr>
              <w:jc w:val="center"/>
              <w:rPr>
                <w:color w:val="000000"/>
              </w:rPr>
            </w:pPr>
            <w:r w:rsidRPr="004F38BE">
              <w:rPr>
                <w:color w:val="000000"/>
              </w:rPr>
              <w:t>0.73  [0.66-0.79]</w:t>
            </w:r>
          </w:p>
        </w:tc>
        <w:tc>
          <w:tcPr>
            <w:tcW w:w="1277" w:type="dxa"/>
            <w:shd w:val="clear" w:color="auto" w:fill="auto"/>
            <w:hideMark/>
          </w:tcPr>
          <w:p w14:paraId="7DED827D" w14:textId="3E73D854" w:rsidR="001B336E" w:rsidRPr="004F38BE" w:rsidRDefault="001B336E" w:rsidP="00027658">
            <w:pPr>
              <w:jc w:val="center"/>
              <w:rPr>
                <w:color w:val="000000"/>
              </w:rPr>
            </w:pPr>
            <w:r w:rsidRPr="004F38BE">
              <w:rPr>
                <w:color w:val="000000"/>
              </w:rPr>
              <w:t>0</w:t>
            </w:r>
            <w:r w:rsidR="00AA18BE">
              <w:rPr>
                <w:color w:val="000000"/>
              </w:rPr>
              <w:t>.</w:t>
            </w:r>
            <w:r w:rsidRPr="004F38BE">
              <w:rPr>
                <w:color w:val="000000"/>
              </w:rPr>
              <w:t>73 [0.68-0.76]</w:t>
            </w:r>
          </w:p>
        </w:tc>
      </w:tr>
      <w:tr w:rsidR="001B336E" w:rsidRPr="004F38BE" w14:paraId="197ADC85" w14:textId="77777777" w:rsidTr="00027658">
        <w:trPr>
          <w:gridAfter w:val="1"/>
          <w:wAfter w:w="113" w:type="dxa"/>
          <w:trHeight w:val="300"/>
          <w:jc w:val="center"/>
        </w:trPr>
        <w:tc>
          <w:tcPr>
            <w:tcW w:w="1111" w:type="dxa"/>
            <w:tcBorders>
              <w:left w:val="nil"/>
              <w:right w:val="nil"/>
            </w:tcBorders>
            <w:shd w:val="clear" w:color="auto" w:fill="auto"/>
            <w:noWrap/>
            <w:hideMark/>
          </w:tcPr>
          <w:p w14:paraId="6207B806" w14:textId="77777777" w:rsidR="001B336E" w:rsidRPr="004F38BE" w:rsidRDefault="001B336E" w:rsidP="00027658">
            <w:pPr>
              <w:rPr>
                <w:b/>
                <w:bCs/>
                <w:color w:val="000000"/>
              </w:rPr>
            </w:pPr>
            <w:r w:rsidRPr="004F38BE">
              <w:rPr>
                <w:b/>
                <w:bCs/>
                <w:color w:val="000000"/>
              </w:rPr>
              <w:t>CFH</w:t>
            </w:r>
          </w:p>
        </w:tc>
        <w:tc>
          <w:tcPr>
            <w:tcW w:w="1308" w:type="dxa"/>
            <w:tcBorders>
              <w:left w:val="nil"/>
              <w:right w:val="nil"/>
            </w:tcBorders>
            <w:shd w:val="clear" w:color="auto" w:fill="auto"/>
            <w:noWrap/>
            <w:hideMark/>
          </w:tcPr>
          <w:p w14:paraId="5D2BAEB8" w14:textId="77777777" w:rsidR="001B336E" w:rsidRPr="004F38BE" w:rsidRDefault="001B336E" w:rsidP="00027658">
            <w:pPr>
              <w:jc w:val="center"/>
              <w:rPr>
                <w:color w:val="000000"/>
              </w:rPr>
            </w:pPr>
            <w:r w:rsidRPr="004F38BE">
              <w:rPr>
                <w:color w:val="000000"/>
              </w:rPr>
              <w:t>663345 (515681-929872)</w:t>
            </w:r>
          </w:p>
        </w:tc>
        <w:tc>
          <w:tcPr>
            <w:tcW w:w="1276" w:type="dxa"/>
            <w:tcBorders>
              <w:left w:val="nil"/>
              <w:right w:val="nil"/>
            </w:tcBorders>
            <w:shd w:val="clear" w:color="auto" w:fill="auto"/>
            <w:noWrap/>
            <w:hideMark/>
          </w:tcPr>
          <w:p w14:paraId="6FDAC24D" w14:textId="77777777" w:rsidR="001B336E" w:rsidRPr="004F38BE" w:rsidRDefault="001B336E" w:rsidP="00027658">
            <w:pPr>
              <w:jc w:val="center"/>
              <w:rPr>
                <w:color w:val="000000"/>
              </w:rPr>
            </w:pPr>
            <w:r w:rsidRPr="004F38BE">
              <w:rPr>
                <w:color w:val="000000"/>
              </w:rPr>
              <w:t>760622 (599474-1008200)</w:t>
            </w:r>
          </w:p>
        </w:tc>
        <w:tc>
          <w:tcPr>
            <w:tcW w:w="1134" w:type="dxa"/>
            <w:tcBorders>
              <w:left w:val="nil"/>
              <w:right w:val="nil"/>
            </w:tcBorders>
            <w:shd w:val="clear" w:color="auto" w:fill="auto"/>
            <w:hideMark/>
          </w:tcPr>
          <w:p w14:paraId="365CEEAC" w14:textId="77777777" w:rsidR="001B336E" w:rsidRPr="004F38BE" w:rsidRDefault="001B336E" w:rsidP="00027658">
            <w:pPr>
              <w:jc w:val="center"/>
              <w:rPr>
                <w:b/>
                <w:color w:val="000000"/>
              </w:rPr>
            </w:pPr>
            <w:r w:rsidRPr="004F38BE">
              <w:rPr>
                <w:b/>
                <w:color w:val="000000"/>
              </w:rPr>
              <w:t>0.0013</w:t>
            </w:r>
          </w:p>
        </w:tc>
        <w:tc>
          <w:tcPr>
            <w:tcW w:w="1559" w:type="dxa"/>
            <w:tcBorders>
              <w:left w:val="nil"/>
              <w:right w:val="nil"/>
            </w:tcBorders>
            <w:shd w:val="clear" w:color="auto" w:fill="auto"/>
            <w:hideMark/>
          </w:tcPr>
          <w:p w14:paraId="263D0923" w14:textId="77777777" w:rsidR="001B336E" w:rsidRPr="004F38BE" w:rsidRDefault="001B336E" w:rsidP="00027658">
            <w:pPr>
              <w:jc w:val="center"/>
              <w:rPr>
                <w:color w:val="000000"/>
              </w:rPr>
            </w:pPr>
            <w:r w:rsidRPr="004F38BE">
              <w:rPr>
                <w:color w:val="000000"/>
              </w:rPr>
              <w:t>0.58  [0.53-0.62]</w:t>
            </w:r>
          </w:p>
        </w:tc>
        <w:tc>
          <w:tcPr>
            <w:tcW w:w="1276" w:type="dxa"/>
            <w:tcBorders>
              <w:left w:val="nil"/>
              <w:right w:val="nil"/>
            </w:tcBorders>
            <w:shd w:val="clear" w:color="auto" w:fill="auto"/>
            <w:hideMark/>
          </w:tcPr>
          <w:p w14:paraId="0E945697" w14:textId="77777777" w:rsidR="001B336E" w:rsidRPr="004F38BE" w:rsidRDefault="001B336E" w:rsidP="00027658">
            <w:pPr>
              <w:jc w:val="center"/>
              <w:rPr>
                <w:color w:val="000000"/>
              </w:rPr>
            </w:pPr>
            <w:r w:rsidRPr="004F38BE">
              <w:rPr>
                <w:color w:val="000000"/>
              </w:rPr>
              <w:t>&gt; 683022</w:t>
            </w:r>
          </w:p>
        </w:tc>
        <w:tc>
          <w:tcPr>
            <w:tcW w:w="1408" w:type="dxa"/>
            <w:tcBorders>
              <w:left w:val="nil"/>
              <w:right w:val="nil"/>
            </w:tcBorders>
            <w:shd w:val="clear" w:color="auto" w:fill="auto"/>
            <w:noWrap/>
            <w:hideMark/>
          </w:tcPr>
          <w:p w14:paraId="6BCA8E48" w14:textId="77777777" w:rsidR="001B336E" w:rsidRPr="004F38BE" w:rsidRDefault="001B336E" w:rsidP="00027658">
            <w:pPr>
              <w:jc w:val="center"/>
              <w:rPr>
                <w:color w:val="000000"/>
              </w:rPr>
            </w:pPr>
            <w:r w:rsidRPr="004F38BE">
              <w:rPr>
                <w:color w:val="000000"/>
              </w:rPr>
              <w:t>0.61 [0.54 -0.68]</w:t>
            </w:r>
          </w:p>
        </w:tc>
        <w:tc>
          <w:tcPr>
            <w:tcW w:w="1277" w:type="dxa"/>
            <w:tcBorders>
              <w:left w:val="nil"/>
              <w:right w:val="nil"/>
            </w:tcBorders>
            <w:shd w:val="clear" w:color="auto" w:fill="auto"/>
            <w:hideMark/>
          </w:tcPr>
          <w:p w14:paraId="54C15F89" w14:textId="7D3EE67A" w:rsidR="001B336E" w:rsidRPr="004F38BE" w:rsidRDefault="001B336E" w:rsidP="00027658">
            <w:pPr>
              <w:jc w:val="center"/>
              <w:rPr>
                <w:color w:val="000000"/>
              </w:rPr>
            </w:pPr>
            <w:r w:rsidRPr="004F38BE">
              <w:rPr>
                <w:color w:val="000000"/>
              </w:rPr>
              <w:t>0</w:t>
            </w:r>
            <w:r w:rsidR="00AA18BE">
              <w:rPr>
                <w:color w:val="000000"/>
              </w:rPr>
              <w:t>.</w:t>
            </w:r>
            <w:r w:rsidRPr="004F38BE">
              <w:rPr>
                <w:color w:val="000000"/>
              </w:rPr>
              <w:t>53 [0.49 -0.58]</w:t>
            </w:r>
          </w:p>
        </w:tc>
      </w:tr>
      <w:tr w:rsidR="001B336E" w:rsidRPr="004F38BE" w14:paraId="79D65193" w14:textId="77777777" w:rsidTr="00027658">
        <w:trPr>
          <w:gridAfter w:val="1"/>
          <w:wAfter w:w="113" w:type="dxa"/>
          <w:trHeight w:val="300"/>
          <w:jc w:val="center"/>
        </w:trPr>
        <w:tc>
          <w:tcPr>
            <w:tcW w:w="1111" w:type="dxa"/>
            <w:shd w:val="clear" w:color="auto" w:fill="auto"/>
            <w:noWrap/>
            <w:hideMark/>
          </w:tcPr>
          <w:p w14:paraId="196A9450" w14:textId="77777777" w:rsidR="001B336E" w:rsidRPr="004F38BE" w:rsidRDefault="001B336E" w:rsidP="00027658">
            <w:pPr>
              <w:rPr>
                <w:b/>
                <w:bCs/>
                <w:color w:val="000000"/>
              </w:rPr>
            </w:pPr>
            <w:r w:rsidRPr="004F38BE">
              <w:rPr>
                <w:b/>
                <w:bCs/>
                <w:color w:val="000000"/>
              </w:rPr>
              <w:t>A2M</w:t>
            </w:r>
          </w:p>
        </w:tc>
        <w:tc>
          <w:tcPr>
            <w:tcW w:w="1308" w:type="dxa"/>
            <w:shd w:val="clear" w:color="auto" w:fill="auto"/>
            <w:noWrap/>
            <w:hideMark/>
          </w:tcPr>
          <w:p w14:paraId="28C88B2B" w14:textId="77777777" w:rsidR="001B336E" w:rsidRPr="004F38BE" w:rsidRDefault="001B336E" w:rsidP="00027658">
            <w:pPr>
              <w:jc w:val="center"/>
              <w:rPr>
                <w:color w:val="000000"/>
              </w:rPr>
            </w:pPr>
            <w:r w:rsidRPr="004F38BE">
              <w:rPr>
                <w:color w:val="000000"/>
              </w:rPr>
              <w:t>1770000 (712956-3273400)</w:t>
            </w:r>
          </w:p>
        </w:tc>
        <w:tc>
          <w:tcPr>
            <w:tcW w:w="1276" w:type="dxa"/>
            <w:shd w:val="clear" w:color="auto" w:fill="auto"/>
            <w:noWrap/>
            <w:hideMark/>
          </w:tcPr>
          <w:p w14:paraId="308FBCC0" w14:textId="77777777" w:rsidR="001B336E" w:rsidRPr="004F38BE" w:rsidRDefault="001B336E" w:rsidP="00027658">
            <w:pPr>
              <w:jc w:val="center"/>
              <w:rPr>
                <w:color w:val="000000"/>
              </w:rPr>
            </w:pPr>
            <w:r w:rsidRPr="004F38BE">
              <w:rPr>
                <w:color w:val="000000"/>
              </w:rPr>
              <w:t>1380700 (501530-3284700)</w:t>
            </w:r>
          </w:p>
        </w:tc>
        <w:tc>
          <w:tcPr>
            <w:tcW w:w="1134" w:type="dxa"/>
            <w:shd w:val="clear" w:color="auto" w:fill="auto"/>
            <w:hideMark/>
          </w:tcPr>
          <w:p w14:paraId="1548DA35" w14:textId="77777777" w:rsidR="001B336E" w:rsidRPr="004F38BE" w:rsidRDefault="001B336E" w:rsidP="00027658">
            <w:pPr>
              <w:jc w:val="center"/>
              <w:rPr>
                <w:color w:val="000000"/>
              </w:rPr>
            </w:pPr>
            <w:r w:rsidRPr="004F38BE">
              <w:rPr>
                <w:color w:val="000000"/>
              </w:rPr>
              <w:t>0.141</w:t>
            </w:r>
          </w:p>
        </w:tc>
        <w:tc>
          <w:tcPr>
            <w:tcW w:w="1559" w:type="dxa"/>
            <w:shd w:val="clear" w:color="auto" w:fill="auto"/>
            <w:hideMark/>
          </w:tcPr>
          <w:p w14:paraId="26E7EF88" w14:textId="77777777" w:rsidR="001B336E" w:rsidRPr="004F38BE" w:rsidRDefault="001B336E" w:rsidP="00027658">
            <w:pPr>
              <w:jc w:val="center"/>
              <w:rPr>
                <w:color w:val="000000"/>
              </w:rPr>
            </w:pPr>
            <w:r w:rsidRPr="004F38BE">
              <w:rPr>
                <w:color w:val="000000"/>
              </w:rPr>
              <w:t>0.54 [0.49-0.58]</w:t>
            </w:r>
          </w:p>
        </w:tc>
        <w:tc>
          <w:tcPr>
            <w:tcW w:w="1276" w:type="dxa"/>
            <w:shd w:val="clear" w:color="auto" w:fill="auto"/>
            <w:hideMark/>
          </w:tcPr>
          <w:p w14:paraId="2ADD0ACD" w14:textId="77777777" w:rsidR="001B336E" w:rsidRPr="004F38BE" w:rsidRDefault="001B336E" w:rsidP="00027658">
            <w:pPr>
              <w:jc w:val="center"/>
              <w:rPr>
                <w:color w:val="000000"/>
              </w:rPr>
            </w:pPr>
            <w:r w:rsidRPr="004F38BE">
              <w:rPr>
                <w:color w:val="000000"/>
              </w:rPr>
              <w:t>&lt; 1.26e+006</w:t>
            </w:r>
          </w:p>
        </w:tc>
        <w:tc>
          <w:tcPr>
            <w:tcW w:w="1408" w:type="dxa"/>
            <w:shd w:val="clear" w:color="auto" w:fill="auto"/>
            <w:noWrap/>
            <w:hideMark/>
          </w:tcPr>
          <w:p w14:paraId="7CF41E81" w14:textId="77777777" w:rsidR="001B336E" w:rsidRPr="004F38BE" w:rsidRDefault="001B336E" w:rsidP="00027658">
            <w:pPr>
              <w:jc w:val="center"/>
              <w:rPr>
                <w:color w:val="000000"/>
              </w:rPr>
            </w:pPr>
            <w:r w:rsidRPr="004F38BE">
              <w:rPr>
                <w:color w:val="000000"/>
              </w:rPr>
              <w:t>0.48 [0.41-0.55]</w:t>
            </w:r>
          </w:p>
        </w:tc>
        <w:tc>
          <w:tcPr>
            <w:tcW w:w="1277" w:type="dxa"/>
            <w:shd w:val="clear" w:color="auto" w:fill="auto"/>
            <w:hideMark/>
          </w:tcPr>
          <w:p w14:paraId="3C43385E" w14:textId="77777777" w:rsidR="001B336E" w:rsidRPr="004F38BE" w:rsidRDefault="001B336E" w:rsidP="00027658">
            <w:pPr>
              <w:jc w:val="center"/>
              <w:rPr>
                <w:color w:val="000000"/>
              </w:rPr>
            </w:pPr>
            <w:r w:rsidRPr="004F38BE">
              <w:rPr>
                <w:color w:val="000000"/>
              </w:rPr>
              <w:t>0.61 [0.57- 0.66]</w:t>
            </w:r>
          </w:p>
        </w:tc>
      </w:tr>
      <w:tr w:rsidR="001B336E" w:rsidRPr="004F38BE" w14:paraId="6C8FA717" w14:textId="77777777" w:rsidTr="00027658">
        <w:trPr>
          <w:gridAfter w:val="1"/>
          <w:wAfter w:w="113" w:type="dxa"/>
          <w:trHeight w:val="300"/>
          <w:jc w:val="center"/>
        </w:trPr>
        <w:tc>
          <w:tcPr>
            <w:tcW w:w="1111" w:type="dxa"/>
            <w:tcBorders>
              <w:left w:val="nil"/>
              <w:right w:val="nil"/>
            </w:tcBorders>
            <w:shd w:val="clear" w:color="auto" w:fill="auto"/>
            <w:noWrap/>
            <w:hideMark/>
          </w:tcPr>
          <w:p w14:paraId="2E047608" w14:textId="77777777" w:rsidR="001B336E" w:rsidRPr="004F38BE" w:rsidRDefault="001B336E" w:rsidP="00027658">
            <w:pPr>
              <w:rPr>
                <w:b/>
                <w:bCs/>
                <w:color w:val="000000"/>
              </w:rPr>
            </w:pPr>
            <w:proofErr w:type="spellStart"/>
            <w:r w:rsidRPr="004F38BE">
              <w:rPr>
                <w:b/>
                <w:bCs/>
                <w:color w:val="000000"/>
              </w:rPr>
              <w:t>Haptoglobulin</w:t>
            </w:r>
            <w:proofErr w:type="spellEnd"/>
          </w:p>
        </w:tc>
        <w:tc>
          <w:tcPr>
            <w:tcW w:w="1308" w:type="dxa"/>
            <w:tcBorders>
              <w:left w:val="nil"/>
              <w:right w:val="nil"/>
            </w:tcBorders>
            <w:shd w:val="clear" w:color="auto" w:fill="auto"/>
            <w:noWrap/>
            <w:hideMark/>
          </w:tcPr>
          <w:p w14:paraId="7C30CDAB" w14:textId="77777777" w:rsidR="001B336E" w:rsidRPr="004F38BE" w:rsidRDefault="001B336E" w:rsidP="00027658">
            <w:pPr>
              <w:jc w:val="center"/>
              <w:rPr>
                <w:color w:val="000000"/>
              </w:rPr>
            </w:pPr>
            <w:r w:rsidRPr="004F38BE">
              <w:rPr>
                <w:color w:val="000000"/>
              </w:rPr>
              <w:t>955718 (287186-26796000)</w:t>
            </w:r>
          </w:p>
        </w:tc>
        <w:tc>
          <w:tcPr>
            <w:tcW w:w="1276" w:type="dxa"/>
            <w:tcBorders>
              <w:left w:val="nil"/>
              <w:right w:val="nil"/>
            </w:tcBorders>
            <w:shd w:val="clear" w:color="auto" w:fill="auto"/>
            <w:noWrap/>
            <w:hideMark/>
          </w:tcPr>
          <w:p w14:paraId="774F253C" w14:textId="77777777" w:rsidR="001B336E" w:rsidRPr="004F38BE" w:rsidRDefault="001B336E" w:rsidP="00027658">
            <w:pPr>
              <w:jc w:val="center"/>
              <w:rPr>
                <w:color w:val="000000"/>
              </w:rPr>
            </w:pPr>
            <w:r w:rsidRPr="004F38BE">
              <w:rPr>
                <w:color w:val="000000"/>
              </w:rPr>
              <w:t>2774400 (443581-60000000)</w:t>
            </w:r>
          </w:p>
        </w:tc>
        <w:tc>
          <w:tcPr>
            <w:tcW w:w="1134" w:type="dxa"/>
            <w:tcBorders>
              <w:left w:val="nil"/>
              <w:right w:val="nil"/>
            </w:tcBorders>
            <w:shd w:val="clear" w:color="auto" w:fill="auto"/>
            <w:hideMark/>
          </w:tcPr>
          <w:p w14:paraId="3254626A" w14:textId="77777777" w:rsidR="001B336E" w:rsidRPr="004F38BE" w:rsidRDefault="001B336E" w:rsidP="00027658">
            <w:pPr>
              <w:jc w:val="center"/>
              <w:rPr>
                <w:b/>
                <w:color w:val="000000"/>
              </w:rPr>
            </w:pPr>
            <w:r w:rsidRPr="004F38BE">
              <w:rPr>
                <w:b/>
                <w:color w:val="000000"/>
              </w:rPr>
              <w:t>0.0001</w:t>
            </w:r>
          </w:p>
        </w:tc>
        <w:tc>
          <w:tcPr>
            <w:tcW w:w="1559" w:type="dxa"/>
            <w:tcBorders>
              <w:left w:val="nil"/>
              <w:right w:val="nil"/>
            </w:tcBorders>
            <w:shd w:val="clear" w:color="auto" w:fill="auto"/>
            <w:hideMark/>
          </w:tcPr>
          <w:p w14:paraId="6A503A79" w14:textId="77777777" w:rsidR="001B336E" w:rsidRPr="004F38BE" w:rsidRDefault="001B336E" w:rsidP="00027658">
            <w:pPr>
              <w:jc w:val="center"/>
              <w:rPr>
                <w:color w:val="000000"/>
              </w:rPr>
            </w:pPr>
            <w:r w:rsidRPr="004F38BE">
              <w:rPr>
                <w:color w:val="000000"/>
              </w:rPr>
              <w:t>0.62 [0.57-0.66]</w:t>
            </w:r>
          </w:p>
        </w:tc>
        <w:tc>
          <w:tcPr>
            <w:tcW w:w="1276" w:type="dxa"/>
            <w:tcBorders>
              <w:left w:val="nil"/>
              <w:right w:val="nil"/>
            </w:tcBorders>
            <w:shd w:val="clear" w:color="auto" w:fill="auto"/>
            <w:hideMark/>
          </w:tcPr>
          <w:p w14:paraId="22E0161D" w14:textId="77777777" w:rsidR="001B336E" w:rsidRPr="004F38BE" w:rsidRDefault="001B336E" w:rsidP="00027658">
            <w:pPr>
              <w:jc w:val="center"/>
              <w:rPr>
                <w:color w:val="000000"/>
              </w:rPr>
            </w:pPr>
            <w:r w:rsidRPr="004F38BE">
              <w:rPr>
                <w:color w:val="000000"/>
              </w:rPr>
              <w:t>&gt; 6.17e+006</w:t>
            </w:r>
          </w:p>
        </w:tc>
        <w:tc>
          <w:tcPr>
            <w:tcW w:w="1408" w:type="dxa"/>
            <w:tcBorders>
              <w:left w:val="nil"/>
              <w:right w:val="nil"/>
            </w:tcBorders>
            <w:shd w:val="clear" w:color="auto" w:fill="auto"/>
            <w:noWrap/>
            <w:hideMark/>
          </w:tcPr>
          <w:p w14:paraId="09BD2E6E" w14:textId="77777777" w:rsidR="001B336E" w:rsidRPr="004F38BE" w:rsidRDefault="001B336E" w:rsidP="00027658">
            <w:pPr>
              <w:jc w:val="center"/>
              <w:rPr>
                <w:color w:val="000000"/>
              </w:rPr>
            </w:pPr>
            <w:r w:rsidRPr="004F38BE">
              <w:rPr>
                <w:color w:val="000000"/>
              </w:rPr>
              <w:t>0.47 [0.40-0.54]</w:t>
            </w:r>
          </w:p>
        </w:tc>
        <w:tc>
          <w:tcPr>
            <w:tcW w:w="1277" w:type="dxa"/>
            <w:tcBorders>
              <w:left w:val="nil"/>
              <w:right w:val="nil"/>
            </w:tcBorders>
            <w:shd w:val="clear" w:color="auto" w:fill="auto"/>
            <w:hideMark/>
          </w:tcPr>
          <w:p w14:paraId="39AAE7E9" w14:textId="77777777" w:rsidR="001B336E" w:rsidRPr="004F38BE" w:rsidRDefault="001B336E" w:rsidP="00027658">
            <w:pPr>
              <w:jc w:val="center"/>
              <w:rPr>
                <w:color w:val="000000"/>
              </w:rPr>
            </w:pPr>
            <w:r w:rsidRPr="004F38BE">
              <w:rPr>
                <w:color w:val="000000"/>
              </w:rPr>
              <w:t>0.71 [0.67 -0.75]</w:t>
            </w:r>
          </w:p>
        </w:tc>
      </w:tr>
      <w:tr w:rsidR="001B336E" w:rsidRPr="004F38BE" w14:paraId="1808F2DE" w14:textId="77777777" w:rsidTr="00027658">
        <w:trPr>
          <w:gridAfter w:val="1"/>
          <w:wAfter w:w="113" w:type="dxa"/>
          <w:trHeight w:val="300"/>
          <w:jc w:val="center"/>
        </w:trPr>
        <w:tc>
          <w:tcPr>
            <w:tcW w:w="1111" w:type="dxa"/>
            <w:shd w:val="clear" w:color="auto" w:fill="auto"/>
            <w:noWrap/>
            <w:hideMark/>
          </w:tcPr>
          <w:p w14:paraId="5E0A0834" w14:textId="77777777" w:rsidR="001B336E" w:rsidRPr="004F38BE" w:rsidRDefault="001B336E" w:rsidP="00027658">
            <w:pPr>
              <w:rPr>
                <w:b/>
                <w:bCs/>
                <w:color w:val="000000"/>
              </w:rPr>
            </w:pPr>
            <w:r w:rsidRPr="004F38BE">
              <w:rPr>
                <w:b/>
                <w:bCs/>
                <w:color w:val="000000"/>
              </w:rPr>
              <w:t>CRP</w:t>
            </w:r>
          </w:p>
        </w:tc>
        <w:tc>
          <w:tcPr>
            <w:tcW w:w="1308" w:type="dxa"/>
            <w:shd w:val="clear" w:color="auto" w:fill="auto"/>
            <w:noWrap/>
            <w:hideMark/>
          </w:tcPr>
          <w:p w14:paraId="41E98DA1" w14:textId="77777777" w:rsidR="001B336E" w:rsidRPr="004F38BE" w:rsidRDefault="001B336E" w:rsidP="00027658">
            <w:pPr>
              <w:jc w:val="center"/>
              <w:rPr>
                <w:color w:val="000000"/>
              </w:rPr>
            </w:pPr>
            <w:r w:rsidRPr="004F38BE">
              <w:rPr>
                <w:color w:val="000000"/>
              </w:rPr>
              <w:t>1731 (321-9686)</w:t>
            </w:r>
          </w:p>
        </w:tc>
        <w:tc>
          <w:tcPr>
            <w:tcW w:w="1276" w:type="dxa"/>
            <w:shd w:val="clear" w:color="auto" w:fill="auto"/>
            <w:noWrap/>
            <w:hideMark/>
          </w:tcPr>
          <w:p w14:paraId="37EB320E" w14:textId="77777777" w:rsidR="001B336E" w:rsidRPr="004F38BE" w:rsidRDefault="001B336E" w:rsidP="00027658">
            <w:pPr>
              <w:jc w:val="center"/>
              <w:rPr>
                <w:color w:val="000000"/>
              </w:rPr>
            </w:pPr>
            <w:r w:rsidRPr="004F38BE">
              <w:rPr>
                <w:color w:val="000000"/>
              </w:rPr>
              <w:t>59195 (14047-136520)</w:t>
            </w:r>
          </w:p>
        </w:tc>
        <w:tc>
          <w:tcPr>
            <w:tcW w:w="1134" w:type="dxa"/>
            <w:shd w:val="clear" w:color="auto" w:fill="auto"/>
            <w:hideMark/>
          </w:tcPr>
          <w:p w14:paraId="54EC1163" w14:textId="77777777" w:rsidR="001B336E" w:rsidRPr="004F38BE" w:rsidRDefault="001B336E" w:rsidP="00027658">
            <w:pPr>
              <w:jc w:val="center"/>
              <w:rPr>
                <w:b/>
                <w:color w:val="000000"/>
              </w:rPr>
            </w:pPr>
            <w:r w:rsidRPr="004F38BE">
              <w:rPr>
                <w:b/>
                <w:color w:val="000000"/>
              </w:rPr>
              <w:t>&lt;0.0001</w:t>
            </w:r>
          </w:p>
        </w:tc>
        <w:tc>
          <w:tcPr>
            <w:tcW w:w="1559" w:type="dxa"/>
            <w:shd w:val="clear" w:color="auto" w:fill="auto"/>
            <w:hideMark/>
          </w:tcPr>
          <w:p w14:paraId="7F63D5AF" w14:textId="77777777" w:rsidR="001B336E" w:rsidRPr="004F38BE" w:rsidRDefault="001B336E" w:rsidP="00027658">
            <w:pPr>
              <w:jc w:val="center"/>
              <w:rPr>
                <w:color w:val="000000"/>
              </w:rPr>
            </w:pPr>
            <w:r w:rsidRPr="004F38BE">
              <w:rPr>
                <w:color w:val="000000"/>
              </w:rPr>
              <w:t>0.84 [0.81-0.87]</w:t>
            </w:r>
          </w:p>
        </w:tc>
        <w:tc>
          <w:tcPr>
            <w:tcW w:w="1276" w:type="dxa"/>
            <w:shd w:val="clear" w:color="auto" w:fill="auto"/>
            <w:hideMark/>
          </w:tcPr>
          <w:p w14:paraId="340988CB" w14:textId="77777777" w:rsidR="001B336E" w:rsidRPr="004F38BE" w:rsidRDefault="001B336E" w:rsidP="00027658">
            <w:pPr>
              <w:jc w:val="center"/>
              <w:rPr>
                <w:color w:val="000000"/>
              </w:rPr>
            </w:pPr>
            <w:r w:rsidRPr="004F38BE">
              <w:rPr>
                <w:color w:val="000000"/>
              </w:rPr>
              <w:t>&gt; 7251</w:t>
            </w:r>
          </w:p>
        </w:tc>
        <w:tc>
          <w:tcPr>
            <w:tcW w:w="1408" w:type="dxa"/>
            <w:shd w:val="clear" w:color="auto" w:fill="auto"/>
            <w:noWrap/>
            <w:hideMark/>
          </w:tcPr>
          <w:p w14:paraId="6CD1B513" w14:textId="77777777" w:rsidR="001B336E" w:rsidRPr="004F38BE" w:rsidRDefault="001B336E" w:rsidP="00027658">
            <w:pPr>
              <w:jc w:val="center"/>
              <w:rPr>
                <w:color w:val="000000"/>
              </w:rPr>
            </w:pPr>
            <w:r w:rsidRPr="004F38BE">
              <w:rPr>
                <w:color w:val="000000"/>
              </w:rPr>
              <w:t>0.82 [0.76-0.87]</w:t>
            </w:r>
          </w:p>
        </w:tc>
        <w:tc>
          <w:tcPr>
            <w:tcW w:w="1277" w:type="dxa"/>
            <w:shd w:val="clear" w:color="auto" w:fill="auto"/>
            <w:hideMark/>
          </w:tcPr>
          <w:p w14:paraId="441C983B" w14:textId="77777777" w:rsidR="001B336E" w:rsidRPr="004F38BE" w:rsidRDefault="001B336E" w:rsidP="00027658">
            <w:pPr>
              <w:jc w:val="center"/>
              <w:rPr>
                <w:color w:val="000000"/>
              </w:rPr>
            </w:pPr>
            <w:r w:rsidRPr="004F38BE">
              <w:rPr>
                <w:color w:val="000000"/>
              </w:rPr>
              <w:t>0.73 [0.68-0.76]</w:t>
            </w:r>
          </w:p>
        </w:tc>
      </w:tr>
      <w:tr w:rsidR="001B336E" w:rsidRPr="004F38BE" w14:paraId="593CCE3A" w14:textId="77777777" w:rsidTr="00027658">
        <w:trPr>
          <w:gridAfter w:val="1"/>
          <w:wAfter w:w="113" w:type="dxa"/>
          <w:trHeight w:val="300"/>
          <w:jc w:val="center"/>
        </w:trPr>
        <w:tc>
          <w:tcPr>
            <w:tcW w:w="1111" w:type="dxa"/>
            <w:tcBorders>
              <w:left w:val="nil"/>
              <w:right w:val="nil"/>
            </w:tcBorders>
            <w:shd w:val="clear" w:color="auto" w:fill="auto"/>
            <w:noWrap/>
            <w:hideMark/>
          </w:tcPr>
          <w:p w14:paraId="2A59E38D" w14:textId="77777777" w:rsidR="001B336E" w:rsidRPr="004F38BE" w:rsidRDefault="001B336E" w:rsidP="00027658">
            <w:pPr>
              <w:rPr>
                <w:b/>
                <w:bCs/>
                <w:color w:val="000000"/>
              </w:rPr>
            </w:pPr>
            <w:r w:rsidRPr="004F38BE">
              <w:rPr>
                <w:b/>
                <w:bCs/>
                <w:color w:val="000000"/>
              </w:rPr>
              <w:t>SAP</w:t>
            </w:r>
          </w:p>
        </w:tc>
        <w:tc>
          <w:tcPr>
            <w:tcW w:w="1308" w:type="dxa"/>
            <w:tcBorders>
              <w:left w:val="nil"/>
              <w:right w:val="nil"/>
            </w:tcBorders>
            <w:shd w:val="clear" w:color="auto" w:fill="auto"/>
            <w:noWrap/>
            <w:hideMark/>
          </w:tcPr>
          <w:p w14:paraId="557B54D7" w14:textId="77777777" w:rsidR="001B336E" w:rsidRPr="004F38BE" w:rsidRDefault="001B336E" w:rsidP="00027658">
            <w:pPr>
              <w:jc w:val="center"/>
              <w:rPr>
                <w:color w:val="000000"/>
              </w:rPr>
            </w:pPr>
            <w:r w:rsidRPr="004F38BE">
              <w:rPr>
                <w:color w:val="000000"/>
              </w:rPr>
              <w:t>46609 (23028-81115)</w:t>
            </w:r>
          </w:p>
        </w:tc>
        <w:tc>
          <w:tcPr>
            <w:tcW w:w="1276" w:type="dxa"/>
            <w:tcBorders>
              <w:left w:val="nil"/>
              <w:right w:val="nil"/>
            </w:tcBorders>
            <w:shd w:val="clear" w:color="auto" w:fill="auto"/>
            <w:noWrap/>
            <w:hideMark/>
          </w:tcPr>
          <w:p w14:paraId="777293EB" w14:textId="77777777" w:rsidR="001B336E" w:rsidRPr="004F38BE" w:rsidRDefault="001B336E" w:rsidP="00027658">
            <w:pPr>
              <w:jc w:val="center"/>
              <w:rPr>
                <w:color w:val="000000"/>
              </w:rPr>
            </w:pPr>
            <w:r w:rsidRPr="004F38BE">
              <w:rPr>
                <w:color w:val="000000"/>
              </w:rPr>
              <w:t>63664 (20776-129181)</w:t>
            </w:r>
          </w:p>
        </w:tc>
        <w:tc>
          <w:tcPr>
            <w:tcW w:w="1134" w:type="dxa"/>
            <w:tcBorders>
              <w:left w:val="nil"/>
              <w:right w:val="nil"/>
            </w:tcBorders>
            <w:shd w:val="clear" w:color="auto" w:fill="auto"/>
            <w:hideMark/>
          </w:tcPr>
          <w:p w14:paraId="01A19A15" w14:textId="77777777" w:rsidR="001B336E" w:rsidRPr="004F38BE" w:rsidRDefault="001B336E" w:rsidP="00027658">
            <w:pPr>
              <w:jc w:val="center"/>
              <w:rPr>
                <w:b/>
                <w:color w:val="000000"/>
              </w:rPr>
            </w:pPr>
            <w:r w:rsidRPr="004F38BE">
              <w:rPr>
                <w:b/>
                <w:color w:val="000000"/>
              </w:rPr>
              <w:t>0.0011</w:t>
            </w:r>
          </w:p>
        </w:tc>
        <w:tc>
          <w:tcPr>
            <w:tcW w:w="1559" w:type="dxa"/>
            <w:tcBorders>
              <w:left w:val="nil"/>
              <w:right w:val="nil"/>
            </w:tcBorders>
            <w:shd w:val="clear" w:color="auto" w:fill="auto"/>
            <w:hideMark/>
          </w:tcPr>
          <w:p w14:paraId="2FA0C6E9" w14:textId="77777777" w:rsidR="001B336E" w:rsidRPr="004F38BE" w:rsidRDefault="001B336E" w:rsidP="00027658">
            <w:pPr>
              <w:jc w:val="center"/>
              <w:rPr>
                <w:color w:val="000000"/>
              </w:rPr>
            </w:pPr>
            <w:r w:rsidRPr="004F38BE">
              <w:rPr>
                <w:color w:val="000000"/>
              </w:rPr>
              <w:t>0.58 [0.53-0.63]</w:t>
            </w:r>
          </w:p>
        </w:tc>
        <w:tc>
          <w:tcPr>
            <w:tcW w:w="1276" w:type="dxa"/>
            <w:tcBorders>
              <w:left w:val="nil"/>
              <w:right w:val="nil"/>
            </w:tcBorders>
            <w:shd w:val="clear" w:color="auto" w:fill="auto"/>
            <w:hideMark/>
          </w:tcPr>
          <w:p w14:paraId="45FBA3B9" w14:textId="77777777" w:rsidR="001B336E" w:rsidRPr="004F38BE" w:rsidRDefault="001B336E" w:rsidP="00027658">
            <w:pPr>
              <w:jc w:val="center"/>
              <w:rPr>
                <w:color w:val="000000"/>
              </w:rPr>
            </w:pPr>
            <w:r w:rsidRPr="004F38BE">
              <w:rPr>
                <w:color w:val="000000"/>
              </w:rPr>
              <w:t>&gt; 63321</w:t>
            </w:r>
          </w:p>
        </w:tc>
        <w:tc>
          <w:tcPr>
            <w:tcW w:w="1408" w:type="dxa"/>
            <w:tcBorders>
              <w:left w:val="nil"/>
              <w:right w:val="nil"/>
            </w:tcBorders>
            <w:shd w:val="clear" w:color="auto" w:fill="auto"/>
            <w:noWrap/>
            <w:hideMark/>
          </w:tcPr>
          <w:p w14:paraId="61C4D5B2" w14:textId="77777777" w:rsidR="001B336E" w:rsidRPr="004F38BE" w:rsidRDefault="001B336E" w:rsidP="00027658">
            <w:pPr>
              <w:jc w:val="center"/>
              <w:rPr>
                <w:color w:val="000000"/>
              </w:rPr>
            </w:pPr>
            <w:r w:rsidRPr="004F38BE">
              <w:rPr>
                <w:color w:val="000000"/>
              </w:rPr>
              <w:t>0.50 [0.43-0.57]</w:t>
            </w:r>
          </w:p>
        </w:tc>
        <w:tc>
          <w:tcPr>
            <w:tcW w:w="1277" w:type="dxa"/>
            <w:tcBorders>
              <w:left w:val="nil"/>
              <w:right w:val="nil"/>
            </w:tcBorders>
            <w:shd w:val="clear" w:color="auto" w:fill="auto"/>
            <w:hideMark/>
          </w:tcPr>
          <w:p w14:paraId="5746FBF5" w14:textId="77777777" w:rsidR="001B336E" w:rsidRPr="004F38BE" w:rsidRDefault="001B336E" w:rsidP="00027658">
            <w:pPr>
              <w:jc w:val="center"/>
              <w:rPr>
                <w:color w:val="000000"/>
              </w:rPr>
            </w:pPr>
            <w:r w:rsidRPr="004F38BE">
              <w:rPr>
                <w:color w:val="000000"/>
              </w:rPr>
              <w:t>0.67 [0.63-0.71]</w:t>
            </w:r>
          </w:p>
        </w:tc>
      </w:tr>
      <w:tr w:rsidR="001B336E" w:rsidRPr="004F38BE" w14:paraId="6FD19C6C" w14:textId="77777777" w:rsidTr="00027658">
        <w:trPr>
          <w:gridAfter w:val="1"/>
          <w:wAfter w:w="113" w:type="dxa"/>
          <w:trHeight w:val="300"/>
          <w:jc w:val="center"/>
        </w:trPr>
        <w:tc>
          <w:tcPr>
            <w:tcW w:w="1111" w:type="dxa"/>
            <w:shd w:val="clear" w:color="auto" w:fill="auto"/>
            <w:noWrap/>
            <w:hideMark/>
          </w:tcPr>
          <w:p w14:paraId="0CC07A50" w14:textId="77777777" w:rsidR="001B336E" w:rsidRPr="004F38BE" w:rsidRDefault="001B336E" w:rsidP="00027658">
            <w:pPr>
              <w:rPr>
                <w:b/>
                <w:bCs/>
                <w:color w:val="000000"/>
              </w:rPr>
            </w:pPr>
            <w:r w:rsidRPr="004F38BE">
              <w:rPr>
                <w:b/>
                <w:bCs/>
                <w:color w:val="000000"/>
              </w:rPr>
              <w:t>PCT</w:t>
            </w:r>
          </w:p>
        </w:tc>
        <w:tc>
          <w:tcPr>
            <w:tcW w:w="1308" w:type="dxa"/>
            <w:shd w:val="clear" w:color="auto" w:fill="auto"/>
            <w:noWrap/>
            <w:hideMark/>
          </w:tcPr>
          <w:p w14:paraId="4F211079" w14:textId="77777777" w:rsidR="001B336E" w:rsidRPr="004F38BE" w:rsidRDefault="001B336E" w:rsidP="00027658">
            <w:pPr>
              <w:jc w:val="center"/>
              <w:rPr>
                <w:color w:val="000000"/>
              </w:rPr>
            </w:pPr>
            <w:r w:rsidRPr="004F38BE">
              <w:rPr>
                <w:color w:val="000000"/>
              </w:rPr>
              <w:t>4259 (2474-6776)</w:t>
            </w:r>
          </w:p>
        </w:tc>
        <w:tc>
          <w:tcPr>
            <w:tcW w:w="1276" w:type="dxa"/>
            <w:shd w:val="clear" w:color="auto" w:fill="auto"/>
            <w:noWrap/>
            <w:hideMark/>
          </w:tcPr>
          <w:p w14:paraId="4281E1C0" w14:textId="77777777" w:rsidR="001B336E" w:rsidRPr="004F38BE" w:rsidRDefault="001B336E" w:rsidP="00027658">
            <w:pPr>
              <w:jc w:val="center"/>
              <w:rPr>
                <w:color w:val="000000"/>
              </w:rPr>
            </w:pPr>
            <w:r w:rsidRPr="004F38BE">
              <w:rPr>
                <w:color w:val="000000"/>
              </w:rPr>
              <w:t>6807 (4399-10000)</w:t>
            </w:r>
          </w:p>
        </w:tc>
        <w:tc>
          <w:tcPr>
            <w:tcW w:w="1134" w:type="dxa"/>
            <w:shd w:val="clear" w:color="auto" w:fill="auto"/>
            <w:hideMark/>
          </w:tcPr>
          <w:p w14:paraId="0BBE5CE4" w14:textId="77777777" w:rsidR="001B336E" w:rsidRPr="004F38BE" w:rsidRDefault="001B336E" w:rsidP="00027658">
            <w:pPr>
              <w:jc w:val="center"/>
              <w:rPr>
                <w:b/>
                <w:color w:val="000000"/>
              </w:rPr>
            </w:pPr>
            <w:r w:rsidRPr="004F38BE">
              <w:rPr>
                <w:b/>
                <w:color w:val="000000"/>
              </w:rPr>
              <w:t>&lt;0.0001</w:t>
            </w:r>
          </w:p>
        </w:tc>
        <w:tc>
          <w:tcPr>
            <w:tcW w:w="1559" w:type="dxa"/>
            <w:shd w:val="clear" w:color="auto" w:fill="auto"/>
            <w:hideMark/>
          </w:tcPr>
          <w:p w14:paraId="20FE5E03" w14:textId="77777777" w:rsidR="001B336E" w:rsidRPr="004F38BE" w:rsidRDefault="001B336E" w:rsidP="00027658">
            <w:pPr>
              <w:jc w:val="center"/>
              <w:rPr>
                <w:color w:val="000000"/>
              </w:rPr>
            </w:pPr>
            <w:r w:rsidRPr="004F38BE">
              <w:rPr>
                <w:color w:val="000000"/>
              </w:rPr>
              <w:t>0.68 [0.63-0.72]</w:t>
            </w:r>
          </w:p>
        </w:tc>
        <w:tc>
          <w:tcPr>
            <w:tcW w:w="1276" w:type="dxa"/>
            <w:shd w:val="clear" w:color="auto" w:fill="auto"/>
            <w:hideMark/>
          </w:tcPr>
          <w:p w14:paraId="596961FE" w14:textId="77777777" w:rsidR="001B336E" w:rsidRPr="004F38BE" w:rsidRDefault="001B336E" w:rsidP="00027658">
            <w:pPr>
              <w:jc w:val="center"/>
              <w:rPr>
                <w:color w:val="000000"/>
              </w:rPr>
            </w:pPr>
            <w:r w:rsidRPr="004F38BE">
              <w:rPr>
                <w:color w:val="000000"/>
              </w:rPr>
              <w:t>&gt; 5245</w:t>
            </w:r>
          </w:p>
        </w:tc>
        <w:tc>
          <w:tcPr>
            <w:tcW w:w="1408" w:type="dxa"/>
            <w:shd w:val="clear" w:color="auto" w:fill="auto"/>
            <w:noWrap/>
            <w:hideMark/>
          </w:tcPr>
          <w:p w14:paraId="3AE1435C" w14:textId="77777777" w:rsidR="001B336E" w:rsidRPr="004F38BE" w:rsidRDefault="001B336E" w:rsidP="00027658">
            <w:pPr>
              <w:jc w:val="center"/>
              <w:rPr>
                <w:color w:val="000000"/>
              </w:rPr>
            </w:pPr>
            <w:r w:rsidRPr="004F38BE">
              <w:rPr>
                <w:color w:val="000000"/>
              </w:rPr>
              <w:t>0.70 [0.63-0.76]</w:t>
            </w:r>
          </w:p>
        </w:tc>
        <w:tc>
          <w:tcPr>
            <w:tcW w:w="1277" w:type="dxa"/>
            <w:shd w:val="clear" w:color="auto" w:fill="auto"/>
            <w:hideMark/>
          </w:tcPr>
          <w:p w14:paraId="6EE20473" w14:textId="77777777" w:rsidR="001B336E" w:rsidRPr="004F38BE" w:rsidRDefault="001B336E" w:rsidP="00027658">
            <w:pPr>
              <w:jc w:val="center"/>
              <w:rPr>
                <w:color w:val="000000"/>
              </w:rPr>
            </w:pPr>
            <w:r w:rsidRPr="004F38BE">
              <w:rPr>
                <w:color w:val="000000"/>
              </w:rPr>
              <w:t>0.61 [0.56-0.65]</w:t>
            </w:r>
          </w:p>
        </w:tc>
      </w:tr>
      <w:tr w:rsidR="001B336E" w:rsidRPr="004F38BE" w14:paraId="780F13AA" w14:textId="77777777" w:rsidTr="00027658">
        <w:trPr>
          <w:gridAfter w:val="1"/>
          <w:wAfter w:w="113" w:type="dxa"/>
          <w:trHeight w:val="300"/>
          <w:jc w:val="center"/>
        </w:trPr>
        <w:tc>
          <w:tcPr>
            <w:tcW w:w="1111" w:type="dxa"/>
            <w:tcBorders>
              <w:left w:val="nil"/>
              <w:right w:val="nil"/>
            </w:tcBorders>
            <w:shd w:val="clear" w:color="auto" w:fill="auto"/>
            <w:noWrap/>
            <w:hideMark/>
          </w:tcPr>
          <w:p w14:paraId="576AC3C2" w14:textId="77777777" w:rsidR="001B336E" w:rsidRPr="004F38BE" w:rsidRDefault="001B336E" w:rsidP="00027658">
            <w:pPr>
              <w:rPr>
                <w:b/>
                <w:bCs/>
                <w:color w:val="000000"/>
              </w:rPr>
            </w:pPr>
            <w:r w:rsidRPr="004F38BE">
              <w:rPr>
                <w:b/>
                <w:bCs/>
                <w:color w:val="000000"/>
              </w:rPr>
              <w:t>Ferritin</w:t>
            </w:r>
          </w:p>
        </w:tc>
        <w:tc>
          <w:tcPr>
            <w:tcW w:w="1308" w:type="dxa"/>
            <w:tcBorders>
              <w:left w:val="nil"/>
              <w:right w:val="nil"/>
            </w:tcBorders>
            <w:shd w:val="clear" w:color="auto" w:fill="auto"/>
            <w:noWrap/>
            <w:hideMark/>
          </w:tcPr>
          <w:p w14:paraId="35E4D24D" w14:textId="77777777" w:rsidR="001B336E" w:rsidRPr="004F38BE" w:rsidRDefault="001B336E" w:rsidP="00027658">
            <w:pPr>
              <w:jc w:val="center"/>
              <w:rPr>
                <w:color w:val="000000"/>
              </w:rPr>
            </w:pPr>
            <w:r w:rsidRPr="004F38BE">
              <w:rPr>
                <w:color w:val="000000"/>
              </w:rPr>
              <w:t>33894 (13921-83571)</w:t>
            </w:r>
          </w:p>
        </w:tc>
        <w:tc>
          <w:tcPr>
            <w:tcW w:w="1276" w:type="dxa"/>
            <w:tcBorders>
              <w:left w:val="nil"/>
              <w:right w:val="nil"/>
            </w:tcBorders>
            <w:shd w:val="clear" w:color="auto" w:fill="auto"/>
            <w:noWrap/>
            <w:hideMark/>
          </w:tcPr>
          <w:p w14:paraId="2664B23C" w14:textId="77777777" w:rsidR="001B336E" w:rsidRPr="004F38BE" w:rsidRDefault="001B336E" w:rsidP="00027658">
            <w:pPr>
              <w:jc w:val="center"/>
              <w:rPr>
                <w:color w:val="000000"/>
              </w:rPr>
            </w:pPr>
            <w:r w:rsidRPr="004F38BE">
              <w:rPr>
                <w:color w:val="000000"/>
              </w:rPr>
              <w:t>158610 (61712-365165)</w:t>
            </w:r>
          </w:p>
        </w:tc>
        <w:tc>
          <w:tcPr>
            <w:tcW w:w="1134" w:type="dxa"/>
            <w:tcBorders>
              <w:left w:val="nil"/>
              <w:right w:val="nil"/>
            </w:tcBorders>
            <w:shd w:val="clear" w:color="auto" w:fill="auto"/>
            <w:hideMark/>
          </w:tcPr>
          <w:p w14:paraId="00166E9C" w14:textId="77777777" w:rsidR="001B336E" w:rsidRPr="004F38BE" w:rsidRDefault="001B336E" w:rsidP="00027658">
            <w:pPr>
              <w:jc w:val="center"/>
              <w:rPr>
                <w:b/>
                <w:color w:val="000000"/>
              </w:rPr>
            </w:pPr>
            <w:r w:rsidRPr="004F38BE">
              <w:rPr>
                <w:b/>
                <w:color w:val="000000"/>
              </w:rPr>
              <w:t>&lt;0.0001</w:t>
            </w:r>
          </w:p>
        </w:tc>
        <w:tc>
          <w:tcPr>
            <w:tcW w:w="1559" w:type="dxa"/>
            <w:tcBorders>
              <w:left w:val="nil"/>
              <w:right w:val="nil"/>
            </w:tcBorders>
            <w:shd w:val="clear" w:color="auto" w:fill="auto"/>
            <w:hideMark/>
          </w:tcPr>
          <w:p w14:paraId="779DFCBB" w14:textId="77777777" w:rsidR="001B336E" w:rsidRPr="004F38BE" w:rsidRDefault="001B336E" w:rsidP="00027658">
            <w:pPr>
              <w:jc w:val="center"/>
              <w:rPr>
                <w:color w:val="000000"/>
              </w:rPr>
            </w:pPr>
            <w:r w:rsidRPr="004F38BE">
              <w:rPr>
                <w:color w:val="000000"/>
              </w:rPr>
              <w:t>0.78 [0.75-0.82]</w:t>
            </w:r>
          </w:p>
        </w:tc>
        <w:tc>
          <w:tcPr>
            <w:tcW w:w="1276" w:type="dxa"/>
            <w:tcBorders>
              <w:left w:val="nil"/>
              <w:right w:val="nil"/>
            </w:tcBorders>
            <w:shd w:val="clear" w:color="auto" w:fill="auto"/>
            <w:hideMark/>
          </w:tcPr>
          <w:p w14:paraId="02F59CA2" w14:textId="77777777" w:rsidR="001B336E" w:rsidRPr="004F38BE" w:rsidRDefault="001B336E" w:rsidP="00027658">
            <w:pPr>
              <w:jc w:val="center"/>
              <w:rPr>
                <w:color w:val="000000"/>
              </w:rPr>
            </w:pPr>
            <w:r w:rsidRPr="004F38BE">
              <w:rPr>
                <w:color w:val="000000"/>
              </w:rPr>
              <w:t>&gt; 69684</w:t>
            </w:r>
          </w:p>
        </w:tc>
        <w:tc>
          <w:tcPr>
            <w:tcW w:w="1408" w:type="dxa"/>
            <w:tcBorders>
              <w:left w:val="nil"/>
              <w:right w:val="nil"/>
            </w:tcBorders>
            <w:shd w:val="clear" w:color="auto" w:fill="auto"/>
            <w:noWrap/>
            <w:hideMark/>
          </w:tcPr>
          <w:p w14:paraId="238695FF" w14:textId="77777777" w:rsidR="001B336E" w:rsidRPr="004F38BE" w:rsidRDefault="001B336E" w:rsidP="00027658">
            <w:pPr>
              <w:jc w:val="center"/>
              <w:rPr>
                <w:color w:val="000000"/>
              </w:rPr>
            </w:pPr>
            <w:r w:rsidRPr="004F38BE">
              <w:rPr>
                <w:color w:val="000000"/>
              </w:rPr>
              <w:t>0.71 [0.64-0.77]</w:t>
            </w:r>
          </w:p>
        </w:tc>
        <w:tc>
          <w:tcPr>
            <w:tcW w:w="1277" w:type="dxa"/>
            <w:tcBorders>
              <w:left w:val="nil"/>
              <w:right w:val="nil"/>
            </w:tcBorders>
            <w:shd w:val="clear" w:color="auto" w:fill="auto"/>
            <w:hideMark/>
          </w:tcPr>
          <w:p w14:paraId="7D351261" w14:textId="77777777" w:rsidR="001B336E" w:rsidRPr="004F38BE" w:rsidRDefault="001B336E" w:rsidP="00027658">
            <w:pPr>
              <w:jc w:val="center"/>
              <w:rPr>
                <w:color w:val="000000"/>
              </w:rPr>
            </w:pPr>
            <w:r w:rsidRPr="004F38BE">
              <w:rPr>
                <w:color w:val="000000"/>
              </w:rPr>
              <w:t>0.70 [0.66- 0.74]</w:t>
            </w:r>
          </w:p>
        </w:tc>
      </w:tr>
      <w:tr w:rsidR="001B336E" w:rsidRPr="004F38BE" w14:paraId="3A5ED928" w14:textId="77777777" w:rsidTr="00027658">
        <w:trPr>
          <w:gridAfter w:val="1"/>
          <w:wAfter w:w="113" w:type="dxa"/>
          <w:trHeight w:val="300"/>
          <w:jc w:val="center"/>
        </w:trPr>
        <w:tc>
          <w:tcPr>
            <w:tcW w:w="1111" w:type="dxa"/>
            <w:shd w:val="clear" w:color="auto" w:fill="auto"/>
            <w:noWrap/>
            <w:hideMark/>
          </w:tcPr>
          <w:p w14:paraId="7572477B" w14:textId="77777777" w:rsidR="001B336E" w:rsidRPr="004F38BE" w:rsidRDefault="001B336E" w:rsidP="00027658">
            <w:pPr>
              <w:rPr>
                <w:b/>
                <w:bCs/>
                <w:color w:val="000000"/>
              </w:rPr>
            </w:pPr>
            <w:r w:rsidRPr="004F38BE">
              <w:rPr>
                <w:b/>
                <w:bCs/>
                <w:color w:val="000000"/>
              </w:rPr>
              <w:t>TPA</w:t>
            </w:r>
          </w:p>
        </w:tc>
        <w:tc>
          <w:tcPr>
            <w:tcW w:w="1308" w:type="dxa"/>
            <w:shd w:val="clear" w:color="auto" w:fill="auto"/>
            <w:noWrap/>
            <w:hideMark/>
          </w:tcPr>
          <w:p w14:paraId="3C2D3B16" w14:textId="77777777" w:rsidR="001B336E" w:rsidRPr="004F38BE" w:rsidRDefault="001B336E" w:rsidP="00027658">
            <w:pPr>
              <w:jc w:val="center"/>
              <w:rPr>
                <w:color w:val="000000"/>
              </w:rPr>
            </w:pPr>
            <w:r w:rsidRPr="004F38BE">
              <w:rPr>
                <w:color w:val="000000"/>
              </w:rPr>
              <w:t>1638 (931-2604)</w:t>
            </w:r>
          </w:p>
        </w:tc>
        <w:tc>
          <w:tcPr>
            <w:tcW w:w="1276" w:type="dxa"/>
            <w:shd w:val="clear" w:color="auto" w:fill="auto"/>
            <w:noWrap/>
            <w:hideMark/>
          </w:tcPr>
          <w:p w14:paraId="2E408925" w14:textId="77777777" w:rsidR="001B336E" w:rsidRPr="004F38BE" w:rsidRDefault="001B336E" w:rsidP="00027658">
            <w:pPr>
              <w:jc w:val="center"/>
              <w:rPr>
                <w:color w:val="000000"/>
              </w:rPr>
            </w:pPr>
            <w:r w:rsidRPr="004F38BE">
              <w:rPr>
                <w:color w:val="000000"/>
              </w:rPr>
              <w:t>2977 (1949-4317)</w:t>
            </w:r>
          </w:p>
        </w:tc>
        <w:tc>
          <w:tcPr>
            <w:tcW w:w="1134" w:type="dxa"/>
            <w:shd w:val="clear" w:color="auto" w:fill="auto"/>
            <w:hideMark/>
          </w:tcPr>
          <w:p w14:paraId="7CDA1539" w14:textId="77777777" w:rsidR="001B336E" w:rsidRPr="004F38BE" w:rsidRDefault="001B336E" w:rsidP="00027658">
            <w:pPr>
              <w:jc w:val="center"/>
              <w:rPr>
                <w:b/>
                <w:color w:val="000000"/>
              </w:rPr>
            </w:pPr>
            <w:r w:rsidRPr="004F38BE">
              <w:rPr>
                <w:b/>
                <w:color w:val="000000"/>
              </w:rPr>
              <w:t>&lt;0.0001</w:t>
            </w:r>
          </w:p>
        </w:tc>
        <w:tc>
          <w:tcPr>
            <w:tcW w:w="1559" w:type="dxa"/>
            <w:shd w:val="clear" w:color="auto" w:fill="auto"/>
            <w:hideMark/>
          </w:tcPr>
          <w:p w14:paraId="556D222B" w14:textId="77777777" w:rsidR="001B336E" w:rsidRPr="004F38BE" w:rsidRDefault="001B336E" w:rsidP="00027658">
            <w:pPr>
              <w:jc w:val="center"/>
              <w:rPr>
                <w:color w:val="000000"/>
              </w:rPr>
            </w:pPr>
            <w:r w:rsidRPr="004F38BE">
              <w:rPr>
                <w:color w:val="000000"/>
              </w:rPr>
              <w:t>0.72 [0.68-0.76]</w:t>
            </w:r>
          </w:p>
        </w:tc>
        <w:tc>
          <w:tcPr>
            <w:tcW w:w="1276" w:type="dxa"/>
            <w:shd w:val="clear" w:color="auto" w:fill="auto"/>
            <w:hideMark/>
          </w:tcPr>
          <w:p w14:paraId="56C4AC34" w14:textId="77777777" w:rsidR="001B336E" w:rsidRPr="004F38BE" w:rsidRDefault="001B336E" w:rsidP="00027658">
            <w:pPr>
              <w:jc w:val="center"/>
              <w:rPr>
                <w:color w:val="000000"/>
              </w:rPr>
            </w:pPr>
            <w:r w:rsidRPr="004F38BE">
              <w:rPr>
                <w:color w:val="000000"/>
              </w:rPr>
              <w:t>&gt; 2163</w:t>
            </w:r>
          </w:p>
        </w:tc>
        <w:tc>
          <w:tcPr>
            <w:tcW w:w="1408" w:type="dxa"/>
            <w:shd w:val="clear" w:color="auto" w:fill="auto"/>
            <w:noWrap/>
            <w:hideMark/>
          </w:tcPr>
          <w:p w14:paraId="520F25E6" w14:textId="77777777" w:rsidR="001B336E" w:rsidRPr="004F38BE" w:rsidRDefault="001B336E" w:rsidP="00027658">
            <w:pPr>
              <w:jc w:val="center"/>
              <w:rPr>
                <w:color w:val="000000"/>
              </w:rPr>
            </w:pPr>
            <w:r w:rsidRPr="004F38BE">
              <w:rPr>
                <w:color w:val="000000"/>
              </w:rPr>
              <w:t>0.70 [0.63-0.76]</w:t>
            </w:r>
          </w:p>
        </w:tc>
        <w:tc>
          <w:tcPr>
            <w:tcW w:w="1277" w:type="dxa"/>
            <w:shd w:val="clear" w:color="auto" w:fill="auto"/>
            <w:hideMark/>
          </w:tcPr>
          <w:p w14:paraId="2A2DCEAF" w14:textId="77777777" w:rsidR="001B336E" w:rsidRPr="004F38BE" w:rsidRDefault="001B336E" w:rsidP="00027658">
            <w:pPr>
              <w:jc w:val="center"/>
              <w:rPr>
                <w:color w:val="000000"/>
              </w:rPr>
            </w:pPr>
            <w:r w:rsidRPr="004F38BE">
              <w:rPr>
                <w:color w:val="000000"/>
              </w:rPr>
              <w:t>0.66 [0.61-0.70]</w:t>
            </w:r>
          </w:p>
        </w:tc>
      </w:tr>
      <w:tr w:rsidR="001B336E" w:rsidRPr="004F38BE" w14:paraId="1D312D41" w14:textId="77777777" w:rsidTr="00027658">
        <w:trPr>
          <w:gridAfter w:val="1"/>
          <w:wAfter w:w="113" w:type="dxa"/>
          <w:trHeight w:val="300"/>
          <w:jc w:val="center"/>
        </w:trPr>
        <w:tc>
          <w:tcPr>
            <w:tcW w:w="1111" w:type="dxa"/>
            <w:tcBorders>
              <w:left w:val="nil"/>
              <w:right w:val="nil"/>
            </w:tcBorders>
            <w:shd w:val="clear" w:color="auto" w:fill="auto"/>
            <w:noWrap/>
            <w:hideMark/>
          </w:tcPr>
          <w:p w14:paraId="63BD953E" w14:textId="77777777" w:rsidR="001B336E" w:rsidRPr="004F38BE" w:rsidRDefault="001B336E" w:rsidP="00027658">
            <w:pPr>
              <w:rPr>
                <w:b/>
                <w:bCs/>
                <w:color w:val="000000"/>
              </w:rPr>
            </w:pPr>
            <w:r w:rsidRPr="004F38BE">
              <w:rPr>
                <w:b/>
                <w:bCs/>
                <w:color w:val="000000"/>
              </w:rPr>
              <w:lastRenderedPageBreak/>
              <w:t>Fibrinogen</w:t>
            </w:r>
          </w:p>
        </w:tc>
        <w:tc>
          <w:tcPr>
            <w:tcW w:w="1308" w:type="dxa"/>
            <w:tcBorders>
              <w:left w:val="nil"/>
              <w:right w:val="nil"/>
            </w:tcBorders>
            <w:shd w:val="clear" w:color="auto" w:fill="auto"/>
            <w:noWrap/>
            <w:hideMark/>
          </w:tcPr>
          <w:p w14:paraId="7B1350D3" w14:textId="77777777" w:rsidR="001B336E" w:rsidRPr="004F38BE" w:rsidRDefault="001B336E" w:rsidP="00027658">
            <w:pPr>
              <w:jc w:val="center"/>
              <w:rPr>
                <w:color w:val="000000"/>
              </w:rPr>
            </w:pPr>
            <w:r w:rsidRPr="004F38BE">
              <w:rPr>
                <w:color w:val="000000"/>
              </w:rPr>
              <w:t>2466 (1804-4182)</w:t>
            </w:r>
          </w:p>
        </w:tc>
        <w:tc>
          <w:tcPr>
            <w:tcW w:w="1276" w:type="dxa"/>
            <w:tcBorders>
              <w:left w:val="nil"/>
              <w:right w:val="nil"/>
            </w:tcBorders>
            <w:shd w:val="clear" w:color="auto" w:fill="auto"/>
            <w:noWrap/>
            <w:hideMark/>
          </w:tcPr>
          <w:p w14:paraId="2F109EAC" w14:textId="77777777" w:rsidR="001B336E" w:rsidRPr="004F38BE" w:rsidRDefault="001B336E" w:rsidP="00027658">
            <w:pPr>
              <w:jc w:val="center"/>
              <w:rPr>
                <w:color w:val="000000"/>
              </w:rPr>
            </w:pPr>
            <w:r w:rsidRPr="004F38BE">
              <w:rPr>
                <w:color w:val="000000"/>
              </w:rPr>
              <w:t>3987 (2991-6555)</w:t>
            </w:r>
          </w:p>
        </w:tc>
        <w:tc>
          <w:tcPr>
            <w:tcW w:w="1134" w:type="dxa"/>
            <w:tcBorders>
              <w:left w:val="nil"/>
              <w:right w:val="nil"/>
            </w:tcBorders>
            <w:shd w:val="clear" w:color="auto" w:fill="auto"/>
            <w:hideMark/>
          </w:tcPr>
          <w:p w14:paraId="2BA3F53E" w14:textId="77777777" w:rsidR="001B336E" w:rsidRPr="004F38BE" w:rsidRDefault="001B336E" w:rsidP="00027658">
            <w:pPr>
              <w:jc w:val="center"/>
              <w:rPr>
                <w:b/>
                <w:color w:val="000000"/>
              </w:rPr>
            </w:pPr>
            <w:r w:rsidRPr="004F38BE">
              <w:rPr>
                <w:b/>
                <w:color w:val="000000"/>
              </w:rPr>
              <w:t>0&lt;0.0001</w:t>
            </w:r>
          </w:p>
        </w:tc>
        <w:tc>
          <w:tcPr>
            <w:tcW w:w="1559" w:type="dxa"/>
            <w:tcBorders>
              <w:left w:val="nil"/>
              <w:right w:val="nil"/>
            </w:tcBorders>
            <w:shd w:val="clear" w:color="auto" w:fill="auto"/>
            <w:hideMark/>
          </w:tcPr>
          <w:p w14:paraId="4C040D4F" w14:textId="77777777" w:rsidR="001B336E" w:rsidRPr="004F38BE" w:rsidRDefault="001B336E" w:rsidP="00027658">
            <w:pPr>
              <w:jc w:val="center"/>
              <w:rPr>
                <w:color w:val="000000"/>
              </w:rPr>
            </w:pPr>
            <w:r w:rsidRPr="004F38BE">
              <w:rPr>
                <w:color w:val="000000"/>
              </w:rPr>
              <w:t>0.73 [0.69-0.77]</w:t>
            </w:r>
          </w:p>
        </w:tc>
        <w:tc>
          <w:tcPr>
            <w:tcW w:w="1276" w:type="dxa"/>
            <w:tcBorders>
              <w:left w:val="nil"/>
              <w:right w:val="nil"/>
            </w:tcBorders>
            <w:shd w:val="clear" w:color="auto" w:fill="auto"/>
            <w:hideMark/>
          </w:tcPr>
          <w:p w14:paraId="527F7BF8" w14:textId="77777777" w:rsidR="001B336E" w:rsidRPr="004F38BE" w:rsidRDefault="001B336E" w:rsidP="00027658">
            <w:pPr>
              <w:jc w:val="center"/>
              <w:rPr>
                <w:color w:val="000000"/>
              </w:rPr>
            </w:pPr>
            <w:r w:rsidRPr="004F38BE">
              <w:rPr>
                <w:color w:val="000000"/>
              </w:rPr>
              <w:t>&gt; 2854</w:t>
            </w:r>
          </w:p>
        </w:tc>
        <w:tc>
          <w:tcPr>
            <w:tcW w:w="1408" w:type="dxa"/>
            <w:tcBorders>
              <w:left w:val="nil"/>
              <w:right w:val="nil"/>
            </w:tcBorders>
            <w:shd w:val="clear" w:color="auto" w:fill="auto"/>
            <w:noWrap/>
            <w:hideMark/>
          </w:tcPr>
          <w:p w14:paraId="7FC3C4FD" w14:textId="77777777" w:rsidR="001B336E" w:rsidRPr="004F38BE" w:rsidRDefault="001B336E" w:rsidP="00027658">
            <w:pPr>
              <w:jc w:val="center"/>
              <w:rPr>
                <w:color w:val="000000"/>
              </w:rPr>
            </w:pPr>
            <w:r w:rsidRPr="004F38BE">
              <w:rPr>
                <w:color w:val="000000"/>
              </w:rPr>
              <w:t>0.80 [0.74-0.85]</w:t>
            </w:r>
          </w:p>
        </w:tc>
        <w:tc>
          <w:tcPr>
            <w:tcW w:w="1277" w:type="dxa"/>
            <w:tcBorders>
              <w:left w:val="nil"/>
              <w:right w:val="nil"/>
            </w:tcBorders>
            <w:shd w:val="clear" w:color="auto" w:fill="auto"/>
            <w:hideMark/>
          </w:tcPr>
          <w:p w14:paraId="14690D55" w14:textId="77777777" w:rsidR="001B336E" w:rsidRPr="004F38BE" w:rsidRDefault="001B336E" w:rsidP="00027658">
            <w:pPr>
              <w:jc w:val="center"/>
              <w:rPr>
                <w:color w:val="000000"/>
              </w:rPr>
            </w:pPr>
            <w:r w:rsidRPr="004F38BE">
              <w:rPr>
                <w:color w:val="000000"/>
              </w:rPr>
              <w:t>0.57 [0.53-0.62]</w:t>
            </w:r>
          </w:p>
        </w:tc>
      </w:tr>
      <w:tr w:rsidR="001B336E" w:rsidRPr="004F38BE" w14:paraId="3AB10D34" w14:textId="77777777" w:rsidTr="00027658">
        <w:trPr>
          <w:gridAfter w:val="1"/>
          <w:wAfter w:w="113" w:type="dxa"/>
          <w:trHeight w:val="300"/>
          <w:jc w:val="center"/>
        </w:trPr>
        <w:tc>
          <w:tcPr>
            <w:tcW w:w="1111" w:type="dxa"/>
            <w:shd w:val="clear" w:color="auto" w:fill="auto"/>
            <w:noWrap/>
            <w:hideMark/>
          </w:tcPr>
          <w:p w14:paraId="02A1D302" w14:textId="77777777" w:rsidR="001B336E" w:rsidRPr="004F38BE" w:rsidRDefault="001B336E" w:rsidP="00027658">
            <w:pPr>
              <w:rPr>
                <w:b/>
                <w:bCs/>
                <w:color w:val="000000"/>
              </w:rPr>
            </w:pPr>
            <w:r w:rsidRPr="004F38BE">
              <w:rPr>
                <w:b/>
                <w:bCs/>
                <w:color w:val="000000"/>
              </w:rPr>
              <w:t>SAA</w:t>
            </w:r>
          </w:p>
        </w:tc>
        <w:tc>
          <w:tcPr>
            <w:tcW w:w="1308" w:type="dxa"/>
            <w:shd w:val="clear" w:color="auto" w:fill="auto"/>
            <w:noWrap/>
            <w:hideMark/>
          </w:tcPr>
          <w:p w14:paraId="1528B6A4" w14:textId="77777777" w:rsidR="001B336E" w:rsidRPr="004F38BE" w:rsidRDefault="001B336E" w:rsidP="00027658">
            <w:pPr>
              <w:jc w:val="center"/>
              <w:rPr>
                <w:color w:val="000000"/>
              </w:rPr>
            </w:pPr>
            <w:r w:rsidRPr="004F38BE">
              <w:rPr>
                <w:color w:val="000000"/>
              </w:rPr>
              <w:t>771 (279-3985)</w:t>
            </w:r>
          </w:p>
        </w:tc>
        <w:tc>
          <w:tcPr>
            <w:tcW w:w="1276" w:type="dxa"/>
            <w:shd w:val="clear" w:color="auto" w:fill="auto"/>
            <w:noWrap/>
            <w:hideMark/>
          </w:tcPr>
          <w:p w14:paraId="55F36CEC" w14:textId="77777777" w:rsidR="001B336E" w:rsidRPr="004F38BE" w:rsidRDefault="001B336E" w:rsidP="00027658">
            <w:pPr>
              <w:jc w:val="center"/>
              <w:rPr>
                <w:color w:val="000000"/>
              </w:rPr>
            </w:pPr>
            <w:r w:rsidRPr="004F38BE">
              <w:rPr>
                <w:color w:val="000000"/>
              </w:rPr>
              <w:t>6778 (4265-9689)</w:t>
            </w:r>
          </w:p>
        </w:tc>
        <w:tc>
          <w:tcPr>
            <w:tcW w:w="1134" w:type="dxa"/>
            <w:shd w:val="clear" w:color="auto" w:fill="auto"/>
            <w:hideMark/>
          </w:tcPr>
          <w:p w14:paraId="76A6852E" w14:textId="77777777" w:rsidR="001B336E" w:rsidRPr="004F38BE" w:rsidRDefault="001B336E" w:rsidP="00027658">
            <w:pPr>
              <w:jc w:val="center"/>
              <w:rPr>
                <w:b/>
                <w:color w:val="000000"/>
              </w:rPr>
            </w:pPr>
            <w:r w:rsidRPr="004F38BE">
              <w:rPr>
                <w:b/>
                <w:color w:val="000000"/>
              </w:rPr>
              <w:t>&lt;0.0001</w:t>
            </w:r>
          </w:p>
        </w:tc>
        <w:tc>
          <w:tcPr>
            <w:tcW w:w="1559" w:type="dxa"/>
            <w:shd w:val="clear" w:color="auto" w:fill="auto"/>
            <w:hideMark/>
          </w:tcPr>
          <w:p w14:paraId="6D5021AE" w14:textId="77777777" w:rsidR="001B336E" w:rsidRPr="004F38BE" w:rsidRDefault="001B336E" w:rsidP="00027658">
            <w:pPr>
              <w:jc w:val="center"/>
              <w:rPr>
                <w:color w:val="000000"/>
              </w:rPr>
            </w:pPr>
            <w:r w:rsidRPr="004F38BE">
              <w:rPr>
                <w:color w:val="000000"/>
              </w:rPr>
              <w:t>0.83 [0.80-0.86]</w:t>
            </w:r>
          </w:p>
        </w:tc>
        <w:tc>
          <w:tcPr>
            <w:tcW w:w="1276" w:type="dxa"/>
            <w:shd w:val="clear" w:color="auto" w:fill="auto"/>
            <w:hideMark/>
          </w:tcPr>
          <w:p w14:paraId="362906AC" w14:textId="77777777" w:rsidR="001B336E" w:rsidRPr="004F38BE" w:rsidRDefault="001B336E" w:rsidP="00027658">
            <w:pPr>
              <w:rPr>
                <w:color w:val="000000"/>
              </w:rPr>
            </w:pPr>
            <w:r w:rsidRPr="004F38BE">
              <w:rPr>
                <w:color w:val="000000"/>
              </w:rPr>
              <w:t>&gt; 3113</w:t>
            </w:r>
          </w:p>
        </w:tc>
        <w:tc>
          <w:tcPr>
            <w:tcW w:w="1408" w:type="dxa"/>
            <w:shd w:val="clear" w:color="auto" w:fill="auto"/>
            <w:noWrap/>
            <w:hideMark/>
          </w:tcPr>
          <w:p w14:paraId="5EF1D511" w14:textId="77777777" w:rsidR="001B336E" w:rsidRPr="004F38BE" w:rsidRDefault="001B336E" w:rsidP="00027658">
            <w:pPr>
              <w:jc w:val="center"/>
              <w:rPr>
                <w:color w:val="000000"/>
              </w:rPr>
            </w:pPr>
            <w:r w:rsidRPr="004F38BE">
              <w:rPr>
                <w:color w:val="000000"/>
              </w:rPr>
              <w:t>0.86 [0.80-0.90]</w:t>
            </w:r>
          </w:p>
        </w:tc>
        <w:tc>
          <w:tcPr>
            <w:tcW w:w="1277" w:type="dxa"/>
            <w:shd w:val="clear" w:color="auto" w:fill="auto"/>
            <w:hideMark/>
          </w:tcPr>
          <w:p w14:paraId="7E87CC2E" w14:textId="77777777" w:rsidR="001B336E" w:rsidRPr="004F38BE" w:rsidRDefault="001B336E" w:rsidP="00027658">
            <w:pPr>
              <w:jc w:val="center"/>
              <w:rPr>
                <w:color w:val="000000"/>
              </w:rPr>
            </w:pPr>
            <w:r w:rsidRPr="004F38BE">
              <w:rPr>
                <w:color w:val="000000"/>
              </w:rPr>
              <w:t>0.71 [0.67-0.75]</w:t>
            </w:r>
          </w:p>
        </w:tc>
      </w:tr>
    </w:tbl>
    <w:p w14:paraId="35544D8C" w14:textId="7BC8D421" w:rsidR="001B336E" w:rsidRPr="004F38BE" w:rsidRDefault="001B336E" w:rsidP="001B336E">
      <w:pPr>
        <w:spacing w:line="276" w:lineRule="auto"/>
        <w:jc w:val="both"/>
      </w:pPr>
      <w:r w:rsidRPr="004F38BE">
        <w:t>Abbreviations: CFH, complement factor H; A2M, alpha</w:t>
      </w:r>
      <w:r w:rsidR="00AA18BE">
        <w:t>-</w:t>
      </w:r>
      <w:r w:rsidRPr="004F38BE">
        <w:t>2</w:t>
      </w:r>
      <w:r w:rsidR="00AA18BE">
        <w:t>-</w:t>
      </w:r>
      <w:r w:rsidRPr="004F38BE">
        <w:t xml:space="preserve">macroglobulin; CRP, C-reactive protein; SAP, serum amyloid P; SAA, serum amyloid A; PCT, </w:t>
      </w:r>
      <w:proofErr w:type="spellStart"/>
      <w:r w:rsidRPr="004F38BE">
        <w:t>procalcitonin</w:t>
      </w:r>
      <w:proofErr w:type="spellEnd"/>
      <w:r w:rsidRPr="004F38BE">
        <w:t xml:space="preserve">; TPA, tissue plasminogen activator; AUC, area under the ROC curve; ROC, receiver operator characteristics. Both HIV-infected and -uninfected individuals were included in the analysis. The values shown for IFN-α2, IFN-γ, IL-1ra, IP-10, TGF-α, TNF-α, VEGF, ferritin, PCT and TPA are in </w:t>
      </w:r>
      <w:proofErr w:type="spellStart"/>
      <w:r w:rsidRPr="004F38BE">
        <w:t>pg</w:t>
      </w:r>
      <w:proofErr w:type="spellEnd"/>
      <w:r w:rsidRPr="004F38BE">
        <w:t xml:space="preserve">/ml. All other </w:t>
      </w:r>
      <w:proofErr w:type="spellStart"/>
      <w:r w:rsidRPr="004F38BE">
        <w:t>analyte</w:t>
      </w:r>
      <w:proofErr w:type="spellEnd"/>
      <w:r w:rsidRPr="004F38BE">
        <w:t xml:space="preserve"> concentrations are in ng/ml</w:t>
      </w:r>
      <w:r>
        <w:t>. The values in brackets under AUC, sensitivity and specificity are the 95% Confidence Intervals.</w:t>
      </w:r>
    </w:p>
    <w:p w14:paraId="7E2FBC89" w14:textId="77777777" w:rsidR="001B336E" w:rsidRDefault="001B336E" w:rsidP="001B336E"/>
    <w:p w14:paraId="6BEAB0C5" w14:textId="77777777" w:rsidR="00233E01" w:rsidRPr="004F38BE" w:rsidRDefault="00233E01" w:rsidP="0033455D">
      <w:pPr>
        <w:spacing w:line="360" w:lineRule="auto"/>
        <w:jc w:val="both"/>
      </w:pPr>
    </w:p>
    <w:p w14:paraId="258C6117" w14:textId="77777777" w:rsidR="00233E01" w:rsidRPr="008A4BC6" w:rsidRDefault="00E61814" w:rsidP="0033455D">
      <w:pPr>
        <w:spacing w:line="360" w:lineRule="auto"/>
        <w:jc w:val="both"/>
      </w:pPr>
      <w:r w:rsidRPr="008A4BC6">
        <w:t>Accuracy of individual host markers in HIV-uninfected study participants</w:t>
      </w:r>
    </w:p>
    <w:p w14:paraId="15757C03" w14:textId="44F8BAF8" w:rsidR="00233E01" w:rsidRPr="004F38BE" w:rsidRDefault="00450351" w:rsidP="0033455D">
      <w:pPr>
        <w:spacing w:line="360" w:lineRule="auto"/>
        <w:jc w:val="both"/>
      </w:pPr>
      <w:r w:rsidRPr="004F38BE">
        <w:t xml:space="preserve">We stratified the study participants according to HIV infection status and repeated the ROC curve analysis. </w:t>
      </w:r>
      <w:r w:rsidR="00A47B29" w:rsidRPr="004F38BE">
        <w:t>N</w:t>
      </w:r>
      <w:r w:rsidR="002A7ED0" w:rsidRPr="004F38BE">
        <w:t>o differences</w:t>
      </w:r>
      <w:r w:rsidR="00043F12" w:rsidRPr="004F38BE">
        <w:t xml:space="preserve"> were observed</w:t>
      </w:r>
      <w:r w:rsidR="002A7ED0" w:rsidRPr="004F38BE">
        <w:t xml:space="preserve"> </w:t>
      </w:r>
      <w:r w:rsidR="00BF42CF" w:rsidRPr="004F38BE">
        <w:t>in the</w:t>
      </w:r>
      <w:r w:rsidR="00595960" w:rsidRPr="004F38BE">
        <w:t xml:space="preserve"> AUC</w:t>
      </w:r>
      <w:r w:rsidR="002A7ED0" w:rsidRPr="004F38BE">
        <w:t>s</w:t>
      </w:r>
      <w:r w:rsidR="00595960" w:rsidRPr="004F38BE">
        <w:t xml:space="preserve"> </w:t>
      </w:r>
      <w:r w:rsidR="00043F12" w:rsidRPr="004F38BE">
        <w:t xml:space="preserve">for </w:t>
      </w:r>
      <w:r w:rsidR="00213F5F" w:rsidRPr="004F38BE">
        <w:t>ApoA-1</w:t>
      </w:r>
      <w:r w:rsidR="006816F8" w:rsidRPr="004F38BE">
        <w:t>, PCT and MMP-9 in HIV</w:t>
      </w:r>
      <w:r w:rsidR="00530F82" w:rsidRPr="004F38BE">
        <w:t>-</w:t>
      </w:r>
      <w:r w:rsidR="006816F8" w:rsidRPr="004F38BE">
        <w:t xml:space="preserve">positive </w:t>
      </w:r>
      <w:r w:rsidR="00530F82" w:rsidRPr="004F38BE">
        <w:t>versus</w:t>
      </w:r>
      <w:r w:rsidR="006816F8" w:rsidRPr="004F38BE">
        <w:t xml:space="preserve"> </w:t>
      </w:r>
      <w:r w:rsidR="00530F82" w:rsidRPr="004F38BE">
        <w:t>HIV-</w:t>
      </w:r>
      <w:r w:rsidR="006816F8" w:rsidRPr="004F38BE">
        <w:t>negative</w:t>
      </w:r>
      <w:r w:rsidR="00D7768F" w:rsidRPr="004F38BE">
        <w:t xml:space="preserve"> participants</w:t>
      </w:r>
      <w:r w:rsidR="006816F8" w:rsidRPr="004F38BE">
        <w:t xml:space="preserve">. However, the AUCs for some of the </w:t>
      </w:r>
      <w:r w:rsidR="00530F82" w:rsidRPr="004F38BE">
        <w:t>acute-</w:t>
      </w:r>
      <w:r w:rsidR="006816F8" w:rsidRPr="004F38BE">
        <w:t xml:space="preserve">phase proteins including </w:t>
      </w:r>
      <w:r w:rsidR="00B52D70" w:rsidRPr="004F38BE">
        <w:t xml:space="preserve">A2M, </w:t>
      </w:r>
      <w:r w:rsidR="006816F8" w:rsidRPr="004F38BE">
        <w:t xml:space="preserve">CRP, ferritin, </w:t>
      </w:r>
      <w:proofErr w:type="spellStart"/>
      <w:r w:rsidR="00B52D70" w:rsidRPr="004F38BE">
        <w:t>haptoglobulin</w:t>
      </w:r>
      <w:proofErr w:type="spellEnd"/>
      <w:r w:rsidR="00B52D70" w:rsidRPr="004F38BE">
        <w:t xml:space="preserve">, SAP and </w:t>
      </w:r>
      <w:r w:rsidR="006816F8" w:rsidRPr="004F38BE">
        <w:t>TPA,</w:t>
      </w:r>
      <w:r w:rsidR="00D7768F" w:rsidRPr="004F38BE">
        <w:t xml:space="preserve"> were </w:t>
      </w:r>
      <w:r w:rsidR="006816F8" w:rsidRPr="004F38BE">
        <w:t xml:space="preserve">higher in </w:t>
      </w:r>
      <w:r w:rsidR="00530F82" w:rsidRPr="004F38BE">
        <w:t>HIV-</w:t>
      </w:r>
      <w:r w:rsidR="006816F8" w:rsidRPr="004F38BE">
        <w:t xml:space="preserve">positive individuals. This was in contrast to the observations for the classical pro-inflammatory host markers </w:t>
      </w:r>
      <w:r w:rsidR="004B0A86" w:rsidRPr="004F38BE">
        <w:t>(</w:t>
      </w:r>
      <w:r w:rsidR="006816F8" w:rsidRPr="004F38BE">
        <w:t>IFN-γ, IP-10, TNF-α</w:t>
      </w:r>
      <w:r w:rsidR="004B0A86" w:rsidRPr="004F38BE">
        <w:t xml:space="preserve">); </w:t>
      </w:r>
      <w:r w:rsidR="006816F8" w:rsidRPr="004F38BE">
        <w:t xml:space="preserve">the growth factors </w:t>
      </w:r>
      <w:r w:rsidR="004B0A86" w:rsidRPr="004F38BE">
        <w:t>(</w:t>
      </w:r>
      <w:r w:rsidR="006816F8" w:rsidRPr="004F38BE">
        <w:t>TGF-α and VEGF</w:t>
      </w:r>
      <w:r w:rsidR="004B0A86" w:rsidRPr="004F38BE">
        <w:t>);</w:t>
      </w:r>
      <w:r w:rsidR="006816F8" w:rsidRPr="004F38BE">
        <w:t xml:space="preserve"> the blood clotting protein fibrinogen, the thyroxin and retinol transporting protein; transthyretin and </w:t>
      </w:r>
      <w:r w:rsidR="000C65BD" w:rsidRPr="004F38BE">
        <w:t>CFH</w:t>
      </w:r>
      <w:r w:rsidR="006816F8" w:rsidRPr="004F38BE">
        <w:t>, which perform</w:t>
      </w:r>
      <w:r w:rsidR="00E41AEE" w:rsidRPr="004F38BE">
        <w:t>ed</w:t>
      </w:r>
      <w:r w:rsidR="006816F8" w:rsidRPr="004F38BE">
        <w:t xml:space="preserve"> best in </w:t>
      </w:r>
      <w:r w:rsidR="00530F82" w:rsidRPr="004F38BE">
        <w:t>HIV-</w:t>
      </w:r>
      <w:r w:rsidR="006816F8" w:rsidRPr="004F38BE">
        <w:t>uninfected individuals (</w:t>
      </w:r>
      <w:r w:rsidR="00487372" w:rsidRPr="004F38BE">
        <w:t>F</w:t>
      </w:r>
      <w:r w:rsidR="006816F8" w:rsidRPr="004F38BE">
        <w:t xml:space="preserve">igure 3).  </w:t>
      </w:r>
    </w:p>
    <w:p w14:paraId="5F0034C6" w14:textId="77777777" w:rsidR="005355C9" w:rsidRPr="004F38BE" w:rsidRDefault="005355C9" w:rsidP="0033455D">
      <w:pPr>
        <w:spacing w:line="360" w:lineRule="auto"/>
      </w:pPr>
    </w:p>
    <w:p w14:paraId="7B4C625F" w14:textId="77777777" w:rsidR="00233E01" w:rsidRPr="008A4BC6" w:rsidRDefault="006816F8" w:rsidP="0033455D">
      <w:pPr>
        <w:spacing w:line="360" w:lineRule="auto"/>
        <w:jc w:val="both"/>
        <w:rPr>
          <w:b/>
        </w:rPr>
      </w:pPr>
      <w:r w:rsidRPr="008A4BC6">
        <w:rPr>
          <w:b/>
        </w:rPr>
        <w:t>Utility of serum multi-</w:t>
      </w:r>
      <w:proofErr w:type="spellStart"/>
      <w:r w:rsidR="00B34657" w:rsidRPr="008A4BC6">
        <w:rPr>
          <w:b/>
        </w:rPr>
        <w:t>analyte</w:t>
      </w:r>
      <w:proofErr w:type="spellEnd"/>
      <w:r w:rsidRPr="008A4BC6">
        <w:rPr>
          <w:b/>
        </w:rPr>
        <w:t xml:space="preserve"> models in the diagnosis of TB disease </w:t>
      </w:r>
    </w:p>
    <w:p w14:paraId="3C66D5E4" w14:textId="627EE841" w:rsidR="00C572FD" w:rsidRDefault="00F427B3" w:rsidP="0033455D">
      <w:pPr>
        <w:pStyle w:val="DefaultStyle"/>
        <w:spacing w:line="360" w:lineRule="auto"/>
        <w:jc w:val="both"/>
        <w:rPr>
          <w:rFonts w:ascii="Times New Roman" w:hAnsi="Times New Roman" w:cs="Times New Roman"/>
          <w:color w:val="auto"/>
        </w:rPr>
      </w:pPr>
      <w:r>
        <w:rPr>
          <w:rFonts w:ascii="Times New Roman" w:hAnsi="Times New Roman" w:cs="Times New Roman"/>
        </w:rPr>
        <w:t xml:space="preserve">General </w:t>
      </w:r>
      <w:r w:rsidR="006816F8" w:rsidRPr="004F38BE">
        <w:rPr>
          <w:rFonts w:ascii="Times New Roman" w:hAnsi="Times New Roman" w:cs="Times New Roman"/>
        </w:rPr>
        <w:t>discriminant analysis (</w:t>
      </w:r>
      <w:r>
        <w:rPr>
          <w:rFonts w:ascii="Times New Roman" w:hAnsi="Times New Roman" w:cs="Times New Roman"/>
        </w:rPr>
        <w:t>G</w:t>
      </w:r>
      <w:r w:rsidR="006816F8" w:rsidRPr="004F38BE">
        <w:rPr>
          <w:rFonts w:ascii="Times New Roman" w:hAnsi="Times New Roman" w:cs="Times New Roman"/>
        </w:rPr>
        <w:t>DA) models</w:t>
      </w:r>
      <w:r w:rsidR="003B5E90" w:rsidRPr="004F38BE">
        <w:rPr>
          <w:rFonts w:ascii="Times New Roman" w:hAnsi="Times New Roman" w:cs="Times New Roman"/>
        </w:rPr>
        <w:t xml:space="preserve"> </w:t>
      </w:r>
      <w:r w:rsidR="00AD721D" w:rsidRPr="004F38BE">
        <w:rPr>
          <w:rFonts w:ascii="Times New Roman" w:hAnsi="Times New Roman" w:cs="Times New Roman"/>
        </w:rPr>
        <w:t xml:space="preserve">showed </w:t>
      </w:r>
      <w:r w:rsidR="006816F8" w:rsidRPr="004F38BE">
        <w:rPr>
          <w:rFonts w:ascii="Times New Roman" w:hAnsi="Times New Roman" w:cs="Times New Roman"/>
        </w:rPr>
        <w:t xml:space="preserve">optimal prediction of </w:t>
      </w:r>
      <w:r w:rsidR="00FB441A" w:rsidRPr="004F38BE">
        <w:rPr>
          <w:rFonts w:ascii="Times New Roman" w:hAnsi="Times New Roman" w:cs="Times New Roman"/>
        </w:rPr>
        <w:t xml:space="preserve">pulmonary </w:t>
      </w:r>
      <w:r w:rsidR="006816F8" w:rsidRPr="004F38BE">
        <w:rPr>
          <w:rFonts w:ascii="Times New Roman" w:hAnsi="Times New Roman" w:cs="Times New Roman"/>
        </w:rPr>
        <w:t xml:space="preserve">TB disease </w:t>
      </w:r>
      <w:r w:rsidR="00AD721D" w:rsidRPr="004F38BE">
        <w:rPr>
          <w:rFonts w:ascii="Times New Roman" w:hAnsi="Times New Roman" w:cs="Times New Roman"/>
        </w:rPr>
        <w:t>with s</w:t>
      </w:r>
      <w:r w:rsidR="00C27C8C" w:rsidRPr="004F38BE">
        <w:rPr>
          <w:rFonts w:ascii="Times New Roman" w:hAnsi="Times New Roman" w:cs="Times New Roman"/>
        </w:rPr>
        <w:t>even</w:t>
      </w:r>
      <w:r w:rsidR="005B54FB" w:rsidRPr="004F38BE">
        <w:rPr>
          <w:rFonts w:ascii="Times New Roman" w:hAnsi="Times New Roman" w:cs="Times New Roman"/>
        </w:rPr>
        <w:t>-</w:t>
      </w:r>
      <w:r w:rsidR="00AD721D" w:rsidRPr="004F38BE">
        <w:rPr>
          <w:rFonts w:ascii="Times New Roman" w:hAnsi="Times New Roman" w:cs="Times New Roman"/>
        </w:rPr>
        <w:t>marker</w:t>
      </w:r>
      <w:r w:rsidR="006816F8" w:rsidRPr="004F38BE">
        <w:rPr>
          <w:rFonts w:ascii="Times New Roman" w:hAnsi="Times New Roman" w:cs="Times New Roman"/>
        </w:rPr>
        <w:t xml:space="preserve"> combinations. The most accurate </w:t>
      </w:r>
      <w:r w:rsidR="00854265" w:rsidRPr="004F38BE">
        <w:rPr>
          <w:rFonts w:ascii="Times New Roman" w:hAnsi="Times New Roman" w:cs="Times New Roman"/>
        </w:rPr>
        <w:t>s</w:t>
      </w:r>
      <w:r w:rsidR="00C27C8C" w:rsidRPr="004F38BE">
        <w:rPr>
          <w:rFonts w:ascii="Times New Roman" w:hAnsi="Times New Roman" w:cs="Times New Roman"/>
        </w:rPr>
        <w:t>even</w:t>
      </w:r>
      <w:r w:rsidR="00854265" w:rsidRPr="004F38BE">
        <w:rPr>
          <w:rFonts w:ascii="Times New Roman" w:hAnsi="Times New Roman" w:cs="Times New Roman"/>
        </w:rPr>
        <w:t>-marker</w:t>
      </w:r>
      <w:r w:rsidR="006816F8" w:rsidRPr="004F38BE">
        <w:rPr>
          <w:rFonts w:ascii="Times New Roman" w:hAnsi="Times New Roman" w:cs="Times New Roman"/>
        </w:rPr>
        <w:t xml:space="preserve"> biosignature for the diagnosis of TB disease, regardless of HIV infection status</w:t>
      </w:r>
      <w:r w:rsidR="00010EF3" w:rsidRPr="004F38BE">
        <w:rPr>
          <w:rFonts w:ascii="Times New Roman" w:hAnsi="Times New Roman" w:cs="Times New Roman"/>
        </w:rPr>
        <w:t>,</w:t>
      </w:r>
      <w:r w:rsidR="006816F8" w:rsidRPr="004F38BE">
        <w:rPr>
          <w:rFonts w:ascii="Times New Roman" w:hAnsi="Times New Roman" w:cs="Times New Roman"/>
        </w:rPr>
        <w:t xml:space="preserve"> was a combination</w:t>
      </w:r>
      <w:r w:rsidR="00154577" w:rsidRPr="004F38BE">
        <w:rPr>
          <w:rFonts w:ascii="Times New Roman" w:hAnsi="Times New Roman" w:cs="Times New Roman"/>
        </w:rPr>
        <w:t xml:space="preserve"> </w:t>
      </w:r>
      <w:r w:rsidR="00750D55" w:rsidRPr="004F38BE">
        <w:rPr>
          <w:rFonts w:ascii="Times New Roman" w:hAnsi="Times New Roman" w:cs="Times New Roman"/>
        </w:rPr>
        <w:t xml:space="preserve">of </w:t>
      </w:r>
      <w:r w:rsidR="003D4F2F" w:rsidRPr="004F38BE">
        <w:rPr>
          <w:rFonts w:ascii="Times New Roman" w:hAnsi="Times New Roman" w:cs="Times New Roman"/>
        </w:rPr>
        <w:t>ApoA-1, CFH, CRP, IFN-γ, IP-10</w:t>
      </w:r>
      <w:r w:rsidR="00C27C8C" w:rsidRPr="004F38BE">
        <w:rPr>
          <w:rFonts w:ascii="Times New Roman" w:hAnsi="Times New Roman" w:cs="Times New Roman"/>
        </w:rPr>
        <w:t>, SAA and</w:t>
      </w:r>
      <w:r w:rsidR="003D4F2F" w:rsidRPr="004F38BE">
        <w:rPr>
          <w:rFonts w:ascii="Times New Roman" w:hAnsi="Times New Roman" w:cs="Times New Roman"/>
        </w:rPr>
        <w:t xml:space="preserve"> </w:t>
      </w:r>
      <w:r w:rsidR="006816F8" w:rsidRPr="004F38BE">
        <w:rPr>
          <w:rFonts w:ascii="Times New Roman" w:hAnsi="Times New Roman" w:cs="Times New Roman"/>
        </w:rPr>
        <w:t>transthyretin</w:t>
      </w:r>
      <w:r w:rsidR="003D4F2F" w:rsidRPr="004F38BE">
        <w:rPr>
          <w:rFonts w:ascii="Times New Roman" w:hAnsi="Times New Roman" w:cs="Times New Roman"/>
        </w:rPr>
        <w:t xml:space="preserve">. </w:t>
      </w:r>
      <w:r w:rsidR="006816F8" w:rsidRPr="004F38BE">
        <w:rPr>
          <w:rFonts w:ascii="Times New Roman" w:hAnsi="Times New Roman" w:cs="Times New Roman"/>
        </w:rPr>
        <w:t xml:space="preserve">Without any model “supervision”, this biosignature ascertained TB disease with a sensitivity of </w:t>
      </w:r>
      <w:r w:rsidR="00C27C8C" w:rsidRPr="004F38BE">
        <w:rPr>
          <w:rFonts w:ascii="Times New Roman" w:hAnsi="Times New Roman" w:cs="Times New Roman"/>
        </w:rPr>
        <w:t>86.7</w:t>
      </w:r>
      <w:r w:rsidR="006816F8" w:rsidRPr="004F38BE">
        <w:rPr>
          <w:rFonts w:ascii="Times New Roman" w:hAnsi="Times New Roman" w:cs="Times New Roman"/>
        </w:rPr>
        <w:t xml:space="preserve">% (95% CI, </w:t>
      </w:r>
      <w:r w:rsidR="00107D67" w:rsidRPr="004F38BE">
        <w:rPr>
          <w:rFonts w:ascii="Times New Roman" w:hAnsi="Times New Roman" w:cs="Times New Roman"/>
        </w:rPr>
        <w:t>79.9-91.5%</w:t>
      </w:r>
      <w:r w:rsidR="006816F8" w:rsidRPr="004F38BE">
        <w:rPr>
          <w:rFonts w:ascii="Times New Roman" w:hAnsi="Times New Roman" w:cs="Times New Roman"/>
        </w:rPr>
        <w:t xml:space="preserve">) and specificity of </w:t>
      </w:r>
      <w:r w:rsidR="00C27C8C" w:rsidRPr="004F38BE">
        <w:rPr>
          <w:rFonts w:ascii="Times New Roman" w:hAnsi="Times New Roman" w:cs="Times New Roman"/>
        </w:rPr>
        <w:t>85.3</w:t>
      </w:r>
      <w:r w:rsidR="006816F8" w:rsidRPr="004F38BE">
        <w:rPr>
          <w:rFonts w:ascii="Times New Roman" w:hAnsi="Times New Roman" w:cs="Times New Roman"/>
        </w:rPr>
        <w:t xml:space="preserve">% (95% CI, </w:t>
      </w:r>
      <w:r w:rsidR="00107D67" w:rsidRPr="004F38BE">
        <w:rPr>
          <w:rFonts w:ascii="Times New Roman" w:hAnsi="Times New Roman" w:cs="Times New Roman"/>
        </w:rPr>
        <w:t>81.0-88.8%</w:t>
      </w:r>
      <w:r w:rsidR="006816F8" w:rsidRPr="004F38BE">
        <w:rPr>
          <w:rFonts w:ascii="Times New Roman" w:hAnsi="Times New Roman" w:cs="Times New Roman"/>
        </w:rPr>
        <w:t>) in the training dataset (n=4</w:t>
      </w:r>
      <w:r w:rsidR="00C27C8C" w:rsidRPr="004F38BE">
        <w:rPr>
          <w:rFonts w:ascii="Times New Roman" w:hAnsi="Times New Roman" w:cs="Times New Roman"/>
        </w:rPr>
        <w:t>91</w:t>
      </w:r>
      <w:r w:rsidR="005B54FB" w:rsidRPr="004F38BE">
        <w:rPr>
          <w:rFonts w:ascii="Times New Roman" w:hAnsi="Times New Roman" w:cs="Times New Roman"/>
        </w:rPr>
        <w:t>; 1</w:t>
      </w:r>
      <w:r w:rsidR="00C27C8C" w:rsidRPr="004F38BE">
        <w:rPr>
          <w:rFonts w:ascii="Times New Roman" w:hAnsi="Times New Roman" w:cs="Times New Roman"/>
        </w:rPr>
        <w:t>68</w:t>
      </w:r>
      <w:r w:rsidR="005B54FB" w:rsidRPr="004F38BE">
        <w:rPr>
          <w:rFonts w:ascii="Times New Roman" w:hAnsi="Times New Roman" w:cs="Times New Roman"/>
        </w:rPr>
        <w:t xml:space="preserve"> TB and 3</w:t>
      </w:r>
      <w:r w:rsidR="00C27C8C" w:rsidRPr="004F38BE">
        <w:rPr>
          <w:rFonts w:ascii="Times New Roman" w:hAnsi="Times New Roman" w:cs="Times New Roman"/>
        </w:rPr>
        <w:t>2</w:t>
      </w:r>
      <w:r w:rsidR="005B54FB" w:rsidRPr="004F38BE">
        <w:rPr>
          <w:rFonts w:ascii="Times New Roman" w:hAnsi="Times New Roman" w:cs="Times New Roman"/>
        </w:rPr>
        <w:t>3 no-</w:t>
      </w:r>
      <w:r w:rsidR="007F3F85" w:rsidRPr="004F38BE">
        <w:rPr>
          <w:rFonts w:ascii="Times New Roman" w:hAnsi="Times New Roman" w:cs="Times New Roman"/>
        </w:rPr>
        <w:t>P</w:t>
      </w:r>
      <w:r w:rsidR="005B54FB" w:rsidRPr="004F38BE">
        <w:rPr>
          <w:rFonts w:ascii="Times New Roman" w:hAnsi="Times New Roman" w:cs="Times New Roman"/>
        </w:rPr>
        <w:t>TB</w:t>
      </w:r>
      <w:r w:rsidR="006816F8" w:rsidRPr="004F38BE">
        <w:rPr>
          <w:rFonts w:ascii="Times New Roman" w:hAnsi="Times New Roman" w:cs="Times New Roman"/>
        </w:rPr>
        <w:t xml:space="preserve">), and a sensitivity of </w:t>
      </w:r>
      <w:r w:rsidR="00C27C8C" w:rsidRPr="004F38BE">
        <w:rPr>
          <w:rFonts w:ascii="Times New Roman" w:hAnsi="Times New Roman" w:cs="Times New Roman"/>
        </w:rPr>
        <w:t>81.3</w:t>
      </w:r>
      <w:r w:rsidR="006816F8" w:rsidRPr="004F38BE">
        <w:rPr>
          <w:rFonts w:ascii="Times New Roman" w:hAnsi="Times New Roman" w:cs="Times New Roman"/>
        </w:rPr>
        <w:t xml:space="preserve">% (95% CI, </w:t>
      </w:r>
      <w:r w:rsidR="00107D67" w:rsidRPr="004F38BE">
        <w:rPr>
          <w:rFonts w:ascii="Times New Roman" w:hAnsi="Times New Roman" w:cs="Times New Roman"/>
        </w:rPr>
        <w:t>69.2-89.5</w:t>
      </w:r>
      <w:r w:rsidR="006816F8" w:rsidRPr="004F38BE">
        <w:rPr>
          <w:rFonts w:ascii="Times New Roman" w:hAnsi="Times New Roman" w:cs="Times New Roman"/>
        </w:rPr>
        <w:t xml:space="preserve">%) and specificity of </w:t>
      </w:r>
      <w:r w:rsidR="00C27C8C" w:rsidRPr="004F38BE">
        <w:rPr>
          <w:rFonts w:ascii="Times New Roman" w:hAnsi="Times New Roman" w:cs="Times New Roman"/>
        </w:rPr>
        <w:t>79.5</w:t>
      </w:r>
      <w:r w:rsidR="006816F8" w:rsidRPr="004F38BE">
        <w:rPr>
          <w:rFonts w:ascii="Times New Roman" w:hAnsi="Times New Roman" w:cs="Times New Roman"/>
        </w:rPr>
        <w:t xml:space="preserve">% (95% CI, </w:t>
      </w:r>
      <w:r w:rsidR="00107D67" w:rsidRPr="004F38BE">
        <w:rPr>
          <w:rFonts w:ascii="Times New Roman" w:hAnsi="Times New Roman" w:cs="Times New Roman"/>
        </w:rPr>
        <w:t>71.8-85.5</w:t>
      </w:r>
      <w:r w:rsidR="006816F8" w:rsidRPr="004F38BE">
        <w:rPr>
          <w:rFonts w:ascii="Times New Roman" w:hAnsi="Times New Roman" w:cs="Times New Roman"/>
        </w:rPr>
        <w:t>%) in the test dataset (n=2</w:t>
      </w:r>
      <w:r w:rsidR="00C27C8C" w:rsidRPr="004F38BE">
        <w:rPr>
          <w:rFonts w:ascii="Times New Roman" w:hAnsi="Times New Roman" w:cs="Times New Roman"/>
        </w:rPr>
        <w:t>10</w:t>
      </w:r>
      <w:r w:rsidR="005B54FB" w:rsidRPr="004F38BE">
        <w:rPr>
          <w:rFonts w:ascii="Times New Roman" w:hAnsi="Times New Roman" w:cs="Times New Roman"/>
        </w:rPr>
        <w:t xml:space="preserve">, </w:t>
      </w:r>
      <w:r w:rsidR="00C27C8C" w:rsidRPr="004F38BE">
        <w:rPr>
          <w:rFonts w:ascii="Times New Roman" w:hAnsi="Times New Roman" w:cs="Times New Roman"/>
        </w:rPr>
        <w:t>77</w:t>
      </w:r>
      <w:r w:rsidR="005B54FB" w:rsidRPr="004F38BE">
        <w:rPr>
          <w:rFonts w:ascii="Times New Roman" w:hAnsi="Times New Roman" w:cs="Times New Roman"/>
        </w:rPr>
        <w:t xml:space="preserve"> TB and 1</w:t>
      </w:r>
      <w:r w:rsidR="00C27C8C" w:rsidRPr="004F38BE">
        <w:rPr>
          <w:rFonts w:ascii="Times New Roman" w:hAnsi="Times New Roman" w:cs="Times New Roman"/>
        </w:rPr>
        <w:t>33</w:t>
      </w:r>
      <w:r w:rsidR="005B54FB" w:rsidRPr="004F38BE">
        <w:rPr>
          <w:rFonts w:ascii="Times New Roman" w:hAnsi="Times New Roman" w:cs="Times New Roman"/>
        </w:rPr>
        <w:t xml:space="preserve"> </w:t>
      </w:r>
      <w:r w:rsidR="007F3F85" w:rsidRPr="004F38BE">
        <w:rPr>
          <w:rFonts w:ascii="Times New Roman" w:hAnsi="Times New Roman" w:cs="Times New Roman"/>
        </w:rPr>
        <w:t>No-PTB</w:t>
      </w:r>
      <w:r w:rsidR="006816F8" w:rsidRPr="004F38BE">
        <w:rPr>
          <w:rFonts w:ascii="Times New Roman" w:hAnsi="Times New Roman" w:cs="Times New Roman"/>
        </w:rPr>
        <w:t>).</w:t>
      </w:r>
      <w:r w:rsidR="00DD212B" w:rsidRPr="004F38BE">
        <w:rPr>
          <w:rFonts w:ascii="Times New Roman" w:hAnsi="Times New Roman" w:cs="Times New Roman"/>
        </w:rPr>
        <w:t xml:space="preserve"> </w:t>
      </w:r>
      <w:r w:rsidR="00493161" w:rsidRPr="004F38BE">
        <w:rPr>
          <w:rFonts w:ascii="Times New Roman" w:hAnsi="Times New Roman" w:cs="Times New Roman"/>
        </w:rPr>
        <w:t>To improve test performance</w:t>
      </w:r>
      <w:r w:rsidR="00E41AEE" w:rsidRPr="004F38BE">
        <w:rPr>
          <w:rFonts w:ascii="Times New Roman" w:hAnsi="Times New Roman" w:cs="Times New Roman"/>
        </w:rPr>
        <w:t>, we optimised the model for highe</w:t>
      </w:r>
      <w:r w:rsidR="00034C19" w:rsidRPr="004F38BE">
        <w:rPr>
          <w:rFonts w:ascii="Times New Roman" w:hAnsi="Times New Roman" w:cs="Times New Roman"/>
        </w:rPr>
        <w:t>r</w:t>
      </w:r>
      <w:r w:rsidR="00E41AEE" w:rsidRPr="004F38BE">
        <w:rPr>
          <w:rFonts w:ascii="Times New Roman" w:hAnsi="Times New Roman" w:cs="Times New Roman"/>
        </w:rPr>
        <w:t xml:space="preserve"> sensitivity at the expense of lower specificity, which would allow </w:t>
      </w:r>
      <w:r w:rsidR="00DD212B" w:rsidRPr="004F38BE">
        <w:rPr>
          <w:rFonts w:ascii="Times New Roman" w:hAnsi="Times New Roman" w:cs="Times New Roman"/>
        </w:rPr>
        <w:t xml:space="preserve">the test to be used as </w:t>
      </w:r>
      <w:r w:rsidR="00E41AEE" w:rsidRPr="004F38BE">
        <w:rPr>
          <w:rFonts w:ascii="Times New Roman" w:hAnsi="Times New Roman" w:cs="Times New Roman"/>
        </w:rPr>
        <w:t>a screening t</w:t>
      </w:r>
      <w:r w:rsidR="00DD212B" w:rsidRPr="004F38BE">
        <w:rPr>
          <w:rFonts w:ascii="Times New Roman" w:hAnsi="Times New Roman" w:cs="Times New Roman"/>
        </w:rPr>
        <w:t>ool</w:t>
      </w:r>
      <w:r w:rsidR="00E41AEE" w:rsidRPr="004F38BE">
        <w:rPr>
          <w:rFonts w:ascii="Times New Roman" w:hAnsi="Times New Roman" w:cs="Times New Roman"/>
        </w:rPr>
        <w:t>. The amended</w:t>
      </w:r>
      <w:r w:rsidR="006816F8" w:rsidRPr="004F38BE">
        <w:rPr>
          <w:rFonts w:ascii="Times New Roman" w:hAnsi="Times New Roman" w:cs="Times New Roman"/>
        </w:rPr>
        <w:t xml:space="preserve"> cut-off values ascertained TB disease with a sensitivity of </w:t>
      </w:r>
      <w:r w:rsidR="00B849E5" w:rsidRPr="004F38BE">
        <w:rPr>
          <w:rFonts w:ascii="Times New Roman" w:hAnsi="Times New Roman" w:cs="Times New Roman"/>
        </w:rPr>
        <w:t>90.7</w:t>
      </w:r>
      <w:r w:rsidR="006816F8" w:rsidRPr="004F38BE">
        <w:rPr>
          <w:rFonts w:ascii="Times New Roman" w:hAnsi="Times New Roman" w:cs="Times New Roman"/>
        </w:rPr>
        <w:t xml:space="preserve">% (95% CI, </w:t>
      </w:r>
      <w:r w:rsidR="004A51C9" w:rsidRPr="004F38BE">
        <w:rPr>
          <w:rFonts w:ascii="Times New Roman" w:hAnsi="Times New Roman" w:cs="Times New Roman"/>
        </w:rPr>
        <w:t>84.5-94.6</w:t>
      </w:r>
      <w:r w:rsidR="006816F8" w:rsidRPr="004F38BE">
        <w:rPr>
          <w:rFonts w:ascii="Times New Roman" w:hAnsi="Times New Roman" w:cs="Times New Roman"/>
        </w:rPr>
        <w:t xml:space="preserve">%) and specificity of </w:t>
      </w:r>
      <w:r w:rsidR="00B849E5" w:rsidRPr="004F38BE">
        <w:rPr>
          <w:rFonts w:ascii="Times New Roman" w:hAnsi="Times New Roman" w:cs="Times New Roman"/>
        </w:rPr>
        <w:t>74.8</w:t>
      </w:r>
      <w:r w:rsidR="006816F8" w:rsidRPr="004F38BE">
        <w:rPr>
          <w:rFonts w:ascii="Times New Roman" w:hAnsi="Times New Roman" w:cs="Times New Roman"/>
        </w:rPr>
        <w:t>% (95% CI,</w:t>
      </w:r>
      <w:r w:rsidR="006816F8" w:rsidRPr="004F38BE">
        <w:rPr>
          <w:rFonts w:ascii="Times New Roman" w:hAnsi="Times New Roman" w:cs="Times New Roman"/>
          <w:b/>
        </w:rPr>
        <w:t xml:space="preserve"> </w:t>
      </w:r>
      <w:r w:rsidR="004A51C9" w:rsidRPr="004F38BE">
        <w:rPr>
          <w:rFonts w:ascii="Times New Roman" w:hAnsi="Times New Roman" w:cs="Times New Roman"/>
        </w:rPr>
        <w:t>69.8-</w:t>
      </w:r>
      <w:r w:rsidR="004A51C9" w:rsidRPr="004F38BE">
        <w:rPr>
          <w:rFonts w:ascii="Times New Roman" w:hAnsi="Times New Roman" w:cs="Times New Roman"/>
        </w:rPr>
        <w:lastRenderedPageBreak/>
        <w:t>79.2</w:t>
      </w:r>
      <w:r w:rsidR="006816F8" w:rsidRPr="004F38BE">
        <w:rPr>
          <w:rFonts w:ascii="Times New Roman" w:hAnsi="Times New Roman" w:cs="Times New Roman"/>
        </w:rPr>
        <w:t>%) in the training dataset (n=4</w:t>
      </w:r>
      <w:r w:rsidR="00B849E5" w:rsidRPr="004F38BE">
        <w:rPr>
          <w:rFonts w:ascii="Times New Roman" w:hAnsi="Times New Roman" w:cs="Times New Roman"/>
        </w:rPr>
        <w:t>91</w:t>
      </w:r>
      <w:r w:rsidR="006816F8" w:rsidRPr="004F38BE">
        <w:rPr>
          <w:rFonts w:ascii="Times New Roman" w:hAnsi="Times New Roman" w:cs="Times New Roman"/>
        </w:rPr>
        <w:t xml:space="preserve">), and sensitivity of </w:t>
      </w:r>
      <w:r w:rsidR="003B1088" w:rsidRPr="004F38BE">
        <w:rPr>
          <w:rFonts w:ascii="Times New Roman" w:hAnsi="Times New Roman" w:cs="Times New Roman"/>
        </w:rPr>
        <w:t>93.8</w:t>
      </w:r>
      <w:r w:rsidR="006816F8" w:rsidRPr="004F38BE">
        <w:rPr>
          <w:rFonts w:ascii="Times New Roman" w:hAnsi="Times New Roman" w:cs="Times New Roman"/>
        </w:rPr>
        <w:t xml:space="preserve">% (95% CI: </w:t>
      </w:r>
      <w:r w:rsidR="004A51C9" w:rsidRPr="004F38BE">
        <w:rPr>
          <w:rFonts w:ascii="Times New Roman" w:hAnsi="Times New Roman" w:cs="Times New Roman"/>
        </w:rPr>
        <w:t>84.0-98.0</w:t>
      </w:r>
      <w:r w:rsidR="006816F8" w:rsidRPr="004F38BE">
        <w:rPr>
          <w:rFonts w:ascii="Times New Roman" w:hAnsi="Times New Roman" w:cs="Times New Roman"/>
        </w:rPr>
        <w:t>) and specificity of 7</w:t>
      </w:r>
      <w:r w:rsidR="003B1088" w:rsidRPr="004F38BE">
        <w:rPr>
          <w:rFonts w:ascii="Times New Roman" w:hAnsi="Times New Roman" w:cs="Times New Roman"/>
        </w:rPr>
        <w:t>3.3</w:t>
      </w:r>
      <w:r w:rsidR="006816F8" w:rsidRPr="004F38BE">
        <w:rPr>
          <w:rFonts w:ascii="Times New Roman" w:hAnsi="Times New Roman" w:cs="Times New Roman"/>
        </w:rPr>
        <w:t xml:space="preserve">% (95% CI, </w:t>
      </w:r>
      <w:r w:rsidR="004A51C9" w:rsidRPr="004F38BE">
        <w:rPr>
          <w:rFonts w:ascii="Times New Roman" w:hAnsi="Times New Roman" w:cs="Times New Roman"/>
        </w:rPr>
        <w:t>65.2-80.1</w:t>
      </w:r>
      <w:r w:rsidR="006816F8" w:rsidRPr="004F38BE">
        <w:rPr>
          <w:rFonts w:ascii="Times New Roman" w:hAnsi="Times New Roman" w:cs="Times New Roman"/>
        </w:rPr>
        <w:t>%) in the test dataset (n=2</w:t>
      </w:r>
      <w:r w:rsidR="003B1088" w:rsidRPr="004F38BE">
        <w:rPr>
          <w:rFonts w:ascii="Times New Roman" w:hAnsi="Times New Roman" w:cs="Times New Roman"/>
        </w:rPr>
        <w:t>10</w:t>
      </w:r>
      <w:r w:rsidR="006816F8" w:rsidRPr="004F38BE">
        <w:rPr>
          <w:rFonts w:ascii="Times New Roman" w:hAnsi="Times New Roman" w:cs="Times New Roman"/>
        </w:rPr>
        <w:t xml:space="preserve">). The positive </w:t>
      </w:r>
      <w:r w:rsidR="0068554C" w:rsidRPr="004F38BE">
        <w:rPr>
          <w:rFonts w:ascii="Times New Roman" w:hAnsi="Times New Roman" w:cs="Times New Roman"/>
        </w:rPr>
        <w:t xml:space="preserve">and negative </w:t>
      </w:r>
      <w:r w:rsidR="006816F8" w:rsidRPr="004F38BE">
        <w:rPr>
          <w:rFonts w:ascii="Times New Roman" w:hAnsi="Times New Roman" w:cs="Times New Roman"/>
        </w:rPr>
        <w:t>predictive</w:t>
      </w:r>
      <w:r w:rsidR="008301EB" w:rsidRPr="004F38BE">
        <w:rPr>
          <w:rFonts w:ascii="Times New Roman" w:hAnsi="Times New Roman" w:cs="Times New Roman"/>
        </w:rPr>
        <w:t xml:space="preserve"> values</w:t>
      </w:r>
      <w:r w:rsidR="00A755E1" w:rsidRPr="004F38BE">
        <w:rPr>
          <w:rFonts w:ascii="Times New Roman" w:hAnsi="Times New Roman" w:cs="Times New Roman"/>
        </w:rPr>
        <w:t xml:space="preserve"> (NPV)</w:t>
      </w:r>
      <w:r w:rsidR="0068554C" w:rsidRPr="004F38BE">
        <w:rPr>
          <w:rFonts w:ascii="Times New Roman" w:hAnsi="Times New Roman" w:cs="Times New Roman"/>
        </w:rPr>
        <w:t xml:space="preserve"> </w:t>
      </w:r>
      <w:r w:rsidR="006816F8" w:rsidRPr="004F38BE">
        <w:rPr>
          <w:rFonts w:ascii="Times New Roman" w:hAnsi="Times New Roman" w:cs="Times New Roman"/>
        </w:rPr>
        <w:t>of the biosignature w</w:t>
      </w:r>
      <w:r w:rsidR="0068554C" w:rsidRPr="004F38BE">
        <w:rPr>
          <w:rFonts w:ascii="Times New Roman" w:hAnsi="Times New Roman" w:cs="Times New Roman"/>
        </w:rPr>
        <w:t>ere</w:t>
      </w:r>
      <w:r w:rsidR="006816F8" w:rsidRPr="004F38BE">
        <w:rPr>
          <w:rFonts w:ascii="Times New Roman" w:hAnsi="Times New Roman" w:cs="Times New Roman"/>
        </w:rPr>
        <w:t xml:space="preserve"> 6</w:t>
      </w:r>
      <w:r w:rsidR="00D71B15" w:rsidRPr="004F38BE">
        <w:rPr>
          <w:rFonts w:ascii="Times New Roman" w:hAnsi="Times New Roman" w:cs="Times New Roman"/>
        </w:rPr>
        <w:t>0</w:t>
      </w:r>
      <w:r w:rsidR="006816F8" w:rsidRPr="004F38BE">
        <w:rPr>
          <w:rFonts w:ascii="Times New Roman" w:hAnsi="Times New Roman" w:cs="Times New Roman"/>
        </w:rPr>
        <w:t>.</w:t>
      </w:r>
      <w:r w:rsidR="00D71B15" w:rsidRPr="004F38BE">
        <w:rPr>
          <w:rFonts w:ascii="Times New Roman" w:hAnsi="Times New Roman" w:cs="Times New Roman"/>
        </w:rPr>
        <w:t>6</w:t>
      </w:r>
      <w:r w:rsidR="006816F8" w:rsidRPr="004F38BE">
        <w:rPr>
          <w:rFonts w:ascii="Times New Roman" w:hAnsi="Times New Roman" w:cs="Times New Roman"/>
        </w:rPr>
        <w:t xml:space="preserve">% (95% CI, </w:t>
      </w:r>
      <w:r w:rsidR="001E0D91" w:rsidRPr="004F38BE">
        <w:rPr>
          <w:rFonts w:ascii="Times New Roman" w:hAnsi="Times New Roman" w:cs="Times New Roman"/>
        </w:rPr>
        <w:t>50.3-</w:t>
      </w:r>
      <w:r w:rsidR="00F62624" w:rsidRPr="004F38BE">
        <w:rPr>
          <w:rFonts w:ascii="Times New Roman" w:hAnsi="Times New Roman" w:cs="Times New Roman"/>
        </w:rPr>
        <w:t xml:space="preserve">70.1 </w:t>
      </w:r>
      <w:r w:rsidR="006816F8" w:rsidRPr="004F38BE">
        <w:rPr>
          <w:rFonts w:ascii="Times New Roman" w:hAnsi="Times New Roman" w:cs="Times New Roman"/>
        </w:rPr>
        <w:t>%) and 9</w:t>
      </w:r>
      <w:r w:rsidR="00D71B15" w:rsidRPr="004F38BE">
        <w:rPr>
          <w:rFonts w:ascii="Times New Roman" w:hAnsi="Times New Roman" w:cs="Times New Roman"/>
        </w:rPr>
        <w:t>6</w:t>
      </w:r>
      <w:r w:rsidR="006816F8" w:rsidRPr="004F38BE">
        <w:rPr>
          <w:rFonts w:ascii="Times New Roman" w:hAnsi="Times New Roman" w:cs="Times New Roman"/>
        </w:rPr>
        <w:t>.</w:t>
      </w:r>
      <w:r w:rsidR="00D71B15" w:rsidRPr="004F38BE">
        <w:rPr>
          <w:rFonts w:ascii="Times New Roman" w:hAnsi="Times New Roman" w:cs="Times New Roman"/>
        </w:rPr>
        <w:t>4</w:t>
      </w:r>
      <w:r w:rsidR="006816F8" w:rsidRPr="004F38BE">
        <w:rPr>
          <w:rFonts w:ascii="Times New Roman" w:hAnsi="Times New Roman" w:cs="Times New Roman"/>
        </w:rPr>
        <w:t xml:space="preserve">% (95% CI, </w:t>
      </w:r>
      <w:r w:rsidR="001E0D91" w:rsidRPr="004F38BE">
        <w:rPr>
          <w:rFonts w:ascii="Times New Roman" w:hAnsi="Times New Roman" w:cs="Times New Roman"/>
        </w:rPr>
        <w:t>90.5-98.8%</w:t>
      </w:r>
      <w:r w:rsidR="006816F8" w:rsidRPr="004F38BE">
        <w:rPr>
          <w:rFonts w:ascii="Times New Roman" w:hAnsi="Times New Roman" w:cs="Times New Roman"/>
        </w:rPr>
        <w:t>)</w:t>
      </w:r>
      <w:r w:rsidR="00010EF3" w:rsidRPr="004F38BE">
        <w:rPr>
          <w:rFonts w:ascii="Times New Roman" w:hAnsi="Times New Roman" w:cs="Times New Roman"/>
        </w:rPr>
        <w:t>,</w:t>
      </w:r>
      <w:r w:rsidR="0068554C" w:rsidRPr="004F38BE">
        <w:rPr>
          <w:rFonts w:ascii="Times New Roman" w:hAnsi="Times New Roman" w:cs="Times New Roman"/>
        </w:rPr>
        <w:t xml:space="preserve"> </w:t>
      </w:r>
      <w:r w:rsidR="0068554C" w:rsidRPr="004F38BE">
        <w:rPr>
          <w:rFonts w:ascii="Times New Roman" w:hAnsi="Times New Roman" w:cs="Times New Roman"/>
          <w:color w:val="auto"/>
        </w:rPr>
        <w:t xml:space="preserve">respectively </w:t>
      </w:r>
      <w:r w:rsidR="006816F8" w:rsidRPr="004F38BE">
        <w:rPr>
          <w:rFonts w:ascii="Times New Roman" w:hAnsi="Times New Roman" w:cs="Times New Roman"/>
          <w:color w:val="auto"/>
        </w:rPr>
        <w:t xml:space="preserve">(Table </w:t>
      </w:r>
      <w:r w:rsidR="00C92267">
        <w:rPr>
          <w:rFonts w:ascii="Times New Roman" w:hAnsi="Times New Roman" w:cs="Times New Roman"/>
          <w:color w:val="auto"/>
        </w:rPr>
        <w:t>4</w:t>
      </w:r>
      <w:r w:rsidR="006816F8" w:rsidRPr="004F38BE">
        <w:rPr>
          <w:rFonts w:ascii="Times New Roman" w:hAnsi="Times New Roman" w:cs="Times New Roman"/>
          <w:color w:val="auto"/>
        </w:rPr>
        <w:t>).</w:t>
      </w:r>
      <w:r w:rsidR="00C572FD" w:rsidRPr="004F38BE">
        <w:rPr>
          <w:rFonts w:ascii="Times New Roman" w:hAnsi="Times New Roman" w:cs="Times New Roman"/>
          <w:color w:val="auto"/>
        </w:rPr>
        <w:t xml:space="preserve"> The </w:t>
      </w:r>
      <w:r w:rsidR="00C572FD" w:rsidRPr="004F38BE">
        <w:rPr>
          <w:rFonts w:ascii="Times New Roman" w:hAnsi="Times New Roman" w:cs="Times New Roman"/>
        </w:rPr>
        <w:t>AUC for the s</w:t>
      </w:r>
      <w:r w:rsidR="00D71B15" w:rsidRPr="004F38BE">
        <w:rPr>
          <w:rFonts w:ascii="Times New Roman" w:hAnsi="Times New Roman" w:cs="Times New Roman"/>
        </w:rPr>
        <w:t>even</w:t>
      </w:r>
      <w:r w:rsidR="00C572FD" w:rsidRPr="004F38BE">
        <w:rPr>
          <w:rFonts w:ascii="Times New Roman" w:hAnsi="Times New Roman" w:cs="Times New Roman"/>
        </w:rPr>
        <w:t>-marker biosignature (d</w:t>
      </w:r>
      <w:r w:rsidR="0068554C" w:rsidRPr="004F38BE">
        <w:rPr>
          <w:rFonts w:ascii="Times New Roman" w:hAnsi="Times New Roman" w:cs="Times New Roman"/>
        </w:rPr>
        <w:t>etermined</w:t>
      </w:r>
      <w:r w:rsidR="00C572FD" w:rsidRPr="004F38BE">
        <w:rPr>
          <w:rFonts w:ascii="Times New Roman" w:hAnsi="Times New Roman" w:cs="Times New Roman"/>
        </w:rPr>
        <w:t xml:space="preserve"> </w:t>
      </w:r>
      <w:r w:rsidR="0068554C" w:rsidRPr="004F38BE">
        <w:rPr>
          <w:rFonts w:ascii="Times New Roman" w:hAnsi="Times New Roman" w:cs="Times New Roman"/>
        </w:rPr>
        <w:t>on</w:t>
      </w:r>
      <w:r w:rsidR="00C572FD" w:rsidRPr="004F38BE">
        <w:rPr>
          <w:rFonts w:ascii="Times New Roman" w:hAnsi="Times New Roman" w:cs="Times New Roman"/>
        </w:rPr>
        <w:t xml:space="preserve"> the training sample set) was 0.</w:t>
      </w:r>
      <w:r w:rsidR="00C572FD" w:rsidRPr="004F38BE">
        <w:rPr>
          <w:rFonts w:ascii="Times New Roman" w:hAnsi="Times New Roman" w:cs="Times New Roman"/>
          <w:color w:val="auto"/>
        </w:rPr>
        <w:t>91</w:t>
      </w:r>
      <w:r w:rsidR="00D71B15" w:rsidRPr="004F38BE">
        <w:rPr>
          <w:rFonts w:ascii="Times New Roman" w:hAnsi="Times New Roman" w:cs="Times New Roman"/>
          <w:color w:val="auto"/>
        </w:rPr>
        <w:t xml:space="preserve"> (95% CI, 0.88-0.94)</w:t>
      </w:r>
      <w:r w:rsidR="00C572FD" w:rsidRPr="004F38BE">
        <w:rPr>
          <w:rFonts w:ascii="Times New Roman" w:hAnsi="Times New Roman" w:cs="Times New Roman"/>
          <w:color w:val="auto"/>
        </w:rPr>
        <w:t xml:space="preserve"> (Figure 4). </w:t>
      </w:r>
      <w:r w:rsidR="006816F8" w:rsidRPr="004F38BE">
        <w:rPr>
          <w:rFonts w:ascii="Times New Roman" w:hAnsi="Times New Roman" w:cs="Times New Roman"/>
          <w:color w:val="auto"/>
        </w:rPr>
        <w:t xml:space="preserve"> </w:t>
      </w:r>
    </w:p>
    <w:p w14:paraId="5CCCA783" w14:textId="77777777" w:rsidR="00AC4305" w:rsidRDefault="00AC4305" w:rsidP="0033455D">
      <w:pPr>
        <w:pStyle w:val="DefaultStyle"/>
        <w:spacing w:line="360" w:lineRule="auto"/>
        <w:jc w:val="both"/>
        <w:rPr>
          <w:rFonts w:ascii="Times New Roman" w:hAnsi="Times New Roman" w:cs="Times New Roman"/>
          <w:color w:val="auto"/>
        </w:rPr>
      </w:pPr>
    </w:p>
    <w:p w14:paraId="2A067FA8" w14:textId="28C37458" w:rsidR="00AC4305" w:rsidRPr="004F38BE" w:rsidRDefault="00AC4305" w:rsidP="00AC4305">
      <w:pPr>
        <w:pStyle w:val="DefaultStyle"/>
        <w:spacing w:line="360" w:lineRule="auto"/>
        <w:jc w:val="both"/>
        <w:rPr>
          <w:rFonts w:ascii="Times New Roman" w:hAnsi="Times New Roman" w:cs="Times New Roman"/>
        </w:rPr>
      </w:pPr>
      <w:r w:rsidRPr="004F38BE">
        <w:rPr>
          <w:rFonts w:ascii="Times New Roman" w:hAnsi="Times New Roman" w:cs="Times New Roman"/>
        </w:rPr>
        <w:t xml:space="preserve">The random forest modelling approach gave similar prediction accuracies for TB and no-PTB as </w:t>
      </w:r>
      <w:r w:rsidR="00F427B3">
        <w:rPr>
          <w:rFonts w:ascii="Times New Roman" w:hAnsi="Times New Roman" w:cs="Times New Roman"/>
        </w:rPr>
        <w:t>G</w:t>
      </w:r>
      <w:r w:rsidRPr="004F38BE">
        <w:rPr>
          <w:rFonts w:ascii="Times New Roman" w:hAnsi="Times New Roman" w:cs="Times New Roman"/>
        </w:rPr>
        <w:t xml:space="preserve">DA (87% sensitivity and 83% specificity in the training sample set, and 83% sensitivity and 89% specificity in the test sample set), without selection of any preferred cut-off values. In addition to the seven analytes included in the optimal </w:t>
      </w:r>
      <w:r w:rsidR="00F427B3">
        <w:rPr>
          <w:rFonts w:ascii="Times New Roman" w:hAnsi="Times New Roman" w:cs="Times New Roman"/>
        </w:rPr>
        <w:t>G</w:t>
      </w:r>
      <w:r w:rsidRPr="004F38BE">
        <w:rPr>
          <w:rFonts w:ascii="Times New Roman" w:hAnsi="Times New Roman" w:cs="Times New Roman"/>
        </w:rPr>
        <w:t xml:space="preserve">DA biosignature, Apo-CIII, ferritin, fibrinogen, MMP-9 and TNF-α were also identified as important contributors to top models by the random forest analysis (Figure 4). </w:t>
      </w:r>
    </w:p>
    <w:p w14:paraId="1278BFF1" w14:textId="77777777" w:rsidR="00AC4305" w:rsidRPr="004F38BE" w:rsidRDefault="00AC4305" w:rsidP="0033455D">
      <w:pPr>
        <w:pStyle w:val="DefaultStyle"/>
        <w:spacing w:line="360" w:lineRule="auto"/>
        <w:jc w:val="both"/>
        <w:rPr>
          <w:rFonts w:ascii="Times New Roman" w:hAnsi="Times New Roman" w:cs="Times New Roman"/>
        </w:rPr>
      </w:pPr>
    </w:p>
    <w:p w14:paraId="7C50BBAD" w14:textId="39A0DF9A" w:rsidR="00536EAB" w:rsidRPr="004F38BE" w:rsidRDefault="00536EAB" w:rsidP="00536EAB">
      <w:pPr>
        <w:spacing w:line="276" w:lineRule="auto"/>
        <w:rPr>
          <w:b/>
        </w:rPr>
      </w:pPr>
      <w:r w:rsidRPr="004F38BE">
        <w:rPr>
          <w:b/>
        </w:rPr>
        <w:t xml:space="preserve">Table </w:t>
      </w:r>
      <w:r w:rsidR="00C92267">
        <w:rPr>
          <w:b/>
        </w:rPr>
        <w:t>4</w:t>
      </w:r>
      <w:r w:rsidRPr="004F38BE">
        <w:rPr>
          <w:b/>
        </w:rPr>
        <w:t>:</w:t>
      </w:r>
      <w:r w:rsidRPr="004F38BE">
        <w:t xml:space="preserve"> </w:t>
      </w:r>
      <w:r w:rsidRPr="004F38BE">
        <w:rPr>
          <w:b/>
        </w:rPr>
        <w:t>Accuracy of the seven-marker serum protein biosignature (</w:t>
      </w:r>
      <w:r w:rsidRPr="004F38BE">
        <w:rPr>
          <w:b/>
          <w:bCs/>
          <w:color w:val="000000"/>
        </w:rPr>
        <w:t xml:space="preserve">ApoA-1, CFH, CRP, IFN-γ, IP-10, SAA, </w:t>
      </w:r>
      <w:r w:rsidR="00AA18BE">
        <w:rPr>
          <w:b/>
          <w:bCs/>
          <w:color w:val="000000"/>
        </w:rPr>
        <w:t>t</w:t>
      </w:r>
      <w:r w:rsidRPr="004F38BE">
        <w:rPr>
          <w:b/>
          <w:bCs/>
          <w:color w:val="000000"/>
        </w:rPr>
        <w:t xml:space="preserve">ransthyretin) </w:t>
      </w:r>
      <w:r w:rsidRPr="004F38BE">
        <w:rPr>
          <w:b/>
        </w:rPr>
        <w:t>in the diagnosis of TB disease regardless of HIV infection status.</w:t>
      </w:r>
    </w:p>
    <w:p w14:paraId="403CDD66" w14:textId="77777777" w:rsidR="00536EAB" w:rsidRPr="004F38BE" w:rsidRDefault="00536EAB" w:rsidP="00536EAB">
      <w:pPr>
        <w:spacing w:line="480" w:lineRule="auto"/>
        <w:rPr>
          <w:b/>
        </w:rPr>
      </w:pP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1806"/>
        <w:gridCol w:w="134"/>
        <w:gridCol w:w="1821"/>
        <w:gridCol w:w="1376"/>
        <w:gridCol w:w="1563"/>
      </w:tblGrid>
      <w:tr w:rsidR="00536EAB" w:rsidRPr="004F38BE" w14:paraId="032BDB35" w14:textId="77777777" w:rsidTr="00967F18">
        <w:trPr>
          <w:trHeight w:val="1026"/>
        </w:trPr>
        <w:tc>
          <w:tcPr>
            <w:tcW w:w="2295" w:type="dxa"/>
          </w:tcPr>
          <w:p w14:paraId="7A066E23" w14:textId="77777777" w:rsidR="00536EAB" w:rsidRPr="004F38BE" w:rsidRDefault="00536EAB" w:rsidP="00967F18">
            <w:pPr>
              <w:rPr>
                <w:b/>
                <w:bCs/>
                <w:color w:val="000000"/>
              </w:rPr>
            </w:pPr>
            <w:r w:rsidRPr="004F38BE">
              <w:rPr>
                <w:b/>
                <w:bCs/>
                <w:color w:val="000000"/>
              </w:rPr>
              <w:t>Training set (n=491)</w:t>
            </w:r>
          </w:p>
        </w:tc>
        <w:tc>
          <w:tcPr>
            <w:tcW w:w="1940" w:type="dxa"/>
            <w:gridSpan w:val="2"/>
          </w:tcPr>
          <w:p w14:paraId="63BC3DFB" w14:textId="77777777" w:rsidR="00536EAB" w:rsidRPr="004F38BE" w:rsidRDefault="00536EAB" w:rsidP="00967F18">
            <w:pPr>
              <w:rPr>
                <w:b/>
                <w:color w:val="000000"/>
              </w:rPr>
            </w:pPr>
          </w:p>
        </w:tc>
        <w:tc>
          <w:tcPr>
            <w:tcW w:w="1821" w:type="dxa"/>
          </w:tcPr>
          <w:p w14:paraId="47A2BD65" w14:textId="77777777" w:rsidR="00536EAB" w:rsidRPr="004F38BE" w:rsidRDefault="00536EAB" w:rsidP="00967F18">
            <w:pPr>
              <w:rPr>
                <w:b/>
                <w:color w:val="000000"/>
              </w:rPr>
            </w:pPr>
          </w:p>
        </w:tc>
        <w:tc>
          <w:tcPr>
            <w:tcW w:w="1376" w:type="dxa"/>
          </w:tcPr>
          <w:p w14:paraId="4948A528" w14:textId="77777777" w:rsidR="00536EAB" w:rsidRPr="004F38BE" w:rsidRDefault="00536EAB" w:rsidP="00967F18">
            <w:pPr>
              <w:rPr>
                <w:b/>
                <w:color w:val="000000"/>
              </w:rPr>
            </w:pPr>
          </w:p>
        </w:tc>
        <w:tc>
          <w:tcPr>
            <w:tcW w:w="1563" w:type="dxa"/>
          </w:tcPr>
          <w:p w14:paraId="02F4C4BB" w14:textId="77777777" w:rsidR="00536EAB" w:rsidRPr="004F38BE" w:rsidRDefault="00536EAB" w:rsidP="00967F18">
            <w:pPr>
              <w:rPr>
                <w:b/>
                <w:color w:val="000000"/>
              </w:rPr>
            </w:pPr>
          </w:p>
        </w:tc>
      </w:tr>
      <w:tr w:rsidR="00536EAB" w:rsidRPr="004F38BE" w14:paraId="64B70BBF" w14:textId="77777777" w:rsidTr="00967F18">
        <w:trPr>
          <w:trHeight w:val="499"/>
        </w:trPr>
        <w:tc>
          <w:tcPr>
            <w:tcW w:w="2295" w:type="dxa"/>
          </w:tcPr>
          <w:p w14:paraId="4485263F" w14:textId="77777777" w:rsidR="00536EAB" w:rsidRPr="004F38BE" w:rsidRDefault="00536EAB" w:rsidP="00967F18">
            <w:pPr>
              <w:rPr>
                <w:b/>
                <w:bCs/>
                <w:color w:val="000000"/>
              </w:rPr>
            </w:pPr>
          </w:p>
        </w:tc>
        <w:tc>
          <w:tcPr>
            <w:tcW w:w="1940" w:type="dxa"/>
            <w:gridSpan w:val="2"/>
          </w:tcPr>
          <w:p w14:paraId="43190CE2" w14:textId="77777777" w:rsidR="00536EAB" w:rsidRPr="004F38BE" w:rsidRDefault="00536EAB" w:rsidP="00967F18">
            <w:pPr>
              <w:rPr>
                <w:b/>
                <w:color w:val="000000"/>
              </w:rPr>
            </w:pPr>
            <w:r w:rsidRPr="004F38BE">
              <w:rPr>
                <w:b/>
                <w:color w:val="000000"/>
              </w:rPr>
              <w:t>Sensitivity</w:t>
            </w:r>
          </w:p>
        </w:tc>
        <w:tc>
          <w:tcPr>
            <w:tcW w:w="1821" w:type="dxa"/>
          </w:tcPr>
          <w:p w14:paraId="33100FAC" w14:textId="77777777" w:rsidR="00536EAB" w:rsidRPr="004F38BE" w:rsidRDefault="00536EAB" w:rsidP="00967F18">
            <w:pPr>
              <w:rPr>
                <w:b/>
                <w:color w:val="000000"/>
              </w:rPr>
            </w:pPr>
            <w:r w:rsidRPr="004F38BE">
              <w:rPr>
                <w:b/>
                <w:color w:val="000000"/>
              </w:rPr>
              <w:t>Specificity</w:t>
            </w:r>
          </w:p>
        </w:tc>
        <w:tc>
          <w:tcPr>
            <w:tcW w:w="1376" w:type="dxa"/>
          </w:tcPr>
          <w:p w14:paraId="0A35FD99" w14:textId="77777777" w:rsidR="00536EAB" w:rsidRPr="004F38BE" w:rsidRDefault="00536EAB" w:rsidP="00967F18">
            <w:pPr>
              <w:rPr>
                <w:b/>
                <w:color w:val="000000"/>
              </w:rPr>
            </w:pPr>
            <w:r w:rsidRPr="004F38BE">
              <w:rPr>
                <w:b/>
                <w:color w:val="000000"/>
              </w:rPr>
              <w:t>PPV</w:t>
            </w:r>
          </w:p>
        </w:tc>
        <w:tc>
          <w:tcPr>
            <w:tcW w:w="1563" w:type="dxa"/>
          </w:tcPr>
          <w:p w14:paraId="544E8E54" w14:textId="77777777" w:rsidR="00536EAB" w:rsidRPr="004F38BE" w:rsidRDefault="00536EAB" w:rsidP="00967F18">
            <w:pPr>
              <w:rPr>
                <w:b/>
                <w:color w:val="000000"/>
              </w:rPr>
            </w:pPr>
            <w:r w:rsidRPr="004F38BE">
              <w:rPr>
                <w:b/>
                <w:color w:val="000000"/>
              </w:rPr>
              <w:t>NPV</w:t>
            </w:r>
          </w:p>
        </w:tc>
      </w:tr>
      <w:tr w:rsidR="00536EAB" w:rsidRPr="004F38BE" w14:paraId="6CDF183C" w14:textId="77777777" w:rsidTr="00967F18">
        <w:trPr>
          <w:trHeight w:val="513"/>
        </w:trPr>
        <w:tc>
          <w:tcPr>
            <w:tcW w:w="2295" w:type="dxa"/>
          </w:tcPr>
          <w:p w14:paraId="5D4A996B" w14:textId="77777777" w:rsidR="00536EAB" w:rsidRPr="004F38BE" w:rsidRDefault="00536EAB" w:rsidP="00967F18">
            <w:pPr>
              <w:rPr>
                <w:bCs/>
                <w:color w:val="000000"/>
              </w:rPr>
            </w:pPr>
            <w:r w:rsidRPr="004F38BE">
              <w:rPr>
                <w:bCs/>
                <w:color w:val="000000"/>
              </w:rPr>
              <w:t>%, (n/N)</w:t>
            </w:r>
          </w:p>
          <w:p w14:paraId="11EC8174" w14:textId="77777777" w:rsidR="00536EAB" w:rsidRPr="004F38BE" w:rsidRDefault="00536EAB" w:rsidP="00967F18">
            <w:pPr>
              <w:rPr>
                <w:b/>
                <w:bCs/>
                <w:color w:val="000000"/>
              </w:rPr>
            </w:pPr>
            <w:r w:rsidRPr="004F38BE">
              <w:rPr>
                <w:bCs/>
                <w:color w:val="000000"/>
              </w:rPr>
              <w:t>95% CI</w:t>
            </w:r>
          </w:p>
        </w:tc>
        <w:tc>
          <w:tcPr>
            <w:tcW w:w="1940" w:type="dxa"/>
            <w:gridSpan w:val="2"/>
          </w:tcPr>
          <w:p w14:paraId="392F01FA" w14:textId="77777777" w:rsidR="00536EAB" w:rsidRPr="004F38BE" w:rsidRDefault="00536EAB" w:rsidP="00967F18">
            <w:pPr>
              <w:rPr>
                <w:color w:val="000000"/>
              </w:rPr>
            </w:pPr>
            <w:r w:rsidRPr="004F38BE">
              <w:rPr>
                <w:color w:val="000000"/>
              </w:rPr>
              <w:t>86.7 (130/150)</w:t>
            </w:r>
          </w:p>
          <w:p w14:paraId="5B6BAE8F" w14:textId="77777777" w:rsidR="00536EAB" w:rsidRPr="004F38BE" w:rsidRDefault="00536EAB" w:rsidP="00967F18">
            <w:pPr>
              <w:rPr>
                <w:color w:val="000000"/>
              </w:rPr>
            </w:pPr>
            <w:r w:rsidRPr="004F38BE">
              <w:rPr>
                <w:color w:val="000000"/>
              </w:rPr>
              <w:t>(79.9-91.5)</w:t>
            </w:r>
          </w:p>
        </w:tc>
        <w:tc>
          <w:tcPr>
            <w:tcW w:w="1821" w:type="dxa"/>
          </w:tcPr>
          <w:p w14:paraId="4D147C84" w14:textId="77777777" w:rsidR="00536EAB" w:rsidRPr="004F38BE" w:rsidRDefault="00536EAB" w:rsidP="00967F18">
            <w:pPr>
              <w:rPr>
                <w:color w:val="000000"/>
              </w:rPr>
            </w:pPr>
            <w:r w:rsidRPr="004F38BE">
              <w:rPr>
                <w:color w:val="000000"/>
              </w:rPr>
              <w:t>85.3 (291/341)</w:t>
            </w:r>
          </w:p>
          <w:p w14:paraId="25F9A241" w14:textId="77777777" w:rsidR="00536EAB" w:rsidRPr="004F38BE" w:rsidRDefault="00536EAB" w:rsidP="00967F18">
            <w:pPr>
              <w:rPr>
                <w:color w:val="000000"/>
              </w:rPr>
            </w:pPr>
            <w:r w:rsidRPr="004F38BE">
              <w:rPr>
                <w:color w:val="000000"/>
              </w:rPr>
              <w:t>(81.0-88.8)</w:t>
            </w:r>
          </w:p>
        </w:tc>
        <w:tc>
          <w:tcPr>
            <w:tcW w:w="1376" w:type="dxa"/>
          </w:tcPr>
          <w:p w14:paraId="74D26A55" w14:textId="77777777" w:rsidR="00536EAB" w:rsidRPr="004F38BE" w:rsidRDefault="00536EAB" w:rsidP="00967F18">
            <w:pPr>
              <w:rPr>
                <w:color w:val="000000"/>
              </w:rPr>
            </w:pPr>
            <w:r w:rsidRPr="004F38BE">
              <w:rPr>
                <w:color w:val="000000"/>
              </w:rPr>
              <w:t xml:space="preserve">72.2 </w:t>
            </w:r>
          </w:p>
          <w:p w14:paraId="47462D19" w14:textId="77777777" w:rsidR="00536EAB" w:rsidRPr="004F38BE" w:rsidRDefault="00536EAB" w:rsidP="00967F18">
            <w:pPr>
              <w:rPr>
                <w:color w:val="000000"/>
              </w:rPr>
            </w:pPr>
            <w:r w:rsidRPr="004F38BE">
              <w:rPr>
                <w:color w:val="000000"/>
              </w:rPr>
              <w:t>(65.0-78.5)</w:t>
            </w:r>
          </w:p>
        </w:tc>
        <w:tc>
          <w:tcPr>
            <w:tcW w:w="1563" w:type="dxa"/>
          </w:tcPr>
          <w:p w14:paraId="6A3CF969" w14:textId="77777777" w:rsidR="00536EAB" w:rsidRPr="004F38BE" w:rsidRDefault="00536EAB" w:rsidP="00967F18">
            <w:pPr>
              <w:rPr>
                <w:color w:val="000000"/>
              </w:rPr>
            </w:pPr>
            <w:r w:rsidRPr="004F38BE">
              <w:rPr>
                <w:color w:val="000000"/>
              </w:rPr>
              <w:t xml:space="preserve">93.6 </w:t>
            </w:r>
          </w:p>
          <w:p w14:paraId="40392F79" w14:textId="77777777" w:rsidR="00536EAB" w:rsidRPr="004F38BE" w:rsidRDefault="00536EAB" w:rsidP="00967F18">
            <w:pPr>
              <w:rPr>
                <w:color w:val="000000"/>
              </w:rPr>
            </w:pPr>
            <w:r w:rsidRPr="004F38BE">
              <w:rPr>
                <w:color w:val="000000"/>
              </w:rPr>
              <w:t>(90.1-95.9)</w:t>
            </w:r>
          </w:p>
        </w:tc>
      </w:tr>
      <w:tr w:rsidR="00536EAB" w:rsidRPr="004F38BE" w14:paraId="21847487" w14:textId="77777777" w:rsidTr="00967F18">
        <w:trPr>
          <w:trHeight w:val="1026"/>
        </w:trPr>
        <w:tc>
          <w:tcPr>
            <w:tcW w:w="2295" w:type="dxa"/>
          </w:tcPr>
          <w:p w14:paraId="45B1A97C" w14:textId="77777777" w:rsidR="00536EAB" w:rsidRPr="004F38BE" w:rsidRDefault="00536EAB" w:rsidP="00967F18">
            <w:pPr>
              <w:rPr>
                <w:b/>
                <w:bCs/>
                <w:color w:val="000000"/>
              </w:rPr>
            </w:pPr>
          </w:p>
          <w:p w14:paraId="4BBFE545" w14:textId="77777777" w:rsidR="00536EAB" w:rsidRPr="004F38BE" w:rsidRDefault="00536EAB" w:rsidP="00967F18">
            <w:pPr>
              <w:rPr>
                <w:bCs/>
                <w:color w:val="000000"/>
              </w:rPr>
            </w:pPr>
            <w:r w:rsidRPr="004F38BE">
              <w:rPr>
                <w:b/>
                <w:bCs/>
                <w:color w:val="000000"/>
              </w:rPr>
              <w:t>Test set (n=210)</w:t>
            </w:r>
          </w:p>
        </w:tc>
        <w:tc>
          <w:tcPr>
            <w:tcW w:w="1940" w:type="dxa"/>
            <w:gridSpan w:val="2"/>
          </w:tcPr>
          <w:p w14:paraId="1BCB5F23" w14:textId="77777777" w:rsidR="00536EAB" w:rsidRPr="004F38BE" w:rsidRDefault="00536EAB" w:rsidP="00967F18">
            <w:pPr>
              <w:rPr>
                <w:color w:val="000000"/>
              </w:rPr>
            </w:pPr>
          </w:p>
        </w:tc>
        <w:tc>
          <w:tcPr>
            <w:tcW w:w="1821" w:type="dxa"/>
          </w:tcPr>
          <w:p w14:paraId="640D77BC" w14:textId="77777777" w:rsidR="00536EAB" w:rsidRPr="004F38BE" w:rsidRDefault="00536EAB" w:rsidP="00967F18">
            <w:pPr>
              <w:rPr>
                <w:color w:val="000000"/>
              </w:rPr>
            </w:pPr>
          </w:p>
        </w:tc>
        <w:tc>
          <w:tcPr>
            <w:tcW w:w="1376" w:type="dxa"/>
          </w:tcPr>
          <w:p w14:paraId="73B76613" w14:textId="77777777" w:rsidR="00536EAB" w:rsidRPr="004F38BE" w:rsidRDefault="00536EAB" w:rsidP="00967F18">
            <w:pPr>
              <w:rPr>
                <w:color w:val="000000"/>
              </w:rPr>
            </w:pPr>
          </w:p>
        </w:tc>
        <w:tc>
          <w:tcPr>
            <w:tcW w:w="1563" w:type="dxa"/>
          </w:tcPr>
          <w:p w14:paraId="5DD3CDA1" w14:textId="77777777" w:rsidR="00536EAB" w:rsidRPr="004F38BE" w:rsidRDefault="00536EAB" w:rsidP="00967F18">
            <w:pPr>
              <w:rPr>
                <w:color w:val="000000"/>
              </w:rPr>
            </w:pPr>
          </w:p>
        </w:tc>
      </w:tr>
      <w:tr w:rsidR="00536EAB" w:rsidRPr="004F38BE" w14:paraId="7397755D" w14:textId="77777777" w:rsidTr="00967F18">
        <w:trPr>
          <w:trHeight w:val="499"/>
        </w:trPr>
        <w:tc>
          <w:tcPr>
            <w:tcW w:w="2295" w:type="dxa"/>
          </w:tcPr>
          <w:p w14:paraId="71772D1E" w14:textId="77777777" w:rsidR="00536EAB" w:rsidRPr="004F38BE" w:rsidRDefault="00536EAB" w:rsidP="00967F18">
            <w:pPr>
              <w:rPr>
                <w:bCs/>
                <w:color w:val="000000"/>
              </w:rPr>
            </w:pPr>
            <w:r w:rsidRPr="004F38BE">
              <w:rPr>
                <w:bCs/>
                <w:color w:val="000000"/>
              </w:rPr>
              <w:t xml:space="preserve">%, (n/N) </w:t>
            </w:r>
          </w:p>
          <w:p w14:paraId="040ABC15" w14:textId="77777777" w:rsidR="00536EAB" w:rsidRPr="004F38BE" w:rsidRDefault="00536EAB" w:rsidP="00967F18">
            <w:pPr>
              <w:rPr>
                <w:b/>
                <w:bCs/>
                <w:color w:val="000000"/>
              </w:rPr>
            </w:pPr>
            <w:r w:rsidRPr="004F38BE">
              <w:rPr>
                <w:bCs/>
                <w:color w:val="000000"/>
              </w:rPr>
              <w:t>95% CI</w:t>
            </w:r>
          </w:p>
        </w:tc>
        <w:tc>
          <w:tcPr>
            <w:tcW w:w="1940" w:type="dxa"/>
            <w:gridSpan w:val="2"/>
          </w:tcPr>
          <w:p w14:paraId="2ADE1F90" w14:textId="77777777" w:rsidR="00536EAB" w:rsidRPr="004F38BE" w:rsidRDefault="00536EAB" w:rsidP="00967F18">
            <w:pPr>
              <w:rPr>
                <w:color w:val="000000"/>
              </w:rPr>
            </w:pPr>
            <w:r w:rsidRPr="004F38BE">
              <w:rPr>
                <w:color w:val="000000"/>
              </w:rPr>
              <w:t>81.3(52/64)</w:t>
            </w:r>
          </w:p>
          <w:p w14:paraId="266D980D" w14:textId="77777777" w:rsidR="00536EAB" w:rsidRPr="004F38BE" w:rsidRDefault="00536EAB" w:rsidP="00967F18">
            <w:pPr>
              <w:rPr>
                <w:color w:val="000000"/>
              </w:rPr>
            </w:pPr>
            <w:r w:rsidRPr="004F38BE">
              <w:rPr>
                <w:color w:val="000000"/>
              </w:rPr>
              <w:t>(69.2-89.5)</w:t>
            </w:r>
          </w:p>
        </w:tc>
        <w:tc>
          <w:tcPr>
            <w:tcW w:w="1821" w:type="dxa"/>
          </w:tcPr>
          <w:p w14:paraId="556F022A" w14:textId="77777777" w:rsidR="00536EAB" w:rsidRPr="004F38BE" w:rsidRDefault="00536EAB" w:rsidP="00967F18">
            <w:pPr>
              <w:rPr>
                <w:color w:val="000000"/>
              </w:rPr>
            </w:pPr>
            <w:r w:rsidRPr="004F38BE">
              <w:rPr>
                <w:color w:val="000000"/>
              </w:rPr>
              <w:t>79.5(116/146)</w:t>
            </w:r>
          </w:p>
          <w:p w14:paraId="1EB2DE20" w14:textId="77777777" w:rsidR="00536EAB" w:rsidRPr="004F38BE" w:rsidRDefault="00536EAB" w:rsidP="00967F18">
            <w:pPr>
              <w:rPr>
                <w:color w:val="000000"/>
              </w:rPr>
            </w:pPr>
            <w:r w:rsidRPr="004F38BE">
              <w:rPr>
                <w:color w:val="000000"/>
              </w:rPr>
              <w:t>(71.8-85.5)</w:t>
            </w:r>
          </w:p>
        </w:tc>
        <w:tc>
          <w:tcPr>
            <w:tcW w:w="1376" w:type="dxa"/>
          </w:tcPr>
          <w:p w14:paraId="4F00356F" w14:textId="77777777" w:rsidR="00536EAB" w:rsidRPr="004F38BE" w:rsidRDefault="00536EAB" w:rsidP="00967F18">
            <w:pPr>
              <w:rPr>
                <w:color w:val="000000"/>
              </w:rPr>
            </w:pPr>
            <w:r w:rsidRPr="004F38BE">
              <w:rPr>
                <w:color w:val="000000"/>
              </w:rPr>
              <w:t xml:space="preserve">63.4 </w:t>
            </w:r>
          </w:p>
          <w:p w14:paraId="560ECBEC" w14:textId="77777777" w:rsidR="00536EAB" w:rsidRPr="004F38BE" w:rsidRDefault="00536EAB" w:rsidP="00967F18">
            <w:pPr>
              <w:rPr>
                <w:color w:val="000000"/>
              </w:rPr>
            </w:pPr>
            <w:r w:rsidRPr="004F38BE">
              <w:rPr>
                <w:color w:val="000000"/>
              </w:rPr>
              <w:t>(52.0-73.6)</w:t>
            </w:r>
          </w:p>
        </w:tc>
        <w:tc>
          <w:tcPr>
            <w:tcW w:w="1563" w:type="dxa"/>
          </w:tcPr>
          <w:p w14:paraId="10B20C75" w14:textId="77777777" w:rsidR="00536EAB" w:rsidRPr="004F38BE" w:rsidRDefault="00536EAB" w:rsidP="00967F18">
            <w:pPr>
              <w:rPr>
                <w:color w:val="000000"/>
              </w:rPr>
            </w:pPr>
            <w:r w:rsidRPr="004F38BE">
              <w:rPr>
                <w:color w:val="000000"/>
              </w:rPr>
              <w:t xml:space="preserve">90.6 </w:t>
            </w:r>
          </w:p>
          <w:p w14:paraId="19949150" w14:textId="77777777" w:rsidR="00536EAB" w:rsidRPr="004F38BE" w:rsidRDefault="00536EAB" w:rsidP="00967F18">
            <w:pPr>
              <w:rPr>
                <w:color w:val="000000"/>
              </w:rPr>
            </w:pPr>
            <w:r w:rsidRPr="004F38BE">
              <w:rPr>
                <w:color w:val="000000"/>
              </w:rPr>
              <w:t>(83.9-94.8)</w:t>
            </w:r>
          </w:p>
        </w:tc>
      </w:tr>
      <w:tr w:rsidR="00536EAB" w:rsidRPr="004F38BE" w14:paraId="02BF7FC7" w14:textId="77777777" w:rsidTr="00967F18">
        <w:trPr>
          <w:trHeight w:val="1026"/>
        </w:trPr>
        <w:tc>
          <w:tcPr>
            <w:tcW w:w="8995" w:type="dxa"/>
            <w:gridSpan w:val="6"/>
          </w:tcPr>
          <w:p w14:paraId="147E5FAF" w14:textId="77777777" w:rsidR="00536EAB" w:rsidRPr="004F38BE" w:rsidRDefault="00536EAB" w:rsidP="00967F18">
            <w:pPr>
              <w:rPr>
                <w:b/>
                <w:bCs/>
                <w:color w:val="000000"/>
              </w:rPr>
            </w:pPr>
          </w:p>
          <w:p w14:paraId="4F296975" w14:textId="77777777" w:rsidR="00536EAB" w:rsidRPr="004F38BE" w:rsidRDefault="00536EAB" w:rsidP="00967F18">
            <w:pPr>
              <w:rPr>
                <w:b/>
                <w:bCs/>
                <w:color w:val="000000"/>
              </w:rPr>
            </w:pPr>
            <w:r w:rsidRPr="004F38BE">
              <w:rPr>
                <w:b/>
                <w:bCs/>
                <w:color w:val="000000"/>
              </w:rPr>
              <w:t>Accuracy of biosignature after selection of cut-off values optimized for sensitivity</w:t>
            </w:r>
          </w:p>
        </w:tc>
      </w:tr>
      <w:tr w:rsidR="00536EAB" w:rsidRPr="004F38BE" w14:paraId="21E8F1C4" w14:textId="77777777" w:rsidTr="00967F18">
        <w:trPr>
          <w:trHeight w:val="1013"/>
        </w:trPr>
        <w:tc>
          <w:tcPr>
            <w:tcW w:w="2295" w:type="dxa"/>
          </w:tcPr>
          <w:p w14:paraId="0795B9B5" w14:textId="77777777" w:rsidR="00536EAB" w:rsidRPr="004F38BE" w:rsidRDefault="00536EAB" w:rsidP="00967F18">
            <w:pPr>
              <w:rPr>
                <w:b/>
                <w:bCs/>
                <w:color w:val="000000"/>
              </w:rPr>
            </w:pPr>
            <w:r w:rsidRPr="004F38BE">
              <w:rPr>
                <w:b/>
                <w:bCs/>
                <w:color w:val="000000"/>
              </w:rPr>
              <w:t xml:space="preserve">Training set (n=491) </w:t>
            </w:r>
          </w:p>
        </w:tc>
        <w:tc>
          <w:tcPr>
            <w:tcW w:w="1806" w:type="dxa"/>
          </w:tcPr>
          <w:p w14:paraId="16020204" w14:textId="77777777" w:rsidR="00536EAB" w:rsidRPr="004F38BE" w:rsidRDefault="00536EAB" w:rsidP="00967F18">
            <w:pPr>
              <w:rPr>
                <w:color w:val="000000"/>
              </w:rPr>
            </w:pPr>
          </w:p>
        </w:tc>
        <w:tc>
          <w:tcPr>
            <w:tcW w:w="1955" w:type="dxa"/>
            <w:gridSpan w:val="2"/>
          </w:tcPr>
          <w:p w14:paraId="661412D5" w14:textId="77777777" w:rsidR="00536EAB" w:rsidRPr="004F38BE" w:rsidRDefault="00536EAB" w:rsidP="00967F18">
            <w:pPr>
              <w:rPr>
                <w:color w:val="000000"/>
              </w:rPr>
            </w:pPr>
          </w:p>
        </w:tc>
        <w:tc>
          <w:tcPr>
            <w:tcW w:w="1376" w:type="dxa"/>
          </w:tcPr>
          <w:p w14:paraId="2B235999" w14:textId="77777777" w:rsidR="00536EAB" w:rsidRPr="004F38BE" w:rsidRDefault="00536EAB" w:rsidP="00967F18">
            <w:pPr>
              <w:rPr>
                <w:color w:val="000000"/>
              </w:rPr>
            </w:pPr>
          </w:p>
        </w:tc>
        <w:tc>
          <w:tcPr>
            <w:tcW w:w="1563" w:type="dxa"/>
          </w:tcPr>
          <w:p w14:paraId="06310712" w14:textId="77777777" w:rsidR="00536EAB" w:rsidRPr="004F38BE" w:rsidRDefault="00536EAB" w:rsidP="00967F18">
            <w:pPr>
              <w:rPr>
                <w:color w:val="000000"/>
              </w:rPr>
            </w:pPr>
          </w:p>
        </w:tc>
      </w:tr>
      <w:tr w:rsidR="00536EAB" w:rsidRPr="004F38BE" w14:paraId="14862135" w14:textId="77777777" w:rsidTr="00967F18">
        <w:trPr>
          <w:trHeight w:val="513"/>
        </w:trPr>
        <w:tc>
          <w:tcPr>
            <w:tcW w:w="2295" w:type="dxa"/>
          </w:tcPr>
          <w:p w14:paraId="008FB6D6" w14:textId="77777777" w:rsidR="00536EAB" w:rsidRPr="004F38BE" w:rsidRDefault="00536EAB" w:rsidP="00967F18">
            <w:pPr>
              <w:rPr>
                <w:b/>
                <w:bCs/>
                <w:color w:val="000000"/>
              </w:rPr>
            </w:pPr>
          </w:p>
        </w:tc>
        <w:tc>
          <w:tcPr>
            <w:tcW w:w="1806" w:type="dxa"/>
          </w:tcPr>
          <w:p w14:paraId="2465DFEC" w14:textId="77777777" w:rsidR="00536EAB" w:rsidRPr="004F38BE" w:rsidRDefault="00536EAB" w:rsidP="00967F18">
            <w:pPr>
              <w:rPr>
                <w:color w:val="000000"/>
              </w:rPr>
            </w:pPr>
            <w:r w:rsidRPr="004F38BE">
              <w:rPr>
                <w:b/>
                <w:color w:val="000000"/>
              </w:rPr>
              <w:t>Sensitivity</w:t>
            </w:r>
          </w:p>
        </w:tc>
        <w:tc>
          <w:tcPr>
            <w:tcW w:w="1955" w:type="dxa"/>
            <w:gridSpan w:val="2"/>
          </w:tcPr>
          <w:p w14:paraId="734C32B4" w14:textId="77777777" w:rsidR="00536EAB" w:rsidRPr="004F38BE" w:rsidRDefault="00536EAB" w:rsidP="00967F18">
            <w:pPr>
              <w:rPr>
                <w:color w:val="000000"/>
              </w:rPr>
            </w:pPr>
            <w:r w:rsidRPr="004F38BE">
              <w:rPr>
                <w:b/>
                <w:color w:val="000000"/>
              </w:rPr>
              <w:t>Specificity</w:t>
            </w:r>
          </w:p>
        </w:tc>
        <w:tc>
          <w:tcPr>
            <w:tcW w:w="1376" w:type="dxa"/>
          </w:tcPr>
          <w:p w14:paraId="4D422428" w14:textId="77777777" w:rsidR="00536EAB" w:rsidRPr="004F38BE" w:rsidRDefault="00536EAB" w:rsidP="00967F18">
            <w:pPr>
              <w:rPr>
                <w:color w:val="000000"/>
              </w:rPr>
            </w:pPr>
            <w:r w:rsidRPr="004F38BE">
              <w:rPr>
                <w:b/>
                <w:color w:val="000000"/>
              </w:rPr>
              <w:t>PPV</w:t>
            </w:r>
          </w:p>
        </w:tc>
        <w:tc>
          <w:tcPr>
            <w:tcW w:w="1563" w:type="dxa"/>
          </w:tcPr>
          <w:p w14:paraId="7D71DF08" w14:textId="77777777" w:rsidR="00536EAB" w:rsidRPr="004F38BE" w:rsidRDefault="00536EAB" w:rsidP="00967F18">
            <w:pPr>
              <w:rPr>
                <w:color w:val="000000"/>
              </w:rPr>
            </w:pPr>
            <w:r w:rsidRPr="004F38BE">
              <w:rPr>
                <w:b/>
                <w:color w:val="000000"/>
              </w:rPr>
              <w:t>NPV</w:t>
            </w:r>
          </w:p>
        </w:tc>
      </w:tr>
      <w:tr w:rsidR="00536EAB" w:rsidRPr="004F38BE" w14:paraId="4C3B657A" w14:textId="77777777" w:rsidTr="00967F18">
        <w:trPr>
          <w:trHeight w:val="991"/>
        </w:trPr>
        <w:tc>
          <w:tcPr>
            <w:tcW w:w="2295" w:type="dxa"/>
          </w:tcPr>
          <w:p w14:paraId="78B4A5EC" w14:textId="77777777" w:rsidR="00536EAB" w:rsidRPr="004F38BE" w:rsidRDefault="00536EAB" w:rsidP="00967F18">
            <w:pPr>
              <w:rPr>
                <w:bCs/>
                <w:color w:val="000000"/>
              </w:rPr>
            </w:pPr>
            <w:r w:rsidRPr="004F38BE">
              <w:rPr>
                <w:bCs/>
                <w:color w:val="000000"/>
              </w:rPr>
              <w:lastRenderedPageBreak/>
              <w:t xml:space="preserve">%, (n/N) </w:t>
            </w:r>
          </w:p>
          <w:p w14:paraId="454E4D5D" w14:textId="77777777" w:rsidR="00536EAB" w:rsidRPr="004F38BE" w:rsidRDefault="00536EAB" w:rsidP="00967F18">
            <w:pPr>
              <w:rPr>
                <w:b/>
                <w:bCs/>
                <w:color w:val="000000"/>
              </w:rPr>
            </w:pPr>
            <w:r w:rsidRPr="004F38BE">
              <w:rPr>
                <w:bCs/>
                <w:color w:val="000000"/>
              </w:rPr>
              <w:t>95% CI</w:t>
            </w:r>
          </w:p>
        </w:tc>
        <w:tc>
          <w:tcPr>
            <w:tcW w:w="1806" w:type="dxa"/>
          </w:tcPr>
          <w:p w14:paraId="67FAC1B9" w14:textId="77777777" w:rsidR="00536EAB" w:rsidRPr="004F38BE" w:rsidRDefault="00536EAB" w:rsidP="00967F18">
            <w:pPr>
              <w:rPr>
                <w:color w:val="000000"/>
              </w:rPr>
            </w:pPr>
            <w:r w:rsidRPr="004F38BE">
              <w:rPr>
                <w:color w:val="000000"/>
              </w:rPr>
              <w:t>90.7 (136/150)</w:t>
            </w:r>
          </w:p>
          <w:p w14:paraId="19E6C75A" w14:textId="77777777" w:rsidR="00536EAB" w:rsidRPr="004F38BE" w:rsidRDefault="00536EAB" w:rsidP="00967F18">
            <w:pPr>
              <w:rPr>
                <w:color w:val="000000"/>
              </w:rPr>
            </w:pPr>
            <w:r w:rsidRPr="004F38BE">
              <w:rPr>
                <w:color w:val="000000"/>
              </w:rPr>
              <w:t>(84.5-94.6)</w:t>
            </w:r>
          </w:p>
        </w:tc>
        <w:tc>
          <w:tcPr>
            <w:tcW w:w="1955" w:type="dxa"/>
            <w:gridSpan w:val="2"/>
          </w:tcPr>
          <w:p w14:paraId="457A85D0" w14:textId="77777777" w:rsidR="00536EAB" w:rsidRPr="004F38BE" w:rsidRDefault="00536EAB" w:rsidP="00967F18">
            <w:pPr>
              <w:rPr>
                <w:color w:val="000000"/>
              </w:rPr>
            </w:pPr>
            <w:r w:rsidRPr="004F38BE">
              <w:rPr>
                <w:color w:val="000000"/>
              </w:rPr>
              <w:t>74.8 (255/341)</w:t>
            </w:r>
          </w:p>
          <w:p w14:paraId="086C464C" w14:textId="77777777" w:rsidR="00536EAB" w:rsidRPr="004F38BE" w:rsidRDefault="00536EAB" w:rsidP="00967F18">
            <w:pPr>
              <w:rPr>
                <w:color w:val="000000"/>
              </w:rPr>
            </w:pPr>
            <w:r w:rsidRPr="004F38BE">
              <w:rPr>
                <w:color w:val="000000"/>
              </w:rPr>
              <w:t>(69.8-79.2)</w:t>
            </w:r>
          </w:p>
        </w:tc>
        <w:tc>
          <w:tcPr>
            <w:tcW w:w="1376" w:type="dxa"/>
          </w:tcPr>
          <w:p w14:paraId="3CD17AE5" w14:textId="77777777" w:rsidR="00536EAB" w:rsidRPr="004F38BE" w:rsidRDefault="00536EAB" w:rsidP="00967F18">
            <w:pPr>
              <w:rPr>
                <w:color w:val="000000"/>
              </w:rPr>
            </w:pPr>
            <w:r w:rsidRPr="004F38BE">
              <w:rPr>
                <w:color w:val="000000"/>
              </w:rPr>
              <w:t xml:space="preserve">61.3 </w:t>
            </w:r>
          </w:p>
          <w:p w14:paraId="4B648041" w14:textId="77777777" w:rsidR="00536EAB" w:rsidRPr="004F38BE" w:rsidRDefault="00536EAB" w:rsidP="00967F18">
            <w:pPr>
              <w:rPr>
                <w:color w:val="000000"/>
              </w:rPr>
            </w:pPr>
            <w:r w:rsidRPr="004F38BE">
              <w:rPr>
                <w:color w:val="000000"/>
              </w:rPr>
              <w:t>(54.5-67.6)</w:t>
            </w:r>
          </w:p>
        </w:tc>
        <w:tc>
          <w:tcPr>
            <w:tcW w:w="1563" w:type="dxa"/>
          </w:tcPr>
          <w:p w14:paraId="69990804" w14:textId="77777777" w:rsidR="00536EAB" w:rsidRPr="004F38BE" w:rsidRDefault="00536EAB" w:rsidP="00967F18">
            <w:pPr>
              <w:rPr>
                <w:color w:val="000000"/>
              </w:rPr>
            </w:pPr>
            <w:r w:rsidRPr="004F38BE">
              <w:rPr>
                <w:color w:val="000000"/>
              </w:rPr>
              <w:t xml:space="preserve">94.8 </w:t>
            </w:r>
          </w:p>
          <w:p w14:paraId="2ED56974" w14:textId="77777777" w:rsidR="00536EAB" w:rsidRPr="004F38BE" w:rsidRDefault="00536EAB" w:rsidP="00967F18">
            <w:pPr>
              <w:rPr>
                <w:color w:val="000000"/>
              </w:rPr>
            </w:pPr>
            <w:r w:rsidRPr="004F38BE">
              <w:rPr>
                <w:color w:val="000000"/>
              </w:rPr>
              <w:t>(91.2-97.0)</w:t>
            </w:r>
          </w:p>
        </w:tc>
      </w:tr>
      <w:tr w:rsidR="00536EAB" w:rsidRPr="004F38BE" w14:paraId="35EEDE20" w14:textId="77777777" w:rsidTr="00967F18">
        <w:trPr>
          <w:trHeight w:val="1013"/>
        </w:trPr>
        <w:tc>
          <w:tcPr>
            <w:tcW w:w="2295" w:type="dxa"/>
          </w:tcPr>
          <w:p w14:paraId="1DB0C719" w14:textId="77777777" w:rsidR="00536EAB" w:rsidRPr="004F38BE" w:rsidRDefault="00536EAB" w:rsidP="00967F18">
            <w:pPr>
              <w:rPr>
                <w:b/>
                <w:bCs/>
                <w:color w:val="000000"/>
              </w:rPr>
            </w:pPr>
          </w:p>
          <w:p w14:paraId="21D2D264" w14:textId="77777777" w:rsidR="00536EAB" w:rsidRPr="004F38BE" w:rsidRDefault="00536EAB" w:rsidP="00967F18">
            <w:pPr>
              <w:rPr>
                <w:b/>
                <w:bCs/>
                <w:color w:val="000000"/>
              </w:rPr>
            </w:pPr>
            <w:r w:rsidRPr="004F38BE">
              <w:rPr>
                <w:b/>
                <w:bCs/>
                <w:color w:val="000000"/>
              </w:rPr>
              <w:t xml:space="preserve">Test set (n=210) </w:t>
            </w:r>
          </w:p>
        </w:tc>
        <w:tc>
          <w:tcPr>
            <w:tcW w:w="1806" w:type="dxa"/>
          </w:tcPr>
          <w:p w14:paraId="2FDE04AB" w14:textId="77777777" w:rsidR="00536EAB" w:rsidRPr="004F38BE" w:rsidRDefault="00536EAB" w:rsidP="00967F18">
            <w:pPr>
              <w:rPr>
                <w:color w:val="000000"/>
              </w:rPr>
            </w:pPr>
          </w:p>
        </w:tc>
        <w:tc>
          <w:tcPr>
            <w:tcW w:w="1955" w:type="dxa"/>
            <w:gridSpan w:val="2"/>
          </w:tcPr>
          <w:p w14:paraId="7365F2C1" w14:textId="77777777" w:rsidR="00536EAB" w:rsidRPr="004F38BE" w:rsidRDefault="00536EAB" w:rsidP="00967F18">
            <w:pPr>
              <w:rPr>
                <w:color w:val="000000"/>
              </w:rPr>
            </w:pPr>
          </w:p>
        </w:tc>
        <w:tc>
          <w:tcPr>
            <w:tcW w:w="1376" w:type="dxa"/>
          </w:tcPr>
          <w:p w14:paraId="291EBFC4" w14:textId="77777777" w:rsidR="00536EAB" w:rsidRPr="004F38BE" w:rsidRDefault="00536EAB" w:rsidP="00967F18">
            <w:pPr>
              <w:rPr>
                <w:color w:val="000000"/>
              </w:rPr>
            </w:pPr>
          </w:p>
        </w:tc>
        <w:tc>
          <w:tcPr>
            <w:tcW w:w="1563" w:type="dxa"/>
          </w:tcPr>
          <w:p w14:paraId="1BAF7A2D" w14:textId="77777777" w:rsidR="00536EAB" w:rsidRPr="004F38BE" w:rsidRDefault="00536EAB" w:rsidP="00967F18">
            <w:pPr>
              <w:rPr>
                <w:color w:val="000000"/>
              </w:rPr>
            </w:pPr>
          </w:p>
        </w:tc>
      </w:tr>
      <w:tr w:rsidR="00536EAB" w:rsidRPr="004F38BE" w14:paraId="6E2F1B1D" w14:textId="77777777" w:rsidTr="00967F18">
        <w:trPr>
          <w:trHeight w:val="513"/>
        </w:trPr>
        <w:tc>
          <w:tcPr>
            <w:tcW w:w="2295" w:type="dxa"/>
          </w:tcPr>
          <w:p w14:paraId="27CC39EF" w14:textId="77777777" w:rsidR="00536EAB" w:rsidRPr="004F38BE" w:rsidRDefault="00536EAB" w:rsidP="00967F18">
            <w:pPr>
              <w:rPr>
                <w:bCs/>
                <w:color w:val="000000"/>
              </w:rPr>
            </w:pPr>
            <w:r w:rsidRPr="004F38BE">
              <w:rPr>
                <w:bCs/>
                <w:color w:val="000000"/>
              </w:rPr>
              <w:t>%, (n/N)</w:t>
            </w:r>
          </w:p>
          <w:p w14:paraId="60D7442A" w14:textId="77777777" w:rsidR="00536EAB" w:rsidRPr="004F38BE" w:rsidRDefault="00536EAB" w:rsidP="00967F18">
            <w:pPr>
              <w:rPr>
                <w:b/>
                <w:bCs/>
                <w:color w:val="000000"/>
              </w:rPr>
            </w:pPr>
            <w:r w:rsidRPr="004F38BE">
              <w:rPr>
                <w:bCs/>
                <w:color w:val="000000"/>
              </w:rPr>
              <w:t>95% CI</w:t>
            </w:r>
          </w:p>
        </w:tc>
        <w:tc>
          <w:tcPr>
            <w:tcW w:w="1806" w:type="dxa"/>
          </w:tcPr>
          <w:p w14:paraId="3D5EDDE5" w14:textId="77777777" w:rsidR="00536EAB" w:rsidRPr="004F38BE" w:rsidRDefault="00536EAB" w:rsidP="00967F18">
            <w:pPr>
              <w:rPr>
                <w:color w:val="000000"/>
              </w:rPr>
            </w:pPr>
            <w:r w:rsidRPr="004F38BE">
              <w:rPr>
                <w:color w:val="000000"/>
              </w:rPr>
              <w:t>93.8 (60/64)</w:t>
            </w:r>
          </w:p>
          <w:p w14:paraId="7B735D79" w14:textId="77777777" w:rsidR="00536EAB" w:rsidRPr="004F38BE" w:rsidRDefault="00536EAB" w:rsidP="00967F18">
            <w:pPr>
              <w:rPr>
                <w:color w:val="000000"/>
              </w:rPr>
            </w:pPr>
            <w:r w:rsidRPr="004F38BE">
              <w:rPr>
                <w:color w:val="000000"/>
              </w:rPr>
              <w:t>(84.0-98.0)</w:t>
            </w:r>
          </w:p>
        </w:tc>
        <w:tc>
          <w:tcPr>
            <w:tcW w:w="1955" w:type="dxa"/>
            <w:gridSpan w:val="2"/>
          </w:tcPr>
          <w:p w14:paraId="13D5EF82" w14:textId="77777777" w:rsidR="00536EAB" w:rsidRPr="004F38BE" w:rsidRDefault="00536EAB" w:rsidP="00967F18">
            <w:pPr>
              <w:rPr>
                <w:color w:val="000000"/>
              </w:rPr>
            </w:pPr>
            <w:r w:rsidRPr="004F38BE">
              <w:rPr>
                <w:color w:val="000000"/>
              </w:rPr>
              <w:t>73.3 (107/146)</w:t>
            </w:r>
          </w:p>
          <w:p w14:paraId="11520E25" w14:textId="77777777" w:rsidR="00536EAB" w:rsidRPr="004F38BE" w:rsidRDefault="00536EAB" w:rsidP="00967F18">
            <w:pPr>
              <w:rPr>
                <w:color w:val="000000"/>
              </w:rPr>
            </w:pPr>
            <w:r w:rsidRPr="004F38BE">
              <w:rPr>
                <w:color w:val="000000"/>
              </w:rPr>
              <w:t>(65.2-80.1)</w:t>
            </w:r>
          </w:p>
        </w:tc>
        <w:tc>
          <w:tcPr>
            <w:tcW w:w="1376" w:type="dxa"/>
          </w:tcPr>
          <w:p w14:paraId="13F55299" w14:textId="77777777" w:rsidR="00536EAB" w:rsidRPr="004F38BE" w:rsidRDefault="00536EAB" w:rsidP="00967F18">
            <w:pPr>
              <w:rPr>
                <w:color w:val="000000"/>
              </w:rPr>
            </w:pPr>
            <w:r w:rsidRPr="004F38BE">
              <w:rPr>
                <w:color w:val="000000"/>
              </w:rPr>
              <w:t>60.6</w:t>
            </w:r>
          </w:p>
          <w:p w14:paraId="456E710D" w14:textId="77777777" w:rsidR="00536EAB" w:rsidRPr="004F38BE" w:rsidRDefault="00536EAB" w:rsidP="00967F18">
            <w:pPr>
              <w:rPr>
                <w:color w:val="000000"/>
              </w:rPr>
            </w:pPr>
            <w:r w:rsidRPr="004F38BE">
              <w:rPr>
                <w:color w:val="000000"/>
              </w:rPr>
              <w:t>(50.3-70.1)</w:t>
            </w:r>
          </w:p>
        </w:tc>
        <w:tc>
          <w:tcPr>
            <w:tcW w:w="1563" w:type="dxa"/>
          </w:tcPr>
          <w:p w14:paraId="38F3E5C7" w14:textId="77777777" w:rsidR="00536EAB" w:rsidRPr="004F38BE" w:rsidRDefault="00536EAB" w:rsidP="00967F18">
            <w:pPr>
              <w:rPr>
                <w:color w:val="000000"/>
              </w:rPr>
            </w:pPr>
            <w:r w:rsidRPr="004F38BE">
              <w:rPr>
                <w:color w:val="000000"/>
              </w:rPr>
              <w:t>96.4</w:t>
            </w:r>
          </w:p>
          <w:p w14:paraId="7FC2C5E7" w14:textId="77777777" w:rsidR="00536EAB" w:rsidRPr="004F38BE" w:rsidRDefault="00536EAB" w:rsidP="00967F18">
            <w:pPr>
              <w:rPr>
                <w:color w:val="000000"/>
              </w:rPr>
            </w:pPr>
            <w:r w:rsidRPr="004F38BE">
              <w:rPr>
                <w:color w:val="000000"/>
              </w:rPr>
              <w:t>(90.5-98.8)</w:t>
            </w:r>
          </w:p>
        </w:tc>
      </w:tr>
    </w:tbl>
    <w:p w14:paraId="20300C77" w14:textId="77777777" w:rsidR="00536EAB" w:rsidRPr="004F38BE" w:rsidRDefault="00536EAB" w:rsidP="00536EAB"/>
    <w:p w14:paraId="4294A5EC" w14:textId="0DC7A864" w:rsidR="005C513C" w:rsidRDefault="005C513C" w:rsidP="005C513C">
      <w:bookmarkStart w:id="0" w:name="_GoBack"/>
      <w:r w:rsidRPr="008A4BC6">
        <w:t>Accuracy of</w:t>
      </w:r>
      <w:r>
        <w:t xml:space="preserve"> the seven-marker </w:t>
      </w:r>
      <w:r w:rsidR="00CF78CE">
        <w:t>biosignature</w:t>
      </w:r>
      <w:r w:rsidRPr="008A4BC6">
        <w:t xml:space="preserve"> in </w:t>
      </w:r>
      <w:r>
        <w:t>smear and culture negative patients</w:t>
      </w:r>
    </w:p>
    <w:p w14:paraId="04D45061" w14:textId="77777777" w:rsidR="005C513C" w:rsidRDefault="005C513C" w:rsidP="005C513C"/>
    <w:p w14:paraId="0355A7CE" w14:textId="6BAEF68D" w:rsidR="005C513C" w:rsidRPr="008A4BC6" w:rsidRDefault="005C513C" w:rsidP="00556C80">
      <w:pPr>
        <w:jc w:val="both"/>
      </w:pPr>
      <w:r>
        <w:t xml:space="preserve">We evaluated the accuracy of the biosignature in classifying all study participants as TB disease or “no-TB” regardless of the results of the reference standard, </w:t>
      </w:r>
      <w:r w:rsidR="00A05B12">
        <w:t>and particularly focused on</w:t>
      </w:r>
      <w:r>
        <w:t xml:space="preserve"> patients who were missed by the microbiological tests (smear and culture</w:t>
      </w:r>
      <w:r w:rsidR="00B628ED">
        <w:t>)</w:t>
      </w:r>
      <w:r>
        <w:t xml:space="preserve"> but</w:t>
      </w:r>
      <w:r w:rsidR="00B628ED">
        <w:t xml:space="preserve"> diagnosed with </w:t>
      </w:r>
      <w:r>
        <w:t xml:space="preserve">TB </w:t>
      </w:r>
      <w:r w:rsidR="00B628ED">
        <w:t>disease</w:t>
      </w:r>
      <w:r>
        <w:t xml:space="preserve"> based on clinical features including chest X-rays and response to TB treatment</w:t>
      </w:r>
      <w:r w:rsidR="00B628ED">
        <w:t xml:space="preserve"> (T</w:t>
      </w:r>
      <w:r>
        <w:t>able 1</w:t>
      </w:r>
      <w:r w:rsidR="00B628ED">
        <w:t>)</w:t>
      </w:r>
      <w:r>
        <w:t xml:space="preserve">. </w:t>
      </w:r>
      <w:r w:rsidR="00DC29A4">
        <w:t xml:space="preserve">The biosignature correctly classified </w:t>
      </w:r>
      <w:r w:rsidR="00361F2A">
        <w:t>74% (17/</w:t>
      </w:r>
      <w:r w:rsidR="00DC29A4">
        <w:t xml:space="preserve">23) </w:t>
      </w:r>
      <w:r w:rsidR="00361F2A">
        <w:t xml:space="preserve">of </w:t>
      </w:r>
      <w:r w:rsidR="00DC29A4">
        <w:t>patien</w:t>
      </w:r>
      <w:r w:rsidR="00027658">
        <w:t xml:space="preserve">ts </w:t>
      </w:r>
      <w:r w:rsidR="00DC29A4">
        <w:t>who were smear negative but culture positive</w:t>
      </w:r>
      <w:r w:rsidR="00B628ED">
        <w:t>,</w:t>
      </w:r>
      <w:r w:rsidR="00DC29A4">
        <w:t xml:space="preserve"> and 67% (</w:t>
      </w:r>
      <w:r w:rsidR="00361F2A">
        <w:t>6/</w:t>
      </w:r>
      <w:r w:rsidR="00DC29A4">
        <w:t>9)</w:t>
      </w:r>
      <w:r w:rsidR="00361F2A">
        <w:t xml:space="preserve"> of</w:t>
      </w:r>
      <w:r w:rsidR="00DC29A4">
        <w:t xml:space="preserve"> patients who were both sm</w:t>
      </w:r>
      <w:r w:rsidR="00B628ED">
        <w:t xml:space="preserve">ear and culture negative. </w:t>
      </w:r>
      <w:r w:rsidR="00361F2A">
        <w:t>However, the biosignature only correctly classified 88% (86/98) of all the smear positive TB patients, but correctly diagnosed 91% (80/88) of these patients if the smear results were culture confirmed.</w:t>
      </w:r>
    </w:p>
    <w:bookmarkEnd w:id="0"/>
    <w:p w14:paraId="6E5AFE7B" w14:textId="77777777" w:rsidR="00536EAB" w:rsidRPr="004F38BE" w:rsidRDefault="00536EAB" w:rsidP="00536EAB"/>
    <w:p w14:paraId="6223FA0A" w14:textId="0F76D133" w:rsidR="00D05134" w:rsidRDefault="00E61814" w:rsidP="00683A3A">
      <w:r w:rsidRPr="008A4BC6">
        <w:t xml:space="preserve">Accuracy of </w:t>
      </w:r>
      <w:r w:rsidR="00827D60" w:rsidRPr="008A4BC6">
        <w:t>serum</w:t>
      </w:r>
      <w:r w:rsidRPr="008A4BC6">
        <w:t xml:space="preserve"> biosignature</w:t>
      </w:r>
      <w:r w:rsidR="00827D60" w:rsidRPr="008A4BC6">
        <w:t>s in</w:t>
      </w:r>
      <w:r w:rsidRPr="008A4BC6">
        <w:t xml:space="preserve"> individuals without HIV infection</w:t>
      </w:r>
    </w:p>
    <w:p w14:paraId="7CF0805B" w14:textId="77777777" w:rsidR="005C513C" w:rsidRPr="008A4BC6" w:rsidRDefault="005C513C" w:rsidP="00683A3A"/>
    <w:p w14:paraId="4EEB3B5B" w14:textId="6D5329AF" w:rsidR="00CD618F" w:rsidRPr="004F38BE" w:rsidRDefault="006816F8" w:rsidP="0033455D">
      <w:pPr>
        <w:pStyle w:val="DefaultStyle"/>
        <w:spacing w:line="360" w:lineRule="auto"/>
        <w:jc w:val="both"/>
        <w:rPr>
          <w:rFonts w:ascii="Times New Roman" w:hAnsi="Times New Roman" w:cs="Times New Roman"/>
          <w:b/>
        </w:rPr>
      </w:pPr>
      <w:r w:rsidRPr="004F38BE">
        <w:rPr>
          <w:rFonts w:ascii="Times New Roman" w:hAnsi="Times New Roman" w:cs="Times New Roman"/>
        </w:rPr>
        <w:t>In the absence of HIV infection</w:t>
      </w:r>
      <w:r w:rsidR="001A5CF8" w:rsidRPr="004F38BE">
        <w:rPr>
          <w:rFonts w:ascii="Times New Roman" w:hAnsi="Times New Roman" w:cs="Times New Roman"/>
        </w:rPr>
        <w:t xml:space="preserve"> the </w:t>
      </w:r>
      <w:r w:rsidR="00F427B3">
        <w:rPr>
          <w:rFonts w:ascii="Times New Roman" w:hAnsi="Times New Roman" w:cs="Times New Roman"/>
        </w:rPr>
        <w:t>G</w:t>
      </w:r>
      <w:r w:rsidR="00C4462C" w:rsidRPr="004F38BE">
        <w:rPr>
          <w:rFonts w:ascii="Times New Roman" w:hAnsi="Times New Roman" w:cs="Times New Roman"/>
        </w:rPr>
        <w:t>D</w:t>
      </w:r>
      <w:r w:rsidR="001A5CF8" w:rsidRPr="004F38BE">
        <w:rPr>
          <w:rFonts w:ascii="Times New Roman" w:hAnsi="Times New Roman" w:cs="Times New Roman"/>
        </w:rPr>
        <w:t>A procedure indicated</w:t>
      </w:r>
      <w:r w:rsidRPr="004F38BE">
        <w:rPr>
          <w:rFonts w:ascii="Times New Roman" w:hAnsi="Times New Roman" w:cs="Times New Roman"/>
        </w:rPr>
        <w:t xml:space="preserve"> optimal diagnosis of TB disease when markers were </w:t>
      </w:r>
      <w:r w:rsidR="005D6349" w:rsidRPr="004F38BE">
        <w:rPr>
          <w:rFonts w:ascii="Times New Roman" w:hAnsi="Times New Roman" w:cs="Times New Roman"/>
        </w:rPr>
        <w:t>used in</w:t>
      </w:r>
      <w:r w:rsidRPr="004F38BE">
        <w:rPr>
          <w:rFonts w:ascii="Times New Roman" w:hAnsi="Times New Roman" w:cs="Times New Roman"/>
        </w:rPr>
        <w:t xml:space="preserve"> combinations of four</w:t>
      </w:r>
      <w:r w:rsidR="00AD721D" w:rsidRPr="004F38BE">
        <w:rPr>
          <w:rFonts w:ascii="Times New Roman" w:hAnsi="Times New Roman" w:cs="Times New Roman"/>
        </w:rPr>
        <w:t xml:space="preserve"> with </w:t>
      </w:r>
      <w:r w:rsidR="00C4462C" w:rsidRPr="004F38BE">
        <w:rPr>
          <w:rFonts w:ascii="Times New Roman" w:hAnsi="Times New Roman" w:cs="Times New Roman"/>
        </w:rPr>
        <w:t xml:space="preserve">ApoA-1, </w:t>
      </w:r>
      <w:r w:rsidR="007C2343" w:rsidRPr="004F38BE">
        <w:rPr>
          <w:rFonts w:ascii="Times New Roman" w:hAnsi="Times New Roman" w:cs="Times New Roman"/>
        </w:rPr>
        <w:t>IFN-γ</w:t>
      </w:r>
      <w:r w:rsidR="00C4462C" w:rsidRPr="004F38BE">
        <w:rPr>
          <w:rFonts w:ascii="Times New Roman" w:hAnsi="Times New Roman" w:cs="Times New Roman"/>
        </w:rPr>
        <w:t xml:space="preserve">, </w:t>
      </w:r>
      <w:r w:rsidRPr="004F38BE">
        <w:rPr>
          <w:rFonts w:ascii="Times New Roman" w:hAnsi="Times New Roman" w:cs="Times New Roman"/>
        </w:rPr>
        <w:t>IP-10</w:t>
      </w:r>
      <w:r w:rsidR="00C4462C" w:rsidRPr="004F38BE">
        <w:rPr>
          <w:rFonts w:ascii="Times New Roman" w:hAnsi="Times New Roman" w:cs="Times New Roman"/>
        </w:rPr>
        <w:t xml:space="preserve"> and </w:t>
      </w:r>
      <w:r w:rsidRPr="004F38BE">
        <w:rPr>
          <w:rFonts w:ascii="Times New Roman" w:hAnsi="Times New Roman" w:cs="Times New Roman"/>
        </w:rPr>
        <w:t>SAA</w:t>
      </w:r>
      <w:r w:rsidR="00AD721D" w:rsidRPr="004F38BE">
        <w:rPr>
          <w:rFonts w:ascii="Times New Roman" w:hAnsi="Times New Roman" w:cs="Times New Roman"/>
        </w:rPr>
        <w:t xml:space="preserve"> constituting the top model with </w:t>
      </w:r>
      <w:r w:rsidRPr="004F38BE">
        <w:rPr>
          <w:rFonts w:ascii="Times New Roman" w:hAnsi="Times New Roman" w:cs="Times New Roman"/>
        </w:rPr>
        <w:t>sensitivity of 7</w:t>
      </w:r>
      <w:r w:rsidR="007C2343" w:rsidRPr="004F38BE">
        <w:rPr>
          <w:rFonts w:ascii="Times New Roman" w:hAnsi="Times New Roman" w:cs="Times New Roman"/>
        </w:rPr>
        <w:t>6</w:t>
      </w:r>
      <w:r w:rsidRPr="004F38BE">
        <w:rPr>
          <w:rFonts w:ascii="Times New Roman" w:hAnsi="Times New Roman" w:cs="Times New Roman"/>
        </w:rPr>
        <w:t>.</w:t>
      </w:r>
      <w:r w:rsidR="007C2343" w:rsidRPr="004F38BE">
        <w:rPr>
          <w:rFonts w:ascii="Times New Roman" w:hAnsi="Times New Roman" w:cs="Times New Roman"/>
        </w:rPr>
        <w:t>5</w:t>
      </w:r>
      <w:r w:rsidRPr="004F38BE">
        <w:rPr>
          <w:rFonts w:ascii="Times New Roman" w:hAnsi="Times New Roman" w:cs="Times New Roman"/>
        </w:rPr>
        <w:t>% (95% CI, 6</w:t>
      </w:r>
      <w:r w:rsidR="00BD5BA5" w:rsidRPr="004F38BE">
        <w:rPr>
          <w:rFonts w:ascii="Times New Roman" w:hAnsi="Times New Roman" w:cs="Times New Roman"/>
        </w:rPr>
        <w:t>7</w:t>
      </w:r>
      <w:r w:rsidRPr="004F38BE">
        <w:rPr>
          <w:rFonts w:ascii="Times New Roman" w:hAnsi="Times New Roman" w:cs="Times New Roman"/>
        </w:rPr>
        <w:t>.</w:t>
      </w:r>
      <w:r w:rsidR="00BD5BA5" w:rsidRPr="004F38BE">
        <w:rPr>
          <w:rFonts w:ascii="Times New Roman" w:hAnsi="Times New Roman" w:cs="Times New Roman"/>
        </w:rPr>
        <w:t>5</w:t>
      </w:r>
      <w:r w:rsidR="009D5AF7" w:rsidRPr="004F38BE">
        <w:rPr>
          <w:rFonts w:ascii="Times New Roman" w:hAnsi="Times New Roman" w:cs="Times New Roman"/>
        </w:rPr>
        <w:t>–</w:t>
      </w:r>
      <w:r w:rsidRPr="004F38BE">
        <w:rPr>
          <w:rFonts w:ascii="Times New Roman" w:hAnsi="Times New Roman" w:cs="Times New Roman"/>
        </w:rPr>
        <w:t>8</w:t>
      </w:r>
      <w:r w:rsidR="00BD5BA5" w:rsidRPr="004F38BE">
        <w:rPr>
          <w:rFonts w:ascii="Times New Roman" w:hAnsi="Times New Roman" w:cs="Times New Roman"/>
        </w:rPr>
        <w:t>3</w:t>
      </w:r>
      <w:r w:rsidRPr="004F38BE">
        <w:rPr>
          <w:rFonts w:ascii="Times New Roman" w:hAnsi="Times New Roman" w:cs="Times New Roman"/>
        </w:rPr>
        <w:t>.</w:t>
      </w:r>
      <w:r w:rsidR="00BD5BA5" w:rsidRPr="004F38BE">
        <w:rPr>
          <w:rFonts w:ascii="Times New Roman" w:hAnsi="Times New Roman" w:cs="Times New Roman"/>
        </w:rPr>
        <w:t>7</w:t>
      </w:r>
      <w:r w:rsidRPr="004F38BE">
        <w:rPr>
          <w:rFonts w:ascii="Times New Roman" w:hAnsi="Times New Roman" w:cs="Times New Roman"/>
        </w:rPr>
        <w:t>%)</w:t>
      </w:r>
      <w:r w:rsidR="004850AB" w:rsidRPr="004F38BE">
        <w:rPr>
          <w:rFonts w:ascii="Times New Roman" w:hAnsi="Times New Roman" w:cs="Times New Roman"/>
        </w:rPr>
        <w:t xml:space="preserve"> and specificity of 9</w:t>
      </w:r>
      <w:r w:rsidR="007C2343" w:rsidRPr="004F38BE">
        <w:rPr>
          <w:rFonts w:ascii="Times New Roman" w:hAnsi="Times New Roman" w:cs="Times New Roman"/>
        </w:rPr>
        <w:t>1</w:t>
      </w:r>
      <w:r w:rsidR="004850AB" w:rsidRPr="004F38BE">
        <w:rPr>
          <w:rFonts w:ascii="Times New Roman" w:hAnsi="Times New Roman" w:cs="Times New Roman"/>
        </w:rPr>
        <w:t>.</w:t>
      </w:r>
      <w:r w:rsidR="00BD5BA5" w:rsidRPr="004F38BE">
        <w:rPr>
          <w:rFonts w:ascii="Times New Roman" w:hAnsi="Times New Roman" w:cs="Times New Roman"/>
        </w:rPr>
        <w:t>1</w:t>
      </w:r>
      <w:r w:rsidR="004850AB" w:rsidRPr="004F38BE">
        <w:rPr>
          <w:rFonts w:ascii="Times New Roman" w:hAnsi="Times New Roman" w:cs="Times New Roman"/>
        </w:rPr>
        <w:t>% (</w:t>
      </w:r>
      <w:r w:rsidRPr="004F38BE">
        <w:rPr>
          <w:rFonts w:ascii="Times New Roman" w:hAnsi="Times New Roman" w:cs="Times New Roman"/>
        </w:rPr>
        <w:t>95% CI</w:t>
      </w:r>
      <w:r w:rsidR="003C73CE" w:rsidRPr="004F38BE">
        <w:rPr>
          <w:rFonts w:ascii="Times New Roman" w:hAnsi="Times New Roman" w:cs="Times New Roman"/>
        </w:rPr>
        <w:t xml:space="preserve"> 8</w:t>
      </w:r>
      <w:r w:rsidR="00BD5BA5" w:rsidRPr="004F38BE">
        <w:rPr>
          <w:rFonts w:ascii="Times New Roman" w:hAnsi="Times New Roman" w:cs="Times New Roman"/>
        </w:rPr>
        <w:t>6</w:t>
      </w:r>
      <w:r w:rsidRPr="004F38BE">
        <w:rPr>
          <w:rFonts w:ascii="Times New Roman" w:hAnsi="Times New Roman" w:cs="Times New Roman"/>
        </w:rPr>
        <w:t>.</w:t>
      </w:r>
      <w:r w:rsidR="00BD5BA5" w:rsidRPr="004F38BE">
        <w:rPr>
          <w:rFonts w:ascii="Times New Roman" w:hAnsi="Times New Roman" w:cs="Times New Roman"/>
        </w:rPr>
        <w:t>7</w:t>
      </w:r>
      <w:r w:rsidR="009D5AF7" w:rsidRPr="004F38BE">
        <w:rPr>
          <w:rFonts w:ascii="Times New Roman" w:hAnsi="Times New Roman" w:cs="Times New Roman"/>
        </w:rPr>
        <w:t>–</w:t>
      </w:r>
      <w:r w:rsidRPr="004F38BE">
        <w:rPr>
          <w:rFonts w:ascii="Times New Roman" w:hAnsi="Times New Roman" w:cs="Times New Roman"/>
        </w:rPr>
        <w:t>9</w:t>
      </w:r>
      <w:r w:rsidR="00BD5BA5" w:rsidRPr="004F38BE">
        <w:rPr>
          <w:rFonts w:ascii="Times New Roman" w:hAnsi="Times New Roman" w:cs="Times New Roman"/>
        </w:rPr>
        <w:t>4</w:t>
      </w:r>
      <w:r w:rsidRPr="004F38BE">
        <w:rPr>
          <w:rFonts w:ascii="Times New Roman" w:hAnsi="Times New Roman" w:cs="Times New Roman"/>
        </w:rPr>
        <w:t>.</w:t>
      </w:r>
      <w:r w:rsidR="00BD5BA5" w:rsidRPr="004F38BE">
        <w:rPr>
          <w:rFonts w:ascii="Times New Roman" w:hAnsi="Times New Roman" w:cs="Times New Roman"/>
        </w:rPr>
        <w:t>1</w:t>
      </w:r>
      <w:r w:rsidRPr="004F38BE">
        <w:rPr>
          <w:rFonts w:ascii="Times New Roman" w:hAnsi="Times New Roman" w:cs="Times New Roman"/>
        </w:rPr>
        <w:t>) in the training sample set (n=3</w:t>
      </w:r>
      <w:r w:rsidR="007C2343" w:rsidRPr="004F38BE">
        <w:rPr>
          <w:rFonts w:ascii="Times New Roman" w:hAnsi="Times New Roman" w:cs="Times New Roman"/>
        </w:rPr>
        <w:t>72, 115 TB and 257 no-PTB</w:t>
      </w:r>
      <w:r w:rsidRPr="004F38BE">
        <w:rPr>
          <w:rFonts w:ascii="Times New Roman" w:hAnsi="Times New Roman" w:cs="Times New Roman"/>
        </w:rPr>
        <w:t>), and a sensitivity of 7</w:t>
      </w:r>
      <w:r w:rsidR="00795370" w:rsidRPr="004F38BE">
        <w:rPr>
          <w:rFonts w:ascii="Times New Roman" w:hAnsi="Times New Roman" w:cs="Times New Roman"/>
        </w:rPr>
        <w:t>7</w:t>
      </w:r>
      <w:r w:rsidRPr="004F38BE">
        <w:rPr>
          <w:rFonts w:ascii="Times New Roman" w:hAnsi="Times New Roman" w:cs="Times New Roman"/>
        </w:rPr>
        <w:t>.</w:t>
      </w:r>
      <w:r w:rsidR="00795370" w:rsidRPr="004F38BE">
        <w:rPr>
          <w:rFonts w:ascii="Times New Roman" w:hAnsi="Times New Roman" w:cs="Times New Roman"/>
        </w:rPr>
        <w:t>3</w:t>
      </w:r>
      <w:r w:rsidRPr="004F38BE">
        <w:rPr>
          <w:rFonts w:ascii="Times New Roman" w:hAnsi="Times New Roman" w:cs="Times New Roman"/>
        </w:rPr>
        <w:t>% (95% CI,</w:t>
      </w:r>
      <w:r w:rsidR="004B727E" w:rsidRPr="004F38BE">
        <w:rPr>
          <w:rFonts w:ascii="Times New Roman" w:hAnsi="Times New Roman" w:cs="Times New Roman"/>
        </w:rPr>
        <w:t xml:space="preserve"> </w:t>
      </w:r>
      <w:r w:rsidR="003C73CE" w:rsidRPr="004F38BE">
        <w:rPr>
          <w:rFonts w:ascii="Times New Roman" w:hAnsi="Times New Roman" w:cs="Times New Roman"/>
        </w:rPr>
        <w:t>6</w:t>
      </w:r>
      <w:r w:rsidR="00BD5BA5" w:rsidRPr="004F38BE">
        <w:rPr>
          <w:rFonts w:ascii="Times New Roman" w:hAnsi="Times New Roman" w:cs="Times New Roman"/>
        </w:rPr>
        <w:t>1</w:t>
      </w:r>
      <w:r w:rsidR="003C73CE" w:rsidRPr="004F38BE">
        <w:rPr>
          <w:rFonts w:ascii="Times New Roman" w:hAnsi="Times New Roman" w:cs="Times New Roman"/>
        </w:rPr>
        <w:t>.</w:t>
      </w:r>
      <w:r w:rsidRPr="004F38BE">
        <w:rPr>
          <w:rFonts w:ascii="Times New Roman" w:hAnsi="Times New Roman" w:cs="Times New Roman"/>
        </w:rPr>
        <w:t>8</w:t>
      </w:r>
      <w:r w:rsidR="009D5AF7" w:rsidRPr="004F38BE">
        <w:rPr>
          <w:rFonts w:ascii="Times New Roman" w:hAnsi="Times New Roman" w:cs="Times New Roman"/>
        </w:rPr>
        <w:t>–</w:t>
      </w:r>
      <w:r w:rsidRPr="004F38BE">
        <w:rPr>
          <w:rFonts w:ascii="Times New Roman" w:hAnsi="Times New Roman" w:cs="Times New Roman"/>
        </w:rPr>
        <w:t>8</w:t>
      </w:r>
      <w:r w:rsidR="00BD5BA5" w:rsidRPr="004F38BE">
        <w:rPr>
          <w:rFonts w:ascii="Times New Roman" w:hAnsi="Times New Roman" w:cs="Times New Roman"/>
        </w:rPr>
        <w:t>8</w:t>
      </w:r>
      <w:r w:rsidRPr="004F38BE">
        <w:rPr>
          <w:rFonts w:ascii="Times New Roman" w:hAnsi="Times New Roman" w:cs="Times New Roman"/>
        </w:rPr>
        <w:t>.</w:t>
      </w:r>
      <w:r w:rsidR="00BD5BA5" w:rsidRPr="004F38BE">
        <w:rPr>
          <w:rFonts w:ascii="Times New Roman" w:hAnsi="Times New Roman" w:cs="Times New Roman"/>
        </w:rPr>
        <w:t>0</w:t>
      </w:r>
      <w:r w:rsidRPr="004F38BE">
        <w:rPr>
          <w:rFonts w:ascii="Times New Roman" w:hAnsi="Times New Roman" w:cs="Times New Roman"/>
        </w:rPr>
        <w:t>) and specificity of 87.</w:t>
      </w:r>
      <w:r w:rsidR="00795370" w:rsidRPr="004F38BE">
        <w:rPr>
          <w:rFonts w:ascii="Times New Roman" w:hAnsi="Times New Roman" w:cs="Times New Roman"/>
        </w:rPr>
        <w:t>1</w:t>
      </w:r>
      <w:r w:rsidRPr="004F38BE">
        <w:rPr>
          <w:rFonts w:ascii="Times New Roman" w:hAnsi="Times New Roman" w:cs="Times New Roman"/>
        </w:rPr>
        <w:t>% (95% CI</w:t>
      </w:r>
      <w:r w:rsidR="003C73CE" w:rsidRPr="004F38BE">
        <w:rPr>
          <w:rFonts w:ascii="Times New Roman" w:hAnsi="Times New Roman" w:cs="Times New Roman"/>
        </w:rPr>
        <w:t xml:space="preserve">, </w:t>
      </w:r>
      <w:r w:rsidRPr="004F38BE">
        <w:rPr>
          <w:rFonts w:ascii="Times New Roman" w:hAnsi="Times New Roman" w:cs="Times New Roman"/>
        </w:rPr>
        <w:t>79.</w:t>
      </w:r>
      <w:r w:rsidR="00BD5BA5" w:rsidRPr="004F38BE">
        <w:rPr>
          <w:rFonts w:ascii="Times New Roman" w:hAnsi="Times New Roman" w:cs="Times New Roman"/>
        </w:rPr>
        <w:t>3</w:t>
      </w:r>
      <w:r w:rsidR="009D5AF7" w:rsidRPr="004F38BE">
        <w:rPr>
          <w:rFonts w:ascii="Times New Roman" w:hAnsi="Times New Roman" w:cs="Times New Roman"/>
        </w:rPr>
        <w:t>–</w:t>
      </w:r>
      <w:r w:rsidRPr="004F38BE">
        <w:rPr>
          <w:rFonts w:ascii="Times New Roman" w:hAnsi="Times New Roman" w:cs="Times New Roman"/>
        </w:rPr>
        <w:t>92.</w:t>
      </w:r>
      <w:r w:rsidR="00BD5BA5" w:rsidRPr="004F38BE">
        <w:rPr>
          <w:rFonts w:ascii="Times New Roman" w:hAnsi="Times New Roman" w:cs="Times New Roman"/>
        </w:rPr>
        <w:t>3</w:t>
      </w:r>
      <w:r w:rsidRPr="004F38BE">
        <w:rPr>
          <w:rFonts w:ascii="Times New Roman" w:hAnsi="Times New Roman" w:cs="Times New Roman"/>
        </w:rPr>
        <w:t>%) in the test dataset (n=1</w:t>
      </w:r>
      <w:r w:rsidR="00795370" w:rsidRPr="004F38BE">
        <w:rPr>
          <w:rFonts w:ascii="Times New Roman" w:hAnsi="Times New Roman" w:cs="Times New Roman"/>
        </w:rPr>
        <w:t>60, 44 TB and 116 no-PTB</w:t>
      </w:r>
      <w:r w:rsidRPr="004F38BE">
        <w:rPr>
          <w:rFonts w:ascii="Times New Roman" w:hAnsi="Times New Roman" w:cs="Times New Roman"/>
        </w:rPr>
        <w:t>)</w:t>
      </w:r>
      <w:r w:rsidR="005D6349" w:rsidRPr="004F38BE">
        <w:rPr>
          <w:rFonts w:ascii="Times New Roman" w:hAnsi="Times New Roman" w:cs="Times New Roman"/>
        </w:rPr>
        <w:t>. The pos</w:t>
      </w:r>
      <w:r w:rsidRPr="004F38BE">
        <w:rPr>
          <w:rFonts w:ascii="Times New Roman" w:hAnsi="Times New Roman" w:cs="Times New Roman"/>
        </w:rPr>
        <w:t>itive an</w:t>
      </w:r>
      <w:r w:rsidR="005D6349" w:rsidRPr="004F38BE">
        <w:rPr>
          <w:rFonts w:ascii="Times New Roman" w:hAnsi="Times New Roman" w:cs="Times New Roman"/>
        </w:rPr>
        <w:t xml:space="preserve">d </w:t>
      </w:r>
      <w:r w:rsidR="00A755E1" w:rsidRPr="004F38BE">
        <w:rPr>
          <w:rFonts w:ascii="Times New Roman" w:hAnsi="Times New Roman" w:cs="Times New Roman"/>
        </w:rPr>
        <w:t>NPV</w:t>
      </w:r>
      <w:r w:rsidR="005D6349" w:rsidRPr="004F38BE">
        <w:rPr>
          <w:rFonts w:ascii="Times New Roman" w:hAnsi="Times New Roman" w:cs="Times New Roman"/>
        </w:rPr>
        <w:t xml:space="preserve"> of the </w:t>
      </w:r>
      <w:r w:rsidR="00D4268E" w:rsidRPr="004F38BE">
        <w:rPr>
          <w:rFonts w:ascii="Times New Roman" w:hAnsi="Times New Roman" w:cs="Times New Roman"/>
        </w:rPr>
        <w:t>four</w:t>
      </w:r>
      <w:r w:rsidR="005D6349" w:rsidRPr="004F38BE">
        <w:rPr>
          <w:rFonts w:ascii="Times New Roman" w:hAnsi="Times New Roman" w:cs="Times New Roman"/>
        </w:rPr>
        <w:t xml:space="preserve">-marker model in the test set were </w:t>
      </w:r>
      <w:r w:rsidR="00984D46" w:rsidRPr="004F38BE">
        <w:rPr>
          <w:rFonts w:ascii="Times New Roman" w:hAnsi="Times New Roman" w:cs="Times New Roman"/>
        </w:rPr>
        <w:t>69.4</w:t>
      </w:r>
      <w:r w:rsidRPr="004F38BE">
        <w:rPr>
          <w:rFonts w:ascii="Times New Roman" w:hAnsi="Times New Roman" w:cs="Times New Roman"/>
        </w:rPr>
        <w:t xml:space="preserve">% (95% CI, </w:t>
      </w:r>
      <w:r w:rsidR="00984D46" w:rsidRPr="004F38BE">
        <w:rPr>
          <w:rFonts w:ascii="Times New Roman" w:hAnsi="Times New Roman" w:cs="Times New Roman"/>
        </w:rPr>
        <w:t>54.4</w:t>
      </w:r>
      <w:r w:rsidR="009D5AF7" w:rsidRPr="004F38BE">
        <w:rPr>
          <w:rFonts w:ascii="Times New Roman" w:hAnsi="Times New Roman" w:cs="Times New Roman"/>
        </w:rPr>
        <w:t>–</w:t>
      </w:r>
      <w:r w:rsidRPr="004F38BE">
        <w:rPr>
          <w:rFonts w:ascii="Times New Roman" w:hAnsi="Times New Roman" w:cs="Times New Roman"/>
        </w:rPr>
        <w:t>8</w:t>
      </w:r>
      <w:r w:rsidR="00984D46" w:rsidRPr="004F38BE">
        <w:rPr>
          <w:rFonts w:ascii="Times New Roman" w:hAnsi="Times New Roman" w:cs="Times New Roman"/>
        </w:rPr>
        <w:t>1</w:t>
      </w:r>
      <w:r w:rsidRPr="004F38BE">
        <w:rPr>
          <w:rFonts w:ascii="Times New Roman" w:hAnsi="Times New Roman" w:cs="Times New Roman"/>
        </w:rPr>
        <w:t>.</w:t>
      </w:r>
      <w:r w:rsidR="00984D46" w:rsidRPr="004F38BE">
        <w:rPr>
          <w:rFonts w:ascii="Times New Roman" w:hAnsi="Times New Roman" w:cs="Times New Roman"/>
        </w:rPr>
        <w:t>3%</w:t>
      </w:r>
      <w:r w:rsidRPr="004F38BE">
        <w:rPr>
          <w:rFonts w:ascii="Times New Roman" w:hAnsi="Times New Roman" w:cs="Times New Roman"/>
        </w:rPr>
        <w:t xml:space="preserve">) and </w:t>
      </w:r>
      <w:r w:rsidR="00984D46" w:rsidRPr="004F38BE">
        <w:rPr>
          <w:rFonts w:ascii="Times New Roman" w:hAnsi="Times New Roman" w:cs="Times New Roman"/>
        </w:rPr>
        <w:t>91.0%</w:t>
      </w:r>
      <w:r w:rsidRPr="004F38BE">
        <w:rPr>
          <w:rFonts w:ascii="Times New Roman" w:hAnsi="Times New Roman" w:cs="Times New Roman"/>
        </w:rPr>
        <w:t xml:space="preserve"> (95% CI, </w:t>
      </w:r>
      <w:r w:rsidR="00984D46" w:rsidRPr="004F38BE">
        <w:rPr>
          <w:rFonts w:ascii="Times New Roman" w:hAnsi="Times New Roman" w:cs="Times New Roman"/>
        </w:rPr>
        <w:t>83.7</w:t>
      </w:r>
      <w:r w:rsidR="009D5AF7" w:rsidRPr="004F38BE">
        <w:rPr>
          <w:rFonts w:ascii="Times New Roman" w:hAnsi="Times New Roman" w:cs="Times New Roman"/>
        </w:rPr>
        <w:t>–</w:t>
      </w:r>
      <w:r w:rsidRPr="004F38BE">
        <w:rPr>
          <w:rFonts w:ascii="Times New Roman" w:hAnsi="Times New Roman" w:cs="Times New Roman"/>
        </w:rPr>
        <w:t>9</w:t>
      </w:r>
      <w:r w:rsidR="00984D46" w:rsidRPr="004F38BE">
        <w:rPr>
          <w:rFonts w:ascii="Times New Roman" w:hAnsi="Times New Roman" w:cs="Times New Roman"/>
        </w:rPr>
        <w:t>5</w:t>
      </w:r>
      <w:r w:rsidRPr="004F38BE">
        <w:rPr>
          <w:rFonts w:ascii="Times New Roman" w:hAnsi="Times New Roman" w:cs="Times New Roman"/>
        </w:rPr>
        <w:t>.</w:t>
      </w:r>
      <w:r w:rsidR="00984D46" w:rsidRPr="004F38BE">
        <w:rPr>
          <w:rFonts w:ascii="Times New Roman" w:hAnsi="Times New Roman" w:cs="Times New Roman"/>
        </w:rPr>
        <w:t>4</w:t>
      </w:r>
      <w:r w:rsidRPr="004F38BE">
        <w:rPr>
          <w:rFonts w:ascii="Times New Roman" w:hAnsi="Times New Roman" w:cs="Times New Roman"/>
        </w:rPr>
        <w:t>%)</w:t>
      </w:r>
      <w:r w:rsidR="00C772AA" w:rsidRPr="004F38BE">
        <w:rPr>
          <w:rFonts w:ascii="Times New Roman" w:hAnsi="Times New Roman" w:cs="Times New Roman"/>
        </w:rPr>
        <w:t>,</w:t>
      </w:r>
      <w:r w:rsidRPr="004F38BE">
        <w:rPr>
          <w:rFonts w:ascii="Times New Roman" w:hAnsi="Times New Roman" w:cs="Times New Roman"/>
        </w:rPr>
        <w:t xml:space="preserve"> respectively. </w:t>
      </w:r>
    </w:p>
    <w:p w14:paraId="0365C8A6" w14:textId="77777777" w:rsidR="00CD618F" w:rsidRPr="004F38BE" w:rsidRDefault="00CD618F" w:rsidP="0033455D">
      <w:pPr>
        <w:pStyle w:val="DefaultStyle"/>
        <w:spacing w:line="360" w:lineRule="auto"/>
        <w:jc w:val="both"/>
        <w:rPr>
          <w:rFonts w:ascii="Times New Roman" w:hAnsi="Times New Roman" w:cs="Times New Roman"/>
          <w:b/>
        </w:rPr>
      </w:pPr>
    </w:p>
    <w:p w14:paraId="2056F250" w14:textId="77777777" w:rsidR="00CD618F" w:rsidRPr="004F38BE" w:rsidRDefault="00CD618F" w:rsidP="0033455D">
      <w:pPr>
        <w:pStyle w:val="DefaultStyle"/>
        <w:spacing w:line="360" w:lineRule="auto"/>
        <w:jc w:val="both"/>
        <w:rPr>
          <w:rFonts w:ascii="Times New Roman" w:hAnsi="Times New Roman" w:cs="Times New Roman"/>
          <w:b/>
        </w:rPr>
      </w:pPr>
    </w:p>
    <w:p w14:paraId="7B75D543" w14:textId="4F263858" w:rsidR="008302B5" w:rsidRPr="004F38BE" w:rsidRDefault="004D6512" w:rsidP="0033455D">
      <w:pPr>
        <w:pStyle w:val="DefaultStyle"/>
        <w:spacing w:line="360" w:lineRule="auto"/>
        <w:jc w:val="both"/>
        <w:rPr>
          <w:rFonts w:ascii="Times New Roman" w:hAnsi="Times New Roman" w:cs="Times New Roman"/>
        </w:rPr>
      </w:pPr>
      <w:r w:rsidRPr="004F38BE">
        <w:rPr>
          <w:rFonts w:ascii="Times New Roman" w:hAnsi="Times New Roman" w:cs="Times New Roman"/>
          <w:b/>
        </w:rPr>
        <w:t>D</w:t>
      </w:r>
      <w:r w:rsidR="004D7872" w:rsidRPr="004F38BE">
        <w:rPr>
          <w:rFonts w:ascii="Times New Roman" w:hAnsi="Times New Roman" w:cs="Times New Roman"/>
          <w:b/>
        </w:rPr>
        <w:t>ISCUSSION</w:t>
      </w:r>
      <w:r w:rsidR="00CB4870" w:rsidRPr="004F38BE">
        <w:rPr>
          <w:rFonts w:ascii="Times New Roman" w:hAnsi="Times New Roman" w:cs="Times New Roman"/>
          <w:b/>
        </w:rPr>
        <w:t xml:space="preserve"> </w:t>
      </w:r>
    </w:p>
    <w:p w14:paraId="728355BC" w14:textId="51572F2F" w:rsidR="00751A2C" w:rsidRPr="004F38BE" w:rsidRDefault="00764C2B" w:rsidP="0033455D">
      <w:pPr>
        <w:spacing w:line="360" w:lineRule="auto"/>
        <w:jc w:val="both"/>
      </w:pPr>
      <w:r w:rsidRPr="004F38BE">
        <w:t>We investigated t</w:t>
      </w:r>
      <w:r w:rsidR="00597870" w:rsidRPr="004F38BE">
        <w:t>he</w:t>
      </w:r>
      <w:r w:rsidR="00CA1CA5" w:rsidRPr="004F38BE">
        <w:t xml:space="preserve"> </w:t>
      </w:r>
      <w:r w:rsidR="001B0579" w:rsidRPr="004F38BE">
        <w:t>potential value of</w:t>
      </w:r>
      <w:r w:rsidR="00597870" w:rsidRPr="004F38BE">
        <w:t xml:space="preserve"> </w:t>
      </w:r>
      <w:r w:rsidR="0034085F" w:rsidRPr="004F38BE">
        <w:t xml:space="preserve">22 </w:t>
      </w:r>
      <w:r w:rsidR="00751A2C" w:rsidRPr="004F38BE">
        <w:t xml:space="preserve">host </w:t>
      </w:r>
      <w:r w:rsidRPr="004F38BE">
        <w:t xml:space="preserve">serum protein </w:t>
      </w:r>
      <w:r w:rsidR="00597870" w:rsidRPr="004F38BE">
        <w:t>bio</w:t>
      </w:r>
      <w:r w:rsidR="00751A2C" w:rsidRPr="004F38BE">
        <w:t>markers</w:t>
      </w:r>
      <w:r w:rsidR="004F7A05" w:rsidRPr="004F38BE">
        <w:t xml:space="preserve"> </w:t>
      </w:r>
      <w:r w:rsidRPr="004F38BE">
        <w:t>in the diagnosis of TB disease in i</w:t>
      </w:r>
      <w:r w:rsidR="00597870" w:rsidRPr="004F38BE">
        <w:t xml:space="preserve">ndividuals presenting with symptoms </w:t>
      </w:r>
      <w:r w:rsidR="00A262CA" w:rsidRPr="004F38BE">
        <w:t>suggestive of</w:t>
      </w:r>
      <w:r w:rsidR="00597870" w:rsidRPr="004F38BE">
        <w:t xml:space="preserve"> </w:t>
      </w:r>
      <w:r w:rsidR="00FB441A" w:rsidRPr="004F38BE">
        <w:t>pulmonary</w:t>
      </w:r>
      <w:r w:rsidR="00597870" w:rsidRPr="004F38BE">
        <w:t xml:space="preserve"> TB disease at </w:t>
      </w:r>
      <w:r w:rsidR="00010EF3" w:rsidRPr="004F38BE">
        <w:t>peripheral-</w:t>
      </w:r>
      <w:r w:rsidR="00597870" w:rsidRPr="004F38BE">
        <w:t xml:space="preserve">level healthcare clinics </w:t>
      </w:r>
      <w:r w:rsidR="00751A2C" w:rsidRPr="004F38BE">
        <w:t xml:space="preserve">in </w:t>
      </w:r>
      <w:r w:rsidR="00AA6FA7" w:rsidRPr="004F38BE">
        <w:t>five</w:t>
      </w:r>
      <w:r w:rsidR="00751A2C" w:rsidRPr="004F38BE">
        <w:t xml:space="preserve"> different African countries</w:t>
      </w:r>
      <w:r w:rsidR="00597870" w:rsidRPr="004F38BE">
        <w:t xml:space="preserve">. </w:t>
      </w:r>
      <w:r w:rsidR="00AC6A96" w:rsidRPr="004F38BE">
        <w:t xml:space="preserve">Although </w:t>
      </w:r>
      <w:r w:rsidR="00593C85" w:rsidRPr="004F38BE">
        <w:t>most</w:t>
      </w:r>
      <w:r w:rsidR="00AC6A96" w:rsidRPr="004F38BE">
        <w:t xml:space="preserve"> of the analytes showed promise individually, </w:t>
      </w:r>
      <w:r w:rsidR="0002463F" w:rsidRPr="004F38BE">
        <w:t xml:space="preserve">the </w:t>
      </w:r>
      <w:r w:rsidR="00791376" w:rsidRPr="004F38BE">
        <w:t>most optimal discriminatory profile</w:t>
      </w:r>
      <w:r w:rsidR="008B75DB" w:rsidRPr="004F38BE">
        <w:t xml:space="preserve"> </w:t>
      </w:r>
      <w:r w:rsidR="0002463F" w:rsidRPr="004F38BE">
        <w:t>was</w:t>
      </w:r>
      <w:r w:rsidR="000E3EEA" w:rsidRPr="004F38BE">
        <w:t xml:space="preserve"> </w:t>
      </w:r>
      <w:r w:rsidR="000A57F0" w:rsidRPr="004F38BE">
        <w:t>a</w:t>
      </w:r>
      <w:r w:rsidR="00AC6A96" w:rsidRPr="004F38BE">
        <w:t xml:space="preserve"> </w:t>
      </w:r>
      <w:r w:rsidR="00AB7372" w:rsidRPr="004F38BE">
        <w:t>s</w:t>
      </w:r>
      <w:r w:rsidR="00F91FBF" w:rsidRPr="004F38BE">
        <w:t>even</w:t>
      </w:r>
      <w:r w:rsidR="00AC6A96" w:rsidRPr="004F38BE">
        <w:t>-</w:t>
      </w:r>
      <w:r w:rsidR="0002463F" w:rsidRPr="004F38BE">
        <w:t>marker</w:t>
      </w:r>
      <w:r w:rsidR="00AC6A96" w:rsidRPr="004F38BE">
        <w:t xml:space="preserve"> </w:t>
      </w:r>
      <w:r w:rsidR="00751A2C" w:rsidRPr="004F38BE">
        <w:t xml:space="preserve">biosignature </w:t>
      </w:r>
      <w:r w:rsidR="00AC6A96" w:rsidRPr="004F38BE">
        <w:t>compris</w:t>
      </w:r>
      <w:r w:rsidR="00010EF3" w:rsidRPr="004F38BE">
        <w:t>ed</w:t>
      </w:r>
      <w:r w:rsidR="001B0579" w:rsidRPr="004F38BE">
        <w:t xml:space="preserve"> </w:t>
      </w:r>
      <w:r w:rsidR="00AC6A96" w:rsidRPr="004F38BE">
        <w:t>of</w:t>
      </w:r>
      <w:r w:rsidR="008B75DB" w:rsidRPr="004F38BE">
        <w:t xml:space="preserve"> </w:t>
      </w:r>
      <w:r w:rsidR="00213F5F" w:rsidRPr="004F38BE">
        <w:t>ApoA-1</w:t>
      </w:r>
      <w:r w:rsidR="008B75DB" w:rsidRPr="004F38BE">
        <w:t>, CFH, CRP, IFN-γ, IP-</w:t>
      </w:r>
      <w:r w:rsidR="00F91FBF" w:rsidRPr="004F38BE">
        <w:t xml:space="preserve">10, SAA </w:t>
      </w:r>
      <w:r w:rsidR="00751A2C" w:rsidRPr="004F38BE">
        <w:t xml:space="preserve">and </w:t>
      </w:r>
      <w:r w:rsidR="008B75DB" w:rsidRPr="004F38BE">
        <w:t>transthyretin,</w:t>
      </w:r>
      <w:r w:rsidR="008B75DB" w:rsidRPr="004F38BE" w:rsidDel="008B75DB">
        <w:t xml:space="preserve"> </w:t>
      </w:r>
      <w:r w:rsidR="00010EF3" w:rsidRPr="004F38BE">
        <w:lastRenderedPageBreak/>
        <w:t>which</w:t>
      </w:r>
      <w:r w:rsidR="000E3EEA" w:rsidRPr="004F38BE">
        <w:t xml:space="preserve"> </w:t>
      </w:r>
      <w:r w:rsidR="00AC6A96" w:rsidRPr="004F38BE">
        <w:t>might be useful in the</w:t>
      </w:r>
      <w:r w:rsidR="000E3EEA" w:rsidRPr="004F38BE">
        <w:t xml:space="preserve"> rapid</w:t>
      </w:r>
      <w:r w:rsidR="00AC6A96" w:rsidRPr="004F38BE">
        <w:t xml:space="preserve"> diagnosis of TB disease regardless of HIV infection status or ethnicity in Africa</w:t>
      </w:r>
      <w:r w:rsidR="00751A2C" w:rsidRPr="004F38BE">
        <w:t>.</w:t>
      </w:r>
      <w:r w:rsidR="000A57F0" w:rsidRPr="004F38BE">
        <w:t xml:space="preserve"> </w:t>
      </w:r>
    </w:p>
    <w:p w14:paraId="337D0ACE" w14:textId="77777777" w:rsidR="004D1115" w:rsidRPr="004F38BE" w:rsidRDefault="004D1115" w:rsidP="0033455D">
      <w:pPr>
        <w:spacing w:line="360" w:lineRule="auto"/>
        <w:jc w:val="both"/>
      </w:pPr>
    </w:p>
    <w:p w14:paraId="5F143DE7" w14:textId="18B9FE82" w:rsidR="00773187" w:rsidRPr="004F38BE" w:rsidRDefault="00CF5DA0" w:rsidP="0033455D">
      <w:pPr>
        <w:spacing w:line="360" w:lineRule="auto"/>
        <w:jc w:val="both"/>
        <w:rPr>
          <w:color w:val="000000"/>
        </w:rPr>
      </w:pPr>
      <w:r w:rsidRPr="004F38BE">
        <w:t xml:space="preserve">Diagnostic tests </w:t>
      </w:r>
      <w:r w:rsidR="00A262CA" w:rsidRPr="004F38BE">
        <w:t xml:space="preserve">based on </w:t>
      </w:r>
      <w:r w:rsidRPr="004F38BE">
        <w:t>the detection of</w:t>
      </w:r>
      <w:r w:rsidR="004B0A86" w:rsidRPr="004F38BE">
        <w:t xml:space="preserve"> </w:t>
      </w:r>
      <w:r w:rsidRPr="004F38BE">
        <w:t xml:space="preserve">host </w:t>
      </w:r>
      <w:r w:rsidR="00CA1CA5" w:rsidRPr="004F38BE">
        <w:t>protein</w:t>
      </w:r>
      <w:r w:rsidRPr="004F38BE">
        <w:t xml:space="preserve"> biomarkers in </w:t>
      </w:r>
      <w:r w:rsidRPr="004F38BE">
        <w:rPr>
          <w:i/>
        </w:rPr>
        <w:t>ex vivo</w:t>
      </w:r>
      <w:r w:rsidRPr="004F38BE">
        <w:t xml:space="preserve"> samples might be more beneficial</w:t>
      </w:r>
      <w:r w:rsidR="00DF75D2" w:rsidRPr="004F38BE">
        <w:t xml:space="preserve"> than antigen</w:t>
      </w:r>
      <w:r w:rsidR="0089652E" w:rsidRPr="004F38BE">
        <w:t xml:space="preserve"> </w:t>
      </w:r>
      <w:r w:rsidR="00DF75D2" w:rsidRPr="004F38BE">
        <w:t>stimulation assays</w:t>
      </w:r>
      <w:r w:rsidR="001005AC" w:rsidRPr="004F38BE">
        <w:t xml:space="preserve"> as results can potentially be obtained rapidly if lateral flow technolog</w:t>
      </w:r>
      <w:r w:rsidR="007B3958" w:rsidRPr="004F38BE">
        <w:t>ies</w:t>
      </w:r>
      <w:r w:rsidR="001005AC" w:rsidRPr="004F38BE">
        <w:t xml:space="preserve"> </w:t>
      </w:r>
      <w:r w:rsidR="00CA1CA5" w:rsidRPr="004F38BE">
        <w:t>are</w:t>
      </w:r>
      <w:r w:rsidR="001005AC" w:rsidRPr="004F38BE">
        <w:t xml:space="preserve"> employed</w:t>
      </w:r>
      <w:r w:rsidR="00B376DF" w:rsidRPr="004F38BE">
        <w:t xml:space="preserve">. </w:t>
      </w:r>
      <w:r w:rsidR="004A34C8" w:rsidRPr="004F38BE">
        <w:t xml:space="preserve">Besides the markers that were </w:t>
      </w:r>
      <w:r w:rsidR="00940BA0" w:rsidRPr="004F38BE">
        <w:t xml:space="preserve">included in our final </w:t>
      </w:r>
      <w:r w:rsidR="00854265" w:rsidRPr="004F38BE">
        <w:t>s</w:t>
      </w:r>
      <w:r w:rsidR="007105ED" w:rsidRPr="004F38BE">
        <w:t>even</w:t>
      </w:r>
      <w:r w:rsidR="00854265" w:rsidRPr="004F38BE">
        <w:t>-marker</w:t>
      </w:r>
      <w:r w:rsidR="00940BA0" w:rsidRPr="004F38BE">
        <w:t xml:space="preserve"> biosignature</w:t>
      </w:r>
      <w:r w:rsidR="004A34C8" w:rsidRPr="004F38BE">
        <w:t xml:space="preserve"> (</w:t>
      </w:r>
      <w:r w:rsidR="00B376DF" w:rsidRPr="004F38BE">
        <w:t xml:space="preserve">ApoA-1, </w:t>
      </w:r>
      <w:r w:rsidR="000C65BD" w:rsidRPr="004F38BE">
        <w:t>CFH</w:t>
      </w:r>
      <w:r w:rsidR="008F6FAF" w:rsidRPr="004F38BE">
        <w:t xml:space="preserve">, </w:t>
      </w:r>
      <w:r w:rsidR="00B376DF" w:rsidRPr="004F38BE">
        <w:t xml:space="preserve">CRP, IFN-γ, </w:t>
      </w:r>
      <w:r w:rsidR="006816F8" w:rsidRPr="004F38BE">
        <w:t>IP-10</w:t>
      </w:r>
      <w:r w:rsidR="007105ED" w:rsidRPr="004F38BE">
        <w:t>, SAA</w:t>
      </w:r>
      <w:r w:rsidR="00B376DF" w:rsidRPr="004F38BE">
        <w:t xml:space="preserve"> and transthyretin</w:t>
      </w:r>
      <w:r w:rsidR="004A34C8" w:rsidRPr="004F38BE">
        <w:t>)</w:t>
      </w:r>
      <w:r w:rsidR="008F6FAF" w:rsidRPr="004F38BE">
        <w:t>,</w:t>
      </w:r>
      <w:r w:rsidR="004A34C8" w:rsidRPr="004F38BE">
        <w:t xml:space="preserve"> other </w:t>
      </w:r>
      <w:r w:rsidR="001005AC" w:rsidRPr="004F38BE">
        <w:t xml:space="preserve">analytes </w:t>
      </w:r>
      <w:r w:rsidR="004A34C8" w:rsidRPr="004F38BE">
        <w:t>including</w:t>
      </w:r>
      <w:r w:rsidR="008F6FAF" w:rsidRPr="004F38BE">
        <w:t xml:space="preserve"> </w:t>
      </w:r>
      <w:r w:rsidR="006816F8" w:rsidRPr="004F38BE">
        <w:rPr>
          <w:color w:val="000000"/>
        </w:rPr>
        <w:t>ferritin, fibrinogen</w:t>
      </w:r>
      <w:r w:rsidR="001D4986" w:rsidRPr="004F38BE">
        <w:rPr>
          <w:color w:val="000000"/>
        </w:rPr>
        <w:t xml:space="preserve">, </w:t>
      </w:r>
      <w:r w:rsidR="00D71D14" w:rsidRPr="004F38BE">
        <w:rPr>
          <w:color w:val="000000"/>
        </w:rPr>
        <w:t xml:space="preserve">PCT, </w:t>
      </w:r>
      <w:r w:rsidR="001D4986" w:rsidRPr="004F38BE">
        <w:rPr>
          <w:color w:val="000000"/>
        </w:rPr>
        <w:t xml:space="preserve">TGF-α, </w:t>
      </w:r>
      <w:r w:rsidR="00D71D14" w:rsidRPr="004F38BE">
        <w:rPr>
          <w:color w:val="000000"/>
        </w:rPr>
        <w:t xml:space="preserve">TNF-α, </w:t>
      </w:r>
      <w:r w:rsidR="006816F8" w:rsidRPr="004F38BE">
        <w:rPr>
          <w:color w:val="000000"/>
        </w:rPr>
        <w:t>TPA</w:t>
      </w:r>
      <w:r w:rsidR="001D4986" w:rsidRPr="004F38BE">
        <w:rPr>
          <w:color w:val="000000"/>
        </w:rPr>
        <w:t>,</w:t>
      </w:r>
      <w:r w:rsidR="00D71D14" w:rsidRPr="004F38BE">
        <w:rPr>
          <w:color w:val="000000"/>
        </w:rPr>
        <w:t xml:space="preserve"> and</w:t>
      </w:r>
      <w:r w:rsidR="001D4986" w:rsidRPr="004F38BE">
        <w:rPr>
          <w:color w:val="000000"/>
        </w:rPr>
        <w:t xml:space="preserve"> VEGF</w:t>
      </w:r>
      <w:r w:rsidR="00D71D14" w:rsidRPr="004F38BE">
        <w:rPr>
          <w:color w:val="000000"/>
        </w:rPr>
        <w:t xml:space="preserve"> </w:t>
      </w:r>
      <w:r w:rsidR="004A34C8" w:rsidRPr="004F38BE">
        <w:rPr>
          <w:color w:val="000000"/>
        </w:rPr>
        <w:t xml:space="preserve">showed </w:t>
      </w:r>
      <w:r w:rsidR="008914EC" w:rsidRPr="004F38BE">
        <w:rPr>
          <w:color w:val="000000"/>
        </w:rPr>
        <w:t xml:space="preserve">diagnostic potential for TB disease </w:t>
      </w:r>
      <w:r w:rsidR="004A34C8" w:rsidRPr="004F38BE">
        <w:rPr>
          <w:color w:val="000000"/>
        </w:rPr>
        <w:t xml:space="preserve">and </w:t>
      </w:r>
      <w:r w:rsidR="001D4986" w:rsidRPr="004F38BE">
        <w:rPr>
          <w:color w:val="000000"/>
        </w:rPr>
        <w:t>could</w:t>
      </w:r>
      <w:r w:rsidR="004A34C8" w:rsidRPr="004F38BE">
        <w:rPr>
          <w:color w:val="000000"/>
        </w:rPr>
        <w:t xml:space="preserve"> have</w:t>
      </w:r>
      <w:r w:rsidR="001D4986" w:rsidRPr="004F38BE">
        <w:rPr>
          <w:color w:val="000000"/>
        </w:rPr>
        <w:t xml:space="preserve"> equally be</w:t>
      </w:r>
      <w:r w:rsidR="004A34C8" w:rsidRPr="004F38BE">
        <w:rPr>
          <w:color w:val="000000"/>
        </w:rPr>
        <w:t>en included in the final model</w:t>
      </w:r>
      <w:r w:rsidR="00940BA0" w:rsidRPr="004F38BE">
        <w:rPr>
          <w:color w:val="000000"/>
        </w:rPr>
        <w:t xml:space="preserve"> in place of any of the s</w:t>
      </w:r>
      <w:r w:rsidR="007105ED" w:rsidRPr="004F38BE">
        <w:rPr>
          <w:color w:val="000000"/>
        </w:rPr>
        <w:t>even</w:t>
      </w:r>
      <w:r w:rsidR="00940BA0" w:rsidRPr="004F38BE">
        <w:rPr>
          <w:color w:val="000000"/>
        </w:rPr>
        <w:t xml:space="preserve"> selected markers</w:t>
      </w:r>
      <w:r w:rsidR="004A34C8" w:rsidRPr="004F38BE">
        <w:rPr>
          <w:color w:val="000000"/>
        </w:rPr>
        <w:t>.</w:t>
      </w:r>
      <w:r w:rsidR="000A47C2" w:rsidRPr="004F38BE">
        <w:rPr>
          <w:color w:val="000000"/>
        </w:rPr>
        <w:t xml:space="preserve"> </w:t>
      </w:r>
      <w:r w:rsidR="00B376DF" w:rsidRPr="004F38BE">
        <w:rPr>
          <w:color w:val="000000"/>
        </w:rPr>
        <w:t xml:space="preserve">Most of </w:t>
      </w:r>
      <w:r w:rsidR="00DF75D2" w:rsidRPr="004F38BE">
        <w:rPr>
          <w:color w:val="000000"/>
        </w:rPr>
        <w:t>t</w:t>
      </w:r>
      <w:r w:rsidR="00720FC8" w:rsidRPr="004F38BE">
        <w:rPr>
          <w:color w:val="000000"/>
        </w:rPr>
        <w:t xml:space="preserve">hese markers are </w:t>
      </w:r>
      <w:r w:rsidR="007B6104" w:rsidRPr="004F38BE">
        <w:rPr>
          <w:color w:val="000000"/>
        </w:rPr>
        <w:t>well known</w:t>
      </w:r>
      <w:r w:rsidR="00B94B8B" w:rsidRPr="004F38BE">
        <w:rPr>
          <w:color w:val="000000"/>
        </w:rPr>
        <w:t xml:space="preserve">, </w:t>
      </w:r>
      <w:r w:rsidR="00B3419E" w:rsidRPr="004F38BE">
        <w:rPr>
          <w:color w:val="000000"/>
        </w:rPr>
        <w:t xml:space="preserve">disease </w:t>
      </w:r>
      <w:r w:rsidR="004A34C8" w:rsidRPr="004F38BE">
        <w:rPr>
          <w:color w:val="000000"/>
        </w:rPr>
        <w:t>non-specific markers of inflammation and have been extensively investigated in diverse disease</w:t>
      </w:r>
      <w:r w:rsidR="00B94B8B" w:rsidRPr="004F38BE">
        <w:rPr>
          <w:color w:val="000000"/>
        </w:rPr>
        <w:t xml:space="preserve"> conditions</w:t>
      </w:r>
      <w:r w:rsidR="004A34C8" w:rsidRPr="004F38BE">
        <w:rPr>
          <w:color w:val="000000"/>
        </w:rPr>
        <w:t xml:space="preserve">. </w:t>
      </w:r>
    </w:p>
    <w:p w14:paraId="2697A22F" w14:textId="77777777" w:rsidR="00773187" w:rsidRPr="004F38BE" w:rsidRDefault="00773187" w:rsidP="0033455D">
      <w:pPr>
        <w:spacing w:line="360" w:lineRule="auto"/>
        <w:jc w:val="both"/>
        <w:rPr>
          <w:color w:val="000000"/>
        </w:rPr>
      </w:pPr>
    </w:p>
    <w:p w14:paraId="2235A1B1" w14:textId="26685965" w:rsidR="00DF75D2" w:rsidRPr="004F38BE" w:rsidRDefault="00720FC8" w:rsidP="0033455D">
      <w:pPr>
        <w:spacing w:line="360" w:lineRule="auto"/>
        <w:jc w:val="both"/>
      </w:pPr>
      <w:r w:rsidRPr="004F38BE">
        <w:t>IFN-γ</w:t>
      </w:r>
      <w:r w:rsidR="00B10C62" w:rsidRPr="004F38BE">
        <w:t>,</w:t>
      </w:r>
      <w:r w:rsidRPr="004F38BE">
        <w:t xml:space="preserve"> IP-10</w:t>
      </w:r>
      <w:r w:rsidR="001B4001" w:rsidRPr="004F38BE">
        <w:t xml:space="preserve"> and </w:t>
      </w:r>
      <w:r w:rsidR="00B10C62" w:rsidRPr="004F38BE">
        <w:t>TNF-</w:t>
      </w:r>
      <w:r w:rsidR="001B4001" w:rsidRPr="004F38BE">
        <w:t>α</w:t>
      </w:r>
      <w:r w:rsidR="00DA78FD" w:rsidRPr="004F38BE">
        <w:t>,</w:t>
      </w:r>
      <w:r w:rsidR="00B10C62" w:rsidRPr="004F38BE">
        <w:t xml:space="preserve"> together with other markers </w:t>
      </w:r>
      <w:r w:rsidR="00DA78FD" w:rsidRPr="004F38BE">
        <w:t>including</w:t>
      </w:r>
      <w:r w:rsidR="00B10C62" w:rsidRPr="004F38BE">
        <w:t xml:space="preserve"> IL-2</w:t>
      </w:r>
      <w:r w:rsidR="00906F8E" w:rsidRPr="004F38BE">
        <w:t xml:space="preserve"> </w:t>
      </w:r>
      <w:r w:rsidR="001B4001" w:rsidRPr="004F38BE">
        <w:t>(reviewed in</w:t>
      </w:r>
      <w:r w:rsidR="00020281" w:rsidRPr="004F38BE">
        <w:fldChar w:fldCharType="begin"/>
      </w:r>
      <w:r w:rsidR="00CB2263">
        <w:instrText xml:space="preserve"> ADDIN REFMGR.CITE &lt;Refman&gt;&lt;Cite&gt;&lt;Author&gt;Chegou&lt;/Author&gt;&lt;Year&gt;2014&lt;/Year&gt;&lt;RecNum&gt;689&lt;/RecNum&gt;&lt;IDText&gt;Beyond the IFN-gamma horizon: biomarkers for immunodiagnosis of infection with Mycobacterium tuberculosis&lt;/IDText&gt;&lt;MDL Ref_Type="Journal"&gt;&lt;Ref_Type&gt;Journal&lt;/Ref_Type&gt;&lt;Ref_ID&gt;689&lt;/Ref_ID&gt;&lt;Title_Primary&gt;Beyond the IFN-gamma horizon: biomarkers for immunodiagnosis of infection with Mycobacterium tuberculosis&lt;/Title_Primary&gt;&lt;Authors_Primary&gt;Chegou,N.N.&lt;/Authors_Primary&gt;&lt;Authors_Primary&gt;Heyckendorf,J.&lt;/Authors_Primary&gt;&lt;Authors_Primary&gt;Walzl,G.&lt;/Authors_Primary&gt;&lt;Authors_Primary&gt;Lange,C.&lt;/Authors_Primary&gt;&lt;Authors_Primary&gt;Ruhwald,M.&lt;/Authors_Primary&gt;&lt;Date_Primary&gt;2014/5&lt;/Date_Primary&gt;&lt;Keywords&gt;Africa&lt;/Keywords&gt;&lt;Keywords&gt;analysis&lt;/Keywords&gt;&lt;Keywords&gt;Biological Markers&lt;/Keywords&gt;&lt;Keywords&gt;Chemokine CCL2&lt;/Keywords&gt;&lt;Keywords&gt;Chemokine CCL4&lt;/Keywords&gt;&lt;Keywords&gt;Chemokine CCL8&lt;/Keywords&gt;&lt;Keywords&gt;Chemokine CXCL10&lt;/Keywords&gt;&lt;Keywords&gt;Chemokine CXCL9&lt;/Keywords&gt;&lt;Keywords&gt;diagnosis&lt;/Keywords&gt;&lt;Keywords&gt;genetics&lt;/Keywords&gt;&lt;Keywords&gt;Health&lt;/Keywords&gt;&lt;Keywords&gt;Humans&lt;/Keywords&gt;&lt;Keywords&gt;Immunity&lt;/Keywords&gt;&lt;Keywords&gt;Immunologic Tests&lt;/Keywords&gt;&lt;Keywords&gt;immunology&lt;/Keywords&gt;&lt;Keywords&gt;Infection&lt;/Keywords&gt;&lt;Keywords&gt;Interferon-gamma&lt;/Keywords&gt;&lt;Keywords&gt;Interleukin 1 Receptor Antagonist Protein&lt;/Keywords&gt;&lt;Keywords&gt;Interleukin-1&lt;/Keywords&gt;&lt;Keywords&gt;Interleukin-2&lt;/Keywords&gt;&lt;Keywords&gt;metabolism&lt;/Keywords&gt;&lt;Keywords&gt;methods&lt;/Keywords&gt;&lt;Keywords&gt;Molecular Biology&lt;/Keywords&gt;&lt;Keywords&gt;Mycobacterium&lt;/Keywords&gt;&lt;Keywords&gt;Mycobacterium tuberculosis&lt;/Keywords&gt;&lt;Keywords&gt;Risk&lt;/Keywords&gt;&lt;Keywords&gt;South Africa&lt;/Keywords&gt;&lt;Keywords&gt;Tuberculin Test&lt;/Keywords&gt;&lt;Keywords&gt;Tuberculosis&lt;/Keywords&gt;&lt;Reprint&gt;Not in File&lt;/Reprint&gt;&lt;Start_Page&gt;1472&lt;/Start_Page&gt;&lt;End_Page&gt;1486&lt;/End_Page&gt;&lt;Periodical&gt;Eur Respir J&lt;/Periodical&gt;&lt;Volume&gt;43&lt;/Volume&gt;&lt;Issue&gt;5&lt;/Issue&gt;&lt;Misc_3&gt;09031936.00151413 [pii];10.1183/09031936.00151413 [doi]&lt;/Misc_3&gt;&lt;Address&gt;Division of Molecular Biology and Human Genetics, Dept of Biomedical Sciences, Faculty of Medicine and Health Sciences, Stellenbosch University, Tygerberg, South Africa&lt;/Address&gt;&lt;Web_URL&gt;PM:24311770&lt;/Web_URL&gt;&lt;ZZ_JournalFull&gt;&lt;f name="System"&gt;Eur Respir J&lt;/f&gt;&lt;/ZZ_JournalFull&gt;&lt;ZZ_WorkformID&gt;1&lt;/ZZ_WorkformID&gt;&lt;/MDL&gt;&lt;/Cite&gt;&lt;/Refman&gt;</w:instrText>
      </w:r>
      <w:r w:rsidR="00020281" w:rsidRPr="004F38BE">
        <w:fldChar w:fldCharType="separate"/>
      </w:r>
      <w:r w:rsidR="00CB2263" w:rsidRPr="00CB2263">
        <w:rPr>
          <w:vertAlign w:val="superscript"/>
        </w:rPr>
        <w:t>17</w:t>
      </w:r>
      <w:r w:rsidR="00020281" w:rsidRPr="004F38BE">
        <w:fldChar w:fldCharType="end"/>
      </w:r>
      <w:r w:rsidR="001B4001" w:rsidRPr="004F38BE">
        <w:t>)</w:t>
      </w:r>
      <w:r w:rsidR="00B10C62" w:rsidRPr="004F38BE">
        <w:t>, are amongst the mo</w:t>
      </w:r>
      <w:r w:rsidRPr="004F38BE">
        <w:t xml:space="preserve">st investigated </w:t>
      </w:r>
      <w:r w:rsidR="00D02080" w:rsidRPr="004F38BE">
        <w:t xml:space="preserve">host </w:t>
      </w:r>
      <w:r w:rsidR="00B10C62" w:rsidRPr="004F38BE">
        <w:t xml:space="preserve">immunological </w:t>
      </w:r>
      <w:r w:rsidR="00D02080" w:rsidRPr="004F38BE">
        <w:t>bio</w:t>
      </w:r>
      <w:r w:rsidR="00B10C62" w:rsidRPr="004F38BE">
        <w:t xml:space="preserve">markers for the diagnosis </w:t>
      </w:r>
      <w:r w:rsidR="000F5EFE" w:rsidRPr="004F38BE">
        <w:t xml:space="preserve">of </w:t>
      </w:r>
      <w:r w:rsidR="00512553" w:rsidRPr="004F38BE">
        <w:rPr>
          <w:i/>
        </w:rPr>
        <w:t>M.tb</w:t>
      </w:r>
      <w:r w:rsidRPr="004F38BE">
        <w:t xml:space="preserve"> infection</w:t>
      </w:r>
      <w:r w:rsidR="00D02080" w:rsidRPr="004F38BE">
        <w:t xml:space="preserve"> and disease</w:t>
      </w:r>
      <w:r w:rsidR="00610561" w:rsidRPr="004F38BE">
        <w:t xml:space="preserve">. </w:t>
      </w:r>
      <w:r w:rsidR="00BB4D77" w:rsidRPr="004F38BE">
        <w:t xml:space="preserve">Both </w:t>
      </w:r>
      <w:r w:rsidR="00DF75D2" w:rsidRPr="004F38BE">
        <w:t>IFN-γ and IP-10</w:t>
      </w:r>
      <w:r w:rsidR="00BB4D77" w:rsidRPr="004F38BE">
        <w:t xml:space="preserve"> showed potential in this study. </w:t>
      </w:r>
      <w:r w:rsidR="00E079BB" w:rsidRPr="004F38BE">
        <w:t xml:space="preserve">The </w:t>
      </w:r>
      <w:r w:rsidR="00742F7B" w:rsidRPr="004F38BE">
        <w:t>inclusion</w:t>
      </w:r>
      <w:r w:rsidR="00E079BB" w:rsidRPr="004F38BE">
        <w:t xml:space="preserve"> of these markers in </w:t>
      </w:r>
      <w:r w:rsidR="00742F7B" w:rsidRPr="004F38BE">
        <w:t>the</w:t>
      </w:r>
      <w:r w:rsidR="00DF75D2" w:rsidRPr="004F38BE">
        <w:t xml:space="preserve"> </w:t>
      </w:r>
      <w:r w:rsidR="00854265" w:rsidRPr="004F38BE">
        <w:t>s</w:t>
      </w:r>
      <w:r w:rsidR="007105ED" w:rsidRPr="004F38BE">
        <w:t>even</w:t>
      </w:r>
      <w:r w:rsidR="00854265" w:rsidRPr="004F38BE">
        <w:t>-marker</w:t>
      </w:r>
      <w:r w:rsidR="00DF75D2" w:rsidRPr="004F38BE">
        <w:t xml:space="preserve"> </w:t>
      </w:r>
      <w:r w:rsidR="00E079BB" w:rsidRPr="004F38BE">
        <w:t>model is</w:t>
      </w:r>
      <w:r w:rsidR="00BB4D77" w:rsidRPr="004F38BE">
        <w:t xml:space="preserve"> </w:t>
      </w:r>
      <w:r w:rsidR="00E079BB" w:rsidRPr="004F38BE">
        <w:t xml:space="preserve">not surprising, given their widely </w:t>
      </w:r>
      <w:r w:rsidR="00610561" w:rsidRPr="004F38BE">
        <w:t xml:space="preserve">accepted </w:t>
      </w:r>
      <w:r w:rsidR="00E079BB" w:rsidRPr="004F38BE">
        <w:t>roles in the pathogenesis</w:t>
      </w:r>
      <w:r w:rsidR="00742F7B" w:rsidRPr="004F38BE">
        <w:t xml:space="preserve"> </w:t>
      </w:r>
      <w:r w:rsidR="00DF75D2" w:rsidRPr="004F38BE">
        <w:t>o</w:t>
      </w:r>
      <w:r w:rsidR="00E079BB" w:rsidRPr="004F38BE">
        <w:t xml:space="preserve">f </w:t>
      </w:r>
      <w:r w:rsidR="00512553" w:rsidRPr="004F38BE">
        <w:rPr>
          <w:i/>
        </w:rPr>
        <w:t>M.tb</w:t>
      </w:r>
      <w:r w:rsidR="00E079BB" w:rsidRPr="004F38BE">
        <w:t xml:space="preserve"> infection. </w:t>
      </w:r>
    </w:p>
    <w:p w14:paraId="7E88DB1D" w14:textId="77777777" w:rsidR="00DF75D2" w:rsidRPr="004F38BE" w:rsidRDefault="00DF75D2" w:rsidP="0033455D">
      <w:pPr>
        <w:spacing w:line="360" w:lineRule="auto"/>
        <w:jc w:val="both"/>
      </w:pPr>
    </w:p>
    <w:p w14:paraId="634AE33D" w14:textId="3B8E58F5" w:rsidR="009F3AF2" w:rsidRPr="004F38BE" w:rsidRDefault="00E079BB" w:rsidP="0033455D">
      <w:pPr>
        <w:spacing w:line="360" w:lineRule="auto"/>
        <w:jc w:val="both"/>
        <w:rPr>
          <w:color w:val="000000"/>
        </w:rPr>
      </w:pPr>
      <w:r w:rsidRPr="004F38BE">
        <w:t xml:space="preserve">CRP, </w:t>
      </w:r>
      <w:r w:rsidR="00BD751A" w:rsidRPr="004F38BE">
        <w:rPr>
          <w:color w:val="000000"/>
        </w:rPr>
        <w:t xml:space="preserve">ferritin, fibrinogen, </w:t>
      </w:r>
      <w:r w:rsidRPr="004F38BE">
        <w:rPr>
          <w:color w:val="000000"/>
        </w:rPr>
        <w:t>SAA,</w:t>
      </w:r>
      <w:r w:rsidR="00070EFE" w:rsidRPr="004F38BE">
        <w:rPr>
          <w:color w:val="000000"/>
        </w:rPr>
        <w:t xml:space="preserve"> </w:t>
      </w:r>
      <w:r w:rsidR="00233E01" w:rsidRPr="004F38BE">
        <w:rPr>
          <w:color w:val="000000"/>
        </w:rPr>
        <w:t xml:space="preserve">and </w:t>
      </w:r>
      <w:r w:rsidRPr="004F38BE">
        <w:rPr>
          <w:color w:val="000000"/>
        </w:rPr>
        <w:t xml:space="preserve">TPA are </w:t>
      </w:r>
      <w:r w:rsidR="00302E16" w:rsidRPr="004F38BE">
        <w:rPr>
          <w:color w:val="000000"/>
        </w:rPr>
        <w:t>acute-</w:t>
      </w:r>
      <w:r w:rsidRPr="004F38BE">
        <w:rPr>
          <w:color w:val="000000"/>
        </w:rPr>
        <w:t>phase proteins.</w:t>
      </w:r>
      <w:r w:rsidR="006C667D" w:rsidRPr="004F38BE">
        <w:rPr>
          <w:color w:val="000000"/>
        </w:rPr>
        <w:t xml:space="preserve"> The </w:t>
      </w:r>
      <w:r w:rsidR="00233684" w:rsidRPr="004F38BE">
        <w:rPr>
          <w:color w:val="000000"/>
        </w:rPr>
        <w:t>circulating levels</w:t>
      </w:r>
      <w:r w:rsidR="006C667D" w:rsidRPr="004F38BE">
        <w:rPr>
          <w:color w:val="000000"/>
        </w:rPr>
        <w:t xml:space="preserve"> of these proteins</w:t>
      </w:r>
      <w:r w:rsidR="00302E16" w:rsidRPr="004F38BE">
        <w:rPr>
          <w:color w:val="000000"/>
        </w:rPr>
        <w:t>,</w:t>
      </w:r>
      <w:r w:rsidR="00233684" w:rsidRPr="004F38BE">
        <w:rPr>
          <w:color w:val="000000"/>
        </w:rPr>
        <w:t xml:space="preserve"> </w:t>
      </w:r>
      <w:r w:rsidR="007723BB" w:rsidRPr="004F38BE">
        <w:rPr>
          <w:color w:val="000000"/>
        </w:rPr>
        <w:t xml:space="preserve">as well as those of </w:t>
      </w:r>
      <w:r w:rsidR="006C667D" w:rsidRPr="004F38BE">
        <w:rPr>
          <w:color w:val="000000"/>
        </w:rPr>
        <w:t>complement and clotting factors</w:t>
      </w:r>
      <w:r w:rsidR="00233E01" w:rsidRPr="004F38BE">
        <w:rPr>
          <w:color w:val="000000"/>
        </w:rPr>
        <w:t xml:space="preserve">, are </w:t>
      </w:r>
      <w:r w:rsidR="006C667D" w:rsidRPr="004F38BE">
        <w:rPr>
          <w:color w:val="000000"/>
        </w:rPr>
        <w:t xml:space="preserve">known to change </w:t>
      </w:r>
      <w:r w:rsidR="00233684" w:rsidRPr="004F38BE">
        <w:rPr>
          <w:color w:val="000000"/>
        </w:rPr>
        <w:t xml:space="preserve">by at least 25% in response to </w:t>
      </w:r>
      <w:r w:rsidR="006C667D" w:rsidRPr="004F38BE">
        <w:rPr>
          <w:color w:val="000000"/>
        </w:rPr>
        <w:t>inflammatory stimul</w:t>
      </w:r>
      <w:r w:rsidR="00233684" w:rsidRPr="004F38BE">
        <w:rPr>
          <w:color w:val="000000"/>
        </w:rPr>
        <w:t>i,</w:t>
      </w:r>
      <w:r w:rsidR="004A5B10" w:rsidRPr="004F38BE">
        <w:rPr>
          <w:color w:val="000000"/>
        </w:rPr>
        <w:t xml:space="preserve"> </w:t>
      </w:r>
      <w:r w:rsidR="007723BB" w:rsidRPr="004F38BE">
        <w:rPr>
          <w:color w:val="000000"/>
        </w:rPr>
        <w:t xml:space="preserve">in keeping with </w:t>
      </w:r>
      <w:r w:rsidR="002A14F4" w:rsidRPr="004F38BE">
        <w:rPr>
          <w:color w:val="000000"/>
        </w:rPr>
        <w:t xml:space="preserve">their </w:t>
      </w:r>
      <w:r w:rsidR="007723BB" w:rsidRPr="004F38BE">
        <w:rPr>
          <w:color w:val="000000"/>
        </w:rPr>
        <w:t>roles in</w:t>
      </w:r>
      <w:r w:rsidR="004A5B10" w:rsidRPr="004F38BE">
        <w:rPr>
          <w:color w:val="000000"/>
        </w:rPr>
        <w:t xml:space="preserve"> </w:t>
      </w:r>
      <w:r w:rsidR="00610561" w:rsidRPr="004F38BE">
        <w:rPr>
          <w:color w:val="000000"/>
        </w:rPr>
        <w:t xml:space="preserve">host </w:t>
      </w:r>
      <w:r w:rsidR="004A5B10" w:rsidRPr="004F38BE">
        <w:rPr>
          <w:color w:val="000000"/>
        </w:rPr>
        <w:t>defense</w:t>
      </w:r>
      <w:r w:rsidR="00020281" w:rsidRPr="004F38BE">
        <w:rPr>
          <w:color w:val="000000"/>
        </w:rPr>
        <w:fldChar w:fldCharType="begin"/>
      </w:r>
      <w:r w:rsidR="00CB2263">
        <w:rPr>
          <w:color w:val="000000"/>
        </w:rPr>
        <w:instrText xml:space="preserve"> ADDIN REFMGR.CITE &lt;Refman&gt;&lt;Cite&gt;&lt;Author&gt;Black&lt;/Author&gt;&lt;Year&gt;2004&lt;/Year&gt;&lt;RecNum&gt;677&lt;/RecNum&gt;&lt;IDText&gt;C-reactive Protein&lt;/IDText&gt;&lt;MDL Ref_Type="Journal"&gt;&lt;Ref_Type&gt;Journal&lt;/Ref_Type&gt;&lt;Ref_ID&gt;677&lt;/Ref_ID&gt;&lt;Title_Primary&gt;C-reactive Protein&lt;/Title_Primary&gt;&lt;Authors_Primary&gt;Black,S.&lt;/Authors_Primary&gt;&lt;Authors_Primary&gt;Kushner,I.&lt;/Authors_Primary&gt;&lt;Authors_Primary&gt;Samols,D.&lt;/Authors_Primary&gt;&lt;Date_Primary&gt;2004/11/19&lt;/Date_Primary&gt;&lt;Keywords&gt;Animals&lt;/Keywords&gt;&lt;Keywords&gt;Arteriosclerosis&lt;/Keywords&gt;&lt;Keywords&gt;C-Reactive Protein&lt;/Keywords&gt;&lt;Keywords&gt;chemistry&lt;/Keywords&gt;&lt;Keywords&gt;Complement C1q&lt;/Keywords&gt;&lt;Keywords&gt;Disease&lt;/Keywords&gt;&lt;Keywords&gt;Gene Expression Regulation&lt;/Keywords&gt;&lt;Keywords&gt;Humans&lt;/Keywords&gt;&lt;Keywords&gt;Infection&lt;/Keywords&gt;&lt;Keywords&gt;Inflammation&lt;/Keywords&gt;&lt;Keywords&gt;injuries&lt;/Keywords&gt;&lt;Keywords&gt;Ligands&lt;/Keywords&gt;&lt;Keywords&gt;Models,Molecular&lt;/Keywords&gt;&lt;Keywords&gt;pathology&lt;/Keywords&gt;&lt;Keywords&gt;Phosphorylcholine&lt;/Keywords&gt;&lt;Keywords&gt;Phylogeny&lt;/Keywords&gt;&lt;Keywords&gt;physiology&lt;/Keywords&gt;&lt;Keywords&gt;Protein Binding&lt;/Keywords&gt;&lt;Keywords&gt;Protein Conformation&lt;/Keywords&gt;&lt;Keywords&gt;Protein Structure,Secondary&lt;/Keywords&gt;&lt;Keywords&gt;Protein Structure,Tertiary&lt;/Keywords&gt;&lt;Keywords&gt;Risk&lt;/Keywords&gt;&lt;Reprint&gt;Not in File&lt;/Reprint&gt;&lt;Start_Page&gt;48487&lt;/Start_Page&gt;&lt;End_Page&gt;48490&lt;/End_Page&gt;&lt;Periodical&gt;J Biol.Chem.&lt;/Periodical&gt;&lt;Volume&gt;279&lt;/Volume&gt;&lt;Issue&gt;47&lt;/Issue&gt;&lt;Misc_3&gt;10.1074/jbc.R400025200 [doi];R400025200 [pii]&lt;/Misc_3&gt;&lt;Address&gt;Department of Biochemistry, Case Western Reserve University, Cleveland, Ohio 44106, USA&lt;/Address&gt;&lt;Web_URL&gt;PM:15337754&lt;/Web_URL&gt;&lt;ZZ_JournalStdAbbrev&gt;&lt;f name="System"&gt;J Biol.Chem.&lt;/f&gt;&lt;/ZZ_JournalStdAbbrev&gt;&lt;ZZ_WorkformID&gt;1&lt;/ZZ_WorkformID&gt;&lt;/MDL&gt;&lt;/Cite&gt;&lt;/Refman&gt;</w:instrText>
      </w:r>
      <w:r w:rsidR="00020281" w:rsidRPr="004F38BE">
        <w:rPr>
          <w:color w:val="000000"/>
        </w:rPr>
        <w:fldChar w:fldCharType="separate"/>
      </w:r>
      <w:r w:rsidR="00CB2263" w:rsidRPr="00CB2263">
        <w:rPr>
          <w:color w:val="000000"/>
          <w:vertAlign w:val="superscript"/>
        </w:rPr>
        <w:t>22</w:t>
      </w:r>
      <w:r w:rsidR="00020281" w:rsidRPr="004F38BE">
        <w:rPr>
          <w:color w:val="000000"/>
        </w:rPr>
        <w:fldChar w:fldCharType="end"/>
      </w:r>
      <w:r w:rsidR="004A5B10" w:rsidRPr="004F38BE">
        <w:rPr>
          <w:color w:val="000000"/>
        </w:rPr>
        <w:t xml:space="preserve">. </w:t>
      </w:r>
      <w:r w:rsidR="00906F8E" w:rsidRPr="004F38BE">
        <w:rPr>
          <w:color w:val="000000"/>
        </w:rPr>
        <w:t>C</w:t>
      </w:r>
      <w:r w:rsidR="004D35D6" w:rsidRPr="004F38BE">
        <w:rPr>
          <w:color w:val="000000"/>
        </w:rPr>
        <w:t>RP (</w:t>
      </w:r>
      <w:r w:rsidR="00906F8E" w:rsidRPr="004F38BE">
        <w:rPr>
          <w:color w:val="000000"/>
        </w:rPr>
        <w:t>reviewed in</w:t>
      </w:r>
      <w:r w:rsidR="00020281" w:rsidRPr="004F38BE">
        <w:rPr>
          <w:color w:val="000000"/>
        </w:rPr>
        <w:fldChar w:fldCharType="begin"/>
      </w:r>
      <w:r w:rsidR="00CB2263">
        <w:rPr>
          <w:color w:val="000000"/>
        </w:rPr>
        <w:instrText xml:space="preserve"> ADDIN REFMGR.CITE &lt;Refman&gt;&lt;Cite&gt;&lt;Author&gt;Black&lt;/Author&gt;&lt;Year&gt;2004&lt;/Year&gt;&lt;RecNum&gt;677&lt;/RecNum&gt;&lt;IDText&gt;C-reactive Protein&lt;/IDText&gt;&lt;MDL Ref_Type="Journal"&gt;&lt;Ref_Type&gt;Journal&lt;/Ref_Type&gt;&lt;Ref_ID&gt;677&lt;/Ref_ID&gt;&lt;Title_Primary&gt;C-reactive Protein&lt;/Title_Primary&gt;&lt;Authors_Primary&gt;Black,S.&lt;/Authors_Primary&gt;&lt;Authors_Primary&gt;Kushner,I.&lt;/Authors_Primary&gt;&lt;Authors_Primary&gt;Samols,D.&lt;/Authors_Primary&gt;&lt;Date_Primary&gt;2004/11/19&lt;/Date_Primary&gt;&lt;Keywords&gt;Animals&lt;/Keywords&gt;&lt;Keywords&gt;Arteriosclerosis&lt;/Keywords&gt;&lt;Keywords&gt;C-Reactive Protein&lt;/Keywords&gt;&lt;Keywords&gt;chemistry&lt;/Keywords&gt;&lt;Keywords&gt;Complement C1q&lt;/Keywords&gt;&lt;Keywords&gt;Disease&lt;/Keywords&gt;&lt;Keywords&gt;Gene Expression Regulation&lt;/Keywords&gt;&lt;Keywords&gt;Humans&lt;/Keywords&gt;&lt;Keywords&gt;Infection&lt;/Keywords&gt;&lt;Keywords&gt;Inflammation&lt;/Keywords&gt;&lt;Keywords&gt;injuries&lt;/Keywords&gt;&lt;Keywords&gt;Ligands&lt;/Keywords&gt;&lt;Keywords&gt;Models,Molecular&lt;/Keywords&gt;&lt;Keywords&gt;pathology&lt;/Keywords&gt;&lt;Keywords&gt;Phosphorylcholine&lt;/Keywords&gt;&lt;Keywords&gt;Phylogeny&lt;/Keywords&gt;&lt;Keywords&gt;physiology&lt;/Keywords&gt;&lt;Keywords&gt;Protein Binding&lt;/Keywords&gt;&lt;Keywords&gt;Protein Conformation&lt;/Keywords&gt;&lt;Keywords&gt;Protein Structure,Secondary&lt;/Keywords&gt;&lt;Keywords&gt;Protein Structure,Tertiary&lt;/Keywords&gt;&lt;Keywords&gt;Risk&lt;/Keywords&gt;&lt;Reprint&gt;Not in File&lt;/Reprint&gt;&lt;Start_Page&gt;48487&lt;/Start_Page&gt;&lt;End_Page&gt;48490&lt;/End_Page&gt;&lt;Periodical&gt;J Biol.Chem.&lt;/Periodical&gt;&lt;Volume&gt;279&lt;/Volume&gt;&lt;Issue&gt;47&lt;/Issue&gt;&lt;Misc_3&gt;10.1074/jbc.R400025200 [doi];R400025200 [pii]&lt;/Misc_3&gt;&lt;Address&gt;Department of Biochemistry, Case Western Reserve University, Cleveland, Ohio 44106, USA&lt;/Address&gt;&lt;Web_URL&gt;PM:15337754&lt;/Web_URL&gt;&lt;ZZ_JournalStdAbbrev&gt;&lt;f name="System"&gt;J Biol.Chem.&lt;/f&gt;&lt;/ZZ_JournalStdAbbrev&gt;&lt;ZZ_WorkformID&gt;1&lt;/ZZ_WorkformID&gt;&lt;/MDL&gt;&lt;/Cite&gt;&lt;/Refman&gt;</w:instrText>
      </w:r>
      <w:r w:rsidR="00020281" w:rsidRPr="004F38BE">
        <w:rPr>
          <w:color w:val="000000"/>
        </w:rPr>
        <w:fldChar w:fldCharType="separate"/>
      </w:r>
      <w:r w:rsidR="00CB2263" w:rsidRPr="00CB2263">
        <w:rPr>
          <w:color w:val="000000"/>
          <w:vertAlign w:val="superscript"/>
        </w:rPr>
        <w:t>22</w:t>
      </w:r>
      <w:r w:rsidR="00020281" w:rsidRPr="004F38BE">
        <w:rPr>
          <w:color w:val="000000"/>
        </w:rPr>
        <w:fldChar w:fldCharType="end"/>
      </w:r>
      <w:r w:rsidR="004D35D6" w:rsidRPr="004F38BE">
        <w:rPr>
          <w:color w:val="000000"/>
        </w:rPr>
        <w:t>)</w:t>
      </w:r>
      <w:r w:rsidR="00906F8E" w:rsidRPr="004F38BE">
        <w:rPr>
          <w:color w:val="000000"/>
        </w:rPr>
        <w:t xml:space="preserve"> is </w:t>
      </w:r>
      <w:r w:rsidR="00675ECB" w:rsidRPr="004F38BE">
        <w:rPr>
          <w:color w:val="000000"/>
        </w:rPr>
        <w:t>predominantly</w:t>
      </w:r>
      <w:r w:rsidR="00906F8E" w:rsidRPr="004F38BE">
        <w:rPr>
          <w:color w:val="000000"/>
        </w:rPr>
        <w:t xml:space="preserve"> produced by </w:t>
      </w:r>
      <w:r w:rsidR="00642333" w:rsidRPr="004F38BE">
        <w:rPr>
          <w:color w:val="000000"/>
        </w:rPr>
        <w:t>hepatocytes</w:t>
      </w:r>
      <w:r w:rsidR="00700B72" w:rsidRPr="004F38BE">
        <w:rPr>
          <w:color w:val="000000"/>
        </w:rPr>
        <w:t>. T</w:t>
      </w:r>
      <w:r w:rsidR="0040235E" w:rsidRPr="004F38BE">
        <w:rPr>
          <w:color w:val="000000"/>
        </w:rPr>
        <w:t>he association between serum levels of CRP</w:t>
      </w:r>
      <w:r w:rsidR="00233E01" w:rsidRPr="004F38BE">
        <w:rPr>
          <w:color w:val="000000"/>
        </w:rPr>
        <w:t xml:space="preserve">, </w:t>
      </w:r>
      <w:r w:rsidR="0040235E" w:rsidRPr="004F38BE">
        <w:rPr>
          <w:color w:val="000000"/>
        </w:rPr>
        <w:t xml:space="preserve">SAA and TB has long been established, </w:t>
      </w:r>
      <w:r w:rsidR="001F7646" w:rsidRPr="004F38BE">
        <w:rPr>
          <w:color w:val="000000"/>
        </w:rPr>
        <w:t>including for treatment response</w:t>
      </w:r>
      <w:r w:rsidR="00020281" w:rsidRPr="004F38BE">
        <w:rPr>
          <w:color w:val="000000"/>
        </w:rPr>
        <w:fldChar w:fldCharType="begin"/>
      </w:r>
      <w:r w:rsidR="00CB2263">
        <w:rPr>
          <w:color w:val="000000"/>
        </w:rPr>
        <w:instrText xml:space="preserve"> ADDIN REFMGR.CITE &lt;Refman&gt;&lt;Cite&gt;&lt;Author&gt;de Beer&lt;/Author&gt;&lt;Year&gt;1984&lt;/Year&gt;&lt;RecNum&gt;678&lt;/RecNum&gt;&lt;IDText&gt;Serum amyloid A protein and C-reactive protein levels in pulmonary tuberculosis: relationship to amyloidosis&lt;/IDText&gt;&lt;MDL Ref_Type="Journal"&gt;&lt;Ref_Type&gt;Journal&lt;/Ref_Type&gt;&lt;Ref_ID&gt;678&lt;/Ref_ID&gt;&lt;Title_Primary&gt;Serum amyloid A protein and C-reactive protein levels in pulmonary tuberculosis: relationship to amyloidosis&lt;/Title_Primary&gt;&lt;Authors_Primary&gt;de Beer,F.C.&lt;/Authors_Primary&gt;&lt;Authors_Primary&gt;Nel,A.E.&lt;/Authors_Primary&gt;&lt;Authors_Primary&gt;Gie,R.P.&lt;/Authors_Primary&gt;&lt;Authors_Primary&gt;Donald,P.R.&lt;/Authors_Primary&gt;&lt;Authors_Primary&gt;Strachan,A.F.&lt;/Authors_Primary&gt;&lt;Date_Primary&gt;1984/3&lt;/Date_Primary&gt;&lt;Keywords&gt;Adolescent&lt;/Keywords&gt;&lt;Keywords&gt;Adult&lt;/Keywords&gt;&lt;Keywords&gt;Amyloid&lt;/Keywords&gt;&lt;Keywords&gt;Amyloidosis&lt;/Keywords&gt;&lt;Keywords&gt;analysis&lt;/Keywords&gt;&lt;Keywords&gt;Antitubercular Agents&lt;/Keywords&gt;&lt;Keywords&gt;blood&lt;/Keywords&gt;&lt;Keywords&gt;C-Reactive Protein&lt;/Keywords&gt;&lt;Keywords&gt;Child&lt;/Keywords&gt;&lt;Keywords&gt;Child,Preschool&lt;/Keywords&gt;&lt;Keywords&gt;complications&lt;/Keywords&gt;&lt;Keywords&gt;drug therapy&lt;/Keywords&gt;&lt;Keywords&gt;etiology&lt;/Keywords&gt;&lt;Keywords&gt;Humans&lt;/Keywords&gt;&lt;Keywords&gt;Infant&lt;/Keywords&gt;&lt;Keywords&gt;Infection&lt;/Keywords&gt;&lt;Keywords&gt;Lung&lt;/Keywords&gt;&lt;Keywords&gt;Middle Aged&lt;/Keywords&gt;&lt;Keywords&gt;Mycobacterium&lt;/Keywords&gt;&lt;Keywords&gt;Mycobacterium tuberculosis&lt;/Keywords&gt;&lt;Keywords&gt;Research&lt;/Keywords&gt;&lt;Keywords&gt;Serum&lt;/Keywords&gt;&lt;Keywords&gt;Serum Amyloid A Protein&lt;/Keywords&gt;&lt;Keywords&gt;therapeutic use&lt;/Keywords&gt;&lt;Keywords&gt;Tuberculosis&lt;/Keywords&gt;&lt;Keywords&gt;Tuberculosis,Miliary&lt;/Keywords&gt;&lt;Keywords&gt;Tuberculosis,Pulmonary&lt;/Keywords&gt;&lt;Reprint&gt;Not in File&lt;/Reprint&gt;&lt;Start_Page&gt;196&lt;/Start_Page&gt;&lt;End_Page&gt;200&lt;/End_Page&gt;&lt;Periodical&gt;Thorax&lt;/Periodical&gt;&lt;Volume&gt;39&lt;/Volume&gt;&lt;Issue&gt;3&lt;/Issue&gt;&lt;User_Def_5&gt;PMC459761&lt;/User_Def_5&gt;&lt;Web_URL&gt;PM:6710428&lt;/Web_URL&gt;&lt;ZZ_JournalStdAbbrev&gt;&lt;f name="System"&gt;Thorax&lt;/f&gt;&lt;/ZZ_JournalStdAbbrev&gt;&lt;ZZ_WorkformID&gt;1&lt;/ZZ_WorkformID&gt;&lt;/MDL&gt;&lt;/Cite&gt;&lt;/Refman&gt;</w:instrText>
      </w:r>
      <w:r w:rsidR="00020281" w:rsidRPr="004F38BE">
        <w:rPr>
          <w:color w:val="000000"/>
        </w:rPr>
        <w:fldChar w:fldCharType="separate"/>
      </w:r>
      <w:r w:rsidR="00CB2263" w:rsidRPr="00CB2263">
        <w:rPr>
          <w:color w:val="000000"/>
          <w:vertAlign w:val="superscript"/>
        </w:rPr>
        <w:t>23</w:t>
      </w:r>
      <w:r w:rsidR="00020281" w:rsidRPr="004F38BE">
        <w:rPr>
          <w:color w:val="000000"/>
        </w:rPr>
        <w:fldChar w:fldCharType="end"/>
      </w:r>
      <w:r w:rsidR="00700B72" w:rsidRPr="004F38BE">
        <w:rPr>
          <w:color w:val="000000"/>
        </w:rPr>
        <w:t>.</w:t>
      </w:r>
      <w:r w:rsidR="00D056EE" w:rsidRPr="004F38BE">
        <w:rPr>
          <w:color w:val="000000"/>
        </w:rPr>
        <w:t xml:space="preserve"> </w:t>
      </w:r>
      <w:r w:rsidR="000A04CA" w:rsidRPr="004F38BE">
        <w:rPr>
          <w:color w:val="000000"/>
        </w:rPr>
        <w:t xml:space="preserve">Ferritin </w:t>
      </w:r>
      <w:r w:rsidR="003D53E3" w:rsidRPr="004F38BE">
        <w:rPr>
          <w:color w:val="000000"/>
        </w:rPr>
        <w:t>is widely known a</w:t>
      </w:r>
      <w:r w:rsidR="00A73E4C" w:rsidRPr="004F38BE">
        <w:rPr>
          <w:color w:val="000000"/>
        </w:rPr>
        <w:t>s a</w:t>
      </w:r>
      <w:r w:rsidR="003D53E3" w:rsidRPr="004F38BE">
        <w:rPr>
          <w:color w:val="000000"/>
        </w:rPr>
        <w:t xml:space="preserve"> biomarker for iron deficiency</w:t>
      </w:r>
      <w:r w:rsidR="00261268" w:rsidRPr="004F38BE">
        <w:rPr>
          <w:color w:val="000000"/>
        </w:rPr>
        <w:t xml:space="preserve"> </w:t>
      </w:r>
      <w:r w:rsidR="00020281" w:rsidRPr="004F38BE">
        <w:rPr>
          <w:color w:val="000000"/>
        </w:rPr>
        <w:fldChar w:fldCharType="begin"/>
      </w:r>
      <w:r w:rsidR="00CB2263">
        <w:rPr>
          <w:color w:val="000000"/>
        </w:rPr>
        <w:instrText xml:space="preserve"> ADDIN REFMGR.CITE &lt;Refman&gt;&lt;Cite&gt;&lt;Author&gt;Kotru&lt;/Author&gt;&lt;Year&gt;2004&lt;/Year&gt;&lt;RecNum&gt;690&lt;/RecNum&gt;&lt;IDText&gt;Evaluation of serum ferritin in screening for iron deficiency in tuberculosis&lt;/IDText&gt;&lt;MDL Ref_Type="Journal"&gt;&lt;Ref_Type&gt;Journal&lt;/Ref_Type&gt;&lt;Ref_ID&gt;690&lt;/Ref_ID&gt;&lt;Title_Primary&gt;Evaluation of serum ferritin in screening for iron deficiency in tuberculosis&lt;/Title_Primary&gt;&lt;Authors_Primary&gt;Kotru,M.&lt;/Authors_Primary&gt;&lt;Authors_Primary&gt;Rusia,U.&lt;/Authors_Primary&gt;&lt;Authors_Primary&gt;Sikka,M.&lt;/Authors_Primary&gt;&lt;Authors_Primary&gt;Chaturvedi,S.&lt;/Authors_Primary&gt;&lt;Authors_Primary&gt;Jain,A.K.&lt;/Authors_Primary&gt;&lt;Date_Primary&gt;2004/2&lt;/Date_Primary&gt;&lt;Keywords&gt;Adult&lt;/Keywords&gt;&lt;Keywords&gt;Anemia,Iron-Deficiency&lt;/Keywords&gt;&lt;Keywords&gt;blood&lt;/Keywords&gt;&lt;Keywords&gt;Bone Marrow&lt;/Keywords&gt;&lt;Keywords&gt;chemistry&lt;/Keywords&gt;&lt;Keywords&gt;Chi-Square Distribution&lt;/Keywords&gt;&lt;Keywords&gt;complications&lt;/Keywords&gt;&lt;Keywords&gt;deficiency&lt;/Keywords&gt;&lt;Keywords&gt;Female&lt;/Keywords&gt;&lt;Keywords&gt;Ferritins&lt;/Keywords&gt;&lt;Keywords&gt;Hematologic Tests&lt;/Keywords&gt;&lt;Keywords&gt;Humans&lt;/Keywords&gt;&lt;Keywords&gt;India&lt;/Keywords&gt;&lt;Keywords&gt;Iron&lt;/Keywords&gt;&lt;Keywords&gt;Male&lt;/Keywords&gt;&lt;Keywords&gt;metabolism&lt;/Keywords&gt;&lt;Keywords&gt;pathology&lt;/Keywords&gt;&lt;Keywords&gt;Sensitivity and Specificity&lt;/Keywords&gt;&lt;Keywords&gt;Serum&lt;/Keywords&gt;&lt;Keywords&gt;Tuberculosis&lt;/Keywords&gt;&lt;Reprint&gt;Not in File&lt;/Reprint&gt;&lt;Start_Page&gt;95&lt;/Start_Page&gt;&lt;End_Page&gt;100&lt;/End_Page&gt;&lt;Periodical&gt;Ann.Hematol.&lt;/Periodical&gt;&lt;Volume&gt;83&lt;/Volume&gt;&lt;Issue&gt;2&lt;/Issue&gt;&lt;Misc_3&gt;10.1007/s00277-003-0788-9 [doi]&lt;/Misc_3&gt;&lt;Address&gt;Department of Pathology, University College of Medical Sciences and GTB Hospital, -110095, Shahadra, Delhi, India&lt;/Address&gt;&lt;Web_URL&gt;PM:14551742&lt;/Web_URL&gt;&lt;ZZ_JournalStdAbbrev&gt;&lt;f name="System"&gt;Ann.Hematol.&lt;/f&gt;&lt;/ZZ_JournalStdAbbrev&gt;&lt;ZZ_WorkformID&gt;1&lt;/ZZ_WorkformID&gt;&lt;/MDL&gt;&lt;/Cite&gt;&lt;/Refman&gt;</w:instrText>
      </w:r>
      <w:r w:rsidR="00020281" w:rsidRPr="004F38BE">
        <w:rPr>
          <w:color w:val="000000"/>
        </w:rPr>
        <w:fldChar w:fldCharType="separate"/>
      </w:r>
      <w:r w:rsidR="00CB2263" w:rsidRPr="00CB2263">
        <w:rPr>
          <w:color w:val="000000"/>
          <w:vertAlign w:val="superscript"/>
        </w:rPr>
        <w:t>24</w:t>
      </w:r>
      <w:r w:rsidR="00020281" w:rsidRPr="004F38BE">
        <w:rPr>
          <w:color w:val="000000"/>
        </w:rPr>
        <w:fldChar w:fldCharType="end"/>
      </w:r>
      <w:r w:rsidR="00D7025E" w:rsidRPr="004F38BE">
        <w:rPr>
          <w:color w:val="000000"/>
        </w:rPr>
        <w:t xml:space="preserve">, and </w:t>
      </w:r>
      <w:r w:rsidR="005C13AE" w:rsidRPr="004F38BE">
        <w:rPr>
          <w:color w:val="000000"/>
        </w:rPr>
        <w:t>i</w:t>
      </w:r>
      <w:r w:rsidR="00D7025E" w:rsidRPr="004F38BE">
        <w:rPr>
          <w:color w:val="000000"/>
        </w:rPr>
        <w:t xml:space="preserve">s </w:t>
      </w:r>
      <w:r w:rsidR="000A04CA" w:rsidRPr="004F38BE">
        <w:rPr>
          <w:color w:val="000000"/>
        </w:rPr>
        <w:t xml:space="preserve">essential in iron homeostasis in </w:t>
      </w:r>
      <w:r w:rsidR="00512553" w:rsidRPr="004F38BE">
        <w:rPr>
          <w:i/>
          <w:color w:val="000000"/>
        </w:rPr>
        <w:t>M.tb</w:t>
      </w:r>
      <w:r w:rsidR="00020281" w:rsidRPr="004F38BE">
        <w:rPr>
          <w:color w:val="000000"/>
        </w:rPr>
        <w:fldChar w:fldCharType="begin"/>
      </w:r>
      <w:r w:rsidR="00CB2263">
        <w:rPr>
          <w:color w:val="000000"/>
        </w:rPr>
        <w:instrText xml:space="preserve"> ADDIN REFMGR.CITE &lt;Refman&gt;&lt;Cite&gt;&lt;Author&gt;Pandey&lt;/Author&gt;&lt;Year&gt;2012&lt;/Year&gt;&lt;RecNum&gt;685&lt;/RecNum&gt;&lt;IDText&gt;A ferritin mutant of Mycobacterium tuberculosis is highly susceptible to killing by antibiotics and is unable to establish a chronic infection in mice&lt;/IDText&gt;&lt;MDL Ref_Type="Journal"&gt;&lt;Ref_Type&gt;Journal&lt;/Ref_Type&gt;&lt;Ref_ID&gt;685&lt;/Ref_ID&gt;&lt;Title_Primary&gt;A ferritin mutant of Mycobacterium tuberculosis is highly susceptible to killing by antibiotics and is unable to establish a chronic infection in mice&lt;/Title_Primary&gt;&lt;Authors_Primary&gt;Pandey,R.&lt;/Authors_Primary&gt;&lt;Authors_Primary&gt;Rodriguez,G.M.&lt;/Authors_Primary&gt;&lt;Date_Primary&gt;2012/10&lt;/Date_Primary&gt;&lt;Keywords&gt;Adaptation,Physiological&lt;/Keywords&gt;&lt;Keywords&gt;Animals&lt;/Keywords&gt;&lt;Keywords&gt;Antitubercular Agents&lt;/Keywords&gt;&lt;Keywords&gt;Chronic Disease&lt;/Keywords&gt;&lt;Keywords&gt;Disease&lt;/Keywords&gt;&lt;Keywords&gt;drug effects&lt;/Keywords&gt;&lt;Keywords&gt;drug therapy&lt;/Keywords&gt;&lt;Keywords&gt;Female&lt;/Keywords&gt;&lt;Keywords&gt;Ferritins&lt;/Keywords&gt;&lt;Keywords&gt;Gene Deletion&lt;/Keywords&gt;&lt;Keywords&gt;Gene Expression Regulation,Bacterial&lt;/Keywords&gt;&lt;Keywords&gt;genetics&lt;/Keywords&gt;&lt;Keywords&gt;Health&lt;/Keywords&gt;&lt;Keywords&gt;Homeostasis&lt;/Keywords&gt;&lt;Keywords&gt;Infection&lt;/Keywords&gt;&lt;Keywords&gt;Iron&lt;/Keywords&gt;&lt;Keywords&gt;Lung&lt;/Keywords&gt;&lt;Keywords&gt;metabolism&lt;/Keywords&gt;&lt;Keywords&gt;Mice&lt;/Keywords&gt;&lt;Keywords&gt;Mice,Inbred C57BL&lt;/Keywords&gt;&lt;Keywords&gt;Microbial Sensitivity Tests&lt;/Keywords&gt;&lt;Keywords&gt;microbiology&lt;/Keywords&gt;&lt;Keywords&gt;Mycobacterium&lt;/Keywords&gt;&lt;Keywords&gt;Mycobacterium tuberculosis&lt;/Keywords&gt;&lt;Keywords&gt;Oxidative Stress&lt;/Keywords&gt;&lt;Keywords&gt;pathology&lt;/Keywords&gt;&lt;Keywords&gt;pharmacology&lt;/Keywords&gt;&lt;Keywords&gt;physiology&lt;/Keywords&gt;&lt;Keywords&gt;Proteins&lt;/Keywords&gt;&lt;Keywords&gt;Public Health&lt;/Keywords&gt;&lt;Keywords&gt;Research&lt;/Keywords&gt;&lt;Keywords&gt;Solubility&lt;/Keywords&gt;&lt;Keywords&gt;therapeutic use&lt;/Keywords&gt;&lt;Keywords&gt;toxicity&lt;/Keywords&gt;&lt;Keywords&gt;Tuberculosis&lt;/Keywords&gt;&lt;Keywords&gt;Tuberculosis,Pulmonary&lt;/Keywords&gt;&lt;Reprint&gt;Not in File&lt;/Reprint&gt;&lt;Start_Page&gt;3650&lt;/Start_Page&gt;&lt;End_Page&gt;3659&lt;/End_Page&gt;&lt;Periodical&gt;Infect.Immun&lt;/Periodical&gt;&lt;Volume&gt;80&lt;/Volume&gt;&lt;Issue&gt;10&lt;/Issue&gt;&lt;User_Def_5&gt;PMC3457556&lt;/User_Def_5&gt;&lt;Misc_3&gt;IAI.00229-12 [pii];10.1128/IAI.00229-12 [doi]&lt;/Misc_3&gt;&lt;Address&gt;Public Health Research Institute and Department of Medicine, University of Medicine and Dentistry of New Jersey, New Jersey Medical School, Newark, New Jersey, USA&lt;/Address&gt;&lt;Web_URL&gt;PM:22802345&lt;/Web_URL&gt;&lt;ZZ_JournalStdAbbrev&gt;&lt;f name="System"&gt;Infect.Immun&lt;/f&gt;&lt;/ZZ_JournalStdAbbrev&gt;&lt;ZZ_WorkformID&gt;1&lt;/ZZ_WorkformID&gt;&lt;/MDL&gt;&lt;/Cite&gt;&lt;/Refman&gt;</w:instrText>
      </w:r>
      <w:r w:rsidR="00020281" w:rsidRPr="004F38BE">
        <w:rPr>
          <w:color w:val="000000"/>
        </w:rPr>
        <w:fldChar w:fldCharType="separate"/>
      </w:r>
      <w:r w:rsidR="00CB2263" w:rsidRPr="00CB2263">
        <w:rPr>
          <w:color w:val="000000"/>
          <w:vertAlign w:val="superscript"/>
        </w:rPr>
        <w:t>25</w:t>
      </w:r>
      <w:r w:rsidR="00020281" w:rsidRPr="004F38BE">
        <w:rPr>
          <w:color w:val="000000"/>
        </w:rPr>
        <w:fldChar w:fldCharType="end"/>
      </w:r>
      <w:r w:rsidR="00C954EA" w:rsidRPr="004F38BE">
        <w:rPr>
          <w:color w:val="000000"/>
        </w:rPr>
        <w:t xml:space="preserve">. </w:t>
      </w:r>
      <w:r w:rsidR="00022284" w:rsidRPr="004F38BE">
        <w:rPr>
          <w:color w:val="000000"/>
        </w:rPr>
        <w:t>Although high levels of ferritin have been observed in many non-</w:t>
      </w:r>
      <w:r w:rsidR="0085598E" w:rsidRPr="004F38BE">
        <w:rPr>
          <w:color w:val="000000"/>
        </w:rPr>
        <w:t>communicable d</w:t>
      </w:r>
      <w:r w:rsidR="00022284" w:rsidRPr="004F38BE">
        <w:rPr>
          <w:color w:val="000000"/>
        </w:rPr>
        <w:t xml:space="preserve">iseases including cancers, </w:t>
      </w:r>
      <w:r w:rsidR="00D7025E" w:rsidRPr="004F38BE">
        <w:rPr>
          <w:color w:val="000000"/>
        </w:rPr>
        <w:t>disseminated</w:t>
      </w:r>
      <w:r w:rsidR="00022284" w:rsidRPr="004F38BE">
        <w:rPr>
          <w:color w:val="000000"/>
        </w:rPr>
        <w:t xml:space="preserve"> </w:t>
      </w:r>
      <w:r w:rsidR="00512553" w:rsidRPr="004F38BE">
        <w:rPr>
          <w:i/>
          <w:color w:val="000000"/>
        </w:rPr>
        <w:t>M.tb</w:t>
      </w:r>
      <w:r w:rsidR="00022284" w:rsidRPr="004F38BE">
        <w:rPr>
          <w:color w:val="000000"/>
        </w:rPr>
        <w:t xml:space="preserve"> disease </w:t>
      </w:r>
      <w:r w:rsidR="00327040" w:rsidRPr="004F38BE">
        <w:rPr>
          <w:color w:val="000000"/>
        </w:rPr>
        <w:t xml:space="preserve">is </w:t>
      </w:r>
      <w:r w:rsidR="00752285" w:rsidRPr="004F38BE">
        <w:rPr>
          <w:color w:val="000000"/>
        </w:rPr>
        <w:t>a</w:t>
      </w:r>
      <w:r w:rsidR="00022284" w:rsidRPr="004F38BE">
        <w:rPr>
          <w:color w:val="000000"/>
        </w:rPr>
        <w:t xml:space="preserve"> common cause of hyperferri</w:t>
      </w:r>
      <w:r w:rsidR="00717879" w:rsidRPr="004F38BE">
        <w:rPr>
          <w:color w:val="000000"/>
        </w:rPr>
        <w:t>tinemia</w:t>
      </w:r>
      <w:r w:rsidR="00327040" w:rsidRPr="004F38BE">
        <w:rPr>
          <w:color w:val="000000"/>
        </w:rPr>
        <w:fldChar w:fldCharType="begin"/>
      </w:r>
      <w:r w:rsidR="00CB2263">
        <w:rPr>
          <w:color w:val="000000"/>
        </w:rPr>
        <w:instrText xml:space="preserve"> ADDIN REFMGR.CITE &lt;Refman&gt;&lt;Cite&gt;&lt;Author&gt;Opolot&lt;/Author&gt;&lt;Year&gt;2015&lt;/Year&gt;&lt;RecNum&gt;676&lt;/RecNum&gt;&lt;IDText&gt;Acute phase proteins and stress hormone responses in patients with newly diagnosed active pulmonary tuberculosis&lt;/IDText&gt;&lt;MDL Ref_Type="Journal"&gt;&lt;Ref_Type&gt;Journal&lt;/Ref_Type&gt;&lt;Ref_ID&gt;676&lt;/Ref_ID&gt;&lt;Title_Primary&gt;Acute phase proteins and stress hormone responses in patients with newly diagnosed active pulmonary tuberculosis&lt;/Title_Primary&gt;&lt;Authors_Primary&gt;Opolot,J.O.&lt;/Authors_Primary&gt;&lt;Authors_Primary&gt;Theron,A.J.&lt;/Authors_Primary&gt;&lt;Authors_Primary&gt;Anderson,R.&lt;/Authors_Primary&gt;&lt;Authors_Primary&gt;Feldman,C.&lt;/Authors_Primary&gt;&lt;Date_Primary&gt;2015/2&lt;/Date_Primary&gt;&lt;Keywords&gt;Africa&lt;/Keywords&gt;&lt;Keywords&gt;Disease&lt;/Keywords&gt;&lt;Keywords&gt;Health&lt;/Keywords&gt;&lt;Keywords&gt;Laboratories&lt;/Keywords&gt;&lt;Keywords&gt;methods&lt;/Keywords&gt;&lt;Keywords&gt;Prospective Studies&lt;/Keywords&gt;&lt;Keywords&gt;Proteins&lt;/Keywords&gt;&lt;Keywords&gt;Research&lt;/Keywords&gt;&lt;Keywords&gt;South Africa&lt;/Keywords&gt;&lt;Keywords&gt;Tuberculosis&lt;/Keywords&gt;&lt;Reprint&gt;Not in File&lt;/Reprint&gt;&lt;Start_Page&gt;13&lt;/Start_Page&gt;&lt;End_Page&gt;18&lt;/End_Page&gt;&lt;Periodical&gt;Lung&lt;/Periodical&gt;&lt;Volume&gt;193&lt;/Volume&gt;&lt;Issue&gt;1&lt;/Issue&gt;&lt;Misc_3&gt;10.1007/s00408-014-9680-8 [doi]&lt;/Misc_3&gt;&lt;Address&gt;Division of Pulmonology, Department of Internal Medicine, Charlotte Maxeke Johannesburg Academic Hospital and Faculty of Health Sciences, University of the Witwatersrand, Johannesburg, South Africa&lt;/Address&gt;&lt;Web_URL&gt;PM:25549893&lt;/Web_URL&gt;&lt;ZZ_JournalStdAbbrev&gt;&lt;f name="System"&gt;Lung&lt;/f&gt;&lt;/ZZ_JournalStdAbbrev&gt;&lt;ZZ_WorkformID&gt;1&lt;/ZZ_WorkformID&gt;&lt;/MDL&gt;&lt;/Cite&gt;&lt;Cite&gt;&lt;Author&gt;Visser&lt;/Author&gt;&lt;Year&gt;2011&lt;/Year&gt;&lt;RecNum&gt;691&lt;/RecNum&gt;&lt;IDText&gt;Severe hyperferritinemia in Mycobacteria tuberculosis infection&lt;/IDText&gt;&lt;MDL Ref_Type="Journal"&gt;&lt;Ref_Type&gt;Journal&lt;/Ref_Type&gt;&lt;Ref_ID&gt;691&lt;/Ref_ID&gt;&lt;Title_Primary&gt;Severe hyperferritinemia in Mycobacteria tuberculosis infection&lt;/Title_Primary&gt;&lt;Authors_Primary&gt;Visser,A.&lt;/Authors_Primary&gt;&lt;Authors_Primary&gt;van,de,V&lt;/Authors_Primary&gt;&lt;Date_Primary&gt;2011/1/15&lt;/Date_Primary&gt;&lt;Keywords&gt;Adult&lt;/Keywords&gt;&lt;Keywords&gt;Aged&lt;/Keywords&gt;&lt;Keywords&gt;blood&lt;/Keywords&gt;&lt;Keywords&gt;Female&lt;/Keywords&gt;&lt;Keywords&gt;Ferritins&lt;/Keywords&gt;&lt;Keywords&gt;Humans&lt;/Keywords&gt;&lt;Keywords&gt;Infection&lt;/Keywords&gt;&lt;Keywords&gt;isolation &amp;amp; purification&lt;/Keywords&gt;&lt;Keywords&gt;Male&lt;/Keywords&gt;&lt;Keywords&gt;microbiology&lt;/Keywords&gt;&lt;Keywords&gt;Middle Aged&lt;/Keywords&gt;&lt;Keywords&gt;Mycobacterium&lt;/Keywords&gt;&lt;Keywords&gt;Mycobacterium tuberculosis&lt;/Keywords&gt;&lt;Keywords&gt;pathology&lt;/Keywords&gt;&lt;Keywords&gt;Research&lt;/Keywords&gt;&lt;Keywords&gt;Tuberculosis&lt;/Keywords&gt;&lt;Reprint&gt;Not in File&lt;/Reprint&gt;&lt;Start_Page&gt;273&lt;/Start_Page&gt;&lt;End_Page&gt;274&lt;/End_Page&gt;&lt;Periodical&gt;Clin Infect.Dis&lt;/Periodical&gt;&lt;Volume&gt;52&lt;/Volume&gt;&lt;Issue&gt;2&lt;/Issue&gt;&lt;Misc_3&gt;ciq126 [pii];10.1093/cid/ciq126 [doi]&lt;/Misc_3&gt;&lt;Web_URL&gt;PM:21288855&lt;/Web_URL&gt;&lt;ZZ_JournalStdAbbrev&gt;&lt;f name="System"&gt;Clin Infect.Dis&lt;/f&gt;&lt;/ZZ_JournalStdAbbrev&gt;&lt;ZZ_WorkformID&gt;1&lt;/ZZ_WorkformID&gt;&lt;/MDL&gt;&lt;/Cite&gt;&lt;/Refman&gt;</w:instrText>
      </w:r>
      <w:r w:rsidR="00327040" w:rsidRPr="004F38BE">
        <w:rPr>
          <w:color w:val="000000"/>
        </w:rPr>
        <w:fldChar w:fldCharType="separate"/>
      </w:r>
      <w:r w:rsidR="00CB2263" w:rsidRPr="00CB2263">
        <w:rPr>
          <w:color w:val="000000"/>
          <w:vertAlign w:val="superscript"/>
        </w:rPr>
        <w:t>26;27</w:t>
      </w:r>
      <w:r w:rsidR="00327040" w:rsidRPr="004F38BE">
        <w:rPr>
          <w:color w:val="000000"/>
        </w:rPr>
        <w:fldChar w:fldCharType="end"/>
      </w:r>
      <w:r w:rsidR="00A548CD" w:rsidRPr="004F38BE">
        <w:rPr>
          <w:color w:val="000000"/>
        </w:rPr>
        <w:t xml:space="preserve">. </w:t>
      </w:r>
    </w:p>
    <w:p w14:paraId="4AFC972B" w14:textId="77777777" w:rsidR="009F3AF2" w:rsidRPr="004F38BE" w:rsidRDefault="009F3AF2" w:rsidP="0033455D">
      <w:pPr>
        <w:spacing w:line="360" w:lineRule="auto"/>
        <w:jc w:val="both"/>
        <w:rPr>
          <w:color w:val="000000"/>
        </w:rPr>
      </w:pPr>
    </w:p>
    <w:p w14:paraId="574017B3" w14:textId="4AB26753" w:rsidR="009F3AF2" w:rsidRPr="004F38BE" w:rsidRDefault="000B61FE" w:rsidP="0033455D">
      <w:pPr>
        <w:spacing w:line="360" w:lineRule="auto"/>
        <w:jc w:val="both"/>
        <w:rPr>
          <w:color w:val="000000"/>
        </w:rPr>
      </w:pPr>
      <w:r w:rsidRPr="004F38BE">
        <w:rPr>
          <w:color w:val="000000"/>
        </w:rPr>
        <w:t xml:space="preserve">PCT, the precursor molecule of calcitonin is a general inflammatory response marker that is secreted in healthy individuals by the C cells of the thyroid and by </w:t>
      </w:r>
      <w:r w:rsidR="00610561" w:rsidRPr="004F38BE">
        <w:rPr>
          <w:color w:val="000000"/>
        </w:rPr>
        <w:t xml:space="preserve">leukocytes </w:t>
      </w:r>
      <w:r w:rsidRPr="004F38BE">
        <w:rPr>
          <w:color w:val="000000"/>
        </w:rPr>
        <w:t>via alternate pathways, including induction by cytokines and bacterial products after microbial infection</w:t>
      </w:r>
      <w:r w:rsidR="00020281" w:rsidRPr="004F38BE">
        <w:rPr>
          <w:color w:val="000000"/>
        </w:rPr>
        <w:fldChar w:fldCharType="begin"/>
      </w:r>
      <w:r w:rsidR="00CB2263">
        <w:rPr>
          <w:color w:val="000000"/>
        </w:rPr>
        <w:instrText xml:space="preserve"> ADDIN REFMGR.CITE &lt;Refman&gt;&lt;Cite&gt;&lt;Author&gt;Singh&lt;/Author&gt;&lt;Year&gt;2014&lt;/Year&gt;&lt;RecNum&gt;686&lt;/RecNum&gt;&lt;IDText&gt;Bedside procalcitonin and acute care&lt;/IDText&gt;&lt;MDL Ref_Type="Journal"&gt;&lt;Ref_Type&gt;Journal&lt;/Ref_Type&gt;&lt;Ref_ID&gt;686&lt;/Ref_ID&gt;&lt;Title_Primary&gt;Bedside procalcitonin and acute care&lt;/Title_Primary&gt;&lt;Authors_Primary&gt;Singh,M.&lt;/Authors_Primary&gt;&lt;Authors_Primary&gt;Anand,L.&lt;/Authors_Primary&gt;&lt;Date_Primary&gt;2014/7&lt;/Date_Primary&gt;&lt;Keywords&gt;blood&lt;/Keywords&gt;&lt;Keywords&gt;Calcitonin&lt;/Keywords&gt;&lt;Keywords&gt;India&lt;/Keywords&gt;&lt;Keywords&gt;Infection&lt;/Keywords&gt;&lt;Keywords&gt;Laboratories&lt;/Keywords&gt;&lt;Reprint&gt;Not in File&lt;/Reprint&gt;&lt;Start_Page&gt;233&lt;/Start_Page&gt;&lt;End_Page&gt;237&lt;/End_Page&gt;&lt;Periodical&gt;Int J Crit Illn.Inj.Sci.&lt;/Periodical&gt;&lt;Volume&gt;4&lt;/Volume&gt;&lt;Issue&gt;3&lt;/Issue&gt;&lt;User_Def_5&gt;PMC4200550&lt;/User_Def_5&gt;&lt;Misc_3&gt;10.4103/2229-5151.141437 [doi];IJCIIS-4-233 [pii]&lt;/Misc_3&gt;&lt;Address&gt;Department of Anaesthesia and Intensive Care, Government Medical College and Hospital, Chandigarh, India&amp;#xA;Department of Anaesthesia and Intensive Care, Government Medical College and Hospital, Chandigarh, India&lt;/Address&gt;&lt;Web_URL&gt;PM:25337486&lt;/Web_URL&gt;&lt;ZZ_JournalStdAbbrev&gt;&lt;f name="System"&gt;Int J Crit Illn.Inj.Sci.&lt;/f&gt;&lt;/ZZ_JournalStdAbbrev&gt;&lt;ZZ_WorkformID&gt;1&lt;/ZZ_WorkformID&gt;&lt;/MDL&gt;&lt;/Cite&gt;&lt;/Refman&gt;</w:instrText>
      </w:r>
      <w:r w:rsidR="00020281" w:rsidRPr="004F38BE">
        <w:rPr>
          <w:color w:val="000000"/>
        </w:rPr>
        <w:fldChar w:fldCharType="separate"/>
      </w:r>
      <w:r w:rsidR="00CB2263" w:rsidRPr="00CB2263">
        <w:rPr>
          <w:color w:val="000000"/>
          <w:vertAlign w:val="superscript"/>
        </w:rPr>
        <w:t>28</w:t>
      </w:r>
      <w:r w:rsidR="00020281" w:rsidRPr="004F38BE">
        <w:rPr>
          <w:color w:val="000000"/>
        </w:rPr>
        <w:fldChar w:fldCharType="end"/>
      </w:r>
      <w:r w:rsidRPr="004F38BE">
        <w:rPr>
          <w:color w:val="000000"/>
        </w:rPr>
        <w:t xml:space="preserve">. Although mainly known as a diagnostic marker </w:t>
      </w:r>
      <w:r w:rsidRPr="006F1AB9">
        <w:rPr>
          <w:color w:val="000000"/>
        </w:rPr>
        <w:t>for bacteremia</w:t>
      </w:r>
      <w:r w:rsidR="006F1AB9" w:rsidRPr="008A4BC6">
        <w:rPr>
          <w:color w:val="000000"/>
        </w:rPr>
        <w:fldChar w:fldCharType="begin"/>
      </w:r>
      <w:r w:rsidR="00CB2263">
        <w:rPr>
          <w:color w:val="000000"/>
        </w:rPr>
        <w:instrText xml:space="preserve"> ADDIN REFMGR.CITE &lt;Refman&gt;&lt;Cite&gt;&lt;Author&gt;Hoeboer&lt;/Author&gt;&lt;Year&gt;2015&lt;/Year&gt;&lt;RecNum&gt;700&lt;/RecNum&gt;&lt;IDText&gt;The diagnostic accuracy of procalcitonin for bacteraemia: a systematic review and meta-analysis&lt;/IDText&gt;&lt;MDL Ref_Type="Journal"&gt;&lt;Ref_Type&gt;Journal&lt;/Ref_Type&gt;&lt;Ref_ID&gt;700&lt;/Ref_ID&gt;&lt;Title_Primary&gt;The diagnostic accuracy of procalcitonin for bacteraemia: a systematic review and meta-analysis&lt;/Title_Primary&gt;&lt;Authors_Primary&gt;Hoeboer,S.H.&lt;/Authors_Primary&gt;&lt;Authors_Primary&gt;van der Geest,P.J.&lt;/Authors_Primary&gt;&lt;Authors_Primary&gt;Nieboer,D.&lt;/Authors_Primary&gt;&lt;Authors_Primary&gt;Groeneveld,A.B.&lt;/Authors_Primary&gt;&lt;Date_Primary&gt;2015/5&lt;/Date_Primary&gt;&lt;Keywords&gt;Adult&lt;/Keywords&gt;&lt;Keywords&gt;analysis&lt;/Keywords&gt;&lt;Keywords&gt;blood&lt;/Keywords&gt;&lt;Keywords&gt;diagnostic use&lt;/Keywords&gt;&lt;Keywords&gt;Health&lt;/Keywords&gt;&lt;Keywords&gt;Infection&lt;/Keywords&gt;&lt;Keywords&gt;Netherlands&lt;/Keywords&gt;&lt;Keywords&gt;Public Health&lt;/Keywords&gt;&lt;Keywords&gt;Research&lt;/Keywords&gt;&lt;Keywords&gt;Safety&lt;/Keywords&gt;&lt;Keywords&gt;Sepsis&lt;/Keywords&gt;&lt;Reprint&gt;Not in File&lt;/Reprint&gt;&lt;Start_Page&gt;474&lt;/Start_Page&gt;&lt;End_Page&gt;481&lt;/End_Page&gt;&lt;Periodical&gt;Clin Microbiol Infect.&lt;/Periodical&gt;&lt;Volume&gt;21&lt;/Volume&gt;&lt;Issue&gt;5&lt;/Issue&gt;&lt;Misc_3&gt;S1198-743X(15)00180-9 [pii];10.1016/j.cmi.2014.12.026 [doi]&lt;/Misc_3&gt;&lt;Address&gt;Department of Intensive Care Medicine, Erasmus Medical Centre, Rotterdam, The Netherlands. Electronic address: s.hoeboer@erasmusmc.nl&amp;#xA;Department of Intensive Care Medicine, Erasmus Medical Centre, Rotterdam, The Netherlands. Electronic address: p.vandergeest@erasmusmc.nl&amp;#xA;Department of Public Health, Erasmus Medical Centre, Rotterdam, The Netherlands&amp;#xA;Department of Intensive Care Medicine, Erasmus Medical Centre, Rotterdam, The Netherlands&lt;/Address&gt;&lt;Web_URL&gt;PM:25726038&lt;/Web_URL&gt;&lt;ZZ_JournalStdAbbrev&gt;&lt;f name="System"&gt;Clin Microbiol Infect.&lt;/f&gt;&lt;/ZZ_JournalStdAbbrev&gt;&lt;ZZ_WorkformID&gt;1&lt;/ZZ_WorkformID&gt;&lt;/MDL&gt;&lt;/Cite&gt;&lt;/Refman&gt;</w:instrText>
      </w:r>
      <w:r w:rsidR="006F1AB9" w:rsidRPr="008A4BC6">
        <w:rPr>
          <w:color w:val="000000"/>
        </w:rPr>
        <w:fldChar w:fldCharType="separate"/>
      </w:r>
      <w:r w:rsidR="00CB2263" w:rsidRPr="00CB2263">
        <w:rPr>
          <w:color w:val="000000"/>
          <w:vertAlign w:val="superscript"/>
        </w:rPr>
        <w:t>29</w:t>
      </w:r>
      <w:r w:rsidR="006F1AB9" w:rsidRPr="008A4BC6">
        <w:rPr>
          <w:color w:val="000000"/>
        </w:rPr>
        <w:fldChar w:fldCharType="end"/>
      </w:r>
      <w:r w:rsidRPr="006F1AB9">
        <w:rPr>
          <w:color w:val="000000"/>
        </w:rPr>
        <w:t>, PCT</w:t>
      </w:r>
      <w:r w:rsidRPr="004F38BE">
        <w:rPr>
          <w:color w:val="000000"/>
        </w:rPr>
        <w:t xml:space="preserve"> levels have been shown </w:t>
      </w:r>
      <w:r w:rsidRPr="004F38BE">
        <w:rPr>
          <w:color w:val="000000"/>
        </w:rPr>
        <w:lastRenderedPageBreak/>
        <w:t xml:space="preserve">to be potentially useful in discriminating between pulmonary TB and </w:t>
      </w:r>
      <w:r w:rsidR="00302E16" w:rsidRPr="004F38BE">
        <w:rPr>
          <w:color w:val="000000"/>
        </w:rPr>
        <w:t>community-</w:t>
      </w:r>
      <w:r w:rsidRPr="004F38BE">
        <w:rPr>
          <w:color w:val="000000"/>
        </w:rPr>
        <w:t xml:space="preserve">acquired pneumonia in </w:t>
      </w:r>
      <w:r w:rsidR="007E1ECF" w:rsidRPr="004F38BE">
        <w:rPr>
          <w:color w:val="000000"/>
        </w:rPr>
        <w:t>HIV-</w:t>
      </w:r>
      <w:r w:rsidRPr="004F38BE">
        <w:rPr>
          <w:color w:val="000000"/>
        </w:rPr>
        <w:t>positive individuals</w:t>
      </w:r>
      <w:r w:rsidR="00020281" w:rsidRPr="004F38BE">
        <w:rPr>
          <w:color w:val="000000"/>
        </w:rPr>
        <w:fldChar w:fldCharType="begin"/>
      </w:r>
      <w:r w:rsidR="00CB2263">
        <w:rPr>
          <w:color w:val="000000"/>
        </w:rPr>
        <w:instrText xml:space="preserve"> ADDIN REFMGR.CITE &lt;Refman&gt;&lt;Cite&gt;&lt;Author&gt;Schleicher&lt;/Author&gt;&lt;Year&gt;2005&lt;/Year&gt;&lt;RecNum&gt;679&lt;/RecNum&gt;&lt;IDText&gt;Procalcitonin and C-reactive protein levels in HIV-positive subjects with tuberculosis and pneumonia&lt;/IDText&gt;&lt;MDL Ref_Type="Journal"&gt;&lt;Ref_Type&gt;Journal&lt;/Ref_Type&gt;&lt;Ref_ID&gt;679&lt;/Ref_ID&gt;&lt;Title_Primary&gt;Procalcitonin and C-reactive protein levels in HIV-positive subjects with tuberculosis and pneumonia&lt;/Title_Primary&gt;&lt;Authors_Primary&gt;Schleicher,G.K.&lt;/Authors_Primary&gt;&lt;Authors_Primary&gt;Herbert,V.&lt;/Authors_Primary&gt;&lt;Authors_Primary&gt;Brink,A.&lt;/Authors_Primary&gt;&lt;Authors_Primary&gt;Martin,S.&lt;/Authors_Primary&gt;&lt;Authors_Primary&gt;Maraj,R.&lt;/Authors_Primary&gt;&lt;Authors_Primary&gt;Galpin,J.S.&lt;/Authors_Primary&gt;&lt;Authors_Primary&gt;Feldman,C.&lt;/Authors_Primary&gt;&lt;Date_Primary&gt;2005/4&lt;/Date_Primary&gt;&lt;Keywords&gt;Adult&lt;/Keywords&gt;&lt;Keywords&gt;Africa&lt;/Keywords&gt;&lt;Keywords&gt;analysis&lt;/Keywords&gt;&lt;Keywords&gt;blood&lt;/Keywords&gt;&lt;Keywords&gt;C-Reactive Protein&lt;/Keywords&gt;&lt;Keywords&gt;Calcitonin&lt;/Keywords&gt;&lt;Keywords&gt;Cell Count&lt;/Keywords&gt;&lt;Keywords&gt;Community-Acquired Infections&lt;/Keywords&gt;&lt;Keywords&gt;complications&lt;/Keywords&gt;&lt;Keywords&gt;diagnosis&lt;/Keywords&gt;&lt;Keywords&gt;Diagnosis,Differential&lt;/Keywords&gt;&lt;Keywords&gt;Female&lt;/Keywords&gt;&lt;Keywords&gt;HIV Seropositivity&lt;/Keywords&gt;&lt;Keywords&gt;Humans&lt;/Keywords&gt;&lt;Keywords&gt;Infection&lt;/Keywords&gt;&lt;Keywords&gt;Male&lt;/Keywords&gt;&lt;Keywords&gt;Pneumonia&lt;/Keywords&gt;&lt;Keywords&gt;Pneumonia,Pneumococcal&lt;/Keywords&gt;&lt;Keywords&gt;Prospective Studies&lt;/Keywords&gt;&lt;Keywords&gt;Protein Precursors&lt;/Keywords&gt;&lt;Keywords&gt;Serum&lt;/Keywords&gt;&lt;Keywords&gt;South Africa&lt;/Keywords&gt;&lt;Keywords&gt;Tuberculosis&lt;/Keywords&gt;&lt;Keywords&gt;Tuberculosis,Pulmonary&lt;/Keywords&gt;&lt;Reprint&gt;Not in File&lt;/Reprint&gt;&lt;Start_Page&gt;688&lt;/Start_Page&gt;&lt;End_Page&gt;692&lt;/End_Page&gt;&lt;Periodical&gt;Eur Respir J&lt;/Periodical&gt;&lt;Volume&gt;25&lt;/Volume&gt;&lt;Issue&gt;4&lt;/Issue&gt;&lt;Misc_3&gt;25/4/688 [pii];10.1183/09031936.05.00067604 [doi]&lt;/Misc_3&gt;&lt;Address&gt;Dept of Medicine, Johannesburg Hospital and University of the Witwatersrand, Johannesburg, South Africa. schleicher@worldonline.co.za&lt;/Address&gt;&lt;Web_URL&gt;PM:15802344&lt;/Web_URL&gt;&lt;ZZ_JournalFull&gt;&lt;f name="System"&gt;Eur Respir J&lt;/f&gt;&lt;/ZZ_JournalFull&gt;&lt;ZZ_WorkformID&gt;1&lt;/ZZ_WorkformID&gt;&lt;/MDL&gt;&lt;/Cite&gt;&lt;/Refman&gt;</w:instrText>
      </w:r>
      <w:r w:rsidR="00020281" w:rsidRPr="004F38BE">
        <w:rPr>
          <w:color w:val="000000"/>
        </w:rPr>
        <w:fldChar w:fldCharType="separate"/>
      </w:r>
      <w:r w:rsidR="00CB2263" w:rsidRPr="00CB2263">
        <w:rPr>
          <w:color w:val="000000"/>
          <w:vertAlign w:val="superscript"/>
        </w:rPr>
        <w:t>30</w:t>
      </w:r>
      <w:r w:rsidR="00020281" w:rsidRPr="004F38BE">
        <w:rPr>
          <w:color w:val="000000"/>
        </w:rPr>
        <w:fldChar w:fldCharType="end"/>
      </w:r>
      <w:r w:rsidRPr="004F38BE">
        <w:rPr>
          <w:color w:val="000000"/>
        </w:rPr>
        <w:t>.</w:t>
      </w:r>
      <w:r w:rsidR="00F36BA6" w:rsidRPr="004F38BE">
        <w:rPr>
          <w:color w:val="000000"/>
        </w:rPr>
        <w:t xml:space="preserve"> </w:t>
      </w:r>
    </w:p>
    <w:p w14:paraId="50DA0804" w14:textId="77777777" w:rsidR="009F3AF2" w:rsidRPr="004F38BE" w:rsidRDefault="009F3AF2" w:rsidP="0033455D">
      <w:pPr>
        <w:spacing w:line="360" w:lineRule="auto"/>
        <w:jc w:val="both"/>
        <w:rPr>
          <w:color w:val="000000"/>
        </w:rPr>
      </w:pPr>
    </w:p>
    <w:p w14:paraId="5772610F" w14:textId="5CAB34A4" w:rsidR="009F3AF2" w:rsidRPr="004F38BE" w:rsidRDefault="00213F5F" w:rsidP="0033455D">
      <w:pPr>
        <w:spacing w:line="360" w:lineRule="auto"/>
        <w:jc w:val="both"/>
        <w:rPr>
          <w:color w:val="000000"/>
        </w:rPr>
      </w:pPr>
      <w:r w:rsidRPr="004F38BE">
        <w:rPr>
          <w:color w:val="000000"/>
        </w:rPr>
        <w:t>ApoA-1</w:t>
      </w:r>
      <w:r w:rsidR="00371D84" w:rsidRPr="004F38BE">
        <w:rPr>
          <w:color w:val="000000"/>
        </w:rPr>
        <w:t xml:space="preserve">, the major protein component of </w:t>
      </w:r>
      <w:r w:rsidR="00205860" w:rsidRPr="004F38BE">
        <w:rPr>
          <w:color w:val="000000"/>
        </w:rPr>
        <w:t>high-density</w:t>
      </w:r>
      <w:r w:rsidR="00371D84" w:rsidRPr="004F38BE">
        <w:rPr>
          <w:color w:val="000000"/>
        </w:rPr>
        <w:t xml:space="preserve"> lipoproteins,</w:t>
      </w:r>
      <w:r w:rsidR="00932572" w:rsidRPr="004F38BE">
        <w:rPr>
          <w:color w:val="000000"/>
        </w:rPr>
        <w:t xml:space="preserve"> and </w:t>
      </w:r>
      <w:r w:rsidR="000C65BD" w:rsidRPr="004F38BE">
        <w:rPr>
          <w:color w:val="000000"/>
        </w:rPr>
        <w:t>CFH</w:t>
      </w:r>
      <w:r w:rsidR="00932572" w:rsidRPr="004F38BE">
        <w:rPr>
          <w:color w:val="000000"/>
        </w:rPr>
        <w:t xml:space="preserve">, a crucial regulator of the alternative complement pathway, were </w:t>
      </w:r>
      <w:r w:rsidR="00A73E4C" w:rsidRPr="004F38BE">
        <w:rPr>
          <w:color w:val="000000"/>
        </w:rPr>
        <w:t xml:space="preserve">also amongst the </w:t>
      </w:r>
      <w:r w:rsidR="00371D84" w:rsidRPr="004F38BE">
        <w:rPr>
          <w:color w:val="000000"/>
        </w:rPr>
        <w:t xml:space="preserve">markers included in </w:t>
      </w:r>
      <w:r w:rsidR="00932572" w:rsidRPr="004F38BE">
        <w:rPr>
          <w:color w:val="000000"/>
        </w:rPr>
        <w:t>our</w:t>
      </w:r>
      <w:r w:rsidR="00371D84" w:rsidRPr="004F38BE">
        <w:rPr>
          <w:color w:val="000000"/>
        </w:rPr>
        <w:t xml:space="preserve"> final </w:t>
      </w:r>
      <w:r w:rsidR="00854265" w:rsidRPr="004F38BE">
        <w:rPr>
          <w:color w:val="000000"/>
        </w:rPr>
        <w:t>s</w:t>
      </w:r>
      <w:r w:rsidR="007105ED" w:rsidRPr="004F38BE">
        <w:rPr>
          <w:color w:val="000000"/>
        </w:rPr>
        <w:t>even</w:t>
      </w:r>
      <w:r w:rsidR="00854265" w:rsidRPr="004F38BE">
        <w:rPr>
          <w:color w:val="000000"/>
        </w:rPr>
        <w:t>-marker</w:t>
      </w:r>
      <w:r w:rsidR="00371D84" w:rsidRPr="004F38BE">
        <w:rPr>
          <w:color w:val="000000"/>
        </w:rPr>
        <w:t xml:space="preserve"> </w:t>
      </w:r>
      <w:r w:rsidR="00932572" w:rsidRPr="004F38BE">
        <w:rPr>
          <w:color w:val="000000"/>
        </w:rPr>
        <w:t>bio</w:t>
      </w:r>
      <w:r w:rsidR="00371D84" w:rsidRPr="004F38BE">
        <w:rPr>
          <w:color w:val="000000"/>
        </w:rPr>
        <w:t xml:space="preserve">signature. </w:t>
      </w:r>
      <w:r w:rsidR="00932572" w:rsidRPr="004F38BE">
        <w:rPr>
          <w:color w:val="000000"/>
        </w:rPr>
        <w:t>ApoA-1</w:t>
      </w:r>
      <w:r w:rsidR="00371D84" w:rsidRPr="004F38BE">
        <w:rPr>
          <w:color w:val="000000"/>
        </w:rPr>
        <w:t xml:space="preserve"> is one of the most important biomarkers for cardiovascular disease</w:t>
      </w:r>
      <w:r w:rsidR="00020281" w:rsidRPr="004F38BE">
        <w:rPr>
          <w:color w:val="000000"/>
        </w:rPr>
        <w:fldChar w:fldCharType="begin"/>
      </w:r>
      <w:r w:rsidR="00CB2263">
        <w:rPr>
          <w:color w:val="000000"/>
        </w:rPr>
        <w:instrText xml:space="preserve"> ADDIN REFMGR.CITE &lt;Refman&gt;&lt;Cite&gt;&lt;Author&gt;Montecucco&lt;/Author&gt;&lt;Year&gt;2015&lt;/Year&gt;&lt;RecNum&gt;694&lt;/RecNum&gt;&lt;IDText&gt;Impact of systemic inflammation and autoimmune diseases on apoA-I and HDL plasma levels and functions&lt;/IDText&gt;&lt;MDL Ref_Type="Journal"&gt;&lt;Ref_Type&gt;Journal&lt;/Ref_Type&gt;&lt;Ref_ID&gt;694&lt;/Ref_ID&gt;&lt;Title_Primary&gt;Impact of systemic inflammation and autoimmune diseases on apoA-I and HDL plasma levels and functions&lt;/Title_Primary&gt;&lt;Authors_Primary&gt;Montecucco,F.&lt;/Authors_Primary&gt;&lt;Authors_Primary&gt;Favari,E.&lt;/Authors_Primary&gt;&lt;Authors_Primary&gt;Norata,G.D.&lt;/Authors_Primary&gt;&lt;Authors_Primary&gt;Ronda,N.&lt;/Authors_Primary&gt;&lt;Authors_Primary&gt;Nofer,J.R.&lt;/Authors_Primary&gt;&lt;Authors_Primary&gt;Vuilleumier,N.&lt;/Authors_Primary&gt;&lt;Date_Primary&gt;2015&lt;/Date_Primary&gt;&lt;Keywords&gt;analogs &amp;amp; derivatives&lt;/Keywords&gt;&lt;Keywords&gt;Animals&lt;/Keywords&gt;&lt;Keywords&gt;Apolipoprotein A-I&lt;/Keywords&gt;&lt;Keywords&gt;Arthritis&lt;/Keywords&gt;&lt;Keywords&gt;Autoimmune Diseases&lt;/Keywords&gt;&lt;Keywords&gt;Biological Markers&lt;/Keywords&gt;&lt;Keywords&gt;blood&lt;/Keywords&gt;&lt;Keywords&gt;chemistry&lt;/Keywords&gt;&lt;Keywords&gt;Disease&lt;/Keywords&gt;&lt;Keywords&gt;genetics&lt;/Keywords&gt;&lt;Keywords&gt;Humans&lt;/Keywords&gt;&lt;Keywords&gt;Immunity,Innate&lt;/Keywords&gt;&lt;Keywords&gt;immunology&lt;/Keywords&gt;&lt;Keywords&gt;Inflammation&lt;/Keywords&gt;&lt;Keywords&gt;Laboratories&lt;/Keywords&gt;&lt;Keywords&gt;Lipoproteins&lt;/Keywords&gt;&lt;Keywords&gt;Lipoproteins,HDL&lt;/Keywords&gt;&lt;Keywords&gt;Lymphocytes&lt;/Keywords&gt;&lt;Keywords&gt;Lysophospholipids&lt;/Keywords&gt;&lt;Keywords&gt;Membrane Microdomains&lt;/Keywords&gt;&lt;Keywords&gt;metabolism&lt;/Keywords&gt;&lt;Keywords&gt;Plasma&lt;/Keywords&gt;&lt;Keywords&gt;Protein Conformation&lt;/Keywords&gt;&lt;Keywords&gt;Receptors,Lysosphingolipid&lt;/Keywords&gt;&lt;Keywords&gt;Risk&lt;/Keywords&gt;&lt;Keywords&gt;Sphingosine&lt;/Keywords&gt;&lt;Keywords&gt;Structure-Activity Relationship&lt;/Keywords&gt;&lt;Reprint&gt;Not in File&lt;/Reprint&gt;&lt;Start_Page&gt;455&lt;/Start_Page&gt;&lt;End_Page&gt;482&lt;/End_Page&gt;&lt;Periodical&gt;Handb.Exp.Pharmacol&lt;/Periodical&gt;&lt;Volume&gt;224&lt;/Volume&gt;&lt;Misc_3&gt;10.1007/978-3-319-09665-0_14 [doi]&lt;/Misc_3&gt;&lt;Address&gt;Division of Laboratory Medicine, Department of Genetics and Laboratory Medicine, Geneva University Hospitals, 4 rue Gabrielle Perret-Gentil, 1211, Geneva, Switzerland&lt;/Address&gt;&lt;Web_URL&gt;PM:25522998&lt;/Web_URL&gt;&lt;ZZ_JournalStdAbbrev&gt;&lt;f name="System"&gt;Handb.Exp.Pharmacol&lt;/f&gt;&lt;/ZZ_JournalStdAbbrev&gt;&lt;ZZ_WorkformID&gt;1&lt;/ZZ_WorkformID&gt;&lt;/MDL&gt;&lt;/Cite&gt;&lt;/Refman&gt;</w:instrText>
      </w:r>
      <w:r w:rsidR="00020281" w:rsidRPr="004F38BE">
        <w:rPr>
          <w:color w:val="000000"/>
        </w:rPr>
        <w:fldChar w:fldCharType="separate"/>
      </w:r>
      <w:r w:rsidR="00CB2263" w:rsidRPr="00CB2263">
        <w:rPr>
          <w:color w:val="000000"/>
          <w:vertAlign w:val="superscript"/>
        </w:rPr>
        <w:t>31</w:t>
      </w:r>
      <w:r w:rsidR="00020281" w:rsidRPr="004F38BE">
        <w:rPr>
          <w:color w:val="000000"/>
        </w:rPr>
        <w:fldChar w:fldCharType="end"/>
      </w:r>
      <w:r w:rsidR="00371D84" w:rsidRPr="004F38BE">
        <w:rPr>
          <w:color w:val="000000"/>
        </w:rPr>
        <w:t xml:space="preserve">, </w:t>
      </w:r>
      <w:r w:rsidR="00380B87" w:rsidRPr="004F38BE">
        <w:rPr>
          <w:color w:val="000000"/>
        </w:rPr>
        <w:t>but</w:t>
      </w:r>
      <w:r w:rsidR="00371D84" w:rsidRPr="004F38BE">
        <w:rPr>
          <w:color w:val="000000"/>
        </w:rPr>
        <w:t xml:space="preserve"> is rarely investigated</w:t>
      </w:r>
      <w:r w:rsidR="00932572" w:rsidRPr="004F38BE">
        <w:rPr>
          <w:color w:val="000000"/>
        </w:rPr>
        <w:t xml:space="preserve"> as a biomarker </w:t>
      </w:r>
      <w:r w:rsidR="00371D84" w:rsidRPr="004F38BE">
        <w:rPr>
          <w:color w:val="000000"/>
        </w:rPr>
        <w:t xml:space="preserve">in TB. </w:t>
      </w:r>
      <w:r w:rsidR="00DA4D28" w:rsidRPr="004F38BE">
        <w:rPr>
          <w:color w:val="000000"/>
        </w:rPr>
        <w:t>Like the other markers investigated in this study, ApoA-1 may not play any specific role in the pathogenesis of TB. The low levels obtained in TB patients may be a result of the many changes in lipid metabolism</w:t>
      </w:r>
      <w:r w:rsidR="002151FB" w:rsidRPr="004F38BE">
        <w:rPr>
          <w:color w:val="000000"/>
        </w:rPr>
        <w:t>,</w:t>
      </w:r>
      <w:r w:rsidR="00DA4D28" w:rsidRPr="004F38BE">
        <w:rPr>
          <w:color w:val="000000"/>
        </w:rPr>
        <w:t xml:space="preserve"> which are believed to occur after the </w:t>
      </w:r>
      <w:r w:rsidR="00932572" w:rsidRPr="004F38BE">
        <w:rPr>
          <w:color w:val="000000"/>
        </w:rPr>
        <w:t xml:space="preserve">generation of the </w:t>
      </w:r>
      <w:r w:rsidR="00E026E5" w:rsidRPr="004F38BE">
        <w:rPr>
          <w:color w:val="000000"/>
        </w:rPr>
        <w:t>acute-</w:t>
      </w:r>
      <w:r w:rsidR="00DA4D28" w:rsidRPr="004F38BE">
        <w:rPr>
          <w:color w:val="000000"/>
        </w:rPr>
        <w:t>phase response</w:t>
      </w:r>
      <w:r w:rsidR="00932572" w:rsidRPr="004F38BE">
        <w:rPr>
          <w:color w:val="000000"/>
        </w:rPr>
        <w:t xml:space="preserve"> following an</w:t>
      </w:r>
      <w:r w:rsidR="00DA4D28" w:rsidRPr="004F38BE">
        <w:rPr>
          <w:color w:val="000000"/>
        </w:rPr>
        <w:t xml:space="preserve"> inflammatory condition</w:t>
      </w:r>
      <w:r w:rsidR="00020281" w:rsidRPr="004F38BE">
        <w:rPr>
          <w:color w:val="000000"/>
        </w:rPr>
        <w:fldChar w:fldCharType="begin"/>
      </w:r>
      <w:r w:rsidR="00CB2263">
        <w:rPr>
          <w:color w:val="000000"/>
        </w:rPr>
        <w:instrText xml:space="preserve"> ADDIN REFMGR.CITE &lt;Refman&gt;&lt;Cite&gt;&lt;Author&gt;Montecucco&lt;/Author&gt;&lt;Year&gt;2015&lt;/Year&gt;&lt;RecNum&gt;694&lt;/RecNum&gt;&lt;IDText&gt;Impact of systemic inflammation and autoimmune diseases on apoA-I and HDL plasma levels and functions&lt;/IDText&gt;&lt;MDL Ref_Type="Journal"&gt;&lt;Ref_Type&gt;Journal&lt;/Ref_Type&gt;&lt;Ref_ID&gt;694&lt;/Ref_ID&gt;&lt;Title_Primary&gt;Impact of systemic inflammation and autoimmune diseases on apoA-I and HDL plasma levels and functions&lt;/Title_Primary&gt;&lt;Authors_Primary&gt;Montecucco,F.&lt;/Authors_Primary&gt;&lt;Authors_Primary&gt;Favari,E.&lt;/Authors_Primary&gt;&lt;Authors_Primary&gt;Norata,G.D.&lt;/Authors_Primary&gt;&lt;Authors_Primary&gt;Ronda,N.&lt;/Authors_Primary&gt;&lt;Authors_Primary&gt;Nofer,J.R.&lt;/Authors_Primary&gt;&lt;Authors_Primary&gt;Vuilleumier,N.&lt;/Authors_Primary&gt;&lt;Date_Primary&gt;2015&lt;/Date_Primary&gt;&lt;Keywords&gt;analogs &amp;amp; derivatives&lt;/Keywords&gt;&lt;Keywords&gt;Animals&lt;/Keywords&gt;&lt;Keywords&gt;Apolipoprotein A-I&lt;/Keywords&gt;&lt;Keywords&gt;Arthritis&lt;/Keywords&gt;&lt;Keywords&gt;Autoimmune Diseases&lt;/Keywords&gt;&lt;Keywords&gt;Biological Markers&lt;/Keywords&gt;&lt;Keywords&gt;blood&lt;/Keywords&gt;&lt;Keywords&gt;chemistry&lt;/Keywords&gt;&lt;Keywords&gt;Disease&lt;/Keywords&gt;&lt;Keywords&gt;genetics&lt;/Keywords&gt;&lt;Keywords&gt;Humans&lt;/Keywords&gt;&lt;Keywords&gt;Immunity,Innate&lt;/Keywords&gt;&lt;Keywords&gt;immunology&lt;/Keywords&gt;&lt;Keywords&gt;Inflammation&lt;/Keywords&gt;&lt;Keywords&gt;Laboratories&lt;/Keywords&gt;&lt;Keywords&gt;Lipoproteins&lt;/Keywords&gt;&lt;Keywords&gt;Lipoproteins,HDL&lt;/Keywords&gt;&lt;Keywords&gt;Lymphocytes&lt;/Keywords&gt;&lt;Keywords&gt;Lysophospholipids&lt;/Keywords&gt;&lt;Keywords&gt;Membrane Microdomains&lt;/Keywords&gt;&lt;Keywords&gt;metabolism&lt;/Keywords&gt;&lt;Keywords&gt;Plasma&lt;/Keywords&gt;&lt;Keywords&gt;Protein Conformation&lt;/Keywords&gt;&lt;Keywords&gt;Receptors,Lysosphingolipid&lt;/Keywords&gt;&lt;Keywords&gt;Risk&lt;/Keywords&gt;&lt;Keywords&gt;Sphingosine&lt;/Keywords&gt;&lt;Keywords&gt;Structure-Activity Relationship&lt;/Keywords&gt;&lt;Reprint&gt;Not in File&lt;/Reprint&gt;&lt;Start_Page&gt;455&lt;/Start_Page&gt;&lt;End_Page&gt;482&lt;/End_Page&gt;&lt;Periodical&gt;Handb.Exp.Pharmacol&lt;/Periodical&gt;&lt;Volume&gt;224&lt;/Volume&gt;&lt;Misc_3&gt;10.1007/978-3-319-09665-0_14 [doi]&lt;/Misc_3&gt;&lt;Address&gt;Division of Laboratory Medicine, Department of Genetics and Laboratory Medicine, Geneva University Hospitals, 4 rue Gabrielle Perret-Gentil, 1211, Geneva, Switzerland&lt;/Address&gt;&lt;Web_URL&gt;PM:25522998&lt;/Web_URL&gt;&lt;ZZ_JournalStdAbbrev&gt;&lt;f name="System"&gt;Handb.Exp.Pharmacol&lt;/f&gt;&lt;/ZZ_JournalStdAbbrev&gt;&lt;ZZ_WorkformID&gt;1&lt;/ZZ_WorkformID&gt;&lt;/MDL&gt;&lt;/Cite&gt;&lt;/Refman&gt;</w:instrText>
      </w:r>
      <w:r w:rsidR="00020281" w:rsidRPr="004F38BE">
        <w:rPr>
          <w:color w:val="000000"/>
        </w:rPr>
        <w:fldChar w:fldCharType="separate"/>
      </w:r>
      <w:r w:rsidR="00CB2263" w:rsidRPr="00CB2263">
        <w:rPr>
          <w:color w:val="000000"/>
          <w:vertAlign w:val="superscript"/>
        </w:rPr>
        <w:t>31</w:t>
      </w:r>
      <w:r w:rsidR="00020281" w:rsidRPr="004F38BE">
        <w:rPr>
          <w:color w:val="000000"/>
        </w:rPr>
        <w:fldChar w:fldCharType="end"/>
      </w:r>
      <w:r w:rsidR="00DA4D28" w:rsidRPr="004F38BE">
        <w:rPr>
          <w:color w:val="000000"/>
        </w:rPr>
        <w:t>.</w:t>
      </w:r>
      <w:r w:rsidR="00932572" w:rsidRPr="004F38BE">
        <w:rPr>
          <w:color w:val="000000"/>
        </w:rPr>
        <w:t xml:space="preserve"> </w:t>
      </w:r>
      <w:r w:rsidR="000D035A" w:rsidRPr="004F38BE">
        <w:rPr>
          <w:color w:val="000000"/>
        </w:rPr>
        <w:t>One of the ways that CFH recognizes host cells is by binding to host markers expressed on the surfaces of cells undergoing apoptosis</w:t>
      </w:r>
      <w:r w:rsidR="00020281" w:rsidRPr="004F38BE">
        <w:rPr>
          <w:color w:val="000000"/>
        </w:rPr>
        <w:fldChar w:fldCharType="begin"/>
      </w:r>
      <w:r w:rsidR="00CB2263">
        <w:rPr>
          <w:color w:val="000000"/>
        </w:rPr>
        <w:instrText xml:space="preserve"> ADDIN REFMGR.CITE &lt;Refman&gt;&lt;Cite&gt;&lt;Author&gt;Ferreira&lt;/Author&gt;&lt;Year&gt;2010&lt;/Year&gt;&lt;RecNum&gt;695&lt;/RecNum&gt;&lt;IDText&gt;Complement control protein factor H: the good, the bad, and the inadequate&lt;/IDText&gt;&lt;MDL Ref_Type="Journal"&gt;&lt;Ref_Type&gt;Journal&lt;/Ref_Type&gt;&lt;Ref_ID&gt;695&lt;/Ref_ID&gt;&lt;Title_Primary&gt;Complement control protein factor H: the good, the bad, and the inadequate&lt;/Title_Primary&gt;&lt;Authors_Primary&gt;Ferreira,V.P.&lt;/Authors_Primary&gt;&lt;Authors_Primary&gt;Pangburn,M.K.&lt;/Authors_Primary&gt;&lt;Authors_Primary&gt;Cortes,C.&lt;/Authors_Primary&gt;&lt;Date_Primary&gt;2010/8&lt;/Date_Primary&gt;&lt;Keywords&gt;Animals&lt;/Keywords&gt;&lt;Keywords&gt;blood&lt;/Keywords&gt;&lt;Keywords&gt;Complement C3b&lt;/Keywords&gt;&lt;Keywords&gt;Complement C3d&lt;/Keywords&gt;&lt;Keywords&gt;Complement Factor H&lt;/Keywords&gt;&lt;Keywords&gt;Complement Pathway,Alternative&lt;/Keywords&gt;&lt;Keywords&gt;Disease&lt;/Keywords&gt;&lt;Keywords&gt;genetics&lt;/Keywords&gt;&lt;Keywords&gt;Humans&lt;/Keywords&gt;&lt;Keywords&gt;Immune Evasion&lt;/Keywords&gt;&lt;Keywords&gt;Immune System&lt;/Keywords&gt;&lt;Keywords&gt;immunology&lt;/Keywords&gt;&lt;Keywords&gt;injuries&lt;/Keywords&gt;&lt;Keywords&gt;metabolism&lt;/Keywords&gt;&lt;Keywords&gt;microbiology&lt;/Keywords&gt;&lt;Keywords&gt;Models,Immunological&lt;/Keywords&gt;&lt;Keywords&gt;Mutation&lt;/Keywords&gt;&lt;Keywords&gt;Protein Binding&lt;/Keywords&gt;&lt;Keywords&gt;Research&lt;/Keywords&gt;&lt;Keywords&gt;United States&lt;/Keywords&gt;&lt;Reprint&gt;Not in File&lt;/Reprint&gt;&lt;Start_Page&gt;2187&lt;/Start_Page&gt;&lt;End_Page&gt;2197&lt;/End_Page&gt;&lt;Periodical&gt;Mol.Immunol&lt;/Periodical&gt;&lt;Volume&gt;47&lt;/Volume&gt;&lt;Issue&gt;13&lt;/Issue&gt;&lt;User_Def_5&gt;PMC2921957&lt;/User_Def_5&gt;&lt;Misc_3&gt;S0161-5890(10)00166-5 [pii];10.1016/j.molimm.2010.05.007 [doi]&lt;/Misc_3&gt;&lt;Address&gt;Department of Medical Microbiology and Immunology, College of Medicine, University of Toledo, Toledo, OH 43614, United States. viviana.ferreira@utoledo.edu&lt;/Address&gt;&lt;Web_URL&gt;PM:20580090&lt;/Web_URL&gt;&lt;ZZ_JournalStdAbbrev&gt;&lt;f name="System"&gt;Mol.Immunol&lt;/f&gt;&lt;/ZZ_JournalStdAbbrev&gt;&lt;ZZ_WorkformID&gt;1&lt;/ZZ_WorkformID&gt;&lt;/MDL&gt;&lt;/Cite&gt;&lt;/Refman&gt;</w:instrText>
      </w:r>
      <w:r w:rsidR="00020281" w:rsidRPr="004F38BE">
        <w:rPr>
          <w:color w:val="000000"/>
        </w:rPr>
        <w:fldChar w:fldCharType="separate"/>
      </w:r>
      <w:r w:rsidR="00CB2263" w:rsidRPr="00CB2263">
        <w:rPr>
          <w:color w:val="000000"/>
          <w:vertAlign w:val="superscript"/>
        </w:rPr>
        <w:t>32</w:t>
      </w:r>
      <w:r w:rsidR="00020281" w:rsidRPr="004F38BE">
        <w:rPr>
          <w:color w:val="000000"/>
        </w:rPr>
        <w:fldChar w:fldCharType="end"/>
      </w:r>
      <w:r w:rsidR="000D035A" w:rsidRPr="004F38BE">
        <w:rPr>
          <w:color w:val="000000"/>
        </w:rPr>
        <w:t>. With the help of these markers</w:t>
      </w:r>
      <w:r w:rsidR="00205860" w:rsidRPr="004F38BE">
        <w:rPr>
          <w:color w:val="000000"/>
        </w:rPr>
        <w:t>,</w:t>
      </w:r>
      <w:r w:rsidR="000D035A" w:rsidRPr="004F38BE">
        <w:rPr>
          <w:color w:val="000000"/>
        </w:rPr>
        <w:t xml:space="preserve"> including CRP and </w:t>
      </w:r>
      <w:proofErr w:type="spellStart"/>
      <w:r w:rsidR="000D035A" w:rsidRPr="004F38BE">
        <w:rPr>
          <w:color w:val="000000"/>
        </w:rPr>
        <w:t>pentraxin</w:t>
      </w:r>
      <w:proofErr w:type="spellEnd"/>
      <w:r w:rsidR="000D035A" w:rsidRPr="004F38BE">
        <w:rPr>
          <w:color w:val="000000"/>
        </w:rPr>
        <w:t xml:space="preserve"> 3, </w:t>
      </w:r>
      <w:r w:rsidR="005C7682" w:rsidRPr="004F38BE">
        <w:rPr>
          <w:color w:val="000000"/>
        </w:rPr>
        <w:t>CFH</w:t>
      </w:r>
      <w:r w:rsidR="000D035A" w:rsidRPr="004F38BE">
        <w:rPr>
          <w:color w:val="000000"/>
        </w:rPr>
        <w:t xml:space="preserve"> ensures proper </w:t>
      </w:r>
      <w:proofErr w:type="spellStart"/>
      <w:r w:rsidR="000D035A" w:rsidRPr="004F38BE">
        <w:rPr>
          <w:color w:val="000000"/>
        </w:rPr>
        <w:t>opsonization</w:t>
      </w:r>
      <w:proofErr w:type="spellEnd"/>
      <w:r w:rsidR="000D035A" w:rsidRPr="004F38BE">
        <w:rPr>
          <w:color w:val="000000"/>
        </w:rPr>
        <w:t xml:space="preserve"> of these cells for efficient removal without excessive complement activation during the process, thus limiting </w:t>
      </w:r>
      <w:r w:rsidR="00205860" w:rsidRPr="004F38BE">
        <w:rPr>
          <w:color w:val="000000"/>
        </w:rPr>
        <w:t>immuno</w:t>
      </w:r>
      <w:r w:rsidR="000D035A" w:rsidRPr="004F38BE">
        <w:rPr>
          <w:color w:val="000000"/>
        </w:rPr>
        <w:t>pathology</w:t>
      </w:r>
      <w:r w:rsidR="00020281" w:rsidRPr="004F38BE">
        <w:rPr>
          <w:color w:val="000000"/>
        </w:rPr>
        <w:fldChar w:fldCharType="begin"/>
      </w:r>
      <w:r w:rsidR="00CB2263">
        <w:rPr>
          <w:color w:val="000000"/>
        </w:rPr>
        <w:instrText xml:space="preserve"> ADDIN REFMGR.CITE &lt;Refman&gt;&lt;Cite&gt;&lt;Author&gt;Ferreira&lt;/Author&gt;&lt;Year&gt;2010&lt;/Year&gt;&lt;RecNum&gt;695&lt;/RecNum&gt;&lt;IDText&gt;Complement control protein factor H: the good, the bad, and the inadequate&lt;/IDText&gt;&lt;MDL Ref_Type="Journal"&gt;&lt;Ref_Type&gt;Journal&lt;/Ref_Type&gt;&lt;Ref_ID&gt;695&lt;/Ref_ID&gt;&lt;Title_Primary&gt;Complement control protein factor H: the good, the bad, and the inadequate&lt;/Title_Primary&gt;&lt;Authors_Primary&gt;Ferreira,V.P.&lt;/Authors_Primary&gt;&lt;Authors_Primary&gt;Pangburn,M.K.&lt;/Authors_Primary&gt;&lt;Authors_Primary&gt;Cortes,C.&lt;/Authors_Primary&gt;&lt;Date_Primary&gt;2010/8&lt;/Date_Primary&gt;&lt;Keywords&gt;Animals&lt;/Keywords&gt;&lt;Keywords&gt;blood&lt;/Keywords&gt;&lt;Keywords&gt;Complement C3b&lt;/Keywords&gt;&lt;Keywords&gt;Complement C3d&lt;/Keywords&gt;&lt;Keywords&gt;Complement Factor H&lt;/Keywords&gt;&lt;Keywords&gt;Complement Pathway,Alternative&lt;/Keywords&gt;&lt;Keywords&gt;Disease&lt;/Keywords&gt;&lt;Keywords&gt;genetics&lt;/Keywords&gt;&lt;Keywords&gt;Humans&lt;/Keywords&gt;&lt;Keywords&gt;Immune Evasion&lt;/Keywords&gt;&lt;Keywords&gt;Immune System&lt;/Keywords&gt;&lt;Keywords&gt;immunology&lt;/Keywords&gt;&lt;Keywords&gt;injuries&lt;/Keywords&gt;&lt;Keywords&gt;metabolism&lt;/Keywords&gt;&lt;Keywords&gt;microbiology&lt;/Keywords&gt;&lt;Keywords&gt;Models,Immunological&lt;/Keywords&gt;&lt;Keywords&gt;Mutation&lt;/Keywords&gt;&lt;Keywords&gt;Protein Binding&lt;/Keywords&gt;&lt;Keywords&gt;Research&lt;/Keywords&gt;&lt;Keywords&gt;United States&lt;/Keywords&gt;&lt;Reprint&gt;Not in File&lt;/Reprint&gt;&lt;Start_Page&gt;2187&lt;/Start_Page&gt;&lt;End_Page&gt;2197&lt;/End_Page&gt;&lt;Periodical&gt;Mol.Immunol&lt;/Periodical&gt;&lt;Volume&gt;47&lt;/Volume&gt;&lt;Issue&gt;13&lt;/Issue&gt;&lt;User_Def_5&gt;PMC2921957&lt;/User_Def_5&gt;&lt;Misc_3&gt;S0161-5890(10)00166-5 [pii];10.1016/j.molimm.2010.05.007 [doi]&lt;/Misc_3&gt;&lt;Address&gt;Department of Medical Microbiology and Immunology, College of Medicine, University of Toledo, Toledo, OH 43614, United States. viviana.ferreira@utoledo.edu&lt;/Address&gt;&lt;Web_URL&gt;PM:20580090&lt;/Web_URL&gt;&lt;ZZ_JournalStdAbbrev&gt;&lt;f name="System"&gt;Mol.Immunol&lt;/f&gt;&lt;/ZZ_JournalStdAbbrev&gt;&lt;ZZ_WorkformID&gt;1&lt;/ZZ_WorkformID&gt;&lt;/MDL&gt;&lt;/Cite&gt;&lt;/Refman&gt;</w:instrText>
      </w:r>
      <w:r w:rsidR="00020281" w:rsidRPr="004F38BE">
        <w:rPr>
          <w:color w:val="000000"/>
        </w:rPr>
        <w:fldChar w:fldCharType="separate"/>
      </w:r>
      <w:r w:rsidR="00CB2263" w:rsidRPr="00CB2263">
        <w:rPr>
          <w:color w:val="000000"/>
          <w:vertAlign w:val="superscript"/>
        </w:rPr>
        <w:t>32</w:t>
      </w:r>
      <w:r w:rsidR="00020281" w:rsidRPr="004F38BE">
        <w:rPr>
          <w:color w:val="000000"/>
        </w:rPr>
        <w:fldChar w:fldCharType="end"/>
      </w:r>
      <w:r w:rsidR="005C7682" w:rsidRPr="004F38BE">
        <w:rPr>
          <w:color w:val="000000"/>
        </w:rPr>
        <w:t>.</w:t>
      </w:r>
      <w:r w:rsidR="006C6B49" w:rsidRPr="004F38BE">
        <w:rPr>
          <w:color w:val="000000"/>
        </w:rPr>
        <w:t xml:space="preserve"> This process is however believed to be exploited by </w:t>
      </w:r>
      <w:r w:rsidR="006C6B49" w:rsidRPr="004F38BE">
        <w:rPr>
          <w:i/>
          <w:color w:val="000000"/>
        </w:rPr>
        <w:t>M.tb</w:t>
      </w:r>
      <w:r w:rsidR="006C6B49" w:rsidRPr="004F38BE">
        <w:rPr>
          <w:color w:val="000000"/>
        </w:rPr>
        <w:t xml:space="preserve">, to limit </w:t>
      </w:r>
      <w:proofErr w:type="spellStart"/>
      <w:r w:rsidR="00FD0C59" w:rsidRPr="004F38BE">
        <w:rPr>
          <w:color w:val="000000"/>
        </w:rPr>
        <w:t>opsonization</w:t>
      </w:r>
      <w:proofErr w:type="spellEnd"/>
      <w:r w:rsidR="00FD0C59" w:rsidRPr="004F38BE">
        <w:rPr>
          <w:color w:val="000000"/>
        </w:rPr>
        <w:t xml:space="preserve"> </w:t>
      </w:r>
      <w:r w:rsidR="006C6B49" w:rsidRPr="004F38BE">
        <w:rPr>
          <w:color w:val="000000"/>
        </w:rPr>
        <w:t>and therefore avoid killing</w:t>
      </w:r>
      <w:r w:rsidR="00020281" w:rsidRPr="004F38BE">
        <w:rPr>
          <w:color w:val="000000"/>
        </w:rPr>
        <w:fldChar w:fldCharType="begin"/>
      </w:r>
      <w:r w:rsidR="00CB2263">
        <w:rPr>
          <w:color w:val="000000"/>
        </w:rPr>
        <w:instrText xml:space="preserve"> ADDIN REFMGR.CITE &lt;Refman&gt;&lt;Cite&gt;&lt;Author&gt;Carroll&lt;/Author&gt;&lt;Year&gt;2009&lt;/Year&gt;&lt;RecNum&gt;696&lt;/RecNum&gt;&lt;IDText&gt;Multiple routes of complement activation by Mycobacterium bovis BCG&lt;/IDText&gt;&lt;MDL Ref_Type="Journal"&gt;&lt;Ref_Type&gt;Journal&lt;/Ref_Type&gt;&lt;Ref_ID&gt;696&lt;/Ref_ID&gt;&lt;Title_Primary&gt;Multiple routes of complement activation by Mycobacterium bovis BCG&lt;/Title_Primary&gt;&lt;Authors_Primary&gt;Carroll,M.V.&lt;/Authors_Primary&gt;&lt;Authors_Primary&gt;Lack,N.&lt;/Authors_Primary&gt;&lt;Authors_Primary&gt;Sim,E.&lt;/Authors_Primary&gt;&lt;Authors_Primary&gt;Krarup,A.&lt;/Authors_Primary&gt;&lt;Authors_Primary&gt;Sim,R.B.&lt;/Authors_Primary&gt;&lt;Date_Primary&gt;2009/10&lt;/Date_Primary&gt;&lt;Keywords&gt;analysis&lt;/Keywords&gt;&lt;Keywords&gt;Antibodies&lt;/Keywords&gt;&lt;Keywords&gt;Antibodies,Bacterial&lt;/Keywords&gt;&lt;Keywords&gt;Bacteria&lt;/Keywords&gt;&lt;Keywords&gt;Complement Activation&lt;/Keywords&gt;&lt;Keywords&gt;Complement C1q&lt;/Keywords&gt;&lt;Keywords&gt;Complement C3b&lt;/Keywords&gt;&lt;Keywords&gt;Complement Factor H&lt;/Keywords&gt;&lt;Keywords&gt;Disease&lt;/Keywords&gt;&lt;Keywords&gt;Humans&lt;/Keywords&gt;&lt;Keywords&gt;Immune System&lt;/Keywords&gt;&lt;Keywords&gt;Immunochemistry&lt;/Keywords&gt;&lt;Keywords&gt;Immunoglobulin G&lt;/Keywords&gt;&lt;Keywords&gt;Immunoglobulin M&lt;/Keywords&gt;&lt;Keywords&gt;immunology&lt;/Keywords&gt;&lt;Keywords&gt;Lectins&lt;/Keywords&gt;&lt;Keywords&gt;Macrophages&lt;/Keywords&gt;&lt;Keywords&gt;Mannose-Binding Lectin&lt;/Keywords&gt;&lt;Keywords&gt;Mannose-Binding Protein-Associated Serine Proteases&lt;/Keywords&gt;&lt;Keywords&gt;Mycobacterium&lt;/Keywords&gt;&lt;Keywords&gt;Mycobacterium bovis&lt;/Keywords&gt;&lt;Keywords&gt;Mycobacterium tuberculosis&lt;/Keywords&gt;&lt;Keywords&gt;Research&lt;/Keywords&gt;&lt;Keywords&gt;Serum&lt;/Keywords&gt;&lt;Keywords&gt;Tuberculosis&lt;/Keywords&gt;&lt;Reprint&gt;Not in File&lt;/Reprint&gt;&lt;Start_Page&gt;3367&lt;/Start_Page&gt;&lt;End_Page&gt;3378&lt;/End_Page&gt;&lt;Periodical&gt;Mol.Immunol&lt;/Periodical&gt;&lt;Volume&gt;46&lt;/Volume&gt;&lt;Issue&gt;16&lt;/Issue&gt;&lt;Misc_3&gt;S0161-5890(09)00617-8 [pii];10.1016/j.molimm.2009.07.015 [doi]&lt;/Misc_3&gt;&lt;Address&gt;MRC Immunochemistry Unit, Department of Biochemistry, University of Oxford, Oxford, UK. maria.carroll@bioch.ox.ac.uk&lt;/Address&gt;&lt;Web_URL&gt;PM:19698993&lt;/Web_URL&gt;&lt;ZZ_JournalStdAbbrev&gt;&lt;f name="System"&gt;Mol.Immunol&lt;/f&gt;&lt;/ZZ_JournalStdAbbrev&gt;&lt;ZZ_WorkformID&gt;1&lt;/ZZ_WorkformID&gt;&lt;/MDL&gt;&lt;/Cite&gt;&lt;/Refman&gt;</w:instrText>
      </w:r>
      <w:r w:rsidR="00020281" w:rsidRPr="004F38BE">
        <w:rPr>
          <w:color w:val="000000"/>
        </w:rPr>
        <w:fldChar w:fldCharType="separate"/>
      </w:r>
      <w:r w:rsidR="00CB2263" w:rsidRPr="00CB2263">
        <w:rPr>
          <w:color w:val="000000"/>
          <w:vertAlign w:val="superscript"/>
        </w:rPr>
        <w:t>33</w:t>
      </w:r>
      <w:r w:rsidR="00020281" w:rsidRPr="004F38BE">
        <w:rPr>
          <w:color w:val="000000"/>
        </w:rPr>
        <w:fldChar w:fldCharType="end"/>
      </w:r>
      <w:r w:rsidR="006C6B49" w:rsidRPr="004F38BE">
        <w:rPr>
          <w:color w:val="000000"/>
        </w:rPr>
        <w:t xml:space="preserve">. Like ApoA-1, </w:t>
      </w:r>
      <w:r w:rsidR="00A73E4C" w:rsidRPr="004F38BE">
        <w:rPr>
          <w:color w:val="000000"/>
        </w:rPr>
        <w:t>lower</w:t>
      </w:r>
      <w:r w:rsidR="006C6B49" w:rsidRPr="004F38BE">
        <w:rPr>
          <w:color w:val="000000"/>
        </w:rPr>
        <w:t xml:space="preserve"> levels of CFH were observed in the TB cases in this study. </w:t>
      </w:r>
    </w:p>
    <w:p w14:paraId="5A0273F5" w14:textId="77777777" w:rsidR="009F3AF2" w:rsidRPr="004F38BE" w:rsidRDefault="009F3AF2" w:rsidP="0033455D">
      <w:pPr>
        <w:spacing w:line="360" w:lineRule="auto"/>
        <w:jc w:val="both"/>
        <w:rPr>
          <w:color w:val="000000"/>
        </w:rPr>
      </w:pPr>
    </w:p>
    <w:p w14:paraId="2B277358" w14:textId="26A8B6B2" w:rsidR="009F3AF2" w:rsidRPr="004F38BE" w:rsidRDefault="002B72FB" w:rsidP="0033455D">
      <w:pPr>
        <w:spacing w:line="360" w:lineRule="auto"/>
        <w:jc w:val="both"/>
        <w:rPr>
          <w:color w:val="000000"/>
        </w:rPr>
      </w:pPr>
      <w:r w:rsidRPr="004F38BE">
        <w:rPr>
          <w:color w:val="000000"/>
        </w:rPr>
        <w:t>Transthyretin (reviewed in</w:t>
      </w:r>
      <w:r w:rsidR="00020281" w:rsidRPr="004F38BE">
        <w:rPr>
          <w:color w:val="000000"/>
        </w:rPr>
        <w:fldChar w:fldCharType="begin"/>
      </w:r>
      <w:r w:rsidR="00CB2263">
        <w:rPr>
          <w:color w:val="000000"/>
        </w:rPr>
        <w:instrText xml:space="preserve"> ADDIN REFMGR.CITE &lt;Refman&gt;&lt;Cite&gt;&lt;Author&gt;Buxbaum&lt;/Author&gt;&lt;Year&gt;2009&lt;/Year&gt;&lt;RecNum&gt;688&lt;/RecNum&gt;&lt;IDText&gt;Transthyretin: the servant of many masters&lt;/IDText&gt;&lt;MDL Ref_Type="Journal"&gt;&lt;Ref_Type&gt;Journal&lt;/Ref_Type&gt;&lt;Ref_ID&gt;688&lt;/Ref_ID&gt;&lt;Title_Primary&gt;Transthyretin: the servant of many masters&lt;/Title_Primary&gt;&lt;Authors_Primary&gt;Buxbaum,J.N.&lt;/Authors_Primary&gt;&lt;Authors_Primary&gt;Reixach,N.&lt;/Authors_Primary&gt;&lt;Date_Primary&gt;2009/10&lt;/Date_Primary&gt;&lt;Keywords&gt;Alzheimer Disease&lt;/Keywords&gt;&lt;Keywords&gt;Amyloid&lt;/Keywords&gt;&lt;Keywords&gt;Amyloid beta-Peptides&lt;/Keywords&gt;&lt;Keywords&gt;Animals&lt;/Keywords&gt;&lt;Keywords&gt;Brain&lt;/Keywords&gt;&lt;Keywords&gt;cerebrospinal fluid&lt;/Keywords&gt;&lt;Keywords&gt;Disease&lt;/Keywords&gt;&lt;Keywords&gt;Disease Models,Animal&lt;/Keywords&gt;&lt;Keywords&gt;Eye&lt;/Keywords&gt;&lt;Keywords&gt;genetics&lt;/Keywords&gt;&lt;Keywords&gt;Humans&lt;/Keywords&gt;&lt;Keywords&gt;metabolism&lt;/Keywords&gt;&lt;Keywords&gt;Mice&lt;/Keywords&gt;&lt;Keywords&gt;Pancreas&lt;/Keywords&gt;&lt;Keywords&gt;Phenotype&lt;/Keywords&gt;&lt;Keywords&gt;physiology&lt;/Keywords&gt;&lt;Keywords&gt;Plasma&lt;/Keywords&gt;&lt;Keywords&gt;Prealbumin&lt;/Keywords&gt;&lt;Keywords&gt;Research&lt;/Keywords&gt;&lt;Keywords&gt;Serum&lt;/Keywords&gt;&lt;Reprint&gt;Not in File&lt;/Reprint&gt;&lt;Start_Page&gt;3095&lt;/Start_Page&gt;&lt;End_Page&gt;3101&lt;/End_Page&gt;&lt;Periodical&gt;Cell Mol.Life Sci.&lt;/Periodical&gt;&lt;Volume&gt;66&lt;/Volume&gt;&lt;Issue&gt;19&lt;/Issue&gt;&lt;Misc_3&gt;10.1007/s00018-009-0109-0 [doi]&lt;/Misc_3&gt;&lt;Address&gt;Molecular and Experimental Medicine Department, The Scripps Research Institute, La Jolla, CA 92037, USA. jbux@scripps.edu&lt;/Address&gt;&lt;Web_URL&gt;PM:19644733&lt;/Web_URL&gt;&lt;ZZ_JournalStdAbbrev&gt;&lt;f name="System"&gt;Cell Mol.Life Sci.&lt;/f&gt;&lt;/ZZ_JournalStdAbbrev&gt;&lt;ZZ_WorkformID&gt;1&lt;/ZZ_WorkformID&gt;&lt;/MDL&gt;&lt;/Cite&gt;&lt;/Refman&gt;</w:instrText>
      </w:r>
      <w:r w:rsidR="00020281" w:rsidRPr="004F38BE">
        <w:rPr>
          <w:color w:val="000000"/>
        </w:rPr>
        <w:fldChar w:fldCharType="separate"/>
      </w:r>
      <w:r w:rsidR="00CB2263" w:rsidRPr="00CB2263">
        <w:rPr>
          <w:color w:val="000000"/>
          <w:vertAlign w:val="superscript"/>
        </w:rPr>
        <w:t>34</w:t>
      </w:r>
      <w:r w:rsidR="00020281" w:rsidRPr="004F38BE">
        <w:rPr>
          <w:color w:val="000000"/>
        </w:rPr>
        <w:fldChar w:fldCharType="end"/>
      </w:r>
      <w:r w:rsidR="00205860" w:rsidRPr="004F38BE">
        <w:rPr>
          <w:color w:val="000000"/>
        </w:rPr>
        <w:t>)</w:t>
      </w:r>
      <w:r w:rsidRPr="004F38BE">
        <w:rPr>
          <w:color w:val="000000"/>
        </w:rPr>
        <w:t xml:space="preserve"> is a protein that is secreted by the liver into the blood and </w:t>
      </w:r>
      <w:r w:rsidR="00205860" w:rsidRPr="004F38BE">
        <w:rPr>
          <w:color w:val="000000"/>
        </w:rPr>
        <w:t xml:space="preserve">by the </w:t>
      </w:r>
      <w:r w:rsidRPr="004F38BE">
        <w:rPr>
          <w:color w:val="000000"/>
        </w:rPr>
        <w:t xml:space="preserve">choroid plexus into the </w:t>
      </w:r>
      <w:r w:rsidR="00205860" w:rsidRPr="004F38BE">
        <w:rPr>
          <w:color w:val="000000"/>
        </w:rPr>
        <w:t>cerebrospinal fluid</w:t>
      </w:r>
      <w:r w:rsidRPr="004F38BE">
        <w:rPr>
          <w:color w:val="000000"/>
        </w:rPr>
        <w:t xml:space="preserve"> and has been widely investigated as a biomarker for nutritional status</w:t>
      </w:r>
      <w:r w:rsidR="00020281" w:rsidRPr="004F38BE">
        <w:rPr>
          <w:color w:val="000000"/>
        </w:rPr>
        <w:fldChar w:fldCharType="begin"/>
      </w:r>
      <w:r w:rsidR="00CB2263">
        <w:rPr>
          <w:color w:val="000000"/>
        </w:rPr>
        <w:instrText xml:space="preserve"> ADDIN REFMGR.CITE &lt;Refman&gt;&lt;Cite&gt;&lt;Author&gt;Buxbaum&lt;/Author&gt;&lt;Year&gt;2009&lt;/Year&gt;&lt;RecNum&gt;688&lt;/RecNum&gt;&lt;IDText&gt;Transthyretin: the servant of many masters&lt;/IDText&gt;&lt;MDL Ref_Type="Journal"&gt;&lt;Ref_Type&gt;Journal&lt;/Ref_Type&gt;&lt;Ref_ID&gt;688&lt;/Ref_ID&gt;&lt;Title_Primary&gt;Transthyretin: the servant of many masters&lt;/Title_Primary&gt;&lt;Authors_Primary&gt;Buxbaum,J.N.&lt;/Authors_Primary&gt;&lt;Authors_Primary&gt;Reixach,N.&lt;/Authors_Primary&gt;&lt;Date_Primary&gt;2009/10&lt;/Date_Primary&gt;&lt;Keywords&gt;Alzheimer Disease&lt;/Keywords&gt;&lt;Keywords&gt;Amyloid&lt;/Keywords&gt;&lt;Keywords&gt;Amyloid beta-Peptides&lt;/Keywords&gt;&lt;Keywords&gt;Animals&lt;/Keywords&gt;&lt;Keywords&gt;Brain&lt;/Keywords&gt;&lt;Keywords&gt;cerebrospinal fluid&lt;/Keywords&gt;&lt;Keywords&gt;Disease&lt;/Keywords&gt;&lt;Keywords&gt;Disease Models,Animal&lt;/Keywords&gt;&lt;Keywords&gt;Eye&lt;/Keywords&gt;&lt;Keywords&gt;genetics&lt;/Keywords&gt;&lt;Keywords&gt;Humans&lt;/Keywords&gt;&lt;Keywords&gt;metabolism&lt;/Keywords&gt;&lt;Keywords&gt;Mice&lt;/Keywords&gt;&lt;Keywords&gt;Pancreas&lt;/Keywords&gt;&lt;Keywords&gt;Phenotype&lt;/Keywords&gt;&lt;Keywords&gt;physiology&lt;/Keywords&gt;&lt;Keywords&gt;Plasma&lt;/Keywords&gt;&lt;Keywords&gt;Prealbumin&lt;/Keywords&gt;&lt;Keywords&gt;Research&lt;/Keywords&gt;&lt;Keywords&gt;Serum&lt;/Keywords&gt;&lt;Reprint&gt;Not in File&lt;/Reprint&gt;&lt;Start_Page&gt;3095&lt;/Start_Page&gt;&lt;End_Page&gt;3101&lt;/End_Page&gt;&lt;Periodical&gt;Cell Mol.Life Sci.&lt;/Periodical&gt;&lt;Volume&gt;66&lt;/Volume&gt;&lt;Issue&gt;19&lt;/Issue&gt;&lt;Misc_3&gt;10.1007/s00018-009-0109-0 [doi]&lt;/Misc_3&gt;&lt;Address&gt;Molecular and Experimental Medicine Department, The Scripps Research Institute, La Jolla, CA 92037, USA. jbux@scripps.edu&lt;/Address&gt;&lt;Web_URL&gt;PM:19644733&lt;/Web_URL&gt;&lt;ZZ_JournalStdAbbrev&gt;&lt;f name="System"&gt;Cell Mol.Life Sci.&lt;/f&gt;&lt;/ZZ_JournalStdAbbrev&gt;&lt;ZZ_WorkformID&gt;1&lt;/ZZ_WorkformID&gt;&lt;/MDL&gt;&lt;/Cite&gt;&lt;/Refman&gt;</w:instrText>
      </w:r>
      <w:r w:rsidR="00020281" w:rsidRPr="004F38BE">
        <w:rPr>
          <w:color w:val="000000"/>
        </w:rPr>
        <w:fldChar w:fldCharType="separate"/>
      </w:r>
      <w:r w:rsidR="00CB2263" w:rsidRPr="00CB2263">
        <w:rPr>
          <w:color w:val="000000"/>
          <w:vertAlign w:val="superscript"/>
        </w:rPr>
        <w:t>34</w:t>
      </w:r>
      <w:r w:rsidR="00020281" w:rsidRPr="004F38BE">
        <w:rPr>
          <w:color w:val="000000"/>
        </w:rPr>
        <w:fldChar w:fldCharType="end"/>
      </w:r>
      <w:r w:rsidRPr="004F38BE">
        <w:rPr>
          <w:color w:val="000000"/>
        </w:rPr>
        <w:t>.</w:t>
      </w:r>
      <w:r w:rsidR="00143ADA" w:rsidRPr="004F38BE">
        <w:rPr>
          <w:color w:val="000000"/>
        </w:rPr>
        <w:t xml:space="preserve"> In</w:t>
      </w:r>
      <w:r w:rsidR="00C7118C" w:rsidRPr="004F38BE">
        <w:rPr>
          <w:color w:val="000000"/>
        </w:rPr>
        <w:t xml:space="preserve"> previous</w:t>
      </w:r>
      <w:r w:rsidR="00143ADA" w:rsidRPr="004F38BE">
        <w:rPr>
          <w:color w:val="000000"/>
        </w:rPr>
        <w:t xml:space="preserve"> TB studies, </w:t>
      </w:r>
      <w:r w:rsidR="00C7118C" w:rsidRPr="004F38BE">
        <w:rPr>
          <w:color w:val="000000"/>
        </w:rPr>
        <w:t>h</w:t>
      </w:r>
      <w:r w:rsidR="008302F0" w:rsidRPr="004F38BE">
        <w:rPr>
          <w:color w:val="000000"/>
        </w:rPr>
        <w:t>igh</w:t>
      </w:r>
      <w:r w:rsidR="00610561" w:rsidRPr="004F38BE">
        <w:rPr>
          <w:color w:val="000000"/>
        </w:rPr>
        <w:t>er</w:t>
      </w:r>
      <w:r w:rsidR="008302F0" w:rsidRPr="004F38BE">
        <w:rPr>
          <w:color w:val="000000"/>
        </w:rPr>
        <w:t xml:space="preserve"> </w:t>
      </w:r>
      <w:r w:rsidR="00C7118C" w:rsidRPr="004F38BE">
        <w:rPr>
          <w:color w:val="000000"/>
        </w:rPr>
        <w:t xml:space="preserve">levels </w:t>
      </w:r>
      <w:r w:rsidR="008302F0" w:rsidRPr="004F38BE">
        <w:rPr>
          <w:color w:val="000000"/>
        </w:rPr>
        <w:t xml:space="preserve">of transthyretin </w:t>
      </w:r>
      <w:r w:rsidR="00C7118C" w:rsidRPr="004F38BE">
        <w:rPr>
          <w:color w:val="000000"/>
        </w:rPr>
        <w:t>were</w:t>
      </w:r>
      <w:r w:rsidR="008302F0" w:rsidRPr="004F38BE">
        <w:rPr>
          <w:color w:val="000000"/>
        </w:rPr>
        <w:t xml:space="preserve"> observed in TB patients</w:t>
      </w:r>
      <w:r w:rsidR="001546B2" w:rsidRPr="004F38BE">
        <w:rPr>
          <w:color w:val="000000"/>
        </w:rPr>
        <w:t xml:space="preserve"> in comparison to uninfected controls</w:t>
      </w:r>
      <w:r w:rsidR="00020281" w:rsidRPr="004F38BE">
        <w:rPr>
          <w:color w:val="000000"/>
        </w:rPr>
        <w:fldChar w:fldCharType="begin"/>
      </w:r>
      <w:r w:rsidR="00CB2263">
        <w:rPr>
          <w:color w:val="000000"/>
        </w:rPr>
        <w:instrText xml:space="preserve"> ADDIN REFMGR.CITE &lt;Refman&gt;&lt;Cite&gt;&lt;Author&gt;Wang&lt;/Author&gt;&lt;Year&gt;2014&lt;/Year&gt;&lt;RecNum&gt;681&lt;/RecNum&gt;&lt;IDText&gt;Serum complement C4b, fibronectin, and prolidase are associated with the pathological changes of pulmonary tuberculosis&lt;/IDText&gt;&lt;MDL Ref_Type="Journal"&gt;&lt;Ref_Type&gt;Journal&lt;/Ref_Type&gt;&lt;Ref_ID&gt;681&lt;/Ref_ID&gt;&lt;Title_Primary&gt;Serum complement C4b, fibronectin, and prolidase are associated with the pathological changes of pulmonary tuberculosis&lt;/Title_Primary&gt;&lt;Authors_Primary&gt;Wang,C.&lt;/Authors_Primary&gt;&lt;Authors_Primary&gt;Li,Y.Y.&lt;/Authors_Primary&gt;&lt;Authors_Primary&gt;Li,X.&lt;/Authors_Primary&gt;&lt;Authors_Primary&gt;Wei,L.L.&lt;/Authors_Primary&gt;&lt;Authors_Primary&gt;Yang,X.Y.&lt;/Authors_Primary&gt;&lt;Authors_Primary&gt;Xu,D.D.&lt;/Authors_Primary&gt;&lt;Authors_Primary&gt;Jiang,T.T.&lt;/Authors_Primary&gt;&lt;Authors_Primary&gt;Li,Z.J.&lt;/Authors_Primary&gt;&lt;Authors_Primary&gt;Chen,Z.L.&lt;/Authors_Primary&gt;&lt;Authors_Primary&gt;Zhang,X.&lt;/Authors_Primary&gt;&lt;Authors_Primary&gt;Liu,J.Y.&lt;/Authors_Primary&gt;&lt;Authors_Primary&gt;Ping,Z.P.&lt;/Authors_Primary&gt;&lt;Authors_Primary&gt;Li,J.C.&lt;/Authors_Primary&gt;&lt;Date_Primary&gt;2014&lt;/Date_Primary&gt;&lt;Keywords&gt;Adult&lt;/Keywords&gt;&lt;Keywords&gt;Aged&lt;/Keywords&gt;&lt;Keywords&gt;analysis&lt;/Keywords&gt;&lt;Keywords&gt;blood&lt;/Keywords&gt;&lt;Keywords&gt;C-Reactive Protein&lt;/Keywords&gt;&lt;Keywords&gt;Case-Control Studies&lt;/Keywords&gt;&lt;Keywords&gt;China&lt;/Keywords&gt;&lt;Keywords&gt;Complement C4b&lt;/Keywords&gt;&lt;Keywords&gt;Dipeptidases&lt;/Keywords&gt;&lt;Keywords&gt;Female&lt;/Keywords&gt;&lt;Keywords&gt;Fibronectins&lt;/Keywords&gt;&lt;Keywords&gt;Granuloma&lt;/Keywords&gt;&lt;Keywords&gt;Humans&lt;/Keywords&gt;&lt;Keywords&gt;Immune System&lt;/Keywords&gt;&lt;Keywords&gt;Infection&lt;/Keywords&gt;&lt;Keywords&gt;Male&lt;/Keywords&gt;&lt;Keywords&gt;methods&lt;/Keywords&gt;&lt;Keywords&gt;microbiology&lt;/Keywords&gt;&lt;Keywords&gt;Middle Aged&lt;/Keywords&gt;&lt;Keywords&gt;Mycobacterium&lt;/Keywords&gt;&lt;Keywords&gt;Mycobacterium tuberculosis&lt;/Keywords&gt;&lt;Keywords&gt;pathology&lt;/Keywords&gt;&lt;Keywords&gt;physiology&lt;/Keywords&gt;&lt;Keywords&gt;Proteins&lt;/Keywords&gt;&lt;Keywords&gt;Research&lt;/Keywords&gt;&lt;Keywords&gt;Serum&lt;/Keywords&gt;&lt;Keywords&gt;Severity of Illness Index&lt;/Keywords&gt;&lt;Keywords&gt;Tuberculosis&lt;/Keywords&gt;&lt;Keywords&gt;Tuberculosis,Pulmonary&lt;/Keywords&gt;&lt;Keywords&gt;Young Adult&lt;/Keywords&gt;&lt;Reprint&gt;Not in File&lt;/Reprint&gt;&lt;Start_Page&gt;52&lt;/Start_Page&gt;&lt;Periodical&gt;BMC Infect.Dis&lt;/Periodical&gt;&lt;Volume&gt;14&lt;/Volume&gt;&lt;User_Def_5&gt;PMC3913605&lt;/User_Def_5&gt;&lt;Misc_3&gt;1471-2334-14-52 [pii];10.1186/1471-2334-14-52 [doi]&lt;/Misc_3&gt;&lt;Address&gt;Institute of Cell Biology, Zhejiang University, Hangzhou 310058, P,R, China. lijichen@zju.edu.cn&lt;/Address&gt;&lt;Web_URL&gt;PM:24484408&lt;/Web_URL&gt;&lt;ZZ_JournalStdAbbrev&gt;&lt;f name="System"&gt;BMC Infect.Dis&lt;/f&gt;&lt;/ZZ_JournalStdAbbrev&gt;&lt;ZZ_WorkformID&gt;1&lt;/ZZ_WorkformID&gt;&lt;/MDL&gt;&lt;/Cite&gt;&lt;/Refman&gt;</w:instrText>
      </w:r>
      <w:r w:rsidR="00020281" w:rsidRPr="004F38BE">
        <w:rPr>
          <w:color w:val="000000"/>
        </w:rPr>
        <w:fldChar w:fldCharType="separate"/>
      </w:r>
      <w:r w:rsidR="00CB2263" w:rsidRPr="00CB2263">
        <w:rPr>
          <w:color w:val="000000"/>
          <w:vertAlign w:val="superscript"/>
        </w:rPr>
        <w:t>35</w:t>
      </w:r>
      <w:r w:rsidR="00020281" w:rsidRPr="004F38BE">
        <w:rPr>
          <w:color w:val="000000"/>
        </w:rPr>
        <w:fldChar w:fldCharType="end"/>
      </w:r>
      <w:r w:rsidR="009B3DD2" w:rsidRPr="004F38BE">
        <w:rPr>
          <w:color w:val="000000"/>
        </w:rPr>
        <w:t>,</w:t>
      </w:r>
      <w:r w:rsidR="001546B2" w:rsidRPr="004F38BE">
        <w:rPr>
          <w:color w:val="000000"/>
        </w:rPr>
        <w:t xml:space="preserve"> whereas lower levels were ob</w:t>
      </w:r>
      <w:r w:rsidR="00C8584D" w:rsidRPr="004F38BE">
        <w:rPr>
          <w:color w:val="000000"/>
        </w:rPr>
        <w:t>tained</w:t>
      </w:r>
      <w:r w:rsidR="001546B2" w:rsidRPr="004F38BE">
        <w:rPr>
          <w:color w:val="000000"/>
        </w:rPr>
        <w:t xml:space="preserve"> in TB patients </w:t>
      </w:r>
      <w:r w:rsidR="00610561" w:rsidRPr="004F38BE">
        <w:rPr>
          <w:color w:val="000000"/>
        </w:rPr>
        <w:t xml:space="preserve">as compared </w:t>
      </w:r>
      <w:r w:rsidR="001546B2" w:rsidRPr="004F38BE">
        <w:rPr>
          <w:color w:val="000000"/>
        </w:rPr>
        <w:t>to patients with lung cancer</w:t>
      </w:r>
      <w:r w:rsidR="00C8584D" w:rsidRPr="004F38BE">
        <w:rPr>
          <w:color w:val="000000"/>
        </w:rPr>
        <w:t xml:space="preserve">, with </w:t>
      </w:r>
      <w:r w:rsidR="00380B87" w:rsidRPr="004F38BE">
        <w:rPr>
          <w:color w:val="000000"/>
        </w:rPr>
        <w:t xml:space="preserve">serum </w:t>
      </w:r>
      <w:r w:rsidR="0085598E" w:rsidRPr="004F38BE">
        <w:rPr>
          <w:color w:val="000000"/>
        </w:rPr>
        <w:t>c</w:t>
      </w:r>
      <w:r w:rsidR="00380B87" w:rsidRPr="004F38BE">
        <w:rPr>
          <w:color w:val="000000"/>
        </w:rPr>
        <w:t>oncentrations</w:t>
      </w:r>
      <w:r w:rsidR="0085598E" w:rsidRPr="004F38BE">
        <w:rPr>
          <w:color w:val="000000"/>
        </w:rPr>
        <w:t xml:space="preserve"> </w:t>
      </w:r>
      <w:r w:rsidR="00C8584D" w:rsidRPr="004F38BE">
        <w:rPr>
          <w:color w:val="000000"/>
        </w:rPr>
        <w:t>in TB patients</w:t>
      </w:r>
      <w:r w:rsidR="00143ADA" w:rsidRPr="004F38BE">
        <w:rPr>
          <w:color w:val="000000"/>
        </w:rPr>
        <w:t xml:space="preserve"> </w:t>
      </w:r>
      <w:r w:rsidR="00EE25DA" w:rsidRPr="004F38BE">
        <w:rPr>
          <w:color w:val="000000"/>
        </w:rPr>
        <w:t>increasing over</w:t>
      </w:r>
      <w:r w:rsidR="00205860" w:rsidRPr="004F38BE">
        <w:rPr>
          <w:color w:val="000000"/>
        </w:rPr>
        <w:t xml:space="preserve"> </w:t>
      </w:r>
      <w:r w:rsidR="00EE25DA" w:rsidRPr="004F38BE">
        <w:rPr>
          <w:color w:val="000000"/>
        </w:rPr>
        <w:t>the course of treatment</w:t>
      </w:r>
      <w:r w:rsidR="00020281" w:rsidRPr="004F38BE">
        <w:rPr>
          <w:color w:val="000000"/>
        </w:rPr>
        <w:fldChar w:fldCharType="begin"/>
      </w:r>
      <w:r w:rsidR="00CB2263">
        <w:rPr>
          <w:color w:val="000000"/>
        </w:rPr>
        <w:instrText xml:space="preserve"> ADDIN REFMGR.CITE &lt;Refman&gt;&lt;Cite&gt;&lt;Author&gt;Luo&lt;/Author&gt;&lt;Year&gt;2013&lt;/Year&gt;&lt;RecNum&gt;682&lt;/RecNum&gt;&lt;IDText&gt;The value of serum prealbumin in the diagnosis and therapeutic response of tuberculosis: a retrospective study&lt;/IDText&gt;&lt;MDL Ref_Type="Journal"&gt;&lt;Ref_Type&gt;Journal&lt;/Ref_Type&gt;&lt;Ref_ID&gt;682&lt;/Ref_ID&gt;&lt;Title_Primary&gt;The value of serum prealbumin in the diagnosis and therapeutic response of tuberculosis: a retrospective study&lt;/Title_Primary&gt;&lt;Authors_Primary&gt;Luo,H.&lt;/Authors_Primary&gt;&lt;Authors_Primary&gt;Zhu,B.&lt;/Authors_Primary&gt;&lt;Authors_Primary&gt;Gong,L.&lt;/Authors_Primary&gt;&lt;Authors_Primary&gt;Yang,J.&lt;/Authors_Primary&gt;&lt;Authors_Primary&gt;Jiang,Y.&lt;/Authors_Primary&gt;&lt;Authors_Primary&gt;Zhou,X.&lt;/Authors_Primary&gt;&lt;Date_Primary&gt;2013&lt;/Date_Primary&gt;&lt;Keywords&gt;Adult&lt;/Keywords&gt;&lt;Keywords&gt;Antitubercular Agents&lt;/Keywords&gt;&lt;Keywords&gt;China&lt;/Keywords&gt;&lt;Keywords&gt;diagnosis&lt;/Keywords&gt;&lt;Keywords&gt;drug therapy&lt;/Keywords&gt;&lt;Keywords&gt;Female&lt;/Keywords&gt;&lt;Keywords&gt;Humans&lt;/Keywords&gt;&lt;Keywords&gt;Lung&lt;/Keywords&gt;&lt;Keywords&gt;Lung Neoplasms&lt;/Keywords&gt;&lt;Keywords&gt;Male&lt;/Keywords&gt;&lt;Keywords&gt;metabolism&lt;/Keywords&gt;&lt;Keywords&gt;Middle Aged&lt;/Keywords&gt;&lt;Keywords&gt;Prealbumin&lt;/Keywords&gt;&lt;Keywords&gt;Retrospective Studies&lt;/Keywords&gt;&lt;Keywords&gt;Serum&lt;/Keywords&gt;&lt;Keywords&gt;Smoking&lt;/Keywords&gt;&lt;Keywords&gt;therapeutic use&lt;/Keywords&gt;&lt;Keywords&gt;Tuberculosis&lt;/Keywords&gt;&lt;Keywords&gt;Tuberculosis,Pulmonary&lt;/Keywords&gt;&lt;Reprint&gt;Not in File&lt;/Reprint&gt;&lt;Start_Page&gt;e79940&lt;/Start_Page&gt;&lt;Periodical&gt;Plos One&lt;/Periodical&gt;&lt;Volume&gt;8&lt;/Volume&gt;&lt;Issue&gt;11&lt;/Issue&gt;&lt;User_Def_5&gt;PMC3833965&lt;/User_Def_5&gt;&lt;Misc_3&gt;10.1371/journal.pone.0079940 [doi];PONE-D-13-12310 [pii]&lt;/Misc_3&gt;&lt;Address&gt;Department of Respiratory Medicine, the First Affiliated Hospital of Third Military Medical University, Chongqing, China&lt;/Address&gt;&lt;Web_URL&gt;PM:24260323&lt;/Web_URL&gt;&lt;ZZ_JournalFull&gt;&lt;f name="System"&gt;Plos One&lt;/f&gt;&lt;/ZZ_JournalFull&gt;&lt;ZZ_WorkformID&gt;1&lt;/ZZ_WorkformID&gt;&lt;/MDL&gt;&lt;/Cite&gt;&lt;/Refman&gt;</w:instrText>
      </w:r>
      <w:r w:rsidR="00020281" w:rsidRPr="004F38BE">
        <w:rPr>
          <w:color w:val="000000"/>
        </w:rPr>
        <w:fldChar w:fldCharType="separate"/>
      </w:r>
      <w:r w:rsidR="00CB2263" w:rsidRPr="00CB2263">
        <w:rPr>
          <w:color w:val="000000"/>
          <w:vertAlign w:val="superscript"/>
        </w:rPr>
        <w:t>36</w:t>
      </w:r>
      <w:r w:rsidR="00020281" w:rsidRPr="004F38BE">
        <w:rPr>
          <w:color w:val="000000"/>
        </w:rPr>
        <w:fldChar w:fldCharType="end"/>
      </w:r>
      <w:r w:rsidR="00143ADA" w:rsidRPr="004F38BE">
        <w:rPr>
          <w:color w:val="000000"/>
        </w:rPr>
        <w:t>. Our ob</w:t>
      </w:r>
      <w:r w:rsidR="00C8584D" w:rsidRPr="004F38BE">
        <w:rPr>
          <w:color w:val="000000"/>
        </w:rPr>
        <w:t xml:space="preserve">servation </w:t>
      </w:r>
      <w:r w:rsidR="00143ADA" w:rsidRPr="004F38BE">
        <w:rPr>
          <w:color w:val="000000"/>
        </w:rPr>
        <w:t>is in agreement with</w:t>
      </w:r>
      <w:r w:rsidR="002A3028" w:rsidRPr="004F38BE">
        <w:rPr>
          <w:color w:val="000000"/>
        </w:rPr>
        <w:t xml:space="preserve"> these </w:t>
      </w:r>
      <w:r w:rsidR="00205860" w:rsidRPr="004F38BE">
        <w:rPr>
          <w:color w:val="000000"/>
        </w:rPr>
        <w:t>reports</w:t>
      </w:r>
      <w:r w:rsidR="002A3028" w:rsidRPr="004F38BE">
        <w:rPr>
          <w:color w:val="000000"/>
        </w:rPr>
        <w:t xml:space="preserve">. </w:t>
      </w:r>
    </w:p>
    <w:p w14:paraId="2380BBAE" w14:textId="77777777" w:rsidR="009F3AF2" w:rsidRPr="004F38BE" w:rsidRDefault="009F3AF2" w:rsidP="0033455D">
      <w:pPr>
        <w:spacing w:line="360" w:lineRule="auto"/>
        <w:jc w:val="both"/>
        <w:rPr>
          <w:color w:val="000000"/>
        </w:rPr>
      </w:pPr>
    </w:p>
    <w:p w14:paraId="1CACCB58" w14:textId="169853D3" w:rsidR="00C20A96" w:rsidRPr="004F38BE" w:rsidRDefault="002A3028" w:rsidP="0033455D">
      <w:pPr>
        <w:spacing w:line="360" w:lineRule="auto"/>
        <w:jc w:val="both"/>
        <w:rPr>
          <w:color w:val="000000"/>
        </w:rPr>
      </w:pPr>
      <w:r w:rsidRPr="004F38BE">
        <w:rPr>
          <w:color w:val="000000"/>
        </w:rPr>
        <w:t>C</w:t>
      </w:r>
      <w:r w:rsidR="00143ADA" w:rsidRPr="004F38BE">
        <w:rPr>
          <w:color w:val="000000"/>
        </w:rPr>
        <w:t>ombination</w:t>
      </w:r>
      <w:r w:rsidRPr="004F38BE">
        <w:rPr>
          <w:color w:val="000000"/>
        </w:rPr>
        <w:t xml:space="preserve">s between transthyretin, </w:t>
      </w:r>
      <w:r w:rsidR="00143ADA" w:rsidRPr="004F38BE">
        <w:rPr>
          <w:color w:val="000000"/>
        </w:rPr>
        <w:t xml:space="preserve">CRP, SAA and </w:t>
      </w:r>
      <w:proofErr w:type="spellStart"/>
      <w:r w:rsidR="00143ADA" w:rsidRPr="004F38BE">
        <w:rPr>
          <w:color w:val="000000"/>
        </w:rPr>
        <w:t>neopterin</w:t>
      </w:r>
      <w:proofErr w:type="spellEnd"/>
      <w:r w:rsidR="00143ADA" w:rsidRPr="004F38BE">
        <w:rPr>
          <w:color w:val="000000"/>
        </w:rPr>
        <w:t xml:space="preserve"> </w:t>
      </w:r>
      <w:r w:rsidRPr="004F38BE">
        <w:rPr>
          <w:color w:val="000000"/>
        </w:rPr>
        <w:t xml:space="preserve">ascertained TB disease with 78% accuracy </w:t>
      </w:r>
      <w:r w:rsidR="00143ADA" w:rsidRPr="004F38BE">
        <w:rPr>
          <w:color w:val="000000"/>
        </w:rPr>
        <w:t xml:space="preserve">in </w:t>
      </w:r>
      <w:r w:rsidR="001546B2" w:rsidRPr="004F38BE">
        <w:rPr>
          <w:color w:val="000000"/>
        </w:rPr>
        <w:t xml:space="preserve">a </w:t>
      </w:r>
      <w:r w:rsidRPr="004F38BE">
        <w:rPr>
          <w:color w:val="000000"/>
        </w:rPr>
        <w:t xml:space="preserve">previous </w:t>
      </w:r>
      <w:r w:rsidR="001546B2" w:rsidRPr="004F38BE">
        <w:rPr>
          <w:color w:val="000000"/>
        </w:rPr>
        <w:t>proteomic finger</w:t>
      </w:r>
      <w:r w:rsidR="00752285" w:rsidRPr="004F38BE">
        <w:rPr>
          <w:color w:val="000000"/>
        </w:rPr>
        <w:t>-</w:t>
      </w:r>
      <w:r w:rsidR="001546B2" w:rsidRPr="004F38BE">
        <w:rPr>
          <w:color w:val="000000"/>
        </w:rPr>
        <w:t>printing study</w:t>
      </w:r>
      <w:r w:rsidR="00020281" w:rsidRPr="004F38BE">
        <w:rPr>
          <w:color w:val="000000"/>
        </w:rPr>
        <w:fldChar w:fldCharType="begin"/>
      </w:r>
      <w:r w:rsidR="00CB2263">
        <w:rPr>
          <w:color w:val="000000"/>
        </w:rPr>
        <w:instrText xml:space="preserve"> ADDIN REFMGR.CITE &lt;Refman&gt;&lt;Cite&gt;&lt;Author&gt;Agranoff&lt;/Author&gt;&lt;Year&gt;2006&lt;/Year&gt;&lt;RecNum&gt;683&lt;/RecNum&gt;&lt;IDText&gt;Identification of diagnostic markers for tuberculosis by proteomic fingerprinting of serum&lt;/IDText&gt;&lt;MDL Ref_Type="Journal"&gt;&lt;Ref_Type&gt;Journal&lt;/Ref_Type&gt;&lt;Ref_ID&gt;683&lt;/Ref_ID&gt;&lt;Title_Primary&gt;Identification of diagnostic markers for tuberculosis by proteomic fingerprinting of serum&lt;/Title_Primary&gt;&lt;Authors_Primary&gt;Agranoff,D.&lt;/Authors_Primary&gt;&lt;Authors_Primary&gt;Fernandez-Reyes,D.&lt;/Authors_Primary&gt;&lt;Authors_Primary&gt;Papadopoulos,M.C.&lt;/Authors_Primary&gt;&lt;Authors_Primary&gt;Rojas,S.A.&lt;/Authors_Primary&gt;&lt;Authors_Primary&gt;Herbster,M.&lt;/Authors_Primary&gt;&lt;Authors_Primary&gt;Loosemore,A.&lt;/Authors_Primary&gt;&lt;Authors_Primary&gt;Tarelli,E.&lt;/Authors_Primary&gt;&lt;Authors_Primary&gt;Sheldon,J.&lt;/Authors_Primary&gt;&lt;Authors_Primary&gt;Schwenk,A.&lt;/Authors_Primary&gt;&lt;Authors_Primary&gt;Pollok,R.&lt;/Authors_Primary&gt;&lt;Authors_Primary&gt;Rayner,C.F.&lt;/Authors_Primary&gt;&lt;Authors_Primary&gt;Krishna,S.&lt;/Authors_Primary&gt;&lt;Date_Primary&gt;2006/9/16&lt;/Date_Primary&gt;&lt;Keywords&gt;Adolescent&lt;/Keywords&gt;&lt;Keywords&gt;Adult&lt;/Keywords&gt;&lt;Keywords&gt;Aged&lt;/Keywords&gt;&lt;Keywords&gt;Aged,80 and over&lt;/Keywords&gt;&lt;Keywords&gt;Amyloid&lt;/Keywords&gt;&lt;Keywords&gt;analysis&lt;/Keywords&gt;&lt;Keywords&gt;Biological Markers&lt;/Keywords&gt;&lt;Keywords&gt;blood&lt;/Keywords&gt;&lt;Keywords&gt;diagnosis&lt;/Keywords&gt;&lt;Keywords&gt;Disease&lt;/Keywords&gt;&lt;Keywords&gt;Female&lt;/Keywords&gt;&lt;Keywords&gt;Hiv&lt;/Keywords&gt;&lt;Keywords&gt;Humans&lt;/Keywords&gt;&lt;Keywords&gt;Immunoassay&lt;/Keywords&gt;&lt;Keywords&gt;Infection&lt;/Keywords&gt;&lt;Keywords&gt;Male&lt;/Keywords&gt;&lt;Keywords&gt;Mass Spectrometry&lt;/Keywords&gt;&lt;Keywords&gt;methods&lt;/Keywords&gt;&lt;Keywords&gt;Middle Aged&lt;/Keywords&gt;&lt;Keywords&gt;Neopterin&lt;/Keywords&gt;&lt;Keywords&gt;Peptide Mapping&lt;/Keywords&gt;&lt;Keywords&gt;Peptides&lt;/Keywords&gt;&lt;Keywords&gt;Proteomics&lt;/Keywords&gt;&lt;Keywords&gt;Research&lt;/Keywords&gt;&lt;Keywords&gt;Serum&lt;/Keywords&gt;&lt;Keywords&gt;Serum Amyloid A Protein&lt;/Keywords&gt;&lt;Keywords&gt;Tuberculosis&lt;/Keywords&gt;&lt;Reprint&gt;Not in File&lt;/Reprint&gt;&lt;Start_Page&gt;1012&lt;/Start_Page&gt;&lt;End_Page&gt;1021&lt;/End_Page&gt;&lt;Periodical&gt;Lancet&lt;/Periodical&gt;&lt;Volume&gt;368&lt;/Volume&gt;&lt;Issue&gt;9540&lt;/Issue&gt;&lt;Misc_3&gt;S0140-6736(06)69342-2 [pii];10.1016/S0140-6736(06)69342-2 [doi]&lt;/Misc_3&gt;&lt;Address&gt;Division of Cellular and Molecular Medicine, Centre for Infection, St George&amp;apos;s, University of London, London SW17 ORE, UK&lt;/Address&gt;&lt;Web_URL&gt;PM:16980117&lt;/Web_URL&gt;&lt;ZZ_JournalStdAbbrev&gt;&lt;f name="System"&gt;Lancet&lt;/f&gt;&lt;/ZZ_JournalStdAbbrev&gt;&lt;ZZ_WorkformID&gt;1&lt;/ZZ_WorkformID&gt;&lt;/MDL&gt;&lt;/Cite&gt;&lt;/Refman&gt;</w:instrText>
      </w:r>
      <w:r w:rsidR="00020281" w:rsidRPr="004F38BE">
        <w:rPr>
          <w:color w:val="000000"/>
        </w:rPr>
        <w:fldChar w:fldCharType="separate"/>
      </w:r>
      <w:r w:rsidR="00CB2263" w:rsidRPr="00CB2263">
        <w:rPr>
          <w:color w:val="000000"/>
          <w:vertAlign w:val="superscript"/>
        </w:rPr>
        <w:t>37</w:t>
      </w:r>
      <w:r w:rsidR="00020281" w:rsidRPr="004F38BE">
        <w:rPr>
          <w:color w:val="000000"/>
        </w:rPr>
        <w:fldChar w:fldCharType="end"/>
      </w:r>
      <w:r w:rsidRPr="004F38BE">
        <w:rPr>
          <w:color w:val="000000"/>
        </w:rPr>
        <w:t xml:space="preserve">. In our study, a </w:t>
      </w:r>
      <w:r w:rsidR="00D52253" w:rsidRPr="004F38BE">
        <w:rPr>
          <w:color w:val="000000"/>
        </w:rPr>
        <w:t>bio</w:t>
      </w:r>
      <w:r w:rsidRPr="004F38BE">
        <w:rPr>
          <w:color w:val="000000"/>
        </w:rPr>
        <w:t>signature containing transthyretin, CRP</w:t>
      </w:r>
      <w:r w:rsidR="007105ED" w:rsidRPr="004F38BE">
        <w:rPr>
          <w:color w:val="000000"/>
        </w:rPr>
        <w:t>, SAA</w:t>
      </w:r>
      <w:r w:rsidRPr="004F38BE">
        <w:rPr>
          <w:color w:val="000000"/>
        </w:rPr>
        <w:t xml:space="preserve"> </w:t>
      </w:r>
      <w:r w:rsidR="0087690C" w:rsidRPr="004F38BE">
        <w:rPr>
          <w:color w:val="000000"/>
        </w:rPr>
        <w:t xml:space="preserve">and markers involved in </w:t>
      </w:r>
      <w:r w:rsidR="00726EB3" w:rsidRPr="004F38BE">
        <w:rPr>
          <w:color w:val="000000"/>
        </w:rPr>
        <w:t>Th1-</w:t>
      </w:r>
      <w:r w:rsidR="0087690C" w:rsidRPr="004F38BE">
        <w:rPr>
          <w:color w:val="000000"/>
        </w:rPr>
        <w:t>related immunity to TB (IFN-γ</w:t>
      </w:r>
      <w:r w:rsidRPr="004F38BE">
        <w:rPr>
          <w:color w:val="000000"/>
        </w:rPr>
        <w:t xml:space="preserve">, IP-10), an apolipoprotein and </w:t>
      </w:r>
      <w:r w:rsidR="000C65BD" w:rsidRPr="004F38BE">
        <w:rPr>
          <w:color w:val="000000"/>
        </w:rPr>
        <w:t>CFH</w:t>
      </w:r>
      <w:r w:rsidRPr="004F38BE">
        <w:rPr>
          <w:color w:val="000000"/>
        </w:rPr>
        <w:t xml:space="preserve"> showed excellent promise as a diagnostic tool for TB. </w:t>
      </w:r>
      <w:r w:rsidR="00A57148" w:rsidRPr="004F38BE">
        <w:rPr>
          <w:color w:val="000000"/>
        </w:rPr>
        <w:t xml:space="preserve">Although </w:t>
      </w:r>
      <w:r w:rsidR="00D52253" w:rsidRPr="004F38BE">
        <w:rPr>
          <w:color w:val="000000"/>
        </w:rPr>
        <w:t xml:space="preserve">most of </w:t>
      </w:r>
      <w:r w:rsidR="00B75F8D" w:rsidRPr="004F38BE">
        <w:rPr>
          <w:color w:val="000000"/>
        </w:rPr>
        <w:t>the</w:t>
      </w:r>
      <w:r w:rsidR="00E745B2" w:rsidRPr="004F38BE">
        <w:rPr>
          <w:color w:val="000000"/>
        </w:rPr>
        <w:t xml:space="preserve">se </w:t>
      </w:r>
      <w:r w:rsidR="00A57148" w:rsidRPr="004F38BE">
        <w:rPr>
          <w:color w:val="000000"/>
        </w:rPr>
        <w:t xml:space="preserve">markers </w:t>
      </w:r>
      <w:r w:rsidR="00A65E48" w:rsidRPr="004F38BE">
        <w:rPr>
          <w:color w:val="000000"/>
        </w:rPr>
        <w:t xml:space="preserve">are promising </w:t>
      </w:r>
      <w:r w:rsidR="00A57148" w:rsidRPr="004F38BE">
        <w:rPr>
          <w:color w:val="000000"/>
        </w:rPr>
        <w:t>individually</w:t>
      </w:r>
      <w:r w:rsidR="00020281" w:rsidRPr="004F38BE">
        <w:rPr>
          <w:color w:val="000000"/>
        </w:rPr>
        <w:fldChar w:fldCharType="begin"/>
      </w:r>
      <w:r w:rsidR="00CB2263">
        <w:rPr>
          <w:color w:val="000000"/>
        </w:rPr>
        <w:instrText xml:space="preserve"> ADDIN REFMGR.CITE &lt;Refman&gt;&lt;Cite&gt;&lt;Author&gt;Agranoff&lt;/Author&gt;&lt;Year&gt;2006&lt;/Year&gt;&lt;RecNum&gt;683&lt;/RecNum&gt;&lt;IDText&gt;Identification of diagnostic markers for tuberculosis by proteomic fingerprinting of serum&lt;/IDText&gt;&lt;MDL Ref_Type="Journal"&gt;&lt;Ref_Type&gt;Journal&lt;/Ref_Type&gt;&lt;Ref_ID&gt;683&lt;/Ref_ID&gt;&lt;Title_Primary&gt;Identification of diagnostic markers for tuberculosis by proteomic fingerprinting of serum&lt;/Title_Primary&gt;&lt;Authors_Primary&gt;Agranoff,D.&lt;/Authors_Primary&gt;&lt;Authors_Primary&gt;Fernandez-Reyes,D.&lt;/Authors_Primary&gt;&lt;Authors_Primary&gt;Papadopoulos,M.C.&lt;/Authors_Primary&gt;&lt;Authors_Primary&gt;Rojas,S.A.&lt;/Authors_Primary&gt;&lt;Authors_Primary&gt;Herbster,M.&lt;/Authors_Primary&gt;&lt;Authors_Primary&gt;Loosemore,A.&lt;/Authors_Primary&gt;&lt;Authors_Primary&gt;Tarelli,E.&lt;/Authors_Primary&gt;&lt;Authors_Primary&gt;Sheldon,J.&lt;/Authors_Primary&gt;&lt;Authors_Primary&gt;Schwenk,A.&lt;/Authors_Primary&gt;&lt;Authors_Primary&gt;Pollok,R.&lt;/Authors_Primary&gt;&lt;Authors_Primary&gt;Rayner,C.F.&lt;/Authors_Primary&gt;&lt;Authors_Primary&gt;Krishna,S.&lt;/Authors_Primary&gt;&lt;Date_Primary&gt;2006/9/16&lt;/Date_Primary&gt;&lt;Keywords&gt;Adolescent&lt;/Keywords&gt;&lt;Keywords&gt;Adult&lt;/Keywords&gt;&lt;Keywords&gt;Aged&lt;/Keywords&gt;&lt;Keywords&gt;Aged,80 and over&lt;/Keywords&gt;&lt;Keywords&gt;Amyloid&lt;/Keywords&gt;&lt;Keywords&gt;analysis&lt;/Keywords&gt;&lt;Keywords&gt;Biological Markers&lt;/Keywords&gt;&lt;Keywords&gt;blood&lt;/Keywords&gt;&lt;Keywords&gt;diagnosis&lt;/Keywords&gt;&lt;Keywords&gt;Disease&lt;/Keywords&gt;&lt;Keywords&gt;Female&lt;/Keywords&gt;&lt;Keywords&gt;Hiv&lt;/Keywords&gt;&lt;Keywords&gt;Humans&lt;/Keywords&gt;&lt;Keywords&gt;Immunoassay&lt;/Keywords&gt;&lt;Keywords&gt;Infection&lt;/Keywords&gt;&lt;Keywords&gt;Male&lt;/Keywords&gt;&lt;Keywords&gt;Mass Spectrometry&lt;/Keywords&gt;&lt;Keywords&gt;methods&lt;/Keywords&gt;&lt;Keywords&gt;Middle Aged&lt;/Keywords&gt;&lt;Keywords&gt;Neopterin&lt;/Keywords&gt;&lt;Keywords&gt;Peptide Mapping&lt;/Keywords&gt;&lt;Keywords&gt;Peptides&lt;/Keywords&gt;&lt;Keywords&gt;Proteomics&lt;/Keywords&gt;&lt;Keywords&gt;Research&lt;/Keywords&gt;&lt;Keywords&gt;Serum&lt;/Keywords&gt;&lt;Keywords&gt;Serum Amyloid A Protein&lt;/Keywords&gt;&lt;Keywords&gt;Tuberculosis&lt;/Keywords&gt;&lt;Reprint&gt;Not in File&lt;/Reprint&gt;&lt;Start_Page&gt;1012&lt;/Start_Page&gt;&lt;End_Page&gt;1021&lt;/End_Page&gt;&lt;Periodical&gt;Lancet&lt;/Periodical&gt;&lt;Volume&gt;368&lt;/Volume&gt;&lt;Issue&gt;9540&lt;/Issue&gt;&lt;Misc_3&gt;S0140-6736(06)69342-2 [pii];10.1016/S0140-6736(06)69342-2 [doi]&lt;/Misc_3&gt;&lt;Address&gt;Division of Cellular and Molecular Medicine, Centre for Infection, St George&amp;apos;s, University of London, London SW17 ORE, UK&lt;/Address&gt;&lt;Web_URL&gt;PM:16980117&lt;/Web_URL&gt;&lt;ZZ_JournalStdAbbrev&gt;&lt;f name="System"&gt;Lancet&lt;/f&gt;&lt;/ZZ_JournalStdAbbrev&gt;&lt;ZZ_WorkformID&gt;1&lt;/ZZ_WorkformID&gt;&lt;/MDL&gt;&lt;/Cite&gt;&lt;Cite&gt;&lt;Author&gt;Chegou&lt;/Author&gt;&lt;Year&gt;2014&lt;/Year&gt;&lt;RecNum&gt;689&lt;/RecNum&gt;&lt;IDText&gt;Beyond the IFN-gamma horizon: biomarkers for immunodiagnosis of infection with Mycobacterium tuberculosis&lt;/IDText&gt;&lt;MDL Ref_Type="Journal"&gt;&lt;Ref_Type&gt;Journal&lt;/Ref_Type&gt;&lt;Ref_ID&gt;689&lt;/Ref_ID&gt;&lt;Title_Primary&gt;Beyond the IFN-gamma horizon: biomarkers for immunodiagnosis of infection with Mycobacterium tuberculosis&lt;/Title_Primary&gt;&lt;Authors_Primary&gt;Chegou,N.N.&lt;/Authors_Primary&gt;&lt;Authors_Primary&gt;Heyckendorf,J.&lt;/Authors_Primary&gt;&lt;Authors_Primary&gt;Walzl,G.&lt;/Authors_Primary&gt;&lt;Authors_Primary&gt;Lange,C.&lt;/Authors_Primary&gt;&lt;Authors_Primary&gt;Ruhwald,M.&lt;/Authors_Primary&gt;&lt;Date_Primary&gt;2014/5&lt;/Date_Primary&gt;&lt;Keywords&gt;Africa&lt;/Keywords&gt;&lt;Keywords&gt;analysis&lt;/Keywords&gt;&lt;Keywords&gt;Biological Markers&lt;/Keywords&gt;&lt;Keywords&gt;Chemokine CCL2&lt;/Keywords&gt;&lt;Keywords&gt;Chemokine CCL4&lt;/Keywords&gt;&lt;Keywords&gt;Chemokine CCL8&lt;/Keywords&gt;&lt;Keywords&gt;Chemokine CXCL10&lt;/Keywords&gt;&lt;Keywords&gt;Chemokine CXCL9&lt;/Keywords&gt;&lt;Keywords&gt;diagnosis&lt;/Keywords&gt;&lt;Keywords&gt;genetics&lt;/Keywords&gt;&lt;Keywords&gt;Health&lt;/Keywords&gt;&lt;Keywords&gt;Humans&lt;/Keywords&gt;&lt;Keywords&gt;Immunity&lt;/Keywords&gt;&lt;Keywords&gt;Immunologic Tests&lt;/Keywords&gt;&lt;Keywords&gt;immunology&lt;/Keywords&gt;&lt;Keywords&gt;Infection&lt;/Keywords&gt;&lt;Keywords&gt;Interferon-gamma&lt;/Keywords&gt;&lt;Keywords&gt;Interleukin 1 Receptor Antagonist Protein&lt;/Keywords&gt;&lt;Keywords&gt;Interleukin-1&lt;/Keywords&gt;&lt;Keywords&gt;Interleukin-2&lt;/Keywords&gt;&lt;Keywords&gt;metabolism&lt;/Keywords&gt;&lt;Keywords&gt;methods&lt;/Keywords&gt;&lt;Keywords&gt;Molecular Biology&lt;/Keywords&gt;&lt;Keywords&gt;Mycobacterium&lt;/Keywords&gt;&lt;Keywords&gt;Mycobacterium tuberculosis&lt;/Keywords&gt;&lt;Keywords&gt;Risk&lt;/Keywords&gt;&lt;Keywords&gt;South Africa&lt;/Keywords&gt;&lt;Keywords&gt;Tuberculin Test&lt;/Keywords&gt;&lt;Keywords&gt;Tuberculosis&lt;/Keywords&gt;&lt;Reprint&gt;Not in File&lt;/Reprint&gt;&lt;Start_Page&gt;1472&lt;/Start_Page&gt;&lt;End_Page&gt;1486&lt;/End_Page&gt;&lt;Periodical&gt;Eur Respir J&lt;/Periodical&gt;&lt;Volume&gt;43&lt;/Volume&gt;&lt;Issue&gt;5&lt;/Issue&gt;&lt;Misc_3&gt;09031936.00151413 [pii];10.1183/09031936.00151413 [doi]&lt;/Misc_3&gt;&lt;Address&gt;Division of Molecular Biology and Human Genetics, Dept of Biomedical Sciences, Faculty of Medicine and Health Sciences, Stellenbosch University, Tygerberg, South Africa&lt;/Address&gt;&lt;Web_URL&gt;PM:24311770&lt;/Web_URL&gt;&lt;ZZ_JournalFull&gt;&lt;f name="System"&gt;Eur Respir J&lt;/f&gt;&lt;/ZZ_JournalFull&gt;&lt;ZZ_WorkformID&gt;1&lt;/ZZ_WorkformID&gt;&lt;/MDL&gt;&lt;/Cite&gt;&lt;Cite&gt;&lt;Author&gt;de Beer&lt;/Author&gt;&lt;Year&gt;1984&lt;/Year&gt;&lt;RecNum&gt;678&lt;/RecNum&gt;&lt;IDText&gt;Serum amyloid A protein and C-reactive protein levels in pulmonary tuberculosis: relationship to amyloidosis&lt;/IDText&gt;&lt;MDL Ref_Type="Journal"&gt;&lt;Ref_Type&gt;Journal&lt;/Ref_Type&gt;&lt;Ref_ID&gt;678&lt;/Ref_ID&gt;&lt;Title_Primary&gt;Serum amyloid A protein and C-reactive protein levels in pulmonary tuberculosis: relationship to amyloidosis&lt;/Title_Primary&gt;&lt;Authors_Primary&gt;de Beer,F.C.&lt;/Authors_Primary&gt;&lt;Authors_Primary&gt;Nel,A.E.&lt;/Authors_Primary&gt;&lt;Authors_Primary&gt;Gie,R.P.&lt;/Authors_Primary&gt;&lt;Authors_Primary&gt;Donald,P.R.&lt;/Authors_Primary&gt;&lt;Authors_Primary&gt;Strachan,A.F.&lt;/Authors_Primary&gt;&lt;Date_Primary&gt;1984/3&lt;/Date_Primary&gt;&lt;Keywords&gt;Adolescent&lt;/Keywords&gt;&lt;Keywords&gt;Adult&lt;/Keywords&gt;&lt;Keywords&gt;Amyloid&lt;/Keywords&gt;&lt;Keywords&gt;Amyloidosis&lt;/Keywords&gt;&lt;Keywords&gt;analysis&lt;/Keywords&gt;&lt;Keywords&gt;Antitubercular Agents&lt;/Keywords&gt;&lt;Keywords&gt;blood&lt;/Keywords&gt;&lt;Keywords&gt;C-Reactive Protein&lt;/Keywords&gt;&lt;Keywords&gt;Child&lt;/Keywords&gt;&lt;Keywords&gt;Child,Preschool&lt;/Keywords&gt;&lt;Keywords&gt;complications&lt;/Keywords&gt;&lt;Keywords&gt;drug therapy&lt;/Keywords&gt;&lt;Keywords&gt;etiology&lt;/Keywords&gt;&lt;Keywords&gt;Humans&lt;/Keywords&gt;&lt;Keywords&gt;Infant&lt;/Keywords&gt;&lt;Keywords&gt;Infection&lt;/Keywords&gt;&lt;Keywords&gt;Lung&lt;/Keywords&gt;&lt;Keywords&gt;Middle Aged&lt;/Keywords&gt;&lt;Keywords&gt;Mycobacterium&lt;/Keywords&gt;&lt;Keywords&gt;Mycobacterium tuberculosis&lt;/Keywords&gt;&lt;Keywords&gt;Research&lt;/Keywords&gt;&lt;Keywords&gt;Serum&lt;/Keywords&gt;&lt;Keywords&gt;Serum Amyloid A Protein&lt;/Keywords&gt;&lt;Keywords&gt;therapeutic use&lt;/Keywords&gt;&lt;Keywords&gt;Tuberculosis&lt;/Keywords&gt;&lt;Keywords&gt;Tuberculosis,Miliary&lt;/Keywords&gt;&lt;Keywords&gt;Tuberculosis,Pulmonary&lt;/Keywords&gt;&lt;Reprint&gt;Not in File&lt;/Reprint&gt;&lt;Start_Page&gt;196&lt;/Start_Page&gt;&lt;End_Page&gt;200&lt;/End_Page&gt;&lt;Periodical&gt;Thorax&lt;/Periodical&gt;&lt;Volume&gt;39&lt;/Volume&gt;&lt;Issue&gt;3&lt;/Issue&gt;&lt;User_Def_5&gt;PMC459761&lt;/User_Def_5&gt;&lt;Web_URL&gt;PM:6710428&lt;/Web_URL&gt;&lt;ZZ_JournalStdAbbrev&gt;&lt;f name="System"&gt;Thorax&lt;/f&gt;&lt;/ZZ_JournalStdAbbrev&gt;&lt;ZZ_WorkformID&gt;1&lt;/ZZ_WorkformID&gt;&lt;/MDL&gt;&lt;/Cite&gt;&lt;Cite&gt;&lt;Author&gt;Luo&lt;/Author&gt;&lt;Year&gt;2013&lt;/Year&gt;&lt;RecNum&gt;682&lt;/RecNum&gt;&lt;IDText&gt;The value of serum prealbumin in the diagnosis and therapeutic response of tuberculosis: a retrospective study&lt;/IDText&gt;&lt;MDL Ref_Type="Journal"&gt;&lt;Ref_Type&gt;Journal&lt;/Ref_Type&gt;&lt;Ref_ID&gt;682&lt;/Ref_ID&gt;&lt;Title_Primary&gt;The value of serum prealbumin in the diagnosis and therapeutic response of tuberculosis: a retrospective study&lt;/Title_Primary&gt;&lt;Authors_Primary&gt;Luo,H.&lt;/Authors_Primary&gt;&lt;Authors_Primary&gt;Zhu,B.&lt;/Authors_Primary&gt;&lt;Authors_Primary&gt;Gong,L.&lt;/Authors_Primary&gt;&lt;Authors_Primary&gt;Yang,J.&lt;/Authors_Primary&gt;&lt;Authors_Primary&gt;Jiang,Y.&lt;/Authors_Primary&gt;&lt;Authors_Primary&gt;Zhou,X.&lt;/Authors_Primary&gt;&lt;Date_Primary&gt;2013&lt;/Date_Primary&gt;&lt;Keywords&gt;Adult&lt;/Keywords&gt;&lt;Keywords&gt;Antitubercular Agents&lt;/Keywords&gt;&lt;Keywords&gt;China&lt;/Keywords&gt;&lt;Keywords&gt;diagnosis&lt;/Keywords&gt;&lt;Keywords&gt;drug therapy&lt;/Keywords&gt;&lt;Keywords&gt;Female&lt;/Keywords&gt;&lt;Keywords&gt;Humans&lt;/Keywords&gt;&lt;Keywords&gt;Lung&lt;/Keywords&gt;&lt;Keywords&gt;Lung Neoplasms&lt;/Keywords&gt;&lt;Keywords&gt;Male&lt;/Keywords&gt;&lt;Keywords&gt;metabolism&lt;/Keywords&gt;&lt;Keywords&gt;Middle Aged&lt;/Keywords&gt;&lt;Keywords&gt;Prealbumin&lt;/Keywords&gt;&lt;Keywords&gt;Retrospective Studies&lt;/Keywords&gt;&lt;Keywords&gt;Serum&lt;/Keywords&gt;&lt;Keywords&gt;Smoking&lt;/Keywords&gt;&lt;Keywords&gt;therapeutic use&lt;/Keywords&gt;&lt;Keywords&gt;Tuberculosis&lt;/Keywords&gt;&lt;Keywords&gt;Tuberculosis,Pulmonary&lt;/Keywords&gt;&lt;Reprint&gt;Not in File&lt;/Reprint&gt;&lt;Start_Page&gt;e79940&lt;/Start_Page&gt;&lt;Periodical&gt;Plos One&lt;/Periodical&gt;&lt;Volume&gt;8&lt;/Volume&gt;&lt;Issue&gt;11&lt;/Issue&gt;&lt;User_Def_5&gt;PMC3833965&lt;/User_Def_5&gt;&lt;Misc_3&gt;10.1371/journal.pone.0079940 [doi];PONE-D-13-12310 [pii]&lt;/Misc_3&gt;&lt;Address&gt;Department of Respiratory Medicine, the First Affiliated Hospital of Third Military Medical University, Chongqing, China&lt;/Address&gt;&lt;Web_URL&gt;PM:24260323&lt;/Web_URL&gt;&lt;ZZ_JournalFull&gt;&lt;f name="System"&gt;Plos One&lt;/f&gt;&lt;/ZZ_JournalFull&gt;&lt;ZZ_WorkformID&gt;1&lt;/ZZ_WorkformID&gt;&lt;/MDL&gt;&lt;/Cite&gt;&lt;Cite&gt;&lt;Author&gt;Opolot&lt;/Author&gt;&lt;Year&gt;2015&lt;/Year&gt;&lt;RecNum&gt;676&lt;/RecNum&gt;&lt;IDText&gt;Acute phase proteins and stress hormone responses in patients with newly diagnosed active pulmonary tuberculosis&lt;/IDText&gt;&lt;MDL Ref_Type="Journal"&gt;&lt;Ref_Type&gt;Journal&lt;/Ref_Type&gt;&lt;Ref_ID&gt;676&lt;/Ref_ID&gt;&lt;Title_Primary&gt;Acute phase proteins and stress hormone responses in patients with newly diagnosed active pulmonary tuberculosis&lt;/Title_Primary&gt;&lt;Authors_Primary&gt;Opolot,J.O.&lt;/Authors_Primary&gt;&lt;Authors_Primary&gt;Theron,A.J.&lt;/Authors_Primary&gt;&lt;Authors_Primary&gt;Anderson,R.&lt;/Authors_Primary&gt;&lt;Authors_Primary&gt;Feldman,C.&lt;/Authors_Primary&gt;&lt;Date_Primary&gt;2015/2&lt;/Date_Primary&gt;&lt;Keywords&gt;Africa&lt;/Keywords&gt;&lt;Keywords&gt;Disease&lt;/Keywords&gt;&lt;Keywords&gt;Health&lt;/Keywords&gt;&lt;Keywords&gt;Laboratories&lt;/Keywords&gt;&lt;Keywords&gt;methods&lt;/Keywords&gt;&lt;Keywords&gt;Prospective Studies&lt;/Keywords&gt;&lt;Keywords&gt;Proteins&lt;/Keywords&gt;&lt;Keywords&gt;Research&lt;/Keywords&gt;&lt;Keywords&gt;South Africa&lt;/Keywords&gt;&lt;Keywords&gt;Tuberculosis&lt;/Keywords&gt;&lt;Reprint&gt;Not in File&lt;/Reprint&gt;&lt;Start_Page&gt;13&lt;/Start_Page&gt;&lt;End_Page&gt;18&lt;/End_Page&gt;&lt;Periodical&gt;Lung&lt;/Periodical&gt;&lt;Volume&gt;193&lt;/Volume&gt;&lt;Issue&gt;1&lt;/Issue&gt;&lt;Misc_3&gt;10.1007/s00408-014-9680-8 [doi]&lt;/Misc_3&gt;&lt;Address&gt;Division of Pulmonology, Department of Internal Medicine, Charlotte Maxeke Johannesburg Academic Hospital and Faculty of Health Sciences, University of the Witwatersrand, Johannesburg, South Africa&lt;/Address&gt;&lt;Web_URL&gt;PM:25549893&lt;/Web_URL&gt;&lt;ZZ_JournalStdAbbrev&gt;&lt;f name="System"&gt;Lung&lt;/f&gt;&lt;/ZZ_JournalStdAbbrev&gt;&lt;ZZ_WorkformID&gt;1&lt;/ZZ_WorkformID&gt;&lt;/MDL&gt;&lt;/Cite&gt;&lt;Cite&gt;&lt;Author&gt;Schleicher&lt;/Author&gt;&lt;Year&gt;2005&lt;/Year&gt;&lt;RecNum&gt;679&lt;/RecNum&gt;&lt;IDText&gt;Procalcitonin and C-reactive protein levels in HIV-positive subjects with tuberculosis and pneumonia&lt;/IDText&gt;&lt;MDL Ref_Type="Journal"&gt;&lt;Ref_Type&gt;Journal&lt;/Ref_Type&gt;&lt;Ref_ID&gt;679&lt;/Ref_ID&gt;&lt;Title_Primary&gt;Procalcitonin and C-reactive protein levels in HIV-positive subjects with tuberculosis and pneumonia&lt;/Title_Primary&gt;&lt;Authors_Primary&gt;Schleicher,G.K.&lt;/Authors_Primary&gt;&lt;Authors_Primary&gt;Herbert,V.&lt;/Authors_Primary&gt;&lt;Authors_Primary&gt;Brink,A.&lt;/Authors_Primary&gt;&lt;Authors_Primary&gt;Martin,S.&lt;/Authors_Primary&gt;&lt;Authors_Primary&gt;Maraj,R.&lt;/Authors_Primary&gt;&lt;Authors_Primary&gt;Galpin,J.S.&lt;/Authors_Primary&gt;&lt;Authors_Primary&gt;Feldman,C.&lt;/Authors_Primary&gt;&lt;Date_Primary&gt;2005/4&lt;/Date_Primary&gt;&lt;Keywords&gt;Adult&lt;/Keywords&gt;&lt;Keywords&gt;Africa&lt;/Keywords&gt;&lt;Keywords&gt;analysis&lt;/Keywords&gt;&lt;Keywords&gt;blood&lt;/Keywords&gt;&lt;Keywords&gt;C-Reactive Protein&lt;/Keywords&gt;&lt;Keywords&gt;Calcitonin&lt;/Keywords&gt;&lt;Keywords&gt;Cell Count&lt;/Keywords&gt;&lt;Keywords&gt;Community-Acquired Infections&lt;/Keywords&gt;&lt;Keywords&gt;complications&lt;/Keywords&gt;&lt;Keywords&gt;diagnosis&lt;/Keywords&gt;&lt;Keywords&gt;Diagnosis,Differential&lt;/Keywords&gt;&lt;Keywords&gt;Female&lt;/Keywords&gt;&lt;Keywords&gt;HIV Seropositivity&lt;/Keywords&gt;&lt;Keywords&gt;Humans&lt;/Keywords&gt;&lt;Keywords&gt;Infection&lt;/Keywords&gt;&lt;Keywords&gt;Male&lt;/Keywords&gt;&lt;Keywords&gt;Pneumonia&lt;/Keywords&gt;&lt;Keywords&gt;Pneumonia,Pneumococcal&lt;/Keywords&gt;&lt;Keywords&gt;Prospective Studies&lt;/Keywords&gt;&lt;Keywords&gt;Protein Precursors&lt;/Keywords&gt;&lt;Keywords&gt;Serum&lt;/Keywords&gt;&lt;Keywords&gt;South Africa&lt;/Keywords&gt;&lt;Keywords&gt;Tuberculosis&lt;/Keywords&gt;&lt;Keywords&gt;Tuberculosis,Pulmonary&lt;/Keywords&gt;&lt;Reprint&gt;Not in File&lt;/Reprint&gt;&lt;Start_Page&gt;688&lt;/Start_Page&gt;&lt;End_Page&gt;692&lt;/End_Page&gt;&lt;Periodical&gt;Eur Respir J&lt;/Periodical&gt;&lt;Volume&gt;25&lt;/Volume&gt;&lt;Issue&gt;4&lt;/Issue&gt;&lt;Misc_3&gt;25/4/688 [pii];10.1183/09031936.05.00067604 [doi]&lt;/Misc_3&gt;&lt;Address&gt;Dept of Medicine, Johannesburg Hospital and University of the Witwatersrand, Johannesburg, South Africa. schleicher@worldonline.co.za&lt;/Address&gt;&lt;Web_URL&gt;PM:15802344&lt;/Web_URL&gt;&lt;ZZ_JournalFull&gt;&lt;f name="System"&gt;Eur Respir J&lt;/f&gt;&lt;/ZZ_JournalFull&gt;&lt;ZZ_WorkformID&gt;1&lt;/ZZ_WorkformID&gt;&lt;/MDL&gt;&lt;/Cite&gt;&lt;Cite&gt;&lt;Author&gt;Visser&lt;/Author&gt;&lt;Year&gt;2011&lt;/Year&gt;&lt;RecNum&gt;691&lt;/RecNum&gt;&lt;IDText&gt;Severe hyperferritinemia in Mycobacteria tuberculosis infection&lt;/IDText&gt;&lt;MDL Ref_Type="Journal"&gt;&lt;Ref_Type&gt;Journal&lt;/Ref_Type&gt;&lt;Ref_ID&gt;691&lt;/Ref_ID&gt;&lt;Title_Primary&gt;Severe hyperferritinemia in Mycobacteria tuberculosis infection&lt;/Title_Primary&gt;&lt;Authors_Primary&gt;Visser,A.&lt;/Authors_Primary&gt;&lt;Authors_Primary&gt;van,de,V&lt;/Authors_Primary&gt;&lt;Date_Primary&gt;2011/1/15&lt;/Date_Primary&gt;&lt;Keywords&gt;Adult&lt;/Keywords&gt;&lt;Keywords&gt;Aged&lt;/Keywords&gt;&lt;Keywords&gt;blood&lt;/Keywords&gt;&lt;Keywords&gt;Female&lt;/Keywords&gt;&lt;Keywords&gt;Ferritins&lt;/Keywords&gt;&lt;Keywords&gt;Humans&lt;/Keywords&gt;&lt;Keywords&gt;Infection&lt;/Keywords&gt;&lt;Keywords&gt;isolation &amp;amp; purification&lt;/Keywords&gt;&lt;Keywords&gt;Male&lt;/Keywords&gt;&lt;Keywords&gt;microbiology&lt;/Keywords&gt;&lt;Keywords&gt;Middle Aged&lt;/Keywords&gt;&lt;Keywords&gt;Mycobacterium&lt;/Keywords&gt;&lt;Keywords&gt;Mycobacterium tuberculosis&lt;/Keywords&gt;&lt;Keywords&gt;pathology&lt;/Keywords&gt;&lt;Keywords&gt;Research&lt;/Keywords&gt;&lt;Keywords&gt;Tuberculosis&lt;/Keywords&gt;&lt;Reprint&gt;Not in File&lt;/Reprint&gt;&lt;Start_Page&gt;273&lt;/Start_Page&gt;&lt;End_Page&gt;274&lt;/End_Page&gt;&lt;Periodical&gt;Clin Infect.Dis&lt;/Periodical&gt;&lt;Volume&gt;52&lt;/Volume&gt;&lt;Issue&gt;2&lt;/Issue&gt;&lt;Misc_3&gt;ciq126 [pii];10.1093/cid/ciq126 [doi]&lt;/Misc_3&gt;&lt;Web_URL&gt;PM:21288855&lt;/Web_URL&gt;&lt;ZZ_JournalStdAbbrev&gt;&lt;f name="System"&gt;Clin Infect.Dis&lt;/f&gt;&lt;/ZZ_JournalStdAbbrev&gt;&lt;ZZ_WorkformID&gt;1&lt;/ZZ_WorkformID&gt;&lt;/MDL&gt;&lt;/Cite&gt;&lt;Cite&gt;&lt;Author&gt;Wang&lt;/Author&gt;&lt;Year&gt;2014&lt;/Year&gt;&lt;RecNum&gt;681&lt;/RecNum&gt;&lt;IDText&gt;Serum complement C4b, fibronectin, and prolidase are associated with the pathological changes of pulmonary tuberculosis&lt;/IDText&gt;&lt;MDL Ref_Type="Journal"&gt;&lt;Ref_Type&gt;Journal&lt;/Ref_Type&gt;&lt;Ref_ID&gt;681&lt;/Ref_ID&gt;&lt;Title_Primary&gt;Serum complement C4b, fibronectin, and prolidase are associated with the pathological changes of pulmonary tuberculosis&lt;/Title_Primary&gt;&lt;Authors_Primary&gt;Wang,C.&lt;/Authors_Primary&gt;&lt;Authors_Primary&gt;Li,Y.Y.&lt;/Authors_Primary&gt;&lt;Authors_Primary&gt;Li,X.&lt;/Authors_Primary&gt;&lt;Authors_Primary&gt;Wei,L.L.&lt;/Authors_Primary&gt;&lt;Authors_Primary&gt;Yang,X.Y.&lt;/Authors_Primary&gt;&lt;Authors_Primary&gt;Xu,D.D.&lt;/Authors_Primary&gt;&lt;Authors_Primary&gt;Jiang,T.T.&lt;/Authors_Primary&gt;&lt;Authors_Primary&gt;Li,Z.J.&lt;/Authors_Primary&gt;&lt;Authors_Primary&gt;Chen,Z.L.&lt;/Authors_Primary&gt;&lt;Authors_Primary&gt;Zhang,X.&lt;/Authors_Primary&gt;&lt;Authors_Primary&gt;Liu,J.Y.&lt;/Authors_Primary&gt;&lt;Authors_Primary&gt;Ping,Z.P.&lt;/Authors_Primary&gt;&lt;Authors_Primary&gt;Li,J.C.&lt;/Authors_Primary&gt;&lt;Date_Primary&gt;2014&lt;/Date_Primary&gt;&lt;Keywords&gt;Adult&lt;/Keywords&gt;&lt;Keywords&gt;Aged&lt;/Keywords&gt;&lt;Keywords&gt;analysis&lt;/Keywords&gt;&lt;Keywords&gt;blood&lt;/Keywords&gt;&lt;Keywords&gt;C-Reactive Protein&lt;/Keywords&gt;&lt;Keywords&gt;Case-Control Studies&lt;/Keywords&gt;&lt;Keywords&gt;China&lt;/Keywords&gt;&lt;Keywords&gt;Complement C4b&lt;/Keywords&gt;&lt;Keywords&gt;Dipeptidases&lt;/Keywords&gt;&lt;Keywords&gt;Female&lt;/Keywords&gt;&lt;Keywords&gt;Fibronectins&lt;/Keywords&gt;&lt;Keywords&gt;Granuloma&lt;/Keywords&gt;&lt;Keywords&gt;Humans&lt;/Keywords&gt;&lt;Keywords&gt;Immune System&lt;/Keywords&gt;&lt;Keywords&gt;Infection&lt;/Keywords&gt;&lt;Keywords&gt;Male&lt;/Keywords&gt;&lt;Keywords&gt;methods&lt;/Keywords&gt;&lt;Keywords&gt;microbiology&lt;/Keywords&gt;&lt;Keywords&gt;Middle Aged&lt;/Keywords&gt;&lt;Keywords&gt;Mycobacterium&lt;/Keywords&gt;&lt;Keywords&gt;Mycobacterium tuberculosis&lt;/Keywords&gt;&lt;Keywords&gt;pathology&lt;/Keywords&gt;&lt;Keywords&gt;physiology&lt;/Keywords&gt;&lt;Keywords&gt;Proteins&lt;/Keywords&gt;&lt;Keywords&gt;Research&lt;/Keywords&gt;&lt;Keywords&gt;Serum&lt;/Keywords&gt;&lt;Keywords&gt;Severity of Illness Index&lt;/Keywords&gt;&lt;Keywords&gt;Tuberculosis&lt;/Keywords&gt;&lt;Keywords&gt;Tuberculosis,Pulmonary&lt;/Keywords&gt;&lt;Keywords&gt;Young Adult&lt;/Keywords&gt;&lt;Reprint&gt;Not in File&lt;/Reprint&gt;&lt;Start_Page&gt;52&lt;/Start_Page&gt;&lt;Periodical&gt;BMC Infect.Dis&lt;/Periodical&gt;&lt;Volume&gt;14&lt;/Volume&gt;&lt;User_Def_5&gt;PMC3913605&lt;/User_Def_5&gt;&lt;Misc_3&gt;1471-2334-14-52 [pii];10.1186/1471-2334-14-52 [doi]&lt;/Misc_3&gt;&lt;Address&gt;Institute of Cell Biology, Zhejiang University, Hangzhou 310058, P,R, China. lijichen@zju.edu.cn&lt;/Address&gt;&lt;Web_URL&gt;PM:24484408&lt;/Web_URL&gt;&lt;ZZ_JournalStdAbbrev&gt;&lt;f name="System"&gt;BMC Infect.Dis&lt;/f&gt;&lt;/ZZ_JournalStdAbbrev&gt;&lt;ZZ_WorkformID&gt;1&lt;/ZZ_WorkformID&gt;&lt;/MDL&gt;&lt;/Cite&gt;&lt;/Refman&gt;</w:instrText>
      </w:r>
      <w:r w:rsidR="00020281" w:rsidRPr="004F38BE">
        <w:rPr>
          <w:color w:val="000000"/>
        </w:rPr>
        <w:fldChar w:fldCharType="separate"/>
      </w:r>
      <w:r w:rsidR="00CB2263" w:rsidRPr="00CB2263">
        <w:rPr>
          <w:color w:val="000000"/>
          <w:vertAlign w:val="superscript"/>
        </w:rPr>
        <w:t>17;23;26;27;30;35-37</w:t>
      </w:r>
      <w:r w:rsidR="00020281" w:rsidRPr="004F38BE">
        <w:rPr>
          <w:color w:val="000000"/>
        </w:rPr>
        <w:fldChar w:fldCharType="end"/>
      </w:r>
      <w:r w:rsidR="00A57148" w:rsidRPr="004F38BE">
        <w:rPr>
          <w:color w:val="000000"/>
        </w:rPr>
        <w:t xml:space="preserve">, </w:t>
      </w:r>
      <w:r w:rsidR="00E745B2" w:rsidRPr="004F38BE">
        <w:rPr>
          <w:color w:val="000000"/>
        </w:rPr>
        <w:t xml:space="preserve">single </w:t>
      </w:r>
      <w:r w:rsidR="00A57148" w:rsidRPr="004F38BE">
        <w:rPr>
          <w:color w:val="000000"/>
        </w:rPr>
        <w:t xml:space="preserve">host markers </w:t>
      </w:r>
      <w:r w:rsidR="00E745B2" w:rsidRPr="004F38BE">
        <w:rPr>
          <w:color w:val="000000"/>
        </w:rPr>
        <w:t xml:space="preserve">have many shortcomings </w:t>
      </w:r>
      <w:r w:rsidR="00A57148" w:rsidRPr="004F38BE">
        <w:rPr>
          <w:color w:val="000000"/>
        </w:rPr>
        <w:t>in predicting TB disease</w:t>
      </w:r>
      <w:r w:rsidR="00205860" w:rsidRPr="004F38BE">
        <w:rPr>
          <w:color w:val="000000"/>
        </w:rPr>
        <w:t xml:space="preserve"> due to </w:t>
      </w:r>
      <w:r w:rsidR="00D52253" w:rsidRPr="004F38BE">
        <w:rPr>
          <w:color w:val="000000"/>
        </w:rPr>
        <w:t xml:space="preserve"> </w:t>
      </w:r>
      <w:r w:rsidR="00A65E48" w:rsidRPr="004F38BE">
        <w:rPr>
          <w:color w:val="000000"/>
        </w:rPr>
        <w:t xml:space="preserve">poor </w:t>
      </w:r>
      <w:r w:rsidR="00D52253" w:rsidRPr="004F38BE">
        <w:rPr>
          <w:color w:val="000000"/>
        </w:rPr>
        <w:t>specificity.</w:t>
      </w:r>
      <w:r w:rsidR="00E745B2" w:rsidRPr="004F38BE">
        <w:rPr>
          <w:color w:val="000000"/>
        </w:rPr>
        <w:t xml:space="preserve"> </w:t>
      </w:r>
      <w:r w:rsidR="00D52253" w:rsidRPr="004F38BE">
        <w:rPr>
          <w:color w:val="000000"/>
        </w:rPr>
        <w:t>A</w:t>
      </w:r>
      <w:r w:rsidR="00A57148" w:rsidRPr="004F38BE">
        <w:rPr>
          <w:color w:val="000000"/>
        </w:rPr>
        <w:t xml:space="preserve">s </w:t>
      </w:r>
      <w:r w:rsidR="00A65E48" w:rsidRPr="004F38BE">
        <w:rPr>
          <w:color w:val="000000"/>
        </w:rPr>
        <w:t xml:space="preserve">observed in </w:t>
      </w:r>
      <w:r w:rsidR="00E745B2" w:rsidRPr="004F38BE">
        <w:rPr>
          <w:color w:val="000000"/>
        </w:rPr>
        <w:t>this large multi</w:t>
      </w:r>
      <w:r w:rsidR="00D52253" w:rsidRPr="004F38BE">
        <w:rPr>
          <w:color w:val="000000"/>
        </w:rPr>
        <w:t>-</w:t>
      </w:r>
      <w:r w:rsidR="00205860" w:rsidRPr="004F38BE">
        <w:rPr>
          <w:color w:val="000000"/>
        </w:rPr>
        <w:t>centered</w:t>
      </w:r>
      <w:r w:rsidR="00E745B2" w:rsidRPr="004F38BE">
        <w:rPr>
          <w:color w:val="000000"/>
        </w:rPr>
        <w:t xml:space="preserve"> pan-African study</w:t>
      </w:r>
      <w:r w:rsidR="00D52253" w:rsidRPr="004F38BE">
        <w:rPr>
          <w:color w:val="000000"/>
        </w:rPr>
        <w:t>, the accuracy of different host markers is affected different</w:t>
      </w:r>
      <w:r w:rsidR="001005AC" w:rsidRPr="004F38BE">
        <w:rPr>
          <w:color w:val="000000"/>
        </w:rPr>
        <w:t>ially</w:t>
      </w:r>
      <w:r w:rsidR="00D52253" w:rsidRPr="004F38BE">
        <w:rPr>
          <w:color w:val="000000"/>
        </w:rPr>
        <w:t xml:space="preserve"> by HIV infection</w:t>
      </w:r>
      <w:r w:rsidR="00A57148" w:rsidRPr="004F38BE">
        <w:rPr>
          <w:color w:val="000000"/>
        </w:rPr>
        <w:t>.</w:t>
      </w:r>
      <w:r w:rsidR="00E745B2" w:rsidRPr="004F38BE">
        <w:rPr>
          <w:color w:val="000000"/>
        </w:rPr>
        <w:t xml:space="preserve"> </w:t>
      </w:r>
      <w:r w:rsidR="001005AC" w:rsidRPr="004F38BE">
        <w:rPr>
          <w:color w:val="000000"/>
        </w:rPr>
        <w:t>A</w:t>
      </w:r>
      <w:r w:rsidR="00E94A97" w:rsidRPr="004F38BE">
        <w:rPr>
          <w:color w:val="000000"/>
        </w:rPr>
        <w:t xml:space="preserve"> biosignature</w:t>
      </w:r>
      <w:r w:rsidR="001D3BFF" w:rsidRPr="004F38BE">
        <w:rPr>
          <w:color w:val="000000"/>
        </w:rPr>
        <w:t xml:space="preserve"> containing different classes of biomarkers, produced by different cell types such as the classical Th1 </w:t>
      </w:r>
      <w:r w:rsidR="007E1ECF" w:rsidRPr="004F38BE">
        <w:rPr>
          <w:color w:val="000000"/>
        </w:rPr>
        <w:t>immune-</w:t>
      </w:r>
      <w:r w:rsidR="001D3BFF" w:rsidRPr="004F38BE">
        <w:rPr>
          <w:color w:val="000000"/>
        </w:rPr>
        <w:t xml:space="preserve">related markers plus </w:t>
      </w:r>
      <w:r w:rsidR="004B0A86" w:rsidRPr="004F38BE">
        <w:rPr>
          <w:color w:val="000000"/>
        </w:rPr>
        <w:t>acute-</w:t>
      </w:r>
      <w:r w:rsidR="001D3BFF" w:rsidRPr="004F38BE">
        <w:rPr>
          <w:color w:val="000000"/>
        </w:rPr>
        <w:lastRenderedPageBreak/>
        <w:t xml:space="preserve">phase proteins, complement and apolipoproteins </w:t>
      </w:r>
      <w:r w:rsidR="001005AC" w:rsidRPr="004F38BE">
        <w:rPr>
          <w:color w:val="000000"/>
        </w:rPr>
        <w:t>appears to offset the non-specific response patterns of individual or smaller groups of analytes</w:t>
      </w:r>
      <w:r w:rsidR="001D3BFF" w:rsidRPr="004F38BE">
        <w:rPr>
          <w:color w:val="000000"/>
        </w:rPr>
        <w:t xml:space="preserve">. </w:t>
      </w:r>
      <w:r w:rsidR="00610561" w:rsidRPr="004F38BE">
        <w:rPr>
          <w:color w:val="000000"/>
        </w:rPr>
        <w:t xml:space="preserve">As a </w:t>
      </w:r>
      <w:r w:rsidR="001D3BFF" w:rsidRPr="004F38BE">
        <w:rPr>
          <w:color w:val="000000"/>
        </w:rPr>
        <w:t>result</w:t>
      </w:r>
      <w:r w:rsidR="00610561" w:rsidRPr="004F38BE">
        <w:rPr>
          <w:color w:val="000000"/>
        </w:rPr>
        <w:t>,</w:t>
      </w:r>
      <w:r w:rsidR="001D3BFF" w:rsidRPr="004F38BE">
        <w:rPr>
          <w:color w:val="000000"/>
        </w:rPr>
        <w:t xml:space="preserve"> markers </w:t>
      </w:r>
      <w:r w:rsidR="00610561" w:rsidRPr="004F38BE">
        <w:rPr>
          <w:color w:val="000000"/>
        </w:rPr>
        <w:t xml:space="preserve">that </w:t>
      </w:r>
      <w:r w:rsidR="001D3BFF" w:rsidRPr="004F38BE">
        <w:rPr>
          <w:color w:val="000000"/>
        </w:rPr>
        <w:t xml:space="preserve">perform relatively well in </w:t>
      </w:r>
      <w:r w:rsidR="007E1ECF" w:rsidRPr="004F38BE">
        <w:rPr>
          <w:color w:val="000000"/>
        </w:rPr>
        <w:t>HIV-</w:t>
      </w:r>
      <w:r w:rsidR="001D3BFF" w:rsidRPr="004F38BE">
        <w:rPr>
          <w:color w:val="000000"/>
        </w:rPr>
        <w:t>infected individuals such as the acute phase proteins</w:t>
      </w:r>
      <w:r w:rsidR="00EF734E" w:rsidRPr="004F38BE">
        <w:rPr>
          <w:color w:val="000000"/>
        </w:rPr>
        <w:t xml:space="preserve">, </w:t>
      </w:r>
      <w:r w:rsidR="00E94A97" w:rsidRPr="004F38BE">
        <w:rPr>
          <w:color w:val="000000"/>
        </w:rPr>
        <w:t>help</w:t>
      </w:r>
      <w:r w:rsidR="001D3BFF" w:rsidRPr="004F38BE">
        <w:rPr>
          <w:color w:val="000000"/>
        </w:rPr>
        <w:t xml:space="preserve"> in identifying patients </w:t>
      </w:r>
      <w:r w:rsidR="00C35D01" w:rsidRPr="004F38BE">
        <w:rPr>
          <w:color w:val="000000"/>
        </w:rPr>
        <w:t xml:space="preserve">who </w:t>
      </w:r>
      <w:r w:rsidR="001D3BFF" w:rsidRPr="004F38BE">
        <w:rPr>
          <w:color w:val="000000"/>
        </w:rPr>
        <w:t>are missed by mar</w:t>
      </w:r>
      <w:r w:rsidR="00E94A97" w:rsidRPr="004F38BE">
        <w:rPr>
          <w:color w:val="000000"/>
        </w:rPr>
        <w:t>kers</w:t>
      </w:r>
      <w:r w:rsidR="001D3BFF" w:rsidRPr="004F38BE">
        <w:rPr>
          <w:color w:val="000000"/>
        </w:rPr>
        <w:t xml:space="preserve"> that may be more often affected by </w:t>
      </w:r>
      <w:r w:rsidR="00E94A97" w:rsidRPr="004F38BE">
        <w:rPr>
          <w:color w:val="000000"/>
        </w:rPr>
        <w:t xml:space="preserve">HIV </w:t>
      </w:r>
      <w:r w:rsidR="001D3BFF" w:rsidRPr="004F38BE">
        <w:rPr>
          <w:color w:val="000000"/>
        </w:rPr>
        <w:t xml:space="preserve">infection such as </w:t>
      </w:r>
      <w:r w:rsidR="00E94A97" w:rsidRPr="004F38BE">
        <w:rPr>
          <w:color w:val="000000"/>
        </w:rPr>
        <w:t xml:space="preserve">IFN-γ </w:t>
      </w:r>
      <w:r w:rsidR="00512553" w:rsidRPr="004F38BE">
        <w:rPr>
          <w:color w:val="000000"/>
        </w:rPr>
        <w:t xml:space="preserve">and IP-10. </w:t>
      </w:r>
      <w:r w:rsidR="00C20A96" w:rsidRPr="004F38BE">
        <w:rPr>
          <w:color w:val="000000"/>
        </w:rPr>
        <w:t>The result</w:t>
      </w:r>
      <w:r w:rsidR="001005AC" w:rsidRPr="004F38BE">
        <w:rPr>
          <w:color w:val="000000"/>
        </w:rPr>
        <w:t xml:space="preserve">ant test performance </w:t>
      </w:r>
      <w:r w:rsidR="00905CEC" w:rsidRPr="004F38BE">
        <w:rPr>
          <w:color w:val="000000"/>
        </w:rPr>
        <w:t>with</w:t>
      </w:r>
      <w:r w:rsidR="007B00DB" w:rsidRPr="004F38BE">
        <w:rPr>
          <w:color w:val="000000"/>
        </w:rPr>
        <w:t xml:space="preserve"> relatively</w:t>
      </w:r>
      <w:r w:rsidR="00905CEC" w:rsidRPr="004F38BE">
        <w:rPr>
          <w:color w:val="000000"/>
        </w:rPr>
        <w:t xml:space="preserve"> </w:t>
      </w:r>
      <w:r w:rsidR="00C20A96" w:rsidRPr="004F38BE">
        <w:rPr>
          <w:color w:val="000000"/>
        </w:rPr>
        <w:t>high sensitivity</w:t>
      </w:r>
      <w:r w:rsidR="007B00DB" w:rsidRPr="004F38BE">
        <w:rPr>
          <w:color w:val="000000"/>
        </w:rPr>
        <w:t xml:space="preserve"> (</w:t>
      </w:r>
      <w:r w:rsidR="00A66B4F" w:rsidRPr="004F38BE">
        <w:rPr>
          <w:color w:val="000000"/>
        </w:rPr>
        <w:t xml:space="preserve">93.8 </w:t>
      </w:r>
      <w:r w:rsidR="007B00DB" w:rsidRPr="004F38BE">
        <w:rPr>
          <w:color w:val="000000"/>
        </w:rPr>
        <w:t>%)</w:t>
      </w:r>
      <w:r w:rsidR="00C20A96" w:rsidRPr="004F38BE">
        <w:rPr>
          <w:color w:val="000000"/>
        </w:rPr>
        <w:t xml:space="preserve"> and high </w:t>
      </w:r>
      <w:r w:rsidR="00A755E1" w:rsidRPr="004F38BE">
        <w:rPr>
          <w:color w:val="000000"/>
        </w:rPr>
        <w:t>NPV</w:t>
      </w:r>
      <w:r w:rsidR="007B00DB" w:rsidRPr="004F38BE">
        <w:rPr>
          <w:color w:val="000000"/>
        </w:rPr>
        <w:t xml:space="preserve"> (</w:t>
      </w:r>
      <w:r w:rsidR="00A66B4F" w:rsidRPr="004F38BE">
        <w:rPr>
          <w:color w:val="000000"/>
        </w:rPr>
        <w:t xml:space="preserve">96.4 </w:t>
      </w:r>
      <w:r w:rsidR="007B00DB" w:rsidRPr="004F38BE">
        <w:rPr>
          <w:color w:val="000000"/>
        </w:rPr>
        <w:t>%)</w:t>
      </w:r>
      <w:r w:rsidR="002C7426" w:rsidRPr="004F38BE">
        <w:rPr>
          <w:color w:val="000000"/>
        </w:rPr>
        <w:t xml:space="preserve"> </w:t>
      </w:r>
      <w:r w:rsidR="001005AC" w:rsidRPr="004F38BE">
        <w:rPr>
          <w:color w:val="000000"/>
        </w:rPr>
        <w:t>appears promising as</w:t>
      </w:r>
      <w:r w:rsidR="002C7426" w:rsidRPr="004F38BE">
        <w:rPr>
          <w:color w:val="000000"/>
        </w:rPr>
        <w:t xml:space="preserve"> </w:t>
      </w:r>
      <w:r w:rsidR="00A65E48" w:rsidRPr="004F38BE">
        <w:rPr>
          <w:color w:val="000000"/>
        </w:rPr>
        <w:t xml:space="preserve">a </w:t>
      </w:r>
      <w:r w:rsidR="0085598E" w:rsidRPr="004F38BE">
        <w:rPr>
          <w:color w:val="000000"/>
        </w:rPr>
        <w:t>screening</w:t>
      </w:r>
      <w:r w:rsidR="00C20A96" w:rsidRPr="004F38BE">
        <w:rPr>
          <w:color w:val="000000"/>
        </w:rPr>
        <w:t xml:space="preserve"> test for </w:t>
      </w:r>
      <w:r w:rsidR="00905CEC" w:rsidRPr="004F38BE">
        <w:rPr>
          <w:color w:val="000000"/>
        </w:rPr>
        <w:t xml:space="preserve">active </w:t>
      </w:r>
      <w:r w:rsidR="00C20A96" w:rsidRPr="004F38BE">
        <w:rPr>
          <w:color w:val="000000"/>
        </w:rPr>
        <w:t>TB</w:t>
      </w:r>
      <w:r w:rsidR="002C7426" w:rsidRPr="004F38BE">
        <w:rPr>
          <w:color w:val="000000"/>
        </w:rPr>
        <w:t xml:space="preserve"> disease</w:t>
      </w:r>
      <w:r w:rsidR="00C20A96" w:rsidRPr="004F38BE">
        <w:rPr>
          <w:color w:val="000000"/>
        </w:rPr>
        <w:t>.</w:t>
      </w:r>
      <w:r w:rsidR="00A32CB6">
        <w:rPr>
          <w:color w:val="000000"/>
        </w:rPr>
        <w:t xml:space="preserve"> Our data indicates that a test based on this biosignature will be superior to smear microscopy and may identify some patients who might be missed by culture.</w:t>
      </w:r>
    </w:p>
    <w:p w14:paraId="2C01AD3C" w14:textId="77777777" w:rsidR="008F6FAF" w:rsidRPr="004F38BE" w:rsidRDefault="008F6FAF" w:rsidP="0033455D">
      <w:pPr>
        <w:spacing w:line="360" w:lineRule="auto"/>
        <w:jc w:val="both"/>
      </w:pPr>
    </w:p>
    <w:p w14:paraId="72EB3A38" w14:textId="145944A4" w:rsidR="00E654FD" w:rsidRPr="004F38BE" w:rsidRDefault="00E654FD" w:rsidP="0033455D">
      <w:pPr>
        <w:spacing w:line="360" w:lineRule="auto"/>
        <w:jc w:val="both"/>
      </w:pPr>
      <w:r w:rsidRPr="004F38BE">
        <w:t xml:space="preserve">The current study stands out in that the investigations were performed in a large number of individuals recruited from peripheral level health care clinics in high-burden settings in multiple countries from different ethnic regions of the African continent. </w:t>
      </w:r>
      <w:r w:rsidR="00635B51">
        <w:t>Although there is a need to evaluate the performance of the biosignature in other high TB burden</w:t>
      </w:r>
      <w:r w:rsidR="00B91AA2">
        <w:t>ed</w:t>
      </w:r>
      <w:r w:rsidR="00635B51">
        <w:t xml:space="preserve"> regions, the inclusion of study participants from these different ethnic regions of the African continent implies that the signature identified in this study may be highly relevant </w:t>
      </w:r>
      <w:r w:rsidR="00B91AA2">
        <w:t xml:space="preserve">across Africa and perhaps even </w:t>
      </w:r>
      <w:r w:rsidR="00635B51">
        <w:t xml:space="preserve">globally. </w:t>
      </w:r>
      <w:r w:rsidRPr="004F38BE">
        <w:t xml:space="preserve">A limitation of this study was the lack of firmly established alternate diagnoses in the no-PTB group, which is difficult in primary health care settings. This however has no bearing on the importance of our findings as the goal of any TB diagnostic test is to distinguish individuals with TB disease from those presenting with similar symptoms due to conditions other than TB. The utility of this approach in difficult-to-diagnose TB groups such as </w:t>
      </w:r>
      <w:proofErr w:type="spellStart"/>
      <w:r w:rsidRPr="004F38BE">
        <w:t>p</w:t>
      </w:r>
      <w:r w:rsidR="00147C09">
        <w:t>a</w:t>
      </w:r>
      <w:r w:rsidRPr="004F38BE">
        <w:t>ediatric</w:t>
      </w:r>
      <w:proofErr w:type="spellEnd"/>
      <w:r w:rsidRPr="004F38BE">
        <w:t xml:space="preserve"> and extra-pulmonary TB has to be investigated in future studies. As the HIV infected individuals in this study were not extensively staged with CD4 counts and viral loads, it is not certain whether severe HIV infection might have any influence on the performance of the biosignature. Therefore the influence of severe HIV infection on test performance as well as the effect of anti-retroviral therapy should be investigated in future studies.</w:t>
      </w:r>
      <w:r w:rsidR="0062218A">
        <w:t xml:space="preserve"> Future studies should also include samples from confirmed non-TB infectious or inflammatory diseases such as </w:t>
      </w:r>
      <w:r w:rsidR="00B91AA2">
        <w:t xml:space="preserve">non-TB </w:t>
      </w:r>
      <w:r w:rsidR="0062218A">
        <w:t xml:space="preserve">pneumonia and patients with sarcoidosis </w:t>
      </w:r>
      <w:r w:rsidR="00B91AA2">
        <w:t xml:space="preserve">and other systemic inflammatory disorders, </w:t>
      </w:r>
      <w:r w:rsidR="0062218A">
        <w:t>as such patient groups will be important in ascertaining the specificity</w:t>
      </w:r>
      <w:r w:rsidR="00EE7CED">
        <w:t xml:space="preserve"> of the biosignature for TB.</w:t>
      </w:r>
      <w:r w:rsidRPr="004F38BE">
        <w:t xml:space="preserve">  </w:t>
      </w:r>
    </w:p>
    <w:p w14:paraId="0CB4D2A4" w14:textId="77777777" w:rsidR="004835FD" w:rsidRPr="004F38BE" w:rsidRDefault="004835FD" w:rsidP="0033455D">
      <w:pPr>
        <w:spacing w:line="360" w:lineRule="auto"/>
        <w:jc w:val="both"/>
      </w:pPr>
    </w:p>
    <w:p w14:paraId="10019507" w14:textId="024E76B0" w:rsidR="00B213F8" w:rsidRPr="004F38BE" w:rsidRDefault="004835FD" w:rsidP="0033455D">
      <w:pPr>
        <w:spacing w:line="360" w:lineRule="auto"/>
        <w:jc w:val="both"/>
      </w:pPr>
      <w:r w:rsidRPr="004F38BE">
        <w:t>T</w:t>
      </w:r>
      <w:r w:rsidR="006816F8" w:rsidRPr="004F38BE">
        <w:t>he biosignature identified in the current</w:t>
      </w:r>
      <w:r w:rsidR="008717BA" w:rsidRPr="004F38BE">
        <w:t xml:space="preserve"> study</w:t>
      </w:r>
      <w:r w:rsidR="006816F8" w:rsidRPr="004F38BE">
        <w:t xml:space="preserve"> warrants further development into a </w:t>
      </w:r>
      <w:r w:rsidR="007E1ECF" w:rsidRPr="004F38BE">
        <w:t>field-</w:t>
      </w:r>
      <w:r w:rsidR="006816F8" w:rsidRPr="004F38BE">
        <w:t>friendly point-of-care</w:t>
      </w:r>
      <w:r w:rsidR="00564234" w:rsidRPr="004F38BE">
        <w:t xml:space="preserve"> screening </w:t>
      </w:r>
      <w:r w:rsidR="006816F8" w:rsidRPr="004F38BE">
        <w:t xml:space="preserve">test for </w:t>
      </w:r>
      <w:r w:rsidR="00564234" w:rsidRPr="004F38BE">
        <w:t xml:space="preserve">active </w:t>
      </w:r>
      <w:r w:rsidR="006816F8" w:rsidRPr="004F38BE">
        <w:t>TB</w:t>
      </w:r>
      <w:r w:rsidR="00020DE1" w:rsidRPr="004F38BE">
        <w:t>, potentially based on lateral flow technology</w:t>
      </w:r>
      <w:r w:rsidR="00020281" w:rsidRPr="004F38BE">
        <w:fldChar w:fldCharType="begin"/>
      </w:r>
      <w:r w:rsidR="00CB2263">
        <w:instrText xml:space="preserve"> ADDIN REFMGR.CITE &lt;Refman&gt;&lt;Cite&gt;&lt;Author&gt;Corstjens&lt;/Author&gt;&lt;Year&gt;2007&lt;/Year&gt;&lt;RecNum&gt;481&lt;/RecNum&gt;&lt;IDText&gt;Rapid assay format for multiplex detection of humoral immune responses to infectious disease pathogens (HIV, HCV, and TB)&lt;/IDText&gt;&lt;MDL Ref_Type="Journal"&gt;&lt;Ref_Type&gt;Journal&lt;/Ref_Type&gt;&lt;Ref_ID&gt;481&lt;/Ref_ID&gt;&lt;Title_Primary&gt;Rapid assay format for multiplex detection of humoral immune responses to infectious disease pathogens (HIV, HCV, and TB)&lt;/Title_Primary&gt;&lt;Authors_Primary&gt;Corstjens,P.L.&lt;/Authors_Primary&gt;&lt;Authors_Primary&gt;Chen,Z.&lt;/Authors_Primary&gt;&lt;Authors_Primary&gt;Zuiderwijk,M.&lt;/Authors_Primary&gt;&lt;Authors_Primary&gt;Bau,H.H.&lt;/Authors_Primary&gt;&lt;Authors_Primary&gt;Abrams,W.R.&lt;/Authors_Primary&gt;&lt;Authors_Primary&gt;Malamud,D.&lt;/Authors_Primary&gt;&lt;Authors_Primary&gt;Sam,Niedbala R.&lt;/Authors_Primary&gt;&lt;Authors_Primary&gt;Tanke,H.J.&lt;/Authors_Primary&gt;&lt;Date_Primary&gt;2007/3&lt;/Date_Primary&gt;&lt;Keywords&gt;analysis&lt;/Keywords&gt;&lt;Keywords&gt;Antibodies&lt;/Keywords&gt;&lt;Keywords&gt;Antibodies,Bacterial&lt;/Keywords&gt;&lt;Keywords&gt;biosynthesis&lt;/Keywords&gt;&lt;Keywords&gt;blood&lt;/Keywords&gt;&lt;Keywords&gt;Hepacivirus&lt;/Keywords&gt;&lt;Keywords&gt;Hepatitis C Antibodies&lt;/Keywords&gt;&lt;Keywords&gt;Hiv&lt;/Keywords&gt;&lt;Keywords&gt;HIV Antibodies&lt;/Keywords&gt;&lt;Keywords&gt;Hiv-1&lt;/Keywords&gt;&lt;Keywords&gt;Humans&lt;/Keywords&gt;&lt;Keywords&gt;immunology&lt;/Keywords&gt;&lt;Keywords&gt;instrumentation&lt;/Keywords&gt;&lt;Keywords&gt;Microfluidics&lt;/Keywords&gt;&lt;Keywords&gt;Mycobacterium tuberculosis&lt;/Keywords&gt;&lt;Keywords&gt;Netherlands&lt;/Keywords&gt;&lt;Keywords&gt;Research&lt;/Keywords&gt;&lt;Keywords&gt;Tuberculosis&lt;/Keywords&gt;&lt;Reprint&gt;Not in File&lt;/Reprint&gt;&lt;Start_Page&gt;437&lt;/Start_Page&gt;&lt;End_Page&gt;445&lt;/End_Page&gt;&lt;Periodical&gt;Ann.N.Y.Acad.Sci.&lt;/Periodical&gt;&lt;Volume&gt;1098&lt;/Volume&gt;&lt;Address&gt;Department of Molecular Cell Biology, Leiden University Medical Center, RC Leiden, the Netherlands. Corstjens@LUMC.NL&lt;/Address&gt;&lt;Web_URL&gt;PM:17435148&lt;/Web_URL&gt;&lt;ZZ_JournalStdAbbrev&gt;&lt;f name="System"&gt;Ann.N.Y.Acad.Sci.&lt;/f&gt;&lt;/ZZ_JournalStdAbbrev&gt;&lt;ZZ_WorkformID&gt;1&lt;/ZZ_WorkformID&gt;&lt;/MDL&gt;&lt;/Cite&gt;&lt;Cite&gt;&lt;Author&gt;Corstjens&lt;/Author&gt;&lt;Year&gt;2008&lt;/Year&gt;&lt;RecNum&gt;377&lt;/RecNum&gt;&lt;IDText&gt;A user-friendly, highly sensitive assay to detect the IFN-gamma secretion by T cells&lt;/IDText&gt;&lt;MDL Ref_Type="Journal"&gt;&lt;Ref_Type&gt;Journal&lt;/Ref_Type&gt;&lt;Ref_ID&gt;377&lt;/Ref_ID&gt;&lt;Title_Primary&gt;A user-friendly, highly sensitive assay to detect the IFN-gamma secretion by T cells&lt;/Title_Primary&gt;&lt;Authors_Primary&gt;Corstjens,P.L.&lt;/Authors_Primary&gt;&lt;Authors_Primary&gt;Zuiderwijk,M.&lt;/Authors_Primary&gt;&lt;Authors_Primary&gt;Tanke,H.J.&lt;/Authors_Primary&gt;&lt;Authors_Primary&gt;van der Ploeg-van Schip JJ&lt;/Authors_Primary&gt;&lt;Authors_Primary&gt;Ottenhoff,T.H.&lt;/Authors_Primary&gt;&lt;Authors_Primary&gt;Geluk,A.&lt;/Authors_Primary&gt;&lt;Date_Primary&gt;2008/4&lt;/Date_Primary&gt;&lt;Keywords&gt;Biological Assay&lt;/Keywords&gt;&lt;Keywords&gt;blood&lt;/Keywords&gt;&lt;Keywords&gt;Cells,Cultured&lt;/Keywords&gt;&lt;Keywords&gt;cytology&lt;/Keywords&gt;&lt;Keywords&gt;Enzyme-Linked Immunosorbent Assay&lt;/Keywords&gt;&lt;Keywords&gt;Evaluation Studies&lt;/Keywords&gt;&lt;Keywords&gt;Humans&lt;/Keywords&gt;&lt;Keywords&gt;Interferon-gamma&lt;/Keywords&gt;&lt;Keywords&gt;methods&lt;/Keywords&gt;&lt;Keywords&gt;Netherlands&lt;/Keywords&gt;&lt;Keywords&gt;Reproducibility of Results&lt;/Keywords&gt;&lt;Keywords&gt;Research&lt;/Keywords&gt;&lt;Keywords&gt;secretion&lt;/Keywords&gt;&lt;Keywords&gt;Sensitivity and Specificity&lt;/Keywords&gt;&lt;Keywords&gt;T-Lymphocytes&lt;/Keywords&gt;&lt;Reprint&gt;Not in File&lt;/Reprint&gt;&lt;Start_Page&gt;440&lt;/Start_Page&gt;&lt;End_Page&gt;444&lt;/End_Page&gt;&lt;Periodical&gt;Clin.Biochem.&lt;/Periodical&gt;&lt;Volume&gt;41&lt;/Volume&gt;&lt;Issue&gt;6&lt;/Issue&gt;&lt;Address&gt;Leiden University Medical Center, Department of Molecular Cell Biology, Leiden, The Netherlands. Corstjens@LUMC.NL&lt;/Address&gt;&lt;Web_URL&gt;PM:18201564&lt;/Web_URL&gt;&lt;ZZ_JournalStdAbbrev&gt;&lt;f name="System"&gt;Clin.Biochem.&lt;/f&gt;&lt;/ZZ_JournalStdAbbrev&gt;&lt;ZZ_WorkformID&gt;1&lt;/ZZ_WorkformID&gt;&lt;/MDL&gt;&lt;/Cite&gt;&lt;/Refman&gt;</w:instrText>
      </w:r>
      <w:r w:rsidR="00020281" w:rsidRPr="004F38BE">
        <w:fldChar w:fldCharType="separate"/>
      </w:r>
      <w:r w:rsidR="00CB2263" w:rsidRPr="00CB2263">
        <w:rPr>
          <w:vertAlign w:val="superscript"/>
        </w:rPr>
        <w:t>38;39</w:t>
      </w:r>
      <w:r w:rsidR="00020281" w:rsidRPr="004F38BE">
        <w:fldChar w:fldCharType="end"/>
      </w:r>
      <w:r w:rsidR="00020DE1" w:rsidRPr="004F38BE">
        <w:t xml:space="preserve"> and adapted for finger-prick blood</w:t>
      </w:r>
      <w:r w:rsidR="006816F8" w:rsidRPr="004F38BE">
        <w:t>.</w:t>
      </w:r>
      <w:r w:rsidR="007E67C9" w:rsidRPr="004F38BE">
        <w:t xml:space="preserve"> </w:t>
      </w:r>
      <w:r w:rsidR="00765ADA" w:rsidRPr="004F38BE">
        <w:t xml:space="preserve">To allow </w:t>
      </w:r>
      <w:r w:rsidR="004E1D09" w:rsidRPr="004F38BE">
        <w:t>appropriate</w:t>
      </w:r>
      <w:r w:rsidR="00765ADA" w:rsidRPr="004F38BE">
        <w:t xml:space="preserve"> point-of-care testing in remote settings, the final </w:t>
      </w:r>
      <w:r w:rsidR="007E67C9" w:rsidRPr="004F38BE">
        <w:t xml:space="preserve">prototype </w:t>
      </w:r>
      <w:r w:rsidR="00765ADA" w:rsidRPr="004F38BE">
        <w:t>w</w:t>
      </w:r>
      <w:r w:rsidR="007E67C9" w:rsidRPr="004F38BE">
        <w:t xml:space="preserve">ould include a </w:t>
      </w:r>
      <w:r w:rsidR="00765ADA" w:rsidRPr="004F38BE">
        <w:t>lightweight portable</w:t>
      </w:r>
      <w:r w:rsidR="007E67C9" w:rsidRPr="004F38BE">
        <w:t xml:space="preserve"> </w:t>
      </w:r>
      <w:r w:rsidR="00765ADA" w:rsidRPr="004F38BE">
        <w:t xml:space="preserve">strip reader </w:t>
      </w:r>
      <w:r w:rsidR="007E67C9" w:rsidRPr="004F38BE">
        <w:t xml:space="preserve">with </w:t>
      </w:r>
      <w:r w:rsidR="007E67C9" w:rsidRPr="004F38BE">
        <w:lastRenderedPageBreak/>
        <w:t xml:space="preserve">built-in software </w:t>
      </w:r>
      <w:r w:rsidR="00765ADA" w:rsidRPr="004F38BE">
        <w:t>including</w:t>
      </w:r>
      <w:r w:rsidR="007E67C9" w:rsidRPr="004F38BE">
        <w:t xml:space="preserve"> an algorithm to interpret results</w:t>
      </w:r>
      <w:r w:rsidR="004E1D09" w:rsidRPr="004F38BE">
        <w:t xml:space="preserve"> obtained with LF strips comprising multiple cytokine test lines. Such a device is an improvement of the recently </w:t>
      </w:r>
      <w:r w:rsidR="00765ADA" w:rsidRPr="004F38BE">
        <w:t xml:space="preserve">investigated </w:t>
      </w:r>
      <w:r w:rsidR="004E1D09" w:rsidRPr="004F38BE">
        <w:t>UCP-LF platform in a multi-site</w:t>
      </w:r>
      <w:r w:rsidR="00765ADA" w:rsidRPr="004F38BE">
        <w:t xml:space="preserve"> </w:t>
      </w:r>
      <w:r w:rsidR="004E1D09" w:rsidRPr="004F38BE">
        <w:t xml:space="preserve">evaluation </w:t>
      </w:r>
      <w:r w:rsidR="00765ADA" w:rsidRPr="004F38BE">
        <w:t>study</w:t>
      </w:r>
      <w:r w:rsidR="004E1D09" w:rsidRPr="004F38BE">
        <w:t xml:space="preserve"> in Africa</w:t>
      </w:r>
      <w:r w:rsidR="000A2DBF" w:rsidRPr="004F38BE">
        <w:fldChar w:fldCharType="begin"/>
      </w:r>
      <w:r w:rsidR="00CB2263">
        <w:instrText xml:space="preserve"> ADDIN REFMGR.CITE &lt;Refman&gt;&lt;Cite&gt;&lt;Author&gt;Corstjens&lt;/Author&gt;&lt;Year&gt;2015&lt;/Year&gt;&lt;RecNum&gt;699&lt;/RecNum&gt;&lt;IDText&gt;Multi-center evaluation of a user-friendly lateral flow assay to determine IP-10 and CCL4 levels in blood of TB and non-TB cases in Africa&lt;/IDText&gt;&lt;MDL Ref_Type="In Press"&gt;&lt;Ref_Type&gt;In Press&lt;/Ref_Type&gt;&lt;Ref_ID&gt;699&lt;/Ref_ID&gt;&lt;Title_Primary&gt;&lt;f name="Times New Roman"&gt;Multi-center evaluation of a user-friendly lateral flow assay to determine IP-10 and CCL4 levels in blood of TB and non-TB cases in Africa&lt;/f&gt;&lt;/Title_Primary&gt;&lt;Authors_Primary&gt;Corstjens,P.L.&lt;/Authors_Primary&gt;&lt;Authors_Primary&gt;Tjon Kon Fat,E.M.&lt;/Authors_Primary&gt;&lt;Authors_Primary&gt;de Dood,C.J.&lt;/Authors_Primary&gt;&lt;Authors_Primary&gt;van der Ploeg-van Schip JJ&lt;/Authors_Primary&gt;&lt;Authors_Primary&gt;Franken,K.L.&lt;/Authors_Primary&gt;&lt;Authors_Primary&gt;Chegou,N.N.&lt;/Authors_Primary&gt;&lt;Authors_Primary&gt;Sutherland,J.S.&lt;/Authors_Primary&gt;&lt;Authors_Primary&gt;Howe,R.&lt;/Authors_Primary&gt;&lt;Authors_Primary&gt;Mihret,A.&lt;/Authors_Primary&gt;&lt;Authors_Primary&gt;Kassa,D.&lt;/Authors_Primary&gt;&lt;Authors_Primary&gt;van der Vyver,M.&lt;/Authors_Primary&gt;&lt;Authors_Primary&gt;Sheehama,J.&lt;/Authors_Primary&gt;&lt;Authors_Primary&gt;Simukonda,F.&lt;/Authors_Primary&gt;&lt;Authors_Primary&gt;Mayanja-Kizza,H.&lt;/Authors_Primary&gt;&lt;Authors_Primary&gt;Ottenhoff,T.H.&lt;/Authors_Primary&gt;&lt;Authors_Primary&gt;Walzl,G.&lt;/Authors_Primary&gt;&lt;Authors_Primary&gt;Geluk,A.&lt;/Authors_Primary&gt;&lt;Authors_Primary&gt;AE-TBC Consortium&lt;/Authors_Primary&gt;&lt;Date_Primary&gt;2015/8/15&lt;/Date_Primary&gt;&lt;Keywords&gt;blood&lt;/Keywords&gt;&lt;Reprint&gt;Not in File&lt;/Reprint&gt;&lt;Periodical&gt;Clin Biochem.&lt;/Periodical&gt;&lt;Misc_3&gt;10.1016&lt;/Misc_3&gt;&lt;ZZ_JournalStdAbbrev&gt;&lt;f name="System"&gt;Clin Biochem.&lt;/f&gt;&lt;/ZZ_JournalStdAbbrev&gt;&lt;ZZ_WorkformID&gt;6&lt;/ZZ_WorkformID&gt;&lt;/MDL&gt;&lt;/Cite&gt;&lt;/Refman&gt;</w:instrText>
      </w:r>
      <w:r w:rsidR="000A2DBF" w:rsidRPr="004F38BE">
        <w:fldChar w:fldCharType="separate"/>
      </w:r>
      <w:r w:rsidR="00CB2263" w:rsidRPr="00CB2263">
        <w:rPr>
          <w:vertAlign w:val="superscript"/>
        </w:rPr>
        <w:t>40</w:t>
      </w:r>
      <w:r w:rsidR="000A2DBF" w:rsidRPr="004F38BE">
        <w:fldChar w:fldCharType="end"/>
      </w:r>
      <w:r w:rsidR="007E67C9" w:rsidRPr="004F38BE">
        <w:t>.</w:t>
      </w:r>
      <w:r w:rsidR="00564234" w:rsidRPr="004F38BE">
        <w:t xml:space="preserve"> </w:t>
      </w:r>
      <w:r w:rsidR="009262F6">
        <w:t>A cheap point-of-care</w:t>
      </w:r>
      <w:r w:rsidR="00564234" w:rsidRPr="004F38BE">
        <w:t xml:space="preserve"> test</w:t>
      </w:r>
      <w:r w:rsidR="00020DE1" w:rsidRPr="004F38BE">
        <w:t xml:space="preserve">, with a high </w:t>
      </w:r>
      <w:r w:rsidR="00A755E1" w:rsidRPr="004F38BE">
        <w:t>NPV</w:t>
      </w:r>
      <w:r w:rsidR="00DF7358" w:rsidRPr="004F38BE">
        <w:t xml:space="preserve"> of 9</w:t>
      </w:r>
      <w:r w:rsidR="00575FDF" w:rsidRPr="004F38BE">
        <w:t>6.4</w:t>
      </w:r>
      <w:r w:rsidR="00DF7358" w:rsidRPr="004F38BE">
        <w:t>%</w:t>
      </w:r>
      <w:r w:rsidR="00020DE1" w:rsidRPr="004F38BE">
        <w:t xml:space="preserve">, </w:t>
      </w:r>
      <w:r w:rsidR="00DF7358" w:rsidRPr="004F38BE">
        <w:t>would</w:t>
      </w:r>
      <w:r w:rsidR="00020DE1" w:rsidRPr="004F38BE">
        <w:t xml:space="preserve"> identify patients who require confirmatory testing with gold standard tests </w:t>
      </w:r>
      <w:r w:rsidR="00726EB3" w:rsidRPr="004F38BE">
        <w:t xml:space="preserve">such as </w:t>
      </w:r>
      <w:r w:rsidR="00AC0B1A" w:rsidRPr="004F38BE">
        <w:t xml:space="preserve">culture and the </w:t>
      </w:r>
      <w:r w:rsidR="00020DE1" w:rsidRPr="004F38BE">
        <w:t>GeneXpert</w:t>
      </w:r>
      <w:r w:rsidR="00AC0B1A" w:rsidRPr="004F38BE">
        <w:t>,</w:t>
      </w:r>
      <w:r w:rsidR="00564234" w:rsidRPr="004F38BE">
        <w:t xml:space="preserve"> </w:t>
      </w:r>
      <w:r w:rsidR="00726EB3" w:rsidRPr="004F38BE">
        <w:t xml:space="preserve">which </w:t>
      </w:r>
      <w:r w:rsidR="00577441" w:rsidRPr="004F38BE">
        <w:t>are technically</w:t>
      </w:r>
      <w:r w:rsidR="00AC0B1A" w:rsidRPr="004F38BE">
        <w:t xml:space="preserve"> more demanding and have to be conducted in a centralized manner.</w:t>
      </w:r>
      <w:r w:rsidR="00020DE1" w:rsidRPr="004F38BE">
        <w:t xml:space="preserve"> </w:t>
      </w:r>
      <w:r w:rsidR="00DF7358" w:rsidRPr="004F38BE">
        <w:t xml:space="preserve">A test with performance characteristics as demonstrated here would </w:t>
      </w:r>
      <w:r w:rsidR="00726EB3" w:rsidRPr="004F38BE">
        <w:t>render</w:t>
      </w:r>
      <w:r w:rsidR="008C1A1F">
        <w:t xml:space="preserve"> about</w:t>
      </w:r>
      <w:r w:rsidR="00726EB3" w:rsidRPr="004F38BE">
        <w:t xml:space="preserve"> </w:t>
      </w:r>
      <w:r w:rsidR="00DF7358" w:rsidRPr="004F38BE">
        <w:t xml:space="preserve">75% of </w:t>
      </w:r>
      <w:r w:rsidR="00726EB3" w:rsidRPr="004F38BE">
        <w:t xml:space="preserve">the </w:t>
      </w:r>
      <w:r w:rsidR="00DF7358" w:rsidRPr="004F38BE">
        <w:t>GeneXpert tests</w:t>
      </w:r>
      <w:r w:rsidR="008C1A1F" w:rsidRPr="008C1A1F">
        <w:t xml:space="preserve"> </w:t>
      </w:r>
      <w:r w:rsidR="008C1A1F" w:rsidRPr="004F38BE">
        <w:t>currently performed</w:t>
      </w:r>
      <w:r w:rsidR="008C1A1F">
        <w:t xml:space="preserve"> in presumed TB cases for example in South Africa</w:t>
      </w:r>
      <w:r w:rsidR="00726EB3" w:rsidRPr="004F38BE">
        <w:t xml:space="preserve"> unnecessary</w:t>
      </w:r>
      <w:r w:rsidR="008C1A1F">
        <w:t>, as most of the 70 to 75% of individu</w:t>
      </w:r>
      <w:r w:rsidR="006D4720">
        <w:t>als that present with symptoms,</w:t>
      </w:r>
      <w:r w:rsidR="00562937">
        <w:t xml:space="preserve"> are</w:t>
      </w:r>
      <w:r w:rsidR="00724835">
        <w:t xml:space="preserve"> tested, and</w:t>
      </w:r>
      <w:r w:rsidR="008C1A1F">
        <w:t xml:space="preserve"> </w:t>
      </w:r>
      <w:r w:rsidR="008E4536">
        <w:t xml:space="preserve">in whom </w:t>
      </w:r>
      <w:r w:rsidR="008C1A1F">
        <w:t>TB disease</w:t>
      </w:r>
      <w:r w:rsidR="009262F6">
        <w:t xml:space="preserve"> is</w:t>
      </w:r>
      <w:r w:rsidR="008C1A1F">
        <w:t xml:space="preserve"> ruled out</w:t>
      </w:r>
      <w:r w:rsidR="00724835">
        <w:t>,</w:t>
      </w:r>
      <w:r w:rsidR="008C1A1F">
        <w:t xml:space="preserve"> would be identified by the point-of-care test</w:t>
      </w:r>
      <w:r w:rsidR="00A32CB6">
        <w:t>, thereby leading to cost savings</w:t>
      </w:r>
      <w:r w:rsidR="00DF7358" w:rsidRPr="004F38BE">
        <w:t>.</w:t>
      </w:r>
      <w:r w:rsidR="009262F6">
        <w:t xml:space="preserve"> The GeneXpert and culture tests could then be used as confirmatory tests in individuals with positive point-of-care test results and for </w:t>
      </w:r>
      <w:r w:rsidR="006A282B">
        <w:t>drug susceptibility testing.</w:t>
      </w:r>
      <w:r w:rsidR="00DF7358" w:rsidRPr="004F38BE">
        <w:t xml:space="preserve"> </w:t>
      </w:r>
    </w:p>
    <w:p w14:paraId="27BEF0E8" w14:textId="77777777" w:rsidR="0090557D" w:rsidRPr="004F38BE" w:rsidRDefault="0090557D" w:rsidP="0033455D">
      <w:pPr>
        <w:spacing w:line="360" w:lineRule="auto"/>
        <w:jc w:val="both"/>
        <w:rPr>
          <w:b/>
        </w:rPr>
      </w:pPr>
    </w:p>
    <w:p w14:paraId="632CB312" w14:textId="77777777" w:rsidR="00801124" w:rsidRPr="008A4BC6" w:rsidRDefault="00801124" w:rsidP="0033455D">
      <w:pPr>
        <w:spacing w:line="360" w:lineRule="auto"/>
        <w:jc w:val="both"/>
        <w:rPr>
          <w:b/>
        </w:rPr>
      </w:pPr>
      <w:r w:rsidRPr="008A4BC6">
        <w:rPr>
          <w:b/>
        </w:rPr>
        <w:t>Conclusion</w:t>
      </w:r>
    </w:p>
    <w:p w14:paraId="44DE9B9F" w14:textId="62A4500B" w:rsidR="00573251" w:rsidRPr="004F38BE" w:rsidRDefault="00380B87" w:rsidP="0033455D">
      <w:pPr>
        <w:spacing w:line="360" w:lineRule="auto"/>
        <w:jc w:val="both"/>
      </w:pPr>
      <w:r w:rsidRPr="004F38BE">
        <w:t xml:space="preserve">We </w:t>
      </w:r>
      <w:r w:rsidR="00801124" w:rsidRPr="004F38BE">
        <w:t xml:space="preserve">have </w:t>
      </w:r>
      <w:r w:rsidR="00EC1A7F" w:rsidRPr="004F38BE">
        <w:t xml:space="preserve">identified a promising </w:t>
      </w:r>
      <w:r w:rsidR="00954BE5" w:rsidRPr="004F38BE">
        <w:t>seven</w:t>
      </w:r>
      <w:r w:rsidR="00EC1A7F" w:rsidRPr="004F38BE">
        <w:t xml:space="preserve">-marker serum </w:t>
      </w:r>
      <w:r w:rsidR="00791376" w:rsidRPr="004F38BE">
        <w:t>host</w:t>
      </w:r>
      <w:r w:rsidR="00FD3CB7" w:rsidRPr="004F38BE">
        <w:t xml:space="preserve"> protein</w:t>
      </w:r>
      <w:r w:rsidR="00791376" w:rsidRPr="004F38BE">
        <w:t xml:space="preserve"> </w:t>
      </w:r>
      <w:r w:rsidR="00EC1A7F" w:rsidRPr="004F38BE">
        <w:t xml:space="preserve">biosignature for the diagnosis of active </w:t>
      </w:r>
      <w:r w:rsidR="00FB441A" w:rsidRPr="004F38BE">
        <w:t xml:space="preserve">pulmonary </w:t>
      </w:r>
      <w:r w:rsidR="00EC1A7F" w:rsidRPr="004F38BE">
        <w:t>TB disease</w:t>
      </w:r>
      <w:r w:rsidR="00DA260E" w:rsidRPr="004F38BE">
        <w:t xml:space="preserve"> </w:t>
      </w:r>
      <w:r w:rsidR="00FB441A" w:rsidRPr="004F38BE">
        <w:t xml:space="preserve">in adults </w:t>
      </w:r>
      <w:r w:rsidR="00DA260E" w:rsidRPr="004F38BE">
        <w:t>regardless of HIV infection status or ethnicity</w:t>
      </w:r>
      <w:r w:rsidR="00EC1A7F" w:rsidRPr="004F38BE">
        <w:t>.</w:t>
      </w:r>
      <w:r w:rsidR="00DA260E" w:rsidRPr="004F38BE">
        <w:t xml:space="preserve"> These results hold promise for further development into a field-friendly point-of-care test for </w:t>
      </w:r>
      <w:r w:rsidR="00BC66E8" w:rsidRPr="004F38BE">
        <w:t>TB</w:t>
      </w:r>
      <w:r w:rsidR="008717BA" w:rsidRPr="004F38BE">
        <w:t>.</w:t>
      </w:r>
    </w:p>
    <w:p w14:paraId="15C8DF67" w14:textId="77777777" w:rsidR="008A4C7B" w:rsidRPr="004F38BE" w:rsidRDefault="008A4C7B" w:rsidP="0033455D">
      <w:pPr>
        <w:spacing w:line="360" w:lineRule="auto"/>
        <w:jc w:val="both"/>
      </w:pPr>
    </w:p>
    <w:p w14:paraId="2B4F2071" w14:textId="77777777" w:rsidR="00CD618F" w:rsidRPr="004F38BE" w:rsidRDefault="00CD618F" w:rsidP="0033455D">
      <w:pPr>
        <w:spacing w:line="360" w:lineRule="auto"/>
        <w:jc w:val="both"/>
      </w:pPr>
    </w:p>
    <w:p w14:paraId="5F4F0198" w14:textId="77777777" w:rsidR="00CD618F" w:rsidRPr="004F38BE" w:rsidRDefault="00CD618F">
      <w:pPr>
        <w:spacing w:line="360" w:lineRule="auto"/>
        <w:jc w:val="both"/>
      </w:pPr>
    </w:p>
    <w:p w14:paraId="21CA317B" w14:textId="77777777" w:rsidR="00CD618F" w:rsidRPr="004F38BE" w:rsidRDefault="00CD618F">
      <w:pPr>
        <w:spacing w:line="360" w:lineRule="auto"/>
        <w:jc w:val="both"/>
      </w:pPr>
    </w:p>
    <w:p w14:paraId="6ABB32C4" w14:textId="0FFDFC54" w:rsidR="00CD618F" w:rsidRPr="004F38BE" w:rsidRDefault="00735885" w:rsidP="0033455D">
      <w:pPr>
        <w:spacing w:line="360" w:lineRule="auto"/>
        <w:jc w:val="both"/>
      </w:pPr>
      <w:r w:rsidRPr="004F38BE">
        <w:rPr>
          <w:b/>
        </w:rPr>
        <w:t>A</w:t>
      </w:r>
      <w:r w:rsidR="004D7872" w:rsidRPr="004F38BE">
        <w:rPr>
          <w:b/>
        </w:rPr>
        <w:t>CKNOWLEDGEMENTS</w:t>
      </w:r>
    </w:p>
    <w:p w14:paraId="01675ACE" w14:textId="77777777" w:rsidR="00233E01" w:rsidRPr="004F38BE" w:rsidRDefault="008319A4" w:rsidP="0033455D">
      <w:pPr>
        <w:spacing w:line="360" w:lineRule="auto"/>
        <w:jc w:val="both"/>
      </w:pPr>
      <w:r w:rsidRPr="004F38BE">
        <w:t>We are grateful to all our study participants</w:t>
      </w:r>
      <w:r w:rsidR="00573251" w:rsidRPr="004F38BE">
        <w:t>,</w:t>
      </w:r>
      <w:r w:rsidRPr="004F38BE">
        <w:t xml:space="preserve"> and support staff at the different laboratories that participated in </w:t>
      </w:r>
      <w:r w:rsidR="00573251" w:rsidRPr="004F38BE">
        <w:t>the</w:t>
      </w:r>
      <w:r w:rsidRPr="004F38BE">
        <w:t xml:space="preserve"> project. T</w:t>
      </w:r>
      <w:r w:rsidR="00AD342B" w:rsidRPr="004F38BE">
        <w:t xml:space="preserve">he following present or past members of the </w:t>
      </w:r>
      <w:r w:rsidRPr="004F38BE">
        <w:t>AE-TBC Consortium</w:t>
      </w:r>
      <w:r w:rsidR="00AD342B" w:rsidRPr="004F38BE">
        <w:t xml:space="preserve"> contributed to this work</w:t>
      </w:r>
      <w:r w:rsidR="00573251" w:rsidRPr="004F38BE">
        <w:t>:</w:t>
      </w:r>
    </w:p>
    <w:p w14:paraId="700EB359" w14:textId="77777777" w:rsidR="00F54738" w:rsidRPr="004F38BE" w:rsidRDefault="00F54738" w:rsidP="0033455D">
      <w:pPr>
        <w:spacing w:line="360" w:lineRule="auto"/>
        <w:jc w:val="both"/>
      </w:pPr>
    </w:p>
    <w:p w14:paraId="7C8A2141" w14:textId="48D6919F" w:rsidR="00233E01" w:rsidRPr="004F38BE" w:rsidRDefault="006816F8" w:rsidP="0033455D">
      <w:pPr>
        <w:spacing w:line="360" w:lineRule="auto"/>
        <w:jc w:val="both"/>
      </w:pPr>
      <w:r w:rsidRPr="004F38BE">
        <w:rPr>
          <w:b/>
        </w:rPr>
        <w:t>Stellenbosch University</w:t>
      </w:r>
      <w:r w:rsidRPr="004F38BE">
        <w:t xml:space="preserve">, </w:t>
      </w:r>
      <w:r w:rsidRPr="004F38BE">
        <w:rPr>
          <w:b/>
        </w:rPr>
        <w:t>South Africa</w:t>
      </w:r>
      <w:r w:rsidRPr="004F38BE">
        <w:t xml:space="preserve">: Gerhard Walzl, Novel N. Chegou, Magdalena </w:t>
      </w:r>
      <w:proofErr w:type="spellStart"/>
      <w:r w:rsidRPr="004F38BE">
        <w:t>Kriel</w:t>
      </w:r>
      <w:proofErr w:type="spellEnd"/>
      <w:r w:rsidRPr="004F38BE">
        <w:t xml:space="preserve">, Gian van der Spuy, Andre G. Loxton, Kim Stanley, Stephanus Malherbe, Belinda </w:t>
      </w:r>
      <w:proofErr w:type="spellStart"/>
      <w:r w:rsidRPr="004F38BE">
        <w:t>Kriel</w:t>
      </w:r>
      <w:proofErr w:type="spellEnd"/>
      <w:r w:rsidR="00D041C0" w:rsidRPr="004F38BE">
        <w:t xml:space="preserve">, Leigh A </w:t>
      </w:r>
      <w:proofErr w:type="spellStart"/>
      <w:r w:rsidR="00D041C0" w:rsidRPr="004F38BE">
        <w:t>Kotzé</w:t>
      </w:r>
      <w:proofErr w:type="spellEnd"/>
      <w:r w:rsidR="00AB7B52" w:rsidRPr="004F38BE">
        <w:t xml:space="preserve">, Dolapo O. </w:t>
      </w:r>
      <w:proofErr w:type="spellStart"/>
      <w:r w:rsidR="00AB7B52" w:rsidRPr="004F38BE">
        <w:t>Awoniyi</w:t>
      </w:r>
      <w:proofErr w:type="spellEnd"/>
      <w:r w:rsidR="00FA12F5" w:rsidRPr="004F38BE">
        <w:t>, Elizna Maasdorp</w:t>
      </w:r>
    </w:p>
    <w:p w14:paraId="323CCD78" w14:textId="6EA1CC53" w:rsidR="00233E01" w:rsidRPr="004F38BE" w:rsidRDefault="006816F8" w:rsidP="0033455D">
      <w:pPr>
        <w:spacing w:line="360" w:lineRule="auto"/>
        <w:jc w:val="both"/>
      </w:pPr>
      <w:r w:rsidRPr="004F38BE">
        <w:t xml:space="preserve"> </w:t>
      </w:r>
      <w:r w:rsidRPr="004F38BE">
        <w:rPr>
          <w:b/>
        </w:rPr>
        <w:t>MRC Unit, The Gambia</w:t>
      </w:r>
      <w:r w:rsidRPr="004F38BE">
        <w:t xml:space="preserve">: Jayne S Sutherland, </w:t>
      </w:r>
      <w:proofErr w:type="spellStart"/>
      <w:r w:rsidRPr="004F38BE">
        <w:t>Olumuyiwa</w:t>
      </w:r>
      <w:proofErr w:type="spellEnd"/>
      <w:r w:rsidRPr="004F38BE">
        <w:t xml:space="preserve"> </w:t>
      </w:r>
      <w:proofErr w:type="spellStart"/>
      <w:r w:rsidRPr="004F38BE">
        <w:t>Owolabi</w:t>
      </w:r>
      <w:proofErr w:type="spellEnd"/>
      <w:r w:rsidRPr="004F38BE">
        <w:t xml:space="preserve">, </w:t>
      </w:r>
      <w:proofErr w:type="spellStart"/>
      <w:r w:rsidRPr="004F38BE">
        <w:t>Abdou</w:t>
      </w:r>
      <w:proofErr w:type="spellEnd"/>
      <w:r w:rsidRPr="004F38BE">
        <w:t xml:space="preserve"> </w:t>
      </w:r>
      <w:proofErr w:type="spellStart"/>
      <w:r w:rsidRPr="004F38BE">
        <w:t>Sillah</w:t>
      </w:r>
      <w:proofErr w:type="spellEnd"/>
      <w:r w:rsidRPr="004F38BE">
        <w:t xml:space="preserve">, Joseph Mendy, Awa </w:t>
      </w:r>
      <w:proofErr w:type="spellStart"/>
      <w:r w:rsidRPr="004F38BE">
        <w:t>Gindeh</w:t>
      </w:r>
      <w:proofErr w:type="spellEnd"/>
      <w:r w:rsidRPr="004F38BE">
        <w:t xml:space="preserve">, Simon </w:t>
      </w:r>
      <w:proofErr w:type="spellStart"/>
      <w:r w:rsidRPr="004F38BE">
        <w:t>Donkor</w:t>
      </w:r>
      <w:proofErr w:type="spellEnd"/>
      <w:r w:rsidRPr="004F38BE">
        <w:t xml:space="preserve">, </w:t>
      </w:r>
      <w:proofErr w:type="spellStart"/>
      <w:r w:rsidRPr="004F38BE">
        <w:t>Toyin</w:t>
      </w:r>
      <w:proofErr w:type="spellEnd"/>
      <w:r w:rsidRPr="004F38BE">
        <w:t xml:space="preserve"> </w:t>
      </w:r>
      <w:proofErr w:type="spellStart"/>
      <w:r w:rsidRPr="004F38BE">
        <w:t>Togun</w:t>
      </w:r>
      <w:proofErr w:type="spellEnd"/>
      <w:r w:rsidRPr="004F38BE">
        <w:t>, Martin Ota</w:t>
      </w:r>
    </w:p>
    <w:p w14:paraId="50A5EE43" w14:textId="77777777" w:rsidR="00233E01" w:rsidRPr="004F38BE" w:rsidRDefault="006816F8" w:rsidP="0033455D">
      <w:pPr>
        <w:spacing w:line="360" w:lineRule="auto"/>
        <w:jc w:val="both"/>
      </w:pPr>
      <w:proofErr w:type="spellStart"/>
      <w:r w:rsidRPr="004F38BE">
        <w:rPr>
          <w:b/>
        </w:rPr>
        <w:t>Karonga</w:t>
      </w:r>
      <w:proofErr w:type="spellEnd"/>
      <w:r w:rsidRPr="004F38BE">
        <w:rPr>
          <w:b/>
        </w:rPr>
        <w:t xml:space="preserve"> Prevention Study, Malawi</w:t>
      </w:r>
      <w:r w:rsidRPr="004F38BE">
        <w:t xml:space="preserve">: Amelia C Crampin, </w:t>
      </w:r>
      <w:proofErr w:type="spellStart"/>
      <w:r w:rsidRPr="004F38BE">
        <w:t>Felanji</w:t>
      </w:r>
      <w:proofErr w:type="spellEnd"/>
      <w:r w:rsidRPr="004F38BE">
        <w:t xml:space="preserve"> </w:t>
      </w:r>
      <w:proofErr w:type="spellStart"/>
      <w:r w:rsidRPr="004F38BE">
        <w:t>Simukonda</w:t>
      </w:r>
      <w:proofErr w:type="spellEnd"/>
      <w:r w:rsidRPr="004F38BE">
        <w:t xml:space="preserve">, </w:t>
      </w:r>
      <w:proofErr w:type="spellStart"/>
      <w:r w:rsidRPr="004F38BE">
        <w:t>Alemayehu</w:t>
      </w:r>
      <w:proofErr w:type="spellEnd"/>
      <w:r w:rsidRPr="004F38BE">
        <w:t xml:space="preserve"> </w:t>
      </w:r>
      <w:proofErr w:type="spellStart"/>
      <w:r w:rsidRPr="004F38BE">
        <w:t>Amberbir</w:t>
      </w:r>
      <w:proofErr w:type="spellEnd"/>
      <w:r w:rsidRPr="004F38BE">
        <w:t xml:space="preserve">, </w:t>
      </w:r>
      <w:proofErr w:type="spellStart"/>
      <w:r w:rsidRPr="004F38BE">
        <w:t>Femia</w:t>
      </w:r>
      <w:proofErr w:type="spellEnd"/>
      <w:r w:rsidRPr="004F38BE">
        <w:t xml:space="preserve"> </w:t>
      </w:r>
      <w:proofErr w:type="spellStart"/>
      <w:r w:rsidRPr="004F38BE">
        <w:t>Chilongo</w:t>
      </w:r>
      <w:proofErr w:type="spellEnd"/>
      <w:r w:rsidRPr="004F38BE">
        <w:t>, Rein Houben</w:t>
      </w:r>
    </w:p>
    <w:p w14:paraId="404B2514" w14:textId="77777777" w:rsidR="00233E01" w:rsidRPr="004F38BE" w:rsidRDefault="006816F8" w:rsidP="0033455D">
      <w:pPr>
        <w:spacing w:line="360" w:lineRule="auto"/>
        <w:jc w:val="both"/>
      </w:pPr>
      <w:r w:rsidRPr="004F38BE">
        <w:rPr>
          <w:b/>
        </w:rPr>
        <w:lastRenderedPageBreak/>
        <w:t>Ethiopian Health and Nutrition Research Institute, Ethiopia</w:t>
      </w:r>
      <w:r w:rsidRPr="004F38BE">
        <w:t xml:space="preserve">: Desta </w:t>
      </w:r>
      <w:proofErr w:type="spellStart"/>
      <w:r w:rsidRPr="004F38BE">
        <w:t>Kassa</w:t>
      </w:r>
      <w:proofErr w:type="spellEnd"/>
      <w:r w:rsidRPr="004F38BE">
        <w:t xml:space="preserve">, </w:t>
      </w:r>
      <w:proofErr w:type="spellStart"/>
      <w:r w:rsidRPr="004F38BE">
        <w:t>Atsbeha</w:t>
      </w:r>
      <w:proofErr w:type="spellEnd"/>
      <w:r w:rsidRPr="004F38BE">
        <w:t xml:space="preserve"> </w:t>
      </w:r>
      <w:proofErr w:type="spellStart"/>
      <w:r w:rsidRPr="004F38BE">
        <w:t>Gebrezgeabher</w:t>
      </w:r>
      <w:proofErr w:type="spellEnd"/>
      <w:r w:rsidRPr="004F38BE">
        <w:t xml:space="preserve">, </w:t>
      </w:r>
      <w:proofErr w:type="spellStart"/>
      <w:r w:rsidRPr="004F38BE">
        <w:t>Getnet</w:t>
      </w:r>
      <w:proofErr w:type="spellEnd"/>
      <w:r w:rsidRPr="004F38BE">
        <w:t xml:space="preserve"> </w:t>
      </w:r>
      <w:proofErr w:type="spellStart"/>
      <w:r w:rsidRPr="004F38BE">
        <w:t>Mesfin</w:t>
      </w:r>
      <w:proofErr w:type="spellEnd"/>
      <w:r w:rsidRPr="004F38BE">
        <w:t xml:space="preserve">, </w:t>
      </w:r>
      <w:proofErr w:type="spellStart"/>
      <w:r w:rsidRPr="004F38BE">
        <w:t>Yohannes</w:t>
      </w:r>
      <w:proofErr w:type="spellEnd"/>
      <w:r w:rsidRPr="004F38BE">
        <w:t xml:space="preserve"> Belay, Gebremedhin </w:t>
      </w:r>
      <w:proofErr w:type="spellStart"/>
      <w:r w:rsidRPr="004F38BE">
        <w:t>Gebremichael</w:t>
      </w:r>
      <w:proofErr w:type="spellEnd"/>
      <w:r w:rsidRPr="004F38BE">
        <w:t xml:space="preserve">, </w:t>
      </w:r>
      <w:proofErr w:type="spellStart"/>
      <w:r w:rsidRPr="004F38BE">
        <w:t>Yodit</w:t>
      </w:r>
      <w:proofErr w:type="spellEnd"/>
      <w:r w:rsidRPr="004F38BE">
        <w:t xml:space="preserve"> </w:t>
      </w:r>
      <w:proofErr w:type="spellStart"/>
      <w:r w:rsidRPr="004F38BE">
        <w:t>Alemayehu</w:t>
      </w:r>
      <w:proofErr w:type="spellEnd"/>
    </w:p>
    <w:p w14:paraId="586875DA" w14:textId="77777777" w:rsidR="00233E01" w:rsidRPr="004F38BE" w:rsidRDefault="006816F8" w:rsidP="0033455D">
      <w:pPr>
        <w:spacing w:line="360" w:lineRule="auto"/>
        <w:jc w:val="both"/>
      </w:pPr>
      <w:r w:rsidRPr="004F38BE">
        <w:rPr>
          <w:b/>
        </w:rPr>
        <w:t xml:space="preserve">University of Namibia, Namibia: </w:t>
      </w:r>
      <w:r w:rsidRPr="004F38BE">
        <w:t xml:space="preserve">Marieta van der </w:t>
      </w:r>
      <w:proofErr w:type="spellStart"/>
      <w:r w:rsidRPr="004F38BE">
        <w:t>Vyver</w:t>
      </w:r>
      <w:proofErr w:type="spellEnd"/>
      <w:r w:rsidRPr="004F38BE">
        <w:t xml:space="preserve">, Faustina N </w:t>
      </w:r>
      <w:proofErr w:type="spellStart"/>
      <w:r w:rsidRPr="004F38BE">
        <w:t>Amutenya</w:t>
      </w:r>
      <w:proofErr w:type="spellEnd"/>
      <w:r w:rsidRPr="004F38BE">
        <w:t xml:space="preserve">, Josefina N </w:t>
      </w:r>
      <w:proofErr w:type="spellStart"/>
      <w:r w:rsidRPr="004F38BE">
        <w:t>Nelongo</w:t>
      </w:r>
      <w:proofErr w:type="spellEnd"/>
      <w:r w:rsidRPr="004F38BE">
        <w:t xml:space="preserve">, Lidia </w:t>
      </w:r>
      <w:proofErr w:type="spellStart"/>
      <w:r w:rsidRPr="004F38BE">
        <w:t>Monye</w:t>
      </w:r>
      <w:proofErr w:type="spellEnd"/>
      <w:r w:rsidRPr="004F38BE">
        <w:t xml:space="preserve">, Jacob A </w:t>
      </w:r>
      <w:proofErr w:type="spellStart"/>
      <w:r w:rsidRPr="004F38BE">
        <w:t>Sheehama</w:t>
      </w:r>
      <w:proofErr w:type="spellEnd"/>
      <w:r w:rsidRPr="004F38BE">
        <w:t xml:space="preserve">, </w:t>
      </w:r>
      <w:proofErr w:type="spellStart"/>
      <w:r w:rsidRPr="004F38BE">
        <w:t>Scholastica</w:t>
      </w:r>
      <w:proofErr w:type="spellEnd"/>
      <w:r w:rsidRPr="004F38BE">
        <w:t xml:space="preserve"> </w:t>
      </w:r>
      <w:proofErr w:type="spellStart"/>
      <w:r w:rsidRPr="004F38BE">
        <w:t>Iipinge</w:t>
      </w:r>
      <w:proofErr w:type="spellEnd"/>
      <w:r w:rsidRPr="004F38BE">
        <w:t>,</w:t>
      </w:r>
    </w:p>
    <w:p w14:paraId="1304930D" w14:textId="77777777" w:rsidR="00233E01" w:rsidRPr="004F38BE" w:rsidRDefault="006816F8" w:rsidP="0033455D">
      <w:pPr>
        <w:spacing w:line="360" w:lineRule="auto"/>
        <w:jc w:val="both"/>
      </w:pPr>
      <w:proofErr w:type="spellStart"/>
      <w:r w:rsidRPr="004F38BE">
        <w:rPr>
          <w:b/>
        </w:rPr>
        <w:t>Makerere</w:t>
      </w:r>
      <w:proofErr w:type="spellEnd"/>
      <w:r w:rsidRPr="004F38BE">
        <w:rPr>
          <w:b/>
        </w:rPr>
        <w:t xml:space="preserve"> University, Uganda</w:t>
      </w:r>
      <w:r w:rsidRPr="004F38BE">
        <w:t xml:space="preserve">:  Harriet Mayanja-Kizza, Ann Ritah Namuganga, Grace </w:t>
      </w:r>
      <w:proofErr w:type="spellStart"/>
      <w:r w:rsidRPr="004F38BE">
        <w:t>Muzanye</w:t>
      </w:r>
      <w:proofErr w:type="spellEnd"/>
      <w:r w:rsidRPr="004F38BE">
        <w:t xml:space="preserve">, Mary </w:t>
      </w:r>
      <w:proofErr w:type="spellStart"/>
      <w:r w:rsidRPr="004F38BE">
        <w:t>Nsereko</w:t>
      </w:r>
      <w:proofErr w:type="spellEnd"/>
      <w:r w:rsidRPr="004F38BE">
        <w:t>, Pierre Peters</w:t>
      </w:r>
    </w:p>
    <w:p w14:paraId="1B1D2D30" w14:textId="77777777" w:rsidR="00233E01" w:rsidRPr="004F38BE" w:rsidRDefault="006816F8" w:rsidP="0033455D">
      <w:pPr>
        <w:spacing w:line="360" w:lineRule="auto"/>
        <w:jc w:val="both"/>
      </w:pPr>
      <w:proofErr w:type="spellStart"/>
      <w:r w:rsidRPr="004F38BE">
        <w:rPr>
          <w:b/>
        </w:rPr>
        <w:t>Armauer</w:t>
      </w:r>
      <w:proofErr w:type="spellEnd"/>
      <w:r w:rsidRPr="004F38BE">
        <w:rPr>
          <w:b/>
        </w:rPr>
        <w:t xml:space="preserve"> Hansen Research Institute, Ethiopia</w:t>
      </w:r>
      <w:r w:rsidRPr="004F38BE">
        <w:t xml:space="preserve">: Rawleigh Howe, Adane Mihret, </w:t>
      </w:r>
      <w:proofErr w:type="spellStart"/>
      <w:r w:rsidRPr="004F38BE">
        <w:t>Yonas</w:t>
      </w:r>
      <w:proofErr w:type="spellEnd"/>
      <w:r w:rsidRPr="004F38BE">
        <w:t xml:space="preserve"> Bekele, </w:t>
      </w:r>
      <w:proofErr w:type="spellStart"/>
      <w:r w:rsidRPr="004F38BE">
        <w:t>Bamlak</w:t>
      </w:r>
      <w:proofErr w:type="spellEnd"/>
      <w:r w:rsidRPr="004F38BE">
        <w:t xml:space="preserve"> </w:t>
      </w:r>
      <w:proofErr w:type="spellStart"/>
      <w:r w:rsidRPr="004F38BE">
        <w:t>Tessema</w:t>
      </w:r>
      <w:proofErr w:type="spellEnd"/>
      <w:r w:rsidRPr="004F38BE">
        <w:t xml:space="preserve">, Lawrence </w:t>
      </w:r>
      <w:proofErr w:type="spellStart"/>
      <w:r w:rsidRPr="004F38BE">
        <w:t>Yamuah</w:t>
      </w:r>
      <w:proofErr w:type="spellEnd"/>
    </w:p>
    <w:p w14:paraId="509EBAEC" w14:textId="77777777" w:rsidR="00233E01" w:rsidRPr="004F38BE" w:rsidRDefault="00E61814" w:rsidP="0033455D">
      <w:pPr>
        <w:spacing w:line="360" w:lineRule="auto"/>
        <w:jc w:val="both"/>
        <w:rPr>
          <w:lang w:val="nl-NL"/>
        </w:rPr>
      </w:pPr>
      <w:r w:rsidRPr="004F38BE">
        <w:rPr>
          <w:b/>
          <w:lang w:val="nl-NL"/>
        </w:rPr>
        <w:t>Leiden University Medical Centre, The Netherlands</w:t>
      </w:r>
      <w:r w:rsidRPr="004F38BE">
        <w:rPr>
          <w:lang w:val="nl-NL"/>
        </w:rPr>
        <w:t xml:space="preserve">:  Tom H.M. Ottenhoff,  Annemieke Geluk, Kees </w:t>
      </w:r>
      <w:r w:rsidR="00176DAF" w:rsidRPr="004F38BE">
        <w:rPr>
          <w:lang w:val="nl-NL"/>
        </w:rPr>
        <w:t xml:space="preserve">L.M.C. </w:t>
      </w:r>
      <w:r w:rsidRPr="004F38BE">
        <w:rPr>
          <w:lang w:val="nl-NL"/>
        </w:rPr>
        <w:t xml:space="preserve">Franken, Paul L.A.M. Corstjens, Elisa M. Tjon Kon Fat, Claudia J. de Dood, Jolien J. van der Ploeg-van Schip </w:t>
      </w:r>
    </w:p>
    <w:p w14:paraId="68945D9C" w14:textId="77777777" w:rsidR="00233E01" w:rsidRPr="004F38BE" w:rsidRDefault="006816F8" w:rsidP="0033455D">
      <w:pPr>
        <w:spacing w:line="360" w:lineRule="auto"/>
        <w:jc w:val="both"/>
        <w:rPr>
          <w:lang w:val="de-DE"/>
        </w:rPr>
      </w:pPr>
      <w:r w:rsidRPr="004F38BE">
        <w:rPr>
          <w:b/>
          <w:lang w:val="de-DE"/>
        </w:rPr>
        <w:t>Statens Serum Institut, Copenhagen, Denmark:</w:t>
      </w:r>
      <w:r w:rsidRPr="004F38BE">
        <w:rPr>
          <w:lang w:val="de-DE"/>
        </w:rPr>
        <w:t xml:space="preserve"> Ida Rosenkrands, Claus Aagaard</w:t>
      </w:r>
    </w:p>
    <w:p w14:paraId="65F3863C" w14:textId="77777777" w:rsidR="00233E01" w:rsidRPr="004F38BE" w:rsidRDefault="00E61814" w:rsidP="0033455D">
      <w:pPr>
        <w:spacing w:line="360" w:lineRule="auto"/>
        <w:jc w:val="both"/>
        <w:rPr>
          <w:lang w:val="nl-NL"/>
        </w:rPr>
      </w:pPr>
      <w:r w:rsidRPr="004F38BE">
        <w:rPr>
          <w:b/>
          <w:lang w:val="nl-NL"/>
        </w:rPr>
        <w:t>Max Planck Institute for Infection Biology, Berlin, Germany:</w:t>
      </w:r>
      <w:r w:rsidRPr="004F38BE">
        <w:rPr>
          <w:lang w:val="nl-NL"/>
        </w:rPr>
        <w:t xml:space="preserve"> Stefan H.E. Kaufmann, Maria M. Esterhuyse</w:t>
      </w:r>
    </w:p>
    <w:p w14:paraId="02E96FD1" w14:textId="77777777" w:rsidR="00233E01" w:rsidRDefault="006816F8" w:rsidP="0033455D">
      <w:pPr>
        <w:spacing w:line="360" w:lineRule="auto"/>
        <w:jc w:val="both"/>
      </w:pPr>
      <w:r w:rsidRPr="004F38BE">
        <w:rPr>
          <w:b/>
        </w:rPr>
        <w:t>London School of Hygiene and Tropical Medicine, London, UK</w:t>
      </w:r>
      <w:r w:rsidRPr="004F38BE">
        <w:t>: Jacqueline M. Cliff, Hazel M. Dockrell</w:t>
      </w:r>
    </w:p>
    <w:p w14:paraId="5CA32BD1" w14:textId="77777777" w:rsidR="00150094" w:rsidRPr="004F38BE" w:rsidRDefault="00150094" w:rsidP="0033455D">
      <w:pPr>
        <w:spacing w:line="360" w:lineRule="auto"/>
        <w:jc w:val="both"/>
      </w:pPr>
    </w:p>
    <w:p w14:paraId="19EC3E99" w14:textId="00CB05CD" w:rsidR="00150094" w:rsidRPr="004F38BE" w:rsidRDefault="00150094" w:rsidP="00150094">
      <w:pPr>
        <w:spacing w:line="360" w:lineRule="auto"/>
        <w:jc w:val="both"/>
        <w:rPr>
          <w:b/>
        </w:rPr>
      </w:pPr>
      <w:r w:rsidRPr="004F38BE">
        <w:rPr>
          <w:b/>
        </w:rPr>
        <w:t>COMPETING INTERESTS</w:t>
      </w:r>
    </w:p>
    <w:p w14:paraId="172A422F" w14:textId="77777777" w:rsidR="00150094" w:rsidRPr="004F38BE" w:rsidRDefault="00150094" w:rsidP="00150094">
      <w:pPr>
        <w:autoSpaceDE w:val="0"/>
        <w:autoSpaceDN w:val="0"/>
        <w:adjustRightInd w:val="0"/>
        <w:spacing w:line="360" w:lineRule="auto"/>
        <w:jc w:val="both"/>
        <w:rPr>
          <w:rFonts w:eastAsia="ArialUnicodeMS"/>
          <w:lang w:val="en-ZA" w:eastAsia="en-ZA"/>
        </w:rPr>
      </w:pPr>
      <w:r w:rsidRPr="004F38BE">
        <w:rPr>
          <w:rFonts w:eastAsia="ArialUnicodeMS"/>
          <w:lang w:val="en-ZA" w:eastAsia="en-ZA"/>
        </w:rPr>
        <w:t>Chegou NN, Walzl G and Mihret A are listed as inventors on an international patent application on the work reported in this manuscript, application no: PCT/IB2015/051435, Filing date: 2015/02/26; Chegou NN and Walzl G are listed as co-inventors on other patents related to diagnostic biosignatures for TB disease including: PCT/IB2015/052751, Filing date: 15/04/2015; PCT/IB2013/054377/US14/403,659, Filing date: 2014/11/25.</w:t>
      </w:r>
    </w:p>
    <w:p w14:paraId="04240E11" w14:textId="77777777" w:rsidR="005210F3" w:rsidRPr="004F38BE" w:rsidRDefault="005210F3" w:rsidP="0033455D">
      <w:pPr>
        <w:spacing w:line="360" w:lineRule="auto"/>
        <w:jc w:val="both"/>
      </w:pPr>
    </w:p>
    <w:p w14:paraId="39C5A635" w14:textId="07AA3529" w:rsidR="005210F3" w:rsidRPr="004F38BE" w:rsidRDefault="005210F3">
      <w:pPr>
        <w:spacing w:line="360" w:lineRule="auto"/>
        <w:jc w:val="both"/>
        <w:rPr>
          <w:b/>
        </w:rPr>
      </w:pPr>
      <w:r w:rsidRPr="004F38BE">
        <w:rPr>
          <w:b/>
        </w:rPr>
        <w:t>F</w:t>
      </w:r>
      <w:r w:rsidR="004D7872" w:rsidRPr="004F38BE">
        <w:rPr>
          <w:b/>
        </w:rPr>
        <w:t>UNDING</w:t>
      </w:r>
    </w:p>
    <w:p w14:paraId="344FA9D6" w14:textId="77777777" w:rsidR="00095673" w:rsidRDefault="005210F3" w:rsidP="00095673">
      <w:pPr>
        <w:spacing w:line="360" w:lineRule="auto"/>
        <w:jc w:val="both"/>
      </w:pPr>
      <w:r w:rsidRPr="004F38BE">
        <w:t xml:space="preserve">This work was supported by the European and Developing Countries Clinical Trials Partnership (EDCTP), grant number IP_2009_32040), through the African European Tuberculosis Consortium (AE-TBC, </w:t>
      </w:r>
      <w:hyperlink r:id="rId10" w:history="1">
        <w:r w:rsidRPr="004F38BE">
          <w:rPr>
            <w:rStyle w:val="Hyperlink"/>
          </w:rPr>
          <w:t>www.ae-tbc.eu</w:t>
        </w:r>
      </w:hyperlink>
      <w:hyperlink r:id="rId11" w:history="1">
        <w:r w:rsidRPr="004F38BE">
          <w:rPr>
            <w:rStyle w:val="Hyperlink"/>
          </w:rPr>
          <w:t>www.ae-tbc.eu</w:t>
        </w:r>
      </w:hyperlink>
      <w:r w:rsidRPr="004F38BE">
        <w:t xml:space="preserve">), with Prof. Gerhard Walzl as Principal Investigator. </w:t>
      </w:r>
    </w:p>
    <w:p w14:paraId="332224DB" w14:textId="77777777" w:rsidR="00095673" w:rsidRDefault="00095673" w:rsidP="00095673">
      <w:pPr>
        <w:spacing w:line="360" w:lineRule="auto"/>
        <w:jc w:val="both"/>
      </w:pPr>
    </w:p>
    <w:p w14:paraId="24115CDA" w14:textId="77777777" w:rsidR="00AC3F27" w:rsidRDefault="00AC3F27" w:rsidP="00D62F50">
      <w:pPr>
        <w:jc w:val="center"/>
      </w:pPr>
    </w:p>
    <w:p w14:paraId="4691EBDF" w14:textId="77777777" w:rsidR="00CB2263" w:rsidRDefault="00020281" w:rsidP="00A43C52">
      <w:pPr>
        <w:tabs>
          <w:tab w:val="right" w:pos="540"/>
          <w:tab w:val="left" w:pos="720"/>
        </w:tabs>
        <w:ind w:left="720" w:hanging="720"/>
      </w:pPr>
      <w:r w:rsidRPr="006F1AB9">
        <w:fldChar w:fldCharType="begin"/>
      </w:r>
      <w:r w:rsidR="006816F8" w:rsidRPr="008A4BC6">
        <w:instrText xml:space="preserve"> ADDIN REFMGR.REFLIST </w:instrText>
      </w:r>
      <w:r w:rsidRPr="006F1AB9">
        <w:fldChar w:fldCharType="separate"/>
      </w:r>
      <w:r w:rsidR="00CB2263">
        <w:t>Reference List</w:t>
      </w:r>
    </w:p>
    <w:p w14:paraId="5263C583" w14:textId="77777777" w:rsidR="00CB2263" w:rsidRDefault="00CB2263" w:rsidP="00A43C52">
      <w:pPr>
        <w:tabs>
          <w:tab w:val="right" w:pos="540"/>
          <w:tab w:val="left" w:pos="720"/>
        </w:tabs>
        <w:ind w:left="720" w:hanging="720"/>
      </w:pPr>
    </w:p>
    <w:p w14:paraId="1C51855E" w14:textId="0FE1714D" w:rsidR="00CB2263" w:rsidRDefault="00CB2263" w:rsidP="00A43C52">
      <w:pPr>
        <w:tabs>
          <w:tab w:val="right" w:pos="540"/>
          <w:tab w:val="left" w:pos="720"/>
        </w:tabs>
        <w:spacing w:after="240"/>
        <w:ind w:left="720" w:hanging="720"/>
      </w:pPr>
      <w:r>
        <w:tab/>
        <w:t xml:space="preserve">(1) </w:t>
      </w:r>
      <w:r>
        <w:tab/>
        <w:t xml:space="preserve">World Health Organisation. Global Tuberculosis Report 2015. </w:t>
      </w:r>
    </w:p>
    <w:p w14:paraId="180779C2" w14:textId="77777777" w:rsidR="00CB2263" w:rsidRDefault="00CB2263" w:rsidP="00A43C52">
      <w:pPr>
        <w:tabs>
          <w:tab w:val="right" w:pos="540"/>
          <w:tab w:val="left" w:pos="720"/>
        </w:tabs>
        <w:spacing w:after="240"/>
        <w:ind w:left="720" w:hanging="720"/>
      </w:pPr>
      <w:r>
        <w:lastRenderedPageBreak/>
        <w:tab/>
        <w:t xml:space="preserve">(2) </w:t>
      </w:r>
      <w:r>
        <w:tab/>
        <w:t>Chegou NN, Hoek KG, Kriel M, Warren RM, Victor TC, Walzl G. Tuberculosis assays: past, present and future. Expert Rev Anti Infect Ther 2011; 9(4):457-469.</w:t>
      </w:r>
    </w:p>
    <w:p w14:paraId="565BCDF9" w14:textId="77777777" w:rsidR="00CB2263" w:rsidRDefault="00CB2263" w:rsidP="00A43C52">
      <w:pPr>
        <w:tabs>
          <w:tab w:val="right" w:pos="540"/>
          <w:tab w:val="left" w:pos="720"/>
        </w:tabs>
        <w:spacing w:after="240"/>
        <w:ind w:left="720" w:hanging="720"/>
      </w:pPr>
      <w:r>
        <w:tab/>
        <w:t xml:space="preserve">(3) </w:t>
      </w:r>
      <w:r>
        <w:tab/>
        <w:t>Trebucq A, Enarson DA, Chiang CY, Van DA, Harries AD, Boillot F et al. Xpert((R)) MTB/RIF for national tuberculosis programmes in low-income countries: when, where and how? Int J Tuberc Lung Dis 2011; 15(12):1567-1572.</w:t>
      </w:r>
    </w:p>
    <w:p w14:paraId="616ABEDF" w14:textId="77777777" w:rsidR="00CB2263" w:rsidRPr="00A43C52" w:rsidRDefault="00CB2263" w:rsidP="00A43C52">
      <w:pPr>
        <w:tabs>
          <w:tab w:val="right" w:pos="540"/>
          <w:tab w:val="left" w:pos="720"/>
        </w:tabs>
        <w:spacing w:after="240"/>
        <w:ind w:left="720" w:hanging="720"/>
        <w:rPr>
          <w:lang w:val="nl-NL"/>
        </w:rPr>
      </w:pPr>
      <w:r>
        <w:tab/>
        <w:t xml:space="preserve">(4) </w:t>
      </w:r>
      <w:r>
        <w:tab/>
        <w:t xml:space="preserve">Marais BJ, Pai M. New approaches and emerging technologies in the diagnosis of childhood tuberculosis. </w:t>
      </w:r>
      <w:r w:rsidRPr="00A43C52">
        <w:rPr>
          <w:lang w:val="nl-NL"/>
        </w:rPr>
        <w:t>Paediatr Respir Rev 2007; 8(2):124-133.</w:t>
      </w:r>
    </w:p>
    <w:p w14:paraId="16EB9574" w14:textId="77777777" w:rsidR="00CB2263" w:rsidRPr="00A43C52" w:rsidRDefault="00CB2263" w:rsidP="00A43C52">
      <w:pPr>
        <w:tabs>
          <w:tab w:val="right" w:pos="540"/>
          <w:tab w:val="left" w:pos="720"/>
        </w:tabs>
        <w:spacing w:after="240"/>
        <w:ind w:left="720" w:hanging="720"/>
        <w:rPr>
          <w:lang w:val="nl-NL"/>
        </w:rPr>
      </w:pPr>
      <w:r w:rsidRPr="00A43C52">
        <w:rPr>
          <w:lang w:val="nl-NL"/>
        </w:rPr>
        <w:tab/>
        <w:t xml:space="preserve">(5) </w:t>
      </w:r>
      <w:r w:rsidRPr="00A43C52">
        <w:rPr>
          <w:lang w:val="nl-NL"/>
        </w:rPr>
        <w:tab/>
        <w:t xml:space="preserve">Chegou NN, Walzl G, Bolliger CT, Diacon AH, van den Heuvel MM. </w:t>
      </w:r>
      <w:r>
        <w:t xml:space="preserve">Evaluation of adapted whole-blood interferon-gamma release assays for the diagnosis of pleural tuberculosis. </w:t>
      </w:r>
      <w:r w:rsidRPr="00A43C52">
        <w:rPr>
          <w:lang w:val="nl-NL"/>
        </w:rPr>
        <w:t>Respiration 2008; 76(2):131-138.</w:t>
      </w:r>
    </w:p>
    <w:p w14:paraId="2FA2C6EC" w14:textId="77777777" w:rsidR="00CB2263" w:rsidRDefault="00CB2263" w:rsidP="00A43C52">
      <w:pPr>
        <w:tabs>
          <w:tab w:val="right" w:pos="540"/>
          <w:tab w:val="left" w:pos="720"/>
        </w:tabs>
        <w:spacing w:after="240"/>
        <w:ind w:left="720" w:hanging="720"/>
      </w:pPr>
      <w:r w:rsidRPr="00A43C52">
        <w:rPr>
          <w:lang w:val="nl-NL"/>
        </w:rPr>
        <w:tab/>
        <w:t xml:space="preserve">(6) </w:t>
      </w:r>
      <w:r w:rsidRPr="00A43C52">
        <w:rPr>
          <w:lang w:val="nl-NL"/>
        </w:rPr>
        <w:tab/>
        <w:t xml:space="preserve">Phalane KG, Kriel M, Loxton AG, Menezes A, Stanley K, van der Spuy GD et al. </w:t>
      </w:r>
      <w:r>
        <w:t>Differential expression of host biomarkers in saliva and serum samples from individuals with suspected pulmonary tuberculosis. Mediators Inflamm 2013; 2013:981984.</w:t>
      </w:r>
    </w:p>
    <w:p w14:paraId="2FA56128" w14:textId="77777777" w:rsidR="00CB2263" w:rsidRPr="00A43C52" w:rsidRDefault="00CB2263" w:rsidP="00A43C52">
      <w:pPr>
        <w:tabs>
          <w:tab w:val="right" w:pos="540"/>
          <w:tab w:val="left" w:pos="720"/>
        </w:tabs>
        <w:spacing w:after="240"/>
        <w:ind w:left="720" w:hanging="720"/>
        <w:rPr>
          <w:lang w:val="nl-NL"/>
        </w:rPr>
      </w:pPr>
      <w:r>
        <w:tab/>
        <w:t xml:space="preserve">(7) </w:t>
      </w:r>
      <w:r>
        <w:tab/>
        <w:t xml:space="preserve">Chegou NN, Black GF, Loxton AG, Stanley K, Essone PN, Klein MR et al. Potential of novel Mycobacterium tuberculosis infection phase-dependent antigens in the diagnosis of TB disease in a high burden setting. </w:t>
      </w:r>
      <w:r w:rsidRPr="00A43C52">
        <w:rPr>
          <w:lang w:val="nl-NL"/>
        </w:rPr>
        <w:t>BMC Infect Dis 2012; 12(1):10.</w:t>
      </w:r>
    </w:p>
    <w:p w14:paraId="15501CB0" w14:textId="77777777" w:rsidR="00CB2263" w:rsidRDefault="00CB2263" w:rsidP="00A43C52">
      <w:pPr>
        <w:tabs>
          <w:tab w:val="right" w:pos="540"/>
          <w:tab w:val="left" w:pos="720"/>
        </w:tabs>
        <w:spacing w:after="240"/>
        <w:ind w:left="720" w:hanging="720"/>
      </w:pPr>
      <w:r w:rsidRPr="00A43C52">
        <w:rPr>
          <w:lang w:val="nl-NL"/>
        </w:rPr>
        <w:tab/>
        <w:t xml:space="preserve">(8) </w:t>
      </w:r>
      <w:r w:rsidRPr="00A43C52">
        <w:rPr>
          <w:lang w:val="nl-NL"/>
        </w:rPr>
        <w:tab/>
        <w:t xml:space="preserve">Essone PN, Chegou NN, Loxton AG, Stanley K, Kriel M, van der SG et al. </w:t>
      </w:r>
      <w:r>
        <w:t>Host cytokine responses induced after overnight stimulation with novel M. tuberculosis infection phase-dependent antigens show promise as diagnostic candidates for TB disease. Plos One 2014; 9(7):e102584.</w:t>
      </w:r>
    </w:p>
    <w:p w14:paraId="6800B627" w14:textId="77777777" w:rsidR="00CB2263" w:rsidRDefault="00CB2263" w:rsidP="00A43C52">
      <w:pPr>
        <w:tabs>
          <w:tab w:val="right" w:pos="540"/>
          <w:tab w:val="left" w:pos="720"/>
        </w:tabs>
        <w:spacing w:after="240"/>
        <w:ind w:left="720" w:hanging="720"/>
      </w:pPr>
      <w:r>
        <w:tab/>
        <w:t xml:space="preserve">(9) </w:t>
      </w:r>
      <w:r>
        <w:tab/>
        <w:t>Goletti D, Vincenti D, Carrara S, Butera O, Bizzoni F, Bernardini G et al. Selected RD1 peptides for active tuberculosis diagnosis: comparison of a gamma interferon whole-blood enzyme-linked immunosorbent assay and an enzyme-linked immunospot assay. Clin Diagn Lab Immunol 2005; 12(11):1311-1316.</w:t>
      </w:r>
    </w:p>
    <w:p w14:paraId="5C5404C9" w14:textId="77777777" w:rsidR="00CB2263" w:rsidRPr="00A43C52" w:rsidRDefault="00CB2263" w:rsidP="00A43C52">
      <w:pPr>
        <w:tabs>
          <w:tab w:val="right" w:pos="540"/>
          <w:tab w:val="left" w:pos="720"/>
        </w:tabs>
        <w:spacing w:after="240"/>
        <w:ind w:left="720" w:hanging="720"/>
        <w:rPr>
          <w:lang w:val="nl-NL"/>
        </w:rPr>
      </w:pPr>
      <w:r>
        <w:tab/>
        <w:t xml:space="preserve">(10) </w:t>
      </w:r>
      <w:r>
        <w:tab/>
        <w:t xml:space="preserve">Chegou NN, Black GF, Kidd M, van Helden PD, Walzl G. Host markers in Quantiferon supernatants differentiate active TB from latent TB infection : preliminary report. </w:t>
      </w:r>
      <w:r w:rsidRPr="00A43C52">
        <w:rPr>
          <w:lang w:val="nl-NL"/>
        </w:rPr>
        <w:t>BMC Pulm Med 2009; 9(1):21.</w:t>
      </w:r>
    </w:p>
    <w:p w14:paraId="036ED929" w14:textId="77777777" w:rsidR="00CB2263" w:rsidRDefault="00CB2263" w:rsidP="00A43C52">
      <w:pPr>
        <w:tabs>
          <w:tab w:val="right" w:pos="540"/>
          <w:tab w:val="left" w:pos="720"/>
        </w:tabs>
        <w:spacing w:after="240"/>
        <w:ind w:left="720" w:hanging="720"/>
      </w:pPr>
      <w:r w:rsidRPr="00A43C52">
        <w:rPr>
          <w:lang w:val="nl-NL"/>
        </w:rPr>
        <w:tab/>
        <w:t xml:space="preserve">(11) </w:t>
      </w:r>
      <w:r w:rsidRPr="00A43C52">
        <w:rPr>
          <w:lang w:val="nl-NL"/>
        </w:rPr>
        <w:tab/>
        <w:t xml:space="preserve">Chegou NN, Essone PN, Loxton AG, Stanley K, Black GF, van der Spuy GD et al. </w:t>
      </w:r>
      <w:r>
        <w:t>Potential of host markers produced by infection phase-dependent antigen-stimulated cells for the diagnosis of tuberculosis in a highly endemic area. PLoS ONE 2012; 7(6):e38501.</w:t>
      </w:r>
    </w:p>
    <w:p w14:paraId="1F73B829" w14:textId="77777777" w:rsidR="00CB2263" w:rsidRDefault="00CB2263" w:rsidP="00A43C52">
      <w:pPr>
        <w:tabs>
          <w:tab w:val="right" w:pos="540"/>
          <w:tab w:val="left" w:pos="720"/>
        </w:tabs>
        <w:spacing w:after="240"/>
        <w:ind w:left="720" w:hanging="720"/>
      </w:pPr>
      <w:r>
        <w:tab/>
        <w:t xml:space="preserve">(12) </w:t>
      </w:r>
      <w:r>
        <w:tab/>
        <w:t>Chegou NN, Detjen AK, Thiart L, Walters E, Mandalakas AM, Hesseling AC et al. Utility of host markers detected in quantiferon supernatants for the diagnosis of tuberculosis in children in a high-burden setting. PLoS ONE 2013; 8(5):e64226.</w:t>
      </w:r>
    </w:p>
    <w:p w14:paraId="2F55D0DB" w14:textId="77777777" w:rsidR="00CB2263" w:rsidRDefault="00CB2263" w:rsidP="00A43C52">
      <w:pPr>
        <w:tabs>
          <w:tab w:val="right" w:pos="540"/>
          <w:tab w:val="left" w:pos="720"/>
        </w:tabs>
        <w:spacing w:after="240"/>
        <w:ind w:left="720" w:hanging="720"/>
      </w:pPr>
      <w:r>
        <w:tab/>
        <w:t xml:space="preserve">(13) </w:t>
      </w:r>
      <w:r>
        <w:tab/>
        <w:t>Frahm M, Goswami ND, Owzar K, Hecker E, Mosher A, Cadogan E et al. Discriminating between latent and active tuberculosis with multiple biomarker responses. Tuberculosis (Edinb ) 2011; 91(3):250-256.</w:t>
      </w:r>
    </w:p>
    <w:p w14:paraId="7941A0DD" w14:textId="77777777" w:rsidR="00CB2263" w:rsidRDefault="00CB2263" w:rsidP="00A43C52">
      <w:pPr>
        <w:tabs>
          <w:tab w:val="right" w:pos="540"/>
          <w:tab w:val="left" w:pos="720"/>
        </w:tabs>
        <w:spacing w:after="240"/>
        <w:ind w:left="720" w:hanging="720"/>
      </w:pPr>
      <w:r>
        <w:tab/>
        <w:t xml:space="preserve">(14) </w:t>
      </w:r>
      <w:r>
        <w:tab/>
        <w:t xml:space="preserve">Kellar KL, Gehrke J, Weis SE, Mahmutovic-Mayhew A, Davila B, Zajdowicz MJ et al. Multiple cytokines are released when blood from patients with tuberculosis is </w:t>
      </w:r>
      <w:r>
        <w:lastRenderedPageBreak/>
        <w:t>stimulated with Mycobacterium tuberculosis antigens. PLoS ONE 2011; 6(11):e26545.</w:t>
      </w:r>
    </w:p>
    <w:p w14:paraId="59D0209B" w14:textId="77777777" w:rsidR="00CB2263" w:rsidRPr="00A43C52" w:rsidRDefault="00CB2263" w:rsidP="00A43C52">
      <w:pPr>
        <w:tabs>
          <w:tab w:val="right" w:pos="540"/>
          <w:tab w:val="left" w:pos="720"/>
        </w:tabs>
        <w:spacing w:after="240"/>
        <w:ind w:left="720" w:hanging="720"/>
        <w:rPr>
          <w:lang w:val="nl-NL"/>
        </w:rPr>
      </w:pPr>
      <w:r>
        <w:tab/>
        <w:t xml:space="preserve">(15) </w:t>
      </w:r>
      <w:r>
        <w:tab/>
        <w:t xml:space="preserve">Baumann R, Kaempfer S, Chegou NN, Oehlmann W, Loxton AG, Kaufmann SH et al. Serologic diagnosis of tuberculosis by combining Ig classes against selected mycobacterial targets. </w:t>
      </w:r>
      <w:r w:rsidRPr="00A43C52">
        <w:rPr>
          <w:lang w:val="nl-NL"/>
        </w:rPr>
        <w:t>J Infect 2014; 69(6):581-589.</w:t>
      </w:r>
    </w:p>
    <w:p w14:paraId="41E643D4" w14:textId="438BA039" w:rsidR="00CB2263" w:rsidRDefault="00CB2263" w:rsidP="00A43C52">
      <w:pPr>
        <w:tabs>
          <w:tab w:val="right" w:pos="540"/>
          <w:tab w:val="left" w:pos="720"/>
        </w:tabs>
        <w:spacing w:after="240"/>
        <w:ind w:left="720" w:hanging="720"/>
      </w:pPr>
      <w:r w:rsidRPr="00A43C52">
        <w:rPr>
          <w:lang w:val="nl-NL"/>
        </w:rPr>
        <w:tab/>
        <w:t xml:space="preserve">(16) </w:t>
      </w:r>
      <w:r w:rsidRPr="00A43C52">
        <w:rPr>
          <w:lang w:val="nl-NL"/>
        </w:rPr>
        <w:tab/>
        <w:t xml:space="preserve">Baumann R, Kaempfer S, Chegou NN, Oehlmann W, Spallek R, Loxton AG et al. </w:t>
      </w:r>
      <w:r>
        <w:t xml:space="preserve">A Subgroup of Latently Mycobacterium tuberculosis Infected Individuals Is Characterized by Consistently Elevated IgA Responses to Several Mycobacterial Antigens. Mediators of Inflammation 2015. 2015. </w:t>
      </w:r>
      <w:r>
        <w:br/>
      </w:r>
    </w:p>
    <w:p w14:paraId="519D60D0" w14:textId="77777777" w:rsidR="00CB2263" w:rsidRPr="00A43C52" w:rsidRDefault="00CB2263" w:rsidP="00A43C52">
      <w:pPr>
        <w:tabs>
          <w:tab w:val="right" w:pos="540"/>
          <w:tab w:val="left" w:pos="720"/>
        </w:tabs>
        <w:spacing w:after="240"/>
        <w:ind w:left="720" w:hanging="720"/>
        <w:rPr>
          <w:lang w:val="nl-NL"/>
        </w:rPr>
      </w:pPr>
      <w:r>
        <w:tab/>
        <w:t xml:space="preserve">(17) </w:t>
      </w:r>
      <w:r>
        <w:tab/>
        <w:t xml:space="preserve">Chegou NN, Heyckendorf J, Walzl G, Lange C, Ruhwald M. Beyond the IFN-gamma horizon: biomarkers for immunodiagnosis of infection with Mycobacterium tuberculosis. </w:t>
      </w:r>
      <w:r w:rsidRPr="00A43C52">
        <w:rPr>
          <w:lang w:val="nl-NL"/>
        </w:rPr>
        <w:t>Eur Respir J 2014; 43(5):1472-1486.</w:t>
      </w:r>
    </w:p>
    <w:p w14:paraId="011236F2" w14:textId="77777777" w:rsidR="00CB2263" w:rsidRDefault="00CB2263" w:rsidP="00A43C52">
      <w:pPr>
        <w:tabs>
          <w:tab w:val="right" w:pos="540"/>
          <w:tab w:val="left" w:pos="720"/>
        </w:tabs>
        <w:spacing w:after="240"/>
        <w:ind w:left="720" w:hanging="720"/>
      </w:pPr>
      <w:r w:rsidRPr="00A43C52">
        <w:rPr>
          <w:lang w:val="nl-NL"/>
        </w:rPr>
        <w:tab/>
        <w:t xml:space="preserve">(18) </w:t>
      </w:r>
      <w:r w:rsidRPr="00A43C52">
        <w:rPr>
          <w:lang w:val="nl-NL"/>
        </w:rPr>
        <w:tab/>
        <w:t xml:space="preserve">Claassens MM, du TE, Dunbar R, Lombard C, Enarson DA, Beyers N et al. </w:t>
      </w:r>
      <w:r>
        <w:t>Tuberculosis patients in primary care do not start treatment. What role do health system delays play? Int J Tuberc Lung Dis 2013; 17(5):603-607.</w:t>
      </w:r>
    </w:p>
    <w:p w14:paraId="12EEB0DF" w14:textId="77777777" w:rsidR="00CB2263" w:rsidRDefault="00CB2263" w:rsidP="00A43C52">
      <w:pPr>
        <w:tabs>
          <w:tab w:val="right" w:pos="540"/>
          <w:tab w:val="left" w:pos="720"/>
        </w:tabs>
        <w:spacing w:after="240"/>
        <w:ind w:left="720" w:hanging="720"/>
      </w:pPr>
      <w:r>
        <w:tab/>
        <w:t xml:space="preserve">(19) </w:t>
      </w:r>
      <w:r>
        <w:tab/>
        <w:t xml:space="preserve">Fluss R, Faraggi D, Reiser B. </w:t>
      </w:r>
      <w:r w:rsidRPr="00A43C52">
        <w:rPr>
          <w:rFonts w:ascii="AdvTIB" w:hAnsi="AdvTIB"/>
        </w:rPr>
        <w:t>Estimation of the Youden Index and its Associated Cutoff Point</w:t>
      </w:r>
      <w:r>
        <w:t>. Biometrical Journal 2005; 47(4):458-472.</w:t>
      </w:r>
    </w:p>
    <w:p w14:paraId="3767D1B2" w14:textId="5E8E7BEE" w:rsidR="00CB2263" w:rsidRDefault="00CB2263" w:rsidP="00A43C52">
      <w:pPr>
        <w:tabs>
          <w:tab w:val="right" w:pos="540"/>
          <w:tab w:val="left" w:pos="720"/>
        </w:tabs>
        <w:spacing w:after="240"/>
        <w:ind w:left="720" w:hanging="720"/>
      </w:pPr>
      <w:r>
        <w:tab/>
        <w:t xml:space="preserve">(20) </w:t>
      </w:r>
      <w:r>
        <w:tab/>
        <w:t>Statsoft. General Discriminant Analysis (GDA). Statsoft Electronic Statistics Textbook</w:t>
      </w:r>
      <w:r w:rsidR="00AA0D19">
        <w:t>.</w:t>
      </w:r>
      <w:r w:rsidR="00AA0D19" w:rsidRPr="00AA0D19">
        <w:t xml:space="preserve"> http://www.statsoft.com/textbook/general-discriminant-analysis/button/1</w:t>
      </w:r>
      <w:r w:rsidR="00AA0D19">
        <w:t xml:space="preserve"> Date Accessed: 07 January 2016</w:t>
      </w:r>
    </w:p>
    <w:p w14:paraId="28995D0E" w14:textId="77777777" w:rsidR="00CB2263" w:rsidRDefault="00CB2263" w:rsidP="00A43C52">
      <w:pPr>
        <w:tabs>
          <w:tab w:val="right" w:pos="540"/>
          <w:tab w:val="left" w:pos="720"/>
        </w:tabs>
        <w:spacing w:after="240"/>
        <w:ind w:left="720" w:hanging="720"/>
      </w:pPr>
      <w:r>
        <w:tab/>
        <w:t xml:space="preserve">(21) </w:t>
      </w:r>
      <w:r>
        <w:tab/>
        <w:t>Breiman L. Random Forests. Machine Learning 2001; 45(1):5-32.</w:t>
      </w:r>
    </w:p>
    <w:p w14:paraId="20CBF0BE" w14:textId="77777777" w:rsidR="00CB2263" w:rsidRPr="00A43C52" w:rsidRDefault="00CB2263" w:rsidP="00A43C52">
      <w:pPr>
        <w:tabs>
          <w:tab w:val="right" w:pos="540"/>
          <w:tab w:val="left" w:pos="720"/>
        </w:tabs>
        <w:spacing w:after="240"/>
        <w:ind w:left="720" w:hanging="720"/>
        <w:rPr>
          <w:lang w:val="nl-NL"/>
        </w:rPr>
      </w:pPr>
      <w:r>
        <w:tab/>
        <w:t xml:space="preserve">(22) </w:t>
      </w:r>
      <w:r>
        <w:tab/>
        <w:t xml:space="preserve">Black S, Kushner I, Samols D. C-reactive Protein. </w:t>
      </w:r>
      <w:r w:rsidRPr="00A43C52">
        <w:rPr>
          <w:lang w:val="nl-NL"/>
        </w:rPr>
        <w:t>J Biol Chem 2004; 279(47):48487-48490.</w:t>
      </w:r>
    </w:p>
    <w:p w14:paraId="660F0CBA" w14:textId="77777777" w:rsidR="00CB2263" w:rsidRDefault="00CB2263" w:rsidP="00A43C52">
      <w:pPr>
        <w:tabs>
          <w:tab w:val="right" w:pos="540"/>
          <w:tab w:val="left" w:pos="720"/>
        </w:tabs>
        <w:spacing w:after="240"/>
        <w:ind w:left="720" w:hanging="720"/>
      </w:pPr>
      <w:r w:rsidRPr="00A43C52">
        <w:rPr>
          <w:lang w:val="nl-NL"/>
        </w:rPr>
        <w:tab/>
        <w:t xml:space="preserve">(23) </w:t>
      </w:r>
      <w:r w:rsidRPr="00A43C52">
        <w:rPr>
          <w:lang w:val="nl-NL"/>
        </w:rPr>
        <w:tab/>
        <w:t xml:space="preserve">de Beer FC, Nel AE, Gie RP, Donald PR, Strachan AF. </w:t>
      </w:r>
      <w:r>
        <w:t>Serum amyloid A protein and C-reactive protein levels in pulmonary tuberculosis: relationship to amyloidosis. Thorax 1984; 39(3):196-200.</w:t>
      </w:r>
    </w:p>
    <w:p w14:paraId="37859DBF" w14:textId="77777777" w:rsidR="00CB2263" w:rsidRDefault="00CB2263" w:rsidP="00A43C52">
      <w:pPr>
        <w:tabs>
          <w:tab w:val="right" w:pos="540"/>
          <w:tab w:val="left" w:pos="720"/>
        </w:tabs>
        <w:spacing w:after="240"/>
        <w:ind w:left="720" w:hanging="720"/>
      </w:pPr>
      <w:r>
        <w:tab/>
        <w:t xml:space="preserve">(24) </w:t>
      </w:r>
      <w:r>
        <w:tab/>
        <w:t>Kotru M, Rusia U, Sikka M, Chaturvedi S, Jain AK. Evaluation of serum ferritin in screening for iron deficiency in tuberculosis. Ann Hematol 2004; 83(2):95-100.</w:t>
      </w:r>
    </w:p>
    <w:p w14:paraId="047A1522" w14:textId="77777777" w:rsidR="00CB2263" w:rsidRDefault="00CB2263" w:rsidP="00A43C52">
      <w:pPr>
        <w:tabs>
          <w:tab w:val="right" w:pos="540"/>
          <w:tab w:val="left" w:pos="720"/>
        </w:tabs>
        <w:spacing w:after="240"/>
        <w:ind w:left="720" w:hanging="720"/>
      </w:pPr>
      <w:r>
        <w:tab/>
        <w:t xml:space="preserve">(25) </w:t>
      </w:r>
      <w:r>
        <w:tab/>
        <w:t>Pandey R, Rodriguez GM. A ferritin mutant of Mycobacterium tuberculosis is highly susceptible to killing by antibiotics and is unable to establish a chronic infection in mice. Infect Immun 2012; 80(10):3650-3659.</w:t>
      </w:r>
    </w:p>
    <w:p w14:paraId="5AF0E9C2" w14:textId="77777777" w:rsidR="00CB2263" w:rsidRDefault="00CB2263" w:rsidP="00A43C52">
      <w:pPr>
        <w:tabs>
          <w:tab w:val="right" w:pos="540"/>
          <w:tab w:val="left" w:pos="720"/>
        </w:tabs>
        <w:spacing w:after="240"/>
        <w:ind w:left="720" w:hanging="720"/>
      </w:pPr>
      <w:r>
        <w:tab/>
        <w:t xml:space="preserve">(26) </w:t>
      </w:r>
      <w:r>
        <w:tab/>
        <w:t>Opolot JO, Theron AJ, Anderson R, Feldman C. Acute phase proteins and stress hormone responses in patients with newly diagnosed active pulmonary tuberculosis. Lung 2015; 193(1):13-18.</w:t>
      </w:r>
    </w:p>
    <w:p w14:paraId="4EE06711" w14:textId="77777777" w:rsidR="00CB2263" w:rsidRDefault="00CB2263" w:rsidP="00A43C52">
      <w:pPr>
        <w:tabs>
          <w:tab w:val="right" w:pos="540"/>
          <w:tab w:val="left" w:pos="720"/>
        </w:tabs>
        <w:spacing w:after="240"/>
        <w:ind w:left="720" w:hanging="720"/>
      </w:pPr>
      <w:r>
        <w:tab/>
        <w:t xml:space="preserve">(27) </w:t>
      </w:r>
      <w:r>
        <w:tab/>
        <w:t>Visser A, van d, V. Severe hyperferritinemia in Mycobacteria tuberculosis infection. Clin Infect Dis 2011; 52(2):273-274.</w:t>
      </w:r>
    </w:p>
    <w:p w14:paraId="59B65CF2" w14:textId="77777777" w:rsidR="00CB2263" w:rsidRDefault="00CB2263" w:rsidP="00A43C52">
      <w:pPr>
        <w:tabs>
          <w:tab w:val="right" w:pos="540"/>
          <w:tab w:val="left" w:pos="720"/>
        </w:tabs>
        <w:spacing w:after="240"/>
        <w:ind w:left="720" w:hanging="720"/>
      </w:pPr>
      <w:r>
        <w:lastRenderedPageBreak/>
        <w:tab/>
        <w:t xml:space="preserve">(28) </w:t>
      </w:r>
      <w:r>
        <w:tab/>
        <w:t>Singh M, Anand L. Bedside procalcitonin and acute care. Int J Crit Illn Inj Sci 2014; 4(3):233-237.</w:t>
      </w:r>
    </w:p>
    <w:p w14:paraId="64B444FA" w14:textId="77777777" w:rsidR="00CB2263" w:rsidRDefault="00CB2263" w:rsidP="00A43C52">
      <w:pPr>
        <w:tabs>
          <w:tab w:val="right" w:pos="540"/>
          <w:tab w:val="left" w:pos="720"/>
        </w:tabs>
        <w:spacing w:after="240"/>
        <w:ind w:left="720" w:hanging="720"/>
      </w:pPr>
      <w:r>
        <w:tab/>
      </w:r>
      <w:r w:rsidRPr="00A43C52">
        <w:rPr>
          <w:lang w:val="nl-NL"/>
        </w:rPr>
        <w:t xml:space="preserve">(29) </w:t>
      </w:r>
      <w:r w:rsidRPr="00A43C52">
        <w:rPr>
          <w:lang w:val="nl-NL"/>
        </w:rPr>
        <w:tab/>
        <w:t xml:space="preserve">Hoeboer SH, van der Geest PJ, Nieboer D, Groeneveld AB. </w:t>
      </w:r>
      <w:r>
        <w:t>The diagnostic accuracy of procalcitonin for bacteraemia: a systematic review and meta-analysis. Clin Microbiol Infect 2015; 21(5):474-481.</w:t>
      </w:r>
    </w:p>
    <w:p w14:paraId="5B913075" w14:textId="77777777" w:rsidR="00CB2263" w:rsidRDefault="00CB2263" w:rsidP="00A43C52">
      <w:pPr>
        <w:tabs>
          <w:tab w:val="right" w:pos="540"/>
          <w:tab w:val="left" w:pos="720"/>
        </w:tabs>
        <w:spacing w:after="240"/>
        <w:ind w:left="720" w:hanging="720"/>
      </w:pPr>
      <w:r>
        <w:tab/>
        <w:t xml:space="preserve">(30) </w:t>
      </w:r>
      <w:r>
        <w:tab/>
        <w:t>Schleicher GK, Herbert V, Brink A, Martin S, Maraj R, Galpin JS et al. Procalcitonin and C-reactive protein levels in HIV-positive subjects with tuberculosis and pneumonia. Eur Respir J 2005; 25(4):688-692.</w:t>
      </w:r>
    </w:p>
    <w:p w14:paraId="5E99BA91" w14:textId="77777777" w:rsidR="00CB2263" w:rsidRDefault="00CB2263" w:rsidP="00A43C52">
      <w:pPr>
        <w:tabs>
          <w:tab w:val="right" w:pos="540"/>
          <w:tab w:val="left" w:pos="720"/>
        </w:tabs>
        <w:spacing w:after="240"/>
        <w:ind w:left="720" w:hanging="720"/>
      </w:pPr>
      <w:r>
        <w:tab/>
        <w:t xml:space="preserve">(31) </w:t>
      </w:r>
      <w:r>
        <w:tab/>
        <w:t>Montecucco F, Favari E, Norata GD, Ronda N, Nofer JR, Vuilleumier N. Impact of systemic inflammation and autoimmune diseases on apoA-I and HDL plasma levels and functions. Handb Exp Pharmacol 2015; 224:455-482.</w:t>
      </w:r>
    </w:p>
    <w:p w14:paraId="00D95109" w14:textId="77777777" w:rsidR="00CB2263" w:rsidRDefault="00CB2263" w:rsidP="00A43C52">
      <w:pPr>
        <w:tabs>
          <w:tab w:val="right" w:pos="540"/>
          <w:tab w:val="left" w:pos="720"/>
        </w:tabs>
        <w:spacing w:after="240"/>
        <w:ind w:left="720" w:hanging="720"/>
      </w:pPr>
      <w:r>
        <w:tab/>
        <w:t xml:space="preserve">(32) </w:t>
      </w:r>
      <w:r>
        <w:tab/>
        <w:t>Ferreira VP, Pangburn MK, Cortes C. Complement control protein factor H: the good, the bad, and the inadequate. Mol Immunol 2010; 47(13):2187-2197.</w:t>
      </w:r>
    </w:p>
    <w:p w14:paraId="437851CA" w14:textId="77777777" w:rsidR="00CB2263" w:rsidRDefault="00CB2263" w:rsidP="00A43C52">
      <w:pPr>
        <w:tabs>
          <w:tab w:val="right" w:pos="540"/>
          <w:tab w:val="left" w:pos="720"/>
        </w:tabs>
        <w:spacing w:after="240"/>
        <w:ind w:left="720" w:hanging="720"/>
      </w:pPr>
      <w:r>
        <w:tab/>
        <w:t xml:space="preserve">(33) </w:t>
      </w:r>
      <w:r>
        <w:tab/>
        <w:t>Carroll MV, Lack N, Sim E, Krarup A, Sim RB. Multiple routes of complement activation by Mycobacterium bovis BCG. Mol Immunol 2009; 46(16):3367-3378.</w:t>
      </w:r>
    </w:p>
    <w:p w14:paraId="1BEA9080" w14:textId="77777777" w:rsidR="00CB2263" w:rsidRDefault="00CB2263" w:rsidP="00A43C52">
      <w:pPr>
        <w:tabs>
          <w:tab w:val="right" w:pos="540"/>
          <w:tab w:val="left" w:pos="720"/>
        </w:tabs>
        <w:spacing w:after="240"/>
        <w:ind w:left="720" w:hanging="720"/>
      </w:pPr>
      <w:r>
        <w:tab/>
        <w:t xml:space="preserve">(34) </w:t>
      </w:r>
      <w:r>
        <w:tab/>
        <w:t>Buxbaum JN, Reixach N. Transthyretin: the servant of many masters. Cell Mol Life Sci 2009; 66(19):3095-3101.</w:t>
      </w:r>
    </w:p>
    <w:p w14:paraId="63861F8D" w14:textId="77777777" w:rsidR="00CB2263" w:rsidRDefault="00CB2263" w:rsidP="00A43C52">
      <w:pPr>
        <w:tabs>
          <w:tab w:val="right" w:pos="540"/>
          <w:tab w:val="left" w:pos="720"/>
        </w:tabs>
        <w:spacing w:after="240"/>
        <w:ind w:left="720" w:hanging="720"/>
      </w:pPr>
      <w:r>
        <w:tab/>
        <w:t xml:space="preserve">(35) </w:t>
      </w:r>
      <w:r>
        <w:tab/>
        <w:t>Wang C, Li YY, Li X, Wei LL, Yang XY, Xu DD et al. Serum complement C4b, fibronectin, and prolidase are associated with the pathological changes of pulmonary tuberculosis. BMC Infect Dis 2014; 14:52.</w:t>
      </w:r>
    </w:p>
    <w:p w14:paraId="77A27346" w14:textId="77777777" w:rsidR="00CB2263" w:rsidRDefault="00CB2263" w:rsidP="00A43C52">
      <w:pPr>
        <w:tabs>
          <w:tab w:val="right" w:pos="540"/>
          <w:tab w:val="left" w:pos="720"/>
        </w:tabs>
        <w:spacing w:after="240"/>
        <w:ind w:left="720" w:hanging="720"/>
      </w:pPr>
      <w:r>
        <w:tab/>
        <w:t xml:space="preserve">(36) </w:t>
      </w:r>
      <w:r>
        <w:tab/>
        <w:t>Luo H, Zhu B, Gong L, Yang J, Jiang Y, Zhou X. The value of serum prealbumin in the diagnosis and therapeutic response of tuberculosis: a retrospective study. Plos One 2013; 8(11):e79940.</w:t>
      </w:r>
    </w:p>
    <w:p w14:paraId="1A4A059E" w14:textId="77777777" w:rsidR="00CB2263" w:rsidRPr="00A43C52" w:rsidRDefault="00CB2263" w:rsidP="00A43C52">
      <w:pPr>
        <w:tabs>
          <w:tab w:val="right" w:pos="540"/>
          <w:tab w:val="left" w:pos="720"/>
        </w:tabs>
        <w:spacing w:after="240"/>
        <w:ind w:left="720" w:hanging="720"/>
        <w:rPr>
          <w:lang w:val="nl-NL"/>
        </w:rPr>
      </w:pPr>
      <w:r>
        <w:tab/>
        <w:t xml:space="preserve">(37) </w:t>
      </w:r>
      <w:r>
        <w:tab/>
        <w:t xml:space="preserve">Agranoff D, Fernandez-Reyes D, Papadopoulos MC, Rojas SA, Herbster M, Loosemore A et al. Identification of diagnostic markers for tuberculosis by proteomic fingerprinting of serum. </w:t>
      </w:r>
      <w:r w:rsidRPr="00A43C52">
        <w:rPr>
          <w:lang w:val="nl-NL"/>
        </w:rPr>
        <w:t>Lancet 2006; 368(9540):1012-1021.</w:t>
      </w:r>
    </w:p>
    <w:p w14:paraId="08604316" w14:textId="77777777" w:rsidR="00CB2263" w:rsidRDefault="00CB2263" w:rsidP="00A43C52">
      <w:pPr>
        <w:tabs>
          <w:tab w:val="right" w:pos="540"/>
          <w:tab w:val="left" w:pos="720"/>
        </w:tabs>
        <w:spacing w:after="240"/>
        <w:ind w:left="720" w:hanging="720"/>
      </w:pPr>
      <w:r w:rsidRPr="00A43C52">
        <w:rPr>
          <w:lang w:val="nl-NL"/>
        </w:rPr>
        <w:tab/>
        <w:t xml:space="preserve">(38) </w:t>
      </w:r>
      <w:r w:rsidRPr="00A43C52">
        <w:rPr>
          <w:lang w:val="nl-NL"/>
        </w:rPr>
        <w:tab/>
        <w:t xml:space="preserve">Corstjens PL, Chen Z, Zuiderwijk M, Bau HH, Abrams WR, Malamud D et al. </w:t>
      </w:r>
      <w:r>
        <w:t>Rapid assay format for multiplex detection of humoral immune responses to infectious disease pathogens (HIV, HCV, and TB). Ann N Y Acad Sci 2007; 1098:437-445.</w:t>
      </w:r>
    </w:p>
    <w:p w14:paraId="2F3806B3" w14:textId="77777777" w:rsidR="00CB2263" w:rsidRPr="00A43C52" w:rsidRDefault="00CB2263" w:rsidP="00A43C52">
      <w:pPr>
        <w:tabs>
          <w:tab w:val="right" w:pos="540"/>
          <w:tab w:val="left" w:pos="720"/>
        </w:tabs>
        <w:spacing w:after="240"/>
        <w:ind w:left="720" w:hanging="720"/>
        <w:rPr>
          <w:lang w:val="nl-NL"/>
        </w:rPr>
      </w:pPr>
      <w:r>
        <w:tab/>
        <w:t xml:space="preserve">(39) </w:t>
      </w:r>
      <w:r>
        <w:tab/>
        <w:t xml:space="preserve">Corstjens PL, Zuiderwijk M, Tanke HJ, van der Ploeg-van Schip JJ, Ottenhoff TH, Geluk A. A user-friendly, highly sensitive assay to detect the IFN-gamma secretion by T cells. </w:t>
      </w:r>
      <w:r w:rsidRPr="00A43C52">
        <w:rPr>
          <w:lang w:val="nl-NL"/>
        </w:rPr>
        <w:t>Clin Biochem 2008; 41(6):440-444.</w:t>
      </w:r>
    </w:p>
    <w:p w14:paraId="2A8133FB" w14:textId="65DAE1AA" w:rsidR="00CB2263" w:rsidRDefault="00CB2263" w:rsidP="00CB2263">
      <w:pPr>
        <w:tabs>
          <w:tab w:val="right" w:pos="540"/>
          <w:tab w:val="left" w:pos="720"/>
        </w:tabs>
        <w:ind w:left="720" w:hanging="720"/>
      </w:pPr>
      <w:r w:rsidRPr="00A43C52">
        <w:rPr>
          <w:lang w:val="nl-NL"/>
        </w:rPr>
        <w:tab/>
        <w:t xml:space="preserve">(40) </w:t>
      </w:r>
      <w:r w:rsidRPr="00A43C52">
        <w:rPr>
          <w:lang w:val="nl-NL"/>
        </w:rPr>
        <w:tab/>
        <w:t xml:space="preserve">Corstjens PL, Tjon Kon Fat EM, de Dood CJ, van der Ploeg-van Schip JJ, Franken KL, Chegou NN et al. </w:t>
      </w:r>
      <w:r>
        <w:t xml:space="preserve">Multi-center evaluation of a user-friendly lateral flow assay to determine IP-10 and CCL4 levels in blood of TB and non-TB cases in Africa. Clin Biochem. </w:t>
      </w:r>
      <w:r w:rsidR="005D732D" w:rsidRPr="005D732D">
        <w:t xml:space="preserve"> </w:t>
      </w:r>
      <w:r w:rsidR="005D732D">
        <w:t>Published Online First: 15 August 2015.</w:t>
      </w:r>
      <w:r w:rsidR="005D732D" w:rsidRPr="009C3C48">
        <w:rPr>
          <w:rFonts w:ascii="Arial" w:hAnsi="Arial" w:cs="Arial"/>
          <w:color w:val="000000"/>
          <w:sz w:val="17"/>
          <w:szCs w:val="17"/>
          <w:shd w:val="clear" w:color="auto" w:fill="FFFFFF"/>
        </w:rPr>
        <w:t xml:space="preserve"> </w:t>
      </w:r>
      <w:r w:rsidR="005D732D">
        <w:rPr>
          <w:rStyle w:val="apple-converted-space"/>
          <w:rFonts w:ascii="Arial" w:hAnsi="Arial" w:cs="Arial"/>
          <w:color w:val="000000"/>
          <w:sz w:val="17"/>
          <w:szCs w:val="17"/>
          <w:shd w:val="clear" w:color="auto" w:fill="FFFFFF"/>
        </w:rPr>
        <w:t> </w:t>
      </w:r>
      <w:r w:rsidR="005D732D">
        <w:rPr>
          <w:rFonts w:ascii="Arial" w:hAnsi="Arial" w:cs="Arial"/>
          <w:color w:val="000000"/>
          <w:sz w:val="17"/>
          <w:szCs w:val="17"/>
          <w:shd w:val="clear" w:color="auto" w:fill="FFFFFF"/>
        </w:rPr>
        <w:t>doi: 10.1016/j.clinbiochem.2015.08.013</w:t>
      </w:r>
    </w:p>
    <w:p w14:paraId="47CEED3E" w14:textId="77777777" w:rsidR="00CB2263" w:rsidRDefault="00CB2263" w:rsidP="00CB2263">
      <w:pPr>
        <w:tabs>
          <w:tab w:val="right" w:pos="540"/>
          <w:tab w:val="left" w:pos="720"/>
        </w:tabs>
        <w:ind w:left="720" w:hanging="720"/>
      </w:pPr>
    </w:p>
    <w:p w14:paraId="2529AA64" w14:textId="4DB4479A" w:rsidR="00095673" w:rsidRDefault="00020281" w:rsidP="00CB2263">
      <w:pPr>
        <w:tabs>
          <w:tab w:val="right" w:pos="540"/>
          <w:tab w:val="left" w:pos="720"/>
        </w:tabs>
        <w:ind w:left="720" w:hanging="720"/>
      </w:pPr>
      <w:r w:rsidRPr="006F1AB9">
        <w:fldChar w:fldCharType="end"/>
      </w:r>
    </w:p>
    <w:p w14:paraId="305DC4E1" w14:textId="77777777" w:rsidR="000E1086" w:rsidRDefault="000E1086">
      <w:pPr>
        <w:rPr>
          <w:b/>
        </w:rPr>
      </w:pPr>
      <w:r>
        <w:rPr>
          <w:b/>
        </w:rPr>
        <w:br w:type="page"/>
      </w:r>
    </w:p>
    <w:p w14:paraId="155DAED9" w14:textId="5DFC3A84" w:rsidR="00E8150E" w:rsidRPr="004F38BE" w:rsidRDefault="00E8150E" w:rsidP="008A4BC6">
      <w:pPr>
        <w:tabs>
          <w:tab w:val="right" w:pos="540"/>
          <w:tab w:val="left" w:pos="720"/>
        </w:tabs>
        <w:rPr>
          <w:b/>
        </w:rPr>
      </w:pPr>
      <w:r w:rsidRPr="004F38BE">
        <w:rPr>
          <w:b/>
        </w:rPr>
        <w:lastRenderedPageBreak/>
        <w:t>F</w:t>
      </w:r>
      <w:r w:rsidR="004D7872" w:rsidRPr="004F38BE">
        <w:rPr>
          <w:b/>
        </w:rPr>
        <w:t>IGURE LEGENDS</w:t>
      </w:r>
    </w:p>
    <w:p w14:paraId="096B35F9" w14:textId="77777777" w:rsidR="00E8150E" w:rsidRPr="004F38BE" w:rsidRDefault="00E8150E" w:rsidP="0033455D">
      <w:pPr>
        <w:spacing w:line="360" w:lineRule="auto"/>
        <w:jc w:val="both"/>
        <w:rPr>
          <w:b/>
        </w:rPr>
      </w:pPr>
    </w:p>
    <w:p w14:paraId="362B6FC5" w14:textId="77777777" w:rsidR="00E8150E" w:rsidRPr="004F38BE" w:rsidRDefault="00E8150E" w:rsidP="0033455D">
      <w:pPr>
        <w:spacing w:line="360" w:lineRule="auto"/>
        <w:jc w:val="both"/>
      </w:pPr>
      <w:r w:rsidRPr="004F38BE">
        <w:rPr>
          <w:b/>
        </w:rPr>
        <w:t>Figure 1:</w:t>
      </w:r>
      <w:r w:rsidRPr="004F38BE">
        <w:t xml:space="preserve"> </w:t>
      </w:r>
      <w:r w:rsidRPr="004F38BE">
        <w:rPr>
          <w:b/>
        </w:rPr>
        <w:t>STARD diagram showing the study design and classification of study participants</w:t>
      </w:r>
      <w:r w:rsidRPr="004F38BE">
        <w:t>. CRF, case report form; TB, Pulmonary tuberculosis; No-PTB, Individuals presenting with symptoms and investigated for pulmonary TB but in whom TB disease was ruled out; ROC, Receiver operator characteristics.</w:t>
      </w:r>
    </w:p>
    <w:p w14:paraId="2C85DF71" w14:textId="77777777" w:rsidR="007817B5" w:rsidRPr="004F38BE" w:rsidRDefault="007817B5" w:rsidP="0033455D">
      <w:pPr>
        <w:spacing w:line="360" w:lineRule="auto"/>
        <w:jc w:val="both"/>
      </w:pPr>
    </w:p>
    <w:p w14:paraId="432BCFF9" w14:textId="4C58C2FF" w:rsidR="00B0060D" w:rsidRPr="004F38BE" w:rsidRDefault="00B0060D" w:rsidP="0033455D">
      <w:pPr>
        <w:spacing w:line="360" w:lineRule="auto"/>
        <w:jc w:val="both"/>
      </w:pPr>
      <w:r w:rsidRPr="004F38BE">
        <w:rPr>
          <w:b/>
        </w:rPr>
        <w:t>Figure 2: Levels of host markers detected in serum samples from pulmonary TB cases (n=214) and individuals without TB disease (n=487) and receiver operator characteristics (ROC) plots showing the accuracies of these markers in the diagnosis of pulmonary TB disease, regardless of HIV infection status.</w:t>
      </w:r>
      <w:r w:rsidRPr="004F38BE">
        <w:t xml:space="preserve"> Representative plots for CRP, SAA, IP-10, ferritin, IFN-γ and transthyretin are shown. Error bars in the scatter-dot plots indicate the median and Inter-quartile ranges. </w:t>
      </w:r>
    </w:p>
    <w:p w14:paraId="475BB07D" w14:textId="77777777" w:rsidR="00B0060D" w:rsidRPr="004F38BE" w:rsidRDefault="00B0060D" w:rsidP="0033455D">
      <w:pPr>
        <w:spacing w:line="360" w:lineRule="auto"/>
        <w:jc w:val="both"/>
      </w:pPr>
    </w:p>
    <w:p w14:paraId="6A10B9AC" w14:textId="15A11C61" w:rsidR="00097FF4" w:rsidRPr="004F38BE" w:rsidRDefault="00097FF4" w:rsidP="0033455D">
      <w:pPr>
        <w:spacing w:line="360" w:lineRule="auto"/>
        <w:jc w:val="both"/>
      </w:pPr>
      <w:r w:rsidRPr="004F38BE">
        <w:rPr>
          <w:b/>
        </w:rPr>
        <w:t>Figure 3:</w:t>
      </w:r>
      <w:r w:rsidRPr="004F38BE">
        <w:t xml:space="preserve"> </w:t>
      </w:r>
      <w:r w:rsidRPr="004F38BE">
        <w:rPr>
          <w:b/>
        </w:rPr>
        <w:t>Areas under the ROC curve for individual analytes</w:t>
      </w:r>
      <w:r w:rsidRPr="004F38BE">
        <w:t xml:space="preserve">.  AUCs obtained after data from pulmonary TB and no-PTB patients were </w:t>
      </w:r>
      <w:proofErr w:type="spellStart"/>
      <w:r w:rsidRPr="004F38BE">
        <w:t>analysed</w:t>
      </w:r>
      <w:proofErr w:type="spellEnd"/>
      <w:r w:rsidRPr="004F38BE">
        <w:t xml:space="preserve"> after stratification according to HIV infection status is shown as histograms (A) or ‘Before and after’ graphs (B).</w:t>
      </w:r>
      <w:r w:rsidR="000F4E65" w:rsidRPr="004F38BE">
        <w:t xml:space="preserve"> Host markers that performed better in HIV infected individuals are indicated by </w:t>
      </w:r>
      <w:r w:rsidR="00CB2263">
        <w:t xml:space="preserve">an </w:t>
      </w:r>
      <w:proofErr w:type="spellStart"/>
      <w:r w:rsidR="000F4E65" w:rsidRPr="004F38BE">
        <w:t>asterix</w:t>
      </w:r>
      <w:proofErr w:type="spellEnd"/>
      <w:r w:rsidR="000F4E65" w:rsidRPr="004F38BE">
        <w:t>.</w:t>
      </w:r>
    </w:p>
    <w:p w14:paraId="2ECE5F7C" w14:textId="77777777" w:rsidR="0081383F" w:rsidRPr="004F38BE" w:rsidRDefault="0081383F" w:rsidP="0033455D">
      <w:pPr>
        <w:spacing w:line="360" w:lineRule="auto"/>
        <w:jc w:val="both"/>
      </w:pPr>
    </w:p>
    <w:p w14:paraId="455E1FBA" w14:textId="516FB069" w:rsidR="0081383F" w:rsidRPr="004F38BE" w:rsidRDefault="0081383F" w:rsidP="0033455D">
      <w:pPr>
        <w:spacing w:line="360" w:lineRule="auto"/>
        <w:jc w:val="both"/>
      </w:pPr>
      <w:r w:rsidRPr="004F38BE">
        <w:rPr>
          <w:b/>
        </w:rPr>
        <w:t>Figure 4</w:t>
      </w:r>
      <w:r w:rsidRPr="004F38BE">
        <w:t>:</w:t>
      </w:r>
      <w:r w:rsidRPr="004F38BE">
        <w:rPr>
          <w:b/>
        </w:rPr>
        <w:t xml:space="preserve"> Inclusion of different analytes into host biosignatures for the diagnosis of TB disease. </w:t>
      </w:r>
      <w:r w:rsidRPr="004F38BE">
        <w:t xml:space="preserve">(A) Frequency of analytes in the top 20 most accurate </w:t>
      </w:r>
      <w:r w:rsidR="00FC2ECE">
        <w:t>G</w:t>
      </w:r>
      <w:r w:rsidRPr="004F38BE">
        <w:t>DA seven-marker biosignatures for diagnosis of TB disease regardless of HIV infection status. (B) Importance of analytes in diagnostic biosignatures for pulmonary TB disease, irrespective of HIV infection as revealed by random forest</w:t>
      </w:r>
      <w:r w:rsidR="00CB2263">
        <w:t>s</w:t>
      </w:r>
      <w:r w:rsidRPr="004F38BE">
        <w:t xml:space="preserve"> analysis. (C) ROC curve showing the accuracy of the finally selected seven-marker </w:t>
      </w:r>
      <w:r w:rsidR="00F427B3">
        <w:t>G</w:t>
      </w:r>
      <w:r w:rsidRPr="004F38BE">
        <w:t xml:space="preserve">DA biosignature in the diagnosis of pulmonary TB disease irrespective of HIV status. (D) Frequency of analytes in the top 20 </w:t>
      </w:r>
      <w:r w:rsidR="00FC2ECE">
        <w:t>G</w:t>
      </w:r>
      <w:r w:rsidRPr="004F38BE">
        <w:t xml:space="preserve">DA biosignatures for diagnosis of TB disease in HIV-uninfected individuals. The ROC curve for TB </w:t>
      </w:r>
      <w:r w:rsidR="00CB2263">
        <w:t>V</w:t>
      </w:r>
      <w:r w:rsidRPr="004F38BE">
        <w:t>s</w:t>
      </w:r>
      <w:r w:rsidR="00CB2263">
        <w:t>.</w:t>
      </w:r>
      <w:r w:rsidRPr="004F38BE">
        <w:t xml:space="preserve"> </w:t>
      </w:r>
      <w:r w:rsidR="00CB2263">
        <w:t>N</w:t>
      </w:r>
      <w:r w:rsidRPr="004F38BE">
        <w:t>o-PTB, regardless of HIV (C) was generated from the training dataset.</w:t>
      </w:r>
    </w:p>
    <w:p w14:paraId="4B65AAD5" w14:textId="071B11D1" w:rsidR="00E8150E" w:rsidRPr="004F38BE" w:rsidRDefault="00E8150E" w:rsidP="0033455D">
      <w:pPr>
        <w:spacing w:line="360" w:lineRule="auto"/>
        <w:rPr>
          <w:b/>
        </w:rPr>
      </w:pPr>
    </w:p>
    <w:sectPr w:rsidR="00E8150E" w:rsidRPr="004F38BE" w:rsidSect="00EE0377">
      <w:footerReference w:type="default" r:id="rId12"/>
      <w:pgSz w:w="11906" w:h="16838"/>
      <w:pgMar w:top="1440" w:right="1440" w:bottom="1440" w:left="1440"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0C501" w14:textId="77777777" w:rsidR="004C08E2" w:rsidRDefault="004C08E2" w:rsidP="006C067D">
      <w:r>
        <w:separator/>
      </w:r>
    </w:p>
  </w:endnote>
  <w:endnote w:type="continuationSeparator" w:id="0">
    <w:p w14:paraId="4239C1B1" w14:textId="77777777" w:rsidR="004C08E2" w:rsidRDefault="004C08E2" w:rsidP="006C067D">
      <w:r>
        <w:continuationSeparator/>
      </w:r>
    </w:p>
  </w:endnote>
  <w:endnote w:type="continuationNotice" w:id="1">
    <w:p w14:paraId="7036B99D" w14:textId="77777777" w:rsidR="004C08E2" w:rsidRDefault="004C0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TC Symbol Std Medium">
    <w:altName w:val="ITC Symbol Std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UnicodeMS">
    <w:altName w:val="MS Mincho"/>
    <w:panose1 w:val="00000000000000000000"/>
    <w:charset w:val="80"/>
    <w:family w:val="auto"/>
    <w:notTrueType/>
    <w:pitch w:val="default"/>
    <w:sig w:usb0="00000001" w:usb1="08070000" w:usb2="00000010" w:usb3="00000000" w:csb0="00020000" w:csb1="00000000"/>
  </w:font>
  <w:font w:name="AdvTIB">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008021"/>
      <w:docPartObj>
        <w:docPartGallery w:val="Page Numbers (Bottom of Page)"/>
        <w:docPartUnique/>
      </w:docPartObj>
    </w:sdtPr>
    <w:sdtEndPr>
      <w:rPr>
        <w:noProof/>
      </w:rPr>
    </w:sdtEndPr>
    <w:sdtContent>
      <w:p w14:paraId="17A4FDD8" w14:textId="4E31AE99" w:rsidR="00CF78CE" w:rsidRDefault="00CF78CE">
        <w:pPr>
          <w:pStyle w:val="Footer"/>
          <w:jc w:val="right"/>
        </w:pPr>
        <w:r>
          <w:fldChar w:fldCharType="begin"/>
        </w:r>
        <w:r>
          <w:instrText xml:space="preserve"> PAGE   \* MERGEFORMAT </w:instrText>
        </w:r>
        <w:r>
          <w:fldChar w:fldCharType="separate"/>
        </w:r>
        <w:r w:rsidR="001A7969">
          <w:rPr>
            <w:noProof/>
          </w:rPr>
          <w:t>22</w:t>
        </w:r>
        <w:r>
          <w:rPr>
            <w:noProof/>
          </w:rPr>
          <w:fldChar w:fldCharType="end"/>
        </w:r>
      </w:p>
    </w:sdtContent>
  </w:sdt>
  <w:p w14:paraId="4241F571" w14:textId="77777777" w:rsidR="00CF78CE" w:rsidRDefault="00CF7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28663" w14:textId="77777777" w:rsidR="004C08E2" w:rsidRDefault="004C08E2" w:rsidP="006C067D">
      <w:r>
        <w:separator/>
      </w:r>
    </w:p>
  </w:footnote>
  <w:footnote w:type="continuationSeparator" w:id="0">
    <w:p w14:paraId="47D61B05" w14:textId="77777777" w:rsidR="004C08E2" w:rsidRDefault="004C08E2" w:rsidP="006C067D">
      <w:r>
        <w:continuationSeparator/>
      </w:r>
    </w:p>
  </w:footnote>
  <w:footnote w:type="continuationNotice" w:id="1">
    <w:p w14:paraId="11BFC7BE" w14:textId="77777777" w:rsidR="004C08E2" w:rsidRDefault="004C08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992B3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443AA0"/>
    <w:multiLevelType w:val="hybridMultilevel"/>
    <w:tmpl w:val="7C240A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A693DF3"/>
    <w:multiLevelType w:val="hybridMultilevel"/>
    <w:tmpl w:val="89D42FDE"/>
    <w:lvl w:ilvl="0" w:tplc="C8BEAF40">
      <w:start w:val="1"/>
      <w:numFmt w:val="bullet"/>
      <w:lvlText w:val="•"/>
      <w:lvlJc w:val="left"/>
      <w:pPr>
        <w:tabs>
          <w:tab w:val="num" w:pos="720"/>
        </w:tabs>
        <w:ind w:left="720" w:hanging="360"/>
      </w:pPr>
      <w:rPr>
        <w:rFonts w:ascii="Arial" w:hAnsi="Arial" w:hint="default"/>
      </w:rPr>
    </w:lvl>
    <w:lvl w:ilvl="1" w:tplc="9B048382" w:tentative="1">
      <w:start w:val="1"/>
      <w:numFmt w:val="bullet"/>
      <w:lvlText w:val="•"/>
      <w:lvlJc w:val="left"/>
      <w:pPr>
        <w:tabs>
          <w:tab w:val="num" w:pos="1440"/>
        </w:tabs>
        <w:ind w:left="1440" w:hanging="360"/>
      </w:pPr>
      <w:rPr>
        <w:rFonts w:ascii="Arial" w:hAnsi="Arial" w:hint="default"/>
      </w:rPr>
    </w:lvl>
    <w:lvl w:ilvl="2" w:tplc="7F684060" w:tentative="1">
      <w:start w:val="1"/>
      <w:numFmt w:val="bullet"/>
      <w:lvlText w:val="•"/>
      <w:lvlJc w:val="left"/>
      <w:pPr>
        <w:tabs>
          <w:tab w:val="num" w:pos="2160"/>
        </w:tabs>
        <w:ind w:left="2160" w:hanging="360"/>
      </w:pPr>
      <w:rPr>
        <w:rFonts w:ascii="Arial" w:hAnsi="Arial" w:hint="default"/>
      </w:rPr>
    </w:lvl>
    <w:lvl w:ilvl="3" w:tplc="304066F6" w:tentative="1">
      <w:start w:val="1"/>
      <w:numFmt w:val="bullet"/>
      <w:lvlText w:val="•"/>
      <w:lvlJc w:val="left"/>
      <w:pPr>
        <w:tabs>
          <w:tab w:val="num" w:pos="2880"/>
        </w:tabs>
        <w:ind w:left="2880" w:hanging="360"/>
      </w:pPr>
      <w:rPr>
        <w:rFonts w:ascii="Arial" w:hAnsi="Arial" w:hint="default"/>
      </w:rPr>
    </w:lvl>
    <w:lvl w:ilvl="4" w:tplc="6AF82036" w:tentative="1">
      <w:start w:val="1"/>
      <w:numFmt w:val="bullet"/>
      <w:lvlText w:val="•"/>
      <w:lvlJc w:val="left"/>
      <w:pPr>
        <w:tabs>
          <w:tab w:val="num" w:pos="3600"/>
        </w:tabs>
        <w:ind w:left="3600" w:hanging="360"/>
      </w:pPr>
      <w:rPr>
        <w:rFonts w:ascii="Arial" w:hAnsi="Arial" w:hint="default"/>
      </w:rPr>
    </w:lvl>
    <w:lvl w:ilvl="5" w:tplc="FB6E5C14" w:tentative="1">
      <w:start w:val="1"/>
      <w:numFmt w:val="bullet"/>
      <w:lvlText w:val="•"/>
      <w:lvlJc w:val="left"/>
      <w:pPr>
        <w:tabs>
          <w:tab w:val="num" w:pos="4320"/>
        </w:tabs>
        <w:ind w:left="4320" w:hanging="360"/>
      </w:pPr>
      <w:rPr>
        <w:rFonts w:ascii="Arial" w:hAnsi="Arial" w:hint="default"/>
      </w:rPr>
    </w:lvl>
    <w:lvl w:ilvl="6" w:tplc="CF4C1DDA" w:tentative="1">
      <w:start w:val="1"/>
      <w:numFmt w:val="bullet"/>
      <w:lvlText w:val="•"/>
      <w:lvlJc w:val="left"/>
      <w:pPr>
        <w:tabs>
          <w:tab w:val="num" w:pos="5040"/>
        </w:tabs>
        <w:ind w:left="5040" w:hanging="360"/>
      </w:pPr>
      <w:rPr>
        <w:rFonts w:ascii="Arial" w:hAnsi="Arial" w:hint="default"/>
      </w:rPr>
    </w:lvl>
    <w:lvl w:ilvl="7" w:tplc="76A65608" w:tentative="1">
      <w:start w:val="1"/>
      <w:numFmt w:val="bullet"/>
      <w:lvlText w:val="•"/>
      <w:lvlJc w:val="left"/>
      <w:pPr>
        <w:tabs>
          <w:tab w:val="num" w:pos="5760"/>
        </w:tabs>
        <w:ind w:left="5760" w:hanging="360"/>
      </w:pPr>
      <w:rPr>
        <w:rFonts w:ascii="Arial" w:hAnsi="Arial" w:hint="default"/>
      </w:rPr>
    </w:lvl>
    <w:lvl w:ilvl="8" w:tplc="E99A38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992BC2"/>
    <w:multiLevelType w:val="multilevel"/>
    <w:tmpl w:val="BD14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034AB"/>
    <w:multiLevelType w:val="multilevel"/>
    <w:tmpl w:val="8888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B189B"/>
    <w:multiLevelType w:val="hybridMultilevel"/>
    <w:tmpl w:val="17043F84"/>
    <w:lvl w:ilvl="0" w:tplc="D07CA6D0">
      <w:start w:val="1"/>
      <w:numFmt w:val="decimal"/>
      <w:lvlText w:val="%1)"/>
      <w:lvlJc w:val="left"/>
      <w:pPr>
        <w:ind w:left="720" w:hanging="360"/>
      </w:pPr>
      <w:rPr>
        <w:rFonts w:ascii="Arial" w:hAnsi="Arial" w:cs="Arial"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AAB702B"/>
    <w:multiLevelType w:val="hybridMultilevel"/>
    <w:tmpl w:val="DD5CB18C"/>
    <w:lvl w:ilvl="0" w:tplc="A8C4E564">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E136E80"/>
    <w:multiLevelType w:val="multilevel"/>
    <w:tmpl w:val="BE4A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3"/>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1&lt;/Enabled&gt;&lt;ScanUnformatted&gt;1&lt;/ScanUnformatted&gt;&lt;ScanChanges&gt;1&lt;/ScanChanges&gt;&lt;/InstantFormat&gt;"/>
    <w:docVar w:name="REFMGR.Layout" w:val="&lt;Layout&gt;&lt;StartingRefnum&gt;British Medical Journal&lt;/StartingRefnum&gt;&lt;FontName&gt;Times New Roman&lt;/FontName&gt;&lt;FontSize&gt;12&lt;/FontSize&gt;&lt;ReflistTitle&gt;Reference Lis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honour~1&lt;/item&gt;&lt;/Libraries&gt;&lt;/Databases&gt;"/>
  </w:docVars>
  <w:rsids>
    <w:rsidRoot w:val="00230934"/>
    <w:rsid w:val="00002E89"/>
    <w:rsid w:val="000032F1"/>
    <w:rsid w:val="00004BC1"/>
    <w:rsid w:val="00005CF2"/>
    <w:rsid w:val="00006157"/>
    <w:rsid w:val="000067C1"/>
    <w:rsid w:val="00010EF3"/>
    <w:rsid w:val="00011770"/>
    <w:rsid w:val="0001195C"/>
    <w:rsid w:val="00013114"/>
    <w:rsid w:val="0001452A"/>
    <w:rsid w:val="00014FA6"/>
    <w:rsid w:val="0002005C"/>
    <w:rsid w:val="00020281"/>
    <w:rsid w:val="00020DE1"/>
    <w:rsid w:val="00022284"/>
    <w:rsid w:val="0002461C"/>
    <w:rsid w:val="0002463F"/>
    <w:rsid w:val="00024821"/>
    <w:rsid w:val="00024E85"/>
    <w:rsid w:val="00025EA2"/>
    <w:rsid w:val="00026317"/>
    <w:rsid w:val="00026523"/>
    <w:rsid w:val="00027658"/>
    <w:rsid w:val="00027CBD"/>
    <w:rsid w:val="00027DBE"/>
    <w:rsid w:val="000301AD"/>
    <w:rsid w:val="00031C92"/>
    <w:rsid w:val="00033482"/>
    <w:rsid w:val="000336DC"/>
    <w:rsid w:val="00034C19"/>
    <w:rsid w:val="00035F87"/>
    <w:rsid w:val="000377BB"/>
    <w:rsid w:val="000413D5"/>
    <w:rsid w:val="0004152B"/>
    <w:rsid w:val="00041F77"/>
    <w:rsid w:val="000436C1"/>
    <w:rsid w:val="00043F12"/>
    <w:rsid w:val="00045DC8"/>
    <w:rsid w:val="00047078"/>
    <w:rsid w:val="000470ED"/>
    <w:rsid w:val="00047B7B"/>
    <w:rsid w:val="00047CD5"/>
    <w:rsid w:val="000503DE"/>
    <w:rsid w:val="00050AA2"/>
    <w:rsid w:val="00051E58"/>
    <w:rsid w:val="00052C6B"/>
    <w:rsid w:val="0005353C"/>
    <w:rsid w:val="00053667"/>
    <w:rsid w:val="00056D34"/>
    <w:rsid w:val="00060C11"/>
    <w:rsid w:val="00062C8C"/>
    <w:rsid w:val="000645B8"/>
    <w:rsid w:val="00066464"/>
    <w:rsid w:val="00067603"/>
    <w:rsid w:val="00067C78"/>
    <w:rsid w:val="00067D46"/>
    <w:rsid w:val="00070EFE"/>
    <w:rsid w:val="0007175B"/>
    <w:rsid w:val="000725F6"/>
    <w:rsid w:val="000734BF"/>
    <w:rsid w:val="00073A43"/>
    <w:rsid w:val="00073E79"/>
    <w:rsid w:val="00074631"/>
    <w:rsid w:val="00074675"/>
    <w:rsid w:val="00075E16"/>
    <w:rsid w:val="0008244C"/>
    <w:rsid w:val="0008727E"/>
    <w:rsid w:val="000911FD"/>
    <w:rsid w:val="00095673"/>
    <w:rsid w:val="00096150"/>
    <w:rsid w:val="00097FF4"/>
    <w:rsid w:val="000A04CA"/>
    <w:rsid w:val="000A13BB"/>
    <w:rsid w:val="000A2DBF"/>
    <w:rsid w:val="000A37C6"/>
    <w:rsid w:val="000A47C2"/>
    <w:rsid w:val="000A57F0"/>
    <w:rsid w:val="000A61EF"/>
    <w:rsid w:val="000A75B5"/>
    <w:rsid w:val="000A772C"/>
    <w:rsid w:val="000B0981"/>
    <w:rsid w:val="000B0B5F"/>
    <w:rsid w:val="000B2870"/>
    <w:rsid w:val="000B61FE"/>
    <w:rsid w:val="000B6C71"/>
    <w:rsid w:val="000C0590"/>
    <w:rsid w:val="000C34EE"/>
    <w:rsid w:val="000C37BC"/>
    <w:rsid w:val="000C4676"/>
    <w:rsid w:val="000C4E7F"/>
    <w:rsid w:val="000C5279"/>
    <w:rsid w:val="000C5F0F"/>
    <w:rsid w:val="000C6321"/>
    <w:rsid w:val="000C65BD"/>
    <w:rsid w:val="000C7A31"/>
    <w:rsid w:val="000D035A"/>
    <w:rsid w:val="000D240A"/>
    <w:rsid w:val="000D312F"/>
    <w:rsid w:val="000D35DD"/>
    <w:rsid w:val="000E1086"/>
    <w:rsid w:val="000E1FE9"/>
    <w:rsid w:val="000E241D"/>
    <w:rsid w:val="000E2A90"/>
    <w:rsid w:val="000E2AF0"/>
    <w:rsid w:val="000E32BA"/>
    <w:rsid w:val="000E3EEA"/>
    <w:rsid w:val="000E78DC"/>
    <w:rsid w:val="000F4E65"/>
    <w:rsid w:val="000F5EFE"/>
    <w:rsid w:val="000F621B"/>
    <w:rsid w:val="000F7C9C"/>
    <w:rsid w:val="001005AC"/>
    <w:rsid w:val="00100922"/>
    <w:rsid w:val="001054DB"/>
    <w:rsid w:val="0010619C"/>
    <w:rsid w:val="00107D67"/>
    <w:rsid w:val="00112263"/>
    <w:rsid w:val="0011443A"/>
    <w:rsid w:val="00114E4B"/>
    <w:rsid w:val="00115E38"/>
    <w:rsid w:val="00121A31"/>
    <w:rsid w:val="00121D2C"/>
    <w:rsid w:val="001224DD"/>
    <w:rsid w:val="00124742"/>
    <w:rsid w:val="00124E15"/>
    <w:rsid w:val="0012563F"/>
    <w:rsid w:val="001265C3"/>
    <w:rsid w:val="00127413"/>
    <w:rsid w:val="00127493"/>
    <w:rsid w:val="00127C1D"/>
    <w:rsid w:val="001302B6"/>
    <w:rsid w:val="00130420"/>
    <w:rsid w:val="001309CF"/>
    <w:rsid w:val="0013165A"/>
    <w:rsid w:val="00131664"/>
    <w:rsid w:val="001318AC"/>
    <w:rsid w:val="001327AB"/>
    <w:rsid w:val="0013409C"/>
    <w:rsid w:val="00135C81"/>
    <w:rsid w:val="00135CF6"/>
    <w:rsid w:val="00141056"/>
    <w:rsid w:val="001411B4"/>
    <w:rsid w:val="00141A85"/>
    <w:rsid w:val="00143035"/>
    <w:rsid w:val="00143ADA"/>
    <w:rsid w:val="00143F58"/>
    <w:rsid w:val="001443E8"/>
    <w:rsid w:val="00144A34"/>
    <w:rsid w:val="00144C10"/>
    <w:rsid w:val="00147C09"/>
    <w:rsid w:val="00150094"/>
    <w:rsid w:val="001504B4"/>
    <w:rsid w:val="00151194"/>
    <w:rsid w:val="00154577"/>
    <w:rsid w:val="001546B2"/>
    <w:rsid w:val="00160F8A"/>
    <w:rsid w:val="00162EF5"/>
    <w:rsid w:val="001638EF"/>
    <w:rsid w:val="00164AA4"/>
    <w:rsid w:val="0017052A"/>
    <w:rsid w:val="00171C03"/>
    <w:rsid w:val="00173AE5"/>
    <w:rsid w:val="001740BB"/>
    <w:rsid w:val="00174193"/>
    <w:rsid w:val="001751DF"/>
    <w:rsid w:val="00176DAF"/>
    <w:rsid w:val="00181581"/>
    <w:rsid w:val="00182B15"/>
    <w:rsid w:val="00182C2C"/>
    <w:rsid w:val="00184558"/>
    <w:rsid w:val="001864A7"/>
    <w:rsid w:val="00186D55"/>
    <w:rsid w:val="0018710C"/>
    <w:rsid w:val="00190B95"/>
    <w:rsid w:val="00192597"/>
    <w:rsid w:val="00192C1F"/>
    <w:rsid w:val="001930A1"/>
    <w:rsid w:val="0019386E"/>
    <w:rsid w:val="001A028C"/>
    <w:rsid w:val="001A548E"/>
    <w:rsid w:val="001A5B2B"/>
    <w:rsid w:val="001A5CF8"/>
    <w:rsid w:val="001A661F"/>
    <w:rsid w:val="001A7969"/>
    <w:rsid w:val="001B0579"/>
    <w:rsid w:val="001B13D5"/>
    <w:rsid w:val="001B1F33"/>
    <w:rsid w:val="001B1F91"/>
    <w:rsid w:val="001B2BB1"/>
    <w:rsid w:val="001B336E"/>
    <w:rsid w:val="001B4001"/>
    <w:rsid w:val="001B67DA"/>
    <w:rsid w:val="001B7645"/>
    <w:rsid w:val="001C212E"/>
    <w:rsid w:val="001C2626"/>
    <w:rsid w:val="001C279E"/>
    <w:rsid w:val="001C2C6F"/>
    <w:rsid w:val="001C547C"/>
    <w:rsid w:val="001C66DF"/>
    <w:rsid w:val="001D0B15"/>
    <w:rsid w:val="001D0EE0"/>
    <w:rsid w:val="001D3BFF"/>
    <w:rsid w:val="001D4561"/>
    <w:rsid w:val="001D4986"/>
    <w:rsid w:val="001D4ECA"/>
    <w:rsid w:val="001D57D4"/>
    <w:rsid w:val="001D5FC7"/>
    <w:rsid w:val="001D6485"/>
    <w:rsid w:val="001E0D91"/>
    <w:rsid w:val="001E0FBE"/>
    <w:rsid w:val="001E5AF0"/>
    <w:rsid w:val="001E7084"/>
    <w:rsid w:val="001F1638"/>
    <w:rsid w:val="001F4B12"/>
    <w:rsid w:val="001F4D34"/>
    <w:rsid w:val="001F4D5B"/>
    <w:rsid w:val="001F7646"/>
    <w:rsid w:val="00200583"/>
    <w:rsid w:val="00200E2B"/>
    <w:rsid w:val="00200F27"/>
    <w:rsid w:val="00205860"/>
    <w:rsid w:val="002063D3"/>
    <w:rsid w:val="00206619"/>
    <w:rsid w:val="00210702"/>
    <w:rsid w:val="00210785"/>
    <w:rsid w:val="00211A2D"/>
    <w:rsid w:val="002131C1"/>
    <w:rsid w:val="00213F5F"/>
    <w:rsid w:val="002151FB"/>
    <w:rsid w:val="00216A36"/>
    <w:rsid w:val="00220FCB"/>
    <w:rsid w:val="00223EB4"/>
    <w:rsid w:val="00224F8A"/>
    <w:rsid w:val="0022565A"/>
    <w:rsid w:val="0022736C"/>
    <w:rsid w:val="00227C27"/>
    <w:rsid w:val="00230934"/>
    <w:rsid w:val="002319B9"/>
    <w:rsid w:val="00232FDD"/>
    <w:rsid w:val="00233684"/>
    <w:rsid w:val="00233E01"/>
    <w:rsid w:val="002364AF"/>
    <w:rsid w:val="0024011B"/>
    <w:rsid w:val="00242001"/>
    <w:rsid w:val="002441AE"/>
    <w:rsid w:val="002444AB"/>
    <w:rsid w:val="00247DBE"/>
    <w:rsid w:val="0025287D"/>
    <w:rsid w:val="00253589"/>
    <w:rsid w:val="0025722C"/>
    <w:rsid w:val="00257A5D"/>
    <w:rsid w:val="00257BD6"/>
    <w:rsid w:val="0026000C"/>
    <w:rsid w:val="00260160"/>
    <w:rsid w:val="0026065C"/>
    <w:rsid w:val="00261268"/>
    <w:rsid w:val="002616C7"/>
    <w:rsid w:val="002636F6"/>
    <w:rsid w:val="00265F28"/>
    <w:rsid w:val="00266ECF"/>
    <w:rsid w:val="00266EE3"/>
    <w:rsid w:val="00273686"/>
    <w:rsid w:val="00273D0C"/>
    <w:rsid w:val="00275276"/>
    <w:rsid w:val="0027640F"/>
    <w:rsid w:val="002771E9"/>
    <w:rsid w:val="00277F66"/>
    <w:rsid w:val="00280A13"/>
    <w:rsid w:val="00281910"/>
    <w:rsid w:val="00282382"/>
    <w:rsid w:val="00283E61"/>
    <w:rsid w:val="00285324"/>
    <w:rsid w:val="00285528"/>
    <w:rsid w:val="00286C9A"/>
    <w:rsid w:val="0029053C"/>
    <w:rsid w:val="00293D9B"/>
    <w:rsid w:val="00294F6E"/>
    <w:rsid w:val="0029553F"/>
    <w:rsid w:val="002A14F4"/>
    <w:rsid w:val="002A27B9"/>
    <w:rsid w:val="002A3028"/>
    <w:rsid w:val="002A7ED0"/>
    <w:rsid w:val="002B10F2"/>
    <w:rsid w:val="002B1E4C"/>
    <w:rsid w:val="002B2489"/>
    <w:rsid w:val="002B2973"/>
    <w:rsid w:val="002B5EFB"/>
    <w:rsid w:val="002B72FB"/>
    <w:rsid w:val="002C0E0C"/>
    <w:rsid w:val="002C1020"/>
    <w:rsid w:val="002C17A1"/>
    <w:rsid w:val="002C2703"/>
    <w:rsid w:val="002C2E35"/>
    <w:rsid w:val="002C3E9E"/>
    <w:rsid w:val="002C5DCB"/>
    <w:rsid w:val="002C7426"/>
    <w:rsid w:val="002C7BF4"/>
    <w:rsid w:val="002D38F7"/>
    <w:rsid w:val="002D41FE"/>
    <w:rsid w:val="002D4E69"/>
    <w:rsid w:val="002D5684"/>
    <w:rsid w:val="002D5E2D"/>
    <w:rsid w:val="002D73FE"/>
    <w:rsid w:val="002E11D1"/>
    <w:rsid w:val="002E5012"/>
    <w:rsid w:val="002E657E"/>
    <w:rsid w:val="002F016A"/>
    <w:rsid w:val="002F0689"/>
    <w:rsid w:val="002F1425"/>
    <w:rsid w:val="002F606D"/>
    <w:rsid w:val="002F71DD"/>
    <w:rsid w:val="002F7634"/>
    <w:rsid w:val="002F7CA2"/>
    <w:rsid w:val="003009BA"/>
    <w:rsid w:val="00301D6E"/>
    <w:rsid w:val="00302382"/>
    <w:rsid w:val="00302E16"/>
    <w:rsid w:val="00305003"/>
    <w:rsid w:val="0030581F"/>
    <w:rsid w:val="003067EB"/>
    <w:rsid w:val="00306EE7"/>
    <w:rsid w:val="00311AD6"/>
    <w:rsid w:val="00312108"/>
    <w:rsid w:val="0031286A"/>
    <w:rsid w:val="00312AAF"/>
    <w:rsid w:val="00316801"/>
    <w:rsid w:val="00316A77"/>
    <w:rsid w:val="0032054E"/>
    <w:rsid w:val="003206EA"/>
    <w:rsid w:val="003209E7"/>
    <w:rsid w:val="00321DC9"/>
    <w:rsid w:val="003242EE"/>
    <w:rsid w:val="003246CD"/>
    <w:rsid w:val="00325B4B"/>
    <w:rsid w:val="00326F82"/>
    <w:rsid w:val="00327040"/>
    <w:rsid w:val="0033187C"/>
    <w:rsid w:val="00331A29"/>
    <w:rsid w:val="0033201F"/>
    <w:rsid w:val="0033230A"/>
    <w:rsid w:val="00332463"/>
    <w:rsid w:val="0033329D"/>
    <w:rsid w:val="0033455D"/>
    <w:rsid w:val="003350E2"/>
    <w:rsid w:val="003357C0"/>
    <w:rsid w:val="00335EBD"/>
    <w:rsid w:val="003363C1"/>
    <w:rsid w:val="00336C56"/>
    <w:rsid w:val="003374AC"/>
    <w:rsid w:val="00337657"/>
    <w:rsid w:val="0034085F"/>
    <w:rsid w:val="00340F4D"/>
    <w:rsid w:val="00342FB5"/>
    <w:rsid w:val="003433E3"/>
    <w:rsid w:val="00344668"/>
    <w:rsid w:val="003452C6"/>
    <w:rsid w:val="00346166"/>
    <w:rsid w:val="0035047F"/>
    <w:rsid w:val="0035182C"/>
    <w:rsid w:val="003532AF"/>
    <w:rsid w:val="003535B9"/>
    <w:rsid w:val="003567A5"/>
    <w:rsid w:val="00357299"/>
    <w:rsid w:val="00357C27"/>
    <w:rsid w:val="003600A7"/>
    <w:rsid w:val="00361CDA"/>
    <w:rsid w:val="00361F2A"/>
    <w:rsid w:val="003621D7"/>
    <w:rsid w:val="00362C22"/>
    <w:rsid w:val="00363050"/>
    <w:rsid w:val="00364C8C"/>
    <w:rsid w:val="0036774D"/>
    <w:rsid w:val="00367C48"/>
    <w:rsid w:val="00370545"/>
    <w:rsid w:val="003709D0"/>
    <w:rsid w:val="00370F11"/>
    <w:rsid w:val="00371714"/>
    <w:rsid w:val="00371D84"/>
    <w:rsid w:val="003724B1"/>
    <w:rsid w:val="00374750"/>
    <w:rsid w:val="003749CB"/>
    <w:rsid w:val="003758BE"/>
    <w:rsid w:val="00377FA5"/>
    <w:rsid w:val="00380B87"/>
    <w:rsid w:val="00380CC0"/>
    <w:rsid w:val="003812D5"/>
    <w:rsid w:val="00382331"/>
    <w:rsid w:val="00382454"/>
    <w:rsid w:val="0038426F"/>
    <w:rsid w:val="0038466F"/>
    <w:rsid w:val="00385D91"/>
    <w:rsid w:val="00386E43"/>
    <w:rsid w:val="00390CE3"/>
    <w:rsid w:val="00391284"/>
    <w:rsid w:val="00391764"/>
    <w:rsid w:val="003931CC"/>
    <w:rsid w:val="00393322"/>
    <w:rsid w:val="0039717D"/>
    <w:rsid w:val="00397B4E"/>
    <w:rsid w:val="003A0141"/>
    <w:rsid w:val="003A036A"/>
    <w:rsid w:val="003A17E9"/>
    <w:rsid w:val="003A43DB"/>
    <w:rsid w:val="003A468A"/>
    <w:rsid w:val="003A6A2D"/>
    <w:rsid w:val="003B0136"/>
    <w:rsid w:val="003B0E81"/>
    <w:rsid w:val="003B1088"/>
    <w:rsid w:val="003B2FE9"/>
    <w:rsid w:val="003B4BB3"/>
    <w:rsid w:val="003B527B"/>
    <w:rsid w:val="003B5651"/>
    <w:rsid w:val="003B5E90"/>
    <w:rsid w:val="003B6DD7"/>
    <w:rsid w:val="003B7192"/>
    <w:rsid w:val="003B7305"/>
    <w:rsid w:val="003C16FF"/>
    <w:rsid w:val="003C45F6"/>
    <w:rsid w:val="003C5F9D"/>
    <w:rsid w:val="003C6F89"/>
    <w:rsid w:val="003C73CE"/>
    <w:rsid w:val="003D107A"/>
    <w:rsid w:val="003D19B8"/>
    <w:rsid w:val="003D1ECB"/>
    <w:rsid w:val="003D3721"/>
    <w:rsid w:val="003D44DE"/>
    <w:rsid w:val="003D4549"/>
    <w:rsid w:val="003D463B"/>
    <w:rsid w:val="003D4852"/>
    <w:rsid w:val="003D4F2F"/>
    <w:rsid w:val="003D4FD3"/>
    <w:rsid w:val="003D53E3"/>
    <w:rsid w:val="003D7272"/>
    <w:rsid w:val="003E0DD9"/>
    <w:rsid w:val="003E0FB6"/>
    <w:rsid w:val="003E4925"/>
    <w:rsid w:val="003E70AE"/>
    <w:rsid w:val="003E73D6"/>
    <w:rsid w:val="003F1370"/>
    <w:rsid w:val="003F3B74"/>
    <w:rsid w:val="003F4692"/>
    <w:rsid w:val="003F4FF1"/>
    <w:rsid w:val="003F68D8"/>
    <w:rsid w:val="00402131"/>
    <w:rsid w:val="0040235E"/>
    <w:rsid w:val="004038E5"/>
    <w:rsid w:val="00404043"/>
    <w:rsid w:val="00405551"/>
    <w:rsid w:val="00405680"/>
    <w:rsid w:val="00405CAB"/>
    <w:rsid w:val="0040652D"/>
    <w:rsid w:val="004107A0"/>
    <w:rsid w:val="004110F6"/>
    <w:rsid w:val="00411F88"/>
    <w:rsid w:val="0041432E"/>
    <w:rsid w:val="004146B5"/>
    <w:rsid w:val="00414FD9"/>
    <w:rsid w:val="0042011A"/>
    <w:rsid w:val="00420E5D"/>
    <w:rsid w:val="004213CB"/>
    <w:rsid w:val="00421B8E"/>
    <w:rsid w:val="00422D75"/>
    <w:rsid w:val="00425A7C"/>
    <w:rsid w:val="00425E10"/>
    <w:rsid w:val="004264EC"/>
    <w:rsid w:val="00427E28"/>
    <w:rsid w:val="004315F4"/>
    <w:rsid w:val="004374B7"/>
    <w:rsid w:val="004449F9"/>
    <w:rsid w:val="00444BAF"/>
    <w:rsid w:val="00444C18"/>
    <w:rsid w:val="0044598B"/>
    <w:rsid w:val="00446299"/>
    <w:rsid w:val="00446DA2"/>
    <w:rsid w:val="004501A2"/>
    <w:rsid w:val="00450351"/>
    <w:rsid w:val="004509B2"/>
    <w:rsid w:val="0045239B"/>
    <w:rsid w:val="0045262F"/>
    <w:rsid w:val="00452E31"/>
    <w:rsid w:val="004532FE"/>
    <w:rsid w:val="00453EC5"/>
    <w:rsid w:val="00454199"/>
    <w:rsid w:val="00456A9F"/>
    <w:rsid w:val="00460B55"/>
    <w:rsid w:val="00461735"/>
    <w:rsid w:val="00462D7F"/>
    <w:rsid w:val="00463EBB"/>
    <w:rsid w:val="00464E51"/>
    <w:rsid w:val="00466A31"/>
    <w:rsid w:val="00471924"/>
    <w:rsid w:val="00471C0B"/>
    <w:rsid w:val="00471D0B"/>
    <w:rsid w:val="00472121"/>
    <w:rsid w:val="00472AED"/>
    <w:rsid w:val="00475363"/>
    <w:rsid w:val="00481CDC"/>
    <w:rsid w:val="0048219E"/>
    <w:rsid w:val="00483065"/>
    <w:rsid w:val="004835FD"/>
    <w:rsid w:val="00484910"/>
    <w:rsid w:val="004850AB"/>
    <w:rsid w:val="00487372"/>
    <w:rsid w:val="00487E4F"/>
    <w:rsid w:val="00493161"/>
    <w:rsid w:val="0049373A"/>
    <w:rsid w:val="00493769"/>
    <w:rsid w:val="00495313"/>
    <w:rsid w:val="00496A1C"/>
    <w:rsid w:val="004A24FB"/>
    <w:rsid w:val="004A34C8"/>
    <w:rsid w:val="004A51C9"/>
    <w:rsid w:val="004A573B"/>
    <w:rsid w:val="004A5B10"/>
    <w:rsid w:val="004A62B8"/>
    <w:rsid w:val="004A761D"/>
    <w:rsid w:val="004A795E"/>
    <w:rsid w:val="004A7AC5"/>
    <w:rsid w:val="004B0669"/>
    <w:rsid w:val="004B0A86"/>
    <w:rsid w:val="004B32F4"/>
    <w:rsid w:val="004B39EB"/>
    <w:rsid w:val="004B3E6B"/>
    <w:rsid w:val="004B3EA0"/>
    <w:rsid w:val="004B727E"/>
    <w:rsid w:val="004C08E2"/>
    <w:rsid w:val="004C09F6"/>
    <w:rsid w:val="004C2026"/>
    <w:rsid w:val="004C2434"/>
    <w:rsid w:val="004C2FCD"/>
    <w:rsid w:val="004C5CBD"/>
    <w:rsid w:val="004D08B7"/>
    <w:rsid w:val="004D1115"/>
    <w:rsid w:val="004D2F60"/>
    <w:rsid w:val="004D3438"/>
    <w:rsid w:val="004D35D6"/>
    <w:rsid w:val="004D4EF4"/>
    <w:rsid w:val="004D4F75"/>
    <w:rsid w:val="004D518D"/>
    <w:rsid w:val="004D6512"/>
    <w:rsid w:val="004D6ADA"/>
    <w:rsid w:val="004D7872"/>
    <w:rsid w:val="004E0681"/>
    <w:rsid w:val="004E1D09"/>
    <w:rsid w:val="004E259A"/>
    <w:rsid w:val="004E42D7"/>
    <w:rsid w:val="004E4A01"/>
    <w:rsid w:val="004E4C18"/>
    <w:rsid w:val="004E60E5"/>
    <w:rsid w:val="004E6DFC"/>
    <w:rsid w:val="004E7384"/>
    <w:rsid w:val="004F076D"/>
    <w:rsid w:val="004F081D"/>
    <w:rsid w:val="004F251A"/>
    <w:rsid w:val="004F38BE"/>
    <w:rsid w:val="004F51A4"/>
    <w:rsid w:val="004F5E8D"/>
    <w:rsid w:val="004F6EF6"/>
    <w:rsid w:val="004F7A05"/>
    <w:rsid w:val="00501B08"/>
    <w:rsid w:val="0050438D"/>
    <w:rsid w:val="005057D6"/>
    <w:rsid w:val="00506CED"/>
    <w:rsid w:val="005079E4"/>
    <w:rsid w:val="00510DC7"/>
    <w:rsid w:val="00510F05"/>
    <w:rsid w:val="0051212A"/>
    <w:rsid w:val="00512490"/>
    <w:rsid w:val="00512553"/>
    <w:rsid w:val="00512A4D"/>
    <w:rsid w:val="005135AA"/>
    <w:rsid w:val="00515AA7"/>
    <w:rsid w:val="005210F3"/>
    <w:rsid w:val="00521414"/>
    <w:rsid w:val="00522B57"/>
    <w:rsid w:val="005263E8"/>
    <w:rsid w:val="00530F11"/>
    <w:rsid w:val="00530F82"/>
    <w:rsid w:val="00531143"/>
    <w:rsid w:val="005312AC"/>
    <w:rsid w:val="00531ADF"/>
    <w:rsid w:val="0053391B"/>
    <w:rsid w:val="00534C7C"/>
    <w:rsid w:val="0053534B"/>
    <w:rsid w:val="005355C9"/>
    <w:rsid w:val="00536D8E"/>
    <w:rsid w:val="00536EAB"/>
    <w:rsid w:val="00537002"/>
    <w:rsid w:val="0054111C"/>
    <w:rsid w:val="00541315"/>
    <w:rsid w:val="005414A8"/>
    <w:rsid w:val="00542E81"/>
    <w:rsid w:val="00544BB2"/>
    <w:rsid w:val="005452AE"/>
    <w:rsid w:val="00547A88"/>
    <w:rsid w:val="005506C2"/>
    <w:rsid w:val="00553684"/>
    <w:rsid w:val="0055433C"/>
    <w:rsid w:val="00554DC9"/>
    <w:rsid w:val="00554F80"/>
    <w:rsid w:val="005568E5"/>
    <w:rsid w:val="00556BAC"/>
    <w:rsid w:val="00556C80"/>
    <w:rsid w:val="00560800"/>
    <w:rsid w:val="00560BB9"/>
    <w:rsid w:val="00561637"/>
    <w:rsid w:val="00562937"/>
    <w:rsid w:val="00562C02"/>
    <w:rsid w:val="00564234"/>
    <w:rsid w:val="00564673"/>
    <w:rsid w:val="005656AA"/>
    <w:rsid w:val="005714D7"/>
    <w:rsid w:val="00573251"/>
    <w:rsid w:val="00573E62"/>
    <w:rsid w:val="0057479E"/>
    <w:rsid w:val="00575411"/>
    <w:rsid w:val="00575442"/>
    <w:rsid w:val="00575FDF"/>
    <w:rsid w:val="00576DF1"/>
    <w:rsid w:val="00576EA0"/>
    <w:rsid w:val="00577147"/>
    <w:rsid w:val="00577441"/>
    <w:rsid w:val="00577783"/>
    <w:rsid w:val="00581AD0"/>
    <w:rsid w:val="00581BFA"/>
    <w:rsid w:val="00584536"/>
    <w:rsid w:val="00586A9B"/>
    <w:rsid w:val="00591731"/>
    <w:rsid w:val="00593AB5"/>
    <w:rsid w:val="00593C85"/>
    <w:rsid w:val="00594716"/>
    <w:rsid w:val="00595960"/>
    <w:rsid w:val="00597870"/>
    <w:rsid w:val="005A290E"/>
    <w:rsid w:val="005A2917"/>
    <w:rsid w:val="005A3B6C"/>
    <w:rsid w:val="005A46DD"/>
    <w:rsid w:val="005A6768"/>
    <w:rsid w:val="005B03B7"/>
    <w:rsid w:val="005B174E"/>
    <w:rsid w:val="005B2073"/>
    <w:rsid w:val="005B2CE9"/>
    <w:rsid w:val="005B322D"/>
    <w:rsid w:val="005B39FF"/>
    <w:rsid w:val="005B4D9F"/>
    <w:rsid w:val="005B54FB"/>
    <w:rsid w:val="005B653A"/>
    <w:rsid w:val="005B6E6E"/>
    <w:rsid w:val="005C05A1"/>
    <w:rsid w:val="005C0832"/>
    <w:rsid w:val="005C13AE"/>
    <w:rsid w:val="005C436D"/>
    <w:rsid w:val="005C513C"/>
    <w:rsid w:val="005C64BD"/>
    <w:rsid w:val="005C6529"/>
    <w:rsid w:val="005C7682"/>
    <w:rsid w:val="005C7CEF"/>
    <w:rsid w:val="005D2A0D"/>
    <w:rsid w:val="005D332D"/>
    <w:rsid w:val="005D3ADE"/>
    <w:rsid w:val="005D6349"/>
    <w:rsid w:val="005D732D"/>
    <w:rsid w:val="005D7A33"/>
    <w:rsid w:val="005E14EB"/>
    <w:rsid w:val="005E289A"/>
    <w:rsid w:val="005E2A88"/>
    <w:rsid w:val="005E366A"/>
    <w:rsid w:val="005E3725"/>
    <w:rsid w:val="005E3FFE"/>
    <w:rsid w:val="005E477A"/>
    <w:rsid w:val="005E5176"/>
    <w:rsid w:val="005E755E"/>
    <w:rsid w:val="005F1A04"/>
    <w:rsid w:val="005F3BDC"/>
    <w:rsid w:val="005F4880"/>
    <w:rsid w:val="005F7A75"/>
    <w:rsid w:val="00600472"/>
    <w:rsid w:val="00601510"/>
    <w:rsid w:val="00604132"/>
    <w:rsid w:val="00605545"/>
    <w:rsid w:val="00610080"/>
    <w:rsid w:val="0061037A"/>
    <w:rsid w:val="00610526"/>
    <w:rsid w:val="00610561"/>
    <w:rsid w:val="006127FE"/>
    <w:rsid w:val="00614605"/>
    <w:rsid w:val="0061473A"/>
    <w:rsid w:val="00616195"/>
    <w:rsid w:val="0061752E"/>
    <w:rsid w:val="0062068D"/>
    <w:rsid w:val="00621E95"/>
    <w:rsid w:val="0062218A"/>
    <w:rsid w:val="0062343C"/>
    <w:rsid w:val="006243D6"/>
    <w:rsid w:val="00624E9E"/>
    <w:rsid w:val="00626CB2"/>
    <w:rsid w:val="00627B2F"/>
    <w:rsid w:val="0063100C"/>
    <w:rsid w:val="00634554"/>
    <w:rsid w:val="00635530"/>
    <w:rsid w:val="00635B51"/>
    <w:rsid w:val="00637002"/>
    <w:rsid w:val="00640CF9"/>
    <w:rsid w:val="006418EB"/>
    <w:rsid w:val="00642333"/>
    <w:rsid w:val="006437A9"/>
    <w:rsid w:val="00645C2D"/>
    <w:rsid w:val="00646CB6"/>
    <w:rsid w:val="00647FB6"/>
    <w:rsid w:val="00650C00"/>
    <w:rsid w:val="00651E48"/>
    <w:rsid w:val="00652BB2"/>
    <w:rsid w:val="00652EF3"/>
    <w:rsid w:val="00654295"/>
    <w:rsid w:val="00654918"/>
    <w:rsid w:val="00654CBC"/>
    <w:rsid w:val="006602BB"/>
    <w:rsid w:val="00660628"/>
    <w:rsid w:val="0066074C"/>
    <w:rsid w:val="00661C36"/>
    <w:rsid w:val="00662384"/>
    <w:rsid w:val="0066261E"/>
    <w:rsid w:val="006660E8"/>
    <w:rsid w:val="006666E5"/>
    <w:rsid w:val="00667B07"/>
    <w:rsid w:val="00670B50"/>
    <w:rsid w:val="00673BCD"/>
    <w:rsid w:val="00675ECB"/>
    <w:rsid w:val="00676245"/>
    <w:rsid w:val="0067745A"/>
    <w:rsid w:val="0068096D"/>
    <w:rsid w:val="006816F8"/>
    <w:rsid w:val="006819DE"/>
    <w:rsid w:val="00681B23"/>
    <w:rsid w:val="00682D61"/>
    <w:rsid w:val="00683A3A"/>
    <w:rsid w:val="00683D18"/>
    <w:rsid w:val="0068554C"/>
    <w:rsid w:val="0068636F"/>
    <w:rsid w:val="0068698F"/>
    <w:rsid w:val="006912C3"/>
    <w:rsid w:val="00691B04"/>
    <w:rsid w:val="0069405A"/>
    <w:rsid w:val="0069581F"/>
    <w:rsid w:val="00696416"/>
    <w:rsid w:val="006A1352"/>
    <w:rsid w:val="006A1F68"/>
    <w:rsid w:val="006A282B"/>
    <w:rsid w:val="006A3452"/>
    <w:rsid w:val="006A3552"/>
    <w:rsid w:val="006B19F3"/>
    <w:rsid w:val="006B1E38"/>
    <w:rsid w:val="006B36A3"/>
    <w:rsid w:val="006B3F49"/>
    <w:rsid w:val="006B4820"/>
    <w:rsid w:val="006B4CED"/>
    <w:rsid w:val="006B5977"/>
    <w:rsid w:val="006C04F0"/>
    <w:rsid w:val="006C067D"/>
    <w:rsid w:val="006C06E2"/>
    <w:rsid w:val="006C0E6E"/>
    <w:rsid w:val="006C470D"/>
    <w:rsid w:val="006C5133"/>
    <w:rsid w:val="006C5E0F"/>
    <w:rsid w:val="006C61BB"/>
    <w:rsid w:val="006C667D"/>
    <w:rsid w:val="006C6858"/>
    <w:rsid w:val="006C6B49"/>
    <w:rsid w:val="006D11B9"/>
    <w:rsid w:val="006D31A2"/>
    <w:rsid w:val="006D4720"/>
    <w:rsid w:val="006D5B63"/>
    <w:rsid w:val="006D5BCE"/>
    <w:rsid w:val="006D6896"/>
    <w:rsid w:val="006D7264"/>
    <w:rsid w:val="006E13F2"/>
    <w:rsid w:val="006E1E12"/>
    <w:rsid w:val="006E21E0"/>
    <w:rsid w:val="006E3E6F"/>
    <w:rsid w:val="006E4578"/>
    <w:rsid w:val="006E5016"/>
    <w:rsid w:val="006E5183"/>
    <w:rsid w:val="006E63EC"/>
    <w:rsid w:val="006E69C9"/>
    <w:rsid w:val="006F075C"/>
    <w:rsid w:val="006F1AB9"/>
    <w:rsid w:val="006F267F"/>
    <w:rsid w:val="006F3696"/>
    <w:rsid w:val="006F3E57"/>
    <w:rsid w:val="006F3EA4"/>
    <w:rsid w:val="006F6CA5"/>
    <w:rsid w:val="006F7E86"/>
    <w:rsid w:val="00700B72"/>
    <w:rsid w:val="007020F4"/>
    <w:rsid w:val="007046D2"/>
    <w:rsid w:val="007105ED"/>
    <w:rsid w:val="00711562"/>
    <w:rsid w:val="00711B8E"/>
    <w:rsid w:val="00712C7C"/>
    <w:rsid w:val="00713995"/>
    <w:rsid w:val="0071465A"/>
    <w:rsid w:val="00715C70"/>
    <w:rsid w:val="00717879"/>
    <w:rsid w:val="00717918"/>
    <w:rsid w:val="0072046F"/>
    <w:rsid w:val="00720FC8"/>
    <w:rsid w:val="00723BDD"/>
    <w:rsid w:val="00723CD0"/>
    <w:rsid w:val="00724835"/>
    <w:rsid w:val="00725DF5"/>
    <w:rsid w:val="00726EB3"/>
    <w:rsid w:val="007301C5"/>
    <w:rsid w:val="00733B8D"/>
    <w:rsid w:val="007340CB"/>
    <w:rsid w:val="00734147"/>
    <w:rsid w:val="00734C86"/>
    <w:rsid w:val="00735885"/>
    <w:rsid w:val="00735DB9"/>
    <w:rsid w:val="00736CBA"/>
    <w:rsid w:val="00737534"/>
    <w:rsid w:val="00737E10"/>
    <w:rsid w:val="00741FC0"/>
    <w:rsid w:val="00742F7B"/>
    <w:rsid w:val="00744209"/>
    <w:rsid w:val="00750D55"/>
    <w:rsid w:val="00751229"/>
    <w:rsid w:val="00751A2C"/>
    <w:rsid w:val="00752285"/>
    <w:rsid w:val="007522E9"/>
    <w:rsid w:val="007553C9"/>
    <w:rsid w:val="00757B76"/>
    <w:rsid w:val="007602D9"/>
    <w:rsid w:val="00761E03"/>
    <w:rsid w:val="00764C2B"/>
    <w:rsid w:val="00764E8F"/>
    <w:rsid w:val="00765ADA"/>
    <w:rsid w:val="00765CF2"/>
    <w:rsid w:val="00766E79"/>
    <w:rsid w:val="00767B33"/>
    <w:rsid w:val="0077079E"/>
    <w:rsid w:val="007723BB"/>
    <w:rsid w:val="00773187"/>
    <w:rsid w:val="00774061"/>
    <w:rsid w:val="0077522C"/>
    <w:rsid w:val="007752C1"/>
    <w:rsid w:val="007753AE"/>
    <w:rsid w:val="00776605"/>
    <w:rsid w:val="0077686F"/>
    <w:rsid w:val="0077755D"/>
    <w:rsid w:val="007800C7"/>
    <w:rsid w:val="00780E47"/>
    <w:rsid w:val="007817B5"/>
    <w:rsid w:val="00787714"/>
    <w:rsid w:val="00787AB0"/>
    <w:rsid w:val="00791376"/>
    <w:rsid w:val="00793DFE"/>
    <w:rsid w:val="00795370"/>
    <w:rsid w:val="00797BF7"/>
    <w:rsid w:val="007A2DCE"/>
    <w:rsid w:val="007A3242"/>
    <w:rsid w:val="007A4BD3"/>
    <w:rsid w:val="007A5358"/>
    <w:rsid w:val="007A6218"/>
    <w:rsid w:val="007A6270"/>
    <w:rsid w:val="007B00DB"/>
    <w:rsid w:val="007B0AC3"/>
    <w:rsid w:val="007B2423"/>
    <w:rsid w:val="007B339F"/>
    <w:rsid w:val="007B381C"/>
    <w:rsid w:val="007B3958"/>
    <w:rsid w:val="007B3BF4"/>
    <w:rsid w:val="007B5CC1"/>
    <w:rsid w:val="007B6104"/>
    <w:rsid w:val="007C090B"/>
    <w:rsid w:val="007C2343"/>
    <w:rsid w:val="007C3F4B"/>
    <w:rsid w:val="007C78CA"/>
    <w:rsid w:val="007D09EA"/>
    <w:rsid w:val="007D1634"/>
    <w:rsid w:val="007D29F2"/>
    <w:rsid w:val="007D2F99"/>
    <w:rsid w:val="007D3A3C"/>
    <w:rsid w:val="007D3C60"/>
    <w:rsid w:val="007D5132"/>
    <w:rsid w:val="007D5685"/>
    <w:rsid w:val="007D6679"/>
    <w:rsid w:val="007D6E98"/>
    <w:rsid w:val="007E0540"/>
    <w:rsid w:val="007E07F2"/>
    <w:rsid w:val="007E0D12"/>
    <w:rsid w:val="007E17FA"/>
    <w:rsid w:val="007E1ECF"/>
    <w:rsid w:val="007E3FFF"/>
    <w:rsid w:val="007E55FF"/>
    <w:rsid w:val="007E5FB1"/>
    <w:rsid w:val="007E6370"/>
    <w:rsid w:val="007E67C9"/>
    <w:rsid w:val="007E6E85"/>
    <w:rsid w:val="007F0DFC"/>
    <w:rsid w:val="007F22FD"/>
    <w:rsid w:val="007F2DEB"/>
    <w:rsid w:val="007F3114"/>
    <w:rsid w:val="007F3F85"/>
    <w:rsid w:val="007F51C1"/>
    <w:rsid w:val="00801124"/>
    <w:rsid w:val="008016ED"/>
    <w:rsid w:val="00803673"/>
    <w:rsid w:val="0080417B"/>
    <w:rsid w:val="00805F21"/>
    <w:rsid w:val="008115BB"/>
    <w:rsid w:val="008123A3"/>
    <w:rsid w:val="0081383F"/>
    <w:rsid w:val="008153CD"/>
    <w:rsid w:val="00816E62"/>
    <w:rsid w:val="00821302"/>
    <w:rsid w:val="00822E86"/>
    <w:rsid w:val="008238A4"/>
    <w:rsid w:val="0082578B"/>
    <w:rsid w:val="008269B2"/>
    <w:rsid w:val="00827999"/>
    <w:rsid w:val="00827D60"/>
    <w:rsid w:val="008301EB"/>
    <w:rsid w:val="008302B5"/>
    <w:rsid w:val="008302F0"/>
    <w:rsid w:val="008319A4"/>
    <w:rsid w:val="00831C63"/>
    <w:rsid w:val="008323BE"/>
    <w:rsid w:val="00832449"/>
    <w:rsid w:val="0083285C"/>
    <w:rsid w:val="00833F57"/>
    <w:rsid w:val="00836A03"/>
    <w:rsid w:val="00837E39"/>
    <w:rsid w:val="00840B76"/>
    <w:rsid w:val="00842994"/>
    <w:rsid w:val="00843BEB"/>
    <w:rsid w:val="008471E2"/>
    <w:rsid w:val="00850274"/>
    <w:rsid w:val="00854191"/>
    <w:rsid w:val="00854265"/>
    <w:rsid w:val="008543E8"/>
    <w:rsid w:val="0085598E"/>
    <w:rsid w:val="00862C84"/>
    <w:rsid w:val="00863C40"/>
    <w:rsid w:val="0086587A"/>
    <w:rsid w:val="00866DE6"/>
    <w:rsid w:val="008717BA"/>
    <w:rsid w:val="0087182B"/>
    <w:rsid w:val="008721B4"/>
    <w:rsid w:val="0087246C"/>
    <w:rsid w:val="00873BF8"/>
    <w:rsid w:val="00873DE7"/>
    <w:rsid w:val="00876399"/>
    <w:rsid w:val="0087690C"/>
    <w:rsid w:val="00876A74"/>
    <w:rsid w:val="0088130B"/>
    <w:rsid w:val="00886433"/>
    <w:rsid w:val="00886621"/>
    <w:rsid w:val="008871FA"/>
    <w:rsid w:val="008873E1"/>
    <w:rsid w:val="008907DD"/>
    <w:rsid w:val="008913C5"/>
    <w:rsid w:val="008914EC"/>
    <w:rsid w:val="008945AF"/>
    <w:rsid w:val="008948C6"/>
    <w:rsid w:val="0089572F"/>
    <w:rsid w:val="00895AEB"/>
    <w:rsid w:val="0089652E"/>
    <w:rsid w:val="008A01DB"/>
    <w:rsid w:val="008A161A"/>
    <w:rsid w:val="008A32AE"/>
    <w:rsid w:val="008A3A4E"/>
    <w:rsid w:val="008A4BC6"/>
    <w:rsid w:val="008A4C7B"/>
    <w:rsid w:val="008A610F"/>
    <w:rsid w:val="008A6865"/>
    <w:rsid w:val="008B1944"/>
    <w:rsid w:val="008B41B6"/>
    <w:rsid w:val="008B563E"/>
    <w:rsid w:val="008B6541"/>
    <w:rsid w:val="008B75DB"/>
    <w:rsid w:val="008B7C69"/>
    <w:rsid w:val="008C0213"/>
    <w:rsid w:val="008C0920"/>
    <w:rsid w:val="008C1A1F"/>
    <w:rsid w:val="008C3662"/>
    <w:rsid w:val="008C4807"/>
    <w:rsid w:val="008C6345"/>
    <w:rsid w:val="008C6B3F"/>
    <w:rsid w:val="008C7584"/>
    <w:rsid w:val="008C7E29"/>
    <w:rsid w:val="008D0D2A"/>
    <w:rsid w:val="008D1401"/>
    <w:rsid w:val="008D1B78"/>
    <w:rsid w:val="008D2449"/>
    <w:rsid w:val="008D367C"/>
    <w:rsid w:val="008D4552"/>
    <w:rsid w:val="008D7142"/>
    <w:rsid w:val="008E08D4"/>
    <w:rsid w:val="008E17D3"/>
    <w:rsid w:val="008E3D31"/>
    <w:rsid w:val="008E4397"/>
    <w:rsid w:val="008E4536"/>
    <w:rsid w:val="008E45C7"/>
    <w:rsid w:val="008E525B"/>
    <w:rsid w:val="008E6E03"/>
    <w:rsid w:val="008E70C3"/>
    <w:rsid w:val="008F09FC"/>
    <w:rsid w:val="008F0CDE"/>
    <w:rsid w:val="008F1616"/>
    <w:rsid w:val="008F1654"/>
    <w:rsid w:val="008F273B"/>
    <w:rsid w:val="008F2E92"/>
    <w:rsid w:val="008F5FE5"/>
    <w:rsid w:val="008F6165"/>
    <w:rsid w:val="008F6FAF"/>
    <w:rsid w:val="009004D0"/>
    <w:rsid w:val="00901AB3"/>
    <w:rsid w:val="00903AE9"/>
    <w:rsid w:val="0090513C"/>
    <w:rsid w:val="0090557D"/>
    <w:rsid w:val="00905CEC"/>
    <w:rsid w:val="00906C23"/>
    <w:rsid w:val="00906F8E"/>
    <w:rsid w:val="0090791F"/>
    <w:rsid w:val="00910684"/>
    <w:rsid w:val="00910E52"/>
    <w:rsid w:val="00911B2E"/>
    <w:rsid w:val="009124F4"/>
    <w:rsid w:val="00912574"/>
    <w:rsid w:val="009145F2"/>
    <w:rsid w:val="00914C53"/>
    <w:rsid w:val="0091550E"/>
    <w:rsid w:val="00915ADE"/>
    <w:rsid w:val="00916313"/>
    <w:rsid w:val="009179AC"/>
    <w:rsid w:val="00921713"/>
    <w:rsid w:val="00921947"/>
    <w:rsid w:val="00923958"/>
    <w:rsid w:val="00923B10"/>
    <w:rsid w:val="00923D82"/>
    <w:rsid w:val="00923FD2"/>
    <w:rsid w:val="00924D9B"/>
    <w:rsid w:val="00925EB8"/>
    <w:rsid w:val="009262F6"/>
    <w:rsid w:val="00926591"/>
    <w:rsid w:val="00926B2D"/>
    <w:rsid w:val="009307D0"/>
    <w:rsid w:val="0093160B"/>
    <w:rsid w:val="00931689"/>
    <w:rsid w:val="00932572"/>
    <w:rsid w:val="009371F0"/>
    <w:rsid w:val="00940BA0"/>
    <w:rsid w:val="00941588"/>
    <w:rsid w:val="00941A37"/>
    <w:rsid w:val="009424E3"/>
    <w:rsid w:val="009425A3"/>
    <w:rsid w:val="00945888"/>
    <w:rsid w:val="00950707"/>
    <w:rsid w:val="00950B6F"/>
    <w:rsid w:val="00950ED3"/>
    <w:rsid w:val="0095145A"/>
    <w:rsid w:val="0095249B"/>
    <w:rsid w:val="0095276C"/>
    <w:rsid w:val="0095308E"/>
    <w:rsid w:val="00954BE5"/>
    <w:rsid w:val="00954D73"/>
    <w:rsid w:val="009559ED"/>
    <w:rsid w:val="00955A63"/>
    <w:rsid w:val="00961E47"/>
    <w:rsid w:val="009622D1"/>
    <w:rsid w:val="00962AC7"/>
    <w:rsid w:val="00962FBD"/>
    <w:rsid w:val="009633FF"/>
    <w:rsid w:val="00967175"/>
    <w:rsid w:val="00967F18"/>
    <w:rsid w:val="00973639"/>
    <w:rsid w:val="00973882"/>
    <w:rsid w:val="00975190"/>
    <w:rsid w:val="009758B4"/>
    <w:rsid w:val="00975ED4"/>
    <w:rsid w:val="0097658F"/>
    <w:rsid w:val="00976FC4"/>
    <w:rsid w:val="00980C08"/>
    <w:rsid w:val="0098256D"/>
    <w:rsid w:val="009848B3"/>
    <w:rsid w:val="00984A85"/>
    <w:rsid w:val="00984D46"/>
    <w:rsid w:val="009944E2"/>
    <w:rsid w:val="00995F64"/>
    <w:rsid w:val="0099718A"/>
    <w:rsid w:val="0099755D"/>
    <w:rsid w:val="009978A5"/>
    <w:rsid w:val="00997D96"/>
    <w:rsid w:val="00997DAA"/>
    <w:rsid w:val="009A17D0"/>
    <w:rsid w:val="009A1CE9"/>
    <w:rsid w:val="009A342F"/>
    <w:rsid w:val="009A3D20"/>
    <w:rsid w:val="009A4D19"/>
    <w:rsid w:val="009A619D"/>
    <w:rsid w:val="009A6215"/>
    <w:rsid w:val="009B044B"/>
    <w:rsid w:val="009B14E2"/>
    <w:rsid w:val="009B3DD2"/>
    <w:rsid w:val="009B4D80"/>
    <w:rsid w:val="009B6C79"/>
    <w:rsid w:val="009C0063"/>
    <w:rsid w:val="009C041F"/>
    <w:rsid w:val="009C3C48"/>
    <w:rsid w:val="009C5B0D"/>
    <w:rsid w:val="009C5F00"/>
    <w:rsid w:val="009C6D51"/>
    <w:rsid w:val="009C7528"/>
    <w:rsid w:val="009D02C3"/>
    <w:rsid w:val="009D1C8A"/>
    <w:rsid w:val="009D20C2"/>
    <w:rsid w:val="009D2205"/>
    <w:rsid w:val="009D36B7"/>
    <w:rsid w:val="009D3AA7"/>
    <w:rsid w:val="009D5AF7"/>
    <w:rsid w:val="009D5E31"/>
    <w:rsid w:val="009E5566"/>
    <w:rsid w:val="009E5BCE"/>
    <w:rsid w:val="009E6D42"/>
    <w:rsid w:val="009E7A89"/>
    <w:rsid w:val="009E7F40"/>
    <w:rsid w:val="009F07F0"/>
    <w:rsid w:val="009F0FF0"/>
    <w:rsid w:val="009F1003"/>
    <w:rsid w:val="009F1C2F"/>
    <w:rsid w:val="009F2781"/>
    <w:rsid w:val="009F3AF2"/>
    <w:rsid w:val="009F3B87"/>
    <w:rsid w:val="009F4A43"/>
    <w:rsid w:val="009F4BEB"/>
    <w:rsid w:val="009F53EF"/>
    <w:rsid w:val="009F568B"/>
    <w:rsid w:val="009F5E26"/>
    <w:rsid w:val="009F6C01"/>
    <w:rsid w:val="009F725D"/>
    <w:rsid w:val="009F778E"/>
    <w:rsid w:val="009F7CE1"/>
    <w:rsid w:val="009F7F01"/>
    <w:rsid w:val="00A0174C"/>
    <w:rsid w:val="00A01ADD"/>
    <w:rsid w:val="00A0498E"/>
    <w:rsid w:val="00A055E0"/>
    <w:rsid w:val="00A05B12"/>
    <w:rsid w:val="00A06E20"/>
    <w:rsid w:val="00A07192"/>
    <w:rsid w:val="00A071FB"/>
    <w:rsid w:val="00A10689"/>
    <w:rsid w:val="00A110DF"/>
    <w:rsid w:val="00A1249C"/>
    <w:rsid w:val="00A12A90"/>
    <w:rsid w:val="00A21BB1"/>
    <w:rsid w:val="00A21E50"/>
    <w:rsid w:val="00A22881"/>
    <w:rsid w:val="00A23FF3"/>
    <w:rsid w:val="00A262CA"/>
    <w:rsid w:val="00A3011F"/>
    <w:rsid w:val="00A30A1E"/>
    <w:rsid w:val="00A31B05"/>
    <w:rsid w:val="00A31D17"/>
    <w:rsid w:val="00A31D2C"/>
    <w:rsid w:val="00A32349"/>
    <w:rsid w:val="00A32CB6"/>
    <w:rsid w:val="00A340DD"/>
    <w:rsid w:val="00A342F5"/>
    <w:rsid w:val="00A358C5"/>
    <w:rsid w:val="00A3610C"/>
    <w:rsid w:val="00A36A09"/>
    <w:rsid w:val="00A400A2"/>
    <w:rsid w:val="00A4061C"/>
    <w:rsid w:val="00A406D5"/>
    <w:rsid w:val="00A41D33"/>
    <w:rsid w:val="00A43C52"/>
    <w:rsid w:val="00A43E32"/>
    <w:rsid w:val="00A4493E"/>
    <w:rsid w:val="00A44ED8"/>
    <w:rsid w:val="00A4537B"/>
    <w:rsid w:val="00A4646D"/>
    <w:rsid w:val="00A4692B"/>
    <w:rsid w:val="00A4783D"/>
    <w:rsid w:val="00A47B29"/>
    <w:rsid w:val="00A52A1A"/>
    <w:rsid w:val="00A53688"/>
    <w:rsid w:val="00A540AC"/>
    <w:rsid w:val="00A548CD"/>
    <w:rsid w:val="00A55A17"/>
    <w:rsid w:val="00A57148"/>
    <w:rsid w:val="00A57638"/>
    <w:rsid w:val="00A60EEE"/>
    <w:rsid w:val="00A63083"/>
    <w:rsid w:val="00A6380E"/>
    <w:rsid w:val="00A63916"/>
    <w:rsid w:val="00A64958"/>
    <w:rsid w:val="00A65BFF"/>
    <w:rsid w:val="00A65E48"/>
    <w:rsid w:val="00A66713"/>
    <w:rsid w:val="00A66B4F"/>
    <w:rsid w:val="00A67B90"/>
    <w:rsid w:val="00A70D2D"/>
    <w:rsid w:val="00A734BD"/>
    <w:rsid w:val="00A73777"/>
    <w:rsid w:val="00A73E4C"/>
    <w:rsid w:val="00A740CA"/>
    <w:rsid w:val="00A74C8A"/>
    <w:rsid w:val="00A755E1"/>
    <w:rsid w:val="00A75608"/>
    <w:rsid w:val="00A75B75"/>
    <w:rsid w:val="00A75D55"/>
    <w:rsid w:val="00A766C3"/>
    <w:rsid w:val="00A767E9"/>
    <w:rsid w:val="00A76C96"/>
    <w:rsid w:val="00A8059D"/>
    <w:rsid w:val="00A83CE1"/>
    <w:rsid w:val="00A844D2"/>
    <w:rsid w:val="00A85B9E"/>
    <w:rsid w:val="00A8713B"/>
    <w:rsid w:val="00A90877"/>
    <w:rsid w:val="00A9164E"/>
    <w:rsid w:val="00A91A2A"/>
    <w:rsid w:val="00A9382D"/>
    <w:rsid w:val="00A94DC5"/>
    <w:rsid w:val="00A955A3"/>
    <w:rsid w:val="00A9598F"/>
    <w:rsid w:val="00A9670B"/>
    <w:rsid w:val="00A97E97"/>
    <w:rsid w:val="00AA0D19"/>
    <w:rsid w:val="00AA18BE"/>
    <w:rsid w:val="00AA20B3"/>
    <w:rsid w:val="00AA4761"/>
    <w:rsid w:val="00AA498A"/>
    <w:rsid w:val="00AA6FA7"/>
    <w:rsid w:val="00AA7D05"/>
    <w:rsid w:val="00AB0B95"/>
    <w:rsid w:val="00AB0F02"/>
    <w:rsid w:val="00AB1794"/>
    <w:rsid w:val="00AB198D"/>
    <w:rsid w:val="00AB4A1A"/>
    <w:rsid w:val="00AB5143"/>
    <w:rsid w:val="00AB63E0"/>
    <w:rsid w:val="00AB64D8"/>
    <w:rsid w:val="00AB7372"/>
    <w:rsid w:val="00AB7489"/>
    <w:rsid w:val="00AB7B52"/>
    <w:rsid w:val="00AC0B1A"/>
    <w:rsid w:val="00AC3F27"/>
    <w:rsid w:val="00AC4305"/>
    <w:rsid w:val="00AC49C0"/>
    <w:rsid w:val="00AC5B98"/>
    <w:rsid w:val="00AC5E64"/>
    <w:rsid w:val="00AC643F"/>
    <w:rsid w:val="00AC69DD"/>
    <w:rsid w:val="00AC6A96"/>
    <w:rsid w:val="00AC766F"/>
    <w:rsid w:val="00AD0E4A"/>
    <w:rsid w:val="00AD342B"/>
    <w:rsid w:val="00AD3B72"/>
    <w:rsid w:val="00AD3BB5"/>
    <w:rsid w:val="00AD48E8"/>
    <w:rsid w:val="00AD6687"/>
    <w:rsid w:val="00AD6F28"/>
    <w:rsid w:val="00AD721D"/>
    <w:rsid w:val="00AE0204"/>
    <w:rsid w:val="00AE07F9"/>
    <w:rsid w:val="00AE0DAD"/>
    <w:rsid w:val="00AE24A5"/>
    <w:rsid w:val="00AE4EA7"/>
    <w:rsid w:val="00AE76B4"/>
    <w:rsid w:val="00AF381D"/>
    <w:rsid w:val="00AF5365"/>
    <w:rsid w:val="00AF6243"/>
    <w:rsid w:val="00AF693B"/>
    <w:rsid w:val="00AF732B"/>
    <w:rsid w:val="00AF7C7A"/>
    <w:rsid w:val="00B0060D"/>
    <w:rsid w:val="00B01467"/>
    <w:rsid w:val="00B020F7"/>
    <w:rsid w:val="00B05918"/>
    <w:rsid w:val="00B10933"/>
    <w:rsid w:val="00B10C62"/>
    <w:rsid w:val="00B10EF9"/>
    <w:rsid w:val="00B11E52"/>
    <w:rsid w:val="00B11EF4"/>
    <w:rsid w:val="00B12E04"/>
    <w:rsid w:val="00B14AB1"/>
    <w:rsid w:val="00B15E91"/>
    <w:rsid w:val="00B165FF"/>
    <w:rsid w:val="00B20364"/>
    <w:rsid w:val="00B20EC9"/>
    <w:rsid w:val="00B21053"/>
    <w:rsid w:val="00B213F8"/>
    <w:rsid w:val="00B22217"/>
    <w:rsid w:val="00B22561"/>
    <w:rsid w:val="00B2313E"/>
    <w:rsid w:val="00B24DE3"/>
    <w:rsid w:val="00B268E2"/>
    <w:rsid w:val="00B274F7"/>
    <w:rsid w:val="00B27771"/>
    <w:rsid w:val="00B2795B"/>
    <w:rsid w:val="00B3161D"/>
    <w:rsid w:val="00B31A85"/>
    <w:rsid w:val="00B33EF7"/>
    <w:rsid w:val="00B3419E"/>
    <w:rsid w:val="00B34657"/>
    <w:rsid w:val="00B3622C"/>
    <w:rsid w:val="00B36DE6"/>
    <w:rsid w:val="00B376DF"/>
    <w:rsid w:val="00B37809"/>
    <w:rsid w:val="00B37872"/>
    <w:rsid w:val="00B379C3"/>
    <w:rsid w:val="00B379F2"/>
    <w:rsid w:val="00B42C09"/>
    <w:rsid w:val="00B42C6F"/>
    <w:rsid w:val="00B42FBD"/>
    <w:rsid w:val="00B42FCE"/>
    <w:rsid w:val="00B447BD"/>
    <w:rsid w:val="00B46550"/>
    <w:rsid w:val="00B50E4B"/>
    <w:rsid w:val="00B52D70"/>
    <w:rsid w:val="00B57BBF"/>
    <w:rsid w:val="00B603E7"/>
    <w:rsid w:val="00B609D3"/>
    <w:rsid w:val="00B61F80"/>
    <w:rsid w:val="00B628ED"/>
    <w:rsid w:val="00B64B1D"/>
    <w:rsid w:val="00B64F5A"/>
    <w:rsid w:val="00B66315"/>
    <w:rsid w:val="00B6651A"/>
    <w:rsid w:val="00B66693"/>
    <w:rsid w:val="00B6790D"/>
    <w:rsid w:val="00B6791E"/>
    <w:rsid w:val="00B718D6"/>
    <w:rsid w:val="00B722CD"/>
    <w:rsid w:val="00B725BC"/>
    <w:rsid w:val="00B73CD8"/>
    <w:rsid w:val="00B75727"/>
    <w:rsid w:val="00B75F8D"/>
    <w:rsid w:val="00B81E82"/>
    <w:rsid w:val="00B82FCF"/>
    <w:rsid w:val="00B83099"/>
    <w:rsid w:val="00B83784"/>
    <w:rsid w:val="00B83892"/>
    <w:rsid w:val="00B83E1C"/>
    <w:rsid w:val="00B84610"/>
    <w:rsid w:val="00B849E5"/>
    <w:rsid w:val="00B84BDA"/>
    <w:rsid w:val="00B86B17"/>
    <w:rsid w:val="00B87580"/>
    <w:rsid w:val="00B9007E"/>
    <w:rsid w:val="00B91AA2"/>
    <w:rsid w:val="00B927D4"/>
    <w:rsid w:val="00B93237"/>
    <w:rsid w:val="00B94B8B"/>
    <w:rsid w:val="00B94D47"/>
    <w:rsid w:val="00B94DC9"/>
    <w:rsid w:val="00B965A4"/>
    <w:rsid w:val="00B976F1"/>
    <w:rsid w:val="00BA0959"/>
    <w:rsid w:val="00BA0C73"/>
    <w:rsid w:val="00BA1882"/>
    <w:rsid w:val="00BA2DBC"/>
    <w:rsid w:val="00BA52C1"/>
    <w:rsid w:val="00BA76EC"/>
    <w:rsid w:val="00BB0102"/>
    <w:rsid w:val="00BB03F8"/>
    <w:rsid w:val="00BB08B3"/>
    <w:rsid w:val="00BB26EE"/>
    <w:rsid w:val="00BB36DD"/>
    <w:rsid w:val="00BB3AC5"/>
    <w:rsid w:val="00BB4D77"/>
    <w:rsid w:val="00BB6107"/>
    <w:rsid w:val="00BB7307"/>
    <w:rsid w:val="00BB7534"/>
    <w:rsid w:val="00BB7670"/>
    <w:rsid w:val="00BC1908"/>
    <w:rsid w:val="00BC2E00"/>
    <w:rsid w:val="00BC374A"/>
    <w:rsid w:val="00BC453E"/>
    <w:rsid w:val="00BC5300"/>
    <w:rsid w:val="00BC66E8"/>
    <w:rsid w:val="00BD28C3"/>
    <w:rsid w:val="00BD364C"/>
    <w:rsid w:val="00BD3888"/>
    <w:rsid w:val="00BD4412"/>
    <w:rsid w:val="00BD54BA"/>
    <w:rsid w:val="00BD5BA5"/>
    <w:rsid w:val="00BD723F"/>
    <w:rsid w:val="00BD751A"/>
    <w:rsid w:val="00BE184D"/>
    <w:rsid w:val="00BE2329"/>
    <w:rsid w:val="00BE49C4"/>
    <w:rsid w:val="00BE507C"/>
    <w:rsid w:val="00BE5127"/>
    <w:rsid w:val="00BE5DBA"/>
    <w:rsid w:val="00BE6460"/>
    <w:rsid w:val="00BE6EE4"/>
    <w:rsid w:val="00BE7195"/>
    <w:rsid w:val="00BE7C66"/>
    <w:rsid w:val="00BF1FA8"/>
    <w:rsid w:val="00BF23E0"/>
    <w:rsid w:val="00BF2B63"/>
    <w:rsid w:val="00BF368B"/>
    <w:rsid w:val="00BF42CF"/>
    <w:rsid w:val="00BF49F8"/>
    <w:rsid w:val="00BF7535"/>
    <w:rsid w:val="00C0122D"/>
    <w:rsid w:val="00C024BA"/>
    <w:rsid w:val="00C032C6"/>
    <w:rsid w:val="00C04221"/>
    <w:rsid w:val="00C059F3"/>
    <w:rsid w:val="00C05E42"/>
    <w:rsid w:val="00C06D00"/>
    <w:rsid w:val="00C070F0"/>
    <w:rsid w:val="00C10260"/>
    <w:rsid w:val="00C11956"/>
    <w:rsid w:val="00C1264B"/>
    <w:rsid w:val="00C13998"/>
    <w:rsid w:val="00C13BDA"/>
    <w:rsid w:val="00C14F18"/>
    <w:rsid w:val="00C15ADF"/>
    <w:rsid w:val="00C15FD7"/>
    <w:rsid w:val="00C209AF"/>
    <w:rsid w:val="00C20A96"/>
    <w:rsid w:val="00C20AD1"/>
    <w:rsid w:val="00C20CB4"/>
    <w:rsid w:val="00C21189"/>
    <w:rsid w:val="00C218C5"/>
    <w:rsid w:val="00C22C17"/>
    <w:rsid w:val="00C2444F"/>
    <w:rsid w:val="00C2499E"/>
    <w:rsid w:val="00C24B81"/>
    <w:rsid w:val="00C26B75"/>
    <w:rsid w:val="00C26CC8"/>
    <w:rsid w:val="00C27C8C"/>
    <w:rsid w:val="00C27E5D"/>
    <w:rsid w:val="00C303A3"/>
    <w:rsid w:val="00C31E67"/>
    <w:rsid w:val="00C35710"/>
    <w:rsid w:val="00C35D01"/>
    <w:rsid w:val="00C35D6F"/>
    <w:rsid w:val="00C36439"/>
    <w:rsid w:val="00C37F4E"/>
    <w:rsid w:val="00C409E9"/>
    <w:rsid w:val="00C41D21"/>
    <w:rsid w:val="00C423A8"/>
    <w:rsid w:val="00C43C17"/>
    <w:rsid w:val="00C44466"/>
    <w:rsid w:val="00C4462C"/>
    <w:rsid w:val="00C45343"/>
    <w:rsid w:val="00C45892"/>
    <w:rsid w:val="00C51120"/>
    <w:rsid w:val="00C51D64"/>
    <w:rsid w:val="00C533CD"/>
    <w:rsid w:val="00C540B6"/>
    <w:rsid w:val="00C572FD"/>
    <w:rsid w:val="00C601FF"/>
    <w:rsid w:val="00C607B8"/>
    <w:rsid w:val="00C61B55"/>
    <w:rsid w:val="00C62267"/>
    <w:rsid w:val="00C62ACD"/>
    <w:rsid w:val="00C64CB3"/>
    <w:rsid w:val="00C661D7"/>
    <w:rsid w:val="00C70CC4"/>
    <w:rsid w:val="00C70DDD"/>
    <w:rsid w:val="00C70FE5"/>
    <w:rsid w:val="00C7118C"/>
    <w:rsid w:val="00C71247"/>
    <w:rsid w:val="00C71781"/>
    <w:rsid w:val="00C768D1"/>
    <w:rsid w:val="00C76ED7"/>
    <w:rsid w:val="00C772AA"/>
    <w:rsid w:val="00C7755F"/>
    <w:rsid w:val="00C77A73"/>
    <w:rsid w:val="00C80685"/>
    <w:rsid w:val="00C8105A"/>
    <w:rsid w:val="00C81810"/>
    <w:rsid w:val="00C81EF6"/>
    <w:rsid w:val="00C828DC"/>
    <w:rsid w:val="00C82F86"/>
    <w:rsid w:val="00C8584D"/>
    <w:rsid w:val="00C863E5"/>
    <w:rsid w:val="00C87FAE"/>
    <w:rsid w:val="00C90DDE"/>
    <w:rsid w:val="00C90E83"/>
    <w:rsid w:val="00C912E3"/>
    <w:rsid w:val="00C92267"/>
    <w:rsid w:val="00C92ECD"/>
    <w:rsid w:val="00C934DF"/>
    <w:rsid w:val="00C948E6"/>
    <w:rsid w:val="00C954EA"/>
    <w:rsid w:val="00C96923"/>
    <w:rsid w:val="00C96BFC"/>
    <w:rsid w:val="00C97954"/>
    <w:rsid w:val="00C97F1E"/>
    <w:rsid w:val="00CA01DF"/>
    <w:rsid w:val="00CA0B58"/>
    <w:rsid w:val="00CA170F"/>
    <w:rsid w:val="00CA1CA5"/>
    <w:rsid w:val="00CA2D50"/>
    <w:rsid w:val="00CA2F70"/>
    <w:rsid w:val="00CA4761"/>
    <w:rsid w:val="00CA59E3"/>
    <w:rsid w:val="00CB0435"/>
    <w:rsid w:val="00CB07AB"/>
    <w:rsid w:val="00CB088F"/>
    <w:rsid w:val="00CB0CA9"/>
    <w:rsid w:val="00CB20F3"/>
    <w:rsid w:val="00CB2263"/>
    <w:rsid w:val="00CB2B75"/>
    <w:rsid w:val="00CB2C53"/>
    <w:rsid w:val="00CB41E5"/>
    <w:rsid w:val="00CB4870"/>
    <w:rsid w:val="00CB4E61"/>
    <w:rsid w:val="00CC2ABD"/>
    <w:rsid w:val="00CC3D95"/>
    <w:rsid w:val="00CC53F4"/>
    <w:rsid w:val="00CC65E0"/>
    <w:rsid w:val="00CC7EC1"/>
    <w:rsid w:val="00CD08EB"/>
    <w:rsid w:val="00CD2D53"/>
    <w:rsid w:val="00CD2DF9"/>
    <w:rsid w:val="00CD4323"/>
    <w:rsid w:val="00CD618F"/>
    <w:rsid w:val="00CE1BBC"/>
    <w:rsid w:val="00CE2A8A"/>
    <w:rsid w:val="00CE661E"/>
    <w:rsid w:val="00CF31BA"/>
    <w:rsid w:val="00CF3F73"/>
    <w:rsid w:val="00CF4DE2"/>
    <w:rsid w:val="00CF5DA0"/>
    <w:rsid w:val="00CF78CE"/>
    <w:rsid w:val="00D01DC6"/>
    <w:rsid w:val="00D02080"/>
    <w:rsid w:val="00D02D86"/>
    <w:rsid w:val="00D041C0"/>
    <w:rsid w:val="00D0460D"/>
    <w:rsid w:val="00D05134"/>
    <w:rsid w:val="00D05488"/>
    <w:rsid w:val="00D056EE"/>
    <w:rsid w:val="00D05B8F"/>
    <w:rsid w:val="00D12CC5"/>
    <w:rsid w:val="00D15385"/>
    <w:rsid w:val="00D22CA1"/>
    <w:rsid w:val="00D22CD7"/>
    <w:rsid w:val="00D234FF"/>
    <w:rsid w:val="00D2463D"/>
    <w:rsid w:val="00D27484"/>
    <w:rsid w:val="00D274BE"/>
    <w:rsid w:val="00D3033B"/>
    <w:rsid w:val="00D303FE"/>
    <w:rsid w:val="00D30DE6"/>
    <w:rsid w:val="00D316B1"/>
    <w:rsid w:val="00D31D85"/>
    <w:rsid w:val="00D33337"/>
    <w:rsid w:val="00D35887"/>
    <w:rsid w:val="00D374EA"/>
    <w:rsid w:val="00D379F3"/>
    <w:rsid w:val="00D413C1"/>
    <w:rsid w:val="00D422B9"/>
    <w:rsid w:val="00D4268E"/>
    <w:rsid w:val="00D439DD"/>
    <w:rsid w:val="00D45A02"/>
    <w:rsid w:val="00D45A6D"/>
    <w:rsid w:val="00D45F3D"/>
    <w:rsid w:val="00D52094"/>
    <w:rsid w:val="00D52253"/>
    <w:rsid w:val="00D53668"/>
    <w:rsid w:val="00D54F73"/>
    <w:rsid w:val="00D56BA2"/>
    <w:rsid w:val="00D57258"/>
    <w:rsid w:val="00D6048F"/>
    <w:rsid w:val="00D62F50"/>
    <w:rsid w:val="00D65F39"/>
    <w:rsid w:val="00D7025E"/>
    <w:rsid w:val="00D7158D"/>
    <w:rsid w:val="00D7170C"/>
    <w:rsid w:val="00D71AD4"/>
    <w:rsid w:val="00D71B15"/>
    <w:rsid w:val="00D71D14"/>
    <w:rsid w:val="00D724BB"/>
    <w:rsid w:val="00D73009"/>
    <w:rsid w:val="00D73087"/>
    <w:rsid w:val="00D745E0"/>
    <w:rsid w:val="00D756C5"/>
    <w:rsid w:val="00D7768F"/>
    <w:rsid w:val="00D7792D"/>
    <w:rsid w:val="00D77BF0"/>
    <w:rsid w:val="00D802C5"/>
    <w:rsid w:val="00D87A2E"/>
    <w:rsid w:val="00D912DB"/>
    <w:rsid w:val="00D91792"/>
    <w:rsid w:val="00D91C92"/>
    <w:rsid w:val="00D9200E"/>
    <w:rsid w:val="00D925DF"/>
    <w:rsid w:val="00D952AD"/>
    <w:rsid w:val="00D95CFC"/>
    <w:rsid w:val="00D96281"/>
    <w:rsid w:val="00D97C45"/>
    <w:rsid w:val="00D97D96"/>
    <w:rsid w:val="00DA07DC"/>
    <w:rsid w:val="00DA260E"/>
    <w:rsid w:val="00DA2E71"/>
    <w:rsid w:val="00DA488A"/>
    <w:rsid w:val="00DA4D28"/>
    <w:rsid w:val="00DA4DA4"/>
    <w:rsid w:val="00DA5105"/>
    <w:rsid w:val="00DA6E1E"/>
    <w:rsid w:val="00DA70F4"/>
    <w:rsid w:val="00DA78FD"/>
    <w:rsid w:val="00DB05BC"/>
    <w:rsid w:val="00DB1E53"/>
    <w:rsid w:val="00DB28A9"/>
    <w:rsid w:val="00DB45F7"/>
    <w:rsid w:val="00DB5F4D"/>
    <w:rsid w:val="00DB661F"/>
    <w:rsid w:val="00DB72DE"/>
    <w:rsid w:val="00DB746D"/>
    <w:rsid w:val="00DB7783"/>
    <w:rsid w:val="00DC29A4"/>
    <w:rsid w:val="00DC472C"/>
    <w:rsid w:val="00DC4A7A"/>
    <w:rsid w:val="00DC4F83"/>
    <w:rsid w:val="00DC6938"/>
    <w:rsid w:val="00DC7C9D"/>
    <w:rsid w:val="00DD0473"/>
    <w:rsid w:val="00DD212B"/>
    <w:rsid w:val="00DD21FF"/>
    <w:rsid w:val="00DD2273"/>
    <w:rsid w:val="00DD2546"/>
    <w:rsid w:val="00DD408A"/>
    <w:rsid w:val="00DD5035"/>
    <w:rsid w:val="00DD5622"/>
    <w:rsid w:val="00DD63F8"/>
    <w:rsid w:val="00DD7D63"/>
    <w:rsid w:val="00DE15A1"/>
    <w:rsid w:val="00DE2F4B"/>
    <w:rsid w:val="00DE30D9"/>
    <w:rsid w:val="00DE3239"/>
    <w:rsid w:val="00DE406E"/>
    <w:rsid w:val="00DE7EB7"/>
    <w:rsid w:val="00DF0F56"/>
    <w:rsid w:val="00DF1B41"/>
    <w:rsid w:val="00DF1D01"/>
    <w:rsid w:val="00DF1D31"/>
    <w:rsid w:val="00DF258D"/>
    <w:rsid w:val="00DF37E6"/>
    <w:rsid w:val="00DF4125"/>
    <w:rsid w:val="00DF687E"/>
    <w:rsid w:val="00DF72D8"/>
    <w:rsid w:val="00DF7358"/>
    <w:rsid w:val="00DF75D2"/>
    <w:rsid w:val="00E00593"/>
    <w:rsid w:val="00E026E5"/>
    <w:rsid w:val="00E046D4"/>
    <w:rsid w:val="00E056D7"/>
    <w:rsid w:val="00E079BB"/>
    <w:rsid w:val="00E07FD4"/>
    <w:rsid w:val="00E1015C"/>
    <w:rsid w:val="00E10D3D"/>
    <w:rsid w:val="00E110DD"/>
    <w:rsid w:val="00E11241"/>
    <w:rsid w:val="00E13228"/>
    <w:rsid w:val="00E145B7"/>
    <w:rsid w:val="00E15A04"/>
    <w:rsid w:val="00E16A91"/>
    <w:rsid w:val="00E16B73"/>
    <w:rsid w:val="00E16F6D"/>
    <w:rsid w:val="00E1709C"/>
    <w:rsid w:val="00E203C5"/>
    <w:rsid w:val="00E22C65"/>
    <w:rsid w:val="00E232D4"/>
    <w:rsid w:val="00E24076"/>
    <w:rsid w:val="00E24692"/>
    <w:rsid w:val="00E2473B"/>
    <w:rsid w:val="00E26D65"/>
    <w:rsid w:val="00E27E4C"/>
    <w:rsid w:val="00E303D8"/>
    <w:rsid w:val="00E30B20"/>
    <w:rsid w:val="00E31FAF"/>
    <w:rsid w:val="00E31FF4"/>
    <w:rsid w:val="00E324D9"/>
    <w:rsid w:val="00E33F0C"/>
    <w:rsid w:val="00E3455E"/>
    <w:rsid w:val="00E34F9D"/>
    <w:rsid w:val="00E3517F"/>
    <w:rsid w:val="00E35F77"/>
    <w:rsid w:val="00E36310"/>
    <w:rsid w:val="00E36FB8"/>
    <w:rsid w:val="00E413C3"/>
    <w:rsid w:val="00E41AEE"/>
    <w:rsid w:val="00E42436"/>
    <w:rsid w:val="00E42F2B"/>
    <w:rsid w:val="00E43267"/>
    <w:rsid w:val="00E43EAE"/>
    <w:rsid w:val="00E43F8D"/>
    <w:rsid w:val="00E45364"/>
    <w:rsid w:val="00E45AFB"/>
    <w:rsid w:val="00E46995"/>
    <w:rsid w:val="00E46BF4"/>
    <w:rsid w:val="00E506DF"/>
    <w:rsid w:val="00E50B46"/>
    <w:rsid w:val="00E51B05"/>
    <w:rsid w:val="00E550F1"/>
    <w:rsid w:val="00E573EE"/>
    <w:rsid w:val="00E61814"/>
    <w:rsid w:val="00E6286A"/>
    <w:rsid w:val="00E63DAC"/>
    <w:rsid w:val="00E654FD"/>
    <w:rsid w:val="00E6635E"/>
    <w:rsid w:val="00E716CB"/>
    <w:rsid w:val="00E72701"/>
    <w:rsid w:val="00E7312A"/>
    <w:rsid w:val="00E737D6"/>
    <w:rsid w:val="00E739D2"/>
    <w:rsid w:val="00E745B2"/>
    <w:rsid w:val="00E74998"/>
    <w:rsid w:val="00E75135"/>
    <w:rsid w:val="00E7540D"/>
    <w:rsid w:val="00E75B1A"/>
    <w:rsid w:val="00E75D5D"/>
    <w:rsid w:val="00E76E11"/>
    <w:rsid w:val="00E77440"/>
    <w:rsid w:val="00E8150E"/>
    <w:rsid w:val="00E8257D"/>
    <w:rsid w:val="00E825CC"/>
    <w:rsid w:val="00E82D3C"/>
    <w:rsid w:val="00E831C0"/>
    <w:rsid w:val="00E83FCF"/>
    <w:rsid w:val="00E84352"/>
    <w:rsid w:val="00E84A1B"/>
    <w:rsid w:val="00E84AF6"/>
    <w:rsid w:val="00E86B42"/>
    <w:rsid w:val="00E90144"/>
    <w:rsid w:val="00E91D22"/>
    <w:rsid w:val="00E934DF"/>
    <w:rsid w:val="00E94A97"/>
    <w:rsid w:val="00E96580"/>
    <w:rsid w:val="00E97393"/>
    <w:rsid w:val="00EA22E7"/>
    <w:rsid w:val="00EA4A9E"/>
    <w:rsid w:val="00EA50E2"/>
    <w:rsid w:val="00EA5C01"/>
    <w:rsid w:val="00EA5D81"/>
    <w:rsid w:val="00EB1E78"/>
    <w:rsid w:val="00EB4E6E"/>
    <w:rsid w:val="00EB76A1"/>
    <w:rsid w:val="00EC07D9"/>
    <w:rsid w:val="00EC1A7F"/>
    <w:rsid w:val="00EC2585"/>
    <w:rsid w:val="00EC2670"/>
    <w:rsid w:val="00EC6CC5"/>
    <w:rsid w:val="00ED04BD"/>
    <w:rsid w:val="00ED4ED6"/>
    <w:rsid w:val="00ED59D5"/>
    <w:rsid w:val="00ED5E11"/>
    <w:rsid w:val="00ED5ECD"/>
    <w:rsid w:val="00EE0377"/>
    <w:rsid w:val="00EE25DA"/>
    <w:rsid w:val="00EE261D"/>
    <w:rsid w:val="00EE2827"/>
    <w:rsid w:val="00EE38CC"/>
    <w:rsid w:val="00EE73DA"/>
    <w:rsid w:val="00EE75F6"/>
    <w:rsid w:val="00EE7CED"/>
    <w:rsid w:val="00EF07A9"/>
    <w:rsid w:val="00EF09A1"/>
    <w:rsid w:val="00EF2DA8"/>
    <w:rsid w:val="00EF3F43"/>
    <w:rsid w:val="00EF5F0E"/>
    <w:rsid w:val="00EF67A7"/>
    <w:rsid w:val="00EF734E"/>
    <w:rsid w:val="00EF7864"/>
    <w:rsid w:val="00F02204"/>
    <w:rsid w:val="00F026FA"/>
    <w:rsid w:val="00F0441A"/>
    <w:rsid w:val="00F04FFC"/>
    <w:rsid w:val="00F0518E"/>
    <w:rsid w:val="00F0558A"/>
    <w:rsid w:val="00F05B16"/>
    <w:rsid w:val="00F06135"/>
    <w:rsid w:val="00F0650E"/>
    <w:rsid w:val="00F10A14"/>
    <w:rsid w:val="00F11881"/>
    <w:rsid w:val="00F122DF"/>
    <w:rsid w:val="00F12A27"/>
    <w:rsid w:val="00F13DB8"/>
    <w:rsid w:val="00F14004"/>
    <w:rsid w:val="00F1417D"/>
    <w:rsid w:val="00F15C2B"/>
    <w:rsid w:val="00F1667A"/>
    <w:rsid w:val="00F201AB"/>
    <w:rsid w:val="00F2032B"/>
    <w:rsid w:val="00F217F0"/>
    <w:rsid w:val="00F234DF"/>
    <w:rsid w:val="00F2384C"/>
    <w:rsid w:val="00F24223"/>
    <w:rsid w:val="00F31A13"/>
    <w:rsid w:val="00F32181"/>
    <w:rsid w:val="00F324A9"/>
    <w:rsid w:val="00F33232"/>
    <w:rsid w:val="00F33F61"/>
    <w:rsid w:val="00F347BD"/>
    <w:rsid w:val="00F362D9"/>
    <w:rsid w:val="00F36341"/>
    <w:rsid w:val="00F36BA6"/>
    <w:rsid w:val="00F37FA3"/>
    <w:rsid w:val="00F40305"/>
    <w:rsid w:val="00F41324"/>
    <w:rsid w:val="00F41E5A"/>
    <w:rsid w:val="00F427B3"/>
    <w:rsid w:val="00F43E1F"/>
    <w:rsid w:val="00F445E0"/>
    <w:rsid w:val="00F45F61"/>
    <w:rsid w:val="00F47D09"/>
    <w:rsid w:val="00F5039B"/>
    <w:rsid w:val="00F51B70"/>
    <w:rsid w:val="00F51F67"/>
    <w:rsid w:val="00F52D4F"/>
    <w:rsid w:val="00F538AF"/>
    <w:rsid w:val="00F539DD"/>
    <w:rsid w:val="00F54738"/>
    <w:rsid w:val="00F561E8"/>
    <w:rsid w:val="00F57C59"/>
    <w:rsid w:val="00F601AA"/>
    <w:rsid w:val="00F60CF9"/>
    <w:rsid w:val="00F617C8"/>
    <w:rsid w:val="00F61ABC"/>
    <w:rsid w:val="00F62047"/>
    <w:rsid w:val="00F62624"/>
    <w:rsid w:val="00F63134"/>
    <w:rsid w:val="00F651ED"/>
    <w:rsid w:val="00F656FE"/>
    <w:rsid w:val="00F6574D"/>
    <w:rsid w:val="00F66651"/>
    <w:rsid w:val="00F673E5"/>
    <w:rsid w:val="00F716A9"/>
    <w:rsid w:val="00F72FBA"/>
    <w:rsid w:val="00F74937"/>
    <w:rsid w:val="00F75166"/>
    <w:rsid w:val="00F76B73"/>
    <w:rsid w:val="00F77611"/>
    <w:rsid w:val="00F77AB3"/>
    <w:rsid w:val="00F77CA0"/>
    <w:rsid w:val="00F81259"/>
    <w:rsid w:val="00F87CD7"/>
    <w:rsid w:val="00F91FBF"/>
    <w:rsid w:val="00F92112"/>
    <w:rsid w:val="00F923FF"/>
    <w:rsid w:val="00F92E49"/>
    <w:rsid w:val="00F946C0"/>
    <w:rsid w:val="00F965A2"/>
    <w:rsid w:val="00FA0934"/>
    <w:rsid w:val="00FA0EAD"/>
    <w:rsid w:val="00FA12F5"/>
    <w:rsid w:val="00FA2697"/>
    <w:rsid w:val="00FA312B"/>
    <w:rsid w:val="00FA3311"/>
    <w:rsid w:val="00FA44AA"/>
    <w:rsid w:val="00FA530A"/>
    <w:rsid w:val="00FA541D"/>
    <w:rsid w:val="00FA587E"/>
    <w:rsid w:val="00FA72ED"/>
    <w:rsid w:val="00FA75F5"/>
    <w:rsid w:val="00FB0815"/>
    <w:rsid w:val="00FB095A"/>
    <w:rsid w:val="00FB1AFD"/>
    <w:rsid w:val="00FB1FE1"/>
    <w:rsid w:val="00FB38D8"/>
    <w:rsid w:val="00FB441A"/>
    <w:rsid w:val="00FB51BD"/>
    <w:rsid w:val="00FC15D5"/>
    <w:rsid w:val="00FC1A9B"/>
    <w:rsid w:val="00FC2A34"/>
    <w:rsid w:val="00FC2ECE"/>
    <w:rsid w:val="00FC2F0D"/>
    <w:rsid w:val="00FC5395"/>
    <w:rsid w:val="00FC685F"/>
    <w:rsid w:val="00FD0AFD"/>
    <w:rsid w:val="00FD0C59"/>
    <w:rsid w:val="00FD0E76"/>
    <w:rsid w:val="00FD0F16"/>
    <w:rsid w:val="00FD2C75"/>
    <w:rsid w:val="00FD3CB7"/>
    <w:rsid w:val="00FD46B0"/>
    <w:rsid w:val="00FD7914"/>
    <w:rsid w:val="00FE3032"/>
    <w:rsid w:val="00FE37B7"/>
    <w:rsid w:val="00FE3956"/>
    <w:rsid w:val="00FE3BD5"/>
    <w:rsid w:val="00FE6B11"/>
    <w:rsid w:val="00FF059B"/>
    <w:rsid w:val="00FF12F4"/>
    <w:rsid w:val="00FF1EA8"/>
    <w:rsid w:val="00FF2F6C"/>
    <w:rsid w:val="00FF347C"/>
    <w:rsid w:val="00FF3CDC"/>
    <w:rsid w:val="00FF42D4"/>
    <w:rsid w:val="00FF53AC"/>
    <w:rsid w:val="00FF54FF"/>
    <w:rsid w:val="00FF5E9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423F91"/>
  <w15:docId w15:val="{92FEE35E-1615-4AB3-AF0F-523CD04C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7D3"/>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B7192"/>
    <w:pPr>
      <w:keepNext/>
      <w:keepLines/>
      <w:spacing w:before="240"/>
      <w:outlineLvl w:val="0"/>
    </w:pPr>
    <w:rPr>
      <w:rFonts w:ascii="Cambria" w:hAnsi="Cambria"/>
      <w:color w:val="365F91"/>
      <w:sz w:val="32"/>
      <w:szCs w:val="32"/>
    </w:rPr>
  </w:style>
  <w:style w:type="paragraph" w:styleId="Heading2">
    <w:name w:val="heading 2"/>
    <w:basedOn w:val="DefaultStyle"/>
    <w:link w:val="Heading2Char"/>
    <w:qFormat/>
    <w:rsid w:val="00F74937"/>
    <w:pPr>
      <w:keepNext/>
      <w:keepLines/>
      <w:spacing w:before="20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17D3"/>
    <w:pPr>
      <w:spacing w:before="100" w:beforeAutospacing="1" w:after="100" w:afterAutospacing="1"/>
    </w:pPr>
    <w:rPr>
      <w:lang w:val="en-ZA" w:eastAsia="en-ZA"/>
    </w:rPr>
  </w:style>
  <w:style w:type="paragraph" w:styleId="BalloonText">
    <w:name w:val="Balloon Text"/>
    <w:basedOn w:val="Normal"/>
    <w:link w:val="BalloonTextChar"/>
    <w:uiPriority w:val="99"/>
    <w:semiHidden/>
    <w:unhideWhenUsed/>
    <w:rsid w:val="00A31B05"/>
    <w:rPr>
      <w:rFonts w:ascii="Tahoma" w:hAnsi="Tahoma"/>
      <w:sz w:val="16"/>
      <w:szCs w:val="16"/>
    </w:rPr>
  </w:style>
  <w:style w:type="character" w:customStyle="1" w:styleId="BalloonTextChar">
    <w:name w:val="Balloon Text Char"/>
    <w:link w:val="BalloonText"/>
    <w:uiPriority w:val="99"/>
    <w:semiHidden/>
    <w:rsid w:val="00A31B05"/>
    <w:rPr>
      <w:rFonts w:ascii="Tahoma" w:eastAsia="Times New Roman" w:hAnsi="Tahoma" w:cs="Tahoma"/>
      <w:sz w:val="16"/>
      <w:szCs w:val="16"/>
      <w:lang w:val="en-US"/>
    </w:rPr>
  </w:style>
  <w:style w:type="character" w:styleId="CommentReference">
    <w:name w:val="annotation reference"/>
    <w:uiPriority w:val="99"/>
    <w:semiHidden/>
    <w:unhideWhenUsed/>
    <w:rsid w:val="00A31B05"/>
    <w:rPr>
      <w:sz w:val="16"/>
      <w:szCs w:val="16"/>
    </w:rPr>
  </w:style>
  <w:style w:type="paragraph" w:styleId="CommentText">
    <w:name w:val="annotation text"/>
    <w:basedOn w:val="Normal"/>
    <w:link w:val="CommentTextChar"/>
    <w:uiPriority w:val="99"/>
    <w:semiHidden/>
    <w:unhideWhenUsed/>
    <w:rsid w:val="00A31B05"/>
    <w:rPr>
      <w:sz w:val="20"/>
      <w:szCs w:val="20"/>
    </w:rPr>
  </w:style>
  <w:style w:type="character" w:customStyle="1" w:styleId="CommentTextChar">
    <w:name w:val="Comment Text Char"/>
    <w:link w:val="CommentText"/>
    <w:uiPriority w:val="99"/>
    <w:semiHidden/>
    <w:rsid w:val="00A31B0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31B05"/>
    <w:rPr>
      <w:b/>
      <w:bCs/>
    </w:rPr>
  </w:style>
  <w:style w:type="character" w:customStyle="1" w:styleId="CommentSubjectChar">
    <w:name w:val="Comment Subject Char"/>
    <w:link w:val="CommentSubject"/>
    <w:uiPriority w:val="99"/>
    <w:semiHidden/>
    <w:rsid w:val="00A31B05"/>
    <w:rPr>
      <w:rFonts w:ascii="Times New Roman" w:eastAsia="Times New Roman" w:hAnsi="Times New Roman" w:cs="Times New Roman"/>
      <w:b/>
      <w:bCs/>
      <w:sz w:val="20"/>
      <w:szCs w:val="20"/>
      <w:lang w:val="en-US"/>
    </w:rPr>
  </w:style>
  <w:style w:type="paragraph" w:customStyle="1" w:styleId="DefaultStyle">
    <w:name w:val="Default Style"/>
    <w:rsid w:val="00C7755F"/>
    <w:pPr>
      <w:suppressAutoHyphens/>
      <w:spacing w:line="100" w:lineRule="atLeast"/>
    </w:pPr>
    <w:rPr>
      <w:rFonts w:ascii="ITC Symbol Std Medium" w:eastAsia="SimSun" w:hAnsi="ITC Symbol Std Medium" w:cs="ITC Symbol Std Medium"/>
      <w:color w:val="000000"/>
      <w:sz w:val="24"/>
      <w:szCs w:val="24"/>
    </w:rPr>
  </w:style>
  <w:style w:type="character" w:customStyle="1" w:styleId="Heading2Char">
    <w:name w:val="Heading 2 Char"/>
    <w:link w:val="Heading2"/>
    <w:rsid w:val="00F74937"/>
    <w:rPr>
      <w:rFonts w:ascii="Cambria" w:eastAsia="SimSun" w:hAnsi="Cambria" w:cs="ITC Symbol Std Medium"/>
      <w:b/>
      <w:bCs/>
      <w:color w:val="4F81BD"/>
      <w:sz w:val="26"/>
      <w:szCs w:val="26"/>
      <w:lang w:eastAsia="en-ZA"/>
    </w:rPr>
  </w:style>
  <w:style w:type="character" w:styleId="Hyperlink">
    <w:name w:val="Hyperlink"/>
    <w:uiPriority w:val="99"/>
    <w:unhideWhenUsed/>
    <w:rsid w:val="00F74937"/>
    <w:rPr>
      <w:color w:val="0000FF"/>
      <w:u w:val="single"/>
    </w:rPr>
  </w:style>
  <w:style w:type="table" w:styleId="TableGrid">
    <w:name w:val="Table Grid"/>
    <w:basedOn w:val="TableNormal"/>
    <w:uiPriority w:val="59"/>
    <w:rsid w:val="00AE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B7192"/>
    <w:rPr>
      <w:rFonts w:ascii="Cambria" w:eastAsia="Times New Roman" w:hAnsi="Cambria" w:cs="Times New Roman"/>
      <w:color w:val="365F91"/>
      <w:sz w:val="32"/>
      <w:szCs w:val="32"/>
      <w:lang w:val="en-US"/>
    </w:rPr>
  </w:style>
  <w:style w:type="paragraph" w:customStyle="1" w:styleId="ColorfulShading-Accent11">
    <w:name w:val="Colorful Shading - Accent 11"/>
    <w:hidden/>
    <w:uiPriority w:val="99"/>
    <w:semiHidden/>
    <w:rsid w:val="003B7192"/>
    <w:rPr>
      <w:rFonts w:ascii="Times New Roman" w:eastAsia="Times New Roman" w:hAnsi="Times New Roman"/>
      <w:sz w:val="24"/>
      <w:szCs w:val="24"/>
      <w:lang w:val="en-US" w:eastAsia="en-US"/>
    </w:rPr>
  </w:style>
  <w:style w:type="paragraph" w:customStyle="1" w:styleId="ColorfulList-Accent11">
    <w:name w:val="Colorful List - Accent 11"/>
    <w:basedOn w:val="Normal"/>
    <w:uiPriority w:val="34"/>
    <w:qFormat/>
    <w:rsid w:val="0008727E"/>
    <w:pPr>
      <w:ind w:left="720"/>
      <w:contextualSpacing/>
    </w:pPr>
  </w:style>
  <w:style w:type="paragraph" w:styleId="Header">
    <w:name w:val="header"/>
    <w:basedOn w:val="Normal"/>
    <w:link w:val="HeaderChar"/>
    <w:uiPriority w:val="99"/>
    <w:unhideWhenUsed/>
    <w:rsid w:val="006C067D"/>
    <w:pPr>
      <w:tabs>
        <w:tab w:val="center" w:pos="4513"/>
        <w:tab w:val="right" w:pos="9026"/>
      </w:tabs>
    </w:pPr>
  </w:style>
  <w:style w:type="character" w:customStyle="1" w:styleId="HeaderChar">
    <w:name w:val="Header Char"/>
    <w:link w:val="Header"/>
    <w:uiPriority w:val="99"/>
    <w:rsid w:val="006C067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C067D"/>
    <w:pPr>
      <w:tabs>
        <w:tab w:val="center" w:pos="4513"/>
        <w:tab w:val="right" w:pos="9026"/>
      </w:tabs>
    </w:pPr>
  </w:style>
  <w:style w:type="character" w:customStyle="1" w:styleId="FooterChar">
    <w:name w:val="Footer Char"/>
    <w:link w:val="Footer"/>
    <w:uiPriority w:val="99"/>
    <w:rsid w:val="006C067D"/>
    <w:rPr>
      <w:rFonts w:ascii="Times New Roman" w:eastAsia="Times New Roman" w:hAnsi="Times New Roman" w:cs="Times New Roman"/>
      <w:sz w:val="24"/>
      <w:szCs w:val="24"/>
      <w:lang w:val="en-US"/>
    </w:rPr>
  </w:style>
  <w:style w:type="paragraph" w:styleId="Revision">
    <w:name w:val="Revision"/>
    <w:hidden/>
    <w:uiPriority w:val="99"/>
    <w:semiHidden/>
    <w:rsid w:val="005E2A88"/>
    <w:rPr>
      <w:rFonts w:ascii="Times New Roman" w:eastAsia="Times New Roman" w:hAnsi="Times New Roman"/>
      <w:sz w:val="24"/>
      <w:szCs w:val="24"/>
      <w:lang w:val="en-US" w:eastAsia="en-US"/>
    </w:rPr>
  </w:style>
  <w:style w:type="paragraph" w:customStyle="1" w:styleId="FarbigeSchattierung-Akzent11">
    <w:name w:val="Farbige Schattierung - Akzent 11"/>
    <w:hidden/>
    <w:uiPriority w:val="99"/>
    <w:semiHidden/>
    <w:rsid w:val="00637002"/>
    <w:rPr>
      <w:rFonts w:ascii="Times New Roman" w:eastAsia="Times New Roman" w:hAnsi="Times New Roman"/>
      <w:sz w:val="24"/>
      <w:szCs w:val="24"/>
      <w:lang w:val="en-US" w:eastAsia="en-US"/>
    </w:rPr>
  </w:style>
  <w:style w:type="paragraph" w:customStyle="1" w:styleId="FarbigeListe-Akzent11">
    <w:name w:val="Farbige Liste - Akzent 11"/>
    <w:basedOn w:val="Normal"/>
    <w:uiPriority w:val="34"/>
    <w:qFormat/>
    <w:rsid w:val="00637002"/>
    <w:pPr>
      <w:ind w:left="720"/>
      <w:contextualSpacing/>
    </w:pPr>
  </w:style>
  <w:style w:type="character" w:customStyle="1" w:styleId="highlight">
    <w:name w:val="highlight"/>
    <w:basedOn w:val="DefaultParagraphFont"/>
    <w:rsid w:val="00DA07DC"/>
  </w:style>
  <w:style w:type="character" w:styleId="LineNumber">
    <w:name w:val="line number"/>
    <w:basedOn w:val="DefaultParagraphFont"/>
    <w:uiPriority w:val="99"/>
    <w:semiHidden/>
    <w:unhideWhenUsed/>
    <w:rsid w:val="009944E2"/>
  </w:style>
  <w:style w:type="character" w:styleId="FollowedHyperlink">
    <w:name w:val="FollowedHyperlink"/>
    <w:basedOn w:val="DefaultParagraphFont"/>
    <w:uiPriority w:val="99"/>
    <w:semiHidden/>
    <w:unhideWhenUsed/>
    <w:rsid w:val="00362C22"/>
    <w:rPr>
      <w:color w:val="954F72" w:themeColor="followedHyperlink"/>
      <w:u w:val="single"/>
    </w:rPr>
  </w:style>
  <w:style w:type="paragraph" w:styleId="ListParagraph">
    <w:name w:val="List Paragraph"/>
    <w:basedOn w:val="Normal"/>
    <w:uiPriority w:val="34"/>
    <w:qFormat/>
    <w:rsid w:val="00004BC1"/>
    <w:pPr>
      <w:autoSpaceDE w:val="0"/>
      <w:autoSpaceDN w:val="0"/>
      <w:ind w:left="720"/>
      <w:contextualSpacing/>
    </w:pPr>
    <w:rPr>
      <w:rFonts w:ascii="Arial" w:hAnsi="Arial"/>
      <w:sz w:val="22"/>
    </w:rPr>
  </w:style>
  <w:style w:type="table" w:customStyle="1" w:styleId="TableGridLight1">
    <w:name w:val="Table Grid Light1"/>
    <w:basedOn w:val="TableNormal"/>
    <w:uiPriority w:val="40"/>
    <w:rsid w:val="007146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7146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7146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7146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9C3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827">
      <w:bodyDiv w:val="1"/>
      <w:marLeft w:val="0"/>
      <w:marRight w:val="0"/>
      <w:marTop w:val="0"/>
      <w:marBottom w:val="0"/>
      <w:divBdr>
        <w:top w:val="none" w:sz="0" w:space="0" w:color="auto"/>
        <w:left w:val="none" w:sz="0" w:space="0" w:color="auto"/>
        <w:bottom w:val="none" w:sz="0" w:space="0" w:color="auto"/>
        <w:right w:val="none" w:sz="0" w:space="0" w:color="auto"/>
      </w:divBdr>
    </w:div>
    <w:div w:id="4092177">
      <w:bodyDiv w:val="1"/>
      <w:marLeft w:val="0"/>
      <w:marRight w:val="0"/>
      <w:marTop w:val="0"/>
      <w:marBottom w:val="0"/>
      <w:divBdr>
        <w:top w:val="none" w:sz="0" w:space="0" w:color="auto"/>
        <w:left w:val="none" w:sz="0" w:space="0" w:color="auto"/>
        <w:bottom w:val="none" w:sz="0" w:space="0" w:color="auto"/>
        <w:right w:val="none" w:sz="0" w:space="0" w:color="auto"/>
      </w:divBdr>
    </w:div>
    <w:div w:id="338389984">
      <w:bodyDiv w:val="1"/>
      <w:marLeft w:val="0"/>
      <w:marRight w:val="0"/>
      <w:marTop w:val="0"/>
      <w:marBottom w:val="0"/>
      <w:divBdr>
        <w:top w:val="none" w:sz="0" w:space="0" w:color="auto"/>
        <w:left w:val="none" w:sz="0" w:space="0" w:color="auto"/>
        <w:bottom w:val="none" w:sz="0" w:space="0" w:color="auto"/>
        <w:right w:val="none" w:sz="0" w:space="0" w:color="auto"/>
      </w:divBdr>
    </w:div>
    <w:div w:id="551813845">
      <w:bodyDiv w:val="1"/>
      <w:marLeft w:val="0"/>
      <w:marRight w:val="0"/>
      <w:marTop w:val="0"/>
      <w:marBottom w:val="0"/>
      <w:divBdr>
        <w:top w:val="none" w:sz="0" w:space="0" w:color="auto"/>
        <w:left w:val="none" w:sz="0" w:space="0" w:color="auto"/>
        <w:bottom w:val="none" w:sz="0" w:space="0" w:color="auto"/>
        <w:right w:val="none" w:sz="0" w:space="0" w:color="auto"/>
      </w:divBdr>
    </w:div>
    <w:div w:id="685012365">
      <w:bodyDiv w:val="1"/>
      <w:marLeft w:val="0"/>
      <w:marRight w:val="0"/>
      <w:marTop w:val="0"/>
      <w:marBottom w:val="0"/>
      <w:divBdr>
        <w:top w:val="none" w:sz="0" w:space="0" w:color="auto"/>
        <w:left w:val="none" w:sz="0" w:space="0" w:color="auto"/>
        <w:bottom w:val="none" w:sz="0" w:space="0" w:color="auto"/>
        <w:right w:val="none" w:sz="0" w:space="0" w:color="auto"/>
      </w:divBdr>
    </w:div>
    <w:div w:id="1730028778">
      <w:bodyDiv w:val="1"/>
      <w:marLeft w:val="0"/>
      <w:marRight w:val="0"/>
      <w:marTop w:val="0"/>
      <w:marBottom w:val="0"/>
      <w:divBdr>
        <w:top w:val="none" w:sz="0" w:space="0" w:color="auto"/>
        <w:left w:val="none" w:sz="0" w:space="0" w:color="auto"/>
        <w:bottom w:val="none" w:sz="0" w:space="0" w:color="auto"/>
        <w:right w:val="none" w:sz="0" w:space="0" w:color="auto"/>
      </w:divBdr>
    </w:div>
    <w:div w:id="1730959403">
      <w:bodyDiv w:val="1"/>
      <w:marLeft w:val="0"/>
      <w:marRight w:val="0"/>
      <w:marTop w:val="0"/>
      <w:marBottom w:val="0"/>
      <w:divBdr>
        <w:top w:val="none" w:sz="0" w:space="0" w:color="auto"/>
        <w:left w:val="none" w:sz="0" w:space="0" w:color="auto"/>
        <w:bottom w:val="none" w:sz="0" w:space="0" w:color="auto"/>
        <w:right w:val="none" w:sz="0" w:space="0" w:color="auto"/>
      </w:divBdr>
    </w:div>
    <w:div w:id="2100832753">
      <w:bodyDiv w:val="1"/>
      <w:marLeft w:val="0"/>
      <w:marRight w:val="0"/>
      <w:marTop w:val="0"/>
      <w:marBottom w:val="0"/>
      <w:divBdr>
        <w:top w:val="none" w:sz="0" w:space="0" w:color="auto"/>
        <w:left w:val="none" w:sz="0" w:space="0" w:color="auto"/>
        <w:bottom w:val="none" w:sz="0" w:space="0" w:color="auto"/>
        <w:right w:val="none" w:sz="0" w:space="0" w:color="auto"/>
      </w:divBdr>
    </w:div>
    <w:div w:id="21422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alzl@sun.ac.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tbc.eu" TargetMode="External"/><Relationship Id="rId5" Type="http://schemas.openxmlformats.org/officeDocument/2006/relationships/webSettings" Target="webSettings.xml"/><Relationship Id="rId10" Type="http://schemas.openxmlformats.org/officeDocument/2006/relationships/hyperlink" Target="http://www.ae-tbc.eu" TargetMode="External"/><Relationship Id="rId4" Type="http://schemas.openxmlformats.org/officeDocument/2006/relationships/settings" Target="settings.xml"/><Relationship Id="rId9" Type="http://schemas.openxmlformats.org/officeDocument/2006/relationships/hyperlink" Target="mailto:novel@sun.a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88115-1F74-459D-B664-B53303FC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23</Pages>
  <Words>22493</Words>
  <Characters>128213</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150406</CharactersWithSpaces>
  <SharedDoc>false</SharedDoc>
  <HLinks>
    <vt:vector size="6" baseType="variant">
      <vt:variant>
        <vt:i4>6160455</vt:i4>
      </vt:variant>
      <vt:variant>
        <vt:i4>114</vt:i4>
      </vt:variant>
      <vt:variant>
        <vt:i4>0</vt:i4>
      </vt:variant>
      <vt:variant>
        <vt:i4>5</vt:i4>
      </vt:variant>
      <vt:variant>
        <vt:lpwstr>http://www.ae-tbc.eu/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Novel Chegou</dc:creator>
  <cp:lastModifiedBy>Novel Chegou</cp:lastModifiedBy>
  <cp:revision>9</cp:revision>
  <cp:lastPrinted>2016-05-05T06:57:00Z</cp:lastPrinted>
  <dcterms:created xsi:type="dcterms:W3CDTF">2016-03-17T20:12:00Z</dcterms:created>
  <dcterms:modified xsi:type="dcterms:W3CDTF">2016-05-05T07:32:00Z</dcterms:modified>
</cp:coreProperties>
</file>