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4F" w:rsidRPr="008949F4" w:rsidRDefault="00B0554F" w:rsidP="0045204F">
      <w:pPr>
        <w:spacing w:after="0" w:line="480" w:lineRule="auto"/>
        <w:rPr>
          <w:rStyle w:val="st1"/>
          <w:rFonts w:cs="Arial"/>
        </w:rPr>
      </w:pPr>
      <w:r w:rsidRPr="008949F4">
        <w:rPr>
          <w:rFonts w:cs="Arial"/>
        </w:rPr>
        <w:t>Classification: Biological Sciences, Microbiology</w:t>
      </w:r>
    </w:p>
    <w:p w:rsidR="00B0554F" w:rsidRPr="008949F4" w:rsidRDefault="00B0554F" w:rsidP="0045204F">
      <w:pPr>
        <w:spacing w:after="0" w:line="480" w:lineRule="auto"/>
        <w:rPr>
          <w:rStyle w:val="st1"/>
          <w:rFonts w:cs="Arial"/>
          <w:b/>
        </w:rPr>
      </w:pPr>
      <w:r w:rsidRPr="008949F4">
        <w:rPr>
          <w:rStyle w:val="st1"/>
          <w:rFonts w:cs="Arial"/>
          <w:b/>
        </w:rPr>
        <w:t xml:space="preserve">Title: </w:t>
      </w:r>
      <w:r w:rsidRPr="008949F4">
        <w:rPr>
          <w:rStyle w:val="st1"/>
          <w:rFonts w:cs="Arial"/>
        </w:rPr>
        <w:t xml:space="preserve">Normocyte binding protein required for human erythrocyte </w:t>
      </w:r>
      <w:r w:rsidRPr="008949F4">
        <w:rPr>
          <w:rStyle w:val="st1"/>
          <w:rFonts w:cs="Arial"/>
          <w:bCs/>
        </w:rPr>
        <w:t>invasion</w:t>
      </w:r>
      <w:r w:rsidRPr="008949F4">
        <w:rPr>
          <w:rStyle w:val="st1"/>
          <w:rFonts w:cs="Arial"/>
        </w:rPr>
        <w:t xml:space="preserve"> by the zoonotic malaria parasite </w:t>
      </w:r>
      <w:r w:rsidRPr="008949F4">
        <w:rPr>
          <w:rStyle w:val="st1"/>
          <w:rFonts w:cs="Arial"/>
          <w:i/>
        </w:rPr>
        <w:t>Plasmodium knowlesi</w:t>
      </w:r>
    </w:p>
    <w:p w:rsidR="00B0554F" w:rsidRPr="008949F4" w:rsidRDefault="00B0554F" w:rsidP="0045204F">
      <w:pPr>
        <w:spacing w:after="0" w:line="480" w:lineRule="auto"/>
      </w:pPr>
      <w:r w:rsidRPr="008949F4">
        <w:rPr>
          <w:rStyle w:val="st1"/>
          <w:rFonts w:cs="Arial"/>
          <w:b/>
        </w:rPr>
        <w:t>Short Title:</w:t>
      </w:r>
      <w:r w:rsidRPr="008949F4">
        <w:rPr>
          <w:rStyle w:val="st1"/>
          <w:rFonts w:cs="Arial"/>
        </w:rPr>
        <w:t xml:space="preserve"> Human erythrocyte invasion by </w:t>
      </w:r>
      <w:r w:rsidRPr="008949F4">
        <w:rPr>
          <w:rStyle w:val="st1"/>
          <w:rFonts w:cs="Arial"/>
          <w:i/>
        </w:rPr>
        <w:t>P. knowlesi</w:t>
      </w:r>
    </w:p>
    <w:p w:rsidR="00B0554F" w:rsidRDefault="00B0554F" w:rsidP="0045204F">
      <w:pPr>
        <w:spacing w:after="0" w:line="480" w:lineRule="auto"/>
        <w:rPr>
          <w:rStyle w:val="name"/>
          <w:rFonts w:cs="Arial"/>
          <w:color w:val="000000" w:themeColor="text1"/>
        </w:rPr>
      </w:pPr>
      <w:r w:rsidRPr="008949F4">
        <w:rPr>
          <w:b/>
        </w:rPr>
        <w:t>Authors:</w:t>
      </w:r>
      <w:r w:rsidRPr="008949F4">
        <w:t xml:space="preserve"> Robert W. </w:t>
      </w:r>
      <w:proofErr w:type="spellStart"/>
      <w:r w:rsidRPr="008949F4">
        <w:t>Moon</w:t>
      </w:r>
      <w:r w:rsidRPr="008949F4">
        <w:rPr>
          <w:rFonts w:eastAsia="Times New Roman" w:cs="Times New Roman"/>
          <w:noProof/>
          <w:vertAlign w:val="superscript"/>
          <w:lang w:eastAsia="en-GB"/>
        </w:rPr>
        <w:t>a,</w:t>
      </w:r>
      <w:r w:rsidRPr="008949F4">
        <w:rPr>
          <w:color w:val="000000"/>
          <w:vertAlign w:val="superscript"/>
        </w:rPr>
        <w:t>b</w:t>
      </w:r>
      <w:proofErr w:type="spellEnd"/>
      <w:r w:rsidRPr="008949F4">
        <w:rPr>
          <w:rFonts w:cs="Arial"/>
          <w:color w:val="000000" w:themeColor="text1"/>
        </w:rPr>
        <w:t xml:space="preserve">, Hazem </w:t>
      </w:r>
      <w:proofErr w:type="spellStart"/>
      <w:r w:rsidRPr="008949F4">
        <w:rPr>
          <w:rFonts w:cs="Arial"/>
          <w:color w:val="000000" w:themeColor="text1"/>
        </w:rPr>
        <w:t>Sharaf</w:t>
      </w:r>
      <w:r w:rsidRPr="008949F4">
        <w:rPr>
          <w:rFonts w:cs="Arial"/>
          <w:vertAlign w:val="superscript"/>
        </w:rPr>
        <w:t>c</w:t>
      </w:r>
      <w:proofErr w:type="spellEnd"/>
      <w:r w:rsidRPr="008949F4">
        <w:rPr>
          <w:rFonts w:cs="Arial"/>
          <w:color w:val="000000" w:themeColor="text1"/>
        </w:rPr>
        <w:t xml:space="preserve">, Claire H. </w:t>
      </w:r>
      <w:proofErr w:type="spellStart"/>
      <w:r w:rsidRPr="008949F4">
        <w:rPr>
          <w:rFonts w:cs="Arial"/>
          <w:color w:val="000000" w:themeColor="text1"/>
        </w:rPr>
        <w:t>Hastings</w:t>
      </w:r>
      <w:r w:rsidRPr="008949F4">
        <w:rPr>
          <w:rFonts w:eastAsia="Times New Roman" w:cs="Times New Roman"/>
          <w:noProof/>
          <w:vertAlign w:val="superscript"/>
          <w:lang w:eastAsia="en-GB"/>
        </w:rPr>
        <w:t>a</w:t>
      </w:r>
      <w:proofErr w:type="spellEnd"/>
      <w:r w:rsidRPr="008949F4">
        <w:rPr>
          <w:rFonts w:cs="Arial"/>
          <w:color w:val="000000" w:themeColor="text1"/>
        </w:rPr>
        <w:t>, Yung Shwen Ho</w:t>
      </w:r>
      <w:r w:rsidRPr="008949F4">
        <w:rPr>
          <w:rFonts w:cs="Arial"/>
          <w:color w:val="000000" w:themeColor="text1"/>
          <w:vertAlign w:val="superscript"/>
        </w:rPr>
        <w:t>c</w:t>
      </w:r>
      <w:r w:rsidRPr="008949F4">
        <w:rPr>
          <w:rFonts w:cs="Arial"/>
          <w:color w:val="000000" w:themeColor="text1"/>
        </w:rPr>
        <w:t xml:space="preserve">, </w:t>
      </w:r>
      <w:proofErr w:type="spellStart"/>
      <w:r w:rsidRPr="008949F4">
        <w:rPr>
          <w:rFonts w:cs="Arial"/>
          <w:color w:val="000000" w:themeColor="text1"/>
        </w:rPr>
        <w:t>Mridul</w:t>
      </w:r>
      <w:proofErr w:type="spellEnd"/>
      <w:r w:rsidRPr="008949F4">
        <w:rPr>
          <w:rFonts w:cs="Arial"/>
          <w:color w:val="000000" w:themeColor="text1"/>
        </w:rPr>
        <w:t xml:space="preserve"> B. </w:t>
      </w:r>
      <w:proofErr w:type="spellStart"/>
      <w:r w:rsidRPr="008949F4">
        <w:rPr>
          <w:rFonts w:cs="Arial"/>
          <w:color w:val="000000" w:themeColor="text1"/>
        </w:rPr>
        <w:t>Nair</w:t>
      </w:r>
      <w:r w:rsidRPr="008949F4">
        <w:rPr>
          <w:rFonts w:cs="Arial"/>
          <w:vertAlign w:val="superscript"/>
        </w:rPr>
        <w:t>c</w:t>
      </w:r>
      <w:proofErr w:type="spellEnd"/>
      <w:r w:rsidRPr="008949F4">
        <w:rPr>
          <w:rFonts w:cs="Arial"/>
          <w:color w:val="000000" w:themeColor="text1"/>
        </w:rPr>
        <w:t xml:space="preserve">, Zineb </w:t>
      </w:r>
      <w:proofErr w:type="spellStart"/>
      <w:r w:rsidRPr="008949F4">
        <w:rPr>
          <w:rFonts w:cs="Arial"/>
          <w:color w:val="000000" w:themeColor="text1"/>
        </w:rPr>
        <w:t>Rchiad</w:t>
      </w:r>
      <w:r w:rsidRPr="008949F4">
        <w:rPr>
          <w:rFonts w:cs="Arial"/>
          <w:vertAlign w:val="superscript"/>
        </w:rPr>
        <w:t>c</w:t>
      </w:r>
      <w:proofErr w:type="spellEnd"/>
      <w:r w:rsidRPr="008949F4">
        <w:rPr>
          <w:rFonts w:cs="Arial"/>
          <w:color w:val="000000" w:themeColor="text1"/>
        </w:rPr>
        <w:t xml:space="preserve">, </w:t>
      </w:r>
      <w:r w:rsidRPr="00EE5599">
        <w:rPr>
          <w:rStyle w:val="name"/>
          <w:rFonts w:cs="Arial"/>
          <w:color w:val="000000" w:themeColor="text1"/>
        </w:rPr>
        <w:t xml:space="preserve">Ellen </w:t>
      </w:r>
      <w:proofErr w:type="spellStart"/>
      <w:r w:rsidRPr="00EE5599">
        <w:rPr>
          <w:rStyle w:val="name"/>
          <w:rFonts w:cs="Arial"/>
          <w:color w:val="000000" w:themeColor="text1"/>
        </w:rPr>
        <w:t>Knuepfer</w:t>
      </w:r>
      <w:r>
        <w:rPr>
          <w:rStyle w:val="name"/>
          <w:rFonts w:cs="Arial"/>
          <w:color w:val="000000" w:themeColor="text1"/>
          <w:vertAlign w:val="superscript"/>
        </w:rPr>
        <w:t>a</w:t>
      </w:r>
      <w:proofErr w:type="spellEnd"/>
      <w:r>
        <w:rPr>
          <w:rStyle w:val="name"/>
          <w:rFonts w:cs="Arial"/>
          <w:color w:val="000000" w:themeColor="text1"/>
        </w:rPr>
        <w:t>,</w:t>
      </w:r>
      <w:r w:rsidRPr="00F25F3B">
        <w:rPr>
          <w:rFonts w:cs="Arial"/>
          <w:bCs/>
          <w:color w:val="000000"/>
        </w:rPr>
        <w:t xml:space="preserve"> </w:t>
      </w:r>
      <w:proofErr w:type="spellStart"/>
      <w:r w:rsidRPr="00F25F3B">
        <w:rPr>
          <w:rFonts w:cs="Arial"/>
          <w:bCs/>
          <w:color w:val="000000"/>
        </w:rPr>
        <w:t>Abhinay</w:t>
      </w:r>
      <w:proofErr w:type="spellEnd"/>
      <w:r w:rsidRPr="00F25F3B">
        <w:rPr>
          <w:rFonts w:cs="Arial"/>
          <w:bCs/>
          <w:color w:val="000000"/>
        </w:rPr>
        <w:t xml:space="preserve"> </w:t>
      </w:r>
      <w:proofErr w:type="spellStart"/>
      <w:r w:rsidRPr="00F25F3B">
        <w:rPr>
          <w:rFonts w:cs="Arial"/>
          <w:bCs/>
          <w:color w:val="000000"/>
        </w:rPr>
        <w:t>Ramaprasad</w:t>
      </w:r>
      <w:r>
        <w:rPr>
          <w:rFonts w:cs="Arial"/>
          <w:bCs/>
          <w:color w:val="000000"/>
          <w:vertAlign w:val="superscript"/>
        </w:rPr>
        <w:t>c</w:t>
      </w:r>
      <w:proofErr w:type="spellEnd"/>
      <w:r>
        <w:rPr>
          <w:rFonts w:cs="Arial"/>
          <w:bCs/>
          <w:color w:val="000000"/>
        </w:rPr>
        <w:t xml:space="preserve">, </w:t>
      </w:r>
      <w:r w:rsidRPr="00F25F3B">
        <w:rPr>
          <w:rFonts w:eastAsia="Times New Roman" w:cs="Segoe UI"/>
        </w:rPr>
        <w:t xml:space="preserve">Franziska </w:t>
      </w:r>
      <w:proofErr w:type="spellStart"/>
      <w:r w:rsidRPr="00F25F3B">
        <w:rPr>
          <w:rFonts w:eastAsia="Times New Roman" w:cs="Segoe UI"/>
        </w:rPr>
        <w:t>Mohring</w:t>
      </w:r>
      <w:r w:rsidRPr="00F25F3B">
        <w:rPr>
          <w:rFonts w:eastAsia="Times New Roman" w:cs="Segoe UI"/>
          <w:vertAlign w:val="superscript"/>
        </w:rPr>
        <w:t>b</w:t>
      </w:r>
      <w:proofErr w:type="spellEnd"/>
      <w:r>
        <w:rPr>
          <w:rFonts w:ascii="Segoe UI" w:eastAsia="Times New Roman" w:hAnsi="Segoe UI" w:cs="Segoe UI"/>
          <w:sz w:val="20"/>
          <w:szCs w:val="20"/>
        </w:rPr>
        <w:t xml:space="preserve">, </w:t>
      </w:r>
      <w:r>
        <w:rPr>
          <w:rFonts w:cs="Arial"/>
          <w:color w:val="000000" w:themeColor="text1"/>
        </w:rPr>
        <w:t xml:space="preserve"> </w:t>
      </w:r>
      <w:r w:rsidRPr="008949F4">
        <w:rPr>
          <w:rFonts w:cs="Arial"/>
          <w:color w:val="000000" w:themeColor="text1"/>
        </w:rPr>
        <w:t>Amirah</w:t>
      </w:r>
      <w:r>
        <w:rPr>
          <w:rFonts w:cs="Arial"/>
          <w:color w:val="000000" w:themeColor="text1"/>
        </w:rPr>
        <w:t xml:space="preserve"> </w:t>
      </w:r>
      <w:proofErr w:type="spellStart"/>
      <w:r w:rsidRPr="00C87E3F">
        <w:rPr>
          <w:rFonts w:cs="Arial"/>
          <w:color w:val="000000" w:themeColor="text1"/>
        </w:rPr>
        <w:t>Amir</w:t>
      </w:r>
      <w:r>
        <w:rPr>
          <w:color w:val="000000"/>
          <w:vertAlign w:val="superscript"/>
        </w:rPr>
        <w:t>d</w:t>
      </w:r>
      <w:proofErr w:type="spellEnd"/>
      <w:r w:rsidRPr="002D086D">
        <w:rPr>
          <w:rFonts w:cs="Arial"/>
          <w:color w:val="000000" w:themeColor="text1"/>
        </w:rPr>
        <w:t xml:space="preserve">, </w:t>
      </w:r>
      <w:r w:rsidRPr="0089697C">
        <w:rPr>
          <w:rFonts w:cs="Times New Roman"/>
        </w:rPr>
        <w:t xml:space="preserve">Noor A. </w:t>
      </w:r>
      <w:proofErr w:type="spellStart"/>
      <w:r w:rsidRPr="0089697C">
        <w:rPr>
          <w:rFonts w:cs="Times New Roman"/>
        </w:rPr>
        <w:t>Yusuf</w:t>
      </w:r>
      <w:r w:rsidRPr="00B039D8">
        <w:rPr>
          <w:rFonts w:cs="Times New Roman"/>
          <w:vertAlign w:val="superscript"/>
        </w:rPr>
        <w:t>a</w:t>
      </w:r>
      <w:proofErr w:type="spellEnd"/>
      <w:r>
        <w:rPr>
          <w:rFonts w:cs="Times New Roman"/>
        </w:rPr>
        <w:t xml:space="preserve">, </w:t>
      </w:r>
      <w:r w:rsidRPr="00B039D8">
        <w:rPr>
          <w:rFonts w:cs="Arial"/>
          <w:color w:val="000000" w:themeColor="text1"/>
        </w:rPr>
        <w:t>Joanna</w:t>
      </w:r>
      <w:r>
        <w:rPr>
          <w:rFonts w:cs="Arial"/>
          <w:color w:val="000000" w:themeColor="text1"/>
        </w:rPr>
        <w:t xml:space="preserve"> Hall</w:t>
      </w:r>
      <w:r>
        <w:rPr>
          <w:bCs/>
          <w:vertAlign w:val="superscript"/>
        </w:rPr>
        <w:t>e</w:t>
      </w:r>
      <w:r w:rsidRPr="002D086D">
        <w:rPr>
          <w:rStyle w:val="name"/>
          <w:rFonts w:cs="Arial"/>
          <w:color w:val="000000" w:themeColor="text1"/>
        </w:rPr>
        <w:t xml:space="preserve">, </w:t>
      </w:r>
      <w:r>
        <w:rPr>
          <w:rStyle w:val="name"/>
          <w:rFonts w:cs="Arial"/>
          <w:color w:val="000000" w:themeColor="text1"/>
        </w:rPr>
        <w:t xml:space="preserve">Neil </w:t>
      </w:r>
      <w:proofErr w:type="spellStart"/>
      <w:r w:rsidRPr="002D086D">
        <w:rPr>
          <w:rStyle w:val="name"/>
          <w:rFonts w:cs="Arial"/>
          <w:color w:val="000000" w:themeColor="text1"/>
        </w:rPr>
        <w:t>Almond</w:t>
      </w:r>
      <w:r>
        <w:rPr>
          <w:bCs/>
          <w:vertAlign w:val="superscript"/>
        </w:rPr>
        <w:t>e</w:t>
      </w:r>
      <w:proofErr w:type="spellEnd"/>
      <w:r w:rsidRPr="00C87E3F">
        <w:rPr>
          <w:rStyle w:val="name"/>
          <w:rFonts w:cs="Arial"/>
          <w:color w:val="000000" w:themeColor="text1"/>
        </w:rPr>
        <w:t xml:space="preserve">, </w:t>
      </w:r>
      <w:r>
        <w:rPr>
          <w:rStyle w:val="name"/>
          <w:rFonts w:cs="Arial"/>
          <w:color w:val="000000" w:themeColor="text1"/>
        </w:rPr>
        <w:t xml:space="preserve">Yee Ling </w:t>
      </w:r>
      <w:r w:rsidRPr="00C87E3F">
        <w:rPr>
          <w:rFonts w:cs="Arial"/>
          <w:color w:val="000000" w:themeColor="text1"/>
        </w:rPr>
        <w:t>L</w:t>
      </w:r>
      <w:r>
        <w:rPr>
          <w:rFonts w:cs="Arial"/>
          <w:color w:val="000000" w:themeColor="text1"/>
        </w:rPr>
        <w:t>au</w:t>
      </w:r>
      <w:r>
        <w:rPr>
          <w:color w:val="000000"/>
          <w:vertAlign w:val="superscript"/>
        </w:rPr>
        <w:t>d</w:t>
      </w:r>
      <w:r w:rsidRPr="00C87E3F">
        <w:rPr>
          <w:rFonts w:cs="Arial"/>
          <w:color w:val="000000" w:themeColor="text1"/>
        </w:rPr>
        <w:t xml:space="preserve">, </w:t>
      </w:r>
      <w:r>
        <w:rPr>
          <w:rFonts w:cs="Arial"/>
          <w:color w:val="000000" w:themeColor="text1"/>
        </w:rPr>
        <w:t xml:space="preserve">Arnab </w:t>
      </w:r>
      <w:proofErr w:type="spellStart"/>
      <w:r w:rsidRPr="00C87E3F">
        <w:rPr>
          <w:rFonts w:cs="Arial"/>
          <w:color w:val="000000" w:themeColor="text1"/>
        </w:rPr>
        <w:t>Pain</w:t>
      </w:r>
      <w:r>
        <w:rPr>
          <w:rFonts w:cs="Arial"/>
          <w:vertAlign w:val="superscript"/>
        </w:rPr>
        <w:t>c,f</w:t>
      </w:r>
      <w:proofErr w:type="spellEnd"/>
      <w:r w:rsidRPr="00C87E3F">
        <w:rPr>
          <w:rFonts w:cs="Arial"/>
          <w:color w:val="000000" w:themeColor="text1"/>
        </w:rPr>
        <w:t xml:space="preserve">, </w:t>
      </w:r>
      <w:r>
        <w:rPr>
          <w:rFonts w:cs="Arial"/>
          <w:color w:val="000000" w:themeColor="text1"/>
        </w:rPr>
        <w:t xml:space="preserve">Michael J. </w:t>
      </w:r>
      <w:proofErr w:type="spellStart"/>
      <w:r w:rsidRPr="00C87E3F">
        <w:rPr>
          <w:rFonts w:cs="Arial"/>
          <w:color w:val="000000" w:themeColor="text1"/>
        </w:rPr>
        <w:t>Blackman</w:t>
      </w:r>
      <w:r>
        <w:rPr>
          <w:rFonts w:eastAsia="Times New Roman" w:cs="Times New Roman"/>
          <w:noProof/>
          <w:vertAlign w:val="superscript"/>
          <w:lang w:eastAsia="en-GB"/>
        </w:rPr>
        <w:t>a,g</w:t>
      </w:r>
      <w:proofErr w:type="spellEnd"/>
      <w:r w:rsidRPr="0089697C">
        <w:rPr>
          <w:rFonts w:eastAsia="Times New Roman" w:cs="Times New Roman"/>
          <w:noProof/>
          <w:lang w:eastAsia="en-GB"/>
        </w:rPr>
        <w:t xml:space="preserve"> </w:t>
      </w:r>
      <w:r>
        <w:rPr>
          <w:rFonts w:cs="Arial"/>
          <w:color w:val="000000" w:themeColor="text1"/>
        </w:rPr>
        <w:t>and Anthony A.</w:t>
      </w:r>
      <w:r w:rsidRPr="00C87E3F">
        <w:rPr>
          <w:rStyle w:val="name"/>
          <w:rFonts w:cs="Arial"/>
          <w:color w:val="000000" w:themeColor="text1"/>
        </w:rPr>
        <w:t xml:space="preserve"> </w:t>
      </w:r>
      <w:proofErr w:type="spellStart"/>
      <w:r w:rsidRPr="00C87E3F">
        <w:rPr>
          <w:rStyle w:val="name"/>
          <w:rFonts w:cs="Arial"/>
          <w:color w:val="000000" w:themeColor="text1"/>
        </w:rPr>
        <w:t>Holder</w:t>
      </w:r>
      <w:r>
        <w:rPr>
          <w:rFonts w:eastAsia="Times New Roman" w:cs="Times New Roman"/>
          <w:noProof/>
          <w:vertAlign w:val="superscript"/>
          <w:lang w:eastAsia="en-GB"/>
        </w:rPr>
        <w:t>a</w:t>
      </w:r>
      <w:proofErr w:type="spellEnd"/>
      <w:r>
        <w:rPr>
          <w:rStyle w:val="name"/>
          <w:rFonts w:cs="Arial"/>
          <w:color w:val="000000" w:themeColor="text1"/>
        </w:rPr>
        <w:t xml:space="preserve"> </w:t>
      </w:r>
    </w:p>
    <w:p w:rsidR="00B0554F" w:rsidRPr="008949F4" w:rsidRDefault="00B0554F" w:rsidP="0045204F">
      <w:pPr>
        <w:spacing w:after="0" w:line="480" w:lineRule="auto"/>
        <w:rPr>
          <w:rStyle w:val="name"/>
          <w:rFonts w:cs="Arial"/>
          <w:b/>
          <w:color w:val="000000" w:themeColor="text1"/>
        </w:rPr>
      </w:pPr>
      <w:r w:rsidRPr="008949F4">
        <w:rPr>
          <w:rStyle w:val="name"/>
          <w:rFonts w:cs="Arial"/>
          <w:b/>
          <w:color w:val="000000" w:themeColor="text1"/>
        </w:rPr>
        <w:t>Author affiliations:</w:t>
      </w:r>
    </w:p>
    <w:p w:rsidR="00B0554F" w:rsidRDefault="00B0554F" w:rsidP="0045204F">
      <w:pPr>
        <w:spacing w:after="0" w:line="480" w:lineRule="auto"/>
        <w:rPr>
          <w:color w:val="000000"/>
          <w:vertAlign w:val="superscript"/>
        </w:rPr>
      </w:pPr>
      <w:r>
        <w:rPr>
          <w:rFonts w:eastAsia="Times New Roman" w:cs="Times New Roman"/>
          <w:noProof/>
          <w:vertAlign w:val="superscript"/>
          <w:lang w:eastAsia="en-GB"/>
        </w:rPr>
        <w:t>a</w:t>
      </w:r>
      <w:r>
        <w:rPr>
          <w:rFonts w:eastAsia="Times New Roman" w:cs="Times New Roman"/>
          <w:noProof/>
          <w:lang w:eastAsia="en-GB"/>
        </w:rPr>
        <w:t xml:space="preserve"> </w:t>
      </w:r>
      <w:r w:rsidRPr="007B44D8">
        <w:rPr>
          <w:rFonts w:eastAsia="Times New Roman" w:cs="Times New Roman"/>
          <w:noProof/>
          <w:lang w:eastAsia="en-GB"/>
        </w:rPr>
        <w:t>The Francis Crick Institute, Mill Hill Laboratory, The Ridgeway, Mill Hill, London, NW7 1AA, UK</w:t>
      </w:r>
    </w:p>
    <w:p w:rsidR="00B0554F" w:rsidRDefault="00B0554F" w:rsidP="0045204F">
      <w:pPr>
        <w:spacing w:after="0" w:line="480" w:lineRule="auto"/>
        <w:jc w:val="both"/>
        <w:rPr>
          <w:rFonts w:cs="Arial"/>
        </w:rPr>
      </w:pPr>
      <w:proofErr w:type="gramStart"/>
      <w:r>
        <w:rPr>
          <w:color w:val="000000"/>
          <w:vertAlign w:val="superscript"/>
        </w:rPr>
        <w:t>b</w:t>
      </w:r>
      <w:proofErr w:type="gramEnd"/>
      <w:r>
        <w:rPr>
          <w:color w:val="000000"/>
        </w:rPr>
        <w:t xml:space="preserve"> Department of Immunology and Infection, Faculty of Infectious and Tropical Diseases, London School of Hygiene and Tropical Medicine, London, </w:t>
      </w:r>
      <w:r>
        <w:t>WC1E 7HT, UK</w:t>
      </w:r>
    </w:p>
    <w:p w:rsidR="00B0554F" w:rsidRDefault="00B0554F" w:rsidP="0045204F">
      <w:pPr>
        <w:spacing w:after="0" w:line="480" w:lineRule="auto"/>
        <w:rPr>
          <w:color w:val="000000"/>
        </w:rPr>
      </w:pPr>
      <w:proofErr w:type="gramStart"/>
      <w:r>
        <w:rPr>
          <w:rFonts w:cs="Arial"/>
          <w:vertAlign w:val="superscript"/>
        </w:rPr>
        <w:t>c</w:t>
      </w:r>
      <w:proofErr w:type="gramEnd"/>
      <w:r>
        <w:rPr>
          <w:rFonts w:cs="Arial"/>
        </w:rPr>
        <w:t xml:space="preserve"> </w:t>
      </w:r>
      <w:r w:rsidRPr="007B44D8">
        <w:rPr>
          <w:rFonts w:cs="Arial"/>
        </w:rPr>
        <w:t xml:space="preserve">Pathogen Genomics Laboratory, Biological and Environmental Sciences and Engineering (BESE) Division, King Abdullah University of Science and Technology (KAUST), </w:t>
      </w:r>
      <w:proofErr w:type="spellStart"/>
      <w:r w:rsidRPr="007B44D8">
        <w:rPr>
          <w:rFonts w:cs="Arial"/>
        </w:rPr>
        <w:t>Thuwal</w:t>
      </w:r>
      <w:proofErr w:type="spellEnd"/>
      <w:r w:rsidRPr="007B44D8">
        <w:rPr>
          <w:rFonts w:cs="Arial"/>
        </w:rPr>
        <w:t>, Jeddah, 23955-6900 Kingdom of Saudi Arabia</w:t>
      </w:r>
    </w:p>
    <w:p w:rsidR="00B0554F" w:rsidRDefault="00B0554F" w:rsidP="0045204F">
      <w:pPr>
        <w:spacing w:after="0" w:line="480" w:lineRule="auto"/>
        <w:jc w:val="both"/>
        <w:rPr>
          <w:bCs/>
        </w:rPr>
      </w:pPr>
      <w:proofErr w:type="gramStart"/>
      <w:r>
        <w:rPr>
          <w:color w:val="000000"/>
          <w:vertAlign w:val="superscript"/>
        </w:rPr>
        <w:t>d</w:t>
      </w:r>
      <w:proofErr w:type="gramEnd"/>
      <w:r>
        <w:rPr>
          <w:color w:val="000000"/>
        </w:rPr>
        <w:t xml:space="preserve"> </w:t>
      </w:r>
      <w:r w:rsidRPr="007B44D8">
        <w:rPr>
          <w:color w:val="000000"/>
        </w:rPr>
        <w:t xml:space="preserve">Department of Parasitology, Faculty of Medicine, University of Malaya, 50603 Kuala Lumpur, </w:t>
      </w:r>
      <w:r w:rsidRPr="007B44D8">
        <w:rPr>
          <w:color w:val="000000"/>
          <w:lang w:val="en-US"/>
        </w:rPr>
        <w:t>Malaysia</w:t>
      </w:r>
    </w:p>
    <w:p w:rsidR="00B0554F" w:rsidRDefault="00B0554F" w:rsidP="0045204F">
      <w:pPr>
        <w:spacing w:after="0" w:line="480" w:lineRule="auto"/>
        <w:jc w:val="both"/>
        <w:rPr>
          <w:bCs/>
        </w:rPr>
      </w:pPr>
      <w:proofErr w:type="gramStart"/>
      <w:r>
        <w:rPr>
          <w:bCs/>
          <w:vertAlign w:val="superscript"/>
        </w:rPr>
        <w:t>e</w:t>
      </w:r>
      <w:proofErr w:type="gramEnd"/>
      <w:r>
        <w:rPr>
          <w:bCs/>
        </w:rPr>
        <w:t xml:space="preserve"> </w:t>
      </w:r>
      <w:r w:rsidRPr="007B44D8">
        <w:rPr>
          <w:bCs/>
        </w:rPr>
        <w:t xml:space="preserve">Division of </w:t>
      </w:r>
      <w:proofErr w:type="spellStart"/>
      <w:r w:rsidRPr="007B44D8">
        <w:rPr>
          <w:bCs/>
        </w:rPr>
        <w:t>Retrovirology</w:t>
      </w:r>
      <w:proofErr w:type="spellEnd"/>
      <w:r w:rsidRPr="007B44D8">
        <w:rPr>
          <w:bCs/>
        </w:rPr>
        <w:t xml:space="preserve">, National Institute for Biological Standards and Control, Health Protection Agency, South </w:t>
      </w:r>
      <w:proofErr w:type="spellStart"/>
      <w:r w:rsidRPr="007B44D8">
        <w:rPr>
          <w:bCs/>
        </w:rPr>
        <w:t>Mimms</w:t>
      </w:r>
      <w:proofErr w:type="spellEnd"/>
      <w:r w:rsidRPr="007B44D8">
        <w:rPr>
          <w:bCs/>
        </w:rPr>
        <w:t>, Potters Bar, Hertfordshire EN6 3QG, UK</w:t>
      </w:r>
    </w:p>
    <w:p w:rsidR="00B0554F" w:rsidRDefault="00B0554F" w:rsidP="0045204F">
      <w:pPr>
        <w:spacing w:after="0" w:line="480" w:lineRule="auto"/>
        <w:jc w:val="both"/>
        <w:rPr>
          <w:rFonts w:eastAsia="Times New Roman" w:cs="Times New Roman"/>
          <w:noProof/>
          <w:lang w:eastAsia="en-GB"/>
        </w:rPr>
      </w:pPr>
      <w:r>
        <w:rPr>
          <w:bCs/>
          <w:vertAlign w:val="superscript"/>
        </w:rPr>
        <w:t>f</w:t>
      </w:r>
      <w:r>
        <w:rPr>
          <w:bCs/>
        </w:rPr>
        <w:t xml:space="preserve"> </w:t>
      </w:r>
      <w:r w:rsidRPr="00EA0EE9">
        <w:rPr>
          <w:rFonts w:eastAsia="Times New Roman" w:cs="Times New Roman"/>
          <w:noProof/>
          <w:lang w:eastAsia="en-GB"/>
        </w:rPr>
        <w:t>Global Station for Zoonosis Control, Global Institution for Collaborative</w:t>
      </w:r>
      <w:r>
        <w:rPr>
          <w:rFonts w:eastAsia="Times New Roman" w:cs="Times New Roman"/>
          <w:noProof/>
          <w:lang w:eastAsia="en-GB"/>
        </w:rPr>
        <w:t xml:space="preserve"> </w:t>
      </w:r>
      <w:r w:rsidRPr="00EA0EE9">
        <w:rPr>
          <w:rFonts w:eastAsia="Times New Roman" w:cs="Times New Roman"/>
          <w:noProof/>
          <w:lang w:eastAsia="en-GB"/>
        </w:rPr>
        <w:t>Research and Education (GI-CoRE); Hokkaido University; N20 W10 Kita-ku, Sapporo, 001-0020 Japan</w:t>
      </w:r>
    </w:p>
    <w:p w:rsidR="00B0554F" w:rsidRPr="001B5288" w:rsidRDefault="00B0554F" w:rsidP="0045204F">
      <w:pPr>
        <w:spacing w:after="0" w:line="480" w:lineRule="auto"/>
        <w:rPr>
          <w:rFonts w:eastAsia="Times New Roman" w:cstheme="minorHAnsi"/>
          <w:noProof/>
          <w:lang w:eastAsia="en-GB"/>
        </w:rPr>
      </w:pPr>
      <w:r w:rsidRPr="001B5288">
        <w:rPr>
          <w:rFonts w:eastAsia="Times New Roman" w:cstheme="minorHAnsi"/>
          <w:noProof/>
          <w:vertAlign w:val="superscript"/>
          <w:lang w:eastAsia="en-GB"/>
        </w:rPr>
        <w:t>g</w:t>
      </w:r>
      <w:r w:rsidRPr="00C846E7">
        <w:rPr>
          <w:color w:val="000000"/>
        </w:rPr>
        <w:t xml:space="preserve"> </w:t>
      </w:r>
      <w:r w:rsidRPr="001B5288">
        <w:rPr>
          <w:rFonts w:eastAsia="Times New Roman" w:cstheme="minorHAnsi"/>
          <w:noProof/>
          <w:lang w:eastAsia="en-GB"/>
        </w:rPr>
        <w:t xml:space="preserve">Department of </w:t>
      </w:r>
      <w:r>
        <w:rPr>
          <w:rFonts w:eastAsia="Times New Roman" w:cstheme="minorHAnsi"/>
          <w:noProof/>
          <w:lang w:eastAsia="en-GB"/>
        </w:rPr>
        <w:t>Pathogen Molecular Biology</w:t>
      </w:r>
      <w:r w:rsidRPr="001B5288">
        <w:rPr>
          <w:rFonts w:eastAsia="Times New Roman" w:cstheme="minorHAnsi"/>
          <w:noProof/>
          <w:lang w:eastAsia="en-GB"/>
        </w:rPr>
        <w:t>, Faculty of Infectious and Tropical Diseases, London School of Hygiene and Tropical Medicine, London, WC1E 7HT, UK</w:t>
      </w:r>
    </w:p>
    <w:p w:rsidR="00B0554F" w:rsidRPr="008949F4" w:rsidRDefault="00B0554F" w:rsidP="0045204F">
      <w:pPr>
        <w:spacing w:after="0" w:line="480" w:lineRule="auto"/>
        <w:rPr>
          <w:rFonts w:cstheme="minorHAnsi"/>
          <w:color w:val="1F497D"/>
        </w:rPr>
      </w:pPr>
      <w:r w:rsidRPr="008949F4">
        <w:rPr>
          <w:rFonts w:eastAsia="Times New Roman" w:cstheme="minorHAnsi"/>
          <w:b/>
          <w:noProof/>
          <w:lang w:eastAsia="en-GB"/>
        </w:rPr>
        <w:t>Corresponding Authors:</w:t>
      </w:r>
      <w:r w:rsidRPr="001B7CF7">
        <w:rPr>
          <w:rFonts w:eastAsia="Times New Roman" w:cstheme="minorHAnsi"/>
          <w:noProof/>
          <w:lang w:eastAsia="en-GB"/>
        </w:rPr>
        <w:t xml:space="preserve"> </w:t>
      </w:r>
      <w:r w:rsidRPr="008949F4">
        <w:rPr>
          <w:rFonts w:eastAsia="Times New Roman" w:cstheme="minorHAnsi"/>
          <w:b/>
          <w:noProof/>
          <w:lang w:eastAsia="en-GB"/>
        </w:rPr>
        <w:t>Anthony A. Holder</w:t>
      </w:r>
      <w:r w:rsidRPr="001B7CF7">
        <w:rPr>
          <w:rFonts w:eastAsia="Times New Roman" w:cstheme="minorHAnsi"/>
          <w:noProof/>
          <w:lang w:eastAsia="en-GB"/>
        </w:rPr>
        <w:t xml:space="preserve">, The Francis Crick Institute, Mill Hill Laboratory, The Ridgeway, Mill Hill, London, NW7 1AA, UK. Tel: </w:t>
      </w:r>
      <w:r w:rsidRPr="00DA20B8">
        <w:rPr>
          <w:rFonts w:eastAsia="Times New Roman" w:cstheme="minorHAnsi"/>
          <w:noProof/>
          <w:lang w:eastAsia="en-GB"/>
        </w:rPr>
        <w:t xml:space="preserve">+44 2088162175,  Email: </w:t>
      </w:r>
      <w:hyperlink r:id="rId8" w:history="1">
        <w:r w:rsidRPr="008949F4">
          <w:rPr>
            <w:rStyle w:val="Hyperlink"/>
            <w:rFonts w:cstheme="minorHAnsi"/>
          </w:rPr>
          <w:t>tony.holder@crick.ac.uk</w:t>
        </w:r>
      </w:hyperlink>
    </w:p>
    <w:p w:rsidR="00B0554F" w:rsidRDefault="00B0554F" w:rsidP="0045204F">
      <w:pPr>
        <w:spacing w:after="0" w:line="480" w:lineRule="auto"/>
        <w:rPr>
          <w:rFonts w:cstheme="minorHAnsi"/>
          <w:color w:val="222222"/>
        </w:rPr>
      </w:pPr>
      <w:r w:rsidRPr="008949F4">
        <w:rPr>
          <w:rFonts w:eastAsia="Times New Roman" w:cstheme="minorHAnsi"/>
          <w:b/>
          <w:noProof/>
          <w:lang w:eastAsia="en-GB"/>
        </w:rPr>
        <w:lastRenderedPageBreak/>
        <w:t>Robert W. Moon</w:t>
      </w:r>
      <w:r w:rsidRPr="001B7CF7">
        <w:rPr>
          <w:rFonts w:eastAsia="Times New Roman" w:cstheme="minorHAnsi"/>
          <w:noProof/>
          <w:lang w:eastAsia="en-GB"/>
        </w:rPr>
        <w:t>,</w:t>
      </w:r>
      <w:r w:rsidRPr="008949F4">
        <w:rPr>
          <w:rFonts w:cstheme="minorHAnsi"/>
        </w:rPr>
        <w:t xml:space="preserve"> London School of Hygiene and Tropical Medicine, </w:t>
      </w:r>
      <w:r w:rsidRPr="008949F4">
        <w:rPr>
          <w:rFonts w:cstheme="minorHAnsi"/>
          <w:color w:val="222222"/>
        </w:rPr>
        <w:t>Keppel Street, London WC1E 7HT, UK</w:t>
      </w:r>
      <w:r>
        <w:rPr>
          <w:rFonts w:cstheme="minorHAnsi"/>
        </w:rPr>
        <w:t xml:space="preserve">, </w:t>
      </w:r>
      <w:r w:rsidRPr="008949F4">
        <w:rPr>
          <w:rFonts w:cstheme="minorHAnsi"/>
          <w:color w:val="222222"/>
        </w:rPr>
        <w:t xml:space="preserve">Tel: +442079272743, Email: </w:t>
      </w:r>
      <w:hyperlink r:id="rId9" w:history="1">
        <w:r w:rsidRPr="008949F4">
          <w:rPr>
            <w:rStyle w:val="Hyperlink"/>
            <w:rFonts w:cstheme="minorHAnsi"/>
          </w:rPr>
          <w:t>rob.moon@lshtm.ac.uk</w:t>
        </w:r>
      </w:hyperlink>
    </w:p>
    <w:p w:rsidR="00B0554F" w:rsidRDefault="00B0554F" w:rsidP="0045204F">
      <w:pPr>
        <w:spacing w:after="0" w:line="480" w:lineRule="auto"/>
        <w:rPr>
          <w:rFonts w:eastAsia="Times New Roman" w:cs="Times New Roman"/>
          <w:noProof/>
          <w:lang w:eastAsia="en-GB"/>
        </w:rPr>
      </w:pPr>
    </w:p>
    <w:p w:rsidR="00B0554F" w:rsidRDefault="00B0554F" w:rsidP="0045204F">
      <w:pPr>
        <w:spacing w:after="0" w:line="480" w:lineRule="auto"/>
        <w:rPr>
          <w:rFonts w:eastAsia="Times New Roman" w:cs="Times New Roman"/>
          <w:b/>
          <w:noProof/>
          <w:lang w:eastAsia="en-GB"/>
        </w:rPr>
      </w:pPr>
      <w:r w:rsidRPr="008949F4">
        <w:rPr>
          <w:rFonts w:eastAsia="Times New Roman" w:cs="Times New Roman"/>
          <w:b/>
          <w:noProof/>
          <w:lang w:eastAsia="en-GB"/>
        </w:rPr>
        <w:t>Keywords:</w:t>
      </w:r>
      <w:r>
        <w:rPr>
          <w:rFonts w:eastAsia="Times New Roman" w:cs="Times New Roman"/>
          <w:b/>
          <w:noProof/>
          <w:lang w:eastAsia="en-GB"/>
        </w:rPr>
        <w:t xml:space="preserve"> </w:t>
      </w:r>
      <w:r w:rsidRPr="008949F4">
        <w:rPr>
          <w:rFonts w:eastAsia="Times New Roman" w:cs="Times New Roman"/>
          <w:noProof/>
          <w:lang w:eastAsia="en-GB"/>
        </w:rPr>
        <w:t xml:space="preserve">Invasion; Malaria </w:t>
      </w:r>
      <w:r>
        <w:rPr>
          <w:rFonts w:eastAsia="Times New Roman" w:cs="Times New Roman"/>
          <w:noProof/>
          <w:lang w:eastAsia="en-GB"/>
        </w:rPr>
        <w:t>p</w:t>
      </w:r>
      <w:r w:rsidRPr="008949F4">
        <w:rPr>
          <w:rFonts w:eastAsia="Times New Roman" w:cs="Times New Roman"/>
          <w:noProof/>
          <w:lang w:eastAsia="en-GB"/>
        </w:rPr>
        <w:t xml:space="preserve">arasite; </w:t>
      </w:r>
      <w:r w:rsidRPr="00982F29">
        <w:rPr>
          <w:rFonts w:eastAsia="Times New Roman" w:cs="Times New Roman"/>
          <w:noProof/>
          <w:lang w:eastAsia="en-GB"/>
        </w:rPr>
        <w:t>Plasmodium knowlesi</w:t>
      </w:r>
      <w:r w:rsidRPr="008949F4">
        <w:rPr>
          <w:rFonts w:eastAsia="Times New Roman" w:cs="Times New Roman"/>
          <w:noProof/>
          <w:lang w:eastAsia="en-GB"/>
        </w:rPr>
        <w:t>; normocyte binding protein; zoonotic malaria</w:t>
      </w:r>
    </w:p>
    <w:p w:rsidR="00B0554F" w:rsidRPr="008949F4" w:rsidRDefault="00B0554F" w:rsidP="0045204F">
      <w:pPr>
        <w:spacing w:after="0" w:line="480" w:lineRule="auto"/>
        <w:rPr>
          <w:rFonts w:eastAsia="Times New Roman" w:cs="Times New Roman"/>
          <w:b/>
          <w:noProof/>
          <w:lang w:eastAsia="en-GB"/>
        </w:rPr>
      </w:pPr>
    </w:p>
    <w:p w:rsidR="00B0554F" w:rsidRPr="008949F4" w:rsidRDefault="00B0554F" w:rsidP="0045204F">
      <w:pPr>
        <w:pStyle w:val="NoSpacing"/>
        <w:spacing w:line="480" w:lineRule="auto"/>
        <w:rPr>
          <w:b/>
        </w:rPr>
      </w:pPr>
      <w:r w:rsidRPr="008949F4">
        <w:rPr>
          <w:b/>
        </w:rPr>
        <w:t>Abstract</w:t>
      </w:r>
    </w:p>
    <w:p w:rsidR="00B0554F" w:rsidRDefault="00B0554F" w:rsidP="0045204F">
      <w:pPr>
        <w:pStyle w:val="NoSpacing"/>
        <w:spacing w:line="480" w:lineRule="auto"/>
      </w:pPr>
      <w:r>
        <w:t xml:space="preserve">The dominant cause of malaria in Malaysia is now </w:t>
      </w:r>
      <w:r w:rsidRPr="008949F4">
        <w:rPr>
          <w:i/>
        </w:rPr>
        <w:t>P</w:t>
      </w:r>
      <w:r>
        <w:rPr>
          <w:i/>
        </w:rPr>
        <w:t>lasmodium</w:t>
      </w:r>
      <w:r w:rsidRPr="008949F4">
        <w:rPr>
          <w:i/>
        </w:rPr>
        <w:t xml:space="preserve"> knowlesi</w:t>
      </w:r>
      <w:r>
        <w:rPr>
          <w:i/>
        </w:rPr>
        <w:t>,</w:t>
      </w:r>
      <w:r>
        <w:t xml:space="preserve"> a zoonotic parasite of cynomolgus </w:t>
      </w:r>
      <w:r w:rsidRPr="000B43C1">
        <w:t>macaque</w:t>
      </w:r>
      <w:r>
        <w:t xml:space="preserve"> monkeys found throughout South East Asia. Comparative genomic analysis of parasites adapted to in vitro growth in either cynomolgus or human red blood cells (RBCs) identified in parasites growing in cynomolgus RBCs but not human RBCs a genomic deletion that includes the gene encoding normocyte binding protein </w:t>
      </w:r>
      <w:proofErr w:type="spellStart"/>
      <w:r>
        <w:t>Xa</w:t>
      </w:r>
      <w:proofErr w:type="spellEnd"/>
      <w:r>
        <w:t xml:space="preserve"> (</w:t>
      </w:r>
      <w:proofErr w:type="spellStart"/>
      <w:r>
        <w:t>NBPXa</w:t>
      </w:r>
      <w:proofErr w:type="spellEnd"/>
      <w:r>
        <w:t xml:space="preserve">). Experimental deletion of the </w:t>
      </w:r>
      <w:proofErr w:type="spellStart"/>
      <w:r w:rsidRPr="00B05B3A">
        <w:rPr>
          <w:i/>
        </w:rPr>
        <w:t>NBPXa</w:t>
      </w:r>
      <w:proofErr w:type="spellEnd"/>
      <w:r>
        <w:t xml:space="preserve"> gene in parasites adapted to growth in human RBCs (which retain the ability to grow in cynomolgus RBCs) restricted them to cynomolgus RBCs, demonstrating that this gene is selectively required for parasite multiplication and growth in human RBCs.  </w:t>
      </w:r>
      <w:proofErr w:type="spellStart"/>
      <w:r w:rsidRPr="00901379">
        <w:t>NBPXa</w:t>
      </w:r>
      <w:proofErr w:type="spellEnd"/>
      <w:r>
        <w:t xml:space="preserve">-null parasites could bind to human RBCs but invasion of these cells was severely impaired.  </w:t>
      </w:r>
      <w:proofErr w:type="spellStart"/>
      <w:r>
        <w:t>NBPXa</w:t>
      </w:r>
      <w:proofErr w:type="spellEnd"/>
      <w:r>
        <w:t xml:space="preserve"> is therefore identified as a key mediator of </w:t>
      </w:r>
      <w:r>
        <w:rPr>
          <w:i/>
        </w:rPr>
        <w:t xml:space="preserve">P. knowlesi </w:t>
      </w:r>
      <w:r>
        <w:t>human</w:t>
      </w:r>
      <w:r>
        <w:rPr>
          <w:i/>
        </w:rPr>
        <w:t xml:space="preserve"> </w:t>
      </w:r>
      <w:r>
        <w:t xml:space="preserve">infection and may be a target for vaccine development against this emerging pathogen. </w:t>
      </w:r>
    </w:p>
    <w:p w:rsidR="00B0554F" w:rsidRPr="0089697C" w:rsidRDefault="00B0554F" w:rsidP="0045204F">
      <w:pPr>
        <w:pStyle w:val="NoSpacing"/>
        <w:spacing w:line="480" w:lineRule="auto"/>
        <w:rPr>
          <w:b/>
        </w:rPr>
      </w:pPr>
    </w:p>
    <w:p w:rsidR="00B0554F" w:rsidRPr="008949F4" w:rsidRDefault="00B0554F" w:rsidP="0045204F">
      <w:pPr>
        <w:pStyle w:val="NoSpacing"/>
        <w:spacing w:line="480" w:lineRule="auto"/>
        <w:rPr>
          <w:b/>
        </w:rPr>
      </w:pPr>
      <w:r w:rsidRPr="008949F4">
        <w:rPr>
          <w:b/>
        </w:rPr>
        <w:t>Significance statement</w:t>
      </w:r>
    </w:p>
    <w:p w:rsidR="00B0554F" w:rsidRDefault="00B0554F" w:rsidP="0045204F">
      <w:pPr>
        <w:pStyle w:val="NoSpacing"/>
        <w:spacing w:line="480" w:lineRule="auto"/>
      </w:pPr>
      <w:r w:rsidRPr="008949F4">
        <w:rPr>
          <w:rFonts w:cstheme="minorHAnsi"/>
          <w:i/>
        </w:rPr>
        <w:t>Plasmodium</w:t>
      </w:r>
      <w:r w:rsidRPr="008949F4">
        <w:rPr>
          <w:i/>
        </w:rPr>
        <w:t xml:space="preserve"> knowlesi</w:t>
      </w:r>
      <w:r>
        <w:t xml:space="preserve"> is a parasite that naturally infects cynomolgus monkeys, but is also a major cause of severe zoonotic malaria in humans in South East Asia.</w:t>
      </w:r>
      <w:r>
        <w:rPr>
          <w:rFonts w:cstheme="minorHAnsi"/>
          <w:color w:val="202020"/>
        </w:rPr>
        <w:t xml:space="preserve"> C</w:t>
      </w:r>
      <w:r>
        <w:t>omparing the genomes of parasites restricted to growth in culture with cynomolgus red blood cells (RBCs) with those adapted to growth in human RBCs</w:t>
      </w:r>
      <w:r>
        <w:rPr>
          <w:rFonts w:cstheme="minorHAnsi"/>
          <w:color w:val="202020"/>
        </w:rPr>
        <w:t xml:space="preserve"> identified a gene specifically required for invasion of human red blood cells (RBCs), a process that is critical for parasite replication</w:t>
      </w:r>
      <w:r>
        <w:t xml:space="preserve">. This gene encodes </w:t>
      </w:r>
      <w:proofErr w:type="spellStart"/>
      <w:r>
        <w:t>NBPXa</w:t>
      </w:r>
      <w:proofErr w:type="spellEnd"/>
      <w:r>
        <w:t xml:space="preserve">, a protein previously shown to bind human RBC and implicated in invasion.  Disruption of this gene blocks invasion of human but </w:t>
      </w:r>
      <w:r>
        <w:lastRenderedPageBreak/>
        <w:t xml:space="preserve">not cynomolgus RBCs, thus confirming a key mediator of human infection and a potential target for inclusion in vaccines to prevent human infection. </w:t>
      </w:r>
    </w:p>
    <w:p w:rsidR="00B0554F" w:rsidRPr="0089697C" w:rsidRDefault="00B0554F" w:rsidP="0045204F">
      <w:pPr>
        <w:pStyle w:val="NoSpacing"/>
        <w:spacing w:line="480" w:lineRule="auto"/>
        <w:rPr>
          <w:b/>
        </w:rPr>
      </w:pPr>
    </w:p>
    <w:p w:rsidR="00B0554F" w:rsidRDefault="00B0554F" w:rsidP="0045204F">
      <w:pPr>
        <w:pStyle w:val="NoSpacing"/>
        <w:spacing w:line="480" w:lineRule="auto"/>
        <w:rPr>
          <w:b/>
        </w:rPr>
      </w:pPr>
      <w:r>
        <w:rPr>
          <w:b/>
        </w:rPr>
        <w:t>\body</w:t>
      </w:r>
    </w:p>
    <w:p w:rsidR="00B0554F" w:rsidRPr="008949F4" w:rsidRDefault="00B0554F" w:rsidP="0045204F">
      <w:pPr>
        <w:pStyle w:val="NoSpacing"/>
        <w:spacing w:line="480" w:lineRule="auto"/>
        <w:rPr>
          <w:b/>
          <w:i/>
        </w:rPr>
      </w:pPr>
      <w:r>
        <w:rPr>
          <w:b/>
        </w:rPr>
        <w:t>Introduction</w:t>
      </w:r>
    </w:p>
    <w:p w:rsidR="00B0554F" w:rsidRDefault="00B0554F" w:rsidP="0045204F">
      <w:pPr>
        <w:pStyle w:val="NoSpacing"/>
        <w:spacing w:line="480" w:lineRule="auto"/>
      </w:pPr>
      <w:r w:rsidRPr="00731D37">
        <w:rPr>
          <w:i/>
        </w:rPr>
        <w:t>Plasmodium knowlesi</w:t>
      </w:r>
      <w:r>
        <w:t xml:space="preserve">, a </w:t>
      </w:r>
      <w:r w:rsidRPr="00731D37">
        <w:t>malaria parasite</w:t>
      </w:r>
      <w:r>
        <w:t xml:space="preserve"> of the cynomolgus </w:t>
      </w:r>
      <w:r w:rsidRPr="0089697C">
        <w:t>macaque</w:t>
      </w:r>
      <w:r>
        <w:t xml:space="preserve">, </w:t>
      </w:r>
      <w:r w:rsidRPr="0089697C">
        <w:rPr>
          <w:rFonts w:eastAsia="Times New Roman"/>
          <w:i/>
        </w:rPr>
        <w:t>Macaca fascicularis</w:t>
      </w:r>
      <w:r>
        <w:t>,</w:t>
      </w:r>
      <w:r w:rsidRPr="00731D37">
        <w:t xml:space="preserve"> </w:t>
      </w:r>
      <w:r>
        <w:t xml:space="preserve">is the </w:t>
      </w:r>
      <w:r w:rsidRPr="00731D37">
        <w:t>caus</w:t>
      </w:r>
      <w:r>
        <w:t>ative</w:t>
      </w:r>
      <w:r w:rsidRPr="00731D37">
        <w:t xml:space="preserve"> </w:t>
      </w:r>
      <w:r>
        <w:t xml:space="preserve">agent of severe </w:t>
      </w:r>
      <w:r w:rsidRPr="00731D37">
        <w:t xml:space="preserve">zoonotic </w:t>
      </w:r>
      <w:r>
        <w:t xml:space="preserve">disease </w:t>
      </w:r>
      <w:r w:rsidRPr="00731D37">
        <w:t>in South East Asi</w:t>
      </w:r>
      <w:r>
        <w:t xml:space="preserve">a </w:t>
      </w:r>
      <w:r>
        <w:rPr>
          <w:noProof/>
        </w:rPr>
        <w:t>(1, 2)</w:t>
      </w:r>
      <w:hyperlink w:anchor="_ENREF_1" w:tooltip="Singh, 2004 #67" w:history="1"/>
      <w:r>
        <w:t>. I</w:t>
      </w:r>
      <w:r w:rsidRPr="00731D37">
        <w:t xml:space="preserve">n </w:t>
      </w:r>
      <w:r>
        <w:t>countries</w:t>
      </w:r>
      <w:r w:rsidRPr="00731D37">
        <w:t xml:space="preserve"> </w:t>
      </w:r>
      <w:r>
        <w:t xml:space="preserve">such as Malaysia </w:t>
      </w:r>
      <w:r w:rsidRPr="00731D37">
        <w:t>where other malaria parasites are being</w:t>
      </w:r>
      <w:r w:rsidRPr="00332A34">
        <w:t xml:space="preserve"> </w:t>
      </w:r>
      <w:r w:rsidRPr="00731D37">
        <w:t xml:space="preserve">controlled </w:t>
      </w:r>
      <w:r>
        <w:t xml:space="preserve">effectively, </w:t>
      </w:r>
      <w:r w:rsidRPr="00554309">
        <w:rPr>
          <w:i/>
        </w:rPr>
        <w:t>P. knowlesi</w:t>
      </w:r>
      <w:r w:rsidRPr="00554309">
        <w:t xml:space="preserve"> infection</w:t>
      </w:r>
      <w:r>
        <w:t xml:space="preserve">s are the dominant cause of human malaria </w:t>
      </w:r>
      <w:r>
        <w:rPr>
          <w:noProof/>
        </w:rPr>
        <w:t>(3, 4)</w:t>
      </w:r>
      <w:r w:rsidRPr="00731D37">
        <w:t xml:space="preserve">. </w:t>
      </w:r>
      <w:r>
        <w:t xml:space="preserve">In </w:t>
      </w:r>
      <w:r w:rsidRPr="00B51D55">
        <w:t>all malaria parasite species, disease is caused by</w:t>
      </w:r>
      <w:r>
        <w:t xml:space="preserve"> cyclic</w:t>
      </w:r>
      <w:r w:rsidRPr="00B51D55">
        <w:t xml:space="preserve"> parasite multiplication within red blood cells (RBC</w:t>
      </w:r>
      <w:r>
        <w:t>s</w:t>
      </w:r>
      <w:r w:rsidRPr="00B51D55">
        <w:t>)</w:t>
      </w:r>
      <w:r>
        <w:t>,</w:t>
      </w:r>
      <w:r w:rsidRPr="00B51D55">
        <w:t xml:space="preserve"> releas</w:t>
      </w:r>
      <w:r>
        <w:t>ing</w:t>
      </w:r>
      <w:r w:rsidRPr="00B51D55">
        <w:t xml:space="preserve"> </w:t>
      </w:r>
      <w:r>
        <w:t xml:space="preserve">invasive </w:t>
      </w:r>
      <w:r w:rsidRPr="00B51D55">
        <w:t>merozoite</w:t>
      </w:r>
      <w:r>
        <w:t>s</w:t>
      </w:r>
      <w:r w:rsidRPr="00B51D55">
        <w:t xml:space="preserve"> that invade new RBC</w:t>
      </w:r>
      <w:r>
        <w:t>s</w:t>
      </w:r>
      <w:r w:rsidRPr="00B51D55">
        <w:t xml:space="preserve">. Parasite adhesins </w:t>
      </w:r>
      <w:r>
        <w:t>transported</w:t>
      </w:r>
      <w:r w:rsidRPr="00B51D55">
        <w:t xml:space="preserve"> onto the merozoite surface bind specific host cell receptors to facilitate RBC invasion</w:t>
      </w:r>
      <w:r>
        <w:t xml:space="preserve"> (reviewed in </w:t>
      </w:r>
      <w:r>
        <w:rPr>
          <w:noProof/>
        </w:rPr>
        <w:t>(5)</w:t>
      </w:r>
      <w:r>
        <w:t xml:space="preserve">). </w:t>
      </w:r>
      <w:r w:rsidRPr="00332A34">
        <w:rPr>
          <w:rFonts w:cstheme="minorHAnsi"/>
        </w:rPr>
        <w:t xml:space="preserve">The first </w:t>
      </w:r>
      <w:r>
        <w:rPr>
          <w:rFonts w:cstheme="minorHAnsi"/>
        </w:rPr>
        <w:t xml:space="preserve">adhesin-RBC </w:t>
      </w:r>
      <w:r w:rsidRPr="00332A34">
        <w:rPr>
          <w:rFonts w:cstheme="minorHAnsi"/>
        </w:rPr>
        <w:t>interaction</w:t>
      </w:r>
      <w:r>
        <w:rPr>
          <w:rFonts w:cstheme="minorHAnsi"/>
        </w:rPr>
        <w:t xml:space="preserve"> was</w:t>
      </w:r>
      <w:r w:rsidRPr="00332A34">
        <w:rPr>
          <w:rFonts w:cstheme="minorHAnsi"/>
        </w:rPr>
        <w:t xml:space="preserve"> identified in </w:t>
      </w:r>
      <w:r w:rsidRPr="00FA222A">
        <w:rPr>
          <w:rFonts w:cstheme="minorHAnsi"/>
          <w:i/>
        </w:rPr>
        <w:t xml:space="preserve">P. knowlesi </w:t>
      </w:r>
      <w:r w:rsidRPr="00FA222A">
        <w:rPr>
          <w:rFonts w:cstheme="minorHAnsi"/>
        </w:rPr>
        <w:t xml:space="preserve">and </w:t>
      </w:r>
      <w:r w:rsidRPr="00640A37">
        <w:rPr>
          <w:rFonts w:cstheme="minorHAnsi"/>
          <w:i/>
        </w:rPr>
        <w:t>P. vivax</w:t>
      </w:r>
      <w:r>
        <w:rPr>
          <w:rFonts w:cstheme="minorHAnsi"/>
        </w:rPr>
        <w:t>, where</w:t>
      </w:r>
      <w:r w:rsidRPr="00FA222A">
        <w:rPr>
          <w:rFonts w:cstheme="minorHAnsi"/>
        </w:rPr>
        <w:t xml:space="preserve"> </w:t>
      </w:r>
      <w:r>
        <w:rPr>
          <w:rFonts w:cstheme="minorHAnsi"/>
        </w:rPr>
        <w:t xml:space="preserve">it was shown that parasites </w:t>
      </w:r>
      <w:r w:rsidRPr="00FA222A">
        <w:rPr>
          <w:rFonts w:cstheme="minorHAnsi"/>
        </w:rPr>
        <w:t xml:space="preserve">must bind to the Duffy Antigen/Chemokine Receptor (DARC) to invade human </w:t>
      </w:r>
      <w:r w:rsidRPr="00FB2610">
        <w:rPr>
          <w:rFonts w:cstheme="minorHAnsi"/>
        </w:rPr>
        <w:t>RBC</w:t>
      </w:r>
      <w:r>
        <w:rPr>
          <w:rFonts w:cstheme="minorHAnsi"/>
        </w:rPr>
        <w:t xml:space="preserve">s </w:t>
      </w:r>
      <w:r>
        <w:rPr>
          <w:rFonts w:cstheme="minorHAnsi"/>
          <w:noProof/>
        </w:rPr>
        <w:t>(6)</w:t>
      </w:r>
      <w:r w:rsidRPr="00FB2610">
        <w:rPr>
          <w:rFonts w:cstheme="minorHAnsi"/>
        </w:rPr>
        <w:t>.</w:t>
      </w:r>
      <w:r w:rsidRPr="00640A37">
        <w:rPr>
          <w:rFonts w:cstheme="minorHAnsi"/>
        </w:rPr>
        <w:t xml:space="preserve"> </w:t>
      </w:r>
      <w:r>
        <w:rPr>
          <w:rFonts w:cstheme="minorHAnsi"/>
        </w:rPr>
        <w:t xml:space="preserve">These adhesins </w:t>
      </w:r>
      <w:r w:rsidRPr="00B51D55">
        <w:t>are determinants of parasite virulence</w:t>
      </w:r>
      <w:r>
        <w:t xml:space="preserve"> </w:t>
      </w:r>
      <w:r>
        <w:rPr>
          <w:noProof/>
        </w:rPr>
        <w:t>(7)</w:t>
      </w:r>
      <w:r w:rsidRPr="00B51D55">
        <w:t>, host cell tropism</w:t>
      </w:r>
      <w:r>
        <w:t xml:space="preserve"> </w:t>
      </w:r>
      <w:r>
        <w:rPr>
          <w:noProof/>
        </w:rPr>
        <w:t>(8)</w:t>
      </w:r>
      <w:r w:rsidRPr="00B51D55">
        <w:t>, and potential vaccine candidates</w:t>
      </w:r>
      <w:r>
        <w:t xml:space="preserve"> </w:t>
      </w:r>
      <w:r>
        <w:rPr>
          <w:noProof/>
        </w:rPr>
        <w:t>(9)</w:t>
      </w:r>
      <w:r>
        <w:t xml:space="preserve">, and understanding the role of </w:t>
      </w:r>
      <w:r w:rsidRPr="00FB2610">
        <w:t xml:space="preserve">these </w:t>
      </w:r>
      <w:r w:rsidRPr="00C756B0">
        <w:t>adhesins</w:t>
      </w:r>
      <w:r w:rsidRPr="00FB2610">
        <w:t xml:space="preserve"> </w:t>
      </w:r>
      <w:r>
        <w:t>may be critical to identifying the causes of increased risk of human infection and for the development of novel interventions.</w:t>
      </w:r>
    </w:p>
    <w:p w:rsidR="00B0554F" w:rsidRDefault="00B0554F" w:rsidP="0045204F">
      <w:pPr>
        <w:pStyle w:val="NoSpacing"/>
        <w:spacing w:line="480" w:lineRule="auto"/>
        <w:ind w:firstLine="720"/>
        <w:rPr>
          <w:rFonts w:cstheme="minorHAnsi"/>
        </w:rPr>
      </w:pPr>
      <w:r>
        <w:rPr>
          <w:rFonts w:cstheme="minorHAnsi"/>
        </w:rPr>
        <w:t xml:space="preserve">Reticulocyte binding proteins (RBPs) were first described in </w:t>
      </w:r>
      <w:r>
        <w:rPr>
          <w:rFonts w:cstheme="minorHAnsi"/>
          <w:i/>
        </w:rPr>
        <w:t xml:space="preserve">Plasmodium vivax </w:t>
      </w:r>
      <w:r>
        <w:rPr>
          <w:rFonts w:cstheme="minorHAnsi"/>
          <w:noProof/>
        </w:rPr>
        <w:t>(10)</w:t>
      </w:r>
      <w:r>
        <w:rPr>
          <w:rFonts w:cstheme="minorHAnsi"/>
        </w:rPr>
        <w:t xml:space="preserve"> and are the prototypical examples of</w:t>
      </w:r>
      <w:r w:rsidRPr="00A64595">
        <w:rPr>
          <w:rFonts w:cstheme="minorHAnsi"/>
        </w:rPr>
        <w:t xml:space="preserve"> the reticulocyte binding like/reticulocyte binding homologue (RBL/RH) proteins</w:t>
      </w:r>
      <w:r>
        <w:rPr>
          <w:rFonts w:cstheme="minorHAnsi"/>
        </w:rPr>
        <w:t xml:space="preserve"> also characterized in other malaria parasite species </w:t>
      </w:r>
      <w:proofErr w:type="gramStart"/>
      <w:r>
        <w:rPr>
          <w:rFonts w:cstheme="minorHAnsi"/>
        </w:rPr>
        <w:t xml:space="preserve">including  </w:t>
      </w:r>
      <w:r w:rsidRPr="00FB2610">
        <w:rPr>
          <w:rFonts w:cstheme="minorHAnsi"/>
          <w:i/>
        </w:rPr>
        <w:t>P</w:t>
      </w:r>
      <w:proofErr w:type="gramEnd"/>
      <w:r w:rsidRPr="008C55E2">
        <w:rPr>
          <w:rFonts w:cstheme="minorHAnsi"/>
          <w:i/>
        </w:rPr>
        <w:t>.</w:t>
      </w:r>
      <w:r>
        <w:rPr>
          <w:rFonts w:cstheme="minorHAnsi"/>
          <w:i/>
        </w:rPr>
        <w:t xml:space="preserve"> </w:t>
      </w:r>
      <w:proofErr w:type="spellStart"/>
      <w:r>
        <w:rPr>
          <w:rFonts w:cstheme="minorHAnsi"/>
          <w:i/>
        </w:rPr>
        <w:t>cynomolgi</w:t>
      </w:r>
      <w:proofErr w:type="spellEnd"/>
      <w:r>
        <w:rPr>
          <w:rFonts w:cstheme="minorHAnsi"/>
          <w:i/>
        </w:rPr>
        <w:t xml:space="preserve">  </w:t>
      </w:r>
      <w:r>
        <w:rPr>
          <w:rFonts w:cstheme="minorHAnsi"/>
          <w:noProof/>
        </w:rPr>
        <w:t>(11)</w:t>
      </w:r>
      <w:r>
        <w:rPr>
          <w:rFonts w:cstheme="minorHAnsi"/>
        </w:rPr>
        <w:t xml:space="preserve"> and </w:t>
      </w:r>
      <w:r>
        <w:rPr>
          <w:rFonts w:cstheme="minorHAnsi"/>
          <w:i/>
        </w:rPr>
        <w:t xml:space="preserve">P. </w:t>
      </w:r>
      <w:proofErr w:type="spellStart"/>
      <w:r>
        <w:rPr>
          <w:rFonts w:cstheme="minorHAnsi"/>
          <w:i/>
        </w:rPr>
        <w:t>yoelii</w:t>
      </w:r>
      <w:proofErr w:type="spellEnd"/>
      <w:r>
        <w:rPr>
          <w:rFonts w:cstheme="minorHAnsi"/>
          <w:i/>
        </w:rPr>
        <w:t xml:space="preserve"> </w:t>
      </w:r>
      <w:r>
        <w:rPr>
          <w:rFonts w:cstheme="minorHAnsi"/>
          <w:noProof/>
        </w:rPr>
        <w:t>(12)</w:t>
      </w:r>
      <w:r>
        <w:rPr>
          <w:rFonts w:cstheme="minorHAnsi"/>
          <w:i/>
        </w:rPr>
        <w:t>. P.</w:t>
      </w:r>
      <w:r w:rsidRPr="008C55E2">
        <w:rPr>
          <w:rFonts w:cstheme="minorHAnsi"/>
          <w:i/>
        </w:rPr>
        <w:t xml:space="preserve"> falciparum</w:t>
      </w:r>
      <w:r w:rsidRPr="00A64595">
        <w:rPr>
          <w:rFonts w:cstheme="minorHAnsi"/>
        </w:rPr>
        <w:t xml:space="preserve"> </w:t>
      </w:r>
      <w:r>
        <w:rPr>
          <w:rFonts w:cstheme="minorHAnsi"/>
        </w:rPr>
        <w:t xml:space="preserve">normocyte binding proteins (NBPs) </w:t>
      </w:r>
      <w:r>
        <w:rPr>
          <w:rFonts w:cstheme="minorHAnsi"/>
          <w:noProof/>
        </w:rPr>
        <w:t>(13, 14)</w:t>
      </w:r>
      <w:r>
        <w:rPr>
          <w:rFonts w:cstheme="minorHAnsi"/>
        </w:rPr>
        <w:t xml:space="preserve"> are members of this family that includes</w:t>
      </w:r>
      <w:r w:rsidRPr="00A64595">
        <w:rPr>
          <w:rFonts w:cstheme="minorHAnsi"/>
        </w:rPr>
        <w:t xml:space="preserve"> </w:t>
      </w:r>
      <w:r w:rsidRPr="008C55E2">
        <w:rPr>
          <w:rFonts w:cstheme="minorHAnsi"/>
        </w:rPr>
        <w:t>four conventional RBL/RH proteins and one unconventional short RBL/RH protein (RH5)</w:t>
      </w:r>
      <w:r>
        <w:rPr>
          <w:rFonts w:cstheme="minorHAnsi"/>
        </w:rPr>
        <w:t xml:space="preserve"> in this species (reviewed in </w:t>
      </w:r>
      <w:r>
        <w:rPr>
          <w:rFonts w:cstheme="minorHAnsi"/>
          <w:noProof/>
        </w:rPr>
        <w:t>(5)</w:t>
      </w:r>
      <w:r>
        <w:rPr>
          <w:rFonts w:cstheme="minorHAnsi"/>
        </w:rPr>
        <w:t>).</w:t>
      </w:r>
      <w:r w:rsidRPr="00337592">
        <w:rPr>
          <w:rFonts w:cstheme="minorHAnsi"/>
        </w:rPr>
        <w:t xml:space="preserve"> </w:t>
      </w:r>
      <w:r>
        <w:rPr>
          <w:rFonts w:cstheme="minorHAnsi"/>
        </w:rPr>
        <w:t xml:space="preserve">In </w:t>
      </w:r>
      <w:r>
        <w:rPr>
          <w:rFonts w:cstheme="minorHAnsi"/>
          <w:i/>
        </w:rPr>
        <w:t>P. knowlesi</w:t>
      </w:r>
      <w:r w:rsidRPr="008C55E2">
        <w:rPr>
          <w:rFonts w:cstheme="minorHAnsi"/>
        </w:rPr>
        <w:t xml:space="preserve"> two proteins in the RBL family known as Normocyte Binding Protein (NBP</w:t>
      </w:r>
      <w:proofErr w:type="gramStart"/>
      <w:r w:rsidRPr="008C55E2">
        <w:rPr>
          <w:rFonts w:cstheme="minorHAnsi"/>
        </w:rPr>
        <w:t>)</w:t>
      </w:r>
      <w:proofErr w:type="spellStart"/>
      <w:r w:rsidRPr="008C55E2">
        <w:rPr>
          <w:rFonts w:cstheme="minorHAnsi"/>
        </w:rPr>
        <w:t>Xa</w:t>
      </w:r>
      <w:proofErr w:type="spellEnd"/>
      <w:proofErr w:type="gramEnd"/>
      <w:r w:rsidRPr="008C55E2">
        <w:rPr>
          <w:rFonts w:cstheme="minorHAnsi"/>
        </w:rPr>
        <w:t xml:space="preserve"> and </w:t>
      </w:r>
      <w:proofErr w:type="spellStart"/>
      <w:r w:rsidRPr="008C55E2">
        <w:rPr>
          <w:rFonts w:cstheme="minorHAnsi"/>
        </w:rPr>
        <w:t>NBPXb</w:t>
      </w:r>
      <w:proofErr w:type="spellEnd"/>
      <w:r>
        <w:rPr>
          <w:rFonts w:cstheme="minorHAnsi"/>
        </w:rPr>
        <w:t xml:space="preserve"> have  been </w:t>
      </w:r>
      <w:r w:rsidRPr="00FB2610">
        <w:rPr>
          <w:rFonts w:cstheme="minorHAnsi"/>
        </w:rPr>
        <w:t>identified</w:t>
      </w:r>
      <w:r>
        <w:rPr>
          <w:rFonts w:cstheme="minorHAnsi"/>
        </w:rPr>
        <w:t xml:space="preserve"> </w:t>
      </w:r>
      <w:r>
        <w:rPr>
          <w:rFonts w:cstheme="minorHAnsi"/>
          <w:noProof/>
        </w:rPr>
        <w:t>(15)</w:t>
      </w:r>
      <w:r w:rsidRPr="00FB2610">
        <w:rPr>
          <w:rFonts w:cstheme="minorHAnsi"/>
        </w:rPr>
        <w:t>, and recombinant fragments of these proteins bind RBC</w:t>
      </w:r>
      <w:r>
        <w:rPr>
          <w:rFonts w:cstheme="minorHAnsi"/>
        </w:rPr>
        <w:t xml:space="preserve">s </w:t>
      </w:r>
      <w:r>
        <w:rPr>
          <w:rFonts w:cstheme="minorHAnsi"/>
          <w:noProof/>
        </w:rPr>
        <w:t>(16)</w:t>
      </w:r>
      <w:r w:rsidRPr="00FB2610">
        <w:rPr>
          <w:rFonts w:cstheme="minorHAnsi"/>
        </w:rPr>
        <w:t xml:space="preserve">.  </w:t>
      </w:r>
      <w:r>
        <w:rPr>
          <w:rFonts w:cstheme="minorHAnsi"/>
        </w:rPr>
        <w:t>The RBL/RH adhesins</w:t>
      </w:r>
      <w:r w:rsidRPr="00A64595">
        <w:rPr>
          <w:rFonts w:cstheme="minorHAnsi"/>
        </w:rPr>
        <w:t xml:space="preserve"> </w:t>
      </w:r>
      <w:r w:rsidRPr="00FB2610">
        <w:rPr>
          <w:rFonts w:cstheme="minorHAnsi"/>
        </w:rPr>
        <w:t xml:space="preserve">and </w:t>
      </w:r>
      <w:r w:rsidRPr="00C756B0">
        <w:rPr>
          <w:rFonts w:cstheme="minorHAnsi"/>
        </w:rPr>
        <w:t>the</w:t>
      </w:r>
      <w:r w:rsidRPr="00FB2610">
        <w:rPr>
          <w:rFonts w:cstheme="minorHAnsi"/>
        </w:rPr>
        <w:t xml:space="preserve"> Duffy binding</w:t>
      </w:r>
      <w:r w:rsidRPr="00A64595">
        <w:rPr>
          <w:rFonts w:cstheme="minorHAnsi"/>
        </w:rPr>
        <w:t xml:space="preserve"> protein/erythrocyte binding </w:t>
      </w:r>
      <w:r>
        <w:rPr>
          <w:rFonts w:cstheme="minorHAnsi"/>
        </w:rPr>
        <w:t>ligand</w:t>
      </w:r>
      <w:r w:rsidRPr="00A64595">
        <w:rPr>
          <w:rFonts w:cstheme="minorHAnsi"/>
        </w:rPr>
        <w:t xml:space="preserve"> (DBP/EB</w:t>
      </w:r>
      <w:r>
        <w:rPr>
          <w:rFonts w:cstheme="minorHAnsi"/>
        </w:rPr>
        <w:t>L</w:t>
      </w:r>
      <w:r w:rsidRPr="00A64595">
        <w:rPr>
          <w:rFonts w:cstheme="minorHAnsi"/>
        </w:rPr>
        <w:t xml:space="preserve">) </w:t>
      </w:r>
      <w:r>
        <w:rPr>
          <w:rFonts w:cstheme="minorHAnsi"/>
        </w:rPr>
        <w:t xml:space="preserve">family of </w:t>
      </w:r>
      <w:r w:rsidRPr="00A64595">
        <w:rPr>
          <w:rFonts w:cstheme="minorHAnsi"/>
        </w:rPr>
        <w:t xml:space="preserve">proteins, </w:t>
      </w:r>
      <w:r w:rsidRPr="00C71C95">
        <w:rPr>
          <w:rFonts w:cstheme="minorHAnsi"/>
        </w:rPr>
        <w:t xml:space="preserve">play key roles during </w:t>
      </w:r>
      <w:r>
        <w:rPr>
          <w:rFonts w:cstheme="minorHAnsi"/>
        </w:rPr>
        <w:t xml:space="preserve">merozoite </w:t>
      </w:r>
      <w:r w:rsidRPr="00C71C95">
        <w:rPr>
          <w:rFonts w:cstheme="minorHAnsi"/>
        </w:rPr>
        <w:t xml:space="preserve">invasion </w:t>
      </w:r>
      <w:r>
        <w:rPr>
          <w:rFonts w:cstheme="minorHAnsi"/>
        </w:rPr>
        <w:t xml:space="preserve">of RBCs (reviewed </w:t>
      </w:r>
      <w:r w:rsidRPr="00FB2610">
        <w:rPr>
          <w:rFonts w:cstheme="minorHAnsi"/>
        </w:rPr>
        <w:t xml:space="preserve">in </w:t>
      </w:r>
      <w:r>
        <w:rPr>
          <w:rFonts w:cstheme="minorHAnsi"/>
          <w:noProof/>
        </w:rPr>
        <w:t xml:space="preserve">(5, </w:t>
      </w:r>
      <w:r>
        <w:rPr>
          <w:rFonts w:cstheme="minorHAnsi"/>
          <w:noProof/>
        </w:rPr>
        <w:lastRenderedPageBreak/>
        <w:t>9)</w:t>
      </w:r>
      <w:r w:rsidRPr="00FB2610">
        <w:rPr>
          <w:rFonts w:cstheme="minorHAnsi"/>
        </w:rPr>
        <w:t xml:space="preserve">). </w:t>
      </w:r>
      <w:r>
        <w:rPr>
          <w:rFonts w:cstheme="minorHAnsi"/>
        </w:rPr>
        <w:t xml:space="preserve">However, </w:t>
      </w:r>
      <w:r w:rsidRPr="008C55E2">
        <w:rPr>
          <w:rFonts w:cstheme="minorHAnsi"/>
        </w:rPr>
        <w:t xml:space="preserve">ascribing specific roles </w:t>
      </w:r>
      <w:r>
        <w:rPr>
          <w:rFonts w:cstheme="minorHAnsi"/>
        </w:rPr>
        <w:t>to</w:t>
      </w:r>
      <w:r w:rsidRPr="008C55E2">
        <w:rPr>
          <w:rFonts w:cstheme="minorHAnsi"/>
        </w:rPr>
        <w:t xml:space="preserve"> the</w:t>
      </w:r>
      <w:r>
        <w:rPr>
          <w:rFonts w:cstheme="minorHAnsi"/>
        </w:rPr>
        <w:t>se</w:t>
      </w:r>
      <w:r w:rsidRPr="008C55E2">
        <w:rPr>
          <w:rFonts w:cstheme="minorHAnsi"/>
        </w:rPr>
        <w:t xml:space="preserve"> proteins has been hampered by </w:t>
      </w:r>
      <w:r>
        <w:rPr>
          <w:rFonts w:cstheme="minorHAnsi"/>
        </w:rPr>
        <w:t xml:space="preserve">functional </w:t>
      </w:r>
      <w:r w:rsidRPr="008C55E2">
        <w:rPr>
          <w:rFonts w:cstheme="minorHAnsi"/>
        </w:rPr>
        <w:t>redundancy</w:t>
      </w:r>
      <w:r w:rsidRPr="00A64595">
        <w:rPr>
          <w:rFonts w:cstheme="minorHAnsi"/>
        </w:rPr>
        <w:t xml:space="preserve"> and only RH5 </w:t>
      </w:r>
      <w:r>
        <w:rPr>
          <w:rFonts w:cstheme="minorHAnsi"/>
        </w:rPr>
        <w:t>may</w:t>
      </w:r>
      <w:r w:rsidRPr="00A64595">
        <w:rPr>
          <w:rFonts w:cstheme="minorHAnsi"/>
        </w:rPr>
        <w:t xml:space="preserve"> be essential for </w:t>
      </w:r>
      <w:r>
        <w:rPr>
          <w:rFonts w:cstheme="minorHAnsi"/>
          <w:i/>
        </w:rPr>
        <w:t xml:space="preserve">P. falciparum </w:t>
      </w:r>
      <w:r w:rsidRPr="00A64595">
        <w:rPr>
          <w:rFonts w:cstheme="minorHAnsi"/>
        </w:rPr>
        <w:t>invasion</w:t>
      </w:r>
      <w:r>
        <w:rPr>
          <w:rFonts w:cstheme="minorHAnsi"/>
        </w:rPr>
        <w:t xml:space="preserve"> </w:t>
      </w:r>
      <w:r>
        <w:rPr>
          <w:rFonts w:cstheme="minorHAnsi"/>
          <w:noProof/>
        </w:rPr>
        <w:t>(17)</w:t>
      </w:r>
      <w:hyperlink w:anchor="_ENREF_18" w:tooltip="Baum, 2009 #75" w:history="1"/>
      <w:r w:rsidRPr="00A64595">
        <w:rPr>
          <w:rFonts w:cstheme="minorHAnsi"/>
        </w:rPr>
        <w:t xml:space="preserve">. </w:t>
      </w:r>
      <w:r>
        <w:rPr>
          <w:rFonts w:cstheme="minorHAnsi"/>
        </w:rPr>
        <w:t xml:space="preserve">In </w:t>
      </w:r>
      <w:r>
        <w:rPr>
          <w:rFonts w:cstheme="minorHAnsi"/>
          <w:i/>
        </w:rPr>
        <w:t xml:space="preserve">P. knowlesi, </w:t>
      </w:r>
      <w:r w:rsidRPr="00FA222A">
        <w:rPr>
          <w:rFonts w:cstheme="minorHAnsi"/>
        </w:rPr>
        <w:t>DBPα</w:t>
      </w:r>
      <w:r>
        <w:rPr>
          <w:rFonts w:cstheme="minorHAnsi"/>
        </w:rPr>
        <w:t xml:space="preserve"> is the </w:t>
      </w:r>
      <w:r w:rsidRPr="00640A37">
        <w:rPr>
          <w:rFonts w:cstheme="minorHAnsi"/>
        </w:rPr>
        <w:t xml:space="preserve">parasite adhesin binding </w:t>
      </w:r>
      <w:r>
        <w:rPr>
          <w:rFonts w:cstheme="minorHAnsi"/>
        </w:rPr>
        <w:t>DARC</w:t>
      </w:r>
      <w:r w:rsidRPr="00FA222A">
        <w:rPr>
          <w:rFonts w:cstheme="minorHAnsi"/>
        </w:rPr>
        <w:t>, and two paralogues (DBP</w:t>
      </w:r>
      <w:r w:rsidRPr="008C55E2">
        <w:rPr>
          <w:rFonts w:ascii="Symbol" w:hAnsi="Symbol" w:cstheme="minorHAnsi"/>
        </w:rPr>
        <w:t></w:t>
      </w:r>
      <w:r w:rsidRPr="008C55E2">
        <w:rPr>
          <w:rFonts w:cstheme="minorHAnsi"/>
        </w:rPr>
        <w:t xml:space="preserve"> and DBP</w:t>
      </w:r>
      <w:r w:rsidRPr="008C55E2">
        <w:rPr>
          <w:rFonts w:ascii="Symbol" w:hAnsi="Symbol" w:cstheme="minorHAnsi"/>
        </w:rPr>
        <w:t></w:t>
      </w:r>
      <w:r w:rsidRPr="008C55E2">
        <w:rPr>
          <w:rFonts w:cstheme="minorHAnsi"/>
        </w:rPr>
        <w:t xml:space="preserve">) have </w:t>
      </w:r>
      <w:r>
        <w:rPr>
          <w:rFonts w:cstheme="minorHAnsi"/>
        </w:rPr>
        <w:t>also</w:t>
      </w:r>
      <w:r w:rsidRPr="008C55E2">
        <w:rPr>
          <w:rFonts w:cstheme="minorHAnsi"/>
        </w:rPr>
        <w:t xml:space="preserve"> been </w:t>
      </w:r>
      <w:r>
        <w:rPr>
          <w:rFonts w:cstheme="minorHAnsi"/>
        </w:rPr>
        <w:t>identifi</w:t>
      </w:r>
      <w:r w:rsidRPr="00FB2610">
        <w:rPr>
          <w:rFonts w:cstheme="minorHAnsi"/>
        </w:rPr>
        <w:t>ed</w:t>
      </w:r>
      <w:r>
        <w:rPr>
          <w:rFonts w:cstheme="minorHAnsi"/>
        </w:rPr>
        <w:t xml:space="preserve"> </w:t>
      </w:r>
      <w:r>
        <w:rPr>
          <w:rFonts w:cstheme="minorHAnsi"/>
          <w:noProof/>
        </w:rPr>
        <w:t>(18)</w:t>
      </w:r>
      <w:r>
        <w:rPr>
          <w:rFonts w:cstheme="minorHAnsi"/>
        </w:rPr>
        <w:t>, but</w:t>
      </w:r>
      <w:r w:rsidRPr="008C55E2">
        <w:rPr>
          <w:rFonts w:cstheme="minorHAnsi"/>
        </w:rPr>
        <w:t xml:space="preserve"> thus far only DBP</w:t>
      </w:r>
      <w:r w:rsidRPr="008C55E2">
        <w:rPr>
          <w:rFonts w:ascii="Symbol" w:hAnsi="Symbol" w:cstheme="minorHAnsi"/>
        </w:rPr>
        <w:t></w:t>
      </w:r>
      <w:r w:rsidRPr="008C55E2">
        <w:rPr>
          <w:rFonts w:cstheme="minorHAnsi"/>
        </w:rPr>
        <w:t xml:space="preserve"> has been</w:t>
      </w:r>
      <w:r>
        <w:rPr>
          <w:rFonts w:cstheme="minorHAnsi"/>
        </w:rPr>
        <w:t xml:space="preserve"> shown</w:t>
      </w:r>
      <w:r w:rsidRPr="008C55E2">
        <w:rPr>
          <w:rFonts w:cstheme="minorHAnsi"/>
        </w:rPr>
        <w:t xml:space="preserve"> to be required for RBC </w:t>
      </w:r>
      <w:r w:rsidRPr="00FB2610">
        <w:rPr>
          <w:rFonts w:cstheme="minorHAnsi"/>
        </w:rPr>
        <w:t>invasion</w:t>
      </w:r>
      <w:r>
        <w:rPr>
          <w:rFonts w:cstheme="minorHAnsi"/>
        </w:rPr>
        <w:t xml:space="preserve"> </w:t>
      </w:r>
      <w:r>
        <w:rPr>
          <w:rFonts w:cstheme="minorHAnsi"/>
          <w:noProof/>
        </w:rPr>
        <w:t>(19)</w:t>
      </w:r>
      <w:r w:rsidRPr="00FB2610">
        <w:rPr>
          <w:rFonts w:cstheme="minorHAnsi"/>
        </w:rPr>
        <w:t xml:space="preserve">. </w:t>
      </w:r>
      <w:r w:rsidRPr="00554309" w:rsidDel="009F0BE4">
        <w:t xml:space="preserve"> </w:t>
      </w:r>
      <w:r>
        <w:rPr>
          <w:rFonts w:cstheme="minorHAnsi"/>
        </w:rPr>
        <w:t xml:space="preserve"> </w:t>
      </w:r>
    </w:p>
    <w:p w:rsidR="00B0554F" w:rsidRDefault="00B0554F" w:rsidP="0045204F">
      <w:pPr>
        <w:pStyle w:val="NoSpacing"/>
        <w:spacing w:line="480" w:lineRule="auto"/>
      </w:pPr>
      <w:r>
        <w:tab/>
      </w:r>
      <w:r w:rsidRPr="00731D37">
        <w:rPr>
          <w:i/>
        </w:rPr>
        <w:t>P. knowlesi</w:t>
      </w:r>
      <w:r w:rsidRPr="00731D37">
        <w:t xml:space="preserve"> can </w:t>
      </w:r>
      <w:r>
        <w:t xml:space="preserve">be </w:t>
      </w:r>
      <w:r w:rsidRPr="00731D37">
        <w:t>readily</w:t>
      </w:r>
      <w:r>
        <w:t xml:space="preserve"> grown</w:t>
      </w:r>
      <w:r w:rsidRPr="00731D37">
        <w:t xml:space="preserve"> </w:t>
      </w:r>
      <w:r>
        <w:t xml:space="preserve">in both cynomolgus and rhesus </w:t>
      </w:r>
      <w:r w:rsidRPr="0089697C">
        <w:t>macaque</w:t>
      </w:r>
      <w:r>
        <w:t xml:space="preserve"> (</w:t>
      </w:r>
      <w:r w:rsidRPr="0089697C">
        <w:rPr>
          <w:rFonts w:eastAsia="Times New Roman"/>
          <w:i/>
        </w:rPr>
        <w:t>Macaca mulatta</w:t>
      </w:r>
      <w:r>
        <w:rPr>
          <w:rFonts w:eastAsia="Times New Roman"/>
        </w:rPr>
        <w:t>)</w:t>
      </w:r>
      <w:r>
        <w:t xml:space="preserve"> RBCs in vitro </w:t>
      </w:r>
      <w:r>
        <w:rPr>
          <w:noProof/>
        </w:rPr>
        <w:t>(20-22)</w:t>
      </w:r>
      <w:r>
        <w:t xml:space="preserve">, but requires extended adaptation for growth in human </w:t>
      </w:r>
      <w:proofErr w:type="gramStart"/>
      <w:r>
        <w:t>RBCs  in</w:t>
      </w:r>
      <w:proofErr w:type="gramEnd"/>
      <w:r>
        <w:t xml:space="preserve"> vitro displaying insufficient invasion efficiency in human RBCs to support continuous culture. In previous work we overcame this impediment by extended adaptation in a mixture of human and cynomolgus RBCs, producing a parasite line that can be maintained in human RBCs alone </w:t>
      </w:r>
      <w:r>
        <w:rPr>
          <w:noProof/>
        </w:rPr>
        <w:t>(21)</w:t>
      </w:r>
      <w:r>
        <w:t>. This previous analysis suggested that improved parasite invasion of human RBCs was essential for maintenance of parasite growth in vitro.</w:t>
      </w:r>
    </w:p>
    <w:p w:rsidR="00B0554F" w:rsidRPr="00B51D55" w:rsidRDefault="00B0554F" w:rsidP="0045204F">
      <w:pPr>
        <w:pStyle w:val="NoSpacing"/>
        <w:spacing w:line="480" w:lineRule="auto"/>
      </w:pPr>
      <w:r>
        <w:tab/>
      </w:r>
      <w:r w:rsidRPr="00B51D55">
        <w:t xml:space="preserve">Here, we </w:t>
      </w:r>
      <w:r>
        <w:t xml:space="preserve">undertook a comparative analysis of the genomes of </w:t>
      </w:r>
      <w:r w:rsidRPr="008C55E2">
        <w:rPr>
          <w:i/>
        </w:rPr>
        <w:t>P. knowlesi</w:t>
      </w:r>
      <w:r>
        <w:t xml:space="preserve"> lines adapted to human or cynomolgus RBCs in culture, in parallel with that of the pre-adapted parasites. The comparison highlighted </w:t>
      </w:r>
      <w:r w:rsidRPr="00B51D55">
        <w:t>a</w:t>
      </w:r>
      <w:r>
        <w:t xml:space="preserve"> crucial</w:t>
      </w:r>
      <w:r w:rsidRPr="00B51D55">
        <w:t xml:space="preserve"> </w:t>
      </w:r>
      <w:r>
        <w:t xml:space="preserve">role for </w:t>
      </w:r>
      <w:proofErr w:type="spellStart"/>
      <w:r>
        <w:t>NBPXa</w:t>
      </w:r>
      <w:proofErr w:type="spellEnd"/>
      <w:r w:rsidRPr="00B51D55" w:rsidDel="00935053">
        <w:t xml:space="preserve"> </w:t>
      </w:r>
      <w:r>
        <w:t>in invasion of h</w:t>
      </w:r>
      <w:r w:rsidRPr="00B51D55">
        <w:t>uman RBC</w:t>
      </w:r>
      <w:r>
        <w:t xml:space="preserve">s. Using the unique capacity to grow this parasite in two host cell types we were able to </w:t>
      </w:r>
      <w:r>
        <w:rPr>
          <w:rFonts w:eastAsia="Times New Roman" w:cs="Times New Roman"/>
          <w:lang w:eastAsia="en-GB"/>
        </w:rPr>
        <w:t>d</w:t>
      </w:r>
      <w:r w:rsidRPr="00B51D55">
        <w:rPr>
          <w:rFonts w:eastAsia="Times New Roman" w:cs="Times New Roman"/>
          <w:lang w:eastAsia="en-GB"/>
        </w:rPr>
        <w:t>isrupt</w:t>
      </w:r>
      <w:r>
        <w:rPr>
          <w:rFonts w:eastAsia="Times New Roman" w:cs="Times New Roman"/>
          <w:lang w:eastAsia="en-GB"/>
        </w:rPr>
        <w:t xml:space="preserve"> t</w:t>
      </w:r>
      <w:r w:rsidRPr="00B51D55">
        <w:rPr>
          <w:rFonts w:eastAsia="Times New Roman" w:cs="Times New Roman"/>
          <w:lang w:eastAsia="en-GB"/>
        </w:rPr>
        <w:t xml:space="preserve">he gene encoding </w:t>
      </w:r>
      <w:proofErr w:type="spellStart"/>
      <w:r w:rsidRPr="00B51D55">
        <w:rPr>
          <w:rFonts w:eastAsia="Times New Roman" w:cs="Times New Roman"/>
          <w:lang w:eastAsia="en-GB"/>
        </w:rPr>
        <w:t>NBPXa</w:t>
      </w:r>
      <w:proofErr w:type="spellEnd"/>
      <w:r w:rsidRPr="00B51D55">
        <w:rPr>
          <w:rFonts w:eastAsia="Times New Roman" w:cs="Times New Roman"/>
          <w:lang w:eastAsia="en-GB"/>
        </w:rPr>
        <w:t xml:space="preserve"> </w:t>
      </w:r>
      <w:r>
        <w:rPr>
          <w:rFonts w:eastAsia="Times New Roman" w:cs="Times New Roman"/>
          <w:lang w:eastAsia="en-GB"/>
        </w:rPr>
        <w:t>and show</w:t>
      </w:r>
      <w:r w:rsidRPr="00B51D55">
        <w:rPr>
          <w:rFonts w:eastAsia="Times New Roman" w:cs="Times New Roman"/>
          <w:lang w:eastAsia="en-GB"/>
        </w:rPr>
        <w:t xml:space="preserve"> it is required for invasion of human but not </w:t>
      </w:r>
      <w:r>
        <w:rPr>
          <w:rFonts w:eastAsia="Times New Roman" w:cs="Times New Roman"/>
          <w:lang w:eastAsia="en-GB"/>
        </w:rPr>
        <w:t xml:space="preserve">cynomolgus </w:t>
      </w:r>
      <w:r w:rsidRPr="0089697C">
        <w:rPr>
          <w:rFonts w:eastAsia="Times New Roman" w:cs="Times New Roman"/>
          <w:lang w:eastAsia="en-GB"/>
        </w:rPr>
        <w:t>macaque</w:t>
      </w:r>
      <w:r w:rsidRPr="00B51D55">
        <w:rPr>
          <w:rFonts w:eastAsia="Times New Roman" w:cs="Times New Roman"/>
          <w:lang w:eastAsia="en-GB"/>
        </w:rPr>
        <w:t xml:space="preserve"> RBC</w:t>
      </w:r>
      <w:r>
        <w:rPr>
          <w:rFonts w:eastAsia="Times New Roman" w:cs="Times New Roman"/>
          <w:lang w:eastAsia="en-GB"/>
        </w:rPr>
        <w:t>s</w:t>
      </w:r>
      <w:r w:rsidRPr="00B51D55">
        <w:rPr>
          <w:rFonts w:eastAsia="Times New Roman" w:cs="Times New Roman"/>
          <w:lang w:eastAsia="en-GB"/>
        </w:rPr>
        <w:t xml:space="preserve">. </w:t>
      </w:r>
      <w:r w:rsidRPr="00B51D55">
        <w:t xml:space="preserve">Human-adapted </w:t>
      </w:r>
      <w:r w:rsidRPr="00B51D55">
        <w:rPr>
          <w:i/>
        </w:rPr>
        <w:t>P. knowlesi</w:t>
      </w:r>
      <w:r w:rsidRPr="00B51D55">
        <w:t xml:space="preserve"> parasites provide a robust experimental platform to unravel mechanisms of host cell invasion in both </w:t>
      </w:r>
      <w:r w:rsidRPr="00B51D55">
        <w:rPr>
          <w:i/>
        </w:rPr>
        <w:t xml:space="preserve">P. knowlesi </w:t>
      </w:r>
      <w:r w:rsidRPr="00B51D55">
        <w:t xml:space="preserve">and the related pathogen </w:t>
      </w:r>
      <w:r w:rsidRPr="00B51D55">
        <w:rPr>
          <w:i/>
        </w:rPr>
        <w:t>Plasmodium vivax</w:t>
      </w:r>
      <w:r w:rsidRPr="00B51D55">
        <w:t>.</w:t>
      </w:r>
    </w:p>
    <w:p w:rsidR="00B0554F" w:rsidRDefault="00B0554F" w:rsidP="0045204F">
      <w:pPr>
        <w:pStyle w:val="NoSpacing"/>
        <w:spacing w:line="480" w:lineRule="auto"/>
        <w:ind w:firstLine="720"/>
      </w:pPr>
    </w:p>
    <w:p w:rsidR="00B0554F" w:rsidRPr="008C55E2" w:rsidRDefault="00B0554F" w:rsidP="0045204F">
      <w:pPr>
        <w:pStyle w:val="NoSpacing"/>
        <w:spacing w:line="480" w:lineRule="auto"/>
        <w:rPr>
          <w:b/>
        </w:rPr>
      </w:pPr>
      <w:r w:rsidRPr="008C55E2">
        <w:rPr>
          <w:b/>
        </w:rPr>
        <w:t>Results</w:t>
      </w:r>
    </w:p>
    <w:p w:rsidR="00B0554F" w:rsidRPr="008C55E2" w:rsidRDefault="00B0554F" w:rsidP="006F179B">
      <w:pPr>
        <w:spacing w:after="0" w:line="480" w:lineRule="auto"/>
      </w:pPr>
      <w:r w:rsidRPr="008C55E2">
        <w:rPr>
          <w:b/>
        </w:rPr>
        <w:t xml:space="preserve">Culture adaptation of </w:t>
      </w:r>
      <w:r w:rsidRPr="008C55E2">
        <w:rPr>
          <w:b/>
          <w:i/>
        </w:rPr>
        <w:t>P. knowlesi</w:t>
      </w:r>
      <w:r w:rsidRPr="008C55E2">
        <w:rPr>
          <w:b/>
        </w:rPr>
        <w:t xml:space="preserve"> </w:t>
      </w:r>
      <w:r>
        <w:rPr>
          <w:b/>
        </w:rPr>
        <w:t>is associated with</w:t>
      </w:r>
      <w:r w:rsidRPr="008C55E2">
        <w:rPr>
          <w:b/>
        </w:rPr>
        <w:t xml:space="preserve"> distinct large genomic deletions</w:t>
      </w:r>
      <w:r>
        <w:rPr>
          <w:b/>
        </w:rPr>
        <w:t xml:space="preserve"> and duplications. </w:t>
      </w:r>
      <w:r w:rsidRPr="005560F1">
        <w:t xml:space="preserve">To </w:t>
      </w:r>
      <w:r w:rsidRPr="00C756B0">
        <w:t>identify</w:t>
      </w:r>
      <w:r w:rsidRPr="005560F1">
        <w:t xml:space="preserve"> </w:t>
      </w:r>
      <w:r>
        <w:t xml:space="preserve">genetic changes occurring during adaptation to in vitro culture </w:t>
      </w:r>
      <w:r w:rsidRPr="00554309">
        <w:t xml:space="preserve">we </w:t>
      </w:r>
      <w:r>
        <w:t>compared the</w:t>
      </w:r>
      <w:r w:rsidRPr="00554309">
        <w:t xml:space="preserve"> parasite genome</w:t>
      </w:r>
      <w:r>
        <w:t>s</w:t>
      </w:r>
      <w:r w:rsidRPr="00554309">
        <w:t xml:space="preserve"> </w:t>
      </w:r>
      <w:r>
        <w:t xml:space="preserve">at two critical points in the process: within 2 months of introducing the parasite to culture (A1-O), and after full adaptation to growth in human RBCs (A1-H) or in </w:t>
      </w:r>
      <w:proofErr w:type="gramStart"/>
      <w:r>
        <w:t>cynomolgus  RBCs</w:t>
      </w:r>
      <w:proofErr w:type="gramEnd"/>
      <w:r>
        <w:t xml:space="preserve"> (A1-C) for a similar period </w:t>
      </w:r>
      <w:r w:rsidRPr="00486527">
        <w:t>(see Fig. 1A).</w:t>
      </w:r>
      <w:r>
        <w:t xml:space="preserve"> </w:t>
      </w:r>
      <w:r w:rsidRPr="00D25C84">
        <w:t xml:space="preserve"> </w:t>
      </w:r>
      <w:r>
        <w:t>G</w:t>
      </w:r>
      <w:r w:rsidRPr="00554309">
        <w:t xml:space="preserve">enome sequence </w:t>
      </w:r>
      <w:r>
        <w:t>analysis</w:t>
      </w:r>
      <w:r w:rsidRPr="00554309">
        <w:t xml:space="preserve"> </w:t>
      </w:r>
      <w:r>
        <w:t>confirmed that</w:t>
      </w:r>
      <w:r w:rsidRPr="00554309">
        <w:t xml:space="preserve"> the </w:t>
      </w:r>
      <w:r>
        <w:t xml:space="preserve">starting A1-O </w:t>
      </w:r>
      <w:r w:rsidRPr="00554309">
        <w:t xml:space="preserve">parasite is </w:t>
      </w:r>
      <w:r>
        <w:t xml:space="preserve">closely related to the H-strain </w:t>
      </w:r>
      <w:r>
        <w:rPr>
          <w:noProof/>
        </w:rPr>
        <w:t>(23, 24)</w:t>
      </w:r>
      <w:r>
        <w:t>.</w:t>
      </w:r>
      <w:r w:rsidRPr="00D25C84">
        <w:t xml:space="preserve"> </w:t>
      </w:r>
      <w:r>
        <w:t xml:space="preserve">Use of the </w:t>
      </w:r>
      <w:proofErr w:type="spellStart"/>
      <w:r>
        <w:t>PacBio</w:t>
      </w:r>
      <w:proofErr w:type="spellEnd"/>
      <w:r>
        <w:t xml:space="preserve"> </w:t>
      </w:r>
      <w:r>
        <w:lastRenderedPageBreak/>
        <w:t>sequencing platform allowed the generation of high quality genome assemblies (Table S3) for clones of the adapted parasite lines (A1-H.1 and A1-C.2) to use as references to identify</w:t>
      </w:r>
      <w:r w:rsidRPr="00D25C84">
        <w:t xml:space="preserve"> SNPs and INDELs (insertions/deletions)</w:t>
      </w:r>
      <w:r>
        <w:t xml:space="preserve"> amongst both the uncloned lines and the other derived clones. Few</w:t>
      </w:r>
      <w:r w:rsidRPr="00D25C84">
        <w:t xml:space="preserve"> nucleotide differences</w:t>
      </w:r>
      <w:r>
        <w:t xml:space="preserve"> were identified </w:t>
      </w:r>
      <w:r w:rsidRPr="00D25C84">
        <w:t>(Fig. 1A</w:t>
      </w:r>
      <w:r>
        <w:t xml:space="preserve"> and Table S1</w:t>
      </w:r>
      <w:r w:rsidRPr="00D25C84">
        <w:t>)</w:t>
      </w:r>
      <w:r>
        <w:t xml:space="preserve">, with only 22 non-synonymous variants in protein coding genes throughout all lines sequenced. Only three of these differences were found exclusively in the human adapted parasite and none was present in all clones, so they were unlikely to be responsible for the adaptation phenotype (Table S1). Similarly there were no non-synonymous substitutions present in long-term culture adapted lines but absent from the A1-O parasite.  In addition to these SNPs, four larger deletions (3.6-66.3 kb) and </w:t>
      </w:r>
      <w:proofErr w:type="gramStart"/>
      <w:r>
        <w:t>one duplication</w:t>
      </w:r>
      <w:proofErr w:type="gramEnd"/>
      <w:r>
        <w:t xml:space="preserve"> (7.7 kb) were identified. In contrast to the SNPs, these appeared to be specific to either human or cynomolgus adapted lines, resulting in deletion of 13 genes in A1-C derived lines, or deletion of 2 genes and duplication of 4 genes in A1-H derived lines (Table S2). The largest deletion was of</w:t>
      </w:r>
      <w:r w:rsidRPr="00554309">
        <w:t xml:space="preserve"> ~</w:t>
      </w:r>
      <w:r>
        <w:t>66.3</w:t>
      </w:r>
      <w:r w:rsidRPr="00554309">
        <w:t xml:space="preserve"> kb at one end of chromosome 14 in the A1-C line </w:t>
      </w:r>
      <w:r w:rsidRPr="00595565">
        <w:t>(</w:t>
      </w:r>
      <w:r w:rsidRPr="00B33F9B">
        <w:t xml:space="preserve">Fig. 1B and Fig </w:t>
      </w:r>
      <w:r>
        <w:t>S</w:t>
      </w:r>
      <w:r w:rsidRPr="00B33F9B">
        <w:t>1</w:t>
      </w:r>
      <w:r w:rsidRPr="00595565">
        <w:t>)</w:t>
      </w:r>
      <w:r w:rsidRPr="00B33F9B">
        <w:t>.</w:t>
      </w:r>
      <w:r w:rsidRPr="00D25C84">
        <w:t xml:space="preserve">  </w:t>
      </w:r>
      <w:r w:rsidRPr="00554309">
        <w:t xml:space="preserve">In A1-O and A1-H lines, this region encompasses </w:t>
      </w:r>
      <w:r>
        <w:t>12</w:t>
      </w:r>
      <w:r w:rsidRPr="00554309">
        <w:t xml:space="preserve"> genes</w:t>
      </w:r>
      <w:r>
        <w:t xml:space="preserve"> (Table S2)</w:t>
      </w:r>
      <w:proofErr w:type="gramStart"/>
      <w:r w:rsidRPr="00554309">
        <w:t>,</w:t>
      </w:r>
      <w:proofErr w:type="gramEnd"/>
      <w:r w:rsidRPr="00554309">
        <w:t xml:space="preserve"> including PKNH_1472300 that encodes </w:t>
      </w:r>
      <w:proofErr w:type="spellStart"/>
      <w:r w:rsidRPr="00554309">
        <w:t>NBPXa</w:t>
      </w:r>
      <w:proofErr w:type="spellEnd"/>
      <w:r>
        <w:t xml:space="preserve"> </w:t>
      </w:r>
      <w:r>
        <w:rPr>
          <w:noProof/>
        </w:rPr>
        <w:t>(15)</w:t>
      </w:r>
      <w:r w:rsidRPr="00554309">
        <w:t>.</w:t>
      </w:r>
      <w:r w:rsidRPr="00554309" w:rsidDel="009F0BE4">
        <w:t xml:space="preserve"> </w:t>
      </w:r>
      <w:r>
        <w:t xml:space="preserve">This observation was of particular interest as adaptation to human RBCs appeared to result from improved invasion efficiency rather than improved intracellular growth </w:t>
      </w:r>
      <w:r>
        <w:rPr>
          <w:noProof/>
        </w:rPr>
        <w:t>(21)</w:t>
      </w:r>
      <w:r w:rsidRPr="008949F4">
        <w:t xml:space="preserve">. </w:t>
      </w:r>
      <w:r>
        <w:t>The</w:t>
      </w:r>
      <w:r w:rsidRPr="00554309">
        <w:t xml:space="preserve"> </w:t>
      </w:r>
      <w:r>
        <w:t xml:space="preserve">genomic </w:t>
      </w:r>
      <w:r w:rsidRPr="00554309">
        <w:t xml:space="preserve">comparisons identified no </w:t>
      </w:r>
      <w:r>
        <w:t xml:space="preserve">substantial </w:t>
      </w:r>
      <w:r w:rsidRPr="00554309">
        <w:t xml:space="preserve">differences in </w:t>
      </w:r>
      <w:r>
        <w:t>other</w:t>
      </w:r>
      <w:r w:rsidRPr="00554309">
        <w:t xml:space="preserve"> </w:t>
      </w:r>
      <w:r>
        <w:t xml:space="preserve">known </w:t>
      </w:r>
      <w:r w:rsidRPr="00554309">
        <w:t xml:space="preserve">invasion gene loci, </w:t>
      </w:r>
      <w:r>
        <w:t xml:space="preserve">including </w:t>
      </w:r>
      <w:r w:rsidRPr="00B05B3A">
        <w:rPr>
          <w:i/>
        </w:rPr>
        <w:t>DBPα</w:t>
      </w:r>
      <w:r w:rsidRPr="00554309">
        <w:t xml:space="preserve">, </w:t>
      </w:r>
      <w:r w:rsidRPr="00B05B3A">
        <w:rPr>
          <w:i/>
        </w:rPr>
        <w:t>DBPβ</w:t>
      </w:r>
      <w:r w:rsidRPr="00554309">
        <w:t xml:space="preserve">, </w:t>
      </w:r>
      <w:proofErr w:type="spellStart"/>
      <w:proofErr w:type="gramStart"/>
      <w:r w:rsidRPr="00B05B3A">
        <w:rPr>
          <w:i/>
        </w:rPr>
        <w:t>DBPγ</w:t>
      </w:r>
      <w:proofErr w:type="spellEnd"/>
      <w:proofErr w:type="gramEnd"/>
      <w:r>
        <w:t xml:space="preserve"> and</w:t>
      </w:r>
      <w:r w:rsidRPr="00554309">
        <w:t xml:space="preserve"> </w:t>
      </w:r>
      <w:proofErr w:type="spellStart"/>
      <w:r w:rsidRPr="00B05B3A">
        <w:rPr>
          <w:i/>
        </w:rPr>
        <w:t>NBPXb</w:t>
      </w:r>
      <w:proofErr w:type="spellEnd"/>
      <w:r>
        <w:t xml:space="preserve"> genes. Similarly, whilst we detected </w:t>
      </w:r>
      <w:proofErr w:type="gramStart"/>
      <w:r>
        <w:t>a duplication</w:t>
      </w:r>
      <w:proofErr w:type="gramEnd"/>
      <w:r>
        <w:t xml:space="preserve"> in A1-H derived lines, which contained 4 genes including </w:t>
      </w:r>
      <w:r w:rsidRPr="008949F4">
        <w:rPr>
          <w:i/>
        </w:rPr>
        <w:t xml:space="preserve">GTP </w:t>
      </w:r>
      <w:proofErr w:type="spellStart"/>
      <w:r w:rsidRPr="008949F4">
        <w:rPr>
          <w:i/>
        </w:rPr>
        <w:t>cyclohydrolase</w:t>
      </w:r>
      <w:proofErr w:type="spellEnd"/>
      <w:r w:rsidRPr="008949F4">
        <w:rPr>
          <w:i/>
        </w:rPr>
        <w:t xml:space="preserve"> I</w:t>
      </w:r>
      <w:r>
        <w:t>, we found no evidence of increased copy number for any of the DBP or RBL genes. However, u</w:t>
      </w:r>
      <w:r w:rsidRPr="006D6D73">
        <w:t xml:space="preserve">sing </w:t>
      </w:r>
      <w:r>
        <w:t xml:space="preserve">our data and a </w:t>
      </w:r>
      <w:r w:rsidRPr="006D6D73">
        <w:t xml:space="preserve">set of 48 </w:t>
      </w:r>
      <w:r>
        <w:rPr>
          <w:i/>
        </w:rPr>
        <w:t xml:space="preserve">P. knowlesi </w:t>
      </w:r>
      <w:r>
        <w:t xml:space="preserve">genomes from </w:t>
      </w:r>
      <w:r w:rsidRPr="006D6D73">
        <w:t>malaria infections in Malaysia</w:t>
      </w:r>
      <w:r>
        <w:t xml:space="preserve"> </w:t>
      </w:r>
      <w:r>
        <w:rPr>
          <w:noProof/>
        </w:rPr>
        <w:t>(25)</w:t>
      </w:r>
      <w:r w:rsidRPr="006D6D73">
        <w:t xml:space="preserve">, </w:t>
      </w:r>
      <w:r>
        <w:t>a</w:t>
      </w:r>
      <w:r w:rsidRPr="006D6D73">
        <w:t xml:space="preserve"> high level of SNP diversity</w:t>
      </w:r>
      <w:r>
        <w:t xml:space="preserve"> can be shown for the </w:t>
      </w:r>
      <w:r w:rsidRPr="006D6D73">
        <w:rPr>
          <w:i/>
        </w:rPr>
        <w:t>NBPX</w:t>
      </w:r>
      <w:r>
        <w:rPr>
          <w:i/>
        </w:rPr>
        <w:t xml:space="preserve"> and DBP</w:t>
      </w:r>
      <w:r w:rsidRPr="006D6D73">
        <w:t xml:space="preserve"> gene</w:t>
      </w:r>
      <w:r>
        <w:t>s</w:t>
      </w:r>
      <w:r w:rsidRPr="006D6D73">
        <w:t xml:space="preserve"> (Figure S3, Table S4).  </w:t>
      </w:r>
    </w:p>
    <w:p w:rsidR="00B0554F" w:rsidRDefault="00B0554F" w:rsidP="0045204F">
      <w:pPr>
        <w:spacing w:after="0" w:line="480" w:lineRule="auto"/>
      </w:pPr>
      <w:r w:rsidRPr="008C55E2">
        <w:rPr>
          <w:b/>
        </w:rPr>
        <w:t>Adaptation to human RBC</w:t>
      </w:r>
      <w:r>
        <w:rPr>
          <w:b/>
        </w:rPr>
        <w:t>s</w:t>
      </w:r>
      <w:r w:rsidRPr="008C55E2">
        <w:rPr>
          <w:b/>
        </w:rPr>
        <w:t xml:space="preserve"> results in increased invasion efficiency </w:t>
      </w:r>
      <w:r>
        <w:rPr>
          <w:b/>
        </w:rPr>
        <w:t>for</w:t>
      </w:r>
      <w:r w:rsidRPr="008C55E2">
        <w:rPr>
          <w:b/>
        </w:rPr>
        <w:t xml:space="preserve"> both human and </w:t>
      </w:r>
      <w:r>
        <w:rPr>
          <w:b/>
        </w:rPr>
        <w:t>cynomolgus</w:t>
      </w:r>
      <w:r w:rsidRPr="008C55E2">
        <w:rPr>
          <w:b/>
        </w:rPr>
        <w:t xml:space="preserve"> RBC</w:t>
      </w:r>
      <w:r>
        <w:rPr>
          <w:b/>
        </w:rPr>
        <w:t xml:space="preserve">s.  </w:t>
      </w:r>
      <w:r>
        <w:t xml:space="preserve">The genetic differences between cynomolgus and human RBC-adapted parasite lines, including the loss of </w:t>
      </w:r>
      <w:proofErr w:type="spellStart"/>
      <w:r w:rsidRPr="00CF1EF6">
        <w:rPr>
          <w:i/>
        </w:rPr>
        <w:t>NBPXa</w:t>
      </w:r>
      <w:proofErr w:type="spellEnd"/>
      <w:r>
        <w:t xml:space="preserve"> in the A1-C line, suggested that the A1-C and A1-H lines had been subjected to distinct selection processes during culture adaptation. Therefore growth of these lines </w:t>
      </w:r>
      <w:r>
        <w:lastRenderedPageBreak/>
        <w:t>was compared with that of the A1-O line to try to correlate genetic and phenotypic differences (Fig. 2). To compare invasion efficiencies, schizonts purified from each line grown in cynomolgus RBCs</w:t>
      </w:r>
      <w:r w:rsidRPr="00191A51">
        <w:t xml:space="preserve"> </w:t>
      </w:r>
      <w:proofErr w:type="gramStart"/>
      <w:r>
        <w:t>were  added</w:t>
      </w:r>
      <w:proofErr w:type="gramEnd"/>
      <w:r>
        <w:t xml:space="preserve"> to fresh human or cynomolgus RBCs, and then new intracellular parasites were quantified 24 h later. The invasion efficiency of the A1-O line in cynomolgus RBCs was around half that of both the A1-H.1 and A1-C.1 lines, consistent with selection for improved invasion following prolonged culture (Fig. 2A). Further examination of the cultures showed no evidence for defects in subsequent intracellular growth</w:t>
      </w:r>
      <w:r w:rsidRPr="00D25C84">
        <w:t xml:space="preserve"> (Fig</w:t>
      </w:r>
      <w:r>
        <w:t>.</w:t>
      </w:r>
      <w:r w:rsidRPr="00D25C84">
        <w:t xml:space="preserve"> 2</w:t>
      </w:r>
      <w:r>
        <w:t>B and C</w:t>
      </w:r>
      <w:r w:rsidRPr="00D25C84">
        <w:t>)</w:t>
      </w:r>
      <w:r>
        <w:t xml:space="preserve">. In human RBCs the invasion efficiency of the A1-O line was approximately half that of the A1-H.1 line, but four times that of the A1-C.1 line. Thus, whilst the A1-H.1 line increased in invasion efficiency for both human and cynomolgus RBCs during more than a year in vitro, A1-C.1 achieved the same only in cynomolgus RBCs, with a reduction in invasion efficiency for human RBCs. Using the 24 hour invasion data to calculate a mean host RBC selectivity ratio for the different lines (cynomolgus RBC invasion efficiency/human RBC invasion efficiency) revealed no significant differences between host cell selectivity of the A1-O and A1-H.1 lines (cynomolgus selectivity [+/- 1 </w:t>
      </w:r>
      <w:proofErr w:type="spellStart"/>
      <w:r>
        <w:t>s.d.</w:t>
      </w:r>
      <w:proofErr w:type="spellEnd"/>
      <w:r>
        <w:t xml:space="preserve">] = 1.53 +/-0.14 and 1.54 +/-0.49, respectively), clearly demonstrating that no specific increase in human RBC invasion efficiency had occurred in the A1-H.1 line. In contrast, </w:t>
      </w:r>
      <w:r w:rsidRPr="00D859FB">
        <w:t xml:space="preserve">the </w:t>
      </w:r>
      <w:r w:rsidRPr="00C756B0">
        <w:t>selectivity</w:t>
      </w:r>
      <w:r w:rsidRPr="00D859FB">
        <w:t xml:space="preserve"> of </w:t>
      </w:r>
      <w:r w:rsidRPr="00C756B0">
        <w:t>the</w:t>
      </w:r>
      <w:r w:rsidRPr="00D859FB">
        <w:t xml:space="preserve"> A1-C.1 line </w:t>
      </w:r>
      <w:r>
        <w:t xml:space="preserve">for </w:t>
      </w:r>
      <w:r w:rsidRPr="00554309">
        <w:t xml:space="preserve">cynomolgus </w:t>
      </w:r>
      <w:r>
        <w:t xml:space="preserve">RBC </w:t>
      </w:r>
      <w:r w:rsidRPr="00D859FB">
        <w:t>had</w:t>
      </w:r>
      <w:r>
        <w:t xml:space="preserve"> significantly increased (cynomolgus selectivity = 16.1+/-8.1) compared to both the A1-H.1 and A1-O lines (1-way ANOVA, p=0.0044). The </w:t>
      </w:r>
      <w:r w:rsidRPr="00554309">
        <w:t xml:space="preserve">absence of </w:t>
      </w:r>
      <w:proofErr w:type="spellStart"/>
      <w:r w:rsidRPr="00554309">
        <w:rPr>
          <w:i/>
        </w:rPr>
        <w:t>NBPXa</w:t>
      </w:r>
      <w:proofErr w:type="spellEnd"/>
      <w:r w:rsidRPr="00554309">
        <w:t xml:space="preserve"> in the A1-C.1 line </w:t>
      </w:r>
      <w:r>
        <w:t xml:space="preserve">clearly </w:t>
      </w:r>
      <w:r w:rsidRPr="00554309">
        <w:t xml:space="preserve">did not reduce its invasion </w:t>
      </w:r>
      <w:r>
        <w:t>efficiency for</w:t>
      </w:r>
      <w:r w:rsidRPr="00554309">
        <w:t xml:space="preserve"> cynomolgus cells</w:t>
      </w:r>
      <w:r>
        <w:t xml:space="preserve">. We therefore reasoned that </w:t>
      </w:r>
      <w:r w:rsidRPr="00554309">
        <w:t xml:space="preserve">its loss </w:t>
      </w:r>
      <w:r>
        <w:t>may</w:t>
      </w:r>
      <w:r w:rsidRPr="00554309">
        <w:t xml:space="preserve"> have </w:t>
      </w:r>
      <w:r>
        <w:t xml:space="preserve">caused the shift in host cell selectivity through </w:t>
      </w:r>
      <w:r w:rsidRPr="00554309">
        <w:t xml:space="preserve">reduced invasion efficiency </w:t>
      </w:r>
      <w:r>
        <w:t>for</w:t>
      </w:r>
      <w:r w:rsidRPr="00554309">
        <w:t xml:space="preserve"> human RBC</w:t>
      </w:r>
      <w:r>
        <w:t>s</w:t>
      </w:r>
      <w:r w:rsidRPr="00554309">
        <w:t>.</w:t>
      </w:r>
      <w:r>
        <w:t xml:space="preserve"> The ability of the A1-H.1 line to grow interchangeably in the two host RBCs offered a unique opportunity to test this hypothesis. No other clear relationship between genotype and adaptation to culture was established.</w:t>
      </w:r>
    </w:p>
    <w:p w:rsidR="00B0554F" w:rsidRDefault="00B0554F" w:rsidP="0045204F">
      <w:pPr>
        <w:spacing w:after="0" w:line="480" w:lineRule="auto"/>
      </w:pPr>
      <w:r>
        <w:rPr>
          <w:b/>
        </w:rPr>
        <w:t xml:space="preserve">The </w:t>
      </w:r>
      <w:proofErr w:type="spellStart"/>
      <w:r w:rsidRPr="00B05B3A">
        <w:rPr>
          <w:b/>
          <w:i/>
        </w:rPr>
        <w:t>NBPXa</w:t>
      </w:r>
      <w:proofErr w:type="spellEnd"/>
      <w:r w:rsidRPr="008C55E2">
        <w:rPr>
          <w:b/>
        </w:rPr>
        <w:t xml:space="preserve"> </w:t>
      </w:r>
      <w:r>
        <w:rPr>
          <w:b/>
        </w:rPr>
        <w:t xml:space="preserve">gene </w:t>
      </w:r>
      <w:r w:rsidRPr="008C55E2">
        <w:rPr>
          <w:b/>
        </w:rPr>
        <w:t xml:space="preserve">can be disrupted in A1-H.1 parasites grown in </w:t>
      </w:r>
      <w:r>
        <w:rPr>
          <w:b/>
        </w:rPr>
        <w:t>cynomolgus</w:t>
      </w:r>
      <w:r w:rsidRPr="008C55E2">
        <w:rPr>
          <w:b/>
        </w:rPr>
        <w:t xml:space="preserve"> </w:t>
      </w:r>
      <w:r>
        <w:rPr>
          <w:b/>
        </w:rPr>
        <w:t xml:space="preserve">but not human </w:t>
      </w:r>
      <w:r w:rsidRPr="008C55E2">
        <w:rPr>
          <w:b/>
        </w:rPr>
        <w:t>RBC</w:t>
      </w:r>
      <w:r>
        <w:rPr>
          <w:b/>
        </w:rPr>
        <w:t>s.</w:t>
      </w:r>
      <w:r>
        <w:t xml:space="preserve"> To analyse the role of </w:t>
      </w:r>
      <w:proofErr w:type="spellStart"/>
      <w:r w:rsidRPr="00FD6C90">
        <w:rPr>
          <w:i/>
        </w:rPr>
        <w:t>NBPXa</w:t>
      </w:r>
      <w:proofErr w:type="spellEnd"/>
      <w:r>
        <w:t xml:space="preserve">, A1-H.1 parasites were transfected with a gene disruption construct (Fig. 3A) and maintained under drug selection in either human or cynomolgus RBCs until resistant parasites emerged (8-15 days). Analysis of these parasites by PCR revealed successful disruption of </w:t>
      </w:r>
      <w:proofErr w:type="spellStart"/>
      <w:r w:rsidRPr="00B33F9B">
        <w:rPr>
          <w:i/>
        </w:rPr>
        <w:lastRenderedPageBreak/>
        <w:t>NBPXa</w:t>
      </w:r>
      <w:proofErr w:type="spellEnd"/>
      <w:r>
        <w:t xml:space="preserve"> in parasites from independent transfections maintained in cynomolgus RBCs (n=5) but not in parasites grown in human RBCs (n=3), despite successful integration of control plasmid (Fig. 3B). Thus, the </w:t>
      </w:r>
      <w:proofErr w:type="spellStart"/>
      <w:r w:rsidRPr="00C756B0">
        <w:rPr>
          <w:i/>
        </w:rPr>
        <w:t>NBPXa</w:t>
      </w:r>
      <w:proofErr w:type="spellEnd"/>
      <w:r>
        <w:t xml:space="preserve"> gene appeared to be refractory to disruption in parasites grown in human but not cynomolgus RBCs, indicating a host species-specific requirement for this gene. T</w:t>
      </w:r>
      <w:r w:rsidRPr="00554309">
        <w:t xml:space="preserve">wo independent </w:t>
      </w:r>
      <w:proofErr w:type="spellStart"/>
      <w:r w:rsidRPr="00554309">
        <w:t>Δ</w:t>
      </w:r>
      <w:r w:rsidRPr="00554309">
        <w:rPr>
          <w:i/>
        </w:rPr>
        <w:t>NBPXa</w:t>
      </w:r>
      <w:proofErr w:type="spellEnd"/>
      <w:r w:rsidRPr="00554309">
        <w:t xml:space="preserve"> </w:t>
      </w:r>
      <w:r>
        <w:t xml:space="preserve">cloned </w:t>
      </w:r>
      <w:r w:rsidRPr="00554309">
        <w:t>lines</w:t>
      </w:r>
      <w:r>
        <w:t xml:space="preserve"> were derived from A1-H.1 parasite transfections in cynomolgus RBCs and used for subsequent phenotypic analysis.</w:t>
      </w:r>
    </w:p>
    <w:p w:rsidR="00B0554F" w:rsidRPr="0037219E" w:rsidRDefault="00B0554F" w:rsidP="006F179B">
      <w:pPr>
        <w:spacing w:after="0" w:line="480" w:lineRule="auto"/>
      </w:pPr>
      <w:proofErr w:type="spellStart"/>
      <w:r w:rsidRPr="00B05B3A">
        <w:rPr>
          <w:b/>
          <w:i/>
        </w:rPr>
        <w:t>NBPXa</w:t>
      </w:r>
      <w:proofErr w:type="spellEnd"/>
      <w:r w:rsidRPr="008C55E2">
        <w:rPr>
          <w:b/>
        </w:rPr>
        <w:t xml:space="preserve"> is </w:t>
      </w:r>
      <w:r>
        <w:rPr>
          <w:b/>
        </w:rPr>
        <w:t>unnecessary</w:t>
      </w:r>
      <w:r w:rsidRPr="008C55E2">
        <w:rPr>
          <w:b/>
        </w:rPr>
        <w:t xml:space="preserve"> for invasion of </w:t>
      </w:r>
      <w:r>
        <w:rPr>
          <w:b/>
        </w:rPr>
        <w:t>cynomolgus</w:t>
      </w:r>
      <w:r w:rsidRPr="008C55E2">
        <w:rPr>
          <w:b/>
        </w:rPr>
        <w:t xml:space="preserve"> RBC</w:t>
      </w:r>
      <w:r>
        <w:rPr>
          <w:b/>
        </w:rPr>
        <w:t>s</w:t>
      </w:r>
      <w:r w:rsidRPr="008C55E2">
        <w:rPr>
          <w:b/>
        </w:rPr>
        <w:t xml:space="preserve"> but </w:t>
      </w:r>
      <w:r>
        <w:rPr>
          <w:b/>
        </w:rPr>
        <w:t>crucial</w:t>
      </w:r>
      <w:r w:rsidRPr="008C55E2">
        <w:rPr>
          <w:b/>
        </w:rPr>
        <w:t xml:space="preserve"> for invasion of </w:t>
      </w:r>
      <w:r>
        <w:rPr>
          <w:b/>
        </w:rPr>
        <w:t>h</w:t>
      </w:r>
      <w:r w:rsidRPr="008C55E2">
        <w:rPr>
          <w:b/>
        </w:rPr>
        <w:t>uman RBC</w:t>
      </w:r>
      <w:r>
        <w:rPr>
          <w:b/>
        </w:rPr>
        <w:t xml:space="preserve">s. </w:t>
      </w:r>
      <w:r w:rsidRPr="0037219E">
        <w:t xml:space="preserve">We examined the ability of the </w:t>
      </w:r>
      <w:proofErr w:type="spellStart"/>
      <w:r w:rsidRPr="0037219E">
        <w:t>Δ</w:t>
      </w:r>
      <w:r w:rsidRPr="0037219E">
        <w:rPr>
          <w:i/>
        </w:rPr>
        <w:t>NBPXa</w:t>
      </w:r>
      <w:proofErr w:type="spellEnd"/>
      <w:r w:rsidRPr="0037219E">
        <w:t xml:space="preserve"> clones to invade and grow within either human or cynomolgus RBCs in the 24 hour invasion assay. </w:t>
      </w:r>
      <w:r>
        <w:t>D</w:t>
      </w:r>
      <w:r w:rsidRPr="0037219E">
        <w:t xml:space="preserve">isruption of </w:t>
      </w:r>
      <w:proofErr w:type="spellStart"/>
      <w:r w:rsidRPr="0037219E">
        <w:rPr>
          <w:i/>
        </w:rPr>
        <w:t>NBPXa</w:t>
      </w:r>
      <w:proofErr w:type="spellEnd"/>
      <w:r w:rsidRPr="0037219E">
        <w:t xml:space="preserve"> had no effect on invasion and growth in cynomolgus RBCs,</w:t>
      </w:r>
      <w:r>
        <w:t xml:space="preserve"> but</w:t>
      </w:r>
      <w:r w:rsidRPr="0037219E">
        <w:t xml:space="preserve"> invasion of human RBCs was significantly impeded, matching the phenotype of the A1-C.1 line (Fig. 4A and Fig. S2). Whilst the defect in human RBC invasion caused by loss of the </w:t>
      </w:r>
      <w:proofErr w:type="spellStart"/>
      <w:r w:rsidRPr="0037219E">
        <w:rPr>
          <w:i/>
        </w:rPr>
        <w:t>NBPXa</w:t>
      </w:r>
      <w:proofErr w:type="spellEnd"/>
      <w:r w:rsidRPr="0037219E">
        <w:t xml:space="preserve"> gene was severe and prevented multiplicative growth, a low frequency of successful invasions were detected for both the A1-C.1 and </w:t>
      </w:r>
      <w:proofErr w:type="spellStart"/>
      <w:r w:rsidRPr="0037219E">
        <w:rPr>
          <w:i/>
        </w:rPr>
        <w:t>ΔNBPXa</w:t>
      </w:r>
      <w:proofErr w:type="spellEnd"/>
      <w:r w:rsidRPr="0037219E">
        <w:t xml:space="preserve"> lines. To rule out the possibility that this was due to contamination of purified schizonts with cynomolgus RBCs, the parasites were allowed to invade RBCs pre-labelled with a fluorescent dye </w:t>
      </w:r>
      <w:r>
        <w:rPr>
          <w:noProof/>
        </w:rPr>
        <w:t>(26)</w:t>
      </w:r>
      <w:r w:rsidRPr="0037219E">
        <w:t xml:space="preserve">. The results </w:t>
      </w:r>
      <w:r>
        <w:t>showed</w:t>
      </w:r>
      <w:r w:rsidRPr="0037219E">
        <w:t xml:space="preserve"> that whilst contaminating cynomolgus RBCs contributed to a slight overestimation of invasion efficiency in human RBCs, a small fraction of both the </w:t>
      </w:r>
      <w:proofErr w:type="spellStart"/>
      <w:r w:rsidRPr="0037219E">
        <w:rPr>
          <w:i/>
        </w:rPr>
        <w:t>ΔNBPXa</w:t>
      </w:r>
      <w:proofErr w:type="spellEnd"/>
      <w:r w:rsidRPr="0037219E">
        <w:t xml:space="preserve"> and A1C.1 parasites was able to infect human RBCs. </w:t>
      </w:r>
      <w:proofErr w:type="spellStart"/>
      <w:r w:rsidRPr="0037219E">
        <w:t>Parasitemia</w:t>
      </w:r>
      <w:proofErr w:type="spellEnd"/>
      <w:r w:rsidRPr="0037219E">
        <w:t xml:space="preserve"> measurements at 48 h showed that the </w:t>
      </w:r>
      <w:proofErr w:type="spellStart"/>
      <w:r w:rsidRPr="0037219E">
        <w:rPr>
          <w:i/>
        </w:rPr>
        <w:t>ΔNBPXa</w:t>
      </w:r>
      <w:proofErr w:type="spellEnd"/>
      <w:r w:rsidRPr="0037219E">
        <w:t xml:space="preserve"> human RBC invasion phenotype was expressed in subsequent cycles, and the parasite could not undergo multiplicative growth in human RBCs (Fig. 4B and C). Extended culture </w:t>
      </w:r>
      <w:proofErr w:type="gramStart"/>
      <w:r w:rsidRPr="0037219E">
        <w:t xml:space="preserve">of  </w:t>
      </w:r>
      <w:proofErr w:type="spellStart"/>
      <w:r w:rsidRPr="0037219E">
        <w:rPr>
          <w:i/>
        </w:rPr>
        <w:t>ΔNBPXa</w:t>
      </w:r>
      <w:proofErr w:type="spellEnd"/>
      <w:proofErr w:type="gramEnd"/>
      <w:r w:rsidRPr="0037219E">
        <w:t xml:space="preserve"> parasites in human RBCs resulted in a rapid reduction of </w:t>
      </w:r>
      <w:proofErr w:type="spellStart"/>
      <w:r w:rsidRPr="0037219E">
        <w:t>parasitemia</w:t>
      </w:r>
      <w:proofErr w:type="spellEnd"/>
      <w:r w:rsidRPr="0037219E">
        <w:t xml:space="preserve"> consistent with the severe defect. Although some parasites were detectable after 27 days culture these were </w:t>
      </w:r>
      <w:proofErr w:type="spellStart"/>
      <w:r w:rsidRPr="0037219E">
        <w:t>revertants</w:t>
      </w:r>
      <w:proofErr w:type="spellEnd"/>
      <w:r w:rsidRPr="0037219E">
        <w:t xml:space="preserve">, which had deleted the </w:t>
      </w:r>
      <w:proofErr w:type="spellStart"/>
      <w:r w:rsidRPr="0037219E">
        <w:rPr>
          <w:i/>
        </w:rPr>
        <w:t>NBPXa</w:t>
      </w:r>
      <w:proofErr w:type="spellEnd"/>
      <w:r w:rsidRPr="0037219E">
        <w:t xml:space="preserve"> </w:t>
      </w:r>
      <w:proofErr w:type="spellStart"/>
      <w:r w:rsidRPr="0037219E">
        <w:t>disruptant</w:t>
      </w:r>
      <w:proofErr w:type="spellEnd"/>
      <w:r w:rsidRPr="0037219E">
        <w:t xml:space="preserve"> construct</w:t>
      </w:r>
      <w:r>
        <w:t xml:space="preserve"> (Fig. S2B)</w:t>
      </w:r>
      <w:r w:rsidRPr="0037219E">
        <w:t xml:space="preserve">. These data demonstrate the severity of the </w:t>
      </w:r>
      <w:proofErr w:type="spellStart"/>
      <w:r w:rsidRPr="0037219E">
        <w:rPr>
          <w:i/>
        </w:rPr>
        <w:t>ΔNBPXa</w:t>
      </w:r>
      <w:proofErr w:type="spellEnd"/>
      <w:r w:rsidRPr="0037219E">
        <w:rPr>
          <w:i/>
        </w:rPr>
        <w:t xml:space="preserve"> </w:t>
      </w:r>
      <w:r w:rsidRPr="0037219E">
        <w:t>phenotype, accounting for both</w:t>
      </w:r>
      <w:r>
        <w:t xml:space="preserve"> the</w:t>
      </w:r>
      <w:r w:rsidRPr="0037219E">
        <w:t xml:space="preserve"> inability to disrupt the </w:t>
      </w:r>
      <w:proofErr w:type="spellStart"/>
      <w:r w:rsidRPr="0037219E">
        <w:rPr>
          <w:i/>
        </w:rPr>
        <w:t>NBPXa</w:t>
      </w:r>
      <w:proofErr w:type="spellEnd"/>
      <w:r w:rsidRPr="0037219E">
        <w:t xml:space="preserve"> gene and the severely reduced growth of the A1-C.1 line in human RBCs. </w:t>
      </w:r>
    </w:p>
    <w:p w:rsidR="00B0554F" w:rsidRDefault="00B0554F" w:rsidP="006F179B">
      <w:pPr>
        <w:spacing w:after="0" w:line="480" w:lineRule="auto"/>
        <w:ind w:firstLine="720"/>
      </w:pPr>
      <w:r>
        <w:t xml:space="preserve">Further analysis showed that the </w:t>
      </w:r>
      <w:proofErr w:type="spellStart"/>
      <w:r w:rsidRPr="00262FD2">
        <w:rPr>
          <w:i/>
        </w:rPr>
        <w:t>ΔNBPXa</w:t>
      </w:r>
      <w:proofErr w:type="spellEnd"/>
      <w:r>
        <w:t xml:space="preserve"> block occurred within the first 7 h of the assay, consistent with a </w:t>
      </w:r>
      <w:r w:rsidRPr="00D25C84">
        <w:t xml:space="preserve">defect </w:t>
      </w:r>
      <w:r>
        <w:t>in</w:t>
      </w:r>
      <w:r w:rsidRPr="00D25C84">
        <w:t xml:space="preserve"> invasion rather than </w:t>
      </w:r>
      <w:r>
        <w:t>in</w:t>
      </w:r>
      <w:r w:rsidRPr="00D25C84">
        <w:t xml:space="preserve"> subsequent intracellular growth (Fig</w:t>
      </w:r>
      <w:r>
        <w:t>.</w:t>
      </w:r>
      <w:r w:rsidRPr="00D25C84">
        <w:t xml:space="preserve"> </w:t>
      </w:r>
      <w:r>
        <w:t>4B and C</w:t>
      </w:r>
      <w:r w:rsidRPr="00D25C84">
        <w:t>)</w:t>
      </w:r>
      <w:r>
        <w:t xml:space="preserve">; </w:t>
      </w:r>
      <w:r>
        <w:lastRenderedPageBreak/>
        <w:t xml:space="preserve">examination of Giemsa-stained blood smears taken at 7 h showed that </w:t>
      </w:r>
      <w:r w:rsidRPr="00D25C84">
        <w:t>whilst A1</w:t>
      </w:r>
      <w:r>
        <w:t>-</w:t>
      </w:r>
      <w:r w:rsidRPr="00D25C84">
        <w:t>H</w:t>
      </w:r>
      <w:r>
        <w:t xml:space="preserve">.1 parasites had successfully developed as ring stages in human RBCs, most of the </w:t>
      </w:r>
      <w:proofErr w:type="spellStart"/>
      <w:r w:rsidRPr="00262FD2">
        <w:rPr>
          <w:i/>
        </w:rPr>
        <w:t>ΔNBPXa</w:t>
      </w:r>
      <w:proofErr w:type="spellEnd"/>
      <w:r>
        <w:t xml:space="preserve"> parasites appeared to be extracellular merozoites that had attached to, but not invaded RBCs (Fig. 4D and E). To see whether or not this observation was consistent with a phenotype expressed subsequent to RBC binding, we used an immunofluorescence-based merozoite surface protein 1 (MSP1) processing assay </w:t>
      </w:r>
      <w:r>
        <w:rPr>
          <w:noProof/>
        </w:rPr>
        <w:t>(27)</w:t>
      </w:r>
      <w:r>
        <w:t xml:space="preserve"> to distinguish merozoites that had successfully invaded and formed rings (MSP1</w:t>
      </w:r>
      <w:r w:rsidRPr="001668C7">
        <w:rPr>
          <w:vertAlign w:val="subscript"/>
        </w:rPr>
        <w:t>19</w:t>
      </w:r>
      <w:r>
        <w:t xml:space="preserve"> positive only) from those that had attached but failed to invade, (MSP1</w:t>
      </w:r>
      <w:r w:rsidRPr="001668C7">
        <w:rPr>
          <w:vertAlign w:val="subscript"/>
        </w:rPr>
        <w:t>33</w:t>
      </w:r>
      <w:r>
        <w:t xml:space="preserve"> and MSP1</w:t>
      </w:r>
      <w:r w:rsidRPr="001668C7">
        <w:rPr>
          <w:vertAlign w:val="subscript"/>
        </w:rPr>
        <w:t>19</w:t>
      </w:r>
      <w:r>
        <w:t xml:space="preserve"> double positive) (Fig.5A). Whilst 92% of A1-H.1 merozoites successfully formed rings in human RBCs, 76% of </w:t>
      </w:r>
      <w:proofErr w:type="spellStart"/>
      <w:r w:rsidRPr="00262FD2">
        <w:rPr>
          <w:i/>
        </w:rPr>
        <w:t>ΔNBPXa</w:t>
      </w:r>
      <w:proofErr w:type="spellEnd"/>
      <w:r>
        <w:t xml:space="preserve"> merozoites attached but failed to invade human RBCs (Fig 5B). In contrast, about 90% of merozoites from both lines successfully formed rings in cynomolgus RBCs (Fig 5B). These results show that </w:t>
      </w:r>
      <w:proofErr w:type="spellStart"/>
      <w:r w:rsidRPr="00C87E3F">
        <w:rPr>
          <w:i/>
        </w:rPr>
        <w:t>NBPXa</w:t>
      </w:r>
      <w:proofErr w:type="spellEnd"/>
      <w:r>
        <w:t xml:space="preserve"> disruption results in a block in invasion following initial merozoite attachment. </w:t>
      </w:r>
    </w:p>
    <w:p w:rsidR="00B0554F" w:rsidRPr="00982F29" w:rsidRDefault="00B0554F" w:rsidP="0037219E">
      <w:pPr>
        <w:spacing w:after="0" w:line="480" w:lineRule="auto"/>
        <w:ind w:firstLine="720"/>
      </w:pPr>
      <w:r w:rsidRPr="0037219E">
        <w:t>To ensure that up (or down) regulation of another gene was not responsible for the observed phenotype, RNA-</w:t>
      </w:r>
      <w:proofErr w:type="spellStart"/>
      <w:r w:rsidRPr="0037219E">
        <w:t>seq</w:t>
      </w:r>
      <w:proofErr w:type="spellEnd"/>
      <w:r w:rsidRPr="0037219E">
        <w:t xml:space="preserve"> analysis of schizont stages of A1-H.1 and </w:t>
      </w:r>
      <w:proofErr w:type="spellStart"/>
      <w:r w:rsidRPr="0037219E">
        <w:rPr>
          <w:i/>
        </w:rPr>
        <w:t>ΔNBPXa</w:t>
      </w:r>
      <w:proofErr w:type="spellEnd"/>
      <w:r w:rsidRPr="0037219E">
        <w:t xml:space="preserve"> parasites was performed. This did not identify any significantly differentially expressed </w:t>
      </w:r>
      <w:r>
        <w:t>genes</w:t>
      </w:r>
      <w:r w:rsidRPr="0037219E">
        <w:t>.</w:t>
      </w:r>
      <w:r w:rsidRPr="0037219E">
        <w:rPr>
          <w:highlight w:val="yellow"/>
        </w:rPr>
        <w:t xml:space="preserve"> </w:t>
      </w:r>
    </w:p>
    <w:p w:rsidR="00B0554F" w:rsidRDefault="00B0554F" w:rsidP="0045204F">
      <w:pPr>
        <w:spacing w:after="0" w:line="480" w:lineRule="auto"/>
      </w:pPr>
      <w:r w:rsidRPr="008C55E2">
        <w:rPr>
          <w:b/>
        </w:rPr>
        <w:t xml:space="preserve">Deletion of </w:t>
      </w:r>
      <w:proofErr w:type="spellStart"/>
      <w:r w:rsidRPr="008C55E2">
        <w:rPr>
          <w:b/>
        </w:rPr>
        <w:t>NBPXa</w:t>
      </w:r>
      <w:proofErr w:type="spellEnd"/>
      <w:r w:rsidRPr="008C55E2">
        <w:rPr>
          <w:b/>
        </w:rPr>
        <w:t xml:space="preserve"> does not result in restriction </w:t>
      </w:r>
      <w:r>
        <w:rPr>
          <w:b/>
        </w:rPr>
        <w:t>to</w:t>
      </w:r>
      <w:r w:rsidRPr="008C55E2">
        <w:rPr>
          <w:b/>
        </w:rPr>
        <w:t xml:space="preserve"> human </w:t>
      </w:r>
      <w:r w:rsidRPr="00BA510B">
        <w:rPr>
          <w:b/>
        </w:rPr>
        <w:t>reticulocyte</w:t>
      </w:r>
      <w:r>
        <w:rPr>
          <w:b/>
        </w:rPr>
        <w:t xml:space="preserve">s.  </w:t>
      </w:r>
      <w:r>
        <w:t xml:space="preserve">Previous work by others had suggested that the ability to invade and grow in human reticulocytes as well as normocytes is a key parasite adaptation to culture in human RBCs </w:t>
      </w:r>
      <w:r>
        <w:rPr>
          <w:noProof/>
        </w:rPr>
        <w:t>(22)</w:t>
      </w:r>
      <w:r>
        <w:t xml:space="preserve">. Our observation that both the </w:t>
      </w:r>
      <w:proofErr w:type="spellStart"/>
      <w:r w:rsidRPr="00C87E3F">
        <w:rPr>
          <w:i/>
        </w:rPr>
        <w:t>ΔNBPXa</w:t>
      </w:r>
      <w:proofErr w:type="spellEnd"/>
      <w:r>
        <w:t xml:space="preserve"> and A1-C.1 lines invaded a small percentage of human RBCs raised the possibility that loss of </w:t>
      </w:r>
      <w:proofErr w:type="spellStart"/>
      <w:r>
        <w:t>NBPXa</w:t>
      </w:r>
      <w:proofErr w:type="spellEnd"/>
      <w:r>
        <w:t xml:space="preserve"> function restricted the parasite to invasion of reticulocytes, which typically constitute 0.5-2% of total RBCs. To investigate this possibility, we used an adapted protocol </w:t>
      </w:r>
      <w:r>
        <w:rPr>
          <w:noProof/>
        </w:rPr>
        <w:t>(28, 29)</w:t>
      </w:r>
      <w:r>
        <w:t xml:space="preserve"> to enrich reticulocytes to around 10% of human RBCs and used these cells for invasion assays. Reticulocyte enrichment resulted in a small increase in invasion efficiency over normal human RBCs for the A1-O, A1-H.1, A1-C.1 and </w:t>
      </w:r>
      <w:proofErr w:type="spellStart"/>
      <w:r w:rsidRPr="0009786B">
        <w:rPr>
          <w:i/>
        </w:rPr>
        <w:t>ΔNBPXa</w:t>
      </w:r>
      <w:proofErr w:type="spellEnd"/>
      <w:r>
        <w:t xml:space="preserve"> lines, suggesting that younger RBCs are favoured by all lines (Fig. S2). However, these increases were insufficient to explain the </w:t>
      </w:r>
      <w:proofErr w:type="spellStart"/>
      <w:r w:rsidRPr="005F77B8">
        <w:rPr>
          <w:i/>
        </w:rPr>
        <w:t>ΔNBPXa</w:t>
      </w:r>
      <w:proofErr w:type="spellEnd"/>
      <w:r>
        <w:t xml:space="preserve"> phenotype</w:t>
      </w:r>
      <w:r w:rsidRPr="00936997">
        <w:t xml:space="preserve"> </w:t>
      </w:r>
      <w:r>
        <w:t xml:space="preserve">as due to reticulocyte restriction. Furthermore, the few successfully invaded </w:t>
      </w:r>
      <w:proofErr w:type="spellStart"/>
      <w:r w:rsidRPr="00C87E3F">
        <w:rPr>
          <w:i/>
        </w:rPr>
        <w:t>ΔNBPXa</w:t>
      </w:r>
      <w:proofErr w:type="spellEnd"/>
      <w:r>
        <w:t xml:space="preserve"> parasites were present in both reticulocytes and normocytes.</w:t>
      </w:r>
    </w:p>
    <w:p w:rsidR="00B0554F" w:rsidRDefault="00B0554F" w:rsidP="0092711C">
      <w:pPr>
        <w:spacing w:after="0" w:line="480" w:lineRule="auto"/>
      </w:pPr>
      <w:proofErr w:type="spellStart"/>
      <w:r w:rsidRPr="00B05B3A">
        <w:rPr>
          <w:b/>
          <w:i/>
        </w:rPr>
        <w:lastRenderedPageBreak/>
        <w:t>NBPXa</w:t>
      </w:r>
      <w:proofErr w:type="spellEnd"/>
      <w:r w:rsidRPr="006653C2">
        <w:rPr>
          <w:b/>
        </w:rPr>
        <w:t xml:space="preserve"> is </w:t>
      </w:r>
      <w:r>
        <w:rPr>
          <w:b/>
        </w:rPr>
        <w:t>unnecessary</w:t>
      </w:r>
      <w:r w:rsidRPr="006653C2">
        <w:rPr>
          <w:b/>
        </w:rPr>
        <w:t xml:space="preserve"> for invasion of </w:t>
      </w:r>
      <w:r>
        <w:rPr>
          <w:b/>
        </w:rPr>
        <w:t>rhesus</w:t>
      </w:r>
      <w:r w:rsidRPr="006653C2">
        <w:rPr>
          <w:b/>
        </w:rPr>
        <w:t xml:space="preserve"> RBC</w:t>
      </w:r>
      <w:r>
        <w:rPr>
          <w:b/>
        </w:rPr>
        <w:t xml:space="preserve">s. </w:t>
      </w:r>
      <w:r>
        <w:t xml:space="preserve">Disruption of </w:t>
      </w:r>
      <w:proofErr w:type="spellStart"/>
      <w:r w:rsidRPr="004E2280">
        <w:rPr>
          <w:i/>
        </w:rPr>
        <w:t>NBPXa</w:t>
      </w:r>
      <w:proofErr w:type="spellEnd"/>
      <w:r>
        <w:t xml:space="preserve"> had no effect on invasion into rhesus RBCs (Fig. S2)</w:t>
      </w:r>
      <w:r w:rsidDel="00586287">
        <w:t xml:space="preserve"> </w:t>
      </w:r>
      <w:r>
        <w:t xml:space="preserve">although invasion efficiency was significantly higher for cynomolgus RBCs than rhesus RBCs for all lines tested (A1-H.1, A1-C.1, and </w:t>
      </w:r>
      <w:proofErr w:type="spellStart"/>
      <w:r w:rsidRPr="00C87E3F">
        <w:rPr>
          <w:i/>
        </w:rPr>
        <w:t>ΔNBPXa</w:t>
      </w:r>
      <w:proofErr w:type="spellEnd"/>
      <w:r>
        <w:t>), suggesting that the parasite has slightly different adhesin specificities even for these closely related hosts, although this difference may also be explained by phenotypic culture adaptation to cynomolgus RBCs.</w:t>
      </w:r>
    </w:p>
    <w:p w:rsidR="00B0554F" w:rsidRDefault="00B0554F" w:rsidP="0045204F">
      <w:pPr>
        <w:spacing w:after="0" w:line="480" w:lineRule="auto"/>
      </w:pPr>
    </w:p>
    <w:p w:rsidR="00B0554F" w:rsidRDefault="00B0554F" w:rsidP="0045204F">
      <w:pPr>
        <w:spacing w:after="0" w:line="480" w:lineRule="auto"/>
        <w:rPr>
          <w:b/>
        </w:rPr>
      </w:pPr>
      <w:r w:rsidRPr="008C55E2">
        <w:rPr>
          <w:b/>
        </w:rPr>
        <w:t>Discussion</w:t>
      </w:r>
    </w:p>
    <w:p w:rsidR="00B0554F" w:rsidRDefault="00B0554F" w:rsidP="0045204F">
      <w:pPr>
        <w:spacing w:after="0" w:line="480" w:lineRule="auto"/>
      </w:pPr>
      <w:r>
        <w:t xml:space="preserve"> In this work we set out to identify parasite features that facilitate growth in human RBCs in vitro, exploiting </w:t>
      </w:r>
      <w:r w:rsidRPr="003A69B4">
        <w:rPr>
          <w:i/>
        </w:rPr>
        <w:t>P. knowlesi</w:t>
      </w:r>
      <w:r>
        <w:t xml:space="preserve"> lines that we previously adapted to growth in either human or cynomolgus RBCs. Comparative g</w:t>
      </w:r>
      <w:r w:rsidRPr="00C756B0">
        <w:t xml:space="preserve">enome analysis of </w:t>
      </w:r>
      <w:r>
        <w:t xml:space="preserve">the </w:t>
      </w:r>
      <w:r w:rsidRPr="00C756B0">
        <w:t xml:space="preserve">culture adapted </w:t>
      </w:r>
      <w:r>
        <w:t>lines revealed relatively</w:t>
      </w:r>
      <w:r w:rsidRPr="00C756B0">
        <w:t xml:space="preserve"> few non-synonymous SNPs and none of these </w:t>
      </w:r>
      <w:r>
        <w:t>associated</w:t>
      </w:r>
      <w:r w:rsidRPr="000E3B61">
        <w:t xml:space="preserve"> </w:t>
      </w:r>
      <w:r w:rsidRPr="00C756B0">
        <w:t>universally with either adaptation to human RBC</w:t>
      </w:r>
      <w:r>
        <w:t>s</w:t>
      </w:r>
      <w:r w:rsidRPr="00C756B0">
        <w:t xml:space="preserve"> or long</w:t>
      </w:r>
      <w:r>
        <w:t>-</w:t>
      </w:r>
      <w:r w:rsidRPr="00C756B0">
        <w:t>term culture. In contrast</w:t>
      </w:r>
      <w:r>
        <w:t>,</w:t>
      </w:r>
      <w:r w:rsidRPr="00C756B0">
        <w:t xml:space="preserve"> we detected several larg</w:t>
      </w:r>
      <w:r>
        <w:t xml:space="preserve">e </w:t>
      </w:r>
      <w:r w:rsidRPr="00C756B0">
        <w:t xml:space="preserve">genome deletions </w:t>
      </w:r>
      <w:r>
        <w:t xml:space="preserve">and a duplication, </w:t>
      </w:r>
      <w:r w:rsidRPr="00C756B0">
        <w:t xml:space="preserve">which were </w:t>
      </w:r>
      <w:r>
        <w:t xml:space="preserve">present </w:t>
      </w:r>
      <w:r w:rsidRPr="00C756B0">
        <w:t xml:space="preserve">in either human or </w:t>
      </w:r>
      <w:r>
        <w:t>cynomolgus</w:t>
      </w:r>
      <w:r w:rsidRPr="00C756B0">
        <w:t xml:space="preserve"> adapted lines but not both</w:t>
      </w:r>
      <w:r>
        <w:t xml:space="preserve"> and present in the uncloned lines as well as clones derived from them</w:t>
      </w:r>
      <w:r w:rsidRPr="00C756B0">
        <w:t xml:space="preserve">, suggesting that selection had led to fixation </w:t>
      </w:r>
      <w:r>
        <w:t>within the population</w:t>
      </w:r>
      <w:r w:rsidRPr="00C756B0">
        <w:t xml:space="preserve">. Further analysis of these deletions, either </w:t>
      </w:r>
      <w:r>
        <w:t xml:space="preserve">by </w:t>
      </w:r>
      <w:r w:rsidRPr="00C756B0">
        <w:t xml:space="preserve">individual gene deletion as we have demonstrated for </w:t>
      </w:r>
      <w:proofErr w:type="spellStart"/>
      <w:r w:rsidRPr="0018315F">
        <w:rPr>
          <w:i/>
        </w:rPr>
        <w:t>NBPXa</w:t>
      </w:r>
      <w:proofErr w:type="spellEnd"/>
      <w:r w:rsidRPr="00C756B0">
        <w:t xml:space="preserve">, or </w:t>
      </w:r>
      <w:r>
        <w:t>by gene</w:t>
      </w:r>
      <w:r w:rsidRPr="00C756B0">
        <w:t xml:space="preserve"> complementation may be informative.</w:t>
      </w:r>
      <w:r>
        <w:t xml:space="preserve"> The duplication in A1-H derived lines contains the gene coding for GTP </w:t>
      </w:r>
      <w:proofErr w:type="spellStart"/>
      <w:r>
        <w:t>cyclohydrolase</w:t>
      </w:r>
      <w:proofErr w:type="spellEnd"/>
      <w:r>
        <w:t xml:space="preserve">, a rate limiting enzyme in folate metabolism, and duplications of this gene are associated with drug resistance in South East Asian strains of </w:t>
      </w:r>
      <w:r w:rsidRPr="00C756B0">
        <w:rPr>
          <w:i/>
        </w:rPr>
        <w:t>P. falciparum</w:t>
      </w:r>
      <w:r>
        <w:rPr>
          <w:i/>
        </w:rPr>
        <w:t xml:space="preserve"> </w:t>
      </w:r>
      <w:r>
        <w:rPr>
          <w:noProof/>
        </w:rPr>
        <w:t>(30)</w:t>
      </w:r>
      <w:r w:rsidRPr="003A0316">
        <w:t>.</w:t>
      </w:r>
      <w:r>
        <w:t xml:space="preserve"> Increased activity in this pathway and metabolic adaptation may provide a general selective advantage for growth in culture. </w:t>
      </w:r>
    </w:p>
    <w:p w:rsidR="00B0554F" w:rsidRDefault="00B0554F" w:rsidP="000B43C1">
      <w:pPr>
        <w:spacing w:after="0" w:line="480" w:lineRule="auto"/>
        <w:ind w:firstLine="720"/>
        <w:rPr>
          <w:b/>
        </w:rPr>
      </w:pPr>
      <w:r w:rsidRPr="002E7042">
        <w:t xml:space="preserve">Correct assembly and </w:t>
      </w:r>
      <w:r>
        <w:t xml:space="preserve">read </w:t>
      </w:r>
      <w:r w:rsidRPr="002E7042">
        <w:t xml:space="preserve">mapping </w:t>
      </w:r>
      <w:r>
        <w:t xml:space="preserve">for </w:t>
      </w:r>
      <w:r w:rsidRPr="002E7042">
        <w:t>several key gene</w:t>
      </w:r>
      <w:r>
        <w:t xml:space="preserve"> </w:t>
      </w:r>
      <w:r w:rsidRPr="002E7042">
        <w:t xml:space="preserve">families, in particular the </w:t>
      </w:r>
      <w:r w:rsidRPr="00B05B3A">
        <w:rPr>
          <w:i/>
        </w:rPr>
        <w:t>DBP</w:t>
      </w:r>
      <w:r w:rsidRPr="002E7042">
        <w:t>s</w:t>
      </w:r>
      <w:r>
        <w:t xml:space="preserve">, </w:t>
      </w:r>
      <w:r w:rsidRPr="002E7042">
        <w:t>was only</w:t>
      </w:r>
      <w:r>
        <w:t xml:space="preserve"> possible with the use of </w:t>
      </w:r>
      <w:proofErr w:type="spellStart"/>
      <w:r>
        <w:t>PacBio</w:t>
      </w:r>
      <w:proofErr w:type="spellEnd"/>
      <w:r>
        <w:t xml:space="preserve"> sequencing, which produces longer read lengths. Using these data as a scaffold to map the higher coverage but shorter Illumina reads facilitated high quality de novo assemblies of both A1H.1 and A1-C.2 cloned lines, which complement the existing H-strain data and will benefit further work with the culture-adapted </w:t>
      </w:r>
      <w:r w:rsidRPr="00C756B0">
        <w:rPr>
          <w:i/>
        </w:rPr>
        <w:t>P. knowlesi</w:t>
      </w:r>
      <w:r>
        <w:t xml:space="preserve"> lines. </w:t>
      </w:r>
    </w:p>
    <w:p w:rsidR="00B0554F" w:rsidRDefault="00B0554F" w:rsidP="0045204F">
      <w:pPr>
        <w:spacing w:after="0" w:line="480" w:lineRule="auto"/>
      </w:pPr>
      <w:r>
        <w:rPr>
          <w:b/>
        </w:rPr>
        <w:lastRenderedPageBreak/>
        <w:tab/>
      </w:r>
      <w:r>
        <w:t xml:space="preserve">Our previous comparison of cynomolgus- and human-adapted </w:t>
      </w:r>
      <w:r>
        <w:rPr>
          <w:i/>
        </w:rPr>
        <w:t xml:space="preserve">P. knowlesi </w:t>
      </w:r>
      <w:r>
        <w:t xml:space="preserve">parasite lines had suggested that an increase in human RBC invasion efficiency enabled the parasite to adapt to long term culture in human RBCs </w:t>
      </w:r>
      <w:r>
        <w:rPr>
          <w:noProof/>
        </w:rPr>
        <w:t>(21)</w:t>
      </w:r>
      <w:r>
        <w:t xml:space="preserve">. However, the additional comparison with the invasion characteristics of the A1-O line, which had been in culture for less than 2 months, demonstrated that the host cell specificity of the A1-H lines had remained unchanged. Instead the overall invasion efficiency for both human and cynomolgus RBCs had improved, with invasion of human RBCs above the minimum threshold required to support in vitro multiplication and growth. In contrast, the A1-C line (and its derived clones) increased its invasion efficiency only for cynomolgus RBCs. This increased selectivity is likely the result of the loss of a section of one end of chromosome 14 containing the gene for </w:t>
      </w:r>
      <w:proofErr w:type="spellStart"/>
      <w:r>
        <w:t>NBPXa</w:t>
      </w:r>
      <w:proofErr w:type="spellEnd"/>
      <w:r>
        <w:t xml:space="preserve"> which we have demonstrated to be crucial for human RBC invasion. Given that the cynomolgus RBC invasion phenotype of both the A1-C.1 and A1-H.1 are indistinguishable, it is quite possible that if A1-C parasites had not lost </w:t>
      </w:r>
      <w:proofErr w:type="spellStart"/>
      <w:r w:rsidRPr="008C55E2">
        <w:rPr>
          <w:i/>
        </w:rPr>
        <w:t>NBPXa</w:t>
      </w:r>
      <w:proofErr w:type="spellEnd"/>
      <w:r>
        <w:t xml:space="preserve">, invasion efficiency for human RBCs in culture would have risen to levels equivalent to that seen for A1-H.1 without prior exposure to human RBCs. In principle this could be investigated by genetic complementation of the lost </w:t>
      </w:r>
      <w:proofErr w:type="spellStart"/>
      <w:r w:rsidRPr="00C756B0">
        <w:rPr>
          <w:i/>
        </w:rPr>
        <w:t>NBPXa</w:t>
      </w:r>
      <w:proofErr w:type="spellEnd"/>
      <w:r>
        <w:t xml:space="preserve"> gene within the A1-C.1 line, but so far such efforts have been hampered by its large size (8.5 kb). The reasons for the different behaviour of the H-strain parasite (which was isolated from a patient </w:t>
      </w:r>
      <w:r>
        <w:rPr>
          <w:noProof/>
        </w:rPr>
        <w:t>(23)</w:t>
      </w:r>
      <w:r>
        <w:t xml:space="preserve">) in vivo and in vitro are unclear but our results suggest that for successful parasite multiplication and survival in vitro, prolonged physiological adaptation to culture is more important than adaptation to a specific host RBC. Our data identified clear differences in invasion efficiencies into RBCs from rhesus and cynomolgus </w:t>
      </w:r>
      <w:r w:rsidRPr="0037219E">
        <w:t>macaque</w:t>
      </w:r>
      <w:r>
        <w:t xml:space="preserve">s, which is surprising given that these two primate species are  closely related </w:t>
      </w:r>
      <w:r>
        <w:rPr>
          <w:noProof/>
        </w:rPr>
        <w:t>(31)</w:t>
      </w:r>
      <w:r>
        <w:t xml:space="preserve"> and that experimental infection of rhesus monkeys (not a natural host of </w:t>
      </w:r>
      <w:r>
        <w:rPr>
          <w:i/>
        </w:rPr>
        <w:t>P. knowlesi</w:t>
      </w:r>
      <w:r>
        <w:t xml:space="preserve">) results in </w:t>
      </w:r>
      <w:proofErr w:type="spellStart"/>
      <w:r>
        <w:t>hyperparasitemia</w:t>
      </w:r>
      <w:proofErr w:type="spellEnd"/>
      <w:r>
        <w:t xml:space="preserve"> </w:t>
      </w:r>
      <w:r>
        <w:rPr>
          <w:noProof/>
        </w:rPr>
        <w:t>(23)</w:t>
      </w:r>
      <w:r>
        <w:t xml:space="preserve"> in contrast to the chronic low-level </w:t>
      </w:r>
      <w:proofErr w:type="spellStart"/>
      <w:r>
        <w:t>parasitemia</w:t>
      </w:r>
      <w:proofErr w:type="spellEnd"/>
      <w:r>
        <w:t xml:space="preserve"> characteristic of cynomolgus infection. </w:t>
      </w:r>
      <w:r w:rsidRPr="002F5843">
        <w:t xml:space="preserve"> </w:t>
      </w:r>
      <w:r>
        <w:t xml:space="preserve">Recombinant </w:t>
      </w:r>
      <w:proofErr w:type="spellStart"/>
      <w:r>
        <w:t>NBPXb</w:t>
      </w:r>
      <w:proofErr w:type="spellEnd"/>
      <w:r>
        <w:t xml:space="preserve"> expressed on cells binds c</w:t>
      </w:r>
      <w:r w:rsidRPr="001668C7">
        <w:t>ynomolgus</w:t>
      </w:r>
      <w:r>
        <w:t xml:space="preserve"> RBCs four times more effectively than rhesus RBC </w:t>
      </w:r>
      <w:r>
        <w:rPr>
          <w:noProof/>
        </w:rPr>
        <w:t>(16)</w:t>
      </w:r>
      <w:r>
        <w:t>, offering one possible mechanism for this difference in invasion efficiency. Independently established culture-adapted parasite strains developed using rhesus RBCs</w:t>
      </w:r>
      <w:r>
        <w:rPr>
          <w:noProof/>
        </w:rPr>
        <w:t xml:space="preserve"> (20, 22)</w:t>
      </w:r>
      <w:r>
        <w:t xml:space="preserve"> may have undergone quite different adaptive changes to those </w:t>
      </w:r>
      <w:r>
        <w:lastRenderedPageBreak/>
        <w:t>observed for cynomolgus RBCs. It will also be of interest to determine the contribution of metabolic adaptation to growth in different RBCs in culture.</w:t>
      </w:r>
    </w:p>
    <w:p w:rsidR="00B0554F" w:rsidRPr="00332A34" w:rsidRDefault="00B0554F" w:rsidP="0045204F">
      <w:pPr>
        <w:spacing w:after="0" w:line="480" w:lineRule="auto"/>
        <w:ind w:firstLine="720"/>
        <w:rPr>
          <w:rFonts w:cs="Arial"/>
        </w:rPr>
      </w:pPr>
      <w:r w:rsidRPr="00BC585B">
        <w:rPr>
          <w:rFonts w:cs="Arial"/>
          <w:i/>
        </w:rPr>
        <w:t>P. knowlesi</w:t>
      </w:r>
      <w:r>
        <w:rPr>
          <w:rFonts w:cs="Arial"/>
        </w:rPr>
        <w:t xml:space="preserve"> is phylogenetically closely related to </w:t>
      </w:r>
      <w:r w:rsidRPr="008C55E2">
        <w:rPr>
          <w:rFonts w:cs="Arial"/>
          <w:i/>
        </w:rPr>
        <w:t>P. vivax</w:t>
      </w:r>
      <w:r>
        <w:rPr>
          <w:rFonts w:cs="Arial"/>
          <w:i/>
        </w:rPr>
        <w:t xml:space="preserve"> </w:t>
      </w:r>
      <w:r>
        <w:rPr>
          <w:rFonts w:cs="Arial"/>
          <w:noProof/>
        </w:rPr>
        <w:t>(32)</w:t>
      </w:r>
      <w:r w:rsidRPr="004955A8">
        <w:rPr>
          <w:rFonts w:cs="Arial"/>
        </w:rPr>
        <w:t>,</w:t>
      </w:r>
      <w:r>
        <w:rPr>
          <w:rFonts w:cs="Arial"/>
        </w:rPr>
        <w:t xml:space="preserve"> a malaria parasite which causes the majority of malaria cases outside of Africa and which currently cannot be cultured in vitro. Whilst both these parasites use an orthologous DBP to bind to the DARC receptor on host RBCs </w:t>
      </w:r>
      <w:r>
        <w:rPr>
          <w:rFonts w:cs="Arial"/>
          <w:noProof/>
        </w:rPr>
        <w:t>(6, 18, 33, 34)</w:t>
      </w:r>
      <w:r>
        <w:rPr>
          <w:rFonts w:cs="Arial"/>
        </w:rPr>
        <w:t xml:space="preserve">, there are greater differences in the RBL family. </w:t>
      </w:r>
      <w:r w:rsidRPr="00DB6022">
        <w:rPr>
          <w:rFonts w:cs="Arial"/>
          <w:i/>
        </w:rPr>
        <w:t>P. vivax</w:t>
      </w:r>
      <w:r>
        <w:rPr>
          <w:rFonts w:cs="Arial"/>
        </w:rPr>
        <w:t xml:space="preserve"> can only invade reticulocytes, a phenotype attributed to the presence of RBP1 and RBP2, which bind only to reticulocytes </w:t>
      </w:r>
      <w:r>
        <w:rPr>
          <w:rFonts w:cs="Arial"/>
          <w:noProof/>
        </w:rPr>
        <w:t>(10)</w:t>
      </w:r>
      <w:r>
        <w:rPr>
          <w:rFonts w:cs="Arial"/>
        </w:rPr>
        <w:t xml:space="preserve">, and neither of which is conserved in </w:t>
      </w:r>
      <w:r w:rsidRPr="008C55E2">
        <w:rPr>
          <w:rFonts w:cs="Arial"/>
          <w:i/>
        </w:rPr>
        <w:t>P.</w:t>
      </w:r>
      <w:r w:rsidRPr="00CD09F2">
        <w:rPr>
          <w:rFonts w:cs="Arial"/>
          <w:i/>
        </w:rPr>
        <w:t xml:space="preserve"> </w:t>
      </w:r>
      <w:r w:rsidRPr="00A25F09">
        <w:rPr>
          <w:rFonts w:cs="Arial"/>
          <w:i/>
        </w:rPr>
        <w:t>knowlesi</w:t>
      </w:r>
      <w:r w:rsidRPr="00A25F09">
        <w:rPr>
          <w:rFonts w:cs="Arial"/>
        </w:rPr>
        <w:t xml:space="preserve">. </w:t>
      </w:r>
      <w:r w:rsidRPr="00B05B3A">
        <w:rPr>
          <w:rFonts w:eastAsia="Times New Roman" w:cs="Segoe UI"/>
        </w:rPr>
        <w:t xml:space="preserve">Orthologues of the </w:t>
      </w:r>
      <w:r w:rsidRPr="00B05B3A">
        <w:rPr>
          <w:rFonts w:eastAsia="Times New Roman" w:cs="Segoe UI"/>
          <w:i/>
        </w:rPr>
        <w:t>P. knowlesi</w:t>
      </w:r>
      <w:r w:rsidRPr="00B05B3A">
        <w:rPr>
          <w:rFonts w:eastAsia="Times New Roman" w:cs="Segoe UI"/>
        </w:rPr>
        <w:t xml:space="preserve"> RBLs </w:t>
      </w:r>
      <w:r>
        <w:rPr>
          <w:rFonts w:eastAsia="Times New Roman" w:cs="Segoe UI"/>
        </w:rPr>
        <w:t>are present</w:t>
      </w:r>
      <w:r w:rsidRPr="00B05B3A">
        <w:rPr>
          <w:rFonts w:eastAsia="Times New Roman" w:cs="Segoe UI"/>
        </w:rPr>
        <w:t xml:space="preserve"> in </w:t>
      </w:r>
      <w:r w:rsidRPr="00B05B3A">
        <w:rPr>
          <w:rStyle w:val="Emphasis"/>
          <w:rFonts w:eastAsia="Times New Roman" w:cs="Segoe UI"/>
        </w:rPr>
        <w:t>P. vivax</w:t>
      </w:r>
      <w:r>
        <w:rPr>
          <w:rStyle w:val="Emphasis"/>
          <w:rFonts w:eastAsia="Times New Roman" w:cs="Segoe UI"/>
        </w:rPr>
        <w:t xml:space="preserve"> </w:t>
      </w:r>
      <w:r>
        <w:rPr>
          <w:rFonts w:cs="Arial"/>
          <w:noProof/>
        </w:rPr>
        <w:t>(35, 36)</w:t>
      </w:r>
      <w:r>
        <w:rPr>
          <w:rFonts w:cs="Arial"/>
        </w:rPr>
        <w:t xml:space="preserve">, but given that our data indicate the </w:t>
      </w:r>
      <w:r w:rsidRPr="00C756B0">
        <w:rPr>
          <w:rFonts w:cs="Arial"/>
          <w:i/>
        </w:rPr>
        <w:t>P. knowlesi</w:t>
      </w:r>
      <w:r>
        <w:rPr>
          <w:rFonts w:cs="Arial"/>
        </w:rPr>
        <w:t xml:space="preserve"> </w:t>
      </w:r>
      <w:proofErr w:type="spellStart"/>
      <w:r>
        <w:rPr>
          <w:rFonts w:cs="Arial"/>
        </w:rPr>
        <w:t>NBPXa</w:t>
      </w:r>
      <w:proofErr w:type="spellEnd"/>
      <w:r>
        <w:rPr>
          <w:rFonts w:cs="Arial"/>
        </w:rPr>
        <w:t xml:space="preserve"> protein is functional in invasion of both normocytes and reticulocytes, it is tempting to speculate that the absence of this protein in </w:t>
      </w:r>
      <w:r w:rsidRPr="00021878">
        <w:rPr>
          <w:rFonts w:cs="Arial"/>
          <w:i/>
        </w:rPr>
        <w:t>P. vivax</w:t>
      </w:r>
      <w:r>
        <w:rPr>
          <w:rFonts w:cs="Arial"/>
        </w:rPr>
        <w:t xml:space="preserve"> could account for the parasite’s reticulocyte restriction. Intriguingly another closely related simian malaria parasite, </w:t>
      </w:r>
      <w:r w:rsidRPr="00495511">
        <w:rPr>
          <w:rFonts w:cs="Arial"/>
          <w:i/>
        </w:rPr>
        <w:t>P</w:t>
      </w:r>
      <w:r>
        <w:rPr>
          <w:rFonts w:cs="Arial"/>
          <w:i/>
        </w:rPr>
        <w:t>.</w:t>
      </w:r>
      <w:r w:rsidRPr="00495511">
        <w:rPr>
          <w:rFonts w:cs="Arial"/>
          <w:i/>
        </w:rPr>
        <w:t xml:space="preserve"> </w:t>
      </w:r>
      <w:proofErr w:type="spellStart"/>
      <w:r w:rsidRPr="00495511">
        <w:rPr>
          <w:rFonts w:cs="Arial"/>
          <w:i/>
        </w:rPr>
        <w:t>cynomolgi</w:t>
      </w:r>
      <w:proofErr w:type="spellEnd"/>
      <w:r>
        <w:rPr>
          <w:rFonts w:cs="Arial"/>
        </w:rPr>
        <w:t xml:space="preserve">, contains orthologues for both vivax and knowlesi specific RBL proteins </w:t>
      </w:r>
      <w:r>
        <w:rPr>
          <w:rFonts w:cs="Arial"/>
          <w:noProof/>
        </w:rPr>
        <w:t>(11, 37)</w:t>
      </w:r>
      <w:r>
        <w:rPr>
          <w:rFonts w:cs="Arial"/>
        </w:rPr>
        <w:t xml:space="preserve">. Transferring orthologues from </w:t>
      </w:r>
      <w:r w:rsidRPr="00E97BA8">
        <w:rPr>
          <w:rFonts w:cs="Arial"/>
          <w:i/>
        </w:rPr>
        <w:t>P. vivax</w:t>
      </w:r>
      <w:r>
        <w:rPr>
          <w:rFonts w:cs="Arial"/>
        </w:rPr>
        <w:t xml:space="preserve"> or </w:t>
      </w:r>
      <w:r w:rsidRPr="00E97BA8">
        <w:rPr>
          <w:rFonts w:cs="Arial"/>
          <w:i/>
        </w:rPr>
        <w:t xml:space="preserve">P. </w:t>
      </w:r>
      <w:proofErr w:type="spellStart"/>
      <w:r w:rsidRPr="00E97BA8">
        <w:rPr>
          <w:rFonts w:cs="Arial"/>
          <w:i/>
        </w:rPr>
        <w:t>cynomolgi</w:t>
      </w:r>
      <w:proofErr w:type="spellEnd"/>
      <w:r>
        <w:rPr>
          <w:rFonts w:cs="Arial"/>
        </w:rPr>
        <w:t xml:space="preserve"> into </w:t>
      </w:r>
      <w:r w:rsidRPr="00AD3795">
        <w:rPr>
          <w:rFonts w:cs="Arial"/>
          <w:i/>
        </w:rPr>
        <w:t>P. knowlesi</w:t>
      </w:r>
      <w:r>
        <w:rPr>
          <w:rFonts w:cs="Arial"/>
        </w:rPr>
        <w:t xml:space="preserve"> may offer opportunities to study both the requirements for and the evolution of </w:t>
      </w:r>
      <w:r w:rsidRPr="008C55E2">
        <w:rPr>
          <w:rFonts w:cs="Arial"/>
          <w:i/>
        </w:rPr>
        <w:t>P. vivax</w:t>
      </w:r>
      <w:r>
        <w:rPr>
          <w:rFonts w:cs="Arial"/>
        </w:rPr>
        <w:t xml:space="preserve"> invasion.</w:t>
      </w:r>
    </w:p>
    <w:p w:rsidR="00B0554F" w:rsidRDefault="00B0554F" w:rsidP="0045204F">
      <w:pPr>
        <w:spacing w:after="0" w:line="480" w:lineRule="auto"/>
        <w:ind w:firstLine="720"/>
        <w:rPr>
          <w:rFonts w:cs="Arial"/>
        </w:rPr>
      </w:pPr>
      <w:r>
        <w:t>T</w:t>
      </w:r>
      <w:r w:rsidRPr="00093646">
        <w:t xml:space="preserve">he unique advantages of the </w:t>
      </w:r>
      <w:r w:rsidRPr="00093646">
        <w:rPr>
          <w:i/>
        </w:rPr>
        <w:t>P. knowlesi</w:t>
      </w:r>
      <w:r w:rsidRPr="00093646">
        <w:t xml:space="preserve"> </w:t>
      </w:r>
      <w:r>
        <w:t xml:space="preserve">culture </w:t>
      </w:r>
      <w:r w:rsidRPr="00093646">
        <w:t>system</w:t>
      </w:r>
      <w:r>
        <w:t xml:space="preserve"> have enabled us</w:t>
      </w:r>
      <w:r w:rsidRPr="00093646">
        <w:t xml:space="preserve"> to demonstrate that </w:t>
      </w:r>
      <w:proofErr w:type="spellStart"/>
      <w:r w:rsidRPr="00093646">
        <w:t>NBPXa</w:t>
      </w:r>
      <w:proofErr w:type="spellEnd"/>
      <w:r w:rsidRPr="00093646">
        <w:t xml:space="preserve"> plays a</w:t>
      </w:r>
      <w:r>
        <w:t xml:space="preserve"> crucial</w:t>
      </w:r>
      <w:r w:rsidRPr="00093646">
        <w:t xml:space="preserve"> role in invasion of human RBC</w:t>
      </w:r>
      <w:r>
        <w:t>s</w:t>
      </w:r>
      <w:r w:rsidRPr="00731D37">
        <w:rPr>
          <w:rFonts w:eastAsia="Times New Roman" w:cs="Times New Roman"/>
          <w:lang w:eastAsia="en-GB"/>
        </w:rPr>
        <w:t>.</w:t>
      </w:r>
      <w:r w:rsidRPr="00093646">
        <w:t xml:space="preserve"> </w:t>
      </w:r>
      <w:r>
        <w:t xml:space="preserve">Its role appears to be after initial merozoite attachment, perhaps during establishment of the moving junction between RBC and parasite plasma membranes which is required for invasion. </w:t>
      </w:r>
      <w:r w:rsidRPr="00093646">
        <w:t xml:space="preserve">In other </w:t>
      </w:r>
      <w:r w:rsidRPr="00A476CC">
        <w:rPr>
          <w:i/>
        </w:rPr>
        <w:t>Plasmodium</w:t>
      </w:r>
      <w:r>
        <w:t xml:space="preserve"> species,</w:t>
      </w:r>
      <w:r w:rsidRPr="00093646">
        <w:t xml:space="preserve"> both the RBL and DB</w:t>
      </w:r>
      <w:r>
        <w:t>P</w:t>
      </w:r>
      <w:r w:rsidRPr="00093646">
        <w:t xml:space="preserve"> </w:t>
      </w:r>
      <w:r>
        <w:t>protein families</w:t>
      </w:r>
      <w:r w:rsidRPr="00093646">
        <w:t xml:space="preserve"> </w:t>
      </w:r>
      <w:r>
        <w:t>are highly</w:t>
      </w:r>
      <w:r w:rsidRPr="00093646">
        <w:t xml:space="preserve"> redundant</w:t>
      </w:r>
      <w:r>
        <w:t xml:space="preserve"> and ascribing precise roles has been difficult, although in </w:t>
      </w:r>
      <w:r w:rsidRPr="00C756B0">
        <w:rPr>
          <w:i/>
        </w:rPr>
        <w:t>P. falciparum</w:t>
      </w:r>
      <w:r>
        <w:t xml:space="preserve"> they have been implicated in triggering signalling and release of secretory organelles </w:t>
      </w:r>
      <w:r>
        <w:rPr>
          <w:noProof/>
        </w:rPr>
        <w:t>(38)</w:t>
      </w:r>
      <w:r>
        <w:t xml:space="preserve">. </w:t>
      </w:r>
      <w:r>
        <w:rPr>
          <w:rFonts w:cs="Arial"/>
        </w:rPr>
        <w:t xml:space="preserve">The ability to grow </w:t>
      </w:r>
      <w:r w:rsidRPr="00C756B0">
        <w:rPr>
          <w:rFonts w:cs="Arial"/>
          <w:i/>
        </w:rPr>
        <w:t>P. knowlesi</w:t>
      </w:r>
      <w:r>
        <w:rPr>
          <w:rFonts w:cs="Arial"/>
        </w:rPr>
        <w:t xml:space="preserve"> interchangeably in different host cells with distinct adhesin requirements enables the generation of lines with gene knockouts for important parasite adhesins like </w:t>
      </w:r>
      <w:proofErr w:type="spellStart"/>
      <w:r>
        <w:rPr>
          <w:rFonts w:cs="Arial"/>
        </w:rPr>
        <w:t>NBPXa</w:t>
      </w:r>
      <w:proofErr w:type="spellEnd"/>
      <w:r>
        <w:rPr>
          <w:rFonts w:cs="Arial"/>
        </w:rPr>
        <w:t xml:space="preserve">, providing a powerful and unique opportunity to investigate their precise role in red cell invasion. </w:t>
      </w:r>
    </w:p>
    <w:p w:rsidR="00B0554F" w:rsidRPr="00D53B61" w:rsidRDefault="00B0554F" w:rsidP="0045204F">
      <w:pPr>
        <w:spacing w:after="0" w:line="480" w:lineRule="auto"/>
        <w:ind w:firstLine="720"/>
        <w:rPr>
          <w:rFonts w:cs="Arial"/>
        </w:rPr>
      </w:pPr>
      <w:r>
        <w:rPr>
          <w:rFonts w:cs="Arial"/>
        </w:rPr>
        <w:t>I</w:t>
      </w:r>
      <w:r w:rsidRPr="00093646">
        <w:rPr>
          <w:rFonts w:cs="Arial"/>
        </w:rPr>
        <w:t xml:space="preserve">n </w:t>
      </w:r>
      <w:r w:rsidRPr="00093646">
        <w:rPr>
          <w:rFonts w:cs="Arial"/>
          <w:i/>
        </w:rPr>
        <w:t>P. knowlesi</w:t>
      </w:r>
      <w:r>
        <w:rPr>
          <w:rFonts w:cs="Arial"/>
          <w:i/>
        </w:rPr>
        <w:t xml:space="preserve"> </w:t>
      </w:r>
      <w:r>
        <w:rPr>
          <w:rFonts w:cs="Arial"/>
        </w:rPr>
        <w:t>the</w:t>
      </w:r>
      <w:r w:rsidRPr="00093646">
        <w:rPr>
          <w:rFonts w:cs="Arial"/>
        </w:rPr>
        <w:t xml:space="preserve"> </w:t>
      </w:r>
      <w:r>
        <w:rPr>
          <w:rFonts w:cs="Arial"/>
        </w:rPr>
        <w:t xml:space="preserve">adhesin </w:t>
      </w:r>
      <w:r w:rsidRPr="00093646">
        <w:rPr>
          <w:rFonts w:cs="Arial"/>
        </w:rPr>
        <w:t xml:space="preserve">repertoire </w:t>
      </w:r>
      <w:r>
        <w:rPr>
          <w:rFonts w:cs="Arial"/>
        </w:rPr>
        <w:t xml:space="preserve">is smaller </w:t>
      </w:r>
      <w:r w:rsidRPr="00093646">
        <w:rPr>
          <w:rFonts w:cs="Arial"/>
        </w:rPr>
        <w:t xml:space="preserve">than </w:t>
      </w:r>
      <w:r>
        <w:rPr>
          <w:rFonts w:cs="Arial"/>
        </w:rPr>
        <w:t xml:space="preserve">in </w:t>
      </w:r>
      <w:r w:rsidRPr="00093646">
        <w:rPr>
          <w:rFonts w:cs="Arial"/>
        </w:rPr>
        <w:t>many malaria parasites</w:t>
      </w:r>
      <w:r>
        <w:rPr>
          <w:rFonts w:cs="Arial"/>
        </w:rPr>
        <w:t xml:space="preserve"> </w:t>
      </w:r>
      <w:r>
        <w:rPr>
          <w:rFonts w:cs="Arial"/>
          <w:noProof/>
        </w:rPr>
        <w:t>(9, 15, 18)</w:t>
      </w:r>
      <w:r>
        <w:rPr>
          <w:rStyle w:val="CommentReference"/>
        </w:rPr>
        <w:t xml:space="preserve">, </w:t>
      </w:r>
      <w:r>
        <w:rPr>
          <w:rFonts w:cs="Arial"/>
        </w:rPr>
        <w:t>and</w:t>
      </w:r>
      <w:r w:rsidRPr="00093646">
        <w:rPr>
          <w:rFonts w:cs="Arial"/>
        </w:rPr>
        <w:t xml:space="preserve"> loss of either </w:t>
      </w:r>
      <w:proofErr w:type="spellStart"/>
      <w:r w:rsidRPr="00262FD2">
        <w:rPr>
          <w:rFonts w:cs="Arial"/>
          <w:i/>
        </w:rPr>
        <w:t>DBPa</w:t>
      </w:r>
      <w:proofErr w:type="spellEnd"/>
      <w:r>
        <w:rPr>
          <w:rFonts w:cs="Arial"/>
          <w:i/>
        </w:rPr>
        <w:t xml:space="preserve"> </w:t>
      </w:r>
      <w:r>
        <w:rPr>
          <w:rFonts w:cs="Arial"/>
          <w:noProof/>
        </w:rPr>
        <w:t>(6, 19)</w:t>
      </w:r>
      <w:r w:rsidRPr="00093646">
        <w:rPr>
          <w:rFonts w:cs="Arial"/>
        </w:rPr>
        <w:t xml:space="preserve"> or </w:t>
      </w:r>
      <w:proofErr w:type="spellStart"/>
      <w:r w:rsidRPr="00262FD2">
        <w:rPr>
          <w:rFonts w:cs="Arial"/>
          <w:i/>
        </w:rPr>
        <w:t>NBPXa</w:t>
      </w:r>
      <w:proofErr w:type="spellEnd"/>
      <w:r w:rsidRPr="00093646">
        <w:rPr>
          <w:rFonts w:cs="Arial"/>
        </w:rPr>
        <w:t xml:space="preserve"> creates a critical block in invasion</w:t>
      </w:r>
      <w:r>
        <w:rPr>
          <w:rFonts w:cs="Arial"/>
        </w:rPr>
        <w:t xml:space="preserve"> of human RBCs, perhaps </w:t>
      </w:r>
      <w:r>
        <w:rPr>
          <w:rFonts w:cs="Arial"/>
        </w:rPr>
        <w:lastRenderedPageBreak/>
        <w:t xml:space="preserve">because the paralogues cannot bind human RBCs; </w:t>
      </w:r>
      <w:r w:rsidRPr="00554309">
        <w:t xml:space="preserve">for example </w:t>
      </w:r>
      <w:r>
        <w:t xml:space="preserve">whilst </w:t>
      </w:r>
      <w:proofErr w:type="spellStart"/>
      <w:r w:rsidRPr="00554309">
        <w:t>PkNBPXa</w:t>
      </w:r>
      <w:proofErr w:type="spellEnd"/>
      <w:r w:rsidRPr="00554309">
        <w:t xml:space="preserve"> </w:t>
      </w:r>
      <w:r>
        <w:t xml:space="preserve">and </w:t>
      </w:r>
      <w:proofErr w:type="spellStart"/>
      <w:r w:rsidRPr="00FF3D7B">
        <w:t>DBP</w:t>
      </w:r>
      <w:r w:rsidRPr="00554309">
        <w:rPr>
          <w:i/>
        </w:rPr>
        <w:t>a</w:t>
      </w:r>
      <w:proofErr w:type="spellEnd"/>
      <w:r w:rsidRPr="00554309">
        <w:t xml:space="preserve"> </w:t>
      </w:r>
      <w:r>
        <w:t xml:space="preserve">proteins </w:t>
      </w:r>
      <w:r w:rsidRPr="00554309">
        <w:t xml:space="preserve">bind to both human and </w:t>
      </w:r>
      <w:r w:rsidRPr="0037219E">
        <w:t>macaque</w:t>
      </w:r>
      <w:r w:rsidRPr="00554309">
        <w:t xml:space="preserve"> RBC</w:t>
      </w:r>
      <w:r>
        <w:t>s</w:t>
      </w:r>
      <w:proofErr w:type="gramStart"/>
      <w:r w:rsidRPr="00554309">
        <w:t>,  DBPβ</w:t>
      </w:r>
      <w:proofErr w:type="gramEnd"/>
      <w:r w:rsidRPr="00554309">
        <w:t xml:space="preserve">, </w:t>
      </w:r>
      <w:proofErr w:type="spellStart"/>
      <w:r w:rsidRPr="00554309">
        <w:t>DBPγ</w:t>
      </w:r>
      <w:proofErr w:type="spellEnd"/>
      <w:r w:rsidRPr="00554309">
        <w:t xml:space="preserve"> and </w:t>
      </w:r>
      <w:proofErr w:type="spellStart"/>
      <w:r w:rsidRPr="00554309">
        <w:t>NBPXb</w:t>
      </w:r>
      <w:proofErr w:type="spellEnd"/>
      <w:r w:rsidRPr="00554309">
        <w:t xml:space="preserve"> b</w:t>
      </w:r>
      <w:r>
        <w:t>in</w:t>
      </w:r>
      <w:r w:rsidRPr="00554309">
        <w:t xml:space="preserve">d only to </w:t>
      </w:r>
      <w:r w:rsidRPr="0037219E">
        <w:t>macaque</w:t>
      </w:r>
      <w:r w:rsidRPr="00554309">
        <w:t xml:space="preserve"> </w:t>
      </w:r>
      <w:r w:rsidRPr="00C60CB7">
        <w:t>RBC</w:t>
      </w:r>
      <w:r>
        <w:t xml:space="preserve">s </w:t>
      </w:r>
      <w:r>
        <w:rPr>
          <w:noProof/>
        </w:rPr>
        <w:t>(16, 39)</w:t>
      </w:r>
      <w:r w:rsidRPr="00C60CB7">
        <w:t>.</w:t>
      </w:r>
      <w:r w:rsidRPr="00CA4662">
        <w:t xml:space="preserve"> </w:t>
      </w:r>
      <w:r>
        <w:rPr>
          <w:rFonts w:cs="Arial"/>
        </w:rPr>
        <w:t xml:space="preserve">This apparent lack of adhesin redundancy for human RBC invasion suggests that </w:t>
      </w:r>
      <w:r>
        <w:rPr>
          <w:rFonts w:cs="Arial"/>
          <w:i/>
        </w:rPr>
        <w:t>P. knowlesi</w:t>
      </w:r>
      <w:r>
        <w:rPr>
          <w:rFonts w:cs="Arial"/>
        </w:rPr>
        <w:t xml:space="preserve"> is vulnerable to perturbation of DBPα/</w:t>
      </w:r>
      <w:proofErr w:type="spellStart"/>
      <w:r>
        <w:rPr>
          <w:rFonts w:cs="Arial"/>
        </w:rPr>
        <w:t>NBPXa</w:t>
      </w:r>
      <w:proofErr w:type="spellEnd"/>
      <w:r>
        <w:rPr>
          <w:rFonts w:cs="Arial"/>
        </w:rPr>
        <w:t xml:space="preserve"> function. Although this lack of redundancy </w:t>
      </w:r>
      <w:proofErr w:type="gramStart"/>
      <w:r>
        <w:rPr>
          <w:rFonts w:cs="Arial"/>
        </w:rPr>
        <w:t>may  encourage</w:t>
      </w:r>
      <w:proofErr w:type="gramEnd"/>
      <w:r>
        <w:rPr>
          <w:rFonts w:cs="Arial"/>
        </w:rPr>
        <w:t xml:space="preserve"> the use of these antigens in vaccine development their diversity in parasites responsible for human infection </w:t>
      </w:r>
      <w:r>
        <w:rPr>
          <w:rFonts w:cs="Arial"/>
          <w:noProof/>
        </w:rPr>
        <w:t>(25, 40)</w:t>
      </w:r>
      <w:r>
        <w:rPr>
          <w:rFonts w:cs="Arial"/>
        </w:rPr>
        <w:t xml:space="preserve"> provides an important caveat. Vaccine development may be an important strategy for control of </w:t>
      </w:r>
      <w:r w:rsidRPr="0018315F">
        <w:rPr>
          <w:rFonts w:cs="Arial"/>
          <w:i/>
        </w:rPr>
        <w:t>P. knowlesi</w:t>
      </w:r>
      <w:r>
        <w:rPr>
          <w:rFonts w:cs="Arial"/>
        </w:rPr>
        <w:t xml:space="preserve"> malaria given the presence of a primate reservoir in Southeast Asia.</w:t>
      </w:r>
    </w:p>
    <w:p w:rsidR="00B0554F" w:rsidRPr="00C71C95" w:rsidRDefault="00B0554F" w:rsidP="0045204F">
      <w:pPr>
        <w:spacing w:after="0" w:line="480" w:lineRule="auto"/>
        <w:ind w:firstLine="720"/>
        <w:rPr>
          <w:rFonts w:cs="Arial"/>
        </w:rPr>
      </w:pPr>
      <w:proofErr w:type="spellStart"/>
      <w:r w:rsidRPr="00262FD2">
        <w:rPr>
          <w:rFonts w:cs="Arial"/>
          <w:i/>
        </w:rPr>
        <w:t>NBPXa</w:t>
      </w:r>
      <w:proofErr w:type="spellEnd"/>
      <w:r>
        <w:rPr>
          <w:rFonts w:cs="Arial"/>
        </w:rPr>
        <w:t xml:space="preserve"> polymorphisms are important determinants of high </w:t>
      </w:r>
      <w:proofErr w:type="spellStart"/>
      <w:r>
        <w:rPr>
          <w:rFonts w:cs="Arial"/>
        </w:rPr>
        <w:t>parasitemia</w:t>
      </w:r>
      <w:proofErr w:type="spellEnd"/>
      <w:r>
        <w:rPr>
          <w:rFonts w:cs="Arial"/>
        </w:rPr>
        <w:t xml:space="preserve"> and disease severity in </w:t>
      </w:r>
      <w:r w:rsidRPr="002A3DD1">
        <w:rPr>
          <w:rFonts w:cs="Arial"/>
          <w:i/>
        </w:rPr>
        <w:t xml:space="preserve">P. </w:t>
      </w:r>
      <w:r>
        <w:rPr>
          <w:rFonts w:cs="Arial"/>
          <w:i/>
        </w:rPr>
        <w:t>knowles</w:t>
      </w:r>
      <w:r w:rsidRPr="002A3DD1">
        <w:rPr>
          <w:rFonts w:cs="Arial"/>
          <w:i/>
        </w:rPr>
        <w:t>i</w:t>
      </w:r>
      <w:r>
        <w:rPr>
          <w:rFonts w:cs="Arial"/>
        </w:rPr>
        <w:t xml:space="preserve"> infection </w:t>
      </w:r>
      <w:r>
        <w:rPr>
          <w:rFonts w:cs="Arial"/>
          <w:noProof/>
        </w:rPr>
        <w:t>(7)</w:t>
      </w:r>
      <w:r>
        <w:rPr>
          <w:rFonts w:cs="Arial"/>
        </w:rPr>
        <w:t xml:space="preserve"> </w:t>
      </w:r>
      <w:r>
        <w:t>and may impact on the potential for human to human transmission</w:t>
      </w:r>
      <w:r>
        <w:rPr>
          <w:rFonts w:cs="Arial"/>
        </w:rPr>
        <w:t xml:space="preserve">. . Given that we have shown a critical role for this protein in human RBC invasion, it is possible that  increased virulence and multiplication rates of parasites containing particular alleles is due to an improved ability to bind and invade human RBCs. However even the human adapted </w:t>
      </w:r>
      <w:r w:rsidRPr="008C55E2">
        <w:rPr>
          <w:rFonts w:cs="Arial"/>
          <w:i/>
        </w:rPr>
        <w:t>P. knowlesi</w:t>
      </w:r>
      <w:r>
        <w:rPr>
          <w:rFonts w:cs="Arial"/>
        </w:rPr>
        <w:t xml:space="preserve"> line has a higher efficiency of cynomolgus RBC invasion, suggesting that invasion efficiency may remain a bottleneck in human infections.  Interestingly</w:t>
      </w:r>
      <w:r>
        <w:t xml:space="preserve"> variation in </w:t>
      </w:r>
      <w:proofErr w:type="spellStart"/>
      <w:r>
        <w:t>NBPXb</w:t>
      </w:r>
      <w:proofErr w:type="spellEnd"/>
      <w:r>
        <w:t xml:space="preserve">, which had been found not to bind to human RBCs, has also been linked to disease severity in humans </w:t>
      </w:r>
      <w:r>
        <w:rPr>
          <w:noProof/>
        </w:rPr>
        <w:t>(7, 16)</w:t>
      </w:r>
      <w:r>
        <w:t xml:space="preserve">. </w:t>
      </w:r>
      <w:r>
        <w:rPr>
          <w:rFonts w:cs="Arial"/>
        </w:rPr>
        <w:t xml:space="preserve">The role of </w:t>
      </w:r>
      <w:proofErr w:type="spellStart"/>
      <w:r>
        <w:rPr>
          <w:rFonts w:cs="Arial"/>
        </w:rPr>
        <w:t>NBPXb</w:t>
      </w:r>
      <w:proofErr w:type="spellEnd"/>
      <w:r>
        <w:rPr>
          <w:rFonts w:cs="Arial"/>
        </w:rPr>
        <w:t xml:space="preserve"> and variants of both </w:t>
      </w:r>
      <w:r w:rsidRPr="008C55E2">
        <w:rPr>
          <w:rFonts w:cs="Arial"/>
          <w:i/>
        </w:rPr>
        <w:t>P. knowl</w:t>
      </w:r>
      <w:r w:rsidRPr="00C71C95">
        <w:rPr>
          <w:rFonts w:cs="Arial"/>
        </w:rPr>
        <w:t xml:space="preserve">esi </w:t>
      </w:r>
      <w:r>
        <w:rPr>
          <w:rFonts w:cs="Arial"/>
        </w:rPr>
        <w:t>NBPs can now be investigated in vitro. .</w:t>
      </w:r>
      <w:r>
        <w:t xml:space="preserve"> H</w:t>
      </w:r>
      <w:r w:rsidRPr="00731D37">
        <w:t>uman</w:t>
      </w:r>
      <w:r>
        <w:t>-</w:t>
      </w:r>
      <w:r w:rsidRPr="00731D37">
        <w:t xml:space="preserve">adapted </w:t>
      </w:r>
      <w:r w:rsidRPr="00731D37">
        <w:rPr>
          <w:i/>
        </w:rPr>
        <w:t>P. knowlesi</w:t>
      </w:r>
      <w:r w:rsidRPr="00731D37">
        <w:t xml:space="preserve"> </w:t>
      </w:r>
      <w:r>
        <w:t xml:space="preserve">parasites provide </w:t>
      </w:r>
      <w:r w:rsidRPr="00731D37">
        <w:t>a</w:t>
      </w:r>
      <w:r>
        <w:t xml:space="preserve"> robust experimental platform to unravel mechanisms of host cell invasion and aid development of strategies to control malaria caused by </w:t>
      </w:r>
      <w:r>
        <w:rPr>
          <w:i/>
        </w:rPr>
        <w:t xml:space="preserve">P. knowlesi </w:t>
      </w:r>
      <w:r>
        <w:t xml:space="preserve">and the closely related pathogen </w:t>
      </w:r>
      <w:r>
        <w:rPr>
          <w:i/>
        </w:rPr>
        <w:t>P. vivax</w:t>
      </w:r>
      <w:r>
        <w:t>.</w:t>
      </w:r>
    </w:p>
    <w:p w:rsidR="00B0554F" w:rsidRDefault="00B0554F" w:rsidP="0045204F">
      <w:pPr>
        <w:spacing w:after="0" w:line="480" w:lineRule="auto"/>
        <w:jc w:val="both"/>
        <w:rPr>
          <w:b/>
        </w:rPr>
      </w:pPr>
      <w:r w:rsidRPr="006E2A86">
        <w:rPr>
          <w:b/>
        </w:rPr>
        <w:t>Methods</w:t>
      </w:r>
    </w:p>
    <w:p w:rsidR="00B0554F" w:rsidRDefault="00B0554F" w:rsidP="0045204F">
      <w:pPr>
        <w:spacing w:after="0" w:line="480" w:lineRule="auto"/>
      </w:pPr>
      <w:proofErr w:type="gramStart"/>
      <w:r w:rsidRPr="0037219E">
        <w:rPr>
          <w:b/>
        </w:rPr>
        <w:t>Macaque</w:t>
      </w:r>
      <w:r w:rsidRPr="000B3214">
        <w:rPr>
          <w:b/>
        </w:rPr>
        <w:t>, Human and Reticulocyte</w:t>
      </w:r>
      <w:r>
        <w:rPr>
          <w:b/>
        </w:rPr>
        <w:t>-Enriched RBC.</w:t>
      </w:r>
      <w:proofErr w:type="gramEnd"/>
      <w:r w:rsidRPr="000B3214">
        <w:rPr>
          <w:b/>
        </w:rPr>
        <w:t xml:space="preserve"> </w:t>
      </w:r>
      <w:r>
        <w:rPr>
          <w:b/>
        </w:rPr>
        <w:t xml:space="preserve"> </w:t>
      </w:r>
      <w:r w:rsidRPr="002F5F8C">
        <w:t>Cynomolgus and rhesus blood was collected by venous puncture.</w:t>
      </w:r>
      <w:r w:rsidRPr="00B33F9B">
        <w:rPr>
          <w:rFonts w:cstheme="minorHAnsi"/>
          <w:lang w:val="en"/>
        </w:rPr>
        <w:t xml:space="preserve"> Animal work was approved by the United Kingdom Home Office as governed by United Kingdom law under the Animals (Scientific Procedures) Act 1986. </w:t>
      </w:r>
      <w:r w:rsidRPr="000B3214">
        <w:t xml:space="preserve">Human blood </w:t>
      </w:r>
      <w:r>
        <w:t>(Groups A</w:t>
      </w:r>
      <w:r w:rsidRPr="0037219E">
        <w:rPr>
          <w:vertAlign w:val="superscript"/>
        </w:rPr>
        <w:t>+</w:t>
      </w:r>
      <w:r>
        <w:t xml:space="preserve"> and O</w:t>
      </w:r>
      <w:r w:rsidRPr="0037219E">
        <w:rPr>
          <w:vertAlign w:val="superscript"/>
        </w:rPr>
        <w:t>+</w:t>
      </w:r>
      <w:r>
        <w:t>; Duffy</w:t>
      </w:r>
      <w:r w:rsidRPr="0037219E">
        <w:rPr>
          <w:vertAlign w:val="superscript"/>
        </w:rPr>
        <w:t>+</w:t>
      </w:r>
      <w:r>
        <w:t xml:space="preserve">) </w:t>
      </w:r>
      <w:r w:rsidRPr="000B3214">
        <w:t>was obtained from the UK National Blood Transfusion service. Reticulocyte</w:t>
      </w:r>
      <w:r w:rsidR="003C58BB">
        <w:t>s</w:t>
      </w:r>
      <w:r w:rsidRPr="000B3214">
        <w:t xml:space="preserve"> </w:t>
      </w:r>
      <w:r w:rsidR="003C58BB">
        <w:t xml:space="preserve">were </w:t>
      </w:r>
      <w:r w:rsidRPr="000B3214">
        <w:t>enrich</w:t>
      </w:r>
      <w:r w:rsidR="003C58BB">
        <w:t>ed</w:t>
      </w:r>
      <w:r w:rsidRPr="000B3214">
        <w:t xml:space="preserve"> using a</w:t>
      </w:r>
      <w:r w:rsidR="003C58BB">
        <w:t>n adapted</w:t>
      </w:r>
      <w:r w:rsidRPr="000B3214">
        <w:t xml:space="preserve"> protocol </w:t>
      </w:r>
      <w:r>
        <w:rPr>
          <w:noProof/>
        </w:rPr>
        <w:t>(28, 29)</w:t>
      </w:r>
      <w:r>
        <w:t xml:space="preserve"> and</w:t>
      </w:r>
      <w:r w:rsidRPr="00A37418">
        <w:t xml:space="preserve"> </w:t>
      </w:r>
      <w:proofErr w:type="spellStart"/>
      <w:r w:rsidRPr="00A37418">
        <w:t>reticulocytemia</w:t>
      </w:r>
      <w:proofErr w:type="spellEnd"/>
      <w:r w:rsidRPr="00A37418">
        <w:t xml:space="preserve"> assessed by microscopy</w:t>
      </w:r>
      <w:r w:rsidRPr="00A751D4">
        <w:t>.</w:t>
      </w:r>
    </w:p>
    <w:p w:rsidR="00B0554F" w:rsidRDefault="00B0554F" w:rsidP="0045204F">
      <w:pPr>
        <w:spacing w:after="0" w:line="480" w:lineRule="auto"/>
      </w:pPr>
      <w:proofErr w:type="gramStart"/>
      <w:r w:rsidRPr="00A751D4">
        <w:rPr>
          <w:b/>
        </w:rPr>
        <w:lastRenderedPageBreak/>
        <w:t>Parasite lines and maintenance</w:t>
      </w:r>
      <w:r>
        <w:rPr>
          <w:b/>
        </w:rPr>
        <w:t>.</w:t>
      </w:r>
      <w:proofErr w:type="gramEnd"/>
      <w:r>
        <w:rPr>
          <w:b/>
        </w:rPr>
        <w:t xml:space="preserve"> </w:t>
      </w:r>
      <w:r w:rsidRPr="00A751D4">
        <w:rPr>
          <w:i/>
        </w:rPr>
        <w:t>P. knowlesi</w:t>
      </w:r>
      <w:r w:rsidRPr="00A751D4">
        <w:t xml:space="preserve"> parasite cultures were derived from </w:t>
      </w:r>
      <w:r w:rsidRPr="00A37418">
        <w:t>a</w:t>
      </w:r>
      <w:r>
        <w:t xml:space="preserve"> frozen</w:t>
      </w:r>
      <w:r w:rsidRPr="00A37418">
        <w:t xml:space="preserve"> </w:t>
      </w:r>
      <w:r w:rsidRPr="00A37418">
        <w:rPr>
          <w:i/>
        </w:rPr>
        <w:t xml:space="preserve">in vivo </w:t>
      </w:r>
      <w:proofErr w:type="spellStart"/>
      <w:r w:rsidRPr="00A37418">
        <w:t>stabilate</w:t>
      </w:r>
      <w:proofErr w:type="spellEnd"/>
      <w:r w:rsidRPr="00A37418">
        <w:t xml:space="preserve"> </w:t>
      </w:r>
      <w:r>
        <w:t xml:space="preserve">(A1, dated July 22 1975) supplied by Dr Louis Miller, National Institutes of Health and obtained following passage in vivo in </w:t>
      </w:r>
      <w:r w:rsidRPr="00554309">
        <w:t xml:space="preserve">rhesus </w:t>
      </w:r>
      <w:r w:rsidRPr="0037219E">
        <w:t>macaque</w:t>
      </w:r>
      <w:r w:rsidRPr="00554309">
        <w:t xml:space="preserve"> </w:t>
      </w:r>
      <w:r>
        <w:t xml:space="preserve">of the </w:t>
      </w:r>
      <w:r w:rsidRPr="00A37418">
        <w:rPr>
          <w:i/>
        </w:rPr>
        <w:t>P. knowlesi</w:t>
      </w:r>
      <w:r w:rsidRPr="00A37418">
        <w:t xml:space="preserve"> </w:t>
      </w:r>
      <w:r w:rsidR="003C58BB">
        <w:t>H-strain</w:t>
      </w:r>
      <w:r>
        <w:t xml:space="preserve"> derived from a clinical infection </w:t>
      </w:r>
      <w:r>
        <w:rPr>
          <w:noProof/>
        </w:rPr>
        <w:t>(23)</w:t>
      </w:r>
      <w:r>
        <w:t xml:space="preserve">. </w:t>
      </w:r>
      <w:r w:rsidRPr="00A37418">
        <w:t xml:space="preserve">A1-O is a non-clonal </w:t>
      </w:r>
      <w:r w:rsidR="003C58BB">
        <w:t xml:space="preserve">cultured </w:t>
      </w:r>
      <w:r w:rsidRPr="00A37418">
        <w:t xml:space="preserve">line from the A1 </w:t>
      </w:r>
      <w:proofErr w:type="spellStart"/>
      <w:r w:rsidRPr="00A37418">
        <w:t>stabilate</w:t>
      </w:r>
      <w:proofErr w:type="spellEnd"/>
      <w:r w:rsidRPr="00A37418">
        <w:t xml:space="preserve"> propagated in cynomolgus RBC</w:t>
      </w:r>
      <w:r>
        <w:t>s</w:t>
      </w:r>
      <w:r w:rsidRPr="00A37418">
        <w:t xml:space="preserve"> </w:t>
      </w:r>
      <w:r w:rsidRPr="003C58BB">
        <w:t>in vitro</w:t>
      </w:r>
      <w:r w:rsidRPr="00A37418">
        <w:t xml:space="preserve"> for less than 2 months. A1-H is a non-clonal line derived from A1-O following maintenance in 80% human and 20% </w:t>
      </w:r>
      <w:r>
        <w:t>cynomolgus</w:t>
      </w:r>
      <w:r w:rsidRPr="00A37418">
        <w:t xml:space="preserve"> RBC</w:t>
      </w:r>
      <w:r>
        <w:t>s</w:t>
      </w:r>
      <w:r w:rsidRPr="00A37418">
        <w:t xml:space="preserve"> for 10 months and up to 7 months in human RBC</w:t>
      </w:r>
      <w:r>
        <w:t>s alone</w:t>
      </w:r>
      <w:r w:rsidRPr="00A37418">
        <w:t>, with clones A1-H.1,</w:t>
      </w:r>
      <w:r>
        <w:t xml:space="preserve"> </w:t>
      </w:r>
      <w:r w:rsidRPr="00A37418">
        <w:t xml:space="preserve">A1-H.2 and A1-H.3 derived at this time. </w:t>
      </w:r>
      <w:r w:rsidRPr="00A37418">
        <w:rPr>
          <w:i/>
        </w:rPr>
        <w:t>P. knowlesi</w:t>
      </w:r>
      <w:r w:rsidRPr="00A37418">
        <w:t xml:space="preserve"> A1-C is a non-clonal line derived from A1-O after maintenance in 100% cynomolgus RBC</w:t>
      </w:r>
      <w:r>
        <w:t>s</w:t>
      </w:r>
      <w:r w:rsidRPr="00A37418">
        <w:t xml:space="preserve"> for 15 months, with clones A1-C.1 and A1-C.2 derived at this time. Parasites were grown </w:t>
      </w:r>
      <w:r>
        <w:t xml:space="preserve">and synchronized </w:t>
      </w:r>
      <w:r w:rsidRPr="00A37418">
        <w:t xml:space="preserve">as described previously </w:t>
      </w:r>
      <w:r>
        <w:rPr>
          <w:noProof/>
        </w:rPr>
        <w:t>(21)</w:t>
      </w:r>
      <w:r w:rsidRPr="00A37418">
        <w:t>.</w:t>
      </w:r>
    </w:p>
    <w:p w:rsidR="00B0554F" w:rsidRDefault="00B0554F" w:rsidP="007D6874">
      <w:pPr>
        <w:spacing w:after="0" w:line="480" w:lineRule="auto"/>
      </w:pPr>
      <w:proofErr w:type="gramStart"/>
      <w:r w:rsidRPr="00A751D4">
        <w:rPr>
          <w:b/>
          <w:i/>
        </w:rPr>
        <w:t>P. knowlesi</w:t>
      </w:r>
      <w:r w:rsidRPr="00A751D4">
        <w:rPr>
          <w:b/>
        </w:rPr>
        <w:t xml:space="preserve"> Genome Sequencing, Analysis and De Novo Assembly</w:t>
      </w:r>
      <w:r>
        <w:rPr>
          <w:b/>
        </w:rPr>
        <w:t>.</w:t>
      </w:r>
      <w:proofErr w:type="gramEnd"/>
      <w:r>
        <w:rPr>
          <w:b/>
        </w:rPr>
        <w:t xml:space="preserve"> </w:t>
      </w:r>
      <w:r>
        <w:t xml:space="preserve">DNA for the A1-H.1 and A1-C.2 lines was used for </w:t>
      </w:r>
      <w:r w:rsidR="003C58BB">
        <w:t>preparation</w:t>
      </w:r>
      <w:r>
        <w:t xml:space="preserve"> of libraries:</w:t>
      </w:r>
      <w:r w:rsidRPr="00A476CC">
        <w:rPr>
          <w:rFonts w:cs="Times New Roman"/>
        </w:rPr>
        <w:t xml:space="preserve"> </w:t>
      </w:r>
      <w:proofErr w:type="spellStart"/>
      <w:r w:rsidRPr="00A476CC">
        <w:rPr>
          <w:rFonts w:cs="Times New Roman"/>
        </w:rPr>
        <w:t>HiSeq</w:t>
      </w:r>
      <w:proofErr w:type="spellEnd"/>
      <w:r w:rsidRPr="00A476CC">
        <w:rPr>
          <w:rFonts w:cs="Times New Roman"/>
        </w:rPr>
        <w:t xml:space="preserve"> 2000 (Illumina Inc. USA) compatible genomic shotgun libraries (500 </w:t>
      </w:r>
      <w:proofErr w:type="spellStart"/>
      <w:r w:rsidRPr="00A476CC">
        <w:rPr>
          <w:rFonts w:cs="Times New Roman"/>
        </w:rPr>
        <w:t>bp</w:t>
      </w:r>
      <w:proofErr w:type="spellEnd"/>
      <w:r w:rsidRPr="00A476CC">
        <w:rPr>
          <w:rFonts w:cs="Times New Roman"/>
        </w:rPr>
        <w:t xml:space="preserve"> fragment size)</w:t>
      </w:r>
      <w:r>
        <w:rPr>
          <w:rFonts w:cs="Times New Roman"/>
        </w:rPr>
        <w:t>,</w:t>
      </w:r>
      <w:r w:rsidRPr="00A476CC">
        <w:rPr>
          <w:rFonts w:cs="Times New Roman"/>
        </w:rPr>
        <w:t xml:space="preserve"> PCR-</w:t>
      </w:r>
      <w:r>
        <w:rPr>
          <w:rFonts w:cs="Times New Roman"/>
        </w:rPr>
        <w:t>f</w:t>
      </w:r>
      <w:r w:rsidRPr="00A476CC">
        <w:rPr>
          <w:rFonts w:cs="Times New Roman"/>
        </w:rPr>
        <w:t xml:space="preserve">ree libraries sequenced on </w:t>
      </w:r>
      <w:proofErr w:type="spellStart"/>
      <w:r w:rsidRPr="00A476CC">
        <w:rPr>
          <w:rFonts w:cs="Times New Roman"/>
        </w:rPr>
        <w:t>MiSeq</w:t>
      </w:r>
      <w:proofErr w:type="spellEnd"/>
      <w:r w:rsidRPr="00A476CC">
        <w:rPr>
          <w:rFonts w:cs="Times New Roman"/>
        </w:rPr>
        <w:t xml:space="preserve"> (Illumina)</w:t>
      </w:r>
      <w:r>
        <w:rPr>
          <w:rFonts w:cs="Times New Roman"/>
        </w:rPr>
        <w:t xml:space="preserve"> and f</w:t>
      </w:r>
      <w:r w:rsidRPr="00A476CC">
        <w:rPr>
          <w:rFonts w:cs="Times New Roman"/>
        </w:rPr>
        <w:t xml:space="preserve">or genome assemblies, 20 </w:t>
      </w:r>
      <w:proofErr w:type="spellStart"/>
      <w:r>
        <w:rPr>
          <w:rFonts w:cs="Times New Roman"/>
        </w:rPr>
        <w:t>k</w:t>
      </w:r>
      <w:r w:rsidRPr="00A476CC">
        <w:rPr>
          <w:rFonts w:cs="Times New Roman"/>
        </w:rPr>
        <w:t>bp</w:t>
      </w:r>
      <w:proofErr w:type="spellEnd"/>
      <w:r w:rsidRPr="00A476CC">
        <w:rPr>
          <w:rFonts w:cs="Times New Roman"/>
        </w:rPr>
        <w:t xml:space="preserve"> insert libraries sequenced on a </w:t>
      </w:r>
      <w:proofErr w:type="spellStart"/>
      <w:r w:rsidRPr="00A476CC">
        <w:rPr>
          <w:rFonts w:cs="Times New Roman"/>
        </w:rPr>
        <w:t>PacBio</w:t>
      </w:r>
      <w:proofErr w:type="spellEnd"/>
      <w:r w:rsidRPr="00A476CC">
        <w:rPr>
          <w:rFonts w:cs="Times New Roman"/>
        </w:rPr>
        <w:t xml:space="preserve"> RS-II instrument (</w:t>
      </w:r>
      <w:r w:rsidRPr="0091140C">
        <w:rPr>
          <w:rFonts w:cs="Times New Roman"/>
        </w:rPr>
        <w:t>Pacific Biosciences Inc</w:t>
      </w:r>
      <w:r w:rsidRPr="00DC7E8A">
        <w:rPr>
          <w:rFonts w:cs="Times New Roman"/>
        </w:rPr>
        <w:t>.)</w:t>
      </w:r>
      <w:r w:rsidRPr="00A476CC">
        <w:rPr>
          <w:rFonts w:cs="Times New Roman"/>
        </w:rPr>
        <w:t>.</w:t>
      </w:r>
      <w:r>
        <w:rPr>
          <w:rFonts w:cs="Times New Roman"/>
        </w:rPr>
        <w:t xml:space="preserve"> </w:t>
      </w:r>
      <w:r>
        <w:t xml:space="preserve">Genome assembly was performed using </w:t>
      </w:r>
      <w:proofErr w:type="spellStart"/>
      <w:r>
        <w:t>PacBio's</w:t>
      </w:r>
      <w:proofErr w:type="spellEnd"/>
      <w:r>
        <w:t xml:space="preserve"> FALCON tools, and Genome Consensus suite. </w:t>
      </w:r>
      <w:r w:rsidRPr="00A476CC">
        <w:rPr>
          <w:rFonts w:cs="Times New Roman"/>
        </w:rPr>
        <w:t xml:space="preserve">Annotation was transferred from the </w:t>
      </w:r>
      <w:r w:rsidRPr="00A476CC">
        <w:rPr>
          <w:rFonts w:cs="Times New Roman"/>
          <w:i/>
        </w:rPr>
        <w:t xml:space="preserve">P. knowlesi </w:t>
      </w:r>
      <w:r w:rsidRPr="006F179B">
        <w:rPr>
          <w:rFonts w:cs="Times New Roman"/>
        </w:rPr>
        <w:t>H strain</w:t>
      </w:r>
      <w:r>
        <w:rPr>
          <w:rFonts w:cs="Times New Roman"/>
          <w:i/>
        </w:rPr>
        <w:t xml:space="preserve"> </w:t>
      </w:r>
      <w:r w:rsidR="003C58BB" w:rsidRPr="00A476CC">
        <w:rPr>
          <w:rFonts w:cs="Times New Roman"/>
        </w:rPr>
        <w:t xml:space="preserve">reference genome </w:t>
      </w:r>
      <w:r>
        <w:rPr>
          <w:rFonts w:cs="Times New Roman"/>
          <w:noProof/>
        </w:rPr>
        <w:t>(24)</w:t>
      </w:r>
      <w:r>
        <w:rPr>
          <w:rStyle w:val="slug-doi"/>
        </w:rPr>
        <w:t xml:space="preserve"> and gene models were checked in Artemis </w:t>
      </w:r>
      <w:r w:rsidRPr="00C07BB4">
        <w:rPr>
          <w:rStyle w:val="slug-doi"/>
        </w:rPr>
        <w:t>BAM view</w:t>
      </w:r>
      <w:r>
        <w:rPr>
          <w:rStyle w:val="slug-doi"/>
        </w:rPr>
        <w:t xml:space="preserve"> and</w:t>
      </w:r>
      <w:r w:rsidRPr="00C07BB4">
        <w:rPr>
          <w:rStyle w:val="slug-doi"/>
        </w:rPr>
        <w:t xml:space="preserve"> corrected using strand-specific RNA-</w:t>
      </w:r>
      <w:proofErr w:type="spellStart"/>
      <w:r w:rsidRPr="00C07BB4">
        <w:rPr>
          <w:rStyle w:val="slug-doi"/>
        </w:rPr>
        <w:t>seq</w:t>
      </w:r>
      <w:proofErr w:type="spellEnd"/>
      <w:r w:rsidRPr="00C07BB4">
        <w:rPr>
          <w:rStyle w:val="slug-doi"/>
        </w:rPr>
        <w:t xml:space="preserve"> datasets</w:t>
      </w:r>
      <w:r>
        <w:rPr>
          <w:rStyle w:val="slug-doi"/>
        </w:rPr>
        <w:t>.</w:t>
      </w:r>
      <w:r w:rsidRPr="00C07BB4">
        <w:rPr>
          <w:rStyle w:val="slug-doi"/>
        </w:rPr>
        <w:t xml:space="preserve"> </w:t>
      </w:r>
    </w:p>
    <w:p w:rsidR="00B0554F" w:rsidRPr="00EF2B17" w:rsidRDefault="00B0554F" w:rsidP="006F179B">
      <w:pPr>
        <w:spacing w:after="0" w:line="480" w:lineRule="auto"/>
        <w:rPr>
          <w:rFonts w:ascii="Times New Roman" w:eastAsia="Times New Roman" w:hAnsi="Times New Roman" w:cs="Times New Roman"/>
          <w:sz w:val="24"/>
          <w:szCs w:val="24"/>
          <w:lang w:eastAsia="en-GB"/>
        </w:rPr>
      </w:pPr>
      <w:proofErr w:type="gramStart"/>
      <w:r w:rsidRPr="00EF2B17">
        <w:rPr>
          <w:rFonts w:cstheme="minorHAnsi"/>
          <w:b/>
        </w:rPr>
        <w:t>Antibody production</w:t>
      </w:r>
      <w:r>
        <w:rPr>
          <w:rFonts w:cstheme="minorHAnsi"/>
          <w:b/>
        </w:rPr>
        <w:t>.</w:t>
      </w:r>
      <w:proofErr w:type="gramEnd"/>
      <w:r>
        <w:rPr>
          <w:rFonts w:cstheme="minorHAnsi"/>
          <w:b/>
        </w:rPr>
        <w:t xml:space="preserve"> </w:t>
      </w:r>
      <w:r w:rsidRPr="00EF2B17">
        <w:rPr>
          <w:rFonts w:cstheme="minorHAnsi"/>
          <w:color w:val="000000"/>
        </w:rPr>
        <w:t xml:space="preserve">The mouse </w:t>
      </w:r>
      <w:r>
        <w:rPr>
          <w:rFonts w:cstheme="minorHAnsi"/>
          <w:i/>
          <w:color w:val="000000"/>
        </w:rPr>
        <w:t xml:space="preserve">P. knowlesi </w:t>
      </w:r>
      <w:r w:rsidRPr="00EF2B17">
        <w:rPr>
          <w:rFonts w:cstheme="minorHAnsi"/>
          <w:color w:val="000000"/>
        </w:rPr>
        <w:t>MSP1</w:t>
      </w:r>
      <w:r w:rsidRPr="00EF2B17">
        <w:rPr>
          <w:rFonts w:cstheme="minorHAnsi"/>
          <w:color w:val="000000"/>
          <w:vertAlign w:val="subscript"/>
        </w:rPr>
        <w:t>33</w:t>
      </w:r>
      <w:r>
        <w:rPr>
          <w:rFonts w:cstheme="minorHAnsi"/>
          <w:color w:val="000000"/>
        </w:rPr>
        <w:t>-specific</w:t>
      </w:r>
      <w:r w:rsidRPr="00EF2B17">
        <w:rPr>
          <w:rFonts w:cstheme="minorHAnsi"/>
          <w:color w:val="000000"/>
        </w:rPr>
        <w:t xml:space="preserve"> antibody </w:t>
      </w:r>
      <w:r>
        <w:rPr>
          <w:rFonts w:cstheme="minorHAnsi"/>
          <w:color w:val="000000"/>
        </w:rPr>
        <w:t xml:space="preserve">has been described </w:t>
      </w:r>
      <w:r>
        <w:rPr>
          <w:rFonts w:cstheme="minorHAnsi"/>
          <w:noProof/>
          <w:color w:val="000000"/>
        </w:rPr>
        <w:t>(27)</w:t>
      </w:r>
      <w:r w:rsidRPr="00EF2B17">
        <w:rPr>
          <w:rFonts w:cstheme="minorHAnsi"/>
          <w:color w:val="000000"/>
        </w:rPr>
        <w:t xml:space="preserve">. </w:t>
      </w:r>
      <w:r>
        <w:rPr>
          <w:rFonts w:cstheme="minorHAnsi"/>
          <w:color w:val="000000"/>
        </w:rPr>
        <w:t xml:space="preserve">A </w:t>
      </w:r>
      <w:r>
        <w:rPr>
          <w:rFonts w:cstheme="minorHAnsi"/>
          <w:i/>
          <w:color w:val="000000"/>
        </w:rPr>
        <w:t>P. knowlesi</w:t>
      </w:r>
      <w:r>
        <w:rPr>
          <w:rFonts w:cstheme="minorHAnsi"/>
          <w:color w:val="000000"/>
        </w:rPr>
        <w:t xml:space="preserve"> </w:t>
      </w:r>
      <w:r w:rsidRPr="00EF2B17">
        <w:rPr>
          <w:rFonts w:cstheme="minorHAnsi"/>
          <w:color w:val="000000"/>
        </w:rPr>
        <w:t>MSP1</w:t>
      </w:r>
      <w:r w:rsidRPr="00EF2B17">
        <w:rPr>
          <w:rFonts w:cstheme="minorHAnsi"/>
          <w:color w:val="000000"/>
          <w:vertAlign w:val="subscript"/>
        </w:rPr>
        <w:t>19</w:t>
      </w:r>
      <w:r>
        <w:rPr>
          <w:rFonts w:cstheme="minorHAnsi"/>
          <w:color w:val="000000"/>
        </w:rPr>
        <w:t>-specific antibody was produced following rabbit immunization with recombinant</w:t>
      </w:r>
      <w:r w:rsidRPr="00EF2B17">
        <w:rPr>
          <w:rFonts w:cstheme="minorHAnsi"/>
          <w:color w:val="000000"/>
        </w:rPr>
        <w:t xml:space="preserve"> MSP1</w:t>
      </w:r>
      <w:r w:rsidRPr="00EF2B17">
        <w:rPr>
          <w:rFonts w:cstheme="minorHAnsi"/>
          <w:color w:val="000000"/>
          <w:vertAlign w:val="subscript"/>
        </w:rPr>
        <w:t>19</w:t>
      </w:r>
      <w:r>
        <w:rPr>
          <w:rFonts w:cstheme="minorHAnsi"/>
          <w:color w:val="000000"/>
        </w:rPr>
        <w:t>. R</w:t>
      </w:r>
      <w:r w:rsidRPr="00EF2B17">
        <w:rPr>
          <w:rFonts w:cstheme="minorHAnsi"/>
          <w:color w:val="000000"/>
        </w:rPr>
        <w:t>at anti-human RBC ghost antibody</w:t>
      </w:r>
      <w:r>
        <w:rPr>
          <w:rFonts w:cstheme="minorHAnsi"/>
          <w:color w:val="000000"/>
        </w:rPr>
        <w:t xml:space="preserve"> was prepared using</w:t>
      </w:r>
      <w:r w:rsidRPr="00EF2B17">
        <w:rPr>
          <w:rFonts w:cstheme="minorHAnsi"/>
          <w:color w:val="000000"/>
        </w:rPr>
        <w:t xml:space="preserve"> </w:t>
      </w:r>
      <w:r w:rsidRPr="00EF2B17">
        <w:rPr>
          <w:rFonts w:eastAsia="Times New Roman" w:cstheme="minorHAnsi"/>
          <w:lang w:eastAsia="en-GB"/>
        </w:rPr>
        <w:t>A</w:t>
      </w:r>
      <w:r w:rsidRPr="000B43C1">
        <w:rPr>
          <w:rFonts w:eastAsia="Times New Roman" w:cstheme="minorHAnsi"/>
          <w:vertAlign w:val="superscript"/>
          <w:lang w:eastAsia="en-GB"/>
        </w:rPr>
        <w:t>+</w:t>
      </w:r>
      <w:r w:rsidRPr="00EF2B17">
        <w:rPr>
          <w:rFonts w:eastAsia="Times New Roman" w:cstheme="minorHAnsi"/>
          <w:lang w:eastAsia="en-GB"/>
        </w:rPr>
        <w:t xml:space="preserve"> human </w:t>
      </w:r>
      <w:r>
        <w:rPr>
          <w:rFonts w:eastAsia="Times New Roman" w:cstheme="minorHAnsi"/>
          <w:lang w:eastAsia="en-GB"/>
        </w:rPr>
        <w:t>erythrocytes</w:t>
      </w:r>
      <w:r w:rsidRPr="00EF2B17">
        <w:rPr>
          <w:rFonts w:eastAsia="Times New Roman" w:cstheme="minorHAnsi"/>
          <w:lang w:eastAsia="en-GB"/>
        </w:rPr>
        <w:t xml:space="preserve"> </w:t>
      </w:r>
      <w:r>
        <w:rPr>
          <w:rFonts w:eastAsia="Times New Roman" w:cstheme="minorHAnsi"/>
          <w:lang w:eastAsia="en-GB"/>
        </w:rPr>
        <w:t xml:space="preserve"> and the </w:t>
      </w:r>
      <w:r w:rsidRPr="00EF2B17">
        <w:rPr>
          <w:rFonts w:eastAsia="Times New Roman" w:cstheme="minorHAnsi"/>
          <w:lang w:eastAsia="en-GB"/>
        </w:rPr>
        <w:t xml:space="preserve">resulting </w:t>
      </w:r>
      <w:r>
        <w:rPr>
          <w:rFonts w:eastAsia="Times New Roman" w:cstheme="minorHAnsi"/>
          <w:lang w:eastAsia="en-GB"/>
        </w:rPr>
        <w:t>antiserum</w:t>
      </w:r>
      <w:r w:rsidRPr="00EF2B17">
        <w:rPr>
          <w:rFonts w:eastAsia="Times New Roman" w:cstheme="minorHAnsi"/>
          <w:lang w:eastAsia="en-GB"/>
        </w:rPr>
        <w:t xml:space="preserve"> used for </w:t>
      </w:r>
      <w:proofErr w:type="spellStart"/>
      <w:r w:rsidRPr="00EF2B17">
        <w:rPr>
          <w:rFonts w:eastAsia="Times New Roman" w:cstheme="minorHAnsi"/>
          <w:lang w:eastAsia="en-GB"/>
        </w:rPr>
        <w:t>immunolabeling</w:t>
      </w:r>
      <w:proofErr w:type="spellEnd"/>
      <w:r w:rsidRPr="00EF2B17">
        <w:rPr>
          <w:rFonts w:eastAsia="Times New Roman" w:cstheme="minorHAnsi"/>
          <w:lang w:eastAsia="en-GB"/>
        </w:rPr>
        <w:t xml:space="preserve"> both human and cynomolgus RBC due to cross reactivity.</w:t>
      </w:r>
    </w:p>
    <w:p w:rsidR="00B0554F" w:rsidRDefault="00B0554F" w:rsidP="007F29BD">
      <w:pPr>
        <w:spacing w:after="0" w:line="480" w:lineRule="auto"/>
      </w:pPr>
      <w:r>
        <w:rPr>
          <w:b/>
        </w:rPr>
        <w:t>Adhesion, i</w:t>
      </w:r>
      <w:r w:rsidRPr="00A751D4">
        <w:rPr>
          <w:b/>
        </w:rPr>
        <w:t>nvasion and growth assays</w:t>
      </w:r>
      <w:r>
        <w:rPr>
          <w:b/>
        </w:rPr>
        <w:t xml:space="preserve">. </w:t>
      </w:r>
      <w:r>
        <w:t>Purified s</w:t>
      </w:r>
      <w:r w:rsidRPr="00A751D4">
        <w:t>chizonts were</w:t>
      </w:r>
      <w:r>
        <w:t xml:space="preserve"> used</w:t>
      </w:r>
      <w:r w:rsidRPr="00A751D4">
        <w:t xml:space="preserve"> to set up triplicate cultures</w:t>
      </w:r>
      <w:r w:rsidRPr="00742E9D">
        <w:t xml:space="preserve"> </w:t>
      </w:r>
      <w:r w:rsidRPr="00A751D4">
        <w:t xml:space="preserve">with cynomolgus, rhesus, human or human reticulocyte-enriched </w:t>
      </w:r>
      <w:r>
        <w:t>RBCs</w:t>
      </w:r>
      <w:proofErr w:type="gramStart"/>
      <w:r>
        <w:t>,</w:t>
      </w:r>
      <w:r w:rsidRPr="00A751D4">
        <w:t xml:space="preserve">  at</w:t>
      </w:r>
      <w:proofErr w:type="gramEnd"/>
      <w:r w:rsidRPr="00A751D4">
        <w:t xml:space="preserve"> </w:t>
      </w:r>
      <w:r>
        <w:t xml:space="preserve">a </w:t>
      </w:r>
      <w:r w:rsidRPr="00A751D4">
        <w:t xml:space="preserve">2% </w:t>
      </w:r>
      <w:proofErr w:type="spellStart"/>
      <w:r w:rsidRPr="00A751D4">
        <w:t>hematocrit</w:t>
      </w:r>
      <w:proofErr w:type="spellEnd"/>
      <w:r w:rsidRPr="00A751D4">
        <w:t xml:space="preserve"> </w:t>
      </w:r>
      <w:r>
        <w:t>and</w:t>
      </w:r>
      <w:r w:rsidRPr="00A751D4">
        <w:t xml:space="preserve"> a </w:t>
      </w:r>
      <w:r>
        <w:t>1%</w:t>
      </w:r>
      <w:r w:rsidRPr="00A751D4">
        <w:t xml:space="preserve"> </w:t>
      </w:r>
      <w:proofErr w:type="spellStart"/>
      <w:r w:rsidRPr="00A751D4">
        <w:t>parasitemia</w:t>
      </w:r>
      <w:proofErr w:type="spellEnd"/>
      <w:r w:rsidRPr="00A751D4">
        <w:t xml:space="preserve">.  All parasites </w:t>
      </w:r>
      <w:r w:rsidRPr="000217EB">
        <w:t>(including A1-H.1)</w:t>
      </w:r>
      <w:r>
        <w:t xml:space="preserve"> </w:t>
      </w:r>
      <w:r w:rsidRPr="00A751D4">
        <w:t>were grown in cynomolgus RBC</w:t>
      </w:r>
      <w:r>
        <w:t>s</w:t>
      </w:r>
      <w:r w:rsidRPr="00A751D4">
        <w:t xml:space="preserve"> for at least </w:t>
      </w:r>
      <w:r>
        <w:t>one</w:t>
      </w:r>
      <w:r w:rsidRPr="00A751D4">
        <w:t xml:space="preserve"> </w:t>
      </w:r>
      <w:r w:rsidRPr="00A751D4">
        <w:lastRenderedPageBreak/>
        <w:t xml:space="preserve">month prior to growth assays, to control for any effect of prior host cell </w:t>
      </w:r>
      <w:r>
        <w:t xml:space="preserve">type </w:t>
      </w:r>
      <w:r w:rsidRPr="00A751D4">
        <w:t>on subsequent invasion and growth</w:t>
      </w:r>
      <w:r>
        <w:t>.</w:t>
      </w:r>
      <w:r w:rsidRPr="00A751D4">
        <w:t xml:space="preserve"> </w:t>
      </w:r>
      <w:proofErr w:type="spellStart"/>
      <w:r w:rsidR="00C255A5">
        <w:t>Parasitemia</w:t>
      </w:r>
      <w:proofErr w:type="spellEnd"/>
      <w:r w:rsidR="00C255A5">
        <w:t xml:space="preserve"> was measured with a</w:t>
      </w:r>
      <w:r w:rsidRPr="00655C0E">
        <w:t xml:space="preserve"> </w:t>
      </w:r>
      <w:r w:rsidR="00C255A5" w:rsidRPr="00A751D4">
        <w:t>flow cytometry (FACS)-based assay</w:t>
      </w:r>
      <w:r w:rsidR="00C255A5">
        <w:t xml:space="preserve"> </w:t>
      </w:r>
      <w:r w:rsidR="00C255A5">
        <w:rPr>
          <w:noProof/>
        </w:rPr>
        <w:t>(21, 26)</w:t>
      </w:r>
      <w:r w:rsidR="00C255A5" w:rsidRPr="00A751D4">
        <w:t xml:space="preserve"> </w:t>
      </w:r>
      <w:r>
        <w:t>at the start</w:t>
      </w:r>
      <w:r w:rsidRPr="00A751D4">
        <w:t xml:space="preserve"> and following incubation at 37</w:t>
      </w:r>
      <w:r w:rsidRPr="00A751D4">
        <w:rPr>
          <w:vertAlign w:val="superscript"/>
        </w:rPr>
        <w:t>o</w:t>
      </w:r>
      <w:r w:rsidRPr="00A751D4">
        <w:t>C in a gassed chamber for 7 h, 24 h and 48 h.</w:t>
      </w:r>
      <w:r>
        <w:t xml:space="preserve"> </w:t>
      </w:r>
      <w:r w:rsidR="00C255A5">
        <w:t>Samples</w:t>
      </w:r>
      <w:r w:rsidRPr="00A751D4">
        <w:t xml:space="preserve"> were fixed </w:t>
      </w:r>
      <w:r>
        <w:t>,</w:t>
      </w:r>
      <w:r w:rsidRPr="00A751D4">
        <w:t xml:space="preserve"> washed</w:t>
      </w:r>
      <w:r w:rsidR="00C255A5">
        <w:t>,</w:t>
      </w:r>
      <w:r w:rsidRPr="00A751D4">
        <w:t xml:space="preserve"> </w:t>
      </w:r>
      <w:proofErr w:type="spellStart"/>
      <w:r w:rsidRPr="00A751D4">
        <w:t>permeab</w:t>
      </w:r>
      <w:r>
        <w:t>iliz</w:t>
      </w:r>
      <w:r w:rsidRPr="00A751D4">
        <w:t>ed</w:t>
      </w:r>
      <w:proofErr w:type="spellEnd"/>
      <w:r>
        <w:t xml:space="preserve"> </w:t>
      </w:r>
      <w:r w:rsidRPr="00A751D4">
        <w:t xml:space="preserve"> with Triton® X-100, </w:t>
      </w:r>
      <w:r w:rsidR="00C255A5">
        <w:t xml:space="preserve">and </w:t>
      </w:r>
      <w:r w:rsidRPr="00A751D4">
        <w:t>then washed again</w:t>
      </w:r>
      <w:r w:rsidR="00C255A5">
        <w:t xml:space="preserve"> prior to </w:t>
      </w:r>
      <w:proofErr w:type="spellStart"/>
      <w:r w:rsidRPr="00A751D4">
        <w:t>RNAse</w:t>
      </w:r>
      <w:proofErr w:type="spellEnd"/>
      <w:r w:rsidRPr="00A751D4">
        <w:t xml:space="preserve"> treatment</w:t>
      </w:r>
      <w:r w:rsidR="00C255A5">
        <w:t xml:space="preserve">, </w:t>
      </w:r>
      <w:r w:rsidRPr="00A751D4">
        <w:t>stain</w:t>
      </w:r>
      <w:r w:rsidR="00C255A5">
        <w:t>ing</w:t>
      </w:r>
      <w:r w:rsidRPr="00A751D4">
        <w:t xml:space="preserve"> with SYBR® Green I (Life Technologies) </w:t>
      </w:r>
      <w:r>
        <w:t xml:space="preserve">and </w:t>
      </w:r>
      <w:r w:rsidR="00C255A5">
        <w:t xml:space="preserve">FACS </w:t>
      </w:r>
      <w:r w:rsidRPr="00A751D4">
        <w:t>analys</w:t>
      </w:r>
      <w:r w:rsidR="00C255A5">
        <w:t>is</w:t>
      </w:r>
      <w:r>
        <w:t>.</w:t>
      </w:r>
      <w:r w:rsidRPr="00A751D4">
        <w:t xml:space="preserve"> To control for invasion of </w:t>
      </w:r>
      <w:r w:rsidRPr="00A751D4">
        <w:rPr>
          <w:rFonts w:cs="AdvP7627"/>
          <w:color w:val="231F20"/>
        </w:rPr>
        <w:t>RBC</w:t>
      </w:r>
      <w:r>
        <w:rPr>
          <w:rFonts w:cs="AdvP7627"/>
          <w:color w:val="231F20"/>
        </w:rPr>
        <w:t>s</w:t>
      </w:r>
      <w:r w:rsidRPr="00A751D4">
        <w:rPr>
          <w:rFonts w:cs="AdvP7627"/>
          <w:color w:val="231F20"/>
        </w:rPr>
        <w:t xml:space="preserve"> carried over during schizont purification, target cells were pre</w:t>
      </w:r>
      <w:r>
        <w:rPr>
          <w:rFonts w:cs="AdvP7627"/>
          <w:color w:val="231F20"/>
        </w:rPr>
        <w:t>-</w:t>
      </w:r>
      <w:r w:rsidRPr="00A751D4">
        <w:rPr>
          <w:rFonts w:cs="AdvP7627"/>
          <w:color w:val="231F20"/>
        </w:rPr>
        <w:t xml:space="preserve">labelled with a far red </w:t>
      </w:r>
      <w:r>
        <w:rPr>
          <w:rFonts w:cs="AdvP7627"/>
          <w:color w:val="231F20"/>
        </w:rPr>
        <w:t xml:space="preserve">fluorescence </w:t>
      </w:r>
      <w:r w:rsidRPr="00A751D4">
        <w:rPr>
          <w:rFonts w:cs="AdvP7627"/>
          <w:color w:val="231F20"/>
        </w:rPr>
        <w:t>dye</w:t>
      </w:r>
      <w:r>
        <w:rPr>
          <w:rFonts w:cs="AdvP7627"/>
          <w:color w:val="231F20"/>
        </w:rPr>
        <w:t xml:space="preserve"> </w:t>
      </w:r>
      <w:r>
        <w:rPr>
          <w:noProof/>
        </w:rPr>
        <w:t>(26)</w:t>
      </w:r>
      <w:r>
        <w:t xml:space="preserve"> using</w:t>
      </w:r>
      <w:r w:rsidRPr="00A751D4">
        <w:rPr>
          <w:rFonts w:cs="AdvP7627"/>
          <w:color w:val="231F20"/>
        </w:rPr>
        <w:t xml:space="preserve"> 7-hydroxy-9H-(1</w:t>
      </w:r>
      <w:proofErr w:type="gramStart"/>
      <w:r w:rsidRPr="00A751D4">
        <w:rPr>
          <w:rFonts w:cs="AdvP7627"/>
          <w:color w:val="231F20"/>
        </w:rPr>
        <w:t>,3</w:t>
      </w:r>
      <w:proofErr w:type="gramEnd"/>
      <w:r w:rsidRPr="00A751D4">
        <w:rPr>
          <w:rFonts w:cs="AdvP7627"/>
          <w:color w:val="231F20"/>
        </w:rPr>
        <w:t xml:space="preserve">-dichloro-9,9-dimethylacridin-2-one) </w:t>
      </w:r>
      <w:proofErr w:type="spellStart"/>
      <w:r w:rsidRPr="00A751D4">
        <w:rPr>
          <w:rFonts w:cs="AdvP7627"/>
          <w:color w:val="231F20"/>
        </w:rPr>
        <w:t>succinimidyl</w:t>
      </w:r>
      <w:proofErr w:type="spellEnd"/>
      <w:r w:rsidRPr="00A751D4">
        <w:rPr>
          <w:rFonts w:cs="AdvP7627"/>
          <w:color w:val="231F20"/>
        </w:rPr>
        <w:t xml:space="preserve"> ester (DDAO-SE) (Life Technologies). </w:t>
      </w:r>
      <w:r>
        <w:rPr>
          <w:rFonts w:cs="AdvP7627"/>
          <w:color w:val="231F20"/>
        </w:rPr>
        <w:t xml:space="preserve">Following washing </w:t>
      </w:r>
      <w:r w:rsidRPr="00A751D4">
        <w:t xml:space="preserve">the </w:t>
      </w:r>
      <w:r>
        <w:t>samples were</w:t>
      </w:r>
      <w:r w:rsidRPr="00A751D4">
        <w:t xml:space="preserve"> </w:t>
      </w:r>
      <w:proofErr w:type="spellStart"/>
      <w:r>
        <w:t>analyzed</w:t>
      </w:r>
      <w:proofErr w:type="spellEnd"/>
      <w:r w:rsidRPr="00A751D4">
        <w:t xml:space="preserve"> on a </w:t>
      </w:r>
      <w:proofErr w:type="spellStart"/>
      <w:r w:rsidRPr="00A751D4">
        <w:t>CyAN</w:t>
      </w:r>
      <w:proofErr w:type="spellEnd"/>
      <w:r w:rsidRPr="00A751D4">
        <w:t xml:space="preserve"> ADP </w:t>
      </w:r>
      <w:proofErr w:type="spellStart"/>
      <w:r w:rsidRPr="00A751D4">
        <w:t>Analyzer</w:t>
      </w:r>
      <w:proofErr w:type="spellEnd"/>
      <w:r w:rsidRPr="00A751D4">
        <w:t xml:space="preserve"> (Beckman Coulter). Data were acquired and analysed using </w:t>
      </w:r>
      <w:proofErr w:type="spellStart"/>
      <w:r w:rsidRPr="00A751D4">
        <w:t>CellQuest</w:t>
      </w:r>
      <w:proofErr w:type="spellEnd"/>
      <w:r w:rsidRPr="00A751D4">
        <w:t xml:space="preserve"> (BD) or </w:t>
      </w:r>
      <w:proofErr w:type="spellStart"/>
      <w:r w:rsidRPr="00A751D4">
        <w:t>HyperCyt</w:t>
      </w:r>
      <w:proofErr w:type="spellEnd"/>
      <w:r w:rsidRPr="00A751D4">
        <w:t xml:space="preserve"> (Beckman Coulter) software.</w:t>
      </w:r>
    </w:p>
    <w:p w:rsidR="00B0554F" w:rsidRDefault="00B0554F" w:rsidP="0045204F">
      <w:pPr>
        <w:spacing w:after="0" w:line="480" w:lineRule="auto"/>
        <w:ind w:firstLine="720"/>
      </w:pPr>
      <w:r w:rsidRPr="00A751D4">
        <w:t>To investigate invasion/binding phenotype and reticulocyte preference, sample</w:t>
      </w:r>
      <w:r>
        <w:t>s</w:t>
      </w:r>
      <w:r w:rsidRPr="00A751D4">
        <w:t xml:space="preserve"> </w:t>
      </w:r>
      <w:proofErr w:type="gramStart"/>
      <w:r w:rsidRPr="00A751D4">
        <w:t>taken  at</w:t>
      </w:r>
      <w:proofErr w:type="gramEnd"/>
      <w:r w:rsidRPr="00A751D4">
        <w:t xml:space="preserve"> 7 h </w:t>
      </w:r>
      <w:r>
        <w:t xml:space="preserve">were </w:t>
      </w:r>
      <w:r w:rsidRPr="00A751D4">
        <w:t>incubated with reticulocyte stain solution (Sigma)</w:t>
      </w:r>
      <w:r>
        <w:t>, then t</w:t>
      </w:r>
      <w:r w:rsidRPr="00A751D4">
        <w:t xml:space="preserve">he cells were pelleted and </w:t>
      </w:r>
      <w:r>
        <w:t xml:space="preserve">Giemsa-stained thin </w:t>
      </w:r>
      <w:r w:rsidRPr="00A751D4">
        <w:t xml:space="preserve">blood films prepared.  </w:t>
      </w:r>
      <w:r>
        <w:rPr>
          <w:color w:val="000000"/>
        </w:rPr>
        <w:t xml:space="preserve">To attempt to readapt </w:t>
      </w:r>
      <w:proofErr w:type="spellStart"/>
      <w:r w:rsidRPr="0018315F">
        <w:rPr>
          <w:color w:val="000000"/>
        </w:rPr>
        <w:t>ΔNBPXa</w:t>
      </w:r>
      <w:proofErr w:type="spellEnd"/>
      <w:r>
        <w:rPr>
          <w:color w:val="000000"/>
        </w:rPr>
        <w:t xml:space="preserve"> parasites to growth in human RBC, a culture at 1% </w:t>
      </w:r>
      <w:proofErr w:type="spellStart"/>
      <w:r>
        <w:rPr>
          <w:color w:val="000000"/>
        </w:rPr>
        <w:t>parasitemia</w:t>
      </w:r>
      <w:proofErr w:type="spellEnd"/>
      <w:r>
        <w:rPr>
          <w:color w:val="000000"/>
        </w:rPr>
        <w:t xml:space="preserve"> was set up and maintained for 1 month. After parasites were no longer detectable in blood smears (4 days), the culture was maintained by replacement with 30% fresh human RBCs and medium</w:t>
      </w:r>
      <w:r w:rsidRPr="004D67C3">
        <w:rPr>
          <w:color w:val="000000"/>
        </w:rPr>
        <w:t xml:space="preserve"> </w:t>
      </w:r>
      <w:r>
        <w:rPr>
          <w:color w:val="000000"/>
        </w:rPr>
        <w:t>every 2-3 days. The (</w:t>
      </w:r>
      <w:proofErr w:type="spellStart"/>
      <w:r>
        <w:rPr>
          <w:color w:val="000000"/>
        </w:rPr>
        <w:t>revertant</w:t>
      </w:r>
      <w:proofErr w:type="spellEnd"/>
      <w:r>
        <w:rPr>
          <w:color w:val="000000"/>
        </w:rPr>
        <w:t xml:space="preserve">) parasites that were detectable after 28 days were analysed by PCR together with A1-H.1 and </w:t>
      </w:r>
      <w:proofErr w:type="spellStart"/>
      <w:r w:rsidRPr="0018315F">
        <w:rPr>
          <w:color w:val="000000"/>
        </w:rPr>
        <w:t>ΔNBPXa</w:t>
      </w:r>
      <w:proofErr w:type="spellEnd"/>
      <w:r>
        <w:rPr>
          <w:color w:val="000000"/>
        </w:rPr>
        <w:t xml:space="preserve"> controls</w:t>
      </w:r>
      <w:r w:rsidRPr="003B4F21">
        <w:rPr>
          <w:color w:val="000000"/>
        </w:rPr>
        <w:t>.</w:t>
      </w:r>
    </w:p>
    <w:p w:rsidR="00B0554F" w:rsidRPr="00EF2B17" w:rsidRDefault="00B0554F" w:rsidP="000B43C1">
      <w:pPr>
        <w:spacing w:line="480" w:lineRule="auto"/>
        <w:ind w:firstLine="720"/>
        <w:rPr>
          <w:rFonts w:eastAsia="Times New Roman" w:cstheme="minorHAnsi"/>
          <w:lang w:eastAsia="en-GB"/>
        </w:rPr>
      </w:pPr>
      <w:r>
        <w:t xml:space="preserve">The difference between adhesion and invasion of merozoites was also measured using an immunofluorescence assay. </w:t>
      </w:r>
      <w:r w:rsidRPr="00EF2B17">
        <w:t xml:space="preserve">Synchronous </w:t>
      </w:r>
      <w:r w:rsidRPr="00EF2B17">
        <w:rPr>
          <w:i/>
        </w:rPr>
        <w:t>P. knowlesi</w:t>
      </w:r>
      <w:r w:rsidRPr="00EF2B17">
        <w:t xml:space="preserve"> A1-H.1 or </w:t>
      </w:r>
      <w:proofErr w:type="spellStart"/>
      <w:r w:rsidRPr="00EF2B17">
        <w:rPr>
          <w:i/>
        </w:rPr>
        <w:t>ΔNBPXa</w:t>
      </w:r>
      <w:proofErr w:type="spellEnd"/>
      <w:r w:rsidRPr="00EF2B17">
        <w:t xml:space="preserve"> schizonts were </w:t>
      </w:r>
      <w:r>
        <w:t>added to</w:t>
      </w:r>
      <w:r w:rsidRPr="00EF2B17">
        <w:t xml:space="preserve"> triplicate cultures at 2% </w:t>
      </w:r>
      <w:proofErr w:type="spellStart"/>
      <w:r w:rsidRPr="00EF2B17">
        <w:t>parasitemia</w:t>
      </w:r>
      <w:proofErr w:type="spellEnd"/>
      <w:r w:rsidRPr="00EF2B17">
        <w:t xml:space="preserve"> with </w:t>
      </w:r>
      <w:r w:rsidRPr="00EF2B17">
        <w:rPr>
          <w:rFonts w:cstheme="minorHAnsi"/>
        </w:rPr>
        <w:t xml:space="preserve">cynomolgus or human </w:t>
      </w:r>
      <w:r>
        <w:rPr>
          <w:rFonts w:cstheme="minorHAnsi"/>
        </w:rPr>
        <w:t>RBC and a</w:t>
      </w:r>
      <w:r w:rsidRPr="00EF2B17">
        <w:rPr>
          <w:rFonts w:cstheme="minorHAnsi"/>
        </w:rPr>
        <w:t>fter 3 h thin blood films were prepared for</w:t>
      </w:r>
      <w:r w:rsidRPr="00EF2B17">
        <w:rPr>
          <w:rFonts w:ascii="Calibri" w:eastAsia="Times New Roman" w:hAnsi="Calibri" w:cs="Calibri"/>
          <w:color w:val="000000"/>
          <w:lang w:eastAsia="en-GB"/>
        </w:rPr>
        <w:t xml:space="preserve"> immunofluorescen</w:t>
      </w:r>
      <w:r>
        <w:rPr>
          <w:rFonts w:ascii="Calibri" w:eastAsia="Times New Roman" w:hAnsi="Calibri" w:cs="Calibri"/>
          <w:color w:val="000000"/>
          <w:lang w:eastAsia="en-GB"/>
        </w:rPr>
        <w:t>ce</w:t>
      </w:r>
      <w:r w:rsidRPr="00EF2B17">
        <w:rPr>
          <w:rFonts w:ascii="Calibri" w:eastAsia="Times New Roman" w:hAnsi="Calibri" w:cs="Calibri"/>
          <w:color w:val="000000"/>
          <w:lang w:eastAsia="en-GB"/>
        </w:rPr>
        <w:t xml:space="preserve"> staining.</w:t>
      </w:r>
      <w:r w:rsidRPr="00EF2B17">
        <w:rPr>
          <w:rFonts w:cstheme="minorHAnsi"/>
        </w:rPr>
        <w:t xml:space="preserve">  The number of free merozoites (MSP1</w:t>
      </w:r>
      <w:r w:rsidRPr="00EF2B17">
        <w:rPr>
          <w:rFonts w:cstheme="minorHAnsi"/>
          <w:vertAlign w:val="subscript"/>
        </w:rPr>
        <w:t xml:space="preserve">19 </w:t>
      </w:r>
      <w:r w:rsidRPr="00EF2B17">
        <w:rPr>
          <w:rFonts w:cstheme="minorHAnsi"/>
        </w:rPr>
        <w:t>positive, MSP1</w:t>
      </w:r>
      <w:r w:rsidRPr="00EF2B17">
        <w:rPr>
          <w:rFonts w:cstheme="minorHAnsi"/>
          <w:vertAlign w:val="subscript"/>
        </w:rPr>
        <w:t>33</w:t>
      </w:r>
      <w:r w:rsidRPr="00EF2B17">
        <w:rPr>
          <w:rFonts w:cstheme="minorHAnsi"/>
        </w:rPr>
        <w:t xml:space="preserve"> positive, </w:t>
      </w:r>
      <w:proofErr w:type="gramStart"/>
      <w:r w:rsidRPr="00EF2B17">
        <w:rPr>
          <w:rFonts w:cstheme="minorHAnsi"/>
        </w:rPr>
        <w:t>no</w:t>
      </w:r>
      <w:proofErr w:type="gramEnd"/>
      <w:r w:rsidRPr="00EF2B17">
        <w:rPr>
          <w:rFonts w:cstheme="minorHAnsi"/>
        </w:rPr>
        <w:t xml:space="preserve"> contact with RBC), attached merozoites (MSP1</w:t>
      </w:r>
      <w:r w:rsidRPr="00EF2B17">
        <w:rPr>
          <w:rFonts w:cstheme="minorHAnsi"/>
          <w:vertAlign w:val="subscript"/>
        </w:rPr>
        <w:t>19</w:t>
      </w:r>
      <w:r w:rsidRPr="00EF2B17">
        <w:rPr>
          <w:rFonts w:cstheme="minorHAnsi"/>
        </w:rPr>
        <w:t xml:space="preserve"> positive, MSP1</w:t>
      </w:r>
      <w:r w:rsidRPr="00EF2B17">
        <w:rPr>
          <w:rFonts w:cstheme="minorHAnsi"/>
          <w:vertAlign w:val="subscript"/>
        </w:rPr>
        <w:t>33</w:t>
      </w:r>
      <w:r w:rsidRPr="00EF2B17">
        <w:rPr>
          <w:rFonts w:cstheme="minorHAnsi"/>
        </w:rPr>
        <w:t xml:space="preserve"> positive, in contact with RBCs), rings (MSP1</w:t>
      </w:r>
      <w:r w:rsidRPr="00EF2B17">
        <w:rPr>
          <w:rFonts w:cstheme="minorHAnsi"/>
          <w:vertAlign w:val="subscript"/>
        </w:rPr>
        <w:t>19</w:t>
      </w:r>
      <w:r w:rsidRPr="00EF2B17">
        <w:rPr>
          <w:rFonts w:cstheme="minorHAnsi"/>
        </w:rPr>
        <w:t xml:space="preserve"> positive, MSP1</w:t>
      </w:r>
      <w:r w:rsidRPr="00EF2B17">
        <w:rPr>
          <w:rFonts w:cstheme="minorHAnsi"/>
          <w:vertAlign w:val="subscript"/>
        </w:rPr>
        <w:t>33</w:t>
      </w:r>
      <w:r w:rsidRPr="00EF2B17">
        <w:rPr>
          <w:rFonts w:cstheme="minorHAnsi"/>
        </w:rPr>
        <w:t xml:space="preserve"> negative, within RBCs) and RBCs were counted. A minimum of 1000 RBCs w</w:t>
      </w:r>
      <w:r>
        <w:rPr>
          <w:rFonts w:cstheme="minorHAnsi"/>
        </w:rPr>
        <w:t>as</w:t>
      </w:r>
      <w:r w:rsidRPr="00EF2B17">
        <w:rPr>
          <w:rFonts w:cstheme="minorHAnsi"/>
        </w:rPr>
        <w:t xml:space="preserve"> </w:t>
      </w:r>
      <w:r>
        <w:rPr>
          <w:rFonts w:cstheme="minorHAnsi"/>
        </w:rPr>
        <w:t>examined.</w:t>
      </w:r>
      <w:r w:rsidRPr="00EF2B17">
        <w:rPr>
          <w:rFonts w:cstheme="minorHAnsi"/>
        </w:rPr>
        <w:t xml:space="preserve"> </w:t>
      </w:r>
    </w:p>
    <w:p w:rsidR="00B0554F" w:rsidRPr="00A751D4" w:rsidRDefault="00B0554F" w:rsidP="0045204F">
      <w:pPr>
        <w:spacing w:after="0" w:line="480" w:lineRule="auto"/>
        <w:rPr>
          <w:rFonts w:ascii="Times New Roman" w:eastAsia="Times New Roman" w:hAnsi="Times New Roman" w:cs="Times New Roman"/>
          <w:color w:val="FF0000"/>
          <w:lang w:eastAsia="en-GB"/>
        </w:rPr>
      </w:pPr>
      <w:r w:rsidRPr="00A751D4">
        <w:rPr>
          <w:b/>
        </w:rPr>
        <w:t xml:space="preserve">DNA constructs and </w:t>
      </w:r>
      <w:proofErr w:type="gramStart"/>
      <w:r w:rsidRPr="00A751D4">
        <w:rPr>
          <w:b/>
        </w:rPr>
        <w:t xml:space="preserve">PCR </w:t>
      </w:r>
      <w:r>
        <w:rPr>
          <w:b/>
        </w:rPr>
        <w:t>.</w:t>
      </w:r>
      <w:proofErr w:type="gramEnd"/>
      <w:r>
        <w:rPr>
          <w:b/>
        </w:rPr>
        <w:t xml:space="preserve"> </w:t>
      </w:r>
      <w:r w:rsidRPr="00A751D4">
        <w:t xml:space="preserve">The DNA construct </w:t>
      </w:r>
      <w:r>
        <w:t>(</w:t>
      </w:r>
      <w:r w:rsidRPr="00A751D4">
        <w:t>NBPXa_</w:t>
      </w:r>
      <w:proofErr w:type="gramStart"/>
      <w:r w:rsidRPr="00A751D4">
        <w:t xml:space="preserve">1XKO </w:t>
      </w:r>
      <w:r>
        <w:t>)</w:t>
      </w:r>
      <w:proofErr w:type="gramEnd"/>
      <w:r>
        <w:t xml:space="preserve"> </w:t>
      </w:r>
      <w:r w:rsidRPr="00A751D4">
        <w:t xml:space="preserve">for targeted disruption of </w:t>
      </w:r>
      <w:proofErr w:type="spellStart"/>
      <w:r w:rsidRPr="00A476CC">
        <w:rPr>
          <w:i/>
        </w:rPr>
        <w:t>NBPXa</w:t>
      </w:r>
      <w:proofErr w:type="spellEnd"/>
      <w:r w:rsidRPr="00A751D4">
        <w:t xml:space="preserve"> (</w:t>
      </w:r>
      <w:proofErr w:type="spellStart"/>
      <w:r w:rsidRPr="00A751D4">
        <w:t>GeneDB</w:t>
      </w:r>
      <w:proofErr w:type="spellEnd"/>
      <w:r w:rsidRPr="00A751D4">
        <w:t xml:space="preserve"> ID </w:t>
      </w:r>
      <w:r w:rsidRPr="00A751D4">
        <w:rPr>
          <w:rFonts w:cs="Tahoma"/>
        </w:rPr>
        <w:t xml:space="preserve">PKNH_1472300) via </w:t>
      </w:r>
      <w:r w:rsidRPr="00A751D4">
        <w:t xml:space="preserve">single cross over homologous recombination was adapted from a </w:t>
      </w:r>
      <w:r w:rsidRPr="00A751D4">
        <w:lastRenderedPageBreak/>
        <w:t xml:space="preserve">precursor to the </w:t>
      </w:r>
      <w:proofErr w:type="spellStart"/>
      <w:r w:rsidRPr="00A751D4">
        <w:t>PkconGFP</w:t>
      </w:r>
      <w:r w:rsidRPr="00A751D4">
        <w:rPr>
          <w:vertAlign w:val="subscript"/>
        </w:rPr>
        <w:t>ep</w:t>
      </w:r>
      <w:proofErr w:type="spellEnd"/>
      <w:r w:rsidRPr="00A751D4">
        <w:rPr>
          <w:vertAlign w:val="subscript"/>
        </w:rPr>
        <w:t xml:space="preserve"> </w:t>
      </w:r>
      <w:r w:rsidRPr="00814D9D">
        <w:t xml:space="preserve">vector </w:t>
      </w:r>
      <w:r>
        <w:rPr>
          <w:noProof/>
        </w:rPr>
        <w:t>(21)</w:t>
      </w:r>
      <w:r>
        <w:rPr>
          <w:rFonts w:cstheme="minorHAnsi"/>
        </w:rPr>
        <w:t xml:space="preserve"> and used a </w:t>
      </w:r>
      <w:r w:rsidRPr="00A751D4">
        <w:rPr>
          <w:rFonts w:cstheme="minorHAnsi"/>
        </w:rPr>
        <w:t xml:space="preserve">1.2 kb region of the 5’ end of the </w:t>
      </w:r>
      <w:proofErr w:type="spellStart"/>
      <w:r w:rsidRPr="00A751D4">
        <w:rPr>
          <w:rFonts w:cstheme="minorHAnsi"/>
          <w:i/>
        </w:rPr>
        <w:t>NBPXa</w:t>
      </w:r>
      <w:proofErr w:type="spellEnd"/>
      <w:r w:rsidRPr="00A751D4">
        <w:rPr>
          <w:rFonts w:cstheme="minorHAnsi"/>
        </w:rPr>
        <w:t xml:space="preserve"> gene</w:t>
      </w:r>
      <w:r>
        <w:rPr>
          <w:rFonts w:cstheme="minorHAnsi"/>
        </w:rPr>
        <w:t xml:space="preserve"> to target the </w:t>
      </w:r>
      <w:proofErr w:type="spellStart"/>
      <w:r>
        <w:rPr>
          <w:rFonts w:cstheme="minorHAnsi"/>
        </w:rPr>
        <w:t>NBPXa</w:t>
      </w:r>
      <w:proofErr w:type="spellEnd"/>
      <w:r>
        <w:rPr>
          <w:rFonts w:cstheme="minorHAnsi"/>
        </w:rPr>
        <w:t xml:space="preserve"> locus, with </w:t>
      </w:r>
      <w:r w:rsidRPr="00A751D4">
        <w:t xml:space="preserve"> lineari</w:t>
      </w:r>
      <w:r>
        <w:t>zation</w:t>
      </w:r>
      <w:r w:rsidRPr="00A751D4">
        <w:t xml:space="preserve"> for transfection using the </w:t>
      </w:r>
      <w:proofErr w:type="spellStart"/>
      <w:r w:rsidRPr="00A751D4">
        <w:rPr>
          <w:i/>
        </w:rPr>
        <w:t>BsiWI</w:t>
      </w:r>
      <w:proofErr w:type="spellEnd"/>
      <w:r w:rsidRPr="00A751D4">
        <w:rPr>
          <w:i/>
        </w:rPr>
        <w:t xml:space="preserve"> site </w:t>
      </w:r>
      <w:r w:rsidRPr="00A751D4">
        <w:t>situated in the</w:t>
      </w:r>
      <w:r w:rsidRPr="00A751D4">
        <w:rPr>
          <w:i/>
        </w:rPr>
        <w:t xml:space="preserve"> </w:t>
      </w:r>
      <w:proofErr w:type="spellStart"/>
      <w:r w:rsidRPr="00A751D4">
        <w:rPr>
          <w:i/>
        </w:rPr>
        <w:t>NBPXa</w:t>
      </w:r>
      <w:proofErr w:type="spellEnd"/>
      <w:r w:rsidRPr="00A751D4">
        <w:rPr>
          <w:i/>
        </w:rPr>
        <w:t xml:space="preserve"> </w:t>
      </w:r>
      <w:r w:rsidRPr="00A751D4">
        <w:t xml:space="preserve">fragment.  </w:t>
      </w:r>
    </w:p>
    <w:p w:rsidR="00B0554F" w:rsidRPr="00EA1C7F" w:rsidRDefault="00B0554F" w:rsidP="0045204F">
      <w:pPr>
        <w:spacing w:after="0" w:line="480" w:lineRule="auto"/>
      </w:pPr>
      <w:proofErr w:type="gramStart"/>
      <w:r w:rsidRPr="00A751D4">
        <w:rPr>
          <w:b/>
        </w:rPr>
        <w:t>Transfection</w:t>
      </w:r>
      <w:r>
        <w:rPr>
          <w:b/>
        </w:rPr>
        <w:t>,</w:t>
      </w:r>
      <w:r w:rsidRPr="00A751D4">
        <w:rPr>
          <w:b/>
        </w:rPr>
        <w:t xml:space="preserve"> cloning </w:t>
      </w:r>
      <w:r>
        <w:rPr>
          <w:b/>
        </w:rPr>
        <w:t>and genotyping.</w:t>
      </w:r>
      <w:proofErr w:type="gramEnd"/>
      <w:r>
        <w:rPr>
          <w:b/>
        </w:rPr>
        <w:t xml:space="preserve"> </w:t>
      </w:r>
      <w:r>
        <w:t>Parasites</w:t>
      </w:r>
      <w:r w:rsidRPr="00A751D4">
        <w:t xml:space="preserve"> were </w:t>
      </w:r>
      <w:proofErr w:type="gramStart"/>
      <w:r w:rsidRPr="00A751D4">
        <w:t>transfected</w:t>
      </w:r>
      <w:r>
        <w:t xml:space="preserve">  with</w:t>
      </w:r>
      <w:proofErr w:type="gramEnd"/>
      <w:r>
        <w:t xml:space="preserve"> NBPXa_1XKO or </w:t>
      </w:r>
      <w:r w:rsidRPr="00A751D4">
        <w:t>positive control plasmid</w:t>
      </w:r>
      <w:r>
        <w:t xml:space="preserve"> </w:t>
      </w:r>
      <w:r w:rsidRPr="000B43C1">
        <w:t>PkconGFPp230p</w:t>
      </w:r>
      <w:r w:rsidRPr="00A751D4">
        <w:t xml:space="preserve"> </w:t>
      </w:r>
      <w:r>
        <w:rPr>
          <w:noProof/>
        </w:rPr>
        <w:t>(21)</w:t>
      </w:r>
      <w:r>
        <w:t xml:space="preserve"> and f</w:t>
      </w:r>
      <w:r w:rsidRPr="00A751D4">
        <w:t>resh human or cynomolgus RBC</w:t>
      </w:r>
      <w:r>
        <w:t>s</w:t>
      </w:r>
      <w:r w:rsidRPr="00A751D4">
        <w:t xml:space="preserve"> added every 4 days until parasites were visible.</w:t>
      </w:r>
      <w:r>
        <w:t xml:space="preserve"> </w:t>
      </w:r>
      <w:r w:rsidRPr="00A751D4">
        <w:t>Parasites were cloned by limiting dilution</w:t>
      </w:r>
      <w:r>
        <w:t xml:space="preserve">, a process requiring 9 or 14 days in either cynomolgus or human RBC respectively, and </w:t>
      </w:r>
      <w:r w:rsidRPr="00A751D4">
        <w:t xml:space="preserve">then expanded for genotypic and phenotypic analysis. </w:t>
      </w:r>
      <w:r>
        <w:t>Transfected p</w:t>
      </w:r>
      <w:r w:rsidRPr="00A751D4">
        <w:t>arasites were analysed by diagnostic PCR</w:t>
      </w:r>
      <w:r>
        <w:t xml:space="preserve"> with </w:t>
      </w:r>
      <w:r w:rsidRPr="000532E8">
        <w:rPr>
          <w:rFonts w:cstheme="minorHAnsi"/>
        </w:rPr>
        <w:t xml:space="preserve">two different primer sets. The first was designed to amplify a 1,478 </w:t>
      </w:r>
      <w:proofErr w:type="spellStart"/>
      <w:r w:rsidRPr="000532E8">
        <w:rPr>
          <w:rFonts w:cstheme="minorHAnsi"/>
        </w:rPr>
        <w:t>bp</w:t>
      </w:r>
      <w:proofErr w:type="spellEnd"/>
      <w:r w:rsidRPr="000532E8">
        <w:rPr>
          <w:rFonts w:cstheme="minorHAnsi"/>
        </w:rPr>
        <w:t xml:space="preserve"> fragment only from the intact wild type </w:t>
      </w:r>
      <w:proofErr w:type="spellStart"/>
      <w:r w:rsidRPr="000532E8">
        <w:rPr>
          <w:rFonts w:cstheme="minorHAnsi"/>
          <w:i/>
        </w:rPr>
        <w:t>NBPXa</w:t>
      </w:r>
      <w:proofErr w:type="spellEnd"/>
      <w:r w:rsidRPr="00DC6C8C">
        <w:rPr>
          <w:rFonts w:cstheme="minorHAnsi"/>
        </w:rPr>
        <w:t xml:space="preserve"> locus</w:t>
      </w:r>
      <w:r>
        <w:rPr>
          <w:rFonts w:eastAsia="Times New Roman" w:cstheme="minorHAnsi"/>
          <w:lang w:eastAsia="en-GB"/>
        </w:rPr>
        <w:t xml:space="preserve"> (ol1 </w:t>
      </w:r>
      <w:r w:rsidRPr="00FF4B14">
        <w:rPr>
          <w:rFonts w:eastAsia="Times New Roman" w:cstheme="minorHAnsi"/>
          <w:lang w:eastAsia="en-GB"/>
        </w:rPr>
        <w:t>and ol2)</w:t>
      </w:r>
      <w:r>
        <w:rPr>
          <w:rFonts w:eastAsia="Times New Roman" w:cstheme="minorHAnsi"/>
          <w:lang w:eastAsia="en-GB"/>
        </w:rPr>
        <w:t xml:space="preserve"> and t</w:t>
      </w:r>
      <w:r w:rsidRPr="000532E8">
        <w:rPr>
          <w:rFonts w:cstheme="minorHAnsi"/>
        </w:rPr>
        <w:t>he second was designed to amplify a 1,</w:t>
      </w:r>
      <w:r w:rsidRPr="00DC6C8C">
        <w:rPr>
          <w:rFonts w:cstheme="minorHAnsi"/>
        </w:rPr>
        <w:t xml:space="preserve">306 </w:t>
      </w:r>
      <w:proofErr w:type="spellStart"/>
      <w:r w:rsidRPr="003E3341">
        <w:rPr>
          <w:rFonts w:cstheme="minorHAnsi"/>
        </w:rPr>
        <w:t>bp</w:t>
      </w:r>
      <w:proofErr w:type="spellEnd"/>
      <w:r w:rsidRPr="003E3341">
        <w:rPr>
          <w:rFonts w:cstheme="minorHAnsi"/>
        </w:rPr>
        <w:t xml:space="preserve"> fragment after correct integration of NBPXa_1XKO (ol1</w:t>
      </w:r>
      <w:r w:rsidRPr="00FF4B14">
        <w:rPr>
          <w:rFonts w:eastAsia="Times New Roman" w:cstheme="minorHAnsi"/>
          <w:lang w:eastAsia="en-GB"/>
        </w:rPr>
        <w:t xml:space="preserve"> and ol3).</w:t>
      </w:r>
      <w:r w:rsidRPr="000532E8">
        <w:rPr>
          <w:rFonts w:cstheme="minorHAnsi"/>
        </w:rPr>
        <w:t xml:space="preserve"> PCR reactions were carried out using </w:t>
      </w:r>
      <w:proofErr w:type="spellStart"/>
      <w:r w:rsidRPr="000532E8">
        <w:rPr>
          <w:rFonts w:cstheme="minorHAnsi"/>
        </w:rPr>
        <w:t>GoTaq</w:t>
      </w:r>
      <w:proofErr w:type="spellEnd"/>
      <w:r w:rsidRPr="000532E8">
        <w:rPr>
          <w:rFonts w:cstheme="minorHAnsi"/>
        </w:rPr>
        <w:t xml:space="preserve"> </w:t>
      </w:r>
      <w:proofErr w:type="spellStart"/>
      <w:r w:rsidRPr="000532E8">
        <w:rPr>
          <w:rFonts w:cstheme="minorHAnsi"/>
        </w:rPr>
        <w:t>Mastermix</w:t>
      </w:r>
      <w:proofErr w:type="spellEnd"/>
      <w:r w:rsidRPr="000532E8">
        <w:rPr>
          <w:rFonts w:cstheme="minorHAnsi"/>
        </w:rPr>
        <w:t xml:space="preserve"> (</w:t>
      </w:r>
      <w:proofErr w:type="spellStart"/>
      <w:r w:rsidRPr="00EA1C7F">
        <w:rPr>
          <w:rFonts w:cstheme="minorHAnsi"/>
        </w:rPr>
        <w:t>Promega</w:t>
      </w:r>
      <w:proofErr w:type="spellEnd"/>
      <w:r w:rsidRPr="00EA1C7F">
        <w:rPr>
          <w:rFonts w:cstheme="minorHAnsi"/>
        </w:rPr>
        <w:t>)</w:t>
      </w:r>
      <w:r w:rsidRPr="00E04EE3">
        <w:rPr>
          <w:rFonts w:cstheme="minorHAnsi"/>
        </w:rPr>
        <w:t xml:space="preserve"> using the</w:t>
      </w:r>
      <w:r w:rsidRPr="00E04EE3">
        <w:t xml:space="preserve"> following </w:t>
      </w:r>
      <w:r w:rsidRPr="006F179B">
        <w:rPr>
          <w:rFonts w:cs="Arial"/>
          <w:color w:val="403838"/>
          <w:lang w:val="en"/>
        </w:rPr>
        <w:t xml:space="preserve">cycle conditions: 3 min at 96 °C, then 30 cycles of 25 s at 96 °C, 25 s at 52 °C, and 2 min at 64 °C, and a final extension of 5 min at 64 °C. </w:t>
      </w:r>
    </w:p>
    <w:p w:rsidR="00B0554F" w:rsidRPr="00262FD2" w:rsidRDefault="00B0554F" w:rsidP="0045204F">
      <w:pPr>
        <w:spacing w:after="0" w:line="480" w:lineRule="auto"/>
        <w:rPr>
          <w:b/>
        </w:rPr>
      </w:pPr>
    </w:p>
    <w:p w:rsidR="00B0554F" w:rsidRDefault="00B0554F" w:rsidP="006F179B">
      <w:pPr>
        <w:spacing w:after="0" w:line="480" w:lineRule="auto"/>
        <w:rPr>
          <w:rFonts w:cs="Arial"/>
          <w:b/>
        </w:rPr>
      </w:pPr>
      <w:r w:rsidRPr="00F516C8">
        <w:rPr>
          <w:rFonts w:cs="Arial"/>
          <w:b/>
        </w:rPr>
        <w:t>References</w:t>
      </w:r>
    </w:p>
    <w:p w:rsidR="00B0554F" w:rsidRPr="006F179B" w:rsidRDefault="00B0554F" w:rsidP="006F179B">
      <w:pPr>
        <w:pStyle w:val="EndNoteBibliography"/>
        <w:spacing w:after="0" w:line="480" w:lineRule="auto"/>
        <w:ind w:left="720" w:hanging="720"/>
      </w:pPr>
      <w:bookmarkStart w:id="0" w:name="_ENREF_1"/>
      <w:r w:rsidRPr="006F179B">
        <w:t>1.</w:t>
      </w:r>
      <w:r w:rsidRPr="006F179B">
        <w:tab/>
        <w:t>Lee K-S</w:t>
      </w:r>
      <w:r w:rsidRPr="006F179B">
        <w:rPr>
          <w:i/>
        </w:rPr>
        <w:t>, et al.</w:t>
      </w:r>
      <w:r w:rsidRPr="006F179B">
        <w:t xml:space="preserve"> (2011) </w:t>
      </w:r>
      <w:r w:rsidRPr="006F179B">
        <w:rPr>
          <w:i/>
        </w:rPr>
        <w:t>Plasmodium knowlesi</w:t>
      </w:r>
      <w:r w:rsidRPr="006F179B">
        <w:t xml:space="preserve">: reservoir hosts and tracking the emergence in humans and macaques. </w:t>
      </w:r>
      <w:r w:rsidRPr="006F179B">
        <w:rPr>
          <w:i/>
        </w:rPr>
        <w:t>PLoS pathogens</w:t>
      </w:r>
      <w:r w:rsidRPr="006F179B">
        <w:t xml:space="preserve"> 7(4):e1002015-e1002015.</w:t>
      </w:r>
      <w:bookmarkEnd w:id="0"/>
    </w:p>
    <w:p w:rsidR="00B0554F" w:rsidRPr="006F179B" w:rsidRDefault="00B0554F" w:rsidP="006F179B">
      <w:pPr>
        <w:pStyle w:val="EndNoteBibliography"/>
        <w:spacing w:after="0" w:line="480" w:lineRule="auto"/>
        <w:ind w:left="720" w:hanging="720"/>
      </w:pPr>
      <w:bookmarkStart w:id="1" w:name="_ENREF_2"/>
      <w:r w:rsidRPr="006F179B">
        <w:t>2.</w:t>
      </w:r>
      <w:r w:rsidRPr="006F179B">
        <w:tab/>
        <w:t>Singh B</w:t>
      </w:r>
      <w:r w:rsidRPr="006F179B">
        <w:rPr>
          <w:i/>
        </w:rPr>
        <w:t>, et al.</w:t>
      </w:r>
      <w:r w:rsidRPr="006F179B">
        <w:t xml:space="preserve"> (2004) A large focus of naturally acquired </w:t>
      </w:r>
      <w:r w:rsidRPr="006F179B">
        <w:rPr>
          <w:i/>
        </w:rPr>
        <w:t>Plasmodium knowlesi</w:t>
      </w:r>
      <w:r w:rsidRPr="006F179B">
        <w:t xml:space="preserve"> infections in human beings. </w:t>
      </w:r>
      <w:r w:rsidRPr="006F179B">
        <w:rPr>
          <w:i/>
        </w:rPr>
        <w:t>The Lancet</w:t>
      </w:r>
      <w:r w:rsidRPr="006F179B">
        <w:t xml:space="preserve"> 363(9414):1017-1024.</w:t>
      </w:r>
      <w:bookmarkEnd w:id="1"/>
    </w:p>
    <w:p w:rsidR="00B0554F" w:rsidRPr="006F179B" w:rsidRDefault="00B0554F" w:rsidP="006F179B">
      <w:pPr>
        <w:pStyle w:val="EndNoteBibliography"/>
        <w:spacing w:after="0" w:line="480" w:lineRule="auto"/>
        <w:ind w:left="720" w:hanging="720"/>
      </w:pPr>
      <w:bookmarkStart w:id="2" w:name="_ENREF_3"/>
      <w:r w:rsidRPr="006F179B">
        <w:t>3.</w:t>
      </w:r>
      <w:r w:rsidRPr="006F179B">
        <w:tab/>
        <w:t>William T</w:t>
      </w:r>
      <w:r w:rsidRPr="006F179B">
        <w:rPr>
          <w:i/>
        </w:rPr>
        <w:t>, et al.</w:t>
      </w:r>
      <w:r w:rsidRPr="006F179B">
        <w:t xml:space="preserve"> (2013) Increasing Incidence of </w:t>
      </w:r>
      <w:r w:rsidRPr="006F179B">
        <w:rPr>
          <w:i/>
        </w:rPr>
        <w:t xml:space="preserve">Plasmodium knowlesi </w:t>
      </w:r>
      <w:r w:rsidRPr="006F179B">
        <w:t xml:space="preserve">Malaria following Control of </w:t>
      </w:r>
      <w:r w:rsidRPr="006F179B">
        <w:rPr>
          <w:i/>
        </w:rPr>
        <w:t>P. falciparum</w:t>
      </w:r>
      <w:r w:rsidRPr="006F179B">
        <w:t xml:space="preserve"> and </w:t>
      </w:r>
      <w:r w:rsidRPr="006F179B">
        <w:rPr>
          <w:i/>
        </w:rPr>
        <w:t>P. vivax</w:t>
      </w:r>
      <w:r w:rsidRPr="006F179B">
        <w:t xml:space="preserve"> Malaria in Sabah, Malaysia. </w:t>
      </w:r>
      <w:r w:rsidRPr="006F179B">
        <w:rPr>
          <w:i/>
        </w:rPr>
        <w:t>PLoS Negl Trop Dis</w:t>
      </w:r>
      <w:r w:rsidRPr="006F179B">
        <w:t xml:space="preserve"> 7(1):e2026-e2026.</w:t>
      </w:r>
      <w:bookmarkEnd w:id="2"/>
    </w:p>
    <w:p w:rsidR="00B0554F" w:rsidRPr="006F179B" w:rsidRDefault="00B0554F" w:rsidP="006F179B">
      <w:pPr>
        <w:pStyle w:val="EndNoteBibliography"/>
        <w:spacing w:after="0" w:line="480" w:lineRule="auto"/>
        <w:ind w:left="720" w:hanging="720"/>
      </w:pPr>
      <w:bookmarkStart w:id="3" w:name="_ENREF_4"/>
      <w:r w:rsidRPr="006F179B">
        <w:t>4.</w:t>
      </w:r>
      <w:r w:rsidRPr="006F179B">
        <w:tab/>
        <w:t>Yusof R</w:t>
      </w:r>
      <w:r w:rsidRPr="006F179B">
        <w:rPr>
          <w:i/>
        </w:rPr>
        <w:t>, et al.</w:t>
      </w:r>
      <w:r w:rsidRPr="006F179B">
        <w:t xml:space="preserve"> (2014) High proportion of knowlesi malaria in recent malaria cases in Malaysia. </w:t>
      </w:r>
      <w:r w:rsidRPr="006F179B">
        <w:rPr>
          <w:i/>
        </w:rPr>
        <w:t>Malaria Journal</w:t>
      </w:r>
      <w:r w:rsidRPr="006F179B">
        <w:t xml:space="preserve"> 13(1):168.</w:t>
      </w:r>
      <w:bookmarkEnd w:id="3"/>
    </w:p>
    <w:p w:rsidR="00B0554F" w:rsidRPr="006F179B" w:rsidRDefault="00B0554F" w:rsidP="006F179B">
      <w:pPr>
        <w:pStyle w:val="EndNoteBibliography"/>
        <w:spacing w:after="0" w:line="480" w:lineRule="auto"/>
        <w:ind w:left="720" w:hanging="720"/>
      </w:pPr>
      <w:bookmarkStart w:id="4" w:name="_ENREF_5"/>
      <w:r w:rsidRPr="006F179B">
        <w:t>5.</w:t>
      </w:r>
      <w:r w:rsidRPr="006F179B">
        <w:tab/>
        <w:t xml:space="preserve">Cowman AF &amp; Crabb BS (2006) Invasion of Red Blood Cells by Malaria Parasites. </w:t>
      </w:r>
      <w:r w:rsidRPr="006F179B">
        <w:rPr>
          <w:i/>
        </w:rPr>
        <w:t>Cell</w:t>
      </w:r>
      <w:r w:rsidRPr="006F179B">
        <w:t xml:space="preserve"> 124(4):755-766.</w:t>
      </w:r>
      <w:bookmarkEnd w:id="4"/>
    </w:p>
    <w:p w:rsidR="00B0554F" w:rsidRPr="006F179B" w:rsidRDefault="00B0554F" w:rsidP="006F179B">
      <w:pPr>
        <w:pStyle w:val="EndNoteBibliography"/>
        <w:spacing w:after="0" w:line="480" w:lineRule="auto"/>
        <w:ind w:left="720" w:hanging="720"/>
      </w:pPr>
      <w:bookmarkStart w:id="5" w:name="_ENREF_6"/>
      <w:r w:rsidRPr="006F179B">
        <w:lastRenderedPageBreak/>
        <w:t>6.</w:t>
      </w:r>
      <w:r w:rsidRPr="006F179B">
        <w:tab/>
        <w:t>Miller LH, Mason SJ, Dvorak JA, McGinniss MH, &amp; Rothman IK (1975) Erythrocyte receptors for (</w:t>
      </w:r>
      <w:r w:rsidRPr="006F179B">
        <w:rPr>
          <w:i/>
        </w:rPr>
        <w:t>Plasmodium knowlesi</w:t>
      </w:r>
      <w:r w:rsidRPr="006F179B">
        <w:t xml:space="preserve">) malaria: Duffy blood group determinants. </w:t>
      </w:r>
      <w:r w:rsidRPr="006F179B">
        <w:rPr>
          <w:i/>
        </w:rPr>
        <w:t>Science.</w:t>
      </w:r>
      <w:r w:rsidRPr="006F179B">
        <w:t xml:space="preserve"> 189(4202):561-563.</w:t>
      </w:r>
      <w:bookmarkEnd w:id="5"/>
    </w:p>
    <w:p w:rsidR="00B0554F" w:rsidRPr="006F179B" w:rsidRDefault="00B0554F" w:rsidP="006F179B">
      <w:pPr>
        <w:pStyle w:val="EndNoteBibliography"/>
        <w:spacing w:after="0" w:line="480" w:lineRule="auto"/>
        <w:ind w:left="720" w:hanging="720"/>
      </w:pPr>
      <w:bookmarkStart w:id="6" w:name="_ENREF_7"/>
      <w:r w:rsidRPr="006F179B">
        <w:t>7.</w:t>
      </w:r>
      <w:r w:rsidRPr="006F179B">
        <w:tab/>
        <w:t>Ahmed AM</w:t>
      </w:r>
      <w:r w:rsidRPr="006F179B">
        <w:rPr>
          <w:i/>
        </w:rPr>
        <w:t>, et al.</w:t>
      </w:r>
      <w:r w:rsidRPr="006F179B">
        <w:t xml:space="preserve"> (2014) Disease Progression in </w:t>
      </w:r>
      <w:r w:rsidRPr="006F179B">
        <w:rPr>
          <w:i/>
        </w:rPr>
        <w:t>Plasmodium knowlesi</w:t>
      </w:r>
      <w:r w:rsidRPr="006F179B">
        <w:t xml:space="preserve"> Malaria Is Linked to Variation in Invasion Gene Family Members. </w:t>
      </w:r>
      <w:r w:rsidRPr="006F179B">
        <w:rPr>
          <w:i/>
        </w:rPr>
        <w:t>PLoS Negl Trop Dis</w:t>
      </w:r>
      <w:r w:rsidRPr="006F179B">
        <w:t xml:space="preserve"> 8(8):e3086-e3086.</w:t>
      </w:r>
      <w:bookmarkEnd w:id="6"/>
    </w:p>
    <w:p w:rsidR="00B0554F" w:rsidRPr="006F179B" w:rsidRDefault="00B0554F" w:rsidP="006F179B">
      <w:pPr>
        <w:pStyle w:val="EndNoteBibliography"/>
        <w:spacing w:after="0" w:line="480" w:lineRule="auto"/>
        <w:ind w:left="720" w:hanging="720"/>
      </w:pPr>
      <w:bookmarkStart w:id="7" w:name="_ENREF_8"/>
      <w:r w:rsidRPr="006F179B">
        <w:t>8.</w:t>
      </w:r>
      <w:r w:rsidRPr="006F179B">
        <w:tab/>
        <w:t xml:space="preserve">Wanaguru M, Liu W, Hahn BH, Rayner JC, &amp; Wright GJ (2013) RH5–Basigin interaction plays a major role in the host tropism of </w:t>
      </w:r>
      <w:r w:rsidRPr="006F179B">
        <w:rPr>
          <w:i/>
        </w:rPr>
        <w:t>Plasmodium falciparum</w:t>
      </w:r>
      <w:r w:rsidRPr="006F179B">
        <w:t xml:space="preserve">. </w:t>
      </w:r>
      <w:r w:rsidRPr="006F179B">
        <w:rPr>
          <w:i/>
        </w:rPr>
        <w:t>Proc Natl Acad Sc</w:t>
      </w:r>
      <w:r w:rsidR="00D052BD">
        <w:rPr>
          <w:i/>
        </w:rPr>
        <w:t>i USA</w:t>
      </w:r>
      <w:r w:rsidRPr="006F179B">
        <w:t xml:space="preserve"> 110(51):20735-20740.</w:t>
      </w:r>
      <w:bookmarkEnd w:id="7"/>
    </w:p>
    <w:p w:rsidR="00B0554F" w:rsidRPr="006F179B" w:rsidRDefault="00B0554F" w:rsidP="006F179B">
      <w:pPr>
        <w:pStyle w:val="EndNoteBibliography"/>
        <w:spacing w:after="0" w:line="480" w:lineRule="auto"/>
        <w:ind w:left="720" w:hanging="720"/>
      </w:pPr>
      <w:bookmarkStart w:id="8" w:name="_ENREF_9"/>
      <w:r w:rsidRPr="006F179B">
        <w:t>9.</w:t>
      </w:r>
      <w:r w:rsidRPr="006F179B">
        <w:tab/>
        <w:t xml:space="preserve">Tham W-H, Healer J, &amp; Cowman AF (2012) Erythrocyte and reticulocyte binding-like proteins of </w:t>
      </w:r>
      <w:r w:rsidRPr="006F179B">
        <w:rPr>
          <w:i/>
        </w:rPr>
        <w:t>Plasmodium falciparum</w:t>
      </w:r>
      <w:r w:rsidRPr="006F179B">
        <w:t xml:space="preserve">. </w:t>
      </w:r>
      <w:r w:rsidRPr="006F179B">
        <w:rPr>
          <w:i/>
        </w:rPr>
        <w:t>Trends in Parasitology</w:t>
      </w:r>
      <w:r w:rsidRPr="006F179B">
        <w:t xml:space="preserve"> 28(1):23-30.</w:t>
      </w:r>
      <w:bookmarkEnd w:id="8"/>
    </w:p>
    <w:p w:rsidR="00B0554F" w:rsidRPr="006F179B" w:rsidRDefault="00B0554F" w:rsidP="006F179B">
      <w:pPr>
        <w:pStyle w:val="EndNoteBibliography"/>
        <w:spacing w:after="0" w:line="480" w:lineRule="auto"/>
        <w:ind w:left="720" w:hanging="720"/>
      </w:pPr>
      <w:bookmarkStart w:id="9" w:name="_ENREF_10"/>
      <w:r w:rsidRPr="006F179B">
        <w:t>10.</w:t>
      </w:r>
      <w:r w:rsidRPr="006F179B">
        <w:tab/>
        <w:t xml:space="preserve">Galinski MR, Medina CC, Ingravallo P, &amp; Barnwell JW (1992) A reticulocyte-binding protein complex of </w:t>
      </w:r>
      <w:r w:rsidRPr="006F179B">
        <w:rPr>
          <w:i/>
        </w:rPr>
        <w:t>Plasmodium vivax</w:t>
      </w:r>
      <w:r w:rsidRPr="006F179B">
        <w:t xml:space="preserve"> merozoites. </w:t>
      </w:r>
      <w:r w:rsidRPr="006F179B">
        <w:rPr>
          <w:i/>
        </w:rPr>
        <w:t>Cell</w:t>
      </w:r>
      <w:r w:rsidRPr="006F179B">
        <w:t xml:space="preserve"> 69:1213-1226.</w:t>
      </w:r>
      <w:bookmarkEnd w:id="9"/>
    </w:p>
    <w:p w:rsidR="00B0554F" w:rsidRPr="006F179B" w:rsidRDefault="00B0554F" w:rsidP="006F179B">
      <w:pPr>
        <w:pStyle w:val="EndNoteBibliography"/>
        <w:spacing w:after="0" w:line="480" w:lineRule="auto"/>
        <w:ind w:left="720" w:hanging="720"/>
      </w:pPr>
      <w:bookmarkStart w:id="10" w:name="_ENREF_11"/>
      <w:r w:rsidRPr="006F179B">
        <w:t>11.</w:t>
      </w:r>
      <w:r w:rsidRPr="006F179B">
        <w:tab/>
        <w:t>Okenu DM</w:t>
      </w:r>
      <w:r w:rsidRPr="006F179B">
        <w:rPr>
          <w:i/>
        </w:rPr>
        <w:t>, et al.</w:t>
      </w:r>
      <w:r w:rsidRPr="006F179B">
        <w:t xml:space="preserve"> (2005) The reticulocyte binding proteins of </w:t>
      </w:r>
      <w:r w:rsidRPr="006F179B">
        <w:rPr>
          <w:i/>
        </w:rPr>
        <w:t>Plasmodium cynomolgi</w:t>
      </w:r>
      <w:r w:rsidRPr="006F179B">
        <w:t xml:space="preserve">: a model system for studies of </w:t>
      </w:r>
      <w:r w:rsidRPr="006F179B">
        <w:rPr>
          <w:i/>
        </w:rPr>
        <w:t>P. vivax</w:t>
      </w:r>
      <w:r w:rsidRPr="006F179B">
        <w:t xml:space="preserve">. </w:t>
      </w:r>
      <w:r w:rsidRPr="006F179B">
        <w:rPr>
          <w:i/>
        </w:rPr>
        <w:t>Mol Biochem Parasitol</w:t>
      </w:r>
      <w:r w:rsidRPr="006F179B">
        <w:t xml:space="preserve"> 143(1):116-120.</w:t>
      </w:r>
      <w:bookmarkEnd w:id="10"/>
    </w:p>
    <w:p w:rsidR="00B0554F" w:rsidRPr="006F179B" w:rsidRDefault="00B0554F" w:rsidP="006F179B">
      <w:pPr>
        <w:pStyle w:val="EndNoteBibliography"/>
        <w:spacing w:after="0" w:line="480" w:lineRule="auto"/>
        <w:ind w:left="720" w:hanging="720"/>
      </w:pPr>
      <w:bookmarkStart w:id="11" w:name="_ENREF_12"/>
      <w:r w:rsidRPr="006F179B">
        <w:t>12.</w:t>
      </w:r>
      <w:r w:rsidRPr="006F179B">
        <w:tab/>
        <w:t>Ogun SA</w:t>
      </w:r>
      <w:r w:rsidRPr="006F179B">
        <w:rPr>
          <w:i/>
        </w:rPr>
        <w:t>, et al.</w:t>
      </w:r>
      <w:r w:rsidRPr="006F179B">
        <w:t xml:space="preserve"> (2011) Targeted disruption of py235ebp-1: invasion of erythrocytes by </w:t>
      </w:r>
      <w:r w:rsidRPr="006F179B">
        <w:rPr>
          <w:i/>
        </w:rPr>
        <w:t>Plasmodium yoelii</w:t>
      </w:r>
      <w:r w:rsidRPr="006F179B">
        <w:t xml:space="preserve"> using an alternative Py235 erythrocyte binding protein. </w:t>
      </w:r>
      <w:r w:rsidRPr="006F179B">
        <w:rPr>
          <w:i/>
        </w:rPr>
        <w:t>PLoS Pathog</w:t>
      </w:r>
      <w:r w:rsidRPr="006F179B">
        <w:t xml:space="preserve"> 7(2):e1001288.</w:t>
      </w:r>
      <w:bookmarkEnd w:id="11"/>
    </w:p>
    <w:p w:rsidR="00B0554F" w:rsidRPr="006F179B" w:rsidRDefault="00B0554F" w:rsidP="006F179B">
      <w:pPr>
        <w:pStyle w:val="EndNoteBibliography"/>
        <w:spacing w:after="0" w:line="480" w:lineRule="auto"/>
        <w:ind w:left="720" w:hanging="720"/>
      </w:pPr>
      <w:bookmarkStart w:id="12" w:name="_ENREF_13"/>
      <w:r w:rsidRPr="006F179B">
        <w:t>13.</w:t>
      </w:r>
      <w:r w:rsidRPr="006F179B">
        <w:tab/>
        <w:t xml:space="preserve">Rayner JC, Galinski MR, Ingravallo P, &amp; Barnwell JW (2000) Two Plasmodium falciparum genes express merozoite proteins that are related to </w:t>
      </w:r>
      <w:r w:rsidRPr="006F179B">
        <w:rPr>
          <w:i/>
        </w:rPr>
        <w:t>Plasmodium vivax</w:t>
      </w:r>
      <w:r w:rsidRPr="006F179B">
        <w:t xml:space="preserve"> and </w:t>
      </w:r>
      <w:r w:rsidRPr="006F179B">
        <w:rPr>
          <w:i/>
        </w:rPr>
        <w:t>Plasmodium yoelii</w:t>
      </w:r>
      <w:r w:rsidRPr="006F179B">
        <w:t xml:space="preserve"> adhesive proteins involved in host cell selection and invasion. </w:t>
      </w:r>
      <w:r w:rsidR="00D052BD">
        <w:rPr>
          <w:i/>
        </w:rPr>
        <w:t>Proc Natl Acad Sci U</w:t>
      </w:r>
      <w:r w:rsidRPr="006F179B">
        <w:rPr>
          <w:i/>
        </w:rPr>
        <w:t xml:space="preserve"> S A</w:t>
      </w:r>
      <w:r w:rsidRPr="006F179B">
        <w:t xml:space="preserve"> 97(17):9648-9653.</w:t>
      </w:r>
      <w:bookmarkEnd w:id="12"/>
    </w:p>
    <w:p w:rsidR="00B0554F" w:rsidRPr="006F179B" w:rsidRDefault="00B0554F" w:rsidP="006F179B">
      <w:pPr>
        <w:pStyle w:val="EndNoteBibliography"/>
        <w:spacing w:after="0" w:line="480" w:lineRule="auto"/>
        <w:ind w:left="720" w:hanging="720"/>
      </w:pPr>
      <w:bookmarkStart w:id="13" w:name="_ENREF_14"/>
      <w:r w:rsidRPr="006F179B">
        <w:t>14.</w:t>
      </w:r>
      <w:r w:rsidRPr="006F179B">
        <w:tab/>
        <w:t>Triglia T</w:t>
      </w:r>
      <w:r w:rsidRPr="006F179B">
        <w:rPr>
          <w:i/>
        </w:rPr>
        <w:t>, et al.</w:t>
      </w:r>
      <w:r w:rsidRPr="006F179B">
        <w:t xml:space="preserve"> (2001) Identification of proteins from</w:t>
      </w:r>
      <w:r w:rsidRPr="006F179B">
        <w:rPr>
          <w:i/>
        </w:rPr>
        <w:t xml:space="preserve"> Plasmodium falciparum</w:t>
      </w:r>
      <w:r w:rsidRPr="006F179B">
        <w:t xml:space="preserve"> that are homologous to reticulocyte binding proteins in </w:t>
      </w:r>
      <w:r w:rsidRPr="006F179B">
        <w:rPr>
          <w:i/>
        </w:rPr>
        <w:t>Plasmodium vivax</w:t>
      </w:r>
      <w:r w:rsidRPr="006F179B">
        <w:t xml:space="preserve">. </w:t>
      </w:r>
      <w:r w:rsidRPr="006F179B">
        <w:rPr>
          <w:i/>
        </w:rPr>
        <w:t>Infect Immun</w:t>
      </w:r>
      <w:r w:rsidRPr="006F179B">
        <w:t xml:space="preserve"> 69(2):1084-1092.</w:t>
      </w:r>
      <w:bookmarkEnd w:id="13"/>
    </w:p>
    <w:p w:rsidR="00B0554F" w:rsidRPr="006F179B" w:rsidRDefault="00B0554F" w:rsidP="006F179B">
      <w:pPr>
        <w:pStyle w:val="EndNoteBibliography"/>
        <w:spacing w:after="0" w:line="480" w:lineRule="auto"/>
        <w:ind w:left="720" w:hanging="720"/>
      </w:pPr>
      <w:bookmarkStart w:id="14" w:name="_ENREF_15"/>
      <w:r w:rsidRPr="006F179B">
        <w:lastRenderedPageBreak/>
        <w:t>15.</w:t>
      </w:r>
      <w:r w:rsidRPr="006F179B">
        <w:tab/>
        <w:t>Meyer EVS</w:t>
      </w:r>
      <w:r w:rsidRPr="006F179B">
        <w:rPr>
          <w:i/>
        </w:rPr>
        <w:t>, et al.</w:t>
      </w:r>
      <w:r w:rsidRPr="006F179B">
        <w:t xml:space="preserve"> (2009) The reticulocyte binding-like proteins of </w:t>
      </w:r>
      <w:r w:rsidRPr="006F179B">
        <w:rPr>
          <w:i/>
        </w:rPr>
        <w:t>P. knowlesi</w:t>
      </w:r>
      <w:r w:rsidRPr="006F179B">
        <w:t xml:space="preserve"> locate to the micronemes of merozoites and define two new members of this invasion ligand family. </w:t>
      </w:r>
      <w:r w:rsidRPr="006F179B">
        <w:rPr>
          <w:i/>
        </w:rPr>
        <w:t>Molecular and Biochemical Parasitology</w:t>
      </w:r>
      <w:r w:rsidRPr="006F179B">
        <w:t xml:space="preserve"> 165(2):111-121.</w:t>
      </w:r>
      <w:bookmarkEnd w:id="14"/>
    </w:p>
    <w:p w:rsidR="00B0554F" w:rsidRPr="006F179B" w:rsidRDefault="00B0554F" w:rsidP="006F179B">
      <w:pPr>
        <w:pStyle w:val="EndNoteBibliography"/>
        <w:spacing w:after="0" w:line="480" w:lineRule="auto"/>
        <w:ind w:left="720" w:hanging="720"/>
      </w:pPr>
      <w:bookmarkStart w:id="15" w:name="_ENREF_16"/>
      <w:r w:rsidRPr="006F179B">
        <w:t>16.</w:t>
      </w:r>
      <w:r w:rsidRPr="006F179B">
        <w:tab/>
        <w:t xml:space="preserve">Semenya AA, Tran TM, Meyer EV, Barnwell JW, &amp; Galinski MR (2012) Two functional reticulocyte binding-like (RBL) invasion ligands of zoonotic </w:t>
      </w:r>
      <w:r w:rsidRPr="006F179B">
        <w:rPr>
          <w:i/>
        </w:rPr>
        <w:t>Plasmodium knowlesi</w:t>
      </w:r>
      <w:r w:rsidRPr="006F179B">
        <w:t xml:space="preserve"> exhibit differential adhesion to monkey and human erythrocytes. </w:t>
      </w:r>
      <w:r w:rsidRPr="006F179B">
        <w:rPr>
          <w:i/>
        </w:rPr>
        <w:t>Malar J</w:t>
      </w:r>
      <w:r w:rsidRPr="006F179B">
        <w:t xml:space="preserve"> 11:228-228.</w:t>
      </w:r>
      <w:bookmarkEnd w:id="15"/>
    </w:p>
    <w:p w:rsidR="00B0554F" w:rsidRPr="006F179B" w:rsidRDefault="00B0554F" w:rsidP="006F179B">
      <w:pPr>
        <w:pStyle w:val="EndNoteBibliography"/>
        <w:spacing w:after="0" w:line="480" w:lineRule="auto"/>
        <w:ind w:left="720" w:hanging="720"/>
      </w:pPr>
      <w:bookmarkStart w:id="16" w:name="_ENREF_17"/>
      <w:r w:rsidRPr="006F179B">
        <w:t>17.</w:t>
      </w:r>
      <w:r w:rsidRPr="006F179B">
        <w:tab/>
        <w:t>Baum J</w:t>
      </w:r>
      <w:r w:rsidRPr="006F179B">
        <w:rPr>
          <w:i/>
        </w:rPr>
        <w:t>, et al.</w:t>
      </w:r>
      <w:r w:rsidRPr="006F179B">
        <w:t xml:space="preserve"> (2009) Reticulocyte-binding protein homologue 5 – An essential adhesin involved in invasion of human erythrocytes by </w:t>
      </w:r>
      <w:r w:rsidRPr="006F179B">
        <w:rPr>
          <w:i/>
        </w:rPr>
        <w:t>Plasmodium falciparum</w:t>
      </w:r>
      <w:r w:rsidRPr="006F179B">
        <w:t xml:space="preserve">. </w:t>
      </w:r>
      <w:r w:rsidRPr="006F179B">
        <w:rPr>
          <w:i/>
        </w:rPr>
        <w:t>International Journal for Parasitology</w:t>
      </w:r>
      <w:r w:rsidRPr="006F179B">
        <w:t xml:space="preserve"> 39(3):371-380.</w:t>
      </w:r>
      <w:bookmarkEnd w:id="16"/>
    </w:p>
    <w:p w:rsidR="00B0554F" w:rsidRPr="006F179B" w:rsidRDefault="00B0554F" w:rsidP="006F179B">
      <w:pPr>
        <w:pStyle w:val="EndNoteBibliography"/>
        <w:spacing w:after="0" w:line="480" w:lineRule="auto"/>
        <w:ind w:left="720" w:hanging="720"/>
      </w:pPr>
      <w:bookmarkStart w:id="17" w:name="_ENREF_18"/>
      <w:r w:rsidRPr="006F179B">
        <w:t>18.</w:t>
      </w:r>
      <w:r w:rsidRPr="006F179B">
        <w:tab/>
        <w:t>Adams JH</w:t>
      </w:r>
      <w:r w:rsidRPr="006F179B">
        <w:rPr>
          <w:i/>
        </w:rPr>
        <w:t>, et al.</w:t>
      </w:r>
      <w:r w:rsidRPr="006F179B">
        <w:t xml:space="preserve"> (1990) The duffy receptor family of </w:t>
      </w:r>
      <w:r w:rsidRPr="006F179B">
        <w:rPr>
          <w:i/>
        </w:rPr>
        <w:t>Plasmodium knowlesi</w:t>
      </w:r>
      <w:r w:rsidRPr="006F179B">
        <w:t xml:space="preserve"> is located within the micronemes of invasive malaria merozoites. </w:t>
      </w:r>
      <w:r w:rsidRPr="006F179B">
        <w:rPr>
          <w:i/>
        </w:rPr>
        <w:t>Cell</w:t>
      </w:r>
      <w:r w:rsidRPr="006F179B">
        <w:t xml:space="preserve"> 63(1):141-153.</w:t>
      </w:r>
      <w:bookmarkEnd w:id="17"/>
    </w:p>
    <w:p w:rsidR="00B0554F" w:rsidRPr="006F179B" w:rsidRDefault="00B0554F" w:rsidP="006F179B">
      <w:pPr>
        <w:pStyle w:val="EndNoteBibliography"/>
        <w:spacing w:after="0" w:line="480" w:lineRule="auto"/>
        <w:ind w:left="720" w:hanging="720"/>
      </w:pPr>
      <w:bookmarkStart w:id="18" w:name="_ENREF_19"/>
      <w:r w:rsidRPr="006F179B">
        <w:t>19.</w:t>
      </w:r>
      <w:r w:rsidRPr="006F179B">
        <w:tab/>
        <w:t>Singh AP</w:t>
      </w:r>
      <w:r w:rsidRPr="006F179B">
        <w:rPr>
          <w:i/>
        </w:rPr>
        <w:t>, et al.</w:t>
      </w:r>
      <w:r w:rsidRPr="006F179B">
        <w:t xml:space="preserve"> (2005) Targeted deletion of </w:t>
      </w:r>
      <w:r w:rsidRPr="006F179B">
        <w:rPr>
          <w:i/>
        </w:rPr>
        <w:t>Plasmodium knowlesi</w:t>
      </w:r>
      <w:r w:rsidRPr="006F179B">
        <w:t xml:space="preserve"> Duffy binding protein confirms its role in junction formation during invasion. </w:t>
      </w:r>
      <w:r w:rsidRPr="006F179B">
        <w:rPr>
          <w:i/>
        </w:rPr>
        <w:t>Molecular Microbiology</w:t>
      </w:r>
      <w:r w:rsidRPr="006F179B">
        <w:t xml:space="preserve"> 55(6):1925-1934.</w:t>
      </w:r>
      <w:bookmarkEnd w:id="18"/>
    </w:p>
    <w:p w:rsidR="00B0554F" w:rsidRPr="006F179B" w:rsidRDefault="00B0554F" w:rsidP="006F179B">
      <w:pPr>
        <w:pStyle w:val="EndNoteBibliography"/>
        <w:spacing w:after="0" w:line="480" w:lineRule="auto"/>
        <w:ind w:left="720" w:hanging="720"/>
      </w:pPr>
      <w:bookmarkStart w:id="19" w:name="_ENREF_20"/>
      <w:r w:rsidRPr="006F179B">
        <w:t>20.</w:t>
      </w:r>
      <w:r w:rsidRPr="006F179B">
        <w:tab/>
        <w:t>Kocken CHM</w:t>
      </w:r>
      <w:r w:rsidRPr="006F179B">
        <w:rPr>
          <w:i/>
        </w:rPr>
        <w:t>, et al.</w:t>
      </w:r>
      <w:r w:rsidRPr="006F179B">
        <w:t xml:space="preserve"> (2002) </w:t>
      </w:r>
      <w:r w:rsidRPr="006F179B">
        <w:rPr>
          <w:i/>
        </w:rPr>
        <w:t>Plasmodium knowlesi</w:t>
      </w:r>
      <w:r w:rsidRPr="006F179B">
        <w:t xml:space="preserve"> provides a rapid in vitro and in vivo transfection system that enables double-crossover gene knockout studies. </w:t>
      </w:r>
      <w:r w:rsidRPr="006F179B">
        <w:rPr>
          <w:i/>
        </w:rPr>
        <w:t>Infection and immunity</w:t>
      </w:r>
      <w:r w:rsidRPr="006F179B">
        <w:t xml:space="preserve"> 70(2):655-660.</w:t>
      </w:r>
      <w:bookmarkEnd w:id="19"/>
    </w:p>
    <w:p w:rsidR="00B0554F" w:rsidRPr="006F179B" w:rsidRDefault="00B0554F" w:rsidP="006F179B">
      <w:pPr>
        <w:pStyle w:val="EndNoteBibliography"/>
        <w:spacing w:after="0" w:line="480" w:lineRule="auto"/>
        <w:ind w:left="720" w:hanging="720"/>
      </w:pPr>
      <w:bookmarkStart w:id="20" w:name="_ENREF_21"/>
      <w:r w:rsidRPr="006F179B">
        <w:t>21.</w:t>
      </w:r>
      <w:r w:rsidRPr="006F179B">
        <w:tab/>
        <w:t>Moon RW</w:t>
      </w:r>
      <w:r w:rsidRPr="006F179B">
        <w:rPr>
          <w:i/>
        </w:rPr>
        <w:t>, et al.</w:t>
      </w:r>
      <w:r w:rsidRPr="006F179B">
        <w:t xml:space="preserve"> (2013) Adaptation of the genetically tractable malaria pathogen </w:t>
      </w:r>
      <w:r w:rsidRPr="006F179B">
        <w:rPr>
          <w:i/>
        </w:rPr>
        <w:t>Plasmodium knowlesi</w:t>
      </w:r>
      <w:r w:rsidRPr="006F179B">
        <w:t xml:space="preserve"> to continuous culture in human erythrocytes. </w:t>
      </w:r>
      <w:r w:rsidRPr="006F179B">
        <w:rPr>
          <w:i/>
        </w:rPr>
        <w:t>Proc Natl Acad</w:t>
      </w:r>
      <w:r w:rsidR="00D052BD">
        <w:rPr>
          <w:i/>
        </w:rPr>
        <w:t xml:space="preserve"> </w:t>
      </w:r>
      <w:r w:rsidRPr="006F179B">
        <w:rPr>
          <w:i/>
        </w:rPr>
        <w:t xml:space="preserve"> Sci</w:t>
      </w:r>
      <w:r w:rsidR="00D052BD">
        <w:rPr>
          <w:i/>
        </w:rPr>
        <w:t xml:space="preserve"> USA</w:t>
      </w:r>
      <w:r w:rsidRPr="006F179B">
        <w:t xml:space="preserve"> 110(2):531-536.</w:t>
      </w:r>
      <w:bookmarkEnd w:id="20"/>
    </w:p>
    <w:p w:rsidR="00B0554F" w:rsidRPr="006F179B" w:rsidRDefault="00B0554F" w:rsidP="006F179B">
      <w:pPr>
        <w:pStyle w:val="EndNoteBibliography"/>
        <w:spacing w:after="0" w:line="480" w:lineRule="auto"/>
        <w:ind w:left="720" w:hanging="720"/>
      </w:pPr>
      <w:bookmarkStart w:id="21" w:name="_ENREF_22"/>
      <w:r w:rsidRPr="006F179B">
        <w:t>22.</w:t>
      </w:r>
      <w:r w:rsidRPr="006F179B">
        <w:tab/>
        <w:t>Lim C</w:t>
      </w:r>
      <w:r w:rsidRPr="006F179B">
        <w:rPr>
          <w:i/>
        </w:rPr>
        <w:t>, et al.</w:t>
      </w:r>
      <w:r w:rsidRPr="006F179B">
        <w:t xml:space="preserve"> (2013) Expansion of host cellular niche can drive adaptation of a zoonotic malaria parasite to humans. </w:t>
      </w:r>
      <w:r w:rsidRPr="006F179B">
        <w:rPr>
          <w:i/>
        </w:rPr>
        <w:t>Nature communications</w:t>
      </w:r>
      <w:r w:rsidRPr="006F179B">
        <w:t xml:space="preserve"> 4:1638-1638.</w:t>
      </w:r>
      <w:bookmarkEnd w:id="21"/>
    </w:p>
    <w:p w:rsidR="00B0554F" w:rsidRPr="006F179B" w:rsidRDefault="00B0554F" w:rsidP="006F179B">
      <w:pPr>
        <w:pStyle w:val="EndNoteBibliography"/>
        <w:spacing w:after="0" w:line="480" w:lineRule="auto"/>
        <w:ind w:left="720" w:hanging="720"/>
      </w:pPr>
      <w:bookmarkStart w:id="22" w:name="_ENREF_23"/>
      <w:r w:rsidRPr="006F179B">
        <w:t>23.</w:t>
      </w:r>
      <w:r w:rsidRPr="006F179B">
        <w:tab/>
        <w:t xml:space="preserve">Chin W, Contacos PG, Coatney GR, &amp; Kimball HR (1965) A naturally acquired quotidian-type malaria in man transferable to monkeys. </w:t>
      </w:r>
      <w:r w:rsidRPr="006F179B">
        <w:rPr>
          <w:i/>
        </w:rPr>
        <w:t>Science (New York, N.Y.)</w:t>
      </w:r>
      <w:r w:rsidRPr="006F179B">
        <w:t xml:space="preserve"> 149(3686):865-865.</w:t>
      </w:r>
      <w:bookmarkEnd w:id="22"/>
    </w:p>
    <w:p w:rsidR="00B0554F" w:rsidRPr="006F179B" w:rsidRDefault="00B0554F" w:rsidP="006F179B">
      <w:pPr>
        <w:pStyle w:val="EndNoteBibliography"/>
        <w:spacing w:after="0" w:line="480" w:lineRule="auto"/>
        <w:ind w:left="720" w:hanging="720"/>
      </w:pPr>
      <w:bookmarkStart w:id="23" w:name="_ENREF_24"/>
      <w:r w:rsidRPr="006F179B">
        <w:t>24.</w:t>
      </w:r>
      <w:r w:rsidRPr="006F179B">
        <w:tab/>
        <w:t>Pain A</w:t>
      </w:r>
      <w:r w:rsidRPr="006F179B">
        <w:rPr>
          <w:i/>
        </w:rPr>
        <w:t>, et al.</w:t>
      </w:r>
      <w:r w:rsidRPr="006F179B">
        <w:t xml:space="preserve"> (2008) The genome of the simian and human malaria parasite</w:t>
      </w:r>
      <w:r w:rsidRPr="006F179B">
        <w:rPr>
          <w:i/>
        </w:rPr>
        <w:t xml:space="preserve"> Plasmodium knowlesi</w:t>
      </w:r>
      <w:r w:rsidRPr="006F179B">
        <w:t xml:space="preserve">. </w:t>
      </w:r>
      <w:r w:rsidRPr="006F179B">
        <w:rPr>
          <w:i/>
        </w:rPr>
        <w:t>Nature</w:t>
      </w:r>
      <w:r w:rsidRPr="006F179B">
        <w:t xml:space="preserve"> 455:799-803.</w:t>
      </w:r>
      <w:bookmarkEnd w:id="23"/>
    </w:p>
    <w:p w:rsidR="00B0554F" w:rsidRPr="006F179B" w:rsidRDefault="00B0554F" w:rsidP="006F179B">
      <w:pPr>
        <w:pStyle w:val="EndNoteBibliography"/>
        <w:spacing w:after="0" w:line="480" w:lineRule="auto"/>
        <w:ind w:left="720" w:hanging="720"/>
      </w:pPr>
      <w:bookmarkStart w:id="24" w:name="_ENREF_25"/>
      <w:r w:rsidRPr="006F179B">
        <w:lastRenderedPageBreak/>
        <w:t>25.</w:t>
      </w:r>
      <w:r w:rsidRPr="006F179B">
        <w:tab/>
        <w:t>Assefa S</w:t>
      </w:r>
      <w:r w:rsidRPr="006F179B">
        <w:rPr>
          <w:i/>
        </w:rPr>
        <w:t>, et al.</w:t>
      </w:r>
      <w:r w:rsidRPr="006F179B">
        <w:t xml:space="preserve"> (2015) Population genomic structure and adaptation in the zoonotic malaria parasite Plasmodium knowlesi. </w:t>
      </w:r>
      <w:r w:rsidRPr="006F179B">
        <w:rPr>
          <w:i/>
        </w:rPr>
        <w:t>Proc Natl Acad Sci U S A</w:t>
      </w:r>
      <w:r w:rsidRPr="006F179B">
        <w:t xml:space="preserve"> 112(42):13027-13032.</w:t>
      </w:r>
      <w:bookmarkEnd w:id="24"/>
    </w:p>
    <w:p w:rsidR="00B0554F" w:rsidRPr="006F179B" w:rsidRDefault="00B0554F" w:rsidP="006F179B">
      <w:pPr>
        <w:pStyle w:val="EndNoteBibliography"/>
        <w:spacing w:after="0" w:line="480" w:lineRule="auto"/>
        <w:ind w:left="720" w:hanging="720"/>
      </w:pPr>
      <w:bookmarkStart w:id="25" w:name="_ENREF_26"/>
      <w:r w:rsidRPr="006F179B">
        <w:t>26.</w:t>
      </w:r>
      <w:r w:rsidRPr="006F179B">
        <w:tab/>
        <w:t xml:space="preserve">Theron M, Hesketh RL, Subramanian S, &amp; Rayner JC (2010) An adaptable two-color flow cytometric assay to quantitate the invasion of erythrocytes by </w:t>
      </w:r>
      <w:r w:rsidRPr="006F179B">
        <w:rPr>
          <w:i/>
        </w:rPr>
        <w:t>Plasmodium falciparum</w:t>
      </w:r>
      <w:r w:rsidRPr="006F179B">
        <w:t xml:space="preserve"> parasites. </w:t>
      </w:r>
      <w:r w:rsidRPr="006F179B">
        <w:rPr>
          <w:i/>
        </w:rPr>
        <w:t xml:space="preserve">Cytometry. Part A </w:t>
      </w:r>
      <w:r w:rsidRPr="006F179B">
        <w:t>77(11):1067-1074.</w:t>
      </w:r>
      <w:bookmarkEnd w:id="25"/>
    </w:p>
    <w:p w:rsidR="00B0554F" w:rsidRPr="006F179B" w:rsidRDefault="00B0554F" w:rsidP="006F179B">
      <w:pPr>
        <w:pStyle w:val="EndNoteBibliography"/>
        <w:spacing w:after="0" w:line="480" w:lineRule="auto"/>
        <w:ind w:left="720" w:hanging="720"/>
      </w:pPr>
      <w:bookmarkStart w:id="26" w:name="_ENREF_27"/>
      <w:r w:rsidRPr="006F179B">
        <w:t>27.</w:t>
      </w:r>
      <w:r w:rsidRPr="006F179B">
        <w:tab/>
        <w:t>Blackman MJ</w:t>
      </w:r>
      <w:r w:rsidRPr="006F179B">
        <w:rPr>
          <w:i/>
        </w:rPr>
        <w:t>, et al.</w:t>
      </w:r>
      <w:r w:rsidRPr="006F179B">
        <w:t xml:space="preserve"> (1996) </w:t>
      </w:r>
      <w:r w:rsidRPr="00D052BD">
        <w:rPr>
          <w:i/>
        </w:rPr>
        <w:t>Plasmodium knowlesi</w:t>
      </w:r>
      <w:r w:rsidRPr="006F179B">
        <w:t xml:space="preserve">: secondary processing of the malaria merozoite surface protein-1. </w:t>
      </w:r>
      <w:r w:rsidRPr="006F179B">
        <w:rPr>
          <w:i/>
        </w:rPr>
        <w:t>Exp Parasitol</w:t>
      </w:r>
      <w:r w:rsidRPr="006F179B">
        <w:t xml:space="preserve"> 83(2):229-239.</w:t>
      </w:r>
      <w:bookmarkEnd w:id="26"/>
    </w:p>
    <w:p w:rsidR="00B0554F" w:rsidRPr="006F179B" w:rsidRDefault="00B0554F" w:rsidP="006F179B">
      <w:pPr>
        <w:pStyle w:val="EndNoteBibliography"/>
        <w:spacing w:after="0" w:line="480" w:lineRule="auto"/>
        <w:ind w:left="720" w:hanging="720"/>
      </w:pPr>
      <w:bookmarkStart w:id="27" w:name="_ENREF_28"/>
      <w:r w:rsidRPr="006F179B">
        <w:t>28.</w:t>
      </w:r>
      <w:r w:rsidRPr="006F179B">
        <w:tab/>
        <w:t>Jun G</w:t>
      </w:r>
      <w:r w:rsidRPr="006F179B">
        <w:rPr>
          <w:i/>
        </w:rPr>
        <w:t>, et al.</w:t>
      </w:r>
      <w:r w:rsidRPr="006F179B">
        <w:t xml:space="preserve"> (2009) Factors affecting reticulocyte enrichment by density gradient ultracentrifugation. </w:t>
      </w:r>
      <w:r w:rsidRPr="006F179B">
        <w:rPr>
          <w:i/>
        </w:rPr>
        <w:t>Acta haematologica</w:t>
      </w:r>
      <w:r w:rsidRPr="006F179B">
        <w:t xml:space="preserve"> 121(4):207-211.</w:t>
      </w:r>
      <w:bookmarkEnd w:id="27"/>
    </w:p>
    <w:p w:rsidR="00B0554F" w:rsidRPr="006F179B" w:rsidRDefault="00B0554F" w:rsidP="006F179B">
      <w:pPr>
        <w:pStyle w:val="EndNoteBibliography"/>
        <w:spacing w:after="0" w:line="480" w:lineRule="auto"/>
        <w:ind w:left="720" w:hanging="720"/>
      </w:pPr>
      <w:bookmarkStart w:id="28" w:name="_ENREF_29"/>
      <w:r w:rsidRPr="006F179B">
        <w:t>29.</w:t>
      </w:r>
      <w:r w:rsidRPr="006F179B">
        <w:tab/>
        <w:t xml:space="preserve">Sorette MP, Shiffer K, &amp; Clark MR (1992) Improved isolation of normal human reticulocytes via exploitation of chloride-dependent potassium transport. </w:t>
      </w:r>
      <w:r w:rsidRPr="006F179B">
        <w:rPr>
          <w:i/>
        </w:rPr>
        <w:t>Blood</w:t>
      </w:r>
      <w:r w:rsidRPr="006F179B">
        <w:t xml:space="preserve"> 80(1):249-254.</w:t>
      </w:r>
      <w:bookmarkEnd w:id="28"/>
    </w:p>
    <w:p w:rsidR="00B0554F" w:rsidRPr="006F179B" w:rsidRDefault="00B0554F" w:rsidP="006F179B">
      <w:pPr>
        <w:pStyle w:val="EndNoteBibliography"/>
        <w:spacing w:after="0" w:line="480" w:lineRule="auto"/>
        <w:ind w:left="720" w:hanging="720"/>
      </w:pPr>
      <w:bookmarkStart w:id="29" w:name="_ENREF_30"/>
      <w:r w:rsidRPr="006F179B">
        <w:t>30.</w:t>
      </w:r>
      <w:r w:rsidRPr="006F179B">
        <w:tab/>
        <w:t>Nair S</w:t>
      </w:r>
      <w:r w:rsidRPr="006F179B">
        <w:rPr>
          <w:i/>
        </w:rPr>
        <w:t>, et al.</w:t>
      </w:r>
      <w:r w:rsidRPr="006F179B">
        <w:t xml:space="preserve"> (2008) Adaptive Copy Number Evolution in Malaria Parasites. </w:t>
      </w:r>
      <w:r w:rsidRPr="006F179B">
        <w:rPr>
          <w:i/>
        </w:rPr>
        <w:t>PLoS Genet</w:t>
      </w:r>
      <w:r w:rsidRPr="006F179B">
        <w:t xml:space="preserve"> 4(10):e1000243.</w:t>
      </w:r>
      <w:bookmarkEnd w:id="29"/>
    </w:p>
    <w:p w:rsidR="00B0554F" w:rsidRPr="006F179B" w:rsidRDefault="00B0554F" w:rsidP="006F179B">
      <w:pPr>
        <w:pStyle w:val="EndNoteBibliography"/>
        <w:spacing w:after="0" w:line="480" w:lineRule="auto"/>
        <w:ind w:left="720" w:hanging="720"/>
      </w:pPr>
      <w:bookmarkStart w:id="30" w:name="_ENREF_31"/>
      <w:r w:rsidRPr="006F179B">
        <w:t>31.</w:t>
      </w:r>
      <w:r w:rsidRPr="006F179B">
        <w:tab/>
        <w:t>Satkoski Trask JA</w:t>
      </w:r>
      <w:r w:rsidRPr="006F179B">
        <w:rPr>
          <w:i/>
        </w:rPr>
        <w:t>, et al.</w:t>
      </w:r>
      <w:r w:rsidRPr="006F179B">
        <w:t xml:space="preserve"> (2013) Single Nucleotide Polymorphisms Reveal Patterns of Allele Sharing across the Species Boundary between Rhesus (</w:t>
      </w:r>
      <w:r w:rsidRPr="006F179B">
        <w:rPr>
          <w:i/>
        </w:rPr>
        <w:t>Macaca mulatta</w:t>
      </w:r>
      <w:r w:rsidRPr="006F179B">
        <w:t>) and Cynomolgus (</w:t>
      </w:r>
      <w:r w:rsidRPr="006F179B">
        <w:rPr>
          <w:i/>
        </w:rPr>
        <w:t>M. fascicularis</w:t>
      </w:r>
      <w:r w:rsidRPr="006F179B">
        <w:t xml:space="preserve">) Macaques. </w:t>
      </w:r>
      <w:r w:rsidRPr="006F179B">
        <w:rPr>
          <w:i/>
        </w:rPr>
        <w:t>American journal of primatology</w:t>
      </w:r>
      <w:r w:rsidRPr="006F179B">
        <w:t xml:space="preserve"> 75(2):135-144.</w:t>
      </w:r>
      <w:bookmarkEnd w:id="30"/>
    </w:p>
    <w:p w:rsidR="00B0554F" w:rsidRPr="006F179B" w:rsidRDefault="00B0554F" w:rsidP="006F179B">
      <w:pPr>
        <w:pStyle w:val="EndNoteBibliography"/>
        <w:spacing w:after="0" w:line="480" w:lineRule="auto"/>
        <w:ind w:left="720" w:hanging="720"/>
      </w:pPr>
      <w:bookmarkStart w:id="31" w:name="_ENREF_32"/>
      <w:r w:rsidRPr="006F179B">
        <w:t>32.</w:t>
      </w:r>
      <w:r w:rsidRPr="006F179B">
        <w:tab/>
        <w:t xml:space="preserve">Carlton JM, Das A, &amp; Escalante AA (2013) Genomics, population genetics and evolutionary history of </w:t>
      </w:r>
      <w:r w:rsidRPr="006F179B">
        <w:rPr>
          <w:i/>
        </w:rPr>
        <w:t>Plasmodium vivax</w:t>
      </w:r>
      <w:r w:rsidRPr="006F179B">
        <w:t xml:space="preserve">. </w:t>
      </w:r>
      <w:r w:rsidRPr="006F179B">
        <w:rPr>
          <w:i/>
        </w:rPr>
        <w:t>Adv Parasitol</w:t>
      </w:r>
      <w:r w:rsidRPr="006F179B">
        <w:t xml:space="preserve"> 81:203-222.</w:t>
      </w:r>
      <w:bookmarkEnd w:id="31"/>
    </w:p>
    <w:p w:rsidR="00B0554F" w:rsidRPr="006F179B" w:rsidRDefault="00B0554F" w:rsidP="006F179B">
      <w:pPr>
        <w:pStyle w:val="EndNoteBibliography"/>
        <w:spacing w:after="0" w:line="480" w:lineRule="auto"/>
        <w:ind w:left="720" w:hanging="720"/>
      </w:pPr>
      <w:bookmarkStart w:id="32" w:name="_ENREF_33"/>
      <w:r w:rsidRPr="006F179B">
        <w:t>33.</w:t>
      </w:r>
      <w:r w:rsidRPr="006F179B">
        <w:tab/>
        <w:t>Adams JH</w:t>
      </w:r>
      <w:r w:rsidRPr="006F179B">
        <w:rPr>
          <w:i/>
        </w:rPr>
        <w:t>, et al.</w:t>
      </w:r>
      <w:r w:rsidRPr="006F179B">
        <w:t xml:space="preserve"> (1992) A family of erythrocyte binding proteins of malaria parasites. </w:t>
      </w:r>
      <w:r w:rsidRPr="006F179B">
        <w:rPr>
          <w:i/>
        </w:rPr>
        <w:t>Proc Natl Acad Sci</w:t>
      </w:r>
      <w:r w:rsidR="00D052BD">
        <w:rPr>
          <w:i/>
        </w:rPr>
        <w:t xml:space="preserve"> USA</w:t>
      </w:r>
      <w:r w:rsidRPr="006F179B">
        <w:t xml:space="preserve"> 89(15):7085-7089.</w:t>
      </w:r>
      <w:bookmarkEnd w:id="32"/>
    </w:p>
    <w:p w:rsidR="00B0554F" w:rsidRPr="006F179B" w:rsidRDefault="00B0554F" w:rsidP="006F179B">
      <w:pPr>
        <w:pStyle w:val="EndNoteBibliography"/>
        <w:spacing w:after="0" w:line="480" w:lineRule="auto"/>
        <w:ind w:left="720" w:hanging="720"/>
      </w:pPr>
      <w:bookmarkStart w:id="33" w:name="_ENREF_34"/>
      <w:r w:rsidRPr="006F179B">
        <w:t>34.</w:t>
      </w:r>
      <w:r w:rsidRPr="006F179B">
        <w:tab/>
        <w:t xml:space="preserve">Miller LH, Mason SJ, Clyde DF, &amp; McGinniss MH (1976) The Resistance Factor to </w:t>
      </w:r>
      <w:r w:rsidRPr="006F179B">
        <w:rPr>
          <w:i/>
        </w:rPr>
        <w:t>Plasmodium vivax</w:t>
      </w:r>
      <w:r w:rsidRPr="006F179B">
        <w:t xml:space="preserve"> in Blacks. </w:t>
      </w:r>
      <w:r w:rsidRPr="006F179B">
        <w:rPr>
          <w:i/>
        </w:rPr>
        <w:t>New England Journal of Medicine</w:t>
      </w:r>
      <w:r w:rsidRPr="006F179B">
        <w:t xml:space="preserve"> 295(6):302-304.</w:t>
      </w:r>
      <w:bookmarkEnd w:id="33"/>
    </w:p>
    <w:p w:rsidR="00B0554F" w:rsidRPr="006F179B" w:rsidRDefault="00B0554F" w:rsidP="006F179B">
      <w:pPr>
        <w:pStyle w:val="EndNoteBibliography"/>
        <w:spacing w:after="0" w:line="480" w:lineRule="auto"/>
        <w:ind w:left="720" w:hanging="720"/>
      </w:pPr>
      <w:bookmarkStart w:id="34" w:name="_ENREF_35"/>
      <w:r w:rsidRPr="006F179B">
        <w:t>35.</w:t>
      </w:r>
      <w:r w:rsidRPr="006F179B">
        <w:tab/>
        <w:t>Carlton JM</w:t>
      </w:r>
      <w:r w:rsidRPr="006F179B">
        <w:rPr>
          <w:i/>
        </w:rPr>
        <w:t>, et al.</w:t>
      </w:r>
      <w:r w:rsidRPr="006F179B">
        <w:t xml:space="preserve"> (2008) Comparative genomics of the neglected human malaria parasite </w:t>
      </w:r>
      <w:r w:rsidRPr="006F179B">
        <w:rPr>
          <w:i/>
        </w:rPr>
        <w:t>Plasmodium vivax</w:t>
      </w:r>
      <w:r w:rsidRPr="006F179B">
        <w:t xml:space="preserve">. </w:t>
      </w:r>
      <w:r w:rsidRPr="006F179B">
        <w:rPr>
          <w:i/>
        </w:rPr>
        <w:t>Nature</w:t>
      </w:r>
      <w:r w:rsidRPr="006F179B">
        <w:t xml:space="preserve"> 455(7214):757-763.</w:t>
      </w:r>
      <w:bookmarkEnd w:id="34"/>
    </w:p>
    <w:p w:rsidR="00B0554F" w:rsidRPr="006F179B" w:rsidRDefault="00B0554F" w:rsidP="006F179B">
      <w:pPr>
        <w:pStyle w:val="EndNoteBibliography"/>
        <w:spacing w:after="0" w:line="480" w:lineRule="auto"/>
        <w:ind w:left="720" w:hanging="720"/>
      </w:pPr>
      <w:bookmarkStart w:id="35" w:name="_ENREF_36"/>
      <w:r w:rsidRPr="006F179B">
        <w:t>36.</w:t>
      </w:r>
      <w:r w:rsidRPr="006F179B">
        <w:tab/>
        <w:t>Hester J</w:t>
      </w:r>
      <w:r w:rsidRPr="006F179B">
        <w:rPr>
          <w:i/>
        </w:rPr>
        <w:t>, et al.</w:t>
      </w:r>
      <w:r w:rsidRPr="006F179B">
        <w:t xml:space="preserve"> (2013) De Novo Assembly of a Field Isolate Genome Reveals Novel </w:t>
      </w:r>
      <w:r w:rsidRPr="006F179B">
        <w:rPr>
          <w:i/>
        </w:rPr>
        <w:t>Plasmodium vivax</w:t>
      </w:r>
      <w:r w:rsidRPr="006F179B">
        <w:t xml:space="preserve"> Erythrocyte Invasion Genes. </w:t>
      </w:r>
      <w:r w:rsidRPr="006F179B">
        <w:rPr>
          <w:i/>
        </w:rPr>
        <w:t>PLoS Negl Trop Dis</w:t>
      </w:r>
      <w:r w:rsidRPr="006F179B">
        <w:t xml:space="preserve"> 7:e2569.</w:t>
      </w:r>
      <w:bookmarkEnd w:id="35"/>
    </w:p>
    <w:p w:rsidR="00B0554F" w:rsidRPr="006F179B" w:rsidRDefault="00B0554F" w:rsidP="006F179B">
      <w:pPr>
        <w:pStyle w:val="EndNoteBibliography"/>
        <w:spacing w:after="0" w:line="480" w:lineRule="auto"/>
        <w:ind w:left="720" w:hanging="720"/>
      </w:pPr>
      <w:bookmarkStart w:id="36" w:name="_ENREF_37"/>
      <w:r w:rsidRPr="006F179B">
        <w:lastRenderedPageBreak/>
        <w:t>37.</w:t>
      </w:r>
      <w:r w:rsidRPr="006F179B">
        <w:tab/>
        <w:t>Tachibana S-I</w:t>
      </w:r>
      <w:r w:rsidRPr="006F179B">
        <w:rPr>
          <w:i/>
        </w:rPr>
        <w:t>, et al.</w:t>
      </w:r>
      <w:r w:rsidRPr="006F179B">
        <w:t xml:space="preserve"> (2012) </w:t>
      </w:r>
      <w:r w:rsidRPr="006F179B">
        <w:rPr>
          <w:i/>
        </w:rPr>
        <w:t xml:space="preserve">Plasmodium cynomolgi </w:t>
      </w:r>
      <w:r w:rsidRPr="006F179B">
        <w:t xml:space="preserve">genome sequences provide insight into </w:t>
      </w:r>
      <w:r w:rsidRPr="006F179B">
        <w:rPr>
          <w:i/>
        </w:rPr>
        <w:t xml:space="preserve">Plasmodium vivax </w:t>
      </w:r>
      <w:r w:rsidRPr="006F179B">
        <w:t xml:space="preserve">and the monkey malaria clade. </w:t>
      </w:r>
      <w:r w:rsidRPr="006F179B">
        <w:rPr>
          <w:i/>
        </w:rPr>
        <w:t>Nat Genet</w:t>
      </w:r>
      <w:r w:rsidRPr="006F179B">
        <w:t xml:space="preserve"> 44(9):1051-1055.</w:t>
      </w:r>
      <w:bookmarkEnd w:id="36"/>
    </w:p>
    <w:p w:rsidR="00B0554F" w:rsidRPr="006F179B" w:rsidRDefault="00B0554F" w:rsidP="006F179B">
      <w:pPr>
        <w:pStyle w:val="EndNoteBibliography"/>
        <w:spacing w:after="0" w:line="480" w:lineRule="auto"/>
        <w:ind w:left="720" w:hanging="720"/>
      </w:pPr>
      <w:bookmarkStart w:id="37" w:name="_ENREF_38"/>
      <w:r w:rsidRPr="006F179B">
        <w:t>38.</w:t>
      </w:r>
      <w:r w:rsidRPr="006F179B">
        <w:tab/>
        <w:t xml:space="preserve">Singh S, Alam MM, Pal-Bhowmick I, Brzostowski JA, &amp; Chitnis CE (2010) Distinct External Signals Trigger Sequential Release of Apical Organelles during Erythrocyte Invasion by Malaria Parasites. </w:t>
      </w:r>
      <w:r w:rsidRPr="006F179B">
        <w:rPr>
          <w:i/>
        </w:rPr>
        <w:t>PLoS Pathog</w:t>
      </w:r>
      <w:r w:rsidRPr="006F179B">
        <w:t xml:space="preserve"> 6:e1000746.</w:t>
      </w:r>
      <w:bookmarkEnd w:id="37"/>
    </w:p>
    <w:p w:rsidR="00B0554F" w:rsidRPr="006F179B" w:rsidRDefault="00B0554F" w:rsidP="006F179B">
      <w:pPr>
        <w:pStyle w:val="EndNoteBibliography"/>
        <w:spacing w:after="0" w:line="480" w:lineRule="auto"/>
        <w:ind w:left="720" w:hanging="720"/>
      </w:pPr>
      <w:bookmarkStart w:id="38" w:name="_ENREF_39"/>
      <w:r w:rsidRPr="006F179B">
        <w:t>39.</w:t>
      </w:r>
      <w:r w:rsidRPr="006F179B">
        <w:tab/>
        <w:t xml:space="preserve">Ranjan A &amp; Chitnis CE (1999) Mapping regions containing binding residues within functional domains of </w:t>
      </w:r>
      <w:r w:rsidRPr="006F179B">
        <w:rPr>
          <w:i/>
        </w:rPr>
        <w:t>Plasmodium vivax</w:t>
      </w:r>
      <w:r w:rsidRPr="006F179B">
        <w:t xml:space="preserve"> and </w:t>
      </w:r>
      <w:r w:rsidRPr="006F179B">
        <w:rPr>
          <w:i/>
        </w:rPr>
        <w:t>Plasmodium knowlesi</w:t>
      </w:r>
      <w:r w:rsidRPr="006F179B">
        <w:t xml:space="preserve"> erythrocyte-binding proteins. </w:t>
      </w:r>
      <w:r w:rsidRPr="006F179B">
        <w:rPr>
          <w:i/>
        </w:rPr>
        <w:t>Proc Natl Acad Sci</w:t>
      </w:r>
      <w:r w:rsidRPr="006F179B">
        <w:t xml:space="preserve"> 96(24):14067-14072.</w:t>
      </w:r>
      <w:bookmarkEnd w:id="38"/>
    </w:p>
    <w:p w:rsidR="00B0554F" w:rsidRPr="006F179B" w:rsidRDefault="00B0554F" w:rsidP="006F179B">
      <w:pPr>
        <w:pStyle w:val="EndNoteBibliography"/>
        <w:spacing w:after="0" w:line="480" w:lineRule="auto"/>
        <w:ind w:left="720" w:hanging="720"/>
      </w:pPr>
      <w:bookmarkStart w:id="39" w:name="_ENREF_40"/>
      <w:r w:rsidRPr="006F179B">
        <w:t>40.</w:t>
      </w:r>
      <w:r w:rsidRPr="006F179B">
        <w:tab/>
        <w:t>Pinheiro MM</w:t>
      </w:r>
      <w:r w:rsidRPr="006F179B">
        <w:rPr>
          <w:i/>
        </w:rPr>
        <w:t xml:space="preserve">, </w:t>
      </w:r>
      <w:r w:rsidR="00D052BD">
        <w:rPr>
          <w:i/>
        </w:rPr>
        <w:t xml:space="preserve"> USA</w:t>
      </w:r>
      <w:r w:rsidRPr="006F179B">
        <w:rPr>
          <w:i/>
        </w:rPr>
        <w:t>et al.</w:t>
      </w:r>
      <w:r w:rsidRPr="006F179B">
        <w:t xml:space="preserve"> (2015) </w:t>
      </w:r>
      <w:r w:rsidRPr="006F179B">
        <w:rPr>
          <w:i/>
        </w:rPr>
        <w:t>Plasmodium knowlesi</w:t>
      </w:r>
      <w:r w:rsidRPr="006F179B">
        <w:t xml:space="preserve"> genome sequences from clinical isolates reveal extensive genomic dimorphism. </w:t>
      </w:r>
      <w:r w:rsidRPr="006F179B">
        <w:rPr>
          <w:i/>
        </w:rPr>
        <w:t>PLoS One</w:t>
      </w:r>
      <w:r w:rsidRPr="006F179B">
        <w:t xml:space="preserve"> 10(4):e0121303.</w:t>
      </w:r>
      <w:bookmarkEnd w:id="39"/>
    </w:p>
    <w:p w:rsidR="009945E5" w:rsidRPr="009945E5" w:rsidRDefault="009945E5" w:rsidP="009945E5">
      <w:pPr>
        <w:spacing w:after="0" w:line="480" w:lineRule="auto"/>
        <w:ind w:left="720" w:hanging="720"/>
        <w:rPr>
          <w:rFonts w:ascii="Calibri" w:hAnsi="Calibri"/>
          <w:noProof/>
          <w:lang w:val="en-US"/>
        </w:rPr>
      </w:pPr>
      <w:r w:rsidRPr="009945E5">
        <w:rPr>
          <w:rFonts w:ascii="Calibri" w:hAnsi="Calibri"/>
          <w:noProof/>
          <w:lang w:val="en-US"/>
        </w:rPr>
        <w:t>4</w:t>
      </w:r>
      <w:r w:rsidR="003D4A57">
        <w:rPr>
          <w:rFonts w:ascii="Calibri" w:hAnsi="Calibri"/>
          <w:noProof/>
          <w:lang w:val="en-US"/>
        </w:rPr>
        <w:t>1</w:t>
      </w:r>
      <w:r w:rsidRPr="009945E5">
        <w:rPr>
          <w:rFonts w:ascii="Calibri" w:hAnsi="Calibri"/>
          <w:noProof/>
          <w:lang w:val="en-US"/>
        </w:rPr>
        <w:t>.</w:t>
      </w:r>
      <w:r w:rsidRPr="009945E5">
        <w:rPr>
          <w:rFonts w:ascii="Calibri" w:hAnsi="Calibri"/>
          <w:noProof/>
          <w:lang w:val="en-US"/>
        </w:rPr>
        <w:tab/>
        <w:t xml:space="preserve">Otto TD, Dillon GP, Degrave WS, &amp; Berriman M (2011) RATT: Rapid Annotation Transfer Tool. </w:t>
      </w:r>
      <w:r w:rsidRPr="009945E5">
        <w:rPr>
          <w:rFonts w:ascii="Calibri" w:hAnsi="Calibri"/>
          <w:i/>
          <w:noProof/>
          <w:lang w:val="en-US"/>
        </w:rPr>
        <w:t>Nucleic acids research</w:t>
      </w:r>
      <w:r w:rsidRPr="009945E5">
        <w:rPr>
          <w:rFonts w:ascii="Calibri" w:hAnsi="Calibri"/>
          <w:noProof/>
          <w:lang w:val="en-US"/>
        </w:rPr>
        <w:t xml:space="preserve"> 39(9):e57-e57.</w:t>
      </w:r>
    </w:p>
    <w:p w:rsidR="009201A4" w:rsidRPr="009201A4" w:rsidRDefault="003D4A57" w:rsidP="009201A4">
      <w:pPr>
        <w:spacing w:after="0" w:line="480" w:lineRule="auto"/>
        <w:ind w:left="720" w:hanging="720"/>
        <w:rPr>
          <w:rFonts w:ascii="Calibri" w:hAnsi="Calibri"/>
          <w:noProof/>
          <w:lang w:val="en-US"/>
        </w:rPr>
      </w:pPr>
      <w:r>
        <w:rPr>
          <w:rFonts w:ascii="Calibri" w:hAnsi="Calibri"/>
          <w:noProof/>
          <w:lang w:val="en-US"/>
        </w:rPr>
        <w:t>4</w:t>
      </w:r>
      <w:r w:rsidR="009201A4" w:rsidRPr="009201A4">
        <w:rPr>
          <w:rFonts w:ascii="Calibri" w:hAnsi="Calibri"/>
          <w:noProof/>
          <w:lang w:val="en-US"/>
        </w:rPr>
        <w:t>2.</w:t>
      </w:r>
      <w:r w:rsidR="009201A4" w:rsidRPr="009201A4">
        <w:rPr>
          <w:rFonts w:ascii="Calibri" w:hAnsi="Calibri"/>
          <w:noProof/>
          <w:lang w:val="en-US"/>
        </w:rPr>
        <w:tab/>
        <w:t>Boeva V</w:t>
      </w:r>
      <w:r w:rsidR="009201A4" w:rsidRPr="009201A4">
        <w:rPr>
          <w:rFonts w:ascii="Calibri" w:hAnsi="Calibri"/>
          <w:i/>
          <w:noProof/>
          <w:lang w:val="en-US"/>
        </w:rPr>
        <w:t>, et al.</w:t>
      </w:r>
      <w:r w:rsidR="009201A4" w:rsidRPr="009201A4">
        <w:rPr>
          <w:rFonts w:ascii="Calibri" w:hAnsi="Calibri"/>
          <w:noProof/>
          <w:lang w:val="en-US"/>
        </w:rPr>
        <w:t xml:space="preserve"> (2012) Control-FREEC: a tool for assessing copy number and allelic content using next-generation sequencing data. </w:t>
      </w:r>
      <w:r w:rsidR="009201A4" w:rsidRPr="009201A4">
        <w:rPr>
          <w:rFonts w:ascii="Calibri" w:hAnsi="Calibri"/>
          <w:i/>
          <w:noProof/>
          <w:lang w:val="en-US"/>
        </w:rPr>
        <w:t>Bioinformatics</w:t>
      </w:r>
      <w:r w:rsidR="009201A4" w:rsidRPr="009201A4">
        <w:rPr>
          <w:rFonts w:ascii="Calibri" w:hAnsi="Calibri"/>
          <w:noProof/>
          <w:lang w:val="en-US"/>
        </w:rPr>
        <w:t xml:space="preserve"> 28(3):423-425.</w:t>
      </w:r>
    </w:p>
    <w:p w:rsidR="009201A4" w:rsidRPr="009201A4" w:rsidRDefault="003D4A57" w:rsidP="009201A4">
      <w:pPr>
        <w:spacing w:after="0" w:line="480" w:lineRule="auto"/>
        <w:ind w:left="720" w:hanging="720"/>
        <w:rPr>
          <w:rFonts w:ascii="Calibri" w:hAnsi="Calibri"/>
          <w:noProof/>
          <w:lang w:val="en-US"/>
        </w:rPr>
      </w:pPr>
      <w:r>
        <w:rPr>
          <w:rFonts w:ascii="Calibri" w:hAnsi="Calibri"/>
          <w:noProof/>
          <w:lang w:val="en-US"/>
        </w:rPr>
        <w:t>4</w:t>
      </w:r>
      <w:r w:rsidR="009201A4" w:rsidRPr="009201A4">
        <w:rPr>
          <w:rFonts w:ascii="Calibri" w:hAnsi="Calibri"/>
          <w:noProof/>
          <w:lang w:val="en-US"/>
        </w:rPr>
        <w:t>3.</w:t>
      </w:r>
      <w:r w:rsidR="009201A4" w:rsidRPr="009201A4">
        <w:rPr>
          <w:rFonts w:ascii="Calibri" w:hAnsi="Calibri"/>
          <w:noProof/>
          <w:lang w:val="en-US"/>
        </w:rPr>
        <w:tab/>
        <w:t xml:space="preserve">Abyzov A, Urban AE, Snyder M, &amp; Gerstein M (2011) CNVnator: An approach to discover, genotype, and characterize typical and atypical CNVs from family and population genome sequencing. </w:t>
      </w:r>
      <w:r w:rsidR="009201A4" w:rsidRPr="009201A4">
        <w:rPr>
          <w:rFonts w:ascii="Calibri" w:hAnsi="Calibri"/>
          <w:i/>
          <w:noProof/>
          <w:lang w:val="en-US"/>
        </w:rPr>
        <w:t>Genome Research</w:t>
      </w:r>
      <w:r w:rsidR="009201A4" w:rsidRPr="009201A4">
        <w:rPr>
          <w:rFonts w:ascii="Calibri" w:hAnsi="Calibri"/>
          <w:noProof/>
          <w:lang w:val="en-US"/>
        </w:rPr>
        <w:t xml:space="preserve"> 21(6):974-984.</w:t>
      </w:r>
    </w:p>
    <w:p w:rsidR="009201A4" w:rsidRPr="009201A4" w:rsidRDefault="003D4A57" w:rsidP="009201A4">
      <w:pPr>
        <w:spacing w:after="0" w:line="480" w:lineRule="auto"/>
        <w:ind w:left="720" w:hanging="720"/>
        <w:rPr>
          <w:rFonts w:ascii="Calibri" w:hAnsi="Calibri"/>
          <w:noProof/>
          <w:lang w:val="en-US"/>
        </w:rPr>
      </w:pPr>
      <w:r>
        <w:rPr>
          <w:rFonts w:ascii="Calibri" w:hAnsi="Calibri"/>
          <w:noProof/>
          <w:lang w:val="en-US"/>
        </w:rPr>
        <w:t>4</w:t>
      </w:r>
      <w:bookmarkStart w:id="40" w:name="_GoBack"/>
      <w:bookmarkEnd w:id="40"/>
      <w:r w:rsidR="009201A4" w:rsidRPr="009201A4">
        <w:rPr>
          <w:rFonts w:ascii="Calibri" w:hAnsi="Calibri"/>
          <w:noProof/>
          <w:lang w:val="en-US"/>
        </w:rPr>
        <w:t>4.</w:t>
      </w:r>
      <w:r w:rsidR="009201A4" w:rsidRPr="009201A4">
        <w:rPr>
          <w:rFonts w:ascii="Calibri" w:hAnsi="Calibri"/>
          <w:noProof/>
          <w:lang w:val="en-US"/>
        </w:rPr>
        <w:tab/>
        <w:t xml:space="preserve">Smith SD, Kawash JK, &amp; Grigoriev A (2014) GROM-RD: Resolving genomic biases to improve read depth detection of copy number variants. </w:t>
      </w:r>
      <w:r w:rsidR="009201A4" w:rsidRPr="009201A4">
        <w:rPr>
          <w:rFonts w:ascii="Calibri" w:hAnsi="Calibri"/>
          <w:i/>
          <w:noProof/>
          <w:lang w:val="en-US"/>
        </w:rPr>
        <w:t>PeerJ PrePrints</w:t>
      </w:r>
      <w:r w:rsidR="009201A4" w:rsidRPr="009201A4">
        <w:rPr>
          <w:rFonts w:ascii="Calibri" w:hAnsi="Calibri"/>
          <w:noProof/>
          <w:lang w:val="en-US"/>
        </w:rPr>
        <w:t xml:space="preserve"> 2:e663v661.</w:t>
      </w:r>
    </w:p>
    <w:p w:rsidR="00B0554F" w:rsidRDefault="00B0554F" w:rsidP="006F179B">
      <w:pPr>
        <w:spacing w:after="0" w:line="480" w:lineRule="auto"/>
      </w:pPr>
    </w:p>
    <w:p w:rsidR="00B0554F" w:rsidRDefault="00B0554F" w:rsidP="0045204F">
      <w:pPr>
        <w:spacing w:after="0" w:line="480" w:lineRule="auto"/>
        <w:rPr>
          <w:b/>
          <w:bCs/>
          <w:color w:val="000000"/>
        </w:rPr>
      </w:pPr>
      <w:r>
        <w:rPr>
          <w:b/>
          <w:bCs/>
          <w:color w:val="000000"/>
        </w:rPr>
        <w:t>Figure Legends</w:t>
      </w:r>
    </w:p>
    <w:p w:rsidR="00B0554F" w:rsidRDefault="00B0554F" w:rsidP="0045204F">
      <w:pPr>
        <w:spacing w:after="0" w:line="480" w:lineRule="auto"/>
        <w:rPr>
          <w:color w:val="000000"/>
        </w:rPr>
      </w:pPr>
      <w:r w:rsidRPr="0093627E">
        <w:rPr>
          <w:b/>
          <w:bCs/>
          <w:color w:val="000000"/>
        </w:rPr>
        <w:t>Figure 1</w:t>
      </w:r>
      <w:r w:rsidRPr="0093627E">
        <w:rPr>
          <w:b/>
          <w:color w:val="000000"/>
        </w:rPr>
        <w:t>: Genomic comparisons of adapted parasite lines.</w:t>
      </w:r>
      <w:r>
        <w:rPr>
          <w:color w:val="000000"/>
        </w:rPr>
        <w:t xml:space="preserve"> </w:t>
      </w:r>
      <w:r w:rsidRPr="00DE6D4E">
        <w:rPr>
          <w:b/>
          <w:color w:val="000000"/>
        </w:rPr>
        <w:t>(</w:t>
      </w:r>
      <w:r>
        <w:rPr>
          <w:b/>
          <w:color w:val="000000"/>
        </w:rPr>
        <w:t>A</w:t>
      </w:r>
      <w:r w:rsidRPr="00DE6D4E">
        <w:rPr>
          <w:b/>
          <w:color w:val="000000"/>
        </w:rPr>
        <w:t>)</w:t>
      </w:r>
      <w:r>
        <w:rPr>
          <w:color w:val="000000"/>
        </w:rPr>
        <w:t xml:space="preserve"> G</w:t>
      </w:r>
      <w:r w:rsidRPr="003B4F21">
        <w:rPr>
          <w:color w:val="000000"/>
        </w:rPr>
        <w:t xml:space="preserve">enomic differences across </w:t>
      </w:r>
      <w:r w:rsidRPr="003B4F21">
        <w:rPr>
          <w:i/>
          <w:iCs/>
          <w:color w:val="000000"/>
        </w:rPr>
        <w:t>Plasmodium knowlesi</w:t>
      </w:r>
      <w:r w:rsidRPr="003B4F21">
        <w:rPr>
          <w:color w:val="000000"/>
        </w:rPr>
        <w:t xml:space="preserve"> lines and derived clones</w:t>
      </w:r>
      <w:r>
        <w:rPr>
          <w:color w:val="000000"/>
        </w:rPr>
        <w:t xml:space="preserve"> used in this study. Starting material was the A1 </w:t>
      </w:r>
      <w:proofErr w:type="spellStart"/>
      <w:r>
        <w:rPr>
          <w:color w:val="000000"/>
        </w:rPr>
        <w:t>stabilate</w:t>
      </w:r>
      <w:proofErr w:type="spellEnd"/>
      <w:r>
        <w:rPr>
          <w:color w:val="000000"/>
        </w:rPr>
        <w:t xml:space="preserve"> derived from the H strain grown in a rhesus macaque. Schematic shows</w:t>
      </w:r>
      <w:r w:rsidRPr="003B4F21">
        <w:rPr>
          <w:color w:val="000000"/>
        </w:rPr>
        <w:t xml:space="preserve"> SNPs (</w:t>
      </w:r>
      <w:r>
        <w:rPr>
          <w:color w:val="000000"/>
        </w:rPr>
        <w:t>green</w:t>
      </w:r>
      <w:r w:rsidRPr="003B4F21">
        <w:rPr>
          <w:color w:val="000000"/>
        </w:rPr>
        <w:t>) and small INDELs (</w:t>
      </w:r>
      <w:r>
        <w:rPr>
          <w:color w:val="000000"/>
        </w:rPr>
        <w:t>blue</w:t>
      </w:r>
      <w:r w:rsidRPr="003B4F21">
        <w:rPr>
          <w:color w:val="000000"/>
        </w:rPr>
        <w:t xml:space="preserve">) </w:t>
      </w:r>
      <w:r>
        <w:rPr>
          <w:color w:val="000000"/>
        </w:rPr>
        <w:t>identified</w:t>
      </w:r>
      <w:r w:rsidRPr="003B4F21">
        <w:rPr>
          <w:color w:val="000000"/>
        </w:rPr>
        <w:t xml:space="preserve"> between </w:t>
      </w:r>
      <w:r>
        <w:rPr>
          <w:color w:val="000000"/>
        </w:rPr>
        <w:t xml:space="preserve">the H strain, the original A1-O line and </w:t>
      </w:r>
      <w:r w:rsidRPr="003B4F21">
        <w:rPr>
          <w:color w:val="000000"/>
        </w:rPr>
        <w:t>human</w:t>
      </w:r>
      <w:r>
        <w:rPr>
          <w:color w:val="000000"/>
        </w:rPr>
        <w:t xml:space="preserve"> RBC</w:t>
      </w:r>
      <w:r w:rsidRPr="003B4F21">
        <w:rPr>
          <w:color w:val="000000"/>
        </w:rPr>
        <w:t>-adapted A1-H and cynomolgus</w:t>
      </w:r>
      <w:r>
        <w:rPr>
          <w:color w:val="000000"/>
        </w:rPr>
        <w:t xml:space="preserve"> RBC</w:t>
      </w:r>
      <w:r w:rsidRPr="003B4F21">
        <w:rPr>
          <w:color w:val="000000"/>
        </w:rPr>
        <w:t xml:space="preserve">-adapted A1-C lines, and respective clones. </w:t>
      </w:r>
      <w:r>
        <w:rPr>
          <w:color w:val="000000"/>
        </w:rPr>
        <w:t>Venn diagrams</w:t>
      </w:r>
      <w:r w:rsidRPr="003B4F21">
        <w:rPr>
          <w:color w:val="000000"/>
        </w:rPr>
        <w:t xml:space="preserve"> show the </w:t>
      </w:r>
      <w:r w:rsidRPr="003B4F21">
        <w:rPr>
          <w:color w:val="000000"/>
        </w:rPr>
        <w:lastRenderedPageBreak/>
        <w:t>relationship</w:t>
      </w:r>
      <w:r>
        <w:rPr>
          <w:color w:val="000000"/>
        </w:rPr>
        <w:t xml:space="preserve"> among</w:t>
      </w:r>
      <w:r w:rsidRPr="003B4F21">
        <w:rPr>
          <w:color w:val="000000"/>
        </w:rPr>
        <w:t xml:space="preserve"> </w:t>
      </w:r>
      <w:r>
        <w:rPr>
          <w:color w:val="000000"/>
        </w:rPr>
        <w:t>A1-O, A1-H, and A1-C to the genome of a clone from each line.</w:t>
      </w:r>
      <w:r w:rsidRPr="003B4F21">
        <w:rPr>
          <w:color w:val="000000"/>
        </w:rPr>
        <w:t xml:space="preserve">  The presence</w:t>
      </w:r>
      <w:r>
        <w:rPr>
          <w:color w:val="000000"/>
        </w:rPr>
        <w:t xml:space="preserve"> </w:t>
      </w:r>
      <w:r w:rsidRPr="003B4F21">
        <w:rPr>
          <w:color w:val="000000"/>
        </w:rPr>
        <w:t xml:space="preserve">of the known invasion genes in the clones </w:t>
      </w:r>
      <w:r>
        <w:rPr>
          <w:color w:val="000000"/>
        </w:rPr>
        <w:t>(A1-H.1 to H.3, and A1-C.1 to C.2) is</w:t>
      </w:r>
      <w:r w:rsidRPr="003B4F21">
        <w:rPr>
          <w:color w:val="000000"/>
        </w:rPr>
        <w:t xml:space="preserve"> shown. </w:t>
      </w:r>
      <w:r w:rsidRPr="003B4F21">
        <w:rPr>
          <w:b/>
          <w:bCs/>
          <w:color w:val="000000"/>
        </w:rPr>
        <w:t>(</w:t>
      </w:r>
      <w:r>
        <w:rPr>
          <w:b/>
          <w:bCs/>
          <w:color w:val="000000"/>
        </w:rPr>
        <w:t>B</w:t>
      </w:r>
      <w:r w:rsidRPr="003B4F21">
        <w:rPr>
          <w:b/>
          <w:bCs/>
          <w:color w:val="000000"/>
        </w:rPr>
        <w:t>)</w:t>
      </w:r>
      <w:r w:rsidRPr="003B4F21">
        <w:rPr>
          <w:color w:val="000000"/>
        </w:rPr>
        <w:t xml:space="preserve"> Mapping </w:t>
      </w:r>
      <w:r>
        <w:rPr>
          <w:color w:val="000000"/>
        </w:rPr>
        <w:t xml:space="preserve">Illumina reads coverage </w:t>
      </w:r>
      <w:r w:rsidRPr="003B4F21">
        <w:rPr>
          <w:color w:val="000000"/>
        </w:rPr>
        <w:t xml:space="preserve">of </w:t>
      </w:r>
      <w:r w:rsidRPr="003B4F21">
        <w:rPr>
          <w:i/>
          <w:iCs/>
          <w:color w:val="000000"/>
        </w:rPr>
        <w:t>P. knowlesi</w:t>
      </w:r>
      <w:r w:rsidRPr="003B4F21">
        <w:rPr>
          <w:color w:val="000000"/>
        </w:rPr>
        <w:t xml:space="preserve"> A1-</w:t>
      </w:r>
      <w:r>
        <w:rPr>
          <w:color w:val="000000"/>
        </w:rPr>
        <w:t>O (green)</w:t>
      </w:r>
      <w:r w:rsidRPr="003B4F21">
        <w:rPr>
          <w:color w:val="000000"/>
        </w:rPr>
        <w:t xml:space="preserve">, A1-C </w:t>
      </w:r>
      <w:r>
        <w:rPr>
          <w:color w:val="000000"/>
        </w:rPr>
        <w:t xml:space="preserve">(red) </w:t>
      </w:r>
      <w:r w:rsidRPr="003B4F21">
        <w:rPr>
          <w:color w:val="000000"/>
        </w:rPr>
        <w:t>and A1-</w:t>
      </w:r>
      <w:r>
        <w:rPr>
          <w:color w:val="000000"/>
        </w:rPr>
        <w:t>H (blue)</w:t>
      </w:r>
      <w:r w:rsidRPr="003B4F21">
        <w:rPr>
          <w:color w:val="000000"/>
        </w:rPr>
        <w:t xml:space="preserve"> against </w:t>
      </w:r>
      <w:r>
        <w:rPr>
          <w:color w:val="000000"/>
        </w:rPr>
        <w:t>c</w:t>
      </w:r>
      <w:r w:rsidRPr="003B4F21">
        <w:rPr>
          <w:color w:val="000000"/>
        </w:rPr>
        <w:t xml:space="preserve">hromosome 14 of </w:t>
      </w:r>
      <w:r w:rsidRPr="003B4F21">
        <w:rPr>
          <w:i/>
          <w:iCs/>
          <w:color w:val="000000"/>
        </w:rPr>
        <w:t xml:space="preserve">P. knowlesi </w:t>
      </w:r>
      <w:r w:rsidRPr="003B4F21">
        <w:rPr>
          <w:color w:val="000000"/>
        </w:rPr>
        <w:t>H</w:t>
      </w:r>
      <w:r>
        <w:rPr>
          <w:color w:val="000000"/>
        </w:rPr>
        <w:t xml:space="preserve"> viewed in </w:t>
      </w:r>
      <w:proofErr w:type="gramStart"/>
      <w:r>
        <w:rPr>
          <w:color w:val="000000"/>
        </w:rPr>
        <w:t xml:space="preserve">Artemis </w:t>
      </w:r>
      <w:r w:rsidRPr="003B4F21">
        <w:rPr>
          <w:color w:val="000000"/>
        </w:rPr>
        <w:t>.</w:t>
      </w:r>
      <w:proofErr w:type="gramEnd"/>
      <w:r w:rsidRPr="003B4F21">
        <w:rPr>
          <w:color w:val="000000"/>
        </w:rPr>
        <w:t xml:space="preserve"> The highlighted area shows </w:t>
      </w:r>
      <w:r>
        <w:rPr>
          <w:color w:val="000000"/>
        </w:rPr>
        <w:t>the lack of</w:t>
      </w:r>
      <w:r w:rsidRPr="003B4F21">
        <w:rPr>
          <w:color w:val="000000"/>
        </w:rPr>
        <w:t xml:space="preserve"> A1-C read</w:t>
      </w:r>
      <w:r>
        <w:rPr>
          <w:color w:val="000000"/>
        </w:rPr>
        <w:t xml:space="preserve"> coverage, corresponding </w:t>
      </w:r>
      <w:r w:rsidRPr="003B4F21">
        <w:rPr>
          <w:color w:val="000000"/>
        </w:rPr>
        <w:t xml:space="preserve">to a </w:t>
      </w:r>
      <w:r>
        <w:rPr>
          <w:color w:val="000000"/>
        </w:rPr>
        <w:t>66.3</w:t>
      </w:r>
      <w:r w:rsidRPr="003B4F21">
        <w:rPr>
          <w:color w:val="000000"/>
        </w:rPr>
        <w:t xml:space="preserve"> </w:t>
      </w:r>
      <w:proofErr w:type="spellStart"/>
      <w:r w:rsidRPr="003B4F21">
        <w:rPr>
          <w:color w:val="000000"/>
        </w:rPr>
        <w:t>kbp</w:t>
      </w:r>
      <w:proofErr w:type="spellEnd"/>
      <w:r w:rsidRPr="003B4F21">
        <w:rPr>
          <w:color w:val="000000"/>
        </w:rPr>
        <w:t xml:space="preserve"> deletion encompassing the invasion-related gene </w:t>
      </w:r>
      <w:proofErr w:type="spellStart"/>
      <w:r w:rsidRPr="003B4F21">
        <w:rPr>
          <w:i/>
          <w:iCs/>
          <w:color w:val="000000"/>
        </w:rPr>
        <w:t>NBPXa</w:t>
      </w:r>
      <w:proofErr w:type="spellEnd"/>
      <w:r w:rsidRPr="003B4F21">
        <w:rPr>
          <w:color w:val="000000"/>
        </w:rPr>
        <w:t xml:space="preserve"> (PKNH_1472300)</w:t>
      </w:r>
      <w:r>
        <w:rPr>
          <w:color w:val="000000"/>
        </w:rPr>
        <w:t>.</w:t>
      </w:r>
    </w:p>
    <w:p w:rsidR="00B0554F" w:rsidRDefault="00B0554F" w:rsidP="0045204F">
      <w:pPr>
        <w:spacing w:after="0" w:line="480" w:lineRule="auto"/>
        <w:rPr>
          <w:color w:val="000000"/>
        </w:rPr>
      </w:pPr>
    </w:p>
    <w:p w:rsidR="00B0554F" w:rsidRDefault="00B0554F" w:rsidP="0045204F">
      <w:pPr>
        <w:spacing w:after="0" w:line="480" w:lineRule="auto"/>
        <w:rPr>
          <w:color w:val="000000"/>
        </w:rPr>
      </w:pPr>
      <w:r>
        <w:rPr>
          <w:b/>
          <w:color w:val="000000"/>
        </w:rPr>
        <w:t xml:space="preserve">Figure 2: </w:t>
      </w:r>
      <w:r w:rsidRPr="00C756B0">
        <w:rPr>
          <w:b/>
          <w:color w:val="000000"/>
        </w:rPr>
        <w:t xml:space="preserve">Phenotypic characterisation of </w:t>
      </w:r>
      <w:r>
        <w:rPr>
          <w:b/>
          <w:color w:val="000000"/>
        </w:rPr>
        <w:t>the</w:t>
      </w:r>
      <w:r w:rsidRPr="00C756B0">
        <w:rPr>
          <w:b/>
          <w:color w:val="000000"/>
        </w:rPr>
        <w:t xml:space="preserve"> </w:t>
      </w:r>
      <w:r>
        <w:rPr>
          <w:b/>
          <w:color w:val="000000"/>
        </w:rPr>
        <w:t xml:space="preserve">A1-O </w:t>
      </w:r>
      <w:r w:rsidRPr="00C756B0">
        <w:rPr>
          <w:b/>
          <w:color w:val="000000"/>
        </w:rPr>
        <w:t>parasite line</w:t>
      </w:r>
      <w:r>
        <w:rPr>
          <w:b/>
          <w:color w:val="000000"/>
        </w:rPr>
        <w:t>.</w:t>
      </w:r>
      <w:r>
        <w:rPr>
          <w:color w:val="000000"/>
        </w:rPr>
        <w:t xml:space="preserve"> </w:t>
      </w:r>
      <w:r w:rsidRPr="00DE6D4E">
        <w:rPr>
          <w:b/>
          <w:color w:val="000000"/>
        </w:rPr>
        <w:t>(</w:t>
      </w:r>
      <w:r>
        <w:rPr>
          <w:b/>
          <w:color w:val="000000"/>
        </w:rPr>
        <w:t>A</w:t>
      </w:r>
      <w:r w:rsidRPr="00DE6D4E">
        <w:rPr>
          <w:b/>
          <w:color w:val="000000"/>
        </w:rPr>
        <w:t>)</w:t>
      </w:r>
      <w:r w:rsidRPr="003B4F21">
        <w:rPr>
          <w:color w:val="000000"/>
        </w:rPr>
        <w:t xml:space="preserve"> Growth of the A1-O</w:t>
      </w:r>
      <w:r>
        <w:rPr>
          <w:color w:val="000000"/>
        </w:rPr>
        <w:t xml:space="preserve"> line and the</w:t>
      </w:r>
      <w:r w:rsidRPr="003B4F21">
        <w:rPr>
          <w:color w:val="000000"/>
        </w:rPr>
        <w:t xml:space="preserve"> </w:t>
      </w:r>
      <w:r>
        <w:rPr>
          <w:color w:val="000000"/>
        </w:rPr>
        <w:t xml:space="preserve">long-term culture adapted </w:t>
      </w:r>
      <w:r w:rsidRPr="003B4F21">
        <w:rPr>
          <w:color w:val="000000"/>
        </w:rPr>
        <w:t xml:space="preserve">A1-C.1 and A1-H.1 </w:t>
      </w:r>
      <w:r>
        <w:rPr>
          <w:color w:val="000000"/>
        </w:rPr>
        <w:t>clones</w:t>
      </w:r>
      <w:r w:rsidRPr="003B4F21">
        <w:rPr>
          <w:color w:val="000000"/>
        </w:rPr>
        <w:t xml:space="preserve"> in cynomolgus or human RBC</w:t>
      </w:r>
      <w:r>
        <w:rPr>
          <w:color w:val="000000"/>
        </w:rPr>
        <w:t>s</w:t>
      </w:r>
      <w:r w:rsidRPr="003B4F21">
        <w:rPr>
          <w:color w:val="000000"/>
        </w:rPr>
        <w:t xml:space="preserve"> </w:t>
      </w:r>
      <w:r>
        <w:rPr>
          <w:color w:val="000000"/>
        </w:rPr>
        <w:t xml:space="preserve">after 24 h (a </w:t>
      </w:r>
      <w:r w:rsidRPr="003B4F21">
        <w:rPr>
          <w:color w:val="000000"/>
        </w:rPr>
        <w:t>mean of 4 independent experiments +/- 1 SD</w:t>
      </w:r>
      <w:r>
        <w:rPr>
          <w:color w:val="000000"/>
        </w:rPr>
        <w:t>)</w:t>
      </w:r>
      <w:r w:rsidRPr="003B4F21">
        <w:rPr>
          <w:color w:val="000000"/>
        </w:rPr>
        <w:t xml:space="preserve">. </w:t>
      </w:r>
      <w:r>
        <w:rPr>
          <w:color w:val="000000"/>
        </w:rPr>
        <w:t>S</w:t>
      </w:r>
      <w:r w:rsidRPr="00A751D4">
        <w:t xml:space="preserve">tatistical significance </w:t>
      </w:r>
      <w:r>
        <w:t>determined</w:t>
      </w:r>
      <w:r w:rsidRPr="00A751D4">
        <w:t xml:space="preserve"> using a two factor ANOVA with </w:t>
      </w:r>
      <w:proofErr w:type="spellStart"/>
      <w:r w:rsidRPr="00A751D4">
        <w:t>Sidak</w:t>
      </w:r>
      <w:proofErr w:type="spellEnd"/>
      <w:r w:rsidRPr="00A751D4">
        <w:t xml:space="preserve"> post hoc test</w:t>
      </w:r>
      <w:r>
        <w:t xml:space="preserve"> </w:t>
      </w:r>
      <w:r>
        <w:rPr>
          <w:color w:val="000000"/>
        </w:rPr>
        <w:t>to provide multiplicity adjusted p-values</w:t>
      </w:r>
      <w:r w:rsidRPr="00A751D4">
        <w:t xml:space="preserve">. </w:t>
      </w:r>
      <w:r>
        <w:rPr>
          <w:color w:val="000000"/>
        </w:rPr>
        <w:t xml:space="preserve">Significant (*) and non-significant (ns) results are denoted. In </w:t>
      </w:r>
      <w:r w:rsidRPr="003B4F21">
        <w:rPr>
          <w:color w:val="000000"/>
        </w:rPr>
        <w:t>cynomolgus RBC</w:t>
      </w:r>
      <w:r>
        <w:rPr>
          <w:color w:val="000000"/>
        </w:rPr>
        <w:t xml:space="preserve">s both </w:t>
      </w:r>
      <w:r w:rsidRPr="003B4F21">
        <w:rPr>
          <w:color w:val="000000"/>
        </w:rPr>
        <w:t>A1-C.1 (p=0.0040) and A1-H.1 (p=0.0021) lines</w:t>
      </w:r>
      <w:r>
        <w:rPr>
          <w:color w:val="000000"/>
        </w:rPr>
        <w:t xml:space="preserve"> grew significantly better than</w:t>
      </w:r>
      <w:r w:rsidRPr="003B4F21">
        <w:rPr>
          <w:color w:val="000000"/>
        </w:rPr>
        <w:t xml:space="preserve"> A1-O. </w:t>
      </w:r>
      <w:r>
        <w:rPr>
          <w:color w:val="000000"/>
        </w:rPr>
        <w:t>In</w:t>
      </w:r>
      <w:r w:rsidRPr="003B4F21">
        <w:rPr>
          <w:color w:val="000000"/>
        </w:rPr>
        <w:t xml:space="preserve"> human RBC</w:t>
      </w:r>
      <w:r>
        <w:rPr>
          <w:color w:val="000000"/>
        </w:rPr>
        <w:t>s</w:t>
      </w:r>
      <w:r w:rsidRPr="003B4F21">
        <w:rPr>
          <w:color w:val="000000"/>
        </w:rPr>
        <w:t xml:space="preserve"> only A1-H.1 (p=0.0285) </w:t>
      </w:r>
      <w:r>
        <w:rPr>
          <w:color w:val="000000"/>
        </w:rPr>
        <w:t xml:space="preserve">showed increased growth rate </w:t>
      </w:r>
      <w:r w:rsidRPr="003B4F21">
        <w:rPr>
          <w:color w:val="000000"/>
        </w:rPr>
        <w:t>relative to A1-O</w:t>
      </w:r>
      <w:r>
        <w:rPr>
          <w:color w:val="000000"/>
        </w:rPr>
        <w:t xml:space="preserve">; in contrast A1-C.1 demonstrated a non-significant, but consistent, reduction in growth relative to A1-O in human RBCs. </w:t>
      </w:r>
      <w:proofErr w:type="spellStart"/>
      <w:r>
        <w:rPr>
          <w:color w:val="000000"/>
        </w:rPr>
        <w:t>Parasitemia</w:t>
      </w:r>
      <w:proofErr w:type="spellEnd"/>
      <w:r>
        <w:rPr>
          <w:color w:val="000000"/>
        </w:rPr>
        <w:t xml:space="preserve"> was determined after invasion (at 7 h) and after a cycle of intracellular growth (at 24 h)</w:t>
      </w:r>
      <w:r w:rsidRPr="003B4F21">
        <w:rPr>
          <w:color w:val="000000"/>
        </w:rPr>
        <w:t xml:space="preserve"> in either </w:t>
      </w:r>
      <w:r w:rsidRPr="00C756B0">
        <w:rPr>
          <w:b/>
          <w:color w:val="000000"/>
        </w:rPr>
        <w:t>(B)</w:t>
      </w:r>
      <w:r w:rsidRPr="003B4F21">
        <w:rPr>
          <w:color w:val="000000"/>
        </w:rPr>
        <w:t xml:space="preserve"> cynomolgus or </w:t>
      </w:r>
      <w:r w:rsidRPr="00C756B0">
        <w:rPr>
          <w:b/>
          <w:color w:val="000000"/>
        </w:rPr>
        <w:t>(C)</w:t>
      </w:r>
      <w:r>
        <w:rPr>
          <w:color w:val="000000"/>
        </w:rPr>
        <w:t xml:space="preserve"> human RBCs revealing</w:t>
      </w:r>
      <w:r w:rsidRPr="003B4F21">
        <w:rPr>
          <w:color w:val="000000"/>
        </w:rPr>
        <w:t xml:space="preserve"> </w:t>
      </w:r>
      <w:r>
        <w:rPr>
          <w:color w:val="000000"/>
        </w:rPr>
        <w:t>that growth rates were determined by invasion efficiency and not through differences in subsequent intracellular growth (</w:t>
      </w:r>
      <w:r w:rsidRPr="003B4F21">
        <w:rPr>
          <w:color w:val="000000"/>
        </w:rPr>
        <w:t>mean</w:t>
      </w:r>
      <w:r>
        <w:rPr>
          <w:color w:val="000000"/>
        </w:rPr>
        <w:t>s</w:t>
      </w:r>
      <w:r w:rsidRPr="003B4F21">
        <w:rPr>
          <w:color w:val="000000"/>
        </w:rPr>
        <w:t xml:space="preserve"> of triplicate data points from a single experiment +/- 1 SD</w:t>
      </w:r>
      <w:r>
        <w:rPr>
          <w:color w:val="000000"/>
        </w:rPr>
        <w:t>).</w:t>
      </w:r>
    </w:p>
    <w:p w:rsidR="00B0554F" w:rsidRPr="003B4F21" w:rsidRDefault="00B0554F" w:rsidP="0045204F">
      <w:pPr>
        <w:spacing w:after="0" w:line="480" w:lineRule="auto"/>
        <w:rPr>
          <w:color w:val="000000"/>
        </w:rPr>
      </w:pPr>
    </w:p>
    <w:p w:rsidR="00B0554F" w:rsidRDefault="00B0554F" w:rsidP="0045204F">
      <w:pPr>
        <w:spacing w:after="0" w:line="480" w:lineRule="auto"/>
        <w:rPr>
          <w:color w:val="000000"/>
        </w:rPr>
      </w:pPr>
      <w:r w:rsidRPr="0093627E">
        <w:rPr>
          <w:b/>
          <w:color w:val="000000"/>
        </w:rPr>
        <w:t xml:space="preserve">Figure </w:t>
      </w:r>
      <w:r>
        <w:rPr>
          <w:b/>
          <w:color w:val="000000"/>
        </w:rPr>
        <w:t>3</w:t>
      </w:r>
      <w:r w:rsidRPr="0093627E">
        <w:rPr>
          <w:b/>
          <w:color w:val="000000"/>
        </w:rPr>
        <w:t xml:space="preserve">: Disruption of </w:t>
      </w:r>
      <w:proofErr w:type="spellStart"/>
      <w:r w:rsidRPr="0093627E">
        <w:rPr>
          <w:b/>
          <w:i/>
          <w:color w:val="000000"/>
        </w:rPr>
        <w:t>NBPXa</w:t>
      </w:r>
      <w:proofErr w:type="spellEnd"/>
      <w:r w:rsidRPr="0093627E">
        <w:rPr>
          <w:b/>
          <w:color w:val="000000"/>
        </w:rPr>
        <w:t xml:space="preserve"> </w:t>
      </w:r>
      <w:r>
        <w:rPr>
          <w:b/>
          <w:color w:val="000000"/>
        </w:rPr>
        <w:t>can be achieved when parasites are grown in macaque RBCs, but not in human RBCs</w:t>
      </w:r>
      <w:r w:rsidRPr="0093627E">
        <w:rPr>
          <w:b/>
          <w:color w:val="000000"/>
        </w:rPr>
        <w:t>.</w:t>
      </w:r>
      <w:r w:rsidRPr="003B4F21">
        <w:rPr>
          <w:color w:val="000000"/>
        </w:rPr>
        <w:t xml:space="preserve"> </w:t>
      </w:r>
      <w:r w:rsidRPr="00C756B0">
        <w:rPr>
          <w:b/>
          <w:color w:val="000000"/>
        </w:rPr>
        <w:t>(A)</w:t>
      </w:r>
      <w:r w:rsidRPr="003B4F21">
        <w:rPr>
          <w:color w:val="000000"/>
        </w:rPr>
        <w:t xml:space="preserve"> </w:t>
      </w:r>
      <w:r>
        <w:rPr>
          <w:color w:val="000000"/>
        </w:rPr>
        <w:t>D</w:t>
      </w:r>
      <w:r w:rsidRPr="003B4F21">
        <w:rPr>
          <w:color w:val="000000"/>
        </w:rPr>
        <w:t xml:space="preserve">isruption of </w:t>
      </w:r>
      <w:proofErr w:type="spellStart"/>
      <w:r w:rsidRPr="00DE6D4E">
        <w:rPr>
          <w:i/>
          <w:color w:val="000000"/>
        </w:rPr>
        <w:t>NBPXa</w:t>
      </w:r>
      <w:proofErr w:type="spellEnd"/>
      <w:r>
        <w:rPr>
          <w:color w:val="000000"/>
        </w:rPr>
        <w:t xml:space="preserve"> by</w:t>
      </w:r>
      <w:r w:rsidRPr="003B4F21">
        <w:rPr>
          <w:color w:val="000000"/>
        </w:rPr>
        <w:t xml:space="preserve"> introduction of </w:t>
      </w:r>
      <w:proofErr w:type="spellStart"/>
      <w:r>
        <w:rPr>
          <w:color w:val="000000"/>
        </w:rPr>
        <w:t>linearised</w:t>
      </w:r>
      <w:proofErr w:type="spellEnd"/>
      <w:r>
        <w:rPr>
          <w:color w:val="000000"/>
        </w:rPr>
        <w:t xml:space="preserve"> </w:t>
      </w:r>
      <w:r w:rsidRPr="003B4F21">
        <w:rPr>
          <w:color w:val="000000"/>
        </w:rPr>
        <w:t>pNBPXa_1XKO into the genome</w:t>
      </w:r>
      <w:r>
        <w:rPr>
          <w:color w:val="000000"/>
        </w:rPr>
        <w:t xml:space="preserve"> via </w:t>
      </w:r>
      <w:r w:rsidRPr="003B4F21">
        <w:rPr>
          <w:color w:val="000000"/>
        </w:rPr>
        <w:t>integrat</w:t>
      </w:r>
      <w:r>
        <w:rPr>
          <w:color w:val="000000"/>
        </w:rPr>
        <w:t>ion</w:t>
      </w:r>
      <w:r w:rsidRPr="003B4F21">
        <w:rPr>
          <w:color w:val="000000"/>
        </w:rPr>
        <w:t xml:space="preserve"> </w:t>
      </w:r>
      <w:r>
        <w:rPr>
          <w:color w:val="000000"/>
        </w:rPr>
        <w:t>at</w:t>
      </w:r>
      <w:r w:rsidRPr="003B4F21">
        <w:rPr>
          <w:color w:val="000000"/>
        </w:rPr>
        <w:t xml:space="preserve"> the 5’ end of the </w:t>
      </w:r>
      <w:proofErr w:type="spellStart"/>
      <w:r w:rsidRPr="00D25C84">
        <w:rPr>
          <w:i/>
          <w:color w:val="000000"/>
        </w:rPr>
        <w:t>NBPXa</w:t>
      </w:r>
      <w:proofErr w:type="spellEnd"/>
      <w:r w:rsidRPr="003B4F21">
        <w:rPr>
          <w:color w:val="000000"/>
        </w:rPr>
        <w:t xml:space="preserve"> locus within a targeting region (hatched box). Primers for diagnostic analysis are indicated (thick black arrows). </w:t>
      </w:r>
      <w:r w:rsidRPr="00C756B0">
        <w:rPr>
          <w:b/>
          <w:color w:val="000000"/>
        </w:rPr>
        <w:t>(B)</w:t>
      </w:r>
      <w:r w:rsidRPr="003B4F21">
        <w:rPr>
          <w:color w:val="000000"/>
        </w:rPr>
        <w:t xml:space="preserve"> PCR analysis of independently transfected parasites grown in human (T1</w:t>
      </w:r>
      <w:r>
        <w:rPr>
          <w:color w:val="000000"/>
        </w:rPr>
        <w:t xml:space="preserve"> to</w:t>
      </w:r>
      <w:r w:rsidRPr="003B4F21">
        <w:rPr>
          <w:color w:val="000000"/>
        </w:rPr>
        <w:t>T3) or cynomolgus (T1</w:t>
      </w:r>
      <w:r>
        <w:rPr>
          <w:color w:val="000000"/>
        </w:rPr>
        <w:t xml:space="preserve"> to</w:t>
      </w:r>
      <w:r w:rsidRPr="003B4F21">
        <w:rPr>
          <w:color w:val="000000"/>
        </w:rPr>
        <w:t>T</w:t>
      </w:r>
      <w:r>
        <w:rPr>
          <w:color w:val="000000"/>
        </w:rPr>
        <w:t>5</w:t>
      </w:r>
      <w:r w:rsidRPr="003B4F21">
        <w:rPr>
          <w:color w:val="000000"/>
        </w:rPr>
        <w:t>) RBC</w:t>
      </w:r>
      <w:r>
        <w:rPr>
          <w:color w:val="000000"/>
        </w:rPr>
        <w:t>s</w:t>
      </w:r>
      <w:r w:rsidRPr="003B4F21">
        <w:rPr>
          <w:color w:val="000000"/>
        </w:rPr>
        <w:t>, and two independent clones derived from the latter</w:t>
      </w:r>
      <w:r>
        <w:rPr>
          <w:color w:val="000000"/>
        </w:rPr>
        <w:t xml:space="preserve"> (T1.1 and T2.1)</w:t>
      </w:r>
      <w:r w:rsidRPr="003B4F21">
        <w:rPr>
          <w:color w:val="000000"/>
        </w:rPr>
        <w:t>, confirm</w:t>
      </w:r>
      <w:r>
        <w:rPr>
          <w:color w:val="000000"/>
        </w:rPr>
        <w:t>ed</w:t>
      </w:r>
      <w:r w:rsidRPr="003B4F21">
        <w:rPr>
          <w:color w:val="000000"/>
        </w:rPr>
        <w:t xml:space="preserve"> correct integration only </w:t>
      </w:r>
      <w:r>
        <w:rPr>
          <w:color w:val="000000"/>
        </w:rPr>
        <w:t>for</w:t>
      </w:r>
      <w:r w:rsidRPr="003B4F21">
        <w:rPr>
          <w:color w:val="000000"/>
        </w:rPr>
        <w:t xml:space="preserve"> parasites </w:t>
      </w:r>
      <w:r w:rsidRPr="003B4F21">
        <w:rPr>
          <w:color w:val="000000"/>
        </w:rPr>
        <w:lastRenderedPageBreak/>
        <w:t>grown in cynomolgus RBC</w:t>
      </w:r>
      <w:r>
        <w:rPr>
          <w:color w:val="000000"/>
        </w:rPr>
        <w:t>s</w:t>
      </w:r>
      <w:r w:rsidRPr="003B4F21">
        <w:rPr>
          <w:color w:val="000000"/>
        </w:rPr>
        <w:t xml:space="preserve">. </w:t>
      </w:r>
      <w:r>
        <w:rPr>
          <w:color w:val="000000"/>
        </w:rPr>
        <w:t>Panels show am</w:t>
      </w:r>
      <w:r w:rsidRPr="003B4F21">
        <w:rPr>
          <w:color w:val="000000"/>
        </w:rPr>
        <w:t xml:space="preserve">plification of a product from wild type </w:t>
      </w:r>
      <w:proofErr w:type="spellStart"/>
      <w:r w:rsidRPr="00DE6D4E">
        <w:rPr>
          <w:i/>
          <w:color w:val="000000"/>
        </w:rPr>
        <w:t>NBPXa</w:t>
      </w:r>
      <w:proofErr w:type="spellEnd"/>
      <w:r w:rsidRPr="003B4F21">
        <w:rPr>
          <w:color w:val="000000"/>
        </w:rPr>
        <w:t xml:space="preserve"> (</w:t>
      </w:r>
      <w:r>
        <w:rPr>
          <w:color w:val="000000"/>
        </w:rPr>
        <w:t xml:space="preserve">top panel, </w:t>
      </w:r>
      <w:r w:rsidRPr="003B4F21">
        <w:rPr>
          <w:color w:val="000000"/>
        </w:rPr>
        <w:t xml:space="preserve">primers ol1 and ol2) and a species that can be produced </w:t>
      </w:r>
      <w:r>
        <w:rPr>
          <w:color w:val="000000"/>
        </w:rPr>
        <w:t xml:space="preserve">only </w:t>
      </w:r>
      <w:r w:rsidRPr="003B4F21">
        <w:rPr>
          <w:color w:val="000000"/>
        </w:rPr>
        <w:t>following integration (</w:t>
      </w:r>
      <w:r>
        <w:rPr>
          <w:color w:val="000000"/>
        </w:rPr>
        <w:t xml:space="preserve">lower panel, </w:t>
      </w:r>
      <w:r w:rsidRPr="003B4F21">
        <w:rPr>
          <w:color w:val="000000"/>
        </w:rPr>
        <w:t xml:space="preserve">primers ol1 and ol3). </w:t>
      </w:r>
    </w:p>
    <w:p w:rsidR="00B0554F" w:rsidRDefault="00B0554F" w:rsidP="0045204F">
      <w:pPr>
        <w:spacing w:after="0" w:line="480" w:lineRule="auto"/>
        <w:rPr>
          <w:b/>
          <w:color w:val="000000"/>
        </w:rPr>
      </w:pPr>
    </w:p>
    <w:p w:rsidR="00B0554F" w:rsidRDefault="00B0554F" w:rsidP="0045204F">
      <w:pPr>
        <w:spacing w:after="0" w:line="480" w:lineRule="auto"/>
        <w:rPr>
          <w:color w:val="000000"/>
        </w:rPr>
      </w:pPr>
      <w:r w:rsidRPr="0093627E">
        <w:rPr>
          <w:b/>
          <w:color w:val="000000"/>
        </w:rPr>
        <w:t xml:space="preserve">Figure </w:t>
      </w:r>
      <w:r>
        <w:rPr>
          <w:b/>
          <w:color w:val="000000"/>
        </w:rPr>
        <w:t>4</w:t>
      </w:r>
      <w:r w:rsidRPr="0093627E">
        <w:rPr>
          <w:b/>
          <w:color w:val="000000"/>
        </w:rPr>
        <w:t xml:space="preserve">: Disruption of </w:t>
      </w:r>
      <w:proofErr w:type="spellStart"/>
      <w:r w:rsidRPr="0093627E">
        <w:rPr>
          <w:b/>
          <w:i/>
          <w:color w:val="000000"/>
        </w:rPr>
        <w:t>NBPXa</w:t>
      </w:r>
      <w:proofErr w:type="spellEnd"/>
      <w:r w:rsidRPr="0093627E">
        <w:rPr>
          <w:b/>
          <w:color w:val="000000"/>
        </w:rPr>
        <w:t xml:space="preserve"> prevents multiplicative growth in human RBC</w:t>
      </w:r>
      <w:r>
        <w:rPr>
          <w:b/>
          <w:color w:val="000000"/>
        </w:rPr>
        <w:t>s</w:t>
      </w:r>
      <w:r w:rsidRPr="0093627E">
        <w:rPr>
          <w:b/>
          <w:color w:val="000000"/>
        </w:rPr>
        <w:t xml:space="preserve"> through impaired invasion.</w:t>
      </w:r>
      <w:r>
        <w:rPr>
          <w:color w:val="000000"/>
        </w:rPr>
        <w:t xml:space="preserve">  </w:t>
      </w:r>
      <w:r w:rsidRPr="00C756B0">
        <w:rPr>
          <w:b/>
          <w:color w:val="000000"/>
        </w:rPr>
        <w:t>(A)</w:t>
      </w:r>
      <w:r>
        <w:rPr>
          <w:color w:val="000000"/>
        </w:rPr>
        <w:t xml:space="preserve"> Growth of</w:t>
      </w:r>
      <w:r w:rsidRPr="003B4F21">
        <w:rPr>
          <w:color w:val="000000"/>
        </w:rPr>
        <w:t xml:space="preserve"> A1-C.1, A1-H.1 and </w:t>
      </w:r>
      <w:proofErr w:type="spellStart"/>
      <w:r w:rsidRPr="003B4F21">
        <w:rPr>
          <w:color w:val="000000"/>
        </w:rPr>
        <w:t>Δ</w:t>
      </w:r>
      <w:r w:rsidRPr="00DE6D4E">
        <w:rPr>
          <w:i/>
          <w:color w:val="000000"/>
        </w:rPr>
        <w:t>NBPXa</w:t>
      </w:r>
      <w:proofErr w:type="spellEnd"/>
      <w:r w:rsidRPr="003B4F21">
        <w:rPr>
          <w:color w:val="000000"/>
        </w:rPr>
        <w:t xml:space="preserve"> </w:t>
      </w:r>
      <w:r>
        <w:rPr>
          <w:color w:val="000000"/>
        </w:rPr>
        <w:t>in</w:t>
      </w:r>
      <w:r w:rsidRPr="003B4F21">
        <w:rPr>
          <w:color w:val="000000"/>
        </w:rPr>
        <w:t xml:space="preserve"> cynomolgus or human RBC</w:t>
      </w:r>
      <w:r>
        <w:rPr>
          <w:color w:val="000000"/>
        </w:rPr>
        <w:t>s after 24 h (</w:t>
      </w:r>
      <w:r w:rsidRPr="003B4F21">
        <w:rPr>
          <w:color w:val="000000"/>
        </w:rPr>
        <w:t>mean of 4 independent experiments +/- 1 SD</w:t>
      </w:r>
      <w:r>
        <w:rPr>
          <w:color w:val="000000"/>
        </w:rPr>
        <w:t>). S</w:t>
      </w:r>
      <w:r w:rsidRPr="00A751D4">
        <w:t xml:space="preserve">tatistical significance </w:t>
      </w:r>
      <w:r>
        <w:t>determined</w:t>
      </w:r>
      <w:r w:rsidRPr="00A751D4">
        <w:t xml:space="preserve"> using a two factor ANOVA with </w:t>
      </w:r>
      <w:proofErr w:type="spellStart"/>
      <w:r w:rsidRPr="00A751D4">
        <w:t>Sidak</w:t>
      </w:r>
      <w:proofErr w:type="spellEnd"/>
      <w:r w:rsidRPr="00A751D4">
        <w:t xml:space="preserve"> post hoc test</w:t>
      </w:r>
      <w:r>
        <w:t xml:space="preserve"> </w:t>
      </w:r>
      <w:r>
        <w:rPr>
          <w:color w:val="000000"/>
        </w:rPr>
        <w:t>to provide multiplicity adjusted p-values</w:t>
      </w:r>
      <w:r w:rsidRPr="00A751D4">
        <w:t xml:space="preserve">. </w:t>
      </w:r>
      <w:r w:rsidRPr="003B4F21">
        <w:rPr>
          <w:color w:val="000000"/>
        </w:rPr>
        <w:t xml:space="preserve"> </w:t>
      </w:r>
      <w:r>
        <w:rPr>
          <w:color w:val="000000"/>
        </w:rPr>
        <w:t>Significant (*) and non-significant (ns) results are shown.</w:t>
      </w:r>
      <w:r w:rsidRPr="003B4F21">
        <w:rPr>
          <w:color w:val="000000"/>
        </w:rPr>
        <w:t xml:space="preserve"> Compared to A1-H.1</w:t>
      </w:r>
      <w:r>
        <w:rPr>
          <w:color w:val="000000"/>
        </w:rPr>
        <w:t>,</w:t>
      </w:r>
      <w:r w:rsidRPr="003B4F21">
        <w:rPr>
          <w:color w:val="000000"/>
        </w:rPr>
        <w:t xml:space="preserve"> </w:t>
      </w:r>
      <w:proofErr w:type="spellStart"/>
      <w:r w:rsidRPr="003B4F21">
        <w:rPr>
          <w:color w:val="000000"/>
        </w:rPr>
        <w:t>Δ</w:t>
      </w:r>
      <w:r w:rsidRPr="00DE6D4E">
        <w:rPr>
          <w:i/>
          <w:color w:val="000000"/>
        </w:rPr>
        <w:t>NBPXa</w:t>
      </w:r>
      <w:proofErr w:type="spellEnd"/>
      <w:r w:rsidRPr="003B4F21">
        <w:rPr>
          <w:color w:val="000000"/>
        </w:rPr>
        <w:t xml:space="preserve"> showed no significant difference in growth in cynomolgus, but a significant reduction in human RBC</w:t>
      </w:r>
      <w:r>
        <w:rPr>
          <w:color w:val="000000"/>
        </w:rPr>
        <w:t>s</w:t>
      </w:r>
      <w:r w:rsidRPr="003B4F21">
        <w:rPr>
          <w:color w:val="000000"/>
        </w:rPr>
        <w:t xml:space="preserve"> (p=0.0481). There was no significant</w:t>
      </w:r>
      <w:r>
        <w:rPr>
          <w:color w:val="000000"/>
        </w:rPr>
        <w:t xml:space="preserve"> growth</w:t>
      </w:r>
      <w:r w:rsidRPr="003B4F21">
        <w:rPr>
          <w:color w:val="000000"/>
        </w:rPr>
        <w:t xml:space="preserve"> difference of </w:t>
      </w:r>
      <w:proofErr w:type="spellStart"/>
      <w:r w:rsidRPr="003B4F21">
        <w:rPr>
          <w:color w:val="000000"/>
        </w:rPr>
        <w:t>Δ</w:t>
      </w:r>
      <w:r w:rsidRPr="00DE6D4E">
        <w:rPr>
          <w:i/>
          <w:color w:val="000000"/>
        </w:rPr>
        <w:t>NBPXa</w:t>
      </w:r>
      <w:proofErr w:type="spellEnd"/>
      <w:r w:rsidRPr="003B4F21">
        <w:rPr>
          <w:color w:val="000000"/>
        </w:rPr>
        <w:t xml:space="preserve"> and A1-C.1 in either human or cynomolgus RBC</w:t>
      </w:r>
      <w:r>
        <w:rPr>
          <w:color w:val="000000"/>
        </w:rPr>
        <w:t>s</w:t>
      </w:r>
      <w:r w:rsidRPr="003B4F21">
        <w:rPr>
          <w:color w:val="000000"/>
        </w:rPr>
        <w:t xml:space="preserve">. </w:t>
      </w:r>
      <w:r>
        <w:rPr>
          <w:color w:val="000000"/>
        </w:rPr>
        <w:t>P</w:t>
      </w:r>
      <w:r w:rsidRPr="003B4F21">
        <w:rPr>
          <w:color w:val="000000"/>
        </w:rPr>
        <w:t xml:space="preserve">arasite growth and invasion over two cycles in either </w:t>
      </w:r>
      <w:r w:rsidRPr="00C756B0">
        <w:rPr>
          <w:b/>
          <w:color w:val="000000"/>
        </w:rPr>
        <w:t>(B)</w:t>
      </w:r>
      <w:r w:rsidRPr="003B4F21">
        <w:rPr>
          <w:color w:val="000000"/>
        </w:rPr>
        <w:t xml:space="preserve"> cynomolgus or </w:t>
      </w:r>
      <w:r w:rsidRPr="00C756B0">
        <w:rPr>
          <w:b/>
          <w:color w:val="000000"/>
        </w:rPr>
        <w:t>(C)</w:t>
      </w:r>
      <w:r w:rsidRPr="003B4F21">
        <w:rPr>
          <w:color w:val="000000"/>
        </w:rPr>
        <w:t xml:space="preserve"> human RBC</w:t>
      </w:r>
      <w:r>
        <w:rPr>
          <w:color w:val="000000"/>
        </w:rPr>
        <w:t>s</w:t>
      </w:r>
      <w:r w:rsidRPr="003B4F21">
        <w:rPr>
          <w:color w:val="000000"/>
        </w:rPr>
        <w:t xml:space="preserve"> revealed </w:t>
      </w:r>
      <w:r>
        <w:rPr>
          <w:color w:val="000000"/>
        </w:rPr>
        <w:t>a</w:t>
      </w:r>
      <w:r w:rsidRPr="003B4F21">
        <w:rPr>
          <w:color w:val="000000"/>
        </w:rPr>
        <w:t xml:space="preserve"> growth defect at or around invasion</w:t>
      </w:r>
      <w:r>
        <w:rPr>
          <w:color w:val="000000"/>
        </w:rPr>
        <w:t xml:space="preserve"> (</w:t>
      </w:r>
      <w:r w:rsidRPr="003B4F21">
        <w:rPr>
          <w:color w:val="000000"/>
        </w:rPr>
        <w:t>mean</w:t>
      </w:r>
      <w:r>
        <w:rPr>
          <w:color w:val="000000"/>
        </w:rPr>
        <w:t>s</w:t>
      </w:r>
      <w:r w:rsidRPr="003B4F21">
        <w:rPr>
          <w:color w:val="000000"/>
        </w:rPr>
        <w:t xml:space="preserve"> of triplicate data points from a single experiment +/- 1 SD</w:t>
      </w:r>
      <w:r>
        <w:rPr>
          <w:color w:val="000000"/>
        </w:rPr>
        <w:t>).</w:t>
      </w:r>
      <w:r w:rsidRPr="003B4F21">
        <w:rPr>
          <w:color w:val="000000"/>
        </w:rPr>
        <w:t xml:space="preserve"> Light microscopic image</w:t>
      </w:r>
      <w:r>
        <w:rPr>
          <w:color w:val="000000"/>
        </w:rPr>
        <w:t>s</w:t>
      </w:r>
      <w:r w:rsidRPr="003B4F21">
        <w:rPr>
          <w:color w:val="000000"/>
        </w:rPr>
        <w:t xml:space="preserve"> of Giemsa-stained thin blood films from </w:t>
      </w:r>
      <w:r w:rsidRPr="00C756B0">
        <w:rPr>
          <w:b/>
          <w:color w:val="000000"/>
        </w:rPr>
        <w:t>(</w:t>
      </w:r>
      <w:r>
        <w:rPr>
          <w:b/>
          <w:color w:val="000000"/>
        </w:rPr>
        <w:t>D</w:t>
      </w:r>
      <w:r w:rsidRPr="00C756B0">
        <w:rPr>
          <w:b/>
          <w:color w:val="000000"/>
        </w:rPr>
        <w:t>)</w:t>
      </w:r>
      <w:r w:rsidRPr="003B4F21">
        <w:rPr>
          <w:color w:val="000000"/>
        </w:rPr>
        <w:t xml:space="preserve"> A1-H.1 and </w:t>
      </w:r>
      <w:r w:rsidRPr="00C756B0">
        <w:rPr>
          <w:b/>
          <w:color w:val="000000"/>
        </w:rPr>
        <w:t>(</w:t>
      </w:r>
      <w:r>
        <w:rPr>
          <w:b/>
          <w:color w:val="000000"/>
        </w:rPr>
        <w:t>E</w:t>
      </w:r>
      <w:r w:rsidRPr="00C756B0">
        <w:rPr>
          <w:b/>
          <w:color w:val="000000"/>
        </w:rPr>
        <w:t>)</w:t>
      </w:r>
      <w:r>
        <w:rPr>
          <w:color w:val="000000"/>
        </w:rPr>
        <w:t xml:space="preserve"> </w:t>
      </w:r>
      <w:proofErr w:type="spellStart"/>
      <w:r w:rsidRPr="003B4F21">
        <w:rPr>
          <w:color w:val="000000"/>
        </w:rPr>
        <w:t>Δ</w:t>
      </w:r>
      <w:r w:rsidRPr="00DE6D4E">
        <w:rPr>
          <w:i/>
          <w:color w:val="000000"/>
        </w:rPr>
        <w:t>NBPXa</w:t>
      </w:r>
      <w:proofErr w:type="spellEnd"/>
      <w:r w:rsidRPr="003B4F21">
        <w:rPr>
          <w:color w:val="000000"/>
        </w:rPr>
        <w:t xml:space="preserve"> parasites in human RBC</w:t>
      </w:r>
      <w:r>
        <w:rPr>
          <w:color w:val="000000"/>
        </w:rPr>
        <w:t>s at 7 h:</w:t>
      </w:r>
      <w:r w:rsidRPr="003B4F21">
        <w:rPr>
          <w:color w:val="000000"/>
        </w:rPr>
        <w:t xml:space="preserve"> newly formed rings (black arrowheads)</w:t>
      </w:r>
      <w:r>
        <w:rPr>
          <w:color w:val="000000"/>
        </w:rPr>
        <w:t>;</w:t>
      </w:r>
      <w:r w:rsidRPr="003B4F21">
        <w:rPr>
          <w:color w:val="000000"/>
        </w:rPr>
        <w:t xml:space="preserve"> attached but uninvaded merozoites (red arrowheads). Scale bar, 5µm.</w:t>
      </w:r>
    </w:p>
    <w:p w:rsidR="00B0554F" w:rsidRDefault="00B0554F" w:rsidP="00EF2B17">
      <w:pPr>
        <w:spacing w:after="0" w:line="480" w:lineRule="auto"/>
        <w:rPr>
          <w:b/>
          <w:color w:val="000000"/>
        </w:rPr>
      </w:pPr>
    </w:p>
    <w:p w:rsidR="00B0554F" w:rsidRDefault="00B0554F" w:rsidP="006F179B">
      <w:pPr>
        <w:spacing w:after="0" w:line="480" w:lineRule="auto"/>
      </w:pPr>
      <w:r w:rsidRPr="00EF2B17">
        <w:rPr>
          <w:b/>
          <w:color w:val="000000"/>
        </w:rPr>
        <w:t xml:space="preserve">Figure 5: </w:t>
      </w:r>
      <w:proofErr w:type="spellStart"/>
      <w:r w:rsidRPr="00EF2B17">
        <w:rPr>
          <w:b/>
          <w:color w:val="000000"/>
        </w:rPr>
        <w:t>Δ</w:t>
      </w:r>
      <w:r w:rsidRPr="00EF2B17">
        <w:rPr>
          <w:b/>
          <w:i/>
          <w:color w:val="000000"/>
        </w:rPr>
        <w:t>NBPXa</w:t>
      </w:r>
      <w:proofErr w:type="spellEnd"/>
      <w:r w:rsidRPr="00EF2B17">
        <w:rPr>
          <w:b/>
          <w:color w:val="000000"/>
        </w:rPr>
        <w:t xml:space="preserve"> parasite</w:t>
      </w:r>
      <w:r>
        <w:rPr>
          <w:b/>
          <w:color w:val="000000"/>
        </w:rPr>
        <w:t>s</w:t>
      </w:r>
      <w:r w:rsidRPr="00EF2B17">
        <w:rPr>
          <w:b/>
          <w:color w:val="000000"/>
        </w:rPr>
        <w:t xml:space="preserve"> attach to human RBC but fail to invade</w:t>
      </w:r>
      <w:r>
        <w:rPr>
          <w:b/>
          <w:color w:val="000000"/>
        </w:rPr>
        <w:t>.</w:t>
      </w:r>
      <w:r w:rsidRPr="00EF2B17">
        <w:rPr>
          <w:color w:val="000000"/>
        </w:rPr>
        <w:t xml:space="preserve"> </w:t>
      </w:r>
      <w:r w:rsidRPr="00EF2B17">
        <w:rPr>
          <w:b/>
          <w:color w:val="000000"/>
        </w:rPr>
        <w:t>(A)</w:t>
      </w:r>
      <w:r w:rsidRPr="00EF2B17">
        <w:rPr>
          <w:color w:val="000000"/>
        </w:rPr>
        <w:t xml:space="preserve"> A1-H.1 and </w:t>
      </w:r>
      <w:proofErr w:type="spellStart"/>
      <w:r w:rsidRPr="00EF2B17">
        <w:rPr>
          <w:color w:val="000000"/>
        </w:rPr>
        <w:t>ΔNBPXa</w:t>
      </w:r>
      <w:proofErr w:type="spellEnd"/>
      <w:r w:rsidRPr="00EF2B17">
        <w:rPr>
          <w:color w:val="000000"/>
        </w:rPr>
        <w:t xml:space="preserve"> schizonts were purified and </w:t>
      </w:r>
      <w:r>
        <w:rPr>
          <w:color w:val="000000"/>
        </w:rPr>
        <w:t xml:space="preserve">released merozoites were </w:t>
      </w:r>
      <w:r w:rsidRPr="00EF2B17">
        <w:rPr>
          <w:color w:val="000000"/>
        </w:rPr>
        <w:t>allowed to invade human or cynomolgus RBCs for 3 h. Panels show blood smears stained with anti-MSP1</w:t>
      </w:r>
      <w:r w:rsidRPr="00EF2B17">
        <w:rPr>
          <w:color w:val="000000"/>
          <w:vertAlign w:val="subscript"/>
        </w:rPr>
        <w:t>33</w:t>
      </w:r>
      <w:r w:rsidRPr="00EF2B17">
        <w:rPr>
          <w:color w:val="000000"/>
        </w:rPr>
        <w:t xml:space="preserve"> (green), anti-MSP1</w:t>
      </w:r>
      <w:r w:rsidRPr="00EF2B17">
        <w:rPr>
          <w:color w:val="000000"/>
          <w:vertAlign w:val="subscript"/>
        </w:rPr>
        <w:t>19</w:t>
      </w:r>
      <w:r w:rsidRPr="00EF2B17">
        <w:rPr>
          <w:color w:val="000000"/>
        </w:rPr>
        <w:t xml:space="preserve"> (red) and a merge of both MSP1 antibodies with anti-human RBC (magenta) and DAPI (blue). MSP1 is processed during invasion with MSP1</w:t>
      </w:r>
      <w:r w:rsidRPr="000B43C1">
        <w:rPr>
          <w:color w:val="000000"/>
          <w:vertAlign w:val="subscript"/>
        </w:rPr>
        <w:t>33</w:t>
      </w:r>
      <w:r w:rsidRPr="00EF2B17">
        <w:rPr>
          <w:color w:val="000000"/>
        </w:rPr>
        <w:t xml:space="preserve"> being shed and MSP1</w:t>
      </w:r>
      <w:r w:rsidRPr="00EF2B17">
        <w:rPr>
          <w:color w:val="000000"/>
          <w:vertAlign w:val="subscript"/>
        </w:rPr>
        <w:t>19</w:t>
      </w:r>
      <w:r w:rsidRPr="00EF2B17">
        <w:rPr>
          <w:color w:val="000000"/>
        </w:rPr>
        <w:t xml:space="preserve"> retained, distinguishing </w:t>
      </w:r>
      <w:r>
        <w:rPr>
          <w:color w:val="000000"/>
        </w:rPr>
        <w:t xml:space="preserve">external </w:t>
      </w:r>
      <w:r w:rsidRPr="00EF2B17">
        <w:rPr>
          <w:color w:val="000000"/>
        </w:rPr>
        <w:t>attached merozoites (MSP1</w:t>
      </w:r>
      <w:r w:rsidRPr="00EF2B17">
        <w:rPr>
          <w:color w:val="000000"/>
          <w:vertAlign w:val="subscript"/>
        </w:rPr>
        <w:t>33</w:t>
      </w:r>
      <w:r w:rsidRPr="00EF2B17">
        <w:rPr>
          <w:color w:val="000000"/>
        </w:rPr>
        <w:t xml:space="preserve"> </w:t>
      </w:r>
      <w:r>
        <w:rPr>
          <w:color w:val="000000"/>
        </w:rPr>
        <w:t>and</w:t>
      </w:r>
      <w:r w:rsidRPr="00EF2B17">
        <w:rPr>
          <w:color w:val="000000"/>
        </w:rPr>
        <w:t xml:space="preserve"> MSP1</w:t>
      </w:r>
      <w:r w:rsidRPr="00EF2B17">
        <w:rPr>
          <w:color w:val="000000"/>
          <w:vertAlign w:val="subscript"/>
        </w:rPr>
        <w:t>19</w:t>
      </w:r>
      <w:r>
        <w:rPr>
          <w:color w:val="000000"/>
        </w:rPr>
        <w:t xml:space="preserve"> positive</w:t>
      </w:r>
      <w:r w:rsidRPr="00EF2B17">
        <w:rPr>
          <w:color w:val="000000"/>
        </w:rPr>
        <w:t xml:space="preserve">) from those that </w:t>
      </w:r>
      <w:r>
        <w:rPr>
          <w:color w:val="000000"/>
        </w:rPr>
        <w:t xml:space="preserve">had </w:t>
      </w:r>
      <w:r w:rsidRPr="00EF2B17">
        <w:rPr>
          <w:color w:val="000000"/>
        </w:rPr>
        <w:t>successfully invaded to form rings (MSP1</w:t>
      </w:r>
      <w:r w:rsidRPr="00EF2B17">
        <w:rPr>
          <w:color w:val="000000"/>
          <w:vertAlign w:val="subscript"/>
        </w:rPr>
        <w:t xml:space="preserve">19 </w:t>
      </w:r>
      <w:r w:rsidRPr="00EF2B17">
        <w:rPr>
          <w:color w:val="000000"/>
        </w:rPr>
        <w:t>only</w:t>
      </w:r>
      <w:r>
        <w:rPr>
          <w:color w:val="000000"/>
        </w:rPr>
        <w:t xml:space="preserve"> positive</w:t>
      </w:r>
      <w:r w:rsidRPr="00EF2B17">
        <w:rPr>
          <w:color w:val="000000"/>
        </w:rPr>
        <w:t>). Whilst A1-H.1 merozoites (top panel) were able to invade human RBC and form rings (white arrow</w:t>
      </w:r>
      <w:r>
        <w:rPr>
          <w:color w:val="000000"/>
        </w:rPr>
        <w:t>s</w:t>
      </w:r>
      <w:r w:rsidRPr="00EF2B17">
        <w:rPr>
          <w:color w:val="000000"/>
        </w:rPr>
        <w:t xml:space="preserve">), most </w:t>
      </w:r>
      <w:proofErr w:type="spellStart"/>
      <w:r w:rsidRPr="00EF2B17">
        <w:rPr>
          <w:color w:val="000000"/>
        </w:rPr>
        <w:t>ΔNBPXa</w:t>
      </w:r>
      <w:proofErr w:type="spellEnd"/>
      <w:r w:rsidRPr="00EF2B17">
        <w:rPr>
          <w:color w:val="000000"/>
        </w:rPr>
        <w:t xml:space="preserve"> merozoites (bottom panel) attached but did not invade human RBC (white arrowhead</w:t>
      </w:r>
      <w:r>
        <w:rPr>
          <w:color w:val="000000"/>
        </w:rPr>
        <w:t>s</w:t>
      </w:r>
      <w:r w:rsidRPr="00EF2B17">
        <w:rPr>
          <w:color w:val="000000"/>
        </w:rPr>
        <w:t>). Scale bar, 10µm.</w:t>
      </w:r>
      <w:r w:rsidRPr="00EF2B17">
        <w:t xml:space="preserve"> </w:t>
      </w:r>
      <w:r w:rsidRPr="000B43C1">
        <w:rPr>
          <w:b/>
        </w:rPr>
        <w:t>(B)</w:t>
      </w:r>
      <w:r w:rsidRPr="00EF2B17">
        <w:t xml:space="preserve"> Parasite stages present in the immunofluorescence assays </w:t>
      </w:r>
      <w:r w:rsidRPr="00EF2B17">
        <w:lastRenderedPageBreak/>
        <w:t>were quantified and graph shows the number of free merozoites, RBC-attached merozoites and rings stages expressed as a percentage of total merozoite</w:t>
      </w:r>
      <w:r>
        <w:t>-</w:t>
      </w:r>
      <w:r w:rsidRPr="00EF2B17">
        <w:t xml:space="preserve">derived forms counted </w:t>
      </w:r>
      <w:r w:rsidRPr="00EF2B17">
        <w:rPr>
          <w:color w:val="000000"/>
        </w:rPr>
        <w:t>(means of triplicate cultures from a single experiment +/- 1 SD)</w:t>
      </w:r>
      <w:r w:rsidRPr="00EF2B17">
        <w:t xml:space="preserve">. </w:t>
      </w:r>
      <w:r>
        <w:t>The n</w:t>
      </w:r>
      <w:r w:rsidRPr="00EF2B17">
        <w:t xml:space="preserve">umber in brackets indicates the average ring stage </w:t>
      </w:r>
      <w:proofErr w:type="spellStart"/>
      <w:r w:rsidRPr="00EF2B17">
        <w:t>parasitemia</w:t>
      </w:r>
      <w:proofErr w:type="spellEnd"/>
      <w:r w:rsidRPr="00EF2B17">
        <w:t xml:space="preserve"> </w:t>
      </w:r>
      <w:r>
        <w:t>for</w:t>
      </w:r>
      <w:r w:rsidRPr="00EF2B17">
        <w:t xml:space="preserve"> each of the parasite/blood combinations. </w:t>
      </w:r>
    </w:p>
    <w:p w:rsidR="00415DAB" w:rsidRDefault="00415DAB"/>
    <w:sectPr w:rsidR="00415DAB" w:rsidSect="0045471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92" w:rsidRDefault="00214F92">
      <w:pPr>
        <w:spacing w:after="0" w:line="240" w:lineRule="auto"/>
      </w:pPr>
      <w:r>
        <w:separator/>
      </w:r>
    </w:p>
  </w:endnote>
  <w:endnote w:type="continuationSeparator" w:id="0">
    <w:p w:rsidR="00214F92" w:rsidRDefault="0021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dvP7627">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93037"/>
      <w:docPartObj>
        <w:docPartGallery w:val="Page Numbers (Bottom of Page)"/>
        <w:docPartUnique/>
      </w:docPartObj>
    </w:sdtPr>
    <w:sdtEndPr>
      <w:rPr>
        <w:noProof/>
      </w:rPr>
    </w:sdtEndPr>
    <w:sdtContent>
      <w:p w:rsidR="006F179B" w:rsidRDefault="009945E5">
        <w:pPr>
          <w:pStyle w:val="Footer"/>
          <w:jc w:val="right"/>
        </w:pPr>
        <w:r>
          <w:fldChar w:fldCharType="begin"/>
        </w:r>
        <w:r>
          <w:instrText xml:space="preserve"> PAGE   \* MERGEFORMAT </w:instrText>
        </w:r>
        <w:r>
          <w:fldChar w:fldCharType="separate"/>
        </w:r>
        <w:r w:rsidR="003D4A57">
          <w:rPr>
            <w:noProof/>
          </w:rPr>
          <w:t>19</w:t>
        </w:r>
        <w:r>
          <w:rPr>
            <w:noProof/>
          </w:rPr>
          <w:fldChar w:fldCharType="end"/>
        </w:r>
      </w:p>
    </w:sdtContent>
  </w:sdt>
  <w:p w:rsidR="006F179B" w:rsidRDefault="00214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92" w:rsidRDefault="00214F92">
      <w:pPr>
        <w:spacing w:after="0" w:line="240" w:lineRule="auto"/>
      </w:pPr>
      <w:r>
        <w:separator/>
      </w:r>
    </w:p>
  </w:footnote>
  <w:footnote w:type="continuationSeparator" w:id="0">
    <w:p w:rsidR="00214F92" w:rsidRDefault="00214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124E4"/>
    <w:multiLevelType w:val="multilevel"/>
    <w:tmpl w:val="159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44A6B"/>
    <w:multiLevelType w:val="hybridMultilevel"/>
    <w:tmpl w:val="E1061D92"/>
    <w:lvl w:ilvl="0" w:tplc="036C9280">
      <w:start w:val="3"/>
      <w:numFmt w:val="bullet"/>
      <w:lvlText w:val=""/>
      <w:lvlJc w:val="left"/>
      <w:pPr>
        <w:ind w:left="720" w:hanging="360"/>
      </w:pPr>
      <w:rPr>
        <w:rFonts w:ascii="Symbol" w:eastAsiaTheme="minorHAnsi" w:hAnsi="Symbo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0554F"/>
    <w:rsid w:val="001E347B"/>
    <w:rsid w:val="00214F92"/>
    <w:rsid w:val="003C58BB"/>
    <w:rsid w:val="003D4A57"/>
    <w:rsid w:val="00415DAB"/>
    <w:rsid w:val="009201A4"/>
    <w:rsid w:val="009945E5"/>
    <w:rsid w:val="00B0554F"/>
    <w:rsid w:val="00BF6794"/>
    <w:rsid w:val="00C255A5"/>
    <w:rsid w:val="00D0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554F"/>
    <w:rPr>
      <w:sz w:val="16"/>
      <w:szCs w:val="16"/>
    </w:rPr>
  </w:style>
  <w:style w:type="paragraph" w:styleId="CommentText">
    <w:name w:val="annotation text"/>
    <w:basedOn w:val="Normal"/>
    <w:link w:val="CommentTextChar"/>
    <w:uiPriority w:val="99"/>
    <w:semiHidden/>
    <w:unhideWhenUsed/>
    <w:rsid w:val="00B0554F"/>
    <w:pPr>
      <w:spacing w:line="240" w:lineRule="auto"/>
    </w:pPr>
    <w:rPr>
      <w:sz w:val="20"/>
      <w:szCs w:val="20"/>
    </w:rPr>
  </w:style>
  <w:style w:type="character" w:customStyle="1" w:styleId="CommentTextChar">
    <w:name w:val="Comment Text Char"/>
    <w:basedOn w:val="DefaultParagraphFont"/>
    <w:link w:val="CommentText"/>
    <w:uiPriority w:val="99"/>
    <w:semiHidden/>
    <w:rsid w:val="00B0554F"/>
    <w:rPr>
      <w:sz w:val="20"/>
      <w:szCs w:val="20"/>
    </w:rPr>
  </w:style>
  <w:style w:type="paragraph" w:styleId="CommentSubject">
    <w:name w:val="annotation subject"/>
    <w:basedOn w:val="CommentText"/>
    <w:next w:val="CommentText"/>
    <w:link w:val="CommentSubjectChar"/>
    <w:uiPriority w:val="99"/>
    <w:semiHidden/>
    <w:unhideWhenUsed/>
    <w:rsid w:val="00B0554F"/>
    <w:rPr>
      <w:b/>
      <w:bCs/>
    </w:rPr>
  </w:style>
  <w:style w:type="character" w:customStyle="1" w:styleId="CommentSubjectChar">
    <w:name w:val="Comment Subject Char"/>
    <w:basedOn w:val="CommentTextChar"/>
    <w:link w:val="CommentSubject"/>
    <w:uiPriority w:val="99"/>
    <w:semiHidden/>
    <w:rsid w:val="00B0554F"/>
    <w:rPr>
      <w:b/>
      <w:bCs/>
      <w:sz w:val="20"/>
      <w:szCs w:val="20"/>
    </w:rPr>
  </w:style>
  <w:style w:type="paragraph" w:styleId="BalloonText">
    <w:name w:val="Balloon Text"/>
    <w:basedOn w:val="Normal"/>
    <w:link w:val="BalloonTextChar"/>
    <w:uiPriority w:val="99"/>
    <w:semiHidden/>
    <w:unhideWhenUsed/>
    <w:rsid w:val="00B05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54F"/>
    <w:rPr>
      <w:rFonts w:ascii="Tahoma" w:hAnsi="Tahoma" w:cs="Tahoma"/>
      <w:sz w:val="16"/>
      <w:szCs w:val="16"/>
    </w:rPr>
  </w:style>
  <w:style w:type="character" w:customStyle="1" w:styleId="st1">
    <w:name w:val="st1"/>
    <w:rsid w:val="00B0554F"/>
  </w:style>
  <w:style w:type="character" w:styleId="Hyperlink">
    <w:name w:val="Hyperlink"/>
    <w:rsid w:val="00B0554F"/>
    <w:rPr>
      <w:color w:val="0000FF"/>
      <w:u w:val="single"/>
    </w:rPr>
  </w:style>
  <w:style w:type="character" w:customStyle="1" w:styleId="name">
    <w:name w:val="name"/>
    <w:rsid w:val="00B0554F"/>
  </w:style>
  <w:style w:type="paragraph" w:styleId="ListParagraph">
    <w:name w:val="List Paragraph"/>
    <w:basedOn w:val="Normal"/>
    <w:uiPriority w:val="34"/>
    <w:qFormat/>
    <w:rsid w:val="00B0554F"/>
    <w:pPr>
      <w:ind w:left="720"/>
      <w:contextualSpacing/>
    </w:pPr>
  </w:style>
  <w:style w:type="paragraph" w:styleId="NormalWeb">
    <w:name w:val="Normal (Web)"/>
    <w:basedOn w:val="Normal"/>
    <w:uiPriority w:val="99"/>
    <w:unhideWhenUsed/>
    <w:rsid w:val="00B0554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B0554F"/>
    <w:rPr>
      <w:color w:val="808080"/>
    </w:rPr>
  </w:style>
  <w:style w:type="paragraph" w:styleId="NoSpacing">
    <w:name w:val="No Spacing"/>
    <w:link w:val="NoSpacingChar"/>
    <w:uiPriority w:val="1"/>
    <w:qFormat/>
    <w:rsid w:val="00B0554F"/>
    <w:pPr>
      <w:spacing w:after="0" w:line="240" w:lineRule="auto"/>
    </w:pPr>
  </w:style>
  <w:style w:type="paragraph" w:styleId="Revision">
    <w:name w:val="Revision"/>
    <w:hidden/>
    <w:uiPriority w:val="99"/>
    <w:semiHidden/>
    <w:rsid w:val="00B0554F"/>
    <w:pPr>
      <w:spacing w:after="0" w:line="240" w:lineRule="auto"/>
    </w:pPr>
  </w:style>
  <w:style w:type="character" w:styleId="FollowedHyperlink">
    <w:name w:val="FollowedHyperlink"/>
    <w:basedOn w:val="DefaultParagraphFont"/>
    <w:uiPriority w:val="99"/>
    <w:semiHidden/>
    <w:unhideWhenUsed/>
    <w:rsid w:val="00B0554F"/>
    <w:rPr>
      <w:color w:val="800080" w:themeColor="followedHyperlink"/>
      <w:u w:val="single"/>
    </w:rPr>
  </w:style>
  <w:style w:type="character" w:customStyle="1" w:styleId="journal-title1">
    <w:name w:val="journal-title1"/>
    <w:basedOn w:val="DefaultParagraphFont"/>
    <w:rsid w:val="00B0554F"/>
    <w:rPr>
      <w:i/>
      <w:iCs/>
    </w:rPr>
  </w:style>
  <w:style w:type="character" w:styleId="LineNumber">
    <w:name w:val="line number"/>
    <w:basedOn w:val="DefaultParagraphFont"/>
    <w:uiPriority w:val="99"/>
    <w:semiHidden/>
    <w:unhideWhenUsed/>
    <w:rsid w:val="00B0554F"/>
  </w:style>
  <w:style w:type="paragraph" w:styleId="Header">
    <w:name w:val="header"/>
    <w:basedOn w:val="Normal"/>
    <w:link w:val="HeaderChar"/>
    <w:uiPriority w:val="99"/>
    <w:unhideWhenUsed/>
    <w:rsid w:val="00B05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4F"/>
  </w:style>
  <w:style w:type="paragraph" w:styleId="Footer">
    <w:name w:val="footer"/>
    <w:basedOn w:val="Normal"/>
    <w:link w:val="FooterChar"/>
    <w:uiPriority w:val="99"/>
    <w:unhideWhenUsed/>
    <w:rsid w:val="00B05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4F"/>
  </w:style>
  <w:style w:type="character" w:customStyle="1" w:styleId="slug-doi">
    <w:name w:val="slug-doi"/>
    <w:basedOn w:val="DefaultParagraphFont"/>
    <w:rsid w:val="00B0554F"/>
  </w:style>
  <w:style w:type="paragraph" w:customStyle="1" w:styleId="EndNoteBibliographyTitle">
    <w:name w:val="EndNote Bibliography Title"/>
    <w:basedOn w:val="Normal"/>
    <w:link w:val="EndNoteBibliographyTitleChar"/>
    <w:rsid w:val="00B0554F"/>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B0554F"/>
  </w:style>
  <w:style w:type="character" w:customStyle="1" w:styleId="EndNoteBibliographyTitleChar">
    <w:name w:val="EndNote Bibliography Title Char"/>
    <w:basedOn w:val="NoSpacingChar"/>
    <w:link w:val="EndNoteBibliographyTitle"/>
    <w:rsid w:val="00B0554F"/>
    <w:rPr>
      <w:rFonts w:ascii="Calibri" w:hAnsi="Calibri" w:cs="Calibri"/>
      <w:noProof/>
      <w:lang w:val="en-US"/>
    </w:rPr>
  </w:style>
  <w:style w:type="paragraph" w:customStyle="1" w:styleId="EndNoteBibliography">
    <w:name w:val="EndNote Bibliography"/>
    <w:basedOn w:val="Normal"/>
    <w:link w:val="EndNoteBibliographyChar"/>
    <w:rsid w:val="00B0554F"/>
    <w:pPr>
      <w:spacing w:line="240" w:lineRule="auto"/>
      <w:jc w:val="both"/>
    </w:pPr>
    <w:rPr>
      <w:rFonts w:ascii="Calibri" w:hAnsi="Calibri" w:cs="Calibri"/>
      <w:noProof/>
      <w:lang w:val="en-US"/>
    </w:rPr>
  </w:style>
  <w:style w:type="character" w:customStyle="1" w:styleId="EndNoteBibliographyChar">
    <w:name w:val="EndNote Bibliography Char"/>
    <w:basedOn w:val="NoSpacingChar"/>
    <w:link w:val="EndNoteBibliography"/>
    <w:rsid w:val="00B0554F"/>
    <w:rPr>
      <w:rFonts w:ascii="Calibri" w:hAnsi="Calibri" w:cs="Calibri"/>
      <w:noProof/>
      <w:lang w:val="en-US"/>
    </w:rPr>
  </w:style>
  <w:style w:type="character" w:styleId="Emphasis">
    <w:name w:val="Emphasis"/>
    <w:basedOn w:val="DefaultParagraphFont"/>
    <w:uiPriority w:val="20"/>
    <w:qFormat/>
    <w:rsid w:val="00B055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554F"/>
    <w:rPr>
      <w:sz w:val="16"/>
      <w:szCs w:val="16"/>
    </w:rPr>
  </w:style>
  <w:style w:type="paragraph" w:styleId="CommentText">
    <w:name w:val="annotation text"/>
    <w:basedOn w:val="Normal"/>
    <w:link w:val="CommentTextChar"/>
    <w:uiPriority w:val="99"/>
    <w:semiHidden/>
    <w:unhideWhenUsed/>
    <w:rsid w:val="00B0554F"/>
    <w:pPr>
      <w:spacing w:line="240" w:lineRule="auto"/>
    </w:pPr>
    <w:rPr>
      <w:sz w:val="20"/>
      <w:szCs w:val="20"/>
    </w:rPr>
  </w:style>
  <w:style w:type="character" w:customStyle="1" w:styleId="CommentTextChar">
    <w:name w:val="Comment Text Char"/>
    <w:basedOn w:val="DefaultParagraphFont"/>
    <w:link w:val="CommentText"/>
    <w:uiPriority w:val="99"/>
    <w:semiHidden/>
    <w:rsid w:val="00B0554F"/>
    <w:rPr>
      <w:sz w:val="20"/>
      <w:szCs w:val="20"/>
    </w:rPr>
  </w:style>
  <w:style w:type="paragraph" w:styleId="CommentSubject">
    <w:name w:val="annotation subject"/>
    <w:basedOn w:val="CommentText"/>
    <w:next w:val="CommentText"/>
    <w:link w:val="CommentSubjectChar"/>
    <w:uiPriority w:val="99"/>
    <w:semiHidden/>
    <w:unhideWhenUsed/>
    <w:rsid w:val="00B0554F"/>
    <w:rPr>
      <w:b/>
      <w:bCs/>
    </w:rPr>
  </w:style>
  <w:style w:type="character" w:customStyle="1" w:styleId="CommentSubjectChar">
    <w:name w:val="Comment Subject Char"/>
    <w:basedOn w:val="CommentTextChar"/>
    <w:link w:val="CommentSubject"/>
    <w:uiPriority w:val="99"/>
    <w:semiHidden/>
    <w:rsid w:val="00B0554F"/>
    <w:rPr>
      <w:b/>
      <w:bCs/>
      <w:sz w:val="20"/>
      <w:szCs w:val="20"/>
    </w:rPr>
  </w:style>
  <w:style w:type="paragraph" w:styleId="BalloonText">
    <w:name w:val="Balloon Text"/>
    <w:basedOn w:val="Normal"/>
    <w:link w:val="BalloonTextChar"/>
    <w:uiPriority w:val="99"/>
    <w:semiHidden/>
    <w:unhideWhenUsed/>
    <w:rsid w:val="00B05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54F"/>
    <w:rPr>
      <w:rFonts w:ascii="Tahoma" w:hAnsi="Tahoma" w:cs="Tahoma"/>
      <w:sz w:val="16"/>
      <w:szCs w:val="16"/>
    </w:rPr>
  </w:style>
  <w:style w:type="character" w:customStyle="1" w:styleId="st1">
    <w:name w:val="st1"/>
    <w:rsid w:val="00B0554F"/>
  </w:style>
  <w:style w:type="character" w:styleId="Hyperlink">
    <w:name w:val="Hyperlink"/>
    <w:rsid w:val="00B0554F"/>
    <w:rPr>
      <w:color w:val="0000FF"/>
      <w:u w:val="single"/>
    </w:rPr>
  </w:style>
  <w:style w:type="character" w:customStyle="1" w:styleId="name">
    <w:name w:val="name"/>
    <w:rsid w:val="00B0554F"/>
  </w:style>
  <w:style w:type="paragraph" w:styleId="ListParagraph">
    <w:name w:val="List Paragraph"/>
    <w:basedOn w:val="Normal"/>
    <w:uiPriority w:val="34"/>
    <w:qFormat/>
    <w:rsid w:val="00B0554F"/>
    <w:pPr>
      <w:ind w:left="720"/>
      <w:contextualSpacing/>
    </w:pPr>
  </w:style>
  <w:style w:type="paragraph" w:styleId="NormalWeb">
    <w:name w:val="Normal (Web)"/>
    <w:basedOn w:val="Normal"/>
    <w:uiPriority w:val="99"/>
    <w:unhideWhenUsed/>
    <w:rsid w:val="00B0554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B0554F"/>
    <w:rPr>
      <w:color w:val="808080"/>
    </w:rPr>
  </w:style>
  <w:style w:type="paragraph" w:styleId="NoSpacing">
    <w:name w:val="No Spacing"/>
    <w:link w:val="NoSpacingChar"/>
    <w:uiPriority w:val="1"/>
    <w:qFormat/>
    <w:rsid w:val="00B0554F"/>
    <w:pPr>
      <w:spacing w:after="0" w:line="240" w:lineRule="auto"/>
    </w:pPr>
  </w:style>
  <w:style w:type="paragraph" w:styleId="Revision">
    <w:name w:val="Revision"/>
    <w:hidden/>
    <w:uiPriority w:val="99"/>
    <w:semiHidden/>
    <w:rsid w:val="00B0554F"/>
    <w:pPr>
      <w:spacing w:after="0" w:line="240" w:lineRule="auto"/>
    </w:pPr>
  </w:style>
  <w:style w:type="character" w:styleId="FollowedHyperlink">
    <w:name w:val="FollowedHyperlink"/>
    <w:basedOn w:val="DefaultParagraphFont"/>
    <w:uiPriority w:val="99"/>
    <w:semiHidden/>
    <w:unhideWhenUsed/>
    <w:rsid w:val="00B0554F"/>
    <w:rPr>
      <w:color w:val="800080" w:themeColor="followedHyperlink"/>
      <w:u w:val="single"/>
    </w:rPr>
  </w:style>
  <w:style w:type="character" w:customStyle="1" w:styleId="journal-title1">
    <w:name w:val="journal-title1"/>
    <w:basedOn w:val="DefaultParagraphFont"/>
    <w:rsid w:val="00B0554F"/>
    <w:rPr>
      <w:i/>
      <w:iCs/>
    </w:rPr>
  </w:style>
  <w:style w:type="character" w:styleId="LineNumber">
    <w:name w:val="line number"/>
    <w:basedOn w:val="DefaultParagraphFont"/>
    <w:uiPriority w:val="99"/>
    <w:semiHidden/>
    <w:unhideWhenUsed/>
    <w:rsid w:val="00B0554F"/>
  </w:style>
  <w:style w:type="paragraph" w:styleId="Header">
    <w:name w:val="header"/>
    <w:basedOn w:val="Normal"/>
    <w:link w:val="HeaderChar"/>
    <w:uiPriority w:val="99"/>
    <w:unhideWhenUsed/>
    <w:rsid w:val="00B05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4F"/>
  </w:style>
  <w:style w:type="paragraph" w:styleId="Footer">
    <w:name w:val="footer"/>
    <w:basedOn w:val="Normal"/>
    <w:link w:val="FooterChar"/>
    <w:uiPriority w:val="99"/>
    <w:unhideWhenUsed/>
    <w:rsid w:val="00B05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4F"/>
  </w:style>
  <w:style w:type="character" w:customStyle="1" w:styleId="slug-doi">
    <w:name w:val="slug-doi"/>
    <w:basedOn w:val="DefaultParagraphFont"/>
    <w:rsid w:val="00B0554F"/>
  </w:style>
  <w:style w:type="paragraph" w:customStyle="1" w:styleId="EndNoteBibliographyTitle">
    <w:name w:val="EndNote Bibliography Title"/>
    <w:basedOn w:val="Normal"/>
    <w:link w:val="EndNoteBibliographyTitleChar"/>
    <w:rsid w:val="00B0554F"/>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B0554F"/>
  </w:style>
  <w:style w:type="character" w:customStyle="1" w:styleId="EndNoteBibliographyTitleChar">
    <w:name w:val="EndNote Bibliography Title Char"/>
    <w:basedOn w:val="NoSpacingChar"/>
    <w:link w:val="EndNoteBibliographyTitle"/>
    <w:rsid w:val="00B0554F"/>
    <w:rPr>
      <w:rFonts w:ascii="Calibri" w:hAnsi="Calibri" w:cs="Calibri"/>
      <w:noProof/>
      <w:lang w:val="en-US"/>
    </w:rPr>
  </w:style>
  <w:style w:type="paragraph" w:customStyle="1" w:styleId="EndNoteBibliography">
    <w:name w:val="EndNote Bibliography"/>
    <w:basedOn w:val="Normal"/>
    <w:link w:val="EndNoteBibliographyChar"/>
    <w:rsid w:val="00B0554F"/>
    <w:pPr>
      <w:spacing w:line="240" w:lineRule="auto"/>
      <w:jc w:val="both"/>
    </w:pPr>
    <w:rPr>
      <w:rFonts w:ascii="Calibri" w:hAnsi="Calibri" w:cs="Calibri"/>
      <w:noProof/>
      <w:lang w:val="en-US"/>
    </w:rPr>
  </w:style>
  <w:style w:type="character" w:customStyle="1" w:styleId="EndNoteBibliographyChar">
    <w:name w:val="EndNote Bibliography Char"/>
    <w:basedOn w:val="NoSpacingChar"/>
    <w:link w:val="EndNoteBibliography"/>
    <w:rsid w:val="00B0554F"/>
    <w:rPr>
      <w:rFonts w:ascii="Calibri" w:hAnsi="Calibri" w:cs="Calibri"/>
      <w:noProof/>
      <w:lang w:val="en-US"/>
    </w:rPr>
  </w:style>
  <w:style w:type="character" w:styleId="Emphasis">
    <w:name w:val="Emphasis"/>
    <w:basedOn w:val="DefaultParagraphFont"/>
    <w:uiPriority w:val="20"/>
    <w:qFormat/>
    <w:rsid w:val="00B05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holder@crick.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moon@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6854</Words>
  <Characters>39071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Medical Research Council / NIMR</Company>
  <LinksUpToDate>false</LinksUpToDate>
  <CharactersWithSpaces>45834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Holder</dc:creator>
  <cp:lastModifiedBy>Tony Holder</cp:lastModifiedBy>
  <cp:revision>2</cp:revision>
  <dcterms:created xsi:type="dcterms:W3CDTF">2016-05-05T17:36:00Z</dcterms:created>
  <dcterms:modified xsi:type="dcterms:W3CDTF">2016-05-05T17:36:00Z</dcterms:modified>
</cp:coreProperties>
</file>