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8B588" w14:textId="0DB7B610" w:rsidR="006A2668" w:rsidRPr="00517F08" w:rsidRDefault="00C30BFE" w:rsidP="00FD2CAB">
      <w:pPr>
        <w:rPr>
          <w:rFonts w:ascii="Calibri" w:hAnsi="Calibri"/>
        </w:rPr>
      </w:pPr>
      <w:proofErr w:type="gramStart"/>
      <w:r w:rsidRPr="00517F08">
        <w:rPr>
          <w:rFonts w:ascii="Calibri" w:hAnsi="Calibri"/>
        </w:rPr>
        <w:t>Meta</w:t>
      </w:r>
      <w:r w:rsidR="005A73E5" w:rsidRPr="00517F08">
        <w:rPr>
          <w:rFonts w:ascii="Calibri" w:hAnsi="Calibri"/>
        </w:rPr>
        <w:t>-analysis of the</w:t>
      </w:r>
      <w:r w:rsidRPr="00517F08">
        <w:rPr>
          <w:rFonts w:ascii="Calibri" w:hAnsi="Calibri"/>
        </w:rPr>
        <w:t xml:space="preserve"> performance of </w:t>
      </w:r>
      <w:r w:rsidR="00FF5F7A">
        <w:rPr>
          <w:rFonts w:ascii="Calibri" w:hAnsi="Calibri"/>
        </w:rPr>
        <w:t xml:space="preserve">a combined </w:t>
      </w:r>
      <w:proofErr w:type="spellStart"/>
      <w:r w:rsidR="00FF5F7A">
        <w:rPr>
          <w:rFonts w:ascii="Calibri" w:hAnsi="Calibri"/>
        </w:rPr>
        <w:t>treponemal</w:t>
      </w:r>
      <w:proofErr w:type="spellEnd"/>
      <w:r w:rsidR="00FF5F7A">
        <w:rPr>
          <w:rFonts w:ascii="Calibri" w:hAnsi="Calibri"/>
        </w:rPr>
        <w:t xml:space="preserve"> and non-</w:t>
      </w:r>
      <w:proofErr w:type="spellStart"/>
      <w:r w:rsidR="00FF5F7A">
        <w:rPr>
          <w:rFonts w:ascii="Calibri" w:hAnsi="Calibri"/>
        </w:rPr>
        <w:t>treponemal</w:t>
      </w:r>
      <w:proofErr w:type="spellEnd"/>
      <w:r w:rsidR="00FF5F7A">
        <w:rPr>
          <w:rFonts w:ascii="Calibri" w:hAnsi="Calibri"/>
        </w:rPr>
        <w:t xml:space="preserve"> r</w:t>
      </w:r>
      <w:r w:rsidR="005A73E5" w:rsidRPr="00517F08">
        <w:rPr>
          <w:rFonts w:ascii="Calibri" w:hAnsi="Calibri"/>
        </w:rPr>
        <w:t xml:space="preserve">apid </w:t>
      </w:r>
      <w:r w:rsidR="00FF5F7A">
        <w:rPr>
          <w:rFonts w:ascii="Calibri" w:hAnsi="Calibri"/>
        </w:rPr>
        <w:t>d</w:t>
      </w:r>
      <w:r w:rsidR="00FF5F7A" w:rsidRPr="00517F08">
        <w:rPr>
          <w:rFonts w:ascii="Calibri" w:hAnsi="Calibri"/>
        </w:rPr>
        <w:t xml:space="preserve">iagnostic </w:t>
      </w:r>
      <w:r w:rsidR="00FF5F7A">
        <w:rPr>
          <w:rFonts w:ascii="Calibri" w:hAnsi="Calibri"/>
        </w:rPr>
        <w:t>t</w:t>
      </w:r>
      <w:r w:rsidR="00FF5F7A" w:rsidRPr="00517F08">
        <w:rPr>
          <w:rFonts w:ascii="Calibri" w:hAnsi="Calibri"/>
        </w:rPr>
        <w:t xml:space="preserve">est </w:t>
      </w:r>
      <w:r w:rsidR="005A73E5" w:rsidRPr="00517F08">
        <w:rPr>
          <w:rFonts w:ascii="Calibri" w:hAnsi="Calibri"/>
        </w:rPr>
        <w:t>for syphilis and yaws.</w:t>
      </w:r>
      <w:proofErr w:type="gramEnd"/>
    </w:p>
    <w:p w14:paraId="0FC8D6C9" w14:textId="6D6AF178" w:rsidR="00002008" w:rsidRPr="00517F08" w:rsidRDefault="00C414E6" w:rsidP="00FD2CAB">
      <w:pPr>
        <w:widowControl w:val="0"/>
        <w:autoSpaceDE w:val="0"/>
        <w:autoSpaceDN w:val="0"/>
        <w:adjustRightInd w:val="0"/>
        <w:spacing w:after="240"/>
        <w:rPr>
          <w:rFonts w:ascii="Calibri" w:hAnsi="Calibri"/>
          <w:vertAlign w:val="superscript"/>
        </w:rPr>
      </w:pPr>
      <w:r w:rsidRPr="00517F08">
        <w:rPr>
          <w:rFonts w:ascii="Calibri" w:hAnsi="Calibri"/>
        </w:rPr>
        <w:t>Michael Marks</w:t>
      </w:r>
      <w:r w:rsidRPr="00517F08">
        <w:rPr>
          <w:rFonts w:ascii="Calibri" w:hAnsi="Calibri"/>
          <w:vertAlign w:val="superscript"/>
        </w:rPr>
        <w:t>1</w:t>
      </w:r>
      <w:proofErr w:type="gramStart"/>
      <w:r w:rsidRPr="00517F08">
        <w:rPr>
          <w:rFonts w:ascii="Calibri" w:hAnsi="Calibri"/>
          <w:vertAlign w:val="superscript"/>
        </w:rPr>
        <w:t>,2</w:t>
      </w:r>
      <w:proofErr w:type="gramEnd"/>
      <w:r w:rsidRPr="00517F08">
        <w:rPr>
          <w:rFonts w:ascii="Calibri" w:hAnsi="Calibri"/>
        </w:rPr>
        <w:t xml:space="preserve">, </w:t>
      </w:r>
      <w:r w:rsidR="00B768C9" w:rsidRPr="00517F08">
        <w:rPr>
          <w:rFonts w:ascii="Calibri" w:hAnsi="Calibri"/>
        </w:rPr>
        <w:t xml:space="preserve">, </w:t>
      </w:r>
      <w:proofErr w:type="spellStart"/>
      <w:r w:rsidR="00B768C9" w:rsidRPr="00517F08">
        <w:rPr>
          <w:rFonts w:ascii="Calibri" w:hAnsi="Calibri"/>
        </w:rPr>
        <w:t>Yue</w:t>
      </w:r>
      <w:proofErr w:type="spellEnd"/>
      <w:r w:rsidR="00B768C9" w:rsidRPr="00517F08">
        <w:rPr>
          <w:rFonts w:ascii="Calibri" w:hAnsi="Calibri"/>
        </w:rPr>
        <w:t>-Ping Yin</w:t>
      </w:r>
      <w:r w:rsidR="00EC32B8" w:rsidRPr="00517F08">
        <w:rPr>
          <w:rFonts w:ascii="Calibri" w:hAnsi="Calibri"/>
          <w:vertAlign w:val="superscript"/>
        </w:rPr>
        <w:t>3,4</w:t>
      </w:r>
      <w:r w:rsidR="00B768C9" w:rsidRPr="00517F08">
        <w:rPr>
          <w:rFonts w:ascii="Calibri" w:hAnsi="Calibri"/>
        </w:rPr>
        <w:t>,</w:t>
      </w:r>
      <w:r w:rsidR="00EC32B8" w:rsidRPr="00517F08">
        <w:rPr>
          <w:rFonts w:ascii="Calibri" w:hAnsi="Calibri" w:cs="Gill Sans MT"/>
          <w:lang w:val="en-US"/>
        </w:rPr>
        <w:t xml:space="preserve"> </w:t>
      </w:r>
      <w:r w:rsidR="00517F08" w:rsidRPr="00517F08">
        <w:rPr>
          <w:rFonts w:ascii="Calibri" w:hAnsi="Calibri" w:cs="Gill Sans MT"/>
          <w:lang w:val="en-US"/>
        </w:rPr>
        <w:t>Xiang-Sheng Chen</w:t>
      </w:r>
      <w:r w:rsidR="00517F08" w:rsidRPr="00517F08">
        <w:rPr>
          <w:rFonts w:ascii="Calibri" w:hAnsi="Calibri" w:cs="Gill Sans MT"/>
          <w:vertAlign w:val="superscript"/>
          <w:lang w:val="en-US"/>
        </w:rPr>
        <w:t>3,4</w:t>
      </w:r>
      <w:r w:rsidR="00517F08" w:rsidRPr="00517F08">
        <w:rPr>
          <w:rFonts w:ascii="Calibri" w:hAnsi="Calibri" w:cs="Gill Sans MT"/>
          <w:lang w:val="en-US"/>
        </w:rPr>
        <w:t xml:space="preserve">, </w:t>
      </w:r>
      <w:r w:rsidR="00EC32B8" w:rsidRPr="00517F08">
        <w:rPr>
          <w:rFonts w:ascii="Calibri" w:hAnsi="Calibri" w:cs="Gill Sans MT"/>
          <w:lang w:val="en-US"/>
        </w:rPr>
        <w:t>Arnold Castro</w:t>
      </w:r>
      <w:r w:rsidR="00EC32B8" w:rsidRPr="00517F08">
        <w:rPr>
          <w:rFonts w:ascii="Calibri" w:hAnsi="Calibri" w:cs="Gill Sans MT"/>
          <w:vertAlign w:val="superscript"/>
          <w:lang w:val="en-US"/>
        </w:rPr>
        <w:t>5</w:t>
      </w:r>
      <w:r w:rsidR="00A12CDA">
        <w:rPr>
          <w:rFonts w:ascii="Calibri" w:hAnsi="Calibri" w:cs="Gill Sans MT"/>
          <w:vertAlign w:val="superscript"/>
          <w:lang w:val="en-US"/>
        </w:rPr>
        <w:t>*</w:t>
      </w:r>
      <w:r w:rsidR="00EC32B8" w:rsidRPr="00517F08">
        <w:rPr>
          <w:rFonts w:ascii="Calibri" w:hAnsi="Calibri"/>
        </w:rPr>
        <w:t>,</w:t>
      </w:r>
      <w:r w:rsidR="00B768C9" w:rsidRPr="00517F08">
        <w:rPr>
          <w:rFonts w:ascii="Calibri" w:hAnsi="Calibri"/>
        </w:rPr>
        <w:t xml:space="preserve"> Louise Causer</w:t>
      </w:r>
      <w:r w:rsidR="00B768C9" w:rsidRPr="00517F08">
        <w:rPr>
          <w:rFonts w:ascii="Calibri" w:hAnsi="Calibri"/>
          <w:vertAlign w:val="superscript"/>
        </w:rPr>
        <w:t>6</w:t>
      </w:r>
      <w:r w:rsidR="00B768C9" w:rsidRPr="00517F08">
        <w:rPr>
          <w:rFonts w:ascii="Calibri" w:hAnsi="Calibri"/>
        </w:rPr>
        <w:t xml:space="preserve">, </w:t>
      </w:r>
      <w:r w:rsidR="00517F08" w:rsidRPr="00517F08">
        <w:rPr>
          <w:rFonts w:ascii="Calibri" w:hAnsi="Calibri"/>
        </w:rPr>
        <w:t>Rebecca Guy</w:t>
      </w:r>
      <w:r w:rsidR="00517F08" w:rsidRPr="00517F08">
        <w:rPr>
          <w:rFonts w:ascii="Calibri" w:hAnsi="Calibri"/>
          <w:vertAlign w:val="superscript"/>
        </w:rPr>
        <w:t>6</w:t>
      </w:r>
      <w:r w:rsidR="00517F08" w:rsidRPr="00517F08">
        <w:rPr>
          <w:rFonts w:ascii="Calibri" w:hAnsi="Calibri"/>
        </w:rPr>
        <w:t xml:space="preserve">, </w:t>
      </w:r>
      <w:r w:rsidR="00F53EF6">
        <w:rPr>
          <w:rFonts w:ascii="Calibri" w:hAnsi="Calibri"/>
        </w:rPr>
        <w:t xml:space="preserve">Regina </w:t>
      </w:r>
      <w:r w:rsidR="00F53EF6" w:rsidRPr="00F53EF6">
        <w:rPr>
          <w:rFonts w:ascii="Calibri" w:hAnsi="Calibri"/>
        </w:rPr>
        <w:t>Wangnapi</w:t>
      </w:r>
      <w:r w:rsidR="00F53EF6">
        <w:rPr>
          <w:rFonts w:ascii="Calibri" w:hAnsi="Calibri"/>
          <w:vertAlign w:val="superscript"/>
        </w:rPr>
        <w:t>7</w:t>
      </w:r>
      <w:r w:rsidR="00D9705D">
        <w:rPr>
          <w:rFonts w:ascii="Calibri" w:hAnsi="Calibri"/>
          <w:vertAlign w:val="superscript"/>
        </w:rPr>
        <w:t>*</w:t>
      </w:r>
      <w:r w:rsidR="00F53EF6">
        <w:rPr>
          <w:rFonts w:ascii="Calibri" w:hAnsi="Calibri"/>
        </w:rPr>
        <w:t>,</w:t>
      </w:r>
      <w:proofErr w:type="spellStart"/>
      <w:r w:rsidRPr="00517F08">
        <w:rPr>
          <w:rStyle w:val="normalchar1"/>
          <w:rFonts w:ascii="Calibri" w:hAnsi="Calibri"/>
        </w:rPr>
        <w:t>Oriol</w:t>
      </w:r>
      <w:proofErr w:type="spellEnd"/>
      <w:r w:rsidRPr="00517F08">
        <w:rPr>
          <w:rStyle w:val="normalchar1"/>
          <w:rFonts w:ascii="Calibri" w:hAnsi="Calibri"/>
        </w:rPr>
        <w:t xml:space="preserve"> </w:t>
      </w:r>
      <w:r w:rsidR="00F53EF6" w:rsidRPr="00517F08">
        <w:rPr>
          <w:rStyle w:val="normalchar1"/>
          <w:rFonts w:ascii="Calibri" w:hAnsi="Calibri"/>
        </w:rPr>
        <w:t>Mitjà</w:t>
      </w:r>
      <w:r w:rsidR="00F53EF6">
        <w:rPr>
          <w:rStyle w:val="normalchar1"/>
          <w:rFonts w:ascii="Calibri" w:hAnsi="Calibri"/>
          <w:vertAlign w:val="superscript"/>
        </w:rPr>
        <w:t>8</w:t>
      </w:r>
      <w:r w:rsidRPr="00517F08">
        <w:rPr>
          <w:rStyle w:val="normalchar1"/>
          <w:rFonts w:ascii="Calibri" w:hAnsi="Calibri"/>
          <w:vertAlign w:val="superscript"/>
        </w:rPr>
        <w:t>,</w:t>
      </w:r>
      <w:r w:rsidR="00F53EF6">
        <w:rPr>
          <w:rStyle w:val="normalchar1"/>
          <w:rFonts w:ascii="Calibri" w:hAnsi="Calibri"/>
          <w:vertAlign w:val="superscript"/>
        </w:rPr>
        <w:t>9</w:t>
      </w:r>
      <w:r w:rsidR="00B47709" w:rsidRPr="00517F08">
        <w:rPr>
          <w:rStyle w:val="normalchar1"/>
          <w:rFonts w:ascii="Calibri" w:hAnsi="Calibri"/>
        </w:rPr>
        <w:t>,</w:t>
      </w:r>
      <w:r w:rsidR="0084362E" w:rsidRPr="00517F08">
        <w:rPr>
          <w:rStyle w:val="normalchar1"/>
          <w:rFonts w:ascii="Calibri" w:hAnsi="Calibri"/>
        </w:rPr>
        <w:t xml:space="preserve"> </w:t>
      </w:r>
      <w:r w:rsidR="002C7AB7" w:rsidRPr="00517F08">
        <w:rPr>
          <w:rFonts w:ascii="Calibri" w:hAnsi="Calibri" w:cs="Gill Sans MT"/>
          <w:lang w:val="en-US"/>
        </w:rPr>
        <w:t xml:space="preserve">Abdul </w:t>
      </w:r>
      <w:r w:rsidR="00F53EF6" w:rsidRPr="00517F08">
        <w:rPr>
          <w:rFonts w:ascii="Calibri" w:hAnsi="Calibri" w:cs="Gill Sans MT"/>
          <w:lang w:val="en-US"/>
        </w:rPr>
        <w:t>Aziz</w:t>
      </w:r>
      <w:r w:rsidR="00F53EF6">
        <w:rPr>
          <w:rFonts w:ascii="Calibri" w:hAnsi="Calibri" w:cs="Gill Sans MT"/>
          <w:vertAlign w:val="superscript"/>
          <w:lang w:val="en-US"/>
        </w:rPr>
        <w:t>10</w:t>
      </w:r>
      <w:r w:rsidR="002C7AB7" w:rsidRPr="00517F08">
        <w:rPr>
          <w:rFonts w:ascii="Calibri" w:hAnsi="Calibri" w:cs="Gill Sans MT"/>
          <w:lang w:val="en-US"/>
        </w:rPr>
        <w:t xml:space="preserve">, </w:t>
      </w:r>
      <w:r w:rsidR="00B768C9" w:rsidRPr="00517F08">
        <w:rPr>
          <w:rFonts w:ascii="Calibri" w:hAnsi="Calibri" w:cs="Gill Sans MT"/>
          <w:lang w:val="en-US"/>
        </w:rPr>
        <w:t xml:space="preserve">Rita </w:t>
      </w:r>
      <w:r w:rsidR="00F53EF6" w:rsidRPr="00517F08">
        <w:rPr>
          <w:rFonts w:ascii="Calibri" w:hAnsi="Calibri" w:cs="Gill Sans MT"/>
          <w:lang w:val="en-US"/>
        </w:rPr>
        <w:t>Castro</w:t>
      </w:r>
      <w:r w:rsidR="00F53EF6" w:rsidRPr="00517F08">
        <w:rPr>
          <w:rFonts w:ascii="Calibri" w:hAnsi="Calibri" w:cs="Gill Sans MT"/>
          <w:vertAlign w:val="superscript"/>
          <w:lang w:val="en-US"/>
        </w:rPr>
        <w:t>1</w:t>
      </w:r>
      <w:r w:rsidR="00F53EF6">
        <w:rPr>
          <w:rFonts w:ascii="Calibri" w:hAnsi="Calibri" w:cs="Gill Sans MT"/>
          <w:vertAlign w:val="superscript"/>
          <w:lang w:val="en-US"/>
        </w:rPr>
        <w:t>1</w:t>
      </w:r>
      <w:r w:rsidR="00B768C9" w:rsidRPr="00517F08">
        <w:rPr>
          <w:rStyle w:val="normalchar1"/>
          <w:rFonts w:ascii="Calibri" w:hAnsi="Calibri"/>
        </w:rPr>
        <w:t>,</w:t>
      </w:r>
      <w:r w:rsidR="00517F08" w:rsidRPr="00517F08">
        <w:rPr>
          <w:rStyle w:val="normalchar1"/>
          <w:rFonts w:ascii="Calibri" w:hAnsi="Calibri"/>
        </w:rPr>
        <w:t xml:space="preserve"> </w:t>
      </w:r>
      <w:proofErr w:type="spellStart"/>
      <w:r w:rsidR="00517F08" w:rsidRPr="00517F08">
        <w:rPr>
          <w:rStyle w:val="normalchar1"/>
          <w:rFonts w:ascii="Calibri" w:hAnsi="Calibri"/>
        </w:rPr>
        <w:t>Filomena</w:t>
      </w:r>
      <w:proofErr w:type="spellEnd"/>
      <w:r w:rsidR="00517F08" w:rsidRPr="00517F08">
        <w:rPr>
          <w:rStyle w:val="normalchar1"/>
          <w:rFonts w:ascii="Calibri" w:hAnsi="Calibri"/>
        </w:rPr>
        <w:t xml:space="preserve"> da Luz Martins Pereira</w:t>
      </w:r>
      <w:r w:rsidR="00517F08" w:rsidRPr="00517F08">
        <w:rPr>
          <w:rStyle w:val="normalchar1"/>
          <w:rFonts w:ascii="Calibri" w:hAnsi="Calibri"/>
          <w:vertAlign w:val="superscript"/>
        </w:rPr>
        <w:t>1</w:t>
      </w:r>
      <w:r w:rsidR="00F53EF6">
        <w:rPr>
          <w:rStyle w:val="normalchar1"/>
          <w:rFonts w:ascii="Calibri" w:hAnsi="Calibri"/>
          <w:vertAlign w:val="superscript"/>
        </w:rPr>
        <w:t>1</w:t>
      </w:r>
      <w:r w:rsidR="00517F08" w:rsidRPr="00517F08">
        <w:rPr>
          <w:rStyle w:val="normalchar1"/>
          <w:rFonts w:ascii="Calibri" w:hAnsi="Calibri"/>
        </w:rPr>
        <w:t>,</w:t>
      </w:r>
      <w:r w:rsidR="00B768C9" w:rsidRPr="00517F08">
        <w:rPr>
          <w:rStyle w:val="normalchar1"/>
          <w:rFonts w:ascii="Calibri" w:hAnsi="Calibri"/>
        </w:rPr>
        <w:t xml:space="preserve"> </w:t>
      </w:r>
      <w:proofErr w:type="spellStart"/>
      <w:r w:rsidR="00B768C9" w:rsidRPr="00517F08">
        <w:rPr>
          <w:rStyle w:val="normalchar1"/>
          <w:rFonts w:ascii="Calibri" w:hAnsi="Calibri"/>
        </w:rPr>
        <w:t>Fasihah</w:t>
      </w:r>
      <w:proofErr w:type="spellEnd"/>
      <w:r w:rsidR="00B768C9" w:rsidRPr="00517F08">
        <w:rPr>
          <w:rStyle w:val="normalchar1"/>
          <w:rFonts w:ascii="Calibri" w:hAnsi="Calibri"/>
        </w:rPr>
        <w:t xml:space="preserve"> </w:t>
      </w:r>
      <w:r w:rsidR="00517F08" w:rsidRPr="00517F08">
        <w:rPr>
          <w:rStyle w:val="normalchar1"/>
          <w:rFonts w:ascii="Calibri" w:hAnsi="Calibri"/>
        </w:rPr>
        <w:t>Taleo</w:t>
      </w:r>
      <w:r w:rsidR="00517F08" w:rsidRPr="00517F08">
        <w:rPr>
          <w:rStyle w:val="normalchar1"/>
          <w:rFonts w:ascii="Calibri" w:hAnsi="Calibri"/>
          <w:vertAlign w:val="superscript"/>
        </w:rPr>
        <w:t>1</w:t>
      </w:r>
      <w:r w:rsidR="00F53EF6">
        <w:rPr>
          <w:rStyle w:val="normalchar1"/>
          <w:rFonts w:ascii="Calibri" w:hAnsi="Calibri"/>
          <w:vertAlign w:val="superscript"/>
        </w:rPr>
        <w:t>2</w:t>
      </w:r>
      <w:r w:rsidR="002C7AB7" w:rsidRPr="00517F08">
        <w:rPr>
          <w:rFonts w:ascii="Calibri" w:hAnsi="Calibri" w:cs="Gill Sans MT"/>
          <w:lang w:val="en-US"/>
        </w:rPr>
        <w:t xml:space="preserve">, </w:t>
      </w:r>
      <w:proofErr w:type="spellStart"/>
      <w:r w:rsidR="00517F08" w:rsidRPr="00517F08">
        <w:rPr>
          <w:rFonts w:ascii="Calibri" w:hAnsi="Calibri" w:cs="Helvetica"/>
          <w:lang w:val="en-US"/>
        </w:rPr>
        <w:t>Jérôme</w:t>
      </w:r>
      <w:proofErr w:type="spellEnd"/>
      <w:r w:rsidR="00517F08" w:rsidRPr="00517F08">
        <w:rPr>
          <w:rFonts w:ascii="Calibri" w:hAnsi="Calibri" w:cs="Helvetica"/>
          <w:lang w:val="en-US"/>
        </w:rPr>
        <w:t xml:space="preserve"> </w:t>
      </w:r>
      <w:r w:rsidR="00517F08" w:rsidRPr="00517F08">
        <w:rPr>
          <w:rFonts w:ascii="Calibri" w:hAnsi="Calibri" w:cs="Gill Sans MT"/>
          <w:lang w:val="en-US"/>
        </w:rPr>
        <w:t>Guinard</w:t>
      </w:r>
      <w:r w:rsidR="00517F08" w:rsidRPr="00517F08">
        <w:rPr>
          <w:rFonts w:ascii="Calibri" w:hAnsi="Calibri" w:cs="Gill Sans MT"/>
          <w:vertAlign w:val="superscript"/>
          <w:lang w:val="en-US"/>
        </w:rPr>
        <w:t>1</w:t>
      </w:r>
      <w:r w:rsidR="00F53EF6">
        <w:rPr>
          <w:rFonts w:ascii="Calibri" w:hAnsi="Calibri" w:cs="Gill Sans MT"/>
          <w:vertAlign w:val="superscript"/>
          <w:lang w:val="en-US"/>
        </w:rPr>
        <w:t>3</w:t>
      </w:r>
      <w:r w:rsidR="002C7AB7" w:rsidRPr="00517F08">
        <w:rPr>
          <w:rFonts w:ascii="Calibri" w:hAnsi="Calibri" w:cs="Gill Sans MT"/>
          <w:lang w:val="en-US"/>
        </w:rPr>
        <w:t>,</w:t>
      </w:r>
      <w:r w:rsidR="00517F08" w:rsidRPr="00517F08">
        <w:rPr>
          <w:rFonts w:ascii="Calibri" w:hAnsi="Calibri" w:cs="Gill Sans MT"/>
          <w:lang w:val="en-US"/>
        </w:rPr>
        <w:t xml:space="preserve"> Laurent B</w:t>
      </w:r>
      <w:r w:rsidR="00517F08" w:rsidRPr="00517F08">
        <w:rPr>
          <w:rFonts w:ascii="Calibri" w:hAnsi="Calibri" w:cs="Helvetica"/>
          <w:lang w:val="en-US"/>
        </w:rPr>
        <w:t>é</w:t>
      </w:r>
      <w:r w:rsidR="00517F08" w:rsidRPr="00517F08">
        <w:rPr>
          <w:rFonts w:ascii="Calibri" w:hAnsi="Calibri" w:cs="Gill Sans MT"/>
          <w:lang w:val="en-US"/>
        </w:rPr>
        <w:t>lec</w:t>
      </w:r>
      <w:r w:rsidR="00517F08" w:rsidRPr="00517F08">
        <w:rPr>
          <w:rFonts w:ascii="Calibri" w:hAnsi="Calibri" w:cs="Gill Sans MT"/>
          <w:vertAlign w:val="superscript"/>
          <w:lang w:val="en-US"/>
        </w:rPr>
        <w:t>1</w:t>
      </w:r>
      <w:r w:rsidR="00F53EF6">
        <w:rPr>
          <w:rFonts w:ascii="Calibri" w:hAnsi="Calibri" w:cs="Gill Sans MT"/>
          <w:vertAlign w:val="superscript"/>
          <w:lang w:val="en-US"/>
        </w:rPr>
        <w:t>4</w:t>
      </w:r>
      <w:r w:rsidR="00517F08" w:rsidRPr="00517F08">
        <w:rPr>
          <w:rFonts w:ascii="Calibri" w:hAnsi="Calibri" w:cs="Gill Sans MT"/>
          <w:vertAlign w:val="superscript"/>
          <w:lang w:val="en-US"/>
        </w:rPr>
        <w:t>,1</w:t>
      </w:r>
      <w:r w:rsidR="00F53EF6">
        <w:rPr>
          <w:rFonts w:ascii="Calibri" w:hAnsi="Calibri" w:cs="Gill Sans MT"/>
          <w:vertAlign w:val="superscript"/>
          <w:lang w:val="en-US"/>
        </w:rPr>
        <w:t>5</w:t>
      </w:r>
      <w:r w:rsidR="00517F08" w:rsidRPr="00517F08">
        <w:rPr>
          <w:rFonts w:ascii="Calibri" w:hAnsi="Calibri" w:cs="Gill Sans MT"/>
          <w:lang w:val="en-US"/>
        </w:rPr>
        <w:t>,</w:t>
      </w:r>
      <w:r w:rsidR="00B768C9" w:rsidRPr="00517F08">
        <w:rPr>
          <w:rFonts w:ascii="Calibri" w:hAnsi="Calibri" w:cs="Gill Sans MT"/>
          <w:lang w:val="en-US"/>
        </w:rPr>
        <w:t xml:space="preserve"> Ye </w:t>
      </w:r>
      <w:r w:rsidR="00517F08" w:rsidRPr="00517F08">
        <w:rPr>
          <w:rFonts w:ascii="Calibri" w:hAnsi="Calibri" w:cs="Gill Sans MT"/>
          <w:lang w:val="en-US"/>
        </w:rPr>
        <w:t>Tun</w:t>
      </w:r>
      <w:r w:rsidR="00517F08" w:rsidRPr="00517F08">
        <w:rPr>
          <w:rFonts w:ascii="Calibri" w:hAnsi="Calibri" w:cs="Gill Sans MT"/>
          <w:vertAlign w:val="superscript"/>
          <w:lang w:val="en-US"/>
        </w:rPr>
        <w:t>1</w:t>
      </w:r>
      <w:r w:rsidR="00F53EF6">
        <w:rPr>
          <w:rFonts w:ascii="Calibri" w:hAnsi="Calibri" w:cs="Gill Sans MT"/>
          <w:vertAlign w:val="superscript"/>
          <w:lang w:val="en-US"/>
        </w:rPr>
        <w:t>6</w:t>
      </w:r>
      <w:r w:rsidR="00B768C9" w:rsidRPr="00517F08">
        <w:rPr>
          <w:rFonts w:ascii="Calibri" w:hAnsi="Calibri" w:cs="Gill Sans MT"/>
          <w:lang w:val="en-US"/>
        </w:rPr>
        <w:t xml:space="preserve">, </w:t>
      </w:r>
      <w:r w:rsidR="005A73E5" w:rsidRPr="00517F08">
        <w:rPr>
          <w:rFonts w:ascii="Calibri" w:hAnsi="Calibri" w:cs="Gill Sans MT"/>
          <w:lang w:val="en-US"/>
        </w:rPr>
        <w:t xml:space="preserve">Christian </w:t>
      </w:r>
      <w:r w:rsidR="00517F08" w:rsidRPr="00517F08">
        <w:rPr>
          <w:rFonts w:ascii="Calibri" w:hAnsi="Calibri" w:cs="Gill Sans MT"/>
          <w:lang w:val="en-US"/>
        </w:rPr>
        <w:t>Bottomley</w:t>
      </w:r>
      <w:r w:rsidR="00517F08" w:rsidRPr="00517F08">
        <w:rPr>
          <w:rFonts w:ascii="Calibri" w:hAnsi="Calibri" w:cs="Gill Sans MT"/>
          <w:vertAlign w:val="superscript"/>
          <w:lang w:val="en-US"/>
        </w:rPr>
        <w:t>1</w:t>
      </w:r>
      <w:r w:rsidR="00F53EF6">
        <w:rPr>
          <w:rFonts w:ascii="Calibri" w:hAnsi="Calibri" w:cs="Gill Sans MT"/>
          <w:vertAlign w:val="superscript"/>
          <w:lang w:val="en-US"/>
        </w:rPr>
        <w:t>7</w:t>
      </w:r>
      <w:r w:rsidR="005A73E5" w:rsidRPr="00517F08">
        <w:rPr>
          <w:rFonts w:ascii="Calibri" w:hAnsi="Calibri" w:cs="Gill Sans MT"/>
          <w:lang w:val="en-US"/>
        </w:rPr>
        <w:t xml:space="preserve">, </w:t>
      </w:r>
      <w:r w:rsidRPr="00517F08">
        <w:rPr>
          <w:rFonts w:ascii="Calibri" w:hAnsi="Calibri" w:cs="Gill Sans MT"/>
          <w:lang w:val="en-US"/>
        </w:rPr>
        <w:t>Ron</w:t>
      </w:r>
      <w:r w:rsidR="00123399" w:rsidRPr="00517F08">
        <w:rPr>
          <w:rFonts w:ascii="Calibri" w:hAnsi="Calibri" w:cs="Gill Sans MT"/>
          <w:lang w:val="en-US"/>
        </w:rPr>
        <w:t>ald C</w:t>
      </w:r>
      <w:r w:rsidRPr="00517F08">
        <w:rPr>
          <w:rFonts w:ascii="Calibri" w:hAnsi="Calibri" w:cs="Gill Sans MT"/>
          <w:lang w:val="en-US"/>
        </w:rPr>
        <w:t xml:space="preserve"> </w:t>
      </w:r>
      <w:r w:rsidR="00517F08" w:rsidRPr="00517F08">
        <w:rPr>
          <w:rFonts w:ascii="Calibri" w:hAnsi="Calibri" w:cs="Gill Sans MT"/>
          <w:lang w:val="en-US"/>
        </w:rPr>
        <w:t>Ballard</w:t>
      </w:r>
      <w:r w:rsidR="00517F08" w:rsidRPr="00517F08">
        <w:rPr>
          <w:rFonts w:ascii="Calibri" w:hAnsi="Calibri" w:cs="Gill Sans MT"/>
          <w:vertAlign w:val="superscript"/>
          <w:lang w:val="en-US"/>
        </w:rPr>
        <w:t>1</w:t>
      </w:r>
      <w:r w:rsidR="00F53EF6">
        <w:rPr>
          <w:rFonts w:ascii="Calibri" w:hAnsi="Calibri" w:cs="Gill Sans MT"/>
          <w:vertAlign w:val="superscript"/>
          <w:lang w:val="en-US"/>
        </w:rPr>
        <w:t>6</w:t>
      </w:r>
      <w:r w:rsidRPr="00517F08">
        <w:rPr>
          <w:rFonts w:ascii="Calibri" w:hAnsi="Calibri" w:cs="Gill Sans MT"/>
          <w:lang w:val="en-US"/>
        </w:rPr>
        <w:t xml:space="preserve">, </w:t>
      </w:r>
      <w:r w:rsidRPr="00517F08">
        <w:rPr>
          <w:rFonts w:ascii="Calibri" w:hAnsi="Calibri"/>
        </w:rPr>
        <w:t>David CW Mabey</w:t>
      </w:r>
      <w:r w:rsidRPr="00517F08">
        <w:rPr>
          <w:rFonts w:ascii="Calibri" w:hAnsi="Calibri"/>
          <w:vertAlign w:val="superscript"/>
        </w:rPr>
        <w:t>1, 2</w:t>
      </w:r>
    </w:p>
    <w:p w14:paraId="26E48F39" w14:textId="77777777" w:rsidR="00C414E6" w:rsidRPr="00F53EF6" w:rsidRDefault="00C414E6" w:rsidP="00FD2CAB">
      <w:pPr>
        <w:rPr>
          <w:rFonts w:ascii="Calibri" w:hAnsi="Calibri"/>
          <w:sz w:val="22"/>
          <w:szCs w:val="22"/>
        </w:rPr>
      </w:pPr>
      <w:r w:rsidRPr="00F53EF6">
        <w:rPr>
          <w:rFonts w:ascii="Calibri" w:hAnsi="Calibri"/>
          <w:sz w:val="22"/>
          <w:szCs w:val="22"/>
        </w:rPr>
        <w:t>1 Clinical Research Department, Faculty of Infectious and Tropical Diseases, London School of Hygiene &amp; Tropical Medicine, Keppel Street, London, WC1E 7HT</w:t>
      </w:r>
    </w:p>
    <w:p w14:paraId="29574C02" w14:textId="77777777" w:rsidR="00C414E6" w:rsidRPr="00F53EF6" w:rsidRDefault="00C414E6" w:rsidP="00FD2CAB">
      <w:pPr>
        <w:rPr>
          <w:rFonts w:ascii="Calibri" w:hAnsi="Calibri"/>
          <w:sz w:val="22"/>
          <w:szCs w:val="22"/>
        </w:rPr>
      </w:pPr>
      <w:r w:rsidRPr="00F53EF6">
        <w:rPr>
          <w:rFonts w:ascii="Calibri" w:hAnsi="Calibri"/>
          <w:sz w:val="22"/>
          <w:szCs w:val="22"/>
        </w:rPr>
        <w:t>2 Hospital for Tropical Diseases, University College London Hospitals NHS Trust, London, WC1E 6JB</w:t>
      </w:r>
    </w:p>
    <w:p w14:paraId="150BBB73" w14:textId="77777777" w:rsidR="00B768C9" w:rsidRPr="00F53EF6" w:rsidRDefault="00EC32B8" w:rsidP="00FD2CAB">
      <w:pPr>
        <w:rPr>
          <w:rFonts w:ascii="Calibri" w:hAnsi="Calibri"/>
          <w:sz w:val="22"/>
          <w:szCs w:val="22"/>
        </w:rPr>
      </w:pPr>
      <w:r w:rsidRPr="00F53EF6">
        <w:rPr>
          <w:rFonts w:ascii="Calibri" w:hAnsi="Calibri"/>
          <w:sz w:val="22"/>
          <w:szCs w:val="22"/>
        </w:rPr>
        <w:t>3</w:t>
      </w:r>
      <w:r w:rsidR="00B768C9" w:rsidRPr="00F53EF6">
        <w:rPr>
          <w:rFonts w:ascii="Calibri" w:hAnsi="Calibri"/>
          <w:sz w:val="22"/>
          <w:szCs w:val="22"/>
        </w:rPr>
        <w:t xml:space="preserve"> National </w:t>
      </w:r>
      <w:proofErr w:type="spellStart"/>
      <w:proofErr w:type="gramStart"/>
      <w:r w:rsidR="00B768C9" w:rsidRPr="00F53EF6">
        <w:rPr>
          <w:rFonts w:ascii="Calibri" w:hAnsi="Calibri"/>
          <w:sz w:val="22"/>
          <w:szCs w:val="22"/>
        </w:rPr>
        <w:t>Center</w:t>
      </w:r>
      <w:proofErr w:type="spellEnd"/>
      <w:proofErr w:type="gramEnd"/>
      <w:r w:rsidR="00B768C9" w:rsidRPr="00F53EF6">
        <w:rPr>
          <w:rFonts w:ascii="Calibri" w:hAnsi="Calibri"/>
          <w:sz w:val="22"/>
          <w:szCs w:val="22"/>
        </w:rPr>
        <w:t xml:space="preserve"> for STD Control, China </w:t>
      </w:r>
      <w:proofErr w:type="spellStart"/>
      <w:r w:rsidR="00B768C9" w:rsidRPr="00F53EF6">
        <w:rPr>
          <w:rFonts w:ascii="Calibri" w:hAnsi="Calibri"/>
          <w:sz w:val="22"/>
          <w:szCs w:val="22"/>
        </w:rPr>
        <w:t>Center</w:t>
      </w:r>
      <w:proofErr w:type="spellEnd"/>
      <w:r w:rsidR="00B768C9" w:rsidRPr="00F53EF6">
        <w:rPr>
          <w:rFonts w:ascii="Calibri" w:hAnsi="Calibri"/>
          <w:sz w:val="22"/>
          <w:szCs w:val="22"/>
        </w:rPr>
        <w:t xml:space="preserve"> for Disease Control and Prevention</w:t>
      </w:r>
    </w:p>
    <w:p w14:paraId="7E22F2A1" w14:textId="77777777" w:rsidR="00B768C9" w:rsidRPr="00F53EF6" w:rsidRDefault="00EC32B8" w:rsidP="00FD2CAB">
      <w:pPr>
        <w:rPr>
          <w:rFonts w:ascii="Calibri" w:hAnsi="Calibri"/>
          <w:sz w:val="22"/>
          <w:szCs w:val="22"/>
        </w:rPr>
      </w:pPr>
      <w:r w:rsidRPr="00F53EF6">
        <w:rPr>
          <w:rFonts w:ascii="Calibri" w:hAnsi="Calibri"/>
          <w:sz w:val="22"/>
          <w:szCs w:val="22"/>
        </w:rPr>
        <w:t>4</w:t>
      </w:r>
      <w:r w:rsidR="00B768C9" w:rsidRPr="00F53EF6">
        <w:rPr>
          <w:rFonts w:ascii="Calibri" w:hAnsi="Calibri"/>
          <w:sz w:val="22"/>
          <w:szCs w:val="22"/>
        </w:rPr>
        <w:t xml:space="preserve"> Chinese Academy of Medical Sciences Institute of Dermatology and Hospital of Skin Diseases, Nanjing </w:t>
      </w:r>
    </w:p>
    <w:p w14:paraId="1DC3121C" w14:textId="77777777" w:rsidR="00EC32B8" w:rsidRPr="00F53EF6" w:rsidRDefault="00EC32B8" w:rsidP="00FD2CAB">
      <w:pPr>
        <w:rPr>
          <w:rFonts w:ascii="Calibri" w:hAnsi="Calibri"/>
          <w:sz w:val="22"/>
          <w:szCs w:val="22"/>
        </w:rPr>
      </w:pPr>
      <w:r w:rsidRPr="00F53EF6">
        <w:rPr>
          <w:rFonts w:ascii="Calibri" w:hAnsi="Calibri"/>
          <w:sz w:val="22"/>
          <w:szCs w:val="22"/>
        </w:rPr>
        <w:t xml:space="preserve">5 Laboratory Reference &amp; Research Branch, Division of STD Prevention, </w:t>
      </w:r>
      <w:proofErr w:type="spellStart"/>
      <w:r w:rsidRPr="00F53EF6">
        <w:rPr>
          <w:rFonts w:ascii="Calibri" w:hAnsi="Calibri"/>
          <w:sz w:val="22"/>
          <w:szCs w:val="22"/>
        </w:rPr>
        <w:t>Centers</w:t>
      </w:r>
      <w:proofErr w:type="spellEnd"/>
      <w:r w:rsidRPr="00F53EF6">
        <w:rPr>
          <w:rFonts w:ascii="Calibri" w:hAnsi="Calibri"/>
          <w:sz w:val="22"/>
          <w:szCs w:val="22"/>
        </w:rPr>
        <w:t xml:space="preserve"> for Disease Control &amp; Prevention, Atlanta, USA</w:t>
      </w:r>
    </w:p>
    <w:p w14:paraId="5F9A8D51" w14:textId="77777777" w:rsidR="00F53EF6" w:rsidRPr="00F53EF6" w:rsidRDefault="00B768C9" w:rsidP="00FD2CAB">
      <w:pPr>
        <w:rPr>
          <w:rFonts w:ascii="Calibri" w:hAnsi="Calibri"/>
          <w:sz w:val="22"/>
          <w:szCs w:val="22"/>
        </w:rPr>
      </w:pPr>
      <w:r w:rsidRPr="00F53EF6">
        <w:rPr>
          <w:rFonts w:ascii="Calibri" w:hAnsi="Calibri"/>
          <w:sz w:val="22"/>
          <w:szCs w:val="22"/>
        </w:rPr>
        <w:t>6 Kirby Institute, University of New South Wales, Sydney, Australia</w:t>
      </w:r>
    </w:p>
    <w:p w14:paraId="472C51C3" w14:textId="77777777" w:rsidR="00B768C9" w:rsidRPr="00F53EF6" w:rsidRDefault="00F53EF6" w:rsidP="00FD2CAB">
      <w:pPr>
        <w:widowControl w:val="0"/>
        <w:autoSpaceDE w:val="0"/>
        <w:autoSpaceDN w:val="0"/>
        <w:adjustRightInd w:val="0"/>
        <w:spacing w:after="240"/>
        <w:rPr>
          <w:rFonts w:ascii="Calibri" w:hAnsi="Calibri" w:cs="Times"/>
          <w:sz w:val="22"/>
          <w:szCs w:val="22"/>
          <w:lang w:val="en-US"/>
        </w:rPr>
      </w:pPr>
      <w:r w:rsidRPr="00F53EF6">
        <w:rPr>
          <w:rFonts w:ascii="Calibri" w:hAnsi="Calibri" w:cs="Times"/>
          <w:bCs/>
          <w:sz w:val="22"/>
          <w:szCs w:val="22"/>
          <w:lang w:val="en-US"/>
        </w:rPr>
        <w:t xml:space="preserve">7 Papua New Guinea Institute of Medical Research, </w:t>
      </w:r>
      <w:proofErr w:type="spellStart"/>
      <w:r w:rsidRPr="00F53EF6">
        <w:rPr>
          <w:rFonts w:ascii="Calibri" w:hAnsi="Calibri" w:cs="Times"/>
          <w:bCs/>
          <w:sz w:val="22"/>
          <w:szCs w:val="22"/>
          <w:lang w:val="en-US"/>
        </w:rPr>
        <w:t>Goroka</w:t>
      </w:r>
      <w:proofErr w:type="spellEnd"/>
      <w:r w:rsidRPr="00F53EF6">
        <w:rPr>
          <w:rFonts w:ascii="Calibri" w:hAnsi="Calibri" w:cs="Times"/>
          <w:bCs/>
          <w:sz w:val="22"/>
          <w:szCs w:val="22"/>
          <w:lang w:val="en-US"/>
        </w:rPr>
        <w:t xml:space="preserve">, Eastern Highland Province, Papua New Guinea </w:t>
      </w:r>
    </w:p>
    <w:p w14:paraId="0A4990EA" w14:textId="77777777" w:rsidR="00C414E6" w:rsidRPr="00F53EF6" w:rsidRDefault="00F53EF6" w:rsidP="00FD2CAB">
      <w:pPr>
        <w:rPr>
          <w:rFonts w:ascii="Calibri" w:hAnsi="Calibri"/>
          <w:sz w:val="22"/>
          <w:szCs w:val="22"/>
        </w:rPr>
      </w:pPr>
      <w:r w:rsidRPr="00F53EF6">
        <w:rPr>
          <w:rFonts w:ascii="Calibri" w:hAnsi="Calibri"/>
          <w:sz w:val="22"/>
          <w:szCs w:val="22"/>
        </w:rPr>
        <w:t xml:space="preserve">8 </w:t>
      </w:r>
      <w:r w:rsidR="00C414E6" w:rsidRPr="00F53EF6">
        <w:rPr>
          <w:rFonts w:ascii="Calibri" w:hAnsi="Calibri"/>
          <w:sz w:val="22"/>
          <w:szCs w:val="22"/>
        </w:rPr>
        <w:t xml:space="preserve">Barcelona </w:t>
      </w:r>
      <w:r w:rsidR="00573DDA" w:rsidRPr="00F53EF6">
        <w:rPr>
          <w:rFonts w:ascii="Calibri" w:hAnsi="Calibri"/>
          <w:sz w:val="22"/>
          <w:szCs w:val="22"/>
        </w:rPr>
        <w:t>Institute for Global Health, Barcelona Centre</w:t>
      </w:r>
      <w:r w:rsidR="00C414E6" w:rsidRPr="00F53EF6">
        <w:rPr>
          <w:rFonts w:ascii="Calibri" w:hAnsi="Calibri"/>
          <w:sz w:val="22"/>
          <w:szCs w:val="22"/>
        </w:rPr>
        <w:t xml:space="preserve"> for International Health Research, Hospital Clinic, University of Barcelona, Barcelona, Spain</w:t>
      </w:r>
    </w:p>
    <w:p w14:paraId="43492A23" w14:textId="77777777" w:rsidR="00C414E6" w:rsidRPr="00F53EF6" w:rsidRDefault="00F53EF6" w:rsidP="00FD2CAB">
      <w:pPr>
        <w:rPr>
          <w:rFonts w:ascii="Calibri" w:hAnsi="Calibri"/>
          <w:sz w:val="22"/>
          <w:szCs w:val="22"/>
        </w:rPr>
      </w:pPr>
      <w:r w:rsidRPr="00F53EF6">
        <w:rPr>
          <w:rFonts w:ascii="Calibri" w:hAnsi="Calibri"/>
          <w:sz w:val="22"/>
          <w:szCs w:val="22"/>
        </w:rPr>
        <w:t xml:space="preserve">9 </w:t>
      </w:r>
      <w:proofErr w:type="spellStart"/>
      <w:r w:rsidR="00C414E6" w:rsidRPr="00F53EF6">
        <w:rPr>
          <w:rFonts w:ascii="Calibri" w:hAnsi="Calibri"/>
          <w:sz w:val="22"/>
          <w:szCs w:val="22"/>
        </w:rPr>
        <w:t>Lihir</w:t>
      </w:r>
      <w:proofErr w:type="spellEnd"/>
      <w:r w:rsidR="00C414E6" w:rsidRPr="00F53EF6">
        <w:rPr>
          <w:rFonts w:ascii="Calibri" w:hAnsi="Calibri"/>
          <w:sz w:val="22"/>
          <w:szCs w:val="22"/>
        </w:rPr>
        <w:t xml:space="preserve"> Medical </w:t>
      </w:r>
      <w:proofErr w:type="gramStart"/>
      <w:r w:rsidR="00C414E6" w:rsidRPr="00F53EF6">
        <w:rPr>
          <w:rFonts w:ascii="Calibri" w:hAnsi="Calibri"/>
          <w:sz w:val="22"/>
          <w:szCs w:val="22"/>
        </w:rPr>
        <w:t>Centre</w:t>
      </w:r>
      <w:proofErr w:type="gramEnd"/>
      <w:r w:rsidR="00573DDA" w:rsidRPr="00F53EF6">
        <w:rPr>
          <w:rFonts w:ascii="Calibri" w:hAnsi="Calibri"/>
          <w:sz w:val="22"/>
          <w:szCs w:val="22"/>
        </w:rPr>
        <w:t xml:space="preserve">, </w:t>
      </w:r>
      <w:r w:rsidR="00C414E6" w:rsidRPr="00F53EF6">
        <w:rPr>
          <w:rFonts w:ascii="Calibri" w:hAnsi="Calibri"/>
          <w:sz w:val="22"/>
          <w:szCs w:val="22"/>
        </w:rPr>
        <w:t xml:space="preserve">International SOS, Newcrest Mining, </w:t>
      </w:r>
      <w:proofErr w:type="spellStart"/>
      <w:r w:rsidR="00C414E6" w:rsidRPr="00F53EF6">
        <w:rPr>
          <w:rFonts w:ascii="Calibri" w:hAnsi="Calibri"/>
          <w:sz w:val="22"/>
          <w:szCs w:val="22"/>
        </w:rPr>
        <w:t>Lihir</w:t>
      </w:r>
      <w:proofErr w:type="spellEnd"/>
      <w:r w:rsidR="00C414E6" w:rsidRPr="00F53EF6">
        <w:rPr>
          <w:rFonts w:ascii="Calibri" w:hAnsi="Calibri"/>
          <w:sz w:val="22"/>
          <w:szCs w:val="22"/>
        </w:rPr>
        <w:t xml:space="preserve"> Island, Papua New Guinea</w:t>
      </w:r>
    </w:p>
    <w:p w14:paraId="68E26557" w14:textId="77777777" w:rsidR="00B768C9" w:rsidRPr="00F53EF6" w:rsidRDefault="00F53EF6" w:rsidP="00FD2CAB">
      <w:pPr>
        <w:rPr>
          <w:rFonts w:ascii="Calibri" w:hAnsi="Calibri"/>
          <w:sz w:val="22"/>
          <w:szCs w:val="22"/>
        </w:rPr>
      </w:pPr>
      <w:r w:rsidRPr="00F53EF6">
        <w:rPr>
          <w:rFonts w:ascii="Calibri" w:hAnsi="Calibri"/>
          <w:sz w:val="22"/>
          <w:szCs w:val="22"/>
        </w:rPr>
        <w:t xml:space="preserve">10 </w:t>
      </w:r>
      <w:r w:rsidR="00B768C9" w:rsidRPr="00F53EF6">
        <w:rPr>
          <w:rFonts w:ascii="Calibri" w:hAnsi="Calibri"/>
          <w:sz w:val="22"/>
          <w:szCs w:val="22"/>
        </w:rPr>
        <w:t>Ghana Health Services, Accra, Ghana</w:t>
      </w:r>
    </w:p>
    <w:p w14:paraId="5056B8A2" w14:textId="77777777" w:rsidR="00B768C9" w:rsidRPr="00F53EF6" w:rsidRDefault="00F53EF6" w:rsidP="00FD2CAB">
      <w:pPr>
        <w:rPr>
          <w:rFonts w:ascii="Calibri" w:hAnsi="Calibri"/>
          <w:sz w:val="22"/>
          <w:szCs w:val="22"/>
        </w:rPr>
      </w:pPr>
      <w:r w:rsidRPr="00F53EF6">
        <w:rPr>
          <w:rFonts w:ascii="Calibri" w:hAnsi="Calibri"/>
          <w:sz w:val="22"/>
          <w:szCs w:val="22"/>
        </w:rPr>
        <w:t xml:space="preserve">11 </w:t>
      </w:r>
      <w:proofErr w:type="spellStart"/>
      <w:r w:rsidR="00517F08" w:rsidRPr="00F53EF6">
        <w:rPr>
          <w:rFonts w:ascii="Calibri" w:hAnsi="Calibri"/>
          <w:sz w:val="22"/>
          <w:szCs w:val="22"/>
        </w:rPr>
        <w:t>Unidade</w:t>
      </w:r>
      <w:proofErr w:type="spellEnd"/>
      <w:r w:rsidR="00517F08" w:rsidRPr="00F53EF6">
        <w:rPr>
          <w:rFonts w:ascii="Calibri" w:hAnsi="Calibri"/>
          <w:sz w:val="22"/>
          <w:szCs w:val="22"/>
        </w:rPr>
        <w:t xml:space="preserve"> de </w:t>
      </w:r>
      <w:proofErr w:type="spellStart"/>
      <w:r w:rsidR="00517F08" w:rsidRPr="00F53EF6">
        <w:rPr>
          <w:rFonts w:ascii="Calibri" w:hAnsi="Calibri"/>
          <w:sz w:val="22"/>
          <w:szCs w:val="22"/>
        </w:rPr>
        <w:t>Microbiologica</w:t>
      </w:r>
      <w:proofErr w:type="spellEnd"/>
      <w:r w:rsidR="00517F08" w:rsidRPr="00F53EF6">
        <w:rPr>
          <w:rFonts w:ascii="Calibri" w:hAnsi="Calibri"/>
          <w:sz w:val="22"/>
          <w:szCs w:val="22"/>
        </w:rPr>
        <w:t xml:space="preserve"> </w:t>
      </w:r>
      <w:proofErr w:type="spellStart"/>
      <w:r w:rsidR="00517F08" w:rsidRPr="00F53EF6">
        <w:rPr>
          <w:rFonts w:ascii="Calibri" w:hAnsi="Calibri"/>
          <w:sz w:val="22"/>
          <w:szCs w:val="22"/>
        </w:rPr>
        <w:t>M</w:t>
      </w:r>
      <w:r w:rsidR="00517F08" w:rsidRPr="00F53EF6">
        <w:rPr>
          <w:rFonts w:ascii="Calibri" w:hAnsi="Calibri" w:cs="Lucida Grande"/>
          <w:color w:val="000000"/>
          <w:sz w:val="22"/>
          <w:szCs w:val="22"/>
        </w:rPr>
        <w:t>édica</w:t>
      </w:r>
      <w:proofErr w:type="spellEnd"/>
      <w:r w:rsidR="00517F08" w:rsidRPr="00F53EF6">
        <w:rPr>
          <w:rFonts w:ascii="Calibri" w:hAnsi="Calibri" w:cs="Lucida Grande"/>
          <w:color w:val="000000"/>
          <w:sz w:val="22"/>
          <w:szCs w:val="22"/>
        </w:rPr>
        <w:t xml:space="preserve">, </w:t>
      </w:r>
      <w:proofErr w:type="spellStart"/>
      <w:r w:rsidR="00B768C9" w:rsidRPr="00F53EF6">
        <w:rPr>
          <w:rFonts w:ascii="Calibri" w:hAnsi="Calibri"/>
          <w:sz w:val="22"/>
          <w:szCs w:val="22"/>
        </w:rPr>
        <w:t>Instituto</w:t>
      </w:r>
      <w:proofErr w:type="spellEnd"/>
      <w:r w:rsidR="00B768C9" w:rsidRPr="00F53EF6">
        <w:rPr>
          <w:rFonts w:ascii="Calibri" w:hAnsi="Calibri"/>
          <w:sz w:val="22"/>
          <w:szCs w:val="22"/>
        </w:rPr>
        <w:t xml:space="preserve"> de </w:t>
      </w:r>
      <w:proofErr w:type="spellStart"/>
      <w:r w:rsidR="00B768C9" w:rsidRPr="00F53EF6">
        <w:rPr>
          <w:rFonts w:ascii="Calibri" w:hAnsi="Calibri"/>
          <w:sz w:val="22"/>
          <w:szCs w:val="22"/>
        </w:rPr>
        <w:t>Higiene</w:t>
      </w:r>
      <w:proofErr w:type="spellEnd"/>
      <w:r w:rsidR="00B768C9" w:rsidRPr="00F53EF6">
        <w:rPr>
          <w:rFonts w:ascii="Calibri" w:hAnsi="Calibri"/>
          <w:sz w:val="22"/>
          <w:szCs w:val="22"/>
        </w:rPr>
        <w:t xml:space="preserve"> e </w:t>
      </w:r>
      <w:proofErr w:type="spellStart"/>
      <w:r w:rsidR="00B768C9" w:rsidRPr="00F53EF6">
        <w:rPr>
          <w:rFonts w:ascii="Calibri" w:hAnsi="Calibri"/>
          <w:sz w:val="22"/>
          <w:szCs w:val="22"/>
        </w:rPr>
        <w:t>Medicina</w:t>
      </w:r>
      <w:proofErr w:type="spellEnd"/>
      <w:r w:rsidR="00B768C9" w:rsidRPr="00F53EF6">
        <w:rPr>
          <w:rFonts w:ascii="Calibri" w:hAnsi="Calibri"/>
          <w:sz w:val="22"/>
          <w:szCs w:val="22"/>
        </w:rPr>
        <w:t xml:space="preserve"> Tropical, </w:t>
      </w:r>
      <w:r w:rsidR="00517F08" w:rsidRPr="00F53EF6">
        <w:rPr>
          <w:rFonts w:ascii="Calibri" w:hAnsi="Calibri"/>
          <w:sz w:val="22"/>
          <w:szCs w:val="22"/>
        </w:rPr>
        <w:t>Lisbon</w:t>
      </w:r>
      <w:r w:rsidR="00B768C9" w:rsidRPr="00F53EF6">
        <w:rPr>
          <w:rFonts w:ascii="Calibri" w:hAnsi="Calibri"/>
          <w:sz w:val="22"/>
          <w:szCs w:val="22"/>
        </w:rPr>
        <w:t xml:space="preserve">, Portugal </w:t>
      </w:r>
    </w:p>
    <w:p w14:paraId="29F60CA0" w14:textId="77777777" w:rsidR="00723F70" w:rsidRPr="00F53EF6" w:rsidRDefault="00B768C9" w:rsidP="00FD2CAB">
      <w:pPr>
        <w:rPr>
          <w:rFonts w:ascii="Calibri" w:hAnsi="Calibri"/>
          <w:sz w:val="22"/>
          <w:szCs w:val="22"/>
        </w:rPr>
      </w:pPr>
      <w:r w:rsidRPr="00F53EF6">
        <w:rPr>
          <w:rFonts w:ascii="Calibri" w:hAnsi="Calibri"/>
          <w:sz w:val="22"/>
          <w:szCs w:val="22"/>
        </w:rPr>
        <w:t>1</w:t>
      </w:r>
      <w:r w:rsidR="00F53EF6" w:rsidRPr="00F53EF6">
        <w:rPr>
          <w:rFonts w:ascii="Calibri" w:hAnsi="Calibri"/>
          <w:sz w:val="22"/>
          <w:szCs w:val="22"/>
        </w:rPr>
        <w:t>2</w:t>
      </w:r>
      <w:r w:rsidR="00723F70" w:rsidRPr="00F53EF6">
        <w:rPr>
          <w:rFonts w:ascii="Calibri" w:hAnsi="Calibri"/>
          <w:sz w:val="22"/>
          <w:szCs w:val="22"/>
        </w:rPr>
        <w:t xml:space="preserve"> Ministr</w:t>
      </w:r>
      <w:r w:rsidR="00404739">
        <w:rPr>
          <w:rFonts w:ascii="Calibri" w:hAnsi="Calibri"/>
          <w:sz w:val="22"/>
          <w:szCs w:val="22"/>
        </w:rPr>
        <w:t>y of Health, Port Vila, Vanuatu</w:t>
      </w:r>
      <w:r w:rsidR="00723F70" w:rsidRPr="00F53EF6">
        <w:rPr>
          <w:rFonts w:ascii="Calibri" w:hAnsi="Calibri"/>
          <w:sz w:val="22"/>
          <w:szCs w:val="22"/>
        </w:rPr>
        <w:t xml:space="preserve"> </w:t>
      </w:r>
    </w:p>
    <w:p w14:paraId="5F4F0D92" w14:textId="77777777" w:rsidR="00B768C9" w:rsidRPr="005E667D" w:rsidRDefault="00517F08" w:rsidP="00FD2CAB">
      <w:pPr>
        <w:rPr>
          <w:rFonts w:ascii="Calibri" w:hAnsi="Calibri"/>
          <w:sz w:val="22"/>
          <w:szCs w:val="22"/>
          <w:lang w:val="fr-FR"/>
        </w:rPr>
      </w:pPr>
      <w:r w:rsidRPr="005E667D">
        <w:rPr>
          <w:rFonts w:ascii="Calibri" w:hAnsi="Calibri"/>
          <w:sz w:val="22"/>
          <w:szCs w:val="22"/>
          <w:lang w:val="fr-FR"/>
        </w:rPr>
        <w:t>1</w:t>
      </w:r>
      <w:r w:rsidR="00F53EF6" w:rsidRPr="005E667D">
        <w:rPr>
          <w:rFonts w:ascii="Calibri" w:hAnsi="Calibri"/>
          <w:sz w:val="22"/>
          <w:szCs w:val="22"/>
          <w:lang w:val="fr-FR"/>
        </w:rPr>
        <w:t>3</w:t>
      </w:r>
      <w:r w:rsidRPr="005E667D">
        <w:rPr>
          <w:rFonts w:ascii="Calibri" w:hAnsi="Calibri"/>
          <w:sz w:val="22"/>
          <w:szCs w:val="22"/>
          <w:lang w:val="fr-FR"/>
        </w:rPr>
        <w:t xml:space="preserve"> </w:t>
      </w:r>
      <w:r w:rsidR="00B768C9" w:rsidRPr="005E667D">
        <w:rPr>
          <w:rFonts w:ascii="Calibri" w:hAnsi="Calibri"/>
          <w:sz w:val="22"/>
          <w:szCs w:val="22"/>
          <w:lang w:val="fr-FR"/>
        </w:rPr>
        <w:t>Laboratoire de Microbiologie, Centre Hospitalier R</w:t>
      </w:r>
      <w:r w:rsidRPr="005E667D">
        <w:rPr>
          <w:rFonts w:ascii="Calibri" w:hAnsi="Calibri" w:cs="Lucida Grande"/>
          <w:color w:val="000000"/>
          <w:sz w:val="22"/>
          <w:szCs w:val="22"/>
          <w:lang w:val="fr-FR"/>
        </w:rPr>
        <w:t>é</w:t>
      </w:r>
      <w:r w:rsidR="00B768C9" w:rsidRPr="005E667D">
        <w:rPr>
          <w:rFonts w:ascii="Calibri" w:hAnsi="Calibri"/>
          <w:sz w:val="22"/>
          <w:szCs w:val="22"/>
          <w:lang w:val="fr-FR"/>
        </w:rPr>
        <w:t>gional d’Orl</w:t>
      </w:r>
      <w:r w:rsidRPr="005E667D">
        <w:rPr>
          <w:rFonts w:ascii="Calibri" w:hAnsi="Calibri" w:cs="Lucida Grande"/>
          <w:color w:val="000000"/>
          <w:sz w:val="22"/>
          <w:szCs w:val="22"/>
          <w:lang w:val="fr-FR"/>
        </w:rPr>
        <w:t>é</w:t>
      </w:r>
      <w:r w:rsidRPr="005E667D">
        <w:rPr>
          <w:rFonts w:ascii="Calibri" w:hAnsi="Calibri"/>
          <w:sz w:val="22"/>
          <w:szCs w:val="22"/>
          <w:lang w:val="fr-FR"/>
        </w:rPr>
        <w:t>a</w:t>
      </w:r>
      <w:r w:rsidR="00B768C9" w:rsidRPr="005E667D">
        <w:rPr>
          <w:rFonts w:ascii="Calibri" w:hAnsi="Calibri"/>
          <w:sz w:val="22"/>
          <w:szCs w:val="22"/>
          <w:lang w:val="fr-FR"/>
        </w:rPr>
        <w:t>ns, Orl</w:t>
      </w:r>
      <w:r w:rsidRPr="005E667D">
        <w:rPr>
          <w:rFonts w:ascii="Calibri" w:hAnsi="Calibri" w:cs="Lucida Grande"/>
          <w:color w:val="000000"/>
          <w:sz w:val="22"/>
          <w:szCs w:val="22"/>
          <w:lang w:val="fr-FR"/>
        </w:rPr>
        <w:t>é</w:t>
      </w:r>
      <w:r w:rsidR="00B768C9" w:rsidRPr="005E667D">
        <w:rPr>
          <w:rFonts w:ascii="Calibri" w:hAnsi="Calibri"/>
          <w:sz w:val="22"/>
          <w:szCs w:val="22"/>
          <w:lang w:val="fr-FR"/>
        </w:rPr>
        <w:t>ans, France </w:t>
      </w:r>
    </w:p>
    <w:p w14:paraId="76C883C3" w14:textId="77777777" w:rsidR="00517F08" w:rsidRPr="005E667D" w:rsidRDefault="00517F08" w:rsidP="00FD2CAB">
      <w:pPr>
        <w:widowControl w:val="0"/>
        <w:autoSpaceDE w:val="0"/>
        <w:autoSpaceDN w:val="0"/>
        <w:adjustRightInd w:val="0"/>
        <w:spacing w:after="240"/>
        <w:rPr>
          <w:rFonts w:ascii="Calibri" w:hAnsi="Calibri" w:cs="Times"/>
          <w:sz w:val="22"/>
          <w:szCs w:val="22"/>
          <w:lang w:val="fr-FR"/>
        </w:rPr>
      </w:pPr>
      <w:r w:rsidRPr="005E667D">
        <w:rPr>
          <w:rFonts w:ascii="Calibri" w:hAnsi="Calibri" w:cs="Times"/>
          <w:sz w:val="22"/>
          <w:szCs w:val="22"/>
          <w:lang w:val="fr-FR"/>
        </w:rPr>
        <w:t>1</w:t>
      </w:r>
      <w:r w:rsidR="00F53EF6" w:rsidRPr="005E667D">
        <w:rPr>
          <w:rFonts w:ascii="Calibri" w:hAnsi="Calibri" w:cs="Times"/>
          <w:sz w:val="22"/>
          <w:szCs w:val="22"/>
          <w:lang w:val="fr-FR"/>
        </w:rPr>
        <w:t>4</w:t>
      </w:r>
      <w:r w:rsidRPr="005E667D">
        <w:rPr>
          <w:rFonts w:ascii="Calibri" w:hAnsi="Calibri" w:cs="Times"/>
          <w:sz w:val="22"/>
          <w:szCs w:val="22"/>
          <w:lang w:val="fr-FR"/>
        </w:rPr>
        <w:t xml:space="preserve"> Laboratoire de Microbiologie, h</w:t>
      </w:r>
      <w:r w:rsidRPr="005E667D">
        <w:rPr>
          <w:rFonts w:ascii="Calibri" w:hAnsi="Calibri" w:cs="Lucida Grande"/>
          <w:color w:val="000000"/>
          <w:sz w:val="22"/>
          <w:szCs w:val="22"/>
          <w:lang w:val="fr-FR"/>
        </w:rPr>
        <w:t>ô</w:t>
      </w:r>
      <w:r w:rsidRPr="005E667D">
        <w:rPr>
          <w:rFonts w:ascii="Calibri" w:hAnsi="Calibri" w:cs="Times"/>
          <w:sz w:val="22"/>
          <w:szCs w:val="22"/>
          <w:lang w:val="fr-FR"/>
        </w:rPr>
        <w:t>pital Europ</w:t>
      </w:r>
      <w:r w:rsidRPr="005E667D">
        <w:rPr>
          <w:rFonts w:ascii="Calibri" w:hAnsi="Calibri" w:cs="Lucida Grande"/>
          <w:color w:val="000000"/>
          <w:sz w:val="22"/>
          <w:szCs w:val="22"/>
          <w:lang w:val="fr-FR"/>
        </w:rPr>
        <w:t>é</w:t>
      </w:r>
      <w:r w:rsidRPr="005E667D">
        <w:rPr>
          <w:rFonts w:ascii="Calibri" w:hAnsi="Calibri" w:cs="Times"/>
          <w:sz w:val="22"/>
          <w:szCs w:val="22"/>
          <w:lang w:val="fr-FR"/>
        </w:rPr>
        <w:t>en Georges Pompidou, Assistance Publique-H</w:t>
      </w:r>
      <w:r w:rsidR="00A61DFD" w:rsidRPr="005E667D">
        <w:rPr>
          <w:rFonts w:ascii="Calibri" w:hAnsi="Calibri" w:cs="Lucida Grande"/>
          <w:color w:val="000000"/>
          <w:sz w:val="22"/>
          <w:szCs w:val="22"/>
          <w:lang w:val="fr-FR"/>
        </w:rPr>
        <w:t>ô</w:t>
      </w:r>
      <w:r w:rsidRPr="005E667D">
        <w:rPr>
          <w:rFonts w:ascii="Calibri" w:hAnsi="Calibri" w:cs="Times"/>
          <w:sz w:val="22"/>
          <w:szCs w:val="22"/>
          <w:lang w:val="fr-FR"/>
        </w:rPr>
        <w:t>pitaux de Paris</w:t>
      </w:r>
      <w:r w:rsidR="00404739" w:rsidRPr="005E667D">
        <w:rPr>
          <w:rFonts w:ascii="Calibri" w:hAnsi="Calibri" w:cs="Times"/>
          <w:sz w:val="22"/>
          <w:szCs w:val="22"/>
          <w:lang w:val="fr-FR"/>
        </w:rPr>
        <w:t>, Paris, France</w:t>
      </w:r>
    </w:p>
    <w:p w14:paraId="0573B4FF" w14:textId="77777777" w:rsidR="00517F08" w:rsidRPr="005E667D" w:rsidRDefault="00517F08" w:rsidP="00FD2CAB">
      <w:pPr>
        <w:widowControl w:val="0"/>
        <w:autoSpaceDE w:val="0"/>
        <w:autoSpaceDN w:val="0"/>
        <w:adjustRightInd w:val="0"/>
        <w:spacing w:after="240"/>
        <w:rPr>
          <w:rFonts w:ascii="Calibri" w:hAnsi="Calibri" w:cs="Times"/>
          <w:sz w:val="22"/>
          <w:szCs w:val="22"/>
          <w:lang w:val="fr-FR"/>
        </w:rPr>
      </w:pPr>
      <w:r w:rsidRPr="005E667D">
        <w:rPr>
          <w:rFonts w:ascii="Calibri" w:hAnsi="Calibri" w:cs="Times"/>
          <w:sz w:val="22"/>
          <w:szCs w:val="22"/>
          <w:lang w:val="fr-FR"/>
        </w:rPr>
        <w:t>1</w:t>
      </w:r>
      <w:r w:rsidR="00F53EF6" w:rsidRPr="005E667D">
        <w:rPr>
          <w:rFonts w:ascii="Calibri" w:hAnsi="Calibri" w:cs="Times"/>
          <w:sz w:val="22"/>
          <w:szCs w:val="22"/>
          <w:lang w:val="fr-FR"/>
        </w:rPr>
        <w:t>5</w:t>
      </w:r>
      <w:r w:rsidRPr="005E667D">
        <w:rPr>
          <w:rFonts w:ascii="Calibri" w:hAnsi="Calibri" w:cs="Times"/>
          <w:sz w:val="22"/>
          <w:szCs w:val="22"/>
          <w:lang w:val="fr-FR"/>
        </w:rPr>
        <w:t xml:space="preserve"> Facult</w:t>
      </w:r>
      <w:r w:rsidR="00A61DFD" w:rsidRPr="005E667D">
        <w:rPr>
          <w:rFonts w:ascii="Calibri" w:hAnsi="Calibri" w:cs="Lucida Grande"/>
          <w:color w:val="000000"/>
          <w:sz w:val="22"/>
          <w:szCs w:val="22"/>
          <w:lang w:val="fr-FR"/>
        </w:rPr>
        <w:t>é</w:t>
      </w:r>
      <w:r w:rsidRPr="005E667D">
        <w:rPr>
          <w:rFonts w:ascii="Calibri" w:hAnsi="Calibri" w:cs="Times"/>
          <w:sz w:val="22"/>
          <w:szCs w:val="22"/>
          <w:lang w:val="fr-FR"/>
        </w:rPr>
        <w:t xml:space="preserve"> de M</w:t>
      </w:r>
      <w:r w:rsidR="00A61DFD" w:rsidRPr="005E667D">
        <w:rPr>
          <w:rFonts w:ascii="Calibri" w:hAnsi="Calibri" w:cs="Lucida Grande"/>
          <w:color w:val="000000"/>
          <w:sz w:val="22"/>
          <w:szCs w:val="22"/>
          <w:lang w:val="fr-FR"/>
        </w:rPr>
        <w:t>é</w:t>
      </w:r>
      <w:r w:rsidRPr="005E667D">
        <w:rPr>
          <w:rFonts w:ascii="Calibri" w:hAnsi="Calibri" w:cs="Times"/>
          <w:sz w:val="22"/>
          <w:szCs w:val="22"/>
          <w:lang w:val="fr-FR"/>
        </w:rPr>
        <w:t>decine Paris Descartes, Universit</w:t>
      </w:r>
      <w:r w:rsidR="00A61DFD" w:rsidRPr="005E667D">
        <w:rPr>
          <w:rFonts w:ascii="Calibri" w:hAnsi="Calibri" w:cs="Lucida Grande"/>
          <w:color w:val="000000"/>
          <w:sz w:val="22"/>
          <w:szCs w:val="22"/>
          <w:lang w:val="fr-FR"/>
        </w:rPr>
        <w:t>é</w:t>
      </w:r>
      <w:r w:rsidRPr="005E667D">
        <w:rPr>
          <w:rFonts w:ascii="Calibri" w:hAnsi="Calibri" w:cs="Times"/>
          <w:sz w:val="22"/>
          <w:szCs w:val="22"/>
          <w:lang w:val="fr-FR"/>
        </w:rPr>
        <w:t xml:space="preserve"> Paris Descartes (Paris V), So</w:t>
      </w:r>
      <w:r w:rsidR="00A61DFD" w:rsidRPr="005E667D">
        <w:rPr>
          <w:rFonts w:ascii="Calibri" w:hAnsi="Calibri" w:cs="Times"/>
          <w:sz w:val="22"/>
          <w:szCs w:val="22"/>
          <w:lang w:val="fr-FR"/>
        </w:rPr>
        <w:t>rbonne Paris Cit</w:t>
      </w:r>
      <w:r w:rsidR="00A61DFD" w:rsidRPr="005E667D">
        <w:rPr>
          <w:rFonts w:ascii="Calibri" w:hAnsi="Calibri" w:cs="Lucida Grande"/>
          <w:color w:val="000000"/>
          <w:sz w:val="22"/>
          <w:szCs w:val="22"/>
          <w:lang w:val="fr-FR"/>
        </w:rPr>
        <w:t>é</w:t>
      </w:r>
      <w:r w:rsidRPr="005E667D">
        <w:rPr>
          <w:rFonts w:ascii="Calibri" w:hAnsi="Calibri" w:cs="Times"/>
          <w:sz w:val="22"/>
          <w:szCs w:val="22"/>
          <w:lang w:val="fr-FR"/>
        </w:rPr>
        <w:t xml:space="preserve">, Paris, France </w:t>
      </w:r>
    </w:p>
    <w:p w14:paraId="42F35681" w14:textId="77777777" w:rsidR="00EE2215" w:rsidRPr="00F53EF6" w:rsidRDefault="00EE2215" w:rsidP="00FD2CAB">
      <w:pPr>
        <w:rPr>
          <w:rFonts w:ascii="Calibri" w:hAnsi="Calibri"/>
          <w:sz w:val="22"/>
          <w:szCs w:val="22"/>
        </w:rPr>
      </w:pPr>
      <w:r w:rsidRPr="00F53EF6">
        <w:rPr>
          <w:rFonts w:ascii="Calibri" w:hAnsi="Calibri"/>
          <w:sz w:val="22"/>
          <w:szCs w:val="22"/>
        </w:rPr>
        <w:t>1</w:t>
      </w:r>
      <w:r w:rsidR="00F53EF6" w:rsidRPr="00F53EF6">
        <w:rPr>
          <w:rFonts w:ascii="Calibri" w:hAnsi="Calibri"/>
          <w:sz w:val="22"/>
          <w:szCs w:val="22"/>
        </w:rPr>
        <w:t>6</w:t>
      </w:r>
      <w:r w:rsidRPr="00F53EF6">
        <w:rPr>
          <w:rFonts w:ascii="Calibri" w:hAnsi="Calibri"/>
          <w:sz w:val="22"/>
          <w:szCs w:val="22"/>
        </w:rPr>
        <w:t xml:space="preserve"> </w:t>
      </w:r>
      <w:proofErr w:type="spellStart"/>
      <w:proofErr w:type="gramStart"/>
      <w:r w:rsidRPr="00F53EF6">
        <w:rPr>
          <w:rFonts w:ascii="Calibri" w:hAnsi="Calibri"/>
          <w:sz w:val="22"/>
          <w:szCs w:val="22"/>
        </w:rPr>
        <w:t>Center</w:t>
      </w:r>
      <w:proofErr w:type="spellEnd"/>
      <w:proofErr w:type="gramEnd"/>
      <w:r w:rsidRPr="00F53EF6">
        <w:rPr>
          <w:rFonts w:ascii="Calibri" w:hAnsi="Calibri"/>
          <w:sz w:val="22"/>
          <w:szCs w:val="22"/>
        </w:rPr>
        <w:t xml:space="preserve"> for Global Health, </w:t>
      </w:r>
      <w:proofErr w:type="spellStart"/>
      <w:r w:rsidRPr="00F53EF6">
        <w:rPr>
          <w:rFonts w:ascii="Calibri" w:hAnsi="Calibri"/>
          <w:sz w:val="22"/>
          <w:szCs w:val="22"/>
        </w:rPr>
        <w:t>Centers</w:t>
      </w:r>
      <w:proofErr w:type="spellEnd"/>
      <w:r w:rsidRPr="00F53EF6">
        <w:rPr>
          <w:rFonts w:ascii="Calibri" w:hAnsi="Calibri"/>
          <w:sz w:val="22"/>
          <w:szCs w:val="22"/>
        </w:rPr>
        <w:t xml:space="preserve"> for Disease Control &amp; Prevention, Atlanta, USA</w:t>
      </w:r>
    </w:p>
    <w:p w14:paraId="0C4A71BA" w14:textId="77777777" w:rsidR="00B768C9" w:rsidRDefault="00517F08" w:rsidP="00FD2CAB">
      <w:pPr>
        <w:rPr>
          <w:rFonts w:ascii="Calibri" w:hAnsi="Calibri"/>
          <w:sz w:val="22"/>
          <w:szCs w:val="22"/>
        </w:rPr>
      </w:pPr>
      <w:r w:rsidRPr="00F53EF6">
        <w:rPr>
          <w:rFonts w:ascii="Calibri" w:hAnsi="Calibri"/>
          <w:sz w:val="22"/>
          <w:szCs w:val="22"/>
        </w:rPr>
        <w:t>1</w:t>
      </w:r>
      <w:r w:rsidR="00F53EF6" w:rsidRPr="00F53EF6">
        <w:rPr>
          <w:rFonts w:ascii="Calibri" w:hAnsi="Calibri"/>
          <w:sz w:val="22"/>
          <w:szCs w:val="22"/>
        </w:rPr>
        <w:t>7</w:t>
      </w:r>
      <w:r w:rsidRPr="00F53EF6">
        <w:rPr>
          <w:rFonts w:ascii="Calibri" w:hAnsi="Calibri"/>
          <w:sz w:val="22"/>
          <w:szCs w:val="22"/>
        </w:rPr>
        <w:t xml:space="preserve"> </w:t>
      </w:r>
      <w:r w:rsidR="00B768C9" w:rsidRPr="00F53EF6">
        <w:rPr>
          <w:rFonts w:ascii="Calibri" w:hAnsi="Calibri"/>
          <w:sz w:val="22"/>
          <w:szCs w:val="22"/>
        </w:rPr>
        <w:t>Department of Infectious Diseases Epidemiology, London School of Hygiene &amp; Tropical Medicine, Keppel Street, London, WC1E 7HT</w:t>
      </w:r>
    </w:p>
    <w:p w14:paraId="18A36BE9" w14:textId="77777777" w:rsidR="00D9705D" w:rsidRDefault="00D9705D" w:rsidP="00FD2CAB">
      <w:pPr>
        <w:rPr>
          <w:rFonts w:ascii="Calibri" w:hAnsi="Calibri"/>
          <w:sz w:val="22"/>
          <w:szCs w:val="22"/>
        </w:rPr>
      </w:pPr>
    </w:p>
    <w:p w14:paraId="1EF99E66" w14:textId="6B9C99E7" w:rsidR="00F53EF6" w:rsidRDefault="00D9705D" w:rsidP="00FD2CAB">
      <w:pPr>
        <w:rPr>
          <w:rFonts w:ascii="Calibri" w:hAnsi="Calibri"/>
          <w:sz w:val="22"/>
          <w:szCs w:val="22"/>
        </w:rPr>
      </w:pPr>
      <w:r>
        <w:rPr>
          <w:rFonts w:ascii="Calibri" w:hAnsi="Calibri"/>
          <w:sz w:val="22"/>
          <w:szCs w:val="22"/>
        </w:rPr>
        <w:t>*Deceased</w:t>
      </w:r>
    </w:p>
    <w:p w14:paraId="332BE921" w14:textId="77777777" w:rsidR="00420ADE" w:rsidRDefault="00420ADE" w:rsidP="00FD2CAB">
      <w:pPr>
        <w:rPr>
          <w:rFonts w:ascii="Calibri" w:hAnsi="Calibri"/>
          <w:sz w:val="22"/>
          <w:szCs w:val="22"/>
        </w:rPr>
      </w:pPr>
    </w:p>
    <w:p w14:paraId="39A78B6D" w14:textId="77777777" w:rsidR="00D9705D" w:rsidRDefault="00D9705D">
      <w:pPr>
        <w:rPr>
          <w:rFonts w:ascii="Calibri" w:hAnsi="Calibri"/>
          <w:sz w:val="22"/>
          <w:szCs w:val="22"/>
        </w:rPr>
      </w:pPr>
      <w:r>
        <w:rPr>
          <w:rFonts w:ascii="Calibri" w:hAnsi="Calibri"/>
          <w:sz w:val="22"/>
          <w:szCs w:val="22"/>
        </w:rPr>
        <w:br w:type="page"/>
      </w:r>
    </w:p>
    <w:p w14:paraId="369B624B" w14:textId="62282886" w:rsidR="00420ADE" w:rsidRDefault="00420ADE" w:rsidP="00FD2CAB">
      <w:pPr>
        <w:rPr>
          <w:rFonts w:ascii="Calibri" w:hAnsi="Calibri"/>
          <w:sz w:val="22"/>
          <w:szCs w:val="22"/>
        </w:rPr>
      </w:pPr>
      <w:r>
        <w:rPr>
          <w:rFonts w:ascii="Calibri" w:hAnsi="Calibri"/>
          <w:sz w:val="22"/>
          <w:szCs w:val="22"/>
        </w:rPr>
        <w:lastRenderedPageBreak/>
        <w:t>Author for Correspondence:</w:t>
      </w:r>
    </w:p>
    <w:p w14:paraId="1E3D9932" w14:textId="73E15F13" w:rsidR="00420ADE" w:rsidRDefault="00420ADE" w:rsidP="00FD2CAB">
      <w:pPr>
        <w:rPr>
          <w:rFonts w:ascii="Calibri" w:hAnsi="Calibri"/>
          <w:sz w:val="22"/>
          <w:szCs w:val="22"/>
        </w:rPr>
      </w:pPr>
      <w:r>
        <w:rPr>
          <w:rFonts w:ascii="Calibri" w:hAnsi="Calibri"/>
          <w:sz w:val="22"/>
          <w:szCs w:val="22"/>
        </w:rPr>
        <w:t>Michael Marks</w:t>
      </w:r>
    </w:p>
    <w:p w14:paraId="61A0E0EA" w14:textId="092534BC" w:rsidR="00420ADE" w:rsidRDefault="00420ADE" w:rsidP="00FD2CAB">
      <w:pPr>
        <w:rPr>
          <w:rFonts w:ascii="Calibri" w:hAnsi="Calibri"/>
          <w:sz w:val="22"/>
          <w:szCs w:val="22"/>
        </w:rPr>
      </w:pPr>
      <w:r>
        <w:rPr>
          <w:rFonts w:ascii="Calibri" w:hAnsi="Calibri"/>
          <w:sz w:val="22"/>
          <w:szCs w:val="22"/>
        </w:rPr>
        <w:t>Clinical Research Department</w:t>
      </w:r>
    </w:p>
    <w:p w14:paraId="28095596" w14:textId="7DA2DE7C" w:rsidR="00420ADE" w:rsidRDefault="00420ADE" w:rsidP="00FD2CAB">
      <w:pPr>
        <w:rPr>
          <w:rFonts w:ascii="Calibri" w:hAnsi="Calibri"/>
          <w:sz w:val="22"/>
          <w:szCs w:val="22"/>
        </w:rPr>
      </w:pPr>
      <w:r>
        <w:rPr>
          <w:rFonts w:ascii="Calibri" w:hAnsi="Calibri"/>
          <w:sz w:val="22"/>
          <w:szCs w:val="22"/>
        </w:rPr>
        <w:t>London School of Hygiene &amp; Tropical Medicine</w:t>
      </w:r>
    </w:p>
    <w:p w14:paraId="7364D095" w14:textId="28463116" w:rsidR="00420ADE" w:rsidRDefault="00420ADE" w:rsidP="00FD2CAB">
      <w:pPr>
        <w:rPr>
          <w:rFonts w:ascii="Calibri" w:hAnsi="Calibri"/>
          <w:sz w:val="22"/>
          <w:szCs w:val="22"/>
        </w:rPr>
      </w:pPr>
      <w:r>
        <w:rPr>
          <w:rFonts w:ascii="Calibri" w:hAnsi="Calibri"/>
          <w:sz w:val="22"/>
          <w:szCs w:val="22"/>
        </w:rPr>
        <w:t>Keppel Street,</w:t>
      </w:r>
    </w:p>
    <w:p w14:paraId="6C3E2CB6" w14:textId="55E2E646" w:rsidR="00420ADE" w:rsidRDefault="00420ADE" w:rsidP="00FD2CAB">
      <w:pPr>
        <w:rPr>
          <w:rFonts w:ascii="Calibri" w:hAnsi="Calibri"/>
          <w:sz w:val="22"/>
          <w:szCs w:val="22"/>
        </w:rPr>
      </w:pPr>
      <w:r>
        <w:rPr>
          <w:rFonts w:ascii="Calibri" w:hAnsi="Calibri"/>
          <w:sz w:val="22"/>
          <w:szCs w:val="22"/>
        </w:rPr>
        <w:t>WC1E 7HT</w:t>
      </w:r>
    </w:p>
    <w:p w14:paraId="7CA8F274" w14:textId="5D4E9490" w:rsidR="00420ADE" w:rsidRDefault="00C6406A" w:rsidP="00FD2CAB">
      <w:pPr>
        <w:rPr>
          <w:rFonts w:ascii="Calibri" w:hAnsi="Calibri"/>
          <w:sz w:val="22"/>
          <w:szCs w:val="22"/>
        </w:rPr>
      </w:pPr>
      <w:hyperlink r:id="rId9" w:history="1">
        <w:r w:rsidR="00420ADE" w:rsidRPr="00D344DD">
          <w:rPr>
            <w:rStyle w:val="Hyperlink"/>
            <w:rFonts w:ascii="Calibri" w:hAnsi="Calibri"/>
            <w:sz w:val="22"/>
            <w:szCs w:val="22"/>
          </w:rPr>
          <w:t>Michael.marks@lshtm.ac.uk</w:t>
        </w:r>
      </w:hyperlink>
    </w:p>
    <w:p w14:paraId="08BA03A1" w14:textId="77777777" w:rsidR="00420ADE" w:rsidRDefault="00420ADE" w:rsidP="00FD2CAB">
      <w:pPr>
        <w:rPr>
          <w:rFonts w:ascii="Calibri" w:hAnsi="Calibri"/>
          <w:sz w:val="22"/>
          <w:szCs w:val="22"/>
        </w:rPr>
      </w:pPr>
    </w:p>
    <w:p w14:paraId="2AA652AC" w14:textId="26D13D0B" w:rsidR="00420ADE" w:rsidRDefault="00420ADE" w:rsidP="00FD2CAB">
      <w:pPr>
        <w:rPr>
          <w:rFonts w:ascii="Calibri" w:hAnsi="Calibri"/>
          <w:sz w:val="22"/>
          <w:szCs w:val="22"/>
        </w:rPr>
      </w:pPr>
      <w:r>
        <w:rPr>
          <w:rFonts w:ascii="Calibri" w:hAnsi="Calibri"/>
          <w:sz w:val="22"/>
          <w:szCs w:val="22"/>
        </w:rPr>
        <w:t>Alternative Author:</w:t>
      </w:r>
    </w:p>
    <w:p w14:paraId="6D99A00B" w14:textId="19AD22F5" w:rsidR="00420ADE" w:rsidRDefault="00420ADE" w:rsidP="00420ADE">
      <w:pPr>
        <w:rPr>
          <w:rFonts w:ascii="Calibri" w:hAnsi="Calibri"/>
          <w:sz w:val="22"/>
          <w:szCs w:val="22"/>
        </w:rPr>
      </w:pPr>
      <w:r>
        <w:rPr>
          <w:rFonts w:ascii="Calibri" w:hAnsi="Calibri"/>
          <w:sz w:val="22"/>
          <w:szCs w:val="22"/>
        </w:rPr>
        <w:t xml:space="preserve">David </w:t>
      </w:r>
      <w:proofErr w:type="spellStart"/>
      <w:r>
        <w:rPr>
          <w:rFonts w:ascii="Calibri" w:hAnsi="Calibri"/>
          <w:sz w:val="22"/>
          <w:szCs w:val="22"/>
        </w:rPr>
        <w:t>Mabey</w:t>
      </w:r>
      <w:proofErr w:type="spellEnd"/>
    </w:p>
    <w:p w14:paraId="399DC680" w14:textId="77777777" w:rsidR="00420ADE" w:rsidRDefault="00420ADE" w:rsidP="00420ADE">
      <w:pPr>
        <w:rPr>
          <w:rFonts w:ascii="Calibri" w:hAnsi="Calibri"/>
          <w:sz w:val="22"/>
          <w:szCs w:val="22"/>
        </w:rPr>
      </w:pPr>
      <w:r>
        <w:rPr>
          <w:rFonts w:ascii="Calibri" w:hAnsi="Calibri"/>
          <w:sz w:val="22"/>
          <w:szCs w:val="22"/>
        </w:rPr>
        <w:t>Clinical Research Department</w:t>
      </w:r>
    </w:p>
    <w:p w14:paraId="74D4E3C1" w14:textId="77777777" w:rsidR="00420ADE" w:rsidRDefault="00420ADE" w:rsidP="00420ADE">
      <w:pPr>
        <w:rPr>
          <w:rFonts w:ascii="Calibri" w:hAnsi="Calibri"/>
          <w:sz w:val="22"/>
          <w:szCs w:val="22"/>
        </w:rPr>
      </w:pPr>
      <w:r>
        <w:rPr>
          <w:rFonts w:ascii="Calibri" w:hAnsi="Calibri"/>
          <w:sz w:val="22"/>
          <w:szCs w:val="22"/>
        </w:rPr>
        <w:t>London School of Hygiene &amp; Tropical Medicine</w:t>
      </w:r>
    </w:p>
    <w:p w14:paraId="2632595A" w14:textId="77777777" w:rsidR="00420ADE" w:rsidRDefault="00420ADE" w:rsidP="00420ADE">
      <w:pPr>
        <w:rPr>
          <w:rFonts w:ascii="Calibri" w:hAnsi="Calibri"/>
          <w:sz w:val="22"/>
          <w:szCs w:val="22"/>
        </w:rPr>
      </w:pPr>
      <w:r>
        <w:rPr>
          <w:rFonts w:ascii="Calibri" w:hAnsi="Calibri"/>
          <w:sz w:val="22"/>
          <w:szCs w:val="22"/>
        </w:rPr>
        <w:t>Keppel Street,</w:t>
      </w:r>
    </w:p>
    <w:p w14:paraId="749A9D72" w14:textId="77777777" w:rsidR="00420ADE" w:rsidRDefault="00420ADE" w:rsidP="00420ADE">
      <w:pPr>
        <w:rPr>
          <w:rFonts w:ascii="Calibri" w:hAnsi="Calibri"/>
          <w:sz w:val="22"/>
          <w:szCs w:val="22"/>
        </w:rPr>
      </w:pPr>
      <w:r>
        <w:rPr>
          <w:rFonts w:ascii="Calibri" w:hAnsi="Calibri"/>
          <w:sz w:val="22"/>
          <w:szCs w:val="22"/>
        </w:rPr>
        <w:t>WC1E 7HT</w:t>
      </w:r>
    </w:p>
    <w:p w14:paraId="6A9710C1" w14:textId="369D02B1" w:rsidR="00420ADE" w:rsidRDefault="00C6406A" w:rsidP="00420ADE">
      <w:pPr>
        <w:rPr>
          <w:rFonts w:ascii="Calibri" w:hAnsi="Calibri"/>
          <w:sz w:val="22"/>
          <w:szCs w:val="22"/>
        </w:rPr>
      </w:pPr>
      <w:hyperlink r:id="rId10" w:history="1">
        <w:r w:rsidR="00423D89" w:rsidRPr="00423D89">
          <w:rPr>
            <w:rStyle w:val="Hyperlink"/>
            <w:rFonts w:ascii="Calibri" w:hAnsi="Calibri"/>
            <w:sz w:val="22"/>
            <w:szCs w:val="22"/>
          </w:rPr>
          <w:t>david.mabey@lshtm.ac.uk</w:t>
        </w:r>
      </w:hyperlink>
    </w:p>
    <w:p w14:paraId="49BE5BB6" w14:textId="77777777" w:rsidR="00420ADE" w:rsidRDefault="00420ADE" w:rsidP="00FD2CAB">
      <w:pPr>
        <w:rPr>
          <w:rFonts w:ascii="Calibri" w:hAnsi="Calibri"/>
          <w:sz w:val="22"/>
          <w:szCs w:val="22"/>
        </w:rPr>
      </w:pPr>
    </w:p>
    <w:p w14:paraId="46434868" w14:textId="1E4052C5" w:rsidR="00420ADE" w:rsidRDefault="000203BF" w:rsidP="00FD2CAB">
      <w:pPr>
        <w:rPr>
          <w:rFonts w:ascii="Calibri" w:hAnsi="Calibri"/>
          <w:b/>
          <w:sz w:val="22"/>
          <w:szCs w:val="22"/>
        </w:rPr>
      </w:pPr>
      <w:r w:rsidRPr="000203BF">
        <w:rPr>
          <w:rFonts w:ascii="Calibri" w:hAnsi="Calibri"/>
          <w:b/>
          <w:sz w:val="22"/>
          <w:szCs w:val="22"/>
        </w:rPr>
        <w:t>BRIEF SUMMARY</w:t>
      </w:r>
      <w:r>
        <w:rPr>
          <w:rFonts w:ascii="Calibri" w:hAnsi="Calibri"/>
          <w:b/>
          <w:sz w:val="22"/>
          <w:szCs w:val="22"/>
        </w:rPr>
        <w:t>:</w:t>
      </w:r>
    </w:p>
    <w:p w14:paraId="7CB09B3C" w14:textId="0FF0EE53" w:rsidR="000203BF" w:rsidRPr="000203BF" w:rsidRDefault="000203BF" w:rsidP="00FD2CAB">
      <w:pPr>
        <w:rPr>
          <w:rFonts w:ascii="Calibri" w:hAnsi="Calibri"/>
          <w:sz w:val="22"/>
          <w:szCs w:val="22"/>
        </w:rPr>
      </w:pPr>
      <w:r w:rsidRPr="000203BF">
        <w:rPr>
          <w:rFonts w:ascii="Calibri" w:hAnsi="Calibri"/>
          <w:sz w:val="22"/>
          <w:szCs w:val="22"/>
        </w:rPr>
        <w:t>A</w:t>
      </w:r>
      <w:r>
        <w:rPr>
          <w:rFonts w:ascii="Calibri" w:hAnsi="Calibri"/>
          <w:sz w:val="22"/>
          <w:szCs w:val="22"/>
        </w:rPr>
        <w:t xml:space="preserve"> combined </w:t>
      </w:r>
      <w:proofErr w:type="spellStart"/>
      <w:r>
        <w:rPr>
          <w:rFonts w:ascii="Calibri" w:hAnsi="Calibri"/>
          <w:sz w:val="22"/>
          <w:szCs w:val="22"/>
        </w:rPr>
        <w:t>treponemal</w:t>
      </w:r>
      <w:proofErr w:type="spellEnd"/>
      <w:r>
        <w:rPr>
          <w:rFonts w:ascii="Calibri" w:hAnsi="Calibri"/>
          <w:sz w:val="22"/>
          <w:szCs w:val="22"/>
        </w:rPr>
        <w:t xml:space="preserve"> and non-</w:t>
      </w:r>
      <w:proofErr w:type="spellStart"/>
      <w:proofErr w:type="gramStart"/>
      <w:r>
        <w:rPr>
          <w:rFonts w:ascii="Calibri" w:hAnsi="Calibri"/>
          <w:sz w:val="22"/>
          <w:szCs w:val="22"/>
        </w:rPr>
        <w:t>treponemal</w:t>
      </w:r>
      <w:proofErr w:type="spellEnd"/>
      <w:r>
        <w:rPr>
          <w:rFonts w:ascii="Calibri" w:hAnsi="Calibri"/>
          <w:sz w:val="22"/>
          <w:szCs w:val="22"/>
        </w:rPr>
        <w:t xml:space="preserve"> </w:t>
      </w:r>
      <w:r w:rsidRPr="000203BF">
        <w:rPr>
          <w:rFonts w:ascii="Calibri" w:hAnsi="Calibri"/>
          <w:sz w:val="22"/>
          <w:szCs w:val="22"/>
        </w:rPr>
        <w:t xml:space="preserve"> </w:t>
      </w:r>
      <w:r>
        <w:rPr>
          <w:rFonts w:ascii="Calibri" w:hAnsi="Calibri"/>
          <w:sz w:val="22"/>
          <w:szCs w:val="22"/>
        </w:rPr>
        <w:t>rapid</w:t>
      </w:r>
      <w:proofErr w:type="gramEnd"/>
      <w:r>
        <w:rPr>
          <w:rFonts w:ascii="Calibri" w:hAnsi="Calibri"/>
          <w:sz w:val="22"/>
          <w:szCs w:val="22"/>
        </w:rPr>
        <w:t xml:space="preserve"> diagnostic test was found to have good sensitivity and specificity for both test syphilis and yaws. The performance of both the </w:t>
      </w:r>
      <w:proofErr w:type="spellStart"/>
      <w:r>
        <w:rPr>
          <w:rFonts w:ascii="Calibri" w:hAnsi="Calibri"/>
          <w:sz w:val="22"/>
          <w:szCs w:val="22"/>
        </w:rPr>
        <w:t>treponemal</w:t>
      </w:r>
      <w:proofErr w:type="spellEnd"/>
      <w:r>
        <w:rPr>
          <w:rFonts w:ascii="Calibri" w:hAnsi="Calibri"/>
          <w:sz w:val="22"/>
          <w:szCs w:val="22"/>
        </w:rPr>
        <w:t xml:space="preserve"> and non-</w:t>
      </w:r>
      <w:proofErr w:type="spellStart"/>
      <w:r>
        <w:rPr>
          <w:rFonts w:ascii="Calibri" w:hAnsi="Calibri"/>
          <w:sz w:val="22"/>
          <w:szCs w:val="22"/>
        </w:rPr>
        <w:t>treponemal</w:t>
      </w:r>
      <w:proofErr w:type="spellEnd"/>
      <w:r>
        <w:rPr>
          <w:rFonts w:ascii="Calibri" w:hAnsi="Calibri"/>
          <w:sz w:val="22"/>
          <w:szCs w:val="22"/>
        </w:rPr>
        <w:t xml:space="preserve"> test components was strongly associated with the RPR titre.</w:t>
      </w:r>
    </w:p>
    <w:p w14:paraId="24B420B7" w14:textId="77777777" w:rsidR="000203BF" w:rsidRPr="000203BF" w:rsidRDefault="000203BF" w:rsidP="00FD2CAB">
      <w:pPr>
        <w:rPr>
          <w:rFonts w:ascii="Calibri" w:hAnsi="Calibri"/>
          <w:b/>
          <w:sz w:val="22"/>
          <w:szCs w:val="22"/>
        </w:rPr>
      </w:pPr>
    </w:p>
    <w:p w14:paraId="241A4A02" w14:textId="77777777" w:rsidR="000203BF" w:rsidRDefault="000203BF">
      <w:pPr>
        <w:rPr>
          <w:rFonts w:ascii="Calibri" w:hAnsi="Calibri"/>
          <w:b/>
        </w:rPr>
      </w:pPr>
      <w:r>
        <w:rPr>
          <w:rFonts w:ascii="Calibri" w:hAnsi="Calibri"/>
          <w:b/>
        </w:rPr>
        <w:br w:type="page"/>
      </w:r>
    </w:p>
    <w:p w14:paraId="693E80E0" w14:textId="28F397FB" w:rsidR="00190D6C" w:rsidRPr="00396F32" w:rsidRDefault="00190D6C" w:rsidP="00FD2CAB">
      <w:pPr>
        <w:rPr>
          <w:rFonts w:ascii="Calibri" w:hAnsi="Calibri"/>
          <w:b/>
        </w:rPr>
      </w:pPr>
      <w:r w:rsidRPr="00396F32">
        <w:rPr>
          <w:rFonts w:ascii="Calibri" w:hAnsi="Calibri"/>
          <w:b/>
        </w:rPr>
        <w:lastRenderedPageBreak/>
        <w:t>ABSTRACT</w:t>
      </w:r>
      <w:r w:rsidR="00995A88">
        <w:rPr>
          <w:rFonts w:ascii="Calibri" w:hAnsi="Calibri"/>
          <w:b/>
        </w:rPr>
        <w:t>:</w:t>
      </w:r>
    </w:p>
    <w:p w14:paraId="1DE2F8B4" w14:textId="77777777" w:rsidR="00190D6C" w:rsidRDefault="00190D6C" w:rsidP="00FD2CAB">
      <w:pPr>
        <w:rPr>
          <w:rFonts w:ascii="Calibri" w:hAnsi="Calibri"/>
          <w:b/>
        </w:rPr>
      </w:pPr>
    </w:p>
    <w:p w14:paraId="276BD760" w14:textId="77777777" w:rsidR="00D83545" w:rsidRDefault="00D83545" w:rsidP="00FD2CAB">
      <w:pPr>
        <w:rPr>
          <w:rFonts w:ascii="Calibri" w:hAnsi="Calibri"/>
        </w:rPr>
      </w:pPr>
      <w:r>
        <w:rPr>
          <w:rFonts w:ascii="Calibri" w:hAnsi="Calibri"/>
        </w:rPr>
        <w:t>Background:</w:t>
      </w:r>
    </w:p>
    <w:p w14:paraId="6F324A60" w14:textId="466A0C79" w:rsidR="00D83545" w:rsidRPr="00D83545" w:rsidRDefault="003A1428" w:rsidP="00FD2CAB">
      <w:pPr>
        <w:rPr>
          <w:rFonts w:ascii="Calibri" w:hAnsi="Calibri"/>
          <w:b/>
        </w:rPr>
      </w:pPr>
      <w:r>
        <w:rPr>
          <w:rFonts w:ascii="Calibri" w:hAnsi="Calibri"/>
        </w:rPr>
        <w:t xml:space="preserve">The human </w:t>
      </w:r>
      <w:proofErr w:type="spellStart"/>
      <w:r>
        <w:rPr>
          <w:rFonts w:ascii="Calibri" w:hAnsi="Calibri"/>
        </w:rPr>
        <w:t>trepo</w:t>
      </w:r>
      <w:r w:rsidR="00D83545" w:rsidRPr="003A33C6">
        <w:rPr>
          <w:rFonts w:ascii="Calibri" w:hAnsi="Calibri"/>
        </w:rPr>
        <w:t>n</w:t>
      </w:r>
      <w:r>
        <w:rPr>
          <w:rFonts w:ascii="Calibri" w:hAnsi="Calibri"/>
        </w:rPr>
        <w:t>e</w:t>
      </w:r>
      <w:r w:rsidR="00D83545" w:rsidRPr="003A33C6">
        <w:rPr>
          <w:rFonts w:ascii="Calibri" w:hAnsi="Calibri"/>
        </w:rPr>
        <w:t>matoses</w:t>
      </w:r>
      <w:proofErr w:type="spellEnd"/>
      <w:r w:rsidR="00D83545" w:rsidRPr="003A33C6">
        <w:rPr>
          <w:rFonts w:ascii="Calibri" w:hAnsi="Calibri"/>
        </w:rPr>
        <w:t xml:space="preserve"> </w:t>
      </w:r>
      <w:r>
        <w:rPr>
          <w:rFonts w:ascii="Calibri" w:hAnsi="Calibri"/>
        </w:rPr>
        <w:t>are</w:t>
      </w:r>
      <w:r w:rsidR="00D83545" w:rsidRPr="003A33C6">
        <w:rPr>
          <w:rFonts w:ascii="Calibri" w:hAnsi="Calibri"/>
        </w:rPr>
        <w:t xml:space="preserve"> important causes of disease. Mother</w:t>
      </w:r>
      <w:r w:rsidR="00D83545">
        <w:rPr>
          <w:rFonts w:ascii="Calibri" w:hAnsi="Calibri"/>
        </w:rPr>
        <w:t>-</w:t>
      </w:r>
      <w:r w:rsidR="00D83545" w:rsidRPr="003A33C6">
        <w:rPr>
          <w:rFonts w:ascii="Calibri" w:hAnsi="Calibri"/>
        </w:rPr>
        <w:t>to</w:t>
      </w:r>
      <w:r w:rsidR="00D83545">
        <w:rPr>
          <w:rFonts w:ascii="Calibri" w:hAnsi="Calibri"/>
        </w:rPr>
        <w:t>-</w:t>
      </w:r>
      <w:r w:rsidR="00D83545" w:rsidRPr="003A33C6">
        <w:rPr>
          <w:rFonts w:ascii="Calibri" w:hAnsi="Calibri"/>
        </w:rPr>
        <w:t xml:space="preserve">child transmission of syphilis </w:t>
      </w:r>
      <w:r w:rsidR="0077212C">
        <w:rPr>
          <w:rFonts w:ascii="Cambria" w:hAnsi="Cambria"/>
        </w:rPr>
        <w:t>remains a major cause of stillbirth and neonatal death.</w:t>
      </w:r>
      <w:r w:rsidR="00D83545">
        <w:rPr>
          <w:rFonts w:ascii="Cambria" w:hAnsi="Cambria"/>
        </w:rPr>
        <w:t xml:space="preserve"> There are </w:t>
      </w:r>
      <w:r>
        <w:rPr>
          <w:rFonts w:ascii="Cambria" w:hAnsi="Cambria"/>
        </w:rPr>
        <w:t xml:space="preserve">also </w:t>
      </w:r>
      <w:r w:rsidR="00D83545">
        <w:rPr>
          <w:rFonts w:ascii="Cambria" w:hAnsi="Cambria"/>
        </w:rPr>
        <w:t xml:space="preserve">almost 100,000 cases </w:t>
      </w:r>
      <w:r w:rsidR="00420ADE">
        <w:rPr>
          <w:rFonts w:ascii="Cambria" w:hAnsi="Cambria"/>
        </w:rPr>
        <w:t xml:space="preserve">of </w:t>
      </w:r>
      <w:r w:rsidR="00D83545">
        <w:rPr>
          <w:rFonts w:ascii="Cambria" w:hAnsi="Cambria"/>
        </w:rPr>
        <w:t xml:space="preserve">endemic </w:t>
      </w:r>
      <w:proofErr w:type="spellStart"/>
      <w:r w:rsidR="00D83545">
        <w:rPr>
          <w:rFonts w:ascii="Cambria" w:hAnsi="Cambria"/>
        </w:rPr>
        <w:t>treponemal</w:t>
      </w:r>
      <w:proofErr w:type="spellEnd"/>
      <w:r w:rsidR="00D83545">
        <w:rPr>
          <w:rFonts w:ascii="Cambria" w:hAnsi="Cambria"/>
        </w:rPr>
        <w:t xml:space="preserve"> disease </w:t>
      </w:r>
      <w:r w:rsidR="00420ADE">
        <w:rPr>
          <w:rFonts w:ascii="Cambria" w:hAnsi="Cambria"/>
        </w:rPr>
        <w:t xml:space="preserve">reported </w:t>
      </w:r>
      <w:r w:rsidR="00D83545">
        <w:rPr>
          <w:rFonts w:ascii="Cambria" w:hAnsi="Cambria"/>
        </w:rPr>
        <w:t>annually, predominantly yaws.</w:t>
      </w:r>
      <w:r w:rsidR="00D83545" w:rsidRPr="003A33C6">
        <w:rPr>
          <w:rFonts w:ascii="Cambria" w:hAnsi="Cambria"/>
        </w:rPr>
        <w:t xml:space="preserve"> </w:t>
      </w:r>
      <w:r w:rsidR="00D83545">
        <w:rPr>
          <w:rFonts w:ascii="Cambria" w:hAnsi="Cambria"/>
        </w:rPr>
        <w:t>R</w:t>
      </w:r>
      <w:r w:rsidR="00D83545" w:rsidRPr="00DC027F">
        <w:rPr>
          <w:rFonts w:ascii="Cambria" w:hAnsi="Cambria"/>
        </w:rPr>
        <w:t xml:space="preserve">apid diagnostic </w:t>
      </w:r>
      <w:r w:rsidR="00D83545">
        <w:rPr>
          <w:rFonts w:ascii="Cambria" w:hAnsi="Cambria"/>
        </w:rPr>
        <w:t xml:space="preserve">tests </w:t>
      </w:r>
      <w:r w:rsidR="0077212C">
        <w:rPr>
          <w:rFonts w:ascii="Cambria" w:hAnsi="Cambria"/>
        </w:rPr>
        <w:t>would improve access to screening for these diseases</w:t>
      </w:r>
      <w:r w:rsidR="00D83545">
        <w:rPr>
          <w:rFonts w:ascii="Cambria" w:hAnsi="Cambria"/>
        </w:rPr>
        <w:t xml:space="preserve">. Most </w:t>
      </w:r>
      <w:r w:rsidR="0077212C">
        <w:rPr>
          <w:rFonts w:ascii="Cambria" w:hAnsi="Cambria"/>
        </w:rPr>
        <w:t>RDTs</w:t>
      </w:r>
      <w:r w:rsidR="00D83545">
        <w:rPr>
          <w:rFonts w:ascii="Cambria" w:hAnsi="Cambria"/>
        </w:rPr>
        <w:t xml:space="preserve"> cannot distinguish current and </w:t>
      </w:r>
      <w:r w:rsidR="0077212C">
        <w:rPr>
          <w:rFonts w:ascii="Cambria" w:hAnsi="Cambria"/>
        </w:rPr>
        <w:t xml:space="preserve">previous </w:t>
      </w:r>
      <w:r w:rsidR="00D83545">
        <w:rPr>
          <w:rFonts w:ascii="Cambria" w:hAnsi="Cambria"/>
        </w:rPr>
        <w:t>infection.</w:t>
      </w:r>
      <w:r w:rsidR="00D83545" w:rsidRPr="00DC027F">
        <w:rPr>
          <w:rFonts w:ascii="Cambria" w:hAnsi="Cambria"/>
        </w:rPr>
        <w:t xml:space="preserve"> The Dual Path Platform Syphilis Screen and Confirm</w:t>
      </w:r>
      <w:r w:rsidR="00D83545">
        <w:rPr>
          <w:rFonts w:ascii="Cambria" w:hAnsi="Cambria"/>
        </w:rPr>
        <w:t xml:space="preserve"> test includes bot</w:t>
      </w:r>
      <w:r>
        <w:rPr>
          <w:rFonts w:ascii="Cambria" w:hAnsi="Cambria"/>
        </w:rPr>
        <w:t xml:space="preserve">h </w:t>
      </w:r>
      <w:r w:rsidR="00D83545">
        <w:rPr>
          <w:rFonts w:ascii="Cambria" w:hAnsi="Cambria"/>
        </w:rPr>
        <w:t xml:space="preserve">a </w:t>
      </w:r>
      <w:proofErr w:type="spellStart"/>
      <w:r w:rsidR="00D83545">
        <w:rPr>
          <w:rFonts w:ascii="Cambria" w:hAnsi="Cambria"/>
        </w:rPr>
        <w:t>treponemal</w:t>
      </w:r>
      <w:proofErr w:type="spellEnd"/>
      <w:r w:rsidR="00D83545">
        <w:rPr>
          <w:rFonts w:ascii="Cambria" w:hAnsi="Cambria"/>
        </w:rPr>
        <w:t xml:space="preserve"> (T1) and non-</w:t>
      </w:r>
      <w:proofErr w:type="spellStart"/>
      <w:r w:rsidR="00D83545">
        <w:rPr>
          <w:rFonts w:ascii="Cambria" w:hAnsi="Cambria"/>
        </w:rPr>
        <w:t>treponemal</w:t>
      </w:r>
      <w:proofErr w:type="spellEnd"/>
      <w:r w:rsidR="00D83545">
        <w:rPr>
          <w:rFonts w:ascii="Cambria" w:hAnsi="Cambria"/>
        </w:rPr>
        <w:t xml:space="preserve"> (T2) component and may </w:t>
      </w:r>
      <w:r w:rsidR="0077212C">
        <w:rPr>
          <w:rFonts w:ascii="Cambria" w:hAnsi="Cambria"/>
        </w:rPr>
        <w:t>improve</w:t>
      </w:r>
      <w:r w:rsidR="00D83545">
        <w:rPr>
          <w:rFonts w:ascii="Cambria" w:hAnsi="Cambria"/>
        </w:rPr>
        <w:t xml:space="preserve"> the accur</w:t>
      </w:r>
      <w:r>
        <w:rPr>
          <w:rFonts w:ascii="Cambria" w:hAnsi="Cambria"/>
        </w:rPr>
        <w:t>acy of diagnosis</w:t>
      </w:r>
      <w:r w:rsidR="0077212C">
        <w:rPr>
          <w:rFonts w:ascii="Cambria" w:hAnsi="Cambria"/>
        </w:rPr>
        <w:t>.</w:t>
      </w:r>
    </w:p>
    <w:p w14:paraId="775C302B" w14:textId="77777777" w:rsidR="00D83545" w:rsidRDefault="00D83545" w:rsidP="00FD2CAB">
      <w:pPr>
        <w:rPr>
          <w:rFonts w:ascii="Calibri" w:hAnsi="Calibri"/>
        </w:rPr>
      </w:pPr>
      <w:r>
        <w:rPr>
          <w:rFonts w:ascii="Calibri" w:hAnsi="Calibri"/>
        </w:rPr>
        <w:t>Methods:</w:t>
      </w:r>
    </w:p>
    <w:p w14:paraId="26B0E605" w14:textId="15FF0818" w:rsidR="00D83545" w:rsidRDefault="00D83545" w:rsidP="00FD2CAB">
      <w:pPr>
        <w:rPr>
          <w:rFonts w:ascii="Calibri" w:hAnsi="Calibri"/>
        </w:rPr>
      </w:pPr>
      <w:r>
        <w:rPr>
          <w:rFonts w:ascii="Calibri" w:hAnsi="Calibri"/>
        </w:rPr>
        <w:t xml:space="preserve">We conducted a meta-analysis of published and unpublished evaluations of the DPP </w:t>
      </w:r>
      <w:r w:rsidR="00FF5F7A">
        <w:rPr>
          <w:rFonts w:ascii="Calibri" w:hAnsi="Calibri"/>
        </w:rPr>
        <w:t xml:space="preserve">Rapid Diagnostic Test </w:t>
      </w:r>
      <w:r w:rsidR="00B75947">
        <w:rPr>
          <w:rFonts w:ascii="Calibri" w:hAnsi="Calibri"/>
        </w:rPr>
        <w:t xml:space="preserve">(RDT) </w:t>
      </w:r>
      <w:r>
        <w:rPr>
          <w:rFonts w:ascii="Calibri" w:hAnsi="Calibri"/>
        </w:rPr>
        <w:t xml:space="preserve">for the diagnosis of </w:t>
      </w:r>
      <w:r w:rsidR="0077212C">
        <w:rPr>
          <w:rFonts w:ascii="Calibri" w:hAnsi="Calibri"/>
        </w:rPr>
        <w:t>syphilis and yaws.</w:t>
      </w:r>
      <w:r>
        <w:rPr>
          <w:rFonts w:ascii="Calibri" w:hAnsi="Calibri"/>
        </w:rPr>
        <w:t xml:space="preserve"> We calculated the sensitivity, specificity and overall agreement of the test compared to reference laboratory tests.</w:t>
      </w:r>
    </w:p>
    <w:p w14:paraId="6B752628" w14:textId="57368613" w:rsidR="00D83545" w:rsidRDefault="00C86559" w:rsidP="00FD2CAB">
      <w:pPr>
        <w:rPr>
          <w:rFonts w:ascii="Calibri" w:hAnsi="Calibri"/>
        </w:rPr>
      </w:pPr>
      <w:r>
        <w:rPr>
          <w:rFonts w:ascii="Calibri" w:hAnsi="Calibri"/>
        </w:rPr>
        <w:t>Results</w:t>
      </w:r>
      <w:r w:rsidR="00D83545">
        <w:rPr>
          <w:rFonts w:ascii="Calibri" w:hAnsi="Calibri"/>
        </w:rPr>
        <w:t>:</w:t>
      </w:r>
    </w:p>
    <w:p w14:paraId="0845AC4B" w14:textId="73BC519B" w:rsidR="00D83545" w:rsidRPr="00D83545" w:rsidRDefault="00D83545" w:rsidP="00FD2CAB">
      <w:pPr>
        <w:rPr>
          <w:rFonts w:ascii="Calibri" w:hAnsi="Calibri" w:cs="Arial"/>
        </w:rPr>
      </w:pPr>
      <w:r>
        <w:rPr>
          <w:rFonts w:ascii="Calibri" w:hAnsi="Calibri"/>
        </w:rPr>
        <w:t xml:space="preserve">Nine evaluations </w:t>
      </w:r>
      <w:r w:rsidR="0077212C">
        <w:rPr>
          <w:rFonts w:ascii="Calibri" w:hAnsi="Calibri"/>
        </w:rPr>
        <w:t xml:space="preserve">including a total of 7,267 tests </w:t>
      </w:r>
      <w:r>
        <w:rPr>
          <w:rFonts w:ascii="Calibri" w:hAnsi="Calibri"/>
        </w:rPr>
        <w:t>were included</w:t>
      </w:r>
      <w:r>
        <w:rPr>
          <w:rFonts w:ascii="Calibri" w:hAnsi="Calibri" w:cs="Arial"/>
        </w:rPr>
        <w:t xml:space="preserve">. </w:t>
      </w:r>
      <w:r w:rsidRPr="008C70B4">
        <w:rPr>
          <w:rFonts w:ascii="Calibri" w:hAnsi="Calibri" w:cs="Arial"/>
        </w:rPr>
        <w:t>Sensitivity</w:t>
      </w:r>
      <w:r>
        <w:rPr>
          <w:rFonts w:ascii="Calibri" w:hAnsi="Calibri" w:cs="Arial"/>
        </w:rPr>
        <w:t xml:space="preserve"> was higher </w:t>
      </w:r>
      <w:r w:rsidR="003A1428">
        <w:rPr>
          <w:rFonts w:ascii="Calibri" w:hAnsi="Calibri" w:cs="Arial"/>
        </w:rPr>
        <w:t>in</w:t>
      </w:r>
      <w:r>
        <w:rPr>
          <w:rFonts w:ascii="Calibri" w:hAnsi="Calibri" w:cs="Arial"/>
        </w:rPr>
        <w:t xml:space="preserve"> patient</w:t>
      </w:r>
      <w:r w:rsidR="003A1428">
        <w:rPr>
          <w:rFonts w:ascii="Calibri" w:hAnsi="Calibri" w:cs="Arial"/>
        </w:rPr>
        <w:t>s with</w:t>
      </w:r>
      <w:r>
        <w:rPr>
          <w:rFonts w:ascii="Calibri" w:hAnsi="Calibri" w:cs="Arial"/>
        </w:rPr>
        <w:t xml:space="preserve"> high</w:t>
      </w:r>
      <w:r w:rsidR="0077212C">
        <w:rPr>
          <w:rFonts w:ascii="Calibri" w:hAnsi="Calibri" w:cs="Arial"/>
        </w:rPr>
        <w:t>er</w:t>
      </w:r>
      <w:r>
        <w:rPr>
          <w:rFonts w:ascii="Calibri" w:hAnsi="Calibri" w:cs="Arial"/>
        </w:rPr>
        <w:t xml:space="preserve"> titre RPR (</w:t>
      </w:r>
      <w:r w:rsidRPr="00CA31BC">
        <w:rPr>
          <w:rFonts w:ascii="Calibri" w:eastAsia="MS Gothic" w:hAnsi="Calibri"/>
          <w:color w:val="000000"/>
        </w:rPr>
        <w:t>≥</w:t>
      </w:r>
      <w:r>
        <w:rPr>
          <w:rFonts w:ascii="Calibri" w:eastAsia="MS Gothic" w:hAnsi="Calibri"/>
          <w:color w:val="000000"/>
        </w:rPr>
        <w:t>1</w:t>
      </w:r>
      <w:proofErr w:type="gramStart"/>
      <w:r>
        <w:rPr>
          <w:rFonts w:ascii="Calibri" w:eastAsia="MS Gothic" w:hAnsi="Calibri"/>
          <w:color w:val="000000"/>
        </w:rPr>
        <w:t>:16</w:t>
      </w:r>
      <w:proofErr w:type="gramEnd"/>
      <w:r>
        <w:rPr>
          <w:rFonts w:ascii="Calibri" w:eastAsia="MS Gothic" w:hAnsi="Calibri"/>
          <w:color w:val="000000"/>
        </w:rPr>
        <w:t>)</w:t>
      </w:r>
      <w:r>
        <w:rPr>
          <w:rFonts w:ascii="Calibri" w:hAnsi="Calibri" w:cs="Arial"/>
        </w:rPr>
        <w:t xml:space="preserve"> for both </w:t>
      </w:r>
      <w:r w:rsidR="0077212C">
        <w:rPr>
          <w:rFonts w:ascii="Calibri" w:hAnsi="Calibri" w:cs="Arial"/>
        </w:rPr>
        <w:t xml:space="preserve">the </w:t>
      </w:r>
      <w:r>
        <w:rPr>
          <w:rFonts w:ascii="Calibri" w:hAnsi="Calibri" w:cs="Arial"/>
        </w:rPr>
        <w:t xml:space="preserve">T1 (98.2% </w:t>
      </w:r>
      <w:proofErr w:type="spellStart"/>
      <w:r>
        <w:rPr>
          <w:rFonts w:ascii="Calibri" w:hAnsi="Calibri" w:cs="Arial"/>
        </w:rPr>
        <w:t>vs</w:t>
      </w:r>
      <w:proofErr w:type="spellEnd"/>
      <w:r>
        <w:rPr>
          <w:rFonts w:ascii="Calibri" w:hAnsi="Calibri" w:cs="Arial"/>
        </w:rPr>
        <w:t xml:space="preserve"> </w:t>
      </w:r>
      <w:r w:rsidR="003A1428">
        <w:rPr>
          <w:rFonts w:ascii="Calibri" w:hAnsi="Calibri" w:cs="Arial"/>
        </w:rPr>
        <w:t>90.1%, p&lt;0.0001) and the T2</w:t>
      </w:r>
      <w:r>
        <w:rPr>
          <w:rFonts w:ascii="Calibri" w:hAnsi="Calibri" w:cs="Arial"/>
        </w:rPr>
        <w:t xml:space="preserve"> component (98.2% </w:t>
      </w:r>
      <w:proofErr w:type="spellStart"/>
      <w:r>
        <w:rPr>
          <w:rFonts w:ascii="Calibri" w:hAnsi="Calibri" w:cs="Arial"/>
        </w:rPr>
        <w:t>vs</w:t>
      </w:r>
      <w:proofErr w:type="spellEnd"/>
      <w:r>
        <w:rPr>
          <w:rFonts w:ascii="Calibri" w:hAnsi="Calibri" w:cs="Arial"/>
        </w:rPr>
        <w:t xml:space="preserve"> 80.6%, p&lt;0.0001).</w:t>
      </w:r>
      <w:r w:rsidR="003A1428">
        <w:rPr>
          <w:rFonts w:ascii="Calibri" w:hAnsi="Calibri" w:cs="Arial"/>
        </w:rPr>
        <w:t xml:space="preserve"> Overall agreement between the DPP test and reference serology was 85.2% (84.4-86.1%). Agreement was highest for high titre active infection and lowest for past infection</w:t>
      </w:r>
    </w:p>
    <w:p w14:paraId="73EF721D" w14:textId="61C27CFD" w:rsidR="00D83545" w:rsidRDefault="00C86559" w:rsidP="00FD2CAB">
      <w:pPr>
        <w:rPr>
          <w:rFonts w:ascii="Calibri" w:hAnsi="Calibri"/>
        </w:rPr>
      </w:pPr>
      <w:r>
        <w:rPr>
          <w:rFonts w:ascii="Calibri" w:hAnsi="Calibri"/>
        </w:rPr>
        <w:t>Conclusions</w:t>
      </w:r>
      <w:r w:rsidR="00D83545">
        <w:rPr>
          <w:rFonts w:ascii="Calibri" w:hAnsi="Calibri"/>
        </w:rPr>
        <w:t>:</w:t>
      </w:r>
    </w:p>
    <w:p w14:paraId="43F9BD91" w14:textId="1A939BC0" w:rsidR="003A1428" w:rsidRDefault="00380AAF" w:rsidP="00FD2CAB">
      <w:pPr>
        <w:rPr>
          <w:rFonts w:ascii="Calibri" w:hAnsi="Calibri" w:cs="Arial"/>
        </w:rPr>
      </w:pPr>
      <w:r>
        <w:rPr>
          <w:rFonts w:ascii="Calibri" w:hAnsi="Calibri" w:cs="Arial"/>
        </w:rPr>
        <w:t>The RDT has good sensitivity and specificity</w:t>
      </w:r>
      <w:r w:rsidR="00420ADE">
        <w:rPr>
          <w:rFonts w:ascii="Calibri" w:hAnsi="Calibri" w:cs="Arial"/>
        </w:rPr>
        <w:t xml:space="preserve"> of the </w:t>
      </w:r>
      <w:proofErr w:type="spellStart"/>
      <w:r w:rsidR="00420ADE">
        <w:rPr>
          <w:rFonts w:ascii="Calibri" w:hAnsi="Calibri" w:cs="Arial"/>
        </w:rPr>
        <w:t>treponemal</w:t>
      </w:r>
      <w:proofErr w:type="spellEnd"/>
      <w:r w:rsidR="00420ADE">
        <w:rPr>
          <w:rFonts w:ascii="Calibri" w:hAnsi="Calibri" w:cs="Arial"/>
        </w:rPr>
        <w:t xml:space="preserve"> and non-</w:t>
      </w:r>
      <w:proofErr w:type="spellStart"/>
      <w:r w:rsidR="00420ADE">
        <w:rPr>
          <w:rFonts w:ascii="Calibri" w:hAnsi="Calibri" w:cs="Arial"/>
        </w:rPr>
        <w:t>treponemal</w:t>
      </w:r>
      <w:proofErr w:type="spellEnd"/>
      <w:r w:rsidR="00420ADE">
        <w:rPr>
          <w:rFonts w:ascii="Calibri" w:hAnsi="Calibri" w:cs="Arial"/>
        </w:rPr>
        <w:t xml:space="preserve"> components</w:t>
      </w:r>
      <w:r>
        <w:rPr>
          <w:rFonts w:ascii="Calibri" w:hAnsi="Calibri" w:cs="Arial"/>
        </w:rPr>
        <w:t xml:space="preserve"> </w:t>
      </w:r>
      <w:r w:rsidR="0077212C">
        <w:rPr>
          <w:rFonts w:ascii="Calibri" w:hAnsi="Calibri" w:cs="Arial"/>
        </w:rPr>
        <w:t xml:space="preserve">both in cases of </w:t>
      </w:r>
      <w:r>
        <w:rPr>
          <w:rFonts w:ascii="Calibri" w:hAnsi="Calibri" w:cs="Arial"/>
        </w:rPr>
        <w:t>suspected syphilis and yaws</w:t>
      </w:r>
      <w:r w:rsidR="00420ADE">
        <w:rPr>
          <w:rFonts w:ascii="Calibri" w:hAnsi="Calibri" w:cs="Arial"/>
        </w:rPr>
        <w:t>,</w:t>
      </w:r>
      <w:r>
        <w:rPr>
          <w:rFonts w:ascii="Calibri" w:hAnsi="Calibri" w:cs="Arial"/>
        </w:rPr>
        <w:t xml:space="preserve"> although </w:t>
      </w:r>
      <w:r w:rsidR="005552CA">
        <w:rPr>
          <w:rFonts w:ascii="Calibri" w:hAnsi="Calibri" w:cs="Arial"/>
        </w:rPr>
        <w:t xml:space="preserve">the sensitivity </w:t>
      </w:r>
      <w:r>
        <w:rPr>
          <w:rFonts w:ascii="Calibri" w:hAnsi="Calibri" w:cs="Arial"/>
        </w:rPr>
        <w:t xml:space="preserve">is decreased at lower antibody titres. </w:t>
      </w:r>
    </w:p>
    <w:p w14:paraId="5EEA4767" w14:textId="57F9425D" w:rsidR="00A61DFD" w:rsidRDefault="00A61DFD" w:rsidP="00FD2CAB">
      <w:pPr>
        <w:rPr>
          <w:rFonts w:ascii="Calibri" w:hAnsi="Calibri"/>
          <w:b/>
        </w:rPr>
      </w:pPr>
      <w:r>
        <w:rPr>
          <w:rFonts w:ascii="Calibri" w:hAnsi="Calibri"/>
          <w:b/>
        </w:rPr>
        <w:t xml:space="preserve">WORD COUNT:  </w:t>
      </w:r>
      <w:r w:rsidR="00F923BD">
        <w:rPr>
          <w:rFonts w:ascii="Calibri" w:hAnsi="Calibri"/>
          <w:b/>
        </w:rPr>
        <w:t>2,999</w:t>
      </w:r>
    </w:p>
    <w:p w14:paraId="5CC2318D" w14:textId="77777777" w:rsidR="00995A88" w:rsidRPr="00396F32" w:rsidRDefault="00995A88" w:rsidP="00FD2CAB">
      <w:pPr>
        <w:rPr>
          <w:rFonts w:ascii="Calibri" w:hAnsi="Calibri"/>
          <w:b/>
        </w:rPr>
      </w:pPr>
    </w:p>
    <w:p w14:paraId="20F3E716" w14:textId="77777777" w:rsidR="00190D6C" w:rsidRPr="00396F32" w:rsidRDefault="00190D6C" w:rsidP="00FD2CAB">
      <w:pPr>
        <w:rPr>
          <w:rFonts w:ascii="Calibri" w:hAnsi="Calibri"/>
          <w:b/>
        </w:rPr>
      </w:pPr>
      <w:r w:rsidRPr="00396F32">
        <w:rPr>
          <w:rFonts w:ascii="Calibri" w:hAnsi="Calibri"/>
          <w:b/>
        </w:rPr>
        <w:t>KEY WORDS:</w:t>
      </w:r>
    </w:p>
    <w:p w14:paraId="47F4E9F1" w14:textId="77777777" w:rsidR="00190D6C" w:rsidRDefault="002C7AB7" w:rsidP="00FD2CAB">
      <w:pPr>
        <w:rPr>
          <w:rFonts w:ascii="Calibri" w:hAnsi="Calibri"/>
        </w:rPr>
      </w:pPr>
      <w:r>
        <w:rPr>
          <w:rFonts w:ascii="Calibri" w:hAnsi="Calibri"/>
        </w:rPr>
        <w:t>Syphilis</w:t>
      </w:r>
    </w:p>
    <w:p w14:paraId="19BFB02C" w14:textId="77777777" w:rsidR="002C7AB7" w:rsidRDefault="002C7AB7" w:rsidP="00FD2CAB">
      <w:pPr>
        <w:rPr>
          <w:rFonts w:ascii="Calibri" w:hAnsi="Calibri"/>
        </w:rPr>
      </w:pPr>
      <w:r>
        <w:rPr>
          <w:rFonts w:ascii="Calibri" w:hAnsi="Calibri"/>
        </w:rPr>
        <w:t>Yaws</w:t>
      </w:r>
    </w:p>
    <w:p w14:paraId="69D657DB" w14:textId="77777777" w:rsidR="002C7AB7" w:rsidRDefault="002C7AB7" w:rsidP="00FD2CAB">
      <w:pPr>
        <w:rPr>
          <w:rFonts w:ascii="Calibri" w:hAnsi="Calibri"/>
        </w:rPr>
      </w:pPr>
      <w:r>
        <w:rPr>
          <w:rFonts w:ascii="Calibri" w:hAnsi="Calibri"/>
        </w:rPr>
        <w:t>Sexually transmitted infections</w:t>
      </w:r>
    </w:p>
    <w:p w14:paraId="320D51C1" w14:textId="77777777" w:rsidR="002C7AB7" w:rsidRDefault="002C7AB7" w:rsidP="00FD2CAB">
      <w:pPr>
        <w:rPr>
          <w:rFonts w:ascii="Calibri" w:hAnsi="Calibri"/>
        </w:rPr>
      </w:pPr>
      <w:r>
        <w:rPr>
          <w:rFonts w:ascii="Calibri" w:hAnsi="Calibri"/>
        </w:rPr>
        <w:t>Point of care test</w:t>
      </w:r>
    </w:p>
    <w:p w14:paraId="3BF4B6CA" w14:textId="77777777" w:rsidR="00C30BFE" w:rsidRPr="002C7AB7" w:rsidRDefault="00C30BFE" w:rsidP="00FD2CAB">
      <w:pPr>
        <w:rPr>
          <w:rFonts w:ascii="Calibri" w:hAnsi="Calibri"/>
          <w:b/>
        </w:rPr>
      </w:pPr>
      <w:r>
        <w:rPr>
          <w:rFonts w:ascii="Calibri" w:hAnsi="Calibri"/>
        </w:rPr>
        <w:t>Meta-analysis</w:t>
      </w:r>
    </w:p>
    <w:p w14:paraId="3615314F" w14:textId="77777777" w:rsidR="003A1428" w:rsidRDefault="003A1428" w:rsidP="00FD2CAB">
      <w:pPr>
        <w:rPr>
          <w:rFonts w:ascii="Calibri" w:hAnsi="Calibri"/>
          <w:b/>
        </w:rPr>
      </w:pPr>
      <w:r>
        <w:rPr>
          <w:rFonts w:ascii="Calibri" w:hAnsi="Calibri"/>
          <w:b/>
        </w:rPr>
        <w:br w:type="page"/>
      </w:r>
    </w:p>
    <w:p w14:paraId="661179F1" w14:textId="77777777" w:rsidR="006A2668" w:rsidRDefault="009D3B56" w:rsidP="00FD2CAB">
      <w:pPr>
        <w:rPr>
          <w:rFonts w:ascii="Calibri" w:hAnsi="Calibri"/>
          <w:b/>
        </w:rPr>
      </w:pPr>
      <w:r w:rsidRPr="00396F32">
        <w:rPr>
          <w:rFonts w:ascii="Calibri" w:hAnsi="Calibri"/>
          <w:b/>
        </w:rPr>
        <w:lastRenderedPageBreak/>
        <w:t>Introduction</w:t>
      </w:r>
    </w:p>
    <w:p w14:paraId="477FEF03" w14:textId="77777777" w:rsidR="0046696D" w:rsidRDefault="0046696D" w:rsidP="00FD2CAB">
      <w:pPr>
        <w:rPr>
          <w:rFonts w:ascii="Cambria" w:hAnsi="Cambria"/>
        </w:rPr>
      </w:pPr>
    </w:p>
    <w:p w14:paraId="1201257A" w14:textId="5F9297D6" w:rsidR="0046696D" w:rsidRDefault="00EF2D1D" w:rsidP="00FD2CAB">
      <w:pPr>
        <w:rPr>
          <w:rFonts w:ascii="Cambria" w:hAnsi="Cambria"/>
        </w:rPr>
      </w:pPr>
      <w:r w:rsidRPr="0074562F">
        <w:rPr>
          <w:rFonts w:ascii="Cambria" w:hAnsi="Cambria"/>
        </w:rPr>
        <w:t xml:space="preserve">The human </w:t>
      </w:r>
      <w:proofErr w:type="spellStart"/>
      <w:r w:rsidRPr="0074562F">
        <w:rPr>
          <w:rFonts w:ascii="Cambria" w:hAnsi="Cambria"/>
        </w:rPr>
        <w:t>treponematoses</w:t>
      </w:r>
      <w:proofErr w:type="spellEnd"/>
      <w:r w:rsidRPr="0074562F">
        <w:rPr>
          <w:rFonts w:ascii="Cambria" w:hAnsi="Cambria"/>
        </w:rPr>
        <w:t xml:space="preserve"> comprise venereal syphilis and the</w:t>
      </w:r>
      <w:r>
        <w:rPr>
          <w:rFonts w:ascii="Cambria" w:hAnsi="Cambria"/>
        </w:rPr>
        <w:t xml:space="preserve"> </w:t>
      </w:r>
      <w:r w:rsidRPr="0074562F">
        <w:rPr>
          <w:rFonts w:ascii="Cambria" w:hAnsi="Cambria"/>
        </w:rPr>
        <w:t xml:space="preserve">endemic </w:t>
      </w:r>
      <w:proofErr w:type="spellStart"/>
      <w:r w:rsidRPr="0074562F">
        <w:rPr>
          <w:rFonts w:ascii="Cambria" w:hAnsi="Cambria"/>
        </w:rPr>
        <w:t>treponematoses</w:t>
      </w:r>
      <w:proofErr w:type="spellEnd"/>
      <w:r w:rsidRPr="0074562F">
        <w:rPr>
          <w:rFonts w:ascii="Cambria" w:hAnsi="Cambria"/>
        </w:rPr>
        <w:t xml:space="preserve"> yaws, </w:t>
      </w:r>
      <w:proofErr w:type="spellStart"/>
      <w:r w:rsidRPr="0074562F">
        <w:rPr>
          <w:rFonts w:ascii="Cambria" w:hAnsi="Cambria"/>
        </w:rPr>
        <w:t>bejel</w:t>
      </w:r>
      <w:proofErr w:type="spellEnd"/>
      <w:r w:rsidRPr="0074562F">
        <w:rPr>
          <w:rFonts w:ascii="Cambria" w:hAnsi="Cambria"/>
        </w:rPr>
        <w:t xml:space="preserve">, and </w:t>
      </w:r>
      <w:proofErr w:type="spellStart"/>
      <w:r w:rsidRPr="0074562F">
        <w:rPr>
          <w:rFonts w:ascii="Cambria" w:hAnsi="Cambria"/>
        </w:rPr>
        <w:t>pinta</w:t>
      </w:r>
      <w:proofErr w:type="spellEnd"/>
      <w:r w:rsidRPr="0074562F">
        <w:rPr>
          <w:rFonts w:ascii="Cambria" w:hAnsi="Cambria"/>
        </w:rPr>
        <w:t>.</w:t>
      </w:r>
      <w:r>
        <w:rPr>
          <w:rFonts w:ascii="Cambria" w:hAnsi="Cambria"/>
        </w:rPr>
        <w:t xml:space="preserve"> </w:t>
      </w:r>
      <w:r w:rsidR="0046696D">
        <w:rPr>
          <w:rFonts w:ascii="Cambria" w:hAnsi="Cambria"/>
        </w:rPr>
        <w:t xml:space="preserve">Syphilis, caused by </w:t>
      </w:r>
      <w:proofErr w:type="spellStart"/>
      <w:r w:rsidR="0046696D">
        <w:rPr>
          <w:rFonts w:ascii="Cambria" w:hAnsi="Cambria"/>
          <w:i/>
        </w:rPr>
        <w:t>Treponema</w:t>
      </w:r>
      <w:proofErr w:type="spellEnd"/>
      <w:r w:rsidR="0046696D">
        <w:rPr>
          <w:rFonts w:ascii="Cambria" w:hAnsi="Cambria"/>
          <w:i/>
        </w:rPr>
        <w:t xml:space="preserve"> </w:t>
      </w:r>
      <w:proofErr w:type="spellStart"/>
      <w:r w:rsidR="0046696D">
        <w:rPr>
          <w:rFonts w:ascii="Cambria" w:hAnsi="Cambria"/>
          <w:i/>
        </w:rPr>
        <w:t>pallidum</w:t>
      </w:r>
      <w:proofErr w:type="spellEnd"/>
      <w:r w:rsidR="0046696D">
        <w:rPr>
          <w:rFonts w:ascii="Cambria" w:hAnsi="Cambria"/>
          <w:i/>
        </w:rPr>
        <w:t xml:space="preserve"> </w:t>
      </w:r>
      <w:r w:rsidR="0046696D">
        <w:rPr>
          <w:rFonts w:ascii="Cambria" w:hAnsi="Cambria"/>
        </w:rPr>
        <w:t xml:space="preserve">subsp. </w:t>
      </w:r>
      <w:proofErr w:type="spellStart"/>
      <w:r w:rsidR="0046696D">
        <w:rPr>
          <w:rFonts w:ascii="Cambria" w:hAnsi="Cambria"/>
          <w:i/>
        </w:rPr>
        <w:t>pallidum</w:t>
      </w:r>
      <w:proofErr w:type="spellEnd"/>
      <w:r w:rsidR="0046696D">
        <w:rPr>
          <w:rFonts w:ascii="Cambria" w:hAnsi="Cambria"/>
          <w:i/>
        </w:rPr>
        <w:t xml:space="preserve">, </w:t>
      </w:r>
      <w:r w:rsidR="0046696D" w:rsidRPr="00F06E7E">
        <w:rPr>
          <w:rFonts w:ascii="Cambria" w:hAnsi="Cambria"/>
        </w:rPr>
        <w:t>remains</w:t>
      </w:r>
      <w:r w:rsidR="0046696D">
        <w:rPr>
          <w:rFonts w:ascii="Cambria" w:hAnsi="Cambria"/>
        </w:rPr>
        <w:t xml:space="preserve"> an important cause of both morbidity and mortality. The prevalence of syphilis is known to be </w:t>
      </w:r>
      <w:r w:rsidR="00C30BFE">
        <w:rPr>
          <w:rFonts w:ascii="Cambria" w:hAnsi="Cambria"/>
        </w:rPr>
        <w:t xml:space="preserve">particularly </w:t>
      </w:r>
      <w:r w:rsidR="0046696D">
        <w:rPr>
          <w:rFonts w:ascii="Cambria" w:hAnsi="Cambria"/>
        </w:rPr>
        <w:t>high among women attending ante-natal clinics in sub-Saharan Africa</w:t>
      </w:r>
      <w:r w:rsidR="00131837">
        <w:rPr>
          <w:rFonts w:ascii="Cambria" w:hAnsi="Cambria"/>
        </w:rPr>
        <w:fldChar w:fldCharType="begin"/>
      </w:r>
      <w:r w:rsidR="00431F62">
        <w:rPr>
          <w:rFonts w:ascii="Cambria" w:hAnsi="Cambria"/>
        </w:rPr>
        <w:instrText xml:space="preserve"> ADDIN ZOTERO_ITEM CSL_CITATION {"citationID":"9dc7vg3rp","properties":{"formattedCitation":"[1]","plainCitation":"[1]"},"citationItems":[{"id":3504,"uris":["http://zotero.org/users/38820/items/84TFIEHJ"],"uri":["http://zotero.org/users/38820/items/84TFIEHJ"],"itemData":{"id":3504,"type":"article-journal","title":"Prevalence of malaria and sexually transmitted and reproductive tract infections in pregnancy in sub-Saharan Africa: a systematic review","container-title":"JAMA","page":"2079-2086","volume":"307","issue":"19","source":"PubMed","abstract":"CONTEXT: Malaria and sexually transmitted infections/reproductive tract infections (STIs/RTIs) in pregnancy are direct and indirect causes of stillbirth, prematurity, low birth weight, and maternal and neonatal morbidity and mortality.\nOBJECTIVE: To conduct a systematic review and meta-analysis of malaria and STI/RTI prevalence estimates among pregnant women attending antenatal care facilities in sub-Saharan Africa.\nDATA SOURCES: PubMed, MEDLINE, EMBASE, the World Health Organization International Clinical Trials Registry, and reference lists were searched for studies reporting malaria, syphilis, Neisseria gonorrhoeae, Chlamydia trachomatis, Trichomonas vaginalis, or bacterial vaginosis among pregnant women attending antenatal care facilities in sub-Saharan Africa.\nSTUDY SELECTION: Included studies were conducted in 1990-2011 with open enrollment. Studies from South Africa, where malaria is no longer endemic, were excluded.\nDATA EXTRACTION: Point prevalence estimates were corrected for diagnostic precision. A random-effects model meta-analysis was applied to produce pooled prevalence estimates.\nRESULTS: A total of 171 studies met inclusion criteria, providing 307 point prevalence estimates for malaria or STIs/RTIs and including a total of 340 904 women. The pooled prevalence estimates (with 95% CIs and number of women with positive diagnosis) among studies in 1990-2011 in East and Southern Africa were as follows: syphilis, 4.5% (3.9%-5.1%; n = 8346 positive diagnoses), N gonorrhoeae, 3.7% (2.8%-4.6%; n = 626), C trachomatis, 6.9% (5.1%-8.6%; n = 350), T vaginalis, 29.1% (20.9%-37.2%; n = 5502), bacterial vaginosis, 50.8% (43.3%-58.4%; n = 4280), peripheral malaria, 32.0% (25.9%-38.0%; n = 11 688), and placental malaria, 25.8% (19.7%-31.9%; n = 1388). West and Central Africa prevalence estimates were as follows: syphilis, 3.5% (1.8%-5.2%; n = 851), N gonorrhoeae, 2.7% (1.7%-3.7%; n = 73), C trachomatis, 6.1% (4.0%-8.3%; n = 357), T vaginalis, 17.8% (12.4%-23.1%; n = 822), bacterial vaginosis, 37.6% (18.0%-57.2%; n = 1208), peripheral malaria, 38.2% (32.3%-44.1%; n = 12 242), and placental malaria, 39.9% (34.2%-45.7%; n = 4658).\nCONCLUSION: The dual prevalence of malaria and STIs/RTIs in pregnancy among women who attend antenatal care facilities in sub-Saharan Africa is considerable, with the combined prevalence of curable STIs/RTIs being equal to, if not greater than, malaria.","DOI":"10.1001/jama.2012.3428","ISSN":"1538-3598","note":"PMID: 22665107","shortTitle":"Prevalence of malaria and sexually transmitted and reproductive tract infections in pregnancy in sub-Saharan Africa","journalAbbreviation":"JAMA","language":"eng","author":[{"family":"Chico","given":"R. Matthew"},{"family":"Mayaud","given":"Philippe"},{"family":"Ariti","given":"Cono"},{"family":"Mabey","given":"David"},{"family":"Ronsmans","given":"Carine"},{"family":"Chandramohan","given":"Daniel"}],"issued":{"date-parts":[["2012",5,16]]},"PMID":"22665107"}}],"schema":"https://github.com/citation-style-language/schema/raw/master/csl-citation.json"} </w:instrText>
      </w:r>
      <w:r w:rsidR="00131837">
        <w:rPr>
          <w:rFonts w:ascii="Cambria" w:hAnsi="Cambria"/>
        </w:rPr>
        <w:fldChar w:fldCharType="separate"/>
      </w:r>
      <w:r w:rsidR="00832180">
        <w:rPr>
          <w:rFonts w:ascii="Cambria" w:hAnsi="Cambria"/>
          <w:lang w:val="en-US"/>
        </w:rPr>
        <w:t>[1]</w:t>
      </w:r>
      <w:r w:rsidR="00131837">
        <w:rPr>
          <w:rFonts w:ascii="Cambria" w:hAnsi="Cambria"/>
        </w:rPr>
        <w:fldChar w:fldCharType="end"/>
      </w:r>
      <w:r w:rsidR="0046696D">
        <w:rPr>
          <w:rFonts w:ascii="Cambria" w:hAnsi="Cambria"/>
        </w:rPr>
        <w:t xml:space="preserve"> and </w:t>
      </w:r>
      <w:r w:rsidR="002050D9">
        <w:rPr>
          <w:rFonts w:ascii="Cambria" w:hAnsi="Cambria"/>
        </w:rPr>
        <w:t xml:space="preserve">mother-to-child transmission of </w:t>
      </w:r>
      <w:r w:rsidR="0046696D">
        <w:rPr>
          <w:rFonts w:ascii="Cambria" w:hAnsi="Cambria"/>
        </w:rPr>
        <w:t>syphilis remains a major cause of stillbirth and neonatal death</w:t>
      </w:r>
      <w:r w:rsidR="00C30BFE">
        <w:rPr>
          <w:rFonts w:ascii="Cambria" w:hAnsi="Cambria"/>
        </w:rPr>
        <w:t xml:space="preserve"> worldwide</w:t>
      </w:r>
      <w:r w:rsidR="0046696D">
        <w:rPr>
          <w:rFonts w:ascii="Cambria" w:hAnsi="Cambria"/>
        </w:rPr>
        <w:t xml:space="preserve">. It has been estimated that </w:t>
      </w:r>
      <w:r w:rsidR="002050D9">
        <w:rPr>
          <w:rFonts w:ascii="Cambria" w:hAnsi="Cambria"/>
        </w:rPr>
        <w:t xml:space="preserve">mother-to-child transmission of </w:t>
      </w:r>
      <w:r w:rsidR="0046696D">
        <w:rPr>
          <w:rFonts w:ascii="Cambria" w:hAnsi="Cambria"/>
        </w:rPr>
        <w:t>syphilis results in as many as 300,000 stillbirths and neonatal deaths a year in Africa alone</w:t>
      </w:r>
      <w:r w:rsidR="00131837">
        <w:rPr>
          <w:rFonts w:ascii="Cambria" w:hAnsi="Cambria"/>
        </w:rPr>
        <w:fldChar w:fldCharType="begin"/>
      </w:r>
      <w:r w:rsidR="00431F62">
        <w:rPr>
          <w:rFonts w:ascii="Cambria" w:hAnsi="Cambria"/>
        </w:rPr>
        <w:instrText xml:space="preserve"> ADDIN ZOTERO_ITEM CSL_CITATION {"citationID":"5kf8q3vpm","properties":{"formattedCitation":"[2]","plainCitation":"[2]"},"citationItems":[{"id":3490,"uris":["http://zotero.org/users/38820/items/ITW27A4R"],"uri":["http://zotero.org/users/38820/items/ITW27A4R"],"itemData":{"id":3490,"type":"article-journal","title":"Global Estimates of Syphilis in Pregnancy and Associated Adverse Outcomes: Analysis of Multinational Antenatal Surveillance Data","container-title":"PLoS Medicine","volume":"10","issue":"2","source":"PubMed Central","abstract":"Using multinational surveillance data, Lori Newman and colleagues estimate global rates of active syphilis in pregnant women, adverse effects, and antenatal coverage and treatment needed to meet WHO goals.","URL":"http://www.ncbi.nlm.nih.gov/pmc/articles/PMC3582608/","DOI":"10.1371/journal.pmed.1001396","ISSN":"1549-1277","note":"PMID: 23468598\nPMCID: PMC3582608","shortTitle":"Global Estimates of Syphilis in Pregnancy and Associated Adverse Outcomes","journalAbbreviation":"PLoS Med","author":[{"family":"Newman","given":"Lori"},{"family":"Kamb","given":"Mary"},{"family":"Hawkes","given":"Sarah"},{"family":"Gomez","given":"Gabriela"},{"family":"Say","given":"Lale"},{"family":"Seuc","given":"Armando"},{"family":"Broutet","given":"Nathalie"}],"issued":{"date-parts":[["2013",2]]},"accessed":{"date-parts":[["2015",4,1]]},"PMID":"23468598","PMCID":"PMC3582608"}}],"schema":"https://github.com/citation-style-language/schema/raw/master/csl-citation.json"} </w:instrText>
      </w:r>
      <w:r w:rsidR="00131837">
        <w:rPr>
          <w:rFonts w:ascii="Cambria" w:hAnsi="Cambria"/>
        </w:rPr>
        <w:fldChar w:fldCharType="separate"/>
      </w:r>
      <w:r w:rsidR="00832180">
        <w:rPr>
          <w:rFonts w:ascii="Cambria" w:hAnsi="Cambria"/>
          <w:lang w:val="en-US"/>
        </w:rPr>
        <w:t>[2]</w:t>
      </w:r>
      <w:r w:rsidR="00131837">
        <w:rPr>
          <w:rFonts w:ascii="Cambria" w:hAnsi="Cambria"/>
        </w:rPr>
        <w:fldChar w:fldCharType="end"/>
      </w:r>
      <w:r w:rsidR="004D5306">
        <w:rPr>
          <w:rFonts w:ascii="Cambria" w:hAnsi="Cambria"/>
        </w:rPr>
        <w:t xml:space="preserve">. These adverse pregnancy outcomes </w:t>
      </w:r>
      <w:r w:rsidR="005E667D">
        <w:rPr>
          <w:rFonts w:ascii="Cambria" w:hAnsi="Cambria"/>
        </w:rPr>
        <w:t xml:space="preserve">are </w:t>
      </w:r>
      <w:r w:rsidR="0046696D">
        <w:rPr>
          <w:rFonts w:ascii="Cambria" w:hAnsi="Cambria"/>
        </w:rPr>
        <w:t>entirely preventable</w:t>
      </w:r>
      <w:r w:rsidR="004D5306">
        <w:rPr>
          <w:rFonts w:ascii="Cambria" w:hAnsi="Cambria"/>
        </w:rPr>
        <w:t xml:space="preserve"> through </w:t>
      </w:r>
      <w:r w:rsidR="0046696D">
        <w:rPr>
          <w:rFonts w:ascii="Cambria" w:hAnsi="Cambria"/>
        </w:rPr>
        <w:t>syphilis screening and appropriate treatment</w:t>
      </w:r>
      <w:r w:rsidR="004D5306">
        <w:rPr>
          <w:rFonts w:ascii="Cambria" w:hAnsi="Cambria"/>
        </w:rPr>
        <w:t>.</w:t>
      </w:r>
      <w:r w:rsidR="0046696D">
        <w:rPr>
          <w:rFonts w:ascii="Cambria" w:hAnsi="Cambria"/>
        </w:rPr>
        <w:t xml:space="preserve"> </w:t>
      </w:r>
    </w:p>
    <w:p w14:paraId="51077590" w14:textId="77777777" w:rsidR="0046696D" w:rsidRDefault="0046696D" w:rsidP="00FD2CAB">
      <w:pPr>
        <w:rPr>
          <w:rFonts w:ascii="Cambria" w:hAnsi="Cambria"/>
        </w:rPr>
      </w:pPr>
    </w:p>
    <w:p w14:paraId="2635F0A7" w14:textId="5BFCB3DB" w:rsidR="0046696D" w:rsidRPr="00DC027F" w:rsidRDefault="00C30BFE" w:rsidP="00FD2CAB">
      <w:pPr>
        <w:rPr>
          <w:rFonts w:ascii="Cambria" w:hAnsi="Cambria"/>
        </w:rPr>
      </w:pPr>
      <w:r>
        <w:rPr>
          <w:rFonts w:ascii="Cambria" w:hAnsi="Cambria"/>
        </w:rPr>
        <w:t>Yaws is an endemic</w:t>
      </w:r>
      <w:r w:rsidR="0046696D">
        <w:rPr>
          <w:rFonts w:ascii="Cambria" w:hAnsi="Cambria"/>
        </w:rPr>
        <w:t xml:space="preserve"> </w:t>
      </w:r>
      <w:proofErr w:type="spellStart"/>
      <w:r w:rsidR="0046696D">
        <w:rPr>
          <w:rFonts w:ascii="Cambria" w:hAnsi="Cambria"/>
        </w:rPr>
        <w:t>treponemal</w:t>
      </w:r>
      <w:proofErr w:type="spellEnd"/>
      <w:r w:rsidR="0046696D">
        <w:rPr>
          <w:rFonts w:ascii="Cambria" w:hAnsi="Cambria"/>
        </w:rPr>
        <w:t xml:space="preserve"> infection caused by </w:t>
      </w:r>
      <w:proofErr w:type="spellStart"/>
      <w:r w:rsidR="0046696D">
        <w:rPr>
          <w:rFonts w:ascii="Cambria" w:hAnsi="Cambria"/>
          <w:i/>
        </w:rPr>
        <w:t>Treponema</w:t>
      </w:r>
      <w:proofErr w:type="spellEnd"/>
      <w:r w:rsidR="0046696D">
        <w:rPr>
          <w:rFonts w:ascii="Cambria" w:hAnsi="Cambria"/>
          <w:i/>
        </w:rPr>
        <w:t xml:space="preserve"> </w:t>
      </w:r>
      <w:proofErr w:type="spellStart"/>
      <w:r w:rsidR="0046696D">
        <w:rPr>
          <w:rFonts w:ascii="Cambria" w:hAnsi="Cambria"/>
          <w:i/>
        </w:rPr>
        <w:t>pallidum</w:t>
      </w:r>
      <w:proofErr w:type="spellEnd"/>
      <w:r w:rsidR="0046696D">
        <w:rPr>
          <w:rFonts w:ascii="Cambria" w:hAnsi="Cambria"/>
          <w:i/>
        </w:rPr>
        <w:t xml:space="preserve"> </w:t>
      </w:r>
      <w:r w:rsidR="0046696D">
        <w:rPr>
          <w:rFonts w:ascii="Cambria" w:hAnsi="Cambria"/>
        </w:rPr>
        <w:t xml:space="preserve">subsp. </w:t>
      </w:r>
      <w:proofErr w:type="spellStart"/>
      <w:r w:rsidR="0046696D" w:rsidRPr="0046696D">
        <w:rPr>
          <w:rFonts w:ascii="Cambria" w:hAnsi="Cambria"/>
          <w:i/>
        </w:rPr>
        <w:t>pertenue</w:t>
      </w:r>
      <w:proofErr w:type="spellEnd"/>
      <w:r w:rsidR="00131837">
        <w:rPr>
          <w:rFonts w:ascii="Cambria" w:hAnsi="Cambria"/>
        </w:rPr>
        <w:fldChar w:fldCharType="begin"/>
      </w:r>
      <w:r w:rsidR="00431F62">
        <w:rPr>
          <w:rFonts w:ascii="Cambria" w:hAnsi="Cambria"/>
        </w:rPr>
        <w:instrText xml:space="preserve"> ADDIN ZOTERO_ITEM CSL_CITATION {"citationID":"1q5evbn9ni","properties":{"formattedCitation":"[3]","plainCitation":"[3]"},"citationItems":[{"id":2901,"uris":["http://zotero.org/users/38820/items/23R58TJM"],"uri":["http://zotero.org/users/38820/items/23R58TJM"],"itemData":{"id":2901,"type":"article-journal","title":"Endemic treponemal diseases","container-title":"Transactions of The Royal Society of Tropical Medicine and Hygiene","page":"601-607","volume":"108","issue":"10","source":"trstmh.oxfordjournals.org","abstract":"The endemic treponemal diseases, consisting of yaws, bejel (endemic syphilis) and pinta, are non-venereal infections closely related to syphilis, and are recognized by WHO as neglected tropical diseases (NTDs). Despite previous worldwide eradication efforts the prevalence of yaws has rebounded in recent years and the disease is now a major public health problem in 14 countries. Adequate data on the epidemiology of bejel and pinta is lacking. Each disease is restricted to a specific ecological niche but all predominantly affect poor, rural communities. As with venereal syphilis, the clinical manifestations of the endemic treponemal diseases are variable and can be broken down in to early stage and late stage disease. Current diagnostic techniques are unable to distinguish the different causative species but newer molecular techniques are now making this possible. Penicillin has long been considered the mainstay of treatment for the endemic treponemal diseases but the recent discovery that azithromycin is effective in the treatment of yaws has renewed interest in these most neglected of the NTDs, and raised hopes that global eradication may finally be possible.","DOI":"10.1093/trstmh/tru128","ISSN":"0035-9203, 1878-3503","note":"PMID: 25157125","journalAbbreviation":"Trans R Soc Trop Med Hyg","language":"en","author":[{"family":"Marks","given":"Michael"},{"family":"Solomon","given":"Anthony W."},{"family":"Mabey","given":"David C."}],"issued":{"date-parts":[["2014",1,10]]},"PMID":"25157125"}}],"schema":"https://github.com/citation-style-language/schema/raw/master/csl-citation.json"} </w:instrText>
      </w:r>
      <w:r w:rsidR="00131837">
        <w:rPr>
          <w:rFonts w:ascii="Cambria" w:hAnsi="Cambria"/>
        </w:rPr>
        <w:fldChar w:fldCharType="separate"/>
      </w:r>
      <w:r w:rsidR="00832180">
        <w:rPr>
          <w:rFonts w:ascii="Cambria" w:hAnsi="Cambria"/>
          <w:lang w:val="en-US"/>
        </w:rPr>
        <w:t>[3]</w:t>
      </w:r>
      <w:r w:rsidR="00131837">
        <w:rPr>
          <w:rFonts w:ascii="Cambria" w:hAnsi="Cambria"/>
        </w:rPr>
        <w:fldChar w:fldCharType="end"/>
      </w:r>
      <w:r w:rsidR="0046696D" w:rsidRPr="0046696D">
        <w:rPr>
          <w:rFonts w:ascii="Cambria" w:hAnsi="Cambria"/>
        </w:rPr>
        <w:t xml:space="preserve">. </w:t>
      </w:r>
      <w:r>
        <w:rPr>
          <w:rFonts w:ascii="Cambria" w:hAnsi="Cambria"/>
        </w:rPr>
        <w:t xml:space="preserve">Although closely related to </w:t>
      </w:r>
      <w:proofErr w:type="spellStart"/>
      <w:r w:rsidRPr="00C30BFE">
        <w:rPr>
          <w:rFonts w:ascii="Cambria" w:hAnsi="Cambria"/>
          <w:i/>
        </w:rPr>
        <w:t>T.p</w:t>
      </w:r>
      <w:proofErr w:type="spellEnd"/>
      <w:r w:rsidRPr="00C30BFE">
        <w:rPr>
          <w:rFonts w:ascii="Cambria" w:hAnsi="Cambria"/>
          <w:i/>
        </w:rPr>
        <w:t>.</w:t>
      </w:r>
      <w:r>
        <w:rPr>
          <w:rFonts w:ascii="Cambria" w:hAnsi="Cambria"/>
        </w:rPr>
        <w:t xml:space="preserve"> subsp. </w:t>
      </w:r>
      <w:proofErr w:type="spellStart"/>
      <w:r w:rsidRPr="00C30BFE">
        <w:rPr>
          <w:rFonts w:ascii="Cambria" w:hAnsi="Cambria"/>
          <w:i/>
        </w:rPr>
        <w:t>pallidu</w:t>
      </w:r>
      <w:r>
        <w:rPr>
          <w:rFonts w:ascii="Cambria" w:hAnsi="Cambria"/>
          <w:i/>
        </w:rPr>
        <w:t>m</w:t>
      </w:r>
      <w:proofErr w:type="spellEnd"/>
      <w:r>
        <w:rPr>
          <w:rFonts w:ascii="Cambria" w:hAnsi="Cambria"/>
        </w:rPr>
        <w:t>, yaws is no</w:t>
      </w:r>
      <w:r w:rsidR="00EF2D1D">
        <w:rPr>
          <w:rFonts w:ascii="Cambria" w:hAnsi="Cambria"/>
        </w:rPr>
        <w:t xml:space="preserve">t </w:t>
      </w:r>
      <w:r>
        <w:rPr>
          <w:rFonts w:ascii="Cambria" w:hAnsi="Cambria"/>
        </w:rPr>
        <w:t>sexually transmitted and predominantly affects children living in poor, rural humid communities</w:t>
      </w:r>
      <w:r w:rsidR="00EF2D1D">
        <w:rPr>
          <w:rFonts w:ascii="Cambria" w:hAnsi="Cambria"/>
        </w:rPr>
        <w:t xml:space="preserve"> in the tropics</w:t>
      </w:r>
      <w:r w:rsidR="004D5306">
        <w:rPr>
          <w:rFonts w:ascii="Cambria" w:hAnsi="Cambria"/>
        </w:rPr>
        <w:t>. Untreated yaws progresses to destructive lesions of the bones and soft tissues.</w:t>
      </w:r>
      <w:r>
        <w:rPr>
          <w:rFonts w:ascii="Cambria" w:hAnsi="Cambria"/>
        </w:rPr>
        <w:t xml:space="preserve"> </w:t>
      </w:r>
      <w:r w:rsidR="0046696D" w:rsidRPr="00C30BFE">
        <w:rPr>
          <w:rFonts w:ascii="Cambria" w:hAnsi="Cambria"/>
        </w:rPr>
        <w:t>Between</w:t>
      </w:r>
      <w:r w:rsidR="0046696D">
        <w:rPr>
          <w:rFonts w:ascii="Cambria" w:hAnsi="Cambria"/>
        </w:rPr>
        <w:t xml:space="preserve"> 2008 and 2012 there were 300,000 cases of yaws reported to the </w:t>
      </w:r>
      <w:r w:rsidR="005E667D">
        <w:rPr>
          <w:rFonts w:ascii="Cambria" w:hAnsi="Cambria"/>
        </w:rPr>
        <w:t>World Health Organization (</w:t>
      </w:r>
      <w:r w:rsidR="0046696D">
        <w:rPr>
          <w:rFonts w:ascii="Cambria" w:hAnsi="Cambria"/>
        </w:rPr>
        <w:t>WHO</w:t>
      </w:r>
      <w:r w:rsidR="005E667D">
        <w:rPr>
          <w:rFonts w:ascii="Cambria" w:hAnsi="Cambria"/>
        </w:rPr>
        <w:t>)</w:t>
      </w:r>
      <w:r w:rsidR="00027BAF">
        <w:rPr>
          <w:rFonts w:ascii="Cambria" w:hAnsi="Cambria"/>
        </w:rPr>
        <w:t>.</w:t>
      </w:r>
      <w:r w:rsidR="0046696D">
        <w:rPr>
          <w:rFonts w:ascii="Cambria" w:hAnsi="Cambria"/>
        </w:rPr>
        <w:t xml:space="preserve"> In 2012 the WHO launched a global effort to eradicate the disease by 2020</w:t>
      </w:r>
      <w:r w:rsidR="00131837">
        <w:rPr>
          <w:rFonts w:ascii="Cambria" w:hAnsi="Cambria"/>
        </w:rPr>
        <w:fldChar w:fldCharType="begin"/>
      </w:r>
      <w:r w:rsidR="00832180">
        <w:rPr>
          <w:rFonts w:ascii="Cambria" w:hAnsi="Cambria"/>
        </w:rPr>
        <w:instrText xml:space="preserve"> ADDIN ZOTERO_ITEM CSL_CITATION {"citationID":"1ob9ulrl99","properties":{"formattedCitation":"[4]","plainCitation":"[4]"},"citationItems":[{"id":476,"uris":["http://zotero.org/users/38820/items/FBHVAPPH"],"uri":["http://zotero.org/users/38820/items/FBHVAPPH"],"itemData":{"id":476,"type":"article-journal","title":"Eradication of yaws - the Morges Strategy","container-title":"Weekly Epidemiological Record","page":"189-194","volume":"87","issue":"20","author":[{"family":"The World Health Organisation","given":""}],"issued":{"date-parts":[["2012"]]}}}],"schema":"https://github.com/citation-style-language/schema/raw/master/csl-citation.json"} </w:instrText>
      </w:r>
      <w:r w:rsidR="00131837">
        <w:rPr>
          <w:rFonts w:ascii="Cambria" w:hAnsi="Cambria"/>
        </w:rPr>
        <w:fldChar w:fldCharType="separate"/>
      </w:r>
      <w:r w:rsidR="00832180">
        <w:rPr>
          <w:rFonts w:ascii="Cambria" w:hAnsi="Cambria"/>
          <w:lang w:val="en-US"/>
        </w:rPr>
        <w:t>[4]</w:t>
      </w:r>
      <w:r w:rsidR="00131837">
        <w:rPr>
          <w:rFonts w:ascii="Cambria" w:hAnsi="Cambria"/>
        </w:rPr>
        <w:fldChar w:fldCharType="end"/>
      </w:r>
      <w:r w:rsidR="002050D9">
        <w:rPr>
          <w:rFonts w:ascii="Cambria" w:hAnsi="Cambria"/>
        </w:rPr>
        <w:t xml:space="preserve"> and the development of a rapid diagnostic test for yaws has been identified as priority for the eradication programme</w:t>
      </w:r>
      <w:r w:rsidR="0046696D">
        <w:rPr>
          <w:rFonts w:ascii="Cambria" w:hAnsi="Cambria"/>
        </w:rPr>
        <w:t xml:space="preserve">. As </w:t>
      </w:r>
      <w:r w:rsidR="0046696D" w:rsidRPr="00DC027F">
        <w:rPr>
          <w:rFonts w:ascii="Cambria" w:hAnsi="Cambria"/>
        </w:rPr>
        <w:t xml:space="preserve">yaws is serologically indistinguishable from syphilis </w:t>
      </w:r>
      <w:r w:rsidR="00131837" w:rsidRPr="00DC027F">
        <w:rPr>
          <w:rFonts w:ascii="Cambria" w:hAnsi="Cambria"/>
        </w:rPr>
        <w:fldChar w:fldCharType="begin"/>
      </w:r>
      <w:r w:rsidR="00832180">
        <w:rPr>
          <w:rFonts w:ascii="Cambria" w:hAnsi="Cambria"/>
        </w:rPr>
        <w:instrText xml:space="preserve"> ADDIN ZOTERO_ITEM CSL_CITATION {"citationID":"1psv781eil","properties":{"formattedCitation":"[5]","plainCitation":"[5]"},"citationItems":[{"id":101,"uris":["http://zotero.org/users/38820/items/4HZ9WW4H"],"uri":["http://zotero.org/users/38820/items/4HZ9WW4H"],"itemData":{"id":101,"type":"article-journal","title":"Molecular basis of immunological cross-reactivity between &lt;i&gt;Treponema pallidum &lt;/i&gt; and &lt;i&gt;Treponema pertenue&lt;/i&gt;.","container-title":"Infection and Immunity","page":"634-638","volume":"42","issue":"2","source":"PubMed Central","abstract":"Protein antigens of Treponema pallidum, Nichols strain, and Treponema pertenue, Gauthier strain, were identified by sodium dodecyl sulfate-polyacrylamide gel electrophoresis and Western blotting techniques. Treponemal proteins were solubilized in 1% sodium dodecyl sulfate, electrophoresed on 12.5% polyacrylamide gels, and either stained with Coomassie brilliant blue or electrophoretically transferred to nitrocellulose paper. These antigen blots were incubated with sera from rabbits infected with either T. pallidum or T. pertenue and 125I-labeled staphylococcal protein A and exposed to X-ray film for visualization of antigenic molecules. Protein profiles of each organism separated by sodium dodecyl sulfate-polyacrylamide gel electrophoresis and stained with Coomassie brilliant blue showed no distinguishable differences. Antigenic profiles as determined by Western blots were similar with two exceptions. A 39,500-dalton band was present on T. pertenue but absent from T. pallidum, and a 19,000-dalton band was present on T. pallidum but absent from T. pertenue (although two additional antigenic bands at 21,000 and 18,000 daltons were seen on T. pertenue). Because these differences were detected by using antisera raised against either T. pallidum or T. pertenue, these molecules must contain some antigenic determinants in common despite their differences in molecular weight.","ISSN":"0019-9567","note":"PMID: 6358028\nPMCID: PMC264476","journalAbbreviation":"Infect Immun","author":[{"family":"Baker-Zander","given":"S A"},{"family":"Lukehart","given":"S A"}],"issued":{"date-parts":[["1983",11]]},"PMID":"6358028","PMCID":"PMC264476"}}],"schema":"https://github.com/citation-style-language/schema/raw/master/csl-citation.json"} </w:instrText>
      </w:r>
      <w:r w:rsidR="00131837" w:rsidRPr="00DC027F">
        <w:rPr>
          <w:rFonts w:ascii="Cambria" w:hAnsi="Cambria"/>
        </w:rPr>
        <w:fldChar w:fldCharType="separate"/>
      </w:r>
      <w:r w:rsidR="00832180">
        <w:rPr>
          <w:rFonts w:ascii="Cambria" w:hAnsi="Cambria"/>
          <w:lang w:val="en-US"/>
        </w:rPr>
        <w:t>[5]</w:t>
      </w:r>
      <w:r w:rsidR="00131837" w:rsidRPr="00DC027F">
        <w:rPr>
          <w:rFonts w:ascii="Cambria" w:hAnsi="Cambria"/>
        </w:rPr>
        <w:fldChar w:fldCharType="end"/>
      </w:r>
      <w:r w:rsidR="0046696D" w:rsidRPr="00DC027F">
        <w:rPr>
          <w:rFonts w:ascii="Cambria" w:hAnsi="Cambria"/>
        </w:rPr>
        <w:t xml:space="preserve">, </w:t>
      </w:r>
      <w:r w:rsidR="0046696D">
        <w:rPr>
          <w:rFonts w:ascii="Cambria" w:hAnsi="Cambria"/>
        </w:rPr>
        <w:t xml:space="preserve">tests developed for syphilis may also be of value in the diagnosis of yaws. </w:t>
      </w:r>
    </w:p>
    <w:p w14:paraId="7E5DFA40" w14:textId="77777777" w:rsidR="0046696D" w:rsidRDefault="0046696D" w:rsidP="00FD2CAB">
      <w:pPr>
        <w:rPr>
          <w:rFonts w:ascii="Cambria" w:hAnsi="Cambria"/>
        </w:rPr>
      </w:pPr>
    </w:p>
    <w:p w14:paraId="7656634E" w14:textId="088CD0F9" w:rsidR="00CA31BC" w:rsidRDefault="004D5306" w:rsidP="00FD2CAB">
      <w:pPr>
        <w:rPr>
          <w:rFonts w:ascii="Cambria" w:hAnsi="Cambria"/>
        </w:rPr>
      </w:pPr>
      <w:r>
        <w:rPr>
          <w:rFonts w:ascii="Cambria" w:hAnsi="Cambria"/>
        </w:rPr>
        <w:t xml:space="preserve">Diagnosis </w:t>
      </w:r>
      <w:proofErr w:type="gramStart"/>
      <w:r>
        <w:rPr>
          <w:rFonts w:ascii="Cambria" w:hAnsi="Cambria"/>
        </w:rPr>
        <w:t xml:space="preserve">of  </w:t>
      </w:r>
      <w:proofErr w:type="spellStart"/>
      <w:r>
        <w:rPr>
          <w:rFonts w:ascii="Cambria" w:hAnsi="Cambria"/>
        </w:rPr>
        <w:t>treponemal</w:t>
      </w:r>
      <w:proofErr w:type="spellEnd"/>
      <w:proofErr w:type="gramEnd"/>
      <w:r>
        <w:rPr>
          <w:rFonts w:ascii="Cambria" w:hAnsi="Cambria"/>
        </w:rPr>
        <w:t xml:space="preserve"> infections is based on serological tests that are classified as </w:t>
      </w:r>
      <w:proofErr w:type="spellStart"/>
      <w:r w:rsidRPr="00DC027F">
        <w:rPr>
          <w:rFonts w:ascii="Cambria" w:hAnsi="Cambria"/>
        </w:rPr>
        <w:t>treponemal</w:t>
      </w:r>
      <w:proofErr w:type="spellEnd"/>
      <w:r w:rsidRPr="00DC027F">
        <w:rPr>
          <w:rFonts w:ascii="Cambria" w:hAnsi="Cambria"/>
        </w:rPr>
        <w:t xml:space="preserve"> specific, such as the </w:t>
      </w:r>
      <w:proofErr w:type="spellStart"/>
      <w:r w:rsidRPr="00DC027F">
        <w:rPr>
          <w:rFonts w:ascii="Cambria" w:hAnsi="Cambria"/>
          <w:i/>
        </w:rPr>
        <w:t>Treponema</w:t>
      </w:r>
      <w:proofErr w:type="spellEnd"/>
      <w:r w:rsidRPr="00DC027F">
        <w:rPr>
          <w:rFonts w:ascii="Cambria" w:hAnsi="Cambria"/>
          <w:i/>
        </w:rPr>
        <w:t xml:space="preserve"> </w:t>
      </w:r>
      <w:proofErr w:type="spellStart"/>
      <w:r w:rsidRPr="00DC027F">
        <w:rPr>
          <w:rFonts w:ascii="Cambria" w:hAnsi="Cambria"/>
          <w:i/>
        </w:rPr>
        <w:t>pallidum</w:t>
      </w:r>
      <w:proofErr w:type="spellEnd"/>
      <w:r w:rsidRPr="00DC027F">
        <w:rPr>
          <w:rFonts w:ascii="Cambria" w:hAnsi="Cambria"/>
        </w:rPr>
        <w:t xml:space="preserve"> particle agglutination assay (TPPA) </w:t>
      </w:r>
      <w:proofErr w:type="spellStart"/>
      <w:r w:rsidR="005E667D" w:rsidRPr="00DC027F">
        <w:rPr>
          <w:rFonts w:ascii="Cambria" w:hAnsi="Cambria"/>
          <w:i/>
        </w:rPr>
        <w:t>Treponema</w:t>
      </w:r>
      <w:proofErr w:type="spellEnd"/>
      <w:r w:rsidR="005E667D" w:rsidRPr="00DC027F">
        <w:rPr>
          <w:rFonts w:ascii="Cambria" w:hAnsi="Cambria"/>
          <w:i/>
        </w:rPr>
        <w:t xml:space="preserve"> </w:t>
      </w:r>
      <w:proofErr w:type="spellStart"/>
      <w:r w:rsidR="005E667D" w:rsidRPr="00DC027F">
        <w:rPr>
          <w:rFonts w:ascii="Cambria" w:hAnsi="Cambria"/>
          <w:i/>
        </w:rPr>
        <w:t>pallidum</w:t>
      </w:r>
      <w:proofErr w:type="spellEnd"/>
      <w:r w:rsidR="005E667D" w:rsidRPr="00DC027F">
        <w:rPr>
          <w:rFonts w:ascii="Cambria" w:hAnsi="Cambria"/>
        </w:rPr>
        <w:t xml:space="preserve"> </w:t>
      </w:r>
      <w:proofErr w:type="spellStart"/>
      <w:r w:rsidR="005E667D">
        <w:rPr>
          <w:rFonts w:ascii="Cambria" w:hAnsi="Cambria"/>
        </w:rPr>
        <w:t>haem</w:t>
      </w:r>
      <w:r w:rsidR="005E667D" w:rsidRPr="00DC027F">
        <w:rPr>
          <w:rFonts w:ascii="Cambria" w:hAnsi="Cambria"/>
        </w:rPr>
        <w:t>agglutination</w:t>
      </w:r>
      <w:proofErr w:type="spellEnd"/>
      <w:r w:rsidR="005E667D" w:rsidRPr="00DC027F">
        <w:rPr>
          <w:rFonts w:ascii="Cambria" w:hAnsi="Cambria"/>
        </w:rPr>
        <w:t xml:space="preserve"> assay </w:t>
      </w:r>
      <w:r w:rsidR="005E667D">
        <w:rPr>
          <w:rFonts w:ascii="Cambria" w:hAnsi="Cambria"/>
        </w:rPr>
        <w:t xml:space="preserve">(TPHA) </w:t>
      </w:r>
      <w:r w:rsidR="006569D8">
        <w:rPr>
          <w:rFonts w:ascii="Cambria" w:hAnsi="Cambria"/>
        </w:rPr>
        <w:t xml:space="preserve">, enzyme-linked </w:t>
      </w:r>
      <w:proofErr w:type="spellStart"/>
      <w:r w:rsidR="006569D8">
        <w:rPr>
          <w:rFonts w:ascii="Cambria" w:hAnsi="Cambria"/>
        </w:rPr>
        <w:t>immmunosorbent</w:t>
      </w:r>
      <w:proofErr w:type="spellEnd"/>
      <w:r w:rsidR="006569D8">
        <w:rPr>
          <w:rFonts w:ascii="Cambria" w:hAnsi="Cambria"/>
        </w:rPr>
        <w:t xml:space="preserve"> assay (ELISA)</w:t>
      </w:r>
      <w:r w:rsidR="00FF5F7A">
        <w:rPr>
          <w:rFonts w:ascii="Cambria" w:hAnsi="Cambria"/>
        </w:rPr>
        <w:t>, enzyme immunoassay (EIA)</w:t>
      </w:r>
      <w:r w:rsidR="006569D8">
        <w:rPr>
          <w:rFonts w:ascii="Cambria" w:hAnsi="Cambria"/>
        </w:rPr>
        <w:t xml:space="preserve"> </w:t>
      </w:r>
      <w:r w:rsidRPr="00DC027F">
        <w:rPr>
          <w:rFonts w:ascii="Cambria" w:hAnsi="Cambria"/>
        </w:rPr>
        <w:t xml:space="preserve">or the </w:t>
      </w:r>
      <w:r w:rsidRPr="00DC027F">
        <w:t xml:space="preserve">fluorescent </w:t>
      </w:r>
      <w:proofErr w:type="spellStart"/>
      <w:r w:rsidRPr="00DC027F">
        <w:t>treponemal</w:t>
      </w:r>
      <w:proofErr w:type="spellEnd"/>
      <w:r w:rsidRPr="00DC027F">
        <w:t xml:space="preserve"> antibody test</w:t>
      </w:r>
      <w:r w:rsidRPr="00DC027F">
        <w:rPr>
          <w:rFonts w:ascii="Cambria" w:hAnsi="Cambria"/>
        </w:rPr>
        <w:t xml:space="preserve">, </w:t>
      </w:r>
      <w:r>
        <w:rPr>
          <w:rFonts w:ascii="Cambria" w:hAnsi="Cambria"/>
        </w:rPr>
        <w:t>or</w:t>
      </w:r>
      <w:r w:rsidRPr="00DC027F">
        <w:rPr>
          <w:rFonts w:ascii="Cambria" w:hAnsi="Cambria"/>
        </w:rPr>
        <w:t xml:space="preserve"> non-</w:t>
      </w:r>
      <w:proofErr w:type="spellStart"/>
      <w:r w:rsidRPr="00DC027F">
        <w:rPr>
          <w:rFonts w:ascii="Cambria" w:hAnsi="Cambria"/>
        </w:rPr>
        <w:t>treponemal</w:t>
      </w:r>
      <w:proofErr w:type="spellEnd"/>
      <w:r w:rsidRPr="00DC027F">
        <w:rPr>
          <w:rFonts w:ascii="Cambria" w:hAnsi="Cambria"/>
        </w:rPr>
        <w:t xml:space="preserve">, such </w:t>
      </w:r>
      <w:r>
        <w:rPr>
          <w:rFonts w:ascii="Cambria" w:hAnsi="Cambria"/>
        </w:rPr>
        <w:t xml:space="preserve">as the </w:t>
      </w:r>
      <w:r w:rsidRPr="00DC027F">
        <w:rPr>
          <w:rFonts w:ascii="Cambria" w:hAnsi="Cambria"/>
        </w:rPr>
        <w:t xml:space="preserve">Venereal Disease Research Laboratory (VDRL) </w:t>
      </w:r>
      <w:r>
        <w:rPr>
          <w:rFonts w:ascii="Cambria" w:hAnsi="Cambria"/>
        </w:rPr>
        <w:t xml:space="preserve">or the </w:t>
      </w:r>
      <w:r w:rsidRPr="00DC027F">
        <w:rPr>
          <w:rFonts w:ascii="Cambria" w:hAnsi="Cambria"/>
        </w:rPr>
        <w:t xml:space="preserve">Rapid Plasma </w:t>
      </w:r>
      <w:proofErr w:type="spellStart"/>
      <w:r w:rsidRPr="00DC027F">
        <w:rPr>
          <w:rFonts w:ascii="Cambria" w:hAnsi="Cambria"/>
        </w:rPr>
        <w:t>Reagin</w:t>
      </w:r>
      <w:proofErr w:type="spellEnd"/>
      <w:r w:rsidRPr="00DC027F">
        <w:rPr>
          <w:rFonts w:ascii="Cambria" w:hAnsi="Cambria"/>
        </w:rPr>
        <w:t xml:space="preserve"> (RPR) </w:t>
      </w:r>
      <w:r>
        <w:rPr>
          <w:rFonts w:ascii="Cambria" w:hAnsi="Cambria"/>
        </w:rPr>
        <w:t>assay</w:t>
      </w:r>
      <w:r w:rsidRPr="00DC027F">
        <w:rPr>
          <w:rFonts w:ascii="Cambria" w:hAnsi="Cambria"/>
        </w:rPr>
        <w:t xml:space="preserve">. </w:t>
      </w:r>
      <w:proofErr w:type="spellStart"/>
      <w:r>
        <w:rPr>
          <w:rFonts w:ascii="Cambria" w:hAnsi="Cambria"/>
        </w:rPr>
        <w:t>Treponemal</w:t>
      </w:r>
      <w:proofErr w:type="spellEnd"/>
      <w:r>
        <w:rPr>
          <w:rFonts w:ascii="Cambria" w:hAnsi="Cambria"/>
        </w:rPr>
        <w:t xml:space="preserve"> tests are highly specific but </w:t>
      </w:r>
      <w:r w:rsidR="00420ADE">
        <w:rPr>
          <w:rFonts w:ascii="Cambria" w:hAnsi="Cambria"/>
        </w:rPr>
        <w:t xml:space="preserve">frequently </w:t>
      </w:r>
      <w:r>
        <w:rPr>
          <w:rFonts w:ascii="Cambria" w:hAnsi="Cambria"/>
        </w:rPr>
        <w:t xml:space="preserve">remain positive for life following infection, regardless of treatment or natural clearance. </w:t>
      </w:r>
      <w:r w:rsidR="00CA31BC">
        <w:rPr>
          <w:rFonts w:ascii="Cambria" w:hAnsi="Cambria"/>
        </w:rPr>
        <w:t>Non-</w:t>
      </w:r>
      <w:proofErr w:type="spellStart"/>
      <w:r w:rsidR="00CA31BC">
        <w:rPr>
          <w:rFonts w:ascii="Cambria" w:hAnsi="Cambria"/>
        </w:rPr>
        <w:t>treponemal</w:t>
      </w:r>
      <w:proofErr w:type="spellEnd"/>
      <w:r w:rsidR="00CA31BC">
        <w:rPr>
          <w:rFonts w:ascii="Cambria" w:hAnsi="Cambria"/>
        </w:rPr>
        <w:t xml:space="preserve"> tests are less-specific but reflect </w:t>
      </w:r>
      <w:r>
        <w:rPr>
          <w:rFonts w:ascii="Cambria" w:hAnsi="Cambria"/>
        </w:rPr>
        <w:t xml:space="preserve">active </w:t>
      </w:r>
      <w:r w:rsidR="00CA31BC">
        <w:rPr>
          <w:rFonts w:ascii="Cambria" w:hAnsi="Cambria"/>
        </w:rPr>
        <w:t>disease more accurately</w:t>
      </w:r>
      <w:r w:rsidR="00420ADE">
        <w:rPr>
          <w:rFonts w:ascii="Cambria" w:hAnsi="Cambria"/>
        </w:rPr>
        <w:t>, although positive non-</w:t>
      </w:r>
      <w:proofErr w:type="spellStart"/>
      <w:r w:rsidR="00420ADE">
        <w:rPr>
          <w:rFonts w:ascii="Cambria" w:hAnsi="Cambria"/>
        </w:rPr>
        <w:t>treponemal</w:t>
      </w:r>
      <w:proofErr w:type="spellEnd"/>
      <w:r w:rsidR="00420ADE">
        <w:rPr>
          <w:rFonts w:ascii="Cambria" w:hAnsi="Cambria"/>
        </w:rPr>
        <w:t xml:space="preserve"> results may also be seen in </w:t>
      </w:r>
      <w:proofErr w:type="spellStart"/>
      <w:r w:rsidR="00420ADE">
        <w:rPr>
          <w:rFonts w:ascii="Cambria" w:hAnsi="Cambria"/>
        </w:rPr>
        <w:t>serofast</w:t>
      </w:r>
      <w:proofErr w:type="spellEnd"/>
      <w:r w:rsidR="00420ADE">
        <w:rPr>
          <w:rFonts w:ascii="Cambria" w:hAnsi="Cambria"/>
        </w:rPr>
        <w:t xml:space="preserve"> patients</w:t>
      </w:r>
      <w:r w:rsidR="00CA31BC">
        <w:rPr>
          <w:rFonts w:ascii="Cambria" w:hAnsi="Cambria"/>
        </w:rPr>
        <w:t xml:space="preserve"> </w:t>
      </w:r>
      <w:r>
        <w:rPr>
          <w:rFonts w:ascii="Cambria" w:hAnsi="Cambria"/>
        </w:rPr>
        <w:t xml:space="preserve">Diagnosis </w:t>
      </w:r>
      <w:proofErr w:type="gramStart"/>
      <w:r>
        <w:rPr>
          <w:rFonts w:ascii="Cambria" w:hAnsi="Cambria"/>
        </w:rPr>
        <w:t xml:space="preserve">of  </w:t>
      </w:r>
      <w:proofErr w:type="spellStart"/>
      <w:r>
        <w:rPr>
          <w:rFonts w:ascii="Cambria" w:hAnsi="Cambria"/>
        </w:rPr>
        <w:t>treponemal</w:t>
      </w:r>
      <w:proofErr w:type="spellEnd"/>
      <w:proofErr w:type="gramEnd"/>
      <w:r>
        <w:rPr>
          <w:rFonts w:ascii="Cambria" w:hAnsi="Cambria"/>
        </w:rPr>
        <w:t xml:space="preserve"> infections is generally based on a combination of both types of test as well as clinical findings and history.  </w:t>
      </w:r>
    </w:p>
    <w:p w14:paraId="6B2CA37D" w14:textId="77777777" w:rsidR="00CA31BC" w:rsidRPr="00DC027F" w:rsidRDefault="00CA31BC" w:rsidP="00FD2CAB">
      <w:pPr>
        <w:rPr>
          <w:rFonts w:ascii="Cambria" w:hAnsi="Cambria"/>
        </w:rPr>
      </w:pPr>
    </w:p>
    <w:p w14:paraId="2A88F1DD" w14:textId="24EEA757" w:rsidR="00840408" w:rsidRDefault="004D5306" w:rsidP="00FD2CAB">
      <w:pPr>
        <w:rPr>
          <w:rFonts w:ascii="Cambria" w:hAnsi="Cambria"/>
        </w:rPr>
      </w:pPr>
      <w:r>
        <w:rPr>
          <w:rFonts w:ascii="Cambria" w:hAnsi="Cambria"/>
        </w:rPr>
        <w:t>R</w:t>
      </w:r>
      <w:r w:rsidRPr="00DC027F">
        <w:rPr>
          <w:rFonts w:ascii="Cambria" w:hAnsi="Cambria"/>
        </w:rPr>
        <w:t>apid diagnostic test</w:t>
      </w:r>
      <w:r>
        <w:rPr>
          <w:rFonts w:ascii="Cambria" w:hAnsi="Cambria"/>
        </w:rPr>
        <w:t>s</w:t>
      </w:r>
      <w:r w:rsidRPr="00DC027F">
        <w:rPr>
          <w:rFonts w:ascii="Cambria" w:hAnsi="Cambria"/>
        </w:rPr>
        <w:t xml:space="preserve"> (RDT)</w:t>
      </w:r>
      <w:r>
        <w:rPr>
          <w:rFonts w:ascii="Cambria" w:hAnsi="Cambria"/>
        </w:rPr>
        <w:t xml:space="preserve"> for </w:t>
      </w:r>
      <w:proofErr w:type="spellStart"/>
      <w:r>
        <w:rPr>
          <w:rFonts w:ascii="Cambria" w:hAnsi="Cambria"/>
        </w:rPr>
        <w:t>treponemal</w:t>
      </w:r>
      <w:proofErr w:type="spellEnd"/>
      <w:r>
        <w:rPr>
          <w:rFonts w:ascii="Cambria" w:hAnsi="Cambria"/>
        </w:rPr>
        <w:t xml:space="preserve"> infections are a relatively recent development</w:t>
      </w:r>
      <w:r w:rsidR="00F923BD">
        <w:rPr>
          <w:rFonts w:ascii="Cambria" w:hAnsi="Cambria"/>
        </w:rPr>
        <w:t>,</w:t>
      </w:r>
      <w:r w:rsidRPr="00DC027F">
        <w:rPr>
          <w:rFonts w:ascii="Cambria" w:hAnsi="Cambria"/>
        </w:rPr>
        <w:t xml:space="preserve"> </w:t>
      </w:r>
      <w:r>
        <w:rPr>
          <w:rFonts w:ascii="Cambria" w:hAnsi="Cambria"/>
        </w:rPr>
        <w:t xml:space="preserve">which </w:t>
      </w:r>
      <w:r w:rsidRPr="00DC027F">
        <w:rPr>
          <w:rFonts w:ascii="Cambria" w:hAnsi="Cambria"/>
        </w:rPr>
        <w:t>allow wider access to diagnostic testing</w:t>
      </w:r>
      <w:r>
        <w:rPr>
          <w:rFonts w:ascii="Cambria" w:hAnsi="Cambria"/>
        </w:rPr>
        <w:t>, particularly for</w:t>
      </w:r>
      <w:r w:rsidRPr="00DC027F">
        <w:rPr>
          <w:rFonts w:ascii="Cambria" w:hAnsi="Cambria"/>
        </w:rPr>
        <w:t xml:space="preserve"> communities where </w:t>
      </w:r>
      <w:r>
        <w:rPr>
          <w:rFonts w:ascii="Cambria" w:hAnsi="Cambria"/>
        </w:rPr>
        <w:t xml:space="preserve">routine </w:t>
      </w:r>
      <w:r w:rsidRPr="00DC027F">
        <w:rPr>
          <w:rFonts w:ascii="Cambria" w:hAnsi="Cambria"/>
        </w:rPr>
        <w:t>laboratory facilities are not available.</w:t>
      </w:r>
      <w:r>
        <w:rPr>
          <w:rFonts w:ascii="Cambria" w:hAnsi="Cambria"/>
        </w:rPr>
        <w:t xml:space="preserve"> </w:t>
      </w:r>
      <w:r w:rsidR="00840408">
        <w:rPr>
          <w:rFonts w:ascii="Cambria" w:hAnsi="Cambria"/>
        </w:rPr>
        <w:t>RDTs facilitate improved screening, diagnosis and treatment of</w:t>
      </w:r>
      <w:r>
        <w:rPr>
          <w:rFonts w:ascii="Cambria" w:hAnsi="Cambria"/>
        </w:rPr>
        <w:t xml:space="preserve"> syphilis in</w:t>
      </w:r>
      <w:r w:rsidR="00840408">
        <w:rPr>
          <w:rFonts w:ascii="Cambria" w:hAnsi="Cambria"/>
        </w:rPr>
        <w:t xml:space="preserve"> women presenting to antenatal clinics in low resource settings</w:t>
      </w:r>
      <w:r w:rsidR="00131837">
        <w:rPr>
          <w:rFonts w:ascii="Cambria" w:hAnsi="Cambria"/>
        </w:rPr>
        <w:fldChar w:fldCharType="begin"/>
      </w:r>
      <w:r w:rsidR="00832180">
        <w:rPr>
          <w:rFonts w:ascii="Cambria" w:hAnsi="Cambria"/>
        </w:rPr>
        <w:instrText xml:space="preserve"> ADDIN ZOTERO_ITEM CSL_CITATION {"citationID":"1m0t8go8aj","properties":{"formattedCitation":"[6]","plainCitation":"[6]"},"citationItems":[{"id":109,"uris":["http://zotero.org/users/38820/items/4NR5BUDT"],"uri":["http://zotero.org/users/38820/items/4NR5BUDT"],"itemData":{"id":109,"type":"article-journal","title":"Are &lt;i&gt;Treponema pallidum&lt;/i&gt; Specific Rapid and Point-of-Care Tests for Syphilis Accurate Enough for Screening in Resource Limited Settings? Evidence from a Meta-Analysis","container-title":"PLoS ONE","page":"e54695","volume":"8","issue":"2","source":"PLoS Journals","abstract":"BackgroundRapid and point-of-care (POC) tests for syphilis are an invaluable screening tool, yet inadequate evaluation of their diagnostic accuracy against best reference standards limits their widespread global uptake. To fill this gap, a systematic review and meta-analysis was conducted to evaluate the sensitivity and specificity of rapid and POC tests in blood and serum samples against Treponema pallidum (TP) specific reference standards.MethodsFive electronic databases (1980–2012) were searched, data was extracted from 33 articles, and Bayesian hierarchical models were fit.ResultsIn serum samples, against a TP specific reference standard point estimates with 95% credible intervals (CrI) for the sensitivities of popular tests were: i) Determine, 90.04% (80.45, 95.21), ii) SD Bioline, 87.06% (75.67, 94.50), iii) VisiTect, 85.13% (72.83, 92.57), and iv) Syphicheck, 74.48% (56.85, 88.44), while specificities were: i) Syphicheck, 99.14% (96.37, 100), ii) Visitect, 96.45% (91.92, 99.29), iii) SD Bioline, 95.85% (89.89, 99.53), and iv) Determine, 94.15% (89.26, 97.66). In whole blood samples, sensitivities were: i) Determine, 86.32% (77.26, 91.70), ii) SD Bioline, 84.50% (78.81, 92.61), iii) Syphicheck, 74.47% (63.94, 82.13), and iv) VisiTect, 74.26% (53.62, 83.68), while specificities were: i) Syphicheck, 99.58% (98.91, 99.96), ii) VisiTect, 99.43% (98.22, 99.98), iii) SD Bioline, 97.95%(92.54, 99.33), and iv) Determine, 95.85% (92.42, 97.74).ConclusionsRapid and POC treponemal tests reported sensitivity and specificity estimates comparable to laboratory-based treponemal tests. In resource limited settings, where access to screening is limited and where risk of patients lost to follow up is high, the introduction of these tests has already been shown to improve access to screening and treatment to prevent stillbirths and neonatal mortality due to congenital syphilis. Based on the evidence, it is concluded that rapid and POC tests are useful in resource limited settings with poor access to laboratories or screening for syphilis.","DOI":"10.1371/journal.pone.0054695","shortTitle":"Are Treponema pallidum Specific Rapid and Point-of-Care Tests for Syphilis Accurate Enough for Screening in Resource Limited Settings?","journalAbbreviation":"PLoS ONE","author":[{"family":"Jafari","given":"Yalda"},{"family":"Peeling","given":"Rosanna W."},{"family":"Shivkumar","given":"Sushmita"},{"family":"Claessens","given":"Christiane"},{"family":"Joseph","given":"Lawrence"},{"family":"Pai","given":"Nitika Pant"}],"issued":{"date-parts":[["2013",2,26]]}}}],"schema":"https://github.com/citation-style-language/schema/raw/master/csl-citation.json"} </w:instrText>
      </w:r>
      <w:r w:rsidR="00131837">
        <w:rPr>
          <w:rFonts w:ascii="Cambria" w:hAnsi="Cambria"/>
        </w:rPr>
        <w:fldChar w:fldCharType="separate"/>
      </w:r>
      <w:r w:rsidR="00832180">
        <w:rPr>
          <w:rFonts w:ascii="Cambria" w:hAnsi="Cambria"/>
          <w:lang w:val="en-US"/>
        </w:rPr>
        <w:t>[6]</w:t>
      </w:r>
      <w:r w:rsidR="00131837">
        <w:rPr>
          <w:rFonts w:ascii="Cambria" w:hAnsi="Cambria"/>
        </w:rPr>
        <w:fldChar w:fldCharType="end"/>
      </w:r>
      <w:r w:rsidR="00C30BFE">
        <w:rPr>
          <w:rFonts w:ascii="Cambria" w:hAnsi="Cambria"/>
        </w:rPr>
        <w:t xml:space="preserve">and </w:t>
      </w:r>
      <w:r>
        <w:rPr>
          <w:rFonts w:ascii="Cambria" w:hAnsi="Cambria"/>
        </w:rPr>
        <w:t xml:space="preserve">reduce the morbidity and mortality associated </w:t>
      </w:r>
      <w:r w:rsidR="00F923BD">
        <w:rPr>
          <w:rFonts w:ascii="Cambria" w:hAnsi="Cambria"/>
        </w:rPr>
        <w:t xml:space="preserve">with </w:t>
      </w:r>
      <w:r w:rsidR="00D86310">
        <w:rPr>
          <w:rFonts w:ascii="Cambria" w:hAnsi="Cambria"/>
        </w:rPr>
        <w:t xml:space="preserve">mother-to-child transmission of syphilis. For </w:t>
      </w:r>
      <w:r w:rsidR="00840408">
        <w:rPr>
          <w:rFonts w:ascii="Cambria" w:hAnsi="Cambria"/>
        </w:rPr>
        <w:t>yaws, a rapid diagnostic test would be of value due to the low positive predictive value of clinical diagnosis alone</w:t>
      </w:r>
      <w:r w:rsidR="00131837">
        <w:rPr>
          <w:rFonts w:ascii="Cambria" w:hAnsi="Cambria"/>
        </w:rPr>
        <w:fldChar w:fldCharType="begin"/>
      </w:r>
      <w:r w:rsidR="00832180">
        <w:rPr>
          <w:rFonts w:ascii="Cambria" w:hAnsi="Cambria"/>
        </w:rPr>
        <w:instrText xml:space="preserve"> ADDIN ZOTERO_ITEM CSL_CITATION {"citationID":"1hk44f1k3e","properties":{"formattedCitation":"[7,8]","plainCitation":"[7,8]"},"citationItems":[{"id":3389,"uris":["http://zotero.org/users/38820/items/HJFF6854"],"uri":["http://zotero.org/users/38820/items/HJFF6854"],"itemData":{"id":3389,"type":"article-journal","title":"Molecular Differentiation of &lt;i&gt;Treponema pallidum&lt;/i&gt; Subspecies in Skin Ulceration Clinically Suspected as Yaws in Vanuatu Using Real-Time Multiplex PCR and Serological Methods","container-title":"The American Journal of Tropical Medicine and Hygiene","page":"134-138","volume":"92","issue":"1","source":"www.ajtmh.org","abstract":"Abstract.\nWe developed a TaqMan-based real-time quadriplex polymerase chain reaction (PCR) to simultaneously detect Treponema pallidum subspecies pallidum, T. pallidum subsp. pertenue, and T. pallidum subsp. endemicum, the causative agents of venereal syphilis, yaws, and bejel, respectively. The PCR assay was applied to samples from skin ulcerations of clinically presumptive yaws cases among children on Tanna Island, Vanuatu. Another real-time triplex PCR was used to screen for the point mutations in the 23S rRNA genes that have previously been associated with azithromycin resistance in T. pallidum subsp. pallidum strains. Seropositivity by the classical syphilis serological tests was 35.5% among children with skin ulcerations clinically suspected with yaws, whereas the presence of T. pallidum subsp. pertenue DNA was only found in lesions from 15.5% of children. No evidence of T. pallidum subsp. pertenue infection, by either PCR or serology was found in ∼59% of cases indicating alternative causes of yaws-like lesions in this endemic area.","DOI":"10.4269/ajtmh.14-0459","ISSN":"0002-9637,","note":"PMID: 25404075","journalAbbreviation":"Am J Trop Med Hyg","language":"en","author":[{"family":"Chi","given":"Kai-Hua"},{"family":"Danavall","given":"Damien"},{"family":"Taleo","given":"Fasihah"},{"family":"Pillay","given":"Allan"},{"family":"Ye","given":"Tun"},{"family":"Nachamkin","given":"Eli"},{"family":"Kool","given":"Jacob L."},{"family":"Fegan","given":"David"},{"family":"Asiedu","given":"Kingsley"},{"family":"Vestergaard","given":"Lasse S."},{"family":"Ballard","given":"Ronald C."},{"family":"Chen","given":"Cheng-Yen"}],"issued":{"date-parts":[["2015",7,1]]},"PMID":"25404075"}},{"id":3356,"uris":["http://zotero.org/users/38820/items/B24KEKIP"],"uri":["http://zotero.org/users/38820/items/B24KEKIP"],"itemData":{"id":3356,"type":"article-journal","title":"Mapping the Epidemiology of Yaws in the Solomon Islands: A Cluster Randomized Survey","container-title":"The American Journal of Tropical Medicine and Hygiene","page":"129-133","volume":"92","issue":"1","source":"www.ajtmh.org","abstract":"Abstract.\nYaws, a non-venereal treponemal disease, is targeted for eradication by 2020 but accurate epidemiological data to guide control programs remain sparse. The Solomon Islands reports the second highest number of cases of yaws worldwide. We conducted a cluster randomized survey of yaws in two provinces of the Solomon Islands. One thousand four hundred and ninety-seven (1,497) children 5–14 years of age were examined. Clinical signs of active yaws were found in 79 children (5.5%), whereas 140 children (9.4%) had evidence of healed yaws lesions. Four hundred and seventy (470) (31.4%) children had a positive Treponema pallidum particle agglutination assay (TPPA). Two hundred and eighty-five (285) children (19%) had a positive TPPA and rapid plasma regain assay. Risk of yaws increased with age and was more common in males. The prevalence of yaws at village level was the major risk factor for infection. Our findings suggest the village, not the household, should be the unit of treatment in the World Health Organization (WHO) yaws eradication strategy.","DOI":"10.4269/ajtmh.14-0438","ISSN":"0002-9637,","note":"PMID: 25422395","shortTitle":"Mapping the Epidemiology of Yaws in the Solomon Islands","journalAbbreviation":"Am J Trop Med Hyg","language":"en","author":[{"family":"Marks","given":"Michael"},{"family":"Vahi","given":"Ventis"},{"family":"Sokana","given":"Oliver"},{"family":"Puiahi","given":"Elliot"},{"family":"Pavluck","given":"Alex"},{"family":"Zhang","given":"Zaixing"},{"family":"Dalipanda","given":"Tenneth"},{"family":"Bottomley","given":"Christian"},{"family":"Mabey","given":"David C."},{"family":"Solomon","given":"Anthony W."}],"issued":{"date-parts":[["2015",7,1]]},"PMID":"25422395"}}],"schema":"https://github.com/citation-style-language/schema/raw/master/csl-citation.json"} </w:instrText>
      </w:r>
      <w:r w:rsidR="00131837">
        <w:rPr>
          <w:rFonts w:ascii="Cambria" w:hAnsi="Cambria"/>
        </w:rPr>
        <w:fldChar w:fldCharType="separate"/>
      </w:r>
      <w:r w:rsidR="00832180">
        <w:rPr>
          <w:rFonts w:ascii="Cambria" w:hAnsi="Cambria"/>
          <w:lang w:val="en-US"/>
        </w:rPr>
        <w:t>[7,8]</w:t>
      </w:r>
      <w:r w:rsidR="00131837">
        <w:rPr>
          <w:rFonts w:ascii="Cambria" w:hAnsi="Cambria"/>
        </w:rPr>
        <w:fldChar w:fldCharType="end"/>
      </w:r>
      <w:r w:rsidR="00840408">
        <w:rPr>
          <w:rFonts w:ascii="Cambria" w:hAnsi="Cambria"/>
        </w:rPr>
        <w:t xml:space="preserve">. Validation and roll out of a rapid diagnostic test would </w:t>
      </w:r>
      <w:r w:rsidR="00EF2D1D">
        <w:rPr>
          <w:rFonts w:ascii="Cambria" w:hAnsi="Cambria"/>
        </w:rPr>
        <w:t xml:space="preserve">lead to </w:t>
      </w:r>
      <w:r w:rsidR="00840408">
        <w:rPr>
          <w:rFonts w:ascii="Cambria" w:hAnsi="Cambria"/>
        </w:rPr>
        <w:t>improved epidemiological data on yaws worldwide</w:t>
      </w:r>
      <w:r w:rsidR="00C30BFE">
        <w:rPr>
          <w:rFonts w:ascii="Cambria" w:hAnsi="Cambria"/>
        </w:rPr>
        <w:t xml:space="preserve">, which </w:t>
      </w:r>
      <w:r w:rsidR="00027BAF">
        <w:rPr>
          <w:rFonts w:ascii="Cambria" w:hAnsi="Cambria"/>
        </w:rPr>
        <w:t xml:space="preserve">is a </w:t>
      </w:r>
      <w:r w:rsidR="00C30BFE">
        <w:rPr>
          <w:rFonts w:ascii="Cambria" w:hAnsi="Cambria"/>
        </w:rPr>
        <w:t xml:space="preserve">priority in facilitating </w:t>
      </w:r>
      <w:r w:rsidR="00840408">
        <w:rPr>
          <w:rFonts w:ascii="Cambria" w:hAnsi="Cambria"/>
        </w:rPr>
        <w:t xml:space="preserve">eradication </w:t>
      </w:r>
      <w:r w:rsidR="00131837">
        <w:rPr>
          <w:rFonts w:ascii="Cambria" w:hAnsi="Cambria"/>
        </w:rPr>
        <w:fldChar w:fldCharType="begin"/>
      </w:r>
      <w:r w:rsidR="00832180">
        <w:rPr>
          <w:rFonts w:ascii="Cambria" w:hAnsi="Cambria"/>
        </w:rPr>
        <w:instrText xml:space="preserve"> ADDIN ZOTERO_ITEM CSL_CITATION {"citationID":"thwFQQ9P","properties":{"formattedCitation":"[4,9]","plainCitation":"[4,9]"},"citationItems":[{"id":476,"uris":["http://zotero.org/users/38820/items/FBHVAPPH"],"uri":["http://zotero.org/users/38820/items/FBHVAPPH"],"itemData":{"id":476,"type":"article-journal","title":"Eradication of yaws - the Morges Strategy","container-title":"Weekly Epidemiological Record","page":"189-194","volume":"87","issue":"20","author":[{"family":"The World Health Organisation","given":""}],"issued":{"date-parts":[["2012"]]}}},{"id":3592,"uris":["http://zotero.org/users/38820/items/65CJSEXU"],"uri":["http://zotero.org/users/38820/items/65CJSEXU"],"itemData":{"id":3592,"type":"article-journal","title":"Global epidemiology of yaws: a systematic review","container-title":"The Lancet. Global Health","page":"e324-331","volume":"3","issue":"6","source":"PubMed","abstract":"BACKGROUND: To achieve yaws eradication, the use of the new WHO strategy of initial mass treatment with azithromycin and surveillance twice a year needs to be extended everywhere the disease occurs. However, the geographic scope of the disease is unknown. We aimed to synthesise published and unpublished work to update the reported number of people with yaws at national and subnational levels and to estimate at-risk populations.\nMETHODS: We searched PubMed and WHO databases to identify published data for prevalence of active and latent yaws from Jan 1, 1990, to Dec 31, 2014. We also searched for ongoing or recently completed unpublished studies from the WHO yaws surveillance network. We estimated yaws prevalence (and 95% CIs). We collected yaws incidence data from official national surveillance programmes at the first administrative level from Jan 1, 2010, to Dec 31, 2013, and we used total population data at the second administrative level to estimate the size of at-risk populations.\nFINDINGS: We identified 103 records, of which 23 published articles describing 27 studies and four unpublished studies met the inclusion criteria. Prevalence of active disease ranged from 0·31% to 14·54% in yaws-endemic areas, and prevalence of latent yaws ranged from 2·45% to 31·05%. During 2010-13, 256 343 yaws cases were reported to WHO from 13 endemic countries, all of which are low-income and middle-income countries. 215 308 (84%) of 256 343 cases reported to WHO were from three countries-Papua New Guinea, Solomon Islands, and Ghana. We estimated that, in 2012, over 89 million people were living in yaws-endemic districts.\nINTERPRETATION: Papua New Guinea, Solomon Islands, and Ghana should be the focus of initial efforts at implementing the WHO yaws eradication strategy. Community-based mapping and active surveillance must accompany the implementation of yaws eradication activities.\nFUNDING: None.","DOI":"10.1016/S2214-109X(15)00011-X","ISSN":"2214-109X","note":"PMID: 26001576","shortTitle":"Global epidemiology of yaws","journalAbbreviation":"Lancet Glob Health","language":"eng","author":[{"family":"Mitjà","given":"Oriol"},{"family":"Marks","given":"Michael"},{"family":"Konan","given":"Diby J. P."},{"family":"Ayelo","given":"Gilbert"},{"family":"Gonzalez-Beiras","given":"Camila"},{"family":"Boua","given":"Bernard"},{"family":"Houinei","given":"Wendy"},{"family":"Kobara","given":"Yiragnima"},{"family":"Tabah","given":"Earnest N."},{"family":"Nsiire","given":"Agana"},{"family":"Obvala","given":"Damas"},{"family":"Taleo","given":"Fasiah"},{"family":"Djupuri","given":"Rita"},{"family":"Zaixing","given":"Zhang"},{"family":"Utzinger","given":"Jürg"},{"family":"Vestergaard","given":"Lase S."},{"family":"Bassat","given":"Quique"},{"family":"Asiedu","given":"Kingsley"}],"issued":{"date-parts":[["2015",6]]},"PMID":"26001576"}}],"schema":"https://github.com/citation-style-language/schema/raw/master/csl-citation.json"} </w:instrText>
      </w:r>
      <w:r w:rsidR="00131837">
        <w:rPr>
          <w:rFonts w:ascii="Cambria" w:hAnsi="Cambria"/>
        </w:rPr>
        <w:fldChar w:fldCharType="separate"/>
      </w:r>
      <w:r w:rsidR="00832180">
        <w:rPr>
          <w:rFonts w:ascii="Cambria" w:hAnsi="Cambria"/>
          <w:lang w:val="en-US"/>
        </w:rPr>
        <w:t>[4,9]</w:t>
      </w:r>
      <w:r w:rsidR="00131837">
        <w:rPr>
          <w:rFonts w:ascii="Cambria" w:hAnsi="Cambria"/>
        </w:rPr>
        <w:fldChar w:fldCharType="end"/>
      </w:r>
      <w:r w:rsidR="00840408">
        <w:rPr>
          <w:rFonts w:ascii="Cambria" w:hAnsi="Cambria"/>
        </w:rPr>
        <w:t>.</w:t>
      </w:r>
    </w:p>
    <w:p w14:paraId="62B38413" w14:textId="77777777" w:rsidR="00840408" w:rsidRDefault="00840408" w:rsidP="00FD2CAB">
      <w:pPr>
        <w:rPr>
          <w:rFonts w:ascii="Cambria" w:hAnsi="Cambria"/>
        </w:rPr>
      </w:pPr>
    </w:p>
    <w:p w14:paraId="1BDEB01C" w14:textId="72967318" w:rsidR="004D5306" w:rsidRPr="00DC027F" w:rsidRDefault="00840408" w:rsidP="00FD2CAB">
      <w:pPr>
        <w:rPr>
          <w:rFonts w:ascii="Cambria" w:hAnsi="Cambria"/>
        </w:rPr>
      </w:pPr>
      <w:r>
        <w:rPr>
          <w:rFonts w:ascii="Cambria" w:hAnsi="Cambria"/>
        </w:rPr>
        <w:lastRenderedPageBreak/>
        <w:t xml:space="preserve"> </w:t>
      </w:r>
      <w:r w:rsidR="004D5306">
        <w:rPr>
          <w:rFonts w:ascii="Cambria" w:hAnsi="Cambria"/>
        </w:rPr>
        <w:t xml:space="preserve">A major limitation to most </w:t>
      </w:r>
      <w:proofErr w:type="spellStart"/>
      <w:r w:rsidR="004D5306">
        <w:rPr>
          <w:rFonts w:ascii="Cambria" w:hAnsi="Cambria"/>
        </w:rPr>
        <w:t>treponemal</w:t>
      </w:r>
      <w:proofErr w:type="spellEnd"/>
      <w:r w:rsidR="004D5306">
        <w:rPr>
          <w:rFonts w:ascii="Cambria" w:hAnsi="Cambria"/>
        </w:rPr>
        <w:t xml:space="preserve"> RDTs is that they are based on detection of </w:t>
      </w:r>
      <w:proofErr w:type="spellStart"/>
      <w:r w:rsidR="004D5306">
        <w:rPr>
          <w:rFonts w:ascii="Cambria" w:hAnsi="Cambria"/>
        </w:rPr>
        <w:t>treponemal</w:t>
      </w:r>
      <w:proofErr w:type="spellEnd"/>
      <w:r w:rsidR="004D5306">
        <w:rPr>
          <w:rFonts w:ascii="Cambria" w:hAnsi="Cambria"/>
        </w:rPr>
        <w:t xml:space="preserve"> specific antibodies, and therefore cannot distinguish</w:t>
      </w:r>
      <w:r w:rsidR="005E667D">
        <w:rPr>
          <w:rFonts w:ascii="Cambria" w:hAnsi="Cambria"/>
        </w:rPr>
        <w:t xml:space="preserve"> between</w:t>
      </w:r>
      <w:r w:rsidR="004D5306">
        <w:rPr>
          <w:rFonts w:ascii="Cambria" w:hAnsi="Cambria"/>
        </w:rPr>
        <w:t xml:space="preserve"> current and past infection.</w:t>
      </w:r>
      <w:r w:rsidR="004D5306" w:rsidRPr="00DC027F">
        <w:rPr>
          <w:rFonts w:ascii="Cambria" w:hAnsi="Cambria"/>
        </w:rPr>
        <w:t xml:space="preserve"> </w:t>
      </w:r>
      <w:r w:rsidR="004D5306">
        <w:rPr>
          <w:rFonts w:ascii="Cambria" w:hAnsi="Cambria"/>
        </w:rPr>
        <w:t xml:space="preserve"> Resulting false positives lead to over-treatment of syphilis, as well </w:t>
      </w:r>
      <w:r w:rsidR="005E667D">
        <w:rPr>
          <w:rFonts w:ascii="Cambria" w:hAnsi="Cambria"/>
        </w:rPr>
        <w:t>a</w:t>
      </w:r>
      <w:r w:rsidR="004D5306">
        <w:rPr>
          <w:rFonts w:ascii="Cambria" w:hAnsi="Cambria"/>
        </w:rPr>
        <w:t>s problems in interpreting epidemiological data for both syphilis and yaws.</w:t>
      </w:r>
      <w:r w:rsidR="00C30BFE">
        <w:rPr>
          <w:rFonts w:ascii="Cambria" w:hAnsi="Cambria"/>
        </w:rPr>
        <w:t xml:space="preserve"> </w:t>
      </w:r>
      <w:r w:rsidR="00CA31BC" w:rsidRPr="00DC027F">
        <w:rPr>
          <w:rFonts w:ascii="Cambria" w:hAnsi="Cambria"/>
        </w:rPr>
        <w:t>The Dual Path Platform (DPP</w:t>
      </w:r>
      <w:r w:rsidR="00C712D2">
        <w:rPr>
          <w:rFonts w:ascii="Cambria" w:hAnsi="Cambria"/>
        </w:rPr>
        <w:t>-RDT</w:t>
      </w:r>
      <w:r w:rsidR="00CA31BC" w:rsidRPr="00DC027F">
        <w:rPr>
          <w:rFonts w:ascii="Cambria" w:hAnsi="Cambria"/>
        </w:rPr>
        <w:t>) Syphilis Screen and Confirm</w:t>
      </w:r>
      <w:r w:rsidR="00C30BFE">
        <w:rPr>
          <w:rFonts w:ascii="Cambria" w:hAnsi="Cambria"/>
        </w:rPr>
        <w:t xml:space="preserve"> test kit</w:t>
      </w:r>
      <w:r w:rsidR="00CA31BC" w:rsidRPr="00DC027F">
        <w:rPr>
          <w:rFonts w:ascii="Cambria" w:hAnsi="Cambria"/>
        </w:rPr>
        <w:t xml:space="preserve"> (</w:t>
      </w:r>
      <w:proofErr w:type="spellStart"/>
      <w:r w:rsidR="00CA31BC" w:rsidRPr="00DC027F">
        <w:rPr>
          <w:rFonts w:ascii="Cambria" w:hAnsi="Cambria"/>
        </w:rPr>
        <w:t>Chembio</w:t>
      </w:r>
      <w:proofErr w:type="spellEnd"/>
      <w:r w:rsidR="00CA31BC" w:rsidRPr="00DC027F">
        <w:rPr>
          <w:rFonts w:ascii="Cambria" w:hAnsi="Cambria"/>
        </w:rPr>
        <w:t xml:space="preserve">, Medford, NY, USA) </w:t>
      </w:r>
      <w:r w:rsidR="004D5306">
        <w:rPr>
          <w:rFonts w:ascii="Cambria" w:hAnsi="Cambria"/>
        </w:rPr>
        <w:t>is the first commercial RDT to</w:t>
      </w:r>
      <w:r w:rsidR="00CA31BC" w:rsidRPr="00DC027F">
        <w:rPr>
          <w:rFonts w:ascii="Cambria" w:hAnsi="Cambria"/>
        </w:rPr>
        <w:t xml:space="preserve"> </w:t>
      </w:r>
      <w:r w:rsidR="005E667D">
        <w:rPr>
          <w:rFonts w:ascii="Cambria" w:hAnsi="Cambria"/>
        </w:rPr>
        <w:t xml:space="preserve">give </w:t>
      </w:r>
      <w:r w:rsidR="00CA31BC" w:rsidRPr="00DC027F">
        <w:rPr>
          <w:rFonts w:ascii="Cambria" w:hAnsi="Cambria"/>
        </w:rPr>
        <w:t>both a “</w:t>
      </w:r>
      <w:proofErr w:type="spellStart"/>
      <w:r w:rsidR="00CA31BC" w:rsidRPr="00DC027F">
        <w:rPr>
          <w:rFonts w:ascii="Cambria" w:hAnsi="Cambria"/>
        </w:rPr>
        <w:t>treponemal</w:t>
      </w:r>
      <w:proofErr w:type="spellEnd"/>
      <w:r w:rsidR="00CA31BC" w:rsidRPr="00DC027F">
        <w:rPr>
          <w:rFonts w:ascii="Cambria" w:hAnsi="Cambria"/>
        </w:rPr>
        <w:t>” result and a “non-</w:t>
      </w:r>
      <w:proofErr w:type="spellStart"/>
      <w:r w:rsidR="00CA31BC" w:rsidRPr="00DC027F">
        <w:rPr>
          <w:rFonts w:ascii="Cambria" w:hAnsi="Cambria"/>
        </w:rPr>
        <w:t>treponemal</w:t>
      </w:r>
      <w:proofErr w:type="spellEnd"/>
      <w:r w:rsidR="00CA31BC" w:rsidRPr="00DC027F">
        <w:rPr>
          <w:rFonts w:ascii="Cambria" w:hAnsi="Cambria"/>
        </w:rPr>
        <w:t>” result</w:t>
      </w:r>
      <w:r w:rsidR="00131837" w:rsidRPr="00DC027F">
        <w:rPr>
          <w:rFonts w:ascii="Cambria" w:hAnsi="Cambria"/>
        </w:rPr>
        <w:fldChar w:fldCharType="begin"/>
      </w:r>
      <w:r w:rsidR="00832180">
        <w:rPr>
          <w:rFonts w:ascii="Cambria" w:hAnsi="Cambria"/>
        </w:rPr>
        <w:instrText xml:space="preserve"> ADDIN ZOTERO_ITEM CSL_CITATION {"citationID":"1bn6kj7db1","properties":{"formattedCitation":"[10]","plainCitation":"[10]"},"citationItems":[{"id":797,"uris":["http://zotero.org/users/38820/items/QZWGPW34"],"uri":["http://zotero.org/users/38820/items/QZWGPW34"],"itemData":{"id":797,"type":"article-journal","title":"Novel Point-of-Care Test for Simultaneous Detection of Nontreponemal and Treponemal Antibodies in Patients with Syphilis","container-title":"Journal of Clinical Microbiology","page":"4615-4619","volume":"48","issue":"12","source":"jcm.asm.org","abstract":"We describe a point-of-care immunochromatographic test for the simultaneous detection of both nontreponemal and treponemal antibodies in the sera of patients with syphilis that acts as both a screening and a confirmatory test. A total of 1,601 banked serum samples were examined by the dual test, and the results were compared to those obtained using a quantitative rapid plasma reagin (RPR) test and the Treponema pallidum passive particle agglutination (TP-PA) assay. Compared to the RPR test, the reactive concordance of the dual test nontreponemal line was 98.4% when the RPR titers of sera were ≥1:2 and the nonreactive concordance was 98.6%. Compared to the TP-PA assay, the reactive and nonreactive concordances of the treponemal line were 96.5% and 95.5%, respectively. These results indicate that the dual test could be used for the serological diagnosis of syphilis in primary health care clinics or resource-poor settings and therefore improve rates of treatment where patients may fail to return for their laboratory results.","DOI":"10.1128/JCM.00624-10","ISSN":"0095-1137, 1098-660X","note":"PMID: 20881177","journalAbbreviation":"J. Clin. Microbiol.","language":"en","author":[{"family":"Castro","given":"Arnold R."},{"family":"Esfandiari","given":"Javan"},{"family":"Kumar","given":"Shailendra"},{"family":"Ashton","given":"Matthew"},{"family":"Kikkert","given":"Susan E."},{"family":"Park","given":"Mahin M."},{"family":"Ballard","given":"Ronald C."}],"issued":{"date-parts":[["2010",1,12]]},"PMID":"20881177"}}],"schema":"https://github.com/citation-style-language/schema/raw/master/csl-citation.json"} </w:instrText>
      </w:r>
      <w:r w:rsidR="00131837" w:rsidRPr="00DC027F">
        <w:rPr>
          <w:rFonts w:ascii="Cambria" w:hAnsi="Cambria"/>
        </w:rPr>
        <w:fldChar w:fldCharType="separate"/>
      </w:r>
      <w:r w:rsidR="00832180">
        <w:rPr>
          <w:rFonts w:ascii="Cambria" w:hAnsi="Cambria"/>
          <w:lang w:val="en-US"/>
        </w:rPr>
        <w:t>[10]</w:t>
      </w:r>
      <w:r w:rsidR="00131837" w:rsidRPr="00DC027F">
        <w:rPr>
          <w:rFonts w:ascii="Cambria" w:hAnsi="Cambria"/>
        </w:rPr>
        <w:fldChar w:fldCharType="end"/>
      </w:r>
      <w:r w:rsidR="00C712D2">
        <w:rPr>
          <w:rFonts w:ascii="Cambria" w:hAnsi="Cambria"/>
        </w:rPr>
        <w:t xml:space="preserve"> and can therefore </w:t>
      </w:r>
      <w:r w:rsidR="004D5306">
        <w:rPr>
          <w:rFonts w:ascii="Cambria" w:hAnsi="Cambria"/>
        </w:rPr>
        <w:t xml:space="preserve"> assist in </w:t>
      </w:r>
      <w:r w:rsidR="00C712D2">
        <w:rPr>
          <w:rFonts w:ascii="Cambria" w:hAnsi="Cambria"/>
        </w:rPr>
        <w:t>distinguish</w:t>
      </w:r>
      <w:r w:rsidR="004D5306">
        <w:rPr>
          <w:rFonts w:ascii="Cambria" w:hAnsi="Cambria"/>
        </w:rPr>
        <w:t>ing</w:t>
      </w:r>
      <w:r w:rsidR="00C712D2">
        <w:rPr>
          <w:rFonts w:ascii="Cambria" w:hAnsi="Cambria"/>
        </w:rPr>
        <w:t xml:space="preserve"> between current and past infection</w:t>
      </w:r>
      <w:r w:rsidR="005E667D">
        <w:rPr>
          <w:rFonts w:ascii="Cambria" w:hAnsi="Cambria"/>
        </w:rPr>
        <w:t>,</w:t>
      </w:r>
      <w:r w:rsidR="005A73E5">
        <w:rPr>
          <w:rFonts w:ascii="Cambria" w:hAnsi="Cambria"/>
        </w:rPr>
        <w:t xml:space="preserve"> which may make it a more useful test in clinical practice</w:t>
      </w:r>
      <w:r w:rsidR="00C712D2">
        <w:rPr>
          <w:rFonts w:ascii="Cambria" w:hAnsi="Cambria"/>
        </w:rPr>
        <w:t>.</w:t>
      </w:r>
      <w:r w:rsidR="005A73E5">
        <w:rPr>
          <w:rFonts w:ascii="Cambria" w:hAnsi="Cambria"/>
        </w:rPr>
        <w:t xml:space="preserve"> </w:t>
      </w:r>
      <w:r w:rsidR="00AA4888">
        <w:rPr>
          <w:rFonts w:ascii="Calibri" w:hAnsi="Calibri" w:cs="Arial"/>
        </w:rPr>
        <w:t>The kit is a lateral flow assay detect</w:t>
      </w:r>
      <w:r w:rsidR="00F923BD">
        <w:rPr>
          <w:rFonts w:ascii="Calibri" w:hAnsi="Calibri" w:cs="Arial"/>
        </w:rPr>
        <w:t>ing</w:t>
      </w:r>
      <w:r w:rsidR="00AA4888">
        <w:rPr>
          <w:rFonts w:ascii="Calibri" w:hAnsi="Calibri" w:cs="Arial"/>
        </w:rPr>
        <w:t xml:space="preserve"> both </w:t>
      </w:r>
      <w:proofErr w:type="spellStart"/>
      <w:r w:rsidR="00AA4888">
        <w:rPr>
          <w:rFonts w:ascii="Calibri" w:hAnsi="Calibri" w:cs="Arial"/>
        </w:rPr>
        <w:t>IgM</w:t>
      </w:r>
      <w:proofErr w:type="spellEnd"/>
      <w:r w:rsidR="00AA4888">
        <w:rPr>
          <w:rFonts w:ascii="Calibri" w:hAnsi="Calibri" w:cs="Arial"/>
        </w:rPr>
        <w:t xml:space="preserve"> and </w:t>
      </w:r>
      <w:proofErr w:type="spellStart"/>
      <w:r w:rsidR="00AA4888">
        <w:rPr>
          <w:rFonts w:ascii="Calibri" w:hAnsi="Calibri" w:cs="Arial"/>
        </w:rPr>
        <w:t>IgG</w:t>
      </w:r>
      <w:proofErr w:type="spellEnd"/>
      <w:r w:rsidR="00AA4888">
        <w:rPr>
          <w:rFonts w:ascii="Calibri" w:hAnsi="Calibri" w:cs="Arial"/>
        </w:rPr>
        <w:t xml:space="preserve"> antibodies against </w:t>
      </w:r>
      <w:r w:rsidR="00AA4888" w:rsidRPr="000E6B21">
        <w:rPr>
          <w:rFonts w:ascii="Calibri" w:hAnsi="Calibri" w:cs="Arial"/>
        </w:rPr>
        <w:t xml:space="preserve">a recombinant </w:t>
      </w:r>
      <w:proofErr w:type="spellStart"/>
      <w:r w:rsidR="00AA4888" w:rsidRPr="002859BE">
        <w:rPr>
          <w:rFonts w:ascii="Calibri" w:hAnsi="Calibri" w:cs="Arial"/>
          <w:i/>
        </w:rPr>
        <w:t>T.pallidum</w:t>
      </w:r>
      <w:proofErr w:type="spellEnd"/>
      <w:r w:rsidR="00AA4888" w:rsidRPr="000E6B21">
        <w:rPr>
          <w:rFonts w:ascii="Calibri" w:hAnsi="Calibri" w:cs="Arial"/>
        </w:rPr>
        <w:t xml:space="preserve"> anti</w:t>
      </w:r>
      <w:r w:rsidR="00AA4888">
        <w:rPr>
          <w:rFonts w:ascii="Calibri" w:hAnsi="Calibri" w:cs="Arial"/>
        </w:rPr>
        <w:t>gen and a non-</w:t>
      </w:r>
      <w:proofErr w:type="spellStart"/>
      <w:r w:rsidR="00AA4888">
        <w:rPr>
          <w:rFonts w:ascii="Calibri" w:hAnsi="Calibri" w:cs="Arial"/>
        </w:rPr>
        <w:t>treponemal</w:t>
      </w:r>
      <w:proofErr w:type="spellEnd"/>
      <w:r w:rsidR="00AA4888">
        <w:rPr>
          <w:rFonts w:ascii="Calibri" w:hAnsi="Calibri" w:cs="Arial"/>
        </w:rPr>
        <w:t xml:space="preserve"> antigen</w:t>
      </w:r>
      <w:r w:rsidR="00AA4888" w:rsidRPr="000E6B21">
        <w:rPr>
          <w:rFonts w:ascii="Calibri" w:hAnsi="Calibri" w:cs="Arial"/>
        </w:rPr>
        <w:t xml:space="preserve">. </w:t>
      </w:r>
      <w:r w:rsidR="004D5306">
        <w:rPr>
          <w:rFonts w:ascii="Cambria" w:hAnsi="Cambria"/>
        </w:rPr>
        <w:t>Several recent publications have reported on the performance of this assay and have reported good test performance</w:t>
      </w:r>
      <w:r w:rsidR="005E667D">
        <w:rPr>
          <w:rFonts w:ascii="Cambria" w:hAnsi="Cambria"/>
        </w:rPr>
        <w:t>,</w:t>
      </w:r>
      <w:r w:rsidR="004D5306">
        <w:rPr>
          <w:rFonts w:ascii="Cambria" w:hAnsi="Cambria"/>
        </w:rPr>
        <w:t xml:space="preserve"> although variations have been noted in both the sensitivity and the specificity of the non-</w:t>
      </w:r>
      <w:proofErr w:type="spellStart"/>
      <w:r w:rsidR="004D5306">
        <w:rPr>
          <w:rFonts w:ascii="Cambria" w:hAnsi="Cambria"/>
        </w:rPr>
        <w:t>treponemal</w:t>
      </w:r>
      <w:proofErr w:type="spellEnd"/>
      <w:r w:rsidR="004D5306">
        <w:rPr>
          <w:rFonts w:ascii="Cambria" w:hAnsi="Cambria"/>
        </w:rPr>
        <w:t xml:space="preserve"> component of the test in particular. To provide more accurate estimates of performance we conducted an individual patient-level meta-analysis on the performance of the DPP-RDT for the diagnosis of both syphilis and yaws.</w:t>
      </w:r>
    </w:p>
    <w:p w14:paraId="4916E888" w14:textId="77777777" w:rsidR="00F06E7E" w:rsidRPr="00DC027F" w:rsidRDefault="00F06E7E" w:rsidP="00FD2CAB">
      <w:pPr>
        <w:rPr>
          <w:rFonts w:ascii="Cambria" w:hAnsi="Cambria"/>
        </w:rPr>
      </w:pPr>
    </w:p>
    <w:p w14:paraId="0EE37264" w14:textId="77777777" w:rsidR="005A76DB" w:rsidRDefault="005A76DB" w:rsidP="00FD2CAB">
      <w:pPr>
        <w:rPr>
          <w:rFonts w:ascii="Calibri" w:hAnsi="Calibri"/>
          <w:b/>
        </w:rPr>
      </w:pPr>
      <w:r>
        <w:rPr>
          <w:rFonts w:ascii="Calibri" w:hAnsi="Calibri"/>
          <w:b/>
        </w:rPr>
        <w:br w:type="page"/>
      </w:r>
    </w:p>
    <w:p w14:paraId="46A816A8" w14:textId="77777777" w:rsidR="006A2668" w:rsidRPr="002C7AB7" w:rsidRDefault="002C7AB7" w:rsidP="00FD2CAB">
      <w:pPr>
        <w:rPr>
          <w:rFonts w:ascii="Calibri" w:hAnsi="Calibri"/>
          <w:b/>
        </w:rPr>
      </w:pPr>
      <w:r>
        <w:rPr>
          <w:rFonts w:ascii="Calibri" w:hAnsi="Calibri"/>
          <w:b/>
        </w:rPr>
        <w:lastRenderedPageBreak/>
        <w:t>Methods</w:t>
      </w:r>
    </w:p>
    <w:p w14:paraId="397A0AF1" w14:textId="1FD9F66B" w:rsidR="004D5306" w:rsidRPr="00CA31BC" w:rsidRDefault="004D5306" w:rsidP="00FD2CAB">
      <w:pPr>
        <w:rPr>
          <w:rFonts w:ascii="Calibri" w:hAnsi="Calibri" w:cs="Arial"/>
        </w:rPr>
      </w:pPr>
      <w:r w:rsidRPr="00A94BE6">
        <w:rPr>
          <w:rFonts w:ascii="Calibri" w:hAnsi="Calibri" w:cs="Arial"/>
        </w:rPr>
        <w:t>This review and meta-analysis utilized the Preferred Reporting Items for Systematic Reviews and Meta Analyses (PRISMA) guidelines</w:t>
      </w:r>
      <w:r w:rsidR="00131837">
        <w:rPr>
          <w:rFonts w:ascii="Calibri" w:hAnsi="Calibri" w:cs="Arial"/>
        </w:rPr>
        <w:fldChar w:fldCharType="begin"/>
      </w:r>
      <w:r w:rsidR="00832180">
        <w:rPr>
          <w:rFonts w:ascii="Calibri" w:hAnsi="Calibri" w:cs="Arial"/>
        </w:rPr>
        <w:instrText xml:space="preserve"> ADDIN ZOTERO_ITEM CSL_CITATION {"citationID":"2i4frk61p9","properties":{"formattedCitation":"[11]","plainCitation":"[11]"},"citationItems":[{"id":3650,"uris":["http://zotero.org/users/38820/items/CA5698P9"],"uri":["http://zotero.org/users/38820/items/CA5698P9"],"itemData":{"id":3650,"type":"article-journal","title":"Preferred reporting items for systematic reviews and meta-analyses: the PRISMA statement","container-title":"Journal of Clinical Epidemiology","page":"1006-1012","volume":"62","issue":"10","source":"PubMed","DOI":"10.1016/j.jclinepi.2009.06.005","ISSN":"1878-5921","note":"PMID: 19631508","shortTitle":"Preferred reporting items for systematic reviews and meta-analyses","journalAbbreviation":"J Clin Epidemiol","language":"eng","author":[{"family":"Moher","given":"David"},{"family":"Liberati","given":"Alessandro"},{"family":"Tetzlaff","given":"Jennifer"},{"family":"Altman","given":"Douglas G."},{"literal":"PRISMA Group"}],"issued":{"date-parts":[["2009",10]]},"PMID":"19631508"}}],"schema":"https://github.com/citation-style-language/schema/raw/master/csl-citation.json"} </w:instrText>
      </w:r>
      <w:r w:rsidR="00131837">
        <w:rPr>
          <w:rFonts w:ascii="Calibri" w:hAnsi="Calibri" w:cs="Arial"/>
        </w:rPr>
        <w:fldChar w:fldCharType="separate"/>
      </w:r>
      <w:r w:rsidR="00832180">
        <w:rPr>
          <w:rFonts w:ascii="Calibri" w:hAnsi="Calibri"/>
          <w:lang w:val="en-US"/>
        </w:rPr>
        <w:t>[11]</w:t>
      </w:r>
      <w:r w:rsidR="00131837">
        <w:rPr>
          <w:rFonts w:ascii="Calibri" w:hAnsi="Calibri" w:cs="Arial"/>
        </w:rPr>
        <w:fldChar w:fldCharType="end"/>
      </w:r>
      <w:r w:rsidRPr="00A94BE6">
        <w:rPr>
          <w:rFonts w:ascii="Calibri" w:hAnsi="Calibri" w:cs="Arial"/>
        </w:rPr>
        <w:t>.</w:t>
      </w:r>
    </w:p>
    <w:p w14:paraId="1A028636" w14:textId="77777777" w:rsidR="00AD1A34" w:rsidRPr="00CA31BC" w:rsidRDefault="00AD1A34" w:rsidP="00FD2CAB">
      <w:pPr>
        <w:rPr>
          <w:rFonts w:ascii="Calibri" w:hAnsi="Calibri" w:cs="Arial"/>
        </w:rPr>
      </w:pPr>
    </w:p>
    <w:p w14:paraId="6DE3841B" w14:textId="77777777" w:rsidR="004D5306" w:rsidRDefault="004D5306" w:rsidP="00FD2CAB">
      <w:pPr>
        <w:rPr>
          <w:rFonts w:ascii="Calibri" w:hAnsi="Calibri" w:cs="Arial"/>
          <w:u w:val="single"/>
        </w:rPr>
      </w:pPr>
      <w:r w:rsidRPr="00CA31BC">
        <w:rPr>
          <w:rFonts w:ascii="Calibri" w:hAnsi="Calibri" w:cs="Arial"/>
          <w:u w:val="single"/>
        </w:rPr>
        <w:t>S</w:t>
      </w:r>
      <w:r>
        <w:rPr>
          <w:rFonts w:ascii="Calibri" w:hAnsi="Calibri" w:cs="Arial"/>
          <w:u w:val="single"/>
        </w:rPr>
        <w:t>earch strategy</w:t>
      </w:r>
    </w:p>
    <w:p w14:paraId="4C4FEC61" w14:textId="77777777" w:rsidR="004D5306" w:rsidRDefault="004D5306" w:rsidP="00FD2CAB">
      <w:pPr>
        <w:rPr>
          <w:rFonts w:ascii="Calibri" w:hAnsi="Calibri" w:cs="Arial"/>
        </w:rPr>
      </w:pPr>
      <w:r w:rsidRPr="00CA31BC">
        <w:rPr>
          <w:rFonts w:ascii="Calibri" w:hAnsi="Calibri" w:cs="Arial"/>
        </w:rPr>
        <w:t xml:space="preserve">We searched </w:t>
      </w:r>
      <w:proofErr w:type="spellStart"/>
      <w:r>
        <w:rPr>
          <w:rFonts w:ascii="Calibri" w:hAnsi="Calibri" w:cs="Arial"/>
        </w:rPr>
        <w:t>P</w:t>
      </w:r>
      <w:r w:rsidRPr="00CA31BC">
        <w:rPr>
          <w:rFonts w:ascii="Calibri" w:hAnsi="Calibri" w:cs="Arial"/>
        </w:rPr>
        <w:t>ubmed</w:t>
      </w:r>
      <w:proofErr w:type="spellEnd"/>
      <w:r w:rsidRPr="00CA31BC">
        <w:rPr>
          <w:rFonts w:ascii="Calibri" w:hAnsi="Calibri" w:cs="Arial"/>
        </w:rPr>
        <w:t xml:space="preserve"> </w:t>
      </w:r>
      <w:r>
        <w:rPr>
          <w:rFonts w:ascii="Calibri" w:hAnsi="Calibri" w:cs="Arial"/>
        </w:rPr>
        <w:t>to 1 August 2015</w:t>
      </w:r>
      <w:r w:rsidRPr="00CA31BC">
        <w:rPr>
          <w:rFonts w:ascii="Calibri" w:hAnsi="Calibri" w:cs="Arial"/>
        </w:rPr>
        <w:t xml:space="preserve"> using the terms “Rapid Diagnost</w:t>
      </w:r>
      <w:r>
        <w:rPr>
          <w:rFonts w:ascii="Calibri" w:hAnsi="Calibri" w:cs="Arial"/>
        </w:rPr>
        <w:t xml:space="preserve">ic Test” OR “Point of Care Test” AND </w:t>
      </w:r>
      <w:r w:rsidRPr="00CA31BC">
        <w:rPr>
          <w:rFonts w:ascii="Calibri" w:hAnsi="Calibri" w:cs="Arial"/>
        </w:rPr>
        <w:t xml:space="preserve">“Syphilis” </w:t>
      </w:r>
      <w:r>
        <w:rPr>
          <w:rFonts w:ascii="Calibri" w:hAnsi="Calibri" w:cs="Arial"/>
        </w:rPr>
        <w:t xml:space="preserve">OR </w:t>
      </w:r>
      <w:r w:rsidRPr="00CA31BC">
        <w:rPr>
          <w:rFonts w:ascii="Calibri" w:hAnsi="Calibri" w:cs="Arial"/>
        </w:rPr>
        <w:t>“Yaws”</w:t>
      </w:r>
      <w:r>
        <w:rPr>
          <w:rFonts w:ascii="Calibri" w:hAnsi="Calibri" w:cs="Arial"/>
        </w:rPr>
        <w:t xml:space="preserve"> (and variations)</w:t>
      </w:r>
      <w:r w:rsidRPr="00CA31BC">
        <w:rPr>
          <w:rFonts w:ascii="Calibri" w:hAnsi="Calibri" w:cs="Arial"/>
        </w:rPr>
        <w:t xml:space="preserve">. We searched reference lists of identified articles and contacted individuals and research groups known to have undertaken unpublished evaluation </w:t>
      </w:r>
      <w:r>
        <w:rPr>
          <w:rFonts w:ascii="Calibri" w:hAnsi="Calibri" w:cs="Arial"/>
        </w:rPr>
        <w:t>studies to identify other relevant datasets</w:t>
      </w:r>
      <w:r w:rsidRPr="00CA31BC">
        <w:rPr>
          <w:rFonts w:ascii="Calibri" w:hAnsi="Calibri" w:cs="Arial"/>
        </w:rPr>
        <w:t>.</w:t>
      </w:r>
    </w:p>
    <w:p w14:paraId="312C26B9" w14:textId="77777777" w:rsidR="004D5306" w:rsidRDefault="004D5306" w:rsidP="00FD2CAB">
      <w:pPr>
        <w:rPr>
          <w:rFonts w:ascii="Calibri" w:hAnsi="Calibri" w:cs="Arial"/>
        </w:rPr>
      </w:pPr>
    </w:p>
    <w:p w14:paraId="05D646C0" w14:textId="77777777" w:rsidR="004D5306" w:rsidRDefault="004D5306" w:rsidP="00FD2CAB">
      <w:pPr>
        <w:rPr>
          <w:rFonts w:ascii="Calibri" w:hAnsi="Calibri" w:cs="Arial"/>
        </w:rPr>
      </w:pPr>
      <w:r>
        <w:rPr>
          <w:rFonts w:ascii="Calibri" w:hAnsi="Calibri" w:cs="Arial"/>
        </w:rPr>
        <w:t>Inclusion criteria</w:t>
      </w:r>
    </w:p>
    <w:p w14:paraId="0864E86E" w14:textId="16771B48" w:rsidR="004D5306" w:rsidRDefault="004D5306" w:rsidP="00FD2CAB">
      <w:pPr>
        <w:rPr>
          <w:rFonts w:ascii="Calibri" w:hAnsi="Calibri" w:cs="Arial"/>
        </w:rPr>
      </w:pPr>
      <w:r>
        <w:rPr>
          <w:rFonts w:ascii="Calibri" w:hAnsi="Calibri" w:cs="Arial"/>
        </w:rPr>
        <w:t xml:space="preserve">A paper was included if it </w:t>
      </w:r>
      <w:r w:rsidRPr="00CA31BC">
        <w:rPr>
          <w:rFonts w:ascii="Calibri" w:hAnsi="Calibri" w:cs="Arial"/>
        </w:rPr>
        <w:t>evaluat</w:t>
      </w:r>
      <w:r>
        <w:rPr>
          <w:rFonts w:ascii="Calibri" w:hAnsi="Calibri" w:cs="Arial"/>
        </w:rPr>
        <w:t>ed</w:t>
      </w:r>
      <w:r w:rsidRPr="00CA31BC">
        <w:rPr>
          <w:rFonts w:ascii="Calibri" w:hAnsi="Calibri" w:cs="Arial"/>
        </w:rPr>
        <w:t xml:space="preserve"> the </w:t>
      </w:r>
      <w:r>
        <w:rPr>
          <w:rFonts w:ascii="Calibri" w:hAnsi="Calibri" w:cs="Arial"/>
        </w:rPr>
        <w:t>sensitivity and specificity of</w:t>
      </w:r>
      <w:r w:rsidRPr="00CA31BC">
        <w:rPr>
          <w:rFonts w:ascii="Calibri" w:hAnsi="Calibri" w:cs="Arial"/>
        </w:rPr>
        <w:t xml:space="preserve"> </w:t>
      </w:r>
      <w:r>
        <w:rPr>
          <w:rFonts w:ascii="Calibri" w:hAnsi="Calibri" w:cs="Arial"/>
        </w:rPr>
        <w:t xml:space="preserve">the </w:t>
      </w:r>
      <w:proofErr w:type="spellStart"/>
      <w:r w:rsidRPr="00CA31BC">
        <w:rPr>
          <w:rFonts w:ascii="Calibri" w:hAnsi="Calibri" w:cs="Arial"/>
        </w:rPr>
        <w:t>Chembio</w:t>
      </w:r>
      <w:proofErr w:type="spellEnd"/>
      <w:r w:rsidRPr="00CA31BC">
        <w:rPr>
          <w:rFonts w:ascii="Calibri" w:hAnsi="Calibri" w:cs="Arial"/>
        </w:rPr>
        <w:t xml:space="preserve"> Syphilis Screen &amp; Confirm Rapid Diagnostic Test</w:t>
      </w:r>
      <w:r>
        <w:rPr>
          <w:rFonts w:ascii="Calibri" w:hAnsi="Calibri" w:cs="Arial"/>
        </w:rPr>
        <w:t xml:space="preserve"> to detect syphilis or yaws</w:t>
      </w:r>
      <w:r w:rsidRPr="00CA31BC">
        <w:rPr>
          <w:rFonts w:ascii="Calibri" w:hAnsi="Calibri" w:cs="Arial"/>
        </w:rPr>
        <w:t xml:space="preserve">. </w:t>
      </w:r>
      <w:r>
        <w:rPr>
          <w:rFonts w:ascii="Calibri" w:hAnsi="Calibri" w:cs="Arial"/>
        </w:rPr>
        <w:t>Laboratory, clinic and field based studies sampling a consecutive series of patients, or randomly selected series of patients were eligible. Non-</w:t>
      </w:r>
      <w:r w:rsidR="005E667D">
        <w:rPr>
          <w:rFonts w:ascii="Calibri" w:hAnsi="Calibri" w:cs="Arial"/>
        </w:rPr>
        <w:t>E</w:t>
      </w:r>
      <w:r>
        <w:rPr>
          <w:rFonts w:ascii="Calibri" w:hAnsi="Calibri" w:cs="Arial"/>
        </w:rPr>
        <w:t>nglish language publications were eligible for inclusion.</w:t>
      </w:r>
    </w:p>
    <w:p w14:paraId="22356BAD" w14:textId="77777777" w:rsidR="004D5306" w:rsidRPr="00CA31BC" w:rsidRDefault="004D5306" w:rsidP="00FD2CAB">
      <w:pPr>
        <w:rPr>
          <w:rFonts w:ascii="Calibri" w:hAnsi="Calibri" w:cs="Arial"/>
        </w:rPr>
      </w:pPr>
    </w:p>
    <w:p w14:paraId="767089A9" w14:textId="77777777" w:rsidR="004D5306" w:rsidRDefault="004D5306" w:rsidP="00FD2CAB">
      <w:pPr>
        <w:rPr>
          <w:rFonts w:ascii="Calibri" w:hAnsi="Calibri" w:cs="Arial"/>
        </w:rPr>
      </w:pPr>
      <w:r>
        <w:rPr>
          <w:rFonts w:ascii="Calibri" w:hAnsi="Calibri" w:cs="Arial"/>
        </w:rPr>
        <w:t>Exclusion criteria</w:t>
      </w:r>
    </w:p>
    <w:p w14:paraId="565E12FA" w14:textId="725E4536" w:rsidR="004D5306" w:rsidRDefault="004D5306" w:rsidP="00FD2CAB">
      <w:pPr>
        <w:rPr>
          <w:rFonts w:ascii="Calibri" w:hAnsi="Calibri" w:cs="Arial"/>
        </w:rPr>
      </w:pPr>
      <w:r>
        <w:rPr>
          <w:rFonts w:ascii="Calibri" w:hAnsi="Calibri" w:cs="Arial"/>
        </w:rPr>
        <w:t xml:space="preserve">Papers were excluded if they </w:t>
      </w:r>
      <w:r w:rsidRPr="00A94BE6">
        <w:rPr>
          <w:rFonts w:ascii="Calibri" w:hAnsi="Calibri" w:cs="Arial"/>
        </w:rPr>
        <w:t xml:space="preserve">did not contain primary data (e.g. editorials, reviews or commentaries); or referred to conference proceedings and </w:t>
      </w:r>
      <w:r w:rsidR="005E667D">
        <w:rPr>
          <w:rFonts w:ascii="Calibri" w:hAnsi="Calibri" w:cs="Arial"/>
        </w:rPr>
        <w:t>were</w:t>
      </w:r>
      <w:r w:rsidR="005E667D" w:rsidRPr="00A94BE6">
        <w:rPr>
          <w:rFonts w:ascii="Calibri" w:hAnsi="Calibri" w:cs="Arial"/>
        </w:rPr>
        <w:t xml:space="preserve"> </w:t>
      </w:r>
      <w:r w:rsidRPr="00A94BE6">
        <w:rPr>
          <w:rFonts w:ascii="Calibri" w:hAnsi="Calibri" w:cs="Arial"/>
        </w:rPr>
        <w:t>not accompanied by a full description of the research.</w:t>
      </w:r>
    </w:p>
    <w:p w14:paraId="720AE0F3" w14:textId="77777777" w:rsidR="004D5306" w:rsidRPr="00CA31BC" w:rsidRDefault="004D5306" w:rsidP="00FD2CAB">
      <w:pPr>
        <w:rPr>
          <w:rFonts w:ascii="Calibri" w:hAnsi="Calibri" w:cs="Arial"/>
        </w:rPr>
      </w:pPr>
    </w:p>
    <w:p w14:paraId="2664CC34" w14:textId="77777777" w:rsidR="004D5306" w:rsidRDefault="004D5306" w:rsidP="00FD2CAB">
      <w:pPr>
        <w:rPr>
          <w:rFonts w:ascii="Calibri" w:hAnsi="Calibri" w:cs="Arial"/>
          <w:u w:val="single"/>
        </w:rPr>
      </w:pPr>
      <w:r w:rsidRPr="002128FA">
        <w:rPr>
          <w:rFonts w:ascii="Calibri" w:hAnsi="Calibri" w:cs="Arial"/>
          <w:u w:val="single"/>
        </w:rPr>
        <w:t>Data extraction and management</w:t>
      </w:r>
    </w:p>
    <w:p w14:paraId="03FABF89" w14:textId="77777777" w:rsidR="004D5306" w:rsidRDefault="004D5306" w:rsidP="00FD2CAB">
      <w:pPr>
        <w:rPr>
          <w:rFonts w:ascii="Calibri" w:hAnsi="Calibri" w:cs="Arial"/>
        </w:rPr>
      </w:pPr>
      <w:r w:rsidRPr="00A94BE6">
        <w:rPr>
          <w:rFonts w:ascii="Calibri" w:hAnsi="Calibri" w:cs="Arial"/>
        </w:rPr>
        <w:t>The first author screened all titles and abstracts and the full text was obtained for any potentially relevant articles. Full-text articles were reviewed to determine whether they met the inclusion criteria and where this was uncertain, articles were reviewed by a co-author and disagreements were resolved by discussion.  Data were initially extracted by the first author and double-checked by the co-authors</w:t>
      </w:r>
      <w:r>
        <w:rPr>
          <w:rFonts w:ascii="Calibri" w:hAnsi="Calibri" w:cs="Arial"/>
        </w:rPr>
        <w:t>.</w:t>
      </w:r>
    </w:p>
    <w:p w14:paraId="459299AD" w14:textId="77777777" w:rsidR="004D5306" w:rsidRDefault="004D5306" w:rsidP="00FD2CAB">
      <w:pPr>
        <w:rPr>
          <w:rFonts w:ascii="Calibri" w:hAnsi="Calibri" w:cs="Arial"/>
          <w:u w:val="single"/>
        </w:rPr>
      </w:pPr>
    </w:p>
    <w:p w14:paraId="241E5073" w14:textId="77777777" w:rsidR="00AD1A34" w:rsidRPr="00CA31BC" w:rsidRDefault="00AD1A34" w:rsidP="00FD2CAB">
      <w:pPr>
        <w:rPr>
          <w:rFonts w:ascii="Calibri" w:hAnsi="Calibri" w:cs="Arial"/>
        </w:rPr>
      </w:pPr>
      <w:r w:rsidRPr="00CA31BC">
        <w:rPr>
          <w:rFonts w:ascii="Calibri" w:hAnsi="Calibri" w:cs="Arial"/>
        </w:rPr>
        <w:t xml:space="preserve">For each study we extracted data on the sample type used for the DPP-RDT and the reference </w:t>
      </w:r>
      <w:proofErr w:type="spellStart"/>
      <w:r w:rsidRPr="00CA31BC">
        <w:rPr>
          <w:rFonts w:ascii="Calibri" w:hAnsi="Calibri" w:cs="Arial"/>
        </w:rPr>
        <w:t>treponemal</w:t>
      </w:r>
      <w:proofErr w:type="spellEnd"/>
      <w:r w:rsidRPr="00CA31BC">
        <w:rPr>
          <w:rFonts w:ascii="Calibri" w:hAnsi="Calibri" w:cs="Arial"/>
        </w:rPr>
        <w:t xml:space="preserve"> and non-</w:t>
      </w:r>
      <w:proofErr w:type="spellStart"/>
      <w:r w:rsidRPr="00CA31BC">
        <w:rPr>
          <w:rFonts w:ascii="Calibri" w:hAnsi="Calibri" w:cs="Arial"/>
        </w:rPr>
        <w:t>treponemal</w:t>
      </w:r>
      <w:proofErr w:type="spellEnd"/>
      <w:r w:rsidRPr="00CA31BC">
        <w:rPr>
          <w:rFonts w:ascii="Calibri" w:hAnsi="Calibri" w:cs="Arial"/>
        </w:rPr>
        <w:t xml:space="preserve"> assay used. For each individual we </w:t>
      </w:r>
      <w:r w:rsidR="004D5306">
        <w:rPr>
          <w:rFonts w:ascii="Calibri" w:hAnsi="Calibri" w:cs="Arial"/>
        </w:rPr>
        <w:t>recorded</w:t>
      </w:r>
      <w:r w:rsidR="00C701E3" w:rsidRPr="00CA31BC">
        <w:rPr>
          <w:rFonts w:ascii="Calibri" w:hAnsi="Calibri" w:cs="Arial"/>
        </w:rPr>
        <w:t xml:space="preserve"> data on the presence and stage </w:t>
      </w:r>
      <w:r w:rsidRPr="00CA31BC">
        <w:rPr>
          <w:rFonts w:ascii="Calibri" w:hAnsi="Calibri" w:cs="Arial"/>
        </w:rPr>
        <w:t xml:space="preserve">of clinical disease, the result of the reference </w:t>
      </w:r>
      <w:proofErr w:type="spellStart"/>
      <w:r w:rsidRPr="00CA31BC">
        <w:rPr>
          <w:rFonts w:ascii="Calibri" w:hAnsi="Calibri" w:cs="Arial"/>
        </w:rPr>
        <w:t>treponemal</w:t>
      </w:r>
      <w:proofErr w:type="spellEnd"/>
      <w:r w:rsidRPr="00CA31BC">
        <w:rPr>
          <w:rFonts w:ascii="Calibri" w:hAnsi="Calibri" w:cs="Arial"/>
        </w:rPr>
        <w:t xml:space="preserve"> and non-</w:t>
      </w:r>
      <w:proofErr w:type="spellStart"/>
      <w:r w:rsidRPr="00CA31BC">
        <w:rPr>
          <w:rFonts w:ascii="Calibri" w:hAnsi="Calibri" w:cs="Arial"/>
        </w:rPr>
        <w:t>treponemal</w:t>
      </w:r>
      <w:proofErr w:type="spellEnd"/>
      <w:r w:rsidRPr="00CA31BC">
        <w:rPr>
          <w:rFonts w:ascii="Calibri" w:hAnsi="Calibri" w:cs="Arial"/>
        </w:rPr>
        <w:t xml:space="preserve"> assays and the result of the DPP-RDT.</w:t>
      </w:r>
    </w:p>
    <w:p w14:paraId="3A011402" w14:textId="77777777" w:rsidR="00AD1A34" w:rsidRPr="00CA31BC" w:rsidRDefault="00AD1A34" w:rsidP="00FD2CAB">
      <w:pPr>
        <w:rPr>
          <w:rFonts w:ascii="Calibri" w:hAnsi="Calibri" w:cs="Arial"/>
        </w:rPr>
      </w:pPr>
    </w:p>
    <w:p w14:paraId="56696E76" w14:textId="259C745F" w:rsidR="00C701E3" w:rsidRPr="00CA31BC" w:rsidRDefault="00C701E3" w:rsidP="00FD2CAB">
      <w:pPr>
        <w:rPr>
          <w:rFonts w:ascii="Calibri" w:hAnsi="Calibri" w:cs="Arial"/>
        </w:rPr>
      </w:pPr>
      <w:r w:rsidRPr="00CA31BC">
        <w:rPr>
          <w:rFonts w:ascii="Calibri" w:hAnsi="Calibri" w:cs="Arial"/>
        </w:rPr>
        <w:t>Sample types were classified as serum, plasma</w:t>
      </w:r>
      <w:r w:rsidR="00840408">
        <w:rPr>
          <w:rFonts w:ascii="Calibri" w:hAnsi="Calibri" w:cs="Arial"/>
        </w:rPr>
        <w:t xml:space="preserve">, </w:t>
      </w:r>
      <w:proofErr w:type="gramStart"/>
      <w:r w:rsidR="00840408">
        <w:rPr>
          <w:rFonts w:ascii="Calibri" w:hAnsi="Calibri" w:cs="Arial"/>
        </w:rPr>
        <w:t>whole-blood</w:t>
      </w:r>
      <w:proofErr w:type="gramEnd"/>
      <w:r w:rsidRPr="00CA31BC">
        <w:rPr>
          <w:rFonts w:ascii="Calibri" w:hAnsi="Calibri" w:cs="Arial"/>
        </w:rPr>
        <w:t xml:space="preserve"> or finger-prick. </w:t>
      </w:r>
      <w:r w:rsidR="00FC3DA5">
        <w:rPr>
          <w:rFonts w:ascii="Calibri" w:hAnsi="Calibri" w:cs="Arial"/>
        </w:rPr>
        <w:t xml:space="preserve">RDT results are dichotomous; reference RPR results were deemed positive at a </w:t>
      </w:r>
      <w:proofErr w:type="gramStart"/>
      <w:r w:rsidR="00FC3DA5">
        <w:rPr>
          <w:rFonts w:ascii="Calibri" w:hAnsi="Calibri" w:cs="Arial"/>
        </w:rPr>
        <w:t xml:space="preserve">titre  </w:t>
      </w:r>
      <w:r w:rsidR="00FC3DA5" w:rsidRPr="00CA31BC">
        <w:rPr>
          <w:rFonts w:ascii="Calibri" w:eastAsia="MS Gothic" w:hAnsi="Calibri"/>
          <w:color w:val="000000"/>
        </w:rPr>
        <w:t>≥</w:t>
      </w:r>
      <w:proofErr w:type="gramEnd"/>
      <w:r w:rsidR="00FC3DA5" w:rsidRPr="00CA31BC">
        <w:rPr>
          <w:rFonts w:ascii="Calibri" w:hAnsi="Calibri" w:cs="Arial"/>
        </w:rPr>
        <w:t xml:space="preserve"> </w:t>
      </w:r>
      <w:r w:rsidR="00FC3DA5">
        <w:rPr>
          <w:rFonts w:ascii="Calibri" w:hAnsi="Calibri" w:cs="Arial"/>
        </w:rPr>
        <w:t xml:space="preserve"> 1:</w:t>
      </w:r>
      <w:r w:rsidR="005552CA">
        <w:rPr>
          <w:rFonts w:ascii="Calibri" w:hAnsi="Calibri" w:cs="Arial"/>
        </w:rPr>
        <w:t>1</w:t>
      </w:r>
      <w:r w:rsidR="00FC3DA5">
        <w:rPr>
          <w:rFonts w:ascii="Calibri" w:hAnsi="Calibri" w:cs="Arial"/>
        </w:rPr>
        <w:t>; a</w:t>
      </w:r>
      <w:r w:rsidR="00FC3DA5" w:rsidRPr="00CA31BC">
        <w:rPr>
          <w:rFonts w:ascii="Calibri" w:hAnsi="Calibri" w:cs="Arial"/>
        </w:rPr>
        <w:t>n</w:t>
      </w:r>
      <w:r w:rsidRPr="00CA31BC">
        <w:rPr>
          <w:rFonts w:ascii="Calibri" w:hAnsi="Calibri" w:cs="Arial"/>
        </w:rPr>
        <w:t xml:space="preserve"> RPR titre</w:t>
      </w:r>
      <w:r w:rsidRPr="00CA31BC">
        <w:rPr>
          <w:rFonts w:ascii="Calibri" w:eastAsia="MS Gothic" w:hAnsi="Calibri"/>
          <w:color w:val="000000"/>
        </w:rPr>
        <w:t xml:space="preserve"> ≥</w:t>
      </w:r>
      <w:r w:rsidRPr="00CA31BC">
        <w:rPr>
          <w:rFonts w:ascii="Calibri" w:hAnsi="Calibri" w:cs="Arial"/>
        </w:rPr>
        <w:t xml:space="preserve"> 1:16 was considered a high-titre RPR.</w:t>
      </w:r>
    </w:p>
    <w:p w14:paraId="25BF87A0" w14:textId="77777777" w:rsidR="00C701E3" w:rsidRPr="00CA31BC" w:rsidRDefault="00C701E3" w:rsidP="00FD2CAB">
      <w:pPr>
        <w:rPr>
          <w:rFonts w:ascii="Calibri" w:hAnsi="Calibri" w:cs="Arial"/>
        </w:rPr>
      </w:pPr>
    </w:p>
    <w:p w14:paraId="3FC2C809" w14:textId="77777777" w:rsidR="00AD1A34" w:rsidRPr="00CA31BC" w:rsidRDefault="00AD1A34" w:rsidP="00FD2CAB">
      <w:pPr>
        <w:rPr>
          <w:rFonts w:ascii="Calibri" w:hAnsi="Calibri" w:cs="Arial"/>
          <w:u w:val="single"/>
        </w:rPr>
      </w:pPr>
      <w:r w:rsidRPr="00CA31BC">
        <w:rPr>
          <w:rFonts w:ascii="Calibri" w:hAnsi="Calibri" w:cs="Arial"/>
          <w:u w:val="single"/>
        </w:rPr>
        <w:t>Statistical Analysis</w:t>
      </w:r>
    </w:p>
    <w:p w14:paraId="2E80E2FA" w14:textId="10CA4C4B" w:rsidR="008341AB" w:rsidRDefault="00C701E3" w:rsidP="00FD2CAB">
      <w:pPr>
        <w:pStyle w:val="NormalWeb"/>
        <w:rPr>
          <w:rFonts w:ascii="Calibri" w:hAnsi="Calibri"/>
          <w:sz w:val="24"/>
          <w:szCs w:val="24"/>
        </w:rPr>
      </w:pPr>
      <w:r w:rsidRPr="004A6A4E">
        <w:rPr>
          <w:rFonts w:ascii="Calibri" w:hAnsi="Calibri"/>
          <w:sz w:val="24"/>
          <w:szCs w:val="24"/>
        </w:rPr>
        <w:t>We</w:t>
      </w:r>
      <w:r w:rsidR="008341AB">
        <w:rPr>
          <w:rFonts w:ascii="Calibri" w:hAnsi="Calibri"/>
          <w:sz w:val="24"/>
          <w:szCs w:val="24"/>
        </w:rPr>
        <w:t xml:space="preserve"> </w:t>
      </w:r>
      <w:r w:rsidR="001A3A17">
        <w:rPr>
          <w:rFonts w:ascii="Calibri" w:hAnsi="Calibri"/>
          <w:sz w:val="24"/>
          <w:szCs w:val="24"/>
        </w:rPr>
        <w:t xml:space="preserve">estimated </w:t>
      </w:r>
      <w:r w:rsidR="004A6A4E" w:rsidRPr="004A6A4E">
        <w:rPr>
          <w:rFonts w:ascii="Calibri" w:hAnsi="Calibri"/>
          <w:sz w:val="24"/>
          <w:szCs w:val="24"/>
        </w:rPr>
        <w:t>the sensitivity and specificity</w:t>
      </w:r>
      <w:r w:rsidR="00C30BFE">
        <w:rPr>
          <w:rFonts w:ascii="Calibri" w:hAnsi="Calibri"/>
          <w:sz w:val="24"/>
          <w:szCs w:val="24"/>
        </w:rPr>
        <w:t xml:space="preserve"> of the DPP-RDT</w:t>
      </w:r>
      <w:r w:rsidR="00EC4C64">
        <w:rPr>
          <w:rFonts w:ascii="Calibri" w:hAnsi="Calibri"/>
          <w:sz w:val="24"/>
          <w:szCs w:val="24"/>
        </w:rPr>
        <w:t>, by</w:t>
      </w:r>
      <w:r w:rsidR="00C1415E">
        <w:rPr>
          <w:rFonts w:ascii="Calibri" w:hAnsi="Calibri"/>
          <w:sz w:val="24"/>
          <w:szCs w:val="24"/>
        </w:rPr>
        <w:t xml:space="preserve"> </w:t>
      </w:r>
      <w:r w:rsidRPr="004A6A4E">
        <w:rPr>
          <w:rFonts w:ascii="Calibri" w:hAnsi="Calibri"/>
          <w:sz w:val="24"/>
          <w:szCs w:val="24"/>
        </w:rPr>
        <w:t>compar</w:t>
      </w:r>
      <w:r w:rsidR="00EC4C64">
        <w:rPr>
          <w:rFonts w:ascii="Calibri" w:hAnsi="Calibri"/>
          <w:sz w:val="24"/>
          <w:szCs w:val="24"/>
        </w:rPr>
        <w:t>ing</w:t>
      </w:r>
      <w:r w:rsidRPr="004A6A4E">
        <w:rPr>
          <w:rFonts w:ascii="Calibri" w:hAnsi="Calibri"/>
          <w:sz w:val="24"/>
          <w:szCs w:val="24"/>
        </w:rPr>
        <w:t xml:space="preserve"> the performance of the DPP</w:t>
      </w:r>
      <w:r w:rsidR="008341AB">
        <w:rPr>
          <w:rFonts w:ascii="Calibri" w:hAnsi="Calibri"/>
          <w:sz w:val="24"/>
          <w:szCs w:val="24"/>
        </w:rPr>
        <w:t xml:space="preserve"> </w:t>
      </w:r>
      <w:proofErr w:type="spellStart"/>
      <w:r w:rsidR="008341AB">
        <w:rPr>
          <w:rFonts w:ascii="Calibri" w:hAnsi="Calibri"/>
          <w:sz w:val="24"/>
          <w:szCs w:val="24"/>
        </w:rPr>
        <w:t>treponemal</w:t>
      </w:r>
      <w:proofErr w:type="spellEnd"/>
      <w:r w:rsidR="008341AB">
        <w:rPr>
          <w:rFonts w:ascii="Calibri" w:hAnsi="Calibri"/>
          <w:sz w:val="24"/>
          <w:szCs w:val="24"/>
        </w:rPr>
        <w:t xml:space="preserve"> result</w:t>
      </w:r>
      <w:r w:rsidRPr="004A6A4E">
        <w:rPr>
          <w:rFonts w:ascii="Calibri" w:hAnsi="Calibri"/>
          <w:sz w:val="24"/>
          <w:szCs w:val="24"/>
        </w:rPr>
        <w:t xml:space="preserve"> to </w:t>
      </w:r>
      <w:r w:rsidR="008523A3">
        <w:rPr>
          <w:rFonts w:ascii="Calibri" w:hAnsi="Calibri"/>
          <w:sz w:val="24"/>
          <w:szCs w:val="24"/>
        </w:rPr>
        <w:t>reference</w:t>
      </w:r>
      <w:r w:rsidRPr="004A6A4E">
        <w:rPr>
          <w:rFonts w:ascii="Calibri" w:hAnsi="Calibri"/>
          <w:sz w:val="24"/>
          <w:szCs w:val="24"/>
        </w:rPr>
        <w:t xml:space="preserve"> </w:t>
      </w:r>
      <w:proofErr w:type="spellStart"/>
      <w:r w:rsidRPr="004A6A4E">
        <w:rPr>
          <w:rFonts w:ascii="Calibri" w:hAnsi="Calibri"/>
          <w:sz w:val="24"/>
          <w:szCs w:val="24"/>
        </w:rPr>
        <w:t>treponemal</w:t>
      </w:r>
      <w:proofErr w:type="spellEnd"/>
      <w:r w:rsidRPr="004A6A4E">
        <w:rPr>
          <w:rFonts w:ascii="Calibri" w:hAnsi="Calibri"/>
          <w:sz w:val="24"/>
          <w:szCs w:val="24"/>
        </w:rPr>
        <w:t xml:space="preserve"> serology</w:t>
      </w:r>
      <w:r w:rsidR="00D12FEB">
        <w:rPr>
          <w:rFonts w:ascii="Calibri" w:hAnsi="Calibri"/>
          <w:sz w:val="24"/>
          <w:szCs w:val="24"/>
        </w:rPr>
        <w:t>,</w:t>
      </w:r>
      <w:r w:rsidRPr="004A6A4E">
        <w:rPr>
          <w:rFonts w:ascii="Calibri" w:hAnsi="Calibri"/>
          <w:sz w:val="24"/>
          <w:szCs w:val="24"/>
        </w:rPr>
        <w:t xml:space="preserve"> and compar</w:t>
      </w:r>
      <w:r w:rsidR="00D12FEB">
        <w:rPr>
          <w:rFonts w:ascii="Calibri" w:hAnsi="Calibri"/>
          <w:sz w:val="24"/>
          <w:szCs w:val="24"/>
        </w:rPr>
        <w:t>ing</w:t>
      </w:r>
      <w:r w:rsidRPr="004A6A4E">
        <w:rPr>
          <w:rFonts w:ascii="Calibri" w:hAnsi="Calibri"/>
          <w:sz w:val="24"/>
          <w:szCs w:val="24"/>
        </w:rPr>
        <w:t xml:space="preserve"> the performance of the DPP</w:t>
      </w:r>
      <w:r w:rsidR="008341AB">
        <w:rPr>
          <w:rFonts w:ascii="Calibri" w:hAnsi="Calibri"/>
          <w:sz w:val="24"/>
          <w:szCs w:val="24"/>
        </w:rPr>
        <w:t xml:space="preserve"> non-</w:t>
      </w:r>
      <w:proofErr w:type="spellStart"/>
      <w:r w:rsidR="008341AB">
        <w:rPr>
          <w:rFonts w:ascii="Calibri" w:hAnsi="Calibri"/>
          <w:sz w:val="24"/>
          <w:szCs w:val="24"/>
        </w:rPr>
        <w:t>treponemal</w:t>
      </w:r>
      <w:proofErr w:type="spellEnd"/>
      <w:r w:rsidR="008341AB">
        <w:rPr>
          <w:rFonts w:ascii="Calibri" w:hAnsi="Calibri"/>
          <w:sz w:val="24"/>
          <w:szCs w:val="24"/>
        </w:rPr>
        <w:t xml:space="preserve"> result </w:t>
      </w:r>
      <w:r w:rsidRPr="004A6A4E">
        <w:rPr>
          <w:rFonts w:ascii="Calibri" w:hAnsi="Calibri"/>
          <w:sz w:val="24"/>
          <w:szCs w:val="24"/>
        </w:rPr>
        <w:t xml:space="preserve">to </w:t>
      </w:r>
      <w:r w:rsidR="008523A3">
        <w:rPr>
          <w:rFonts w:ascii="Calibri" w:hAnsi="Calibri"/>
          <w:sz w:val="24"/>
          <w:szCs w:val="24"/>
        </w:rPr>
        <w:t>reference</w:t>
      </w:r>
      <w:r w:rsidRPr="004A6A4E">
        <w:rPr>
          <w:rFonts w:ascii="Calibri" w:hAnsi="Calibri"/>
          <w:sz w:val="24"/>
          <w:szCs w:val="24"/>
        </w:rPr>
        <w:t xml:space="preserve"> non-</w:t>
      </w:r>
      <w:proofErr w:type="spellStart"/>
      <w:r w:rsidRPr="004A6A4E">
        <w:rPr>
          <w:rFonts w:ascii="Calibri" w:hAnsi="Calibri"/>
          <w:sz w:val="24"/>
          <w:szCs w:val="24"/>
        </w:rPr>
        <w:t>treponemal</w:t>
      </w:r>
      <w:proofErr w:type="spellEnd"/>
      <w:r w:rsidRPr="004A6A4E">
        <w:rPr>
          <w:rFonts w:ascii="Calibri" w:hAnsi="Calibri"/>
          <w:sz w:val="24"/>
          <w:szCs w:val="24"/>
        </w:rPr>
        <w:t xml:space="preserve"> serology. </w:t>
      </w:r>
      <w:r w:rsidR="00EC4C64">
        <w:rPr>
          <w:rFonts w:ascii="Calibri" w:hAnsi="Calibri"/>
          <w:sz w:val="24"/>
          <w:szCs w:val="24"/>
        </w:rPr>
        <w:t>Exact confidence intervals were calculated for each of these estimates using the binomial distribution</w:t>
      </w:r>
      <w:r w:rsidR="000203BF">
        <w:rPr>
          <w:rFonts w:ascii="Calibri" w:hAnsi="Calibri"/>
          <w:sz w:val="24"/>
          <w:szCs w:val="24"/>
        </w:rPr>
        <w:t>. The inverse variance was used to weight each study in the meta-analysis</w:t>
      </w:r>
      <w:r w:rsidR="00EC4C64">
        <w:rPr>
          <w:rFonts w:ascii="Calibri" w:hAnsi="Calibri"/>
          <w:sz w:val="24"/>
          <w:szCs w:val="24"/>
        </w:rPr>
        <w:t xml:space="preserve">. </w:t>
      </w:r>
      <w:r w:rsidR="004F7FE1">
        <w:rPr>
          <w:rFonts w:ascii="Calibri" w:hAnsi="Calibri"/>
          <w:sz w:val="24"/>
          <w:szCs w:val="24"/>
        </w:rPr>
        <w:t>We</w:t>
      </w:r>
      <w:r w:rsidR="00EC4C64">
        <w:rPr>
          <w:rFonts w:ascii="Calibri" w:hAnsi="Calibri"/>
          <w:sz w:val="24"/>
          <w:szCs w:val="24"/>
        </w:rPr>
        <w:t xml:space="preserve"> calculate</w:t>
      </w:r>
      <w:r w:rsidR="004F7FE1">
        <w:rPr>
          <w:rFonts w:ascii="Calibri" w:hAnsi="Calibri"/>
          <w:sz w:val="24"/>
          <w:szCs w:val="24"/>
        </w:rPr>
        <w:t>d</w:t>
      </w:r>
      <w:r w:rsidR="00EC4C64">
        <w:rPr>
          <w:rFonts w:ascii="Calibri" w:hAnsi="Calibri"/>
          <w:sz w:val="24"/>
          <w:szCs w:val="24"/>
        </w:rPr>
        <w:t xml:space="preserve"> the I</w:t>
      </w:r>
      <w:r w:rsidR="00EC4C64">
        <w:rPr>
          <w:rFonts w:ascii="Calibri" w:hAnsi="Calibri"/>
          <w:sz w:val="24"/>
          <w:szCs w:val="24"/>
          <w:vertAlign w:val="superscript"/>
        </w:rPr>
        <w:t>2</w:t>
      </w:r>
      <w:r w:rsidR="00EC4C64">
        <w:rPr>
          <w:rFonts w:ascii="Calibri" w:hAnsi="Calibri"/>
          <w:sz w:val="24"/>
          <w:szCs w:val="24"/>
        </w:rPr>
        <w:t xml:space="preserve"> statistic to quantify study </w:t>
      </w:r>
      <w:r w:rsidR="00EC4C64">
        <w:rPr>
          <w:rFonts w:ascii="Calibri" w:hAnsi="Calibri"/>
          <w:sz w:val="24"/>
          <w:szCs w:val="24"/>
        </w:rPr>
        <w:lastRenderedPageBreak/>
        <w:t>variability, and s</w:t>
      </w:r>
      <w:r w:rsidR="00EC4C64" w:rsidRPr="004A6A4E">
        <w:rPr>
          <w:rFonts w:ascii="Calibri" w:hAnsi="Calibri"/>
          <w:sz w:val="24"/>
          <w:szCs w:val="24"/>
        </w:rPr>
        <w:t>ensitivities and specificities were compared between</w:t>
      </w:r>
      <w:r w:rsidR="00F42EDA">
        <w:rPr>
          <w:rFonts w:ascii="Calibri" w:hAnsi="Calibri"/>
          <w:sz w:val="24"/>
          <w:szCs w:val="24"/>
        </w:rPr>
        <w:t xml:space="preserve"> </w:t>
      </w:r>
      <w:r w:rsidR="00F42EDA" w:rsidRPr="004A6A4E">
        <w:rPr>
          <w:rFonts w:ascii="Calibri" w:hAnsi="Calibri"/>
          <w:sz w:val="24"/>
          <w:szCs w:val="24"/>
        </w:rPr>
        <w:t>pre-specified subgroup</w:t>
      </w:r>
      <w:r w:rsidR="00F42EDA">
        <w:rPr>
          <w:rFonts w:ascii="Calibri" w:hAnsi="Calibri"/>
          <w:sz w:val="24"/>
          <w:szCs w:val="24"/>
        </w:rPr>
        <w:t>s</w:t>
      </w:r>
      <w:r w:rsidR="00F42EDA" w:rsidRPr="004A6A4E">
        <w:rPr>
          <w:rFonts w:ascii="Calibri" w:hAnsi="Calibri"/>
          <w:sz w:val="24"/>
          <w:szCs w:val="24"/>
        </w:rPr>
        <w:t xml:space="preserve"> </w:t>
      </w:r>
      <w:r w:rsidR="00F42EDA">
        <w:rPr>
          <w:rFonts w:ascii="Calibri" w:hAnsi="Calibri"/>
          <w:sz w:val="24"/>
          <w:szCs w:val="24"/>
        </w:rPr>
        <w:t>including the</w:t>
      </w:r>
      <w:r w:rsidR="00F42EDA" w:rsidRPr="004A6A4E">
        <w:rPr>
          <w:rFonts w:ascii="Calibri" w:hAnsi="Calibri"/>
          <w:sz w:val="24"/>
          <w:szCs w:val="24"/>
        </w:rPr>
        <w:t xml:space="preserve"> RPR titre, disease, </w:t>
      </w:r>
      <w:r w:rsidR="00F42EDA">
        <w:rPr>
          <w:rFonts w:ascii="Calibri" w:hAnsi="Calibri"/>
          <w:sz w:val="24"/>
          <w:szCs w:val="24"/>
        </w:rPr>
        <w:t xml:space="preserve">sample type and </w:t>
      </w:r>
      <w:r w:rsidR="00F42EDA" w:rsidRPr="004A6A4E">
        <w:rPr>
          <w:rFonts w:ascii="Calibri" w:hAnsi="Calibri"/>
          <w:sz w:val="24"/>
          <w:szCs w:val="24"/>
        </w:rPr>
        <w:t xml:space="preserve">clinical disease stage. </w:t>
      </w:r>
      <w:r w:rsidR="00027BAF">
        <w:rPr>
          <w:rFonts w:ascii="Calibri" w:hAnsi="Calibri"/>
          <w:sz w:val="24"/>
          <w:szCs w:val="24"/>
        </w:rPr>
        <w:t>W</w:t>
      </w:r>
      <w:r w:rsidR="004F7FE1">
        <w:rPr>
          <w:rFonts w:ascii="Calibri" w:hAnsi="Calibri"/>
          <w:sz w:val="24"/>
          <w:szCs w:val="24"/>
        </w:rPr>
        <w:t xml:space="preserve">e conducted multivariable logistic regression to assess </w:t>
      </w:r>
      <w:r w:rsidR="00C02742">
        <w:rPr>
          <w:rFonts w:ascii="Calibri" w:hAnsi="Calibri"/>
          <w:sz w:val="24"/>
          <w:szCs w:val="24"/>
        </w:rPr>
        <w:t xml:space="preserve">test variables including disease, RPR titre, sample type and reference </w:t>
      </w:r>
      <w:proofErr w:type="spellStart"/>
      <w:r w:rsidR="00C02742">
        <w:rPr>
          <w:rFonts w:ascii="Calibri" w:hAnsi="Calibri"/>
          <w:sz w:val="24"/>
          <w:szCs w:val="24"/>
        </w:rPr>
        <w:t>treponemal</w:t>
      </w:r>
      <w:proofErr w:type="spellEnd"/>
      <w:r w:rsidR="00C02742">
        <w:rPr>
          <w:rFonts w:ascii="Calibri" w:hAnsi="Calibri"/>
          <w:sz w:val="24"/>
          <w:szCs w:val="24"/>
        </w:rPr>
        <w:t xml:space="preserve"> test that were</w:t>
      </w:r>
      <w:r w:rsidR="004F7FE1">
        <w:rPr>
          <w:rFonts w:ascii="Calibri" w:hAnsi="Calibri"/>
          <w:sz w:val="24"/>
          <w:szCs w:val="24"/>
        </w:rPr>
        <w:t xml:space="preserve"> significantly associated with test performance.</w:t>
      </w:r>
    </w:p>
    <w:p w14:paraId="21906544" w14:textId="72C1CFF9" w:rsidR="008341AB" w:rsidRPr="004A6A4E" w:rsidRDefault="008341AB" w:rsidP="00FD2CAB">
      <w:pPr>
        <w:pStyle w:val="NormalWeb"/>
        <w:rPr>
          <w:rFonts w:ascii="Calibri" w:hAnsi="Calibri"/>
          <w:sz w:val="24"/>
          <w:szCs w:val="24"/>
        </w:rPr>
      </w:pPr>
      <w:r>
        <w:rPr>
          <w:rFonts w:ascii="Calibri" w:hAnsi="Calibri"/>
          <w:sz w:val="24"/>
          <w:szCs w:val="24"/>
        </w:rPr>
        <w:t>We assessed the overall performance of the DPP-RDT in detecting categories of infection. We classified the outcome of reference serology as active infection (</w:t>
      </w:r>
      <w:proofErr w:type="spellStart"/>
      <w:r>
        <w:rPr>
          <w:rFonts w:ascii="Calibri" w:hAnsi="Calibri"/>
          <w:sz w:val="24"/>
          <w:szCs w:val="24"/>
        </w:rPr>
        <w:t>treponemal</w:t>
      </w:r>
      <w:proofErr w:type="spellEnd"/>
      <w:r>
        <w:rPr>
          <w:rFonts w:ascii="Calibri" w:hAnsi="Calibri"/>
          <w:sz w:val="24"/>
          <w:szCs w:val="24"/>
        </w:rPr>
        <w:t xml:space="preserve"> and non-</w:t>
      </w:r>
      <w:proofErr w:type="spellStart"/>
      <w:r>
        <w:rPr>
          <w:rFonts w:ascii="Calibri" w:hAnsi="Calibri"/>
          <w:sz w:val="24"/>
          <w:szCs w:val="24"/>
        </w:rPr>
        <w:t>treponemal</w:t>
      </w:r>
      <w:proofErr w:type="spellEnd"/>
      <w:r>
        <w:rPr>
          <w:rFonts w:ascii="Calibri" w:hAnsi="Calibri"/>
          <w:sz w:val="24"/>
          <w:szCs w:val="24"/>
        </w:rPr>
        <w:t xml:space="preserve"> test positive), past infection (</w:t>
      </w:r>
      <w:proofErr w:type="spellStart"/>
      <w:r>
        <w:rPr>
          <w:rFonts w:ascii="Calibri" w:hAnsi="Calibri"/>
          <w:sz w:val="24"/>
          <w:szCs w:val="24"/>
        </w:rPr>
        <w:t>treponemal</w:t>
      </w:r>
      <w:proofErr w:type="spellEnd"/>
      <w:r>
        <w:rPr>
          <w:rFonts w:ascii="Calibri" w:hAnsi="Calibri"/>
          <w:sz w:val="24"/>
          <w:szCs w:val="24"/>
        </w:rPr>
        <w:t xml:space="preserve"> test positive and non-</w:t>
      </w:r>
      <w:proofErr w:type="spellStart"/>
      <w:r>
        <w:rPr>
          <w:rFonts w:ascii="Calibri" w:hAnsi="Calibri"/>
          <w:sz w:val="24"/>
          <w:szCs w:val="24"/>
        </w:rPr>
        <w:t>treponemal</w:t>
      </w:r>
      <w:proofErr w:type="spellEnd"/>
      <w:r>
        <w:rPr>
          <w:rFonts w:ascii="Calibri" w:hAnsi="Calibri"/>
          <w:sz w:val="24"/>
          <w:szCs w:val="24"/>
        </w:rPr>
        <w:t xml:space="preserve"> test negative) and no history of infection (both tests negative). We classified the outcome of the DPP-RDT correspondingly, as defining active infection (both elements positive), past infection (only the </w:t>
      </w:r>
      <w:proofErr w:type="spellStart"/>
      <w:r>
        <w:rPr>
          <w:rFonts w:ascii="Calibri" w:hAnsi="Calibri"/>
          <w:sz w:val="24"/>
          <w:szCs w:val="24"/>
        </w:rPr>
        <w:t>treponemal</w:t>
      </w:r>
      <w:proofErr w:type="spellEnd"/>
      <w:r>
        <w:rPr>
          <w:rFonts w:ascii="Calibri" w:hAnsi="Calibri"/>
          <w:sz w:val="24"/>
          <w:szCs w:val="24"/>
        </w:rPr>
        <w:t xml:space="preserve"> </w:t>
      </w:r>
      <w:r w:rsidR="00423D89">
        <w:rPr>
          <w:rFonts w:ascii="Calibri" w:hAnsi="Calibri"/>
          <w:sz w:val="24"/>
          <w:szCs w:val="24"/>
        </w:rPr>
        <w:t xml:space="preserve">element </w:t>
      </w:r>
      <w:r>
        <w:rPr>
          <w:rFonts w:ascii="Calibri" w:hAnsi="Calibri"/>
          <w:sz w:val="24"/>
          <w:szCs w:val="24"/>
        </w:rPr>
        <w:t>positive) and no previous infection (both negative). We calculated the overall agreement between the outcome of the DPP –RDT and the reference serology.  All analyses were conducted in STATA 13.1 (</w:t>
      </w:r>
      <w:proofErr w:type="spellStart"/>
      <w:r>
        <w:rPr>
          <w:rFonts w:ascii="Calibri" w:hAnsi="Calibri"/>
          <w:sz w:val="24"/>
          <w:szCs w:val="24"/>
        </w:rPr>
        <w:t>Statacorp</w:t>
      </w:r>
      <w:proofErr w:type="spellEnd"/>
      <w:r>
        <w:rPr>
          <w:rFonts w:ascii="Calibri" w:hAnsi="Calibri"/>
          <w:sz w:val="24"/>
          <w:szCs w:val="24"/>
        </w:rPr>
        <w:t xml:space="preserve">, Texas). </w:t>
      </w:r>
    </w:p>
    <w:p w14:paraId="3B89B061" w14:textId="77777777" w:rsidR="001E7FB2" w:rsidRPr="00CA31BC" w:rsidRDefault="00C701E3" w:rsidP="00FD2CAB">
      <w:pPr>
        <w:rPr>
          <w:rFonts w:ascii="Calibri" w:hAnsi="Calibri" w:cs="Arial"/>
          <w:u w:val="single"/>
        </w:rPr>
      </w:pPr>
      <w:r w:rsidRPr="00CA31BC">
        <w:rPr>
          <w:rFonts w:ascii="Calibri" w:hAnsi="Calibri" w:cs="Arial"/>
          <w:u w:val="single"/>
        </w:rPr>
        <w:t>Ethics</w:t>
      </w:r>
    </w:p>
    <w:p w14:paraId="2C404870" w14:textId="77777777" w:rsidR="00C701E3" w:rsidRPr="00CA31BC" w:rsidRDefault="00C701E3" w:rsidP="00FD2CAB">
      <w:pPr>
        <w:rPr>
          <w:rFonts w:ascii="Calibri" w:hAnsi="Calibri"/>
        </w:rPr>
      </w:pPr>
      <w:proofErr w:type="gramStart"/>
      <w:r w:rsidRPr="00CA31BC">
        <w:rPr>
          <w:rFonts w:ascii="Calibri" w:hAnsi="Calibri"/>
        </w:rPr>
        <w:t>The study was approved by the ethics committee of the London School of Hygiene &amp; Tropical Medicine, UK</w:t>
      </w:r>
      <w:proofErr w:type="gramEnd"/>
      <w:r w:rsidRPr="00CA31BC">
        <w:rPr>
          <w:rFonts w:ascii="Calibri" w:hAnsi="Calibri"/>
        </w:rPr>
        <w:t xml:space="preserve"> (LSHTM Ref. 8908). </w:t>
      </w:r>
    </w:p>
    <w:p w14:paraId="3927CA4D" w14:textId="77777777" w:rsidR="001E7FB2" w:rsidRDefault="001E7FB2" w:rsidP="00FD2CAB">
      <w:pPr>
        <w:rPr>
          <w:rFonts w:ascii="Calibri" w:hAnsi="Calibri" w:cs="Arial"/>
        </w:rPr>
      </w:pPr>
    </w:p>
    <w:p w14:paraId="4688CF1A" w14:textId="77777777" w:rsidR="00CA31BC" w:rsidRPr="00CA31BC" w:rsidRDefault="00CA31BC" w:rsidP="00FD2CAB">
      <w:pPr>
        <w:rPr>
          <w:rFonts w:ascii="Calibri" w:hAnsi="Calibri" w:cs="Arial"/>
          <w:b/>
        </w:rPr>
      </w:pPr>
      <w:r w:rsidRPr="00CA31BC">
        <w:rPr>
          <w:rFonts w:ascii="Calibri" w:hAnsi="Calibri" w:cs="Arial"/>
          <w:b/>
        </w:rPr>
        <w:t>Results</w:t>
      </w:r>
    </w:p>
    <w:p w14:paraId="097DFE34" w14:textId="77777777" w:rsidR="00CA31BC" w:rsidRPr="00CA31BC" w:rsidRDefault="00CA31BC" w:rsidP="00FD2CAB">
      <w:pPr>
        <w:rPr>
          <w:rFonts w:ascii="Calibri" w:hAnsi="Calibri" w:cs="Arial"/>
          <w:b/>
        </w:rPr>
      </w:pPr>
    </w:p>
    <w:p w14:paraId="418DB7A1" w14:textId="105477E6" w:rsidR="007F3F7B" w:rsidRDefault="00CA31BC" w:rsidP="00FD2CAB">
      <w:pPr>
        <w:rPr>
          <w:rFonts w:ascii="Calibri" w:hAnsi="Calibri" w:cs="Arial"/>
        </w:rPr>
      </w:pPr>
      <w:r w:rsidRPr="00CA31BC">
        <w:rPr>
          <w:rFonts w:ascii="Calibri" w:hAnsi="Calibri" w:cs="Arial"/>
        </w:rPr>
        <w:t xml:space="preserve">One hundred and eighty five articles </w:t>
      </w:r>
      <w:r w:rsidR="007F3F7B">
        <w:rPr>
          <w:rFonts w:ascii="Calibri" w:hAnsi="Calibri" w:cs="Arial"/>
        </w:rPr>
        <w:t>were identified as meeting</w:t>
      </w:r>
      <w:r w:rsidRPr="00CA31BC">
        <w:rPr>
          <w:rFonts w:ascii="Calibri" w:hAnsi="Calibri" w:cs="Arial"/>
        </w:rPr>
        <w:t xml:space="preserve"> the search criteria</w:t>
      </w:r>
      <w:r w:rsidR="007F3F7B">
        <w:rPr>
          <w:rFonts w:ascii="Calibri" w:hAnsi="Calibri" w:cs="Arial"/>
        </w:rPr>
        <w:t xml:space="preserve"> and ten studies met the inclusion criteria</w:t>
      </w:r>
      <w:r w:rsidR="00131837">
        <w:rPr>
          <w:rFonts w:ascii="Calibri" w:hAnsi="Calibri" w:cs="Arial"/>
        </w:rPr>
        <w:fldChar w:fldCharType="begin"/>
      </w:r>
      <w:r w:rsidR="00832180">
        <w:rPr>
          <w:rFonts w:ascii="Calibri" w:hAnsi="Calibri" w:cs="Arial"/>
        </w:rPr>
        <w:instrText xml:space="preserve"> ADDIN ZOTERO_ITEM CSL_CITATION {"citationID":"yBx3TL63","properties":{"formattedCitation":"{\\rtf [10,12\\uc0\\u8211{}18]}","plainCitation":"[10,12–18]"},"citationItems":[{"id":797,"uris":["http://zotero.org/users/38820/items/QZWGPW34"],"uri":["http://zotero.org/users/38820/items/QZWGPW34"],"itemData":{"id":797,"type":"article-journal","title":"Novel Point-of-Care Test for Simultaneous Detection of Nontreponemal and Treponemal Antibodies in Patients with Syphilis","container-title":"Journal of Clinical Microbiology","page":"4615-4619","volume":"48","issue":"12","source":"jcm.asm.org","abstract":"We describe a point-of-care immunochromatographic test for the simultaneous detection of both nontreponemal and treponemal antibodies in the sera of patients with syphilis that acts as both a screening and a confirmatory test. A total of 1,601 banked serum samples were examined by the dual test, and the results were compared to those obtained using a quantitative rapid plasma reagin (RPR) test and the Treponema pallidum passive particle agglutination (TP-PA) assay. Compared to the RPR test, the reactive concordance of the dual test nontreponemal line was 98.4% when the RPR titers of sera were ≥1:2 and the nonreactive concordance was 98.6%. Compared to the TP-PA assay, the reactive and nonreactive concordances of the treponemal line were 96.5% and 95.5%, respectively. These results indicate that the dual test could be used for the serological diagnosis of syphilis in primary health care clinics or resource-poor settings and therefore improve rates of treatment where patients may fail to return for their laboratory results.","DOI":"10.1128/JCM.00624-10","ISSN":"0095-1137, 1098-660X","note":"PMID: 20881177","journalAbbreviation":"J. Clin. Microbiol.","language":"en","author":[{"family":"Castro","given":"Arnold R."},{"family":"Esfandiari","given":"Javan"},{"family":"Kumar","given":"Shailendra"},{"family":"Ashton","given":"Matthew"},{"family":"Kikkert","given":"Susan E."},{"family":"Park","given":"Mahin M."},{"family":"Ballard","given":"Ronald C."}],"issued":{"date-parts":[["2010",1,12]]},"PMID":"20881177"}},{"id":3266,"uris":["http://zotero.org/users/38820/items/43E22X9V"],"uri":["http://zotero.org/users/38820/items/43E22X9V"],"itemData":{"id":3266,"type":"article-journal","title":"Evaluation of an immunochromatographic point-of-care test for the simultaneous detection of nontreponemal and treponemal antibodies in patients with syphilis","container-title":"Sexually Transmitted Diseases","page":"467-469","volume":"41","issue":"8","source":"NCBI PubMed","abstract":"We described the evaluation of the Syphilis Screening &amp; Confirm Assay for the simultaneous detection of nontreponemal and treponemal antibodies. A total of 248 samples were evaluated. The sensitivity of the tests was 98.8%, 99.5% and 98.9%, while specificity was 94.7%, 88.9% and 93.2%, respectively, as compared with the rapid plasma reagin, Treponema pallidum hemagglutination assay, and fluorescent treponemal antibody absorption tests.","DOI":"10.1097/OLQ.0000000000000161","ISSN":"1537-4521","note":"PMID: 25013972","journalAbbreviation":"Sex Transm Dis","language":"eng","author":[{"family":"Castro","given":"Rita"},{"family":"Lopes","given":"Ângela"},{"family":"Luz Martins Pereira","given":"Filomena","non-dropping-particle":"da"}],"issued":{"date-parts":[["2014",8]]},"PMID":"25013972"}},{"id":2,"uris":["http://zotero.org/users/38820/items/XAIC6XIT"],"uri":["http://zotero.org/users/38820/items/XAIC6XIT"],"itemData":{"id":2,"type":"article-journal","title":"An evaluation of a novel dual treponemal/non-treponemal point-of-care test for syphilis as a tool to distinguish active from past treated infection","container-title":"Clinical Infectious Diseases: An Official Publication of the Infectious Diseases Society of America","source":"PubMed","abstract":"INTRODUCTION: Most syphilis point-of-care (POC) tests detect treponemal antibodies, which persist after successful treatment. Subsequent POC tests are positive, despite no active infection, and can lead to unnecessary treatment. We evaluated a new POC test, incorporating a non-treponemal component, to distinguish active from past infection.\nMETHODS: Sera stored at two Australian laboratories were tested with DPP Screen-and-Confirm Assay. Treponemal and non-treponemal test lines were compared to corresponding conventional treponemal and non-treponemal reference test results: immunoassays and rapid plasma reagin(RPR), respectively, with RPR quantification by endpoint titration. POC test outcome concordance with conventional test results was assessed according to serological and clinical categories.\nRESULTS: Among 1005 sera tested, DPP treponemal line sensitivity was 89.8%(95%CI 87.3-91.9%) and specificity was 99.3%(97.0-99.9%). DPP non-treponemal line sensitivity was 94.2%(91.8-96.0%) and specificity was 62.2%(57.5-66.6%). DPP test outcome (pair of test lines) was concordant with both reference test results for 94.3% of 404 high-titre infections; 90.1% of 121 low-titre infections; 27.5% of 211 past/treated infections, and 78.1% of 242 classified as not syphilis. Among 211 past/treated infections, 49.8% were incorrectly identified as active infection and a further 22.8% as not syphilis.\nCONCLUSION: DPP test use would result in identification of over 93% of active syphilis infections, while just over half of past infections would be diagnosed as past or not syphilis, avoiding unnecessary treatment compared to other POC tests. This may be at the expense of missing some active infections, thus its potential benefits will depend on the prevalence of past versus active infection in a population.","DOI":"10.1093/cid/civ243","ISSN":"1537-6591","note":"PMID: 25810288","journalAbbreviation":"Clin. Infect. Dis.","language":"ENG","author":[{"family":"Causer","given":"Louise M."},{"family":"Kaldor","given":"John M."},{"family":"Conway","given":"Damian P."},{"family":"Leslie","given":"David E."},{"family":"Denham","given":"Ian"},{"family":"Karapanagiotidis","given":"Theo"},{"family":"Ryan","given":"Claire"},{"family":"Wand","given":"Handan"},{"family":"Anderson","given":"David A."},{"family":"Robertson","given":"Peter W."},{"family":"McNulty","given":"Anna M."},{"family":"Donovan","given":"Basil"},{"family":"Fairley","given":"Christopher K."},{"family":"Guy","given":"Rebecca J."}],"issued":{"date-parts":[["2015",3,25]]},"PMID":"25810288"}},{"id":889,"uris":["http://zotero.org/users/38820/items/T5ICGJ2Z"],"uri":["http://zotero.org/users/38820/items/T5ICGJ2Z"],"itemData":{"id":889,"type":"article-journal","title":"A dual point-of-care test shows good performance in simultaneously detecting nontreponemal and treponemal antibodies in patients with syphilis: a multisite evaluation study in China","container-title":"Clinical Infectious Diseases","page":"659-665","volume":"56","issue":"5","source":"NCBI PubMed","abstract":"BACKGROUND: Rapid point-of-care (POC) syphilis tests based on simultaneous detection of treponemal and nontreponemal antibodies (dual POC tests) offer the opportunity to increase coverage of syphilis screening and treatment. This study aimed to conduct a multisite performance evaluation of a dual POC syphilis test in China.\nMETHODS: Participants were recruited from patients at sexually transmitted infection clinics and high-risk groups in outreach settings in 6 sites in China. Three kinds of specimens (whole blood [WB], fingerprick blood [FB], and blood plasma [BP]) were used for evaluating sensitivity and specificity of the Dual Path Platform (DPP) Syphilis Screen and Confirm test using its treponemal and nontreponemal lines to compare Treponema pallidum particle agglutination (TPPA) assay and toluidine red unheated serum test (TRUST) as reference standards.\nRESULTS: A total of 3134 specimens (WB 1323, FB 488, and BP 1323) from 1323 individuals were collected. The sensitivities as compared with TPPA were 96.7% for WB, 96.4% for FB, and 94.6% for BP, and the specificities were 99.3%, 99.1%, and 99.6%, respectively. The sensitivities as compared with TRUST were 87.2% for WB, 85.8% for FB, and 88.4% for BP, and the specificities were 94.4%, 96.1%, and 95.0%, respectively. For specimens with a TRUST titer of 1:4 or higher, the sensitivities were 100.0% for WB, 97.8% for FB, and 99.6% for BP.\nCONCLUSIONS: DPP test shows good sensitivity and specificity in detecting treponemal and nontreponemal antibodies in 3 kinds of specimens. It is hoped that this assay can be considered as an alternative in the diagnosis of syphilis, particularly in resource-limited areas.","DOI":"10.1093/cid/cis928","ISSN":"1537-6591","note":"PMID: 23132172","shortTitle":"A dual point-of-care test shows good performance in simultaneously detecting nontreponemal and treponemal antibodies in patients with syphilis","journalAbbreviation":"Clin. Infect. Dis.","language":"eng","author":[{"family":"Yin","given":"Yue-Ping"},{"family":"Chen","given":"Xiang-Sheng"},{"family":"Wei","given":"Wan-Hui"},{"family":"Gong","given":"Kuang-Long"},{"family":"Cao","given":"Wen-Ling"},{"family":"Yong","given":"Gang"},{"family":"Feng","given":"Liang"},{"family":"Huang","given":"Shu-Jie"},{"family":"Wang","given":"Dong-Mei"},{"family":"Han","given":"Yan"},{"family":"Chen","given":"Shao-Chun"},{"family":"Mabey","given":"David"},{"family":"Peeling","given":"Rosanna W"}],"issued":{"date-parts":[["2013",3]]},"PMID":"23132172"}},{"id":2076,"uris":["http://zotero.org/users/38820/items/X3V2WXHW"],"uri":["http://zotero.org/users/38820/items/X3V2WXHW"],"itemData":{"id":2076,"type":"article-journal","title":"Evaluation of a Rapid Diagnostic Test for Yaws Infection in a Community Surveillance Setting","container-title":"PLoS Negl Trop Dis","page":"e3156","volume":"8","issue":"9","source":"PLoS Journals","abstract":"Author Summary Yaws is a bacterial infection closely related to syphilis. The WHO has launched a worldwide campaign to eradicate yaws by 2020. If this goal is to be achieved, programme managers and clinical staff will need access to a rapid diagnostic test (RDT) for yaws that can be used in the remote communities where the disease is found. In this study, we present data evaluating one possible RDT for yaws as part of a community survey in the Solomon Islands. The test performed reasonably well—there were some false negatives but few false positives. The performance of the test was best in individuals with more active disease suggesting the test may be most appropriately used for confirming clinically diagnosed cases. These findings should prompt consideration of the use of this RDT as part of worldwide yaws control efforts.","DOI":"10.1371/journal.pntd.0003156","journalAbbreviation":"PLoS Negl Trop Dis","author":[{"family":"Marks","given":"Michael"},{"family":"Goncalves","given":"Adriana"},{"family":"Vahi","given":"Ventis"},{"family":"Sokana","given":"Oliver"},{"family":"Puiahi","given":"Elliot"},{"family":"Zhang","given":"Zaixing"},{"family":"Dalipanda","given":"Tenneth"},{"family":"Bottomley","given":"Christian"},{"family":"Mabey","given":"David"},{"family":"Solomon","given":"Anthony W."}],"issued":{"date-parts":[["2014",9,11]]}}},{"id":2592,"uris":["http://zotero.org/users/38820/items/AJ3MJTD9"],"uri":["http://zotero.org/users/38820/items/AJ3MJTD9"],"itemData":{"id":2592,"type":"article-journal","title":"Sensitivity and specificity of a rapid point-of-care test for active yaws: a comparative study","container-title":"The Lancet Global Health","page":"e415-e421","volume":"2","issue":"7","source":"CrossRef","DOI":"10.1016/S2214-109X(14)70231-1","ISSN":"2214109X","shortTitle":"Sensitivity and specificity of a rapid point-of-care test for active yaws","language":"en","author":[{"family":"Ayove","given":"Telek"},{"family":"Houniei","given":"Wendy"},{"family":"Wangnapi","given":"Regina"},{"family":"Bieb","given":"Sibauk V"},{"family":"Kazadi","given":"Walter"},{"family":"Luke","given":"Lisol-Nirau"},{"family":"Manineng","given":"Clement"},{"family":"Moses","given":"Penias"},{"family":"Paru","given":"Raymond"},{"family":"Esfandiari","given":"Javan"},{"family":"Alonso","given":"Pedro L"},{"family":"Lazzari","given":"Elisa","non-dropping-particle":"de"},{"family":"Bassat","given":"Quique"},{"family":"Mabey","given":"David"},{"family":"Mitjà","given":"Oriol"}],"issued":{"date-parts":[["2014",7]]}}},{"id":1637,"uris":["http://zotero.org/users/38820/items/VGKUP8XR"],"uri":["http://zotero.org/users/38820/items/VGKUP8XR"],"itemData":{"id":1637,"type":"article-journal","title":"Usefulness in clinical practice of a point-of-care rapid test for simultaneous detection of nontreponemal and &lt;i&gt;Treponema pallidum&lt;/i&gt;-specific antibodies in patients suffering from documented syphilis","container-title":"International Journal of STD &amp; AIDS","page":"944-950","volume":"24","issue":"12","source":"std.sagepub.com","abstract":"The usefulness of a point-of-care immunochromatographic dual test for the simultaneous detection of both nontreponemal and Treponema pallidum-specific antibodies (Chembio Diagnostics Systems Inc., Medford, NY, USA) was assessed in various situations related to syphilis, by reference to conventional syphilis serology. Thawed sera were obtained from 100 adults including 36 primary syphilis, 6 secondary syphilis, 6 re-infection, 9 recently-treated syphilis, and 43 old syphilis. Doubtful reactivities for the treponemal line were considered positive; doubtful reactivities for the nontreponemal line were considered positive only when the treponemal line was present. The sensitivity, the specificity, and its concordance to gold standard serology of treponemal line were high, around 90%. The sensitivity of nontreponemal line was 96.3%, its specificity 76.7%, and its concordance 83.4%. In conclusion, the dual rapid test from Chembio Diagnostics Systems Inc. is useful for rapid point-of-care diagnosis in the various situations encountered with patients suffering from syphilis.","DOI":"10.1177/0956462413487328","ISSN":"0956-4624, 1758-1052","note":"PMID: 23999937","journalAbbreviation":"Int J STD AIDS","language":"en","author":[{"family":"Guinard","given":"Jérôme"},{"family":"Prazuck","given":"Thierry"},{"family":"Péré","given":"Hélène"},{"family":"Poirier","given":"Claire"},{"family":"LeGoff","given":"Jérôme"},{"family":"Boedec","given":"Erwan"},{"family":"Guigon","given":"Aurélie"},{"family":"Day","given":"Nesrine"},{"family":"Bélec","given":"Laurent"}],"issued":{"date-parts":[["2013",12,1]]},"PMID":"23999937"}},{"id":1456,"uris":["http://zotero.org/users/38820/items/W2VR7QZC"],"uri":["http://zotero.org/users/38820/items/W2VR7QZC"],"itemData":{"id":1456,"type":"article-journal","title":"A Laboratory-Based Evaluation of Four Rapid Point-of-Care Tests for Syphilis","container-title":"PLoS ONE","volume":"9","issue":"3","source":"PubMed Central","abstract":"Background\nSyphilis point-of-care tests may reduce morbidity and ongoing transmission by increasing the proportion of people rapidly treated. Syphilis stage and co-infection with HIV may influence test performance. We evaluated four commercially available syphilis point-of-care devices in a head-to-head comparison using sera from laboratories in Australia.\n\nMethods\nPoint-of-care tests were evaluated using sera stored at Sydney and Melbourne laboratories. Sensitivity and specificity were calculated by standard methods, comparing point-of-care results to treponemal immunoassay (IA) reference test results. Additional analyses by clinical syphilis stage, HIV status, and non-treponemal antibody titre were performed. Non-overlapping 95% confidence intervals (CI) were considered statistically significant differences in estimates.\n\nResults\nIn total 1203 specimens were tested (736 IA-reactive, 467 IA-nonreactive). Point-of-care test sensitivities were: Determine 97.3%(95%CI:95.8–98.3), Onsite 92.5%(90.3–94.3), DPP 89.8%(87.3–91.9) and Bioline 87.8%(85.1–90.0). Specificities were: Determine 96.4%(94.1–97.8), Onsite 92.5%(90.3–94.3), DPP 98.3%(96.5–99.2), and Bioline 98.5%(96.8–99.3). Sensitivity of the Determine test was 100% for primary and 100% for secondary syphilis. The three other tests had reduced sensitivity among primary (80.4–90.2%) compared to secondary syphilis (94.3–98.6%). No significant differences in sensitivity were observed by HIV status. Test sensitivities were significantly higher among high-RPR titre (RPR≥8) (range: 94.6–99.5%) than RPR non-reactive infections (range: 76.3–92.9%).\n\nConclusions\nThe Determine test had the highest sensitivity overall. All tests were most sensitive among high-RPR titre infections. Point-of-care tests have a role in syphilis control programs however in developed countries with established laboratory infrastructures, the lower sensitivities of some tests observed in primary syphilis suggest these would need to be supplemented with additional tests among populations where syphilis incidence is high to avoid missing early syphilis cases.","URL":"http://www.ncbi.nlm.nih.gov/pmc/articles/PMC3950184/","DOI":"10.1371/journal.pone.0091504","ISSN":"1932-6203","note":"PMID: 24618681\nPMCID: PMC3950184","journalAbbreviation":"PLoS One","author":[{"family":"Causer","given":"Louise M."},{"family":"Kaldor","given":"John M."},{"family":"Fairley","given":"Christopher K."},{"family":"Donovan","given":"Basil"},{"family":"Karapanagiotidis","given":"Theo"},{"family":"Leslie","given":"David E."},{"family":"Robertson","given":"Peter W."},{"family":"McNulty","given":"Anna M."},{"family":"Anderson","given":"David"},{"family":"Wand","given":"Handan"},{"family":"Conway","given":"Damian P."},{"family":"Denham","given":"Ian"},{"family":"Ryan","given":"Claire"},{"family":"Guy","given":"Rebecca J."}],"issued":{"date-parts":[["2014",3,11]]},"accessed":{"date-parts":[["2014",5,19]]},"PMID":"24618681","PMCID":"PMC3950184"}}],"schema":"https://github.com/citation-style-language/schema/raw/master/csl-citation.json"} </w:instrText>
      </w:r>
      <w:r w:rsidR="00131837">
        <w:rPr>
          <w:rFonts w:ascii="Calibri" w:hAnsi="Calibri" w:cs="Arial"/>
        </w:rPr>
        <w:fldChar w:fldCharType="separate"/>
      </w:r>
      <w:r w:rsidR="00832180" w:rsidRPr="004340C7">
        <w:rPr>
          <w:rFonts w:ascii="Calibri" w:hAnsi="Calibri"/>
          <w:lang w:val="en-US"/>
        </w:rPr>
        <w:t>[10,12–18]</w:t>
      </w:r>
      <w:r w:rsidR="00131837">
        <w:rPr>
          <w:rFonts w:ascii="Calibri" w:hAnsi="Calibri" w:cs="Arial"/>
        </w:rPr>
        <w:fldChar w:fldCharType="end"/>
      </w:r>
      <w:r w:rsidRPr="00CA31BC">
        <w:rPr>
          <w:rFonts w:ascii="Calibri" w:hAnsi="Calibri" w:cs="Arial"/>
        </w:rPr>
        <w:t xml:space="preserve">. </w:t>
      </w:r>
      <w:r w:rsidR="007F3F7B">
        <w:rPr>
          <w:rFonts w:ascii="Calibri" w:hAnsi="Calibri" w:cs="Arial"/>
        </w:rPr>
        <w:t>Of these, t</w:t>
      </w:r>
      <w:r w:rsidR="00840408">
        <w:rPr>
          <w:rFonts w:ascii="Calibri" w:hAnsi="Calibri" w:cs="Arial"/>
        </w:rPr>
        <w:t xml:space="preserve">wo studies reported data on the same set of patients; one study evaluated the </w:t>
      </w:r>
      <w:proofErr w:type="spellStart"/>
      <w:r w:rsidR="00840408">
        <w:rPr>
          <w:rFonts w:ascii="Calibri" w:hAnsi="Calibri" w:cs="Arial"/>
        </w:rPr>
        <w:t>treponemal</w:t>
      </w:r>
      <w:proofErr w:type="spellEnd"/>
      <w:r w:rsidR="00840408">
        <w:rPr>
          <w:rFonts w:ascii="Calibri" w:hAnsi="Calibri" w:cs="Arial"/>
        </w:rPr>
        <w:t xml:space="preserve"> component of four RDTs including the DPP</w:t>
      </w:r>
      <w:r w:rsidR="00C30BFE">
        <w:rPr>
          <w:rFonts w:ascii="Calibri" w:hAnsi="Calibri" w:cs="Arial"/>
        </w:rPr>
        <w:t>-RDT</w:t>
      </w:r>
      <w:r w:rsidR="00131837">
        <w:rPr>
          <w:rFonts w:ascii="Calibri" w:hAnsi="Calibri" w:cs="Arial"/>
        </w:rPr>
        <w:fldChar w:fldCharType="begin"/>
      </w:r>
      <w:r w:rsidR="00832180">
        <w:rPr>
          <w:rFonts w:ascii="Calibri" w:hAnsi="Calibri" w:cs="Arial"/>
        </w:rPr>
        <w:instrText xml:space="preserve"> ADDIN ZOTERO_ITEM CSL_CITATION {"citationID":"1tge1cga4m","properties":{"formattedCitation":"[18]","plainCitation":"[18]"},"citationItems":[{"id":1456,"uris":["http://zotero.org/users/38820/items/W2VR7QZC"],"uri":["http://zotero.org/users/38820/items/W2VR7QZC"],"itemData":{"id":1456,"type":"article-journal","title":"A Laboratory-Based Evaluation of Four Rapid Point-of-Care Tests for Syphilis","container-title":"PLoS ONE","volume":"9","issue":"3","source":"PubMed Central","abstract":"Background\nSyphilis point-of-care tests may reduce morbidity and ongoing transmission by increasing the proportion of people rapidly treated. Syphilis stage and co-infection with HIV may influence test performance. We evaluated four commercially available syphilis point-of-care devices in a head-to-head comparison using sera from laboratories in Australia.\n\nMethods\nPoint-of-care tests were evaluated using sera stored at Sydney and Melbourne laboratories. Sensitivity and specificity were calculated by standard methods, comparing point-of-care results to treponemal immunoassay (IA) reference test results. Additional analyses by clinical syphilis stage, HIV status, and non-treponemal antibody titre were performed. Non-overlapping 95% confidence intervals (CI) were considered statistically significant differences in estimates.\n\nResults\nIn total 1203 specimens were tested (736 IA-reactive, 467 IA-nonreactive). Point-of-care test sensitivities were: Determine 97.3%(95%CI:95.8–98.3), Onsite 92.5%(90.3–94.3), DPP 89.8%(87.3–91.9) and Bioline 87.8%(85.1–90.0). Specificities were: Determine 96.4%(94.1–97.8), Onsite 92.5%(90.3–94.3), DPP 98.3%(96.5–99.2), and Bioline 98.5%(96.8–99.3). Sensitivity of the Determine test was 100% for primary and 100% for secondary syphilis. The three other tests had reduced sensitivity among primary (80.4–90.2%) compared to secondary syphilis (94.3–98.6%). No significant differences in sensitivity were observed by HIV status. Test sensitivities were significantly higher among high-RPR titre (RPR≥8) (range: 94.6–99.5%) than RPR non-reactive infections (range: 76.3–92.9%).\n\nConclusions\nThe Determine test had the highest sensitivity overall. All tests were most sensitive among high-RPR titre infections. Point-of-care tests have a role in syphilis control programs however in developed countries with established laboratory infrastructures, the lower sensitivities of some tests observed in primary syphilis suggest these would need to be supplemented with additional tests among populations where syphilis incidence is high to avoid missing early syphilis cases.","URL":"http://www.ncbi.nlm.nih.gov/pmc/articles/PMC3950184/","DOI":"10.1371/journal.pone.0091504","ISSN":"1932-6203","note":"PMID: 24618681\nPMCID: PMC3950184","journalAbbreviation":"PLoS One","author":[{"family":"Causer","given":"Louise M."},{"family":"Kaldor","given":"John M."},{"family":"Fairley","given":"Christopher K."},{"family":"Donovan","given":"Basil"},{"family":"Karapanagiotidis","given":"Theo"},{"family":"Leslie","given":"David E."},{"family":"Robertson","given":"Peter W."},{"family":"McNulty","given":"Anna M."},{"family":"Anderson","given":"David"},{"family":"Wand","given":"Handan"},{"family":"Conway","given":"Damian P."},{"family":"Denham","given":"Ian"},{"family":"Ryan","given":"Claire"},{"family":"Guy","given":"Rebecca J."}],"issued":{"date-parts":[["2014",3,11]]},"accessed":{"date-parts":[["2014",5,19]]},"PMID":"24618681","PMCID":"PMC3950184"}}],"schema":"https://github.com/citation-style-language/schema/raw/master/csl-citation.json"} </w:instrText>
      </w:r>
      <w:r w:rsidR="00131837">
        <w:rPr>
          <w:rFonts w:ascii="Calibri" w:hAnsi="Calibri" w:cs="Arial"/>
        </w:rPr>
        <w:fldChar w:fldCharType="separate"/>
      </w:r>
      <w:r w:rsidR="00832180">
        <w:rPr>
          <w:rFonts w:ascii="Calibri" w:hAnsi="Calibri"/>
          <w:lang w:val="en-US"/>
        </w:rPr>
        <w:t>[18]</w:t>
      </w:r>
      <w:r w:rsidR="00131837">
        <w:rPr>
          <w:rFonts w:ascii="Calibri" w:hAnsi="Calibri" w:cs="Arial"/>
        </w:rPr>
        <w:fldChar w:fldCharType="end"/>
      </w:r>
      <w:r w:rsidR="00840408">
        <w:rPr>
          <w:rFonts w:ascii="Calibri" w:hAnsi="Calibri" w:cs="Arial"/>
        </w:rPr>
        <w:t xml:space="preserve">, the second study evaluated both the </w:t>
      </w:r>
      <w:proofErr w:type="spellStart"/>
      <w:r w:rsidR="00840408">
        <w:rPr>
          <w:rFonts w:ascii="Calibri" w:hAnsi="Calibri" w:cs="Arial"/>
        </w:rPr>
        <w:t>treponemal</w:t>
      </w:r>
      <w:proofErr w:type="spellEnd"/>
      <w:r w:rsidR="00840408">
        <w:rPr>
          <w:rFonts w:ascii="Calibri" w:hAnsi="Calibri" w:cs="Arial"/>
        </w:rPr>
        <w:t xml:space="preserve"> and non-</w:t>
      </w:r>
      <w:proofErr w:type="spellStart"/>
      <w:r w:rsidR="00840408">
        <w:rPr>
          <w:rFonts w:ascii="Calibri" w:hAnsi="Calibri" w:cs="Arial"/>
        </w:rPr>
        <w:t>treponemal</w:t>
      </w:r>
      <w:proofErr w:type="spellEnd"/>
      <w:r w:rsidR="00840408">
        <w:rPr>
          <w:rFonts w:ascii="Calibri" w:hAnsi="Calibri" w:cs="Arial"/>
        </w:rPr>
        <w:t xml:space="preserve"> component of the DPP</w:t>
      </w:r>
      <w:r w:rsidR="00C30BFE">
        <w:rPr>
          <w:rFonts w:ascii="Calibri" w:hAnsi="Calibri" w:cs="Arial"/>
        </w:rPr>
        <w:t>-RDT</w:t>
      </w:r>
      <w:r w:rsidR="00840408">
        <w:rPr>
          <w:rFonts w:ascii="Calibri" w:hAnsi="Calibri" w:cs="Arial"/>
        </w:rPr>
        <w:t xml:space="preserve"> and was included in this analysis</w:t>
      </w:r>
      <w:r w:rsidR="00131837">
        <w:rPr>
          <w:rFonts w:ascii="Calibri" w:hAnsi="Calibri" w:cs="Arial"/>
        </w:rPr>
        <w:fldChar w:fldCharType="begin"/>
      </w:r>
      <w:r w:rsidR="00832180">
        <w:rPr>
          <w:rFonts w:ascii="Calibri" w:hAnsi="Calibri" w:cs="Arial"/>
        </w:rPr>
        <w:instrText xml:space="preserve"> ADDIN ZOTERO_ITEM CSL_CITATION {"citationID":"1rggom8h01","properties":{"formattedCitation":"[13]","plainCitation":"[13]"},"citationItems":[{"id":2,"uris":["http://zotero.org/users/38820/items/XAIC6XIT"],"uri":["http://zotero.org/users/38820/items/XAIC6XIT"],"itemData":{"id":2,"type":"article-journal","title":"An evaluation of a novel dual treponemal/non-treponemal point-of-care test for syphilis as a tool to distinguish active from past treated infection","container-title":"Clinical Infectious Diseases: An Official Publication of the Infectious Diseases Society of America","source":"PubMed","abstract":"INTRODUCTION: Most syphilis point-of-care (POC) tests detect treponemal antibodies, which persist after successful treatment. Subsequent POC tests are positive, despite no active infection, and can lead to unnecessary treatment. We evaluated a new POC test, incorporating a non-treponemal component, to distinguish active from past infection.\nMETHODS: Sera stored at two Australian laboratories were tested with DPP Screen-and-Confirm Assay. Treponemal and non-treponemal test lines were compared to corresponding conventional treponemal and non-treponemal reference test results: immunoassays and rapid plasma reagin(RPR), respectively, with RPR quantification by endpoint titration. POC test outcome concordance with conventional test results was assessed according to serological and clinical categories.\nRESULTS: Among 1005 sera tested, DPP treponemal line sensitivity was 89.8%(95%CI 87.3-91.9%) and specificity was 99.3%(97.0-99.9%). DPP non-treponemal line sensitivity was 94.2%(91.8-96.0%) and specificity was 62.2%(57.5-66.6%). DPP test outcome (pair of test lines) was concordant with both reference test results for 94.3% of 404 high-titre infections; 90.1% of 121 low-titre infections; 27.5% of 211 past/treated infections, and 78.1% of 242 classified as not syphilis. Among 211 past/treated infections, 49.8% were incorrectly identified as active infection and a further 22.8% as not syphilis.\nCONCLUSION: DPP test use would result in identification of over 93% of active syphilis infections, while just over half of past infections would be diagnosed as past or not syphilis, avoiding unnecessary treatment compared to other POC tests. This may be at the expense of missing some active infections, thus its potential benefits will depend on the prevalence of past versus active infection in a population.","DOI":"10.1093/cid/civ243","ISSN":"1537-6591","note":"PMID: 25810288","journalAbbreviation":"Clin. Infect. Dis.","language":"ENG","author":[{"family":"Causer","given":"Louise M."},{"family":"Kaldor","given":"John M."},{"family":"Conway","given":"Damian P."},{"family":"Leslie","given":"David E."},{"family":"Denham","given":"Ian"},{"family":"Karapanagiotidis","given":"Theo"},{"family":"Ryan","given":"Claire"},{"family":"Wand","given":"Handan"},{"family":"Anderson","given":"David A."},{"family":"Robertson","given":"Peter W."},{"family":"McNulty","given":"Anna M."},{"family":"Donovan","given":"Basil"},{"family":"Fairley","given":"Christopher K."},{"family":"Guy","given":"Rebecca J."}],"issued":{"date-parts":[["2015",3,25]]},"PMID":"25810288"}}],"schema":"https://github.com/citation-style-language/schema/raw/master/csl-citation.json"} </w:instrText>
      </w:r>
      <w:r w:rsidR="00131837">
        <w:rPr>
          <w:rFonts w:ascii="Calibri" w:hAnsi="Calibri" w:cs="Arial"/>
        </w:rPr>
        <w:fldChar w:fldCharType="separate"/>
      </w:r>
      <w:r w:rsidR="00832180">
        <w:rPr>
          <w:rFonts w:ascii="Calibri" w:hAnsi="Calibri"/>
          <w:lang w:val="en-US"/>
        </w:rPr>
        <w:t>[13]</w:t>
      </w:r>
      <w:r w:rsidR="00131837">
        <w:rPr>
          <w:rFonts w:ascii="Calibri" w:hAnsi="Calibri" w:cs="Arial"/>
        </w:rPr>
        <w:fldChar w:fldCharType="end"/>
      </w:r>
      <w:r w:rsidR="00840408">
        <w:rPr>
          <w:rFonts w:ascii="Calibri" w:hAnsi="Calibri" w:cs="Arial"/>
        </w:rPr>
        <w:t>.</w:t>
      </w:r>
      <w:r w:rsidR="00840408" w:rsidRPr="00CA31BC">
        <w:rPr>
          <w:rFonts w:ascii="Calibri" w:hAnsi="Calibri" w:cs="Arial"/>
        </w:rPr>
        <w:t xml:space="preserve"> </w:t>
      </w:r>
      <w:proofErr w:type="gramStart"/>
      <w:r w:rsidR="00027BAF">
        <w:rPr>
          <w:rFonts w:ascii="Calibri" w:hAnsi="Calibri" w:cs="Arial"/>
        </w:rPr>
        <w:t>T</w:t>
      </w:r>
      <w:r w:rsidRPr="00CA31BC">
        <w:rPr>
          <w:rFonts w:ascii="Calibri" w:hAnsi="Calibri" w:cs="Arial"/>
        </w:rPr>
        <w:t xml:space="preserve">wo further </w:t>
      </w:r>
      <w:r w:rsidR="007F3F7B">
        <w:rPr>
          <w:rFonts w:ascii="Calibri" w:hAnsi="Calibri" w:cs="Arial"/>
        </w:rPr>
        <w:t xml:space="preserve">unpublished </w:t>
      </w:r>
      <w:r w:rsidRPr="00CA31BC">
        <w:rPr>
          <w:rFonts w:ascii="Calibri" w:hAnsi="Calibri" w:cs="Arial"/>
        </w:rPr>
        <w:t>studies were identified by contacting groups known to have undertaken evaluations of the DPP-RDT</w:t>
      </w:r>
      <w:proofErr w:type="gramEnd"/>
      <w:r>
        <w:rPr>
          <w:rFonts w:ascii="Calibri" w:hAnsi="Calibri" w:cs="Arial"/>
        </w:rPr>
        <w:t xml:space="preserve"> (Figure 1)</w:t>
      </w:r>
      <w:r w:rsidRPr="00CA31BC">
        <w:rPr>
          <w:rFonts w:ascii="Calibri" w:hAnsi="Calibri" w:cs="Arial"/>
        </w:rPr>
        <w:t>.</w:t>
      </w:r>
      <w:r w:rsidR="00840408">
        <w:rPr>
          <w:rFonts w:ascii="Calibri" w:hAnsi="Calibri" w:cs="Arial"/>
        </w:rPr>
        <w:t xml:space="preserve"> </w:t>
      </w:r>
    </w:p>
    <w:p w14:paraId="74CA71CE" w14:textId="77777777" w:rsidR="007F3F7B" w:rsidRDefault="007F3F7B" w:rsidP="00FD2CAB">
      <w:pPr>
        <w:rPr>
          <w:rFonts w:ascii="Calibri" w:hAnsi="Calibri" w:cs="Arial"/>
        </w:rPr>
      </w:pPr>
    </w:p>
    <w:p w14:paraId="157CCF45" w14:textId="46FC9FF3" w:rsidR="00CA31BC" w:rsidRDefault="007F3F7B" w:rsidP="00FD2CAB">
      <w:pPr>
        <w:rPr>
          <w:rFonts w:ascii="Calibri" w:hAnsi="Calibri" w:cs="Arial"/>
        </w:rPr>
      </w:pPr>
      <w:r>
        <w:rPr>
          <w:rFonts w:ascii="Calibri" w:hAnsi="Calibri" w:cs="Arial"/>
        </w:rPr>
        <w:t>Overall, i</w:t>
      </w:r>
      <w:r w:rsidR="001444CA">
        <w:rPr>
          <w:rFonts w:ascii="Calibri" w:hAnsi="Calibri" w:cs="Arial"/>
        </w:rPr>
        <w:t>ndividual-level data from a</w:t>
      </w:r>
      <w:r w:rsidR="00CA31BC">
        <w:rPr>
          <w:rFonts w:ascii="Calibri" w:hAnsi="Calibri" w:cs="Arial"/>
        </w:rPr>
        <w:t xml:space="preserve"> t</w:t>
      </w:r>
      <w:r w:rsidR="00840408">
        <w:rPr>
          <w:rFonts w:ascii="Calibri" w:hAnsi="Calibri" w:cs="Arial"/>
        </w:rPr>
        <w:t>otal of nine studies involving 7267</w:t>
      </w:r>
      <w:r w:rsidR="00CA31BC">
        <w:rPr>
          <w:rFonts w:ascii="Calibri" w:hAnsi="Calibri" w:cs="Arial"/>
        </w:rPr>
        <w:t xml:space="preserve"> </w:t>
      </w:r>
      <w:r w:rsidR="00423CEE">
        <w:rPr>
          <w:rFonts w:ascii="Calibri" w:hAnsi="Calibri" w:cs="Arial"/>
        </w:rPr>
        <w:t>test results</w:t>
      </w:r>
      <w:r w:rsidR="00CA31BC">
        <w:rPr>
          <w:rFonts w:ascii="Calibri" w:hAnsi="Calibri" w:cs="Arial"/>
        </w:rPr>
        <w:t xml:space="preserve"> were</w:t>
      </w:r>
      <w:r w:rsidR="00AE3153">
        <w:rPr>
          <w:rFonts w:ascii="Calibri" w:hAnsi="Calibri" w:cs="Arial"/>
        </w:rPr>
        <w:t xml:space="preserve"> therefore</w:t>
      </w:r>
      <w:r w:rsidR="00CA31BC">
        <w:rPr>
          <w:rFonts w:ascii="Calibri" w:hAnsi="Calibri" w:cs="Arial"/>
        </w:rPr>
        <w:t xml:space="preserve"> included in the meta-analysis</w:t>
      </w:r>
      <w:r>
        <w:rPr>
          <w:rFonts w:ascii="Calibri" w:hAnsi="Calibri" w:cs="Arial"/>
        </w:rPr>
        <w:t xml:space="preserve">. </w:t>
      </w:r>
      <w:r w:rsidR="00C44BF6">
        <w:rPr>
          <w:rFonts w:ascii="Calibri" w:hAnsi="Calibri" w:cs="Arial"/>
        </w:rPr>
        <w:t xml:space="preserve">In all included studies the individual conducting the RDT </w:t>
      </w:r>
      <w:proofErr w:type="gramStart"/>
      <w:r w:rsidR="00C44BF6">
        <w:rPr>
          <w:rFonts w:ascii="Calibri" w:hAnsi="Calibri" w:cs="Arial"/>
        </w:rPr>
        <w:t>was reported to be blinded</w:t>
      </w:r>
      <w:proofErr w:type="gramEnd"/>
      <w:r w:rsidR="00C44BF6">
        <w:rPr>
          <w:rFonts w:ascii="Calibri" w:hAnsi="Calibri" w:cs="Arial"/>
        </w:rPr>
        <w:t xml:space="preserve"> to the results of the reference serological tests. </w:t>
      </w:r>
      <w:r>
        <w:rPr>
          <w:rFonts w:ascii="Calibri" w:hAnsi="Calibri" w:cs="Arial"/>
        </w:rPr>
        <w:t xml:space="preserve">The countries and characteristics of the included studies are shown in </w:t>
      </w:r>
      <w:r w:rsidR="005A73E5">
        <w:rPr>
          <w:rFonts w:ascii="Calibri" w:hAnsi="Calibri" w:cs="Arial"/>
        </w:rPr>
        <w:t>Table 1</w:t>
      </w:r>
      <w:r w:rsidR="00CA31BC">
        <w:rPr>
          <w:rFonts w:ascii="Calibri" w:hAnsi="Calibri" w:cs="Arial"/>
        </w:rPr>
        <w:t>.</w:t>
      </w:r>
      <w:r w:rsidR="00840408" w:rsidRPr="00840408">
        <w:rPr>
          <w:rFonts w:ascii="Calibri" w:hAnsi="Calibri" w:cs="Arial"/>
        </w:rPr>
        <w:t xml:space="preserve"> </w:t>
      </w:r>
      <w:r w:rsidR="00840408">
        <w:rPr>
          <w:rFonts w:ascii="Calibri" w:hAnsi="Calibri" w:cs="Arial"/>
        </w:rPr>
        <w:t xml:space="preserve"> In one study</w:t>
      </w:r>
      <w:r w:rsidR="00131837">
        <w:rPr>
          <w:rFonts w:ascii="Calibri" w:hAnsi="Calibri" w:cs="Arial"/>
        </w:rPr>
        <w:fldChar w:fldCharType="begin"/>
      </w:r>
      <w:r w:rsidR="00832180">
        <w:rPr>
          <w:rFonts w:ascii="Calibri" w:hAnsi="Calibri" w:cs="Arial"/>
        </w:rPr>
        <w:instrText xml:space="preserve"> ADDIN ZOTERO_ITEM CSL_CITATION {"citationID":"27d6l71gvt","properties":{"formattedCitation":"[10]","plainCitation":"[10]"},"citationItems":[{"id":797,"uris":["http://zotero.org/users/38820/items/QZWGPW34"],"uri":["http://zotero.org/users/38820/items/QZWGPW34"],"itemData":{"id":797,"type":"article-journal","title":"Novel Point-of-Care Test for Simultaneous Detection of Nontreponemal and Treponemal Antibodies in Patients with Syphilis","container-title":"Journal of Clinical Microbiology","page":"4615-4619","volume":"48","issue":"12","source":"jcm.asm.org","abstract":"We describe a point-of-care immunochromatographic test for the simultaneous detection of both nontreponemal and treponemal antibodies in the sera of patients with syphilis that acts as both a screening and a confirmatory test. A total of 1,601 banked serum samples were examined by the dual test, and the results were compared to those obtained using a quantitative rapid plasma reagin (RPR) test and the Treponema pallidum passive particle agglutination (TP-PA) assay. Compared to the RPR test, the reactive concordance of the dual test nontreponemal line was 98.4% when the RPR titers of sera were ≥1:2 and the nonreactive concordance was 98.6%. Compared to the TP-PA assay, the reactive and nonreactive concordances of the treponemal line were 96.5% and 95.5%, respectively. These results indicate that the dual test could be used for the serological diagnosis of syphilis in primary health care clinics or resource-poor settings and therefore improve rates of treatment where patients may fail to return for their laboratory results.","DOI":"10.1128/JCM.00624-10","ISSN":"0095-1137, 1098-660X","note":"PMID: 20881177","journalAbbreviation":"J. Clin. Microbiol.","language":"en","author":[{"family":"Castro","given":"Arnold R."},{"family":"Esfandiari","given":"Javan"},{"family":"Kumar","given":"Shailendra"},{"family":"Ashton","given":"Matthew"},{"family":"Kikkert","given":"Susan E."},{"family":"Park","given":"Mahin M."},{"family":"Ballard","given":"Ronald C."}],"issued":{"date-parts":[["2010",1,12]]},"PMID":"20881177"}}],"schema":"https://github.com/citation-style-language/schema/raw/master/csl-citation.json"} </w:instrText>
      </w:r>
      <w:r w:rsidR="00131837">
        <w:rPr>
          <w:rFonts w:ascii="Calibri" w:hAnsi="Calibri" w:cs="Arial"/>
        </w:rPr>
        <w:fldChar w:fldCharType="separate"/>
      </w:r>
      <w:r w:rsidR="00832180">
        <w:rPr>
          <w:rFonts w:ascii="Calibri" w:hAnsi="Calibri"/>
          <w:lang w:val="en-US"/>
        </w:rPr>
        <w:t>[10]</w:t>
      </w:r>
      <w:r w:rsidR="00131837">
        <w:rPr>
          <w:rFonts w:ascii="Calibri" w:hAnsi="Calibri" w:cs="Arial"/>
        </w:rPr>
        <w:fldChar w:fldCharType="end"/>
      </w:r>
      <w:r w:rsidR="00840408">
        <w:rPr>
          <w:rFonts w:ascii="Calibri" w:hAnsi="Calibri" w:cs="Arial"/>
        </w:rPr>
        <w:t xml:space="preserve"> individual level data </w:t>
      </w:r>
      <w:r>
        <w:rPr>
          <w:rFonts w:ascii="Calibri" w:hAnsi="Calibri" w:cs="Arial"/>
        </w:rPr>
        <w:t>were</w:t>
      </w:r>
      <w:r w:rsidR="00840408">
        <w:rPr>
          <w:rFonts w:ascii="Calibri" w:hAnsi="Calibri" w:cs="Arial"/>
        </w:rPr>
        <w:t xml:space="preserve"> only available for 61.8% of the full dataset. The performance of the DPP test did not differ between the full dataset and the individual level data that </w:t>
      </w:r>
      <w:r>
        <w:rPr>
          <w:rFonts w:ascii="Calibri" w:hAnsi="Calibri" w:cs="Arial"/>
        </w:rPr>
        <w:t>were</w:t>
      </w:r>
      <w:r w:rsidR="00840408">
        <w:rPr>
          <w:rFonts w:ascii="Calibri" w:hAnsi="Calibri" w:cs="Arial"/>
        </w:rPr>
        <w:t xml:space="preserve"> available (data not shown).</w:t>
      </w:r>
    </w:p>
    <w:p w14:paraId="70283F0A" w14:textId="77777777" w:rsidR="00515856" w:rsidRDefault="00515856" w:rsidP="00FD2CAB">
      <w:pPr>
        <w:rPr>
          <w:rFonts w:ascii="Calibri" w:hAnsi="Calibri" w:cs="Arial"/>
        </w:rPr>
      </w:pPr>
    </w:p>
    <w:p w14:paraId="53074C95" w14:textId="75BA79D8" w:rsidR="00515856" w:rsidRDefault="00515856" w:rsidP="00FD2CAB">
      <w:pPr>
        <w:rPr>
          <w:rFonts w:ascii="Calibri" w:hAnsi="Calibri" w:cs="Arial"/>
        </w:rPr>
      </w:pPr>
      <w:r>
        <w:rPr>
          <w:rFonts w:ascii="Calibri" w:hAnsi="Calibri" w:cs="Arial"/>
        </w:rPr>
        <w:t xml:space="preserve">Of patients included in the study 5,656 (77.8%) </w:t>
      </w:r>
      <w:r w:rsidR="007F3F7B">
        <w:rPr>
          <w:rFonts w:ascii="Calibri" w:hAnsi="Calibri" w:cs="Arial"/>
        </w:rPr>
        <w:t xml:space="preserve">underwent </w:t>
      </w:r>
      <w:proofErr w:type="spellStart"/>
      <w:r w:rsidR="007F3F7B">
        <w:rPr>
          <w:rFonts w:ascii="Calibri" w:hAnsi="Calibri" w:cs="Arial"/>
        </w:rPr>
        <w:t>treponemal</w:t>
      </w:r>
      <w:proofErr w:type="spellEnd"/>
      <w:r w:rsidR="007F3F7B">
        <w:rPr>
          <w:rFonts w:ascii="Calibri" w:hAnsi="Calibri" w:cs="Arial"/>
        </w:rPr>
        <w:t xml:space="preserve"> testing for suspected</w:t>
      </w:r>
      <w:r>
        <w:rPr>
          <w:rFonts w:ascii="Calibri" w:hAnsi="Calibri" w:cs="Arial"/>
        </w:rPr>
        <w:t xml:space="preserve"> syphilis and 1,611 </w:t>
      </w:r>
      <w:r w:rsidR="00F923BD">
        <w:rPr>
          <w:rFonts w:ascii="Calibri" w:hAnsi="Calibri" w:cs="Arial"/>
        </w:rPr>
        <w:t>for suspected</w:t>
      </w:r>
      <w:r>
        <w:rPr>
          <w:rFonts w:ascii="Calibri" w:hAnsi="Calibri" w:cs="Arial"/>
        </w:rPr>
        <w:t xml:space="preserve"> yaws. Individual level clinical data</w:t>
      </w:r>
      <w:r w:rsidR="0024022D">
        <w:rPr>
          <w:rFonts w:ascii="Calibri" w:hAnsi="Calibri" w:cs="Arial"/>
        </w:rPr>
        <w:t xml:space="preserve"> on the presence of absence of disease status</w:t>
      </w:r>
      <w:r>
        <w:rPr>
          <w:rFonts w:ascii="Calibri" w:hAnsi="Calibri" w:cs="Arial"/>
        </w:rPr>
        <w:t xml:space="preserve"> </w:t>
      </w:r>
      <w:r w:rsidR="007F3F7B">
        <w:rPr>
          <w:rFonts w:ascii="Calibri" w:hAnsi="Calibri" w:cs="Arial"/>
        </w:rPr>
        <w:t>were</w:t>
      </w:r>
      <w:r>
        <w:rPr>
          <w:rFonts w:ascii="Calibri" w:hAnsi="Calibri" w:cs="Arial"/>
        </w:rPr>
        <w:t xml:space="preserve"> </w:t>
      </w:r>
      <w:r w:rsidR="00FC3DA5">
        <w:rPr>
          <w:rFonts w:ascii="Calibri" w:hAnsi="Calibri" w:cs="Arial"/>
        </w:rPr>
        <w:t>available for 2,636 patients (36.3%)</w:t>
      </w:r>
      <w:r>
        <w:rPr>
          <w:rFonts w:ascii="Calibri" w:hAnsi="Calibri" w:cs="Arial"/>
        </w:rPr>
        <w:t xml:space="preserve">. Of patients for whom clinical data </w:t>
      </w:r>
      <w:r w:rsidR="006569D8">
        <w:rPr>
          <w:rFonts w:ascii="Calibri" w:hAnsi="Calibri" w:cs="Arial"/>
        </w:rPr>
        <w:t xml:space="preserve">were </w:t>
      </w:r>
      <w:r>
        <w:rPr>
          <w:rFonts w:ascii="Calibri" w:hAnsi="Calibri" w:cs="Arial"/>
        </w:rPr>
        <w:t xml:space="preserve">available 1,417 (53.8%) had clinical evidence of either active syphilis or active yaws at the time of testing and 1,219 (46.2%) had no clinical evidence of active disease. The </w:t>
      </w:r>
      <w:r w:rsidR="00EF2D1D">
        <w:rPr>
          <w:rFonts w:ascii="Calibri" w:hAnsi="Calibri" w:cs="Arial"/>
        </w:rPr>
        <w:t xml:space="preserve">reference </w:t>
      </w:r>
      <w:proofErr w:type="spellStart"/>
      <w:r w:rsidR="00EF2D1D">
        <w:rPr>
          <w:rFonts w:ascii="Calibri" w:hAnsi="Calibri" w:cs="Arial"/>
        </w:rPr>
        <w:t>treponemal</w:t>
      </w:r>
      <w:proofErr w:type="spellEnd"/>
      <w:r w:rsidR="00EF2D1D">
        <w:rPr>
          <w:rFonts w:ascii="Calibri" w:hAnsi="Calibri" w:cs="Arial"/>
        </w:rPr>
        <w:t xml:space="preserve"> test was positive in 4,075 individuals (56.1%) and the reference </w:t>
      </w:r>
      <w:r>
        <w:rPr>
          <w:rFonts w:ascii="Calibri" w:hAnsi="Calibri" w:cs="Arial"/>
        </w:rPr>
        <w:t>non-</w:t>
      </w:r>
      <w:proofErr w:type="spellStart"/>
      <w:r>
        <w:rPr>
          <w:rFonts w:ascii="Calibri" w:hAnsi="Calibri" w:cs="Arial"/>
        </w:rPr>
        <w:t>treponemal</w:t>
      </w:r>
      <w:proofErr w:type="spellEnd"/>
      <w:r>
        <w:rPr>
          <w:rFonts w:ascii="Calibri" w:hAnsi="Calibri" w:cs="Arial"/>
        </w:rPr>
        <w:t xml:space="preserve"> test was positive in 3,112 (42.8%). </w:t>
      </w:r>
    </w:p>
    <w:p w14:paraId="5A11C3F9" w14:textId="77777777" w:rsidR="00840408" w:rsidRDefault="00840408" w:rsidP="00FD2CAB">
      <w:pPr>
        <w:rPr>
          <w:rFonts w:ascii="Calibri" w:hAnsi="Calibri" w:cs="Arial"/>
        </w:rPr>
      </w:pPr>
    </w:p>
    <w:p w14:paraId="3A12EDA0" w14:textId="2764AB8B" w:rsidR="003931C5" w:rsidRDefault="00906458" w:rsidP="00FD2CAB">
      <w:pPr>
        <w:rPr>
          <w:rFonts w:ascii="Calibri" w:hAnsi="Calibri" w:cs="Arial"/>
        </w:rPr>
      </w:pPr>
      <w:r>
        <w:rPr>
          <w:rFonts w:ascii="Calibri" w:hAnsi="Calibri" w:cs="Arial"/>
        </w:rPr>
        <w:lastRenderedPageBreak/>
        <w:t xml:space="preserve">There was significant heterogeneity across the studies in the sensitivity of both the </w:t>
      </w:r>
      <w:proofErr w:type="spellStart"/>
      <w:r>
        <w:rPr>
          <w:rFonts w:ascii="Calibri" w:hAnsi="Calibri" w:cs="Arial"/>
        </w:rPr>
        <w:t>treponemal</w:t>
      </w:r>
      <w:proofErr w:type="spellEnd"/>
      <w:r>
        <w:rPr>
          <w:rFonts w:ascii="Calibri" w:hAnsi="Calibri" w:cs="Arial"/>
        </w:rPr>
        <w:t xml:space="preserve"> (I</w:t>
      </w:r>
      <w:r>
        <w:rPr>
          <w:rFonts w:ascii="Calibri" w:hAnsi="Calibri" w:cs="Arial"/>
          <w:vertAlign w:val="superscript"/>
        </w:rPr>
        <w:t xml:space="preserve">2 </w:t>
      </w:r>
      <w:r>
        <w:rPr>
          <w:rFonts w:ascii="Calibri" w:hAnsi="Calibri" w:cs="Arial"/>
        </w:rPr>
        <w:t>95.70%, p&lt;0.01) and non-</w:t>
      </w:r>
      <w:proofErr w:type="spellStart"/>
      <w:r>
        <w:rPr>
          <w:rFonts w:ascii="Calibri" w:hAnsi="Calibri" w:cs="Arial"/>
        </w:rPr>
        <w:t>treponemal</w:t>
      </w:r>
      <w:proofErr w:type="spellEnd"/>
      <w:r>
        <w:rPr>
          <w:rFonts w:ascii="Calibri" w:hAnsi="Calibri" w:cs="Arial"/>
        </w:rPr>
        <w:t xml:space="preserve"> components (I</w:t>
      </w:r>
      <w:r>
        <w:rPr>
          <w:rFonts w:ascii="Calibri" w:hAnsi="Calibri" w:cs="Arial"/>
          <w:vertAlign w:val="superscript"/>
        </w:rPr>
        <w:t xml:space="preserve">2 </w:t>
      </w:r>
      <w:r>
        <w:rPr>
          <w:rFonts w:ascii="Calibri" w:hAnsi="Calibri" w:cs="Arial"/>
        </w:rPr>
        <w:t xml:space="preserve">96.70%, p&lt;0.01) (Figure 2). When the results were restricted to high-titre samples the heterogeneity was no longer statistically significant for either </w:t>
      </w:r>
      <w:proofErr w:type="spellStart"/>
      <w:r>
        <w:rPr>
          <w:rFonts w:ascii="Calibri" w:hAnsi="Calibri" w:cs="Arial"/>
        </w:rPr>
        <w:t>treponemal</w:t>
      </w:r>
      <w:proofErr w:type="spellEnd"/>
      <w:r>
        <w:rPr>
          <w:rFonts w:ascii="Calibri" w:hAnsi="Calibri" w:cs="Arial"/>
        </w:rPr>
        <w:t xml:space="preserve"> (I</w:t>
      </w:r>
      <w:r>
        <w:rPr>
          <w:rFonts w:ascii="Calibri" w:hAnsi="Calibri" w:cs="Arial"/>
          <w:vertAlign w:val="superscript"/>
        </w:rPr>
        <w:t xml:space="preserve">2 </w:t>
      </w:r>
      <w:r>
        <w:rPr>
          <w:rFonts w:ascii="Calibri" w:hAnsi="Calibri" w:cs="Arial"/>
        </w:rPr>
        <w:t>26.13</w:t>
      </w:r>
      <w:r w:rsidRPr="005403E4">
        <w:rPr>
          <w:rFonts w:ascii="Calibri" w:hAnsi="Calibri" w:cs="Arial"/>
        </w:rPr>
        <w:t>%</w:t>
      </w:r>
      <w:r>
        <w:rPr>
          <w:rFonts w:ascii="Calibri" w:hAnsi="Calibri" w:cs="Arial"/>
        </w:rPr>
        <w:t>, p=0.21</w:t>
      </w:r>
      <w:r w:rsidRPr="005403E4">
        <w:rPr>
          <w:rFonts w:ascii="Calibri" w:hAnsi="Calibri" w:cs="Arial"/>
        </w:rPr>
        <w:t>)</w:t>
      </w:r>
      <w:r>
        <w:rPr>
          <w:rFonts w:ascii="Calibri" w:hAnsi="Calibri" w:cs="Arial"/>
        </w:rPr>
        <w:t xml:space="preserve"> or non-</w:t>
      </w:r>
      <w:proofErr w:type="spellStart"/>
      <w:r>
        <w:rPr>
          <w:rFonts w:ascii="Calibri" w:hAnsi="Calibri" w:cs="Arial"/>
        </w:rPr>
        <w:t>treponemal</w:t>
      </w:r>
      <w:proofErr w:type="spellEnd"/>
      <w:r>
        <w:rPr>
          <w:rFonts w:ascii="Calibri" w:hAnsi="Calibri" w:cs="Arial"/>
        </w:rPr>
        <w:t xml:space="preserve"> (I</w:t>
      </w:r>
      <w:r>
        <w:rPr>
          <w:rFonts w:ascii="Calibri" w:hAnsi="Calibri" w:cs="Arial"/>
          <w:vertAlign w:val="superscript"/>
        </w:rPr>
        <w:t xml:space="preserve">2 </w:t>
      </w:r>
      <w:r>
        <w:rPr>
          <w:rFonts w:ascii="Calibri" w:hAnsi="Calibri" w:cs="Arial"/>
        </w:rPr>
        <w:t>26.13</w:t>
      </w:r>
      <w:r w:rsidRPr="005403E4">
        <w:rPr>
          <w:rFonts w:ascii="Calibri" w:hAnsi="Calibri" w:cs="Arial"/>
        </w:rPr>
        <w:t>%</w:t>
      </w:r>
      <w:proofErr w:type="gramStart"/>
      <w:r>
        <w:rPr>
          <w:rFonts w:ascii="Calibri" w:hAnsi="Calibri" w:cs="Arial"/>
        </w:rPr>
        <w:t>,  p</w:t>
      </w:r>
      <w:proofErr w:type="gramEnd"/>
      <w:r>
        <w:rPr>
          <w:rFonts w:ascii="Calibri" w:hAnsi="Calibri" w:cs="Arial"/>
        </w:rPr>
        <w:t>=0.79</w:t>
      </w:r>
      <w:r w:rsidRPr="005403E4">
        <w:rPr>
          <w:rFonts w:ascii="Calibri" w:hAnsi="Calibri" w:cs="Arial"/>
        </w:rPr>
        <w:t>)</w:t>
      </w:r>
      <w:r>
        <w:rPr>
          <w:rFonts w:ascii="Calibri" w:hAnsi="Calibri" w:cs="Arial"/>
        </w:rPr>
        <w:t xml:space="preserve"> components (</w:t>
      </w:r>
      <w:r w:rsidR="009B677D">
        <w:rPr>
          <w:rFonts w:ascii="Calibri" w:hAnsi="Calibri" w:cs="Arial"/>
        </w:rPr>
        <w:t>Supplementary Figure 1</w:t>
      </w:r>
      <w:r>
        <w:rPr>
          <w:rFonts w:ascii="Calibri" w:hAnsi="Calibri" w:cs="Arial"/>
        </w:rPr>
        <w:t xml:space="preserve">). There was also heterogeneity in the specificity of the </w:t>
      </w:r>
      <w:proofErr w:type="spellStart"/>
      <w:r>
        <w:rPr>
          <w:rFonts w:ascii="Calibri" w:hAnsi="Calibri" w:cs="Arial"/>
        </w:rPr>
        <w:t>treponemal</w:t>
      </w:r>
      <w:proofErr w:type="spellEnd"/>
      <w:r>
        <w:rPr>
          <w:rFonts w:ascii="Calibri" w:hAnsi="Calibri" w:cs="Arial"/>
        </w:rPr>
        <w:t xml:space="preserve"> component(I</w:t>
      </w:r>
      <w:r>
        <w:rPr>
          <w:rFonts w:ascii="Calibri" w:hAnsi="Calibri" w:cs="Arial"/>
          <w:vertAlign w:val="superscript"/>
        </w:rPr>
        <w:t>2</w:t>
      </w:r>
      <w:r>
        <w:rPr>
          <w:rFonts w:ascii="Calibri" w:hAnsi="Calibri" w:cs="Arial"/>
        </w:rPr>
        <w:t xml:space="preserve"> 78.98%, p &lt;0.01,) and the non-</w:t>
      </w:r>
      <w:proofErr w:type="spellStart"/>
      <w:r>
        <w:rPr>
          <w:rFonts w:ascii="Calibri" w:hAnsi="Calibri" w:cs="Arial"/>
        </w:rPr>
        <w:t>treponemal</w:t>
      </w:r>
      <w:proofErr w:type="spellEnd"/>
      <w:r>
        <w:rPr>
          <w:rFonts w:ascii="Calibri" w:hAnsi="Calibri" w:cs="Arial"/>
        </w:rPr>
        <w:t xml:space="preserve"> component (I</w:t>
      </w:r>
      <w:r>
        <w:rPr>
          <w:rFonts w:ascii="Calibri" w:hAnsi="Calibri" w:cs="Arial"/>
          <w:vertAlign w:val="superscript"/>
        </w:rPr>
        <w:t xml:space="preserve">2 </w:t>
      </w:r>
      <w:r w:rsidRPr="00B46F7E">
        <w:rPr>
          <w:rFonts w:ascii="Calibri" w:hAnsi="Calibri" w:cs="Arial"/>
        </w:rPr>
        <w:t>97.59%</w:t>
      </w:r>
      <w:r>
        <w:rPr>
          <w:rFonts w:ascii="Calibri" w:hAnsi="Calibri" w:cs="Arial"/>
        </w:rPr>
        <w:t xml:space="preserve">, p&lt;0.01) (Figure </w:t>
      </w:r>
      <w:r w:rsidR="009B677D">
        <w:rPr>
          <w:rFonts w:ascii="Calibri" w:hAnsi="Calibri" w:cs="Arial"/>
        </w:rPr>
        <w:t>3</w:t>
      </w:r>
      <w:bookmarkStart w:id="0" w:name="_GoBack"/>
      <w:bookmarkEnd w:id="0"/>
      <w:r>
        <w:rPr>
          <w:rFonts w:ascii="Calibri" w:hAnsi="Calibri" w:cs="Arial"/>
        </w:rPr>
        <w:t xml:space="preserve">). As there was significant heterogeneity between studies an overall pooled summary estimate of the sensitivity and specificity of the RDT </w:t>
      </w:r>
      <w:r w:rsidR="00F11D9D">
        <w:rPr>
          <w:rFonts w:ascii="Calibri" w:hAnsi="Calibri" w:cs="Arial"/>
        </w:rPr>
        <w:t xml:space="preserve">across the full dataset </w:t>
      </w:r>
      <w:r>
        <w:rPr>
          <w:rFonts w:ascii="Calibri" w:hAnsi="Calibri" w:cs="Arial"/>
        </w:rPr>
        <w:t xml:space="preserve">is not reported. </w:t>
      </w:r>
      <w:r w:rsidR="003931C5" w:rsidRPr="008C70B4">
        <w:rPr>
          <w:rFonts w:ascii="Calibri" w:hAnsi="Calibri" w:cs="Arial"/>
        </w:rPr>
        <w:t>Sensitivity</w:t>
      </w:r>
      <w:r w:rsidR="003931C5">
        <w:rPr>
          <w:rFonts w:ascii="Calibri" w:hAnsi="Calibri" w:cs="Arial"/>
        </w:rPr>
        <w:t xml:space="preserve"> was higher for specimens from patients with a high titre RPR </w:t>
      </w:r>
      <w:r w:rsidR="00A337A4">
        <w:rPr>
          <w:rFonts w:ascii="Calibri" w:hAnsi="Calibri" w:cs="Arial"/>
        </w:rPr>
        <w:t xml:space="preserve"> </w:t>
      </w:r>
      <w:r w:rsidR="00A337A4" w:rsidRPr="00F11D9D">
        <w:rPr>
          <w:rFonts w:ascii="Calibri" w:hAnsi="Calibri" w:cs="Arial"/>
        </w:rPr>
        <w:t>(</w:t>
      </w:r>
      <w:r w:rsidR="00A337A4" w:rsidRPr="00F11D9D">
        <w:rPr>
          <w:rFonts w:ascii="Calibri" w:eastAsia="MS Gothic" w:hAnsi="Calibri"/>
          <w:color w:val="000000"/>
        </w:rPr>
        <w:t>≥1</w:t>
      </w:r>
      <w:proofErr w:type="gramStart"/>
      <w:r w:rsidR="00A337A4" w:rsidRPr="00F11D9D">
        <w:rPr>
          <w:rFonts w:ascii="Calibri" w:eastAsia="MS Gothic" w:hAnsi="Calibri"/>
          <w:color w:val="000000"/>
        </w:rPr>
        <w:t>:16</w:t>
      </w:r>
      <w:proofErr w:type="gramEnd"/>
      <w:r w:rsidR="00A337A4" w:rsidRPr="00F11D9D">
        <w:rPr>
          <w:rFonts w:ascii="Calibri" w:eastAsia="MS Gothic" w:hAnsi="Calibri"/>
          <w:color w:val="000000"/>
        </w:rPr>
        <w:t>)</w:t>
      </w:r>
      <w:r w:rsidR="00A337A4">
        <w:rPr>
          <w:rFonts w:ascii="MS Gothic" w:eastAsia="MS Gothic"/>
          <w:color w:val="000000"/>
        </w:rPr>
        <w:t xml:space="preserve"> </w:t>
      </w:r>
      <w:r w:rsidR="003931C5">
        <w:rPr>
          <w:rFonts w:ascii="Calibri" w:hAnsi="Calibri" w:cs="Arial"/>
        </w:rPr>
        <w:t xml:space="preserve">(n= 1,351) compared to specimens with a lower RPR titre </w:t>
      </w:r>
      <w:r w:rsidR="003931C5" w:rsidRPr="00423D89">
        <w:rPr>
          <w:rFonts w:ascii="Calibri" w:hAnsi="Calibri" w:cs="Arial"/>
        </w:rPr>
        <w:t>(</w:t>
      </w:r>
      <w:r w:rsidR="003931C5" w:rsidRPr="00CC6A3B">
        <w:rPr>
          <w:rFonts w:ascii="Calibri" w:eastAsia="MS Gothic" w:hAnsi="Calibri"/>
          <w:color w:val="000000"/>
        </w:rPr>
        <w:t xml:space="preserve">&lt;1:16) </w:t>
      </w:r>
      <w:r w:rsidR="003931C5">
        <w:rPr>
          <w:rFonts w:ascii="Calibri" w:hAnsi="Calibri" w:cs="Arial"/>
        </w:rPr>
        <w:t xml:space="preserve">for both the </w:t>
      </w:r>
      <w:proofErr w:type="spellStart"/>
      <w:r w:rsidR="003931C5">
        <w:rPr>
          <w:rFonts w:ascii="Calibri" w:hAnsi="Calibri" w:cs="Arial"/>
        </w:rPr>
        <w:t>treponemal</w:t>
      </w:r>
      <w:proofErr w:type="spellEnd"/>
      <w:r w:rsidR="003931C5">
        <w:rPr>
          <w:rFonts w:ascii="Calibri" w:hAnsi="Calibri" w:cs="Arial"/>
        </w:rPr>
        <w:t xml:space="preserve"> component (98.2% </w:t>
      </w:r>
      <w:proofErr w:type="spellStart"/>
      <w:r w:rsidR="003931C5">
        <w:rPr>
          <w:rFonts w:ascii="Calibri" w:hAnsi="Calibri" w:cs="Arial"/>
        </w:rPr>
        <w:t>vs</w:t>
      </w:r>
      <w:proofErr w:type="spellEnd"/>
      <w:r w:rsidR="003931C5">
        <w:rPr>
          <w:rFonts w:ascii="Calibri" w:hAnsi="Calibri" w:cs="Arial"/>
        </w:rPr>
        <w:t xml:space="preserve"> 90.1%, p&lt;0.0001) and the non-</w:t>
      </w:r>
      <w:proofErr w:type="spellStart"/>
      <w:r w:rsidR="003931C5">
        <w:rPr>
          <w:rFonts w:ascii="Calibri" w:hAnsi="Calibri" w:cs="Arial"/>
        </w:rPr>
        <w:t>treponemal</w:t>
      </w:r>
      <w:proofErr w:type="spellEnd"/>
      <w:r w:rsidR="003931C5">
        <w:rPr>
          <w:rFonts w:ascii="Calibri" w:hAnsi="Calibri" w:cs="Arial"/>
        </w:rPr>
        <w:t xml:space="preserve"> component (98.2% </w:t>
      </w:r>
      <w:proofErr w:type="spellStart"/>
      <w:r w:rsidR="003931C5">
        <w:rPr>
          <w:rFonts w:ascii="Calibri" w:hAnsi="Calibri" w:cs="Arial"/>
        </w:rPr>
        <w:t>vs</w:t>
      </w:r>
      <w:proofErr w:type="spellEnd"/>
      <w:r w:rsidR="003931C5">
        <w:rPr>
          <w:rFonts w:ascii="Calibri" w:hAnsi="Calibri" w:cs="Arial"/>
        </w:rPr>
        <w:t xml:space="preserve"> 80.6%, p&lt;0.0001) (Table 2). </w:t>
      </w:r>
      <w:r w:rsidR="00B75947">
        <w:rPr>
          <w:rFonts w:ascii="Calibri" w:hAnsi="Calibri" w:cs="Arial"/>
        </w:rPr>
        <w:t xml:space="preserve"> If all RPR positive samples are considered positive</w:t>
      </w:r>
      <w:proofErr w:type="gramStart"/>
      <w:r w:rsidR="00B75947">
        <w:rPr>
          <w:rFonts w:ascii="Calibri" w:hAnsi="Calibri" w:cs="Arial"/>
        </w:rPr>
        <w:t xml:space="preserve">, </w:t>
      </w:r>
      <w:r w:rsidR="00A337A4">
        <w:rPr>
          <w:rFonts w:ascii="Calibri" w:hAnsi="Calibri" w:cs="Arial"/>
        </w:rPr>
        <w:t xml:space="preserve"> the</w:t>
      </w:r>
      <w:proofErr w:type="gramEnd"/>
      <w:r w:rsidR="00A337A4">
        <w:rPr>
          <w:rFonts w:ascii="Calibri" w:hAnsi="Calibri" w:cs="Arial"/>
        </w:rPr>
        <w:t xml:space="preserve"> specificity of the </w:t>
      </w:r>
      <w:proofErr w:type="spellStart"/>
      <w:r w:rsidR="00A337A4">
        <w:rPr>
          <w:rFonts w:ascii="Calibri" w:hAnsi="Calibri" w:cs="Arial"/>
        </w:rPr>
        <w:t>treponemal</w:t>
      </w:r>
      <w:proofErr w:type="spellEnd"/>
      <w:r w:rsidR="00A337A4">
        <w:rPr>
          <w:rFonts w:ascii="Calibri" w:hAnsi="Calibri" w:cs="Arial"/>
        </w:rPr>
        <w:t xml:space="preserve"> component was 98.0% and the specificity of the non-</w:t>
      </w:r>
      <w:proofErr w:type="spellStart"/>
      <w:r w:rsidR="00A337A4">
        <w:rPr>
          <w:rFonts w:ascii="Calibri" w:hAnsi="Calibri" w:cs="Arial"/>
        </w:rPr>
        <w:t>treponemal</w:t>
      </w:r>
      <w:proofErr w:type="spellEnd"/>
      <w:r w:rsidR="00A337A4">
        <w:rPr>
          <w:rFonts w:ascii="Calibri" w:hAnsi="Calibri" w:cs="Arial"/>
        </w:rPr>
        <w:t xml:space="preserve"> component was 89.4%. </w:t>
      </w:r>
      <w:r w:rsidR="00B75947">
        <w:rPr>
          <w:rFonts w:ascii="Calibri" w:hAnsi="Calibri" w:cs="Arial"/>
        </w:rPr>
        <w:t xml:space="preserve">If only samples </w:t>
      </w:r>
      <w:proofErr w:type="gramStart"/>
      <w:r w:rsidR="00B75947">
        <w:rPr>
          <w:rFonts w:ascii="Calibri" w:hAnsi="Calibri" w:cs="Arial"/>
        </w:rPr>
        <w:t xml:space="preserve">with </w:t>
      </w:r>
      <w:r>
        <w:rPr>
          <w:rFonts w:ascii="Calibri" w:hAnsi="Calibri" w:cs="Arial"/>
        </w:rPr>
        <w:t xml:space="preserve"> a</w:t>
      </w:r>
      <w:proofErr w:type="gramEnd"/>
      <w:r>
        <w:rPr>
          <w:rFonts w:ascii="Calibri" w:hAnsi="Calibri" w:cs="Arial"/>
        </w:rPr>
        <w:t xml:space="preserve"> high-titre RPR (</w:t>
      </w:r>
      <w:r w:rsidRPr="0011709F">
        <w:rPr>
          <w:rFonts w:ascii="MS Gothic" w:eastAsia="MS Gothic"/>
          <w:color w:val="000000"/>
        </w:rPr>
        <w:t>≥</w:t>
      </w:r>
      <w:r w:rsidRPr="003D0702">
        <w:rPr>
          <w:rFonts w:ascii="Calibri" w:hAnsi="Calibri" w:cs="Consolas"/>
          <w:lang w:val="en-US"/>
        </w:rPr>
        <w:t>1:16</w:t>
      </w:r>
      <w:r>
        <w:rPr>
          <w:rFonts w:ascii="Calibri" w:hAnsi="Calibri" w:cs="Consolas"/>
          <w:lang w:val="en-US"/>
        </w:rPr>
        <w:t>)</w:t>
      </w:r>
      <w:r w:rsidR="00B75947">
        <w:rPr>
          <w:rFonts w:ascii="Calibri" w:hAnsi="Calibri" w:cs="Consolas"/>
          <w:lang w:val="en-US"/>
        </w:rPr>
        <w:t xml:space="preserve"> are considered positive, </w:t>
      </w:r>
      <w:r>
        <w:rPr>
          <w:rFonts w:ascii="Calibri" w:hAnsi="Calibri" w:cs="Consolas"/>
          <w:lang w:val="en-US"/>
        </w:rPr>
        <w:t xml:space="preserve"> the specificity of the </w:t>
      </w:r>
      <w:proofErr w:type="spellStart"/>
      <w:r>
        <w:rPr>
          <w:rFonts w:ascii="Calibri" w:hAnsi="Calibri" w:cs="Consolas"/>
          <w:lang w:val="en-US"/>
        </w:rPr>
        <w:t>treponemal</w:t>
      </w:r>
      <w:proofErr w:type="spellEnd"/>
      <w:r>
        <w:rPr>
          <w:rFonts w:ascii="Calibri" w:hAnsi="Calibri" w:cs="Consolas"/>
          <w:lang w:val="en-US"/>
        </w:rPr>
        <w:t xml:space="preserve"> component was </w:t>
      </w:r>
      <w:r>
        <w:rPr>
          <w:rFonts w:ascii="Calibri" w:hAnsi="Calibri" w:cs="Arial"/>
        </w:rPr>
        <w:t>91.2%</w:t>
      </w:r>
      <w:r w:rsidR="00A337A4">
        <w:rPr>
          <w:rFonts w:ascii="Calibri" w:hAnsi="Calibri" w:cs="Arial"/>
        </w:rPr>
        <w:t xml:space="preserve"> (Table 2)</w:t>
      </w:r>
      <w:r>
        <w:rPr>
          <w:rFonts w:ascii="Calibri" w:hAnsi="Calibri" w:cs="Arial"/>
        </w:rPr>
        <w:t xml:space="preserve">. </w:t>
      </w:r>
    </w:p>
    <w:p w14:paraId="41EF2157" w14:textId="08C98DF5" w:rsidR="004A6A4E" w:rsidRDefault="004A6A4E" w:rsidP="00FD2CAB">
      <w:pPr>
        <w:rPr>
          <w:rFonts w:ascii="Calibri" w:hAnsi="Calibri" w:cs="Arial"/>
        </w:rPr>
      </w:pPr>
    </w:p>
    <w:p w14:paraId="0DDEDD4D" w14:textId="73D10EEA" w:rsidR="004A6A4E" w:rsidRDefault="004A6A4E" w:rsidP="00AA4888">
      <w:pPr>
        <w:rPr>
          <w:rFonts w:ascii="Calibri" w:hAnsi="Calibri" w:cs="Arial"/>
        </w:rPr>
      </w:pPr>
      <w:r>
        <w:rPr>
          <w:rFonts w:ascii="Calibri" w:hAnsi="Calibri" w:cs="Arial"/>
        </w:rPr>
        <w:t>The sensitivit</w:t>
      </w:r>
      <w:r w:rsidR="00027BAF">
        <w:rPr>
          <w:rFonts w:ascii="Calibri" w:hAnsi="Calibri" w:cs="Arial"/>
        </w:rPr>
        <w:t>ies</w:t>
      </w:r>
      <w:r>
        <w:rPr>
          <w:rFonts w:ascii="Calibri" w:hAnsi="Calibri" w:cs="Arial"/>
        </w:rPr>
        <w:t xml:space="preserve"> of </w:t>
      </w:r>
      <w:r w:rsidR="008F08CA">
        <w:rPr>
          <w:rFonts w:ascii="Calibri" w:hAnsi="Calibri" w:cs="Arial"/>
        </w:rPr>
        <w:t xml:space="preserve">both </w:t>
      </w:r>
      <w:r w:rsidR="00027BAF">
        <w:rPr>
          <w:rFonts w:ascii="Calibri" w:hAnsi="Calibri" w:cs="Arial"/>
        </w:rPr>
        <w:t>test components were</w:t>
      </w:r>
      <w:r w:rsidR="008F08CA">
        <w:rPr>
          <w:rFonts w:ascii="Calibri" w:hAnsi="Calibri" w:cs="Arial"/>
        </w:rPr>
        <w:t xml:space="preserve"> higher in patients with syphilis than in patients with yaws</w:t>
      </w:r>
      <w:r w:rsidR="00A337A4">
        <w:rPr>
          <w:rFonts w:ascii="Calibri" w:hAnsi="Calibri" w:cs="Arial"/>
        </w:rPr>
        <w:t xml:space="preserve"> at low titres but not at high-titres. For high-titre specimens the sensitivity of the </w:t>
      </w:r>
      <w:proofErr w:type="spellStart"/>
      <w:r w:rsidR="00A337A4">
        <w:rPr>
          <w:rFonts w:ascii="Calibri" w:hAnsi="Calibri" w:cs="Arial"/>
        </w:rPr>
        <w:t>treponemal</w:t>
      </w:r>
      <w:proofErr w:type="spellEnd"/>
      <w:r w:rsidR="00A337A4">
        <w:rPr>
          <w:rFonts w:ascii="Calibri" w:hAnsi="Calibri" w:cs="Arial"/>
        </w:rPr>
        <w:t xml:space="preserve"> component was 98.4% and 97.6% for syphilis and yaws respectively and the sensitivity of the non-</w:t>
      </w:r>
      <w:proofErr w:type="spellStart"/>
      <w:r w:rsidR="00A337A4">
        <w:rPr>
          <w:rFonts w:ascii="Calibri" w:hAnsi="Calibri" w:cs="Arial"/>
        </w:rPr>
        <w:t>treponemal</w:t>
      </w:r>
      <w:proofErr w:type="spellEnd"/>
      <w:r w:rsidR="00A337A4">
        <w:rPr>
          <w:rFonts w:ascii="Calibri" w:hAnsi="Calibri" w:cs="Arial"/>
        </w:rPr>
        <w:t xml:space="preserve"> components </w:t>
      </w:r>
      <w:proofErr w:type="gramStart"/>
      <w:r w:rsidR="00A337A4">
        <w:rPr>
          <w:rFonts w:ascii="Calibri" w:hAnsi="Calibri" w:cs="Arial"/>
        </w:rPr>
        <w:t>were</w:t>
      </w:r>
      <w:proofErr w:type="gramEnd"/>
      <w:r w:rsidR="00A337A4">
        <w:rPr>
          <w:rFonts w:ascii="Calibri" w:hAnsi="Calibri" w:cs="Arial"/>
        </w:rPr>
        <w:t xml:space="preserve"> 98.7</w:t>
      </w:r>
      <w:r w:rsidR="00F11D9D">
        <w:rPr>
          <w:rFonts w:ascii="Calibri" w:hAnsi="Calibri" w:cs="Arial"/>
        </w:rPr>
        <w:t>%</w:t>
      </w:r>
      <w:r w:rsidR="00A337A4">
        <w:rPr>
          <w:rFonts w:ascii="Calibri" w:hAnsi="Calibri" w:cs="Arial"/>
        </w:rPr>
        <w:t xml:space="preserve"> and 96.6% respectively. For low titre specimens the sensitivity of the </w:t>
      </w:r>
      <w:proofErr w:type="spellStart"/>
      <w:r w:rsidR="00A337A4">
        <w:rPr>
          <w:rFonts w:ascii="Calibri" w:hAnsi="Calibri" w:cs="Arial"/>
        </w:rPr>
        <w:t>treponemal</w:t>
      </w:r>
      <w:proofErr w:type="spellEnd"/>
      <w:r w:rsidR="00A337A4">
        <w:rPr>
          <w:rFonts w:ascii="Calibri" w:hAnsi="Calibri" w:cs="Arial"/>
        </w:rPr>
        <w:t xml:space="preserve"> component was </w:t>
      </w:r>
      <w:r w:rsidR="008F08CA">
        <w:rPr>
          <w:rFonts w:ascii="Calibri" w:hAnsi="Calibri" w:cs="Arial"/>
        </w:rPr>
        <w:t>(93.1%</w:t>
      </w:r>
      <w:r w:rsidR="00A337A4">
        <w:rPr>
          <w:rFonts w:ascii="Calibri" w:hAnsi="Calibri" w:cs="Arial"/>
        </w:rPr>
        <w:t xml:space="preserve"> for syphilis compared to</w:t>
      </w:r>
      <w:r w:rsidR="008F08CA">
        <w:rPr>
          <w:rFonts w:ascii="Calibri" w:hAnsi="Calibri" w:cs="Arial"/>
        </w:rPr>
        <w:t xml:space="preserve"> 73.5%</w:t>
      </w:r>
      <w:r w:rsidR="007F3F7B">
        <w:rPr>
          <w:rFonts w:ascii="Calibri" w:hAnsi="Calibri" w:cs="Arial"/>
        </w:rPr>
        <w:t xml:space="preserve"> for</w:t>
      </w:r>
      <w:r w:rsidR="00A337A4">
        <w:rPr>
          <w:rFonts w:ascii="Calibri" w:hAnsi="Calibri" w:cs="Arial"/>
        </w:rPr>
        <w:t xml:space="preserve"> yaws</w:t>
      </w:r>
      <w:r w:rsidR="007F3F7B">
        <w:rPr>
          <w:rFonts w:ascii="Calibri" w:hAnsi="Calibri" w:cs="Arial"/>
        </w:rPr>
        <w:t xml:space="preserve"> </w:t>
      </w:r>
      <w:r w:rsidR="008F08CA">
        <w:rPr>
          <w:rFonts w:ascii="Calibri" w:hAnsi="Calibri" w:cs="Arial"/>
        </w:rPr>
        <w:t xml:space="preserve">and </w:t>
      </w:r>
      <w:r w:rsidR="00A337A4">
        <w:rPr>
          <w:rFonts w:ascii="Calibri" w:hAnsi="Calibri" w:cs="Arial"/>
        </w:rPr>
        <w:t>the sensitivity of the non-</w:t>
      </w:r>
      <w:proofErr w:type="spellStart"/>
      <w:r w:rsidR="00A337A4">
        <w:rPr>
          <w:rFonts w:ascii="Calibri" w:hAnsi="Calibri" w:cs="Arial"/>
        </w:rPr>
        <w:t>treponemal</w:t>
      </w:r>
      <w:proofErr w:type="spellEnd"/>
      <w:r w:rsidR="00A337A4">
        <w:rPr>
          <w:rFonts w:ascii="Calibri" w:hAnsi="Calibri" w:cs="Arial"/>
        </w:rPr>
        <w:t xml:space="preserve"> component was </w:t>
      </w:r>
      <w:r w:rsidR="008F08CA">
        <w:rPr>
          <w:rFonts w:ascii="Calibri" w:hAnsi="Calibri" w:cs="Arial"/>
        </w:rPr>
        <w:t xml:space="preserve">85.0% </w:t>
      </w:r>
      <w:r w:rsidR="00A337A4">
        <w:rPr>
          <w:rFonts w:ascii="Calibri" w:hAnsi="Calibri" w:cs="Arial"/>
        </w:rPr>
        <w:t xml:space="preserve">for syphilis compared to </w:t>
      </w:r>
      <w:r w:rsidR="008F08CA">
        <w:rPr>
          <w:rFonts w:ascii="Calibri" w:hAnsi="Calibri" w:cs="Arial"/>
        </w:rPr>
        <w:t>59.1%</w:t>
      </w:r>
      <w:r w:rsidR="007F3F7B">
        <w:rPr>
          <w:rFonts w:ascii="Calibri" w:hAnsi="Calibri" w:cs="Arial"/>
        </w:rPr>
        <w:t xml:space="preserve"> </w:t>
      </w:r>
      <w:r w:rsidR="00A337A4">
        <w:rPr>
          <w:rFonts w:ascii="Calibri" w:hAnsi="Calibri" w:cs="Arial"/>
        </w:rPr>
        <w:t xml:space="preserve">yaws </w:t>
      </w:r>
      <w:r w:rsidR="008F08CA">
        <w:rPr>
          <w:rFonts w:ascii="Calibri" w:hAnsi="Calibri" w:cs="Arial"/>
        </w:rPr>
        <w:t xml:space="preserve"> </w:t>
      </w:r>
      <w:r w:rsidR="00A337A4">
        <w:rPr>
          <w:rFonts w:ascii="Calibri" w:hAnsi="Calibri" w:cs="Arial"/>
        </w:rPr>
        <w:t>(</w:t>
      </w:r>
      <w:r w:rsidR="008F08CA">
        <w:rPr>
          <w:rFonts w:ascii="Calibri" w:hAnsi="Calibri" w:cs="Arial"/>
        </w:rPr>
        <w:t>p&lt;0.0001 in both cases</w:t>
      </w:r>
      <w:r w:rsidR="006569D8">
        <w:rPr>
          <w:rFonts w:ascii="Calibri" w:hAnsi="Calibri" w:cs="Arial"/>
        </w:rPr>
        <w:t>).</w:t>
      </w:r>
      <w:r w:rsidR="008F08CA">
        <w:rPr>
          <w:rFonts w:ascii="Calibri" w:hAnsi="Calibri" w:cs="Arial"/>
        </w:rPr>
        <w:t xml:space="preserve"> The specificity of </w:t>
      </w:r>
      <w:r w:rsidR="00C30BFE">
        <w:rPr>
          <w:rFonts w:ascii="Calibri" w:hAnsi="Calibri" w:cs="Arial"/>
        </w:rPr>
        <w:t xml:space="preserve">the </w:t>
      </w:r>
      <w:proofErr w:type="spellStart"/>
      <w:r w:rsidR="000773DF">
        <w:rPr>
          <w:rFonts w:ascii="Calibri" w:hAnsi="Calibri" w:cs="Arial"/>
        </w:rPr>
        <w:t>treponemal</w:t>
      </w:r>
      <w:proofErr w:type="spellEnd"/>
      <w:r w:rsidR="00C30BFE">
        <w:rPr>
          <w:rFonts w:ascii="Calibri" w:hAnsi="Calibri" w:cs="Arial"/>
        </w:rPr>
        <w:t xml:space="preserve"> component was slightly higher in patients </w:t>
      </w:r>
      <w:r w:rsidR="00EF2D1D">
        <w:rPr>
          <w:rFonts w:ascii="Calibri" w:hAnsi="Calibri" w:cs="Arial"/>
        </w:rPr>
        <w:t xml:space="preserve">tested for </w:t>
      </w:r>
      <w:r w:rsidR="00C30BFE">
        <w:rPr>
          <w:rFonts w:ascii="Calibri" w:hAnsi="Calibri" w:cs="Arial"/>
        </w:rPr>
        <w:t xml:space="preserve">syphilis </w:t>
      </w:r>
      <w:r w:rsidR="00AA4888">
        <w:rPr>
          <w:rFonts w:ascii="Calibri" w:hAnsi="Calibri" w:cs="Arial"/>
        </w:rPr>
        <w:t xml:space="preserve">compared to yaws for low-titre specimens </w:t>
      </w:r>
      <w:r w:rsidR="00C30BFE">
        <w:rPr>
          <w:rFonts w:ascii="Calibri" w:hAnsi="Calibri" w:cs="Arial"/>
        </w:rPr>
        <w:t xml:space="preserve">whilst the converse was true for the </w:t>
      </w:r>
      <w:r w:rsidR="000773DF">
        <w:rPr>
          <w:rFonts w:ascii="Calibri" w:hAnsi="Calibri" w:cs="Arial"/>
        </w:rPr>
        <w:t>non-</w:t>
      </w:r>
      <w:proofErr w:type="spellStart"/>
      <w:r w:rsidR="000773DF">
        <w:rPr>
          <w:rFonts w:ascii="Calibri" w:hAnsi="Calibri" w:cs="Arial"/>
        </w:rPr>
        <w:t>treponemal</w:t>
      </w:r>
      <w:proofErr w:type="spellEnd"/>
      <w:r w:rsidR="00C30BFE">
        <w:rPr>
          <w:rFonts w:ascii="Calibri" w:hAnsi="Calibri" w:cs="Arial"/>
        </w:rPr>
        <w:t xml:space="preserve"> </w:t>
      </w:r>
      <w:proofErr w:type="gramStart"/>
      <w:r w:rsidR="00B75947">
        <w:rPr>
          <w:rFonts w:ascii="Calibri" w:hAnsi="Calibri" w:cs="Arial"/>
        </w:rPr>
        <w:t>component</w:t>
      </w:r>
      <w:r w:rsidR="00C30BFE">
        <w:rPr>
          <w:rFonts w:ascii="Calibri" w:hAnsi="Calibri" w:cs="Arial"/>
        </w:rPr>
        <w:t>(</w:t>
      </w:r>
      <w:proofErr w:type="gramEnd"/>
      <w:r w:rsidR="00C30BFE">
        <w:rPr>
          <w:rFonts w:ascii="Calibri" w:hAnsi="Calibri" w:cs="Arial"/>
        </w:rPr>
        <w:t xml:space="preserve">Table </w:t>
      </w:r>
      <w:r w:rsidR="00C02742">
        <w:rPr>
          <w:rFonts w:ascii="Calibri" w:hAnsi="Calibri" w:cs="Arial"/>
        </w:rPr>
        <w:t>3</w:t>
      </w:r>
      <w:r w:rsidR="00C30BFE">
        <w:rPr>
          <w:rFonts w:ascii="Calibri" w:hAnsi="Calibri" w:cs="Arial"/>
        </w:rPr>
        <w:t>).</w:t>
      </w:r>
    </w:p>
    <w:p w14:paraId="39DC8C85" w14:textId="77777777" w:rsidR="008F08CA" w:rsidRDefault="008F08CA" w:rsidP="00FD2CAB">
      <w:pPr>
        <w:rPr>
          <w:rFonts w:ascii="Calibri" w:hAnsi="Calibri" w:cs="Arial"/>
        </w:rPr>
      </w:pPr>
    </w:p>
    <w:p w14:paraId="5D0790F9" w14:textId="2304621B" w:rsidR="00262652" w:rsidRDefault="0024022D" w:rsidP="00FD2CAB">
      <w:pPr>
        <w:rPr>
          <w:rFonts w:ascii="Calibri" w:hAnsi="Calibri" w:cs="Arial"/>
        </w:rPr>
      </w:pPr>
      <w:r>
        <w:rPr>
          <w:rFonts w:ascii="Calibri" w:hAnsi="Calibri" w:cs="Arial"/>
        </w:rPr>
        <w:t>There were only minor differences in the performance of the test based on the specimen type used  (</w:t>
      </w:r>
      <w:r w:rsidR="00060C32">
        <w:rPr>
          <w:rFonts w:ascii="Calibri" w:hAnsi="Calibri" w:cs="Arial"/>
        </w:rPr>
        <w:t>Supplementary Table 1</w:t>
      </w:r>
      <w:r>
        <w:rPr>
          <w:rFonts w:ascii="Calibri" w:hAnsi="Calibri" w:cs="Arial"/>
        </w:rPr>
        <w:t xml:space="preserve">). </w:t>
      </w:r>
      <w:r w:rsidR="00C02742">
        <w:rPr>
          <w:rFonts w:ascii="Calibri" w:hAnsi="Calibri" w:cs="Arial"/>
        </w:rPr>
        <w:t xml:space="preserve">The sensitivity and specificity of the </w:t>
      </w:r>
      <w:proofErr w:type="spellStart"/>
      <w:r w:rsidR="00C02742">
        <w:rPr>
          <w:rFonts w:ascii="Calibri" w:hAnsi="Calibri" w:cs="Arial"/>
        </w:rPr>
        <w:t>treponemal</w:t>
      </w:r>
      <w:proofErr w:type="spellEnd"/>
      <w:r w:rsidR="00C02742">
        <w:rPr>
          <w:rFonts w:ascii="Calibri" w:hAnsi="Calibri" w:cs="Arial"/>
        </w:rPr>
        <w:t xml:space="preserve"> component varied depending on the reference </w:t>
      </w:r>
      <w:proofErr w:type="spellStart"/>
      <w:r w:rsidR="00C02742">
        <w:rPr>
          <w:rFonts w:ascii="Calibri" w:hAnsi="Calibri" w:cs="Arial"/>
        </w:rPr>
        <w:t>treponemal</w:t>
      </w:r>
      <w:proofErr w:type="spellEnd"/>
      <w:r w:rsidR="00C02742">
        <w:rPr>
          <w:rFonts w:ascii="Calibri" w:hAnsi="Calibri" w:cs="Arial"/>
        </w:rPr>
        <w:t xml:space="preserve"> assay used (</w:t>
      </w:r>
      <w:r w:rsidR="00060C32">
        <w:rPr>
          <w:rFonts w:ascii="Calibri" w:hAnsi="Calibri" w:cs="Arial"/>
        </w:rPr>
        <w:t>Supplementary Table 2</w:t>
      </w:r>
      <w:r w:rsidR="00C02742">
        <w:rPr>
          <w:rFonts w:ascii="Calibri" w:hAnsi="Calibri" w:cs="Arial"/>
        </w:rPr>
        <w:t>)</w:t>
      </w:r>
      <w:r w:rsidR="00B318F3">
        <w:rPr>
          <w:rFonts w:ascii="Calibri" w:hAnsi="Calibri" w:cs="Arial"/>
        </w:rPr>
        <w:t xml:space="preserve">. As compared to when TPPA was used as the reference </w:t>
      </w:r>
      <w:proofErr w:type="spellStart"/>
      <w:r w:rsidR="00B318F3">
        <w:rPr>
          <w:rFonts w:ascii="Calibri" w:hAnsi="Calibri" w:cs="Arial"/>
        </w:rPr>
        <w:t>trepo</w:t>
      </w:r>
      <w:r w:rsidR="006569D8">
        <w:rPr>
          <w:rFonts w:ascii="Calibri" w:hAnsi="Calibri" w:cs="Arial"/>
        </w:rPr>
        <w:t>n</w:t>
      </w:r>
      <w:r w:rsidR="00B318F3">
        <w:rPr>
          <w:rFonts w:ascii="Calibri" w:hAnsi="Calibri" w:cs="Arial"/>
        </w:rPr>
        <w:t>emal</w:t>
      </w:r>
      <w:proofErr w:type="spellEnd"/>
      <w:r w:rsidR="00B318F3">
        <w:rPr>
          <w:rFonts w:ascii="Calibri" w:hAnsi="Calibri" w:cs="Arial"/>
        </w:rPr>
        <w:t xml:space="preserve"> test</w:t>
      </w:r>
      <w:r w:rsidR="006569D8">
        <w:rPr>
          <w:rFonts w:ascii="Calibri" w:hAnsi="Calibri" w:cs="Arial"/>
        </w:rPr>
        <w:t>,</w:t>
      </w:r>
      <w:r w:rsidR="00B318F3">
        <w:rPr>
          <w:rFonts w:ascii="Calibri" w:hAnsi="Calibri" w:cs="Arial"/>
        </w:rPr>
        <w:t xml:space="preserve"> the sensitivity of the </w:t>
      </w:r>
      <w:proofErr w:type="spellStart"/>
      <w:r w:rsidR="00B318F3">
        <w:rPr>
          <w:rFonts w:ascii="Calibri" w:hAnsi="Calibri" w:cs="Arial"/>
        </w:rPr>
        <w:t>treponemal</w:t>
      </w:r>
      <w:proofErr w:type="spellEnd"/>
      <w:r w:rsidR="00B318F3">
        <w:rPr>
          <w:rFonts w:ascii="Calibri" w:hAnsi="Calibri" w:cs="Arial"/>
        </w:rPr>
        <w:t xml:space="preserve"> component was lower when the reference test was an ELISA (p&lt;0.001) and the specificity was lower when TPHA was taken as the reference standard</w:t>
      </w:r>
      <w:r w:rsidR="00C02742">
        <w:rPr>
          <w:rFonts w:ascii="Calibri" w:hAnsi="Calibri" w:cs="Arial"/>
        </w:rPr>
        <w:t xml:space="preserve">. </w:t>
      </w:r>
      <w:r>
        <w:rPr>
          <w:rFonts w:ascii="Calibri" w:hAnsi="Calibri" w:cs="Arial"/>
        </w:rPr>
        <w:t xml:space="preserve">The sensitivity of both the </w:t>
      </w:r>
      <w:proofErr w:type="spellStart"/>
      <w:r w:rsidR="000773DF">
        <w:rPr>
          <w:rFonts w:ascii="Calibri" w:hAnsi="Calibri" w:cs="Arial"/>
        </w:rPr>
        <w:t>treponemal</w:t>
      </w:r>
      <w:proofErr w:type="spellEnd"/>
      <w:r>
        <w:rPr>
          <w:rFonts w:ascii="Calibri" w:hAnsi="Calibri" w:cs="Arial"/>
        </w:rPr>
        <w:t xml:space="preserve"> and </w:t>
      </w:r>
      <w:r w:rsidR="000773DF">
        <w:rPr>
          <w:rFonts w:ascii="Calibri" w:hAnsi="Calibri" w:cs="Arial"/>
        </w:rPr>
        <w:t>non-</w:t>
      </w:r>
      <w:proofErr w:type="spellStart"/>
      <w:r w:rsidR="000773DF">
        <w:rPr>
          <w:rFonts w:ascii="Calibri" w:hAnsi="Calibri" w:cs="Arial"/>
        </w:rPr>
        <w:t>treponemal</w:t>
      </w:r>
      <w:proofErr w:type="spellEnd"/>
      <w:r>
        <w:rPr>
          <w:rFonts w:ascii="Calibri" w:hAnsi="Calibri" w:cs="Arial"/>
        </w:rPr>
        <w:t xml:space="preserve"> components </w:t>
      </w:r>
      <w:r w:rsidR="006569D8">
        <w:rPr>
          <w:rFonts w:ascii="Calibri" w:hAnsi="Calibri" w:cs="Arial"/>
        </w:rPr>
        <w:t xml:space="preserve">was </w:t>
      </w:r>
      <w:r>
        <w:rPr>
          <w:rFonts w:ascii="Calibri" w:hAnsi="Calibri" w:cs="Arial"/>
        </w:rPr>
        <w:t>higher in individuals with evidence of clinical disease than in</w:t>
      </w:r>
      <w:r w:rsidR="00E96098">
        <w:rPr>
          <w:rFonts w:ascii="Calibri" w:hAnsi="Calibri" w:cs="Arial"/>
        </w:rPr>
        <w:t xml:space="preserve"> asymptomatic cases (</w:t>
      </w:r>
      <w:r w:rsidR="00060C32">
        <w:rPr>
          <w:rFonts w:ascii="Calibri" w:hAnsi="Calibri" w:cs="Arial"/>
        </w:rPr>
        <w:t>Supplementary Table 3</w:t>
      </w:r>
      <w:r>
        <w:rPr>
          <w:rFonts w:ascii="Calibri" w:hAnsi="Calibri" w:cs="Arial"/>
        </w:rPr>
        <w:t xml:space="preserve">). </w:t>
      </w:r>
    </w:p>
    <w:p w14:paraId="06518550" w14:textId="77777777" w:rsidR="004F7FE1" w:rsidRDefault="004F7FE1" w:rsidP="00FD2CAB">
      <w:pPr>
        <w:rPr>
          <w:rFonts w:ascii="Calibri" w:hAnsi="Calibri" w:cs="Arial"/>
        </w:rPr>
      </w:pPr>
    </w:p>
    <w:p w14:paraId="00741446" w14:textId="77777777" w:rsidR="004F7FE1" w:rsidRDefault="004F7FE1" w:rsidP="00FD2CAB">
      <w:pPr>
        <w:rPr>
          <w:rFonts w:ascii="Calibri" w:hAnsi="Calibri" w:cs="Arial"/>
        </w:rPr>
      </w:pPr>
      <w:r>
        <w:rPr>
          <w:rFonts w:ascii="Calibri" w:hAnsi="Calibri" w:cs="Arial"/>
        </w:rPr>
        <w:t xml:space="preserve">In multivariable logistic regression a higher RPR titre was significantly associated with an increased sensitivity of </w:t>
      </w:r>
      <w:r w:rsidR="00C02742">
        <w:rPr>
          <w:rFonts w:ascii="Calibri" w:hAnsi="Calibri" w:cs="Arial"/>
        </w:rPr>
        <w:t xml:space="preserve">both </w:t>
      </w:r>
      <w:r>
        <w:rPr>
          <w:rFonts w:ascii="Calibri" w:hAnsi="Calibri" w:cs="Arial"/>
        </w:rPr>
        <w:t xml:space="preserve">the </w:t>
      </w:r>
      <w:proofErr w:type="spellStart"/>
      <w:r>
        <w:rPr>
          <w:rFonts w:ascii="Calibri" w:hAnsi="Calibri" w:cs="Arial"/>
        </w:rPr>
        <w:t>treponemal</w:t>
      </w:r>
      <w:proofErr w:type="spellEnd"/>
      <w:r>
        <w:rPr>
          <w:rFonts w:ascii="Calibri" w:hAnsi="Calibri" w:cs="Arial"/>
        </w:rPr>
        <w:t xml:space="preserve"> </w:t>
      </w:r>
      <w:r w:rsidR="00C02742">
        <w:rPr>
          <w:rFonts w:ascii="Calibri" w:hAnsi="Calibri" w:cs="Arial"/>
        </w:rPr>
        <w:t>and the non-</w:t>
      </w:r>
      <w:proofErr w:type="spellStart"/>
      <w:r w:rsidR="00C02742">
        <w:rPr>
          <w:rFonts w:ascii="Calibri" w:hAnsi="Calibri" w:cs="Arial"/>
        </w:rPr>
        <w:t>treponemal</w:t>
      </w:r>
      <w:proofErr w:type="spellEnd"/>
      <w:r w:rsidR="00C02742">
        <w:rPr>
          <w:rFonts w:ascii="Calibri" w:hAnsi="Calibri" w:cs="Arial"/>
        </w:rPr>
        <w:t xml:space="preserve"> </w:t>
      </w:r>
      <w:r>
        <w:rPr>
          <w:rFonts w:ascii="Calibri" w:hAnsi="Calibri" w:cs="Arial"/>
        </w:rPr>
        <w:t>c</w:t>
      </w:r>
      <w:r w:rsidR="00C02742">
        <w:rPr>
          <w:rFonts w:ascii="Calibri" w:hAnsi="Calibri" w:cs="Arial"/>
        </w:rPr>
        <w:t xml:space="preserve">omponents (P &lt;0.001) after controlling for other variables. After controlling for other variables the sensitivity was lower for both test components in individuals being tested for yaws </w:t>
      </w:r>
      <w:r w:rsidR="006569D8">
        <w:rPr>
          <w:rFonts w:ascii="Calibri" w:hAnsi="Calibri" w:cs="Arial"/>
        </w:rPr>
        <w:t xml:space="preserve">than in those tested for syphilis, </w:t>
      </w:r>
      <w:r w:rsidR="00C02742">
        <w:rPr>
          <w:rFonts w:ascii="Calibri" w:hAnsi="Calibri" w:cs="Arial"/>
        </w:rPr>
        <w:t xml:space="preserve">and when the test was performed on serum (p&lt;0.001 in both cases).  After controlling for other variables the specificity of the </w:t>
      </w:r>
      <w:proofErr w:type="spellStart"/>
      <w:r w:rsidR="00C02742">
        <w:rPr>
          <w:rFonts w:ascii="Calibri" w:hAnsi="Calibri" w:cs="Arial"/>
        </w:rPr>
        <w:t>treponemal</w:t>
      </w:r>
      <w:proofErr w:type="spellEnd"/>
      <w:r w:rsidR="00C02742">
        <w:rPr>
          <w:rFonts w:ascii="Calibri" w:hAnsi="Calibri" w:cs="Arial"/>
        </w:rPr>
        <w:t xml:space="preserve"> component was higher when the reference standard was either TPPA or TPHA as compared to EIA or ELISA (p &lt;0.0001 in both </w:t>
      </w:r>
      <w:r w:rsidR="00C02742">
        <w:rPr>
          <w:rFonts w:ascii="Calibri" w:hAnsi="Calibri" w:cs="Arial"/>
        </w:rPr>
        <w:lastRenderedPageBreak/>
        <w:t>cases). The specificity of the non-</w:t>
      </w:r>
      <w:proofErr w:type="spellStart"/>
      <w:r w:rsidR="00C02742">
        <w:rPr>
          <w:rFonts w:ascii="Calibri" w:hAnsi="Calibri" w:cs="Arial"/>
        </w:rPr>
        <w:t>treponemal</w:t>
      </w:r>
      <w:proofErr w:type="spellEnd"/>
      <w:r w:rsidR="00C02742">
        <w:rPr>
          <w:rFonts w:ascii="Calibri" w:hAnsi="Calibri" w:cs="Arial"/>
        </w:rPr>
        <w:t xml:space="preserve"> component was significantly associated with the RPR titre after controlling for other variables (p&lt;0.023).</w:t>
      </w:r>
    </w:p>
    <w:p w14:paraId="003A7C7A" w14:textId="77777777" w:rsidR="008F08CA" w:rsidRDefault="008F08CA" w:rsidP="00FD2CAB">
      <w:pPr>
        <w:rPr>
          <w:rFonts w:ascii="Calibri" w:hAnsi="Calibri" w:cs="Arial"/>
        </w:rPr>
      </w:pPr>
    </w:p>
    <w:p w14:paraId="5EC60CE4" w14:textId="7BFF6FCE" w:rsidR="00EC32B8" w:rsidRDefault="00EC32B8" w:rsidP="00FD2CAB">
      <w:pPr>
        <w:rPr>
          <w:rFonts w:ascii="Calibri" w:hAnsi="Calibri" w:cs="Arial"/>
        </w:rPr>
      </w:pPr>
      <w:r>
        <w:rPr>
          <w:rFonts w:ascii="Calibri" w:hAnsi="Calibri" w:cs="Arial"/>
        </w:rPr>
        <w:t xml:space="preserve">Overall </w:t>
      </w:r>
      <w:r w:rsidR="00FC7853">
        <w:rPr>
          <w:rFonts w:ascii="Calibri" w:hAnsi="Calibri" w:cs="Arial"/>
        </w:rPr>
        <w:t xml:space="preserve">agreement </w:t>
      </w:r>
      <w:r>
        <w:rPr>
          <w:rFonts w:ascii="Calibri" w:hAnsi="Calibri" w:cs="Arial"/>
        </w:rPr>
        <w:t>between the DPP test and reference serology was 85.</w:t>
      </w:r>
      <w:r w:rsidR="009B186D">
        <w:rPr>
          <w:rFonts w:ascii="Calibri" w:hAnsi="Calibri" w:cs="Arial"/>
        </w:rPr>
        <w:t>2</w:t>
      </w:r>
      <w:r>
        <w:rPr>
          <w:rFonts w:ascii="Calibri" w:hAnsi="Calibri" w:cs="Arial"/>
        </w:rPr>
        <w:t xml:space="preserve">% (84.4-86.1%). </w:t>
      </w:r>
      <w:r w:rsidR="00EF2D1D">
        <w:rPr>
          <w:rFonts w:ascii="Calibri" w:hAnsi="Calibri" w:cs="Arial"/>
        </w:rPr>
        <w:t>Agreement</w:t>
      </w:r>
      <w:r w:rsidR="00FC7853">
        <w:rPr>
          <w:rFonts w:ascii="Calibri" w:hAnsi="Calibri" w:cs="Arial"/>
        </w:rPr>
        <w:t xml:space="preserve"> </w:t>
      </w:r>
      <w:r>
        <w:rPr>
          <w:rFonts w:ascii="Calibri" w:hAnsi="Calibri" w:cs="Arial"/>
        </w:rPr>
        <w:t xml:space="preserve">was highest for high titre active infection and lowest for past infection (Table </w:t>
      </w:r>
      <w:r w:rsidR="00F2788B">
        <w:rPr>
          <w:rFonts w:ascii="Calibri" w:hAnsi="Calibri" w:cs="Arial"/>
        </w:rPr>
        <w:t>4</w:t>
      </w:r>
      <w:r>
        <w:rPr>
          <w:rFonts w:ascii="Calibri" w:hAnsi="Calibri" w:cs="Arial"/>
        </w:rPr>
        <w:t xml:space="preserve">). </w:t>
      </w:r>
      <w:r w:rsidR="00FC7853">
        <w:rPr>
          <w:rFonts w:ascii="Calibri" w:hAnsi="Calibri" w:cs="Arial"/>
        </w:rPr>
        <w:t>The l</w:t>
      </w:r>
      <w:r>
        <w:rPr>
          <w:rFonts w:ascii="Calibri" w:hAnsi="Calibri" w:cs="Arial"/>
        </w:rPr>
        <w:t>ack of</w:t>
      </w:r>
      <w:r w:rsidR="00FF47DA">
        <w:rPr>
          <w:rFonts w:ascii="Calibri" w:hAnsi="Calibri" w:cs="Arial"/>
        </w:rPr>
        <w:t xml:space="preserve"> agreement</w:t>
      </w:r>
      <w:r>
        <w:rPr>
          <w:rFonts w:ascii="Calibri" w:hAnsi="Calibri" w:cs="Arial"/>
        </w:rPr>
        <w:t xml:space="preserve"> in this group was due to </w:t>
      </w:r>
      <w:r w:rsidR="00FF47DA">
        <w:rPr>
          <w:rFonts w:ascii="Calibri" w:hAnsi="Calibri" w:cs="Arial"/>
        </w:rPr>
        <w:t>misclassification of both</w:t>
      </w:r>
      <w:r>
        <w:rPr>
          <w:rFonts w:ascii="Calibri" w:hAnsi="Calibri" w:cs="Arial"/>
        </w:rPr>
        <w:t xml:space="preserve"> </w:t>
      </w:r>
      <w:proofErr w:type="spellStart"/>
      <w:r w:rsidR="00755251">
        <w:rPr>
          <w:rFonts w:ascii="Calibri" w:hAnsi="Calibri" w:cs="Arial"/>
        </w:rPr>
        <w:t>treponemal</w:t>
      </w:r>
      <w:proofErr w:type="spellEnd"/>
      <w:r>
        <w:rPr>
          <w:rFonts w:ascii="Calibri" w:hAnsi="Calibri" w:cs="Arial"/>
        </w:rPr>
        <w:t xml:space="preserve"> components and</w:t>
      </w:r>
      <w:r w:rsidR="00FF47DA">
        <w:rPr>
          <w:rFonts w:ascii="Calibri" w:hAnsi="Calibri" w:cs="Arial"/>
        </w:rPr>
        <w:t xml:space="preserve"> </w:t>
      </w:r>
      <w:r w:rsidR="00755251">
        <w:rPr>
          <w:rFonts w:ascii="Calibri" w:hAnsi="Calibri" w:cs="Arial"/>
        </w:rPr>
        <w:t>non-</w:t>
      </w:r>
      <w:proofErr w:type="spellStart"/>
      <w:r w:rsidR="00755251">
        <w:rPr>
          <w:rFonts w:ascii="Calibri" w:hAnsi="Calibri" w:cs="Arial"/>
        </w:rPr>
        <w:t>treponemal</w:t>
      </w:r>
      <w:proofErr w:type="spellEnd"/>
      <w:r>
        <w:rPr>
          <w:rFonts w:ascii="Calibri" w:hAnsi="Calibri" w:cs="Arial"/>
        </w:rPr>
        <w:t xml:space="preserve"> components (data not shown).</w:t>
      </w:r>
    </w:p>
    <w:p w14:paraId="6EE9717C" w14:textId="77777777" w:rsidR="00CA31BC" w:rsidRDefault="00CA31BC" w:rsidP="00FD2CAB">
      <w:pPr>
        <w:rPr>
          <w:rFonts w:ascii="Calibri" w:hAnsi="Calibri" w:cs="Arial"/>
        </w:rPr>
      </w:pPr>
    </w:p>
    <w:p w14:paraId="0CB390A5" w14:textId="77777777" w:rsidR="00F06E7E" w:rsidRPr="00F06E7E" w:rsidRDefault="00F06E7E" w:rsidP="00FD2CAB">
      <w:pPr>
        <w:rPr>
          <w:rFonts w:ascii="Calibri" w:hAnsi="Calibri" w:cs="Arial"/>
          <w:b/>
        </w:rPr>
      </w:pPr>
      <w:r w:rsidRPr="00F06E7E">
        <w:rPr>
          <w:rFonts w:ascii="Calibri" w:hAnsi="Calibri" w:cs="Arial"/>
          <w:b/>
        </w:rPr>
        <w:t>Discussion</w:t>
      </w:r>
    </w:p>
    <w:p w14:paraId="5FC0C150" w14:textId="37B7E495" w:rsidR="00CA31BC" w:rsidRDefault="000773DF" w:rsidP="00FD2CAB">
      <w:pPr>
        <w:rPr>
          <w:rFonts w:ascii="Calibri" w:hAnsi="Calibri" w:cs="Arial"/>
        </w:rPr>
      </w:pPr>
      <w:r>
        <w:rPr>
          <w:rFonts w:ascii="Calibri" w:hAnsi="Calibri" w:cs="Arial"/>
        </w:rPr>
        <w:t xml:space="preserve">This meta-analysis has combined data collected from more than 7200 patients to evaluate the performance of the </w:t>
      </w:r>
      <w:r w:rsidR="00F11D9D">
        <w:rPr>
          <w:rFonts w:ascii="Calibri" w:hAnsi="Calibri" w:cs="Arial"/>
        </w:rPr>
        <w:t xml:space="preserve">combined </w:t>
      </w:r>
      <w:proofErr w:type="spellStart"/>
      <w:r>
        <w:rPr>
          <w:rFonts w:ascii="Calibri" w:hAnsi="Calibri" w:cs="Arial"/>
        </w:rPr>
        <w:t>treponemal</w:t>
      </w:r>
      <w:proofErr w:type="spellEnd"/>
      <w:r>
        <w:rPr>
          <w:rFonts w:ascii="Calibri" w:hAnsi="Calibri" w:cs="Arial"/>
        </w:rPr>
        <w:t>/non-</w:t>
      </w:r>
      <w:proofErr w:type="spellStart"/>
      <w:r>
        <w:rPr>
          <w:rFonts w:ascii="Calibri" w:hAnsi="Calibri" w:cs="Arial"/>
        </w:rPr>
        <w:t>treponemal</w:t>
      </w:r>
      <w:proofErr w:type="spellEnd"/>
      <w:r>
        <w:rPr>
          <w:rFonts w:ascii="Calibri" w:hAnsi="Calibri" w:cs="Arial"/>
        </w:rPr>
        <w:t xml:space="preserve"> RDT for the diagnosis of syphilis and yaws.  </w:t>
      </w:r>
      <w:r w:rsidR="00DA33F7">
        <w:rPr>
          <w:rFonts w:ascii="Calibri" w:hAnsi="Calibri" w:cs="Arial"/>
        </w:rPr>
        <w:t xml:space="preserve">The use of individual patient data from a large number of samples has allowed us to explore which factors are independently associated with test performance. </w:t>
      </w:r>
      <w:r>
        <w:rPr>
          <w:rFonts w:ascii="Calibri" w:hAnsi="Calibri" w:cs="Arial"/>
        </w:rPr>
        <w:t>W</w:t>
      </w:r>
      <w:r w:rsidR="00703A09">
        <w:rPr>
          <w:rFonts w:ascii="Calibri" w:hAnsi="Calibri" w:cs="Arial"/>
        </w:rPr>
        <w:t>e have shown that the DPP Syphilis Screen &amp; Confirm RDT has good sensitivity and specificity compared to reference serology in cases of</w:t>
      </w:r>
      <w:r w:rsidR="0078104F">
        <w:rPr>
          <w:rFonts w:ascii="Calibri" w:hAnsi="Calibri" w:cs="Arial"/>
        </w:rPr>
        <w:t xml:space="preserve"> both</w:t>
      </w:r>
      <w:r w:rsidR="00703A09">
        <w:rPr>
          <w:rFonts w:ascii="Calibri" w:hAnsi="Calibri" w:cs="Arial"/>
        </w:rPr>
        <w:t xml:space="preserve"> suspected syphilis and yaws. </w:t>
      </w:r>
      <w:r w:rsidR="00AA4E41">
        <w:rPr>
          <w:rFonts w:ascii="Calibri" w:hAnsi="Calibri" w:cs="Arial"/>
        </w:rPr>
        <w:t xml:space="preserve">As previously reported </w:t>
      </w:r>
      <w:r>
        <w:rPr>
          <w:rFonts w:ascii="Calibri" w:hAnsi="Calibri" w:cs="Arial"/>
        </w:rPr>
        <w:t>in one study</w:t>
      </w:r>
      <w:r w:rsidR="00156D3F">
        <w:rPr>
          <w:rFonts w:ascii="Calibri" w:hAnsi="Calibri" w:cs="Arial"/>
        </w:rPr>
        <w:t>,</w:t>
      </w:r>
      <w:r>
        <w:rPr>
          <w:rFonts w:ascii="Calibri" w:hAnsi="Calibri" w:cs="Arial"/>
        </w:rPr>
        <w:t xml:space="preserve"> </w:t>
      </w:r>
      <w:r w:rsidR="00AA4E41">
        <w:rPr>
          <w:rFonts w:ascii="Calibri" w:hAnsi="Calibri" w:cs="Arial"/>
        </w:rPr>
        <w:t xml:space="preserve">the sensitivity of the </w:t>
      </w:r>
      <w:r>
        <w:rPr>
          <w:rFonts w:ascii="Calibri" w:hAnsi="Calibri" w:cs="Arial"/>
        </w:rPr>
        <w:t>non-</w:t>
      </w:r>
      <w:proofErr w:type="spellStart"/>
      <w:r>
        <w:rPr>
          <w:rFonts w:ascii="Calibri" w:hAnsi="Calibri" w:cs="Arial"/>
        </w:rPr>
        <w:t>treponemal</w:t>
      </w:r>
      <w:proofErr w:type="spellEnd"/>
      <w:r w:rsidR="00EF2D1D">
        <w:rPr>
          <w:rFonts w:ascii="Calibri" w:hAnsi="Calibri" w:cs="Arial"/>
        </w:rPr>
        <w:t xml:space="preserve"> </w:t>
      </w:r>
      <w:r w:rsidR="00AA4E41">
        <w:rPr>
          <w:rFonts w:ascii="Calibri" w:hAnsi="Calibri" w:cs="Arial"/>
        </w:rPr>
        <w:t xml:space="preserve">component </w:t>
      </w:r>
      <w:r w:rsidR="0078104F">
        <w:rPr>
          <w:rFonts w:ascii="Calibri" w:hAnsi="Calibri" w:cs="Arial"/>
        </w:rPr>
        <w:t xml:space="preserve">of the RDT </w:t>
      </w:r>
      <w:r w:rsidR="00AA4E41">
        <w:rPr>
          <w:rFonts w:ascii="Calibri" w:hAnsi="Calibri" w:cs="Arial"/>
        </w:rPr>
        <w:t>is related to the patient</w:t>
      </w:r>
      <w:r w:rsidR="00156D3F">
        <w:rPr>
          <w:rFonts w:ascii="Calibri" w:hAnsi="Calibri" w:cs="Arial"/>
        </w:rPr>
        <w:t>’</w:t>
      </w:r>
      <w:r w:rsidR="00AA4E41">
        <w:rPr>
          <w:rFonts w:ascii="Calibri" w:hAnsi="Calibri" w:cs="Arial"/>
        </w:rPr>
        <w:t>s RPR titre</w:t>
      </w:r>
      <w:r w:rsidR="00131837">
        <w:rPr>
          <w:rFonts w:ascii="Calibri" w:hAnsi="Calibri" w:cs="Arial"/>
        </w:rPr>
        <w:fldChar w:fldCharType="begin"/>
      </w:r>
      <w:r w:rsidR="00832180">
        <w:rPr>
          <w:rFonts w:ascii="Calibri" w:hAnsi="Calibri" w:cs="Arial"/>
        </w:rPr>
        <w:instrText xml:space="preserve"> ADDIN ZOTERO_ITEM CSL_CITATION {"citationID":"2an3ut92hg","properties":{"formattedCitation":"[15]","plainCitation":"[15]"},"citationItems":[{"id":2076,"uris":["http://zotero.org/users/38820/items/X3V2WXHW"],"uri":["http://zotero.org/users/38820/items/X3V2WXHW"],"itemData":{"id":2076,"type":"article-journal","title":"Evaluation of a Rapid Diagnostic Test for Yaws Infection in a Community Surveillance Setting","container-title":"PLoS Negl Trop Dis","page":"e3156","volume":"8","issue":"9","source":"PLoS Journals","abstract":"Author Summary Yaws is a bacterial infection closely related to syphilis. The WHO has launched a worldwide campaign to eradicate yaws by 2020. If this goal is to be achieved, programme managers and clinical staff will need access to a rapid diagnostic test (RDT) for yaws that can be used in the remote communities where the disease is found. In this study, we present data evaluating one possible RDT for yaws as part of a community survey in the Solomon Islands. The test performed reasonably well—there were some false negatives but few false positives. The performance of the test was best in individuals with more active disease suggesting the test may be most appropriately used for confirming clinically diagnosed cases. These findings should prompt consideration of the use of this RDT as part of worldwide yaws control efforts.","DOI":"10.1371/journal.pntd.0003156","journalAbbreviation":"PLoS Negl Trop Dis","author":[{"family":"Marks","given":"Michael"},{"family":"Goncalves","given":"Adriana"},{"family":"Vahi","given":"Ventis"},{"family":"Sokana","given":"Oliver"},{"family":"Puiahi","given":"Elliot"},{"family":"Zhang","given":"Zaixing"},{"family":"Dalipanda","given":"Tenneth"},{"family":"Bottomley","given":"Christian"},{"family":"Mabey","given":"David"},{"family":"Solomon","given":"Anthony W."}],"issued":{"date-parts":[["2014",9,11]]}}}],"schema":"https://github.com/citation-style-language/schema/raw/master/csl-citation.json"} </w:instrText>
      </w:r>
      <w:r w:rsidR="00131837">
        <w:rPr>
          <w:rFonts w:ascii="Calibri" w:hAnsi="Calibri" w:cs="Arial"/>
        </w:rPr>
        <w:fldChar w:fldCharType="separate"/>
      </w:r>
      <w:r w:rsidR="00832180">
        <w:rPr>
          <w:rFonts w:ascii="Calibri" w:hAnsi="Calibri"/>
          <w:lang w:val="en-US"/>
        </w:rPr>
        <w:t>[15]</w:t>
      </w:r>
      <w:r w:rsidR="00131837">
        <w:rPr>
          <w:rFonts w:ascii="Calibri" w:hAnsi="Calibri" w:cs="Arial"/>
        </w:rPr>
        <w:fldChar w:fldCharType="end"/>
      </w:r>
      <w:r w:rsidR="00AA4E41">
        <w:rPr>
          <w:rFonts w:ascii="Calibri" w:hAnsi="Calibri" w:cs="Arial"/>
        </w:rPr>
        <w:t xml:space="preserve">, with significantly higher sensitivity of the DPP kit for high-titre RPRs. We have demonstrated </w:t>
      </w:r>
      <w:r w:rsidR="00EF2D1D">
        <w:rPr>
          <w:rFonts w:ascii="Calibri" w:hAnsi="Calibri" w:cs="Arial"/>
        </w:rPr>
        <w:t xml:space="preserve">that </w:t>
      </w:r>
      <w:r>
        <w:rPr>
          <w:rFonts w:ascii="Calibri" w:hAnsi="Calibri" w:cs="Arial"/>
        </w:rPr>
        <w:t xml:space="preserve">the sensitivity of the </w:t>
      </w:r>
      <w:proofErr w:type="spellStart"/>
      <w:r w:rsidR="00EF2D1D">
        <w:rPr>
          <w:rFonts w:ascii="Calibri" w:hAnsi="Calibri" w:cs="Arial"/>
        </w:rPr>
        <w:t>treponemal</w:t>
      </w:r>
      <w:proofErr w:type="spellEnd"/>
      <w:r>
        <w:rPr>
          <w:rFonts w:ascii="Calibri" w:hAnsi="Calibri" w:cs="Arial"/>
        </w:rPr>
        <w:t xml:space="preserve"> component</w:t>
      </w:r>
      <w:r w:rsidR="00AA4E41">
        <w:rPr>
          <w:rFonts w:ascii="Calibri" w:hAnsi="Calibri" w:cs="Arial"/>
        </w:rPr>
        <w:t xml:space="preserve"> is also related to the RPR titre. </w:t>
      </w:r>
      <w:r w:rsidR="00DA33F7">
        <w:rPr>
          <w:rFonts w:ascii="Calibri" w:hAnsi="Calibri" w:cs="Arial"/>
        </w:rPr>
        <w:t xml:space="preserve">This finding was true even after controlling for other relevant variables such as the sample type, disease and reference test used. </w:t>
      </w:r>
      <w:r w:rsidR="00AA4E41">
        <w:rPr>
          <w:rFonts w:ascii="Calibri" w:hAnsi="Calibri" w:cs="Arial"/>
        </w:rPr>
        <w:t xml:space="preserve">As a result the </w:t>
      </w:r>
      <w:r>
        <w:rPr>
          <w:rFonts w:ascii="Calibri" w:hAnsi="Calibri" w:cs="Arial"/>
        </w:rPr>
        <w:t>DPP-RDT</w:t>
      </w:r>
      <w:r w:rsidR="00AA4E41">
        <w:rPr>
          <w:rFonts w:ascii="Calibri" w:hAnsi="Calibri" w:cs="Arial"/>
        </w:rPr>
        <w:t xml:space="preserve"> showed excellent overall </w:t>
      </w:r>
      <w:r w:rsidR="00FF6533">
        <w:rPr>
          <w:rFonts w:ascii="Calibri" w:hAnsi="Calibri" w:cs="Arial"/>
        </w:rPr>
        <w:t xml:space="preserve">sensitivity </w:t>
      </w:r>
      <w:r w:rsidR="00AA4E41">
        <w:rPr>
          <w:rFonts w:ascii="Calibri" w:hAnsi="Calibri" w:cs="Arial"/>
        </w:rPr>
        <w:t>for high</w:t>
      </w:r>
      <w:r>
        <w:rPr>
          <w:rFonts w:ascii="Calibri" w:hAnsi="Calibri" w:cs="Arial"/>
        </w:rPr>
        <w:t>-</w:t>
      </w:r>
      <w:r w:rsidR="00AA4E41">
        <w:rPr>
          <w:rFonts w:ascii="Calibri" w:hAnsi="Calibri" w:cs="Arial"/>
        </w:rPr>
        <w:t>titre infections</w:t>
      </w:r>
      <w:r w:rsidR="00891909">
        <w:rPr>
          <w:rFonts w:ascii="Calibri" w:hAnsi="Calibri" w:cs="Arial"/>
        </w:rPr>
        <w:t xml:space="preserve"> (RPR </w:t>
      </w:r>
      <w:r w:rsidR="00891909" w:rsidRPr="00CA31BC">
        <w:rPr>
          <w:rFonts w:ascii="Calibri" w:eastAsia="MS Gothic" w:hAnsi="Calibri"/>
          <w:color w:val="000000"/>
        </w:rPr>
        <w:t>≥</w:t>
      </w:r>
      <w:r w:rsidR="00891909">
        <w:rPr>
          <w:rFonts w:ascii="Calibri" w:eastAsia="MS Gothic" w:hAnsi="Calibri"/>
          <w:color w:val="000000"/>
        </w:rPr>
        <w:t>1</w:t>
      </w:r>
      <w:proofErr w:type="gramStart"/>
      <w:r w:rsidR="00891909">
        <w:rPr>
          <w:rFonts w:ascii="Calibri" w:eastAsia="MS Gothic" w:hAnsi="Calibri"/>
          <w:color w:val="000000"/>
        </w:rPr>
        <w:t>:16</w:t>
      </w:r>
      <w:proofErr w:type="gramEnd"/>
      <w:r w:rsidR="00891909">
        <w:rPr>
          <w:rFonts w:ascii="Calibri" w:eastAsia="MS Gothic" w:hAnsi="Calibri"/>
          <w:color w:val="000000"/>
        </w:rPr>
        <w:t xml:space="preserve">) </w:t>
      </w:r>
      <w:r w:rsidR="00AA4E41">
        <w:rPr>
          <w:rFonts w:ascii="Calibri" w:hAnsi="Calibri" w:cs="Arial"/>
        </w:rPr>
        <w:t xml:space="preserve"> (97.5%) but </w:t>
      </w:r>
      <w:r w:rsidR="00EF2D1D">
        <w:rPr>
          <w:rFonts w:ascii="Calibri" w:hAnsi="Calibri" w:cs="Arial"/>
        </w:rPr>
        <w:t xml:space="preserve">lower </w:t>
      </w:r>
      <w:r w:rsidR="00FF6533">
        <w:rPr>
          <w:rFonts w:ascii="Calibri" w:hAnsi="Calibri" w:cs="Arial"/>
        </w:rPr>
        <w:t xml:space="preserve">sensitivity </w:t>
      </w:r>
      <w:r w:rsidR="00AA4E41">
        <w:rPr>
          <w:rFonts w:ascii="Calibri" w:hAnsi="Calibri" w:cs="Arial"/>
        </w:rPr>
        <w:t>for low-ti</w:t>
      </w:r>
      <w:r w:rsidR="00156D3F">
        <w:rPr>
          <w:rFonts w:ascii="Calibri" w:hAnsi="Calibri" w:cs="Arial"/>
        </w:rPr>
        <w:t>t</w:t>
      </w:r>
      <w:r w:rsidR="00AA4E41">
        <w:rPr>
          <w:rFonts w:ascii="Calibri" w:hAnsi="Calibri" w:cs="Arial"/>
        </w:rPr>
        <w:t xml:space="preserve">re active infections (81.0%). </w:t>
      </w:r>
      <w:r w:rsidR="00326A9A">
        <w:rPr>
          <w:rFonts w:ascii="Calibri" w:hAnsi="Calibri" w:cs="Arial"/>
        </w:rPr>
        <w:t xml:space="preserve">Although </w:t>
      </w:r>
      <w:proofErr w:type="spellStart"/>
      <w:r w:rsidR="00326A9A">
        <w:rPr>
          <w:rFonts w:ascii="Calibri" w:hAnsi="Calibri" w:cs="Arial"/>
        </w:rPr>
        <w:t>treponemal</w:t>
      </w:r>
      <w:proofErr w:type="spellEnd"/>
      <w:r w:rsidR="00326A9A">
        <w:rPr>
          <w:rFonts w:ascii="Calibri" w:hAnsi="Calibri" w:cs="Arial"/>
        </w:rPr>
        <w:t xml:space="preserve"> tests are </w:t>
      </w:r>
      <w:r w:rsidR="00FC3DA5">
        <w:rPr>
          <w:rFonts w:ascii="Calibri" w:hAnsi="Calibri" w:cs="Arial"/>
        </w:rPr>
        <w:t>commonly</w:t>
      </w:r>
      <w:r w:rsidR="00326A9A">
        <w:rPr>
          <w:rFonts w:ascii="Calibri" w:hAnsi="Calibri" w:cs="Arial"/>
        </w:rPr>
        <w:t xml:space="preserve"> reported as either positive or negative</w:t>
      </w:r>
      <w:r w:rsidR="0078104F">
        <w:rPr>
          <w:rFonts w:ascii="Calibri" w:hAnsi="Calibri" w:cs="Arial"/>
        </w:rPr>
        <w:t>,</w:t>
      </w:r>
      <w:r w:rsidR="00326A9A">
        <w:rPr>
          <w:rFonts w:ascii="Calibri" w:hAnsi="Calibri" w:cs="Arial"/>
        </w:rPr>
        <w:t xml:space="preserve"> quantitative testing is possible</w:t>
      </w:r>
      <w:r w:rsidR="00FC3DA5">
        <w:rPr>
          <w:rFonts w:ascii="Calibri" w:hAnsi="Calibri" w:cs="Arial"/>
        </w:rPr>
        <w:t xml:space="preserve"> and titres to certain </w:t>
      </w:r>
      <w:proofErr w:type="spellStart"/>
      <w:r w:rsidR="00FC3DA5">
        <w:rPr>
          <w:rFonts w:ascii="Calibri" w:hAnsi="Calibri" w:cs="Arial"/>
        </w:rPr>
        <w:t>treponemal</w:t>
      </w:r>
      <w:proofErr w:type="spellEnd"/>
      <w:r w:rsidR="00FC3DA5">
        <w:rPr>
          <w:rFonts w:ascii="Calibri" w:hAnsi="Calibri" w:cs="Arial"/>
        </w:rPr>
        <w:t xml:space="preserve"> antigens decline following treatment</w:t>
      </w:r>
      <w:r w:rsidR="00131837">
        <w:rPr>
          <w:rFonts w:ascii="Calibri" w:hAnsi="Calibri" w:cs="Arial"/>
        </w:rPr>
        <w:fldChar w:fldCharType="begin"/>
      </w:r>
      <w:r w:rsidR="00832180">
        <w:rPr>
          <w:rFonts w:ascii="Calibri" w:hAnsi="Calibri" w:cs="Arial"/>
        </w:rPr>
        <w:instrText xml:space="preserve"> ADDIN ZOTERO_ITEM CSL_CITATION {"citationID":"n6p62927i","properties":{"formattedCitation":"[19]","plainCitation":"[19]"},"citationItems":[{"id":3651,"uris":["http://zotero.org/users/38820/items/7395R2RV"],"uri":["http://zotero.org/users/38820/items/7395R2RV"],"itemData":{"id":3651,"type":"article-journal","title":"Chronicity of infection with Treponema paraluis-cuniculi in New Zealand white rabbits","container-title":"Genitourinary Medicine","page":"156-164","volume":"61","issue":"3","source":"PubMed","abstract":"Popliteal lymph nodes from eight New Zealand white rabbits with clinical or serological evidence of naturally acquired infection with Treponema paraluis-cuniculi were transferred to rabbits that had not been exposed to this infection. Lymph nodes from two rabbits successfully transmitted infection. The nodes from one of these rabbits transmitted infection during both the acute and chronic stages of infection. Recipients that were successfully infected showed concomitant antibody responses in the Venereal Disease Research Laboratory (VDRL), rapid plasma reagin (RPR), and fluorescent treponemal antibody-absorption (FTA-ABS) tests six to 10 weeks after inoculation; recipients of uninfected nodes showed no change in serological state. Antibody responses were followed by the development of dark field positive genital lesions 14 to 15 weeks after inoculation.","ISSN":"0266-4348","note":"PMID: 3891583\nPMCID: PMC1011794","journalAbbreviation":"Genitourin Med","language":"eng","author":[{"family":"DiGiacomo","given":"R. F."},{"family":"Lukehart","given":"S. A."},{"family":"Talburt","given":"C. D."},{"family":"Baker-Zander","given":"S. A."},{"family":"Giddens","given":"W. E."},{"family":"Condon","given":"J."},{"family":"Brown","given":"C. W."}],"issued":{"date-parts":[["1985",6]]},"PMID":"3891583","PMCID":"PMC1011794"}}],"schema":"https://github.com/citation-style-language/schema/raw/master/csl-citation.json"} </w:instrText>
      </w:r>
      <w:r w:rsidR="00131837">
        <w:rPr>
          <w:rFonts w:ascii="Calibri" w:hAnsi="Calibri" w:cs="Arial"/>
        </w:rPr>
        <w:fldChar w:fldCharType="separate"/>
      </w:r>
      <w:r w:rsidR="00832180">
        <w:rPr>
          <w:rFonts w:ascii="Calibri" w:hAnsi="Calibri"/>
          <w:lang w:val="en-US"/>
        </w:rPr>
        <w:t>[19]</w:t>
      </w:r>
      <w:r w:rsidR="00131837">
        <w:rPr>
          <w:rFonts w:ascii="Calibri" w:hAnsi="Calibri" w:cs="Arial"/>
        </w:rPr>
        <w:fldChar w:fldCharType="end"/>
      </w:r>
      <w:r w:rsidR="00EE264D">
        <w:rPr>
          <w:rFonts w:ascii="Calibri" w:hAnsi="Calibri" w:cs="Arial"/>
        </w:rPr>
        <w:t xml:space="preserve">  and i</w:t>
      </w:r>
      <w:r w:rsidR="00326A9A">
        <w:rPr>
          <w:rFonts w:ascii="Calibri" w:hAnsi="Calibri" w:cs="Arial"/>
        </w:rPr>
        <w:t>t is likely that the</w:t>
      </w:r>
      <w:r w:rsidR="00EE264D">
        <w:rPr>
          <w:rFonts w:ascii="Calibri" w:hAnsi="Calibri" w:cs="Arial"/>
        </w:rPr>
        <w:t>se findings reflect</w:t>
      </w:r>
      <w:r w:rsidR="00326A9A">
        <w:rPr>
          <w:rFonts w:ascii="Calibri" w:hAnsi="Calibri" w:cs="Arial"/>
        </w:rPr>
        <w:t xml:space="preserve"> an overall reduced sensitivity of the RDT at lower antibody titres.</w:t>
      </w:r>
      <w:r w:rsidR="00EE264D">
        <w:rPr>
          <w:rFonts w:ascii="Calibri" w:hAnsi="Calibri" w:cs="Arial"/>
        </w:rPr>
        <w:t xml:space="preserve"> As a result some low titre positive patients may be missed when using the DPP-RDT.</w:t>
      </w:r>
      <w:r w:rsidR="00F1793D">
        <w:rPr>
          <w:rFonts w:ascii="Calibri" w:hAnsi="Calibri" w:cs="Arial"/>
        </w:rPr>
        <w:t xml:space="preserve"> As the DPP-RDT is designed to be used as a point-of-care test the lower sensitivity noted when testing serum samples may be of less clinical relevance</w:t>
      </w:r>
      <w:r w:rsidR="00B75947">
        <w:rPr>
          <w:rFonts w:ascii="Calibri" w:hAnsi="Calibri" w:cs="Arial"/>
        </w:rPr>
        <w:t>,</w:t>
      </w:r>
      <w:r w:rsidR="00F1793D">
        <w:rPr>
          <w:rFonts w:ascii="Calibri" w:hAnsi="Calibri" w:cs="Arial"/>
        </w:rPr>
        <w:t xml:space="preserve"> but clinicians should be aware of this when considering how to roll-out rapid diagnostic testing.</w:t>
      </w:r>
    </w:p>
    <w:p w14:paraId="00C4FCD2" w14:textId="77777777" w:rsidR="00AA4E41" w:rsidRDefault="00AA4E41" w:rsidP="00FD2CAB">
      <w:pPr>
        <w:rPr>
          <w:rFonts w:ascii="Calibri" w:hAnsi="Calibri" w:cs="Arial"/>
        </w:rPr>
      </w:pPr>
    </w:p>
    <w:p w14:paraId="2023C734" w14:textId="40EC7D42" w:rsidR="00AA4E41" w:rsidRDefault="00AA4E41" w:rsidP="00FD2CAB">
      <w:pPr>
        <w:rPr>
          <w:rFonts w:ascii="Calibri" w:hAnsi="Calibri" w:cs="Arial"/>
        </w:rPr>
      </w:pPr>
      <w:r>
        <w:rPr>
          <w:rFonts w:ascii="Calibri" w:hAnsi="Calibri" w:cs="Arial"/>
        </w:rPr>
        <w:t xml:space="preserve">Improved screening of women attending antenatal care for syphilis is a priority intervention to reduce the mortality and morbidity associated with </w:t>
      </w:r>
      <w:r w:rsidR="000773DF">
        <w:rPr>
          <w:rFonts w:ascii="Calibri" w:hAnsi="Calibri" w:cs="Arial"/>
        </w:rPr>
        <w:t>mother-to-child transmission of</w:t>
      </w:r>
      <w:r>
        <w:rPr>
          <w:rFonts w:ascii="Calibri" w:hAnsi="Calibri" w:cs="Arial"/>
        </w:rPr>
        <w:t xml:space="preserve"> syphilis. </w:t>
      </w:r>
      <w:r w:rsidR="00EF2D1D">
        <w:rPr>
          <w:rFonts w:ascii="Calibri" w:hAnsi="Calibri" w:cs="Arial"/>
        </w:rPr>
        <w:t xml:space="preserve">Adverse pregnancy outcomes due to syphilis are almost all </w:t>
      </w:r>
      <w:r w:rsidR="00027BAF">
        <w:rPr>
          <w:rFonts w:ascii="Calibri" w:hAnsi="Calibri" w:cs="Arial"/>
        </w:rPr>
        <w:t>seen in mothers with an</w:t>
      </w:r>
      <w:r w:rsidR="00EF2D1D">
        <w:rPr>
          <w:rFonts w:ascii="Calibri" w:hAnsi="Calibri" w:cs="Arial"/>
        </w:rPr>
        <w:t xml:space="preserve"> RPR titre</w:t>
      </w:r>
      <w:r w:rsidR="00027BAF">
        <w:rPr>
          <w:rFonts w:ascii="Calibri" w:hAnsi="Calibri" w:cs="Arial"/>
        </w:rPr>
        <w:t xml:space="preserve"> </w:t>
      </w:r>
      <w:r w:rsidR="00027BAF" w:rsidRPr="002859BE">
        <w:rPr>
          <w:rFonts w:ascii="Calibri" w:eastAsia="MS Gothic" w:hAnsi="Calibri"/>
          <w:color w:val="000000"/>
        </w:rPr>
        <w:t>≥RPR</w:t>
      </w:r>
      <w:r w:rsidR="00EF2D1D">
        <w:rPr>
          <w:rFonts w:ascii="Calibri" w:hAnsi="Calibri" w:cs="Arial"/>
        </w:rPr>
        <w:t xml:space="preserve"> in the mother</w:t>
      </w:r>
      <w:r w:rsidR="00131837">
        <w:rPr>
          <w:rFonts w:ascii="Calibri" w:hAnsi="Calibri" w:cs="Arial"/>
        </w:rPr>
        <w:fldChar w:fldCharType="begin"/>
      </w:r>
      <w:r w:rsidR="00832180">
        <w:rPr>
          <w:rFonts w:ascii="Calibri" w:hAnsi="Calibri" w:cs="Arial"/>
        </w:rPr>
        <w:instrText xml:space="preserve"> ADDIN ZOTERO_ITEM CSL_CITATION {"citationID":"cpj4mlr1b","properties":{"formattedCitation":"[20]","plainCitation":"[20]"},"citationItems":[{"id":3654,"uris":["http://zotero.org/users/38820/items/C8G6E9PE"],"uri":["http://zotero.org/users/38820/items/C8G6E9PE"],"itemData":{"id":3654,"type":"article-journal","title":"Syphilis in pregnancy in Tanzania. I. Impact of maternal syphilis on outcome of pregnancy","container-title":"The Journal of Infectious Diseases","page":"940-947","volume":"186","issue":"7","source":"PubMed","abstract":"To measure the impact of maternal syphilis on pregnancy outcome in the Mwanza Region of Tanzania, 380 previously unscreened pregnant women were recruited into a retrospective cohort at delivery and tested for syphilis. Stillbirth was observed in 18 (25%) of 73 women with high-titer active syphilis (i.e., women with a rapid plasma reagin titer &gt; or = 1 :8 and a positive Treponema pallidum hemagglutination assay or indirect fluorescent treponemal antibody test result), compared with 3 (1%) of 233 uninfected women (risk ratio [RR], 18.1; P&lt;.001). Women with high-titer active syphilis were also at the greatest risk of having low-birth-weight or preterm live births (RR, 3.0 and 6.1, respectively), compared with women with other serological stages of syphilis. Among unscreened women, 51% of stillbirths, 24% of preterm live births, and 17% of all adverse pregnancy outcomes were attributable to maternal syphilis. Syphilis continues to be a major cause of pregnancy loss and adverse pregnancy outcome among women who do not receive antenatal syphilis screening and treatment.","DOI":"10.1086/342952","ISSN":"0022-1899","note":"PMID: 12232834","journalAbbreviation":"J. Infect. Dis.","language":"eng","author":[{"family":"Watson-Jones","given":"Deborah"},{"family":"Changalucha","given":"John"},{"family":"Gumodoka","given":"Balthazar"},{"family":"Weiss","given":"Helen"},{"family":"Rusizoka","given":"Mary"},{"family":"Ndeki","given":"Leonard"},{"family":"Whitehouse","given":"Anne"},{"family":"Balira","given":"Rebecca"},{"family":"Todd","given":"James"},{"family":"Ngeleja","given":"Donatila"},{"family":"Ross","given":"David"},{"family":"Buvé","given":"Anne"},{"family":"Hayes","given":"Richard"},{"family":"Mabey","given":"David"}],"issued":{"date-parts":[["2002",10,1]]},"PMID":"12232834"}}],"schema":"https://github.com/citation-style-language/schema/raw/master/csl-citation.json"} </w:instrText>
      </w:r>
      <w:r w:rsidR="00131837">
        <w:rPr>
          <w:rFonts w:ascii="Calibri" w:hAnsi="Calibri" w:cs="Arial"/>
        </w:rPr>
        <w:fldChar w:fldCharType="separate"/>
      </w:r>
      <w:r w:rsidR="00832180">
        <w:rPr>
          <w:rFonts w:ascii="Calibri" w:hAnsi="Calibri"/>
          <w:lang w:val="en-US"/>
        </w:rPr>
        <w:t>[20]</w:t>
      </w:r>
      <w:r w:rsidR="00131837">
        <w:rPr>
          <w:rFonts w:ascii="Calibri" w:hAnsi="Calibri" w:cs="Arial"/>
        </w:rPr>
        <w:fldChar w:fldCharType="end"/>
      </w:r>
      <w:r w:rsidR="00EC4C64">
        <w:rPr>
          <w:rFonts w:ascii="Calibri" w:hAnsi="Calibri" w:cs="Arial"/>
        </w:rPr>
        <w:t xml:space="preserve">, </w:t>
      </w:r>
      <w:r w:rsidR="00EF2D1D">
        <w:rPr>
          <w:rFonts w:ascii="Calibri" w:hAnsi="Calibri" w:cs="Arial"/>
        </w:rPr>
        <w:t>and our findings confirm that the DPP RDT has a high sensitivity in this group (97.</w:t>
      </w:r>
      <w:r w:rsidR="00AA4888">
        <w:rPr>
          <w:rFonts w:ascii="Calibri" w:hAnsi="Calibri" w:cs="Arial"/>
        </w:rPr>
        <w:t>6</w:t>
      </w:r>
      <w:r w:rsidR="00EF2D1D">
        <w:rPr>
          <w:rFonts w:ascii="Calibri" w:hAnsi="Calibri" w:cs="Arial"/>
        </w:rPr>
        <w:t xml:space="preserve">%). </w:t>
      </w:r>
      <w:r w:rsidR="000773DF">
        <w:rPr>
          <w:rFonts w:ascii="Calibri" w:hAnsi="Calibri" w:cs="Arial"/>
        </w:rPr>
        <w:t xml:space="preserve">Adoption of the DPP assay as the basis for treatment decisions would therefore be likely to detect a high proportion of active infections. Conversely, it would reduce the number of women having unnecessary treatment, as around half of those with past, treated infection would show up as negative on the test, compared to positive on a standard </w:t>
      </w:r>
      <w:proofErr w:type="spellStart"/>
      <w:r w:rsidR="000773DF">
        <w:rPr>
          <w:rFonts w:ascii="Calibri" w:hAnsi="Calibri" w:cs="Arial"/>
        </w:rPr>
        <w:t>treponemal</w:t>
      </w:r>
      <w:proofErr w:type="spellEnd"/>
      <w:r w:rsidR="000773DF">
        <w:rPr>
          <w:rFonts w:ascii="Calibri" w:hAnsi="Calibri" w:cs="Arial"/>
        </w:rPr>
        <w:t xml:space="preserve"> only RDT. </w:t>
      </w:r>
      <w:r w:rsidR="00C44BF6">
        <w:rPr>
          <w:rFonts w:ascii="Calibri" w:hAnsi="Calibri" w:cs="Arial"/>
        </w:rPr>
        <w:t xml:space="preserve">This study was not designed to assess the cost-effectiveness of a </w:t>
      </w:r>
      <w:r w:rsidR="005D6317">
        <w:rPr>
          <w:rFonts w:ascii="Calibri" w:hAnsi="Calibri" w:cs="Arial"/>
        </w:rPr>
        <w:t xml:space="preserve">combined </w:t>
      </w:r>
      <w:proofErr w:type="spellStart"/>
      <w:r w:rsidR="005D6317">
        <w:rPr>
          <w:rFonts w:ascii="Calibri" w:hAnsi="Calibri" w:cs="Arial"/>
        </w:rPr>
        <w:t>treponemal</w:t>
      </w:r>
      <w:proofErr w:type="spellEnd"/>
      <w:r w:rsidR="005D6317">
        <w:rPr>
          <w:rFonts w:ascii="Calibri" w:hAnsi="Calibri" w:cs="Arial"/>
        </w:rPr>
        <w:t xml:space="preserve"> and non-</w:t>
      </w:r>
      <w:proofErr w:type="spellStart"/>
      <w:r w:rsidR="005D6317">
        <w:rPr>
          <w:rFonts w:ascii="Calibri" w:hAnsi="Calibri" w:cs="Arial"/>
        </w:rPr>
        <w:t>treponemal</w:t>
      </w:r>
      <w:proofErr w:type="spellEnd"/>
      <w:r w:rsidR="00C44BF6">
        <w:rPr>
          <w:rFonts w:ascii="Calibri" w:hAnsi="Calibri" w:cs="Arial"/>
        </w:rPr>
        <w:t xml:space="preserve"> RDT</w:t>
      </w:r>
      <w:r w:rsidR="00156D3F">
        <w:rPr>
          <w:rFonts w:ascii="Calibri" w:hAnsi="Calibri" w:cs="Arial"/>
        </w:rPr>
        <w:t>,</w:t>
      </w:r>
      <w:r w:rsidR="00C44BF6">
        <w:rPr>
          <w:rFonts w:ascii="Calibri" w:hAnsi="Calibri" w:cs="Arial"/>
        </w:rPr>
        <w:t xml:space="preserve"> but other studies have shown that this is highly dependent on both the prevalence of disease and the cost of the RDT</w:t>
      </w:r>
      <w:r w:rsidR="00131837">
        <w:rPr>
          <w:rFonts w:ascii="Calibri" w:hAnsi="Calibri" w:cs="Arial"/>
        </w:rPr>
        <w:fldChar w:fldCharType="begin"/>
      </w:r>
      <w:r w:rsidR="00832180">
        <w:rPr>
          <w:rFonts w:ascii="Calibri" w:hAnsi="Calibri" w:cs="Arial"/>
        </w:rPr>
        <w:instrText xml:space="preserve"> ADDIN ZOTERO_ITEM CSL_CITATION {"citationID":"1q099rbsl1","properties":{"formattedCitation":"[21]","plainCitation":"[21]"},"citationItems":[{"id":3622,"uris":["http://zotero.org/users/38820/items/NN53ER3P"],"uri":["http://zotero.org/users/38820/items/NN53ER3P"],"itemData":{"id":3622,"type":"article-journal","title":"The cost-effectiveness of 10 antenatal syphilis screening and treatment approaches in Peru, Tanzania, and Zambia","container-title":"International Journal of Gynaecology and Obstetrics: The Official Organ of the International Federation of Gynaecology and Obstetrics","page":"S73-80","volume":"130 Suppl 1","source":"PubMed","abstract":"OBJECTIVE: Rapid plasma reagin (RPR) is frequently used to test women for maternal syphilis. Rapid syphilis immunochromatographic strip tests detecting only Treponema pallidum antibodies (single RSTs) or both treponemal and non-treponemal antibodies (dual RSTs) are now available. This study assessed the cost-effectiveness of algorithms using these tests to screen pregnant women.\nMETHODS: Observed costs of maternal syphilis screening and treatment using clinic-based RPR and single RSTs in 20 clinics across Peru, Tanzania, and Zambia were used to model the cost-effectiveness of algorithms using combinations of RPR, single, and dual RSTs, and no and mass treatment. Sensitivity analyses determined drivers of key results.\nRESULTS: Although this analysis found screening using RPR to be relatively cheap, most (&gt;70%) true cases went untreated. Algorithms using single RSTs were the most cost-effective in all observed settings, followed by dual RSTs, which became the most cost-effective if dual RST costs were halved. Single test algorithms dominated most sequential testing algorithms, although sequential algorithms reduced overtreatment. Mass treatment was relatively cheap and effective in the absence of screening supplies, though treated many uninfected women.\nCONCLUSION: This analysis highlights the advantages of introducing RSTs in three diverse settings. The results should be applicable to other similar settings.","DOI":"10.1016/j.ijgo.2015.04.007","ISSN":"1879-3479","note":"PMID: 25963907","journalAbbreviation":"Int J Gynaecol Obstet","language":"eng","author":[{"family":"Terris-Prestholt","given":"Fern"},{"family":"Vickerman","given":"Peter"},{"family":"Torres-Rueda","given":"Sergio"},{"family":"Santesso","given":"Nancy"},{"family":"Sweeney","given":"Sedona"},{"family":"Mallma","given":"Patricia"},{"family":"Shelley","given":"Katharine D."},{"family":"Garcia","given":"Patricia J."},{"family":"Bronzan","given":"Rachel"},{"family":"Gill","given":"Michelle M."},{"family":"Broutet","given":"Nathalie"},{"family":"Wi","given":"Teodora"},{"family":"Watts","given":"Charlotte"},{"family":"Mabey","given":"David"},{"family":"Peeling","given":"Rosanna W."},{"family":"Newman","given":"Lori"}],"issued":{"date-parts":[["2015",6]]},"PMID":"25963907"}}],"schema":"https://github.com/citation-style-language/schema/raw/master/csl-citation.json"} </w:instrText>
      </w:r>
      <w:r w:rsidR="00131837">
        <w:rPr>
          <w:rFonts w:ascii="Calibri" w:hAnsi="Calibri" w:cs="Arial"/>
        </w:rPr>
        <w:fldChar w:fldCharType="separate"/>
      </w:r>
      <w:r w:rsidR="00832180">
        <w:rPr>
          <w:rFonts w:ascii="Calibri" w:hAnsi="Calibri"/>
          <w:lang w:val="en-US"/>
        </w:rPr>
        <w:t>[21]</w:t>
      </w:r>
      <w:r w:rsidR="00131837">
        <w:rPr>
          <w:rFonts w:ascii="Calibri" w:hAnsi="Calibri" w:cs="Arial"/>
        </w:rPr>
        <w:fldChar w:fldCharType="end"/>
      </w:r>
      <w:r w:rsidR="000773DF">
        <w:rPr>
          <w:rFonts w:ascii="Calibri" w:hAnsi="Calibri" w:cs="Arial"/>
        </w:rPr>
        <w:t xml:space="preserve">. A number of RDTs used for </w:t>
      </w:r>
      <w:proofErr w:type="spellStart"/>
      <w:r w:rsidR="000773DF">
        <w:rPr>
          <w:rFonts w:ascii="Calibri" w:hAnsi="Calibri" w:cs="Arial"/>
        </w:rPr>
        <w:t>antental</w:t>
      </w:r>
      <w:proofErr w:type="spellEnd"/>
      <w:r w:rsidR="000773DF">
        <w:rPr>
          <w:rFonts w:ascii="Calibri" w:hAnsi="Calibri" w:cs="Arial"/>
        </w:rPr>
        <w:t xml:space="preserve"> settings also now combine a </w:t>
      </w:r>
      <w:proofErr w:type="spellStart"/>
      <w:r w:rsidR="000773DF">
        <w:rPr>
          <w:rFonts w:ascii="Calibri" w:hAnsi="Calibri" w:cs="Arial"/>
        </w:rPr>
        <w:t>treponemal</w:t>
      </w:r>
      <w:proofErr w:type="spellEnd"/>
      <w:r w:rsidR="000773DF">
        <w:rPr>
          <w:rFonts w:ascii="Calibri" w:hAnsi="Calibri" w:cs="Arial"/>
        </w:rPr>
        <w:t xml:space="preserve"> test and an HIV test</w:t>
      </w:r>
      <w:r w:rsidR="00131837">
        <w:rPr>
          <w:rFonts w:ascii="Calibri" w:hAnsi="Calibri" w:cs="Arial"/>
        </w:rPr>
        <w:fldChar w:fldCharType="begin"/>
      </w:r>
      <w:r w:rsidR="00832180">
        <w:rPr>
          <w:rFonts w:ascii="Calibri" w:hAnsi="Calibri" w:cs="Arial"/>
        </w:rPr>
        <w:instrText xml:space="preserve"> ADDIN ZOTERO_ITEM CSL_CITATION {"citationID":"12o93c2fad","properties":{"formattedCitation":"[22]","plainCitation":"[22]"},"citationItems":[{"id":3620,"uris":["http://zotero.org/users/38820/items/AAWDETA5"],"uri":["http://zotero.org/users/38820/items/AAWDETA5"],"itemData":{"id":3620,"type":"article-journal","title":"Laboratory evaluation of three dual rapid diagnostic tests for HIV and syphilis in China and Nigeria","container-title":"International Journal of Gynecology &amp; Obstetrics","page":"S22-S26","volume":"130","source":"CrossRef","DOI":"10.1016/j.ijgo.2015.04.004","ISSN":"00207292","language":"en","author":[{"family":"Yin","given":"Yue-Ping"},{"family":"Ngige","given":"Evelyn"},{"family":"Anyaike","given":"Chukwuma"},{"family":"Ijaodola","given":"Gbenga"},{"family":"Oyelade","given":"Taiwo A."},{"family":"Vaz","given":"Rui Gama"},{"family":"Newman","given":"Lori M."},{"family":"Chen","given":"Xiang-Sheng"}],"issued":{"date-parts":[["2015",6]]}}}],"schema":"https://github.com/citation-style-language/schema/raw/master/csl-citation.json"} </w:instrText>
      </w:r>
      <w:r w:rsidR="00131837">
        <w:rPr>
          <w:rFonts w:ascii="Calibri" w:hAnsi="Calibri" w:cs="Arial"/>
        </w:rPr>
        <w:fldChar w:fldCharType="separate"/>
      </w:r>
      <w:r w:rsidR="00832180">
        <w:rPr>
          <w:rFonts w:ascii="Calibri" w:hAnsi="Calibri"/>
          <w:lang w:val="en-US"/>
        </w:rPr>
        <w:t>[22]</w:t>
      </w:r>
      <w:r w:rsidR="00131837">
        <w:rPr>
          <w:rFonts w:ascii="Calibri" w:hAnsi="Calibri" w:cs="Arial"/>
        </w:rPr>
        <w:fldChar w:fldCharType="end"/>
      </w:r>
      <w:r w:rsidR="000773DF">
        <w:rPr>
          <w:rFonts w:ascii="Calibri" w:hAnsi="Calibri" w:cs="Arial"/>
        </w:rPr>
        <w:t xml:space="preserve"> and the decision about the correct RDT </w:t>
      </w:r>
      <w:r w:rsidR="000773DF">
        <w:rPr>
          <w:rFonts w:ascii="Calibri" w:hAnsi="Calibri" w:cs="Arial"/>
        </w:rPr>
        <w:lastRenderedPageBreak/>
        <w:t>selection and testing strategy is likely to vary between countries</w:t>
      </w:r>
      <w:r w:rsidR="00156D3F">
        <w:rPr>
          <w:rFonts w:ascii="Calibri" w:hAnsi="Calibri" w:cs="Arial"/>
        </w:rPr>
        <w:t>,</w:t>
      </w:r>
      <w:r w:rsidR="000773DF">
        <w:rPr>
          <w:rFonts w:ascii="Calibri" w:hAnsi="Calibri" w:cs="Arial"/>
        </w:rPr>
        <w:t xml:space="preserve"> depending on the prevalence of </w:t>
      </w:r>
      <w:r w:rsidR="005D6317">
        <w:rPr>
          <w:rFonts w:ascii="Calibri" w:hAnsi="Calibri" w:cs="Arial"/>
        </w:rPr>
        <w:t xml:space="preserve">syphilis, yaws and HIV </w:t>
      </w:r>
      <w:r w:rsidR="000773DF">
        <w:rPr>
          <w:rFonts w:ascii="Calibri" w:hAnsi="Calibri" w:cs="Arial"/>
        </w:rPr>
        <w:t>and the cost and availability of the RDTs.</w:t>
      </w:r>
    </w:p>
    <w:p w14:paraId="179DD13D" w14:textId="77777777" w:rsidR="000773DF" w:rsidRDefault="000773DF" w:rsidP="00FD2CAB">
      <w:pPr>
        <w:rPr>
          <w:rFonts w:ascii="Calibri" w:hAnsi="Calibri" w:cs="Arial"/>
        </w:rPr>
      </w:pPr>
    </w:p>
    <w:p w14:paraId="1C70CABF" w14:textId="2E439BF2" w:rsidR="00AA4E41" w:rsidRPr="00CA31BC" w:rsidRDefault="00FC3DA5" w:rsidP="00FD2CAB">
      <w:pPr>
        <w:rPr>
          <w:rFonts w:ascii="Calibri" w:hAnsi="Calibri" w:cs="Arial"/>
        </w:rPr>
      </w:pPr>
      <w:r>
        <w:rPr>
          <w:rFonts w:ascii="Calibri" w:hAnsi="Calibri" w:cs="Arial"/>
        </w:rPr>
        <w:t>C</w:t>
      </w:r>
      <w:r w:rsidR="00D4425D">
        <w:rPr>
          <w:rFonts w:ascii="Calibri" w:hAnsi="Calibri" w:cs="Arial"/>
        </w:rPr>
        <w:t>linical diagnosis</w:t>
      </w:r>
      <w:r>
        <w:rPr>
          <w:rFonts w:ascii="Calibri" w:hAnsi="Calibri" w:cs="Arial"/>
        </w:rPr>
        <w:t xml:space="preserve"> alone</w:t>
      </w:r>
      <w:r w:rsidR="00D4425D">
        <w:rPr>
          <w:rFonts w:ascii="Calibri" w:hAnsi="Calibri" w:cs="Arial"/>
        </w:rPr>
        <w:t xml:space="preserve"> of yaws does not have a high predictive value and the addition of a rapid diagnostic test would be a significant advantage. </w:t>
      </w:r>
      <w:r w:rsidR="00AA4E41">
        <w:rPr>
          <w:rFonts w:ascii="Calibri" w:hAnsi="Calibri" w:cs="Arial"/>
        </w:rPr>
        <w:t>In this meta-analysis the DPP</w:t>
      </w:r>
      <w:r w:rsidR="00423CEE">
        <w:rPr>
          <w:rFonts w:ascii="Calibri" w:hAnsi="Calibri" w:cs="Arial"/>
        </w:rPr>
        <w:t>-RDT</w:t>
      </w:r>
      <w:r w:rsidR="00AA4E41">
        <w:rPr>
          <w:rFonts w:ascii="Calibri" w:hAnsi="Calibri" w:cs="Arial"/>
        </w:rPr>
        <w:t xml:space="preserve"> performed better in patients with suspected syphilis than in those with suspected yaws. This finding was explained predominantly by the lower </w:t>
      </w:r>
      <w:r w:rsidR="00EF2D1D">
        <w:rPr>
          <w:rFonts w:ascii="Calibri" w:hAnsi="Calibri" w:cs="Arial"/>
        </w:rPr>
        <w:t xml:space="preserve">sensitivity </w:t>
      </w:r>
      <w:r w:rsidR="00AA4E41">
        <w:rPr>
          <w:rFonts w:ascii="Calibri" w:hAnsi="Calibri" w:cs="Arial"/>
        </w:rPr>
        <w:t xml:space="preserve">in </w:t>
      </w:r>
      <w:r w:rsidR="00EF2D1D">
        <w:rPr>
          <w:rFonts w:ascii="Calibri" w:hAnsi="Calibri" w:cs="Arial"/>
        </w:rPr>
        <w:t xml:space="preserve">yaws patients with </w:t>
      </w:r>
      <w:r w:rsidR="00AA4E41">
        <w:rPr>
          <w:rFonts w:ascii="Calibri" w:hAnsi="Calibri" w:cs="Arial"/>
        </w:rPr>
        <w:t>low titre</w:t>
      </w:r>
      <w:r w:rsidR="00EF2D1D">
        <w:rPr>
          <w:rFonts w:ascii="Calibri" w:hAnsi="Calibri" w:cs="Arial"/>
        </w:rPr>
        <w:t>s.</w:t>
      </w:r>
      <w:r w:rsidR="00AA4E41">
        <w:rPr>
          <w:rFonts w:ascii="Calibri" w:hAnsi="Calibri" w:cs="Arial"/>
        </w:rPr>
        <w:t xml:space="preserve"> </w:t>
      </w:r>
      <w:r w:rsidR="00685F67">
        <w:rPr>
          <w:rFonts w:ascii="Calibri" w:hAnsi="Calibri" w:cs="Arial"/>
        </w:rPr>
        <w:t>Although lower titres are often found in patients with yaws compared to those with syphilis</w:t>
      </w:r>
      <w:r w:rsidR="00131837">
        <w:rPr>
          <w:rFonts w:ascii="Calibri" w:hAnsi="Calibri" w:cs="Arial"/>
        </w:rPr>
        <w:fldChar w:fldCharType="begin"/>
      </w:r>
      <w:r w:rsidR="00832180">
        <w:rPr>
          <w:rFonts w:ascii="Calibri" w:hAnsi="Calibri" w:cs="Arial"/>
        </w:rPr>
        <w:instrText xml:space="preserve"> ADDIN ZOTERO_ITEM CSL_CITATION {"citationID":"1lgpn8h5ss","properties":{"formattedCitation":"[23]","plainCitation":"[23]"},"citationItems":[{"id":770,"uris":["http://zotero.org/users/38820/items/Q635XQ82"],"uri":["http://zotero.org/users/38820/items/Q635XQ82"],"itemData":{"id":770,"type":"article-journal","title":"Yaws","container-title":"Lancet","page":"763-773","volume":"381","issue":"9868","source":"NCBI PubMed","abstract":"Yaws is an infectious disease caused by Treponema pallidum pertenue-a bacterium that closely resembles the causative agent of syphilis-and is spread by skin-to-skin contact in humid tropical regions. Yaws causes disfiguring, and sometimes painful lesions of the skin and bones. As with syphilis, clinical manifestations can be divided into three stages; however, unlike syphilis, mother-to-child transmission does not occur. A major campaign to eradicate yaws in the 1950s and 1960s, by mass treatment of affected communities with longacting, injectable penicillin, reduced the number of cases by 95% worldwide, but yaws has reappeared in recent years in Africa, Asia, and the western Pacific. In 2012, one oral dose of azithromycin was shown to be as effective as intramuscular penicillin in the treatment of the disease, and WHO launched a new initiative to eradicate yaws by 2020.","DOI":"10.1016/S0140-6736(12)62130-8","ISSN":"1474-547X","note":"PMID: 23415015","journalAbbreviation":"Lancet","author":[{"family":"Mitjà","given":"Oriol"},{"family":"Asiedu","given":"Kingsley"},{"family":"Mabey","given":"David"}],"issued":{"date-parts":[["2013",3,2]]},"PMID":"23415015"}}],"schema":"https://github.com/citation-style-language/schema/raw/master/csl-citation.json"} </w:instrText>
      </w:r>
      <w:r w:rsidR="00131837">
        <w:rPr>
          <w:rFonts w:ascii="Calibri" w:hAnsi="Calibri" w:cs="Arial"/>
        </w:rPr>
        <w:fldChar w:fldCharType="separate"/>
      </w:r>
      <w:r w:rsidR="00832180">
        <w:rPr>
          <w:rFonts w:ascii="Calibri" w:hAnsi="Calibri"/>
          <w:lang w:val="en-US"/>
        </w:rPr>
        <w:t>[23]</w:t>
      </w:r>
      <w:r w:rsidR="00131837">
        <w:rPr>
          <w:rFonts w:ascii="Calibri" w:hAnsi="Calibri" w:cs="Arial"/>
        </w:rPr>
        <w:fldChar w:fldCharType="end"/>
      </w:r>
      <w:r w:rsidR="00EF2D1D">
        <w:rPr>
          <w:rFonts w:ascii="Calibri" w:hAnsi="Calibri" w:cs="Arial"/>
        </w:rPr>
        <w:t xml:space="preserve">, it </w:t>
      </w:r>
      <w:r w:rsidR="00685F67">
        <w:rPr>
          <w:rFonts w:ascii="Calibri" w:hAnsi="Calibri" w:cs="Arial"/>
        </w:rPr>
        <w:t xml:space="preserve">is unclear why the test performance should be worse in patients with yaws when controlling for antibody titre. </w:t>
      </w:r>
      <w:r w:rsidR="00AA4E41">
        <w:rPr>
          <w:rFonts w:ascii="Calibri" w:hAnsi="Calibri" w:cs="Arial"/>
        </w:rPr>
        <w:t>These findings suggest that the DPP</w:t>
      </w:r>
      <w:r w:rsidR="00423CEE">
        <w:rPr>
          <w:rFonts w:ascii="Calibri" w:hAnsi="Calibri" w:cs="Arial"/>
        </w:rPr>
        <w:t>-</w:t>
      </w:r>
      <w:r w:rsidR="00AA4E41">
        <w:rPr>
          <w:rFonts w:ascii="Calibri" w:hAnsi="Calibri" w:cs="Arial"/>
        </w:rPr>
        <w:t>RDT may be adequate in pre-mass treatment campaigns when there are many active cases with high titre disease but that</w:t>
      </w:r>
      <w:r w:rsidR="00156D3F">
        <w:rPr>
          <w:rFonts w:ascii="Calibri" w:hAnsi="Calibri" w:cs="Arial"/>
        </w:rPr>
        <w:t>,</w:t>
      </w:r>
      <w:r w:rsidR="00AA4E41">
        <w:rPr>
          <w:rFonts w:ascii="Calibri" w:hAnsi="Calibri" w:cs="Arial"/>
        </w:rPr>
        <w:t xml:space="preserve"> as the number of active cases declines</w:t>
      </w:r>
      <w:r w:rsidR="00156D3F">
        <w:rPr>
          <w:rFonts w:ascii="Calibri" w:hAnsi="Calibri" w:cs="Arial"/>
        </w:rPr>
        <w:t>,</w:t>
      </w:r>
      <w:r w:rsidR="00AA4E41">
        <w:rPr>
          <w:rFonts w:ascii="Calibri" w:hAnsi="Calibri" w:cs="Arial"/>
        </w:rPr>
        <w:t xml:space="preserve"> it may be necessary to utilise a different testing strategy, either </w:t>
      </w:r>
      <w:r w:rsidR="00423CEE">
        <w:rPr>
          <w:rFonts w:ascii="Calibri" w:hAnsi="Calibri" w:cs="Arial"/>
        </w:rPr>
        <w:t xml:space="preserve">using </w:t>
      </w:r>
      <w:r w:rsidR="00AA4E41">
        <w:rPr>
          <w:rFonts w:ascii="Calibri" w:hAnsi="Calibri" w:cs="Arial"/>
        </w:rPr>
        <w:t>repeated testing or adoption of an alternative test with a higher sensitivity for low-titre disease.</w:t>
      </w:r>
    </w:p>
    <w:p w14:paraId="2E1EB859" w14:textId="77777777" w:rsidR="001E7FB2" w:rsidRDefault="001E7FB2" w:rsidP="00FD2CAB">
      <w:pPr>
        <w:rPr>
          <w:rFonts w:ascii="Calibri" w:hAnsi="Calibri" w:cs="Arial"/>
        </w:rPr>
      </w:pPr>
    </w:p>
    <w:p w14:paraId="6B92FDF1" w14:textId="4B8E32CE" w:rsidR="00A21C40" w:rsidRDefault="000773DF" w:rsidP="00FD2CAB">
      <w:pPr>
        <w:rPr>
          <w:rFonts w:ascii="Calibri" w:hAnsi="Calibri" w:cs="Arial"/>
        </w:rPr>
      </w:pPr>
      <w:r>
        <w:rPr>
          <w:rFonts w:ascii="Calibri" w:hAnsi="Calibri" w:cs="Arial"/>
        </w:rPr>
        <w:t xml:space="preserve">A </w:t>
      </w:r>
      <w:r w:rsidR="002622C1">
        <w:rPr>
          <w:rFonts w:ascii="Calibri" w:hAnsi="Calibri" w:cs="Arial"/>
        </w:rPr>
        <w:t xml:space="preserve">limitation of our study was that the full </w:t>
      </w:r>
      <w:r w:rsidR="00EF2D1D">
        <w:rPr>
          <w:rFonts w:ascii="Calibri" w:hAnsi="Calibri" w:cs="Arial"/>
        </w:rPr>
        <w:t xml:space="preserve">individual clinical </w:t>
      </w:r>
      <w:r w:rsidR="002622C1">
        <w:rPr>
          <w:rFonts w:ascii="Calibri" w:hAnsi="Calibri" w:cs="Arial"/>
        </w:rPr>
        <w:t>dataset was not available for one study</w:t>
      </w:r>
      <w:r w:rsidR="00131837">
        <w:rPr>
          <w:rFonts w:ascii="Calibri" w:hAnsi="Calibri" w:cs="Arial"/>
        </w:rPr>
        <w:fldChar w:fldCharType="begin"/>
      </w:r>
      <w:r w:rsidR="00832180">
        <w:rPr>
          <w:rFonts w:ascii="Calibri" w:hAnsi="Calibri" w:cs="Arial"/>
        </w:rPr>
        <w:instrText xml:space="preserve"> ADDIN ZOTERO_ITEM CSL_CITATION {"citationID":"57paiujk5","properties":{"formattedCitation":"[10]","plainCitation":"[10]"},"citationItems":[{"id":797,"uris":["http://zotero.org/users/38820/items/QZWGPW34"],"uri":["http://zotero.org/users/38820/items/QZWGPW34"],"itemData":{"id":797,"type":"article-journal","title":"Novel Point-of-Care Test for Simultaneous Detection of Nontreponemal and Treponemal Antibodies in Patients with Syphilis","container-title":"Journal of Clinical Microbiology","page":"4615-4619","volume":"48","issue":"12","source":"jcm.asm.org","abstract":"We describe a point-of-care immunochromatographic test for the simultaneous detection of both nontreponemal and treponemal antibodies in the sera of patients with syphilis that acts as both a screening and a confirmatory test. A total of 1,601 banked serum samples were examined by the dual test, and the results were compared to those obtained using a quantitative rapid plasma reagin (RPR) test and the Treponema pallidum passive particle agglutination (TP-PA) assay. Compared to the RPR test, the reactive concordance of the dual test nontreponemal line was 98.4% when the RPR titers of sera were ≥1:2 and the nonreactive concordance was 98.6%. Compared to the TP-PA assay, the reactive and nonreactive concordances of the treponemal line were 96.5% and 95.5%, respectively. These results indicate that the dual test could be used for the serological diagnosis of syphilis in primary health care clinics or resource-poor settings and therefore improve rates of treatment where patients may fail to return for their laboratory results.","DOI":"10.1128/JCM.00624-10","ISSN":"0095-1137, 1098-660X","note":"PMID: 20881177","journalAbbreviation":"J. Clin. Microbiol.","language":"en","author":[{"family":"Castro","given":"Arnold R."},{"family":"Esfandiari","given":"Javan"},{"family":"Kumar","given":"Shailendra"},{"family":"Ashton","given":"Matthew"},{"family":"Kikkert","given":"Susan E."},{"family":"Park","given":"Mahin M."},{"family":"Ballard","given":"Ronald C."}],"issued":{"date-parts":[["2010",1,12]]},"PMID":"20881177"}}],"schema":"https://github.com/citation-style-language/schema/raw/master/csl-citation.json"} </w:instrText>
      </w:r>
      <w:r w:rsidR="00131837">
        <w:rPr>
          <w:rFonts w:ascii="Calibri" w:hAnsi="Calibri" w:cs="Arial"/>
        </w:rPr>
        <w:fldChar w:fldCharType="separate"/>
      </w:r>
      <w:r w:rsidR="00832180">
        <w:rPr>
          <w:rFonts w:ascii="Calibri" w:hAnsi="Calibri"/>
          <w:lang w:val="en-US"/>
        </w:rPr>
        <w:t>[10]</w:t>
      </w:r>
      <w:r w:rsidR="00131837">
        <w:rPr>
          <w:rFonts w:ascii="Calibri" w:hAnsi="Calibri" w:cs="Arial"/>
        </w:rPr>
        <w:fldChar w:fldCharType="end"/>
      </w:r>
      <w:r w:rsidR="002622C1">
        <w:rPr>
          <w:rFonts w:ascii="Calibri" w:hAnsi="Calibri" w:cs="Arial"/>
        </w:rPr>
        <w:t xml:space="preserve">. The missing data represents less than 10% of the total set included in this study and the reported results from the full dataset do not differ significantly from the subset used in this meta-analysis, so it seems unlikely that the missing data would substantially alter our findings. All the data analysed here </w:t>
      </w:r>
      <w:r>
        <w:rPr>
          <w:rFonts w:ascii="Calibri" w:hAnsi="Calibri" w:cs="Arial"/>
        </w:rPr>
        <w:t>were collected as part of</w:t>
      </w:r>
      <w:r w:rsidR="002622C1">
        <w:rPr>
          <w:rFonts w:ascii="Calibri" w:hAnsi="Calibri" w:cs="Arial"/>
        </w:rPr>
        <w:t xml:space="preserve"> research studies and it is recognised that test performance</w:t>
      </w:r>
      <w:r w:rsidR="0078104F">
        <w:rPr>
          <w:rFonts w:ascii="Calibri" w:hAnsi="Calibri" w:cs="Arial"/>
        </w:rPr>
        <w:t xml:space="preserve"> may </w:t>
      </w:r>
      <w:r>
        <w:rPr>
          <w:rFonts w:ascii="Calibri" w:hAnsi="Calibri" w:cs="Arial"/>
        </w:rPr>
        <w:t>not be as good in a real world setting in the hands of the end users (healthcare workers), and</w:t>
      </w:r>
      <w:r w:rsidR="0078104F">
        <w:rPr>
          <w:rFonts w:ascii="Calibri" w:hAnsi="Calibri" w:cs="Arial"/>
        </w:rPr>
        <w:t xml:space="preserve"> that the utilisation of test results may be influenced by factors other than simply the result</w:t>
      </w:r>
      <w:r w:rsidR="00131837">
        <w:rPr>
          <w:rFonts w:ascii="Calibri" w:hAnsi="Calibri" w:cs="Arial"/>
        </w:rPr>
        <w:fldChar w:fldCharType="begin"/>
      </w:r>
      <w:r w:rsidR="00832180">
        <w:rPr>
          <w:rFonts w:ascii="Calibri" w:hAnsi="Calibri" w:cs="Arial"/>
        </w:rPr>
        <w:instrText xml:space="preserve"> ADDIN ZOTERO_ITEM CSL_CITATION {"citationID":"1p4d318qpj","properties":{"formattedCitation":"[24]","plainCitation":"[24]"},"citationItems":[{"id":3656,"uris":["http://zotero.org/users/38820/items/PHPB5P32"],"uri":["http://zotero.org/users/38820/items/PHPB5P32"],"itemData":{"id":3656,"type":"article-journal","title":"‘As a clinician, you are not managing lab results, you are managing the patient’: How the enactment of malaria at health facilities in Cameroon compares with new WHO guidelines for the use of malaria tests","container-title":"Social Science &amp; Medicine","page":"1528-1535","volume":"74","issue":"10","source":"ScienceDirect","abstract":"In response to widespread overuse of antimalarial drugs, the World Health Organisation changed guidelines in 2010 to restrict the use of antimalarials to parasitologically confirmed malaria cases. Malaria rapid diagnostic tests (RDTs) have been presented as a means to realize the new guidelines, and National Malaria Control Programmes, including that of Cameroon, are developing plans to introduce the tests to replace microscopy or clinical diagnosis at public health facilities across the country.\n\nWe aimed to understand how malaria tests and antimalarial drugs are currently used as part of social interactions between health workers and patients at public and mission health facilities in Yaoundé and Bamenda and surrounding districts in the Northwest region of Cameroon. In May to June 2010, we held 17 focus group discussions with 146 health workers involved in clinical care from 49 health facilities.\n\nClinicians enacted malaria as a ‘juggling’ exercise, involving attention to pathophysiology of the patient as well as their desires and medical reputations, utilising tests and medicines for their therapeutic effects as symbols in the process of care. Parasites were rarely mentioned in describing diagnostic decisions.\n\nThese enactments of malaria contrast with evidence-based guidelines emanating from WHO, which assume the parasite is the central driver of practice. If RDTs are to be taken up in practice, public health practitioners need to pay careful attention to the values and priorities of health workers and patients if they are to work with them to improve diagnosis and treatment of febrile illnesses.","DOI":"10.1016/j.socscimed.2012.01.025","ISSN":"0277-9536","shortTitle":"‘As a clinician, you are not managing lab results, you are managing the patient’","journalAbbreviation":"Social Science &amp; Medicine","author":[{"family":"Chandler","given":"Clare I. R."},{"family":"Mangham","given":"Lindsay"},{"family":"Njei","given":"Abanda Ngu"},{"family":"Achonduh","given":"Olivia"},{"family":"Mbacham","given":"Wilfred F."},{"family":"Wiseman","given":"Virginia"}],"issued":{"date-parts":[["2012",5]]}}}],"schema":"https://github.com/citation-style-language/schema/raw/master/csl-citation.json"} </w:instrText>
      </w:r>
      <w:r w:rsidR="00131837">
        <w:rPr>
          <w:rFonts w:ascii="Calibri" w:hAnsi="Calibri" w:cs="Arial"/>
        </w:rPr>
        <w:fldChar w:fldCharType="separate"/>
      </w:r>
      <w:r w:rsidR="00832180">
        <w:rPr>
          <w:rFonts w:ascii="Calibri" w:hAnsi="Calibri"/>
          <w:lang w:val="en-US"/>
        </w:rPr>
        <w:t>[24]</w:t>
      </w:r>
      <w:r w:rsidR="00131837">
        <w:rPr>
          <w:rFonts w:ascii="Calibri" w:hAnsi="Calibri" w:cs="Arial"/>
        </w:rPr>
        <w:fldChar w:fldCharType="end"/>
      </w:r>
      <w:r w:rsidR="0078104F">
        <w:rPr>
          <w:rFonts w:ascii="Calibri" w:hAnsi="Calibri" w:cs="Arial"/>
        </w:rPr>
        <w:t xml:space="preserve">. Training and support to healthcare workers has been shown to significantly improve utilisation of </w:t>
      </w:r>
      <w:r>
        <w:rPr>
          <w:rFonts w:ascii="Calibri" w:hAnsi="Calibri" w:cs="Arial"/>
        </w:rPr>
        <w:t>RDTs</w:t>
      </w:r>
      <w:r w:rsidR="0078104F">
        <w:rPr>
          <w:rFonts w:ascii="Calibri" w:hAnsi="Calibri" w:cs="Arial"/>
        </w:rPr>
        <w:t xml:space="preserve"> in other areas</w:t>
      </w:r>
      <w:r w:rsidR="00131837">
        <w:rPr>
          <w:rFonts w:ascii="Calibri" w:hAnsi="Calibri" w:cs="Arial"/>
        </w:rPr>
        <w:fldChar w:fldCharType="begin"/>
      </w:r>
      <w:r w:rsidR="00832180">
        <w:rPr>
          <w:rFonts w:ascii="Calibri" w:hAnsi="Calibri" w:cs="Arial"/>
        </w:rPr>
        <w:instrText xml:space="preserve"> ADDIN ZOTERO_ITEM CSL_CITATION {"citationID":"15186rmdmj","properties":{"formattedCitation":"[25]","plainCitation":"[25]"},"citationItems":[{"id":3252,"uris":["http://zotero.org/users/38820/items/BKMVKE77"],"uri":["http://zotero.org/users/38820/items/BKMVKE77"],"itemData":{"id":3252,"type":"article-journal","title":"Prescriber and patient-oriented behavioural interventions to improve use of malaria rapid diagnostic tests in Tanzania: facility-based cluster randomised trial","container-title":"BMC Medicine","page":"118","volume":"13","issue":"1","source":"www.biomedcentral.com","abstract":"PMID: 25980737","DOI":"10.1186/s12916-015-0346-z","ISSN":"1741-7015","note":"PMID: 25980737","shortTitle":"Prescriber and patient-oriented behavioural interventions to improve use of malaria rapid diagnostic tests in Tanzania","language":"en","author":[{"family":"Cundill","given":"Bonnie"},{"family":"Mbakilwa","given":"Hilda"},{"family":"Chandler","given":"Clare IR"},{"family":"Mtove","given":"George"},{"family":"Mtei","given":"Frank"},{"family":"Willetts","given":"Annie"},{"family":"Foster","given":"Emily"},{"family":"Muro","given":"Florida"},{"family":"Mwinyishehe","given":"Rahim"},{"family":"Mandike","given":"Renata"},{"family":"Olomi","given":"Raimos"},{"family":"Whitty","given":"Christopher JM"},{"family":"Reyburn","given":"Hugh"}],"issued":{"date-parts":[["2015",5,15]]},"PMID":"25980737"}}],"schema":"https://github.com/citation-style-language/schema/raw/master/csl-citation.json"} </w:instrText>
      </w:r>
      <w:r w:rsidR="00131837">
        <w:rPr>
          <w:rFonts w:ascii="Calibri" w:hAnsi="Calibri" w:cs="Arial"/>
        </w:rPr>
        <w:fldChar w:fldCharType="separate"/>
      </w:r>
      <w:r w:rsidR="00832180">
        <w:rPr>
          <w:rFonts w:ascii="Calibri" w:hAnsi="Calibri"/>
          <w:lang w:val="en-US"/>
        </w:rPr>
        <w:t>[25]</w:t>
      </w:r>
      <w:r w:rsidR="00131837">
        <w:rPr>
          <w:rFonts w:ascii="Calibri" w:hAnsi="Calibri" w:cs="Arial"/>
        </w:rPr>
        <w:fldChar w:fldCharType="end"/>
      </w:r>
      <w:r w:rsidR="0078104F">
        <w:rPr>
          <w:rFonts w:ascii="Calibri" w:hAnsi="Calibri" w:cs="Arial"/>
        </w:rPr>
        <w:t xml:space="preserve"> and should be a key component of the roll out of RDTs for syphilis and yaws</w:t>
      </w:r>
    </w:p>
    <w:p w14:paraId="0124F350" w14:textId="77777777" w:rsidR="002622C1" w:rsidRDefault="002622C1" w:rsidP="00FD2CAB">
      <w:pPr>
        <w:rPr>
          <w:rFonts w:ascii="Calibri" w:hAnsi="Calibri" w:cs="Arial"/>
        </w:rPr>
      </w:pPr>
    </w:p>
    <w:p w14:paraId="0196FD63" w14:textId="676F3185" w:rsidR="00FC3DA5" w:rsidRDefault="00FC3DA5" w:rsidP="00FD2CAB">
      <w:pPr>
        <w:rPr>
          <w:rFonts w:ascii="Calibri" w:hAnsi="Calibri" w:cs="Arial"/>
        </w:rPr>
      </w:pPr>
      <w:r>
        <w:rPr>
          <w:rFonts w:ascii="Calibri" w:hAnsi="Calibri" w:cs="Arial"/>
        </w:rPr>
        <w:t xml:space="preserve">This meta-analysis demonstrates that the DPP-RDT has both a high sensitivity and specificity for both </w:t>
      </w:r>
      <w:proofErr w:type="spellStart"/>
      <w:r>
        <w:rPr>
          <w:rFonts w:ascii="Calibri" w:hAnsi="Calibri" w:cs="Arial"/>
        </w:rPr>
        <w:t>treponemal</w:t>
      </w:r>
      <w:proofErr w:type="spellEnd"/>
      <w:r>
        <w:rPr>
          <w:rFonts w:ascii="Calibri" w:hAnsi="Calibri" w:cs="Arial"/>
        </w:rPr>
        <w:t xml:space="preserve"> and non-</w:t>
      </w:r>
      <w:proofErr w:type="spellStart"/>
      <w:r>
        <w:rPr>
          <w:rFonts w:ascii="Calibri" w:hAnsi="Calibri" w:cs="Arial"/>
        </w:rPr>
        <w:t>treponemal</w:t>
      </w:r>
      <w:proofErr w:type="spellEnd"/>
      <w:r>
        <w:rPr>
          <w:rFonts w:ascii="Calibri" w:hAnsi="Calibri" w:cs="Arial"/>
        </w:rPr>
        <w:t xml:space="preserve"> antibodies. Our study includes a large number of patients enrolled in studies from many countries around the world </w:t>
      </w:r>
      <w:r w:rsidR="000773DF">
        <w:rPr>
          <w:rFonts w:ascii="Calibri" w:hAnsi="Calibri" w:cs="Arial"/>
        </w:rPr>
        <w:t xml:space="preserve">being tested for </w:t>
      </w:r>
      <w:r>
        <w:rPr>
          <w:rFonts w:ascii="Calibri" w:hAnsi="Calibri" w:cs="Arial"/>
        </w:rPr>
        <w:t xml:space="preserve">syphilis </w:t>
      </w:r>
      <w:r w:rsidR="00156D3F">
        <w:rPr>
          <w:rFonts w:ascii="Calibri" w:hAnsi="Calibri" w:cs="Arial"/>
        </w:rPr>
        <w:t xml:space="preserve">or </w:t>
      </w:r>
      <w:r>
        <w:rPr>
          <w:rFonts w:ascii="Calibri" w:hAnsi="Calibri" w:cs="Arial"/>
        </w:rPr>
        <w:t xml:space="preserve">yaws. </w:t>
      </w:r>
      <w:r w:rsidR="00EF2D1D">
        <w:rPr>
          <w:rFonts w:ascii="Calibri" w:hAnsi="Calibri" w:cs="Arial"/>
        </w:rPr>
        <w:t xml:space="preserve">Our large sample size </w:t>
      </w:r>
      <w:r w:rsidR="000773DF">
        <w:rPr>
          <w:rFonts w:ascii="Calibri" w:hAnsi="Calibri" w:cs="Arial"/>
        </w:rPr>
        <w:t xml:space="preserve">allows us to provide the most accurate estimates published to </w:t>
      </w:r>
      <w:r w:rsidR="00156D3F">
        <w:rPr>
          <w:rFonts w:ascii="Calibri" w:hAnsi="Calibri" w:cs="Arial"/>
        </w:rPr>
        <w:t xml:space="preserve">date </w:t>
      </w:r>
      <w:r>
        <w:rPr>
          <w:rFonts w:ascii="Calibri" w:hAnsi="Calibri" w:cs="Arial"/>
        </w:rPr>
        <w:t>of the test performance across a range of sub-groups</w:t>
      </w:r>
      <w:r w:rsidR="00FF47DA">
        <w:rPr>
          <w:rFonts w:ascii="Calibri" w:hAnsi="Calibri" w:cs="Arial"/>
        </w:rPr>
        <w:t>.</w:t>
      </w:r>
      <w:r>
        <w:rPr>
          <w:rFonts w:ascii="Calibri" w:hAnsi="Calibri" w:cs="Arial"/>
        </w:rPr>
        <w:t xml:space="preserve"> The major limitation of the DPP-RDT is the reduced sensitivity of the test for low titre disease. As RPR titres tend to be higher in patients with syphilis than in patients with yaws, this reduced sensitivity is likely to be a greater problem when using the test as part of yaws eradication efforts, especially as a high sensitivity assay will be needed to ensure all cases are detected </w:t>
      </w:r>
      <w:r w:rsidR="000773DF">
        <w:rPr>
          <w:rFonts w:ascii="Calibri" w:hAnsi="Calibri" w:cs="Arial"/>
        </w:rPr>
        <w:t>to confirm the final eradication status of the infection.</w:t>
      </w:r>
      <w:r>
        <w:rPr>
          <w:rFonts w:ascii="Calibri" w:hAnsi="Calibri" w:cs="Arial"/>
        </w:rPr>
        <w:t xml:space="preserve"> </w:t>
      </w:r>
      <w:proofErr w:type="gramStart"/>
      <w:r w:rsidR="005D6317">
        <w:rPr>
          <w:rFonts w:ascii="Calibri" w:hAnsi="Calibri" w:cs="Arial"/>
        </w:rPr>
        <w:t>Combined</w:t>
      </w:r>
      <w:r w:rsidR="00EA76C1">
        <w:rPr>
          <w:rFonts w:ascii="Calibri" w:hAnsi="Calibri" w:cs="Arial"/>
        </w:rPr>
        <w:t xml:space="preserve"> </w:t>
      </w:r>
      <w:r>
        <w:rPr>
          <w:rFonts w:ascii="Calibri" w:hAnsi="Calibri" w:cs="Arial"/>
        </w:rPr>
        <w:t xml:space="preserve"> </w:t>
      </w:r>
      <w:proofErr w:type="spellStart"/>
      <w:r>
        <w:rPr>
          <w:rFonts w:ascii="Calibri" w:hAnsi="Calibri" w:cs="Arial"/>
        </w:rPr>
        <w:t>treponemal</w:t>
      </w:r>
      <w:proofErr w:type="spellEnd"/>
      <w:proofErr w:type="gramEnd"/>
      <w:r>
        <w:rPr>
          <w:rFonts w:ascii="Calibri" w:hAnsi="Calibri" w:cs="Arial"/>
        </w:rPr>
        <w:t xml:space="preserve"> / non-</w:t>
      </w:r>
      <w:proofErr w:type="spellStart"/>
      <w:r>
        <w:rPr>
          <w:rFonts w:ascii="Calibri" w:hAnsi="Calibri" w:cs="Arial"/>
        </w:rPr>
        <w:t>treponemal</w:t>
      </w:r>
      <w:proofErr w:type="spellEnd"/>
      <w:r>
        <w:rPr>
          <w:rFonts w:ascii="Calibri" w:hAnsi="Calibri" w:cs="Arial"/>
        </w:rPr>
        <w:t xml:space="preserve"> assays </w:t>
      </w:r>
      <w:r w:rsidR="00EA76C1">
        <w:rPr>
          <w:rFonts w:ascii="Calibri" w:hAnsi="Calibri" w:cs="Arial"/>
        </w:rPr>
        <w:t xml:space="preserve">offer a number of advantages over </w:t>
      </w:r>
      <w:proofErr w:type="spellStart"/>
      <w:r w:rsidR="00EA76C1">
        <w:rPr>
          <w:rFonts w:ascii="Calibri" w:hAnsi="Calibri" w:cs="Arial"/>
        </w:rPr>
        <w:t>treponemal</w:t>
      </w:r>
      <w:proofErr w:type="spellEnd"/>
      <w:r w:rsidR="00EA76C1">
        <w:rPr>
          <w:rFonts w:ascii="Calibri" w:hAnsi="Calibri" w:cs="Arial"/>
        </w:rPr>
        <w:t xml:space="preserve"> only RDTs</w:t>
      </w:r>
      <w:r w:rsidR="005D6317">
        <w:rPr>
          <w:rFonts w:ascii="Calibri" w:hAnsi="Calibri" w:cs="Arial"/>
        </w:rPr>
        <w:t>.</w:t>
      </w:r>
      <w:r w:rsidR="00EA76C1">
        <w:rPr>
          <w:rFonts w:ascii="Calibri" w:hAnsi="Calibri" w:cs="Arial"/>
        </w:rPr>
        <w:t xml:space="preserve"> </w:t>
      </w:r>
      <w:r w:rsidR="005D6317">
        <w:rPr>
          <w:rFonts w:ascii="Calibri" w:hAnsi="Calibri" w:cs="Arial"/>
        </w:rPr>
        <w:t xml:space="preserve">Our </w:t>
      </w:r>
      <w:r>
        <w:rPr>
          <w:rFonts w:ascii="Calibri" w:hAnsi="Calibri" w:cs="Arial"/>
        </w:rPr>
        <w:t xml:space="preserve">data </w:t>
      </w:r>
      <w:r w:rsidR="000773DF">
        <w:rPr>
          <w:rFonts w:ascii="Calibri" w:hAnsi="Calibri" w:cs="Arial"/>
        </w:rPr>
        <w:t>provide evidence to</w:t>
      </w:r>
      <w:r>
        <w:rPr>
          <w:rFonts w:ascii="Calibri" w:hAnsi="Calibri" w:cs="Arial"/>
        </w:rPr>
        <w:t xml:space="preserve"> support the</w:t>
      </w:r>
      <w:r w:rsidR="000773DF">
        <w:rPr>
          <w:rFonts w:ascii="Calibri" w:hAnsi="Calibri" w:cs="Arial"/>
        </w:rPr>
        <w:t xml:space="preserve"> decision to</w:t>
      </w:r>
      <w:r>
        <w:rPr>
          <w:rFonts w:ascii="Calibri" w:hAnsi="Calibri" w:cs="Arial"/>
        </w:rPr>
        <w:t xml:space="preserve"> use the DPP-RDT as one such assay. </w:t>
      </w:r>
    </w:p>
    <w:p w14:paraId="188370B9" w14:textId="77777777" w:rsidR="005A76DB" w:rsidRDefault="005A76DB" w:rsidP="00FD2CAB">
      <w:pPr>
        <w:rPr>
          <w:rFonts w:ascii="Calibri" w:hAnsi="Calibri" w:cs="Arial"/>
        </w:rPr>
      </w:pPr>
      <w:r>
        <w:rPr>
          <w:rFonts w:ascii="Calibri" w:hAnsi="Calibri" w:cs="Arial"/>
        </w:rPr>
        <w:br w:type="page"/>
      </w:r>
    </w:p>
    <w:p w14:paraId="05881933" w14:textId="77777777" w:rsidR="00396F32" w:rsidRPr="00396F32" w:rsidRDefault="00396F32" w:rsidP="00FD2CAB">
      <w:pPr>
        <w:rPr>
          <w:rFonts w:ascii="Calibri" w:hAnsi="Calibri"/>
          <w:b/>
        </w:rPr>
      </w:pPr>
      <w:r w:rsidRPr="00396F32">
        <w:rPr>
          <w:rFonts w:ascii="Calibri" w:hAnsi="Calibri"/>
          <w:b/>
        </w:rPr>
        <w:lastRenderedPageBreak/>
        <w:t>Acknowledgements:</w:t>
      </w:r>
    </w:p>
    <w:p w14:paraId="513B7642" w14:textId="2FCBBB5F" w:rsidR="00396F32" w:rsidRPr="005A76DB" w:rsidRDefault="002C7AB7" w:rsidP="00FD2CAB">
      <w:pPr>
        <w:widowControl w:val="0"/>
        <w:autoSpaceDE w:val="0"/>
        <w:autoSpaceDN w:val="0"/>
        <w:adjustRightInd w:val="0"/>
        <w:spacing w:after="240"/>
        <w:rPr>
          <w:rStyle w:val="normalchar1"/>
          <w:rFonts w:ascii="Times" w:hAnsi="Times" w:cs="Times"/>
          <w:lang w:val="en-US"/>
        </w:rPr>
      </w:pPr>
      <w:r>
        <w:rPr>
          <w:rStyle w:val="normalchar1"/>
          <w:rFonts w:ascii="Calibri" w:hAnsi="Calibri"/>
        </w:rPr>
        <w:t>Ye-</w:t>
      </w:r>
      <w:proofErr w:type="spellStart"/>
      <w:r>
        <w:rPr>
          <w:rStyle w:val="normalchar1"/>
          <w:rFonts w:ascii="Calibri" w:hAnsi="Calibri"/>
        </w:rPr>
        <w:t>Tun</w:t>
      </w:r>
      <w:proofErr w:type="spellEnd"/>
      <w:r w:rsidR="00857958">
        <w:rPr>
          <w:rStyle w:val="normalchar1"/>
          <w:rFonts w:ascii="Calibri" w:hAnsi="Calibri"/>
        </w:rPr>
        <w:t xml:space="preserve">, </w:t>
      </w:r>
      <w:r>
        <w:rPr>
          <w:rStyle w:val="normalchar1"/>
          <w:rFonts w:ascii="Calibri" w:hAnsi="Calibri"/>
        </w:rPr>
        <w:t>Arnold Castro</w:t>
      </w:r>
      <w:r w:rsidR="00857958">
        <w:rPr>
          <w:rStyle w:val="normalchar1"/>
          <w:rFonts w:ascii="Calibri" w:hAnsi="Calibri"/>
        </w:rPr>
        <w:t xml:space="preserve"> and Ronald Ballard</w:t>
      </w:r>
      <w:r w:rsidR="00C75B6C">
        <w:rPr>
          <w:rStyle w:val="normalchar1"/>
          <w:rFonts w:ascii="Calibri" w:hAnsi="Calibri"/>
        </w:rPr>
        <w:t xml:space="preserve"> are</w:t>
      </w:r>
      <w:r w:rsidR="00396F32" w:rsidRPr="00396F32">
        <w:rPr>
          <w:rStyle w:val="normalchar1"/>
          <w:rFonts w:ascii="Calibri" w:hAnsi="Calibri"/>
        </w:rPr>
        <w:t xml:space="preserve"> employee</w:t>
      </w:r>
      <w:r w:rsidR="00C75B6C">
        <w:rPr>
          <w:rStyle w:val="normalchar1"/>
          <w:rFonts w:ascii="Calibri" w:hAnsi="Calibri"/>
        </w:rPr>
        <w:t>s</w:t>
      </w:r>
      <w:r w:rsidR="00396F32" w:rsidRPr="00396F32">
        <w:rPr>
          <w:rStyle w:val="normalchar1"/>
          <w:rFonts w:ascii="Calibri" w:hAnsi="Calibri"/>
        </w:rPr>
        <w:t xml:space="preserve"> of the </w:t>
      </w:r>
      <w:proofErr w:type="spellStart"/>
      <w:r w:rsidR="00396F32" w:rsidRPr="00396F32">
        <w:rPr>
          <w:rStyle w:val="normalchar1"/>
          <w:rFonts w:ascii="Calibri" w:hAnsi="Calibri"/>
        </w:rPr>
        <w:t>Centers</w:t>
      </w:r>
      <w:proofErr w:type="spellEnd"/>
      <w:r w:rsidR="00396F32" w:rsidRPr="00396F32">
        <w:rPr>
          <w:rStyle w:val="normalchar1"/>
          <w:rFonts w:ascii="Calibri" w:hAnsi="Calibri"/>
        </w:rPr>
        <w:t xml:space="preserve"> for Disease Control and Prevention. The views expressed in this article are the views of the authors and may not necessarily reflect the views of the CDC.</w:t>
      </w:r>
      <w:r w:rsidR="00F36A63">
        <w:rPr>
          <w:rStyle w:val="normalchar1"/>
          <w:rFonts w:ascii="Calibri" w:hAnsi="Calibri"/>
        </w:rPr>
        <w:t xml:space="preserve"> </w:t>
      </w:r>
    </w:p>
    <w:p w14:paraId="71349110" w14:textId="77777777" w:rsidR="00920CB1" w:rsidRPr="00396F32" w:rsidRDefault="00920CB1" w:rsidP="00FD2CAB">
      <w:pPr>
        <w:rPr>
          <w:rFonts w:ascii="Calibri" w:hAnsi="Calibri" w:cs="Arial"/>
        </w:rPr>
      </w:pPr>
    </w:p>
    <w:p w14:paraId="08ADF51F" w14:textId="77777777" w:rsidR="00920CB1" w:rsidRPr="00234D54" w:rsidRDefault="00234D54" w:rsidP="00FD2CAB">
      <w:pPr>
        <w:rPr>
          <w:rFonts w:ascii="Calibri" w:hAnsi="Calibri" w:cs="Arial"/>
          <w:b/>
        </w:rPr>
      </w:pPr>
      <w:r w:rsidRPr="00234D54">
        <w:rPr>
          <w:rFonts w:ascii="Calibri" w:hAnsi="Calibri" w:cs="Arial"/>
          <w:b/>
        </w:rPr>
        <w:t>Role of the funding source</w:t>
      </w:r>
    </w:p>
    <w:p w14:paraId="14A165BB" w14:textId="77777777" w:rsidR="00234D54" w:rsidRPr="00234D54" w:rsidRDefault="00C701E3" w:rsidP="00FD2CAB">
      <w:pPr>
        <w:rPr>
          <w:rStyle w:val="normalchar1"/>
          <w:rFonts w:ascii="Calibri" w:hAnsi="Calibri"/>
        </w:rPr>
      </w:pPr>
      <w:proofErr w:type="spellStart"/>
      <w:r>
        <w:rPr>
          <w:rFonts w:ascii="Calibri" w:hAnsi="Calibri"/>
        </w:rPr>
        <w:t>Chembio</w:t>
      </w:r>
      <w:proofErr w:type="spellEnd"/>
      <w:r>
        <w:rPr>
          <w:rFonts w:ascii="Calibri" w:hAnsi="Calibri"/>
        </w:rPr>
        <w:t xml:space="preserve"> donated test kits used in some of the original publications. They had no role in any stage of this meta-analysis. </w:t>
      </w:r>
      <w:proofErr w:type="gramStart"/>
      <w:r w:rsidR="00234D54" w:rsidRPr="00234D54">
        <w:rPr>
          <w:rFonts w:ascii="Calibri" w:hAnsi="Calibri"/>
        </w:rPr>
        <w:t xml:space="preserve">Michael Marks is supported by a </w:t>
      </w:r>
      <w:proofErr w:type="spellStart"/>
      <w:r w:rsidR="00234D54" w:rsidRPr="00234D54">
        <w:rPr>
          <w:rFonts w:ascii="Calibri" w:hAnsi="Calibri"/>
        </w:rPr>
        <w:t>Wellcome</w:t>
      </w:r>
      <w:proofErr w:type="spellEnd"/>
      <w:r w:rsidR="00234D54" w:rsidRPr="00234D54">
        <w:rPr>
          <w:rFonts w:ascii="Calibri" w:hAnsi="Calibri"/>
        </w:rPr>
        <w:t xml:space="preserve"> Trust Clinical Research Fellowship (WT</w:t>
      </w:r>
      <w:r w:rsidR="00234D54" w:rsidRPr="00234D54">
        <w:rPr>
          <w:rStyle w:val="normalchar1"/>
          <w:rFonts w:ascii="Calibri" w:hAnsi="Calibri"/>
        </w:rPr>
        <w:t>102807)</w:t>
      </w:r>
      <w:proofErr w:type="gramEnd"/>
      <w:r w:rsidR="00234D54" w:rsidRPr="00234D54">
        <w:rPr>
          <w:rStyle w:val="normalchar1"/>
          <w:rFonts w:ascii="Calibri" w:hAnsi="Calibri"/>
        </w:rPr>
        <w:t>. The funder</w:t>
      </w:r>
      <w:r w:rsidR="001071A4">
        <w:rPr>
          <w:rStyle w:val="normalchar1"/>
          <w:rFonts w:ascii="Calibri" w:hAnsi="Calibri"/>
        </w:rPr>
        <w:t>s</w:t>
      </w:r>
      <w:r w:rsidR="00234D54" w:rsidRPr="00234D54">
        <w:rPr>
          <w:rStyle w:val="normalchar1"/>
          <w:rFonts w:ascii="Calibri" w:hAnsi="Calibri"/>
        </w:rPr>
        <w:t xml:space="preserve"> had no role in the preparation of the manuscript or the decision to submit it for publication.</w:t>
      </w:r>
    </w:p>
    <w:p w14:paraId="0EC864A5" w14:textId="77777777" w:rsidR="00234D54" w:rsidRPr="00234D54" w:rsidRDefault="00234D54" w:rsidP="00FD2CAB">
      <w:pPr>
        <w:rPr>
          <w:rStyle w:val="normalchar1"/>
          <w:rFonts w:ascii="Calibri" w:hAnsi="Calibri"/>
        </w:rPr>
      </w:pPr>
    </w:p>
    <w:p w14:paraId="38C9B9C6" w14:textId="77777777" w:rsidR="00234D54" w:rsidRPr="00234D54" w:rsidRDefault="00234D54" w:rsidP="00FD2CAB">
      <w:pPr>
        <w:rPr>
          <w:rStyle w:val="normalchar1"/>
          <w:rFonts w:ascii="Calibri" w:hAnsi="Calibri"/>
          <w:b/>
        </w:rPr>
      </w:pPr>
      <w:r w:rsidRPr="00234D54">
        <w:rPr>
          <w:rStyle w:val="normalchar1"/>
          <w:rFonts w:ascii="Calibri" w:hAnsi="Calibri"/>
          <w:b/>
        </w:rPr>
        <w:t>Conflict of Interest</w:t>
      </w:r>
    </w:p>
    <w:p w14:paraId="2DE8C4BC" w14:textId="77777777" w:rsidR="00234D54" w:rsidRPr="00234D54" w:rsidRDefault="00234D54" w:rsidP="00FD2CAB">
      <w:pPr>
        <w:rPr>
          <w:rStyle w:val="normalchar1"/>
          <w:rFonts w:ascii="Calibri" w:hAnsi="Calibri"/>
        </w:rPr>
      </w:pPr>
      <w:r w:rsidRPr="00234D54">
        <w:rPr>
          <w:rStyle w:val="normalchar1"/>
          <w:rFonts w:ascii="Calibri" w:hAnsi="Calibri"/>
        </w:rPr>
        <w:t>The authors confirm that they have no relevant conflict of interest to declare.</w:t>
      </w:r>
    </w:p>
    <w:p w14:paraId="55D03809" w14:textId="77777777" w:rsidR="00234D54" w:rsidRDefault="00234D54" w:rsidP="00FD2CAB">
      <w:pPr>
        <w:rPr>
          <w:rStyle w:val="normalchar1"/>
          <w:rFonts w:ascii="Calibri" w:hAnsi="Calibri"/>
        </w:rPr>
      </w:pPr>
    </w:p>
    <w:p w14:paraId="3002A602" w14:textId="77777777" w:rsidR="00234D54" w:rsidRDefault="00234D54" w:rsidP="00FD2CAB">
      <w:pPr>
        <w:rPr>
          <w:rStyle w:val="normalchar1"/>
          <w:rFonts w:ascii="Calibri" w:hAnsi="Calibri"/>
          <w:b/>
        </w:rPr>
      </w:pPr>
      <w:r w:rsidRPr="00234D54">
        <w:rPr>
          <w:rStyle w:val="normalchar1"/>
          <w:rFonts w:ascii="Calibri" w:hAnsi="Calibri"/>
          <w:b/>
        </w:rPr>
        <w:t>Author Contributions</w:t>
      </w:r>
    </w:p>
    <w:p w14:paraId="70A7746A" w14:textId="77777777" w:rsidR="008C5BB2" w:rsidRPr="002044F7" w:rsidRDefault="008C5BB2" w:rsidP="00FD2CAB">
      <w:pPr>
        <w:rPr>
          <w:rStyle w:val="normalchar1"/>
          <w:rFonts w:ascii="Calibri" w:hAnsi="Calibri"/>
        </w:rPr>
      </w:pPr>
      <w:r w:rsidRPr="002044F7">
        <w:rPr>
          <w:rStyle w:val="normalchar1"/>
          <w:rFonts w:ascii="Calibri" w:hAnsi="Calibri"/>
        </w:rPr>
        <w:t xml:space="preserve">MM, OM, CB, </w:t>
      </w:r>
      <w:r w:rsidR="002044F7">
        <w:rPr>
          <w:rStyle w:val="normalchar1"/>
          <w:rFonts w:ascii="Calibri" w:hAnsi="Calibri"/>
        </w:rPr>
        <w:t>RB</w:t>
      </w:r>
      <w:r w:rsidRPr="002044F7">
        <w:rPr>
          <w:rStyle w:val="normalchar1"/>
          <w:rFonts w:ascii="Calibri" w:hAnsi="Calibri"/>
        </w:rPr>
        <w:t>, DM designed the study, conducted the analysis and drafted the manuscript. LC, RG, JG, LB, RC, FP, RW, AC, YT, AA</w:t>
      </w:r>
      <w:r w:rsidR="00404739">
        <w:rPr>
          <w:rStyle w:val="normalchar1"/>
          <w:rFonts w:ascii="Calibri" w:hAnsi="Calibri"/>
        </w:rPr>
        <w:t>, FT, YPY and XSC contributed to</w:t>
      </w:r>
      <w:r w:rsidRPr="002044F7">
        <w:rPr>
          <w:rStyle w:val="normalchar1"/>
          <w:rFonts w:ascii="Calibri" w:hAnsi="Calibri"/>
        </w:rPr>
        <w:t xml:space="preserve"> the analysis and revised the manuscript.</w:t>
      </w:r>
    </w:p>
    <w:p w14:paraId="6329F09B" w14:textId="77777777" w:rsidR="005A76DB" w:rsidRDefault="005A76DB" w:rsidP="00FD2CAB">
      <w:pPr>
        <w:rPr>
          <w:rFonts w:ascii="Calibri" w:hAnsi="Calibri"/>
        </w:rPr>
      </w:pPr>
      <w:r>
        <w:rPr>
          <w:rFonts w:ascii="Calibri" w:hAnsi="Calibri"/>
        </w:rPr>
        <w:br w:type="page"/>
      </w:r>
    </w:p>
    <w:p w14:paraId="5B004BF0" w14:textId="77777777" w:rsidR="00B52399" w:rsidRPr="00396F32" w:rsidRDefault="00920CB1" w:rsidP="00FD2CAB">
      <w:pPr>
        <w:rPr>
          <w:rFonts w:ascii="Calibri" w:hAnsi="Calibri" w:cs="Arial"/>
          <w:b/>
        </w:rPr>
      </w:pPr>
      <w:r w:rsidRPr="00396F32">
        <w:rPr>
          <w:rFonts w:ascii="Calibri" w:hAnsi="Calibri" w:cs="Arial"/>
          <w:b/>
        </w:rPr>
        <w:lastRenderedPageBreak/>
        <w:t>References:</w:t>
      </w:r>
    </w:p>
    <w:p w14:paraId="69750958" w14:textId="451D0C5F" w:rsidR="00832180" w:rsidRPr="00832180" w:rsidRDefault="006A2668" w:rsidP="004340C7">
      <w:pPr>
        <w:pStyle w:val="Bibliography"/>
        <w:rPr>
          <w:lang w:val="en-US"/>
        </w:rPr>
      </w:pPr>
      <w:r w:rsidRPr="00396F32">
        <w:t xml:space="preserve"> </w:t>
      </w:r>
      <w:r w:rsidR="00131837" w:rsidRPr="00396F32">
        <w:fldChar w:fldCharType="begin"/>
      </w:r>
      <w:r w:rsidR="00832180">
        <w:instrText xml:space="preserve"> ADDIN ZOTERO_BIBL {"custom":[]} CSL_BIBLIOGRAPHY </w:instrText>
      </w:r>
      <w:r w:rsidR="00131837" w:rsidRPr="00396F32">
        <w:fldChar w:fldCharType="separate"/>
      </w:r>
      <w:r w:rsidR="00832180" w:rsidRPr="00832180">
        <w:rPr>
          <w:lang w:val="en-US"/>
        </w:rPr>
        <w:t xml:space="preserve">1. </w:t>
      </w:r>
      <w:r w:rsidR="00832180" w:rsidRPr="00832180">
        <w:rPr>
          <w:lang w:val="en-US"/>
        </w:rPr>
        <w:tab/>
        <w:t xml:space="preserve">Chico RM, Mayaud P, Ariti C, Mabey D, Ronsmans C, Chandramohan D. Prevalence of malaria and sexually transmitted and reproductive tract infections in pregnancy in sub-Saharan Africa: a systematic review. JAMA </w:t>
      </w:r>
      <w:r w:rsidR="00832180" w:rsidRPr="00832180">
        <w:rPr>
          <w:b/>
          <w:bCs/>
          <w:lang w:val="en-US"/>
        </w:rPr>
        <w:t>2012</w:t>
      </w:r>
      <w:r w:rsidR="00832180" w:rsidRPr="00832180">
        <w:rPr>
          <w:lang w:val="en-US"/>
        </w:rPr>
        <w:t xml:space="preserve">; 307:2079–2086. </w:t>
      </w:r>
    </w:p>
    <w:p w14:paraId="49F47000" w14:textId="77777777" w:rsidR="00832180" w:rsidRPr="00832180" w:rsidRDefault="00832180" w:rsidP="004340C7">
      <w:pPr>
        <w:pStyle w:val="Bibliography"/>
        <w:rPr>
          <w:lang w:val="en-US"/>
        </w:rPr>
      </w:pPr>
      <w:r w:rsidRPr="00832180">
        <w:rPr>
          <w:lang w:val="en-US"/>
        </w:rPr>
        <w:t xml:space="preserve">2. </w:t>
      </w:r>
      <w:r w:rsidRPr="00832180">
        <w:rPr>
          <w:lang w:val="en-US"/>
        </w:rPr>
        <w:tab/>
        <w:t xml:space="preserve">Newman L, Kamb M, Hawkes S, et al. Global Estimates of Syphilis in Pregnancy and Associated Adverse Outcomes: Analysis of Multinational Antenatal Surveillance Data. PLoS Med. </w:t>
      </w:r>
      <w:r w:rsidRPr="00832180">
        <w:rPr>
          <w:b/>
          <w:bCs/>
          <w:lang w:val="en-US"/>
        </w:rPr>
        <w:t>2013</w:t>
      </w:r>
      <w:r w:rsidRPr="00832180">
        <w:rPr>
          <w:lang w:val="en-US"/>
        </w:rPr>
        <w:t>; 10. Available at: http://www.ncbi.nlm.nih.gov/pmc/articles/PMC3582608/. Accessed 1 April 2015.</w:t>
      </w:r>
    </w:p>
    <w:p w14:paraId="41799394" w14:textId="77777777" w:rsidR="00832180" w:rsidRPr="00832180" w:rsidRDefault="00832180" w:rsidP="004340C7">
      <w:pPr>
        <w:pStyle w:val="Bibliography"/>
        <w:rPr>
          <w:lang w:val="en-US"/>
        </w:rPr>
      </w:pPr>
      <w:r w:rsidRPr="00832180">
        <w:rPr>
          <w:lang w:val="en-US"/>
        </w:rPr>
        <w:t xml:space="preserve">3. </w:t>
      </w:r>
      <w:r w:rsidRPr="00832180">
        <w:rPr>
          <w:lang w:val="en-US"/>
        </w:rPr>
        <w:tab/>
        <w:t xml:space="preserve">Marks M, Solomon AW, Mabey DC. Endemic treponemal diseases. Trans. R. Soc. Trop. Med. Hyg. </w:t>
      </w:r>
      <w:r w:rsidRPr="00832180">
        <w:rPr>
          <w:b/>
          <w:bCs/>
          <w:lang w:val="en-US"/>
        </w:rPr>
        <w:t>2014</w:t>
      </w:r>
      <w:r w:rsidRPr="00832180">
        <w:rPr>
          <w:lang w:val="en-US"/>
        </w:rPr>
        <w:t xml:space="preserve">; 108:601–607. </w:t>
      </w:r>
    </w:p>
    <w:p w14:paraId="701F7DF6" w14:textId="77777777" w:rsidR="00832180" w:rsidRPr="00832180" w:rsidRDefault="00832180" w:rsidP="004340C7">
      <w:pPr>
        <w:pStyle w:val="Bibliography"/>
        <w:rPr>
          <w:lang w:val="en-US"/>
        </w:rPr>
      </w:pPr>
      <w:r w:rsidRPr="00832180">
        <w:rPr>
          <w:lang w:val="en-US"/>
        </w:rPr>
        <w:t xml:space="preserve">4. </w:t>
      </w:r>
      <w:r w:rsidRPr="00832180">
        <w:rPr>
          <w:lang w:val="en-US"/>
        </w:rPr>
        <w:tab/>
        <w:t xml:space="preserve">The World Health Organisation. Eradication of yaws - the Morges Strategy. Wkly. Epidemiol. Rec. </w:t>
      </w:r>
      <w:r w:rsidRPr="00832180">
        <w:rPr>
          <w:b/>
          <w:bCs/>
          <w:lang w:val="en-US"/>
        </w:rPr>
        <w:t>2012</w:t>
      </w:r>
      <w:r w:rsidRPr="00832180">
        <w:rPr>
          <w:lang w:val="en-US"/>
        </w:rPr>
        <w:t xml:space="preserve">; 87:189–194. </w:t>
      </w:r>
    </w:p>
    <w:p w14:paraId="03304779" w14:textId="77777777" w:rsidR="00832180" w:rsidRPr="00832180" w:rsidRDefault="00832180" w:rsidP="004340C7">
      <w:pPr>
        <w:pStyle w:val="Bibliography"/>
        <w:rPr>
          <w:lang w:val="en-US"/>
        </w:rPr>
      </w:pPr>
      <w:r w:rsidRPr="00832180">
        <w:rPr>
          <w:lang w:val="en-US"/>
        </w:rPr>
        <w:t xml:space="preserve">5. </w:t>
      </w:r>
      <w:r w:rsidRPr="00832180">
        <w:rPr>
          <w:lang w:val="en-US"/>
        </w:rPr>
        <w:tab/>
        <w:t xml:space="preserve">Baker-Zander SA, Lukehart SA. Molecular basis of immunological cross-reactivity between </w:t>
      </w:r>
      <w:r w:rsidRPr="00832180">
        <w:rPr>
          <w:i/>
          <w:iCs/>
          <w:lang w:val="en-US"/>
        </w:rPr>
        <w:t xml:space="preserve">Treponema pallidum </w:t>
      </w:r>
      <w:r w:rsidRPr="00832180">
        <w:rPr>
          <w:lang w:val="en-US"/>
        </w:rPr>
        <w:t xml:space="preserve"> and </w:t>
      </w:r>
      <w:r w:rsidRPr="00832180">
        <w:rPr>
          <w:i/>
          <w:iCs/>
          <w:lang w:val="en-US"/>
        </w:rPr>
        <w:t>Treponema pertenue</w:t>
      </w:r>
      <w:r w:rsidRPr="00832180">
        <w:rPr>
          <w:lang w:val="en-US"/>
        </w:rPr>
        <w:t xml:space="preserve">. Infect. Immun. </w:t>
      </w:r>
      <w:r w:rsidRPr="00832180">
        <w:rPr>
          <w:b/>
          <w:bCs/>
          <w:lang w:val="en-US"/>
        </w:rPr>
        <w:t>1983</w:t>
      </w:r>
      <w:r w:rsidRPr="00832180">
        <w:rPr>
          <w:lang w:val="en-US"/>
        </w:rPr>
        <w:t xml:space="preserve">; 42:634–638. </w:t>
      </w:r>
    </w:p>
    <w:p w14:paraId="6E329F3B" w14:textId="77777777" w:rsidR="00832180" w:rsidRPr="00832180" w:rsidRDefault="00832180" w:rsidP="004340C7">
      <w:pPr>
        <w:pStyle w:val="Bibliography"/>
        <w:rPr>
          <w:lang w:val="en-US"/>
        </w:rPr>
      </w:pPr>
      <w:r w:rsidRPr="00832180">
        <w:rPr>
          <w:lang w:val="en-US"/>
        </w:rPr>
        <w:t xml:space="preserve">6. </w:t>
      </w:r>
      <w:r w:rsidRPr="00832180">
        <w:rPr>
          <w:lang w:val="en-US"/>
        </w:rPr>
        <w:tab/>
        <w:t xml:space="preserve">Jafari Y, Peeling RW, Shivkumar S, Claessens C, Joseph L, Pai NP. Are </w:t>
      </w:r>
      <w:r w:rsidRPr="00832180">
        <w:rPr>
          <w:i/>
          <w:iCs/>
          <w:lang w:val="en-US"/>
        </w:rPr>
        <w:t>Treponema pallidum</w:t>
      </w:r>
      <w:r w:rsidRPr="00832180">
        <w:rPr>
          <w:lang w:val="en-US"/>
        </w:rPr>
        <w:t xml:space="preserve"> Specific Rapid and Point-of-Care Tests for Syphilis Accurate Enough for Screening in Resource Limited Settings? Evidence from a Meta-Analysis. PLoS ONE </w:t>
      </w:r>
      <w:r w:rsidRPr="00832180">
        <w:rPr>
          <w:b/>
          <w:bCs/>
          <w:lang w:val="en-US"/>
        </w:rPr>
        <w:t>2013</w:t>
      </w:r>
      <w:r w:rsidRPr="00832180">
        <w:rPr>
          <w:lang w:val="en-US"/>
        </w:rPr>
        <w:t xml:space="preserve">; 8:e54695. </w:t>
      </w:r>
    </w:p>
    <w:p w14:paraId="27139612" w14:textId="77777777" w:rsidR="00832180" w:rsidRPr="00832180" w:rsidRDefault="00832180" w:rsidP="004340C7">
      <w:pPr>
        <w:pStyle w:val="Bibliography"/>
        <w:rPr>
          <w:lang w:val="en-US"/>
        </w:rPr>
      </w:pPr>
      <w:r w:rsidRPr="00832180">
        <w:rPr>
          <w:lang w:val="en-US"/>
        </w:rPr>
        <w:t xml:space="preserve">7. </w:t>
      </w:r>
      <w:r w:rsidRPr="00832180">
        <w:rPr>
          <w:lang w:val="en-US"/>
        </w:rPr>
        <w:tab/>
        <w:t xml:space="preserve">Chi K-H, Danavall D, Taleo F, et al. Molecular Differentiation of </w:t>
      </w:r>
      <w:r w:rsidRPr="00832180">
        <w:rPr>
          <w:i/>
          <w:iCs/>
          <w:lang w:val="en-US"/>
        </w:rPr>
        <w:t>Treponema pallidum</w:t>
      </w:r>
      <w:r w:rsidRPr="00832180">
        <w:rPr>
          <w:lang w:val="en-US"/>
        </w:rPr>
        <w:t xml:space="preserve"> Subspecies in Skin Ulceration Clinically Suspected as Yaws in Vanuatu Using Real-Time Multiplex PCR and Serological Methods. Am. J. Trop. Med. Hyg. </w:t>
      </w:r>
      <w:r w:rsidRPr="00832180">
        <w:rPr>
          <w:b/>
          <w:bCs/>
          <w:lang w:val="en-US"/>
        </w:rPr>
        <w:t>2015</w:t>
      </w:r>
      <w:r w:rsidRPr="00832180">
        <w:rPr>
          <w:lang w:val="en-US"/>
        </w:rPr>
        <w:t xml:space="preserve">; 92:134–138. </w:t>
      </w:r>
    </w:p>
    <w:p w14:paraId="3570EFDB" w14:textId="77777777" w:rsidR="00832180" w:rsidRPr="00832180" w:rsidRDefault="00832180" w:rsidP="004340C7">
      <w:pPr>
        <w:pStyle w:val="Bibliography"/>
        <w:rPr>
          <w:lang w:val="en-US"/>
        </w:rPr>
      </w:pPr>
      <w:r w:rsidRPr="00832180">
        <w:rPr>
          <w:lang w:val="en-US"/>
        </w:rPr>
        <w:t xml:space="preserve">8. </w:t>
      </w:r>
      <w:r w:rsidRPr="00832180">
        <w:rPr>
          <w:lang w:val="en-US"/>
        </w:rPr>
        <w:tab/>
        <w:t xml:space="preserve">Marks M, Vahi V, Sokana O, et al. Mapping the Epidemiology of Yaws in the Solomon Islands: A Cluster Randomized Survey. Am. J. Trop. Med. Hyg. </w:t>
      </w:r>
      <w:r w:rsidRPr="00832180">
        <w:rPr>
          <w:b/>
          <w:bCs/>
          <w:lang w:val="en-US"/>
        </w:rPr>
        <w:t>2015</w:t>
      </w:r>
      <w:r w:rsidRPr="00832180">
        <w:rPr>
          <w:lang w:val="en-US"/>
        </w:rPr>
        <w:t xml:space="preserve">; 92:129–133. </w:t>
      </w:r>
    </w:p>
    <w:p w14:paraId="48AE6AB1" w14:textId="77777777" w:rsidR="00832180" w:rsidRPr="00832180" w:rsidRDefault="00832180" w:rsidP="004340C7">
      <w:pPr>
        <w:pStyle w:val="Bibliography"/>
        <w:rPr>
          <w:lang w:val="en-US"/>
        </w:rPr>
      </w:pPr>
      <w:r w:rsidRPr="00832180">
        <w:rPr>
          <w:lang w:val="en-US"/>
        </w:rPr>
        <w:t xml:space="preserve">9. </w:t>
      </w:r>
      <w:r w:rsidRPr="00832180">
        <w:rPr>
          <w:lang w:val="en-US"/>
        </w:rPr>
        <w:tab/>
        <w:t xml:space="preserve">Mitjà O, Marks M, Konan DJP, et al. Global epidemiology of yaws: a systematic review. Lancet Glob. Health </w:t>
      </w:r>
      <w:r w:rsidRPr="00832180">
        <w:rPr>
          <w:b/>
          <w:bCs/>
          <w:lang w:val="en-US"/>
        </w:rPr>
        <w:t>2015</w:t>
      </w:r>
      <w:r w:rsidRPr="00832180">
        <w:rPr>
          <w:lang w:val="en-US"/>
        </w:rPr>
        <w:t xml:space="preserve">; 3:e324–331. </w:t>
      </w:r>
    </w:p>
    <w:p w14:paraId="663FE2BD" w14:textId="77777777" w:rsidR="00832180" w:rsidRPr="00832180" w:rsidRDefault="00832180" w:rsidP="004340C7">
      <w:pPr>
        <w:pStyle w:val="Bibliography"/>
        <w:rPr>
          <w:lang w:val="en-US"/>
        </w:rPr>
      </w:pPr>
      <w:r w:rsidRPr="00832180">
        <w:rPr>
          <w:lang w:val="en-US"/>
        </w:rPr>
        <w:t xml:space="preserve">10. </w:t>
      </w:r>
      <w:r w:rsidRPr="00832180">
        <w:rPr>
          <w:lang w:val="en-US"/>
        </w:rPr>
        <w:tab/>
        <w:t xml:space="preserve">Castro AR, Esfandiari J, Kumar S, et al. Novel Point-of-Care Test for Simultaneous Detection of Nontreponemal and Treponemal Antibodies in Patients with Syphilis. J. Clin. Microbiol. </w:t>
      </w:r>
      <w:r w:rsidRPr="00832180">
        <w:rPr>
          <w:b/>
          <w:bCs/>
          <w:lang w:val="en-US"/>
        </w:rPr>
        <w:t>2010</w:t>
      </w:r>
      <w:r w:rsidRPr="00832180">
        <w:rPr>
          <w:lang w:val="en-US"/>
        </w:rPr>
        <w:t xml:space="preserve">; 48:4615–4619. </w:t>
      </w:r>
    </w:p>
    <w:p w14:paraId="3BEA4FB7" w14:textId="77777777" w:rsidR="00832180" w:rsidRPr="00832180" w:rsidRDefault="00832180" w:rsidP="004340C7">
      <w:pPr>
        <w:pStyle w:val="Bibliography"/>
        <w:rPr>
          <w:lang w:val="en-US"/>
        </w:rPr>
      </w:pPr>
      <w:r w:rsidRPr="00832180">
        <w:rPr>
          <w:lang w:val="en-US"/>
        </w:rPr>
        <w:t xml:space="preserve">11. </w:t>
      </w:r>
      <w:r w:rsidRPr="00832180">
        <w:rPr>
          <w:lang w:val="en-US"/>
        </w:rPr>
        <w:tab/>
        <w:t xml:space="preserve">Moher D, Liberati A, Tetzlaff J, Altman DG, PRISMA Group. Preferred reporting items for systematic reviews and meta-analyses: the PRISMA statement. J. Clin. Epidemiol. </w:t>
      </w:r>
      <w:r w:rsidRPr="00832180">
        <w:rPr>
          <w:b/>
          <w:bCs/>
          <w:lang w:val="en-US"/>
        </w:rPr>
        <w:t>2009</w:t>
      </w:r>
      <w:r w:rsidRPr="00832180">
        <w:rPr>
          <w:lang w:val="en-US"/>
        </w:rPr>
        <w:t xml:space="preserve">; 62:1006–1012. </w:t>
      </w:r>
    </w:p>
    <w:p w14:paraId="2700FE44" w14:textId="77777777" w:rsidR="00832180" w:rsidRPr="00832180" w:rsidRDefault="00832180" w:rsidP="004340C7">
      <w:pPr>
        <w:pStyle w:val="Bibliography"/>
        <w:rPr>
          <w:lang w:val="en-US"/>
        </w:rPr>
      </w:pPr>
      <w:r w:rsidRPr="00832180">
        <w:rPr>
          <w:lang w:val="en-US"/>
        </w:rPr>
        <w:t xml:space="preserve">12. </w:t>
      </w:r>
      <w:r w:rsidRPr="00832180">
        <w:rPr>
          <w:lang w:val="en-US"/>
        </w:rPr>
        <w:tab/>
        <w:t xml:space="preserve">Castro R, Lopes Â, da Luz Martins Pereira F. Evaluation of an immunochromatographic point-of-care test for the simultaneous detection of nontreponemal and treponemal antibodies in patients with syphilis. Sex. Transm. Dis. </w:t>
      </w:r>
      <w:r w:rsidRPr="00832180">
        <w:rPr>
          <w:b/>
          <w:bCs/>
          <w:lang w:val="en-US"/>
        </w:rPr>
        <w:t>2014</w:t>
      </w:r>
      <w:r w:rsidRPr="00832180">
        <w:rPr>
          <w:lang w:val="en-US"/>
        </w:rPr>
        <w:t xml:space="preserve">; 41:467–469. </w:t>
      </w:r>
    </w:p>
    <w:p w14:paraId="6C2747EC" w14:textId="77777777" w:rsidR="00832180" w:rsidRPr="00832180" w:rsidRDefault="00832180" w:rsidP="004340C7">
      <w:pPr>
        <w:pStyle w:val="Bibliography"/>
        <w:rPr>
          <w:lang w:val="en-US"/>
        </w:rPr>
      </w:pPr>
      <w:r w:rsidRPr="00832180">
        <w:rPr>
          <w:lang w:val="en-US"/>
        </w:rPr>
        <w:lastRenderedPageBreak/>
        <w:t xml:space="preserve">13. </w:t>
      </w:r>
      <w:r w:rsidRPr="00832180">
        <w:rPr>
          <w:lang w:val="en-US"/>
        </w:rPr>
        <w:tab/>
        <w:t xml:space="preserve">Causer LM, Kaldor JM, Conway DP, et al. An evaluation of a novel dual treponemal/non-treponemal point-of-care test for syphilis as a tool to distinguish active from past treated infection. Clin. Infect. Dis. Off. Publ. Infect. Dis. Soc. Am. </w:t>
      </w:r>
      <w:r w:rsidRPr="00832180">
        <w:rPr>
          <w:b/>
          <w:bCs/>
          <w:lang w:val="en-US"/>
        </w:rPr>
        <w:t>2015</w:t>
      </w:r>
      <w:r w:rsidRPr="00832180">
        <w:rPr>
          <w:lang w:val="en-US"/>
        </w:rPr>
        <w:t xml:space="preserve">; </w:t>
      </w:r>
    </w:p>
    <w:p w14:paraId="39FF250B" w14:textId="77777777" w:rsidR="00832180" w:rsidRPr="00832180" w:rsidRDefault="00832180" w:rsidP="004340C7">
      <w:pPr>
        <w:pStyle w:val="Bibliography"/>
        <w:rPr>
          <w:lang w:val="en-US"/>
        </w:rPr>
      </w:pPr>
      <w:r w:rsidRPr="00832180">
        <w:rPr>
          <w:lang w:val="en-US"/>
        </w:rPr>
        <w:t xml:space="preserve">14. </w:t>
      </w:r>
      <w:r w:rsidRPr="00832180">
        <w:rPr>
          <w:lang w:val="en-US"/>
        </w:rPr>
        <w:tab/>
        <w:t xml:space="preserve">Yin Y-P, Chen X-S, Wei W-H, et al. A dual point-of-care test shows good performance in simultaneously detecting nontreponemal and treponemal antibodies in patients with syphilis: a multisite evaluation study in China. Clin. Infect. Dis. </w:t>
      </w:r>
      <w:r w:rsidRPr="00832180">
        <w:rPr>
          <w:b/>
          <w:bCs/>
          <w:lang w:val="en-US"/>
        </w:rPr>
        <w:t>2013</w:t>
      </w:r>
      <w:r w:rsidRPr="00832180">
        <w:rPr>
          <w:lang w:val="en-US"/>
        </w:rPr>
        <w:t xml:space="preserve">; 56:659–665. </w:t>
      </w:r>
    </w:p>
    <w:p w14:paraId="0C3CD7AA" w14:textId="77777777" w:rsidR="00832180" w:rsidRPr="00832180" w:rsidRDefault="00832180" w:rsidP="004340C7">
      <w:pPr>
        <w:pStyle w:val="Bibliography"/>
        <w:rPr>
          <w:lang w:val="en-US"/>
        </w:rPr>
      </w:pPr>
      <w:r w:rsidRPr="00832180">
        <w:rPr>
          <w:lang w:val="en-US"/>
        </w:rPr>
        <w:t xml:space="preserve">15. </w:t>
      </w:r>
      <w:r w:rsidRPr="00832180">
        <w:rPr>
          <w:lang w:val="en-US"/>
        </w:rPr>
        <w:tab/>
        <w:t xml:space="preserve">Marks M, Goncalves A, Vahi V, et al. Evaluation of a Rapid Diagnostic Test for Yaws Infection in a Community Surveillance Setting. PLoS Negl Trop Dis </w:t>
      </w:r>
      <w:r w:rsidRPr="00832180">
        <w:rPr>
          <w:b/>
          <w:bCs/>
          <w:lang w:val="en-US"/>
        </w:rPr>
        <w:t>2014</w:t>
      </w:r>
      <w:r w:rsidRPr="00832180">
        <w:rPr>
          <w:lang w:val="en-US"/>
        </w:rPr>
        <w:t xml:space="preserve">; 8:e3156. </w:t>
      </w:r>
    </w:p>
    <w:p w14:paraId="152A3EDF" w14:textId="77777777" w:rsidR="00832180" w:rsidRPr="00832180" w:rsidRDefault="00832180" w:rsidP="004340C7">
      <w:pPr>
        <w:pStyle w:val="Bibliography"/>
        <w:rPr>
          <w:lang w:val="en-US"/>
        </w:rPr>
      </w:pPr>
      <w:r w:rsidRPr="00832180">
        <w:rPr>
          <w:lang w:val="en-US"/>
        </w:rPr>
        <w:t xml:space="preserve">16. </w:t>
      </w:r>
      <w:r w:rsidRPr="00832180">
        <w:rPr>
          <w:lang w:val="en-US"/>
        </w:rPr>
        <w:tab/>
        <w:t xml:space="preserve">Ayove T, Houniei W, Wangnapi R, et al. Sensitivity and specificity of a rapid point-of-care test for active yaws: a comparative study. Lancet Glob. Health </w:t>
      </w:r>
      <w:r w:rsidRPr="00832180">
        <w:rPr>
          <w:b/>
          <w:bCs/>
          <w:lang w:val="en-US"/>
        </w:rPr>
        <w:t>2014</w:t>
      </w:r>
      <w:r w:rsidRPr="00832180">
        <w:rPr>
          <w:lang w:val="en-US"/>
        </w:rPr>
        <w:t xml:space="preserve">; 2:e415–e421. </w:t>
      </w:r>
    </w:p>
    <w:p w14:paraId="10BAA7A3" w14:textId="77777777" w:rsidR="00832180" w:rsidRPr="00832180" w:rsidRDefault="00832180" w:rsidP="004340C7">
      <w:pPr>
        <w:pStyle w:val="Bibliography"/>
        <w:rPr>
          <w:lang w:val="en-US"/>
        </w:rPr>
      </w:pPr>
      <w:r w:rsidRPr="00832180">
        <w:rPr>
          <w:lang w:val="en-US"/>
        </w:rPr>
        <w:t xml:space="preserve">17. </w:t>
      </w:r>
      <w:r w:rsidRPr="00832180">
        <w:rPr>
          <w:lang w:val="en-US"/>
        </w:rPr>
        <w:tab/>
        <w:t xml:space="preserve">Guinard J, Prazuck T, Péré H, et al. Usefulness in clinical practice of a point-of-care rapid test for simultaneous detection of nontreponemal and </w:t>
      </w:r>
      <w:r w:rsidRPr="00832180">
        <w:rPr>
          <w:i/>
          <w:iCs/>
          <w:lang w:val="en-US"/>
        </w:rPr>
        <w:t>Treponema pallidum</w:t>
      </w:r>
      <w:r w:rsidRPr="00832180">
        <w:rPr>
          <w:lang w:val="en-US"/>
        </w:rPr>
        <w:t xml:space="preserve">-specific antibodies in patients suffering from documented syphilis. Int. J. STD AIDS </w:t>
      </w:r>
      <w:r w:rsidRPr="00832180">
        <w:rPr>
          <w:b/>
          <w:bCs/>
          <w:lang w:val="en-US"/>
        </w:rPr>
        <w:t>2013</w:t>
      </w:r>
      <w:r w:rsidRPr="00832180">
        <w:rPr>
          <w:lang w:val="en-US"/>
        </w:rPr>
        <w:t xml:space="preserve">; 24:944–950. </w:t>
      </w:r>
    </w:p>
    <w:p w14:paraId="63BDDBA6" w14:textId="77777777" w:rsidR="00832180" w:rsidRPr="00832180" w:rsidRDefault="00832180" w:rsidP="004340C7">
      <w:pPr>
        <w:pStyle w:val="Bibliography"/>
        <w:rPr>
          <w:lang w:val="en-US"/>
        </w:rPr>
      </w:pPr>
      <w:r w:rsidRPr="00832180">
        <w:rPr>
          <w:lang w:val="en-US"/>
        </w:rPr>
        <w:t xml:space="preserve">18. </w:t>
      </w:r>
      <w:r w:rsidRPr="00832180">
        <w:rPr>
          <w:lang w:val="en-US"/>
        </w:rPr>
        <w:tab/>
        <w:t xml:space="preserve">Causer LM, Kaldor JM, Fairley CK, et al. A Laboratory-Based Evaluation of Four Rapid Point-of-Care Tests for Syphilis. PLoS ONE </w:t>
      </w:r>
      <w:r w:rsidRPr="00832180">
        <w:rPr>
          <w:b/>
          <w:bCs/>
          <w:lang w:val="en-US"/>
        </w:rPr>
        <w:t>2014</w:t>
      </w:r>
      <w:r w:rsidRPr="00832180">
        <w:rPr>
          <w:lang w:val="en-US"/>
        </w:rPr>
        <w:t>; 9. Available at: http://www.ncbi.nlm.nih.gov/pmc/articles/PMC3950184/. Accessed 19 May 2014.</w:t>
      </w:r>
    </w:p>
    <w:p w14:paraId="05A05B6E" w14:textId="77777777" w:rsidR="00832180" w:rsidRPr="00832180" w:rsidRDefault="00832180" w:rsidP="004340C7">
      <w:pPr>
        <w:pStyle w:val="Bibliography"/>
        <w:rPr>
          <w:lang w:val="en-US"/>
        </w:rPr>
      </w:pPr>
      <w:r w:rsidRPr="00832180">
        <w:rPr>
          <w:lang w:val="en-US"/>
        </w:rPr>
        <w:t xml:space="preserve">19. </w:t>
      </w:r>
      <w:r w:rsidRPr="00832180">
        <w:rPr>
          <w:lang w:val="en-US"/>
        </w:rPr>
        <w:tab/>
        <w:t xml:space="preserve">DiGiacomo RF, Lukehart SA, Talburt CD, et al. Chronicity of infection with Treponema paraluis-cuniculi in New Zealand white rabbits. Genitourin. Med. </w:t>
      </w:r>
      <w:r w:rsidRPr="00832180">
        <w:rPr>
          <w:b/>
          <w:bCs/>
          <w:lang w:val="en-US"/>
        </w:rPr>
        <w:t>1985</w:t>
      </w:r>
      <w:r w:rsidRPr="00832180">
        <w:rPr>
          <w:lang w:val="en-US"/>
        </w:rPr>
        <w:t xml:space="preserve">; 61:156–164. </w:t>
      </w:r>
    </w:p>
    <w:p w14:paraId="73E0428E" w14:textId="77777777" w:rsidR="00832180" w:rsidRPr="00832180" w:rsidRDefault="00832180" w:rsidP="004340C7">
      <w:pPr>
        <w:pStyle w:val="Bibliography"/>
        <w:rPr>
          <w:lang w:val="en-US"/>
        </w:rPr>
      </w:pPr>
      <w:r w:rsidRPr="00832180">
        <w:rPr>
          <w:lang w:val="en-US"/>
        </w:rPr>
        <w:t xml:space="preserve">20. </w:t>
      </w:r>
      <w:r w:rsidRPr="00832180">
        <w:rPr>
          <w:lang w:val="en-US"/>
        </w:rPr>
        <w:tab/>
        <w:t xml:space="preserve">Watson-Jones D, Changalucha J, Gumodoka B, et al. Syphilis in pregnancy in Tanzania. I. Impact of maternal syphilis on outcome of pregnancy. J. Infect. Dis. </w:t>
      </w:r>
      <w:r w:rsidRPr="00832180">
        <w:rPr>
          <w:b/>
          <w:bCs/>
          <w:lang w:val="en-US"/>
        </w:rPr>
        <w:t>2002</w:t>
      </w:r>
      <w:r w:rsidRPr="00832180">
        <w:rPr>
          <w:lang w:val="en-US"/>
        </w:rPr>
        <w:t xml:space="preserve">; 186:940–947. </w:t>
      </w:r>
    </w:p>
    <w:p w14:paraId="7D66393E" w14:textId="77777777" w:rsidR="00832180" w:rsidRPr="00832180" w:rsidRDefault="00832180" w:rsidP="004340C7">
      <w:pPr>
        <w:pStyle w:val="Bibliography"/>
        <w:rPr>
          <w:lang w:val="en-US"/>
        </w:rPr>
      </w:pPr>
      <w:r w:rsidRPr="00832180">
        <w:rPr>
          <w:lang w:val="en-US"/>
        </w:rPr>
        <w:t xml:space="preserve">21. </w:t>
      </w:r>
      <w:r w:rsidRPr="00832180">
        <w:rPr>
          <w:lang w:val="en-US"/>
        </w:rPr>
        <w:tab/>
        <w:t xml:space="preserve">Terris-Prestholt F, Vickerman P, Torres-Rueda S, et al. The cost-effectiveness of 10 antenatal syphilis screening and treatment approaches in Peru, Tanzania, and Zambia. Int. J. Gynaecol. Obstet. Off. Organ Int. Fed. Gynaecol. Obstet. </w:t>
      </w:r>
      <w:r w:rsidRPr="00832180">
        <w:rPr>
          <w:b/>
          <w:bCs/>
          <w:lang w:val="en-US"/>
        </w:rPr>
        <w:t>2015</w:t>
      </w:r>
      <w:r w:rsidRPr="00832180">
        <w:rPr>
          <w:lang w:val="en-US"/>
        </w:rPr>
        <w:t xml:space="preserve">; 130 Suppl 1:S73–80. </w:t>
      </w:r>
    </w:p>
    <w:p w14:paraId="55AF02DF" w14:textId="77777777" w:rsidR="00832180" w:rsidRPr="00832180" w:rsidRDefault="00832180" w:rsidP="004340C7">
      <w:pPr>
        <w:pStyle w:val="Bibliography"/>
        <w:rPr>
          <w:lang w:val="en-US"/>
        </w:rPr>
      </w:pPr>
      <w:r w:rsidRPr="00832180">
        <w:rPr>
          <w:lang w:val="en-US"/>
        </w:rPr>
        <w:t xml:space="preserve">22. </w:t>
      </w:r>
      <w:r w:rsidRPr="00832180">
        <w:rPr>
          <w:lang w:val="en-US"/>
        </w:rPr>
        <w:tab/>
        <w:t xml:space="preserve">Yin Y-P, Ngige E, Anyaike C, et al. Laboratory evaluation of three dual rapid diagnostic tests for HIV and syphilis in China and Nigeria. Int. J. Gynecol. Obstet. </w:t>
      </w:r>
      <w:r w:rsidRPr="00832180">
        <w:rPr>
          <w:b/>
          <w:bCs/>
          <w:lang w:val="en-US"/>
        </w:rPr>
        <w:t>2015</w:t>
      </w:r>
      <w:r w:rsidRPr="00832180">
        <w:rPr>
          <w:lang w:val="en-US"/>
        </w:rPr>
        <w:t xml:space="preserve">; 130:S22–S26. </w:t>
      </w:r>
    </w:p>
    <w:p w14:paraId="360E0EE3" w14:textId="77777777" w:rsidR="00832180" w:rsidRPr="00832180" w:rsidRDefault="00832180" w:rsidP="004340C7">
      <w:pPr>
        <w:pStyle w:val="Bibliography"/>
        <w:rPr>
          <w:lang w:val="en-US"/>
        </w:rPr>
      </w:pPr>
      <w:r w:rsidRPr="00832180">
        <w:rPr>
          <w:lang w:val="en-US"/>
        </w:rPr>
        <w:t xml:space="preserve">23. </w:t>
      </w:r>
      <w:r w:rsidRPr="00832180">
        <w:rPr>
          <w:lang w:val="en-US"/>
        </w:rPr>
        <w:tab/>
        <w:t xml:space="preserve">Mitjà O, Asiedu K, Mabey D. Yaws. Lancet </w:t>
      </w:r>
      <w:r w:rsidRPr="00832180">
        <w:rPr>
          <w:b/>
          <w:bCs/>
          <w:lang w:val="en-US"/>
        </w:rPr>
        <w:t>2013</w:t>
      </w:r>
      <w:r w:rsidRPr="00832180">
        <w:rPr>
          <w:lang w:val="en-US"/>
        </w:rPr>
        <w:t xml:space="preserve">; 381:763–773. </w:t>
      </w:r>
    </w:p>
    <w:p w14:paraId="545DE731" w14:textId="77777777" w:rsidR="00832180" w:rsidRPr="00832180" w:rsidRDefault="00832180" w:rsidP="004340C7">
      <w:pPr>
        <w:pStyle w:val="Bibliography"/>
        <w:rPr>
          <w:lang w:val="en-US"/>
        </w:rPr>
      </w:pPr>
      <w:r w:rsidRPr="00832180">
        <w:rPr>
          <w:lang w:val="en-US"/>
        </w:rPr>
        <w:t xml:space="preserve">24. </w:t>
      </w:r>
      <w:r w:rsidRPr="00832180">
        <w:rPr>
          <w:lang w:val="en-US"/>
        </w:rPr>
        <w:tab/>
        <w:t xml:space="preserve">Chandler CIR, Mangham L, Njei AN, Achonduh O, Mbacham WF, Wiseman V. ‘As a clinician, you are not managing lab results, you are managing the patient’: How the enactment of malaria at health facilities in Cameroon </w:t>
      </w:r>
      <w:r w:rsidRPr="00832180">
        <w:rPr>
          <w:lang w:val="en-US"/>
        </w:rPr>
        <w:lastRenderedPageBreak/>
        <w:t xml:space="preserve">compares with new WHO guidelines for the use of malaria tests. Soc. Sci. Med. </w:t>
      </w:r>
      <w:r w:rsidRPr="00832180">
        <w:rPr>
          <w:b/>
          <w:bCs/>
          <w:lang w:val="en-US"/>
        </w:rPr>
        <w:t>2012</w:t>
      </w:r>
      <w:r w:rsidRPr="00832180">
        <w:rPr>
          <w:lang w:val="en-US"/>
        </w:rPr>
        <w:t xml:space="preserve">; 74:1528–1535. </w:t>
      </w:r>
    </w:p>
    <w:p w14:paraId="317B1CA4" w14:textId="77777777" w:rsidR="00832180" w:rsidRPr="00832180" w:rsidRDefault="00832180" w:rsidP="004340C7">
      <w:pPr>
        <w:pStyle w:val="Bibliography"/>
        <w:rPr>
          <w:lang w:val="en-US"/>
        </w:rPr>
      </w:pPr>
      <w:r w:rsidRPr="00832180">
        <w:rPr>
          <w:lang w:val="en-US"/>
        </w:rPr>
        <w:t xml:space="preserve">25. </w:t>
      </w:r>
      <w:r w:rsidRPr="00832180">
        <w:rPr>
          <w:lang w:val="en-US"/>
        </w:rPr>
        <w:tab/>
        <w:t xml:space="preserve">Cundill B, Mbakilwa H, Chandler CI, et al. Prescriber and patient-oriented behavioural interventions to improve use of malaria rapid diagnostic tests in Tanzania: facility-based cluster randomised trial. BMC Med. </w:t>
      </w:r>
      <w:r w:rsidRPr="00832180">
        <w:rPr>
          <w:b/>
          <w:bCs/>
          <w:lang w:val="en-US"/>
        </w:rPr>
        <w:t>2015</w:t>
      </w:r>
      <w:r w:rsidRPr="00832180">
        <w:rPr>
          <w:lang w:val="en-US"/>
        </w:rPr>
        <w:t xml:space="preserve">; 13:118. </w:t>
      </w:r>
    </w:p>
    <w:p w14:paraId="5CAD99DB" w14:textId="77777777" w:rsidR="00BB6B9B" w:rsidRDefault="00131837" w:rsidP="00FD2CAB">
      <w:pPr>
        <w:rPr>
          <w:rFonts w:ascii="Calibri" w:eastAsia="Times New Roman" w:hAnsi="Calibri" w:cs="Times New Roman"/>
          <w:b/>
          <w:bCs/>
          <w:color w:val="000000"/>
        </w:rPr>
      </w:pPr>
      <w:r w:rsidRPr="00396F32">
        <w:rPr>
          <w:rFonts w:ascii="Calibri" w:hAnsi="Calibri"/>
        </w:rPr>
        <w:fldChar w:fldCharType="end"/>
      </w:r>
    </w:p>
    <w:p w14:paraId="0AF457A1" w14:textId="77777777" w:rsidR="00BB6B9B" w:rsidRDefault="00BB6B9B" w:rsidP="00FD2CAB">
      <w:pPr>
        <w:rPr>
          <w:rFonts w:ascii="Calibri" w:eastAsia="Times New Roman" w:hAnsi="Calibri" w:cs="Times New Roman"/>
          <w:b/>
          <w:bCs/>
          <w:color w:val="000000"/>
        </w:rPr>
      </w:pPr>
    </w:p>
    <w:p w14:paraId="5AD272A2" w14:textId="77777777" w:rsidR="00BB6B9B" w:rsidRDefault="00BB6B9B" w:rsidP="00FD2CAB">
      <w:pPr>
        <w:rPr>
          <w:rFonts w:ascii="Calibri" w:eastAsia="Times New Roman" w:hAnsi="Calibri" w:cs="Times New Roman"/>
          <w:b/>
          <w:bCs/>
          <w:color w:val="000000"/>
        </w:rPr>
        <w:sectPr w:rsidR="00BB6B9B" w:rsidSect="00BA1B45">
          <w:footerReference w:type="default" r:id="rId11"/>
          <w:pgSz w:w="11900" w:h="16840"/>
          <w:pgMar w:top="1440" w:right="1800" w:bottom="1440" w:left="1800" w:header="708" w:footer="708" w:gutter="0"/>
          <w:cols w:space="708"/>
          <w:docGrid w:linePitch="360"/>
        </w:sectPr>
      </w:pPr>
    </w:p>
    <w:p w14:paraId="5684A510" w14:textId="77777777" w:rsidR="00CF4E49" w:rsidRDefault="00CF4E49" w:rsidP="00FD2CAB"/>
    <w:tbl>
      <w:tblPr>
        <w:tblW w:w="16941" w:type="dxa"/>
        <w:tblInd w:w="93" w:type="dxa"/>
        <w:tblLayout w:type="fixed"/>
        <w:tblLook w:val="04A0" w:firstRow="1" w:lastRow="0" w:firstColumn="1" w:lastColumn="0" w:noHBand="0" w:noVBand="1"/>
      </w:tblPr>
      <w:tblGrid>
        <w:gridCol w:w="1716"/>
        <w:gridCol w:w="1701"/>
        <w:gridCol w:w="1843"/>
        <w:gridCol w:w="2480"/>
        <w:gridCol w:w="2060"/>
        <w:gridCol w:w="1981"/>
        <w:gridCol w:w="2580"/>
        <w:gridCol w:w="2580"/>
      </w:tblGrid>
      <w:tr w:rsidR="00832180" w:rsidRPr="004606B9" w14:paraId="40AFB199" w14:textId="77777777" w:rsidTr="00832180">
        <w:trPr>
          <w:trHeight w:val="320"/>
        </w:trPr>
        <w:tc>
          <w:tcPr>
            <w:tcW w:w="1716" w:type="dxa"/>
            <w:tcBorders>
              <w:top w:val="nil"/>
              <w:left w:val="nil"/>
              <w:bottom w:val="nil"/>
              <w:right w:val="nil"/>
            </w:tcBorders>
            <w:shd w:val="clear" w:color="auto" w:fill="auto"/>
            <w:noWrap/>
            <w:vAlign w:val="bottom"/>
            <w:hideMark/>
          </w:tcPr>
          <w:p w14:paraId="39BD4C73" w14:textId="77777777" w:rsidR="00832180" w:rsidRPr="004606B9" w:rsidRDefault="00832180" w:rsidP="00FD2CAB">
            <w:pPr>
              <w:rPr>
                <w:rFonts w:ascii="Calibri" w:eastAsia="Times New Roman" w:hAnsi="Calibri" w:cs="Times New Roman"/>
                <w:b/>
                <w:bCs/>
                <w:color w:val="000000"/>
              </w:rPr>
            </w:pPr>
            <w:r w:rsidRPr="004606B9">
              <w:rPr>
                <w:rFonts w:ascii="Calibri" w:eastAsia="Times New Roman" w:hAnsi="Calibri" w:cs="Times New Roman"/>
                <w:b/>
                <w:bCs/>
                <w:color w:val="000000"/>
              </w:rPr>
              <w:t>Table 1</w:t>
            </w:r>
          </w:p>
        </w:tc>
        <w:tc>
          <w:tcPr>
            <w:tcW w:w="3544" w:type="dxa"/>
            <w:gridSpan w:val="2"/>
            <w:tcBorders>
              <w:top w:val="nil"/>
              <w:left w:val="nil"/>
              <w:bottom w:val="nil"/>
              <w:right w:val="nil"/>
            </w:tcBorders>
            <w:shd w:val="clear" w:color="auto" w:fill="auto"/>
            <w:noWrap/>
            <w:vAlign w:val="bottom"/>
            <w:hideMark/>
          </w:tcPr>
          <w:p w14:paraId="2E2AB85C" w14:textId="77777777" w:rsidR="00832180" w:rsidRPr="004606B9" w:rsidRDefault="00832180" w:rsidP="00FD2CAB">
            <w:pPr>
              <w:rPr>
                <w:rFonts w:ascii="Calibri" w:eastAsia="Times New Roman" w:hAnsi="Calibri" w:cs="Times New Roman"/>
                <w:color w:val="000000"/>
              </w:rPr>
            </w:pPr>
            <w:r w:rsidRPr="004606B9">
              <w:rPr>
                <w:rFonts w:ascii="Calibri" w:eastAsia="Times New Roman" w:hAnsi="Calibri" w:cs="Times New Roman"/>
                <w:b/>
                <w:bCs/>
                <w:color w:val="000000"/>
              </w:rPr>
              <w:t>Study Characteristics</w:t>
            </w:r>
          </w:p>
        </w:tc>
        <w:tc>
          <w:tcPr>
            <w:tcW w:w="2480" w:type="dxa"/>
            <w:tcBorders>
              <w:top w:val="nil"/>
              <w:left w:val="nil"/>
              <w:bottom w:val="nil"/>
              <w:right w:val="nil"/>
            </w:tcBorders>
            <w:shd w:val="clear" w:color="auto" w:fill="auto"/>
            <w:noWrap/>
            <w:vAlign w:val="bottom"/>
            <w:hideMark/>
          </w:tcPr>
          <w:p w14:paraId="37EF806F" w14:textId="77777777" w:rsidR="00832180" w:rsidRPr="004606B9" w:rsidRDefault="00832180" w:rsidP="00FD2CAB">
            <w:pPr>
              <w:rPr>
                <w:rFonts w:ascii="Calibri" w:eastAsia="Times New Roman" w:hAnsi="Calibri" w:cs="Times New Roman"/>
                <w:color w:val="000000"/>
              </w:rPr>
            </w:pPr>
          </w:p>
        </w:tc>
        <w:tc>
          <w:tcPr>
            <w:tcW w:w="2060" w:type="dxa"/>
            <w:tcBorders>
              <w:top w:val="nil"/>
              <w:left w:val="nil"/>
              <w:bottom w:val="nil"/>
              <w:right w:val="nil"/>
            </w:tcBorders>
            <w:shd w:val="clear" w:color="auto" w:fill="auto"/>
            <w:noWrap/>
            <w:vAlign w:val="bottom"/>
            <w:hideMark/>
          </w:tcPr>
          <w:p w14:paraId="7A1EE216" w14:textId="77777777" w:rsidR="00832180" w:rsidRPr="004606B9" w:rsidRDefault="00832180" w:rsidP="00FD2CAB">
            <w:pPr>
              <w:rPr>
                <w:rFonts w:ascii="Calibri" w:eastAsia="Times New Roman" w:hAnsi="Calibri" w:cs="Times New Roman"/>
                <w:color w:val="000000"/>
              </w:rPr>
            </w:pPr>
          </w:p>
        </w:tc>
        <w:tc>
          <w:tcPr>
            <w:tcW w:w="1981" w:type="dxa"/>
            <w:tcBorders>
              <w:top w:val="nil"/>
              <w:left w:val="nil"/>
              <w:bottom w:val="nil"/>
              <w:right w:val="nil"/>
            </w:tcBorders>
            <w:shd w:val="clear" w:color="auto" w:fill="auto"/>
            <w:noWrap/>
            <w:vAlign w:val="bottom"/>
            <w:hideMark/>
          </w:tcPr>
          <w:p w14:paraId="0DD455F0" w14:textId="77777777" w:rsidR="00832180" w:rsidRPr="004606B9" w:rsidRDefault="00832180" w:rsidP="00FD2CAB">
            <w:pPr>
              <w:rPr>
                <w:rFonts w:ascii="Calibri" w:eastAsia="Times New Roman" w:hAnsi="Calibri" w:cs="Times New Roman"/>
                <w:color w:val="000000"/>
              </w:rPr>
            </w:pPr>
          </w:p>
        </w:tc>
        <w:tc>
          <w:tcPr>
            <w:tcW w:w="2580" w:type="dxa"/>
            <w:tcBorders>
              <w:top w:val="nil"/>
              <w:left w:val="nil"/>
              <w:bottom w:val="nil"/>
              <w:right w:val="nil"/>
            </w:tcBorders>
          </w:tcPr>
          <w:p w14:paraId="29FC6EA8" w14:textId="77777777" w:rsidR="00832180" w:rsidRPr="004606B9" w:rsidRDefault="00832180" w:rsidP="00FD2CAB">
            <w:pPr>
              <w:rPr>
                <w:rFonts w:ascii="Calibri" w:eastAsia="Times New Roman" w:hAnsi="Calibri" w:cs="Times New Roman"/>
                <w:color w:val="000000"/>
              </w:rPr>
            </w:pPr>
          </w:p>
        </w:tc>
        <w:tc>
          <w:tcPr>
            <w:tcW w:w="2580" w:type="dxa"/>
            <w:tcBorders>
              <w:top w:val="nil"/>
              <w:left w:val="nil"/>
              <w:bottom w:val="nil"/>
              <w:right w:val="nil"/>
            </w:tcBorders>
            <w:shd w:val="clear" w:color="auto" w:fill="auto"/>
            <w:noWrap/>
            <w:vAlign w:val="bottom"/>
            <w:hideMark/>
          </w:tcPr>
          <w:p w14:paraId="25F19A0D" w14:textId="1155F749" w:rsidR="00832180" w:rsidRPr="004606B9" w:rsidRDefault="00832180" w:rsidP="00FD2CAB">
            <w:pPr>
              <w:rPr>
                <w:rFonts w:ascii="Calibri" w:eastAsia="Times New Roman" w:hAnsi="Calibri" w:cs="Times New Roman"/>
                <w:color w:val="000000"/>
              </w:rPr>
            </w:pPr>
          </w:p>
        </w:tc>
      </w:tr>
      <w:tr w:rsidR="00832180" w:rsidRPr="004606B9" w14:paraId="2542321C" w14:textId="77777777" w:rsidTr="00832180">
        <w:trPr>
          <w:trHeight w:val="600"/>
        </w:trPr>
        <w:tc>
          <w:tcPr>
            <w:tcW w:w="171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3D225C" w14:textId="77777777" w:rsidR="00832180" w:rsidRPr="00995A88" w:rsidRDefault="00832180" w:rsidP="00FD2CAB">
            <w:pPr>
              <w:jc w:val="center"/>
              <w:rPr>
                <w:rFonts w:ascii="Cambria" w:eastAsia="Times New Roman" w:hAnsi="Cambria" w:cs="Times New Roman"/>
                <w:b/>
                <w:bCs/>
                <w:color w:val="000000"/>
                <w:sz w:val="22"/>
                <w:szCs w:val="22"/>
              </w:rPr>
            </w:pPr>
            <w:r w:rsidRPr="00995A88">
              <w:rPr>
                <w:rFonts w:ascii="Cambria" w:eastAsia="Times New Roman" w:hAnsi="Cambria" w:cs="Times New Roman"/>
                <w:b/>
                <w:bCs/>
                <w:color w:val="000000"/>
                <w:sz w:val="22"/>
                <w:szCs w:val="22"/>
              </w:rPr>
              <w:t>Study</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75BECDA" w14:textId="77777777" w:rsidR="00832180" w:rsidRPr="00995A88" w:rsidRDefault="00832180" w:rsidP="00FD2CAB">
            <w:pPr>
              <w:jc w:val="center"/>
              <w:rPr>
                <w:rFonts w:ascii="Cambria" w:eastAsia="Times New Roman" w:hAnsi="Cambria" w:cs="Times New Roman"/>
                <w:b/>
                <w:bCs/>
                <w:color w:val="000000"/>
                <w:sz w:val="22"/>
                <w:szCs w:val="22"/>
              </w:rPr>
            </w:pPr>
            <w:r w:rsidRPr="00995A88">
              <w:rPr>
                <w:rFonts w:ascii="Cambria" w:eastAsia="Times New Roman" w:hAnsi="Cambria" w:cs="Times New Roman"/>
                <w:b/>
                <w:bCs/>
                <w:color w:val="000000"/>
                <w:sz w:val="22"/>
                <w:szCs w:val="22"/>
              </w:rPr>
              <w:t>Study Site</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7C9A4155" w14:textId="77777777" w:rsidR="00832180" w:rsidRPr="00995A88" w:rsidRDefault="00832180" w:rsidP="00FD2CAB">
            <w:pPr>
              <w:jc w:val="center"/>
              <w:rPr>
                <w:rFonts w:ascii="Cambria" w:eastAsia="Times New Roman" w:hAnsi="Cambria" w:cs="Times New Roman"/>
                <w:b/>
                <w:bCs/>
                <w:color w:val="000000"/>
                <w:sz w:val="22"/>
                <w:szCs w:val="22"/>
              </w:rPr>
            </w:pPr>
            <w:r w:rsidRPr="00995A88">
              <w:rPr>
                <w:rFonts w:ascii="Cambria" w:eastAsia="Times New Roman" w:hAnsi="Cambria" w:cs="Times New Roman"/>
                <w:b/>
                <w:bCs/>
                <w:color w:val="000000"/>
                <w:sz w:val="22"/>
                <w:szCs w:val="22"/>
              </w:rPr>
              <w:t>Disease</w:t>
            </w:r>
          </w:p>
        </w:tc>
        <w:tc>
          <w:tcPr>
            <w:tcW w:w="2480" w:type="dxa"/>
            <w:tcBorders>
              <w:top w:val="single" w:sz="8" w:space="0" w:color="auto"/>
              <w:left w:val="nil"/>
              <w:bottom w:val="single" w:sz="4" w:space="0" w:color="auto"/>
              <w:right w:val="single" w:sz="4" w:space="0" w:color="auto"/>
            </w:tcBorders>
            <w:shd w:val="clear" w:color="auto" w:fill="auto"/>
            <w:vAlign w:val="center"/>
            <w:hideMark/>
          </w:tcPr>
          <w:p w14:paraId="44C9476D" w14:textId="77777777" w:rsidR="00832180" w:rsidRPr="00995A88" w:rsidRDefault="00832180" w:rsidP="00FD2CAB">
            <w:pPr>
              <w:jc w:val="center"/>
              <w:rPr>
                <w:rFonts w:ascii="Cambria" w:eastAsia="Times New Roman" w:hAnsi="Cambria" w:cs="Times New Roman"/>
                <w:b/>
                <w:bCs/>
                <w:color w:val="000000"/>
                <w:sz w:val="22"/>
                <w:szCs w:val="22"/>
              </w:rPr>
            </w:pPr>
            <w:r w:rsidRPr="00995A88">
              <w:rPr>
                <w:rFonts w:ascii="Cambria" w:eastAsia="Times New Roman" w:hAnsi="Cambria" w:cs="Times New Roman"/>
                <w:b/>
                <w:bCs/>
                <w:color w:val="000000"/>
                <w:sz w:val="22"/>
                <w:szCs w:val="22"/>
              </w:rPr>
              <w:t xml:space="preserve">Reference </w:t>
            </w:r>
            <w:proofErr w:type="spellStart"/>
            <w:r w:rsidRPr="00995A88">
              <w:rPr>
                <w:rFonts w:ascii="Cambria" w:eastAsia="Times New Roman" w:hAnsi="Cambria" w:cs="Times New Roman"/>
                <w:b/>
                <w:bCs/>
                <w:color w:val="000000"/>
                <w:sz w:val="22"/>
                <w:szCs w:val="22"/>
              </w:rPr>
              <w:t>Treponemal</w:t>
            </w:r>
            <w:proofErr w:type="spellEnd"/>
            <w:r w:rsidRPr="00995A88">
              <w:rPr>
                <w:rFonts w:ascii="Cambria" w:eastAsia="Times New Roman" w:hAnsi="Cambria" w:cs="Times New Roman"/>
                <w:b/>
                <w:bCs/>
                <w:color w:val="000000"/>
                <w:sz w:val="22"/>
                <w:szCs w:val="22"/>
              </w:rPr>
              <w:t xml:space="preserve"> Test</w:t>
            </w:r>
          </w:p>
        </w:tc>
        <w:tc>
          <w:tcPr>
            <w:tcW w:w="2060" w:type="dxa"/>
            <w:tcBorders>
              <w:top w:val="single" w:sz="8" w:space="0" w:color="auto"/>
              <w:left w:val="nil"/>
              <w:bottom w:val="single" w:sz="4" w:space="0" w:color="auto"/>
              <w:right w:val="single" w:sz="4" w:space="0" w:color="auto"/>
            </w:tcBorders>
            <w:shd w:val="clear" w:color="auto" w:fill="auto"/>
            <w:vAlign w:val="center"/>
            <w:hideMark/>
          </w:tcPr>
          <w:p w14:paraId="78C5E9A6" w14:textId="77777777" w:rsidR="00832180" w:rsidRPr="00995A88" w:rsidRDefault="00832180" w:rsidP="00FD2CAB">
            <w:pPr>
              <w:jc w:val="center"/>
              <w:rPr>
                <w:rFonts w:ascii="Cambria" w:eastAsia="Times New Roman" w:hAnsi="Cambria" w:cs="Times New Roman"/>
                <w:b/>
                <w:bCs/>
                <w:color w:val="000000"/>
                <w:sz w:val="22"/>
                <w:szCs w:val="22"/>
              </w:rPr>
            </w:pPr>
            <w:r w:rsidRPr="00995A88">
              <w:rPr>
                <w:rFonts w:ascii="Cambria" w:eastAsia="Times New Roman" w:hAnsi="Cambria" w:cs="Times New Roman"/>
                <w:b/>
                <w:bCs/>
                <w:color w:val="000000"/>
                <w:sz w:val="22"/>
                <w:szCs w:val="22"/>
              </w:rPr>
              <w:t>Reference Non-</w:t>
            </w:r>
            <w:proofErr w:type="spellStart"/>
            <w:r w:rsidRPr="00995A88">
              <w:rPr>
                <w:rFonts w:ascii="Cambria" w:eastAsia="Times New Roman" w:hAnsi="Cambria" w:cs="Times New Roman"/>
                <w:b/>
                <w:bCs/>
                <w:color w:val="000000"/>
                <w:sz w:val="22"/>
                <w:szCs w:val="22"/>
              </w:rPr>
              <w:t>Treponemal</w:t>
            </w:r>
            <w:proofErr w:type="spellEnd"/>
            <w:r w:rsidRPr="00995A88">
              <w:rPr>
                <w:rFonts w:ascii="Cambria" w:eastAsia="Times New Roman" w:hAnsi="Cambria" w:cs="Times New Roman"/>
                <w:b/>
                <w:bCs/>
                <w:color w:val="000000"/>
                <w:sz w:val="22"/>
                <w:szCs w:val="22"/>
              </w:rPr>
              <w:t xml:space="preserve"> Test</w:t>
            </w:r>
          </w:p>
        </w:tc>
        <w:tc>
          <w:tcPr>
            <w:tcW w:w="1981" w:type="dxa"/>
            <w:tcBorders>
              <w:top w:val="single" w:sz="8" w:space="0" w:color="auto"/>
              <w:left w:val="nil"/>
              <w:bottom w:val="single" w:sz="4" w:space="0" w:color="auto"/>
              <w:right w:val="single" w:sz="4" w:space="0" w:color="auto"/>
            </w:tcBorders>
            <w:shd w:val="clear" w:color="auto" w:fill="auto"/>
            <w:vAlign w:val="center"/>
            <w:hideMark/>
          </w:tcPr>
          <w:p w14:paraId="5BA18954" w14:textId="77777777" w:rsidR="00832180" w:rsidRPr="00995A88" w:rsidRDefault="00832180" w:rsidP="00FD2CAB">
            <w:pPr>
              <w:jc w:val="center"/>
              <w:rPr>
                <w:rFonts w:ascii="Cambria" w:eastAsia="Times New Roman" w:hAnsi="Cambria" w:cs="Times New Roman"/>
                <w:b/>
                <w:bCs/>
                <w:color w:val="000000"/>
                <w:sz w:val="22"/>
                <w:szCs w:val="22"/>
              </w:rPr>
            </w:pPr>
            <w:r w:rsidRPr="00995A88">
              <w:rPr>
                <w:rFonts w:ascii="Cambria" w:eastAsia="Times New Roman" w:hAnsi="Cambria" w:cs="Times New Roman"/>
                <w:b/>
                <w:bCs/>
                <w:color w:val="000000"/>
                <w:sz w:val="22"/>
                <w:szCs w:val="22"/>
              </w:rPr>
              <w:t>Sample Type</w:t>
            </w:r>
          </w:p>
        </w:tc>
        <w:tc>
          <w:tcPr>
            <w:tcW w:w="2580" w:type="dxa"/>
            <w:tcBorders>
              <w:top w:val="single" w:sz="8" w:space="0" w:color="auto"/>
              <w:left w:val="nil"/>
              <w:bottom w:val="single" w:sz="4" w:space="0" w:color="auto"/>
              <w:right w:val="nil"/>
            </w:tcBorders>
            <w:vAlign w:val="center"/>
          </w:tcPr>
          <w:p w14:paraId="01DAD93E" w14:textId="5C756721" w:rsidR="00832180" w:rsidRPr="00995A88" w:rsidRDefault="00832180" w:rsidP="00FD2CAB">
            <w:pPr>
              <w:jc w:val="center"/>
              <w:rPr>
                <w:rFonts w:ascii="Cambria" w:eastAsia="Times New Roman" w:hAnsi="Cambria" w:cs="Times New Roman"/>
                <w:b/>
                <w:bCs/>
                <w:color w:val="000000"/>
                <w:sz w:val="22"/>
                <w:szCs w:val="22"/>
              </w:rPr>
            </w:pPr>
            <w:r w:rsidRPr="00995A88">
              <w:rPr>
                <w:rFonts w:ascii="Cambria" w:eastAsia="Times New Roman" w:hAnsi="Cambria" w:cs="Times New Roman"/>
                <w:b/>
                <w:bCs/>
                <w:color w:val="000000"/>
                <w:sz w:val="22"/>
                <w:szCs w:val="22"/>
              </w:rPr>
              <w:t>Sample Size</w:t>
            </w:r>
          </w:p>
        </w:tc>
        <w:tc>
          <w:tcPr>
            <w:tcW w:w="2580" w:type="dxa"/>
            <w:tcBorders>
              <w:top w:val="single" w:sz="8" w:space="0" w:color="auto"/>
              <w:left w:val="nil"/>
              <w:bottom w:val="single" w:sz="4" w:space="0" w:color="auto"/>
              <w:right w:val="single" w:sz="8" w:space="0" w:color="auto"/>
            </w:tcBorders>
            <w:shd w:val="clear" w:color="auto" w:fill="auto"/>
            <w:vAlign w:val="center"/>
          </w:tcPr>
          <w:p w14:paraId="5F1E3773" w14:textId="3A60D44F" w:rsidR="00832180" w:rsidRPr="00995A88" w:rsidRDefault="00832180" w:rsidP="00FD2CAB">
            <w:pPr>
              <w:jc w:val="center"/>
              <w:rPr>
                <w:rFonts w:ascii="Cambria" w:eastAsia="Times New Roman" w:hAnsi="Cambria" w:cs="Times New Roman"/>
                <w:b/>
                <w:bCs/>
                <w:color w:val="000000"/>
                <w:sz w:val="22"/>
                <w:szCs w:val="22"/>
              </w:rPr>
            </w:pPr>
            <w:r>
              <w:rPr>
                <w:rFonts w:ascii="Cambria" w:eastAsia="Times New Roman" w:hAnsi="Cambria" w:cs="Times New Roman"/>
                <w:b/>
                <w:bCs/>
                <w:color w:val="000000"/>
                <w:sz w:val="22"/>
                <w:szCs w:val="22"/>
              </w:rPr>
              <w:t>Year of Publication</w:t>
            </w:r>
          </w:p>
        </w:tc>
      </w:tr>
      <w:tr w:rsidR="00832180" w:rsidRPr="004606B9" w14:paraId="0DBFC780" w14:textId="77777777" w:rsidTr="00517CDF">
        <w:trPr>
          <w:trHeight w:val="300"/>
        </w:trPr>
        <w:tc>
          <w:tcPr>
            <w:tcW w:w="1716" w:type="dxa"/>
            <w:vMerge w:val="restart"/>
            <w:tcBorders>
              <w:top w:val="nil"/>
              <w:left w:val="single" w:sz="8" w:space="0" w:color="auto"/>
              <w:bottom w:val="single" w:sz="4" w:space="0" w:color="auto"/>
              <w:right w:val="single" w:sz="4" w:space="0" w:color="auto"/>
            </w:tcBorders>
            <w:shd w:val="clear" w:color="auto" w:fill="auto"/>
            <w:vAlign w:val="center"/>
            <w:hideMark/>
          </w:tcPr>
          <w:p w14:paraId="77893542" w14:textId="4A7FA9F9" w:rsidR="00832180" w:rsidRPr="00995A88" w:rsidRDefault="00832180" w:rsidP="00FD2CAB">
            <w:pPr>
              <w:jc w:val="center"/>
              <w:rPr>
                <w:rFonts w:ascii="Cambria" w:eastAsia="Times New Roman" w:hAnsi="Cambria" w:cs="Times New Roman"/>
                <w:color w:val="000000"/>
                <w:sz w:val="22"/>
                <w:szCs w:val="22"/>
              </w:rPr>
            </w:pPr>
            <w:proofErr w:type="spellStart"/>
            <w:r w:rsidRPr="00995A88">
              <w:rPr>
                <w:rFonts w:ascii="Cambria" w:eastAsia="Times New Roman" w:hAnsi="Cambria" w:cs="Times New Roman"/>
                <w:color w:val="000000"/>
                <w:sz w:val="22"/>
                <w:szCs w:val="22"/>
              </w:rPr>
              <w:t>Ayove</w:t>
            </w:r>
            <w:proofErr w:type="spellEnd"/>
            <w:r>
              <w:rPr>
                <w:rFonts w:ascii="Cambria" w:eastAsia="Times New Roman" w:hAnsi="Cambria" w:cs="Times New Roman"/>
                <w:color w:val="000000"/>
                <w:sz w:val="22"/>
                <w:szCs w:val="22"/>
              </w:rPr>
              <w:t xml:space="preserve"> </w:t>
            </w:r>
            <w:r>
              <w:rPr>
                <w:rFonts w:ascii="Cambria" w:eastAsia="Times New Roman" w:hAnsi="Cambria" w:cs="Times New Roman"/>
                <w:color w:val="000000"/>
                <w:sz w:val="22"/>
                <w:szCs w:val="22"/>
              </w:rPr>
              <w:fldChar w:fldCharType="begin"/>
            </w:r>
            <w:r>
              <w:rPr>
                <w:rFonts w:ascii="Cambria" w:eastAsia="Times New Roman" w:hAnsi="Cambria" w:cs="Times New Roman"/>
                <w:color w:val="000000"/>
                <w:sz w:val="22"/>
                <w:szCs w:val="22"/>
              </w:rPr>
              <w:instrText xml:space="preserve"> ADDIN ZOTERO_ITEM CSL_CITATION {"citationID":"2bk9hg13e4","properties":{"formattedCitation":"[16]","plainCitation":"[16]"},"citationItems":[{"id":2592,"uris":["http://zotero.org/users/38820/items/AJ3MJTD9"],"uri":["http://zotero.org/users/38820/items/AJ3MJTD9"],"itemData":{"id":2592,"type":"article-journal","title":"Sensitivity and specificity of a rapid point-of-care test for active yaws: a comparative study","container-title":"The Lancet Global Health","page":"e415-e421","volume":"2","issue":"7","source":"CrossRef","DOI":"10.1016/S2214-109X(14)70231-1","ISSN":"2214109X","shortTitle":"Sensitivity and specificity of a rapid point-of-care test for active yaws","language":"en","author":[{"family":"Ayove","given":"Telek"},{"family":"Houniei","given":"Wendy"},{"family":"Wangnapi","given":"Regina"},{"family":"Bieb","given":"Sibauk V"},{"family":"Kazadi","given":"Walter"},{"family":"Luke","given":"Lisol-Nirau"},{"family":"Manineng","given":"Clement"},{"family":"Moses","given":"Penias"},{"family":"Paru","given":"Raymond"},{"family":"Esfandiari","given":"Javan"},{"family":"Alonso","given":"Pedro L"},{"family":"Lazzari","given":"Elisa","non-dropping-particle":"de"},{"family":"Bassat","given":"Quique"},{"family":"Mabey","given":"David"},{"family":"Mitjà","given":"Oriol"}],"issued":{"date-parts":[["2014",7]]}}}],"schema":"https://github.com/citation-style-language/schema/raw/master/csl-citation.json"} </w:instrText>
            </w:r>
            <w:r>
              <w:rPr>
                <w:rFonts w:ascii="Cambria" w:eastAsia="Times New Roman" w:hAnsi="Cambria" w:cs="Times New Roman"/>
                <w:color w:val="000000"/>
                <w:sz w:val="22"/>
                <w:szCs w:val="22"/>
              </w:rPr>
              <w:fldChar w:fldCharType="separate"/>
            </w:r>
            <w:r>
              <w:rPr>
                <w:rFonts w:ascii="Cambria" w:eastAsia="Times New Roman" w:hAnsi="Cambria" w:cs="Times New Roman"/>
                <w:noProof/>
                <w:color w:val="000000"/>
                <w:sz w:val="22"/>
                <w:szCs w:val="22"/>
              </w:rPr>
              <w:t>[16]</w:t>
            </w:r>
            <w:r>
              <w:rPr>
                <w:rFonts w:ascii="Cambria" w:eastAsia="Times New Roman" w:hAnsi="Cambria" w:cs="Times New Roman"/>
                <w:color w:val="000000"/>
                <w:sz w:val="22"/>
                <w:szCs w:val="22"/>
              </w:rPr>
              <w:fldChar w:fldCharType="end"/>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CD240E"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Papua New Guinea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9ED0954"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Yaws</w:t>
            </w:r>
          </w:p>
        </w:tc>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8B7FA1"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TPHA</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AC3275"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RPR</w:t>
            </w:r>
          </w:p>
        </w:tc>
        <w:tc>
          <w:tcPr>
            <w:tcW w:w="1981" w:type="dxa"/>
            <w:tcBorders>
              <w:top w:val="nil"/>
              <w:left w:val="nil"/>
              <w:bottom w:val="single" w:sz="4" w:space="0" w:color="auto"/>
              <w:right w:val="single" w:sz="4" w:space="0" w:color="auto"/>
            </w:tcBorders>
            <w:shd w:val="clear" w:color="auto" w:fill="auto"/>
            <w:vAlign w:val="center"/>
            <w:hideMark/>
          </w:tcPr>
          <w:p w14:paraId="70188CB7"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Finger-Prick</w:t>
            </w:r>
          </w:p>
        </w:tc>
        <w:tc>
          <w:tcPr>
            <w:tcW w:w="2580" w:type="dxa"/>
            <w:tcBorders>
              <w:top w:val="nil"/>
              <w:left w:val="nil"/>
              <w:bottom w:val="single" w:sz="4" w:space="0" w:color="auto"/>
              <w:right w:val="nil"/>
            </w:tcBorders>
            <w:vAlign w:val="center"/>
          </w:tcPr>
          <w:p w14:paraId="22464A02" w14:textId="1F024A16"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199</w:t>
            </w:r>
          </w:p>
        </w:tc>
        <w:tc>
          <w:tcPr>
            <w:tcW w:w="2580" w:type="dxa"/>
            <w:vMerge w:val="restart"/>
            <w:tcBorders>
              <w:top w:val="nil"/>
              <w:left w:val="nil"/>
              <w:right w:val="single" w:sz="8" w:space="0" w:color="auto"/>
            </w:tcBorders>
            <w:shd w:val="clear" w:color="auto" w:fill="auto"/>
            <w:vAlign w:val="center"/>
          </w:tcPr>
          <w:p w14:paraId="78DB3CFE" w14:textId="2FBD9FA2" w:rsidR="00832180" w:rsidRPr="00995A88" w:rsidRDefault="00832180"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2014</w:t>
            </w:r>
          </w:p>
        </w:tc>
      </w:tr>
      <w:tr w:rsidR="00832180" w:rsidRPr="004606B9" w14:paraId="0799B2B0" w14:textId="77777777" w:rsidTr="00517CDF">
        <w:trPr>
          <w:trHeight w:val="300"/>
        </w:trPr>
        <w:tc>
          <w:tcPr>
            <w:tcW w:w="1716" w:type="dxa"/>
            <w:vMerge/>
            <w:tcBorders>
              <w:top w:val="nil"/>
              <w:left w:val="single" w:sz="8" w:space="0" w:color="auto"/>
              <w:bottom w:val="single" w:sz="4" w:space="0" w:color="auto"/>
              <w:right w:val="single" w:sz="4" w:space="0" w:color="auto"/>
            </w:tcBorders>
            <w:vAlign w:val="center"/>
            <w:hideMark/>
          </w:tcPr>
          <w:p w14:paraId="11552A48" w14:textId="77777777" w:rsidR="00832180" w:rsidRPr="00995A88" w:rsidRDefault="00832180" w:rsidP="00FD2CAB">
            <w:pPr>
              <w:rPr>
                <w:rFonts w:ascii="Cambria" w:eastAsia="Times New Roman" w:hAnsi="Cambria" w:cs="Times New Roman"/>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0B43C927" w14:textId="77777777" w:rsidR="00832180" w:rsidRPr="00995A88" w:rsidRDefault="00832180" w:rsidP="00FD2CAB">
            <w:pPr>
              <w:rPr>
                <w:rFonts w:ascii="Cambria" w:eastAsia="Times New Roman" w:hAnsi="Cambria" w:cs="Times New Roman"/>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2888B19" w14:textId="77777777" w:rsidR="00832180" w:rsidRPr="00995A88" w:rsidRDefault="00832180" w:rsidP="00FD2CAB">
            <w:pPr>
              <w:rPr>
                <w:rFonts w:ascii="Cambria" w:eastAsia="Times New Roman" w:hAnsi="Cambria" w:cs="Times New Roman"/>
                <w:color w:val="000000"/>
                <w:sz w:val="22"/>
                <w:szCs w:val="22"/>
              </w:rPr>
            </w:pPr>
          </w:p>
        </w:tc>
        <w:tc>
          <w:tcPr>
            <w:tcW w:w="2480" w:type="dxa"/>
            <w:vMerge/>
            <w:tcBorders>
              <w:top w:val="nil"/>
              <w:left w:val="single" w:sz="4" w:space="0" w:color="auto"/>
              <w:bottom w:val="single" w:sz="4" w:space="0" w:color="000000"/>
              <w:right w:val="single" w:sz="4" w:space="0" w:color="auto"/>
            </w:tcBorders>
            <w:vAlign w:val="center"/>
            <w:hideMark/>
          </w:tcPr>
          <w:p w14:paraId="0B4D2530" w14:textId="77777777" w:rsidR="00832180" w:rsidRPr="00995A88" w:rsidRDefault="00832180" w:rsidP="00FD2CAB">
            <w:pPr>
              <w:rPr>
                <w:rFonts w:ascii="Calibri" w:eastAsia="Times New Roman" w:hAnsi="Calibri" w:cs="Times New Roman"/>
                <w:color w:val="00000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14:paraId="29985384" w14:textId="77777777" w:rsidR="00832180" w:rsidRPr="00995A88" w:rsidRDefault="00832180" w:rsidP="00FD2CAB">
            <w:pPr>
              <w:rPr>
                <w:rFonts w:ascii="Calibri" w:eastAsia="Times New Roman" w:hAnsi="Calibri" w:cs="Times New Roman"/>
                <w:color w:val="000000"/>
                <w:sz w:val="22"/>
                <w:szCs w:val="22"/>
              </w:rPr>
            </w:pPr>
          </w:p>
        </w:tc>
        <w:tc>
          <w:tcPr>
            <w:tcW w:w="1981" w:type="dxa"/>
            <w:tcBorders>
              <w:top w:val="nil"/>
              <w:left w:val="nil"/>
              <w:bottom w:val="single" w:sz="4" w:space="0" w:color="auto"/>
              <w:right w:val="single" w:sz="4" w:space="0" w:color="auto"/>
            </w:tcBorders>
            <w:shd w:val="clear" w:color="auto" w:fill="auto"/>
            <w:vAlign w:val="center"/>
            <w:hideMark/>
          </w:tcPr>
          <w:p w14:paraId="53C8C7D1"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Plasma</w:t>
            </w:r>
          </w:p>
        </w:tc>
        <w:tc>
          <w:tcPr>
            <w:tcW w:w="2580" w:type="dxa"/>
            <w:tcBorders>
              <w:top w:val="nil"/>
              <w:left w:val="nil"/>
              <w:bottom w:val="single" w:sz="4" w:space="0" w:color="auto"/>
              <w:right w:val="nil"/>
            </w:tcBorders>
            <w:vAlign w:val="center"/>
          </w:tcPr>
          <w:p w14:paraId="6085D7BA" w14:textId="35E0F374"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504</w:t>
            </w:r>
          </w:p>
        </w:tc>
        <w:tc>
          <w:tcPr>
            <w:tcW w:w="2580" w:type="dxa"/>
            <w:vMerge/>
            <w:tcBorders>
              <w:left w:val="nil"/>
              <w:bottom w:val="single" w:sz="4" w:space="0" w:color="auto"/>
              <w:right w:val="single" w:sz="8" w:space="0" w:color="auto"/>
            </w:tcBorders>
            <w:shd w:val="clear" w:color="auto" w:fill="auto"/>
            <w:vAlign w:val="center"/>
          </w:tcPr>
          <w:p w14:paraId="58A68719" w14:textId="6A99E996" w:rsidR="00832180" w:rsidRPr="00995A88" w:rsidRDefault="00832180" w:rsidP="00FD2CAB">
            <w:pPr>
              <w:jc w:val="center"/>
              <w:rPr>
                <w:rFonts w:ascii="Cambria" w:eastAsia="Times New Roman" w:hAnsi="Cambria" w:cs="Times New Roman"/>
                <w:color w:val="000000"/>
                <w:sz w:val="22"/>
                <w:szCs w:val="22"/>
              </w:rPr>
            </w:pPr>
          </w:p>
        </w:tc>
      </w:tr>
      <w:tr w:rsidR="00832180" w:rsidRPr="004606B9" w14:paraId="211EC10B" w14:textId="77777777" w:rsidTr="00832180">
        <w:trPr>
          <w:trHeight w:val="300"/>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2E68ACEE"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Aziz</w:t>
            </w:r>
          </w:p>
        </w:tc>
        <w:tc>
          <w:tcPr>
            <w:tcW w:w="1701" w:type="dxa"/>
            <w:tcBorders>
              <w:top w:val="nil"/>
              <w:left w:val="nil"/>
              <w:bottom w:val="single" w:sz="4" w:space="0" w:color="auto"/>
              <w:right w:val="single" w:sz="4" w:space="0" w:color="auto"/>
            </w:tcBorders>
            <w:shd w:val="clear" w:color="auto" w:fill="auto"/>
            <w:vAlign w:val="center"/>
            <w:hideMark/>
          </w:tcPr>
          <w:p w14:paraId="00BEF9A3"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Ghana</w:t>
            </w:r>
          </w:p>
        </w:tc>
        <w:tc>
          <w:tcPr>
            <w:tcW w:w="1843" w:type="dxa"/>
            <w:tcBorders>
              <w:top w:val="nil"/>
              <w:left w:val="nil"/>
              <w:bottom w:val="single" w:sz="4" w:space="0" w:color="auto"/>
              <w:right w:val="single" w:sz="4" w:space="0" w:color="auto"/>
            </w:tcBorders>
            <w:shd w:val="clear" w:color="auto" w:fill="auto"/>
            <w:vAlign w:val="center"/>
            <w:hideMark/>
          </w:tcPr>
          <w:p w14:paraId="397B8728"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Yaws</w:t>
            </w:r>
          </w:p>
        </w:tc>
        <w:tc>
          <w:tcPr>
            <w:tcW w:w="2480" w:type="dxa"/>
            <w:tcBorders>
              <w:top w:val="nil"/>
              <w:left w:val="nil"/>
              <w:bottom w:val="single" w:sz="4" w:space="0" w:color="auto"/>
              <w:right w:val="single" w:sz="4" w:space="0" w:color="auto"/>
            </w:tcBorders>
            <w:shd w:val="clear" w:color="auto" w:fill="auto"/>
            <w:noWrap/>
            <w:vAlign w:val="bottom"/>
            <w:hideMark/>
          </w:tcPr>
          <w:p w14:paraId="52FCD210"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TPPA</w:t>
            </w:r>
          </w:p>
        </w:tc>
        <w:tc>
          <w:tcPr>
            <w:tcW w:w="2060" w:type="dxa"/>
            <w:tcBorders>
              <w:top w:val="nil"/>
              <w:left w:val="nil"/>
              <w:bottom w:val="single" w:sz="4" w:space="0" w:color="auto"/>
              <w:right w:val="single" w:sz="4" w:space="0" w:color="auto"/>
            </w:tcBorders>
            <w:shd w:val="clear" w:color="auto" w:fill="auto"/>
            <w:noWrap/>
            <w:vAlign w:val="bottom"/>
            <w:hideMark/>
          </w:tcPr>
          <w:p w14:paraId="48138E86"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RPR</w:t>
            </w:r>
          </w:p>
        </w:tc>
        <w:tc>
          <w:tcPr>
            <w:tcW w:w="1981" w:type="dxa"/>
            <w:tcBorders>
              <w:top w:val="nil"/>
              <w:left w:val="nil"/>
              <w:bottom w:val="single" w:sz="4" w:space="0" w:color="auto"/>
              <w:right w:val="single" w:sz="4" w:space="0" w:color="auto"/>
            </w:tcBorders>
            <w:shd w:val="clear" w:color="auto" w:fill="auto"/>
            <w:vAlign w:val="center"/>
            <w:hideMark/>
          </w:tcPr>
          <w:p w14:paraId="314F74EF"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Finger-Prick</w:t>
            </w:r>
          </w:p>
        </w:tc>
        <w:tc>
          <w:tcPr>
            <w:tcW w:w="2580" w:type="dxa"/>
            <w:tcBorders>
              <w:top w:val="nil"/>
              <w:left w:val="nil"/>
              <w:bottom w:val="single" w:sz="4" w:space="0" w:color="auto"/>
              <w:right w:val="nil"/>
            </w:tcBorders>
            <w:vAlign w:val="center"/>
          </w:tcPr>
          <w:p w14:paraId="05EF54AA" w14:textId="11E86B3B"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255</w:t>
            </w:r>
          </w:p>
        </w:tc>
        <w:tc>
          <w:tcPr>
            <w:tcW w:w="2580" w:type="dxa"/>
            <w:tcBorders>
              <w:top w:val="nil"/>
              <w:left w:val="nil"/>
              <w:bottom w:val="single" w:sz="4" w:space="0" w:color="auto"/>
              <w:right w:val="single" w:sz="8" w:space="0" w:color="auto"/>
            </w:tcBorders>
            <w:shd w:val="clear" w:color="auto" w:fill="auto"/>
            <w:vAlign w:val="center"/>
          </w:tcPr>
          <w:p w14:paraId="5045CEE3" w14:textId="2DA30DA3" w:rsidR="00832180" w:rsidRPr="00995A88" w:rsidRDefault="00832180"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Unpublished Data</w:t>
            </w:r>
          </w:p>
        </w:tc>
      </w:tr>
      <w:tr w:rsidR="00832180" w:rsidRPr="004606B9" w14:paraId="6ADD6434" w14:textId="77777777" w:rsidTr="00832180">
        <w:trPr>
          <w:trHeight w:val="300"/>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33E09006" w14:textId="08B03D68"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Castro</w:t>
            </w:r>
            <w:r>
              <w:rPr>
                <w:rFonts w:ascii="Cambria" w:eastAsia="Times New Roman" w:hAnsi="Cambria" w:cs="Times New Roman"/>
                <w:color w:val="000000"/>
                <w:sz w:val="22"/>
                <w:szCs w:val="22"/>
              </w:rPr>
              <w:t xml:space="preserve"> </w:t>
            </w:r>
            <w:r>
              <w:rPr>
                <w:rFonts w:ascii="Cambria" w:eastAsia="Times New Roman" w:hAnsi="Cambria" w:cs="Times New Roman"/>
                <w:color w:val="000000"/>
                <w:sz w:val="22"/>
                <w:szCs w:val="22"/>
              </w:rPr>
              <w:fldChar w:fldCharType="begin"/>
            </w:r>
            <w:r>
              <w:rPr>
                <w:rFonts w:ascii="Cambria" w:eastAsia="Times New Roman" w:hAnsi="Cambria" w:cs="Times New Roman"/>
                <w:color w:val="000000"/>
                <w:sz w:val="22"/>
                <w:szCs w:val="22"/>
              </w:rPr>
              <w:instrText xml:space="preserve"> ADDIN ZOTERO_ITEM CSL_CITATION {"citationID":"1hubqnanok","properties":{"formattedCitation":"[10]","plainCitation":"[10]"},"citationItems":[{"id":797,"uris":["http://zotero.org/users/38820/items/QZWGPW34"],"uri":["http://zotero.org/users/38820/items/QZWGPW34"],"itemData":{"id":797,"type":"article-journal","title":"Novel Point-of-Care Test for Simultaneous Detection of Nontreponemal and Treponemal Antibodies in Patients with Syphilis","container-title":"Journal of Clinical Microbiology","page":"4615-4619","volume":"48","issue":"12","source":"jcm.asm.org","abstract":"We describe a point-of-care immunochromatographic test for the simultaneous detection of both nontreponemal and treponemal antibodies in the sera of patients with syphilis that acts as both a screening and a confirmatory test. A total of 1,601 banked serum samples were examined by the dual test, and the results were compared to those obtained using a quantitative rapid plasma reagin (RPR) test and the Treponema pallidum passive particle agglutination (TP-PA) assay. Compared to the RPR test, the reactive concordance of the dual test nontreponemal line was 98.4% when the RPR titers of sera were ≥1:2 and the nonreactive concordance was 98.6%. Compared to the TP-PA assay, the reactive and nonreactive concordances of the treponemal line were 96.5% and 95.5%, respectively. These results indicate that the dual test could be used for the serological diagnosis of syphilis in primary health care clinics or resource-poor settings and therefore improve rates of treatment where patients may fail to return for their laboratory results.","DOI":"10.1128/JCM.00624-10","ISSN":"0095-1137, 1098-660X","note":"PMID: 20881177","journalAbbreviation":"J. Clin. Microbiol.","language":"en","author":[{"family":"Castro","given":"Arnold R."},{"family":"Esfandiari","given":"Javan"},{"family":"Kumar","given":"Shailendra"},{"family":"Ashton","given":"Matthew"},{"family":"Kikkert","given":"Susan E."},{"family":"Park","given":"Mahin M."},{"family":"Ballard","given":"Ronald C."}],"issued":{"date-parts":[["2010",1,12]]},"PMID":"20881177"}}],"schema":"https://github.com/citation-style-language/schema/raw/master/csl-citation.json"} </w:instrText>
            </w:r>
            <w:r>
              <w:rPr>
                <w:rFonts w:ascii="Cambria" w:eastAsia="Times New Roman" w:hAnsi="Cambria" w:cs="Times New Roman"/>
                <w:color w:val="000000"/>
                <w:sz w:val="22"/>
                <w:szCs w:val="22"/>
              </w:rPr>
              <w:fldChar w:fldCharType="separate"/>
            </w:r>
            <w:r>
              <w:rPr>
                <w:rFonts w:ascii="Cambria" w:eastAsia="Times New Roman" w:hAnsi="Cambria" w:cs="Times New Roman"/>
                <w:noProof/>
                <w:color w:val="000000"/>
                <w:sz w:val="22"/>
                <w:szCs w:val="22"/>
              </w:rPr>
              <w:t>[10]</w:t>
            </w:r>
            <w:r>
              <w:rPr>
                <w:rFonts w:ascii="Cambria" w:eastAsia="Times New Roman" w:hAnsi="Cambria" w:cs="Times New Roman"/>
                <w:color w:val="000000"/>
                <w:sz w:val="22"/>
                <w:szCs w:val="22"/>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49020587"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United States</w:t>
            </w:r>
          </w:p>
        </w:tc>
        <w:tc>
          <w:tcPr>
            <w:tcW w:w="1843" w:type="dxa"/>
            <w:tcBorders>
              <w:top w:val="nil"/>
              <w:left w:val="nil"/>
              <w:bottom w:val="single" w:sz="4" w:space="0" w:color="auto"/>
              <w:right w:val="single" w:sz="4" w:space="0" w:color="auto"/>
            </w:tcBorders>
            <w:shd w:val="clear" w:color="auto" w:fill="auto"/>
            <w:vAlign w:val="center"/>
            <w:hideMark/>
          </w:tcPr>
          <w:p w14:paraId="6D9AF397"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Syphilis</w:t>
            </w:r>
          </w:p>
        </w:tc>
        <w:tc>
          <w:tcPr>
            <w:tcW w:w="2480" w:type="dxa"/>
            <w:tcBorders>
              <w:top w:val="nil"/>
              <w:left w:val="nil"/>
              <w:bottom w:val="single" w:sz="4" w:space="0" w:color="auto"/>
              <w:right w:val="single" w:sz="4" w:space="0" w:color="auto"/>
            </w:tcBorders>
            <w:shd w:val="clear" w:color="auto" w:fill="auto"/>
            <w:noWrap/>
            <w:vAlign w:val="bottom"/>
            <w:hideMark/>
          </w:tcPr>
          <w:p w14:paraId="6C7FE91B"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TPPA</w:t>
            </w:r>
          </w:p>
        </w:tc>
        <w:tc>
          <w:tcPr>
            <w:tcW w:w="2060" w:type="dxa"/>
            <w:tcBorders>
              <w:top w:val="nil"/>
              <w:left w:val="nil"/>
              <w:bottom w:val="single" w:sz="4" w:space="0" w:color="auto"/>
              <w:right w:val="single" w:sz="4" w:space="0" w:color="auto"/>
            </w:tcBorders>
            <w:shd w:val="clear" w:color="auto" w:fill="auto"/>
            <w:noWrap/>
            <w:vAlign w:val="bottom"/>
            <w:hideMark/>
          </w:tcPr>
          <w:p w14:paraId="021E9764"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RPR</w:t>
            </w:r>
          </w:p>
        </w:tc>
        <w:tc>
          <w:tcPr>
            <w:tcW w:w="1981" w:type="dxa"/>
            <w:tcBorders>
              <w:top w:val="nil"/>
              <w:left w:val="nil"/>
              <w:bottom w:val="single" w:sz="4" w:space="0" w:color="auto"/>
              <w:right w:val="single" w:sz="4" w:space="0" w:color="auto"/>
            </w:tcBorders>
            <w:shd w:val="clear" w:color="auto" w:fill="auto"/>
            <w:vAlign w:val="center"/>
            <w:hideMark/>
          </w:tcPr>
          <w:p w14:paraId="6AA27E10"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Serum</w:t>
            </w:r>
          </w:p>
        </w:tc>
        <w:tc>
          <w:tcPr>
            <w:tcW w:w="2580" w:type="dxa"/>
            <w:tcBorders>
              <w:top w:val="nil"/>
              <w:left w:val="nil"/>
              <w:bottom w:val="single" w:sz="4" w:space="0" w:color="auto"/>
              <w:right w:val="nil"/>
            </w:tcBorders>
            <w:vAlign w:val="center"/>
          </w:tcPr>
          <w:p w14:paraId="2A948531" w14:textId="40E0AA53" w:rsidR="00832180" w:rsidRPr="00995A88" w:rsidRDefault="00B4588B"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1168*</w:t>
            </w:r>
          </w:p>
        </w:tc>
        <w:tc>
          <w:tcPr>
            <w:tcW w:w="2580" w:type="dxa"/>
            <w:tcBorders>
              <w:top w:val="nil"/>
              <w:left w:val="nil"/>
              <w:bottom w:val="single" w:sz="4" w:space="0" w:color="auto"/>
              <w:right w:val="single" w:sz="8" w:space="0" w:color="auto"/>
            </w:tcBorders>
            <w:shd w:val="clear" w:color="auto" w:fill="auto"/>
            <w:vAlign w:val="center"/>
          </w:tcPr>
          <w:p w14:paraId="76CB287E" w14:textId="2057EA8B" w:rsidR="00832180" w:rsidRPr="00995A88" w:rsidRDefault="00832180"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2010</w:t>
            </w:r>
          </w:p>
        </w:tc>
      </w:tr>
      <w:tr w:rsidR="00832180" w:rsidRPr="004606B9" w14:paraId="5D2404F5" w14:textId="77777777" w:rsidTr="00832180">
        <w:trPr>
          <w:trHeight w:val="300"/>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4A5A179A" w14:textId="794E8C0C"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Castro</w:t>
            </w:r>
            <w:r>
              <w:rPr>
                <w:rFonts w:ascii="Cambria" w:eastAsia="Times New Roman" w:hAnsi="Cambria" w:cs="Times New Roman"/>
                <w:color w:val="000000"/>
                <w:sz w:val="22"/>
                <w:szCs w:val="22"/>
              </w:rPr>
              <w:t xml:space="preserve"> </w:t>
            </w:r>
            <w:r>
              <w:rPr>
                <w:rFonts w:ascii="Cambria" w:eastAsia="Times New Roman" w:hAnsi="Cambria" w:cs="Times New Roman"/>
                <w:color w:val="000000"/>
                <w:sz w:val="22"/>
                <w:szCs w:val="22"/>
              </w:rPr>
              <w:fldChar w:fldCharType="begin"/>
            </w:r>
            <w:r>
              <w:rPr>
                <w:rFonts w:ascii="Cambria" w:eastAsia="Times New Roman" w:hAnsi="Cambria" w:cs="Times New Roman"/>
                <w:color w:val="000000"/>
                <w:sz w:val="22"/>
                <w:szCs w:val="22"/>
              </w:rPr>
              <w:instrText xml:space="preserve"> ADDIN ZOTERO_ITEM CSL_CITATION {"citationID":"2lh635njc0","properties":{"formattedCitation":"[12]","plainCitation":"[12]"},"citationItems":[{"id":3266,"uris":["http://zotero.org/users/38820/items/43E22X9V"],"uri":["http://zotero.org/users/38820/items/43E22X9V"],"itemData":{"id":3266,"type":"article-journal","title":"Evaluation of an immunochromatographic point-of-care test for the simultaneous detection of nontreponemal and treponemal antibodies in patients with syphilis","container-title":"Sexually Transmitted Diseases","page":"467-469","volume":"41","issue":"8","source":"NCBI PubMed","abstract":"We described the evaluation of the Syphilis Screening &amp; Confirm Assay for the simultaneous detection of nontreponemal and treponemal antibodies. A total of 248 samples were evaluated. The sensitivity of the tests was 98.8%, 99.5% and 98.9%, while specificity was 94.7%, 88.9% and 93.2%, respectively, as compared with the rapid plasma reagin, Treponema pallidum hemagglutination assay, and fluorescent treponemal antibody absorption tests.","DOI":"10.1097/OLQ.0000000000000161","ISSN":"1537-4521","note":"PMID: 25013972","journalAbbreviation":"Sex Transm Dis","language":"eng","author":[{"family":"Castro","given":"Rita"},{"family":"Lopes","given":"Ângela"},{"family":"Luz Martins Pereira","given":"Filomena","non-dropping-particle":"da"}],"issued":{"date-parts":[["2014",8]]},"PMID":"25013972"}}],"schema":"https://github.com/citation-style-language/schema/raw/master/csl-citation.json"} </w:instrText>
            </w:r>
            <w:r>
              <w:rPr>
                <w:rFonts w:ascii="Cambria" w:eastAsia="Times New Roman" w:hAnsi="Cambria" w:cs="Times New Roman"/>
                <w:color w:val="000000"/>
                <w:sz w:val="22"/>
                <w:szCs w:val="22"/>
              </w:rPr>
              <w:fldChar w:fldCharType="separate"/>
            </w:r>
            <w:r>
              <w:rPr>
                <w:rFonts w:ascii="Cambria" w:eastAsia="Times New Roman" w:hAnsi="Cambria" w:cs="Times New Roman"/>
                <w:noProof/>
                <w:color w:val="000000"/>
                <w:sz w:val="22"/>
                <w:szCs w:val="22"/>
              </w:rPr>
              <w:t>[12]</w:t>
            </w:r>
            <w:r>
              <w:rPr>
                <w:rFonts w:ascii="Cambria" w:eastAsia="Times New Roman" w:hAnsi="Cambria" w:cs="Times New Roman"/>
                <w:color w:val="000000"/>
                <w:sz w:val="22"/>
                <w:szCs w:val="22"/>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7D483A65"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Portugal</w:t>
            </w:r>
          </w:p>
        </w:tc>
        <w:tc>
          <w:tcPr>
            <w:tcW w:w="1843" w:type="dxa"/>
            <w:tcBorders>
              <w:top w:val="nil"/>
              <w:left w:val="nil"/>
              <w:bottom w:val="single" w:sz="4" w:space="0" w:color="auto"/>
              <w:right w:val="single" w:sz="4" w:space="0" w:color="auto"/>
            </w:tcBorders>
            <w:shd w:val="clear" w:color="auto" w:fill="auto"/>
            <w:vAlign w:val="center"/>
            <w:hideMark/>
          </w:tcPr>
          <w:p w14:paraId="56F53185"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Syphilis</w:t>
            </w:r>
          </w:p>
        </w:tc>
        <w:tc>
          <w:tcPr>
            <w:tcW w:w="2480" w:type="dxa"/>
            <w:tcBorders>
              <w:top w:val="nil"/>
              <w:left w:val="nil"/>
              <w:bottom w:val="single" w:sz="4" w:space="0" w:color="auto"/>
              <w:right w:val="single" w:sz="4" w:space="0" w:color="auto"/>
            </w:tcBorders>
            <w:shd w:val="clear" w:color="auto" w:fill="auto"/>
            <w:noWrap/>
            <w:vAlign w:val="bottom"/>
            <w:hideMark/>
          </w:tcPr>
          <w:p w14:paraId="1779ACD6"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TPHA</w:t>
            </w:r>
          </w:p>
        </w:tc>
        <w:tc>
          <w:tcPr>
            <w:tcW w:w="2060" w:type="dxa"/>
            <w:tcBorders>
              <w:top w:val="nil"/>
              <w:left w:val="nil"/>
              <w:bottom w:val="single" w:sz="4" w:space="0" w:color="auto"/>
              <w:right w:val="single" w:sz="4" w:space="0" w:color="auto"/>
            </w:tcBorders>
            <w:shd w:val="clear" w:color="auto" w:fill="auto"/>
            <w:noWrap/>
            <w:vAlign w:val="bottom"/>
            <w:hideMark/>
          </w:tcPr>
          <w:p w14:paraId="31E84856"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RPR</w:t>
            </w:r>
          </w:p>
        </w:tc>
        <w:tc>
          <w:tcPr>
            <w:tcW w:w="1981" w:type="dxa"/>
            <w:tcBorders>
              <w:top w:val="nil"/>
              <w:left w:val="nil"/>
              <w:bottom w:val="single" w:sz="4" w:space="0" w:color="auto"/>
              <w:right w:val="single" w:sz="4" w:space="0" w:color="auto"/>
            </w:tcBorders>
            <w:shd w:val="clear" w:color="auto" w:fill="auto"/>
            <w:vAlign w:val="center"/>
            <w:hideMark/>
          </w:tcPr>
          <w:p w14:paraId="372BE6BB"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Serum</w:t>
            </w:r>
          </w:p>
        </w:tc>
        <w:tc>
          <w:tcPr>
            <w:tcW w:w="2580" w:type="dxa"/>
            <w:tcBorders>
              <w:top w:val="nil"/>
              <w:left w:val="nil"/>
              <w:bottom w:val="single" w:sz="4" w:space="0" w:color="auto"/>
              <w:right w:val="nil"/>
            </w:tcBorders>
            <w:vAlign w:val="center"/>
          </w:tcPr>
          <w:p w14:paraId="3E8EF645" w14:textId="212A939C"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248</w:t>
            </w:r>
          </w:p>
        </w:tc>
        <w:tc>
          <w:tcPr>
            <w:tcW w:w="2580" w:type="dxa"/>
            <w:tcBorders>
              <w:top w:val="nil"/>
              <w:left w:val="nil"/>
              <w:bottom w:val="single" w:sz="4" w:space="0" w:color="auto"/>
              <w:right w:val="single" w:sz="8" w:space="0" w:color="auto"/>
            </w:tcBorders>
            <w:shd w:val="clear" w:color="auto" w:fill="auto"/>
            <w:vAlign w:val="center"/>
          </w:tcPr>
          <w:p w14:paraId="2A3F6575" w14:textId="1B72DB68" w:rsidR="00832180" w:rsidRPr="00995A88" w:rsidRDefault="00832180"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2014</w:t>
            </w:r>
          </w:p>
        </w:tc>
      </w:tr>
      <w:tr w:rsidR="00832180" w:rsidRPr="004606B9" w14:paraId="114525DE" w14:textId="77777777" w:rsidTr="00832180">
        <w:trPr>
          <w:trHeight w:val="300"/>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49DF0179" w14:textId="2C08F60C"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Causer</w:t>
            </w:r>
            <w:r>
              <w:rPr>
                <w:rFonts w:ascii="Cambria" w:eastAsia="Times New Roman" w:hAnsi="Cambria" w:cs="Times New Roman"/>
                <w:color w:val="000000"/>
                <w:sz w:val="22"/>
                <w:szCs w:val="22"/>
              </w:rPr>
              <w:t xml:space="preserve"> </w:t>
            </w:r>
            <w:r>
              <w:rPr>
                <w:rFonts w:ascii="Cambria" w:eastAsia="Times New Roman" w:hAnsi="Cambria" w:cs="Times New Roman"/>
                <w:color w:val="000000"/>
                <w:sz w:val="22"/>
                <w:szCs w:val="22"/>
              </w:rPr>
              <w:fldChar w:fldCharType="begin"/>
            </w:r>
            <w:r>
              <w:rPr>
                <w:rFonts w:ascii="Cambria" w:eastAsia="Times New Roman" w:hAnsi="Cambria" w:cs="Times New Roman"/>
                <w:color w:val="000000"/>
                <w:sz w:val="22"/>
                <w:szCs w:val="22"/>
              </w:rPr>
              <w:instrText xml:space="preserve"> ADDIN ZOTERO_ITEM CSL_CITATION {"citationID":"25b0398o54","properties":{"formattedCitation":"[13]","plainCitation":"[13]"},"citationItems":[{"id":2,"uris":["http://zotero.org/users/38820/items/XAIC6XIT"],"uri":["http://zotero.org/users/38820/items/XAIC6XIT"],"itemData":{"id":2,"type":"article-journal","title":"An evaluation of a novel dual treponemal/non-treponemal point-of-care test for syphilis as a tool to distinguish active from past treated infection","container-title":"Clinical Infectious Diseases: An Official Publication of the Infectious Diseases Society of America","source":"PubMed","abstract":"INTRODUCTION: Most syphilis point-of-care (POC) tests detect treponemal antibodies, which persist after successful treatment. Subsequent POC tests are positive, despite no active infection, and can lead to unnecessary treatment. We evaluated a new POC test, incorporating a non-treponemal component, to distinguish active from past infection.\nMETHODS: Sera stored at two Australian laboratories were tested with DPP Screen-and-Confirm Assay. Treponemal and non-treponemal test lines were compared to corresponding conventional treponemal and non-treponemal reference test results: immunoassays and rapid plasma reagin(RPR), respectively, with RPR quantification by endpoint titration. POC test outcome concordance with conventional test results was assessed according to serological and clinical categories.\nRESULTS: Among 1005 sera tested, DPP treponemal line sensitivity was 89.8%(95%CI 87.3-91.9%) and specificity was 99.3%(97.0-99.9%). DPP non-treponemal line sensitivity was 94.2%(91.8-96.0%) and specificity was 62.2%(57.5-66.6%). DPP test outcome (pair of test lines) was concordant with both reference test results for 94.3% of 404 high-titre infections; 90.1% of 121 low-titre infections; 27.5% of 211 past/treated infections, and 78.1% of 242 classified as not syphilis. Among 211 past/treated infections, 49.8% were incorrectly identified as active infection and a further 22.8% as not syphilis.\nCONCLUSION: DPP test use would result in identification of over 93% of active syphilis infections, while just over half of past infections would be diagnosed as past or not syphilis, avoiding unnecessary treatment compared to other POC tests. This may be at the expense of missing some active infections, thus its potential benefits will depend on the prevalence of past versus active infection in a population.","DOI":"10.1093/cid/civ243","ISSN":"1537-6591","note":"PMID: 25810288","journalAbbreviation":"Clin. Infect. Dis.","language":"ENG","author":[{"family":"Causer","given":"Louise M."},{"family":"Kaldor","given":"John M."},{"family":"Conway","given":"Damian P."},{"family":"Leslie","given":"David E."},{"family":"Denham","given":"Ian"},{"family":"Karapanagiotidis","given":"Theo"},{"family":"Ryan","given":"Claire"},{"family":"Wand","given":"Handan"},{"family":"Anderson","given":"David A."},{"family":"Robertson","given":"Peter W."},{"family":"McNulty","given":"Anna M."},{"family":"Donovan","given":"Basil"},{"family":"Fairley","given":"Christopher K."},{"family":"Guy","given":"Rebecca J."}],"issued":{"date-parts":[["2015",3,25]]},"PMID":"25810288"}}],"schema":"https://github.com/citation-style-language/schema/raw/master/csl-citation.json"} </w:instrText>
            </w:r>
            <w:r>
              <w:rPr>
                <w:rFonts w:ascii="Cambria" w:eastAsia="Times New Roman" w:hAnsi="Cambria" w:cs="Times New Roman"/>
                <w:color w:val="000000"/>
                <w:sz w:val="22"/>
                <w:szCs w:val="22"/>
              </w:rPr>
              <w:fldChar w:fldCharType="separate"/>
            </w:r>
            <w:r>
              <w:rPr>
                <w:rFonts w:ascii="Cambria" w:eastAsia="Times New Roman" w:hAnsi="Cambria" w:cs="Times New Roman"/>
                <w:noProof/>
                <w:color w:val="000000"/>
                <w:sz w:val="22"/>
                <w:szCs w:val="22"/>
              </w:rPr>
              <w:t>[13]</w:t>
            </w:r>
            <w:r>
              <w:rPr>
                <w:rFonts w:ascii="Cambria" w:eastAsia="Times New Roman" w:hAnsi="Cambria" w:cs="Times New Roman"/>
                <w:color w:val="000000"/>
                <w:sz w:val="22"/>
                <w:szCs w:val="22"/>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0B4849F7"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Australia</w:t>
            </w:r>
          </w:p>
        </w:tc>
        <w:tc>
          <w:tcPr>
            <w:tcW w:w="1843" w:type="dxa"/>
            <w:tcBorders>
              <w:top w:val="nil"/>
              <w:left w:val="nil"/>
              <w:bottom w:val="single" w:sz="4" w:space="0" w:color="auto"/>
              <w:right w:val="single" w:sz="4" w:space="0" w:color="auto"/>
            </w:tcBorders>
            <w:shd w:val="clear" w:color="auto" w:fill="auto"/>
            <w:vAlign w:val="center"/>
            <w:hideMark/>
          </w:tcPr>
          <w:p w14:paraId="6F4A3563"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Syphilis</w:t>
            </w:r>
          </w:p>
        </w:tc>
        <w:tc>
          <w:tcPr>
            <w:tcW w:w="2480" w:type="dxa"/>
            <w:tcBorders>
              <w:top w:val="nil"/>
              <w:left w:val="nil"/>
              <w:bottom w:val="single" w:sz="4" w:space="0" w:color="auto"/>
              <w:right w:val="single" w:sz="4" w:space="0" w:color="auto"/>
            </w:tcBorders>
            <w:shd w:val="clear" w:color="auto" w:fill="auto"/>
            <w:noWrap/>
            <w:vAlign w:val="bottom"/>
            <w:hideMark/>
          </w:tcPr>
          <w:p w14:paraId="0CEEFAB3"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ELISA/IA</w:t>
            </w:r>
          </w:p>
        </w:tc>
        <w:tc>
          <w:tcPr>
            <w:tcW w:w="2060" w:type="dxa"/>
            <w:tcBorders>
              <w:top w:val="nil"/>
              <w:left w:val="nil"/>
              <w:bottom w:val="single" w:sz="4" w:space="0" w:color="auto"/>
              <w:right w:val="single" w:sz="4" w:space="0" w:color="auto"/>
            </w:tcBorders>
            <w:shd w:val="clear" w:color="auto" w:fill="auto"/>
            <w:noWrap/>
            <w:vAlign w:val="bottom"/>
            <w:hideMark/>
          </w:tcPr>
          <w:p w14:paraId="47144F83"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RPR</w:t>
            </w:r>
          </w:p>
        </w:tc>
        <w:tc>
          <w:tcPr>
            <w:tcW w:w="1981" w:type="dxa"/>
            <w:tcBorders>
              <w:top w:val="nil"/>
              <w:left w:val="nil"/>
              <w:bottom w:val="single" w:sz="4" w:space="0" w:color="auto"/>
              <w:right w:val="single" w:sz="4" w:space="0" w:color="auto"/>
            </w:tcBorders>
            <w:shd w:val="clear" w:color="auto" w:fill="auto"/>
            <w:vAlign w:val="center"/>
            <w:hideMark/>
          </w:tcPr>
          <w:p w14:paraId="713B2E0D"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Serum</w:t>
            </w:r>
          </w:p>
        </w:tc>
        <w:tc>
          <w:tcPr>
            <w:tcW w:w="2580" w:type="dxa"/>
            <w:tcBorders>
              <w:top w:val="nil"/>
              <w:left w:val="nil"/>
              <w:bottom w:val="single" w:sz="4" w:space="0" w:color="auto"/>
              <w:right w:val="nil"/>
            </w:tcBorders>
            <w:vAlign w:val="center"/>
          </w:tcPr>
          <w:p w14:paraId="183A24B7" w14:textId="05F2F751" w:rsidR="00832180" w:rsidRPr="00995A88" w:rsidRDefault="00B4588B"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1,005</w:t>
            </w:r>
          </w:p>
        </w:tc>
        <w:tc>
          <w:tcPr>
            <w:tcW w:w="2580" w:type="dxa"/>
            <w:tcBorders>
              <w:top w:val="nil"/>
              <w:left w:val="nil"/>
              <w:bottom w:val="single" w:sz="4" w:space="0" w:color="auto"/>
              <w:right w:val="single" w:sz="8" w:space="0" w:color="auto"/>
            </w:tcBorders>
            <w:shd w:val="clear" w:color="auto" w:fill="auto"/>
            <w:vAlign w:val="center"/>
          </w:tcPr>
          <w:p w14:paraId="0662A449" w14:textId="67CD8E17" w:rsidR="00832180" w:rsidRPr="00995A88" w:rsidRDefault="00832180"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2015</w:t>
            </w:r>
          </w:p>
        </w:tc>
      </w:tr>
      <w:tr w:rsidR="00832180" w:rsidRPr="004606B9" w14:paraId="772C16F8" w14:textId="77777777" w:rsidTr="00832180">
        <w:trPr>
          <w:trHeight w:val="300"/>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24CA629B" w14:textId="1359D082" w:rsidR="00832180" w:rsidRPr="00995A88" w:rsidRDefault="00832180" w:rsidP="00FD2CAB">
            <w:pPr>
              <w:jc w:val="center"/>
              <w:rPr>
                <w:rFonts w:ascii="Cambria" w:eastAsia="Times New Roman" w:hAnsi="Cambria" w:cs="Times New Roman"/>
                <w:color w:val="000000"/>
                <w:sz w:val="22"/>
                <w:szCs w:val="22"/>
              </w:rPr>
            </w:pPr>
            <w:proofErr w:type="spellStart"/>
            <w:r w:rsidRPr="00995A88">
              <w:rPr>
                <w:rFonts w:ascii="Cambria" w:eastAsia="Times New Roman" w:hAnsi="Cambria" w:cs="Times New Roman"/>
                <w:color w:val="000000"/>
                <w:sz w:val="22"/>
                <w:szCs w:val="22"/>
              </w:rPr>
              <w:t>Guinard</w:t>
            </w:r>
            <w:proofErr w:type="spellEnd"/>
            <w:r>
              <w:rPr>
                <w:rFonts w:ascii="Cambria" w:eastAsia="Times New Roman" w:hAnsi="Cambria" w:cs="Times New Roman"/>
                <w:color w:val="000000"/>
                <w:sz w:val="22"/>
                <w:szCs w:val="22"/>
              </w:rPr>
              <w:t xml:space="preserve"> </w:t>
            </w:r>
            <w:r>
              <w:rPr>
                <w:rFonts w:ascii="Cambria" w:eastAsia="Times New Roman" w:hAnsi="Cambria" w:cs="Times New Roman"/>
                <w:color w:val="000000"/>
                <w:sz w:val="22"/>
                <w:szCs w:val="22"/>
              </w:rPr>
              <w:fldChar w:fldCharType="begin"/>
            </w:r>
            <w:r>
              <w:rPr>
                <w:rFonts w:ascii="Cambria" w:eastAsia="Times New Roman" w:hAnsi="Cambria" w:cs="Times New Roman"/>
                <w:color w:val="000000"/>
                <w:sz w:val="22"/>
                <w:szCs w:val="22"/>
              </w:rPr>
              <w:instrText xml:space="preserve"> ADDIN ZOTERO_ITEM CSL_CITATION {"citationID":"nj75qfksa","properties":{"formattedCitation":"[17]","plainCitation":"[17]"},"citationItems":[{"id":1637,"uris":["http://zotero.org/users/38820/items/VGKUP8XR"],"uri":["http://zotero.org/users/38820/items/VGKUP8XR"],"itemData":{"id":1637,"type":"article-journal","title":"Usefulness in clinical practice of a point-of-care rapid test for simultaneous detection of nontreponemal and &lt;i&gt;Treponema pallidum&lt;/i&gt;-specific antibodies in patients suffering from documented syphilis","container-title":"International Journal of STD &amp; AIDS","page":"944-950","volume":"24","issue":"12","source":"std.sagepub.com","abstract":"The usefulness of a point-of-care immunochromatographic dual test for the simultaneous detection of both nontreponemal and Treponema pallidum-specific antibodies (Chembio Diagnostics Systems Inc., Medford, NY, USA) was assessed in various situations related to syphilis, by reference to conventional syphilis serology. Thawed sera were obtained from 100 adults including 36 primary syphilis, 6 secondary syphilis, 6 re-infection, 9 recently-treated syphilis, and 43 old syphilis. Doubtful reactivities for the treponemal line were considered positive; doubtful reactivities for the nontreponemal line were considered positive only when the treponemal line was present. The sensitivity, the specificity, and its concordance to gold standard serology of treponemal line were high, around 90%. The sensitivity of nontreponemal line was 96.3%, its specificity 76.7%, and its concordance 83.4%. In conclusion, the dual rapid test from Chembio Diagnostics Systems Inc. is useful for rapid point-of-care diagnosis in the various situations encountered with patients suffering from syphilis.","DOI":"10.1177/0956462413487328","ISSN":"0956-4624, 1758-1052","note":"PMID: 23999937","journalAbbreviation":"Int J STD AIDS","language":"en","author":[{"family":"Guinard","given":"Jérôme"},{"family":"Prazuck","given":"Thierry"},{"family":"Péré","given":"Hélène"},{"family":"Poirier","given":"Claire"},{"family":"LeGoff","given":"Jérôme"},{"family":"Boedec","given":"Erwan"},{"family":"Guigon","given":"Aurélie"},{"family":"Day","given":"Nesrine"},{"family":"Bélec","given":"Laurent"}],"issued":{"date-parts":[["2013",12,1]]},"PMID":"23999937"}}],"schema":"https://github.com/citation-style-language/schema/raw/master/csl-citation.json"} </w:instrText>
            </w:r>
            <w:r>
              <w:rPr>
                <w:rFonts w:ascii="Cambria" w:eastAsia="Times New Roman" w:hAnsi="Cambria" w:cs="Times New Roman"/>
                <w:color w:val="000000"/>
                <w:sz w:val="22"/>
                <w:szCs w:val="22"/>
              </w:rPr>
              <w:fldChar w:fldCharType="separate"/>
            </w:r>
            <w:r>
              <w:rPr>
                <w:rFonts w:ascii="Cambria" w:eastAsia="Times New Roman" w:hAnsi="Cambria" w:cs="Times New Roman"/>
                <w:noProof/>
                <w:color w:val="000000"/>
                <w:sz w:val="22"/>
                <w:szCs w:val="22"/>
              </w:rPr>
              <w:t>[17]</w:t>
            </w:r>
            <w:r>
              <w:rPr>
                <w:rFonts w:ascii="Cambria" w:eastAsia="Times New Roman" w:hAnsi="Cambria" w:cs="Times New Roman"/>
                <w:color w:val="000000"/>
                <w:sz w:val="22"/>
                <w:szCs w:val="22"/>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0335AD8D"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France</w:t>
            </w:r>
          </w:p>
        </w:tc>
        <w:tc>
          <w:tcPr>
            <w:tcW w:w="1843" w:type="dxa"/>
            <w:tcBorders>
              <w:top w:val="nil"/>
              <w:left w:val="nil"/>
              <w:bottom w:val="single" w:sz="4" w:space="0" w:color="auto"/>
              <w:right w:val="single" w:sz="4" w:space="0" w:color="auto"/>
            </w:tcBorders>
            <w:shd w:val="clear" w:color="auto" w:fill="auto"/>
            <w:vAlign w:val="center"/>
            <w:hideMark/>
          </w:tcPr>
          <w:p w14:paraId="3D4FBA83"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Syphilis</w:t>
            </w:r>
          </w:p>
        </w:tc>
        <w:tc>
          <w:tcPr>
            <w:tcW w:w="2480" w:type="dxa"/>
            <w:tcBorders>
              <w:top w:val="nil"/>
              <w:left w:val="nil"/>
              <w:bottom w:val="single" w:sz="4" w:space="0" w:color="auto"/>
              <w:right w:val="single" w:sz="4" w:space="0" w:color="auto"/>
            </w:tcBorders>
            <w:shd w:val="clear" w:color="auto" w:fill="auto"/>
            <w:noWrap/>
            <w:vAlign w:val="bottom"/>
            <w:hideMark/>
          </w:tcPr>
          <w:p w14:paraId="36B30796"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ELISA/IA</w:t>
            </w:r>
          </w:p>
        </w:tc>
        <w:tc>
          <w:tcPr>
            <w:tcW w:w="2060" w:type="dxa"/>
            <w:tcBorders>
              <w:top w:val="nil"/>
              <w:left w:val="nil"/>
              <w:bottom w:val="single" w:sz="4" w:space="0" w:color="auto"/>
              <w:right w:val="single" w:sz="4" w:space="0" w:color="auto"/>
            </w:tcBorders>
            <w:shd w:val="clear" w:color="auto" w:fill="auto"/>
            <w:noWrap/>
            <w:vAlign w:val="bottom"/>
            <w:hideMark/>
          </w:tcPr>
          <w:p w14:paraId="0D36E7BA"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RPR</w:t>
            </w:r>
          </w:p>
        </w:tc>
        <w:tc>
          <w:tcPr>
            <w:tcW w:w="1981" w:type="dxa"/>
            <w:tcBorders>
              <w:top w:val="nil"/>
              <w:left w:val="nil"/>
              <w:bottom w:val="single" w:sz="4" w:space="0" w:color="auto"/>
              <w:right w:val="single" w:sz="4" w:space="0" w:color="auto"/>
            </w:tcBorders>
            <w:shd w:val="clear" w:color="auto" w:fill="auto"/>
            <w:vAlign w:val="center"/>
            <w:hideMark/>
          </w:tcPr>
          <w:p w14:paraId="0E648312"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Serum</w:t>
            </w:r>
          </w:p>
        </w:tc>
        <w:tc>
          <w:tcPr>
            <w:tcW w:w="2580" w:type="dxa"/>
            <w:tcBorders>
              <w:top w:val="nil"/>
              <w:left w:val="nil"/>
              <w:bottom w:val="single" w:sz="4" w:space="0" w:color="auto"/>
              <w:right w:val="nil"/>
            </w:tcBorders>
            <w:vAlign w:val="center"/>
          </w:tcPr>
          <w:p w14:paraId="3B70D17D" w14:textId="7B8F8AA4"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100</w:t>
            </w:r>
          </w:p>
        </w:tc>
        <w:tc>
          <w:tcPr>
            <w:tcW w:w="2580" w:type="dxa"/>
            <w:tcBorders>
              <w:top w:val="nil"/>
              <w:left w:val="nil"/>
              <w:bottom w:val="single" w:sz="4" w:space="0" w:color="auto"/>
              <w:right w:val="single" w:sz="8" w:space="0" w:color="auto"/>
            </w:tcBorders>
            <w:shd w:val="clear" w:color="auto" w:fill="auto"/>
            <w:vAlign w:val="center"/>
          </w:tcPr>
          <w:p w14:paraId="4104FB5E" w14:textId="53D10004" w:rsidR="00832180" w:rsidRPr="00995A88" w:rsidRDefault="00832180"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2013</w:t>
            </w:r>
          </w:p>
        </w:tc>
      </w:tr>
      <w:tr w:rsidR="00832180" w:rsidRPr="004606B9" w14:paraId="7BB95B61" w14:textId="77777777" w:rsidTr="00832180">
        <w:trPr>
          <w:trHeight w:val="300"/>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717A0F6B" w14:textId="61E8710D"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Marks</w:t>
            </w:r>
            <w:r>
              <w:rPr>
                <w:rFonts w:ascii="Cambria" w:eastAsia="Times New Roman" w:hAnsi="Cambria" w:cs="Times New Roman"/>
                <w:color w:val="000000"/>
                <w:sz w:val="22"/>
                <w:szCs w:val="22"/>
              </w:rPr>
              <w:t xml:space="preserve"> </w:t>
            </w:r>
            <w:r>
              <w:rPr>
                <w:rFonts w:ascii="Cambria" w:eastAsia="Times New Roman" w:hAnsi="Cambria" w:cs="Times New Roman"/>
                <w:color w:val="000000"/>
                <w:sz w:val="22"/>
                <w:szCs w:val="22"/>
              </w:rPr>
              <w:fldChar w:fldCharType="begin"/>
            </w:r>
            <w:r>
              <w:rPr>
                <w:rFonts w:ascii="Cambria" w:eastAsia="Times New Roman" w:hAnsi="Cambria" w:cs="Times New Roman"/>
                <w:color w:val="000000"/>
                <w:sz w:val="22"/>
                <w:szCs w:val="22"/>
              </w:rPr>
              <w:instrText xml:space="preserve"> ADDIN ZOTERO_ITEM CSL_CITATION {"citationID":"c6p9g4nmk","properties":{"formattedCitation":"[15]","plainCitation":"[15]"},"citationItems":[{"id":2076,"uris":["http://zotero.org/users/38820/items/X3V2WXHW"],"uri":["http://zotero.org/users/38820/items/X3V2WXHW"],"itemData":{"id":2076,"type":"article-journal","title":"Evaluation of a Rapid Diagnostic Test for Yaws Infection in a Community Surveillance Setting","container-title":"PLoS Negl Trop Dis","page":"e3156","volume":"8","issue":"9","source":"PLoS Journals","abstract":"Author Summary Yaws is a bacterial infection closely related to syphilis. The WHO has launched a worldwide campaign to eradicate yaws by 2020. If this goal is to be achieved, programme managers and clinical staff will need access to a rapid diagnostic test (RDT) for yaws that can be used in the remote communities where the disease is found. In this study, we present data evaluating one possible RDT for yaws as part of a community survey in the Solomon Islands. The test performed reasonably well—there were some false negatives but few false positives. The performance of the test was best in individuals with more active disease suggesting the test may be most appropriately used for confirming clinically diagnosed cases. These findings should prompt consideration of the use of this RDT as part of worldwide yaws control efforts.","DOI":"10.1371/journal.pntd.0003156","journalAbbreviation":"PLoS Negl Trop Dis","author":[{"family":"Marks","given":"Michael"},{"family":"Goncalves","given":"Adriana"},{"family":"Vahi","given":"Ventis"},{"family":"Sokana","given":"Oliver"},{"family":"Puiahi","given":"Elliot"},{"family":"Zhang","given":"Zaixing"},{"family":"Dalipanda","given":"Tenneth"},{"family":"Bottomley","given":"Christian"},{"family":"Mabey","given":"David"},{"family":"Solomon","given":"Anthony W."}],"issued":{"date-parts":[["2014",9,11]]}}}],"schema":"https://github.com/citation-style-language/schema/raw/master/csl-citation.json"} </w:instrText>
            </w:r>
            <w:r>
              <w:rPr>
                <w:rFonts w:ascii="Cambria" w:eastAsia="Times New Roman" w:hAnsi="Cambria" w:cs="Times New Roman"/>
                <w:color w:val="000000"/>
                <w:sz w:val="22"/>
                <w:szCs w:val="22"/>
              </w:rPr>
              <w:fldChar w:fldCharType="separate"/>
            </w:r>
            <w:r>
              <w:rPr>
                <w:rFonts w:ascii="Cambria" w:eastAsia="Times New Roman" w:hAnsi="Cambria" w:cs="Times New Roman"/>
                <w:noProof/>
                <w:color w:val="000000"/>
                <w:sz w:val="22"/>
                <w:szCs w:val="22"/>
              </w:rPr>
              <w:t>[15]</w:t>
            </w:r>
            <w:r>
              <w:rPr>
                <w:rFonts w:ascii="Cambria" w:eastAsia="Times New Roman" w:hAnsi="Cambria" w:cs="Times New Roman"/>
                <w:color w:val="000000"/>
                <w:sz w:val="22"/>
                <w:szCs w:val="22"/>
              </w:rPr>
              <w:fldChar w:fldCharType="end"/>
            </w:r>
          </w:p>
        </w:tc>
        <w:tc>
          <w:tcPr>
            <w:tcW w:w="1701" w:type="dxa"/>
            <w:tcBorders>
              <w:top w:val="nil"/>
              <w:left w:val="nil"/>
              <w:bottom w:val="single" w:sz="4" w:space="0" w:color="auto"/>
              <w:right w:val="single" w:sz="4" w:space="0" w:color="auto"/>
            </w:tcBorders>
            <w:shd w:val="clear" w:color="auto" w:fill="auto"/>
            <w:vAlign w:val="center"/>
            <w:hideMark/>
          </w:tcPr>
          <w:p w14:paraId="72AE684A"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Solomon Islands</w:t>
            </w:r>
          </w:p>
        </w:tc>
        <w:tc>
          <w:tcPr>
            <w:tcW w:w="1843" w:type="dxa"/>
            <w:tcBorders>
              <w:top w:val="nil"/>
              <w:left w:val="nil"/>
              <w:bottom w:val="single" w:sz="4" w:space="0" w:color="auto"/>
              <w:right w:val="single" w:sz="4" w:space="0" w:color="auto"/>
            </w:tcBorders>
            <w:shd w:val="clear" w:color="auto" w:fill="auto"/>
            <w:vAlign w:val="center"/>
            <w:hideMark/>
          </w:tcPr>
          <w:p w14:paraId="27E3D8CB"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Yaws</w:t>
            </w:r>
          </w:p>
        </w:tc>
        <w:tc>
          <w:tcPr>
            <w:tcW w:w="2480" w:type="dxa"/>
            <w:tcBorders>
              <w:top w:val="nil"/>
              <w:left w:val="nil"/>
              <w:bottom w:val="single" w:sz="4" w:space="0" w:color="auto"/>
              <w:right w:val="single" w:sz="4" w:space="0" w:color="auto"/>
            </w:tcBorders>
            <w:shd w:val="clear" w:color="auto" w:fill="auto"/>
            <w:noWrap/>
            <w:vAlign w:val="bottom"/>
            <w:hideMark/>
          </w:tcPr>
          <w:p w14:paraId="6B00AB9A"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TPPA</w:t>
            </w:r>
          </w:p>
        </w:tc>
        <w:tc>
          <w:tcPr>
            <w:tcW w:w="2060" w:type="dxa"/>
            <w:tcBorders>
              <w:top w:val="nil"/>
              <w:left w:val="nil"/>
              <w:bottom w:val="single" w:sz="4" w:space="0" w:color="auto"/>
              <w:right w:val="single" w:sz="4" w:space="0" w:color="auto"/>
            </w:tcBorders>
            <w:shd w:val="clear" w:color="auto" w:fill="auto"/>
            <w:noWrap/>
            <w:vAlign w:val="bottom"/>
            <w:hideMark/>
          </w:tcPr>
          <w:p w14:paraId="13C41435"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RPR</w:t>
            </w:r>
          </w:p>
        </w:tc>
        <w:tc>
          <w:tcPr>
            <w:tcW w:w="1981" w:type="dxa"/>
            <w:tcBorders>
              <w:top w:val="nil"/>
              <w:left w:val="nil"/>
              <w:bottom w:val="single" w:sz="4" w:space="0" w:color="auto"/>
              <w:right w:val="single" w:sz="4" w:space="0" w:color="auto"/>
            </w:tcBorders>
            <w:shd w:val="clear" w:color="auto" w:fill="auto"/>
            <w:vAlign w:val="center"/>
            <w:hideMark/>
          </w:tcPr>
          <w:p w14:paraId="6447E009"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Serum</w:t>
            </w:r>
          </w:p>
        </w:tc>
        <w:tc>
          <w:tcPr>
            <w:tcW w:w="2580" w:type="dxa"/>
            <w:tcBorders>
              <w:top w:val="nil"/>
              <w:left w:val="nil"/>
              <w:bottom w:val="single" w:sz="4" w:space="0" w:color="auto"/>
              <w:right w:val="nil"/>
            </w:tcBorders>
            <w:vAlign w:val="center"/>
          </w:tcPr>
          <w:p w14:paraId="07A3448D" w14:textId="4CC6B22F"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415</w:t>
            </w:r>
          </w:p>
        </w:tc>
        <w:tc>
          <w:tcPr>
            <w:tcW w:w="2580" w:type="dxa"/>
            <w:tcBorders>
              <w:top w:val="nil"/>
              <w:left w:val="nil"/>
              <w:bottom w:val="single" w:sz="4" w:space="0" w:color="auto"/>
              <w:right w:val="single" w:sz="8" w:space="0" w:color="auto"/>
            </w:tcBorders>
            <w:shd w:val="clear" w:color="auto" w:fill="auto"/>
            <w:vAlign w:val="center"/>
          </w:tcPr>
          <w:p w14:paraId="346AAE9C" w14:textId="7D5E0857" w:rsidR="00832180" w:rsidRPr="00995A88" w:rsidRDefault="00832180"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2014</w:t>
            </w:r>
          </w:p>
        </w:tc>
      </w:tr>
      <w:tr w:rsidR="00832180" w:rsidRPr="004606B9" w14:paraId="58CEEBD2" w14:textId="77777777" w:rsidTr="00832180">
        <w:trPr>
          <w:trHeight w:val="300"/>
        </w:trPr>
        <w:tc>
          <w:tcPr>
            <w:tcW w:w="1716" w:type="dxa"/>
            <w:tcBorders>
              <w:top w:val="nil"/>
              <w:left w:val="single" w:sz="8" w:space="0" w:color="auto"/>
              <w:bottom w:val="single" w:sz="4" w:space="0" w:color="auto"/>
              <w:right w:val="single" w:sz="4" w:space="0" w:color="auto"/>
            </w:tcBorders>
            <w:shd w:val="clear" w:color="auto" w:fill="auto"/>
            <w:vAlign w:val="center"/>
            <w:hideMark/>
          </w:tcPr>
          <w:p w14:paraId="10F387BC" w14:textId="77777777" w:rsidR="00832180" w:rsidRPr="00995A88" w:rsidRDefault="00832180" w:rsidP="00FD2CAB">
            <w:pPr>
              <w:jc w:val="center"/>
              <w:rPr>
                <w:rFonts w:ascii="Cambria" w:eastAsia="Times New Roman" w:hAnsi="Cambria" w:cs="Times New Roman"/>
                <w:color w:val="000000"/>
                <w:sz w:val="22"/>
                <w:szCs w:val="22"/>
              </w:rPr>
            </w:pPr>
            <w:proofErr w:type="spellStart"/>
            <w:r w:rsidRPr="00995A88">
              <w:rPr>
                <w:rFonts w:ascii="Cambria" w:eastAsia="Times New Roman" w:hAnsi="Cambria" w:cs="Times New Roman"/>
                <w:color w:val="000000"/>
                <w:sz w:val="22"/>
                <w:szCs w:val="22"/>
              </w:rPr>
              <w:t>Taleo</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9AAF58F"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Vanuatu</w:t>
            </w:r>
          </w:p>
        </w:tc>
        <w:tc>
          <w:tcPr>
            <w:tcW w:w="1843" w:type="dxa"/>
            <w:tcBorders>
              <w:top w:val="nil"/>
              <w:left w:val="nil"/>
              <w:bottom w:val="single" w:sz="4" w:space="0" w:color="auto"/>
              <w:right w:val="single" w:sz="4" w:space="0" w:color="auto"/>
            </w:tcBorders>
            <w:shd w:val="clear" w:color="auto" w:fill="auto"/>
            <w:vAlign w:val="center"/>
            <w:hideMark/>
          </w:tcPr>
          <w:p w14:paraId="5E9B6CFA"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Yaws</w:t>
            </w:r>
          </w:p>
        </w:tc>
        <w:tc>
          <w:tcPr>
            <w:tcW w:w="2480" w:type="dxa"/>
            <w:tcBorders>
              <w:top w:val="nil"/>
              <w:left w:val="nil"/>
              <w:bottom w:val="single" w:sz="4" w:space="0" w:color="auto"/>
              <w:right w:val="single" w:sz="4" w:space="0" w:color="auto"/>
            </w:tcBorders>
            <w:shd w:val="clear" w:color="auto" w:fill="auto"/>
            <w:noWrap/>
            <w:vAlign w:val="bottom"/>
            <w:hideMark/>
          </w:tcPr>
          <w:p w14:paraId="0BB0A098"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TPPA</w:t>
            </w:r>
          </w:p>
        </w:tc>
        <w:tc>
          <w:tcPr>
            <w:tcW w:w="2060" w:type="dxa"/>
            <w:tcBorders>
              <w:top w:val="nil"/>
              <w:left w:val="nil"/>
              <w:bottom w:val="single" w:sz="4" w:space="0" w:color="auto"/>
              <w:right w:val="single" w:sz="4" w:space="0" w:color="auto"/>
            </w:tcBorders>
            <w:shd w:val="clear" w:color="auto" w:fill="auto"/>
            <w:noWrap/>
            <w:vAlign w:val="bottom"/>
            <w:hideMark/>
          </w:tcPr>
          <w:p w14:paraId="120D9EAB"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RPR</w:t>
            </w:r>
          </w:p>
        </w:tc>
        <w:tc>
          <w:tcPr>
            <w:tcW w:w="1981" w:type="dxa"/>
            <w:tcBorders>
              <w:top w:val="nil"/>
              <w:left w:val="nil"/>
              <w:bottom w:val="single" w:sz="4" w:space="0" w:color="auto"/>
              <w:right w:val="single" w:sz="4" w:space="0" w:color="auto"/>
            </w:tcBorders>
            <w:shd w:val="clear" w:color="auto" w:fill="auto"/>
            <w:vAlign w:val="center"/>
            <w:hideMark/>
          </w:tcPr>
          <w:p w14:paraId="2F8CC97C"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Finger-Prick</w:t>
            </w:r>
          </w:p>
        </w:tc>
        <w:tc>
          <w:tcPr>
            <w:tcW w:w="2580" w:type="dxa"/>
            <w:tcBorders>
              <w:top w:val="nil"/>
              <w:left w:val="nil"/>
              <w:bottom w:val="single" w:sz="4" w:space="0" w:color="auto"/>
              <w:right w:val="nil"/>
            </w:tcBorders>
            <w:vAlign w:val="center"/>
          </w:tcPr>
          <w:p w14:paraId="3FDB11DF" w14:textId="7DAE919B"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238</w:t>
            </w:r>
          </w:p>
        </w:tc>
        <w:tc>
          <w:tcPr>
            <w:tcW w:w="2580" w:type="dxa"/>
            <w:tcBorders>
              <w:top w:val="nil"/>
              <w:left w:val="nil"/>
              <w:bottom w:val="single" w:sz="4" w:space="0" w:color="auto"/>
              <w:right w:val="single" w:sz="8" w:space="0" w:color="auto"/>
            </w:tcBorders>
            <w:shd w:val="clear" w:color="auto" w:fill="auto"/>
            <w:vAlign w:val="center"/>
          </w:tcPr>
          <w:p w14:paraId="471A58D6" w14:textId="5FAFB782" w:rsidR="00832180" w:rsidRPr="00995A88" w:rsidRDefault="00832180"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Unpublished Data</w:t>
            </w:r>
          </w:p>
        </w:tc>
      </w:tr>
      <w:tr w:rsidR="00832180" w:rsidRPr="004606B9" w14:paraId="79E55AE4" w14:textId="77777777" w:rsidTr="00517CDF">
        <w:trPr>
          <w:trHeight w:val="300"/>
        </w:trPr>
        <w:tc>
          <w:tcPr>
            <w:tcW w:w="1716" w:type="dxa"/>
            <w:vMerge w:val="restart"/>
            <w:tcBorders>
              <w:top w:val="nil"/>
              <w:left w:val="single" w:sz="8" w:space="0" w:color="auto"/>
              <w:bottom w:val="single" w:sz="8" w:space="0" w:color="000000"/>
              <w:right w:val="single" w:sz="4" w:space="0" w:color="auto"/>
            </w:tcBorders>
            <w:shd w:val="clear" w:color="auto" w:fill="auto"/>
            <w:vAlign w:val="center"/>
            <w:hideMark/>
          </w:tcPr>
          <w:p w14:paraId="1539CE94" w14:textId="32F320E6"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Yin</w:t>
            </w:r>
            <w:r>
              <w:rPr>
                <w:rFonts w:ascii="Cambria" w:eastAsia="Times New Roman" w:hAnsi="Cambria" w:cs="Times New Roman"/>
                <w:color w:val="000000"/>
                <w:sz w:val="22"/>
                <w:szCs w:val="22"/>
              </w:rPr>
              <w:t xml:space="preserve"> </w:t>
            </w:r>
            <w:r>
              <w:rPr>
                <w:rFonts w:ascii="Cambria" w:eastAsia="Times New Roman" w:hAnsi="Cambria" w:cs="Times New Roman"/>
                <w:color w:val="000000"/>
                <w:sz w:val="22"/>
                <w:szCs w:val="22"/>
              </w:rPr>
              <w:fldChar w:fldCharType="begin"/>
            </w:r>
            <w:r>
              <w:rPr>
                <w:rFonts w:ascii="Cambria" w:eastAsia="Times New Roman" w:hAnsi="Cambria" w:cs="Times New Roman"/>
                <w:color w:val="000000"/>
                <w:sz w:val="22"/>
                <w:szCs w:val="22"/>
              </w:rPr>
              <w:instrText xml:space="preserve"> ADDIN ZOTERO_ITEM CSL_CITATION {"citationID":"29gr7m83th","properties":{"formattedCitation":"[14]","plainCitation":"[14]"},"citationItems":[{"id":889,"uris":["http://zotero.org/users/38820/items/T5ICGJ2Z"],"uri":["http://zotero.org/users/38820/items/T5ICGJ2Z"],"itemData":{"id":889,"type":"article-journal","title":"A dual point-of-care test shows good performance in simultaneously detecting nontreponemal and treponemal antibodies in patients with syphilis: a multisite evaluation study in China","container-title":"Clinical Infectious Diseases","page":"659-665","volume":"56","issue":"5","source":"NCBI PubMed","abstract":"BACKGROUND: Rapid point-of-care (POC) syphilis tests based on simultaneous detection of treponemal and nontreponemal antibodies (dual POC tests) offer the opportunity to increase coverage of syphilis screening and treatment. This study aimed to conduct a multisite performance evaluation of a dual POC syphilis test in China.\nMETHODS: Participants were recruited from patients at sexually transmitted infection clinics and high-risk groups in outreach settings in 6 sites in China. Three kinds of specimens (whole blood [WB], fingerprick blood [FB], and blood plasma [BP]) were used for evaluating sensitivity and specificity of the Dual Path Platform (DPP) Syphilis Screen and Confirm test using its treponemal and nontreponemal lines to compare Treponema pallidum particle agglutination (TPPA) assay and toluidine red unheated serum test (TRUST) as reference standards.\nRESULTS: A total of 3134 specimens (WB 1323, FB 488, and BP 1323) from 1323 individuals were collected. The sensitivities as compared with TPPA were 96.7% for WB, 96.4% for FB, and 94.6% for BP, and the specificities were 99.3%, 99.1%, and 99.6%, respectively. The sensitivities as compared with TRUST were 87.2% for WB, 85.8% for FB, and 88.4% for BP, and the specificities were 94.4%, 96.1%, and 95.0%, respectively. For specimens with a TRUST titer of 1:4 or higher, the sensitivities were 100.0% for WB, 97.8% for FB, and 99.6% for BP.\nCONCLUSIONS: DPP test shows good sensitivity and specificity in detecting treponemal and nontreponemal antibodies in 3 kinds of specimens. It is hoped that this assay can be considered as an alternative in the diagnosis of syphilis, particularly in resource-limited areas.","DOI":"10.1093/cid/cis928","ISSN":"1537-6591","note":"PMID: 23132172","shortTitle":"A dual point-of-care test shows good performance in simultaneously detecting nontreponemal and treponemal antibodies in patients with syphilis","journalAbbreviation":"Clin. Infect. Dis.","language":"eng","author":[{"family":"Yin","given":"Yue-Ping"},{"family":"Chen","given":"Xiang-Sheng"},{"family":"Wei","given":"Wan-Hui"},{"family":"Gong","given":"Kuang-Long"},{"family":"Cao","given":"Wen-Ling"},{"family":"Yong","given":"Gang"},{"family":"Feng","given":"Liang"},{"family":"Huang","given":"Shu-Jie"},{"family":"Wang","given":"Dong-Mei"},{"family":"Han","given":"Yan"},{"family":"Chen","given":"Shao-Chun"},{"family":"Mabey","given":"David"},{"family":"Peeling","given":"Rosanna W"}],"issued":{"date-parts":[["2013",3]]},"PMID":"23132172"}}],"schema":"https://github.com/citation-style-language/schema/raw/master/csl-citation.json"} </w:instrText>
            </w:r>
            <w:r>
              <w:rPr>
                <w:rFonts w:ascii="Cambria" w:eastAsia="Times New Roman" w:hAnsi="Cambria" w:cs="Times New Roman"/>
                <w:color w:val="000000"/>
                <w:sz w:val="22"/>
                <w:szCs w:val="22"/>
              </w:rPr>
              <w:fldChar w:fldCharType="separate"/>
            </w:r>
            <w:r>
              <w:rPr>
                <w:rFonts w:ascii="Cambria" w:eastAsia="Times New Roman" w:hAnsi="Cambria" w:cs="Times New Roman"/>
                <w:noProof/>
                <w:color w:val="000000"/>
                <w:sz w:val="22"/>
                <w:szCs w:val="22"/>
              </w:rPr>
              <w:t>[14]</w:t>
            </w:r>
            <w:r>
              <w:rPr>
                <w:rFonts w:ascii="Cambria" w:eastAsia="Times New Roman" w:hAnsi="Cambria" w:cs="Times New Roman"/>
                <w:color w:val="000000"/>
                <w:sz w:val="22"/>
                <w:szCs w:val="22"/>
              </w:rPr>
              <w:fldChar w:fldCharType="end"/>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65B6BDD5"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China</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2E9D8BD1"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Syphilis</w:t>
            </w:r>
          </w:p>
        </w:tc>
        <w:tc>
          <w:tcPr>
            <w:tcW w:w="24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D0998EE"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TPPA</w:t>
            </w:r>
          </w:p>
        </w:tc>
        <w:tc>
          <w:tcPr>
            <w:tcW w:w="2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43CD1A8" w14:textId="77777777" w:rsidR="00832180" w:rsidRPr="00995A88" w:rsidRDefault="00832180" w:rsidP="00FD2CAB">
            <w:pPr>
              <w:jc w:val="center"/>
              <w:rPr>
                <w:rFonts w:ascii="Calibri" w:eastAsia="Times New Roman" w:hAnsi="Calibri" w:cs="Times New Roman"/>
                <w:color w:val="000000"/>
                <w:sz w:val="22"/>
                <w:szCs w:val="22"/>
              </w:rPr>
            </w:pPr>
            <w:r w:rsidRPr="00995A88">
              <w:rPr>
                <w:rFonts w:ascii="Calibri" w:eastAsia="Times New Roman" w:hAnsi="Calibri" w:cs="Times New Roman"/>
                <w:color w:val="000000"/>
                <w:sz w:val="22"/>
                <w:szCs w:val="22"/>
              </w:rPr>
              <w:t>TRUST</w:t>
            </w:r>
          </w:p>
        </w:tc>
        <w:tc>
          <w:tcPr>
            <w:tcW w:w="1981" w:type="dxa"/>
            <w:tcBorders>
              <w:top w:val="nil"/>
              <w:left w:val="nil"/>
              <w:bottom w:val="single" w:sz="4" w:space="0" w:color="auto"/>
              <w:right w:val="single" w:sz="4" w:space="0" w:color="auto"/>
            </w:tcBorders>
            <w:shd w:val="clear" w:color="auto" w:fill="auto"/>
            <w:vAlign w:val="center"/>
            <w:hideMark/>
          </w:tcPr>
          <w:p w14:paraId="4C43E2C9"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Plasma</w:t>
            </w:r>
          </w:p>
        </w:tc>
        <w:tc>
          <w:tcPr>
            <w:tcW w:w="2580" w:type="dxa"/>
            <w:tcBorders>
              <w:top w:val="nil"/>
              <w:left w:val="nil"/>
              <w:bottom w:val="single" w:sz="4" w:space="0" w:color="auto"/>
              <w:right w:val="nil"/>
            </w:tcBorders>
            <w:vAlign w:val="center"/>
          </w:tcPr>
          <w:p w14:paraId="684536FC" w14:textId="2D14F40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1,323</w:t>
            </w:r>
          </w:p>
        </w:tc>
        <w:tc>
          <w:tcPr>
            <w:tcW w:w="2580" w:type="dxa"/>
            <w:vMerge w:val="restart"/>
            <w:tcBorders>
              <w:top w:val="nil"/>
              <w:left w:val="nil"/>
              <w:right w:val="single" w:sz="8" w:space="0" w:color="auto"/>
            </w:tcBorders>
            <w:shd w:val="clear" w:color="auto" w:fill="auto"/>
            <w:vAlign w:val="center"/>
          </w:tcPr>
          <w:p w14:paraId="6360212B" w14:textId="13FA765E" w:rsidR="00832180" w:rsidRPr="00995A88" w:rsidRDefault="00832180" w:rsidP="00FD2CAB">
            <w:pPr>
              <w:jc w:val="center"/>
              <w:rPr>
                <w:rFonts w:ascii="Cambria" w:eastAsia="Times New Roman" w:hAnsi="Cambria" w:cs="Times New Roman"/>
                <w:color w:val="000000"/>
                <w:sz w:val="22"/>
                <w:szCs w:val="22"/>
              </w:rPr>
            </w:pPr>
            <w:r>
              <w:rPr>
                <w:rFonts w:ascii="Cambria" w:eastAsia="Times New Roman" w:hAnsi="Cambria" w:cs="Times New Roman"/>
                <w:color w:val="000000"/>
                <w:sz w:val="22"/>
                <w:szCs w:val="22"/>
              </w:rPr>
              <w:t>2013</w:t>
            </w:r>
          </w:p>
        </w:tc>
      </w:tr>
      <w:tr w:rsidR="00832180" w:rsidRPr="004606B9" w14:paraId="3911FBCF" w14:textId="77777777" w:rsidTr="00517CDF">
        <w:trPr>
          <w:trHeight w:val="300"/>
        </w:trPr>
        <w:tc>
          <w:tcPr>
            <w:tcW w:w="1716" w:type="dxa"/>
            <w:vMerge/>
            <w:tcBorders>
              <w:top w:val="nil"/>
              <w:left w:val="single" w:sz="8" w:space="0" w:color="auto"/>
              <w:bottom w:val="single" w:sz="8" w:space="0" w:color="000000"/>
              <w:right w:val="single" w:sz="4" w:space="0" w:color="auto"/>
            </w:tcBorders>
            <w:vAlign w:val="center"/>
            <w:hideMark/>
          </w:tcPr>
          <w:p w14:paraId="6EDCC8B9" w14:textId="77777777" w:rsidR="00832180" w:rsidRPr="00995A88" w:rsidRDefault="00832180" w:rsidP="00FD2CAB">
            <w:pPr>
              <w:rPr>
                <w:rFonts w:ascii="Cambria" w:eastAsia="Times New Roman" w:hAnsi="Cambria" w:cs="Times New Roman"/>
                <w:color w:val="000000"/>
                <w:sz w:val="22"/>
                <w:szCs w:val="22"/>
              </w:rPr>
            </w:pPr>
          </w:p>
        </w:tc>
        <w:tc>
          <w:tcPr>
            <w:tcW w:w="1701" w:type="dxa"/>
            <w:vMerge/>
            <w:tcBorders>
              <w:top w:val="nil"/>
              <w:left w:val="single" w:sz="4" w:space="0" w:color="auto"/>
              <w:bottom w:val="single" w:sz="8" w:space="0" w:color="000000"/>
              <w:right w:val="single" w:sz="4" w:space="0" w:color="auto"/>
            </w:tcBorders>
            <w:vAlign w:val="center"/>
            <w:hideMark/>
          </w:tcPr>
          <w:p w14:paraId="270D50A1" w14:textId="77777777" w:rsidR="00832180" w:rsidRPr="00995A88" w:rsidRDefault="00832180" w:rsidP="00FD2CAB">
            <w:pPr>
              <w:rPr>
                <w:rFonts w:ascii="Cambria" w:eastAsia="Times New Roman" w:hAnsi="Cambria" w:cs="Times New Roman"/>
                <w:color w:val="000000"/>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44DAE7DC" w14:textId="77777777" w:rsidR="00832180" w:rsidRPr="00995A88" w:rsidRDefault="00832180" w:rsidP="00FD2CAB">
            <w:pPr>
              <w:rPr>
                <w:rFonts w:ascii="Cambria" w:eastAsia="Times New Roman" w:hAnsi="Cambria" w:cs="Times New Roman"/>
                <w:color w:val="000000"/>
                <w:sz w:val="22"/>
                <w:szCs w:val="22"/>
              </w:rPr>
            </w:pPr>
          </w:p>
        </w:tc>
        <w:tc>
          <w:tcPr>
            <w:tcW w:w="2480" w:type="dxa"/>
            <w:vMerge/>
            <w:tcBorders>
              <w:top w:val="nil"/>
              <w:left w:val="single" w:sz="4" w:space="0" w:color="auto"/>
              <w:bottom w:val="single" w:sz="8" w:space="0" w:color="000000"/>
              <w:right w:val="single" w:sz="4" w:space="0" w:color="auto"/>
            </w:tcBorders>
            <w:vAlign w:val="center"/>
            <w:hideMark/>
          </w:tcPr>
          <w:p w14:paraId="1CFDC5AE" w14:textId="77777777" w:rsidR="00832180" w:rsidRPr="00995A88" w:rsidRDefault="00832180" w:rsidP="00FD2CAB">
            <w:pPr>
              <w:rPr>
                <w:rFonts w:ascii="Calibri" w:eastAsia="Times New Roman" w:hAnsi="Calibri" w:cs="Times New Roman"/>
                <w:color w:val="000000"/>
                <w:sz w:val="22"/>
                <w:szCs w:val="22"/>
              </w:rPr>
            </w:pPr>
          </w:p>
        </w:tc>
        <w:tc>
          <w:tcPr>
            <w:tcW w:w="2060" w:type="dxa"/>
            <w:vMerge/>
            <w:tcBorders>
              <w:top w:val="nil"/>
              <w:left w:val="single" w:sz="4" w:space="0" w:color="auto"/>
              <w:bottom w:val="single" w:sz="8" w:space="0" w:color="000000"/>
              <w:right w:val="single" w:sz="4" w:space="0" w:color="auto"/>
            </w:tcBorders>
            <w:vAlign w:val="center"/>
            <w:hideMark/>
          </w:tcPr>
          <w:p w14:paraId="4E95671F" w14:textId="77777777" w:rsidR="00832180" w:rsidRPr="00995A88" w:rsidRDefault="00832180" w:rsidP="00FD2CAB">
            <w:pPr>
              <w:rPr>
                <w:rFonts w:ascii="Calibri" w:eastAsia="Times New Roman" w:hAnsi="Calibri" w:cs="Times New Roman"/>
                <w:color w:val="000000"/>
                <w:sz w:val="22"/>
                <w:szCs w:val="22"/>
              </w:rPr>
            </w:pPr>
          </w:p>
        </w:tc>
        <w:tc>
          <w:tcPr>
            <w:tcW w:w="1981" w:type="dxa"/>
            <w:tcBorders>
              <w:top w:val="nil"/>
              <w:left w:val="nil"/>
              <w:bottom w:val="single" w:sz="4" w:space="0" w:color="auto"/>
              <w:right w:val="single" w:sz="4" w:space="0" w:color="auto"/>
            </w:tcBorders>
            <w:shd w:val="clear" w:color="auto" w:fill="auto"/>
            <w:vAlign w:val="center"/>
            <w:hideMark/>
          </w:tcPr>
          <w:p w14:paraId="54A1F1F8"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Whole-Blood</w:t>
            </w:r>
          </w:p>
        </w:tc>
        <w:tc>
          <w:tcPr>
            <w:tcW w:w="2580" w:type="dxa"/>
            <w:tcBorders>
              <w:top w:val="nil"/>
              <w:left w:val="nil"/>
              <w:bottom w:val="single" w:sz="4" w:space="0" w:color="auto"/>
              <w:right w:val="nil"/>
            </w:tcBorders>
            <w:vAlign w:val="center"/>
          </w:tcPr>
          <w:p w14:paraId="42C28276" w14:textId="17E268D1"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1,324</w:t>
            </w:r>
          </w:p>
        </w:tc>
        <w:tc>
          <w:tcPr>
            <w:tcW w:w="2580" w:type="dxa"/>
            <w:vMerge/>
            <w:tcBorders>
              <w:left w:val="nil"/>
              <w:right w:val="single" w:sz="8" w:space="0" w:color="auto"/>
            </w:tcBorders>
            <w:shd w:val="clear" w:color="auto" w:fill="auto"/>
            <w:vAlign w:val="center"/>
          </w:tcPr>
          <w:p w14:paraId="63CC8B89" w14:textId="4A623211" w:rsidR="00832180" w:rsidRPr="00995A88" w:rsidRDefault="00832180" w:rsidP="00FD2CAB">
            <w:pPr>
              <w:jc w:val="center"/>
              <w:rPr>
                <w:rFonts w:ascii="Cambria" w:eastAsia="Times New Roman" w:hAnsi="Cambria" w:cs="Times New Roman"/>
                <w:color w:val="000000"/>
                <w:sz w:val="22"/>
                <w:szCs w:val="22"/>
              </w:rPr>
            </w:pPr>
          </w:p>
        </w:tc>
      </w:tr>
      <w:tr w:rsidR="00832180" w:rsidRPr="004606B9" w14:paraId="60A4C56D" w14:textId="77777777" w:rsidTr="00517CDF">
        <w:trPr>
          <w:trHeight w:val="320"/>
        </w:trPr>
        <w:tc>
          <w:tcPr>
            <w:tcW w:w="1716" w:type="dxa"/>
            <w:vMerge/>
            <w:tcBorders>
              <w:top w:val="nil"/>
              <w:left w:val="single" w:sz="8" w:space="0" w:color="auto"/>
              <w:bottom w:val="single" w:sz="8" w:space="0" w:color="000000"/>
              <w:right w:val="single" w:sz="4" w:space="0" w:color="auto"/>
            </w:tcBorders>
            <w:vAlign w:val="center"/>
            <w:hideMark/>
          </w:tcPr>
          <w:p w14:paraId="01F60367" w14:textId="77777777" w:rsidR="00832180" w:rsidRPr="00995A88" w:rsidRDefault="00832180" w:rsidP="00FD2CAB">
            <w:pPr>
              <w:rPr>
                <w:rFonts w:ascii="Cambria" w:eastAsia="Times New Roman" w:hAnsi="Cambria" w:cs="Times New Roman"/>
                <w:color w:val="000000"/>
                <w:sz w:val="22"/>
                <w:szCs w:val="22"/>
              </w:rPr>
            </w:pPr>
          </w:p>
        </w:tc>
        <w:tc>
          <w:tcPr>
            <w:tcW w:w="1701" w:type="dxa"/>
            <w:vMerge/>
            <w:tcBorders>
              <w:top w:val="nil"/>
              <w:left w:val="single" w:sz="4" w:space="0" w:color="auto"/>
              <w:bottom w:val="single" w:sz="8" w:space="0" w:color="000000"/>
              <w:right w:val="single" w:sz="4" w:space="0" w:color="auto"/>
            </w:tcBorders>
            <w:vAlign w:val="center"/>
            <w:hideMark/>
          </w:tcPr>
          <w:p w14:paraId="55ED39AB" w14:textId="77777777" w:rsidR="00832180" w:rsidRPr="00995A88" w:rsidRDefault="00832180" w:rsidP="00FD2CAB">
            <w:pPr>
              <w:rPr>
                <w:rFonts w:ascii="Cambria" w:eastAsia="Times New Roman" w:hAnsi="Cambria" w:cs="Times New Roman"/>
                <w:color w:val="000000"/>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08CA3842" w14:textId="77777777" w:rsidR="00832180" w:rsidRPr="00995A88" w:rsidRDefault="00832180" w:rsidP="00FD2CAB">
            <w:pPr>
              <w:rPr>
                <w:rFonts w:ascii="Cambria" w:eastAsia="Times New Roman" w:hAnsi="Cambria" w:cs="Times New Roman"/>
                <w:color w:val="000000"/>
                <w:sz w:val="22"/>
                <w:szCs w:val="22"/>
              </w:rPr>
            </w:pPr>
          </w:p>
        </w:tc>
        <w:tc>
          <w:tcPr>
            <w:tcW w:w="2480" w:type="dxa"/>
            <w:vMerge/>
            <w:tcBorders>
              <w:top w:val="nil"/>
              <w:left w:val="single" w:sz="4" w:space="0" w:color="auto"/>
              <w:bottom w:val="single" w:sz="8" w:space="0" w:color="000000"/>
              <w:right w:val="single" w:sz="4" w:space="0" w:color="auto"/>
            </w:tcBorders>
            <w:vAlign w:val="center"/>
            <w:hideMark/>
          </w:tcPr>
          <w:p w14:paraId="50DCEC01" w14:textId="77777777" w:rsidR="00832180" w:rsidRPr="00995A88" w:rsidRDefault="00832180" w:rsidP="00FD2CAB">
            <w:pPr>
              <w:rPr>
                <w:rFonts w:ascii="Calibri" w:eastAsia="Times New Roman" w:hAnsi="Calibri" w:cs="Times New Roman"/>
                <w:color w:val="000000"/>
                <w:sz w:val="22"/>
                <w:szCs w:val="22"/>
              </w:rPr>
            </w:pPr>
          </w:p>
        </w:tc>
        <w:tc>
          <w:tcPr>
            <w:tcW w:w="2060" w:type="dxa"/>
            <w:vMerge/>
            <w:tcBorders>
              <w:top w:val="nil"/>
              <w:left w:val="single" w:sz="4" w:space="0" w:color="auto"/>
              <w:bottom w:val="single" w:sz="8" w:space="0" w:color="000000"/>
              <w:right w:val="single" w:sz="4" w:space="0" w:color="auto"/>
            </w:tcBorders>
            <w:vAlign w:val="center"/>
            <w:hideMark/>
          </w:tcPr>
          <w:p w14:paraId="4656CCC3" w14:textId="77777777" w:rsidR="00832180" w:rsidRPr="00995A88" w:rsidRDefault="00832180" w:rsidP="00FD2CAB">
            <w:pPr>
              <w:rPr>
                <w:rFonts w:ascii="Calibri" w:eastAsia="Times New Roman" w:hAnsi="Calibri" w:cs="Times New Roman"/>
                <w:color w:val="000000"/>
                <w:sz w:val="22"/>
                <w:szCs w:val="22"/>
              </w:rPr>
            </w:pPr>
          </w:p>
        </w:tc>
        <w:tc>
          <w:tcPr>
            <w:tcW w:w="1981" w:type="dxa"/>
            <w:tcBorders>
              <w:top w:val="nil"/>
              <w:left w:val="nil"/>
              <w:bottom w:val="single" w:sz="8" w:space="0" w:color="auto"/>
              <w:right w:val="single" w:sz="4" w:space="0" w:color="auto"/>
            </w:tcBorders>
            <w:shd w:val="clear" w:color="auto" w:fill="auto"/>
            <w:vAlign w:val="center"/>
            <w:hideMark/>
          </w:tcPr>
          <w:p w14:paraId="0AFA2BFC" w14:textId="77777777"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Finger-Prick</w:t>
            </w:r>
          </w:p>
        </w:tc>
        <w:tc>
          <w:tcPr>
            <w:tcW w:w="2580" w:type="dxa"/>
            <w:tcBorders>
              <w:top w:val="nil"/>
              <w:left w:val="nil"/>
              <w:bottom w:val="single" w:sz="8" w:space="0" w:color="auto"/>
              <w:right w:val="nil"/>
            </w:tcBorders>
            <w:vAlign w:val="center"/>
          </w:tcPr>
          <w:p w14:paraId="01749C2B" w14:textId="63DBDD36" w:rsidR="00832180" w:rsidRPr="00995A88" w:rsidRDefault="00832180" w:rsidP="00FD2CAB">
            <w:pPr>
              <w:jc w:val="cente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488</w:t>
            </w:r>
          </w:p>
        </w:tc>
        <w:tc>
          <w:tcPr>
            <w:tcW w:w="2580" w:type="dxa"/>
            <w:vMerge/>
            <w:tcBorders>
              <w:left w:val="nil"/>
              <w:bottom w:val="single" w:sz="8" w:space="0" w:color="auto"/>
              <w:right w:val="single" w:sz="8" w:space="0" w:color="auto"/>
            </w:tcBorders>
            <w:shd w:val="clear" w:color="auto" w:fill="auto"/>
            <w:vAlign w:val="center"/>
          </w:tcPr>
          <w:p w14:paraId="3A761F8A" w14:textId="34279F00" w:rsidR="00832180" w:rsidRPr="00995A88" w:rsidRDefault="00832180" w:rsidP="00FD2CAB">
            <w:pPr>
              <w:jc w:val="center"/>
              <w:rPr>
                <w:rFonts w:ascii="Cambria" w:eastAsia="Times New Roman" w:hAnsi="Cambria" w:cs="Times New Roman"/>
                <w:color w:val="000000"/>
                <w:sz w:val="22"/>
                <w:szCs w:val="22"/>
              </w:rPr>
            </w:pPr>
          </w:p>
        </w:tc>
      </w:tr>
    </w:tbl>
    <w:p w14:paraId="2C36CDB3" w14:textId="77777777" w:rsidR="00995A88" w:rsidRPr="00995A88" w:rsidRDefault="00995A88" w:rsidP="00FD2CAB">
      <w:pPr>
        <w:rPr>
          <w:rFonts w:ascii="Cambria" w:eastAsia="Times New Roman" w:hAnsi="Cambria" w:cs="Times New Roman"/>
          <w:color w:val="000000"/>
          <w:sz w:val="22"/>
          <w:szCs w:val="22"/>
        </w:rPr>
      </w:pPr>
      <w:r w:rsidRPr="00995A88">
        <w:rPr>
          <w:rFonts w:ascii="Cambria" w:eastAsia="Times New Roman" w:hAnsi="Cambria" w:cs="Times New Roman"/>
          <w:color w:val="000000"/>
          <w:sz w:val="22"/>
          <w:szCs w:val="22"/>
        </w:rPr>
        <w:t>*The published study size was 1,889 but individual level data was only available for 1,168 tests</w:t>
      </w:r>
    </w:p>
    <w:p w14:paraId="4D7E2378" w14:textId="77777777" w:rsidR="00CF4E49" w:rsidRDefault="00CF4E49" w:rsidP="00FD2CAB"/>
    <w:p w14:paraId="7B238B75" w14:textId="77777777" w:rsidR="00995A88" w:rsidRDefault="00995A88" w:rsidP="00FD2CAB"/>
    <w:p w14:paraId="1DA9F1AE" w14:textId="77777777" w:rsidR="00995A88" w:rsidRDefault="00995A88" w:rsidP="00FD2CAB"/>
    <w:p w14:paraId="1BA96286" w14:textId="77777777" w:rsidR="00995A88" w:rsidRDefault="00995A88" w:rsidP="00FD2CAB"/>
    <w:p w14:paraId="4C357F01" w14:textId="77777777" w:rsidR="00995A88" w:rsidRDefault="00995A88" w:rsidP="00FD2CAB"/>
    <w:p w14:paraId="3B56186A" w14:textId="77777777" w:rsidR="00995A88" w:rsidRDefault="00995A88" w:rsidP="00FD2CAB"/>
    <w:p w14:paraId="70F3662F" w14:textId="77777777" w:rsidR="00995A88" w:rsidRDefault="00995A88" w:rsidP="00FD2CAB"/>
    <w:p w14:paraId="44A40472" w14:textId="77777777" w:rsidR="00995A88" w:rsidRDefault="00995A88" w:rsidP="00FD2CAB"/>
    <w:p w14:paraId="634B6E7E" w14:textId="77777777" w:rsidR="00995A88" w:rsidRDefault="00995A88" w:rsidP="00FD2CAB"/>
    <w:tbl>
      <w:tblPr>
        <w:tblW w:w="15041" w:type="dxa"/>
        <w:tblInd w:w="93" w:type="dxa"/>
        <w:tblLayout w:type="fixed"/>
        <w:tblLook w:val="04A0" w:firstRow="1" w:lastRow="0" w:firstColumn="1" w:lastColumn="0" w:noHBand="0" w:noVBand="1"/>
      </w:tblPr>
      <w:tblGrid>
        <w:gridCol w:w="2600"/>
        <w:gridCol w:w="1243"/>
        <w:gridCol w:w="1417"/>
        <w:gridCol w:w="1701"/>
        <w:gridCol w:w="2410"/>
        <w:gridCol w:w="1500"/>
        <w:gridCol w:w="2043"/>
        <w:gridCol w:w="2127"/>
      </w:tblGrid>
      <w:tr w:rsidR="00517CDF" w:rsidRPr="00CF4E49" w14:paraId="35B61D18" w14:textId="77777777" w:rsidTr="00517CDF">
        <w:trPr>
          <w:trHeight w:val="320"/>
        </w:trPr>
        <w:tc>
          <w:tcPr>
            <w:tcW w:w="2600" w:type="dxa"/>
            <w:tcBorders>
              <w:top w:val="nil"/>
              <w:left w:val="nil"/>
              <w:bottom w:val="nil"/>
              <w:right w:val="nil"/>
            </w:tcBorders>
            <w:shd w:val="clear" w:color="auto" w:fill="auto"/>
            <w:noWrap/>
            <w:vAlign w:val="bottom"/>
            <w:hideMark/>
          </w:tcPr>
          <w:p w14:paraId="5FDAB2E2" w14:textId="7CDACB3A" w:rsidR="00517CDF" w:rsidRPr="00CF4E49" w:rsidRDefault="00517CDF" w:rsidP="00FD2CAB">
            <w:pPr>
              <w:rPr>
                <w:rFonts w:ascii="Calibri" w:eastAsia="Times New Roman" w:hAnsi="Calibri" w:cs="Times New Roman"/>
                <w:b/>
                <w:bCs/>
                <w:color w:val="000000"/>
              </w:rPr>
            </w:pPr>
            <w:r w:rsidRPr="00CF4E49">
              <w:rPr>
                <w:rFonts w:ascii="Calibri" w:eastAsia="Times New Roman" w:hAnsi="Calibri" w:cs="Times New Roman"/>
                <w:b/>
                <w:bCs/>
                <w:color w:val="000000"/>
              </w:rPr>
              <w:lastRenderedPageBreak/>
              <w:t xml:space="preserve">Table </w:t>
            </w:r>
            <w:proofErr w:type="gramStart"/>
            <w:r w:rsidRPr="00CF4E49">
              <w:rPr>
                <w:rFonts w:ascii="Calibri" w:eastAsia="Times New Roman" w:hAnsi="Calibri" w:cs="Times New Roman"/>
                <w:b/>
                <w:bCs/>
                <w:color w:val="000000"/>
              </w:rPr>
              <w:t xml:space="preserve">2 </w:t>
            </w:r>
            <w:r w:rsidRPr="00517CDF">
              <w:rPr>
                <w:rFonts w:ascii="Calibri" w:eastAsia="Times New Roman" w:hAnsi="Calibri" w:cs="Times New Roman"/>
                <w:b/>
                <w:bCs/>
                <w:color w:val="000000"/>
              </w:rPr>
              <w:t>:</w:t>
            </w:r>
            <w:proofErr w:type="gramEnd"/>
          </w:p>
        </w:tc>
        <w:tc>
          <w:tcPr>
            <w:tcW w:w="6771" w:type="dxa"/>
            <w:gridSpan w:val="4"/>
            <w:tcBorders>
              <w:top w:val="nil"/>
              <w:left w:val="nil"/>
              <w:bottom w:val="nil"/>
              <w:right w:val="nil"/>
            </w:tcBorders>
            <w:shd w:val="clear" w:color="auto" w:fill="auto"/>
            <w:noWrap/>
            <w:vAlign w:val="bottom"/>
            <w:hideMark/>
          </w:tcPr>
          <w:p w14:paraId="757AF248" w14:textId="6BB794F7" w:rsidR="00517CDF" w:rsidRPr="00CF4E49" w:rsidRDefault="00517CDF" w:rsidP="00FD2CAB">
            <w:pPr>
              <w:rPr>
                <w:rFonts w:ascii="Calibri" w:eastAsia="Times New Roman" w:hAnsi="Calibri" w:cs="Times New Roman"/>
                <w:color w:val="000000"/>
              </w:rPr>
            </w:pPr>
            <w:r w:rsidRPr="00CF4E49">
              <w:rPr>
                <w:rFonts w:ascii="Calibri" w:eastAsia="Times New Roman" w:hAnsi="Calibri" w:cs="Times New Roman"/>
                <w:b/>
                <w:bCs/>
                <w:color w:val="000000"/>
              </w:rPr>
              <w:t xml:space="preserve">Overall </w:t>
            </w:r>
            <w:r>
              <w:rPr>
                <w:rFonts w:ascii="Calibri" w:eastAsia="Times New Roman" w:hAnsi="Calibri" w:cs="Times New Roman"/>
                <w:b/>
                <w:bCs/>
                <w:color w:val="000000"/>
              </w:rPr>
              <w:t>Sensitivity and Specificity of the DPP RDT by RPR Titre</w:t>
            </w:r>
            <w:r w:rsidRPr="00CF4E49">
              <w:rPr>
                <w:rFonts w:ascii="Calibri" w:eastAsia="Times New Roman" w:hAnsi="Calibri" w:cs="Times New Roman"/>
                <w:b/>
                <w:bCs/>
                <w:color w:val="000000"/>
              </w:rPr>
              <w:t xml:space="preserve"> </w:t>
            </w:r>
          </w:p>
        </w:tc>
        <w:tc>
          <w:tcPr>
            <w:tcW w:w="1500" w:type="dxa"/>
            <w:tcBorders>
              <w:top w:val="nil"/>
              <w:left w:val="nil"/>
              <w:bottom w:val="nil"/>
              <w:right w:val="nil"/>
            </w:tcBorders>
            <w:shd w:val="clear" w:color="auto" w:fill="auto"/>
            <w:noWrap/>
            <w:vAlign w:val="bottom"/>
            <w:hideMark/>
          </w:tcPr>
          <w:p w14:paraId="08ADAF1E" w14:textId="77777777" w:rsidR="00517CDF" w:rsidRPr="00CF4E49" w:rsidRDefault="00517CDF" w:rsidP="00FD2CAB">
            <w:pPr>
              <w:rPr>
                <w:rFonts w:ascii="Calibri" w:eastAsia="Times New Roman" w:hAnsi="Calibri" w:cs="Times New Roman"/>
                <w:color w:val="000000"/>
              </w:rPr>
            </w:pPr>
          </w:p>
        </w:tc>
        <w:tc>
          <w:tcPr>
            <w:tcW w:w="2043" w:type="dxa"/>
            <w:tcBorders>
              <w:top w:val="nil"/>
              <w:left w:val="nil"/>
              <w:bottom w:val="nil"/>
              <w:right w:val="nil"/>
            </w:tcBorders>
            <w:shd w:val="clear" w:color="auto" w:fill="auto"/>
            <w:noWrap/>
            <w:vAlign w:val="bottom"/>
            <w:hideMark/>
          </w:tcPr>
          <w:p w14:paraId="0A23C83A" w14:textId="77777777" w:rsidR="00517CDF" w:rsidRPr="00CF4E49" w:rsidRDefault="00517CDF" w:rsidP="00FD2CAB">
            <w:pPr>
              <w:rPr>
                <w:rFonts w:ascii="Calibri" w:eastAsia="Times New Roman" w:hAnsi="Calibri" w:cs="Times New Roman"/>
                <w:color w:val="000000"/>
              </w:rPr>
            </w:pPr>
          </w:p>
        </w:tc>
        <w:tc>
          <w:tcPr>
            <w:tcW w:w="2127" w:type="dxa"/>
            <w:tcBorders>
              <w:top w:val="nil"/>
              <w:left w:val="nil"/>
              <w:bottom w:val="nil"/>
              <w:right w:val="nil"/>
            </w:tcBorders>
            <w:shd w:val="clear" w:color="auto" w:fill="auto"/>
            <w:noWrap/>
            <w:vAlign w:val="bottom"/>
            <w:hideMark/>
          </w:tcPr>
          <w:p w14:paraId="19C500A3" w14:textId="77777777" w:rsidR="00517CDF" w:rsidRPr="00CF4E49" w:rsidRDefault="00517CDF" w:rsidP="00FD2CAB">
            <w:pPr>
              <w:rPr>
                <w:rFonts w:ascii="Calibri" w:eastAsia="Times New Roman" w:hAnsi="Calibri" w:cs="Times New Roman"/>
                <w:color w:val="000000"/>
              </w:rPr>
            </w:pPr>
          </w:p>
        </w:tc>
      </w:tr>
      <w:tr w:rsidR="003B2949" w:rsidRPr="00CF4E49" w14:paraId="15E0762D" w14:textId="77777777" w:rsidTr="003B2949">
        <w:trPr>
          <w:trHeight w:val="300"/>
        </w:trPr>
        <w:tc>
          <w:tcPr>
            <w:tcW w:w="2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86FE2F" w14:textId="77777777" w:rsidR="003B2949" w:rsidRPr="00CF4E49" w:rsidRDefault="003B2949"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 </w:t>
            </w:r>
          </w:p>
        </w:tc>
        <w:tc>
          <w:tcPr>
            <w:tcW w:w="1243" w:type="dxa"/>
            <w:tcBorders>
              <w:top w:val="single" w:sz="8" w:space="0" w:color="auto"/>
              <w:left w:val="nil"/>
              <w:bottom w:val="single" w:sz="4" w:space="0" w:color="auto"/>
              <w:right w:val="single" w:sz="4" w:space="0" w:color="auto"/>
            </w:tcBorders>
            <w:shd w:val="clear" w:color="auto" w:fill="auto"/>
            <w:noWrap/>
            <w:vAlign w:val="center"/>
            <w:hideMark/>
          </w:tcPr>
          <w:p w14:paraId="23D20A19" w14:textId="77777777" w:rsidR="003B2949" w:rsidRPr="00CF4E49" w:rsidRDefault="003B2949" w:rsidP="00FD2CAB">
            <w:pPr>
              <w:jc w:val="center"/>
              <w:rPr>
                <w:rFonts w:ascii="Calibri" w:eastAsia="Times New Roman" w:hAnsi="Calibri" w:cs="Times New Roman"/>
                <w:b/>
                <w:bCs/>
                <w:color w:val="000000"/>
                <w:sz w:val="22"/>
                <w:szCs w:val="22"/>
              </w:rPr>
            </w:pPr>
            <w:proofErr w:type="gramStart"/>
            <w:r w:rsidRPr="00CF4E49">
              <w:rPr>
                <w:rFonts w:ascii="Calibri" w:eastAsia="Times New Roman" w:hAnsi="Calibri" w:cs="Times New Roman"/>
                <w:b/>
                <w:bCs/>
                <w:color w:val="000000"/>
                <w:sz w:val="22"/>
                <w:szCs w:val="22"/>
              </w:rPr>
              <w:t>n</w:t>
            </w:r>
            <w:proofErr w:type="gramEnd"/>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4BDA1D53" w14:textId="77777777" w:rsidR="003B2949" w:rsidRPr="00CF4E49" w:rsidRDefault="003B2949"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Reference Test Positive</w:t>
            </w:r>
          </w:p>
        </w:tc>
        <w:tc>
          <w:tcPr>
            <w:tcW w:w="1701" w:type="dxa"/>
            <w:tcBorders>
              <w:top w:val="single" w:sz="8" w:space="0" w:color="auto"/>
              <w:left w:val="nil"/>
              <w:bottom w:val="single" w:sz="4" w:space="0" w:color="auto"/>
              <w:right w:val="single" w:sz="4" w:space="0" w:color="auto"/>
            </w:tcBorders>
            <w:shd w:val="clear" w:color="auto" w:fill="auto"/>
            <w:noWrap/>
            <w:vAlign w:val="center"/>
          </w:tcPr>
          <w:p w14:paraId="09A3D47E" w14:textId="77777777" w:rsidR="003B2949" w:rsidRPr="00CF4E49" w:rsidRDefault="003B2949"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DPP Positive</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14:paraId="6D1BA95B" w14:textId="77777777" w:rsidR="003B2949" w:rsidRPr="00CF4E49" w:rsidRDefault="003B2949"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Sensitivity (95% CI)</w:t>
            </w:r>
          </w:p>
        </w:tc>
        <w:tc>
          <w:tcPr>
            <w:tcW w:w="1500" w:type="dxa"/>
            <w:tcBorders>
              <w:top w:val="single" w:sz="8" w:space="0" w:color="auto"/>
              <w:left w:val="nil"/>
              <w:bottom w:val="single" w:sz="4" w:space="0" w:color="auto"/>
              <w:right w:val="single" w:sz="4" w:space="0" w:color="auto"/>
            </w:tcBorders>
            <w:shd w:val="clear" w:color="auto" w:fill="auto"/>
            <w:noWrap/>
            <w:vAlign w:val="center"/>
          </w:tcPr>
          <w:p w14:paraId="593D021E" w14:textId="77777777" w:rsidR="003B2949" w:rsidRPr="00CF4E49" w:rsidRDefault="003B2949"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Reference Test Negative</w:t>
            </w:r>
          </w:p>
        </w:tc>
        <w:tc>
          <w:tcPr>
            <w:tcW w:w="2043" w:type="dxa"/>
            <w:tcBorders>
              <w:top w:val="single" w:sz="8" w:space="0" w:color="auto"/>
              <w:left w:val="nil"/>
              <w:bottom w:val="single" w:sz="4" w:space="0" w:color="auto"/>
              <w:right w:val="single" w:sz="4" w:space="0" w:color="auto"/>
            </w:tcBorders>
            <w:shd w:val="clear" w:color="auto" w:fill="auto"/>
            <w:noWrap/>
            <w:vAlign w:val="center"/>
          </w:tcPr>
          <w:p w14:paraId="14870EB2" w14:textId="77777777" w:rsidR="003B2949" w:rsidRPr="00CF4E49" w:rsidRDefault="003B2949"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DPP Negative</w:t>
            </w:r>
          </w:p>
        </w:tc>
        <w:tc>
          <w:tcPr>
            <w:tcW w:w="2127" w:type="dxa"/>
            <w:tcBorders>
              <w:top w:val="single" w:sz="8" w:space="0" w:color="auto"/>
              <w:left w:val="nil"/>
              <w:bottom w:val="single" w:sz="4" w:space="0" w:color="auto"/>
              <w:right w:val="single" w:sz="8" w:space="0" w:color="auto"/>
            </w:tcBorders>
            <w:shd w:val="clear" w:color="auto" w:fill="auto"/>
            <w:noWrap/>
            <w:vAlign w:val="center"/>
            <w:hideMark/>
          </w:tcPr>
          <w:p w14:paraId="1C4B7551" w14:textId="77777777" w:rsidR="003B2949" w:rsidRPr="00CF4E49" w:rsidRDefault="003B2949"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Specificity (95% CI)</w:t>
            </w:r>
          </w:p>
        </w:tc>
      </w:tr>
      <w:tr w:rsidR="003B2949" w:rsidRPr="00CF4E49" w14:paraId="32DCAE38" w14:textId="77777777" w:rsidTr="003B2949">
        <w:trPr>
          <w:trHeight w:val="300"/>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1A9BBC04"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RPR &lt;1:16</w:t>
            </w:r>
          </w:p>
        </w:tc>
        <w:tc>
          <w:tcPr>
            <w:tcW w:w="1243" w:type="dxa"/>
            <w:tcBorders>
              <w:top w:val="nil"/>
              <w:left w:val="nil"/>
              <w:bottom w:val="single" w:sz="4" w:space="0" w:color="auto"/>
              <w:right w:val="single" w:sz="4" w:space="0" w:color="auto"/>
            </w:tcBorders>
            <w:shd w:val="clear" w:color="auto" w:fill="auto"/>
            <w:noWrap/>
            <w:vAlign w:val="center"/>
            <w:hideMark/>
          </w:tcPr>
          <w:p w14:paraId="6388B420"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0E732531"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72667C0D"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60B1E1DA"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tcPr>
          <w:p w14:paraId="23324E06"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043" w:type="dxa"/>
            <w:tcBorders>
              <w:top w:val="nil"/>
              <w:left w:val="nil"/>
              <w:bottom w:val="single" w:sz="4" w:space="0" w:color="auto"/>
              <w:right w:val="single" w:sz="4" w:space="0" w:color="auto"/>
            </w:tcBorders>
            <w:shd w:val="clear" w:color="auto" w:fill="auto"/>
            <w:noWrap/>
            <w:vAlign w:val="center"/>
          </w:tcPr>
          <w:p w14:paraId="5BE8103F"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7" w:type="dxa"/>
            <w:tcBorders>
              <w:top w:val="nil"/>
              <w:left w:val="nil"/>
              <w:bottom w:val="single" w:sz="4" w:space="0" w:color="auto"/>
              <w:right w:val="single" w:sz="8" w:space="0" w:color="auto"/>
            </w:tcBorders>
            <w:shd w:val="clear" w:color="auto" w:fill="auto"/>
            <w:noWrap/>
            <w:vAlign w:val="center"/>
            <w:hideMark/>
          </w:tcPr>
          <w:p w14:paraId="70C43972"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3B2949" w:rsidRPr="00CF4E49" w14:paraId="5F203B83" w14:textId="77777777" w:rsidTr="003B2949">
        <w:trPr>
          <w:trHeight w:val="300"/>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57147215" w14:textId="77777777" w:rsidR="003B2949" w:rsidRPr="00CF4E49" w:rsidRDefault="003B2949" w:rsidP="00FD2CAB">
            <w:pPr>
              <w:jc w:val="center"/>
              <w:rPr>
                <w:rFonts w:ascii="Calibri" w:eastAsia="Times New Roman" w:hAnsi="Calibri" w:cs="Times New Roman"/>
                <w:color w:val="000000"/>
                <w:sz w:val="22"/>
                <w:szCs w:val="22"/>
              </w:rPr>
            </w:pP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43" w:type="dxa"/>
            <w:tcBorders>
              <w:top w:val="nil"/>
              <w:left w:val="nil"/>
              <w:bottom w:val="single" w:sz="4" w:space="0" w:color="auto"/>
              <w:right w:val="single" w:sz="4" w:space="0" w:color="auto"/>
            </w:tcBorders>
            <w:shd w:val="clear" w:color="auto" w:fill="auto"/>
            <w:noWrap/>
            <w:vAlign w:val="center"/>
            <w:hideMark/>
          </w:tcPr>
          <w:p w14:paraId="4669845E"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5916</w:t>
            </w:r>
          </w:p>
        </w:tc>
        <w:tc>
          <w:tcPr>
            <w:tcW w:w="1417" w:type="dxa"/>
            <w:tcBorders>
              <w:top w:val="nil"/>
              <w:left w:val="nil"/>
              <w:bottom w:val="single" w:sz="4" w:space="0" w:color="auto"/>
              <w:right w:val="single" w:sz="4" w:space="0" w:color="auto"/>
            </w:tcBorders>
            <w:shd w:val="clear" w:color="auto" w:fill="auto"/>
            <w:noWrap/>
            <w:vAlign w:val="center"/>
          </w:tcPr>
          <w:p w14:paraId="5907E3D6"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2736</w:t>
            </w:r>
          </w:p>
        </w:tc>
        <w:tc>
          <w:tcPr>
            <w:tcW w:w="1701" w:type="dxa"/>
            <w:tcBorders>
              <w:top w:val="nil"/>
              <w:left w:val="nil"/>
              <w:bottom w:val="single" w:sz="4" w:space="0" w:color="auto"/>
              <w:right w:val="single" w:sz="4" w:space="0" w:color="auto"/>
            </w:tcBorders>
            <w:shd w:val="clear" w:color="auto" w:fill="auto"/>
            <w:noWrap/>
            <w:vAlign w:val="center"/>
          </w:tcPr>
          <w:p w14:paraId="1EBC72D8"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2464</w:t>
            </w:r>
          </w:p>
        </w:tc>
        <w:tc>
          <w:tcPr>
            <w:tcW w:w="2410" w:type="dxa"/>
            <w:tcBorders>
              <w:top w:val="nil"/>
              <w:left w:val="nil"/>
              <w:bottom w:val="single" w:sz="4" w:space="0" w:color="auto"/>
              <w:right w:val="single" w:sz="4" w:space="0" w:color="auto"/>
            </w:tcBorders>
            <w:shd w:val="clear" w:color="auto" w:fill="auto"/>
            <w:noWrap/>
            <w:vAlign w:val="center"/>
            <w:hideMark/>
          </w:tcPr>
          <w:p w14:paraId="3E8E83BD"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90.1% (88.9-91.2%)</w:t>
            </w:r>
          </w:p>
        </w:tc>
        <w:tc>
          <w:tcPr>
            <w:tcW w:w="1500" w:type="dxa"/>
            <w:tcBorders>
              <w:top w:val="nil"/>
              <w:left w:val="nil"/>
              <w:bottom w:val="single" w:sz="4" w:space="0" w:color="auto"/>
              <w:right w:val="single" w:sz="4" w:space="0" w:color="auto"/>
            </w:tcBorders>
            <w:shd w:val="clear" w:color="auto" w:fill="auto"/>
            <w:noWrap/>
            <w:vAlign w:val="center"/>
          </w:tcPr>
          <w:p w14:paraId="7C60B722"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3180</w:t>
            </w:r>
          </w:p>
        </w:tc>
        <w:tc>
          <w:tcPr>
            <w:tcW w:w="2043" w:type="dxa"/>
            <w:tcBorders>
              <w:top w:val="nil"/>
              <w:left w:val="nil"/>
              <w:bottom w:val="single" w:sz="4" w:space="0" w:color="auto"/>
              <w:right w:val="single" w:sz="4" w:space="0" w:color="auto"/>
            </w:tcBorders>
            <w:shd w:val="clear" w:color="auto" w:fill="auto"/>
            <w:noWrap/>
            <w:vAlign w:val="center"/>
          </w:tcPr>
          <w:p w14:paraId="255E8C83"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3115</w:t>
            </w:r>
          </w:p>
        </w:tc>
        <w:tc>
          <w:tcPr>
            <w:tcW w:w="2127" w:type="dxa"/>
            <w:tcBorders>
              <w:top w:val="nil"/>
              <w:left w:val="nil"/>
              <w:bottom w:val="single" w:sz="4" w:space="0" w:color="auto"/>
              <w:right w:val="single" w:sz="8" w:space="0" w:color="auto"/>
            </w:tcBorders>
            <w:shd w:val="clear" w:color="auto" w:fill="auto"/>
            <w:noWrap/>
            <w:vAlign w:val="center"/>
            <w:hideMark/>
          </w:tcPr>
          <w:p w14:paraId="37414C7D"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98</w:t>
            </w:r>
            <w:r>
              <w:rPr>
                <w:rFonts w:ascii="Calibri" w:eastAsia="Times New Roman" w:hAnsi="Calibri" w:cs="Times New Roman"/>
                <w:color w:val="000000"/>
                <w:sz w:val="22"/>
                <w:szCs w:val="22"/>
              </w:rPr>
              <w:t>.0</w:t>
            </w:r>
            <w:r w:rsidRPr="00CF4E49">
              <w:rPr>
                <w:rFonts w:ascii="Calibri" w:eastAsia="Times New Roman" w:hAnsi="Calibri" w:cs="Times New Roman"/>
                <w:color w:val="000000"/>
                <w:sz w:val="22"/>
                <w:szCs w:val="22"/>
              </w:rPr>
              <w:t>% (97.4-98.4%)</w:t>
            </w:r>
          </w:p>
        </w:tc>
      </w:tr>
      <w:tr w:rsidR="003B2949" w:rsidRPr="00CF4E49" w14:paraId="329E4E5E" w14:textId="77777777" w:rsidTr="003B2949">
        <w:trPr>
          <w:trHeight w:val="300"/>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72980434"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Non-</w:t>
            </w: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43" w:type="dxa"/>
            <w:tcBorders>
              <w:top w:val="nil"/>
              <w:left w:val="nil"/>
              <w:bottom w:val="single" w:sz="4" w:space="0" w:color="auto"/>
              <w:right w:val="single" w:sz="4" w:space="0" w:color="auto"/>
            </w:tcBorders>
            <w:shd w:val="clear" w:color="auto" w:fill="auto"/>
            <w:noWrap/>
            <w:vAlign w:val="center"/>
            <w:hideMark/>
          </w:tcPr>
          <w:p w14:paraId="4CE62325"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5916</w:t>
            </w:r>
          </w:p>
        </w:tc>
        <w:tc>
          <w:tcPr>
            <w:tcW w:w="1417" w:type="dxa"/>
            <w:tcBorders>
              <w:top w:val="nil"/>
              <w:left w:val="nil"/>
              <w:bottom w:val="single" w:sz="4" w:space="0" w:color="auto"/>
              <w:right w:val="single" w:sz="4" w:space="0" w:color="auto"/>
            </w:tcBorders>
            <w:shd w:val="clear" w:color="auto" w:fill="auto"/>
            <w:noWrap/>
            <w:vAlign w:val="center"/>
          </w:tcPr>
          <w:p w14:paraId="33DF1DC8"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1761</w:t>
            </w:r>
          </w:p>
        </w:tc>
        <w:tc>
          <w:tcPr>
            <w:tcW w:w="1701" w:type="dxa"/>
            <w:tcBorders>
              <w:top w:val="nil"/>
              <w:left w:val="nil"/>
              <w:bottom w:val="single" w:sz="4" w:space="0" w:color="auto"/>
              <w:right w:val="single" w:sz="4" w:space="0" w:color="auto"/>
            </w:tcBorders>
            <w:shd w:val="clear" w:color="auto" w:fill="auto"/>
            <w:noWrap/>
            <w:vAlign w:val="center"/>
          </w:tcPr>
          <w:p w14:paraId="1186453F"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1419</w:t>
            </w:r>
          </w:p>
        </w:tc>
        <w:tc>
          <w:tcPr>
            <w:tcW w:w="2410" w:type="dxa"/>
            <w:tcBorders>
              <w:top w:val="nil"/>
              <w:left w:val="nil"/>
              <w:bottom w:val="single" w:sz="4" w:space="0" w:color="auto"/>
              <w:right w:val="single" w:sz="4" w:space="0" w:color="auto"/>
            </w:tcBorders>
            <w:shd w:val="clear" w:color="auto" w:fill="auto"/>
            <w:noWrap/>
            <w:vAlign w:val="center"/>
            <w:hideMark/>
          </w:tcPr>
          <w:p w14:paraId="671B2F37"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80.6% (78.7-82.4%)</w:t>
            </w:r>
          </w:p>
        </w:tc>
        <w:tc>
          <w:tcPr>
            <w:tcW w:w="1500" w:type="dxa"/>
            <w:tcBorders>
              <w:top w:val="nil"/>
              <w:left w:val="nil"/>
              <w:bottom w:val="single" w:sz="4" w:space="0" w:color="auto"/>
              <w:right w:val="single" w:sz="4" w:space="0" w:color="auto"/>
            </w:tcBorders>
            <w:shd w:val="clear" w:color="auto" w:fill="auto"/>
            <w:noWrap/>
            <w:vAlign w:val="center"/>
          </w:tcPr>
          <w:p w14:paraId="18EF4D10"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4155</w:t>
            </w:r>
          </w:p>
        </w:tc>
        <w:tc>
          <w:tcPr>
            <w:tcW w:w="2043" w:type="dxa"/>
            <w:tcBorders>
              <w:top w:val="nil"/>
              <w:left w:val="nil"/>
              <w:bottom w:val="single" w:sz="4" w:space="0" w:color="auto"/>
              <w:right w:val="single" w:sz="4" w:space="0" w:color="auto"/>
            </w:tcBorders>
            <w:shd w:val="clear" w:color="auto" w:fill="auto"/>
            <w:noWrap/>
            <w:vAlign w:val="center"/>
          </w:tcPr>
          <w:p w14:paraId="2F6C30DC"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3714</w:t>
            </w:r>
          </w:p>
        </w:tc>
        <w:tc>
          <w:tcPr>
            <w:tcW w:w="2127" w:type="dxa"/>
            <w:tcBorders>
              <w:top w:val="nil"/>
              <w:left w:val="nil"/>
              <w:bottom w:val="single" w:sz="4" w:space="0" w:color="auto"/>
              <w:right w:val="single" w:sz="8" w:space="0" w:color="auto"/>
            </w:tcBorders>
            <w:shd w:val="clear" w:color="auto" w:fill="auto"/>
            <w:noWrap/>
            <w:vAlign w:val="center"/>
            <w:hideMark/>
          </w:tcPr>
          <w:p w14:paraId="649B3DCA"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89.4% (88.4-90.3%</w:t>
            </w:r>
          </w:p>
        </w:tc>
      </w:tr>
      <w:tr w:rsidR="003B2949" w:rsidRPr="00CF4E49" w14:paraId="4DF8AFA5" w14:textId="77777777" w:rsidTr="003B2949">
        <w:trPr>
          <w:trHeight w:val="300"/>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7E3139C5"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8241AA"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3D1DDD6A"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3DC4105D"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25B485FF"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tcPr>
          <w:p w14:paraId="198542AF"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043" w:type="dxa"/>
            <w:tcBorders>
              <w:top w:val="nil"/>
              <w:left w:val="nil"/>
              <w:bottom w:val="single" w:sz="4" w:space="0" w:color="auto"/>
              <w:right w:val="single" w:sz="4" w:space="0" w:color="auto"/>
            </w:tcBorders>
            <w:shd w:val="clear" w:color="auto" w:fill="auto"/>
            <w:noWrap/>
            <w:vAlign w:val="center"/>
          </w:tcPr>
          <w:p w14:paraId="285BEC26"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7" w:type="dxa"/>
            <w:tcBorders>
              <w:top w:val="nil"/>
              <w:left w:val="nil"/>
              <w:bottom w:val="single" w:sz="4" w:space="0" w:color="auto"/>
              <w:right w:val="single" w:sz="8" w:space="0" w:color="auto"/>
            </w:tcBorders>
            <w:shd w:val="clear" w:color="auto" w:fill="auto"/>
            <w:noWrap/>
            <w:vAlign w:val="center"/>
            <w:hideMark/>
          </w:tcPr>
          <w:p w14:paraId="697F2699"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3B2949" w:rsidRPr="00CF4E49" w14:paraId="79297E9D" w14:textId="77777777" w:rsidTr="003B2949">
        <w:trPr>
          <w:trHeight w:val="300"/>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587734A4"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RPR ≥1</w:t>
            </w:r>
            <w:proofErr w:type="gramStart"/>
            <w:r w:rsidRPr="00CF4E49">
              <w:rPr>
                <w:rFonts w:ascii="Calibri" w:eastAsia="Times New Roman" w:hAnsi="Calibri" w:cs="Times New Roman"/>
                <w:color w:val="000000"/>
                <w:sz w:val="22"/>
                <w:szCs w:val="22"/>
              </w:rPr>
              <w:t>:16</w:t>
            </w:r>
            <w:proofErr w:type="gramEnd"/>
          </w:p>
        </w:tc>
        <w:tc>
          <w:tcPr>
            <w:tcW w:w="1243" w:type="dxa"/>
            <w:tcBorders>
              <w:top w:val="nil"/>
              <w:left w:val="nil"/>
              <w:bottom w:val="single" w:sz="4" w:space="0" w:color="auto"/>
              <w:right w:val="single" w:sz="4" w:space="0" w:color="auto"/>
            </w:tcBorders>
            <w:shd w:val="clear" w:color="auto" w:fill="auto"/>
            <w:noWrap/>
            <w:vAlign w:val="center"/>
            <w:hideMark/>
          </w:tcPr>
          <w:p w14:paraId="702B6066"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4B1E2DAD"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5FCB332B"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1176D2FD"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center"/>
          </w:tcPr>
          <w:p w14:paraId="1688E9A3"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043" w:type="dxa"/>
            <w:tcBorders>
              <w:top w:val="nil"/>
              <w:left w:val="nil"/>
              <w:bottom w:val="single" w:sz="4" w:space="0" w:color="auto"/>
              <w:right w:val="single" w:sz="4" w:space="0" w:color="auto"/>
            </w:tcBorders>
            <w:shd w:val="clear" w:color="auto" w:fill="auto"/>
            <w:noWrap/>
            <w:vAlign w:val="center"/>
          </w:tcPr>
          <w:p w14:paraId="1D77CEC2"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7" w:type="dxa"/>
            <w:tcBorders>
              <w:top w:val="nil"/>
              <w:left w:val="nil"/>
              <w:bottom w:val="single" w:sz="4" w:space="0" w:color="auto"/>
              <w:right w:val="single" w:sz="8" w:space="0" w:color="auto"/>
            </w:tcBorders>
            <w:shd w:val="clear" w:color="auto" w:fill="auto"/>
            <w:noWrap/>
            <w:vAlign w:val="center"/>
            <w:hideMark/>
          </w:tcPr>
          <w:p w14:paraId="1843B954"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3B2949" w:rsidRPr="00CF4E49" w14:paraId="53F6D53F" w14:textId="77777777" w:rsidTr="003B2949">
        <w:trPr>
          <w:trHeight w:val="300"/>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47EB4897" w14:textId="77777777" w:rsidR="003B2949" w:rsidRPr="00CF4E49" w:rsidRDefault="003B2949" w:rsidP="00FD2CAB">
            <w:pPr>
              <w:jc w:val="center"/>
              <w:rPr>
                <w:rFonts w:ascii="Calibri" w:eastAsia="Times New Roman" w:hAnsi="Calibri" w:cs="Times New Roman"/>
                <w:color w:val="000000"/>
                <w:sz w:val="22"/>
                <w:szCs w:val="22"/>
              </w:rPr>
            </w:pP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43" w:type="dxa"/>
            <w:tcBorders>
              <w:top w:val="nil"/>
              <w:left w:val="nil"/>
              <w:bottom w:val="single" w:sz="4" w:space="0" w:color="auto"/>
              <w:right w:val="single" w:sz="4" w:space="0" w:color="auto"/>
            </w:tcBorders>
            <w:shd w:val="clear" w:color="auto" w:fill="auto"/>
            <w:noWrap/>
            <w:vAlign w:val="center"/>
            <w:hideMark/>
          </w:tcPr>
          <w:p w14:paraId="284CB6ED"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1351</w:t>
            </w:r>
          </w:p>
        </w:tc>
        <w:tc>
          <w:tcPr>
            <w:tcW w:w="1417" w:type="dxa"/>
            <w:tcBorders>
              <w:top w:val="nil"/>
              <w:left w:val="nil"/>
              <w:bottom w:val="single" w:sz="4" w:space="0" w:color="auto"/>
              <w:right w:val="single" w:sz="4" w:space="0" w:color="auto"/>
            </w:tcBorders>
            <w:shd w:val="clear" w:color="auto" w:fill="auto"/>
            <w:noWrap/>
            <w:vAlign w:val="center"/>
          </w:tcPr>
          <w:p w14:paraId="2212756C"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1339</w:t>
            </w:r>
          </w:p>
        </w:tc>
        <w:tc>
          <w:tcPr>
            <w:tcW w:w="1701" w:type="dxa"/>
            <w:tcBorders>
              <w:top w:val="nil"/>
              <w:left w:val="nil"/>
              <w:bottom w:val="single" w:sz="4" w:space="0" w:color="auto"/>
              <w:right w:val="single" w:sz="4" w:space="0" w:color="auto"/>
            </w:tcBorders>
            <w:shd w:val="clear" w:color="auto" w:fill="auto"/>
            <w:noWrap/>
            <w:vAlign w:val="center"/>
          </w:tcPr>
          <w:p w14:paraId="392F631D"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1315</w:t>
            </w:r>
          </w:p>
        </w:tc>
        <w:tc>
          <w:tcPr>
            <w:tcW w:w="2410" w:type="dxa"/>
            <w:tcBorders>
              <w:top w:val="nil"/>
              <w:left w:val="nil"/>
              <w:bottom w:val="single" w:sz="4" w:space="0" w:color="auto"/>
              <w:right w:val="single" w:sz="4" w:space="0" w:color="auto"/>
            </w:tcBorders>
            <w:shd w:val="clear" w:color="auto" w:fill="auto"/>
            <w:noWrap/>
            <w:vAlign w:val="center"/>
            <w:hideMark/>
          </w:tcPr>
          <w:p w14:paraId="69FA0FD2"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98.2% (97.3-98.8%)</w:t>
            </w:r>
          </w:p>
        </w:tc>
        <w:tc>
          <w:tcPr>
            <w:tcW w:w="1500" w:type="dxa"/>
            <w:tcBorders>
              <w:top w:val="nil"/>
              <w:left w:val="nil"/>
              <w:bottom w:val="single" w:sz="4" w:space="0" w:color="auto"/>
              <w:right w:val="single" w:sz="4" w:space="0" w:color="auto"/>
            </w:tcBorders>
            <w:shd w:val="clear" w:color="auto" w:fill="auto"/>
            <w:noWrap/>
            <w:vAlign w:val="center"/>
          </w:tcPr>
          <w:p w14:paraId="393DE5A6"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12</w:t>
            </w:r>
          </w:p>
        </w:tc>
        <w:tc>
          <w:tcPr>
            <w:tcW w:w="2043" w:type="dxa"/>
            <w:tcBorders>
              <w:top w:val="nil"/>
              <w:left w:val="nil"/>
              <w:bottom w:val="single" w:sz="4" w:space="0" w:color="auto"/>
              <w:right w:val="single" w:sz="4" w:space="0" w:color="auto"/>
            </w:tcBorders>
            <w:shd w:val="clear" w:color="auto" w:fill="auto"/>
            <w:noWrap/>
            <w:vAlign w:val="center"/>
          </w:tcPr>
          <w:p w14:paraId="169FDC89"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11</w:t>
            </w:r>
          </w:p>
        </w:tc>
        <w:tc>
          <w:tcPr>
            <w:tcW w:w="2127" w:type="dxa"/>
            <w:tcBorders>
              <w:top w:val="nil"/>
              <w:left w:val="nil"/>
              <w:bottom w:val="single" w:sz="4" w:space="0" w:color="auto"/>
              <w:right w:val="single" w:sz="8" w:space="0" w:color="auto"/>
            </w:tcBorders>
            <w:shd w:val="clear" w:color="auto" w:fill="auto"/>
            <w:noWrap/>
            <w:vAlign w:val="center"/>
            <w:hideMark/>
          </w:tcPr>
          <w:p w14:paraId="0DDC3556" w14:textId="6080B125"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91.2% (61.5-99.8%)</w:t>
            </w:r>
          </w:p>
        </w:tc>
      </w:tr>
      <w:tr w:rsidR="003B2949" w:rsidRPr="00CF4E49" w14:paraId="254D8DD5" w14:textId="77777777" w:rsidTr="003B2949">
        <w:trPr>
          <w:trHeight w:val="320"/>
        </w:trPr>
        <w:tc>
          <w:tcPr>
            <w:tcW w:w="2600" w:type="dxa"/>
            <w:tcBorders>
              <w:top w:val="nil"/>
              <w:left w:val="single" w:sz="8" w:space="0" w:color="auto"/>
              <w:bottom w:val="single" w:sz="8" w:space="0" w:color="auto"/>
              <w:right w:val="single" w:sz="4" w:space="0" w:color="auto"/>
            </w:tcBorders>
            <w:shd w:val="clear" w:color="auto" w:fill="auto"/>
            <w:noWrap/>
            <w:vAlign w:val="center"/>
            <w:hideMark/>
          </w:tcPr>
          <w:p w14:paraId="3F5FA3C9"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Non-</w:t>
            </w: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43" w:type="dxa"/>
            <w:tcBorders>
              <w:top w:val="nil"/>
              <w:left w:val="nil"/>
              <w:bottom w:val="single" w:sz="8" w:space="0" w:color="auto"/>
              <w:right w:val="single" w:sz="4" w:space="0" w:color="auto"/>
            </w:tcBorders>
            <w:shd w:val="clear" w:color="auto" w:fill="auto"/>
            <w:noWrap/>
            <w:vAlign w:val="center"/>
            <w:hideMark/>
          </w:tcPr>
          <w:p w14:paraId="531B1DF3"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1351</w:t>
            </w:r>
          </w:p>
        </w:tc>
        <w:tc>
          <w:tcPr>
            <w:tcW w:w="1417" w:type="dxa"/>
            <w:tcBorders>
              <w:top w:val="nil"/>
              <w:left w:val="nil"/>
              <w:bottom w:val="single" w:sz="8" w:space="0" w:color="auto"/>
              <w:right w:val="single" w:sz="4" w:space="0" w:color="auto"/>
            </w:tcBorders>
            <w:shd w:val="clear" w:color="auto" w:fill="auto"/>
            <w:noWrap/>
            <w:vAlign w:val="center"/>
          </w:tcPr>
          <w:p w14:paraId="5258DB80"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1351</w:t>
            </w:r>
          </w:p>
        </w:tc>
        <w:tc>
          <w:tcPr>
            <w:tcW w:w="1701" w:type="dxa"/>
            <w:tcBorders>
              <w:top w:val="nil"/>
              <w:left w:val="nil"/>
              <w:bottom w:val="single" w:sz="8" w:space="0" w:color="auto"/>
              <w:right w:val="single" w:sz="4" w:space="0" w:color="auto"/>
            </w:tcBorders>
            <w:shd w:val="clear" w:color="auto" w:fill="auto"/>
            <w:noWrap/>
            <w:vAlign w:val="center"/>
          </w:tcPr>
          <w:p w14:paraId="35E9B0BE"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1327</w:t>
            </w:r>
          </w:p>
        </w:tc>
        <w:tc>
          <w:tcPr>
            <w:tcW w:w="2410" w:type="dxa"/>
            <w:tcBorders>
              <w:top w:val="nil"/>
              <w:left w:val="nil"/>
              <w:bottom w:val="single" w:sz="8" w:space="0" w:color="auto"/>
              <w:right w:val="single" w:sz="4" w:space="0" w:color="auto"/>
            </w:tcBorders>
            <w:shd w:val="clear" w:color="auto" w:fill="auto"/>
            <w:noWrap/>
            <w:vAlign w:val="center"/>
            <w:hideMark/>
          </w:tcPr>
          <w:p w14:paraId="612E2A6F"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98.2% (97.4-98.9%)</w:t>
            </w:r>
          </w:p>
        </w:tc>
        <w:tc>
          <w:tcPr>
            <w:tcW w:w="1500" w:type="dxa"/>
            <w:tcBorders>
              <w:top w:val="nil"/>
              <w:left w:val="nil"/>
              <w:bottom w:val="single" w:sz="8" w:space="0" w:color="auto"/>
              <w:right w:val="single" w:sz="4" w:space="0" w:color="auto"/>
            </w:tcBorders>
            <w:shd w:val="clear" w:color="000000" w:fill="D9D9D9"/>
            <w:noWrap/>
            <w:vAlign w:val="center"/>
            <w:hideMark/>
          </w:tcPr>
          <w:p w14:paraId="431ED41E"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043" w:type="dxa"/>
            <w:tcBorders>
              <w:top w:val="nil"/>
              <w:left w:val="nil"/>
              <w:bottom w:val="single" w:sz="8" w:space="0" w:color="auto"/>
              <w:right w:val="single" w:sz="4" w:space="0" w:color="auto"/>
            </w:tcBorders>
            <w:shd w:val="clear" w:color="000000" w:fill="D9D9D9"/>
            <w:noWrap/>
            <w:vAlign w:val="center"/>
          </w:tcPr>
          <w:p w14:paraId="10BC5D0A" w14:textId="77777777" w:rsidR="003B2949" w:rsidRPr="00CF4E49" w:rsidRDefault="003B2949" w:rsidP="00FD2CAB">
            <w:pPr>
              <w:jc w:val="center"/>
              <w:rPr>
                <w:rFonts w:ascii="Calibri" w:eastAsia="Times New Roman" w:hAnsi="Calibri" w:cs="Times New Roman"/>
                <w:color w:val="000000"/>
                <w:sz w:val="22"/>
                <w:szCs w:val="22"/>
              </w:rPr>
            </w:pPr>
          </w:p>
        </w:tc>
        <w:tc>
          <w:tcPr>
            <w:tcW w:w="2127" w:type="dxa"/>
            <w:tcBorders>
              <w:top w:val="nil"/>
              <w:left w:val="nil"/>
              <w:bottom w:val="single" w:sz="8" w:space="0" w:color="auto"/>
              <w:right w:val="single" w:sz="8" w:space="0" w:color="auto"/>
            </w:tcBorders>
            <w:shd w:val="clear" w:color="000000" w:fill="D9D9D9"/>
            <w:noWrap/>
            <w:vAlign w:val="center"/>
            <w:hideMark/>
          </w:tcPr>
          <w:p w14:paraId="254A0FD1" w14:textId="77777777" w:rsidR="003B2949" w:rsidRPr="00CF4E49" w:rsidRDefault="003B2949"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bl>
    <w:p w14:paraId="2B46F41B" w14:textId="77777777" w:rsidR="00BB6B9B" w:rsidRDefault="00BB6B9B" w:rsidP="00FD2CAB"/>
    <w:p w14:paraId="5C0F6D79" w14:textId="77777777" w:rsidR="00BB6B9B" w:rsidRDefault="00BB6B9B" w:rsidP="00FD2CAB"/>
    <w:p w14:paraId="56E7A79A" w14:textId="77777777" w:rsidR="00BB6B9B" w:rsidRDefault="00BB6B9B" w:rsidP="00FD2CAB"/>
    <w:p w14:paraId="1015A753" w14:textId="77777777" w:rsidR="00CF4E49" w:rsidRDefault="00CF4E49" w:rsidP="00FD2CAB"/>
    <w:p w14:paraId="29C0CF9B" w14:textId="77777777" w:rsidR="00CF4E49" w:rsidRDefault="00CF4E49" w:rsidP="00FD2CAB"/>
    <w:p w14:paraId="64E9267A" w14:textId="77777777" w:rsidR="00CF4E49" w:rsidRDefault="00CF4E49" w:rsidP="00FD2CAB"/>
    <w:p w14:paraId="5F7606DC" w14:textId="77777777" w:rsidR="00CF4E49" w:rsidRDefault="00CF4E49" w:rsidP="00FD2CAB"/>
    <w:p w14:paraId="4DF21F61" w14:textId="77777777" w:rsidR="00BB6B9B" w:rsidRDefault="00BB6B9B" w:rsidP="00FD2CAB"/>
    <w:p w14:paraId="5CAAB6EF" w14:textId="77777777" w:rsidR="00BB6B9B" w:rsidRDefault="00BB6B9B" w:rsidP="00FD2CAB"/>
    <w:p w14:paraId="1C38E1D7" w14:textId="77777777" w:rsidR="00995A88" w:rsidRDefault="00995A88" w:rsidP="00FD2CAB"/>
    <w:p w14:paraId="4D3CC7FA" w14:textId="77777777" w:rsidR="00BB6B9B" w:rsidRDefault="00BB6B9B" w:rsidP="00FD2CAB"/>
    <w:p w14:paraId="2FD0979D" w14:textId="77777777" w:rsidR="00CF4E49" w:rsidRDefault="00CF4E49" w:rsidP="00FD2CAB"/>
    <w:p w14:paraId="70553B0C" w14:textId="77777777" w:rsidR="00CF4E49" w:rsidRDefault="00CF4E49" w:rsidP="00FD2CAB"/>
    <w:p w14:paraId="10C73379" w14:textId="77777777" w:rsidR="00CF4E49" w:rsidRDefault="00CF4E49" w:rsidP="00FD2CAB"/>
    <w:p w14:paraId="450E6307" w14:textId="77777777" w:rsidR="00CF4E49" w:rsidRDefault="00CF4E49" w:rsidP="00FD2CAB"/>
    <w:p w14:paraId="1C82C8AC" w14:textId="77777777" w:rsidR="00906458" w:rsidRDefault="00906458" w:rsidP="00FD2CAB"/>
    <w:p w14:paraId="60593417" w14:textId="77777777" w:rsidR="00906458" w:rsidRDefault="00906458" w:rsidP="00FD2CAB"/>
    <w:tbl>
      <w:tblPr>
        <w:tblW w:w="15916" w:type="dxa"/>
        <w:tblInd w:w="93" w:type="dxa"/>
        <w:tblLayout w:type="fixed"/>
        <w:tblLook w:val="04A0" w:firstRow="1" w:lastRow="0" w:firstColumn="1" w:lastColumn="0" w:noHBand="0" w:noVBand="1"/>
      </w:tblPr>
      <w:tblGrid>
        <w:gridCol w:w="2567"/>
        <w:gridCol w:w="1276"/>
        <w:gridCol w:w="1417"/>
        <w:gridCol w:w="1701"/>
        <w:gridCol w:w="2410"/>
        <w:gridCol w:w="1559"/>
        <w:gridCol w:w="1985"/>
        <w:gridCol w:w="2126"/>
        <w:gridCol w:w="875"/>
      </w:tblGrid>
      <w:tr w:rsidR="004340C7" w:rsidRPr="00CF4E49" w14:paraId="5E242C8C" w14:textId="77777777" w:rsidTr="004340C7">
        <w:trPr>
          <w:trHeight w:val="320"/>
        </w:trPr>
        <w:tc>
          <w:tcPr>
            <w:tcW w:w="15916" w:type="dxa"/>
            <w:gridSpan w:val="9"/>
            <w:tcBorders>
              <w:top w:val="nil"/>
              <w:left w:val="nil"/>
              <w:bottom w:val="nil"/>
              <w:right w:val="nil"/>
            </w:tcBorders>
            <w:shd w:val="clear" w:color="auto" w:fill="auto"/>
            <w:noWrap/>
            <w:vAlign w:val="bottom"/>
            <w:hideMark/>
          </w:tcPr>
          <w:p w14:paraId="544BC739" w14:textId="77777777" w:rsidR="004340C7" w:rsidRDefault="004340C7" w:rsidP="00FD2CAB">
            <w:pPr>
              <w:rPr>
                <w:rFonts w:ascii="Calibri" w:eastAsia="Times New Roman" w:hAnsi="Calibri" w:cs="Times New Roman"/>
                <w:b/>
                <w:bCs/>
                <w:color w:val="000000"/>
              </w:rPr>
            </w:pPr>
          </w:p>
          <w:p w14:paraId="7A26B730" w14:textId="77777777" w:rsidR="004340C7" w:rsidRDefault="004340C7" w:rsidP="00FD2CAB">
            <w:pPr>
              <w:rPr>
                <w:rFonts w:ascii="Calibri" w:eastAsia="Times New Roman" w:hAnsi="Calibri" w:cs="Times New Roman"/>
                <w:b/>
                <w:bCs/>
                <w:color w:val="000000"/>
              </w:rPr>
            </w:pPr>
          </w:p>
          <w:p w14:paraId="7508BAEE" w14:textId="4D031C8C" w:rsidR="004340C7" w:rsidRPr="00CF4E49" w:rsidRDefault="004340C7" w:rsidP="00FD2CAB">
            <w:pPr>
              <w:rPr>
                <w:rFonts w:ascii="Calibri" w:eastAsia="Times New Roman" w:hAnsi="Calibri" w:cs="Times New Roman"/>
                <w:b/>
                <w:bCs/>
                <w:color w:val="000000"/>
              </w:rPr>
            </w:pPr>
            <w:r>
              <w:rPr>
                <w:rFonts w:ascii="Calibri" w:eastAsia="Times New Roman" w:hAnsi="Calibri" w:cs="Times New Roman"/>
                <w:b/>
                <w:bCs/>
                <w:color w:val="000000"/>
              </w:rPr>
              <w:t>Table 3: Sensitivity and Specificity of the DPP-RDT</w:t>
            </w:r>
            <w:r w:rsidRPr="00CF4E49">
              <w:rPr>
                <w:rFonts w:ascii="Calibri" w:eastAsia="Times New Roman" w:hAnsi="Calibri" w:cs="Times New Roman"/>
                <w:b/>
                <w:bCs/>
                <w:color w:val="000000"/>
              </w:rPr>
              <w:t xml:space="preserve"> Stratified by Disease</w:t>
            </w:r>
            <w:r>
              <w:rPr>
                <w:rFonts w:ascii="Calibri" w:eastAsia="Times New Roman" w:hAnsi="Calibri" w:cs="Times New Roman"/>
                <w:b/>
                <w:bCs/>
                <w:color w:val="000000"/>
              </w:rPr>
              <w:t xml:space="preserve"> and RPR Titre</w:t>
            </w:r>
          </w:p>
          <w:p w14:paraId="3D220B9C" w14:textId="21FE3099" w:rsidR="004340C7" w:rsidRPr="00CF4E49" w:rsidRDefault="004340C7" w:rsidP="00FD2CAB">
            <w:pPr>
              <w:rPr>
                <w:rFonts w:ascii="Calibri" w:eastAsia="Times New Roman" w:hAnsi="Calibri" w:cs="Times New Roman"/>
                <w:color w:val="000000"/>
              </w:rPr>
            </w:pPr>
          </w:p>
        </w:tc>
      </w:tr>
      <w:tr w:rsidR="00906458" w:rsidRPr="00CF4E49" w14:paraId="7AB2464C" w14:textId="77777777" w:rsidTr="003B2949">
        <w:trPr>
          <w:gridAfter w:val="1"/>
          <w:wAfter w:w="875" w:type="dxa"/>
          <w:trHeight w:val="300"/>
        </w:trPr>
        <w:tc>
          <w:tcPr>
            <w:tcW w:w="2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CDDEA3" w14:textId="77777777" w:rsidR="00906458" w:rsidRPr="00CF4E49" w:rsidRDefault="00906458"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lastRenderedPageBreak/>
              <w:t>Disease</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70E2DCA4" w14:textId="77777777" w:rsidR="00906458" w:rsidRPr="00CF4E49" w:rsidRDefault="00906458" w:rsidP="00FD2CAB">
            <w:pPr>
              <w:jc w:val="center"/>
              <w:rPr>
                <w:rFonts w:ascii="Calibri" w:eastAsia="Times New Roman" w:hAnsi="Calibri" w:cs="Times New Roman"/>
                <w:b/>
                <w:bCs/>
                <w:color w:val="000000"/>
                <w:sz w:val="22"/>
                <w:szCs w:val="22"/>
              </w:rPr>
            </w:pPr>
            <w:proofErr w:type="gramStart"/>
            <w:r w:rsidRPr="00CF4E49">
              <w:rPr>
                <w:rFonts w:ascii="Calibri" w:eastAsia="Times New Roman" w:hAnsi="Calibri" w:cs="Times New Roman"/>
                <w:b/>
                <w:bCs/>
                <w:color w:val="000000"/>
                <w:sz w:val="22"/>
                <w:szCs w:val="22"/>
              </w:rPr>
              <w:t>n</w:t>
            </w:r>
            <w:proofErr w:type="gramEnd"/>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4A378014" w14:textId="77777777" w:rsidR="00906458" w:rsidRPr="00CF4E49" w:rsidRDefault="00906458"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Reference Test Positive</w:t>
            </w:r>
          </w:p>
        </w:tc>
        <w:tc>
          <w:tcPr>
            <w:tcW w:w="1701" w:type="dxa"/>
            <w:tcBorders>
              <w:top w:val="single" w:sz="8" w:space="0" w:color="auto"/>
              <w:left w:val="nil"/>
              <w:bottom w:val="single" w:sz="4" w:space="0" w:color="auto"/>
              <w:right w:val="single" w:sz="4" w:space="0" w:color="auto"/>
            </w:tcBorders>
            <w:shd w:val="clear" w:color="auto" w:fill="auto"/>
            <w:noWrap/>
            <w:vAlign w:val="center"/>
          </w:tcPr>
          <w:p w14:paraId="4E396CE3" w14:textId="77777777" w:rsidR="00906458" w:rsidRPr="00CF4E49" w:rsidRDefault="00906458"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DPP Positive</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14:paraId="0C131058" w14:textId="77777777" w:rsidR="00906458" w:rsidRPr="00CF4E49" w:rsidRDefault="00906458"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Sensitivity (95% CI)</w:t>
            </w:r>
          </w:p>
        </w:tc>
        <w:tc>
          <w:tcPr>
            <w:tcW w:w="1559" w:type="dxa"/>
            <w:tcBorders>
              <w:top w:val="single" w:sz="8" w:space="0" w:color="auto"/>
              <w:left w:val="nil"/>
              <w:bottom w:val="single" w:sz="4" w:space="0" w:color="auto"/>
              <w:right w:val="single" w:sz="4" w:space="0" w:color="auto"/>
            </w:tcBorders>
            <w:shd w:val="clear" w:color="auto" w:fill="auto"/>
            <w:noWrap/>
            <w:vAlign w:val="center"/>
          </w:tcPr>
          <w:p w14:paraId="5266A535" w14:textId="77777777" w:rsidR="00906458" w:rsidRPr="00CF4E49" w:rsidRDefault="00906458"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Reference Test Negative</w:t>
            </w:r>
          </w:p>
        </w:tc>
        <w:tc>
          <w:tcPr>
            <w:tcW w:w="1985" w:type="dxa"/>
            <w:tcBorders>
              <w:top w:val="single" w:sz="8" w:space="0" w:color="auto"/>
              <w:left w:val="nil"/>
              <w:bottom w:val="single" w:sz="4" w:space="0" w:color="auto"/>
              <w:right w:val="single" w:sz="4" w:space="0" w:color="auto"/>
            </w:tcBorders>
            <w:shd w:val="clear" w:color="auto" w:fill="auto"/>
            <w:noWrap/>
            <w:vAlign w:val="center"/>
          </w:tcPr>
          <w:p w14:paraId="46DCC6A8" w14:textId="77777777" w:rsidR="00906458" w:rsidRPr="00CF4E49" w:rsidRDefault="00906458" w:rsidP="00FD2CAB">
            <w:pPr>
              <w:jc w:val="center"/>
              <w:rPr>
                <w:rFonts w:ascii="Calibri" w:eastAsia="Times New Roman" w:hAnsi="Calibri" w:cs="Times New Roman"/>
                <w:b/>
                <w:bCs/>
                <w:color w:val="000000"/>
                <w:sz w:val="22"/>
                <w:szCs w:val="22"/>
              </w:rPr>
            </w:pPr>
            <w:r w:rsidRPr="00CF4E49">
              <w:rPr>
                <w:rFonts w:ascii="Calibri" w:eastAsia="Times New Roman" w:hAnsi="Calibri" w:cs="Times New Roman"/>
                <w:b/>
                <w:bCs/>
                <w:color w:val="000000"/>
                <w:sz w:val="22"/>
                <w:szCs w:val="22"/>
              </w:rPr>
              <w:t>DPP Negative</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14:paraId="1EBE0428" w14:textId="77777777" w:rsidR="00906458" w:rsidRPr="00CF4E49" w:rsidRDefault="00906458" w:rsidP="00FD2CAB">
            <w:pPr>
              <w:jc w:val="center"/>
              <w:rPr>
                <w:rFonts w:ascii="Calibri" w:eastAsia="Times New Roman" w:hAnsi="Calibri" w:cs="Times New Roman"/>
                <w:b/>
                <w:bCs/>
                <w:color w:val="000000"/>
                <w:sz w:val="22"/>
                <w:szCs w:val="22"/>
              </w:rPr>
            </w:pPr>
            <w:r>
              <w:rPr>
                <w:rFonts w:ascii="Calibri" w:eastAsia="Times New Roman" w:hAnsi="Calibri" w:cs="Times New Roman"/>
                <w:b/>
                <w:bCs/>
                <w:color w:val="000000"/>
                <w:sz w:val="22"/>
                <w:szCs w:val="22"/>
              </w:rPr>
              <w:softHyphen/>
            </w:r>
            <w:r>
              <w:rPr>
                <w:rFonts w:ascii="Calibri" w:eastAsia="Times New Roman" w:hAnsi="Calibri" w:cs="Times New Roman"/>
                <w:b/>
                <w:bCs/>
                <w:color w:val="000000"/>
                <w:sz w:val="22"/>
                <w:szCs w:val="22"/>
              </w:rPr>
              <w:softHyphen/>
            </w:r>
            <w:r>
              <w:rPr>
                <w:rFonts w:ascii="Calibri" w:eastAsia="Times New Roman" w:hAnsi="Calibri" w:cs="Times New Roman"/>
                <w:b/>
                <w:bCs/>
                <w:color w:val="000000"/>
                <w:sz w:val="22"/>
                <w:szCs w:val="22"/>
              </w:rPr>
              <w:softHyphen/>
            </w:r>
            <w:r w:rsidRPr="00CF4E49">
              <w:rPr>
                <w:rFonts w:ascii="Calibri" w:eastAsia="Times New Roman" w:hAnsi="Calibri" w:cs="Times New Roman"/>
                <w:b/>
                <w:bCs/>
                <w:color w:val="000000"/>
                <w:sz w:val="22"/>
                <w:szCs w:val="22"/>
              </w:rPr>
              <w:t>Specificity (95% CI)</w:t>
            </w:r>
          </w:p>
        </w:tc>
      </w:tr>
      <w:tr w:rsidR="00906458" w:rsidRPr="00CF4E49" w14:paraId="3C98EFA1"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243FD4A9" w14:textId="77777777" w:rsidR="00906458" w:rsidRPr="00CF4E49" w:rsidRDefault="00906458" w:rsidP="00FD2CAB">
            <w:pPr>
              <w:jc w:val="center"/>
              <w:rPr>
                <w:rFonts w:ascii="Calibri" w:eastAsia="Times New Roman" w:hAnsi="Calibri" w:cs="Times New Roman"/>
                <w:i/>
                <w:iCs/>
                <w:color w:val="000000"/>
                <w:sz w:val="22"/>
                <w:szCs w:val="22"/>
              </w:rPr>
            </w:pPr>
            <w:r w:rsidRPr="00CF4E49">
              <w:rPr>
                <w:rFonts w:ascii="Calibri" w:eastAsia="Times New Roman" w:hAnsi="Calibri" w:cs="Times New Roman"/>
                <w:i/>
                <w:iCs/>
                <w:color w:val="000000"/>
                <w:sz w:val="22"/>
                <w:szCs w:val="22"/>
              </w:rPr>
              <w:t>Syphilis</w:t>
            </w:r>
          </w:p>
        </w:tc>
        <w:tc>
          <w:tcPr>
            <w:tcW w:w="1276" w:type="dxa"/>
            <w:tcBorders>
              <w:top w:val="nil"/>
              <w:left w:val="nil"/>
              <w:bottom w:val="single" w:sz="4" w:space="0" w:color="auto"/>
              <w:right w:val="single" w:sz="4" w:space="0" w:color="auto"/>
            </w:tcBorders>
            <w:shd w:val="clear" w:color="auto" w:fill="auto"/>
            <w:noWrap/>
            <w:vAlign w:val="center"/>
            <w:hideMark/>
          </w:tcPr>
          <w:p w14:paraId="3FCE2565"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627D70E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0161264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070591BD"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tcPr>
          <w:p w14:paraId="7BB4B861"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tcPr>
          <w:p w14:paraId="5F1259D5"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hideMark/>
          </w:tcPr>
          <w:p w14:paraId="5E0D3AE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07262DB6"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0B10C476"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RPR &lt;1:16</w:t>
            </w:r>
          </w:p>
        </w:tc>
        <w:tc>
          <w:tcPr>
            <w:tcW w:w="1276" w:type="dxa"/>
            <w:tcBorders>
              <w:top w:val="nil"/>
              <w:left w:val="nil"/>
              <w:bottom w:val="single" w:sz="4" w:space="0" w:color="auto"/>
              <w:right w:val="single" w:sz="4" w:space="0" w:color="auto"/>
            </w:tcBorders>
            <w:shd w:val="clear" w:color="auto" w:fill="auto"/>
            <w:noWrap/>
            <w:vAlign w:val="center"/>
            <w:hideMark/>
          </w:tcPr>
          <w:p w14:paraId="1D4DABB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47C0BAC8"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47CA72C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3CA3351C"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tcPr>
          <w:p w14:paraId="5C3938B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tcPr>
          <w:p w14:paraId="1A4140D0"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hideMark/>
          </w:tcPr>
          <w:p w14:paraId="546022DC"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18B15642"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5EB46626" w14:textId="77777777" w:rsidR="00906458" w:rsidRPr="00CF4E49" w:rsidRDefault="00906458" w:rsidP="00FD2CAB">
            <w:pPr>
              <w:jc w:val="center"/>
              <w:rPr>
                <w:rFonts w:ascii="Calibri" w:eastAsia="Times New Roman" w:hAnsi="Calibri" w:cs="Times New Roman"/>
                <w:color w:val="000000"/>
                <w:sz w:val="22"/>
                <w:szCs w:val="22"/>
              </w:rPr>
            </w:pP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76" w:type="dxa"/>
            <w:tcBorders>
              <w:top w:val="nil"/>
              <w:left w:val="nil"/>
              <w:bottom w:val="single" w:sz="4" w:space="0" w:color="auto"/>
              <w:right w:val="single" w:sz="4" w:space="0" w:color="auto"/>
            </w:tcBorders>
            <w:shd w:val="clear" w:color="auto" w:fill="auto"/>
            <w:noWrap/>
            <w:vAlign w:val="center"/>
            <w:hideMark/>
          </w:tcPr>
          <w:p w14:paraId="49BFA12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4600</w:t>
            </w:r>
          </w:p>
        </w:tc>
        <w:tc>
          <w:tcPr>
            <w:tcW w:w="1417" w:type="dxa"/>
            <w:tcBorders>
              <w:top w:val="nil"/>
              <w:left w:val="nil"/>
              <w:bottom w:val="single" w:sz="4" w:space="0" w:color="auto"/>
              <w:right w:val="single" w:sz="4" w:space="0" w:color="auto"/>
            </w:tcBorders>
            <w:shd w:val="clear" w:color="auto" w:fill="auto"/>
            <w:noWrap/>
            <w:vAlign w:val="center"/>
          </w:tcPr>
          <w:p w14:paraId="579593A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2310</w:t>
            </w:r>
          </w:p>
        </w:tc>
        <w:tc>
          <w:tcPr>
            <w:tcW w:w="1701" w:type="dxa"/>
            <w:tcBorders>
              <w:top w:val="nil"/>
              <w:left w:val="nil"/>
              <w:bottom w:val="single" w:sz="4" w:space="0" w:color="auto"/>
              <w:right w:val="single" w:sz="4" w:space="0" w:color="auto"/>
            </w:tcBorders>
            <w:shd w:val="clear" w:color="auto" w:fill="auto"/>
            <w:noWrap/>
            <w:vAlign w:val="center"/>
          </w:tcPr>
          <w:p w14:paraId="204F5D7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2151</w:t>
            </w:r>
          </w:p>
        </w:tc>
        <w:tc>
          <w:tcPr>
            <w:tcW w:w="2410" w:type="dxa"/>
            <w:tcBorders>
              <w:top w:val="nil"/>
              <w:left w:val="nil"/>
              <w:bottom w:val="single" w:sz="4" w:space="0" w:color="auto"/>
              <w:right w:val="single" w:sz="4" w:space="0" w:color="auto"/>
            </w:tcBorders>
            <w:shd w:val="clear" w:color="auto" w:fill="auto"/>
            <w:noWrap/>
            <w:vAlign w:val="center"/>
            <w:hideMark/>
          </w:tcPr>
          <w:p w14:paraId="1FC2781A"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93.1% (92.0-94.1%)</w:t>
            </w:r>
          </w:p>
        </w:tc>
        <w:tc>
          <w:tcPr>
            <w:tcW w:w="1559" w:type="dxa"/>
            <w:tcBorders>
              <w:top w:val="nil"/>
              <w:left w:val="nil"/>
              <w:bottom w:val="single" w:sz="4" w:space="0" w:color="auto"/>
              <w:right w:val="single" w:sz="4" w:space="0" w:color="auto"/>
            </w:tcBorders>
            <w:shd w:val="clear" w:color="auto" w:fill="auto"/>
            <w:noWrap/>
            <w:vAlign w:val="center"/>
          </w:tcPr>
          <w:p w14:paraId="0286424F"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2290</w:t>
            </w:r>
          </w:p>
        </w:tc>
        <w:tc>
          <w:tcPr>
            <w:tcW w:w="1985" w:type="dxa"/>
            <w:tcBorders>
              <w:top w:val="nil"/>
              <w:left w:val="nil"/>
              <w:bottom w:val="single" w:sz="4" w:space="0" w:color="auto"/>
              <w:right w:val="single" w:sz="4" w:space="0" w:color="auto"/>
            </w:tcBorders>
            <w:shd w:val="clear" w:color="auto" w:fill="auto"/>
            <w:noWrap/>
            <w:vAlign w:val="center"/>
          </w:tcPr>
          <w:p w14:paraId="73AA8166"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2256</w:t>
            </w:r>
          </w:p>
        </w:tc>
        <w:tc>
          <w:tcPr>
            <w:tcW w:w="2126" w:type="dxa"/>
            <w:tcBorders>
              <w:top w:val="nil"/>
              <w:left w:val="nil"/>
              <w:bottom w:val="single" w:sz="4" w:space="0" w:color="auto"/>
              <w:right w:val="single" w:sz="8" w:space="0" w:color="auto"/>
            </w:tcBorders>
            <w:shd w:val="clear" w:color="auto" w:fill="auto"/>
            <w:noWrap/>
            <w:vAlign w:val="center"/>
            <w:hideMark/>
          </w:tcPr>
          <w:p w14:paraId="6F3328C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98.5% (97.9-99.0%)</w:t>
            </w:r>
          </w:p>
        </w:tc>
      </w:tr>
      <w:tr w:rsidR="00906458" w:rsidRPr="00CF4E49" w14:paraId="38E38FDE"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6646D95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Non-</w:t>
            </w: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76" w:type="dxa"/>
            <w:tcBorders>
              <w:top w:val="nil"/>
              <w:left w:val="nil"/>
              <w:bottom w:val="single" w:sz="4" w:space="0" w:color="auto"/>
              <w:right w:val="single" w:sz="4" w:space="0" w:color="auto"/>
            </w:tcBorders>
            <w:shd w:val="clear" w:color="auto" w:fill="auto"/>
            <w:noWrap/>
            <w:vAlign w:val="center"/>
            <w:hideMark/>
          </w:tcPr>
          <w:p w14:paraId="470D0E16"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4600</w:t>
            </w:r>
          </w:p>
        </w:tc>
        <w:tc>
          <w:tcPr>
            <w:tcW w:w="1417" w:type="dxa"/>
            <w:tcBorders>
              <w:top w:val="nil"/>
              <w:left w:val="nil"/>
              <w:bottom w:val="single" w:sz="4" w:space="0" w:color="auto"/>
              <w:right w:val="single" w:sz="4" w:space="0" w:color="auto"/>
            </w:tcBorders>
            <w:shd w:val="clear" w:color="auto" w:fill="auto"/>
            <w:noWrap/>
            <w:vAlign w:val="center"/>
          </w:tcPr>
          <w:p w14:paraId="5AE24B4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1460</w:t>
            </w:r>
          </w:p>
        </w:tc>
        <w:tc>
          <w:tcPr>
            <w:tcW w:w="1701" w:type="dxa"/>
            <w:tcBorders>
              <w:top w:val="nil"/>
              <w:left w:val="nil"/>
              <w:bottom w:val="single" w:sz="4" w:space="0" w:color="auto"/>
              <w:right w:val="single" w:sz="4" w:space="0" w:color="auto"/>
            </w:tcBorders>
            <w:shd w:val="clear" w:color="auto" w:fill="auto"/>
            <w:noWrap/>
            <w:vAlign w:val="center"/>
          </w:tcPr>
          <w:p w14:paraId="366E516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1241</w:t>
            </w:r>
          </w:p>
        </w:tc>
        <w:tc>
          <w:tcPr>
            <w:tcW w:w="2410" w:type="dxa"/>
            <w:tcBorders>
              <w:top w:val="nil"/>
              <w:left w:val="nil"/>
              <w:bottom w:val="single" w:sz="4" w:space="0" w:color="auto"/>
              <w:right w:val="single" w:sz="4" w:space="0" w:color="auto"/>
            </w:tcBorders>
            <w:shd w:val="clear" w:color="auto" w:fill="auto"/>
            <w:noWrap/>
            <w:vAlign w:val="center"/>
            <w:hideMark/>
          </w:tcPr>
          <w:p w14:paraId="4135FD9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85</w:t>
            </w:r>
            <w:r>
              <w:rPr>
                <w:rFonts w:ascii="Calibri" w:eastAsia="Times New Roman" w:hAnsi="Calibri" w:cs="Times New Roman"/>
                <w:color w:val="000000"/>
                <w:sz w:val="22"/>
                <w:szCs w:val="22"/>
              </w:rPr>
              <w:t>.0</w:t>
            </w:r>
            <w:r w:rsidRPr="00CF4E49">
              <w:rPr>
                <w:rFonts w:ascii="Calibri" w:eastAsia="Times New Roman" w:hAnsi="Calibri" w:cs="Times New Roman"/>
                <w:color w:val="000000"/>
                <w:sz w:val="22"/>
                <w:szCs w:val="22"/>
              </w:rPr>
              <w:t>% (83.1-86.8%)</w:t>
            </w:r>
          </w:p>
        </w:tc>
        <w:tc>
          <w:tcPr>
            <w:tcW w:w="1559" w:type="dxa"/>
            <w:tcBorders>
              <w:top w:val="nil"/>
              <w:left w:val="nil"/>
              <w:bottom w:val="single" w:sz="4" w:space="0" w:color="auto"/>
              <w:right w:val="single" w:sz="4" w:space="0" w:color="auto"/>
            </w:tcBorders>
            <w:shd w:val="clear" w:color="auto" w:fill="auto"/>
            <w:noWrap/>
            <w:vAlign w:val="center"/>
          </w:tcPr>
          <w:p w14:paraId="4F4E5888"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3140</w:t>
            </w:r>
          </w:p>
        </w:tc>
        <w:tc>
          <w:tcPr>
            <w:tcW w:w="1985" w:type="dxa"/>
            <w:tcBorders>
              <w:top w:val="nil"/>
              <w:left w:val="nil"/>
              <w:bottom w:val="single" w:sz="4" w:space="0" w:color="auto"/>
              <w:right w:val="single" w:sz="4" w:space="0" w:color="auto"/>
            </w:tcBorders>
            <w:shd w:val="clear" w:color="auto" w:fill="auto"/>
            <w:noWrap/>
            <w:vAlign w:val="center"/>
          </w:tcPr>
          <w:p w14:paraId="0BA7289C"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2750</w:t>
            </w:r>
          </w:p>
        </w:tc>
        <w:tc>
          <w:tcPr>
            <w:tcW w:w="2126" w:type="dxa"/>
            <w:tcBorders>
              <w:top w:val="nil"/>
              <w:left w:val="nil"/>
              <w:bottom w:val="single" w:sz="4" w:space="0" w:color="auto"/>
              <w:right w:val="single" w:sz="8" w:space="0" w:color="auto"/>
            </w:tcBorders>
            <w:shd w:val="clear" w:color="auto" w:fill="auto"/>
            <w:noWrap/>
            <w:vAlign w:val="center"/>
            <w:hideMark/>
          </w:tcPr>
          <w:p w14:paraId="26CD9BED"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87.6% (86.4-88.7%)</w:t>
            </w:r>
          </w:p>
        </w:tc>
      </w:tr>
      <w:tr w:rsidR="00906458" w:rsidRPr="00CF4E49" w14:paraId="4B6CC74B"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0D12F70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9C07BC"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1BE18D9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3702A37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7B45E77D"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tcPr>
          <w:p w14:paraId="43CEAFC1"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tcPr>
          <w:p w14:paraId="6B395700"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hideMark/>
          </w:tcPr>
          <w:p w14:paraId="11CB9DA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4DF6C85E"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27267318"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RPR ≥1</w:t>
            </w:r>
            <w:proofErr w:type="gramStart"/>
            <w:r w:rsidRPr="00CF4E49">
              <w:rPr>
                <w:rFonts w:ascii="Calibri" w:eastAsia="Times New Roman" w:hAnsi="Calibri" w:cs="Times New Roman"/>
                <w:color w:val="000000"/>
                <w:sz w:val="22"/>
                <w:szCs w:val="22"/>
              </w:rPr>
              <w:t>:16</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91A3A50"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4E3BB35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635B740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4680356C"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tcPr>
          <w:p w14:paraId="3F8E3F22"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tcPr>
          <w:p w14:paraId="4F18DF75"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hideMark/>
          </w:tcPr>
          <w:p w14:paraId="084158C2"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3A77A9A3"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0F719957" w14:textId="77777777" w:rsidR="00906458" w:rsidRPr="00CF4E49" w:rsidRDefault="00906458" w:rsidP="00FD2CAB">
            <w:pPr>
              <w:jc w:val="center"/>
              <w:rPr>
                <w:rFonts w:ascii="Calibri" w:eastAsia="Times New Roman" w:hAnsi="Calibri" w:cs="Times New Roman"/>
                <w:color w:val="000000"/>
                <w:sz w:val="22"/>
                <w:szCs w:val="22"/>
              </w:rPr>
            </w:pP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76" w:type="dxa"/>
            <w:tcBorders>
              <w:top w:val="nil"/>
              <w:left w:val="nil"/>
              <w:bottom w:val="single" w:sz="4" w:space="0" w:color="auto"/>
              <w:right w:val="single" w:sz="4" w:space="0" w:color="auto"/>
            </w:tcBorders>
            <w:shd w:val="clear" w:color="auto" w:fill="auto"/>
            <w:noWrap/>
            <w:vAlign w:val="center"/>
            <w:hideMark/>
          </w:tcPr>
          <w:p w14:paraId="14145442"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1056</w:t>
            </w:r>
          </w:p>
        </w:tc>
        <w:tc>
          <w:tcPr>
            <w:tcW w:w="1417" w:type="dxa"/>
            <w:tcBorders>
              <w:top w:val="nil"/>
              <w:left w:val="nil"/>
              <w:bottom w:val="single" w:sz="4" w:space="0" w:color="auto"/>
              <w:right w:val="single" w:sz="4" w:space="0" w:color="auto"/>
            </w:tcBorders>
            <w:shd w:val="clear" w:color="auto" w:fill="auto"/>
            <w:noWrap/>
            <w:vAlign w:val="center"/>
          </w:tcPr>
          <w:p w14:paraId="6AF11D8C"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1049</w:t>
            </w:r>
          </w:p>
        </w:tc>
        <w:tc>
          <w:tcPr>
            <w:tcW w:w="1701" w:type="dxa"/>
            <w:tcBorders>
              <w:top w:val="nil"/>
              <w:left w:val="nil"/>
              <w:bottom w:val="single" w:sz="4" w:space="0" w:color="auto"/>
              <w:right w:val="single" w:sz="4" w:space="0" w:color="auto"/>
            </w:tcBorders>
            <w:shd w:val="clear" w:color="auto" w:fill="auto"/>
            <w:noWrap/>
            <w:vAlign w:val="center"/>
          </w:tcPr>
          <w:p w14:paraId="3F077F31"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1032</w:t>
            </w:r>
          </w:p>
        </w:tc>
        <w:tc>
          <w:tcPr>
            <w:tcW w:w="2410" w:type="dxa"/>
            <w:tcBorders>
              <w:top w:val="nil"/>
              <w:left w:val="nil"/>
              <w:bottom w:val="single" w:sz="4" w:space="0" w:color="auto"/>
              <w:right w:val="single" w:sz="4" w:space="0" w:color="auto"/>
            </w:tcBorders>
            <w:shd w:val="clear" w:color="auto" w:fill="auto"/>
            <w:noWrap/>
            <w:vAlign w:val="center"/>
            <w:hideMark/>
          </w:tcPr>
          <w:p w14:paraId="1DA7540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98.4% (97.4-99.1%)</w:t>
            </w:r>
          </w:p>
        </w:tc>
        <w:tc>
          <w:tcPr>
            <w:tcW w:w="1559" w:type="dxa"/>
            <w:tcBorders>
              <w:top w:val="nil"/>
              <w:left w:val="nil"/>
              <w:bottom w:val="single" w:sz="4" w:space="0" w:color="auto"/>
              <w:right w:val="single" w:sz="4" w:space="0" w:color="auto"/>
            </w:tcBorders>
            <w:shd w:val="clear" w:color="auto" w:fill="auto"/>
            <w:noWrap/>
            <w:vAlign w:val="center"/>
          </w:tcPr>
          <w:p w14:paraId="374FEA4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7</w:t>
            </w:r>
          </w:p>
        </w:tc>
        <w:tc>
          <w:tcPr>
            <w:tcW w:w="1985" w:type="dxa"/>
            <w:tcBorders>
              <w:top w:val="nil"/>
              <w:left w:val="nil"/>
              <w:bottom w:val="single" w:sz="4" w:space="0" w:color="auto"/>
              <w:right w:val="single" w:sz="4" w:space="0" w:color="auto"/>
            </w:tcBorders>
            <w:shd w:val="clear" w:color="auto" w:fill="auto"/>
            <w:noWrap/>
            <w:vAlign w:val="center"/>
          </w:tcPr>
          <w:p w14:paraId="0FDBC68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7</w:t>
            </w:r>
          </w:p>
        </w:tc>
        <w:tc>
          <w:tcPr>
            <w:tcW w:w="2126" w:type="dxa"/>
            <w:tcBorders>
              <w:top w:val="nil"/>
              <w:left w:val="nil"/>
              <w:bottom w:val="single" w:sz="4" w:space="0" w:color="auto"/>
              <w:right w:val="single" w:sz="8" w:space="0" w:color="auto"/>
            </w:tcBorders>
            <w:shd w:val="clear" w:color="auto" w:fill="auto"/>
            <w:noWrap/>
            <w:vAlign w:val="center"/>
            <w:hideMark/>
          </w:tcPr>
          <w:p w14:paraId="7D5B812D"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100% (59-100%)</w:t>
            </w:r>
          </w:p>
        </w:tc>
      </w:tr>
      <w:tr w:rsidR="00906458" w:rsidRPr="00CF4E49" w14:paraId="6A770FB2"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1BB3A9A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Non-</w:t>
            </w: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76" w:type="dxa"/>
            <w:tcBorders>
              <w:top w:val="nil"/>
              <w:left w:val="nil"/>
              <w:bottom w:val="single" w:sz="4" w:space="0" w:color="auto"/>
              <w:right w:val="single" w:sz="4" w:space="0" w:color="auto"/>
            </w:tcBorders>
            <w:shd w:val="clear" w:color="auto" w:fill="auto"/>
            <w:noWrap/>
            <w:vAlign w:val="center"/>
            <w:hideMark/>
          </w:tcPr>
          <w:p w14:paraId="56806AE5"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1056</w:t>
            </w:r>
          </w:p>
        </w:tc>
        <w:tc>
          <w:tcPr>
            <w:tcW w:w="1417" w:type="dxa"/>
            <w:tcBorders>
              <w:top w:val="nil"/>
              <w:left w:val="nil"/>
              <w:bottom w:val="single" w:sz="4" w:space="0" w:color="auto"/>
              <w:right w:val="single" w:sz="4" w:space="0" w:color="auto"/>
            </w:tcBorders>
            <w:shd w:val="clear" w:color="auto" w:fill="auto"/>
            <w:noWrap/>
            <w:vAlign w:val="center"/>
          </w:tcPr>
          <w:p w14:paraId="1791BD5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1056</w:t>
            </w:r>
          </w:p>
        </w:tc>
        <w:tc>
          <w:tcPr>
            <w:tcW w:w="1701" w:type="dxa"/>
            <w:tcBorders>
              <w:top w:val="nil"/>
              <w:left w:val="nil"/>
              <w:bottom w:val="single" w:sz="4" w:space="0" w:color="auto"/>
              <w:right w:val="single" w:sz="4" w:space="0" w:color="auto"/>
            </w:tcBorders>
            <w:shd w:val="clear" w:color="auto" w:fill="auto"/>
            <w:noWrap/>
            <w:vAlign w:val="center"/>
          </w:tcPr>
          <w:p w14:paraId="4D1A8162"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1042</w:t>
            </w:r>
          </w:p>
        </w:tc>
        <w:tc>
          <w:tcPr>
            <w:tcW w:w="2410" w:type="dxa"/>
            <w:tcBorders>
              <w:top w:val="nil"/>
              <w:left w:val="nil"/>
              <w:bottom w:val="single" w:sz="4" w:space="0" w:color="auto"/>
              <w:right w:val="single" w:sz="4" w:space="0" w:color="auto"/>
            </w:tcBorders>
            <w:shd w:val="clear" w:color="auto" w:fill="auto"/>
            <w:noWrap/>
            <w:vAlign w:val="center"/>
            <w:hideMark/>
          </w:tcPr>
          <w:p w14:paraId="0CE27C5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98.7% (97.8-99.3%)</w:t>
            </w:r>
          </w:p>
        </w:tc>
        <w:tc>
          <w:tcPr>
            <w:tcW w:w="1559" w:type="dxa"/>
            <w:tcBorders>
              <w:top w:val="nil"/>
              <w:left w:val="nil"/>
              <w:bottom w:val="single" w:sz="4" w:space="0" w:color="auto"/>
              <w:right w:val="single" w:sz="4" w:space="0" w:color="auto"/>
            </w:tcBorders>
            <w:shd w:val="clear" w:color="000000" w:fill="D9D9D9"/>
            <w:noWrap/>
            <w:vAlign w:val="center"/>
          </w:tcPr>
          <w:p w14:paraId="67C828F5"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single" w:sz="4" w:space="0" w:color="auto"/>
              <w:right w:val="single" w:sz="4" w:space="0" w:color="auto"/>
            </w:tcBorders>
            <w:shd w:val="clear" w:color="000000" w:fill="D9D9D9"/>
            <w:noWrap/>
            <w:vAlign w:val="center"/>
          </w:tcPr>
          <w:p w14:paraId="04D830AD"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single" w:sz="4" w:space="0" w:color="auto"/>
              <w:right w:val="single" w:sz="8" w:space="0" w:color="auto"/>
            </w:tcBorders>
            <w:shd w:val="clear" w:color="000000" w:fill="D9D9D9"/>
            <w:noWrap/>
            <w:vAlign w:val="center"/>
            <w:hideMark/>
          </w:tcPr>
          <w:p w14:paraId="74CFFF0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7AF1DB90" w14:textId="77777777" w:rsidTr="003B2949">
        <w:trPr>
          <w:gridAfter w:val="1"/>
          <w:wAfter w:w="875" w:type="dxa"/>
          <w:trHeight w:val="320"/>
        </w:trPr>
        <w:tc>
          <w:tcPr>
            <w:tcW w:w="2567" w:type="dxa"/>
            <w:tcBorders>
              <w:top w:val="nil"/>
              <w:left w:val="single" w:sz="8" w:space="0" w:color="auto"/>
              <w:bottom w:val="nil"/>
              <w:right w:val="single" w:sz="4" w:space="0" w:color="auto"/>
            </w:tcBorders>
            <w:shd w:val="clear" w:color="auto" w:fill="auto"/>
            <w:noWrap/>
            <w:vAlign w:val="center"/>
            <w:hideMark/>
          </w:tcPr>
          <w:p w14:paraId="74A2185F"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276" w:type="dxa"/>
            <w:tcBorders>
              <w:top w:val="nil"/>
              <w:left w:val="nil"/>
              <w:bottom w:val="nil"/>
              <w:right w:val="single" w:sz="4" w:space="0" w:color="auto"/>
            </w:tcBorders>
            <w:shd w:val="clear" w:color="auto" w:fill="auto"/>
            <w:noWrap/>
            <w:vAlign w:val="center"/>
            <w:hideMark/>
          </w:tcPr>
          <w:p w14:paraId="098DE642"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nil"/>
              <w:right w:val="single" w:sz="4" w:space="0" w:color="auto"/>
            </w:tcBorders>
            <w:shd w:val="clear" w:color="auto" w:fill="auto"/>
            <w:noWrap/>
            <w:vAlign w:val="center"/>
          </w:tcPr>
          <w:p w14:paraId="23C71B4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nil"/>
              <w:right w:val="single" w:sz="4" w:space="0" w:color="auto"/>
            </w:tcBorders>
            <w:shd w:val="clear" w:color="auto" w:fill="auto"/>
            <w:noWrap/>
            <w:vAlign w:val="center"/>
          </w:tcPr>
          <w:p w14:paraId="286DB66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nil"/>
              <w:right w:val="single" w:sz="4" w:space="0" w:color="auto"/>
            </w:tcBorders>
            <w:shd w:val="clear" w:color="auto" w:fill="auto"/>
            <w:noWrap/>
            <w:vAlign w:val="center"/>
            <w:hideMark/>
          </w:tcPr>
          <w:p w14:paraId="13FB57D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59" w:type="dxa"/>
            <w:tcBorders>
              <w:top w:val="nil"/>
              <w:left w:val="nil"/>
              <w:bottom w:val="nil"/>
              <w:right w:val="single" w:sz="4" w:space="0" w:color="auto"/>
            </w:tcBorders>
            <w:shd w:val="clear" w:color="auto" w:fill="auto"/>
            <w:noWrap/>
            <w:vAlign w:val="center"/>
          </w:tcPr>
          <w:p w14:paraId="2C64FB4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nil"/>
              <w:right w:val="single" w:sz="4" w:space="0" w:color="auto"/>
            </w:tcBorders>
            <w:shd w:val="clear" w:color="auto" w:fill="auto"/>
            <w:noWrap/>
            <w:vAlign w:val="center"/>
          </w:tcPr>
          <w:p w14:paraId="39092438"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nil"/>
              <w:right w:val="single" w:sz="8" w:space="0" w:color="auto"/>
            </w:tcBorders>
            <w:shd w:val="clear" w:color="auto" w:fill="auto"/>
            <w:noWrap/>
            <w:vAlign w:val="center"/>
            <w:hideMark/>
          </w:tcPr>
          <w:p w14:paraId="2EBF461F"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50020D04" w14:textId="77777777" w:rsidTr="003B2949">
        <w:trPr>
          <w:gridAfter w:val="1"/>
          <w:wAfter w:w="875" w:type="dxa"/>
          <w:trHeight w:val="300"/>
        </w:trPr>
        <w:tc>
          <w:tcPr>
            <w:tcW w:w="2567" w:type="dxa"/>
            <w:tcBorders>
              <w:top w:val="dashed" w:sz="8" w:space="0" w:color="auto"/>
              <w:left w:val="single" w:sz="8" w:space="0" w:color="auto"/>
              <w:bottom w:val="single" w:sz="4" w:space="0" w:color="auto"/>
              <w:right w:val="single" w:sz="4" w:space="0" w:color="auto"/>
            </w:tcBorders>
            <w:shd w:val="clear" w:color="auto" w:fill="auto"/>
            <w:noWrap/>
            <w:vAlign w:val="center"/>
            <w:hideMark/>
          </w:tcPr>
          <w:p w14:paraId="2B812E62" w14:textId="77777777" w:rsidR="00906458" w:rsidRPr="00CF4E49" w:rsidRDefault="00906458" w:rsidP="00FD2CAB">
            <w:pPr>
              <w:jc w:val="center"/>
              <w:rPr>
                <w:rFonts w:ascii="Calibri" w:eastAsia="Times New Roman" w:hAnsi="Calibri" w:cs="Times New Roman"/>
                <w:i/>
                <w:iCs/>
                <w:color w:val="000000"/>
                <w:sz w:val="22"/>
                <w:szCs w:val="22"/>
              </w:rPr>
            </w:pPr>
            <w:r w:rsidRPr="00CF4E49">
              <w:rPr>
                <w:rFonts w:ascii="Calibri" w:eastAsia="Times New Roman" w:hAnsi="Calibri" w:cs="Times New Roman"/>
                <w:i/>
                <w:iCs/>
                <w:color w:val="000000"/>
                <w:sz w:val="22"/>
                <w:szCs w:val="22"/>
              </w:rPr>
              <w:t>Yaws</w:t>
            </w:r>
          </w:p>
        </w:tc>
        <w:tc>
          <w:tcPr>
            <w:tcW w:w="1276" w:type="dxa"/>
            <w:tcBorders>
              <w:top w:val="dashed" w:sz="8" w:space="0" w:color="auto"/>
              <w:left w:val="nil"/>
              <w:bottom w:val="single" w:sz="4" w:space="0" w:color="auto"/>
              <w:right w:val="single" w:sz="4" w:space="0" w:color="auto"/>
            </w:tcBorders>
            <w:shd w:val="clear" w:color="auto" w:fill="auto"/>
            <w:noWrap/>
            <w:vAlign w:val="center"/>
            <w:hideMark/>
          </w:tcPr>
          <w:p w14:paraId="15DD1DE0"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dashed" w:sz="8" w:space="0" w:color="auto"/>
              <w:left w:val="nil"/>
              <w:bottom w:val="single" w:sz="4" w:space="0" w:color="auto"/>
              <w:right w:val="single" w:sz="4" w:space="0" w:color="auto"/>
            </w:tcBorders>
            <w:shd w:val="clear" w:color="auto" w:fill="auto"/>
            <w:noWrap/>
            <w:vAlign w:val="center"/>
          </w:tcPr>
          <w:p w14:paraId="5ECFDDA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dashed" w:sz="8" w:space="0" w:color="auto"/>
              <w:left w:val="nil"/>
              <w:bottom w:val="single" w:sz="4" w:space="0" w:color="auto"/>
              <w:right w:val="single" w:sz="4" w:space="0" w:color="auto"/>
            </w:tcBorders>
            <w:shd w:val="clear" w:color="auto" w:fill="auto"/>
            <w:noWrap/>
            <w:vAlign w:val="center"/>
          </w:tcPr>
          <w:p w14:paraId="67777A9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dashed" w:sz="8" w:space="0" w:color="auto"/>
              <w:left w:val="nil"/>
              <w:bottom w:val="single" w:sz="4" w:space="0" w:color="auto"/>
              <w:right w:val="single" w:sz="4" w:space="0" w:color="auto"/>
            </w:tcBorders>
            <w:shd w:val="clear" w:color="auto" w:fill="auto"/>
            <w:noWrap/>
            <w:vAlign w:val="center"/>
            <w:hideMark/>
          </w:tcPr>
          <w:p w14:paraId="6DA665F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59" w:type="dxa"/>
            <w:tcBorders>
              <w:top w:val="dashed" w:sz="8" w:space="0" w:color="auto"/>
              <w:left w:val="nil"/>
              <w:bottom w:val="single" w:sz="4" w:space="0" w:color="auto"/>
              <w:right w:val="single" w:sz="4" w:space="0" w:color="auto"/>
            </w:tcBorders>
            <w:shd w:val="clear" w:color="auto" w:fill="auto"/>
            <w:noWrap/>
            <w:vAlign w:val="center"/>
          </w:tcPr>
          <w:p w14:paraId="23A2ABA5"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dashed" w:sz="8" w:space="0" w:color="auto"/>
              <w:left w:val="nil"/>
              <w:bottom w:val="single" w:sz="4" w:space="0" w:color="auto"/>
              <w:right w:val="single" w:sz="4" w:space="0" w:color="auto"/>
            </w:tcBorders>
            <w:shd w:val="clear" w:color="auto" w:fill="auto"/>
            <w:noWrap/>
            <w:vAlign w:val="center"/>
          </w:tcPr>
          <w:p w14:paraId="329F969C"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dashed" w:sz="8" w:space="0" w:color="auto"/>
              <w:left w:val="nil"/>
              <w:bottom w:val="single" w:sz="4" w:space="0" w:color="auto"/>
              <w:right w:val="single" w:sz="8" w:space="0" w:color="auto"/>
            </w:tcBorders>
            <w:shd w:val="clear" w:color="auto" w:fill="auto"/>
            <w:noWrap/>
            <w:vAlign w:val="center"/>
            <w:hideMark/>
          </w:tcPr>
          <w:p w14:paraId="2F61A4F5"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61D9ED96"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3198346D"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RPR &lt;1:16</w:t>
            </w:r>
          </w:p>
        </w:tc>
        <w:tc>
          <w:tcPr>
            <w:tcW w:w="1276" w:type="dxa"/>
            <w:tcBorders>
              <w:top w:val="nil"/>
              <w:left w:val="nil"/>
              <w:bottom w:val="single" w:sz="4" w:space="0" w:color="auto"/>
              <w:right w:val="single" w:sz="4" w:space="0" w:color="auto"/>
            </w:tcBorders>
            <w:shd w:val="clear" w:color="auto" w:fill="auto"/>
            <w:noWrap/>
            <w:vAlign w:val="center"/>
            <w:hideMark/>
          </w:tcPr>
          <w:p w14:paraId="371FFEF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6185C4AA"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63D693A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39EB956F"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tcPr>
          <w:p w14:paraId="1DD0916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tcPr>
          <w:p w14:paraId="6566DA3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hideMark/>
          </w:tcPr>
          <w:p w14:paraId="35CF040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6D247AE1"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007C6F0F" w14:textId="77777777" w:rsidR="00906458" w:rsidRPr="00CF4E49" w:rsidRDefault="00906458" w:rsidP="00FD2CAB">
            <w:pPr>
              <w:jc w:val="center"/>
              <w:rPr>
                <w:rFonts w:ascii="Calibri" w:eastAsia="Times New Roman" w:hAnsi="Calibri" w:cs="Times New Roman"/>
                <w:color w:val="000000"/>
                <w:sz w:val="22"/>
                <w:szCs w:val="22"/>
              </w:rPr>
            </w:pP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76" w:type="dxa"/>
            <w:tcBorders>
              <w:top w:val="nil"/>
              <w:left w:val="nil"/>
              <w:bottom w:val="single" w:sz="4" w:space="0" w:color="auto"/>
              <w:right w:val="single" w:sz="4" w:space="0" w:color="auto"/>
            </w:tcBorders>
            <w:shd w:val="clear" w:color="auto" w:fill="auto"/>
            <w:noWrap/>
            <w:vAlign w:val="center"/>
            <w:hideMark/>
          </w:tcPr>
          <w:p w14:paraId="40BD449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1316</w:t>
            </w:r>
          </w:p>
        </w:tc>
        <w:tc>
          <w:tcPr>
            <w:tcW w:w="1417" w:type="dxa"/>
            <w:tcBorders>
              <w:top w:val="nil"/>
              <w:left w:val="nil"/>
              <w:bottom w:val="single" w:sz="4" w:space="0" w:color="auto"/>
              <w:right w:val="single" w:sz="4" w:space="0" w:color="auto"/>
            </w:tcBorders>
            <w:shd w:val="clear" w:color="auto" w:fill="auto"/>
            <w:noWrap/>
            <w:vAlign w:val="center"/>
          </w:tcPr>
          <w:p w14:paraId="37FCA91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426</w:t>
            </w:r>
          </w:p>
        </w:tc>
        <w:tc>
          <w:tcPr>
            <w:tcW w:w="1701" w:type="dxa"/>
            <w:tcBorders>
              <w:top w:val="nil"/>
              <w:left w:val="nil"/>
              <w:bottom w:val="single" w:sz="4" w:space="0" w:color="auto"/>
              <w:right w:val="single" w:sz="4" w:space="0" w:color="auto"/>
            </w:tcBorders>
            <w:shd w:val="clear" w:color="auto" w:fill="auto"/>
            <w:noWrap/>
            <w:vAlign w:val="center"/>
          </w:tcPr>
          <w:p w14:paraId="72F0066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313</w:t>
            </w:r>
          </w:p>
        </w:tc>
        <w:tc>
          <w:tcPr>
            <w:tcW w:w="2410" w:type="dxa"/>
            <w:tcBorders>
              <w:top w:val="nil"/>
              <w:left w:val="nil"/>
              <w:bottom w:val="single" w:sz="4" w:space="0" w:color="auto"/>
              <w:right w:val="single" w:sz="4" w:space="0" w:color="auto"/>
            </w:tcBorders>
            <w:shd w:val="clear" w:color="auto" w:fill="auto"/>
            <w:noWrap/>
            <w:vAlign w:val="center"/>
            <w:hideMark/>
          </w:tcPr>
          <w:p w14:paraId="7D31E9CA"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73.5% (69.0-77.6%)</w:t>
            </w:r>
          </w:p>
        </w:tc>
        <w:tc>
          <w:tcPr>
            <w:tcW w:w="1559" w:type="dxa"/>
            <w:tcBorders>
              <w:top w:val="nil"/>
              <w:left w:val="nil"/>
              <w:bottom w:val="single" w:sz="4" w:space="0" w:color="auto"/>
              <w:right w:val="single" w:sz="4" w:space="0" w:color="auto"/>
            </w:tcBorders>
            <w:shd w:val="clear" w:color="auto" w:fill="auto"/>
            <w:noWrap/>
            <w:vAlign w:val="center"/>
          </w:tcPr>
          <w:p w14:paraId="7EE2E4E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890</w:t>
            </w:r>
          </w:p>
        </w:tc>
        <w:tc>
          <w:tcPr>
            <w:tcW w:w="1985" w:type="dxa"/>
            <w:tcBorders>
              <w:top w:val="nil"/>
              <w:left w:val="nil"/>
              <w:bottom w:val="single" w:sz="4" w:space="0" w:color="auto"/>
              <w:right w:val="single" w:sz="4" w:space="0" w:color="auto"/>
            </w:tcBorders>
            <w:shd w:val="clear" w:color="auto" w:fill="auto"/>
            <w:noWrap/>
            <w:vAlign w:val="center"/>
          </w:tcPr>
          <w:p w14:paraId="6173D811"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859</w:t>
            </w:r>
          </w:p>
        </w:tc>
        <w:tc>
          <w:tcPr>
            <w:tcW w:w="2126" w:type="dxa"/>
            <w:tcBorders>
              <w:top w:val="nil"/>
              <w:left w:val="nil"/>
              <w:bottom w:val="single" w:sz="4" w:space="0" w:color="auto"/>
              <w:right w:val="single" w:sz="8" w:space="0" w:color="auto"/>
            </w:tcBorders>
            <w:shd w:val="clear" w:color="auto" w:fill="auto"/>
            <w:noWrap/>
            <w:vAlign w:val="center"/>
            <w:hideMark/>
          </w:tcPr>
          <w:p w14:paraId="3434EAE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96.5% (95.1-97.6%)</w:t>
            </w:r>
          </w:p>
        </w:tc>
      </w:tr>
      <w:tr w:rsidR="00906458" w:rsidRPr="00CF4E49" w14:paraId="03709CE5"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2B8AF736"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Non-</w:t>
            </w: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76" w:type="dxa"/>
            <w:tcBorders>
              <w:top w:val="nil"/>
              <w:left w:val="nil"/>
              <w:bottom w:val="single" w:sz="4" w:space="0" w:color="auto"/>
              <w:right w:val="single" w:sz="4" w:space="0" w:color="auto"/>
            </w:tcBorders>
            <w:shd w:val="clear" w:color="auto" w:fill="auto"/>
            <w:noWrap/>
            <w:vAlign w:val="center"/>
            <w:hideMark/>
          </w:tcPr>
          <w:p w14:paraId="0D3A94A2"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1316</w:t>
            </w:r>
          </w:p>
        </w:tc>
        <w:tc>
          <w:tcPr>
            <w:tcW w:w="1417" w:type="dxa"/>
            <w:tcBorders>
              <w:top w:val="nil"/>
              <w:left w:val="nil"/>
              <w:bottom w:val="single" w:sz="4" w:space="0" w:color="auto"/>
              <w:right w:val="single" w:sz="4" w:space="0" w:color="auto"/>
            </w:tcBorders>
            <w:shd w:val="clear" w:color="auto" w:fill="auto"/>
            <w:noWrap/>
            <w:vAlign w:val="center"/>
          </w:tcPr>
          <w:p w14:paraId="1B64BF4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301</w:t>
            </w:r>
          </w:p>
        </w:tc>
        <w:tc>
          <w:tcPr>
            <w:tcW w:w="1701" w:type="dxa"/>
            <w:tcBorders>
              <w:top w:val="nil"/>
              <w:left w:val="nil"/>
              <w:bottom w:val="single" w:sz="4" w:space="0" w:color="auto"/>
              <w:right w:val="single" w:sz="4" w:space="0" w:color="auto"/>
            </w:tcBorders>
            <w:shd w:val="clear" w:color="auto" w:fill="auto"/>
            <w:noWrap/>
            <w:vAlign w:val="center"/>
          </w:tcPr>
          <w:p w14:paraId="030BCC8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178</w:t>
            </w:r>
          </w:p>
        </w:tc>
        <w:tc>
          <w:tcPr>
            <w:tcW w:w="2410" w:type="dxa"/>
            <w:tcBorders>
              <w:top w:val="nil"/>
              <w:left w:val="nil"/>
              <w:bottom w:val="single" w:sz="4" w:space="0" w:color="auto"/>
              <w:right w:val="single" w:sz="4" w:space="0" w:color="auto"/>
            </w:tcBorders>
            <w:shd w:val="clear" w:color="auto" w:fill="auto"/>
            <w:noWrap/>
            <w:vAlign w:val="center"/>
            <w:hideMark/>
          </w:tcPr>
          <w:p w14:paraId="76B1616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59.1% (53.3-64.7%)</w:t>
            </w:r>
          </w:p>
        </w:tc>
        <w:tc>
          <w:tcPr>
            <w:tcW w:w="1559" w:type="dxa"/>
            <w:tcBorders>
              <w:top w:val="nil"/>
              <w:left w:val="nil"/>
              <w:bottom w:val="single" w:sz="4" w:space="0" w:color="auto"/>
              <w:right w:val="single" w:sz="4" w:space="0" w:color="auto"/>
            </w:tcBorders>
            <w:shd w:val="clear" w:color="auto" w:fill="auto"/>
            <w:noWrap/>
            <w:vAlign w:val="center"/>
          </w:tcPr>
          <w:p w14:paraId="0DF2A5E2"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1015</w:t>
            </w:r>
          </w:p>
        </w:tc>
        <w:tc>
          <w:tcPr>
            <w:tcW w:w="1985" w:type="dxa"/>
            <w:tcBorders>
              <w:top w:val="nil"/>
              <w:left w:val="nil"/>
              <w:bottom w:val="single" w:sz="4" w:space="0" w:color="auto"/>
              <w:right w:val="single" w:sz="4" w:space="0" w:color="auto"/>
            </w:tcBorders>
            <w:shd w:val="clear" w:color="auto" w:fill="auto"/>
            <w:noWrap/>
            <w:vAlign w:val="center"/>
          </w:tcPr>
          <w:p w14:paraId="30D2841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964</w:t>
            </w:r>
          </w:p>
        </w:tc>
        <w:tc>
          <w:tcPr>
            <w:tcW w:w="2126" w:type="dxa"/>
            <w:tcBorders>
              <w:top w:val="nil"/>
              <w:left w:val="nil"/>
              <w:bottom w:val="single" w:sz="4" w:space="0" w:color="auto"/>
              <w:right w:val="single" w:sz="8" w:space="0" w:color="auto"/>
            </w:tcBorders>
            <w:shd w:val="clear" w:color="auto" w:fill="auto"/>
            <w:noWrap/>
            <w:vAlign w:val="center"/>
            <w:hideMark/>
          </w:tcPr>
          <w:p w14:paraId="1721B6D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95</w:t>
            </w:r>
            <w:r>
              <w:rPr>
                <w:rFonts w:ascii="Calibri" w:eastAsia="Times New Roman" w:hAnsi="Calibri" w:cs="Times New Roman"/>
                <w:color w:val="000000"/>
                <w:sz w:val="22"/>
                <w:szCs w:val="22"/>
              </w:rPr>
              <w:t>.0</w:t>
            </w:r>
            <w:r w:rsidRPr="00CF4E49">
              <w:rPr>
                <w:rFonts w:ascii="Calibri" w:eastAsia="Times New Roman" w:hAnsi="Calibri" w:cs="Times New Roman"/>
                <w:color w:val="000000"/>
                <w:sz w:val="22"/>
                <w:szCs w:val="22"/>
              </w:rPr>
              <w:t>% (93.4-96.2%)</w:t>
            </w:r>
          </w:p>
        </w:tc>
      </w:tr>
      <w:tr w:rsidR="00906458" w:rsidRPr="00CF4E49" w14:paraId="09AC88D5"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123FAC8D"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CB48E8"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24B8C22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5EFD0BC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2CBA120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tcPr>
          <w:p w14:paraId="7951B775"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tcPr>
          <w:p w14:paraId="4EF7F07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hideMark/>
          </w:tcPr>
          <w:p w14:paraId="18D049D1"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2471F9BA"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3B0A05C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RPR ≥1</w:t>
            </w:r>
            <w:proofErr w:type="gramStart"/>
            <w:r w:rsidRPr="00CF4E49">
              <w:rPr>
                <w:rFonts w:ascii="Calibri" w:eastAsia="Times New Roman" w:hAnsi="Calibri" w:cs="Times New Roman"/>
                <w:color w:val="000000"/>
                <w:sz w:val="22"/>
                <w:szCs w:val="22"/>
              </w:rPr>
              <w:t>:16</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A8D930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744ED35A"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tcPr>
          <w:p w14:paraId="0F0F130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14:paraId="505A3D7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tcPr>
          <w:p w14:paraId="30F538CE"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tcPr>
          <w:p w14:paraId="4A90F540"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hideMark/>
          </w:tcPr>
          <w:p w14:paraId="361D7DD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r w:rsidR="00906458" w:rsidRPr="00CF4E49" w14:paraId="296EEB20" w14:textId="77777777" w:rsidTr="003B2949">
        <w:trPr>
          <w:gridAfter w:val="1"/>
          <w:wAfter w:w="875" w:type="dxa"/>
          <w:trHeight w:val="300"/>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14:paraId="43860CC4" w14:textId="77777777" w:rsidR="00906458" w:rsidRPr="00CF4E49" w:rsidRDefault="00906458" w:rsidP="00FD2CAB">
            <w:pPr>
              <w:jc w:val="center"/>
              <w:rPr>
                <w:rFonts w:ascii="Calibri" w:eastAsia="Times New Roman" w:hAnsi="Calibri" w:cs="Times New Roman"/>
                <w:color w:val="000000"/>
                <w:sz w:val="22"/>
                <w:szCs w:val="22"/>
              </w:rPr>
            </w:pP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76" w:type="dxa"/>
            <w:tcBorders>
              <w:top w:val="nil"/>
              <w:left w:val="nil"/>
              <w:bottom w:val="single" w:sz="4" w:space="0" w:color="auto"/>
              <w:right w:val="single" w:sz="4" w:space="0" w:color="auto"/>
            </w:tcBorders>
            <w:shd w:val="clear" w:color="auto" w:fill="auto"/>
            <w:noWrap/>
            <w:vAlign w:val="center"/>
            <w:hideMark/>
          </w:tcPr>
          <w:p w14:paraId="08A49DE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295</w:t>
            </w:r>
          </w:p>
        </w:tc>
        <w:tc>
          <w:tcPr>
            <w:tcW w:w="1417" w:type="dxa"/>
            <w:tcBorders>
              <w:top w:val="nil"/>
              <w:left w:val="nil"/>
              <w:bottom w:val="single" w:sz="4" w:space="0" w:color="auto"/>
              <w:right w:val="single" w:sz="4" w:space="0" w:color="auto"/>
            </w:tcBorders>
            <w:shd w:val="clear" w:color="auto" w:fill="auto"/>
            <w:noWrap/>
            <w:vAlign w:val="center"/>
          </w:tcPr>
          <w:p w14:paraId="2E49C96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290</w:t>
            </w:r>
          </w:p>
        </w:tc>
        <w:tc>
          <w:tcPr>
            <w:tcW w:w="1701" w:type="dxa"/>
            <w:tcBorders>
              <w:top w:val="nil"/>
              <w:left w:val="nil"/>
              <w:bottom w:val="single" w:sz="4" w:space="0" w:color="auto"/>
              <w:right w:val="single" w:sz="4" w:space="0" w:color="auto"/>
            </w:tcBorders>
            <w:shd w:val="clear" w:color="auto" w:fill="auto"/>
            <w:noWrap/>
            <w:vAlign w:val="center"/>
          </w:tcPr>
          <w:p w14:paraId="5FC0809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283</w:t>
            </w:r>
          </w:p>
        </w:tc>
        <w:tc>
          <w:tcPr>
            <w:tcW w:w="2410" w:type="dxa"/>
            <w:tcBorders>
              <w:top w:val="nil"/>
              <w:left w:val="nil"/>
              <w:bottom w:val="single" w:sz="4" w:space="0" w:color="auto"/>
              <w:right w:val="single" w:sz="4" w:space="0" w:color="auto"/>
            </w:tcBorders>
            <w:shd w:val="clear" w:color="auto" w:fill="auto"/>
            <w:noWrap/>
            <w:vAlign w:val="center"/>
            <w:hideMark/>
          </w:tcPr>
          <w:p w14:paraId="7712B4BD"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97.6% (95.1-99.0%)</w:t>
            </w:r>
          </w:p>
        </w:tc>
        <w:tc>
          <w:tcPr>
            <w:tcW w:w="1559" w:type="dxa"/>
            <w:tcBorders>
              <w:top w:val="nil"/>
              <w:left w:val="nil"/>
              <w:bottom w:val="single" w:sz="4" w:space="0" w:color="auto"/>
              <w:right w:val="single" w:sz="4" w:space="0" w:color="auto"/>
            </w:tcBorders>
            <w:shd w:val="clear" w:color="auto" w:fill="auto"/>
            <w:noWrap/>
            <w:vAlign w:val="center"/>
          </w:tcPr>
          <w:p w14:paraId="23ACAF3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5</w:t>
            </w:r>
          </w:p>
        </w:tc>
        <w:tc>
          <w:tcPr>
            <w:tcW w:w="1985" w:type="dxa"/>
            <w:tcBorders>
              <w:top w:val="nil"/>
              <w:left w:val="nil"/>
              <w:bottom w:val="single" w:sz="4" w:space="0" w:color="auto"/>
              <w:right w:val="single" w:sz="4" w:space="0" w:color="auto"/>
            </w:tcBorders>
            <w:shd w:val="clear" w:color="auto" w:fill="auto"/>
            <w:noWrap/>
            <w:vAlign w:val="center"/>
          </w:tcPr>
          <w:p w14:paraId="32CADB39"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4</w:t>
            </w:r>
          </w:p>
        </w:tc>
        <w:tc>
          <w:tcPr>
            <w:tcW w:w="2126" w:type="dxa"/>
            <w:tcBorders>
              <w:top w:val="nil"/>
              <w:left w:val="nil"/>
              <w:bottom w:val="single" w:sz="4" w:space="0" w:color="auto"/>
              <w:right w:val="single" w:sz="8" w:space="0" w:color="auto"/>
            </w:tcBorders>
            <w:shd w:val="clear" w:color="auto" w:fill="auto"/>
            <w:noWrap/>
            <w:vAlign w:val="center"/>
            <w:hideMark/>
          </w:tcPr>
          <w:p w14:paraId="2B48F86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80</w:t>
            </w:r>
            <w:r>
              <w:rPr>
                <w:rFonts w:ascii="Calibri" w:eastAsia="Times New Roman" w:hAnsi="Calibri" w:cs="Times New Roman"/>
                <w:color w:val="000000"/>
                <w:sz w:val="22"/>
                <w:szCs w:val="22"/>
              </w:rPr>
              <w:t>.0</w:t>
            </w:r>
            <w:r w:rsidRPr="00CF4E49">
              <w:rPr>
                <w:rFonts w:ascii="Calibri" w:eastAsia="Times New Roman" w:hAnsi="Calibri" w:cs="Times New Roman"/>
                <w:color w:val="000000"/>
                <w:sz w:val="22"/>
                <w:szCs w:val="22"/>
              </w:rPr>
              <w:t>% (28.4-99.5%)</w:t>
            </w:r>
          </w:p>
        </w:tc>
      </w:tr>
      <w:tr w:rsidR="00906458" w:rsidRPr="00CF4E49" w14:paraId="067F4D11" w14:textId="77777777" w:rsidTr="003B2949">
        <w:trPr>
          <w:gridAfter w:val="1"/>
          <w:wAfter w:w="875" w:type="dxa"/>
          <w:trHeight w:val="320"/>
        </w:trPr>
        <w:tc>
          <w:tcPr>
            <w:tcW w:w="2567" w:type="dxa"/>
            <w:tcBorders>
              <w:top w:val="nil"/>
              <w:left w:val="single" w:sz="8" w:space="0" w:color="auto"/>
              <w:bottom w:val="single" w:sz="8" w:space="0" w:color="auto"/>
              <w:right w:val="single" w:sz="4" w:space="0" w:color="auto"/>
            </w:tcBorders>
            <w:shd w:val="clear" w:color="auto" w:fill="auto"/>
            <w:noWrap/>
            <w:vAlign w:val="center"/>
            <w:hideMark/>
          </w:tcPr>
          <w:p w14:paraId="1F3F04B1"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Non-</w:t>
            </w:r>
            <w:proofErr w:type="spellStart"/>
            <w:r w:rsidRPr="00CF4E49">
              <w:rPr>
                <w:rFonts w:ascii="Calibri" w:eastAsia="Times New Roman" w:hAnsi="Calibri" w:cs="Times New Roman"/>
                <w:color w:val="000000"/>
                <w:sz w:val="22"/>
                <w:szCs w:val="22"/>
              </w:rPr>
              <w:t>Treponemal</w:t>
            </w:r>
            <w:proofErr w:type="spellEnd"/>
            <w:r w:rsidRPr="00CF4E49">
              <w:rPr>
                <w:rFonts w:ascii="Calibri" w:eastAsia="Times New Roman" w:hAnsi="Calibri" w:cs="Times New Roman"/>
                <w:color w:val="000000"/>
                <w:sz w:val="22"/>
                <w:szCs w:val="22"/>
              </w:rPr>
              <w:t xml:space="preserve"> Test</w:t>
            </w:r>
          </w:p>
        </w:tc>
        <w:tc>
          <w:tcPr>
            <w:tcW w:w="1276" w:type="dxa"/>
            <w:tcBorders>
              <w:top w:val="nil"/>
              <w:left w:val="nil"/>
              <w:bottom w:val="single" w:sz="8" w:space="0" w:color="auto"/>
              <w:right w:val="single" w:sz="4" w:space="0" w:color="auto"/>
            </w:tcBorders>
            <w:shd w:val="clear" w:color="auto" w:fill="auto"/>
            <w:noWrap/>
            <w:vAlign w:val="center"/>
            <w:hideMark/>
          </w:tcPr>
          <w:p w14:paraId="4FA3BA84"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295</w:t>
            </w:r>
          </w:p>
        </w:tc>
        <w:tc>
          <w:tcPr>
            <w:tcW w:w="1417" w:type="dxa"/>
            <w:tcBorders>
              <w:top w:val="nil"/>
              <w:left w:val="nil"/>
              <w:bottom w:val="single" w:sz="8" w:space="0" w:color="auto"/>
              <w:right w:val="single" w:sz="4" w:space="0" w:color="auto"/>
            </w:tcBorders>
            <w:shd w:val="clear" w:color="auto" w:fill="auto"/>
            <w:noWrap/>
            <w:vAlign w:val="center"/>
          </w:tcPr>
          <w:p w14:paraId="573726FA"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295</w:t>
            </w:r>
          </w:p>
        </w:tc>
        <w:tc>
          <w:tcPr>
            <w:tcW w:w="1701" w:type="dxa"/>
            <w:tcBorders>
              <w:top w:val="nil"/>
              <w:left w:val="nil"/>
              <w:bottom w:val="single" w:sz="8" w:space="0" w:color="auto"/>
              <w:right w:val="single" w:sz="4" w:space="0" w:color="auto"/>
            </w:tcBorders>
            <w:shd w:val="clear" w:color="auto" w:fill="auto"/>
            <w:noWrap/>
            <w:vAlign w:val="center"/>
          </w:tcPr>
          <w:p w14:paraId="79DF3A88"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285</w:t>
            </w:r>
          </w:p>
        </w:tc>
        <w:tc>
          <w:tcPr>
            <w:tcW w:w="2410" w:type="dxa"/>
            <w:tcBorders>
              <w:top w:val="nil"/>
              <w:left w:val="nil"/>
              <w:bottom w:val="single" w:sz="8" w:space="0" w:color="auto"/>
              <w:right w:val="single" w:sz="4" w:space="0" w:color="auto"/>
            </w:tcBorders>
            <w:shd w:val="clear" w:color="auto" w:fill="auto"/>
            <w:noWrap/>
            <w:vAlign w:val="center"/>
            <w:hideMark/>
          </w:tcPr>
          <w:p w14:paraId="03D55AF6"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96.6% (93.8-98.4%)</w:t>
            </w:r>
          </w:p>
        </w:tc>
        <w:tc>
          <w:tcPr>
            <w:tcW w:w="1559" w:type="dxa"/>
            <w:tcBorders>
              <w:top w:val="nil"/>
              <w:left w:val="nil"/>
              <w:bottom w:val="single" w:sz="8" w:space="0" w:color="auto"/>
              <w:right w:val="single" w:sz="4" w:space="0" w:color="auto"/>
            </w:tcBorders>
            <w:shd w:val="clear" w:color="000000" w:fill="D9D9D9"/>
            <w:noWrap/>
            <w:vAlign w:val="center"/>
          </w:tcPr>
          <w:p w14:paraId="2B0F440B"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1985" w:type="dxa"/>
            <w:tcBorders>
              <w:top w:val="nil"/>
              <w:left w:val="nil"/>
              <w:bottom w:val="single" w:sz="8" w:space="0" w:color="auto"/>
              <w:right w:val="single" w:sz="4" w:space="0" w:color="auto"/>
            </w:tcBorders>
            <w:shd w:val="clear" w:color="000000" w:fill="D9D9D9"/>
            <w:noWrap/>
            <w:vAlign w:val="center"/>
          </w:tcPr>
          <w:p w14:paraId="03B22813"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c>
          <w:tcPr>
            <w:tcW w:w="2126" w:type="dxa"/>
            <w:tcBorders>
              <w:top w:val="nil"/>
              <w:left w:val="nil"/>
              <w:bottom w:val="single" w:sz="8" w:space="0" w:color="auto"/>
              <w:right w:val="single" w:sz="8" w:space="0" w:color="auto"/>
            </w:tcBorders>
            <w:shd w:val="clear" w:color="000000" w:fill="D9D9D9"/>
            <w:noWrap/>
            <w:vAlign w:val="center"/>
            <w:hideMark/>
          </w:tcPr>
          <w:p w14:paraId="64B81EB7" w14:textId="77777777" w:rsidR="00906458" w:rsidRPr="00CF4E49" w:rsidRDefault="00906458" w:rsidP="00FD2CAB">
            <w:pPr>
              <w:jc w:val="center"/>
              <w:rPr>
                <w:rFonts w:ascii="Calibri" w:eastAsia="Times New Roman" w:hAnsi="Calibri" w:cs="Times New Roman"/>
                <w:color w:val="000000"/>
                <w:sz w:val="22"/>
                <w:szCs w:val="22"/>
              </w:rPr>
            </w:pPr>
            <w:r w:rsidRPr="00CF4E49">
              <w:rPr>
                <w:rFonts w:ascii="Calibri" w:eastAsia="Times New Roman" w:hAnsi="Calibri" w:cs="Times New Roman"/>
                <w:color w:val="000000"/>
                <w:sz w:val="22"/>
                <w:szCs w:val="22"/>
              </w:rPr>
              <w:t> </w:t>
            </w:r>
          </w:p>
        </w:tc>
      </w:tr>
    </w:tbl>
    <w:p w14:paraId="5CBC3EF2" w14:textId="77777777" w:rsidR="00CF4E49" w:rsidRDefault="00CF4E49" w:rsidP="00FD2CAB"/>
    <w:p w14:paraId="15683CA3" w14:textId="77777777" w:rsidR="009F5640" w:rsidRDefault="009F5640">
      <w:r>
        <w:br w:type="page"/>
      </w:r>
    </w:p>
    <w:tbl>
      <w:tblPr>
        <w:tblW w:w="12062" w:type="dxa"/>
        <w:tblInd w:w="93" w:type="dxa"/>
        <w:tblLook w:val="04A0" w:firstRow="1" w:lastRow="0" w:firstColumn="1" w:lastColumn="0" w:noHBand="0" w:noVBand="1"/>
      </w:tblPr>
      <w:tblGrid>
        <w:gridCol w:w="2845"/>
        <w:gridCol w:w="2873"/>
        <w:gridCol w:w="3631"/>
        <w:gridCol w:w="2713"/>
      </w:tblGrid>
      <w:tr w:rsidR="007B2568" w:rsidRPr="00BB6B9B" w14:paraId="4AF047C4" w14:textId="77777777" w:rsidTr="007B2568">
        <w:trPr>
          <w:trHeight w:val="325"/>
        </w:trPr>
        <w:tc>
          <w:tcPr>
            <w:tcW w:w="2845" w:type="dxa"/>
            <w:tcBorders>
              <w:top w:val="nil"/>
              <w:left w:val="nil"/>
              <w:bottom w:val="nil"/>
              <w:right w:val="nil"/>
            </w:tcBorders>
            <w:shd w:val="clear" w:color="auto" w:fill="auto"/>
            <w:noWrap/>
            <w:vAlign w:val="bottom"/>
            <w:hideMark/>
          </w:tcPr>
          <w:p w14:paraId="3661E706" w14:textId="0182DF22" w:rsidR="007B2568" w:rsidRPr="00BB6B9B" w:rsidRDefault="007B2568" w:rsidP="00FD2CAB">
            <w:pPr>
              <w:rPr>
                <w:rFonts w:ascii="Calibri" w:eastAsia="Times New Roman" w:hAnsi="Calibri" w:cs="Times New Roman"/>
                <w:b/>
                <w:bCs/>
                <w:color w:val="000000"/>
              </w:rPr>
            </w:pPr>
            <w:r w:rsidRPr="00BB6B9B">
              <w:rPr>
                <w:rFonts w:ascii="Calibri" w:eastAsia="Times New Roman" w:hAnsi="Calibri" w:cs="Times New Roman"/>
                <w:b/>
                <w:bCs/>
                <w:color w:val="000000"/>
              </w:rPr>
              <w:lastRenderedPageBreak/>
              <w:t xml:space="preserve">Table </w:t>
            </w:r>
            <w:r w:rsidR="00F2788B">
              <w:rPr>
                <w:rFonts w:ascii="Calibri" w:eastAsia="Times New Roman" w:hAnsi="Calibri" w:cs="Times New Roman"/>
                <w:b/>
                <w:bCs/>
                <w:color w:val="000000"/>
              </w:rPr>
              <w:t>4</w:t>
            </w:r>
          </w:p>
        </w:tc>
        <w:tc>
          <w:tcPr>
            <w:tcW w:w="9217" w:type="dxa"/>
            <w:gridSpan w:val="3"/>
            <w:tcBorders>
              <w:top w:val="nil"/>
              <w:left w:val="nil"/>
              <w:bottom w:val="nil"/>
              <w:right w:val="nil"/>
            </w:tcBorders>
            <w:shd w:val="clear" w:color="auto" w:fill="auto"/>
            <w:noWrap/>
            <w:vAlign w:val="bottom"/>
            <w:hideMark/>
          </w:tcPr>
          <w:p w14:paraId="64E89D88" w14:textId="096D0E54" w:rsidR="007B2568" w:rsidRPr="00BB6B9B" w:rsidRDefault="00EA76C1" w:rsidP="00FD2CAB">
            <w:pPr>
              <w:rPr>
                <w:rFonts w:ascii="Calibri" w:eastAsia="Times New Roman" w:hAnsi="Calibri" w:cs="Times New Roman"/>
                <w:color w:val="000000"/>
              </w:rPr>
            </w:pPr>
            <w:r>
              <w:rPr>
                <w:rFonts w:ascii="Calibri" w:eastAsia="Times New Roman" w:hAnsi="Calibri" w:cs="Times New Roman"/>
                <w:b/>
                <w:bCs/>
                <w:color w:val="000000"/>
              </w:rPr>
              <w:t xml:space="preserve">Agreement </w:t>
            </w:r>
            <w:r w:rsidR="007B2568" w:rsidRPr="00BB6B9B">
              <w:rPr>
                <w:rFonts w:ascii="Calibri" w:eastAsia="Times New Roman" w:hAnsi="Calibri" w:cs="Times New Roman"/>
                <w:b/>
                <w:bCs/>
                <w:color w:val="000000"/>
              </w:rPr>
              <w:t xml:space="preserve">of the DPP Test Kit </w:t>
            </w:r>
            <w:r w:rsidR="007B2568">
              <w:rPr>
                <w:rFonts w:ascii="Calibri" w:eastAsia="Times New Roman" w:hAnsi="Calibri" w:cs="Times New Roman"/>
                <w:b/>
                <w:bCs/>
                <w:color w:val="000000"/>
              </w:rPr>
              <w:t xml:space="preserve">classification relative to </w:t>
            </w:r>
            <w:r w:rsidR="007B2568" w:rsidRPr="00BB6B9B">
              <w:rPr>
                <w:rFonts w:ascii="Calibri" w:eastAsia="Times New Roman" w:hAnsi="Calibri" w:cs="Times New Roman"/>
                <w:b/>
                <w:bCs/>
                <w:color w:val="000000"/>
              </w:rPr>
              <w:t>Reference Serology</w:t>
            </w:r>
          </w:p>
        </w:tc>
      </w:tr>
      <w:tr w:rsidR="007B2568" w:rsidRPr="00BB6B9B" w14:paraId="5C848FCD" w14:textId="77777777" w:rsidTr="007B2568">
        <w:trPr>
          <w:trHeight w:val="304"/>
        </w:trPr>
        <w:tc>
          <w:tcPr>
            <w:tcW w:w="28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FE107A" w14:textId="77777777" w:rsidR="007B2568" w:rsidRPr="00BB6B9B" w:rsidRDefault="007B2568" w:rsidP="00FD2CAB">
            <w:pPr>
              <w:jc w:val="center"/>
              <w:rPr>
                <w:rFonts w:ascii="Calibri" w:eastAsia="Times New Roman" w:hAnsi="Calibri" w:cs="Times New Roman"/>
                <w:b/>
                <w:bCs/>
                <w:color w:val="000000"/>
              </w:rPr>
            </w:pPr>
            <w:r w:rsidRPr="00BB6B9B">
              <w:rPr>
                <w:rFonts w:ascii="Calibri" w:eastAsia="Times New Roman" w:hAnsi="Calibri" w:cs="Times New Roman"/>
                <w:b/>
                <w:bCs/>
                <w:color w:val="000000"/>
              </w:rPr>
              <w:t>Serological Classification</w:t>
            </w:r>
          </w:p>
        </w:tc>
        <w:tc>
          <w:tcPr>
            <w:tcW w:w="2873" w:type="dxa"/>
            <w:tcBorders>
              <w:top w:val="single" w:sz="8" w:space="0" w:color="auto"/>
              <w:left w:val="nil"/>
              <w:bottom w:val="single" w:sz="4" w:space="0" w:color="auto"/>
              <w:right w:val="single" w:sz="4" w:space="0" w:color="auto"/>
            </w:tcBorders>
            <w:shd w:val="clear" w:color="auto" w:fill="auto"/>
            <w:noWrap/>
            <w:vAlign w:val="center"/>
          </w:tcPr>
          <w:p w14:paraId="73CB1632" w14:textId="77777777" w:rsidR="007B2568" w:rsidRPr="00BB6B9B" w:rsidRDefault="007B2568" w:rsidP="00FD2CAB">
            <w:pPr>
              <w:jc w:val="center"/>
              <w:rPr>
                <w:rFonts w:ascii="Calibri" w:eastAsia="Times New Roman" w:hAnsi="Calibri" w:cs="Times New Roman"/>
                <w:b/>
                <w:bCs/>
                <w:color w:val="000000"/>
              </w:rPr>
            </w:pPr>
            <w:r w:rsidRPr="00BB6B9B">
              <w:rPr>
                <w:rFonts w:ascii="Calibri" w:eastAsia="Times New Roman" w:hAnsi="Calibri" w:cs="Times New Roman"/>
                <w:b/>
                <w:bCs/>
                <w:color w:val="000000"/>
              </w:rPr>
              <w:t>Reference Test Classification</w:t>
            </w:r>
          </w:p>
        </w:tc>
        <w:tc>
          <w:tcPr>
            <w:tcW w:w="3631" w:type="dxa"/>
            <w:tcBorders>
              <w:top w:val="single" w:sz="8" w:space="0" w:color="auto"/>
              <w:left w:val="nil"/>
              <w:bottom w:val="single" w:sz="4" w:space="0" w:color="auto"/>
              <w:right w:val="single" w:sz="4" w:space="0" w:color="auto"/>
            </w:tcBorders>
            <w:shd w:val="clear" w:color="auto" w:fill="auto"/>
            <w:noWrap/>
            <w:vAlign w:val="center"/>
          </w:tcPr>
          <w:p w14:paraId="511F825C" w14:textId="77777777" w:rsidR="007B2568" w:rsidRPr="00BB6B9B" w:rsidRDefault="007B2568" w:rsidP="00FD2CAB">
            <w:pPr>
              <w:jc w:val="center"/>
              <w:rPr>
                <w:rFonts w:ascii="Calibri" w:eastAsia="Times New Roman" w:hAnsi="Calibri" w:cs="Times New Roman"/>
                <w:b/>
                <w:bCs/>
                <w:color w:val="000000"/>
              </w:rPr>
            </w:pPr>
            <w:r w:rsidRPr="00BB6B9B">
              <w:rPr>
                <w:rFonts w:ascii="Calibri" w:eastAsia="Times New Roman" w:hAnsi="Calibri" w:cs="Times New Roman"/>
                <w:b/>
                <w:bCs/>
                <w:color w:val="000000"/>
              </w:rPr>
              <w:t>DPP Test Classification</w:t>
            </w:r>
          </w:p>
        </w:tc>
        <w:tc>
          <w:tcPr>
            <w:tcW w:w="2713" w:type="dxa"/>
            <w:tcBorders>
              <w:top w:val="single" w:sz="8" w:space="0" w:color="auto"/>
              <w:left w:val="nil"/>
              <w:bottom w:val="single" w:sz="4" w:space="0" w:color="auto"/>
              <w:right w:val="single" w:sz="8" w:space="0" w:color="auto"/>
            </w:tcBorders>
            <w:shd w:val="clear" w:color="auto" w:fill="auto"/>
            <w:noWrap/>
            <w:vAlign w:val="center"/>
            <w:hideMark/>
          </w:tcPr>
          <w:p w14:paraId="40D8E98D" w14:textId="37CB5BF2" w:rsidR="007B2568" w:rsidRPr="00BB6B9B" w:rsidRDefault="00EA76C1" w:rsidP="00FD2CAB">
            <w:pPr>
              <w:jc w:val="center"/>
              <w:rPr>
                <w:rFonts w:ascii="Calibri" w:eastAsia="Times New Roman" w:hAnsi="Calibri" w:cs="Times New Roman"/>
                <w:b/>
                <w:bCs/>
                <w:color w:val="000000"/>
              </w:rPr>
            </w:pPr>
            <w:r>
              <w:rPr>
                <w:rFonts w:ascii="Calibri" w:eastAsia="Times New Roman" w:hAnsi="Calibri" w:cs="Times New Roman"/>
                <w:b/>
                <w:bCs/>
                <w:color w:val="000000"/>
              </w:rPr>
              <w:t xml:space="preserve">Agreement </w:t>
            </w:r>
            <w:r w:rsidR="007B2568" w:rsidRPr="00BB6B9B">
              <w:rPr>
                <w:rFonts w:ascii="Calibri" w:eastAsia="Times New Roman" w:hAnsi="Calibri" w:cs="Times New Roman"/>
                <w:b/>
                <w:bCs/>
                <w:color w:val="000000"/>
              </w:rPr>
              <w:t>(95% CI)</w:t>
            </w:r>
          </w:p>
        </w:tc>
      </w:tr>
      <w:tr w:rsidR="007B2568" w:rsidRPr="00BB6B9B" w14:paraId="65E12D1E" w14:textId="77777777" w:rsidTr="007B2568">
        <w:trPr>
          <w:trHeight w:val="304"/>
        </w:trPr>
        <w:tc>
          <w:tcPr>
            <w:tcW w:w="2845" w:type="dxa"/>
            <w:tcBorders>
              <w:top w:val="nil"/>
              <w:left w:val="single" w:sz="8" w:space="0" w:color="auto"/>
              <w:bottom w:val="single" w:sz="4" w:space="0" w:color="auto"/>
              <w:right w:val="single" w:sz="4" w:space="0" w:color="auto"/>
            </w:tcBorders>
            <w:shd w:val="clear" w:color="auto" w:fill="auto"/>
            <w:noWrap/>
            <w:vAlign w:val="center"/>
            <w:hideMark/>
          </w:tcPr>
          <w:p w14:paraId="648D938C"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Active</w:t>
            </w:r>
          </w:p>
        </w:tc>
        <w:tc>
          <w:tcPr>
            <w:tcW w:w="2873" w:type="dxa"/>
            <w:tcBorders>
              <w:top w:val="nil"/>
              <w:left w:val="nil"/>
              <w:bottom w:val="single" w:sz="4" w:space="0" w:color="auto"/>
              <w:right w:val="single" w:sz="4" w:space="0" w:color="auto"/>
            </w:tcBorders>
            <w:shd w:val="clear" w:color="auto" w:fill="auto"/>
            <w:noWrap/>
            <w:vAlign w:val="center"/>
          </w:tcPr>
          <w:p w14:paraId="2662472A"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3021</w:t>
            </w:r>
          </w:p>
        </w:tc>
        <w:tc>
          <w:tcPr>
            <w:tcW w:w="3631" w:type="dxa"/>
            <w:tcBorders>
              <w:top w:val="nil"/>
              <w:left w:val="nil"/>
              <w:bottom w:val="single" w:sz="4" w:space="0" w:color="auto"/>
              <w:right w:val="single" w:sz="4" w:space="0" w:color="auto"/>
            </w:tcBorders>
            <w:shd w:val="clear" w:color="auto" w:fill="auto"/>
            <w:noWrap/>
            <w:vAlign w:val="center"/>
          </w:tcPr>
          <w:p w14:paraId="2350DFEA"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2668</w:t>
            </w:r>
          </w:p>
        </w:tc>
        <w:tc>
          <w:tcPr>
            <w:tcW w:w="2713" w:type="dxa"/>
            <w:tcBorders>
              <w:top w:val="nil"/>
              <w:left w:val="nil"/>
              <w:bottom w:val="single" w:sz="4" w:space="0" w:color="auto"/>
              <w:right w:val="single" w:sz="8" w:space="0" w:color="auto"/>
            </w:tcBorders>
            <w:shd w:val="clear" w:color="auto" w:fill="auto"/>
            <w:noWrap/>
            <w:vAlign w:val="center"/>
            <w:hideMark/>
          </w:tcPr>
          <w:p w14:paraId="70AADCB0"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88.3% (87.1-89.4%)</w:t>
            </w:r>
          </w:p>
        </w:tc>
      </w:tr>
      <w:tr w:rsidR="007B2568" w:rsidRPr="00BB6B9B" w14:paraId="7892866F" w14:textId="77777777" w:rsidTr="007B2568">
        <w:trPr>
          <w:trHeight w:val="304"/>
        </w:trPr>
        <w:tc>
          <w:tcPr>
            <w:tcW w:w="2845" w:type="dxa"/>
            <w:tcBorders>
              <w:top w:val="nil"/>
              <w:left w:val="single" w:sz="8" w:space="0" w:color="auto"/>
              <w:bottom w:val="single" w:sz="4" w:space="0" w:color="auto"/>
              <w:right w:val="single" w:sz="4" w:space="0" w:color="auto"/>
            </w:tcBorders>
            <w:shd w:val="clear" w:color="auto" w:fill="auto"/>
            <w:noWrap/>
            <w:vAlign w:val="center"/>
            <w:hideMark/>
          </w:tcPr>
          <w:p w14:paraId="0A8CC85F"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Active (high titre</w:t>
            </w:r>
            <w:r>
              <w:rPr>
                <w:rFonts w:ascii="Calibri" w:eastAsia="Times New Roman" w:hAnsi="Calibri" w:cs="Times New Roman"/>
                <w:color w:val="000000"/>
              </w:rPr>
              <w:t xml:space="preserve"> - </w:t>
            </w:r>
            <w:r w:rsidRPr="00CA31BC">
              <w:rPr>
                <w:rFonts w:ascii="Calibri" w:eastAsia="MS Gothic" w:hAnsi="Calibri"/>
                <w:color w:val="000000"/>
              </w:rPr>
              <w:t>≥</w:t>
            </w:r>
            <w:r w:rsidRPr="00CA31BC">
              <w:rPr>
                <w:rFonts w:ascii="Calibri" w:hAnsi="Calibri" w:cs="Arial"/>
              </w:rPr>
              <w:t xml:space="preserve"> 1:16</w:t>
            </w:r>
            <w:r w:rsidRPr="00BB6B9B">
              <w:rPr>
                <w:rFonts w:ascii="Calibri" w:eastAsia="Times New Roman" w:hAnsi="Calibri" w:cs="Times New Roman"/>
                <w:color w:val="000000"/>
              </w:rPr>
              <w:t>)</w:t>
            </w:r>
          </w:p>
        </w:tc>
        <w:tc>
          <w:tcPr>
            <w:tcW w:w="2873" w:type="dxa"/>
            <w:tcBorders>
              <w:top w:val="nil"/>
              <w:left w:val="nil"/>
              <w:bottom w:val="single" w:sz="4" w:space="0" w:color="auto"/>
              <w:right w:val="single" w:sz="4" w:space="0" w:color="auto"/>
            </w:tcBorders>
            <w:shd w:val="clear" w:color="auto" w:fill="auto"/>
            <w:noWrap/>
            <w:vAlign w:val="center"/>
          </w:tcPr>
          <w:p w14:paraId="55EF8A46"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1339</w:t>
            </w:r>
          </w:p>
        </w:tc>
        <w:tc>
          <w:tcPr>
            <w:tcW w:w="3631" w:type="dxa"/>
            <w:tcBorders>
              <w:top w:val="nil"/>
              <w:left w:val="nil"/>
              <w:bottom w:val="single" w:sz="4" w:space="0" w:color="auto"/>
              <w:right w:val="single" w:sz="4" w:space="0" w:color="auto"/>
            </w:tcBorders>
            <w:shd w:val="clear" w:color="auto" w:fill="auto"/>
            <w:noWrap/>
            <w:vAlign w:val="center"/>
          </w:tcPr>
          <w:p w14:paraId="61988E3F"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1306</w:t>
            </w:r>
          </w:p>
        </w:tc>
        <w:tc>
          <w:tcPr>
            <w:tcW w:w="2713" w:type="dxa"/>
            <w:tcBorders>
              <w:top w:val="nil"/>
              <w:left w:val="nil"/>
              <w:bottom w:val="single" w:sz="4" w:space="0" w:color="auto"/>
              <w:right w:val="single" w:sz="8" w:space="0" w:color="auto"/>
            </w:tcBorders>
            <w:shd w:val="clear" w:color="auto" w:fill="auto"/>
            <w:noWrap/>
            <w:vAlign w:val="center"/>
            <w:hideMark/>
          </w:tcPr>
          <w:p w14:paraId="3495F987"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97.5% (96.6-98.3%)</w:t>
            </w:r>
          </w:p>
        </w:tc>
      </w:tr>
      <w:tr w:rsidR="007B2568" w:rsidRPr="00BB6B9B" w14:paraId="31838D89" w14:textId="77777777" w:rsidTr="007B2568">
        <w:trPr>
          <w:trHeight w:val="304"/>
        </w:trPr>
        <w:tc>
          <w:tcPr>
            <w:tcW w:w="2845" w:type="dxa"/>
            <w:tcBorders>
              <w:top w:val="nil"/>
              <w:left w:val="single" w:sz="8" w:space="0" w:color="auto"/>
              <w:bottom w:val="single" w:sz="4" w:space="0" w:color="auto"/>
              <w:right w:val="single" w:sz="4" w:space="0" w:color="auto"/>
            </w:tcBorders>
            <w:shd w:val="clear" w:color="auto" w:fill="auto"/>
            <w:noWrap/>
            <w:vAlign w:val="center"/>
            <w:hideMark/>
          </w:tcPr>
          <w:p w14:paraId="283C3AB9"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Active (low titre</w:t>
            </w:r>
            <w:r>
              <w:rPr>
                <w:rFonts w:ascii="Calibri" w:eastAsia="Times New Roman" w:hAnsi="Calibri" w:cs="Times New Roman"/>
                <w:color w:val="000000"/>
              </w:rPr>
              <w:t xml:space="preserve"> &lt;1:16</w:t>
            </w:r>
            <w:r w:rsidRPr="00BB6B9B">
              <w:rPr>
                <w:rFonts w:ascii="Calibri" w:eastAsia="Times New Roman" w:hAnsi="Calibri" w:cs="Times New Roman"/>
                <w:color w:val="000000"/>
              </w:rPr>
              <w:t>)</w:t>
            </w:r>
          </w:p>
        </w:tc>
        <w:tc>
          <w:tcPr>
            <w:tcW w:w="2873" w:type="dxa"/>
            <w:tcBorders>
              <w:top w:val="nil"/>
              <w:left w:val="nil"/>
              <w:bottom w:val="single" w:sz="4" w:space="0" w:color="auto"/>
              <w:right w:val="single" w:sz="4" w:space="0" w:color="auto"/>
            </w:tcBorders>
            <w:shd w:val="clear" w:color="auto" w:fill="auto"/>
            <w:noWrap/>
            <w:vAlign w:val="center"/>
          </w:tcPr>
          <w:p w14:paraId="29A5A25A"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1682</w:t>
            </w:r>
          </w:p>
        </w:tc>
        <w:tc>
          <w:tcPr>
            <w:tcW w:w="3631" w:type="dxa"/>
            <w:tcBorders>
              <w:top w:val="nil"/>
              <w:left w:val="nil"/>
              <w:bottom w:val="single" w:sz="4" w:space="0" w:color="auto"/>
              <w:right w:val="single" w:sz="4" w:space="0" w:color="auto"/>
            </w:tcBorders>
            <w:shd w:val="clear" w:color="auto" w:fill="auto"/>
            <w:noWrap/>
            <w:vAlign w:val="center"/>
          </w:tcPr>
          <w:p w14:paraId="525213B0"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1362</w:t>
            </w:r>
          </w:p>
        </w:tc>
        <w:tc>
          <w:tcPr>
            <w:tcW w:w="2713" w:type="dxa"/>
            <w:tcBorders>
              <w:top w:val="nil"/>
              <w:left w:val="nil"/>
              <w:bottom w:val="single" w:sz="4" w:space="0" w:color="auto"/>
              <w:right w:val="single" w:sz="8" w:space="0" w:color="auto"/>
            </w:tcBorders>
            <w:shd w:val="clear" w:color="auto" w:fill="auto"/>
            <w:noWrap/>
            <w:vAlign w:val="center"/>
            <w:hideMark/>
          </w:tcPr>
          <w:p w14:paraId="31CA1B3C"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81</w:t>
            </w:r>
            <w:r>
              <w:rPr>
                <w:rFonts w:ascii="Calibri" w:eastAsia="Times New Roman" w:hAnsi="Calibri" w:cs="Times New Roman"/>
                <w:color w:val="000000"/>
              </w:rPr>
              <w:t>.0</w:t>
            </w:r>
            <w:r w:rsidRPr="00BB6B9B">
              <w:rPr>
                <w:rFonts w:ascii="Calibri" w:eastAsia="Times New Roman" w:hAnsi="Calibri" w:cs="Times New Roman"/>
                <w:color w:val="000000"/>
              </w:rPr>
              <w:t>% (79.1-82.8%)</w:t>
            </w:r>
          </w:p>
        </w:tc>
      </w:tr>
      <w:tr w:rsidR="007B2568" w:rsidRPr="00BB6B9B" w14:paraId="4A956040" w14:textId="77777777" w:rsidTr="007B2568">
        <w:trPr>
          <w:trHeight w:val="304"/>
        </w:trPr>
        <w:tc>
          <w:tcPr>
            <w:tcW w:w="2845" w:type="dxa"/>
            <w:tcBorders>
              <w:top w:val="nil"/>
              <w:left w:val="single" w:sz="8" w:space="0" w:color="auto"/>
              <w:bottom w:val="single" w:sz="4" w:space="0" w:color="auto"/>
              <w:right w:val="single" w:sz="4" w:space="0" w:color="auto"/>
            </w:tcBorders>
            <w:shd w:val="clear" w:color="auto" w:fill="auto"/>
            <w:noWrap/>
            <w:vAlign w:val="center"/>
            <w:hideMark/>
          </w:tcPr>
          <w:p w14:paraId="1ED99837"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Past Infection</w:t>
            </w:r>
          </w:p>
        </w:tc>
        <w:tc>
          <w:tcPr>
            <w:tcW w:w="2873" w:type="dxa"/>
            <w:tcBorders>
              <w:top w:val="nil"/>
              <w:left w:val="nil"/>
              <w:bottom w:val="single" w:sz="4" w:space="0" w:color="auto"/>
              <w:right w:val="single" w:sz="4" w:space="0" w:color="auto"/>
            </w:tcBorders>
            <w:shd w:val="clear" w:color="auto" w:fill="auto"/>
            <w:noWrap/>
            <w:vAlign w:val="center"/>
          </w:tcPr>
          <w:p w14:paraId="1CB1287C"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1054</w:t>
            </w:r>
          </w:p>
        </w:tc>
        <w:tc>
          <w:tcPr>
            <w:tcW w:w="3631" w:type="dxa"/>
            <w:tcBorders>
              <w:top w:val="nil"/>
              <w:left w:val="nil"/>
              <w:bottom w:val="single" w:sz="4" w:space="0" w:color="auto"/>
              <w:right w:val="single" w:sz="4" w:space="0" w:color="auto"/>
            </w:tcBorders>
            <w:shd w:val="clear" w:color="auto" w:fill="auto"/>
            <w:noWrap/>
            <w:vAlign w:val="center"/>
          </w:tcPr>
          <w:p w14:paraId="536AE0DB"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570</w:t>
            </w:r>
          </w:p>
        </w:tc>
        <w:tc>
          <w:tcPr>
            <w:tcW w:w="2713" w:type="dxa"/>
            <w:tcBorders>
              <w:top w:val="nil"/>
              <w:left w:val="nil"/>
              <w:bottom w:val="single" w:sz="4" w:space="0" w:color="auto"/>
              <w:right w:val="single" w:sz="8" w:space="0" w:color="auto"/>
            </w:tcBorders>
            <w:shd w:val="clear" w:color="auto" w:fill="auto"/>
            <w:noWrap/>
            <w:vAlign w:val="center"/>
            <w:hideMark/>
          </w:tcPr>
          <w:p w14:paraId="46411A29"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54.1% (51.1-57.1%)</w:t>
            </w:r>
          </w:p>
        </w:tc>
      </w:tr>
      <w:tr w:rsidR="007B2568" w:rsidRPr="00BB6B9B" w14:paraId="4C65E3B6" w14:textId="77777777" w:rsidTr="007B2568">
        <w:trPr>
          <w:trHeight w:val="304"/>
        </w:trPr>
        <w:tc>
          <w:tcPr>
            <w:tcW w:w="2845" w:type="dxa"/>
            <w:tcBorders>
              <w:top w:val="nil"/>
              <w:left w:val="single" w:sz="8" w:space="0" w:color="auto"/>
              <w:bottom w:val="single" w:sz="4" w:space="0" w:color="auto"/>
              <w:right w:val="single" w:sz="4" w:space="0" w:color="auto"/>
            </w:tcBorders>
            <w:shd w:val="clear" w:color="auto" w:fill="auto"/>
            <w:noWrap/>
            <w:vAlign w:val="center"/>
            <w:hideMark/>
          </w:tcPr>
          <w:p w14:paraId="5F9A4A6B"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No Infection</w:t>
            </w:r>
          </w:p>
        </w:tc>
        <w:tc>
          <w:tcPr>
            <w:tcW w:w="2873" w:type="dxa"/>
            <w:tcBorders>
              <w:top w:val="nil"/>
              <w:left w:val="nil"/>
              <w:bottom w:val="single" w:sz="4" w:space="0" w:color="auto"/>
              <w:right w:val="single" w:sz="4" w:space="0" w:color="auto"/>
            </w:tcBorders>
            <w:shd w:val="clear" w:color="auto" w:fill="auto"/>
            <w:noWrap/>
            <w:vAlign w:val="center"/>
          </w:tcPr>
          <w:p w14:paraId="3D25DC8A"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3101</w:t>
            </w:r>
          </w:p>
        </w:tc>
        <w:tc>
          <w:tcPr>
            <w:tcW w:w="3631" w:type="dxa"/>
            <w:tcBorders>
              <w:top w:val="nil"/>
              <w:left w:val="nil"/>
              <w:bottom w:val="single" w:sz="4" w:space="0" w:color="auto"/>
              <w:right w:val="single" w:sz="4" w:space="0" w:color="auto"/>
            </w:tcBorders>
            <w:shd w:val="clear" w:color="auto" w:fill="auto"/>
            <w:noWrap/>
            <w:vAlign w:val="center"/>
          </w:tcPr>
          <w:p w14:paraId="708A62A9"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2938</w:t>
            </w:r>
          </w:p>
        </w:tc>
        <w:tc>
          <w:tcPr>
            <w:tcW w:w="2713" w:type="dxa"/>
            <w:tcBorders>
              <w:top w:val="nil"/>
              <w:left w:val="nil"/>
              <w:bottom w:val="single" w:sz="4" w:space="0" w:color="auto"/>
              <w:right w:val="single" w:sz="8" w:space="0" w:color="auto"/>
            </w:tcBorders>
            <w:shd w:val="clear" w:color="auto" w:fill="auto"/>
            <w:noWrap/>
            <w:vAlign w:val="center"/>
            <w:hideMark/>
          </w:tcPr>
          <w:p w14:paraId="07F7E702"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94.7% (93.9-95.6%)</w:t>
            </w:r>
          </w:p>
        </w:tc>
      </w:tr>
      <w:tr w:rsidR="007B2568" w:rsidRPr="00BB6B9B" w14:paraId="28200B57" w14:textId="77777777" w:rsidTr="007B2568">
        <w:trPr>
          <w:trHeight w:val="325"/>
        </w:trPr>
        <w:tc>
          <w:tcPr>
            <w:tcW w:w="2845" w:type="dxa"/>
            <w:tcBorders>
              <w:top w:val="nil"/>
              <w:left w:val="single" w:sz="8" w:space="0" w:color="auto"/>
              <w:bottom w:val="single" w:sz="8" w:space="0" w:color="auto"/>
              <w:right w:val="single" w:sz="4" w:space="0" w:color="auto"/>
            </w:tcBorders>
            <w:shd w:val="clear" w:color="auto" w:fill="auto"/>
            <w:noWrap/>
            <w:vAlign w:val="center"/>
            <w:hideMark/>
          </w:tcPr>
          <w:p w14:paraId="7BDD887E" w14:textId="4034D0CF"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False Positive RPR</w:t>
            </w:r>
            <w:r w:rsidR="00517CDF">
              <w:rPr>
                <w:rFonts w:ascii="Calibri" w:eastAsia="Times New Roman" w:hAnsi="Calibri" w:cs="Times New Roman"/>
                <w:color w:val="000000"/>
              </w:rPr>
              <w:t>*</w:t>
            </w:r>
          </w:p>
        </w:tc>
        <w:tc>
          <w:tcPr>
            <w:tcW w:w="2873" w:type="dxa"/>
            <w:tcBorders>
              <w:top w:val="nil"/>
              <w:left w:val="nil"/>
              <w:bottom w:val="single" w:sz="8" w:space="0" w:color="auto"/>
              <w:right w:val="single" w:sz="4" w:space="0" w:color="auto"/>
            </w:tcBorders>
            <w:shd w:val="clear" w:color="auto" w:fill="auto"/>
            <w:noWrap/>
            <w:vAlign w:val="center"/>
          </w:tcPr>
          <w:p w14:paraId="7CCA3FA2"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91</w:t>
            </w:r>
          </w:p>
        </w:tc>
        <w:tc>
          <w:tcPr>
            <w:tcW w:w="3631" w:type="dxa"/>
            <w:tcBorders>
              <w:top w:val="nil"/>
              <w:left w:val="nil"/>
              <w:bottom w:val="single" w:sz="8" w:space="0" w:color="auto"/>
              <w:right w:val="single" w:sz="4" w:space="0" w:color="auto"/>
            </w:tcBorders>
            <w:shd w:val="clear" w:color="auto" w:fill="auto"/>
            <w:noWrap/>
            <w:vAlign w:val="center"/>
          </w:tcPr>
          <w:p w14:paraId="75F81F69"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19</w:t>
            </w:r>
          </w:p>
        </w:tc>
        <w:tc>
          <w:tcPr>
            <w:tcW w:w="2713" w:type="dxa"/>
            <w:tcBorders>
              <w:top w:val="nil"/>
              <w:left w:val="nil"/>
              <w:bottom w:val="single" w:sz="8" w:space="0" w:color="auto"/>
              <w:right w:val="single" w:sz="8" w:space="0" w:color="auto"/>
            </w:tcBorders>
            <w:shd w:val="clear" w:color="auto" w:fill="auto"/>
            <w:noWrap/>
            <w:vAlign w:val="center"/>
            <w:hideMark/>
          </w:tcPr>
          <w:p w14:paraId="4AD9FF32" w14:textId="77777777" w:rsidR="007B2568" w:rsidRPr="00BB6B9B" w:rsidRDefault="007B2568" w:rsidP="00FD2CAB">
            <w:pPr>
              <w:jc w:val="center"/>
              <w:rPr>
                <w:rFonts w:ascii="Calibri" w:eastAsia="Times New Roman" w:hAnsi="Calibri" w:cs="Times New Roman"/>
                <w:color w:val="000000"/>
              </w:rPr>
            </w:pPr>
            <w:r w:rsidRPr="00BB6B9B">
              <w:rPr>
                <w:rFonts w:ascii="Calibri" w:eastAsia="Times New Roman" w:hAnsi="Calibri" w:cs="Times New Roman"/>
                <w:color w:val="000000"/>
              </w:rPr>
              <w:t>20.9% (13.1-30.7%)</w:t>
            </w:r>
          </w:p>
        </w:tc>
      </w:tr>
    </w:tbl>
    <w:p w14:paraId="705FCAD7" w14:textId="77777777" w:rsidR="00BB6B9B" w:rsidRDefault="00BB6B9B" w:rsidP="00FD2CAB"/>
    <w:p w14:paraId="25F589D3" w14:textId="5008CE95" w:rsidR="008319E2" w:rsidRDefault="00517CDF" w:rsidP="00FD2CAB">
      <w:r>
        <w:t xml:space="preserve">* An RPR was considered a false positive if the </w:t>
      </w:r>
      <w:proofErr w:type="spellStart"/>
      <w:r>
        <w:t>treponemal</w:t>
      </w:r>
      <w:proofErr w:type="spellEnd"/>
      <w:r>
        <w:t xml:space="preserve"> test was negative. This may be overly conservative as the RPR may become positive before the </w:t>
      </w:r>
      <w:proofErr w:type="spellStart"/>
      <w:r>
        <w:t>treponemal</w:t>
      </w:r>
      <w:proofErr w:type="spellEnd"/>
      <w:r>
        <w:t xml:space="preserve"> test. This definition would not </w:t>
      </w:r>
      <w:proofErr w:type="gramStart"/>
      <w:r>
        <w:t>effect</w:t>
      </w:r>
      <w:proofErr w:type="gramEnd"/>
      <w:r>
        <w:t xml:space="preserve"> our estimate of the agreement between the DPP test and the reference te</w:t>
      </w:r>
      <w:r w:rsidR="002D647D">
        <w:t>st in this scenario.</w:t>
      </w:r>
      <w:r>
        <w:t xml:space="preserve"> </w:t>
      </w:r>
    </w:p>
    <w:p w14:paraId="57B536E6" w14:textId="77777777" w:rsidR="008319E2" w:rsidRDefault="008319E2" w:rsidP="00FD2CAB"/>
    <w:p w14:paraId="5E07E7D3" w14:textId="77777777" w:rsidR="008319E2" w:rsidRDefault="008319E2" w:rsidP="00FD2CAB"/>
    <w:p w14:paraId="7055746C" w14:textId="77777777" w:rsidR="008319E2" w:rsidRDefault="008319E2" w:rsidP="00FD2CAB"/>
    <w:p w14:paraId="19604D38" w14:textId="77777777" w:rsidR="008319E2" w:rsidRDefault="008319E2" w:rsidP="00FD2CAB"/>
    <w:p w14:paraId="1E7F2C19" w14:textId="77777777" w:rsidR="008319E2" w:rsidRDefault="008319E2" w:rsidP="00FD2CAB"/>
    <w:p w14:paraId="0FCB6AE4" w14:textId="77777777" w:rsidR="008319E2" w:rsidRDefault="008319E2" w:rsidP="00FD2CAB"/>
    <w:p w14:paraId="09D05BF6" w14:textId="77777777" w:rsidR="008319E2" w:rsidRDefault="008319E2" w:rsidP="00FD2CAB"/>
    <w:p w14:paraId="1964A983" w14:textId="77777777" w:rsidR="008319E2" w:rsidRDefault="008319E2" w:rsidP="00FD2CAB"/>
    <w:p w14:paraId="45C7C275" w14:textId="77777777" w:rsidR="008319E2" w:rsidRDefault="008319E2" w:rsidP="00FD2CAB"/>
    <w:p w14:paraId="1B7BE15E" w14:textId="77777777" w:rsidR="008319E2" w:rsidRDefault="008319E2" w:rsidP="00FD2CAB"/>
    <w:p w14:paraId="7A8184F9" w14:textId="77777777" w:rsidR="008319E2" w:rsidRDefault="008319E2" w:rsidP="00FD2CAB"/>
    <w:p w14:paraId="55D73CA4" w14:textId="77777777" w:rsidR="008319E2" w:rsidRDefault="008319E2" w:rsidP="00FD2CAB"/>
    <w:p w14:paraId="3D3E46E8" w14:textId="77777777" w:rsidR="008319E2" w:rsidRDefault="008319E2" w:rsidP="00FD2CAB"/>
    <w:p w14:paraId="1932F844" w14:textId="77777777" w:rsidR="008319E2" w:rsidRDefault="008319E2" w:rsidP="00FD2CAB"/>
    <w:p w14:paraId="536B1534" w14:textId="77777777" w:rsidR="008319E2" w:rsidRDefault="008319E2" w:rsidP="00FD2CAB"/>
    <w:p w14:paraId="3D32AA79" w14:textId="77777777" w:rsidR="008319E2" w:rsidRDefault="008319E2" w:rsidP="00FD2CAB">
      <w:pPr>
        <w:sectPr w:rsidR="008319E2" w:rsidSect="00CF4E49">
          <w:pgSz w:w="16840" w:h="11901" w:orient="landscape"/>
          <w:pgMar w:top="1797" w:right="1440" w:bottom="1797" w:left="1440" w:header="709" w:footer="709" w:gutter="0"/>
          <w:cols w:space="708"/>
          <w:docGrid w:linePitch="360"/>
        </w:sectPr>
      </w:pPr>
    </w:p>
    <w:p w14:paraId="5BC2BC39" w14:textId="77777777" w:rsidR="008319E2" w:rsidRDefault="008319E2" w:rsidP="00FD2CAB">
      <w:pPr>
        <w:rPr>
          <w:u w:val="single"/>
        </w:rPr>
      </w:pPr>
      <w:r w:rsidRPr="008319E2">
        <w:rPr>
          <w:u w:val="single"/>
        </w:rPr>
        <w:lastRenderedPageBreak/>
        <w:t>Figure Legends</w:t>
      </w:r>
    </w:p>
    <w:p w14:paraId="58BBAF7F" w14:textId="77777777" w:rsidR="008319E2" w:rsidRDefault="008319E2" w:rsidP="00FD2CAB">
      <w:pPr>
        <w:rPr>
          <w:u w:val="single"/>
        </w:rPr>
      </w:pPr>
    </w:p>
    <w:p w14:paraId="33487E58" w14:textId="77777777" w:rsidR="008319E2" w:rsidRDefault="008319E2" w:rsidP="00FD2CAB">
      <w:r w:rsidRPr="008319E2">
        <w:t xml:space="preserve">Figure 1: Search Results </w:t>
      </w:r>
    </w:p>
    <w:p w14:paraId="7F23BC53" w14:textId="77777777" w:rsidR="008319E2" w:rsidRDefault="008319E2" w:rsidP="00FD2CAB"/>
    <w:p w14:paraId="18FCAB80" w14:textId="77777777" w:rsidR="008C5BB2" w:rsidRDefault="008C5BB2" w:rsidP="00FD2CAB">
      <w:r>
        <w:t xml:space="preserve">Figure 2: Forest Plot of Sensitivity of the T1 and T2 components </w:t>
      </w:r>
      <w:r w:rsidR="00BD1A73">
        <w:t xml:space="preserve">in comparison to reference </w:t>
      </w:r>
      <w:proofErr w:type="spellStart"/>
      <w:r w:rsidR="00BD1A73">
        <w:t>treponemal</w:t>
      </w:r>
      <w:proofErr w:type="spellEnd"/>
      <w:r w:rsidR="00BD1A73">
        <w:t xml:space="preserve"> and non-</w:t>
      </w:r>
      <w:proofErr w:type="spellStart"/>
      <w:r w:rsidR="00BD1A73">
        <w:t>treponemal</w:t>
      </w:r>
      <w:proofErr w:type="spellEnd"/>
      <w:r w:rsidR="00BD1A73">
        <w:t xml:space="preserve"> assays.  </w:t>
      </w:r>
    </w:p>
    <w:p w14:paraId="3FBF5789" w14:textId="77777777" w:rsidR="00BD1A73" w:rsidRDefault="00BD1A73" w:rsidP="00FD2CAB"/>
    <w:p w14:paraId="2A8E0873" w14:textId="1DCBB3DA" w:rsidR="00BD1A73" w:rsidRDefault="009B677D" w:rsidP="00FD2CAB">
      <w:r>
        <w:t>Figure 3</w:t>
      </w:r>
      <w:r w:rsidR="00BD1A73">
        <w:t xml:space="preserve">: Forest Plot of Specificity of the T1 and T2 components in comparison to reference </w:t>
      </w:r>
      <w:proofErr w:type="spellStart"/>
      <w:r w:rsidR="00BD1A73">
        <w:t>treponemal</w:t>
      </w:r>
      <w:proofErr w:type="spellEnd"/>
      <w:r w:rsidR="00BD1A73">
        <w:t xml:space="preserve"> and non-</w:t>
      </w:r>
      <w:proofErr w:type="spellStart"/>
      <w:r w:rsidR="00BD1A73">
        <w:t>treponemal</w:t>
      </w:r>
      <w:proofErr w:type="spellEnd"/>
      <w:r w:rsidR="00BD1A73">
        <w:t xml:space="preserve"> assays</w:t>
      </w:r>
    </w:p>
    <w:p w14:paraId="25E6E9EA" w14:textId="77777777" w:rsidR="008C5BB2" w:rsidRPr="008319E2" w:rsidRDefault="008C5BB2" w:rsidP="00FD2CAB"/>
    <w:sectPr w:rsidR="008C5BB2" w:rsidRPr="008319E2" w:rsidSect="008319E2">
      <w:pgSz w:w="11901" w:h="16840"/>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8B4D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24F8D" w14:textId="77777777" w:rsidR="00911A9D" w:rsidRDefault="00911A9D" w:rsidP="00190D6C">
      <w:r>
        <w:separator/>
      </w:r>
    </w:p>
  </w:endnote>
  <w:endnote w:type="continuationSeparator" w:id="0">
    <w:p w14:paraId="4F254929" w14:textId="77777777" w:rsidR="00911A9D" w:rsidRDefault="00911A9D" w:rsidP="0019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6C16C" w14:textId="77777777" w:rsidR="00911A9D" w:rsidRDefault="00911A9D" w:rsidP="009D7339">
    <w:pPr>
      <w:pStyle w:val="Footer"/>
      <w:jc w:val="center"/>
    </w:pPr>
    <w:r>
      <w:rPr>
        <w:rStyle w:val="PageNumber"/>
      </w:rPr>
      <w:fldChar w:fldCharType="begin"/>
    </w:r>
    <w:r>
      <w:rPr>
        <w:rStyle w:val="PageNumber"/>
      </w:rPr>
      <w:instrText xml:space="preserve"> PAGE </w:instrText>
    </w:r>
    <w:r>
      <w:rPr>
        <w:rStyle w:val="PageNumber"/>
      </w:rPr>
      <w:fldChar w:fldCharType="separate"/>
    </w:r>
    <w:r w:rsidR="00C6406A">
      <w:rPr>
        <w:rStyle w:val="PageNumber"/>
        <w:noProof/>
      </w:rPr>
      <w:t>8</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B58B4" w14:textId="77777777" w:rsidR="00911A9D" w:rsidRDefault="00911A9D" w:rsidP="00190D6C">
      <w:r>
        <w:separator/>
      </w:r>
    </w:p>
  </w:footnote>
  <w:footnote w:type="continuationSeparator" w:id="0">
    <w:p w14:paraId="4D78E585" w14:textId="77777777" w:rsidR="00911A9D" w:rsidRDefault="00911A9D" w:rsidP="00190D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B55"/>
    <w:multiLevelType w:val="hybridMultilevel"/>
    <w:tmpl w:val="ADECED4C"/>
    <w:lvl w:ilvl="0" w:tplc="1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F2098"/>
    <w:multiLevelType w:val="hybridMultilevel"/>
    <w:tmpl w:val="BE22CB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85AAB"/>
    <w:multiLevelType w:val="hybridMultilevel"/>
    <w:tmpl w:val="1C08CD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C3C6B73"/>
    <w:multiLevelType w:val="hybridMultilevel"/>
    <w:tmpl w:val="A8F40AAA"/>
    <w:lvl w:ilvl="0" w:tplc="FAD8DE56">
      <w:start w:val="1"/>
      <w:numFmt w:val="decimal"/>
      <w:lvlText w:val="%1."/>
      <w:lvlJc w:val="left"/>
      <w:pPr>
        <w:ind w:left="720" w:hanging="360"/>
      </w:pPr>
      <w:rPr>
        <w:b w:val="0"/>
      </w:rPr>
    </w:lvl>
    <w:lvl w:ilvl="1" w:tplc="95A0AD9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B20BC"/>
    <w:multiLevelType w:val="hybridMultilevel"/>
    <w:tmpl w:val="CDAA7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C4D48"/>
    <w:multiLevelType w:val="hybridMultilevel"/>
    <w:tmpl w:val="BDB67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A5EE9"/>
    <w:multiLevelType w:val="hybridMultilevel"/>
    <w:tmpl w:val="1C08CD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2CA5318"/>
    <w:multiLevelType w:val="hybridMultilevel"/>
    <w:tmpl w:val="29F85B14"/>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C3DEB"/>
    <w:multiLevelType w:val="hybridMultilevel"/>
    <w:tmpl w:val="1C08CD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D5F6456"/>
    <w:multiLevelType w:val="hybridMultilevel"/>
    <w:tmpl w:val="878C9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8198A"/>
    <w:multiLevelType w:val="hybridMultilevel"/>
    <w:tmpl w:val="166EB6DA"/>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94D20"/>
    <w:multiLevelType w:val="multilevel"/>
    <w:tmpl w:val="056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71888"/>
    <w:multiLevelType w:val="hybridMultilevel"/>
    <w:tmpl w:val="0126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64DFC"/>
    <w:multiLevelType w:val="hybridMultilevel"/>
    <w:tmpl w:val="6E10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71F9D"/>
    <w:multiLevelType w:val="hybridMultilevel"/>
    <w:tmpl w:val="EA8ED636"/>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442B7"/>
    <w:multiLevelType w:val="hybridMultilevel"/>
    <w:tmpl w:val="1A3CF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155EB6"/>
    <w:multiLevelType w:val="hybridMultilevel"/>
    <w:tmpl w:val="D0468D38"/>
    <w:lvl w:ilvl="0" w:tplc="FE78C8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2122A"/>
    <w:multiLevelType w:val="hybridMultilevel"/>
    <w:tmpl w:val="FCA4AE7E"/>
    <w:lvl w:ilvl="0" w:tplc="FAD8DE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7028B"/>
    <w:multiLevelType w:val="hybridMultilevel"/>
    <w:tmpl w:val="88C2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8A3A52"/>
    <w:multiLevelType w:val="multilevel"/>
    <w:tmpl w:val="54D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061047"/>
    <w:multiLevelType w:val="hybridMultilevel"/>
    <w:tmpl w:val="B340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422E2D"/>
    <w:multiLevelType w:val="hybridMultilevel"/>
    <w:tmpl w:val="45C2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9F1D1D"/>
    <w:multiLevelType w:val="hybridMultilevel"/>
    <w:tmpl w:val="54CA284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A045F5"/>
    <w:multiLevelType w:val="hybridMultilevel"/>
    <w:tmpl w:val="A4C22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C27B69"/>
    <w:multiLevelType w:val="hybridMultilevel"/>
    <w:tmpl w:val="1C08CD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7904571C"/>
    <w:multiLevelType w:val="hybridMultilevel"/>
    <w:tmpl w:val="41D61F78"/>
    <w:lvl w:ilvl="0" w:tplc="A5B214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444435"/>
    <w:multiLevelType w:val="hybridMultilevel"/>
    <w:tmpl w:val="23D4CB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CB170CB"/>
    <w:multiLevelType w:val="hybridMultilevel"/>
    <w:tmpl w:val="BDB67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8"/>
  </w:num>
  <w:num w:numId="4">
    <w:abstractNumId w:val="4"/>
  </w:num>
  <w:num w:numId="5">
    <w:abstractNumId w:val="20"/>
  </w:num>
  <w:num w:numId="6">
    <w:abstractNumId w:val="26"/>
  </w:num>
  <w:num w:numId="7">
    <w:abstractNumId w:val="13"/>
  </w:num>
  <w:num w:numId="8">
    <w:abstractNumId w:val="9"/>
  </w:num>
  <w:num w:numId="9">
    <w:abstractNumId w:val="12"/>
  </w:num>
  <w:num w:numId="10">
    <w:abstractNumId w:val="24"/>
  </w:num>
  <w:num w:numId="11">
    <w:abstractNumId w:val="0"/>
  </w:num>
  <w:num w:numId="12">
    <w:abstractNumId w:val="2"/>
  </w:num>
  <w:num w:numId="13">
    <w:abstractNumId w:val="8"/>
  </w:num>
  <w:num w:numId="14">
    <w:abstractNumId w:val="6"/>
  </w:num>
  <w:num w:numId="15">
    <w:abstractNumId w:val="7"/>
  </w:num>
  <w:num w:numId="16">
    <w:abstractNumId w:val="14"/>
  </w:num>
  <w:num w:numId="17">
    <w:abstractNumId w:val="10"/>
  </w:num>
  <w:num w:numId="18">
    <w:abstractNumId w:val="27"/>
  </w:num>
  <w:num w:numId="19">
    <w:abstractNumId w:val="5"/>
  </w:num>
  <w:num w:numId="20">
    <w:abstractNumId w:val="1"/>
  </w:num>
  <w:num w:numId="21">
    <w:abstractNumId w:val="21"/>
  </w:num>
  <w:num w:numId="22">
    <w:abstractNumId w:val="3"/>
  </w:num>
  <w:num w:numId="23">
    <w:abstractNumId w:val="17"/>
  </w:num>
  <w:num w:numId="24">
    <w:abstractNumId w:val="16"/>
  </w:num>
  <w:num w:numId="25">
    <w:abstractNumId w:val="22"/>
  </w:num>
  <w:num w:numId="26">
    <w:abstractNumId w:val="11"/>
  </w:num>
  <w:num w:numId="27">
    <w:abstractNumId w:val="19"/>
  </w:num>
  <w:num w:numId="2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bey">
    <w15:presenceInfo w15:providerId="None" w15:userId="David Mab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68"/>
    <w:rsid w:val="00002008"/>
    <w:rsid w:val="0001574C"/>
    <w:rsid w:val="000203BF"/>
    <w:rsid w:val="00027BAF"/>
    <w:rsid w:val="00030162"/>
    <w:rsid w:val="00043D07"/>
    <w:rsid w:val="00044492"/>
    <w:rsid w:val="00045FAC"/>
    <w:rsid w:val="000464C2"/>
    <w:rsid w:val="00060C32"/>
    <w:rsid w:val="00072783"/>
    <w:rsid w:val="000773DF"/>
    <w:rsid w:val="00082F5D"/>
    <w:rsid w:val="0009133A"/>
    <w:rsid w:val="000B4F91"/>
    <w:rsid w:val="000B6A5F"/>
    <w:rsid w:val="000C5018"/>
    <w:rsid w:val="000E151B"/>
    <w:rsid w:val="000E4F1F"/>
    <w:rsid w:val="000E76CB"/>
    <w:rsid w:val="000F3A81"/>
    <w:rsid w:val="001071A4"/>
    <w:rsid w:val="00120B82"/>
    <w:rsid w:val="00123399"/>
    <w:rsid w:val="00130092"/>
    <w:rsid w:val="00131837"/>
    <w:rsid w:val="001444CA"/>
    <w:rsid w:val="00152170"/>
    <w:rsid w:val="00156D3F"/>
    <w:rsid w:val="00157E00"/>
    <w:rsid w:val="00187178"/>
    <w:rsid w:val="00190D6C"/>
    <w:rsid w:val="001A3A17"/>
    <w:rsid w:val="001A73BE"/>
    <w:rsid w:val="001B6C9E"/>
    <w:rsid w:val="001C43C1"/>
    <w:rsid w:val="001C5AF5"/>
    <w:rsid w:val="001C75DC"/>
    <w:rsid w:val="001D6A49"/>
    <w:rsid w:val="001E0ECB"/>
    <w:rsid w:val="001E7FB2"/>
    <w:rsid w:val="001F65E4"/>
    <w:rsid w:val="00202735"/>
    <w:rsid w:val="002044F7"/>
    <w:rsid w:val="002050D9"/>
    <w:rsid w:val="00210BC8"/>
    <w:rsid w:val="00222621"/>
    <w:rsid w:val="002348BA"/>
    <w:rsid w:val="00234D54"/>
    <w:rsid w:val="0024022D"/>
    <w:rsid w:val="00240758"/>
    <w:rsid w:val="00257FA0"/>
    <w:rsid w:val="0026213C"/>
    <w:rsid w:val="002622C1"/>
    <w:rsid w:val="00262652"/>
    <w:rsid w:val="00262D51"/>
    <w:rsid w:val="00264F32"/>
    <w:rsid w:val="00266201"/>
    <w:rsid w:val="002859BE"/>
    <w:rsid w:val="002C7AB7"/>
    <w:rsid w:val="002D37BB"/>
    <w:rsid w:val="002D3892"/>
    <w:rsid w:val="002D647D"/>
    <w:rsid w:val="002E095C"/>
    <w:rsid w:val="0030208F"/>
    <w:rsid w:val="00326A9A"/>
    <w:rsid w:val="00362803"/>
    <w:rsid w:val="003806B1"/>
    <w:rsid w:val="00380AAF"/>
    <w:rsid w:val="003931C5"/>
    <w:rsid w:val="00394902"/>
    <w:rsid w:val="00395823"/>
    <w:rsid w:val="00396F32"/>
    <w:rsid w:val="003A1428"/>
    <w:rsid w:val="003A3128"/>
    <w:rsid w:val="003A33C6"/>
    <w:rsid w:val="003A4108"/>
    <w:rsid w:val="003B2949"/>
    <w:rsid w:val="003D19A5"/>
    <w:rsid w:val="003E3C7C"/>
    <w:rsid w:val="003E6457"/>
    <w:rsid w:val="003F2049"/>
    <w:rsid w:val="003F5804"/>
    <w:rsid w:val="0040022A"/>
    <w:rsid w:val="00404739"/>
    <w:rsid w:val="004153BA"/>
    <w:rsid w:val="00420ADE"/>
    <w:rsid w:val="00423CEE"/>
    <w:rsid w:val="00423D89"/>
    <w:rsid w:val="004300E5"/>
    <w:rsid w:val="004303B4"/>
    <w:rsid w:val="00431F62"/>
    <w:rsid w:val="004340C7"/>
    <w:rsid w:val="004418FB"/>
    <w:rsid w:val="00450104"/>
    <w:rsid w:val="00457A36"/>
    <w:rsid w:val="00457C0F"/>
    <w:rsid w:val="004606B9"/>
    <w:rsid w:val="0046696D"/>
    <w:rsid w:val="004A49F3"/>
    <w:rsid w:val="004A6A4E"/>
    <w:rsid w:val="004A722C"/>
    <w:rsid w:val="004B40B8"/>
    <w:rsid w:val="004C402D"/>
    <w:rsid w:val="004D0567"/>
    <w:rsid w:val="004D5306"/>
    <w:rsid w:val="004E33C9"/>
    <w:rsid w:val="004F136B"/>
    <w:rsid w:val="004F7FE1"/>
    <w:rsid w:val="00511D08"/>
    <w:rsid w:val="00515856"/>
    <w:rsid w:val="00517CDF"/>
    <w:rsid w:val="00517F08"/>
    <w:rsid w:val="005252D0"/>
    <w:rsid w:val="005279AA"/>
    <w:rsid w:val="005403E4"/>
    <w:rsid w:val="0054252A"/>
    <w:rsid w:val="005503E1"/>
    <w:rsid w:val="005552CA"/>
    <w:rsid w:val="00556102"/>
    <w:rsid w:val="0056226A"/>
    <w:rsid w:val="00573DDA"/>
    <w:rsid w:val="00582F98"/>
    <w:rsid w:val="0058720B"/>
    <w:rsid w:val="00590D1B"/>
    <w:rsid w:val="005917D9"/>
    <w:rsid w:val="005958B3"/>
    <w:rsid w:val="005A73E5"/>
    <w:rsid w:val="005A76DB"/>
    <w:rsid w:val="005A79A2"/>
    <w:rsid w:val="005C5332"/>
    <w:rsid w:val="005D1048"/>
    <w:rsid w:val="005D6317"/>
    <w:rsid w:val="005E667D"/>
    <w:rsid w:val="005F3300"/>
    <w:rsid w:val="0061267C"/>
    <w:rsid w:val="006129C9"/>
    <w:rsid w:val="006130B4"/>
    <w:rsid w:val="00616A94"/>
    <w:rsid w:val="00625F35"/>
    <w:rsid w:val="0063623D"/>
    <w:rsid w:val="006569D8"/>
    <w:rsid w:val="006639DA"/>
    <w:rsid w:val="00676670"/>
    <w:rsid w:val="00685F67"/>
    <w:rsid w:val="006866CF"/>
    <w:rsid w:val="006956D0"/>
    <w:rsid w:val="006A2085"/>
    <w:rsid w:val="006A2668"/>
    <w:rsid w:val="006B480A"/>
    <w:rsid w:val="006C2997"/>
    <w:rsid w:val="006C2BDE"/>
    <w:rsid w:val="006C2C6B"/>
    <w:rsid w:val="006D54DF"/>
    <w:rsid w:val="006F7A82"/>
    <w:rsid w:val="00703A09"/>
    <w:rsid w:val="00722158"/>
    <w:rsid w:val="00723F70"/>
    <w:rsid w:val="00732DE4"/>
    <w:rsid w:val="00746AAB"/>
    <w:rsid w:val="007476DF"/>
    <w:rsid w:val="00755251"/>
    <w:rsid w:val="0075563D"/>
    <w:rsid w:val="0076067B"/>
    <w:rsid w:val="0077212C"/>
    <w:rsid w:val="0078104F"/>
    <w:rsid w:val="007935C9"/>
    <w:rsid w:val="007A3D72"/>
    <w:rsid w:val="007B2568"/>
    <w:rsid w:val="007C395F"/>
    <w:rsid w:val="007D4529"/>
    <w:rsid w:val="007E1F52"/>
    <w:rsid w:val="007E4434"/>
    <w:rsid w:val="007F3F7B"/>
    <w:rsid w:val="00804087"/>
    <w:rsid w:val="00806A79"/>
    <w:rsid w:val="008319E2"/>
    <w:rsid w:val="00832180"/>
    <w:rsid w:val="00832F4C"/>
    <w:rsid w:val="008341AB"/>
    <w:rsid w:val="008345D9"/>
    <w:rsid w:val="00840408"/>
    <w:rsid w:val="0084362E"/>
    <w:rsid w:val="008523A3"/>
    <w:rsid w:val="00856E25"/>
    <w:rsid w:val="00857958"/>
    <w:rsid w:val="00890D15"/>
    <w:rsid w:val="00891909"/>
    <w:rsid w:val="00892E94"/>
    <w:rsid w:val="008A6EC8"/>
    <w:rsid w:val="008B01D9"/>
    <w:rsid w:val="008C5BB2"/>
    <w:rsid w:val="008C70B4"/>
    <w:rsid w:val="008E38B5"/>
    <w:rsid w:val="008E5B33"/>
    <w:rsid w:val="008F08CA"/>
    <w:rsid w:val="009010C1"/>
    <w:rsid w:val="00906458"/>
    <w:rsid w:val="00911A9D"/>
    <w:rsid w:val="00920CB1"/>
    <w:rsid w:val="009563EC"/>
    <w:rsid w:val="00980C45"/>
    <w:rsid w:val="00980D51"/>
    <w:rsid w:val="00985DF8"/>
    <w:rsid w:val="009868D3"/>
    <w:rsid w:val="00986B8B"/>
    <w:rsid w:val="00995A88"/>
    <w:rsid w:val="00997032"/>
    <w:rsid w:val="009A0DA5"/>
    <w:rsid w:val="009B186D"/>
    <w:rsid w:val="009B677D"/>
    <w:rsid w:val="009C1BD2"/>
    <w:rsid w:val="009C61C4"/>
    <w:rsid w:val="009C73E1"/>
    <w:rsid w:val="009D3B56"/>
    <w:rsid w:val="009D48DC"/>
    <w:rsid w:val="009D7339"/>
    <w:rsid w:val="009F5640"/>
    <w:rsid w:val="009F7276"/>
    <w:rsid w:val="00A12CDA"/>
    <w:rsid w:val="00A1484B"/>
    <w:rsid w:val="00A21C40"/>
    <w:rsid w:val="00A25541"/>
    <w:rsid w:val="00A337A4"/>
    <w:rsid w:val="00A36BF7"/>
    <w:rsid w:val="00A50B41"/>
    <w:rsid w:val="00A61DFD"/>
    <w:rsid w:val="00A63D8D"/>
    <w:rsid w:val="00AA4888"/>
    <w:rsid w:val="00AA4E41"/>
    <w:rsid w:val="00AA545E"/>
    <w:rsid w:val="00AD1A34"/>
    <w:rsid w:val="00AD1ACC"/>
    <w:rsid w:val="00AE3153"/>
    <w:rsid w:val="00AE57DD"/>
    <w:rsid w:val="00AF4D83"/>
    <w:rsid w:val="00AF544D"/>
    <w:rsid w:val="00B00FC1"/>
    <w:rsid w:val="00B03A38"/>
    <w:rsid w:val="00B20105"/>
    <w:rsid w:val="00B313A0"/>
    <w:rsid w:val="00B318F3"/>
    <w:rsid w:val="00B32DAA"/>
    <w:rsid w:val="00B37B37"/>
    <w:rsid w:val="00B4588B"/>
    <w:rsid w:val="00B46F7E"/>
    <w:rsid w:val="00B47709"/>
    <w:rsid w:val="00B52399"/>
    <w:rsid w:val="00B55E3B"/>
    <w:rsid w:val="00B67824"/>
    <w:rsid w:val="00B73AD9"/>
    <w:rsid w:val="00B75947"/>
    <w:rsid w:val="00B768C9"/>
    <w:rsid w:val="00B93947"/>
    <w:rsid w:val="00B976C4"/>
    <w:rsid w:val="00BA1B45"/>
    <w:rsid w:val="00BA2DE4"/>
    <w:rsid w:val="00BB1727"/>
    <w:rsid w:val="00BB6B9B"/>
    <w:rsid w:val="00BD1A73"/>
    <w:rsid w:val="00BD33E7"/>
    <w:rsid w:val="00BD4504"/>
    <w:rsid w:val="00BE7C46"/>
    <w:rsid w:val="00BF6C06"/>
    <w:rsid w:val="00C02742"/>
    <w:rsid w:val="00C13D24"/>
    <w:rsid w:val="00C1415E"/>
    <w:rsid w:val="00C30BFE"/>
    <w:rsid w:val="00C4118C"/>
    <w:rsid w:val="00C414E6"/>
    <w:rsid w:val="00C419FD"/>
    <w:rsid w:val="00C43EE0"/>
    <w:rsid w:val="00C44BF6"/>
    <w:rsid w:val="00C45BC9"/>
    <w:rsid w:val="00C51330"/>
    <w:rsid w:val="00C53A5C"/>
    <w:rsid w:val="00C6406A"/>
    <w:rsid w:val="00C701E3"/>
    <w:rsid w:val="00C712D2"/>
    <w:rsid w:val="00C75326"/>
    <w:rsid w:val="00C75B6C"/>
    <w:rsid w:val="00C86559"/>
    <w:rsid w:val="00C9208F"/>
    <w:rsid w:val="00CA31BC"/>
    <w:rsid w:val="00CD0453"/>
    <w:rsid w:val="00CD530F"/>
    <w:rsid w:val="00CD6325"/>
    <w:rsid w:val="00CE69FE"/>
    <w:rsid w:val="00CF3678"/>
    <w:rsid w:val="00CF4E49"/>
    <w:rsid w:val="00D010F6"/>
    <w:rsid w:val="00D12FEB"/>
    <w:rsid w:val="00D20796"/>
    <w:rsid w:val="00D34FAC"/>
    <w:rsid w:val="00D4425D"/>
    <w:rsid w:val="00D50011"/>
    <w:rsid w:val="00D7226C"/>
    <w:rsid w:val="00D80A5D"/>
    <w:rsid w:val="00D82186"/>
    <w:rsid w:val="00D83545"/>
    <w:rsid w:val="00D86310"/>
    <w:rsid w:val="00D86F5E"/>
    <w:rsid w:val="00D873A3"/>
    <w:rsid w:val="00D9705D"/>
    <w:rsid w:val="00DA33F7"/>
    <w:rsid w:val="00DA5B59"/>
    <w:rsid w:val="00DA6D58"/>
    <w:rsid w:val="00DB1EE6"/>
    <w:rsid w:val="00DD14E0"/>
    <w:rsid w:val="00DE2D0F"/>
    <w:rsid w:val="00DF00A5"/>
    <w:rsid w:val="00E34175"/>
    <w:rsid w:val="00E454CD"/>
    <w:rsid w:val="00E539DA"/>
    <w:rsid w:val="00E548A6"/>
    <w:rsid w:val="00E81DE4"/>
    <w:rsid w:val="00E905B8"/>
    <w:rsid w:val="00E96098"/>
    <w:rsid w:val="00EA2EBA"/>
    <w:rsid w:val="00EA370E"/>
    <w:rsid w:val="00EA76C1"/>
    <w:rsid w:val="00EB4CF6"/>
    <w:rsid w:val="00EC32B8"/>
    <w:rsid w:val="00EC4C64"/>
    <w:rsid w:val="00EE2215"/>
    <w:rsid w:val="00EE264D"/>
    <w:rsid w:val="00EF2D1D"/>
    <w:rsid w:val="00EF40F5"/>
    <w:rsid w:val="00F003DE"/>
    <w:rsid w:val="00F0041D"/>
    <w:rsid w:val="00F0390D"/>
    <w:rsid w:val="00F06E7E"/>
    <w:rsid w:val="00F0770A"/>
    <w:rsid w:val="00F11D9D"/>
    <w:rsid w:val="00F1793D"/>
    <w:rsid w:val="00F2788B"/>
    <w:rsid w:val="00F36A63"/>
    <w:rsid w:val="00F36C09"/>
    <w:rsid w:val="00F42EDA"/>
    <w:rsid w:val="00F4777C"/>
    <w:rsid w:val="00F53EF6"/>
    <w:rsid w:val="00F5404F"/>
    <w:rsid w:val="00F551BA"/>
    <w:rsid w:val="00F65AF7"/>
    <w:rsid w:val="00F923BD"/>
    <w:rsid w:val="00FA40A2"/>
    <w:rsid w:val="00FC3ABC"/>
    <w:rsid w:val="00FC3DA5"/>
    <w:rsid w:val="00FC7853"/>
    <w:rsid w:val="00FD26DC"/>
    <w:rsid w:val="00FD2CAB"/>
    <w:rsid w:val="00FE18E6"/>
    <w:rsid w:val="00FF47DA"/>
    <w:rsid w:val="00FF5F7A"/>
    <w:rsid w:val="00FF6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D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39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rsid w:val="006A2668"/>
    <w:rPr>
      <w:rFonts w:ascii="Cambria" w:hAnsi="Cambria" w:hint="default"/>
      <w:sz w:val="24"/>
      <w:szCs w:val="24"/>
    </w:rPr>
  </w:style>
  <w:style w:type="character" w:customStyle="1" w:styleId="Heading1Char">
    <w:name w:val="Heading 1 Char"/>
    <w:basedOn w:val="DefaultParagraphFont"/>
    <w:link w:val="Heading1"/>
    <w:uiPriority w:val="9"/>
    <w:rsid w:val="00B523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2399"/>
    <w:pPr>
      <w:ind w:left="720"/>
      <w:contextualSpacing/>
    </w:pPr>
    <w:rPr>
      <w:lang w:val="en-US"/>
    </w:rPr>
  </w:style>
  <w:style w:type="paragraph" w:styleId="Bibliography">
    <w:name w:val="Bibliography"/>
    <w:basedOn w:val="Normal"/>
    <w:next w:val="Normal"/>
    <w:uiPriority w:val="37"/>
    <w:unhideWhenUsed/>
    <w:rsid w:val="001C5AF5"/>
    <w:pPr>
      <w:tabs>
        <w:tab w:val="left" w:pos="140"/>
        <w:tab w:val="left" w:pos="380"/>
        <w:tab w:val="left" w:pos="500"/>
      </w:tabs>
      <w:spacing w:after="240"/>
      <w:ind w:left="504" w:hanging="504"/>
    </w:pPr>
  </w:style>
  <w:style w:type="paragraph" w:styleId="Header">
    <w:name w:val="header"/>
    <w:basedOn w:val="Normal"/>
    <w:link w:val="HeaderChar"/>
    <w:uiPriority w:val="99"/>
    <w:unhideWhenUsed/>
    <w:rsid w:val="00190D6C"/>
    <w:pPr>
      <w:tabs>
        <w:tab w:val="center" w:pos="4320"/>
        <w:tab w:val="right" w:pos="8640"/>
      </w:tabs>
    </w:pPr>
  </w:style>
  <w:style w:type="character" w:customStyle="1" w:styleId="HeaderChar">
    <w:name w:val="Header Char"/>
    <w:basedOn w:val="DefaultParagraphFont"/>
    <w:link w:val="Header"/>
    <w:uiPriority w:val="99"/>
    <w:rsid w:val="00190D6C"/>
    <w:rPr>
      <w:lang w:val="en-GB"/>
    </w:rPr>
  </w:style>
  <w:style w:type="paragraph" w:styleId="Footer">
    <w:name w:val="footer"/>
    <w:basedOn w:val="Normal"/>
    <w:link w:val="FooterChar"/>
    <w:uiPriority w:val="99"/>
    <w:unhideWhenUsed/>
    <w:rsid w:val="00190D6C"/>
    <w:pPr>
      <w:tabs>
        <w:tab w:val="center" w:pos="4320"/>
        <w:tab w:val="right" w:pos="8640"/>
      </w:tabs>
    </w:pPr>
  </w:style>
  <w:style w:type="character" w:customStyle="1" w:styleId="FooterChar">
    <w:name w:val="Footer Char"/>
    <w:basedOn w:val="DefaultParagraphFont"/>
    <w:link w:val="Footer"/>
    <w:uiPriority w:val="99"/>
    <w:rsid w:val="00190D6C"/>
    <w:rPr>
      <w:lang w:val="en-GB"/>
    </w:rPr>
  </w:style>
  <w:style w:type="paragraph" w:styleId="BalloonText">
    <w:name w:val="Balloon Text"/>
    <w:basedOn w:val="Normal"/>
    <w:link w:val="BalloonTextChar"/>
    <w:uiPriority w:val="99"/>
    <w:semiHidden/>
    <w:unhideWhenUsed/>
    <w:rsid w:val="00B55E3B"/>
    <w:rPr>
      <w:rFonts w:ascii="Tahoma" w:hAnsi="Tahoma" w:cs="Tahoma"/>
      <w:sz w:val="16"/>
      <w:szCs w:val="16"/>
    </w:rPr>
  </w:style>
  <w:style w:type="character" w:customStyle="1" w:styleId="BalloonTextChar">
    <w:name w:val="Balloon Text Char"/>
    <w:basedOn w:val="DefaultParagraphFont"/>
    <w:link w:val="BalloonText"/>
    <w:uiPriority w:val="99"/>
    <w:semiHidden/>
    <w:rsid w:val="00B55E3B"/>
    <w:rPr>
      <w:rFonts w:ascii="Tahoma" w:hAnsi="Tahoma" w:cs="Tahoma"/>
      <w:sz w:val="16"/>
      <w:szCs w:val="16"/>
      <w:lang w:val="en-GB"/>
    </w:rPr>
  </w:style>
  <w:style w:type="character" w:styleId="CommentReference">
    <w:name w:val="annotation reference"/>
    <w:basedOn w:val="DefaultParagraphFont"/>
    <w:uiPriority w:val="99"/>
    <w:semiHidden/>
    <w:unhideWhenUsed/>
    <w:rsid w:val="00B55E3B"/>
    <w:rPr>
      <w:sz w:val="16"/>
      <w:szCs w:val="16"/>
    </w:rPr>
  </w:style>
  <w:style w:type="paragraph" w:styleId="CommentText">
    <w:name w:val="annotation text"/>
    <w:basedOn w:val="Normal"/>
    <w:link w:val="CommentTextChar"/>
    <w:uiPriority w:val="99"/>
    <w:semiHidden/>
    <w:unhideWhenUsed/>
    <w:rsid w:val="00B55E3B"/>
    <w:rPr>
      <w:sz w:val="20"/>
      <w:szCs w:val="20"/>
    </w:rPr>
  </w:style>
  <w:style w:type="character" w:customStyle="1" w:styleId="CommentTextChar">
    <w:name w:val="Comment Text Char"/>
    <w:basedOn w:val="DefaultParagraphFont"/>
    <w:link w:val="CommentText"/>
    <w:uiPriority w:val="99"/>
    <w:semiHidden/>
    <w:rsid w:val="00B55E3B"/>
    <w:rPr>
      <w:sz w:val="20"/>
      <w:szCs w:val="20"/>
      <w:lang w:val="en-GB"/>
    </w:rPr>
  </w:style>
  <w:style w:type="paragraph" w:styleId="CommentSubject">
    <w:name w:val="annotation subject"/>
    <w:basedOn w:val="CommentText"/>
    <w:next w:val="CommentText"/>
    <w:link w:val="CommentSubjectChar"/>
    <w:uiPriority w:val="99"/>
    <w:semiHidden/>
    <w:unhideWhenUsed/>
    <w:rsid w:val="00B55E3B"/>
    <w:rPr>
      <w:b/>
      <w:bCs/>
    </w:rPr>
  </w:style>
  <w:style w:type="character" w:customStyle="1" w:styleId="CommentSubjectChar">
    <w:name w:val="Comment Subject Char"/>
    <w:basedOn w:val="CommentTextChar"/>
    <w:link w:val="CommentSubject"/>
    <w:uiPriority w:val="99"/>
    <w:semiHidden/>
    <w:rsid w:val="00B55E3B"/>
    <w:rPr>
      <w:b/>
      <w:bCs/>
      <w:sz w:val="20"/>
      <w:szCs w:val="20"/>
      <w:lang w:val="en-GB"/>
    </w:rPr>
  </w:style>
  <w:style w:type="character" w:styleId="Hyperlink">
    <w:name w:val="Hyperlink"/>
    <w:basedOn w:val="DefaultParagraphFont"/>
    <w:uiPriority w:val="99"/>
    <w:unhideWhenUsed/>
    <w:rsid w:val="009D48DC"/>
    <w:rPr>
      <w:color w:val="0000FF"/>
      <w:u w:val="single"/>
    </w:rPr>
  </w:style>
  <w:style w:type="table" w:styleId="TableGrid">
    <w:name w:val="Table Grid"/>
    <w:basedOn w:val="TableNormal"/>
    <w:uiPriority w:val="59"/>
    <w:rsid w:val="00F00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004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DD14E0"/>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556102"/>
  </w:style>
  <w:style w:type="character" w:customStyle="1" w:styleId="apple-converted-space">
    <w:name w:val="apple-converted-space"/>
    <w:basedOn w:val="DefaultParagraphFont"/>
    <w:rsid w:val="00D873A3"/>
  </w:style>
  <w:style w:type="character" w:styleId="PageNumber">
    <w:name w:val="page number"/>
    <w:basedOn w:val="DefaultParagraphFont"/>
    <w:uiPriority w:val="99"/>
    <w:semiHidden/>
    <w:unhideWhenUsed/>
    <w:rsid w:val="009D7339"/>
  </w:style>
  <w:style w:type="paragraph" w:styleId="PlainText">
    <w:name w:val="Plain Text"/>
    <w:basedOn w:val="Normal"/>
    <w:link w:val="PlainTextChar"/>
    <w:rsid w:val="00EF2D1D"/>
    <w:rPr>
      <w:rFonts w:ascii="Courier New" w:eastAsia="Times New Roman" w:hAnsi="Courier New" w:cs="Times New Roman"/>
      <w:sz w:val="20"/>
      <w:lang w:eastAsia="en-GB"/>
    </w:rPr>
  </w:style>
  <w:style w:type="character" w:customStyle="1" w:styleId="PlainTextChar">
    <w:name w:val="Plain Text Char"/>
    <w:basedOn w:val="DefaultParagraphFont"/>
    <w:link w:val="PlainText"/>
    <w:rsid w:val="00EF2D1D"/>
    <w:rPr>
      <w:rFonts w:ascii="Courier New" w:eastAsia="Times New Roman" w:hAnsi="Courier New" w:cs="Times New Roman"/>
      <w:sz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39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rsid w:val="006A2668"/>
    <w:rPr>
      <w:rFonts w:ascii="Cambria" w:hAnsi="Cambria" w:hint="default"/>
      <w:sz w:val="24"/>
      <w:szCs w:val="24"/>
    </w:rPr>
  </w:style>
  <w:style w:type="character" w:customStyle="1" w:styleId="Heading1Char">
    <w:name w:val="Heading 1 Char"/>
    <w:basedOn w:val="DefaultParagraphFont"/>
    <w:link w:val="Heading1"/>
    <w:uiPriority w:val="9"/>
    <w:rsid w:val="00B523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2399"/>
    <w:pPr>
      <w:ind w:left="720"/>
      <w:contextualSpacing/>
    </w:pPr>
    <w:rPr>
      <w:lang w:val="en-US"/>
    </w:rPr>
  </w:style>
  <w:style w:type="paragraph" w:styleId="Bibliography">
    <w:name w:val="Bibliography"/>
    <w:basedOn w:val="Normal"/>
    <w:next w:val="Normal"/>
    <w:uiPriority w:val="37"/>
    <w:unhideWhenUsed/>
    <w:rsid w:val="001C5AF5"/>
    <w:pPr>
      <w:tabs>
        <w:tab w:val="left" w:pos="140"/>
        <w:tab w:val="left" w:pos="380"/>
        <w:tab w:val="left" w:pos="500"/>
      </w:tabs>
      <w:spacing w:after="240"/>
      <w:ind w:left="504" w:hanging="504"/>
    </w:pPr>
  </w:style>
  <w:style w:type="paragraph" w:styleId="Header">
    <w:name w:val="header"/>
    <w:basedOn w:val="Normal"/>
    <w:link w:val="HeaderChar"/>
    <w:uiPriority w:val="99"/>
    <w:unhideWhenUsed/>
    <w:rsid w:val="00190D6C"/>
    <w:pPr>
      <w:tabs>
        <w:tab w:val="center" w:pos="4320"/>
        <w:tab w:val="right" w:pos="8640"/>
      </w:tabs>
    </w:pPr>
  </w:style>
  <w:style w:type="character" w:customStyle="1" w:styleId="HeaderChar">
    <w:name w:val="Header Char"/>
    <w:basedOn w:val="DefaultParagraphFont"/>
    <w:link w:val="Header"/>
    <w:uiPriority w:val="99"/>
    <w:rsid w:val="00190D6C"/>
    <w:rPr>
      <w:lang w:val="en-GB"/>
    </w:rPr>
  </w:style>
  <w:style w:type="paragraph" w:styleId="Footer">
    <w:name w:val="footer"/>
    <w:basedOn w:val="Normal"/>
    <w:link w:val="FooterChar"/>
    <w:uiPriority w:val="99"/>
    <w:unhideWhenUsed/>
    <w:rsid w:val="00190D6C"/>
    <w:pPr>
      <w:tabs>
        <w:tab w:val="center" w:pos="4320"/>
        <w:tab w:val="right" w:pos="8640"/>
      </w:tabs>
    </w:pPr>
  </w:style>
  <w:style w:type="character" w:customStyle="1" w:styleId="FooterChar">
    <w:name w:val="Footer Char"/>
    <w:basedOn w:val="DefaultParagraphFont"/>
    <w:link w:val="Footer"/>
    <w:uiPriority w:val="99"/>
    <w:rsid w:val="00190D6C"/>
    <w:rPr>
      <w:lang w:val="en-GB"/>
    </w:rPr>
  </w:style>
  <w:style w:type="paragraph" w:styleId="BalloonText">
    <w:name w:val="Balloon Text"/>
    <w:basedOn w:val="Normal"/>
    <w:link w:val="BalloonTextChar"/>
    <w:uiPriority w:val="99"/>
    <w:semiHidden/>
    <w:unhideWhenUsed/>
    <w:rsid w:val="00B55E3B"/>
    <w:rPr>
      <w:rFonts w:ascii="Tahoma" w:hAnsi="Tahoma" w:cs="Tahoma"/>
      <w:sz w:val="16"/>
      <w:szCs w:val="16"/>
    </w:rPr>
  </w:style>
  <w:style w:type="character" w:customStyle="1" w:styleId="BalloonTextChar">
    <w:name w:val="Balloon Text Char"/>
    <w:basedOn w:val="DefaultParagraphFont"/>
    <w:link w:val="BalloonText"/>
    <w:uiPriority w:val="99"/>
    <w:semiHidden/>
    <w:rsid w:val="00B55E3B"/>
    <w:rPr>
      <w:rFonts w:ascii="Tahoma" w:hAnsi="Tahoma" w:cs="Tahoma"/>
      <w:sz w:val="16"/>
      <w:szCs w:val="16"/>
      <w:lang w:val="en-GB"/>
    </w:rPr>
  </w:style>
  <w:style w:type="character" w:styleId="CommentReference">
    <w:name w:val="annotation reference"/>
    <w:basedOn w:val="DefaultParagraphFont"/>
    <w:uiPriority w:val="99"/>
    <w:semiHidden/>
    <w:unhideWhenUsed/>
    <w:rsid w:val="00B55E3B"/>
    <w:rPr>
      <w:sz w:val="16"/>
      <w:szCs w:val="16"/>
    </w:rPr>
  </w:style>
  <w:style w:type="paragraph" w:styleId="CommentText">
    <w:name w:val="annotation text"/>
    <w:basedOn w:val="Normal"/>
    <w:link w:val="CommentTextChar"/>
    <w:uiPriority w:val="99"/>
    <w:semiHidden/>
    <w:unhideWhenUsed/>
    <w:rsid w:val="00B55E3B"/>
    <w:rPr>
      <w:sz w:val="20"/>
      <w:szCs w:val="20"/>
    </w:rPr>
  </w:style>
  <w:style w:type="character" w:customStyle="1" w:styleId="CommentTextChar">
    <w:name w:val="Comment Text Char"/>
    <w:basedOn w:val="DefaultParagraphFont"/>
    <w:link w:val="CommentText"/>
    <w:uiPriority w:val="99"/>
    <w:semiHidden/>
    <w:rsid w:val="00B55E3B"/>
    <w:rPr>
      <w:sz w:val="20"/>
      <w:szCs w:val="20"/>
      <w:lang w:val="en-GB"/>
    </w:rPr>
  </w:style>
  <w:style w:type="paragraph" w:styleId="CommentSubject">
    <w:name w:val="annotation subject"/>
    <w:basedOn w:val="CommentText"/>
    <w:next w:val="CommentText"/>
    <w:link w:val="CommentSubjectChar"/>
    <w:uiPriority w:val="99"/>
    <w:semiHidden/>
    <w:unhideWhenUsed/>
    <w:rsid w:val="00B55E3B"/>
    <w:rPr>
      <w:b/>
      <w:bCs/>
    </w:rPr>
  </w:style>
  <w:style w:type="character" w:customStyle="1" w:styleId="CommentSubjectChar">
    <w:name w:val="Comment Subject Char"/>
    <w:basedOn w:val="CommentTextChar"/>
    <w:link w:val="CommentSubject"/>
    <w:uiPriority w:val="99"/>
    <w:semiHidden/>
    <w:rsid w:val="00B55E3B"/>
    <w:rPr>
      <w:b/>
      <w:bCs/>
      <w:sz w:val="20"/>
      <w:szCs w:val="20"/>
      <w:lang w:val="en-GB"/>
    </w:rPr>
  </w:style>
  <w:style w:type="character" w:styleId="Hyperlink">
    <w:name w:val="Hyperlink"/>
    <w:basedOn w:val="DefaultParagraphFont"/>
    <w:uiPriority w:val="99"/>
    <w:unhideWhenUsed/>
    <w:rsid w:val="009D48DC"/>
    <w:rPr>
      <w:color w:val="0000FF"/>
      <w:u w:val="single"/>
    </w:rPr>
  </w:style>
  <w:style w:type="table" w:styleId="TableGrid">
    <w:name w:val="Table Grid"/>
    <w:basedOn w:val="TableNormal"/>
    <w:uiPriority w:val="59"/>
    <w:rsid w:val="00F00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004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DD14E0"/>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556102"/>
  </w:style>
  <w:style w:type="character" w:customStyle="1" w:styleId="apple-converted-space">
    <w:name w:val="apple-converted-space"/>
    <w:basedOn w:val="DefaultParagraphFont"/>
    <w:rsid w:val="00D873A3"/>
  </w:style>
  <w:style w:type="character" w:styleId="PageNumber">
    <w:name w:val="page number"/>
    <w:basedOn w:val="DefaultParagraphFont"/>
    <w:uiPriority w:val="99"/>
    <w:semiHidden/>
    <w:unhideWhenUsed/>
    <w:rsid w:val="009D7339"/>
  </w:style>
  <w:style w:type="paragraph" w:styleId="PlainText">
    <w:name w:val="Plain Text"/>
    <w:basedOn w:val="Normal"/>
    <w:link w:val="PlainTextChar"/>
    <w:rsid w:val="00EF2D1D"/>
    <w:rPr>
      <w:rFonts w:ascii="Courier New" w:eastAsia="Times New Roman" w:hAnsi="Courier New" w:cs="Times New Roman"/>
      <w:sz w:val="20"/>
      <w:lang w:eastAsia="en-GB"/>
    </w:rPr>
  </w:style>
  <w:style w:type="character" w:customStyle="1" w:styleId="PlainTextChar">
    <w:name w:val="Plain Text Char"/>
    <w:basedOn w:val="DefaultParagraphFont"/>
    <w:link w:val="PlainText"/>
    <w:rsid w:val="00EF2D1D"/>
    <w:rPr>
      <w:rFonts w:ascii="Courier New" w:eastAsia="Times New Roman" w:hAnsi="Courier New"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5527">
      <w:bodyDiv w:val="1"/>
      <w:marLeft w:val="0"/>
      <w:marRight w:val="0"/>
      <w:marTop w:val="0"/>
      <w:marBottom w:val="0"/>
      <w:divBdr>
        <w:top w:val="none" w:sz="0" w:space="0" w:color="auto"/>
        <w:left w:val="none" w:sz="0" w:space="0" w:color="auto"/>
        <w:bottom w:val="none" w:sz="0" w:space="0" w:color="auto"/>
        <w:right w:val="none" w:sz="0" w:space="0" w:color="auto"/>
      </w:divBdr>
    </w:div>
    <w:div w:id="258297613">
      <w:bodyDiv w:val="1"/>
      <w:marLeft w:val="0"/>
      <w:marRight w:val="0"/>
      <w:marTop w:val="0"/>
      <w:marBottom w:val="0"/>
      <w:divBdr>
        <w:top w:val="none" w:sz="0" w:space="0" w:color="auto"/>
        <w:left w:val="none" w:sz="0" w:space="0" w:color="auto"/>
        <w:bottom w:val="none" w:sz="0" w:space="0" w:color="auto"/>
        <w:right w:val="none" w:sz="0" w:space="0" w:color="auto"/>
      </w:divBdr>
    </w:div>
    <w:div w:id="290595559">
      <w:bodyDiv w:val="1"/>
      <w:marLeft w:val="0"/>
      <w:marRight w:val="0"/>
      <w:marTop w:val="0"/>
      <w:marBottom w:val="0"/>
      <w:divBdr>
        <w:top w:val="none" w:sz="0" w:space="0" w:color="auto"/>
        <w:left w:val="none" w:sz="0" w:space="0" w:color="auto"/>
        <w:bottom w:val="none" w:sz="0" w:space="0" w:color="auto"/>
        <w:right w:val="none" w:sz="0" w:space="0" w:color="auto"/>
      </w:divBdr>
    </w:div>
    <w:div w:id="333186129">
      <w:bodyDiv w:val="1"/>
      <w:marLeft w:val="0"/>
      <w:marRight w:val="0"/>
      <w:marTop w:val="0"/>
      <w:marBottom w:val="0"/>
      <w:divBdr>
        <w:top w:val="none" w:sz="0" w:space="0" w:color="auto"/>
        <w:left w:val="none" w:sz="0" w:space="0" w:color="auto"/>
        <w:bottom w:val="none" w:sz="0" w:space="0" w:color="auto"/>
        <w:right w:val="none" w:sz="0" w:space="0" w:color="auto"/>
      </w:divBdr>
      <w:divsChild>
        <w:div w:id="508329330">
          <w:marLeft w:val="0"/>
          <w:marRight w:val="0"/>
          <w:marTop w:val="0"/>
          <w:marBottom w:val="0"/>
          <w:divBdr>
            <w:top w:val="none" w:sz="0" w:space="0" w:color="auto"/>
            <w:left w:val="none" w:sz="0" w:space="0" w:color="auto"/>
            <w:bottom w:val="none" w:sz="0" w:space="0" w:color="auto"/>
            <w:right w:val="none" w:sz="0" w:space="0" w:color="auto"/>
          </w:divBdr>
        </w:div>
        <w:div w:id="648170082">
          <w:marLeft w:val="0"/>
          <w:marRight w:val="0"/>
          <w:marTop w:val="0"/>
          <w:marBottom w:val="0"/>
          <w:divBdr>
            <w:top w:val="none" w:sz="0" w:space="0" w:color="auto"/>
            <w:left w:val="none" w:sz="0" w:space="0" w:color="auto"/>
            <w:bottom w:val="none" w:sz="0" w:space="0" w:color="auto"/>
            <w:right w:val="none" w:sz="0" w:space="0" w:color="auto"/>
          </w:divBdr>
        </w:div>
        <w:div w:id="676344867">
          <w:marLeft w:val="0"/>
          <w:marRight w:val="0"/>
          <w:marTop w:val="0"/>
          <w:marBottom w:val="0"/>
          <w:divBdr>
            <w:top w:val="none" w:sz="0" w:space="0" w:color="auto"/>
            <w:left w:val="none" w:sz="0" w:space="0" w:color="auto"/>
            <w:bottom w:val="none" w:sz="0" w:space="0" w:color="auto"/>
            <w:right w:val="none" w:sz="0" w:space="0" w:color="auto"/>
          </w:divBdr>
        </w:div>
        <w:div w:id="716709275">
          <w:marLeft w:val="0"/>
          <w:marRight w:val="0"/>
          <w:marTop w:val="0"/>
          <w:marBottom w:val="0"/>
          <w:divBdr>
            <w:top w:val="none" w:sz="0" w:space="0" w:color="auto"/>
            <w:left w:val="none" w:sz="0" w:space="0" w:color="auto"/>
            <w:bottom w:val="none" w:sz="0" w:space="0" w:color="auto"/>
            <w:right w:val="none" w:sz="0" w:space="0" w:color="auto"/>
          </w:divBdr>
        </w:div>
        <w:div w:id="728842371">
          <w:marLeft w:val="0"/>
          <w:marRight w:val="0"/>
          <w:marTop w:val="0"/>
          <w:marBottom w:val="0"/>
          <w:divBdr>
            <w:top w:val="none" w:sz="0" w:space="0" w:color="auto"/>
            <w:left w:val="none" w:sz="0" w:space="0" w:color="auto"/>
            <w:bottom w:val="none" w:sz="0" w:space="0" w:color="auto"/>
            <w:right w:val="none" w:sz="0" w:space="0" w:color="auto"/>
          </w:divBdr>
        </w:div>
        <w:div w:id="888685728">
          <w:marLeft w:val="0"/>
          <w:marRight w:val="0"/>
          <w:marTop w:val="0"/>
          <w:marBottom w:val="0"/>
          <w:divBdr>
            <w:top w:val="none" w:sz="0" w:space="0" w:color="auto"/>
            <w:left w:val="none" w:sz="0" w:space="0" w:color="auto"/>
            <w:bottom w:val="none" w:sz="0" w:space="0" w:color="auto"/>
            <w:right w:val="none" w:sz="0" w:space="0" w:color="auto"/>
          </w:divBdr>
        </w:div>
        <w:div w:id="903301727">
          <w:marLeft w:val="0"/>
          <w:marRight w:val="0"/>
          <w:marTop w:val="0"/>
          <w:marBottom w:val="0"/>
          <w:divBdr>
            <w:top w:val="none" w:sz="0" w:space="0" w:color="auto"/>
            <w:left w:val="none" w:sz="0" w:space="0" w:color="auto"/>
            <w:bottom w:val="none" w:sz="0" w:space="0" w:color="auto"/>
            <w:right w:val="none" w:sz="0" w:space="0" w:color="auto"/>
          </w:divBdr>
        </w:div>
        <w:div w:id="1016152850">
          <w:marLeft w:val="0"/>
          <w:marRight w:val="0"/>
          <w:marTop w:val="0"/>
          <w:marBottom w:val="0"/>
          <w:divBdr>
            <w:top w:val="none" w:sz="0" w:space="0" w:color="auto"/>
            <w:left w:val="none" w:sz="0" w:space="0" w:color="auto"/>
            <w:bottom w:val="none" w:sz="0" w:space="0" w:color="auto"/>
            <w:right w:val="none" w:sz="0" w:space="0" w:color="auto"/>
          </w:divBdr>
        </w:div>
        <w:div w:id="1052919425">
          <w:marLeft w:val="0"/>
          <w:marRight w:val="0"/>
          <w:marTop w:val="0"/>
          <w:marBottom w:val="0"/>
          <w:divBdr>
            <w:top w:val="none" w:sz="0" w:space="0" w:color="auto"/>
            <w:left w:val="none" w:sz="0" w:space="0" w:color="auto"/>
            <w:bottom w:val="none" w:sz="0" w:space="0" w:color="auto"/>
            <w:right w:val="none" w:sz="0" w:space="0" w:color="auto"/>
          </w:divBdr>
        </w:div>
        <w:div w:id="1238243137">
          <w:marLeft w:val="0"/>
          <w:marRight w:val="0"/>
          <w:marTop w:val="0"/>
          <w:marBottom w:val="0"/>
          <w:divBdr>
            <w:top w:val="none" w:sz="0" w:space="0" w:color="auto"/>
            <w:left w:val="none" w:sz="0" w:space="0" w:color="auto"/>
            <w:bottom w:val="none" w:sz="0" w:space="0" w:color="auto"/>
            <w:right w:val="none" w:sz="0" w:space="0" w:color="auto"/>
          </w:divBdr>
        </w:div>
        <w:div w:id="1326591588">
          <w:marLeft w:val="0"/>
          <w:marRight w:val="0"/>
          <w:marTop w:val="0"/>
          <w:marBottom w:val="0"/>
          <w:divBdr>
            <w:top w:val="none" w:sz="0" w:space="0" w:color="auto"/>
            <w:left w:val="none" w:sz="0" w:space="0" w:color="auto"/>
            <w:bottom w:val="none" w:sz="0" w:space="0" w:color="auto"/>
            <w:right w:val="none" w:sz="0" w:space="0" w:color="auto"/>
          </w:divBdr>
        </w:div>
        <w:div w:id="1328049581">
          <w:marLeft w:val="0"/>
          <w:marRight w:val="0"/>
          <w:marTop w:val="0"/>
          <w:marBottom w:val="0"/>
          <w:divBdr>
            <w:top w:val="none" w:sz="0" w:space="0" w:color="auto"/>
            <w:left w:val="none" w:sz="0" w:space="0" w:color="auto"/>
            <w:bottom w:val="none" w:sz="0" w:space="0" w:color="auto"/>
            <w:right w:val="none" w:sz="0" w:space="0" w:color="auto"/>
          </w:divBdr>
        </w:div>
        <w:div w:id="1457679275">
          <w:marLeft w:val="0"/>
          <w:marRight w:val="0"/>
          <w:marTop w:val="0"/>
          <w:marBottom w:val="0"/>
          <w:divBdr>
            <w:top w:val="none" w:sz="0" w:space="0" w:color="auto"/>
            <w:left w:val="none" w:sz="0" w:space="0" w:color="auto"/>
            <w:bottom w:val="none" w:sz="0" w:space="0" w:color="auto"/>
            <w:right w:val="none" w:sz="0" w:space="0" w:color="auto"/>
          </w:divBdr>
        </w:div>
        <w:div w:id="1559584216">
          <w:marLeft w:val="0"/>
          <w:marRight w:val="0"/>
          <w:marTop w:val="0"/>
          <w:marBottom w:val="0"/>
          <w:divBdr>
            <w:top w:val="none" w:sz="0" w:space="0" w:color="auto"/>
            <w:left w:val="none" w:sz="0" w:space="0" w:color="auto"/>
            <w:bottom w:val="none" w:sz="0" w:space="0" w:color="auto"/>
            <w:right w:val="none" w:sz="0" w:space="0" w:color="auto"/>
          </w:divBdr>
        </w:div>
        <w:div w:id="1773360175">
          <w:marLeft w:val="0"/>
          <w:marRight w:val="0"/>
          <w:marTop w:val="0"/>
          <w:marBottom w:val="0"/>
          <w:divBdr>
            <w:top w:val="none" w:sz="0" w:space="0" w:color="auto"/>
            <w:left w:val="none" w:sz="0" w:space="0" w:color="auto"/>
            <w:bottom w:val="none" w:sz="0" w:space="0" w:color="auto"/>
            <w:right w:val="none" w:sz="0" w:space="0" w:color="auto"/>
          </w:divBdr>
        </w:div>
        <w:div w:id="2015910255">
          <w:marLeft w:val="0"/>
          <w:marRight w:val="0"/>
          <w:marTop w:val="0"/>
          <w:marBottom w:val="0"/>
          <w:divBdr>
            <w:top w:val="none" w:sz="0" w:space="0" w:color="auto"/>
            <w:left w:val="none" w:sz="0" w:space="0" w:color="auto"/>
            <w:bottom w:val="none" w:sz="0" w:space="0" w:color="auto"/>
            <w:right w:val="none" w:sz="0" w:space="0" w:color="auto"/>
          </w:divBdr>
        </w:div>
        <w:div w:id="2061242921">
          <w:marLeft w:val="0"/>
          <w:marRight w:val="0"/>
          <w:marTop w:val="0"/>
          <w:marBottom w:val="0"/>
          <w:divBdr>
            <w:top w:val="none" w:sz="0" w:space="0" w:color="auto"/>
            <w:left w:val="none" w:sz="0" w:space="0" w:color="auto"/>
            <w:bottom w:val="none" w:sz="0" w:space="0" w:color="auto"/>
            <w:right w:val="none" w:sz="0" w:space="0" w:color="auto"/>
          </w:divBdr>
        </w:div>
      </w:divsChild>
    </w:div>
    <w:div w:id="517893590">
      <w:bodyDiv w:val="1"/>
      <w:marLeft w:val="0"/>
      <w:marRight w:val="0"/>
      <w:marTop w:val="0"/>
      <w:marBottom w:val="0"/>
      <w:divBdr>
        <w:top w:val="none" w:sz="0" w:space="0" w:color="auto"/>
        <w:left w:val="none" w:sz="0" w:space="0" w:color="auto"/>
        <w:bottom w:val="none" w:sz="0" w:space="0" w:color="auto"/>
        <w:right w:val="none" w:sz="0" w:space="0" w:color="auto"/>
      </w:divBdr>
    </w:div>
    <w:div w:id="740909718">
      <w:bodyDiv w:val="1"/>
      <w:marLeft w:val="0"/>
      <w:marRight w:val="0"/>
      <w:marTop w:val="0"/>
      <w:marBottom w:val="0"/>
      <w:divBdr>
        <w:top w:val="none" w:sz="0" w:space="0" w:color="auto"/>
        <w:left w:val="none" w:sz="0" w:space="0" w:color="auto"/>
        <w:bottom w:val="none" w:sz="0" w:space="0" w:color="auto"/>
        <w:right w:val="none" w:sz="0" w:space="0" w:color="auto"/>
      </w:divBdr>
    </w:div>
    <w:div w:id="1021668254">
      <w:bodyDiv w:val="1"/>
      <w:marLeft w:val="0"/>
      <w:marRight w:val="0"/>
      <w:marTop w:val="0"/>
      <w:marBottom w:val="0"/>
      <w:divBdr>
        <w:top w:val="none" w:sz="0" w:space="0" w:color="auto"/>
        <w:left w:val="none" w:sz="0" w:space="0" w:color="auto"/>
        <w:bottom w:val="none" w:sz="0" w:space="0" w:color="auto"/>
        <w:right w:val="none" w:sz="0" w:space="0" w:color="auto"/>
      </w:divBdr>
    </w:div>
    <w:div w:id="1204292917">
      <w:bodyDiv w:val="1"/>
      <w:marLeft w:val="0"/>
      <w:marRight w:val="0"/>
      <w:marTop w:val="0"/>
      <w:marBottom w:val="0"/>
      <w:divBdr>
        <w:top w:val="none" w:sz="0" w:space="0" w:color="auto"/>
        <w:left w:val="none" w:sz="0" w:space="0" w:color="auto"/>
        <w:bottom w:val="none" w:sz="0" w:space="0" w:color="auto"/>
        <w:right w:val="none" w:sz="0" w:space="0" w:color="auto"/>
      </w:divBdr>
    </w:div>
    <w:div w:id="1207645107">
      <w:bodyDiv w:val="1"/>
      <w:marLeft w:val="0"/>
      <w:marRight w:val="0"/>
      <w:marTop w:val="0"/>
      <w:marBottom w:val="0"/>
      <w:divBdr>
        <w:top w:val="none" w:sz="0" w:space="0" w:color="auto"/>
        <w:left w:val="none" w:sz="0" w:space="0" w:color="auto"/>
        <w:bottom w:val="none" w:sz="0" w:space="0" w:color="auto"/>
        <w:right w:val="none" w:sz="0" w:space="0" w:color="auto"/>
      </w:divBdr>
    </w:div>
    <w:div w:id="1228805210">
      <w:bodyDiv w:val="1"/>
      <w:marLeft w:val="0"/>
      <w:marRight w:val="0"/>
      <w:marTop w:val="0"/>
      <w:marBottom w:val="0"/>
      <w:divBdr>
        <w:top w:val="none" w:sz="0" w:space="0" w:color="auto"/>
        <w:left w:val="none" w:sz="0" w:space="0" w:color="auto"/>
        <w:bottom w:val="none" w:sz="0" w:space="0" w:color="auto"/>
        <w:right w:val="none" w:sz="0" w:space="0" w:color="auto"/>
      </w:divBdr>
      <w:divsChild>
        <w:div w:id="374623586">
          <w:marLeft w:val="0"/>
          <w:marRight w:val="0"/>
          <w:marTop w:val="0"/>
          <w:marBottom w:val="0"/>
          <w:divBdr>
            <w:top w:val="none" w:sz="0" w:space="0" w:color="auto"/>
            <w:left w:val="none" w:sz="0" w:space="0" w:color="auto"/>
            <w:bottom w:val="none" w:sz="0" w:space="0" w:color="auto"/>
            <w:right w:val="none" w:sz="0" w:space="0" w:color="auto"/>
          </w:divBdr>
          <w:divsChild>
            <w:div w:id="1604608971">
              <w:marLeft w:val="0"/>
              <w:marRight w:val="0"/>
              <w:marTop w:val="0"/>
              <w:marBottom w:val="0"/>
              <w:divBdr>
                <w:top w:val="none" w:sz="0" w:space="0" w:color="auto"/>
                <w:left w:val="none" w:sz="0" w:space="0" w:color="auto"/>
                <w:bottom w:val="none" w:sz="0" w:space="0" w:color="auto"/>
                <w:right w:val="none" w:sz="0" w:space="0" w:color="auto"/>
              </w:divBdr>
              <w:divsChild>
                <w:div w:id="16508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6596">
      <w:bodyDiv w:val="1"/>
      <w:marLeft w:val="0"/>
      <w:marRight w:val="0"/>
      <w:marTop w:val="0"/>
      <w:marBottom w:val="0"/>
      <w:divBdr>
        <w:top w:val="none" w:sz="0" w:space="0" w:color="auto"/>
        <w:left w:val="none" w:sz="0" w:space="0" w:color="auto"/>
        <w:bottom w:val="none" w:sz="0" w:space="0" w:color="auto"/>
        <w:right w:val="none" w:sz="0" w:space="0" w:color="auto"/>
      </w:divBdr>
    </w:div>
    <w:div w:id="1335306687">
      <w:bodyDiv w:val="1"/>
      <w:marLeft w:val="0"/>
      <w:marRight w:val="0"/>
      <w:marTop w:val="0"/>
      <w:marBottom w:val="0"/>
      <w:divBdr>
        <w:top w:val="none" w:sz="0" w:space="0" w:color="auto"/>
        <w:left w:val="none" w:sz="0" w:space="0" w:color="auto"/>
        <w:bottom w:val="none" w:sz="0" w:space="0" w:color="auto"/>
        <w:right w:val="none" w:sz="0" w:space="0" w:color="auto"/>
      </w:divBdr>
      <w:divsChild>
        <w:div w:id="868759905">
          <w:marLeft w:val="0"/>
          <w:marRight w:val="0"/>
          <w:marTop w:val="0"/>
          <w:marBottom w:val="0"/>
          <w:divBdr>
            <w:top w:val="none" w:sz="0" w:space="0" w:color="auto"/>
            <w:left w:val="none" w:sz="0" w:space="0" w:color="auto"/>
            <w:bottom w:val="none" w:sz="0" w:space="0" w:color="auto"/>
            <w:right w:val="none" w:sz="0" w:space="0" w:color="auto"/>
          </w:divBdr>
          <w:divsChild>
            <w:div w:id="902717471">
              <w:marLeft w:val="0"/>
              <w:marRight w:val="0"/>
              <w:marTop w:val="0"/>
              <w:marBottom w:val="0"/>
              <w:divBdr>
                <w:top w:val="none" w:sz="0" w:space="0" w:color="auto"/>
                <w:left w:val="none" w:sz="0" w:space="0" w:color="auto"/>
                <w:bottom w:val="none" w:sz="0" w:space="0" w:color="auto"/>
                <w:right w:val="none" w:sz="0" w:space="0" w:color="auto"/>
              </w:divBdr>
              <w:divsChild>
                <w:div w:id="16947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0848">
      <w:bodyDiv w:val="1"/>
      <w:marLeft w:val="0"/>
      <w:marRight w:val="0"/>
      <w:marTop w:val="0"/>
      <w:marBottom w:val="0"/>
      <w:divBdr>
        <w:top w:val="none" w:sz="0" w:space="0" w:color="auto"/>
        <w:left w:val="none" w:sz="0" w:space="0" w:color="auto"/>
        <w:bottom w:val="none" w:sz="0" w:space="0" w:color="auto"/>
        <w:right w:val="none" w:sz="0" w:space="0" w:color="auto"/>
      </w:divBdr>
    </w:div>
    <w:div w:id="1637762465">
      <w:bodyDiv w:val="1"/>
      <w:marLeft w:val="0"/>
      <w:marRight w:val="0"/>
      <w:marTop w:val="0"/>
      <w:marBottom w:val="0"/>
      <w:divBdr>
        <w:top w:val="none" w:sz="0" w:space="0" w:color="auto"/>
        <w:left w:val="none" w:sz="0" w:space="0" w:color="auto"/>
        <w:bottom w:val="none" w:sz="0" w:space="0" w:color="auto"/>
        <w:right w:val="none" w:sz="0" w:space="0" w:color="auto"/>
      </w:divBdr>
    </w:div>
    <w:div w:id="1677078222">
      <w:bodyDiv w:val="1"/>
      <w:marLeft w:val="0"/>
      <w:marRight w:val="0"/>
      <w:marTop w:val="0"/>
      <w:marBottom w:val="0"/>
      <w:divBdr>
        <w:top w:val="none" w:sz="0" w:space="0" w:color="auto"/>
        <w:left w:val="none" w:sz="0" w:space="0" w:color="auto"/>
        <w:bottom w:val="none" w:sz="0" w:space="0" w:color="auto"/>
        <w:right w:val="none" w:sz="0" w:space="0" w:color="auto"/>
      </w:divBdr>
    </w:div>
    <w:div w:id="1678146617">
      <w:bodyDiv w:val="1"/>
      <w:marLeft w:val="0"/>
      <w:marRight w:val="0"/>
      <w:marTop w:val="0"/>
      <w:marBottom w:val="0"/>
      <w:divBdr>
        <w:top w:val="none" w:sz="0" w:space="0" w:color="auto"/>
        <w:left w:val="none" w:sz="0" w:space="0" w:color="auto"/>
        <w:bottom w:val="none" w:sz="0" w:space="0" w:color="auto"/>
        <w:right w:val="none" w:sz="0" w:space="0" w:color="auto"/>
      </w:divBdr>
    </w:div>
    <w:div w:id="1803961027">
      <w:bodyDiv w:val="1"/>
      <w:marLeft w:val="0"/>
      <w:marRight w:val="0"/>
      <w:marTop w:val="0"/>
      <w:marBottom w:val="0"/>
      <w:divBdr>
        <w:top w:val="none" w:sz="0" w:space="0" w:color="auto"/>
        <w:left w:val="none" w:sz="0" w:space="0" w:color="auto"/>
        <w:bottom w:val="none" w:sz="0" w:space="0" w:color="auto"/>
        <w:right w:val="none" w:sz="0" w:space="0" w:color="auto"/>
      </w:divBdr>
    </w:div>
    <w:div w:id="1929800493">
      <w:bodyDiv w:val="1"/>
      <w:marLeft w:val="0"/>
      <w:marRight w:val="0"/>
      <w:marTop w:val="0"/>
      <w:marBottom w:val="0"/>
      <w:divBdr>
        <w:top w:val="none" w:sz="0" w:space="0" w:color="auto"/>
        <w:left w:val="none" w:sz="0" w:space="0" w:color="auto"/>
        <w:bottom w:val="none" w:sz="0" w:space="0" w:color="auto"/>
        <w:right w:val="none" w:sz="0" w:space="0" w:color="auto"/>
      </w:divBdr>
    </w:div>
    <w:div w:id="1948390305">
      <w:bodyDiv w:val="1"/>
      <w:marLeft w:val="0"/>
      <w:marRight w:val="0"/>
      <w:marTop w:val="0"/>
      <w:marBottom w:val="0"/>
      <w:divBdr>
        <w:top w:val="none" w:sz="0" w:space="0" w:color="auto"/>
        <w:left w:val="none" w:sz="0" w:space="0" w:color="auto"/>
        <w:bottom w:val="none" w:sz="0" w:space="0" w:color="auto"/>
        <w:right w:val="none" w:sz="0" w:space="0" w:color="auto"/>
      </w:divBdr>
      <w:divsChild>
        <w:div w:id="1057512457">
          <w:marLeft w:val="0"/>
          <w:marRight w:val="0"/>
          <w:marTop w:val="0"/>
          <w:marBottom w:val="0"/>
          <w:divBdr>
            <w:top w:val="none" w:sz="0" w:space="0" w:color="auto"/>
            <w:left w:val="none" w:sz="0" w:space="0" w:color="auto"/>
            <w:bottom w:val="none" w:sz="0" w:space="0" w:color="auto"/>
            <w:right w:val="none" w:sz="0" w:space="0" w:color="auto"/>
          </w:divBdr>
          <w:divsChild>
            <w:div w:id="1965113257">
              <w:marLeft w:val="0"/>
              <w:marRight w:val="0"/>
              <w:marTop w:val="0"/>
              <w:marBottom w:val="0"/>
              <w:divBdr>
                <w:top w:val="none" w:sz="0" w:space="0" w:color="auto"/>
                <w:left w:val="none" w:sz="0" w:space="0" w:color="auto"/>
                <w:bottom w:val="none" w:sz="0" w:space="0" w:color="auto"/>
                <w:right w:val="none" w:sz="0" w:space="0" w:color="auto"/>
              </w:divBdr>
              <w:divsChild>
                <w:div w:id="5243673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45448261">
      <w:bodyDiv w:val="1"/>
      <w:marLeft w:val="0"/>
      <w:marRight w:val="0"/>
      <w:marTop w:val="0"/>
      <w:marBottom w:val="0"/>
      <w:divBdr>
        <w:top w:val="none" w:sz="0" w:space="0" w:color="auto"/>
        <w:left w:val="none" w:sz="0" w:space="0" w:color="auto"/>
        <w:bottom w:val="none" w:sz="0" w:space="0" w:color="auto"/>
        <w:right w:val="none" w:sz="0" w:space="0" w:color="auto"/>
      </w:divBdr>
    </w:div>
    <w:div w:id="2051489887">
      <w:bodyDiv w:val="1"/>
      <w:marLeft w:val="0"/>
      <w:marRight w:val="0"/>
      <w:marTop w:val="0"/>
      <w:marBottom w:val="0"/>
      <w:divBdr>
        <w:top w:val="none" w:sz="0" w:space="0" w:color="auto"/>
        <w:left w:val="none" w:sz="0" w:space="0" w:color="auto"/>
        <w:bottom w:val="none" w:sz="0" w:space="0" w:color="auto"/>
        <w:right w:val="none" w:sz="0" w:space="0" w:color="auto"/>
      </w:divBdr>
      <w:divsChild>
        <w:div w:id="1938950895">
          <w:marLeft w:val="0"/>
          <w:marRight w:val="0"/>
          <w:marTop w:val="0"/>
          <w:marBottom w:val="0"/>
          <w:divBdr>
            <w:top w:val="none" w:sz="0" w:space="0" w:color="auto"/>
            <w:left w:val="none" w:sz="0" w:space="0" w:color="auto"/>
            <w:bottom w:val="none" w:sz="0" w:space="0" w:color="auto"/>
            <w:right w:val="none" w:sz="0" w:space="0" w:color="auto"/>
          </w:divBdr>
          <w:divsChild>
            <w:div w:id="1422994071">
              <w:marLeft w:val="0"/>
              <w:marRight w:val="0"/>
              <w:marTop w:val="0"/>
              <w:marBottom w:val="0"/>
              <w:divBdr>
                <w:top w:val="none" w:sz="0" w:space="0" w:color="auto"/>
                <w:left w:val="none" w:sz="0" w:space="0" w:color="auto"/>
                <w:bottom w:val="none" w:sz="0" w:space="0" w:color="auto"/>
                <w:right w:val="none" w:sz="0" w:space="0" w:color="auto"/>
              </w:divBdr>
              <w:divsChild>
                <w:div w:id="1926525365">
                  <w:marLeft w:val="0"/>
                  <w:marRight w:val="0"/>
                  <w:marTop w:val="0"/>
                  <w:marBottom w:val="0"/>
                  <w:divBdr>
                    <w:top w:val="none" w:sz="0" w:space="0" w:color="auto"/>
                    <w:left w:val="none" w:sz="0" w:space="0" w:color="auto"/>
                    <w:bottom w:val="none" w:sz="0" w:space="0" w:color="auto"/>
                    <w:right w:val="none" w:sz="0" w:space="0" w:color="auto"/>
                  </w:divBdr>
                  <w:divsChild>
                    <w:div w:id="9143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18766">
      <w:bodyDiv w:val="1"/>
      <w:marLeft w:val="0"/>
      <w:marRight w:val="0"/>
      <w:marTop w:val="0"/>
      <w:marBottom w:val="0"/>
      <w:divBdr>
        <w:top w:val="none" w:sz="0" w:space="0" w:color="auto"/>
        <w:left w:val="none" w:sz="0" w:space="0" w:color="auto"/>
        <w:bottom w:val="none" w:sz="0" w:space="0" w:color="auto"/>
        <w:right w:val="none" w:sz="0" w:space="0" w:color="auto"/>
      </w:divBdr>
      <w:divsChild>
        <w:div w:id="775247384">
          <w:marLeft w:val="0"/>
          <w:marRight w:val="0"/>
          <w:marTop w:val="0"/>
          <w:marBottom w:val="0"/>
          <w:divBdr>
            <w:top w:val="none" w:sz="0" w:space="0" w:color="auto"/>
            <w:left w:val="none" w:sz="0" w:space="0" w:color="auto"/>
            <w:bottom w:val="none" w:sz="0" w:space="0" w:color="auto"/>
            <w:right w:val="none" w:sz="0" w:space="0" w:color="auto"/>
          </w:divBdr>
          <w:divsChild>
            <w:div w:id="1428230863">
              <w:marLeft w:val="0"/>
              <w:marRight w:val="0"/>
              <w:marTop w:val="0"/>
              <w:marBottom w:val="0"/>
              <w:divBdr>
                <w:top w:val="none" w:sz="0" w:space="0" w:color="auto"/>
                <w:left w:val="none" w:sz="0" w:space="0" w:color="auto"/>
                <w:bottom w:val="none" w:sz="0" w:space="0" w:color="auto"/>
                <w:right w:val="none" w:sz="0" w:space="0" w:color="auto"/>
              </w:divBdr>
              <w:divsChild>
                <w:div w:id="168375315">
                  <w:marLeft w:val="0"/>
                  <w:marRight w:val="0"/>
                  <w:marTop w:val="0"/>
                  <w:marBottom w:val="0"/>
                  <w:divBdr>
                    <w:top w:val="none" w:sz="0" w:space="0" w:color="auto"/>
                    <w:left w:val="none" w:sz="0" w:space="0" w:color="auto"/>
                    <w:bottom w:val="none" w:sz="0" w:space="0" w:color="auto"/>
                    <w:right w:val="none" w:sz="0" w:space="0" w:color="auto"/>
                  </w:divBdr>
                  <w:divsChild>
                    <w:div w:id="19359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ichael.marks@lshtm.ac.uk" TargetMode="External"/><Relationship Id="rId10" Type="http://schemas.openxmlformats.org/officeDocument/2006/relationships/hyperlink" Target="mailto:david.mabey@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BA1F9-A465-CD4F-AD1F-C9A2EA39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18072</Words>
  <Characters>103016</Characters>
  <Application>Microsoft Macintosh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LSHTM</Company>
  <LinksUpToDate>false</LinksUpToDate>
  <CharactersWithSpaces>120847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Marks</dc:creator>
  <cp:lastModifiedBy>Michael Marks</cp:lastModifiedBy>
  <cp:revision>5</cp:revision>
  <dcterms:created xsi:type="dcterms:W3CDTF">2016-05-12T11:10:00Z</dcterms:created>
  <dcterms:modified xsi:type="dcterms:W3CDTF">2016-05-12T11:12:00Z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id="sagBNe2G"/&gt;&lt;style id="http://www.zotero.org/styles/clinical-infectious-diseases" hasBibliography="1" bibliographyStyleHasBeenSet="1"/&gt;&lt;prefs&gt;&lt;pref name="fieldType" value="Field"/&gt;&lt;pref name="st</vt:lpwstr>
  </property>
  <property fmtid="{D5CDD505-2E9C-101B-9397-08002B2CF9AE}" pid="3" name="ZOTERO_PREF_2">
    <vt:lpwstr>oreReferences" value="true"/&gt;&lt;pref name="automaticJournalAbbreviations" value="true"/&gt;&lt;pref name="noteType" value=""/&gt;&lt;/prefs&gt;&lt;/data&gt;</vt:lpwstr>
  </property>
</Properties>
</file>