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2A01" w14:textId="4B5E83EC" w:rsidR="00B826A9" w:rsidRPr="00765A5B" w:rsidRDefault="00FB6B44" w:rsidP="00B826A9">
      <w:pPr>
        <w:rPr>
          <w:b/>
          <w:sz w:val="28"/>
          <w:szCs w:val="28"/>
        </w:rPr>
      </w:pPr>
      <w:r w:rsidRPr="00765A5B">
        <w:rPr>
          <w:b/>
          <w:sz w:val="28"/>
          <w:szCs w:val="28"/>
        </w:rPr>
        <w:t xml:space="preserve">Mental </w:t>
      </w:r>
      <w:r w:rsidR="00B826A9" w:rsidRPr="00765A5B">
        <w:rPr>
          <w:b/>
          <w:sz w:val="28"/>
          <w:szCs w:val="28"/>
        </w:rPr>
        <w:t>health inequalities among gay and bisexual men in England, Scotland and Wales</w:t>
      </w:r>
      <w:r w:rsidR="00765A5B" w:rsidRPr="00765A5B">
        <w:rPr>
          <w:b/>
          <w:sz w:val="28"/>
          <w:szCs w:val="28"/>
        </w:rPr>
        <w:t>: a large community-based cross-sectional survey</w:t>
      </w:r>
    </w:p>
    <w:p w14:paraId="3A45FE3B" w14:textId="77777777" w:rsidR="00DE1523" w:rsidRDefault="00DE1523" w:rsidP="00DE1523">
      <w:pPr>
        <w:spacing w:line="259" w:lineRule="auto"/>
        <w:rPr>
          <w:rFonts w:ascii="Calibri" w:eastAsia="Times New Roman" w:hAnsi="Calibri" w:cs="Calibri"/>
          <w:lang w:eastAsia="en-GB"/>
        </w:rPr>
      </w:pPr>
    </w:p>
    <w:p w14:paraId="243D00BB" w14:textId="1AB605EC" w:rsidR="00DE1523" w:rsidRPr="00DE1523" w:rsidRDefault="00DE1523" w:rsidP="00DE1523">
      <w:pPr>
        <w:spacing w:line="259" w:lineRule="auto"/>
        <w:rPr>
          <w:rFonts w:ascii="Calibri" w:eastAsia="Times New Roman" w:hAnsi="Calibri" w:cs="Calibri"/>
          <w:vertAlign w:val="superscript"/>
          <w:lang w:eastAsia="en-GB"/>
        </w:rPr>
      </w:pPr>
      <w:r w:rsidRPr="00DE1523">
        <w:rPr>
          <w:rFonts w:ascii="Calibri" w:eastAsia="Times New Roman" w:hAnsi="Calibri" w:cs="Calibri"/>
          <w:lang w:eastAsia="en-GB"/>
        </w:rPr>
        <w:t>Ford</w:t>
      </w:r>
      <w:r w:rsidR="00523F91">
        <w:rPr>
          <w:rFonts w:ascii="Calibri" w:eastAsia="Times New Roman" w:hAnsi="Calibri" w:cs="Calibri"/>
          <w:lang w:eastAsia="en-GB"/>
        </w:rPr>
        <w:t xml:space="preserve"> Hickson, L</w:t>
      </w:r>
      <w:r w:rsidRPr="00DE1523">
        <w:rPr>
          <w:rFonts w:ascii="Calibri" w:eastAsia="Times New Roman" w:hAnsi="Calibri" w:cs="Calibri"/>
          <w:lang w:eastAsia="en-GB"/>
        </w:rPr>
        <w:t>ecturer</w:t>
      </w:r>
      <w:r w:rsidR="009E1065">
        <w:rPr>
          <w:rFonts w:ascii="Calibri" w:eastAsia="Times New Roman" w:hAnsi="Calibri" w:cs="Calibri"/>
          <w:vertAlign w:val="superscript"/>
          <w:lang w:eastAsia="en-GB"/>
        </w:rPr>
        <w:t xml:space="preserve"> *</w:t>
      </w:r>
    </w:p>
    <w:p w14:paraId="5A48EA01" w14:textId="35B16C03" w:rsidR="00DE1523" w:rsidRPr="00DE1523" w:rsidRDefault="00DE1523" w:rsidP="00DE1523">
      <w:pPr>
        <w:spacing w:line="259" w:lineRule="auto"/>
        <w:rPr>
          <w:rFonts w:ascii="Calibri" w:eastAsia="Times New Roman" w:hAnsi="Calibri" w:cs="Calibri"/>
          <w:vertAlign w:val="superscript"/>
          <w:lang w:eastAsia="en-GB"/>
        </w:rPr>
      </w:pPr>
      <w:r w:rsidRPr="00DE1523">
        <w:rPr>
          <w:rFonts w:ascii="Calibri" w:eastAsia="Times New Roman" w:hAnsi="Calibri" w:cs="Calibri"/>
          <w:lang w:eastAsia="en-GB"/>
        </w:rPr>
        <w:t xml:space="preserve">Calum Davey, </w:t>
      </w:r>
      <w:r w:rsidR="00523F91">
        <w:rPr>
          <w:rFonts w:ascii="Calibri" w:eastAsia="Times New Roman" w:hAnsi="Calibri" w:cs="Calibri"/>
          <w:lang w:eastAsia="en-GB"/>
        </w:rPr>
        <w:t>R</w:t>
      </w:r>
      <w:r w:rsidRPr="00DE1523">
        <w:rPr>
          <w:rFonts w:ascii="Calibri" w:eastAsia="Times New Roman" w:hAnsi="Calibri" w:cs="Calibri"/>
          <w:lang w:eastAsia="en-GB"/>
        </w:rPr>
        <w:t xml:space="preserve">esearch </w:t>
      </w:r>
      <w:r w:rsidR="00523F91">
        <w:rPr>
          <w:rFonts w:ascii="Calibri" w:eastAsia="Times New Roman" w:hAnsi="Calibri" w:cs="Calibri"/>
          <w:lang w:eastAsia="en-GB"/>
        </w:rPr>
        <w:t>F</w:t>
      </w:r>
      <w:r w:rsidRPr="00DE1523">
        <w:rPr>
          <w:rFonts w:ascii="Calibri" w:eastAsia="Times New Roman" w:hAnsi="Calibri" w:cs="Calibri"/>
          <w:lang w:eastAsia="en-GB"/>
        </w:rPr>
        <w:t>ellow</w:t>
      </w:r>
    </w:p>
    <w:p w14:paraId="1CED9CB3" w14:textId="1F573B28" w:rsidR="00DE1523" w:rsidRPr="00DE1523" w:rsidRDefault="00DE1523" w:rsidP="00DE1523">
      <w:pPr>
        <w:spacing w:line="259" w:lineRule="auto"/>
        <w:rPr>
          <w:rFonts w:ascii="Calibri" w:eastAsia="Times New Roman" w:hAnsi="Calibri" w:cs="Calibri"/>
          <w:vertAlign w:val="superscript"/>
          <w:lang w:eastAsia="en-GB"/>
        </w:rPr>
      </w:pPr>
      <w:r w:rsidRPr="00DE1523">
        <w:rPr>
          <w:rFonts w:ascii="Calibri" w:eastAsia="Times New Roman" w:hAnsi="Calibri" w:cs="Calibri"/>
          <w:lang w:eastAsia="en-GB"/>
        </w:rPr>
        <w:t xml:space="preserve">David Reid, </w:t>
      </w:r>
      <w:r w:rsidR="00523F91">
        <w:rPr>
          <w:rFonts w:ascii="Calibri" w:eastAsia="Times New Roman" w:hAnsi="Calibri" w:cs="Calibri"/>
          <w:lang w:eastAsia="en-GB"/>
        </w:rPr>
        <w:t>R</w:t>
      </w:r>
      <w:r w:rsidRPr="00DE1523">
        <w:rPr>
          <w:rFonts w:ascii="Calibri" w:eastAsia="Times New Roman" w:hAnsi="Calibri" w:cs="Calibri"/>
          <w:lang w:eastAsia="en-GB"/>
        </w:rPr>
        <w:t xml:space="preserve">esearch </w:t>
      </w:r>
      <w:r w:rsidR="00523F91">
        <w:rPr>
          <w:rFonts w:ascii="Calibri" w:eastAsia="Times New Roman" w:hAnsi="Calibri" w:cs="Calibri"/>
          <w:lang w:eastAsia="en-GB"/>
        </w:rPr>
        <w:t>F</w:t>
      </w:r>
      <w:r w:rsidRPr="00DE1523">
        <w:rPr>
          <w:rFonts w:ascii="Calibri" w:eastAsia="Times New Roman" w:hAnsi="Calibri" w:cs="Calibri"/>
          <w:lang w:eastAsia="en-GB"/>
        </w:rPr>
        <w:t>ellow</w:t>
      </w:r>
    </w:p>
    <w:p w14:paraId="2F143251" w14:textId="3EF11428" w:rsidR="00DE1523" w:rsidRPr="00DE1523" w:rsidRDefault="00DE1523" w:rsidP="00DE1523">
      <w:pPr>
        <w:spacing w:line="259" w:lineRule="auto"/>
        <w:rPr>
          <w:rFonts w:ascii="Calibri" w:eastAsia="Times New Roman" w:hAnsi="Calibri" w:cs="Calibri"/>
          <w:lang w:eastAsia="en-GB"/>
        </w:rPr>
      </w:pPr>
      <w:r w:rsidRPr="00DE1523">
        <w:rPr>
          <w:rFonts w:ascii="Calibri" w:eastAsia="Times New Roman" w:hAnsi="Calibri" w:cs="Calibri"/>
          <w:lang w:eastAsia="en-GB"/>
        </w:rPr>
        <w:t xml:space="preserve">Peter </w:t>
      </w:r>
      <w:proofErr w:type="spellStart"/>
      <w:r w:rsidRPr="00DE1523">
        <w:rPr>
          <w:rFonts w:ascii="Calibri" w:eastAsia="Times New Roman" w:hAnsi="Calibri" w:cs="Calibri"/>
          <w:lang w:eastAsia="en-GB"/>
        </w:rPr>
        <w:t>Weatherburn</w:t>
      </w:r>
      <w:proofErr w:type="spellEnd"/>
      <w:r w:rsidRPr="00DE1523">
        <w:rPr>
          <w:rFonts w:ascii="Calibri" w:eastAsia="Times New Roman" w:hAnsi="Calibri" w:cs="Calibri"/>
          <w:lang w:eastAsia="en-GB"/>
        </w:rPr>
        <w:t xml:space="preserve">, </w:t>
      </w:r>
      <w:r w:rsidR="00523F91">
        <w:rPr>
          <w:rFonts w:ascii="Calibri" w:eastAsia="Times New Roman" w:hAnsi="Calibri" w:cs="Calibri"/>
          <w:lang w:eastAsia="en-GB"/>
        </w:rPr>
        <w:t>S</w:t>
      </w:r>
      <w:r w:rsidRPr="00DE1523">
        <w:rPr>
          <w:rFonts w:ascii="Calibri" w:eastAsia="Times New Roman" w:hAnsi="Calibri" w:cs="Calibri"/>
          <w:lang w:eastAsia="en-GB"/>
        </w:rPr>
        <w:t xml:space="preserve">enior </w:t>
      </w:r>
      <w:r w:rsidR="00523F91">
        <w:rPr>
          <w:rFonts w:ascii="Calibri" w:eastAsia="Times New Roman" w:hAnsi="Calibri" w:cs="Calibri"/>
          <w:lang w:eastAsia="en-GB"/>
        </w:rPr>
        <w:t>L</w:t>
      </w:r>
      <w:r w:rsidRPr="00DE1523">
        <w:rPr>
          <w:rFonts w:ascii="Calibri" w:eastAsia="Times New Roman" w:hAnsi="Calibri" w:cs="Calibri"/>
          <w:lang w:eastAsia="en-GB"/>
        </w:rPr>
        <w:t>ecturer</w:t>
      </w:r>
    </w:p>
    <w:p w14:paraId="20A66872" w14:textId="0FEDBBBD" w:rsidR="00715AA9" w:rsidRPr="00DE1523" w:rsidRDefault="00715AA9" w:rsidP="00715AA9">
      <w:pPr>
        <w:spacing w:line="259" w:lineRule="auto"/>
        <w:rPr>
          <w:vertAlign w:val="superscript"/>
          <w:lang w:eastAsia="en-GB"/>
        </w:rPr>
      </w:pPr>
      <w:r w:rsidRPr="00DE1523">
        <w:rPr>
          <w:lang w:eastAsia="en-GB"/>
        </w:rPr>
        <w:t xml:space="preserve">Adam Bourne, </w:t>
      </w:r>
      <w:r>
        <w:rPr>
          <w:lang w:eastAsia="en-GB"/>
        </w:rPr>
        <w:t>L</w:t>
      </w:r>
      <w:r w:rsidRPr="00DE1523">
        <w:rPr>
          <w:lang w:eastAsia="en-GB"/>
        </w:rPr>
        <w:t>ecturer</w:t>
      </w:r>
    </w:p>
    <w:p w14:paraId="6663FE22" w14:textId="77777777" w:rsidR="00B826A9" w:rsidRDefault="00B826A9" w:rsidP="00B826A9">
      <w:pPr>
        <w:rPr>
          <w:b/>
        </w:rPr>
      </w:pPr>
    </w:p>
    <w:p w14:paraId="22168B5F" w14:textId="4DE9E10C" w:rsidR="00C97366" w:rsidRPr="002F5628" w:rsidRDefault="00C97366" w:rsidP="00B826A9">
      <w:pPr>
        <w:rPr>
          <w:lang w:eastAsia="en-GB"/>
        </w:rPr>
      </w:pPr>
      <w:r w:rsidRPr="002F5628">
        <w:rPr>
          <w:lang w:eastAsia="en-GB"/>
        </w:rPr>
        <w:t xml:space="preserve">Sigma Research, </w:t>
      </w:r>
      <w:r w:rsidR="00F81E3E">
        <w:rPr>
          <w:lang w:eastAsia="en-GB"/>
        </w:rPr>
        <w:t xml:space="preserve">Department of Social &amp; Environmental Health Research, </w:t>
      </w:r>
      <w:r w:rsidRPr="002F5628">
        <w:rPr>
          <w:lang w:eastAsia="en-GB"/>
        </w:rPr>
        <w:t>London School of Hygiene &amp; Tropical Medicine,</w:t>
      </w:r>
      <w:r w:rsidR="00961C4C">
        <w:rPr>
          <w:lang w:eastAsia="en-GB"/>
        </w:rPr>
        <w:t xml:space="preserve"> London WC1H 9SH, </w:t>
      </w:r>
      <w:r w:rsidRPr="002F5628">
        <w:rPr>
          <w:lang w:eastAsia="en-GB"/>
        </w:rPr>
        <w:t>U</w:t>
      </w:r>
      <w:r w:rsidR="00961C4C">
        <w:rPr>
          <w:lang w:eastAsia="en-GB"/>
        </w:rPr>
        <w:t>nited Kingdom</w:t>
      </w:r>
    </w:p>
    <w:p w14:paraId="147F26C7" w14:textId="77777777" w:rsidR="00C97366" w:rsidRPr="002F5628" w:rsidRDefault="00C97366" w:rsidP="00B826A9">
      <w:pPr>
        <w:rPr>
          <w:b/>
          <w:lang w:eastAsia="en-GB"/>
        </w:rPr>
      </w:pPr>
    </w:p>
    <w:p w14:paraId="6CFF6453" w14:textId="77777777" w:rsidR="00C97366" w:rsidRPr="002F5628" w:rsidRDefault="00C97366" w:rsidP="00B826A9">
      <w:pPr>
        <w:rPr>
          <w:lang w:eastAsia="en-GB"/>
        </w:rPr>
      </w:pPr>
      <w:r w:rsidRPr="002F5628">
        <w:rPr>
          <w:lang w:eastAsia="en-GB"/>
        </w:rPr>
        <w:t>* Corresponding Author</w:t>
      </w:r>
    </w:p>
    <w:p w14:paraId="1CB8C1A9" w14:textId="63373673" w:rsidR="00C97366" w:rsidRPr="002F5628" w:rsidRDefault="00397967" w:rsidP="00B826A9">
      <w:pPr>
        <w:rPr>
          <w:lang w:eastAsia="en-GB"/>
        </w:rPr>
      </w:pPr>
      <w:hyperlink r:id="rId8" w:history="1">
        <w:r w:rsidR="00C97366" w:rsidRPr="00AB444C">
          <w:rPr>
            <w:rStyle w:val="Hyperlink"/>
            <w:rFonts w:ascii="Calibri" w:eastAsia="Times New Roman" w:hAnsi="Calibri" w:cs="Calibri"/>
            <w:lang w:eastAsia="en-GB"/>
          </w:rPr>
          <w:t>ford.hickson@lshtm.ac.uk</w:t>
        </w:r>
      </w:hyperlink>
      <w:r w:rsidR="00C97366" w:rsidRPr="002F5628">
        <w:rPr>
          <w:lang w:eastAsia="en-GB"/>
        </w:rPr>
        <w:t xml:space="preserve"> </w:t>
      </w:r>
    </w:p>
    <w:p w14:paraId="76EA2D75" w14:textId="77777777" w:rsidR="00C97366" w:rsidRPr="002F5628" w:rsidRDefault="00C97366" w:rsidP="00B826A9">
      <w:pPr>
        <w:rPr>
          <w:lang w:eastAsia="en-GB"/>
        </w:rPr>
      </w:pPr>
      <w:r w:rsidRPr="002F5628">
        <w:rPr>
          <w:lang w:eastAsia="en-GB"/>
        </w:rPr>
        <w:t>London School of Hygiene &amp; Tropical Medicine</w:t>
      </w:r>
    </w:p>
    <w:p w14:paraId="10DEE322" w14:textId="77777777" w:rsidR="00C97366" w:rsidRPr="002F5628" w:rsidRDefault="00C97366" w:rsidP="00B826A9">
      <w:pPr>
        <w:rPr>
          <w:lang w:eastAsia="en-GB"/>
        </w:rPr>
      </w:pPr>
      <w:r w:rsidRPr="002F5628">
        <w:rPr>
          <w:lang w:eastAsia="en-GB"/>
        </w:rPr>
        <w:t>15-17 Tavistock Place</w:t>
      </w:r>
    </w:p>
    <w:p w14:paraId="51BC4C1E" w14:textId="77777777" w:rsidR="00C97366" w:rsidRPr="002F5628" w:rsidRDefault="00C97366" w:rsidP="00B826A9">
      <w:pPr>
        <w:rPr>
          <w:lang w:eastAsia="en-GB"/>
        </w:rPr>
      </w:pPr>
      <w:r w:rsidRPr="002F5628">
        <w:rPr>
          <w:lang w:eastAsia="en-GB"/>
        </w:rPr>
        <w:t>London WC1H 9SH</w:t>
      </w:r>
    </w:p>
    <w:p w14:paraId="3FC100A7" w14:textId="77777777" w:rsidR="00C97366" w:rsidRPr="002F5628" w:rsidRDefault="00C97366" w:rsidP="00B826A9">
      <w:pPr>
        <w:rPr>
          <w:lang w:eastAsia="en-GB"/>
        </w:rPr>
      </w:pPr>
      <w:r w:rsidRPr="002F5628">
        <w:rPr>
          <w:lang w:eastAsia="en-GB"/>
        </w:rPr>
        <w:t>Telephone: 020 7927 2793</w:t>
      </w:r>
    </w:p>
    <w:p w14:paraId="6A42D3C4" w14:textId="77777777" w:rsidR="00C97366" w:rsidRPr="002F5628" w:rsidRDefault="00C97366" w:rsidP="00B826A9">
      <w:pPr>
        <w:rPr>
          <w:lang w:eastAsia="en-GB"/>
        </w:rPr>
      </w:pPr>
      <w:r w:rsidRPr="002F5628">
        <w:rPr>
          <w:lang w:eastAsia="en-GB"/>
        </w:rPr>
        <w:t>Fax: 020 7927 2701</w:t>
      </w:r>
    </w:p>
    <w:p w14:paraId="20C302E3" w14:textId="77777777" w:rsidR="00C97366" w:rsidRPr="002F5628" w:rsidRDefault="00C97366" w:rsidP="00C97366">
      <w:pPr>
        <w:widowControl w:val="0"/>
        <w:spacing w:after="0"/>
        <w:rPr>
          <w:rFonts w:ascii="Calibri" w:eastAsia="Arial" w:hAnsi="Calibri" w:cs="Calibri"/>
          <w:b/>
          <w:color w:val="000000"/>
          <w:lang w:eastAsia="en-GB"/>
        </w:rPr>
      </w:pPr>
    </w:p>
    <w:p w14:paraId="5830B7D0" w14:textId="77777777" w:rsidR="00C97366" w:rsidRDefault="00C97366" w:rsidP="008C203B">
      <w:pPr>
        <w:rPr>
          <w:rFonts w:ascii="Calibri" w:eastAsia="Arial" w:hAnsi="Calibri" w:cs="Calibri"/>
          <w:b/>
          <w:color w:val="000000"/>
          <w:lang w:eastAsia="en-GB"/>
        </w:rPr>
      </w:pPr>
    </w:p>
    <w:p w14:paraId="63B00927" w14:textId="63EDC1BE" w:rsidR="00882343" w:rsidRDefault="00C97366" w:rsidP="008C203B">
      <w:pPr>
        <w:rPr>
          <w:rFonts w:ascii="Calibri" w:eastAsia="Arial" w:hAnsi="Calibri" w:cs="Calibri"/>
          <w:b/>
          <w:color w:val="000000"/>
          <w:lang w:eastAsia="en-GB"/>
        </w:rPr>
      </w:pPr>
      <w:r>
        <w:rPr>
          <w:rFonts w:ascii="Calibri" w:eastAsia="Arial" w:hAnsi="Calibri" w:cs="Calibri"/>
          <w:b/>
          <w:color w:val="000000"/>
          <w:lang w:eastAsia="en-GB"/>
        </w:rPr>
        <w:t xml:space="preserve">Word </w:t>
      </w:r>
      <w:r w:rsidR="003D53A4">
        <w:rPr>
          <w:rFonts w:ascii="Calibri" w:eastAsia="Arial" w:hAnsi="Calibri" w:cs="Calibri"/>
          <w:b/>
          <w:color w:val="000000"/>
          <w:lang w:eastAsia="en-GB"/>
        </w:rPr>
        <w:t>c</w:t>
      </w:r>
      <w:r>
        <w:rPr>
          <w:rFonts w:ascii="Calibri" w:eastAsia="Arial" w:hAnsi="Calibri" w:cs="Calibri"/>
          <w:b/>
          <w:color w:val="000000"/>
          <w:lang w:eastAsia="en-GB"/>
        </w:rPr>
        <w:t>ount (Introduction to conclusion):</w:t>
      </w:r>
      <w:r w:rsidR="003D53A4">
        <w:rPr>
          <w:rFonts w:ascii="Calibri" w:eastAsia="Arial" w:hAnsi="Calibri" w:cs="Calibri"/>
          <w:b/>
          <w:color w:val="000000"/>
          <w:lang w:eastAsia="en-GB"/>
        </w:rPr>
        <w:t xml:space="preserve"> </w:t>
      </w:r>
      <w:r>
        <w:rPr>
          <w:rFonts w:ascii="Calibri" w:eastAsia="Arial" w:hAnsi="Calibri" w:cs="Calibri"/>
          <w:b/>
          <w:color w:val="000000"/>
          <w:lang w:eastAsia="en-GB"/>
        </w:rPr>
        <w:t xml:space="preserve"> </w:t>
      </w:r>
      <w:r w:rsidR="003D53A4">
        <w:rPr>
          <w:rFonts w:ascii="Calibri" w:eastAsia="Arial" w:hAnsi="Calibri" w:cs="Calibri"/>
          <w:b/>
          <w:color w:val="000000"/>
          <w:lang w:eastAsia="en-GB"/>
        </w:rPr>
        <w:t>2,</w:t>
      </w:r>
      <w:r w:rsidR="00322BCA">
        <w:rPr>
          <w:rFonts w:ascii="Calibri" w:eastAsia="Arial" w:hAnsi="Calibri" w:cs="Calibri"/>
          <w:b/>
          <w:color w:val="000000"/>
          <w:lang w:eastAsia="en-GB"/>
        </w:rPr>
        <w:t>542</w:t>
      </w:r>
    </w:p>
    <w:p w14:paraId="6221C92C" w14:textId="7A7EE283" w:rsidR="003D53A4" w:rsidRDefault="005143F8" w:rsidP="008C203B">
      <w:pPr>
        <w:rPr>
          <w:rFonts w:ascii="Calibri" w:eastAsia="Arial" w:hAnsi="Calibri" w:cs="Calibri"/>
          <w:color w:val="000000"/>
          <w:lang w:eastAsia="en-GB"/>
        </w:rPr>
      </w:pPr>
      <w:r>
        <w:rPr>
          <w:rFonts w:ascii="Calibri" w:eastAsia="Arial" w:hAnsi="Calibri" w:cs="Calibri"/>
          <w:b/>
          <w:color w:val="000000"/>
          <w:lang w:eastAsia="en-GB"/>
        </w:rPr>
        <w:t>Word count (Abstract):  200</w:t>
      </w:r>
    </w:p>
    <w:p w14:paraId="3880D6E1" w14:textId="39847E7E" w:rsidR="00FC0C16" w:rsidRDefault="00FC0C16">
      <w:pPr>
        <w:spacing w:line="259" w:lineRule="auto"/>
        <w:rPr>
          <w:rFonts w:ascii="Calibri" w:eastAsia="Arial" w:hAnsi="Calibri" w:cs="Calibri"/>
          <w:color w:val="000000"/>
          <w:lang w:eastAsia="en-GB"/>
        </w:rPr>
      </w:pPr>
      <w:r>
        <w:rPr>
          <w:rFonts w:ascii="Calibri" w:eastAsia="Arial" w:hAnsi="Calibri" w:cs="Calibri"/>
          <w:color w:val="000000"/>
          <w:lang w:eastAsia="en-GB"/>
        </w:rPr>
        <w:br w:type="page"/>
      </w:r>
    </w:p>
    <w:p w14:paraId="39903ADF" w14:textId="4CC53BD0" w:rsidR="00765A5B" w:rsidRPr="001164A7" w:rsidRDefault="00765A5B" w:rsidP="001164A7">
      <w:pPr>
        <w:rPr>
          <w:b/>
          <w:lang w:eastAsia="en-GB"/>
        </w:rPr>
      </w:pPr>
      <w:r w:rsidRPr="001164A7">
        <w:rPr>
          <w:b/>
          <w:lang w:eastAsia="en-GB"/>
        </w:rPr>
        <w:lastRenderedPageBreak/>
        <w:t>ABSTRACT</w:t>
      </w:r>
    </w:p>
    <w:p w14:paraId="5F69F062" w14:textId="24D82AC1" w:rsidR="00342F4D" w:rsidRDefault="00342F4D" w:rsidP="001164A7">
      <w:pPr>
        <w:rPr>
          <w:lang w:eastAsia="en-GB"/>
        </w:rPr>
      </w:pPr>
      <w:r>
        <w:rPr>
          <w:lang w:eastAsia="en-GB"/>
        </w:rPr>
        <w:t xml:space="preserve">Sexual minorities suffer worse mental health than the sexual majority but little is known about differences in mental health within </w:t>
      </w:r>
      <w:r w:rsidR="001A15A9">
        <w:rPr>
          <w:lang w:eastAsia="en-GB"/>
        </w:rPr>
        <w:t xml:space="preserve">sexual </w:t>
      </w:r>
      <w:r>
        <w:rPr>
          <w:lang w:eastAsia="en-GB"/>
        </w:rPr>
        <w:t xml:space="preserve">minorities. We aimed to describe </w:t>
      </w:r>
      <w:r w:rsidR="001A15A9">
        <w:rPr>
          <w:lang w:eastAsia="en-GB"/>
        </w:rPr>
        <w:t xml:space="preserve">inequality in mental health indicators </w:t>
      </w:r>
      <w:r>
        <w:rPr>
          <w:lang w:eastAsia="en-GB"/>
        </w:rPr>
        <w:t xml:space="preserve">among </w:t>
      </w:r>
      <w:r w:rsidR="001A15A9">
        <w:rPr>
          <w:lang w:eastAsia="en-GB"/>
        </w:rPr>
        <w:t>gay</w:t>
      </w:r>
      <w:r w:rsidR="00D2522F">
        <w:rPr>
          <w:lang w:eastAsia="en-GB"/>
        </w:rPr>
        <w:t xml:space="preserve"> and </w:t>
      </w:r>
      <w:r w:rsidR="001A15A9">
        <w:rPr>
          <w:lang w:eastAsia="en-GB"/>
        </w:rPr>
        <w:t xml:space="preserve">bisexual </w:t>
      </w:r>
      <w:r>
        <w:rPr>
          <w:lang w:eastAsia="en-GB"/>
        </w:rPr>
        <w:t>men</w:t>
      </w:r>
      <w:r w:rsidR="001A15A9">
        <w:rPr>
          <w:lang w:eastAsia="en-GB"/>
        </w:rPr>
        <w:t>.</w:t>
      </w:r>
    </w:p>
    <w:p w14:paraId="3F26B88C" w14:textId="7112C7FB" w:rsidR="004E596E" w:rsidRPr="002D5EF0" w:rsidRDefault="005143F8" w:rsidP="001164A7">
      <w:r>
        <w:rPr>
          <w:lang w:eastAsia="en-GB"/>
        </w:rPr>
        <w:t>Using m</w:t>
      </w:r>
      <w:r w:rsidR="00D643F9">
        <w:rPr>
          <w:lang w:eastAsia="en-GB"/>
        </w:rPr>
        <w:t>ulti-channel c</w:t>
      </w:r>
      <w:r w:rsidR="00342F4D">
        <w:rPr>
          <w:lang w:eastAsia="en-GB"/>
        </w:rPr>
        <w:t xml:space="preserve">ommunity-based opportunistic sampling </w:t>
      </w:r>
      <w:r w:rsidR="00D643F9">
        <w:rPr>
          <w:lang w:eastAsia="en-GB"/>
        </w:rPr>
        <w:t>w</w:t>
      </w:r>
      <w:r>
        <w:rPr>
          <w:lang w:eastAsia="en-GB"/>
        </w:rPr>
        <w:t>e</w:t>
      </w:r>
      <w:r w:rsidR="00D643F9">
        <w:rPr>
          <w:lang w:eastAsia="en-GB"/>
        </w:rPr>
        <w:t xml:space="preserve"> recruit</w:t>
      </w:r>
      <w:r>
        <w:rPr>
          <w:lang w:eastAsia="en-GB"/>
        </w:rPr>
        <w:t>ed</w:t>
      </w:r>
      <w:r w:rsidR="00D643F9">
        <w:rPr>
          <w:lang w:eastAsia="en-GB"/>
        </w:rPr>
        <w:t xml:space="preserve"> </w:t>
      </w:r>
      <w:r>
        <w:rPr>
          <w:rFonts w:ascii="Calibri" w:eastAsia="Arial" w:hAnsi="Calibri" w:cs="Calibri"/>
          <w:color w:val="000000"/>
          <w:lang w:eastAsia="en-GB"/>
        </w:rPr>
        <w:t xml:space="preserve">5799 eligible </w:t>
      </w:r>
      <w:r w:rsidR="00D643F9">
        <w:rPr>
          <w:lang w:eastAsia="en-GB"/>
        </w:rPr>
        <w:t>men aged 16 years and over, living in England</w:t>
      </w:r>
      <w:r w:rsidR="00D2522F">
        <w:rPr>
          <w:lang w:eastAsia="en-GB"/>
        </w:rPr>
        <w:t>,</w:t>
      </w:r>
      <w:r w:rsidR="00D643F9">
        <w:rPr>
          <w:lang w:eastAsia="en-GB"/>
        </w:rPr>
        <w:t xml:space="preserve"> Scotland and Wales and who were sexually attracted to other men, to a self-completion internet health survey.</w:t>
      </w:r>
      <w:r w:rsidR="00632B99">
        <w:rPr>
          <w:lang w:eastAsia="en-GB"/>
        </w:rPr>
        <w:t xml:space="preserve"> Mental health indicators </w:t>
      </w:r>
      <w:r w:rsidR="004E596E">
        <w:rPr>
          <w:lang w:eastAsia="en-GB"/>
        </w:rPr>
        <w:t>(</w:t>
      </w:r>
      <w:r w:rsidR="00632B99">
        <w:rPr>
          <w:lang w:eastAsia="en-GB"/>
        </w:rPr>
        <w:t>depression (PHQ-9), anxiety (GAD-7), suicid</w:t>
      </w:r>
      <w:r w:rsidR="00397967">
        <w:rPr>
          <w:lang w:eastAsia="en-GB"/>
        </w:rPr>
        <w:t>e attempt</w:t>
      </w:r>
      <w:r w:rsidR="004E596E">
        <w:rPr>
          <w:lang w:eastAsia="en-GB"/>
        </w:rPr>
        <w:t xml:space="preserve"> and</w:t>
      </w:r>
      <w:r w:rsidR="00632B99">
        <w:rPr>
          <w:lang w:eastAsia="en-GB"/>
        </w:rPr>
        <w:t xml:space="preserve"> self-harm</w:t>
      </w:r>
      <w:r w:rsidR="004E596E">
        <w:rPr>
          <w:lang w:eastAsia="en-GB"/>
        </w:rPr>
        <w:t>) were examined for independent associations across common axes of inequality (a</w:t>
      </w:r>
      <w:r w:rsidR="004E596E">
        <w:t xml:space="preserve">ge, ethnicity, </w:t>
      </w:r>
      <w:proofErr w:type="spellStart"/>
      <w:r w:rsidR="004E596E">
        <w:t>migrancy</w:t>
      </w:r>
      <w:proofErr w:type="spellEnd"/>
      <w:r w:rsidR="004E596E">
        <w:t>, education, income, cohabitation and living in London).</w:t>
      </w:r>
    </w:p>
    <w:p w14:paraId="56A3E039" w14:textId="28F2DA8D" w:rsidR="00015610" w:rsidRDefault="00015610" w:rsidP="00015610">
      <w:r>
        <w:rPr>
          <w:rFonts w:ascii="Calibri" w:eastAsia="Arial" w:hAnsi="Calibri" w:cs="Calibri"/>
          <w:color w:val="000000"/>
          <w:lang w:eastAsia="en-GB"/>
        </w:rPr>
        <w:t xml:space="preserve">Mental ill-health was common: </w:t>
      </w:r>
      <w:r>
        <w:t>21.3% were depressed</w:t>
      </w:r>
      <w:r w:rsidR="00715AA9">
        <w:t xml:space="preserve"> and</w:t>
      </w:r>
      <w:r>
        <w:t xml:space="preserve"> 17.1% anxious, </w:t>
      </w:r>
      <w:r w:rsidR="00715AA9">
        <w:t xml:space="preserve">while </w:t>
      </w:r>
      <w:r>
        <w:t xml:space="preserve">3.0% had </w:t>
      </w:r>
      <w:r w:rsidR="00397967">
        <w:t xml:space="preserve">attempted </w:t>
      </w:r>
      <w:r>
        <w:t>suicid</w:t>
      </w:r>
      <w:r w:rsidR="00397967">
        <w:t>e</w:t>
      </w:r>
      <w:r>
        <w:t xml:space="preserve"> and 6.5% had self-harmed</w:t>
      </w:r>
      <w:r w:rsidR="00715AA9">
        <w:t xml:space="preserve"> within the last 12 months</w:t>
      </w:r>
      <w:r>
        <w:t>. All four indicators were associated with younger age, lower education and lower income. Depression was also associated with being a member of visible ethnic minorities and sexual attraction to women as well as men. Cohabiting with a male partner and living in London were protective of mental</w:t>
      </w:r>
      <w:r w:rsidR="005143F8">
        <w:t xml:space="preserve"> health</w:t>
      </w:r>
      <w:r w:rsidR="00D2522F">
        <w:t>.</w:t>
      </w:r>
    </w:p>
    <w:p w14:paraId="58FCD744" w14:textId="33153151" w:rsidR="00523F91" w:rsidRDefault="00256F15" w:rsidP="00256F15">
      <w:pPr>
        <w:rPr>
          <w:lang w:eastAsia="en-GB"/>
        </w:rPr>
      </w:pPr>
      <w:r>
        <w:rPr>
          <w:lang w:eastAsia="en-GB"/>
        </w:rPr>
        <w:t xml:space="preserve">Community interventions to increase mental health among </w:t>
      </w:r>
      <w:r w:rsidR="00D2522F">
        <w:rPr>
          <w:lang w:eastAsia="en-GB"/>
        </w:rPr>
        <w:t>gay and bisexual men</w:t>
      </w:r>
      <w:r>
        <w:rPr>
          <w:lang w:eastAsia="en-GB"/>
        </w:rPr>
        <w:t xml:space="preserve"> should be designed to disproportionately benefit </w:t>
      </w:r>
      <w:r w:rsidR="00961C4C">
        <w:rPr>
          <w:lang w:eastAsia="en-GB"/>
        </w:rPr>
        <w:t xml:space="preserve">younger </w:t>
      </w:r>
      <w:r>
        <w:rPr>
          <w:lang w:eastAsia="en-GB"/>
        </w:rPr>
        <w:t xml:space="preserve">men </w:t>
      </w:r>
      <w:r w:rsidR="00961C4C">
        <w:rPr>
          <w:lang w:eastAsia="en-GB"/>
        </w:rPr>
        <w:t>and those</w:t>
      </w:r>
      <w:r>
        <w:rPr>
          <w:lang w:eastAsia="en-GB"/>
        </w:rPr>
        <w:t xml:space="preserve"> living on lower incomes. </w:t>
      </w:r>
    </w:p>
    <w:p w14:paraId="4FD77BB2" w14:textId="77777777" w:rsidR="00523F91" w:rsidRDefault="00523F91" w:rsidP="00256F15">
      <w:pPr>
        <w:rPr>
          <w:lang w:eastAsia="en-GB"/>
        </w:rPr>
      </w:pPr>
    </w:p>
    <w:p w14:paraId="18B12BEA" w14:textId="77777777" w:rsidR="00523F91" w:rsidRPr="002F5628" w:rsidRDefault="00523F91" w:rsidP="00523F91">
      <w:pPr>
        <w:spacing w:after="200" w:line="276" w:lineRule="auto"/>
        <w:rPr>
          <w:rFonts w:ascii="Calibri" w:eastAsia="Times New Roman" w:hAnsi="Calibri" w:cs="Calibri"/>
          <w:b/>
          <w:lang w:eastAsia="en-GB"/>
        </w:rPr>
      </w:pPr>
      <w:r w:rsidRPr="002F5628">
        <w:rPr>
          <w:rFonts w:ascii="Calibri" w:eastAsia="Times New Roman" w:hAnsi="Calibri" w:cs="Calibri"/>
          <w:b/>
          <w:lang w:eastAsia="en-GB"/>
        </w:rPr>
        <w:t>KEY WORDS</w:t>
      </w:r>
    </w:p>
    <w:p w14:paraId="5FEE7816" w14:textId="2CBADE78" w:rsidR="00523F91" w:rsidRPr="002F5628" w:rsidRDefault="00523F91" w:rsidP="00523F91">
      <w:pPr>
        <w:spacing w:after="200" w:line="276" w:lineRule="auto"/>
        <w:rPr>
          <w:rFonts w:ascii="Calibri" w:eastAsia="Times New Roman" w:hAnsi="Calibri" w:cs="Calibri"/>
          <w:lang w:eastAsia="en-GB"/>
        </w:rPr>
      </w:pPr>
      <w:proofErr w:type="gramStart"/>
      <w:r>
        <w:rPr>
          <w:rFonts w:ascii="Calibri" w:eastAsia="Times New Roman" w:hAnsi="Calibri" w:cs="Calibri"/>
          <w:lang w:eastAsia="en-GB"/>
        </w:rPr>
        <w:t>mental</w:t>
      </w:r>
      <w:proofErr w:type="gramEnd"/>
      <w:r>
        <w:rPr>
          <w:rFonts w:ascii="Calibri" w:eastAsia="Times New Roman" w:hAnsi="Calibri" w:cs="Calibri"/>
          <w:lang w:eastAsia="en-GB"/>
        </w:rPr>
        <w:t xml:space="preserve"> health; </w:t>
      </w:r>
      <w:r w:rsidR="00AD39B7">
        <w:rPr>
          <w:rFonts w:ascii="Calibri" w:eastAsia="Times New Roman" w:hAnsi="Calibri" w:cs="Calibri"/>
          <w:lang w:eastAsia="en-GB"/>
        </w:rPr>
        <w:t xml:space="preserve"> social determinants; gender.</w:t>
      </w:r>
    </w:p>
    <w:p w14:paraId="2154F1DC" w14:textId="76DB22EB" w:rsidR="00765A5B" w:rsidRDefault="00765A5B" w:rsidP="00256F15">
      <w:pPr>
        <w:rPr>
          <w:lang w:eastAsia="en-GB"/>
        </w:rPr>
      </w:pPr>
      <w:r>
        <w:rPr>
          <w:lang w:eastAsia="en-GB"/>
        </w:rPr>
        <w:br w:type="page"/>
      </w:r>
    </w:p>
    <w:p w14:paraId="20D71297" w14:textId="77777777" w:rsidR="00882343" w:rsidRDefault="00882343">
      <w:pPr>
        <w:spacing w:line="259" w:lineRule="auto"/>
        <w:rPr>
          <w:rFonts w:ascii="Calibri" w:eastAsia="Arial" w:hAnsi="Calibri" w:cs="Calibri"/>
          <w:b/>
          <w:color w:val="000000"/>
          <w:lang w:eastAsia="en-GB"/>
        </w:rPr>
      </w:pPr>
    </w:p>
    <w:p w14:paraId="3AD0EA22" w14:textId="7EFCF7D7" w:rsidR="005B6113" w:rsidRDefault="00FC0C16">
      <w:pPr>
        <w:rPr>
          <w:b/>
        </w:rPr>
      </w:pPr>
      <w:r>
        <w:rPr>
          <w:b/>
        </w:rPr>
        <w:t>INTRODUCTION</w:t>
      </w:r>
    </w:p>
    <w:p w14:paraId="7BB3007A" w14:textId="79A4AA15" w:rsidR="00E40D54" w:rsidRDefault="00171082" w:rsidP="00A72F58">
      <w:r>
        <w:t>Mental well-being is a central compo</w:t>
      </w:r>
      <w:r w:rsidR="003E0052">
        <w:t>nent of the World Health Organiz</w:t>
      </w:r>
      <w:r>
        <w:t xml:space="preserve">ation’s definition of health and poor mental health is a common source of </w:t>
      </w:r>
      <w:r w:rsidR="00390DB2">
        <w:t xml:space="preserve">human </w:t>
      </w:r>
      <w:r>
        <w:t>misery.</w:t>
      </w:r>
      <w:r w:rsidR="00343688" w:rsidRPr="00343688">
        <w:rPr>
          <w:vertAlign w:val="superscript"/>
        </w:rPr>
        <w:t>1</w:t>
      </w:r>
      <w:r w:rsidR="00E40D54">
        <w:t xml:space="preserve"> Mental health is a complex multi-faceted construct with affective, cognitive and behavioural components that are both inter- and intra-personal. Poor mental health is structurally patterned and group membership has been shown to increase the risk of poor mental health across a number of social axes.</w:t>
      </w:r>
    </w:p>
    <w:p w14:paraId="172D4AA8" w14:textId="191B11A5" w:rsidR="00E40D54" w:rsidRDefault="00E40D54">
      <w:r>
        <w:t>In terms of sexuality, minorities are at higher risk of poor m</w:t>
      </w:r>
      <w:r w:rsidRPr="005B6113">
        <w:t>ental health than</w:t>
      </w:r>
      <w:r>
        <w:t xml:space="preserve"> the </w:t>
      </w:r>
      <w:r w:rsidRPr="005B6113">
        <w:t xml:space="preserve">heterosexual </w:t>
      </w:r>
      <w:r>
        <w:t>majority.</w:t>
      </w:r>
      <w:r w:rsidR="00343688" w:rsidRPr="00343688">
        <w:rPr>
          <w:vertAlign w:val="superscript"/>
        </w:rPr>
        <w:t>2</w:t>
      </w:r>
      <w:proofErr w:type="gramStart"/>
      <w:r w:rsidR="00343688" w:rsidRPr="00343688">
        <w:rPr>
          <w:vertAlign w:val="superscript"/>
        </w:rPr>
        <w:t>,3</w:t>
      </w:r>
      <w:proofErr w:type="gramEnd"/>
      <w:r w:rsidR="009E1065">
        <w:rPr>
          <w:vertAlign w:val="superscript"/>
        </w:rPr>
        <w:t xml:space="preserve">  </w:t>
      </w:r>
      <w:r w:rsidR="009E1065" w:rsidRPr="009E1065">
        <w:t>For example, the 2007 UK Adult Psychiatric Morbidity Survey (APMS), using a nationally representative sample of private household residents, found much higher prevalence of depression, anxiety and suicide attempts among the non-heterosexual minority.</w:t>
      </w:r>
      <w:r w:rsidR="009E1065" w:rsidRPr="00343688">
        <w:rPr>
          <w:vertAlign w:val="superscript"/>
        </w:rPr>
        <w:t>4</w:t>
      </w:r>
      <w:r>
        <w:t xml:space="preserve">Less data is available about mental health differences within sexual minorities. Minorities are routinely thought as more homogenous than they actually are (a phenomena </w:t>
      </w:r>
      <w:r w:rsidRPr="002F5628">
        <w:rPr>
          <w:rFonts w:ascii="Calibri" w:eastAsia="Times New Roman" w:hAnsi="Calibri" w:cs="Calibri"/>
          <w:lang w:eastAsia="en-GB"/>
        </w:rPr>
        <w:t>known as the out-group homogeneity bias</w:t>
      </w:r>
      <w:r w:rsidR="00343688" w:rsidRPr="00343688">
        <w:rPr>
          <w:rFonts w:ascii="Calibri" w:eastAsia="Times New Roman" w:hAnsi="Calibri" w:cs="Calibri"/>
          <w:vertAlign w:val="superscript"/>
          <w:lang w:eastAsia="en-GB"/>
        </w:rPr>
        <w:t>5</w:t>
      </w:r>
      <w:r>
        <w:rPr>
          <w:rFonts w:ascii="Calibri" w:eastAsia="Times New Roman" w:hAnsi="Calibri" w:cs="Calibri"/>
          <w:lang w:eastAsia="en-GB"/>
        </w:rPr>
        <w:t>).</w:t>
      </w:r>
      <w:r>
        <w:t xml:space="preserve"> However, it is obvious that sexual minorities are diverse in </w:t>
      </w:r>
      <w:r w:rsidR="008D3EC5">
        <w:t xml:space="preserve">terms of </w:t>
      </w:r>
      <w:r w:rsidR="00B76C43">
        <w:t xml:space="preserve">the </w:t>
      </w:r>
      <w:r w:rsidR="003E0052">
        <w:t xml:space="preserve">characteristics across which the incidence of mental health problems </w:t>
      </w:r>
      <w:r w:rsidR="00B76C43">
        <w:t xml:space="preserve">are known to </w:t>
      </w:r>
      <w:r w:rsidR="003E0052">
        <w:t xml:space="preserve">vary, such as </w:t>
      </w:r>
      <w:r>
        <w:t>gender</w:t>
      </w:r>
      <w:r w:rsidR="00343688" w:rsidRPr="003B6629">
        <w:rPr>
          <w:vertAlign w:val="superscript"/>
        </w:rPr>
        <w:t>6</w:t>
      </w:r>
      <w:r>
        <w:t>, age</w:t>
      </w:r>
      <w:r w:rsidR="00343688" w:rsidRPr="003B6629">
        <w:rPr>
          <w:vertAlign w:val="superscript"/>
        </w:rPr>
        <w:t>7</w:t>
      </w:r>
      <w:r>
        <w:t>, ethnicity</w:t>
      </w:r>
      <w:r w:rsidR="00343688" w:rsidRPr="003B6629">
        <w:rPr>
          <w:vertAlign w:val="superscript"/>
        </w:rPr>
        <w:t>8</w:t>
      </w:r>
      <w:r w:rsidR="003B6629">
        <w:t xml:space="preserve">, </w:t>
      </w:r>
      <w:r>
        <w:t>relationship status</w:t>
      </w:r>
      <w:r w:rsidR="00343688" w:rsidRPr="003B6629">
        <w:rPr>
          <w:vertAlign w:val="superscript"/>
        </w:rPr>
        <w:t>9</w:t>
      </w:r>
      <w:r w:rsidR="003E0052">
        <w:t xml:space="preserve"> and</w:t>
      </w:r>
      <w:r>
        <w:t xml:space="preserve"> </w:t>
      </w:r>
      <w:r w:rsidR="005B1F92">
        <w:t>financial status</w:t>
      </w:r>
      <w:r w:rsidR="00343688" w:rsidRPr="003B6629">
        <w:rPr>
          <w:vertAlign w:val="superscript"/>
        </w:rPr>
        <w:t>10</w:t>
      </w:r>
      <w:r w:rsidR="003E0052">
        <w:t>.</w:t>
      </w:r>
      <w:r w:rsidR="008D3EC5">
        <w:t xml:space="preserve"> </w:t>
      </w:r>
      <w:r w:rsidR="00302B46">
        <w:t>This paper considers whether these mental health inequalities are replicated among sexual minorit</w:t>
      </w:r>
      <w:r w:rsidR="00F81E3E">
        <w:t>y men</w:t>
      </w:r>
      <w:r w:rsidR="001F7484">
        <w:t>.</w:t>
      </w:r>
    </w:p>
    <w:p w14:paraId="3CBE698E" w14:textId="185B23D6" w:rsidR="00E40D54" w:rsidRDefault="00E40D54" w:rsidP="00CA4126">
      <w:r>
        <w:t xml:space="preserve">Establishing the epidemiology of mental ill-health </w:t>
      </w:r>
      <w:r w:rsidR="008A6327">
        <w:t>across</w:t>
      </w:r>
      <w:r>
        <w:t xml:space="preserve"> sexuality</w:t>
      </w:r>
      <w:r w:rsidR="002A5D4C">
        <w:t xml:space="preserve"> groups</w:t>
      </w:r>
      <w:r>
        <w:t xml:space="preserve"> is challenging predominantly due to sampling issues. </w:t>
      </w:r>
      <w:r w:rsidRPr="000845E5">
        <w:t>Large</w:t>
      </w:r>
      <w:r>
        <w:t xml:space="preserve"> representative samples of sexual minorities are theoretically possible but remain practically unfeasible. There is no sampling frame for sexual minorities and, as they form a small proportion of the population, even large representative general population surveys only recruit a small absolute number of </w:t>
      </w:r>
      <w:r w:rsidR="00B76C43">
        <w:t xml:space="preserve">people in </w:t>
      </w:r>
      <w:r>
        <w:t>sexual minorities. The majority of population health research with sexual minorities has therefore used convenience samples, both of the LGBT community as a whol</w:t>
      </w:r>
      <w:r w:rsidR="00B76C43">
        <w:t>e and of its constituent parts.</w:t>
      </w:r>
      <w:r w:rsidR="00343688" w:rsidRPr="003B6629">
        <w:rPr>
          <w:vertAlign w:val="superscript"/>
        </w:rPr>
        <w:t>11</w:t>
      </w:r>
    </w:p>
    <w:p w14:paraId="5972F2AC" w14:textId="44122F30" w:rsidR="00D909D0" w:rsidRDefault="001F7484" w:rsidP="00A72F58">
      <w:r>
        <w:t>W</w:t>
      </w:r>
      <w:r w:rsidR="00E40D54">
        <w:t xml:space="preserve">e </w:t>
      </w:r>
      <w:r>
        <w:t>use</w:t>
      </w:r>
      <w:r w:rsidR="00F81E3E">
        <w:t>d</w:t>
      </w:r>
      <w:r w:rsidR="00E40D54">
        <w:t xml:space="preserve"> a large, community recruited sample (n=5,799) of gay</w:t>
      </w:r>
      <w:r w:rsidR="00D2522F">
        <w:t xml:space="preserve"> </w:t>
      </w:r>
      <w:r w:rsidR="00433C1B">
        <w:t xml:space="preserve">and </w:t>
      </w:r>
      <w:r w:rsidR="00E40D54">
        <w:t>bisexual men to describe variation in mental health indicators by key demographic criteria known to influence</w:t>
      </w:r>
      <w:r w:rsidR="008A6327">
        <w:t xml:space="preserve"> or </w:t>
      </w:r>
      <w:r w:rsidR="00E40D54">
        <w:t>mediate mental health.</w:t>
      </w:r>
    </w:p>
    <w:p w14:paraId="29D49052" w14:textId="77777777" w:rsidR="00D909D0" w:rsidRDefault="00D909D0" w:rsidP="00A72F58"/>
    <w:p w14:paraId="5150A1A0" w14:textId="13BFA0B2" w:rsidR="00E40D54" w:rsidRPr="00FB6B44" w:rsidRDefault="00FC0C16" w:rsidP="00A72F58">
      <w:pPr>
        <w:rPr>
          <w:b/>
        </w:rPr>
      </w:pPr>
      <w:r>
        <w:rPr>
          <w:b/>
        </w:rPr>
        <w:t>METHODS</w:t>
      </w:r>
    </w:p>
    <w:p w14:paraId="60163966" w14:textId="7A227596" w:rsidR="00E40D54" w:rsidRDefault="001F7484" w:rsidP="00B33B9F">
      <w:r>
        <w:t>D</w:t>
      </w:r>
      <w:r w:rsidR="00D0055C">
        <w:t>ata come from t</w:t>
      </w:r>
      <w:r w:rsidR="00E40D54">
        <w:t xml:space="preserve">he </w:t>
      </w:r>
      <w:r w:rsidR="00E40D54" w:rsidRPr="002D5EF0">
        <w:t xml:space="preserve">Stonewall </w:t>
      </w:r>
      <w:r w:rsidR="00E40D54">
        <w:t xml:space="preserve">Gay &amp; </w:t>
      </w:r>
      <w:r w:rsidR="00D0055C">
        <w:t>B</w:t>
      </w:r>
      <w:r w:rsidR="00E40D54">
        <w:t xml:space="preserve">isexual Men’s </w:t>
      </w:r>
      <w:r w:rsidR="00D0055C">
        <w:t xml:space="preserve">Health Survey, </w:t>
      </w:r>
      <w:r w:rsidR="00E40D54" w:rsidRPr="002D5EF0">
        <w:t>a</w:t>
      </w:r>
      <w:r w:rsidR="00E40D54">
        <w:t xml:space="preserve"> community-recruited,</w:t>
      </w:r>
      <w:r w:rsidR="00E40D54" w:rsidRPr="002D5EF0">
        <w:t xml:space="preserve"> anonymous</w:t>
      </w:r>
      <w:r w:rsidR="00E40D54">
        <w:t>,</w:t>
      </w:r>
      <w:r w:rsidR="00E40D54" w:rsidRPr="002D5EF0">
        <w:t xml:space="preserve"> self-completed online survey</w:t>
      </w:r>
      <w:r w:rsidR="00E40D54">
        <w:t xml:space="preserve"> </w:t>
      </w:r>
      <w:r w:rsidR="00E40D54" w:rsidRPr="002D5EF0">
        <w:t xml:space="preserve">commissioned and supported </w:t>
      </w:r>
      <w:r w:rsidR="00E40D54">
        <w:t xml:space="preserve">by </w:t>
      </w:r>
      <w:r w:rsidR="00E40D54" w:rsidRPr="002B31E8">
        <w:t>Stonewall</w:t>
      </w:r>
      <w:r w:rsidR="00E40D54">
        <w:t xml:space="preserve">, a </w:t>
      </w:r>
      <w:r w:rsidR="00E40D54" w:rsidRPr="002D5EF0">
        <w:t>UK charity</w:t>
      </w:r>
      <w:r w:rsidR="00E40D54">
        <w:t xml:space="preserve"> promoting the rights of lesbian, gay, bisexual and </w:t>
      </w:r>
      <w:r w:rsidR="00D0055C">
        <w:t>(</w:t>
      </w:r>
      <w:r w:rsidR="00E40D54">
        <w:t>since 2014) trans</w:t>
      </w:r>
      <w:r w:rsidR="00D0055C">
        <w:t xml:space="preserve"> men and </w:t>
      </w:r>
      <w:r w:rsidR="00E40D54">
        <w:t>women</w:t>
      </w:r>
      <w:r w:rsidR="00E40D54" w:rsidRPr="002D5EF0">
        <w:t>.</w:t>
      </w:r>
      <w:r w:rsidR="00E40D54">
        <w:t xml:space="preserve"> </w:t>
      </w:r>
      <w:r w:rsidR="001A15A9">
        <w:t>E</w:t>
      </w:r>
      <w:r w:rsidR="00E40D54" w:rsidRPr="002D5EF0">
        <w:t>ligib</w:t>
      </w:r>
      <w:r w:rsidR="001A15A9">
        <w:t xml:space="preserve">ility </w:t>
      </w:r>
      <w:r w:rsidR="00E40D54">
        <w:t xml:space="preserve">for </w:t>
      </w:r>
      <w:r w:rsidR="00E40D54">
        <w:lastRenderedPageBreak/>
        <w:t>the survey</w:t>
      </w:r>
      <w:r w:rsidR="001A15A9">
        <w:t xml:space="preserve"> were</w:t>
      </w:r>
      <w:r w:rsidR="00175C86">
        <w:t>:</w:t>
      </w:r>
      <w:r w:rsidR="001A15A9">
        <w:t xml:space="preserve"> </w:t>
      </w:r>
      <w:r w:rsidR="00775442">
        <w:t xml:space="preserve">(1) </w:t>
      </w:r>
      <w:r w:rsidR="00E40D54" w:rsidRPr="002D5EF0">
        <w:t>identify</w:t>
      </w:r>
      <w:r w:rsidR="001A15A9">
        <w:t>ing</w:t>
      </w:r>
      <w:r w:rsidR="00E40D54" w:rsidRPr="002D5EF0">
        <w:t xml:space="preserve"> as</w:t>
      </w:r>
      <w:r w:rsidR="00E40D54">
        <w:t xml:space="preserve"> </w:t>
      </w:r>
      <w:r w:rsidR="00175C86">
        <w:t xml:space="preserve">a man; </w:t>
      </w:r>
      <w:r w:rsidR="00775442">
        <w:t xml:space="preserve">(2) </w:t>
      </w:r>
      <w:r w:rsidR="00175C86">
        <w:t>identifying as</w:t>
      </w:r>
      <w:r w:rsidR="00E40D54">
        <w:t xml:space="preserve"> </w:t>
      </w:r>
      <w:r w:rsidR="00E40D54" w:rsidRPr="002D5EF0">
        <w:t>gay or bisexual</w:t>
      </w:r>
      <w:r w:rsidR="00175C86">
        <w:t xml:space="preserve">, and/or being sexually attracted to men, and/or having sex with men; </w:t>
      </w:r>
      <w:r w:rsidR="00775442">
        <w:t xml:space="preserve">(3) </w:t>
      </w:r>
      <w:r w:rsidR="00E40D54">
        <w:t>aged 16 years or over</w:t>
      </w:r>
      <w:r w:rsidR="00175C86">
        <w:t>;</w:t>
      </w:r>
      <w:r w:rsidR="001A15A9">
        <w:t xml:space="preserve"> and</w:t>
      </w:r>
      <w:r w:rsidR="00E40D54">
        <w:t xml:space="preserve"> </w:t>
      </w:r>
      <w:r w:rsidR="00775442">
        <w:t xml:space="preserve">(4) </w:t>
      </w:r>
      <w:r w:rsidR="00E40D54">
        <w:t>liv</w:t>
      </w:r>
      <w:r w:rsidR="001A15A9">
        <w:t>ing</w:t>
      </w:r>
      <w:r w:rsidR="00E40D54" w:rsidRPr="002D5EF0">
        <w:t xml:space="preserve"> in England, Wales </w:t>
      </w:r>
      <w:r w:rsidR="00E40D54">
        <w:t>or S</w:t>
      </w:r>
      <w:r w:rsidR="00E40D54" w:rsidRPr="002D5EF0">
        <w:t>cotland</w:t>
      </w:r>
      <w:r w:rsidR="00E40D54">
        <w:t>.</w:t>
      </w:r>
      <w:r w:rsidR="00E40D54" w:rsidRPr="002D5EF0">
        <w:t xml:space="preserve"> </w:t>
      </w:r>
      <w:r w:rsidR="00B96840">
        <w:t xml:space="preserve">The sample was self-selected among people exposed to recruitment activities. </w:t>
      </w:r>
      <w:r w:rsidR="00775442">
        <w:t xml:space="preserve">No external incentive was offered. </w:t>
      </w:r>
      <w:r w:rsidR="001A15A9">
        <w:t xml:space="preserve">All participants completed the same set of questions. </w:t>
      </w:r>
    </w:p>
    <w:p w14:paraId="04AFFEB3" w14:textId="77777777" w:rsidR="00E40D54" w:rsidRDefault="00E40D54" w:rsidP="00D24FF5">
      <w:pPr>
        <w:spacing w:after="0" w:line="480" w:lineRule="auto"/>
        <w:rPr>
          <w:rFonts w:cstheme="minorHAnsi"/>
        </w:rPr>
      </w:pPr>
    </w:p>
    <w:p w14:paraId="704BC027" w14:textId="33A012AE" w:rsidR="00E40D54" w:rsidRPr="006308B3" w:rsidRDefault="00E40D54" w:rsidP="00D24FF5">
      <w:pPr>
        <w:spacing w:after="0" w:line="480" w:lineRule="auto"/>
        <w:rPr>
          <w:rFonts w:cstheme="minorHAnsi"/>
          <w:i/>
        </w:rPr>
      </w:pPr>
      <w:r>
        <w:rPr>
          <w:rFonts w:cstheme="minorHAnsi"/>
          <w:i/>
        </w:rPr>
        <w:t>Recruitment</w:t>
      </w:r>
    </w:p>
    <w:p w14:paraId="7E751375" w14:textId="5ED418EA" w:rsidR="00FA452D" w:rsidRPr="002D5EF0" w:rsidRDefault="001A15A9" w:rsidP="00B33B9F">
      <w:r>
        <w:t xml:space="preserve">In the absence of a sampling frame for gay and bisexual men we attempted to reduce bias through </w:t>
      </w:r>
      <w:r w:rsidR="00E40D54" w:rsidRPr="002D5EF0">
        <w:t>snowball sampling with multiple en</w:t>
      </w:r>
      <w:r>
        <w:t>try points into the population</w:t>
      </w:r>
      <w:r w:rsidR="00E40D54">
        <w:t xml:space="preserve">, drawing </w:t>
      </w:r>
      <w:r w:rsidR="00E40D54" w:rsidRPr="002D5EF0">
        <w:t xml:space="preserve">upon </w:t>
      </w:r>
      <w:r w:rsidR="00E40D54">
        <w:t>the</w:t>
      </w:r>
      <w:r w:rsidR="00E40D54" w:rsidRPr="002D5EF0">
        <w:t xml:space="preserve"> </w:t>
      </w:r>
      <w:r w:rsidR="00E40D54">
        <w:t xml:space="preserve">communications </w:t>
      </w:r>
      <w:r w:rsidR="00E40D54" w:rsidRPr="002D5EF0">
        <w:t xml:space="preserve">networks of </w:t>
      </w:r>
      <w:r w:rsidR="00E40D54" w:rsidRPr="002D5EF0">
        <w:rPr>
          <w:i/>
        </w:rPr>
        <w:t>Stonewall</w:t>
      </w:r>
      <w:r w:rsidR="00E40D54">
        <w:t xml:space="preserve">. </w:t>
      </w:r>
      <w:r w:rsidR="00E40D54" w:rsidRPr="002D5EF0">
        <w:t xml:space="preserve">The survey was promoted to </w:t>
      </w:r>
      <w:r w:rsidR="001F7484">
        <w:t xml:space="preserve">approximately </w:t>
      </w:r>
      <w:r w:rsidR="00E40D54" w:rsidRPr="002D5EF0">
        <w:t>500 employer</w:t>
      </w:r>
      <w:r w:rsidR="00E40D54">
        <w:t>s who were</w:t>
      </w:r>
      <w:r w:rsidR="00E40D54" w:rsidRPr="002D5EF0">
        <w:t xml:space="preserve"> members of </w:t>
      </w:r>
      <w:proofErr w:type="spellStart"/>
      <w:r w:rsidR="00E40D54" w:rsidRPr="002D5EF0">
        <w:t>Stonewall’s</w:t>
      </w:r>
      <w:proofErr w:type="spellEnd"/>
      <w:r w:rsidR="00E40D54" w:rsidRPr="002D5EF0">
        <w:t xml:space="preserve"> Diversity Champions programme, who </w:t>
      </w:r>
      <w:r w:rsidR="00E40D54">
        <w:t xml:space="preserve">between them </w:t>
      </w:r>
      <w:r w:rsidR="00E40D54" w:rsidRPr="002D5EF0">
        <w:t xml:space="preserve">employ </w:t>
      </w:r>
      <w:r w:rsidR="00B96840">
        <w:t xml:space="preserve">approximately </w:t>
      </w:r>
      <w:r w:rsidR="00E40D54" w:rsidRPr="002D5EF0">
        <w:t xml:space="preserve">5 million people across the public, private and third sectors in England, Scotland and Wales. Employers in turn promoted the survey </w:t>
      </w:r>
      <w:r w:rsidR="00B96840" w:rsidRPr="002D5EF0">
        <w:t>to employees</w:t>
      </w:r>
      <w:r w:rsidR="009E1065" w:rsidRPr="009E1065">
        <w:t xml:space="preserve"> through intranets, and to their own networks of clients/customers/service-users via social media</w:t>
      </w:r>
      <w:r w:rsidR="00E40D54" w:rsidRPr="002D5EF0">
        <w:t xml:space="preserve">. </w:t>
      </w:r>
      <w:r w:rsidR="00E40D54">
        <w:t>A</w:t>
      </w:r>
      <w:r w:rsidR="00E40D54" w:rsidRPr="002D5EF0">
        <w:t xml:space="preserve"> </w:t>
      </w:r>
      <w:r w:rsidR="00E40D54">
        <w:t xml:space="preserve">request to participate in and promote the survey was sent to </w:t>
      </w:r>
      <w:r w:rsidR="00E40D54" w:rsidRPr="002D5EF0">
        <w:t xml:space="preserve">Stonewall email lists </w:t>
      </w:r>
      <w:r w:rsidR="00E40D54">
        <w:t>of</w:t>
      </w:r>
      <w:r w:rsidR="00E40D54" w:rsidRPr="002D5EF0">
        <w:t xml:space="preserve"> gay community </w:t>
      </w:r>
      <w:r w:rsidR="00E40D54">
        <w:t xml:space="preserve">leaders </w:t>
      </w:r>
      <w:r w:rsidR="00E40D54" w:rsidRPr="002D5EF0">
        <w:t>and professional networks. The survey was repeatedly promoted</w:t>
      </w:r>
      <w:r w:rsidR="009E1065" w:rsidRPr="009E1065">
        <w:t xml:space="preserve"> throughout the 6 month period</w:t>
      </w:r>
      <w:r w:rsidR="009E1065">
        <w:t xml:space="preserve"> </w:t>
      </w:r>
      <w:r w:rsidR="00E40D54" w:rsidRPr="002D5EF0">
        <w:t>via social media</w:t>
      </w:r>
      <w:r w:rsidR="00E40D54">
        <w:t xml:space="preserve">: </w:t>
      </w:r>
      <w:proofErr w:type="spellStart"/>
      <w:r w:rsidR="00E40D54">
        <w:t>Stonewall’s</w:t>
      </w:r>
      <w:proofErr w:type="spellEnd"/>
      <w:r w:rsidR="00E40D54">
        <w:t xml:space="preserve"> </w:t>
      </w:r>
      <w:r w:rsidR="00E40D54" w:rsidRPr="002D5EF0">
        <w:rPr>
          <w:i/>
        </w:rPr>
        <w:t>Facebook</w:t>
      </w:r>
      <w:r w:rsidR="00E40D54">
        <w:rPr>
          <w:i/>
        </w:rPr>
        <w:t xml:space="preserve"> </w:t>
      </w:r>
      <w:r w:rsidR="00E40D54">
        <w:t>page</w:t>
      </w:r>
      <w:r w:rsidR="001F7484">
        <w:t xml:space="preserve"> (a</w:t>
      </w:r>
      <w:r w:rsidR="00E40D54">
        <w:t xml:space="preserve">pproximately </w:t>
      </w:r>
      <w:r w:rsidR="00E40D54" w:rsidRPr="002D5EF0">
        <w:t>20,000 friends</w:t>
      </w:r>
      <w:r w:rsidR="001F7484">
        <w:t>)</w:t>
      </w:r>
      <w:r w:rsidR="00E40D54" w:rsidRPr="002D5EF0">
        <w:t xml:space="preserve"> and</w:t>
      </w:r>
      <w:r w:rsidR="00E40D54">
        <w:t xml:space="preserve"> </w:t>
      </w:r>
      <w:r w:rsidR="00E40D54" w:rsidRPr="002D5EF0">
        <w:rPr>
          <w:i/>
        </w:rPr>
        <w:t>Twitter</w:t>
      </w:r>
      <w:r w:rsidR="00E40D54" w:rsidRPr="002D5EF0">
        <w:t xml:space="preserve"> </w:t>
      </w:r>
      <w:r w:rsidR="00E40D54">
        <w:t>account</w:t>
      </w:r>
      <w:r w:rsidR="001F7484">
        <w:t xml:space="preserve"> (</w:t>
      </w:r>
      <w:r w:rsidR="00E40D54">
        <w:t xml:space="preserve">approximately </w:t>
      </w:r>
      <w:r w:rsidR="00E40D54" w:rsidRPr="002D5EF0">
        <w:t>10,000 followers</w:t>
      </w:r>
      <w:r w:rsidR="001F7484">
        <w:t>)</w:t>
      </w:r>
      <w:r w:rsidR="00E40D54" w:rsidRPr="002D5EF0">
        <w:t xml:space="preserve">. </w:t>
      </w:r>
      <w:r w:rsidR="00E40D54">
        <w:t xml:space="preserve">The </w:t>
      </w:r>
      <w:r w:rsidR="00E40D54" w:rsidRPr="002D5EF0">
        <w:t xml:space="preserve">offices </w:t>
      </w:r>
      <w:r w:rsidR="00E40D54">
        <w:t xml:space="preserve">of </w:t>
      </w:r>
      <w:r w:rsidR="00E40D54" w:rsidRPr="002D5EF0">
        <w:t xml:space="preserve">Stonewall Scotland and </w:t>
      </w:r>
      <w:r w:rsidR="00E40D54">
        <w:t xml:space="preserve">Stonewall </w:t>
      </w:r>
      <w:r w:rsidR="00E40D54" w:rsidRPr="002D5EF0">
        <w:t xml:space="preserve">Wales promoted the survey via social media </w:t>
      </w:r>
      <w:r w:rsidR="00E40D54">
        <w:t xml:space="preserve">(approximately </w:t>
      </w:r>
      <w:r w:rsidR="00E40D54" w:rsidRPr="002D5EF0">
        <w:t>2,000 friends/followers between them</w:t>
      </w:r>
      <w:r w:rsidR="00E40D54">
        <w:t>)</w:t>
      </w:r>
      <w:r w:rsidR="00E40D54" w:rsidRPr="002D5EF0">
        <w:t xml:space="preserve">. </w:t>
      </w:r>
      <w:r w:rsidR="00E40D54">
        <w:t xml:space="preserve">Several gay </w:t>
      </w:r>
      <w:r w:rsidR="00E40D54" w:rsidRPr="002D5EF0">
        <w:t xml:space="preserve">celebrities and businesses tweeted and posted links to their followers. The survey was promoted to </w:t>
      </w:r>
      <w:proofErr w:type="spellStart"/>
      <w:r w:rsidR="00E40D54" w:rsidRPr="002D5EF0">
        <w:t>Stonewall’s</w:t>
      </w:r>
      <w:proofErr w:type="spellEnd"/>
      <w:r w:rsidR="00E40D54" w:rsidRPr="002D5EF0">
        <w:t xml:space="preserve"> education campaign contacts</w:t>
      </w:r>
      <w:r w:rsidR="00E40D54">
        <w:t xml:space="preserve"> (approximately 2,</w:t>
      </w:r>
      <w:r w:rsidR="00E40D54" w:rsidRPr="002D5EF0">
        <w:t>000</w:t>
      </w:r>
      <w:r w:rsidR="00E40D54">
        <w:t xml:space="preserve"> people)</w:t>
      </w:r>
      <w:r w:rsidR="00E40D54" w:rsidRPr="002D5EF0">
        <w:t xml:space="preserve">, including contacts at schools, universities and local authorities who in turn promoted to their contacts, networks and mailing lists. Finally, </w:t>
      </w:r>
      <w:r w:rsidR="00E40D54">
        <w:t>a small amount of</w:t>
      </w:r>
      <w:r w:rsidR="00E40D54" w:rsidRPr="002D5EF0">
        <w:t xml:space="preserve"> paid advertising was undertaken for a period of four we</w:t>
      </w:r>
      <w:r w:rsidR="00E40D54">
        <w:t>eks on</w:t>
      </w:r>
      <w:r w:rsidR="00E40D54" w:rsidRPr="002D5EF0">
        <w:t xml:space="preserve"> </w:t>
      </w:r>
      <w:r w:rsidR="00E40D54">
        <w:t>a</w:t>
      </w:r>
      <w:r w:rsidR="00D2522F">
        <w:t xml:space="preserve"> gay </w:t>
      </w:r>
      <w:r w:rsidR="00B76C43">
        <w:t xml:space="preserve">community </w:t>
      </w:r>
      <w:r w:rsidR="00E40D54">
        <w:t>news and dating website (</w:t>
      </w:r>
      <w:r w:rsidR="00E40D54" w:rsidRPr="002D5EF0">
        <w:t>Gaydar.co.uk</w:t>
      </w:r>
      <w:r w:rsidR="00E40D54">
        <w:t>)</w:t>
      </w:r>
      <w:r w:rsidR="00E40D54" w:rsidRPr="002D5EF0">
        <w:t>.</w:t>
      </w:r>
      <w:r w:rsidR="001F7484">
        <w:t xml:space="preserve"> </w:t>
      </w:r>
      <w:r w:rsidR="00FA452D">
        <w:t xml:space="preserve">Surveys could be submitted between April and October 2011. </w:t>
      </w:r>
      <w:r w:rsidR="00775442">
        <w:t>The final question asked “Have you filled in this survey already?” Affirmative cases were excluded.</w:t>
      </w:r>
    </w:p>
    <w:p w14:paraId="158802E6" w14:textId="77777777" w:rsidR="00E40D54" w:rsidRDefault="00E40D54" w:rsidP="00D24FF5">
      <w:pPr>
        <w:spacing w:after="0" w:line="480" w:lineRule="auto"/>
        <w:rPr>
          <w:rFonts w:cstheme="minorHAnsi"/>
        </w:rPr>
      </w:pPr>
    </w:p>
    <w:p w14:paraId="1EF95B1B" w14:textId="6B0177D5" w:rsidR="00E40D54" w:rsidRPr="00B33B9F" w:rsidRDefault="00E40D54" w:rsidP="00B33B9F">
      <w:pPr>
        <w:rPr>
          <w:i/>
        </w:rPr>
      </w:pPr>
      <w:r w:rsidRPr="00B33B9F">
        <w:rPr>
          <w:i/>
        </w:rPr>
        <w:t>Measures</w:t>
      </w:r>
    </w:p>
    <w:p w14:paraId="39E81D0E" w14:textId="10623B26" w:rsidR="00E40D54" w:rsidRDefault="00E40D54" w:rsidP="00B33B9F">
      <w:r w:rsidRPr="002D5EF0">
        <w:t xml:space="preserve">Demographic and lifestyle variables were </w:t>
      </w:r>
      <w:r>
        <w:t>coded</w:t>
      </w:r>
      <w:r w:rsidRPr="002D5EF0">
        <w:t xml:space="preserve"> into discrete categories.  Age w</w:t>
      </w:r>
      <w:r w:rsidR="001F7484">
        <w:t>as</w:t>
      </w:r>
      <w:r w:rsidRPr="002D5EF0">
        <w:t xml:space="preserve"> coded in four </w:t>
      </w:r>
      <w:r w:rsidR="001F7484">
        <w:t>groups of</w:t>
      </w:r>
      <w:r>
        <w:t xml:space="preserve"> </w:t>
      </w:r>
      <w:r w:rsidRPr="002D5EF0">
        <w:t>approximate equal size</w:t>
      </w:r>
      <w:r>
        <w:t>d (16-25; 26-35; 36-45; &gt;45)</w:t>
      </w:r>
      <w:r w:rsidRPr="002D5EF0">
        <w:t xml:space="preserve">.  Ethnicity was coded as “white”, “black”, “Asian”, and “other ethnicity”.  Migrant status was coded </w:t>
      </w:r>
      <w:r w:rsidR="001F7484">
        <w:t>by</w:t>
      </w:r>
      <w:r w:rsidRPr="002D5EF0">
        <w:t xml:space="preserve"> whether or not respondents </w:t>
      </w:r>
      <w:r w:rsidR="001F7484">
        <w:t>were</w:t>
      </w:r>
      <w:r w:rsidRPr="002D5EF0">
        <w:t xml:space="preserve"> born outside the UK.  Education was coded in three groups: </w:t>
      </w:r>
      <w:r>
        <w:t>General Certificate of Education (GCSE</w:t>
      </w:r>
      <w:r w:rsidR="00B76C43">
        <w:t>) or less</w:t>
      </w:r>
      <w:r>
        <w:t>;</w:t>
      </w:r>
      <w:r w:rsidRPr="002D5EF0">
        <w:t xml:space="preserve"> </w:t>
      </w:r>
      <w:r>
        <w:t>post-GCSE qualifications but not d</w:t>
      </w:r>
      <w:r w:rsidRPr="002D5EF0">
        <w:t>egree</w:t>
      </w:r>
      <w:r>
        <w:t>;</w:t>
      </w:r>
      <w:r w:rsidRPr="002D5EF0">
        <w:t xml:space="preserve"> </w:t>
      </w:r>
      <w:r>
        <w:t>university d</w:t>
      </w:r>
      <w:r w:rsidRPr="002D5EF0">
        <w:t xml:space="preserve">egree.  </w:t>
      </w:r>
      <w:r w:rsidR="00946549">
        <w:t>Personal i</w:t>
      </w:r>
      <w:r w:rsidRPr="002D5EF0">
        <w:t xml:space="preserve">ncome was </w:t>
      </w:r>
      <w:r>
        <w:lastRenderedPageBreak/>
        <w:t xml:space="preserve">coded into </w:t>
      </w:r>
      <w:r w:rsidRPr="002D5EF0">
        <w:t xml:space="preserve">five bands </w:t>
      </w:r>
      <w:r>
        <w:t xml:space="preserve">giving </w:t>
      </w:r>
      <w:r w:rsidRPr="002D5EF0">
        <w:t>similar size</w:t>
      </w:r>
      <w:r>
        <w:t>d groups</w:t>
      </w:r>
      <w:r w:rsidRPr="002D5EF0">
        <w:t xml:space="preserve">.  </w:t>
      </w:r>
      <w:r w:rsidR="001F7484">
        <w:t>H</w:t>
      </w:r>
      <w:r w:rsidRPr="002D5EF0">
        <w:t xml:space="preserve">ousehold </w:t>
      </w:r>
      <w:r w:rsidR="001F7484">
        <w:t xml:space="preserve">captured cohabitees </w:t>
      </w:r>
      <w:r>
        <w:t>(alone; male partner; others but not male partner)</w:t>
      </w:r>
      <w:r w:rsidRPr="002D5EF0">
        <w:t xml:space="preserve">.  </w:t>
      </w:r>
      <w:r>
        <w:t xml:space="preserve">We distinguished living in London </w:t>
      </w:r>
      <w:r w:rsidR="001F7484">
        <w:t xml:space="preserve">versus </w:t>
      </w:r>
      <w:r>
        <w:t>living elsewhere in Great Britain.</w:t>
      </w:r>
      <w:r w:rsidR="000B0DC4">
        <w:t xml:space="preserve"> Men who were sexually attracted only to men were distinguished from those who were also attracted to women</w:t>
      </w:r>
      <w:r w:rsidR="001F7484" w:rsidRPr="001F7484">
        <w:t xml:space="preserve"> </w:t>
      </w:r>
      <w:r w:rsidR="001F7484">
        <w:t>(</w:t>
      </w:r>
      <w:r w:rsidR="00D5504A">
        <w:t xml:space="preserve">either </w:t>
      </w:r>
      <w:r w:rsidR="001F7484">
        <w:t>sometimes, equally or mostly)</w:t>
      </w:r>
      <w:r w:rsidR="000B0DC4">
        <w:t>.</w:t>
      </w:r>
    </w:p>
    <w:p w14:paraId="63B222D7" w14:textId="785F3655" w:rsidR="00E40D54" w:rsidRDefault="001F7484" w:rsidP="00F30961">
      <w:r>
        <w:t>We</w:t>
      </w:r>
      <w:r w:rsidR="00E40D54">
        <w:t xml:space="preserve"> included four</w:t>
      </w:r>
      <w:r w:rsidR="00E40D54" w:rsidRPr="002D5EF0">
        <w:t xml:space="preserve"> common measures of population health </w:t>
      </w:r>
      <w:r w:rsidR="00E40D54">
        <w:t>drawn from existing UK surveys.</w:t>
      </w:r>
      <w:r w:rsidR="00E40D54" w:rsidRPr="00F30961">
        <w:t xml:space="preserve"> </w:t>
      </w:r>
      <w:r w:rsidR="00E40D54">
        <w:t>All</w:t>
      </w:r>
      <w:r w:rsidR="00E40D54" w:rsidRPr="002D5EF0">
        <w:t xml:space="preserve"> outcomes </w:t>
      </w:r>
      <w:r w:rsidR="00E40D54">
        <w:t>were coded as binary variables.</w:t>
      </w:r>
      <w:r w:rsidR="00D909D0">
        <w:t xml:space="preserve"> </w:t>
      </w:r>
      <w:r w:rsidR="009029DF">
        <w:t>Depression was</w:t>
      </w:r>
      <w:r w:rsidR="00E40D54">
        <w:t xml:space="preserve"> measure</w:t>
      </w:r>
      <w:r w:rsidR="009029DF">
        <w:t>d</w:t>
      </w:r>
      <w:r w:rsidR="00E40D54">
        <w:t xml:space="preserve"> us</w:t>
      </w:r>
      <w:r w:rsidR="009029DF">
        <w:t>ing</w:t>
      </w:r>
      <w:r w:rsidR="00E40D54">
        <w:t xml:space="preserve"> the PHQ-9 (Patient Health Questionnaire 9), a nine-item severity measure scoring from 0 to 27.</w:t>
      </w:r>
      <w:r w:rsidR="00343688" w:rsidRPr="003B6629">
        <w:rPr>
          <w:vertAlign w:val="superscript"/>
        </w:rPr>
        <w:t>12</w:t>
      </w:r>
      <w:r w:rsidR="00E40D54">
        <w:t xml:space="preserve"> Respondents were coded as ‘not depressed’ (minimal or mild depression, score 0-9) or ‘depressed’ (moderate, moderately sever</w:t>
      </w:r>
      <w:r w:rsidR="00B76C43">
        <w:t>e</w:t>
      </w:r>
      <w:r w:rsidR="00E40D54">
        <w:t xml:space="preserve"> or severe depression, score 10-27). </w:t>
      </w:r>
      <w:r w:rsidR="009029DF">
        <w:t>Anxiety was</w:t>
      </w:r>
      <w:r w:rsidR="00E40D54">
        <w:t xml:space="preserve"> measure</w:t>
      </w:r>
      <w:r w:rsidR="009029DF">
        <w:t>d</w:t>
      </w:r>
      <w:r w:rsidR="00E40D54">
        <w:t xml:space="preserve"> us</w:t>
      </w:r>
      <w:r w:rsidR="009029DF">
        <w:t>ing</w:t>
      </w:r>
      <w:r w:rsidR="00E40D54">
        <w:t xml:space="preserve"> the Generalized Anxiety Disorder 7 (GAD-7), a seven-item severity measure scoring 0 to 21.</w:t>
      </w:r>
      <w:r w:rsidR="00343688" w:rsidRPr="003B6629">
        <w:rPr>
          <w:vertAlign w:val="superscript"/>
        </w:rPr>
        <w:t>13</w:t>
      </w:r>
      <w:r w:rsidR="00E40D54">
        <w:t xml:space="preserve"> Respondents were coded as ‘not anxious’ (no, minimal or mild anxiety, score 0 to 9) or ‘anxious’ (moderate or severe anxiety, score 9-21). Suicid</w:t>
      </w:r>
      <w:r w:rsidR="00397967">
        <w:t xml:space="preserve">e </w:t>
      </w:r>
      <w:proofErr w:type="spellStart"/>
      <w:r w:rsidR="00397967">
        <w:t>attmept</w:t>
      </w:r>
      <w:proofErr w:type="spellEnd"/>
      <w:r w:rsidR="00E40D54">
        <w:t xml:space="preserve"> was measure by asking “</w:t>
      </w:r>
      <w:r w:rsidR="00E40D54" w:rsidRPr="00F30961">
        <w:t xml:space="preserve">In the last year, have you </w:t>
      </w:r>
      <w:r w:rsidR="00397967">
        <w:t>made an attempt to take your life?</w:t>
      </w:r>
      <w:r w:rsidR="00E40D54">
        <w:t>” with responses ‘yes’ and ‘no’. Self-harm was measured by asking “</w:t>
      </w:r>
      <w:r w:rsidR="00E40D54" w:rsidRPr="00F30961">
        <w:t>In the last year, have you deliberately harmed yourself in any way but not with the intention of killing yourself?</w:t>
      </w:r>
      <w:r w:rsidR="00E40D54">
        <w:t>” with responses ‘yes’ and ‘no’.</w:t>
      </w:r>
    </w:p>
    <w:p w14:paraId="31E1DDBC" w14:textId="77777777" w:rsidR="00E40D54" w:rsidRDefault="00E40D54" w:rsidP="00D24FF5">
      <w:pPr>
        <w:spacing w:after="0" w:line="480" w:lineRule="auto"/>
        <w:rPr>
          <w:rFonts w:cstheme="minorHAnsi"/>
        </w:rPr>
      </w:pPr>
    </w:p>
    <w:p w14:paraId="41043210" w14:textId="4C40AAEC" w:rsidR="00E40D54" w:rsidRPr="00C92A43" w:rsidRDefault="00E40D54" w:rsidP="00D24FF5">
      <w:pPr>
        <w:spacing w:after="0" w:line="480" w:lineRule="auto"/>
        <w:rPr>
          <w:rFonts w:cstheme="minorHAnsi"/>
          <w:i/>
        </w:rPr>
      </w:pPr>
      <w:r>
        <w:rPr>
          <w:rFonts w:cstheme="minorHAnsi"/>
          <w:i/>
        </w:rPr>
        <w:t>Model development</w:t>
      </w:r>
    </w:p>
    <w:p w14:paraId="2D11E70F" w14:textId="77777777" w:rsidR="00F67542" w:rsidRDefault="00E40D54" w:rsidP="00F30961">
      <w:pPr>
        <w:rPr>
          <w:rFonts w:ascii="Calibri" w:eastAsia="Times New Roman" w:hAnsi="Calibri" w:cs="Calibri"/>
          <w:lang w:eastAsia="en-GB"/>
        </w:rPr>
      </w:pPr>
      <w:r w:rsidRPr="002D5EF0">
        <w:t xml:space="preserve">We </w:t>
      </w:r>
      <w:r>
        <w:t>first described</w:t>
      </w:r>
      <w:r w:rsidRPr="002D5EF0">
        <w:t xml:space="preserve"> </w:t>
      </w:r>
      <w:proofErr w:type="spellStart"/>
      <w:r w:rsidRPr="002D5EF0">
        <w:t>missingness</w:t>
      </w:r>
      <w:proofErr w:type="spellEnd"/>
      <w:r w:rsidRPr="002D5EF0">
        <w:t xml:space="preserve"> in the data, and used cross-tabulation and logistic regression to explore unadjusted trends between each demographic and lifestyle variable and the outcomes.  </w:t>
      </w:r>
      <w:r w:rsidR="00AF6C09">
        <w:rPr>
          <w:rFonts w:ascii="Calibri" w:eastAsia="Times New Roman" w:hAnsi="Calibri" w:cs="Calibri"/>
          <w:lang w:eastAsia="en-GB"/>
        </w:rPr>
        <w:t xml:space="preserve">Associations were described as odds ratios, with strength of association measured by effect size (p-value from a likelihood ratio test). </w:t>
      </w:r>
    </w:p>
    <w:p w14:paraId="2E114E5B" w14:textId="0BE5E775" w:rsidR="00E40D54" w:rsidRPr="002D5EF0" w:rsidRDefault="00AF6C09" w:rsidP="003667C9">
      <w:r>
        <w:rPr>
          <w:rFonts w:ascii="Calibri" w:eastAsia="Times New Roman" w:hAnsi="Calibri" w:cs="Calibri"/>
          <w:lang w:eastAsia="en-GB"/>
        </w:rPr>
        <w:t>The associations under investigation were liable to confounding</w:t>
      </w:r>
      <w:r w:rsidR="00C0336F">
        <w:rPr>
          <w:rFonts w:ascii="Calibri" w:eastAsia="Times New Roman" w:hAnsi="Calibri" w:cs="Calibri"/>
          <w:lang w:eastAsia="en-GB"/>
        </w:rPr>
        <w:t xml:space="preserve"> by </w:t>
      </w:r>
      <w:r w:rsidR="00F67542">
        <w:rPr>
          <w:rFonts w:ascii="Calibri" w:eastAsia="Times New Roman" w:hAnsi="Calibri" w:cs="Calibri"/>
          <w:lang w:eastAsia="en-GB"/>
        </w:rPr>
        <w:t xml:space="preserve">multiple </w:t>
      </w:r>
      <w:r w:rsidR="00C0336F">
        <w:rPr>
          <w:rFonts w:ascii="Calibri" w:eastAsia="Times New Roman" w:hAnsi="Calibri" w:cs="Calibri"/>
          <w:lang w:eastAsia="en-GB"/>
        </w:rPr>
        <w:t xml:space="preserve">factors. </w:t>
      </w:r>
      <w:r w:rsidR="003667C9">
        <w:rPr>
          <w:rFonts w:ascii="Calibri" w:eastAsia="Times New Roman" w:hAnsi="Calibri" w:cs="Calibri"/>
          <w:lang w:eastAsia="en-GB"/>
        </w:rPr>
        <w:t>When addressing multiple confounders simultaneously t</w:t>
      </w:r>
      <w:r w:rsidR="00A408FB">
        <w:rPr>
          <w:rFonts w:ascii="Calibri" w:eastAsia="Times New Roman" w:hAnsi="Calibri" w:cs="Calibri"/>
          <w:lang w:eastAsia="en-GB"/>
        </w:rPr>
        <w:t>here is a risk of over</w:t>
      </w:r>
      <w:r w:rsidR="001A643E">
        <w:rPr>
          <w:rFonts w:ascii="Calibri" w:eastAsia="Times New Roman" w:hAnsi="Calibri" w:cs="Calibri"/>
          <w:lang w:eastAsia="en-GB"/>
        </w:rPr>
        <w:t>-adjustment</w:t>
      </w:r>
      <w:r w:rsidR="00A408FB">
        <w:rPr>
          <w:rFonts w:ascii="Calibri" w:eastAsia="Times New Roman" w:hAnsi="Calibri" w:cs="Calibri"/>
          <w:lang w:eastAsia="en-GB"/>
        </w:rPr>
        <w:t xml:space="preserve"> </w:t>
      </w:r>
      <w:r w:rsidR="001E7DAB">
        <w:rPr>
          <w:rFonts w:ascii="Calibri" w:eastAsia="Times New Roman" w:hAnsi="Calibri" w:cs="Calibri"/>
          <w:lang w:eastAsia="en-GB"/>
        </w:rPr>
        <w:t>when</w:t>
      </w:r>
      <w:r w:rsidR="00A408FB">
        <w:rPr>
          <w:rFonts w:ascii="Calibri" w:eastAsia="Times New Roman" w:hAnsi="Calibri" w:cs="Calibri"/>
          <w:lang w:eastAsia="en-GB"/>
        </w:rPr>
        <w:t xml:space="preserve"> </w:t>
      </w:r>
      <w:r w:rsidR="001E7DAB">
        <w:rPr>
          <w:rFonts w:ascii="Calibri" w:eastAsia="Times New Roman" w:hAnsi="Calibri" w:cs="Calibri"/>
          <w:lang w:eastAsia="en-GB"/>
        </w:rPr>
        <w:t xml:space="preserve">some </w:t>
      </w:r>
      <w:r w:rsidR="001A643E">
        <w:rPr>
          <w:rFonts w:ascii="Calibri" w:eastAsia="Times New Roman" w:hAnsi="Calibri" w:cs="Calibri"/>
          <w:lang w:eastAsia="en-GB"/>
        </w:rPr>
        <w:t>variables sit on the causal path between other variables and the outcome.</w:t>
      </w:r>
      <w:r w:rsidR="003605FF">
        <w:rPr>
          <w:rFonts w:ascii="Calibri" w:eastAsia="Times New Roman" w:hAnsi="Calibri" w:cs="Calibri"/>
          <w:lang w:eastAsia="en-GB"/>
        </w:rPr>
        <w:t xml:space="preserve"> </w:t>
      </w:r>
      <w:r w:rsidR="003605FF" w:rsidRPr="00322BCA">
        <w:rPr>
          <w:rFonts w:ascii="Calibri" w:eastAsia="Times New Roman" w:hAnsi="Calibri" w:cs="Calibri"/>
          <w:vertAlign w:val="superscript"/>
          <w:lang w:eastAsia="en-GB"/>
        </w:rPr>
        <w:t>14</w:t>
      </w:r>
      <w:r w:rsidR="000779A2">
        <w:rPr>
          <w:rFonts w:ascii="Calibri" w:eastAsia="Times New Roman" w:hAnsi="Calibri" w:cs="Calibri"/>
          <w:lang w:eastAsia="en-GB"/>
        </w:rPr>
        <w:t xml:space="preserve">I </w:t>
      </w:r>
      <w:proofErr w:type="gramStart"/>
      <w:r w:rsidR="000779A2">
        <w:rPr>
          <w:rFonts w:ascii="Calibri" w:eastAsia="Times New Roman" w:hAnsi="Calibri" w:cs="Calibri"/>
          <w:lang w:eastAsia="en-GB"/>
        </w:rPr>
        <w:t>I</w:t>
      </w:r>
      <w:r w:rsidR="000779A2">
        <w:t>t</w:t>
      </w:r>
      <w:proofErr w:type="gramEnd"/>
      <w:r w:rsidR="000779A2">
        <w:t xml:space="preserve"> is plausible that adjusting for proximal factors will over fit a model for less proximal factors. </w:t>
      </w:r>
      <w:r w:rsidR="00A408FB">
        <w:rPr>
          <w:rFonts w:ascii="Calibri" w:eastAsia="Times New Roman" w:hAnsi="Calibri" w:cs="Calibri"/>
          <w:lang w:eastAsia="en-GB"/>
        </w:rPr>
        <w:t>I</w:t>
      </w:r>
      <w:r w:rsidRPr="002F5628">
        <w:rPr>
          <w:rFonts w:ascii="Calibri" w:eastAsia="Times New Roman" w:hAnsi="Calibri" w:cs="Calibri"/>
          <w:lang w:eastAsia="en-GB"/>
        </w:rPr>
        <w:t xml:space="preserve">n order to select appropriate potential confounders, and to make explicit our assumptions about the causal connections between the </w:t>
      </w:r>
      <w:r w:rsidR="003667C9">
        <w:rPr>
          <w:rFonts w:ascii="Calibri" w:eastAsia="Times New Roman" w:hAnsi="Calibri" w:cs="Calibri"/>
          <w:lang w:eastAsia="en-GB"/>
        </w:rPr>
        <w:t xml:space="preserve">demographic </w:t>
      </w:r>
      <w:r w:rsidRPr="002F5628">
        <w:rPr>
          <w:rFonts w:ascii="Calibri" w:eastAsia="Times New Roman" w:hAnsi="Calibri" w:cs="Calibri"/>
          <w:lang w:eastAsia="en-GB"/>
        </w:rPr>
        <w:t xml:space="preserve">variables, we drew a directed </w:t>
      </w:r>
      <w:proofErr w:type="spellStart"/>
      <w:r w:rsidRPr="002F5628">
        <w:rPr>
          <w:rFonts w:ascii="Calibri" w:eastAsia="Times New Roman" w:hAnsi="Calibri" w:cs="Calibri"/>
          <w:lang w:eastAsia="en-GB"/>
        </w:rPr>
        <w:t>acyclical</w:t>
      </w:r>
      <w:proofErr w:type="spellEnd"/>
      <w:r w:rsidRPr="002F5628">
        <w:rPr>
          <w:rFonts w:ascii="Calibri" w:eastAsia="Times New Roman" w:hAnsi="Calibri" w:cs="Calibri"/>
          <w:lang w:eastAsia="en-GB"/>
        </w:rPr>
        <w:t xml:space="preserve"> graph</w:t>
      </w:r>
      <w:r w:rsidR="003667C9">
        <w:rPr>
          <w:rFonts w:ascii="Calibri" w:eastAsia="Times New Roman" w:hAnsi="Calibri" w:cs="Calibri"/>
          <w:lang w:eastAsia="en-GB"/>
        </w:rPr>
        <w:t>, or DAG</w:t>
      </w:r>
      <w:r w:rsidR="003605FF">
        <w:rPr>
          <w:rFonts w:ascii="Calibri" w:eastAsia="Times New Roman" w:hAnsi="Calibri" w:cs="Calibri"/>
          <w:lang w:eastAsia="en-GB"/>
        </w:rPr>
        <w:t xml:space="preserve"> </w:t>
      </w:r>
      <w:r w:rsidR="003605FF" w:rsidRPr="00322BCA">
        <w:rPr>
          <w:rFonts w:ascii="Calibri" w:eastAsia="Times New Roman" w:hAnsi="Calibri" w:cs="Calibri"/>
          <w:vertAlign w:val="superscript"/>
          <w:lang w:eastAsia="en-GB"/>
        </w:rPr>
        <w:t>15</w:t>
      </w:r>
      <w:r w:rsidR="00F67542">
        <w:rPr>
          <w:rFonts w:ascii="Calibri" w:eastAsia="Times New Roman" w:hAnsi="Calibri" w:cs="Calibri"/>
          <w:i/>
          <w:lang w:eastAsia="en-GB"/>
        </w:rPr>
        <w:t xml:space="preserve"> </w:t>
      </w:r>
      <w:r w:rsidR="003667C9">
        <w:rPr>
          <w:rFonts w:ascii="Calibri" w:eastAsia="Times New Roman" w:hAnsi="Calibri" w:cs="Calibri"/>
          <w:lang w:eastAsia="en-GB"/>
        </w:rPr>
        <w:t>(s</w:t>
      </w:r>
      <w:r w:rsidR="003667C9" w:rsidRPr="00230377">
        <w:rPr>
          <w:rFonts w:ascii="Calibri" w:eastAsia="Times New Roman" w:hAnsi="Calibri" w:cs="Calibri"/>
          <w:lang w:eastAsia="en-GB"/>
        </w:rPr>
        <w:t>ee</w:t>
      </w:r>
      <w:r w:rsidR="003667C9">
        <w:rPr>
          <w:rFonts w:ascii="Calibri" w:eastAsia="Times New Roman" w:hAnsi="Calibri" w:cs="Calibri"/>
          <w:i/>
          <w:lang w:eastAsia="en-GB"/>
        </w:rPr>
        <w:t xml:space="preserve"> </w:t>
      </w:r>
      <w:r w:rsidR="003667C9">
        <w:rPr>
          <w:rFonts w:ascii="Calibri" w:eastAsia="Times New Roman" w:hAnsi="Calibri" w:cs="Calibri"/>
          <w:lang w:eastAsia="en-GB"/>
        </w:rPr>
        <w:t>F</w:t>
      </w:r>
      <w:r w:rsidR="003667C9" w:rsidRPr="002F5628">
        <w:rPr>
          <w:rFonts w:ascii="Calibri" w:eastAsia="Times New Roman" w:hAnsi="Calibri" w:cs="Calibri"/>
          <w:lang w:eastAsia="en-GB"/>
        </w:rPr>
        <w:t>igure 1</w:t>
      </w:r>
      <w:r w:rsidR="003667C9">
        <w:rPr>
          <w:rFonts w:ascii="Calibri" w:eastAsia="Times New Roman" w:hAnsi="Calibri" w:cs="Calibri"/>
          <w:lang w:eastAsia="en-GB"/>
        </w:rPr>
        <w:t>)</w:t>
      </w:r>
      <w:r w:rsidR="003667C9" w:rsidRPr="002F5628">
        <w:rPr>
          <w:rFonts w:ascii="Calibri" w:eastAsia="Times New Roman" w:hAnsi="Calibri" w:cs="Calibri"/>
          <w:lang w:eastAsia="en-GB"/>
        </w:rPr>
        <w:t xml:space="preserve"> </w:t>
      </w:r>
      <w:r w:rsidR="003667C9" w:rsidRPr="00322BCA">
        <w:rPr>
          <w:rFonts w:ascii="Calibri" w:eastAsia="Times New Roman" w:hAnsi="Calibri" w:cs="Calibri"/>
          <w:u w:val="single"/>
          <w:lang w:eastAsia="en-GB"/>
        </w:rPr>
        <w:t xml:space="preserve">using </w:t>
      </w:r>
      <w:proofErr w:type="spellStart"/>
      <w:r w:rsidR="003667C9" w:rsidRPr="00322BCA">
        <w:rPr>
          <w:rFonts w:ascii="Calibri" w:eastAsia="Times New Roman" w:hAnsi="Calibri" w:cs="Calibri"/>
          <w:u w:val="single"/>
          <w:lang w:eastAsia="en-GB"/>
        </w:rPr>
        <w:t>Dagitty</w:t>
      </w:r>
      <w:proofErr w:type="spellEnd"/>
      <w:r w:rsidR="003605FF">
        <w:rPr>
          <w:rFonts w:ascii="Calibri" w:eastAsia="Times New Roman" w:hAnsi="Calibri" w:cs="Calibri"/>
          <w:u w:val="single"/>
          <w:lang w:eastAsia="en-GB"/>
        </w:rPr>
        <w:t xml:space="preserve"> software.</w:t>
      </w:r>
      <w:r w:rsidR="003605FF">
        <w:rPr>
          <w:rFonts w:ascii="Calibri" w:eastAsia="Times New Roman" w:hAnsi="Calibri" w:cs="Calibri"/>
          <w:u w:val="single"/>
          <w:vertAlign w:val="superscript"/>
          <w:lang w:eastAsia="en-GB"/>
        </w:rPr>
        <w:t>16</w:t>
      </w:r>
      <w:r w:rsidR="003667C9">
        <w:rPr>
          <w:rFonts w:ascii="Calibri" w:eastAsia="Times New Roman" w:hAnsi="Calibri" w:cs="Calibri"/>
          <w:i/>
          <w:u w:val="single"/>
          <w:lang w:eastAsia="en-GB"/>
        </w:rPr>
        <w:t xml:space="preserve"> </w:t>
      </w:r>
    </w:p>
    <w:p w14:paraId="68F7C3D6" w14:textId="77777777" w:rsidR="00E40D54" w:rsidRDefault="00E40D54" w:rsidP="00D24FF5">
      <w:pPr>
        <w:keepNext/>
        <w:spacing w:after="0" w:line="480" w:lineRule="auto"/>
        <w:jc w:val="both"/>
      </w:pPr>
      <w:r w:rsidRPr="002D5EF0">
        <w:rPr>
          <w:rFonts w:cstheme="minorHAnsi"/>
          <w:noProof/>
          <w:sz w:val="32"/>
          <w:szCs w:val="32"/>
          <w:lang w:eastAsia="en-GB"/>
        </w:rPr>
        <w:lastRenderedPageBreak/>
        <w:drawing>
          <wp:inline distT="0" distB="0" distL="0" distR="0" wp14:anchorId="7495D8C5" wp14:editId="33A9F886">
            <wp:extent cx="5568315" cy="3466465"/>
            <wp:effectExtent l="19050" t="0" r="0" b="0"/>
            <wp:docPr id="1" name="Picture 1" descr="https://lh4.googleusercontent.com/hYJgd1txuAfLjQ6QfV8SfU_2cGaGMOQiEPyRjuF-gVhXZLUCZW9PWqW3o_IOJXTGUxBxANVo9MD-c6kFfG7otYWauTX8X_-NZatTB32v0fp80zwXPVX1cFRYWG15mxs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Jgd1txuAfLjQ6QfV8SfU_2cGaGMOQiEPyRjuF-gVhXZLUCZW9PWqW3o_IOJXTGUxBxANVo9MD-c6kFfG7otYWauTX8X_-NZatTB32v0fp80zwXPVX1cFRYWG15mxsjkg"/>
                    <pic:cNvPicPr>
                      <a:picLocks noChangeAspect="1" noChangeArrowheads="1"/>
                    </pic:cNvPicPr>
                  </pic:nvPicPr>
                  <pic:blipFill>
                    <a:blip r:embed="rId9" cstate="print"/>
                    <a:srcRect/>
                    <a:stretch>
                      <a:fillRect/>
                    </a:stretch>
                  </pic:blipFill>
                  <pic:spPr bwMode="auto">
                    <a:xfrm>
                      <a:off x="0" y="0"/>
                      <a:ext cx="5568315" cy="3466465"/>
                    </a:xfrm>
                    <a:prstGeom prst="rect">
                      <a:avLst/>
                    </a:prstGeom>
                    <a:noFill/>
                    <a:ln w="9525">
                      <a:noFill/>
                      <a:miter lim="800000"/>
                      <a:headEnd/>
                      <a:tailEnd/>
                    </a:ln>
                  </pic:spPr>
                </pic:pic>
              </a:graphicData>
            </a:graphic>
          </wp:inline>
        </w:drawing>
      </w:r>
    </w:p>
    <w:p w14:paraId="0420CD3A" w14:textId="77777777" w:rsidR="00E40D54" w:rsidRPr="00B4283C" w:rsidRDefault="00E40D54" w:rsidP="00D24FF5">
      <w:pPr>
        <w:pStyle w:val="Caption"/>
        <w:jc w:val="center"/>
        <w:rPr>
          <w:rFonts w:cstheme="minorHAnsi"/>
          <w:sz w:val="24"/>
          <w:szCs w:val="24"/>
        </w:rPr>
      </w:pPr>
      <w:r w:rsidRPr="00B4283C">
        <w:rPr>
          <w:sz w:val="24"/>
          <w:szCs w:val="24"/>
        </w:rPr>
        <w:t xml:space="preserve">Figure </w:t>
      </w:r>
      <w:r w:rsidRPr="00B4283C">
        <w:rPr>
          <w:sz w:val="24"/>
          <w:szCs w:val="24"/>
        </w:rPr>
        <w:fldChar w:fldCharType="begin"/>
      </w:r>
      <w:r w:rsidRPr="00B4283C">
        <w:rPr>
          <w:sz w:val="24"/>
          <w:szCs w:val="24"/>
        </w:rPr>
        <w:instrText xml:space="preserve"> SEQ Figure \* ARABIC </w:instrText>
      </w:r>
      <w:r w:rsidRPr="00B4283C">
        <w:rPr>
          <w:sz w:val="24"/>
          <w:szCs w:val="24"/>
        </w:rPr>
        <w:fldChar w:fldCharType="separate"/>
      </w:r>
      <w:r w:rsidR="00F42AF4">
        <w:rPr>
          <w:noProof/>
          <w:sz w:val="24"/>
          <w:szCs w:val="24"/>
        </w:rPr>
        <w:t>1</w:t>
      </w:r>
      <w:r w:rsidRPr="00B4283C">
        <w:rPr>
          <w:sz w:val="24"/>
          <w:szCs w:val="24"/>
        </w:rPr>
        <w:fldChar w:fldCharType="end"/>
      </w:r>
      <w:r w:rsidRPr="00B4283C">
        <w:rPr>
          <w:sz w:val="24"/>
          <w:szCs w:val="24"/>
        </w:rPr>
        <w:t>: Assumptions of casual connections between demographic variables</w:t>
      </w:r>
    </w:p>
    <w:p w14:paraId="796DCD6F" w14:textId="77777777" w:rsidR="00E40D54" w:rsidRDefault="00E40D54" w:rsidP="00D24FF5">
      <w:pPr>
        <w:spacing w:after="0" w:line="480" w:lineRule="auto"/>
        <w:jc w:val="both"/>
        <w:rPr>
          <w:rFonts w:cstheme="minorHAnsi"/>
        </w:rPr>
      </w:pPr>
    </w:p>
    <w:p w14:paraId="346388FD" w14:textId="0DED2124" w:rsidR="00150BCD" w:rsidRPr="00150BCD" w:rsidRDefault="00E40D54" w:rsidP="009062EA">
      <w:pPr>
        <w:rPr>
          <w:rFonts w:ascii="Calibri" w:eastAsia="Times New Roman" w:hAnsi="Calibri" w:cs="Calibri"/>
          <w:lang w:eastAsia="en-GB"/>
        </w:rPr>
      </w:pPr>
      <w:r w:rsidRPr="002D5EF0">
        <w:t>The arrows represent assumed causal links.  Education and migration status are both ‘past’ and therefore have been placed higher in the causal pathways</w:t>
      </w:r>
      <w:r w:rsidR="009940A4">
        <w:t>; ethnicity is considered conditional on being in the study and therefore migrant status was assumed to be causally upstream</w:t>
      </w:r>
      <w:r w:rsidRPr="002D5EF0">
        <w:t xml:space="preserve">.  </w:t>
      </w:r>
      <w:r w:rsidR="009940A4">
        <w:t>All</w:t>
      </w:r>
      <w:r w:rsidR="009940A4" w:rsidRPr="002D5EF0">
        <w:t xml:space="preserve"> </w:t>
      </w:r>
      <w:r w:rsidRPr="002D5EF0">
        <w:t xml:space="preserve">of these variables </w:t>
      </w:r>
      <w:r w:rsidR="00BA0EA8">
        <w:t>are</w:t>
      </w:r>
      <w:r w:rsidR="00BA0EA8" w:rsidRPr="002D5EF0">
        <w:t xml:space="preserve"> </w:t>
      </w:r>
      <w:r w:rsidRPr="002D5EF0">
        <w:t>also thought to have a causal relationship with the outcomes</w:t>
      </w:r>
      <w:r w:rsidR="002E67F2">
        <w:t>,</w:t>
      </w:r>
      <w:r w:rsidRPr="002D5EF0">
        <w:t xml:space="preserve"> </w:t>
      </w:r>
      <w:r w:rsidR="002E67F2">
        <w:t>which</w:t>
      </w:r>
      <w:r w:rsidR="002E67F2" w:rsidRPr="002D5EF0">
        <w:t xml:space="preserve"> </w:t>
      </w:r>
      <w:r w:rsidRPr="002D5EF0">
        <w:t>is not shown</w:t>
      </w:r>
      <w:r w:rsidR="002E67F2">
        <w:t xml:space="preserve"> in the diagram</w:t>
      </w:r>
      <w:r w:rsidRPr="002D5EF0">
        <w:t xml:space="preserve">. </w:t>
      </w:r>
      <w:r w:rsidR="002E67F2" w:rsidRPr="002D5EF0">
        <w:t>We used the DAGITTY software (</w:t>
      </w:r>
      <w:hyperlink r:id="rId10" w:history="1">
        <w:r w:rsidR="002E67F2" w:rsidRPr="002D5EF0">
          <w:rPr>
            <w:rStyle w:val="Hyperlink"/>
            <w:rFonts w:cstheme="minorHAnsi"/>
          </w:rPr>
          <w:t>http://www.dagitty.net/</w:t>
        </w:r>
      </w:hyperlink>
      <w:r w:rsidR="002E67F2" w:rsidRPr="002D5EF0">
        <w:t>) to identify minimal sufficient adjustment sets of potential confounders.  These confounders were used in logistic regression.</w:t>
      </w:r>
      <w:r w:rsidR="002E67F2">
        <w:t xml:space="preserve"> </w:t>
      </w:r>
      <w:r w:rsidR="00AF6C09">
        <w:rPr>
          <w:rFonts w:ascii="Calibri" w:eastAsia="Times New Roman" w:hAnsi="Calibri" w:cs="Calibri"/>
          <w:lang w:eastAsia="en-GB"/>
        </w:rPr>
        <w:t>By identifying confounders in this way, as opposed to including potential confounders on the basis of association with the exposure of interest and the outcome,</w:t>
      </w:r>
      <w:r w:rsidR="009940A4">
        <w:rPr>
          <w:rFonts w:ascii="Calibri" w:eastAsia="Times New Roman" w:hAnsi="Calibri" w:cs="Calibri"/>
          <w:lang w:eastAsia="en-GB"/>
        </w:rPr>
        <w:t xml:space="preserve"> or simply including all other variables,</w:t>
      </w:r>
      <w:r w:rsidR="00AF6C09">
        <w:rPr>
          <w:rFonts w:ascii="Calibri" w:eastAsia="Times New Roman" w:hAnsi="Calibri" w:cs="Calibri"/>
          <w:lang w:eastAsia="en-GB"/>
        </w:rPr>
        <w:t xml:space="preserve"> we aimed to avoid over-fitting the model with variables on the causal pathway</w:t>
      </w:r>
      <w:r w:rsidR="009940A4">
        <w:rPr>
          <w:rFonts w:ascii="Calibri" w:eastAsia="Times New Roman" w:hAnsi="Calibri" w:cs="Calibri"/>
          <w:lang w:eastAsia="en-GB"/>
        </w:rPr>
        <w:t xml:space="preserve"> in the adjusted models</w:t>
      </w:r>
      <w:r w:rsidR="00BA0EA8">
        <w:rPr>
          <w:rFonts w:ascii="Calibri" w:eastAsia="Times New Roman" w:hAnsi="Calibri" w:cs="Calibri"/>
          <w:lang w:eastAsia="en-GB"/>
        </w:rPr>
        <w:t>.</w:t>
      </w:r>
      <w:r w:rsidR="00343688" w:rsidRPr="003B6629">
        <w:rPr>
          <w:rFonts w:ascii="Calibri" w:eastAsia="Times New Roman" w:hAnsi="Calibri" w:cs="Calibri"/>
          <w:vertAlign w:val="superscript"/>
          <w:lang w:eastAsia="en-GB"/>
        </w:rPr>
        <w:t>1</w:t>
      </w:r>
      <w:r w:rsidR="003B111B">
        <w:rPr>
          <w:rFonts w:ascii="Calibri" w:eastAsia="Times New Roman" w:hAnsi="Calibri" w:cs="Calibri"/>
          <w:vertAlign w:val="superscript"/>
          <w:lang w:eastAsia="en-GB"/>
        </w:rPr>
        <w:t>7</w:t>
      </w:r>
      <w:r w:rsidR="009940A4">
        <w:rPr>
          <w:rFonts w:ascii="Calibri" w:eastAsia="Times New Roman" w:hAnsi="Calibri" w:cs="Calibri"/>
          <w:lang w:eastAsia="en-GB"/>
        </w:rPr>
        <w:t xml:space="preserve"> As a result, each of the associations between the variables and the outcomes was adjusted for by a different set of potential confounders. </w:t>
      </w:r>
    </w:p>
    <w:p w14:paraId="33F8ED61" w14:textId="77777777" w:rsidR="00E40D54" w:rsidRDefault="00E40D54">
      <w:pPr>
        <w:rPr>
          <w:b/>
        </w:rPr>
      </w:pPr>
    </w:p>
    <w:p w14:paraId="4D56FF02" w14:textId="6ECF4677" w:rsidR="00E40D54" w:rsidRPr="003E5A74" w:rsidRDefault="00FC0C16">
      <w:pPr>
        <w:rPr>
          <w:b/>
        </w:rPr>
      </w:pPr>
      <w:r w:rsidRPr="003E5A74">
        <w:rPr>
          <w:b/>
        </w:rPr>
        <w:t>RESULTS</w:t>
      </w:r>
    </w:p>
    <w:p w14:paraId="1FE51E3A" w14:textId="580CFB03" w:rsidR="00150BCD" w:rsidRPr="00150BCD" w:rsidRDefault="00882343" w:rsidP="0013031F">
      <w:pPr>
        <w:rPr>
          <w:lang w:eastAsia="en-GB"/>
        </w:rPr>
      </w:pPr>
      <w:r w:rsidRPr="00882343">
        <w:rPr>
          <w:lang w:eastAsia="en-GB"/>
        </w:rPr>
        <w:t xml:space="preserve">After ineligibility exclusions, there were 5799 valid survey submissions. Of these, </w:t>
      </w:r>
      <w:r>
        <w:rPr>
          <w:lang w:eastAsia="en-GB"/>
        </w:rPr>
        <w:t>383</w:t>
      </w:r>
      <w:r w:rsidRPr="00882343">
        <w:rPr>
          <w:lang w:eastAsia="en-GB"/>
        </w:rPr>
        <w:t xml:space="preserve"> </w:t>
      </w:r>
      <w:r>
        <w:rPr>
          <w:lang w:eastAsia="en-GB"/>
        </w:rPr>
        <w:t>were missing the depression measure</w:t>
      </w:r>
      <w:r w:rsidRPr="00882343">
        <w:rPr>
          <w:lang w:eastAsia="en-GB"/>
        </w:rPr>
        <w:t xml:space="preserve">, </w:t>
      </w:r>
      <w:r>
        <w:rPr>
          <w:lang w:eastAsia="en-GB"/>
        </w:rPr>
        <w:t>243</w:t>
      </w:r>
      <w:r w:rsidRPr="00882343">
        <w:rPr>
          <w:lang w:eastAsia="en-GB"/>
        </w:rPr>
        <w:t xml:space="preserve"> missing </w:t>
      </w:r>
      <w:r>
        <w:rPr>
          <w:lang w:eastAsia="en-GB"/>
        </w:rPr>
        <w:t>anxiety</w:t>
      </w:r>
      <w:r w:rsidRPr="00882343">
        <w:rPr>
          <w:lang w:eastAsia="en-GB"/>
        </w:rPr>
        <w:t>,</w:t>
      </w:r>
      <w:r>
        <w:rPr>
          <w:lang w:eastAsia="en-GB"/>
        </w:rPr>
        <w:t xml:space="preserve"> 60</w:t>
      </w:r>
      <w:r w:rsidRPr="00882343">
        <w:rPr>
          <w:lang w:eastAsia="en-GB"/>
        </w:rPr>
        <w:t xml:space="preserve"> missing </w:t>
      </w:r>
      <w:r>
        <w:rPr>
          <w:lang w:eastAsia="en-GB"/>
        </w:rPr>
        <w:t>suicid</w:t>
      </w:r>
      <w:r w:rsidR="00397967">
        <w:rPr>
          <w:lang w:eastAsia="en-GB"/>
        </w:rPr>
        <w:t>e attempt</w:t>
      </w:r>
      <w:r>
        <w:rPr>
          <w:lang w:eastAsia="en-GB"/>
        </w:rPr>
        <w:t xml:space="preserve"> and</w:t>
      </w:r>
      <w:r w:rsidRPr="00882343">
        <w:rPr>
          <w:lang w:eastAsia="en-GB"/>
        </w:rPr>
        <w:t xml:space="preserve"> 4</w:t>
      </w:r>
      <w:r>
        <w:rPr>
          <w:lang w:eastAsia="en-GB"/>
        </w:rPr>
        <w:t>8</w:t>
      </w:r>
      <w:r w:rsidRPr="00882343">
        <w:rPr>
          <w:lang w:eastAsia="en-GB"/>
        </w:rPr>
        <w:t xml:space="preserve"> missing </w:t>
      </w:r>
      <w:r>
        <w:rPr>
          <w:lang w:eastAsia="en-GB"/>
        </w:rPr>
        <w:t>self-harm</w:t>
      </w:r>
      <w:r w:rsidRPr="00882343">
        <w:rPr>
          <w:lang w:eastAsia="en-GB"/>
        </w:rPr>
        <w:t xml:space="preserve">. </w:t>
      </w:r>
      <w:r w:rsidR="002A5D4C">
        <w:rPr>
          <w:lang w:eastAsia="en-GB"/>
        </w:rPr>
        <w:t>Age and residence were inclusion criteria and were missing no data.</w:t>
      </w:r>
      <w:r w:rsidRPr="00882343">
        <w:rPr>
          <w:lang w:eastAsia="en-GB"/>
        </w:rPr>
        <w:t xml:space="preserve"> Missing data for</w:t>
      </w:r>
      <w:r w:rsidR="002A5D4C">
        <w:rPr>
          <w:lang w:eastAsia="en-GB"/>
        </w:rPr>
        <w:t xml:space="preserve"> ethnicity,</w:t>
      </w:r>
      <w:r w:rsidRPr="00882343">
        <w:rPr>
          <w:lang w:eastAsia="en-GB"/>
        </w:rPr>
        <w:t xml:space="preserve"> </w:t>
      </w:r>
      <w:r w:rsidR="002A5D4C" w:rsidRPr="00882343">
        <w:rPr>
          <w:lang w:eastAsia="en-GB"/>
        </w:rPr>
        <w:lastRenderedPageBreak/>
        <w:t>education</w:t>
      </w:r>
      <w:r w:rsidR="002A5D4C">
        <w:rPr>
          <w:lang w:eastAsia="en-GB"/>
        </w:rPr>
        <w:t>,</w:t>
      </w:r>
      <w:r w:rsidR="002A5D4C" w:rsidRPr="00882343">
        <w:rPr>
          <w:lang w:eastAsia="en-GB"/>
        </w:rPr>
        <w:t xml:space="preserve"> migrant status, </w:t>
      </w:r>
      <w:r w:rsidRPr="00882343">
        <w:rPr>
          <w:lang w:eastAsia="en-GB"/>
        </w:rPr>
        <w:t>income, household s</w:t>
      </w:r>
      <w:r w:rsidR="002A5D4C">
        <w:rPr>
          <w:lang w:eastAsia="en-GB"/>
        </w:rPr>
        <w:t xml:space="preserve">ituation and attraction to women </w:t>
      </w:r>
      <w:r w:rsidRPr="00882343">
        <w:rPr>
          <w:lang w:eastAsia="en-GB"/>
        </w:rPr>
        <w:t xml:space="preserve">did not exceed 1.5% and did not appear to be differentiated by the outcome. </w:t>
      </w:r>
      <w:r>
        <w:t xml:space="preserve">The characteristics of the sample, the prevalence and odds of poor mental health </w:t>
      </w:r>
      <w:r w:rsidRPr="00882343">
        <w:rPr>
          <w:lang w:eastAsia="en-GB"/>
        </w:rPr>
        <w:t xml:space="preserve">and results of the logistic regression are displayed in Table 1. </w:t>
      </w:r>
    </w:p>
    <w:p w14:paraId="059988BA" w14:textId="3F8EE2CA" w:rsidR="00E40D54" w:rsidRDefault="00150BCD" w:rsidP="00150BCD">
      <w:r w:rsidRPr="00150BCD">
        <w:rPr>
          <w:lang w:eastAsia="en-GB"/>
        </w:rPr>
        <w:t>The median age was 32 years and the majority (78%) were under 45 years of age, most were of white ethnicity (94%), and more than half had a degree-level education (58%).  There was a small proportion of migrants (14%) and a broad distribution of incomes.  Approximately equal numbers reported living alone, living with a male partner, or living with others (</w:t>
      </w:r>
      <w:r>
        <w:rPr>
          <w:lang w:eastAsia="en-GB"/>
        </w:rPr>
        <w:t xml:space="preserve">but </w:t>
      </w:r>
      <w:r w:rsidRPr="00150BCD">
        <w:rPr>
          <w:lang w:eastAsia="en-GB"/>
        </w:rPr>
        <w:t>not a male partner)</w:t>
      </w:r>
      <w:r>
        <w:rPr>
          <w:lang w:eastAsia="en-GB"/>
        </w:rPr>
        <w:t xml:space="preserve">.  Over a third </w:t>
      </w:r>
      <w:r w:rsidRPr="00150BCD">
        <w:rPr>
          <w:lang w:eastAsia="en-GB"/>
        </w:rPr>
        <w:t xml:space="preserve">lived in London.  </w:t>
      </w:r>
      <w:r w:rsidR="00E40D54">
        <w:t xml:space="preserve">Overall 21.3% were depressed and 17.1% anxious. Far fewer had </w:t>
      </w:r>
      <w:r w:rsidR="00397967">
        <w:t xml:space="preserve">attempted </w:t>
      </w:r>
      <w:r w:rsidR="00E40D54">
        <w:t>suicid</w:t>
      </w:r>
      <w:r w:rsidR="00397967">
        <w:t>e</w:t>
      </w:r>
      <w:r w:rsidR="00E40D54">
        <w:t xml:space="preserve"> (3</w:t>
      </w:r>
      <w:r w:rsidR="00015610">
        <w:t>.0</w:t>
      </w:r>
      <w:r w:rsidR="00E40D54">
        <w:t>%) but a sizable minority (6.5%) had self-harmed</w:t>
      </w:r>
      <w:r w:rsidR="004C6946">
        <w:t xml:space="preserve"> in the last year</w:t>
      </w:r>
      <w:r w:rsidR="00E40D54">
        <w:t>.</w:t>
      </w:r>
    </w:p>
    <w:p w14:paraId="16B8E64F" w14:textId="3DB85C80" w:rsidR="00E40D54" w:rsidRDefault="00E40D54" w:rsidP="00DE1426">
      <w:r>
        <w:t xml:space="preserve">All four negative outcomes became less likely with increasing age. The odds of men </w:t>
      </w:r>
      <w:r w:rsidR="004C6946">
        <w:t xml:space="preserve">aged </w:t>
      </w:r>
      <w:r>
        <w:t>under 26 years suffering poor mental health were between</w:t>
      </w:r>
      <w:r w:rsidR="001C12E3">
        <w:t xml:space="preserve"> 2</w:t>
      </w:r>
      <w:r>
        <w:t xml:space="preserve"> times (depression and anxiety) and 7 times (suicid</w:t>
      </w:r>
      <w:r w:rsidR="00397967">
        <w:t>e attempt</w:t>
      </w:r>
      <w:r>
        <w:t xml:space="preserve"> and self-harm) higher than for men aged 45 and over.</w:t>
      </w:r>
    </w:p>
    <w:p w14:paraId="5CBE7BB0" w14:textId="77777777" w:rsidR="00D6787E" w:rsidRDefault="00D6787E" w:rsidP="00D6787E">
      <w:pPr>
        <w:rPr>
          <w:lang w:eastAsia="en-GB"/>
        </w:rPr>
      </w:pPr>
      <w:r w:rsidRPr="00150BCD">
        <w:rPr>
          <w:rFonts w:ascii="Calibri" w:eastAsia="Times New Roman" w:hAnsi="Calibri" w:cs="Calibri"/>
          <w:lang w:eastAsia="en-GB"/>
        </w:rPr>
        <w:t xml:space="preserve">In the adjusted models, associations with ethnicity were adjusted by age, geography, and migrant status; education was adjusted by age, ethnicity, and living in London; income was adjusted by age, ethnicity, education, migrant status, and living in London; household was adjusted by age, ethnicity, education, migrant status, and living in London; migrant status was adjusted by age; and the associations with living in London were adjusted for age and migrant status.  </w:t>
      </w:r>
    </w:p>
    <w:p w14:paraId="7E35378F" w14:textId="5AA692FA" w:rsidR="00E40D54" w:rsidRDefault="00E40D54" w:rsidP="00DE1426">
      <w:r>
        <w:t xml:space="preserve">Men with lower incomes, who were often younger, were more likely to be depressed, anxious, </w:t>
      </w:r>
      <w:r w:rsidR="00397967">
        <w:t xml:space="preserve">attempt </w:t>
      </w:r>
      <w:r>
        <w:t>suicid</w:t>
      </w:r>
      <w:r w:rsidR="00397967">
        <w:t xml:space="preserve">e </w:t>
      </w:r>
      <w:r>
        <w:t xml:space="preserve">thoughts, or self-harm. Men in the lowest income bracket had between </w:t>
      </w:r>
      <w:r w:rsidR="001C12E3">
        <w:t>2</w:t>
      </w:r>
      <w:r>
        <w:t xml:space="preserve"> and </w:t>
      </w:r>
      <w:r w:rsidR="001C12E3">
        <w:t>3</w:t>
      </w:r>
      <w:r>
        <w:t xml:space="preserve"> times the odds of these outcomes relative to men in the highest bracket. Men with lower levels of education had approximately twice the odds of these outcomes relative to those with degree level education, and this was only moderately due to corresponding lower incomes.  </w:t>
      </w:r>
    </w:p>
    <w:p w14:paraId="1233A6B1" w14:textId="4255C07E" w:rsidR="00E40D54" w:rsidRDefault="00E40D54" w:rsidP="00B04B8E">
      <w:r>
        <w:t>Both Black and Asian men had higher odds of depression, and Black men also had higher odds of suicid</w:t>
      </w:r>
      <w:r w:rsidR="00397967">
        <w:t>e attempt</w:t>
      </w:r>
      <w:r>
        <w:t xml:space="preserve"> than the white majority. Migrants were less likely to report suicid</w:t>
      </w:r>
      <w:r w:rsidR="00397967">
        <w:t>e attempt</w:t>
      </w:r>
      <w:r>
        <w:t xml:space="preserve"> or self-harm.  </w:t>
      </w:r>
    </w:p>
    <w:p w14:paraId="42E61A10" w14:textId="6EC6844D" w:rsidR="001C12E3" w:rsidRDefault="00E40D54" w:rsidP="00B04B8E">
      <w:r>
        <w:t>Living with a male partner was associated with half the odds of depression, three quarters the odds of anxiety, a third the odds of suicide</w:t>
      </w:r>
      <w:r w:rsidR="00397967">
        <w:t xml:space="preserve"> attempt</w:t>
      </w:r>
      <w:r>
        <w:t xml:space="preserve">, and two fifths the odds of self-harm relative to men living alone.  Living with someone other than a male partner was not associated with protective effects. </w:t>
      </w:r>
    </w:p>
    <w:p w14:paraId="57370987" w14:textId="1552B894" w:rsidR="00E40D54" w:rsidRDefault="00E40D54" w:rsidP="00B04B8E">
      <w:r>
        <w:t>Living in London was associated with lower odds of depression, suicid</w:t>
      </w:r>
      <w:r w:rsidR="00397967">
        <w:t>e attempt</w:t>
      </w:r>
      <w:r>
        <w:t xml:space="preserve"> and self-harm but this appears to be due to differences in income.</w:t>
      </w:r>
    </w:p>
    <w:p w14:paraId="3EB68150" w14:textId="2A57C051" w:rsidR="00E40D54" w:rsidRDefault="00E40D54" w:rsidP="00466D50">
      <w:r>
        <w:lastRenderedPageBreak/>
        <w:t xml:space="preserve">Sexual attraction to women as well as men was associated with higher odds of depression and of self-harm. </w:t>
      </w:r>
    </w:p>
    <w:p w14:paraId="45B6BC51" w14:textId="77777777" w:rsidR="00E40D54" w:rsidRDefault="00E40D54">
      <w:pPr>
        <w:rPr>
          <w:b/>
        </w:rPr>
      </w:pPr>
    </w:p>
    <w:p w14:paraId="0E634D2A" w14:textId="464759F1" w:rsidR="00E40D54" w:rsidRDefault="00FC0C16">
      <w:pPr>
        <w:rPr>
          <w:b/>
        </w:rPr>
      </w:pPr>
      <w:r w:rsidRPr="00B84B98">
        <w:rPr>
          <w:b/>
        </w:rPr>
        <w:t>DISCUSSION</w:t>
      </w:r>
    </w:p>
    <w:p w14:paraId="3D89106D" w14:textId="77777777" w:rsidR="000F4288" w:rsidRPr="0013031F" w:rsidRDefault="000F4288" w:rsidP="000F4288">
      <w:pPr>
        <w:rPr>
          <w:i/>
        </w:rPr>
      </w:pPr>
      <w:r w:rsidRPr="0013031F">
        <w:rPr>
          <w:i/>
        </w:rPr>
        <w:t xml:space="preserve">Main finding of this study </w:t>
      </w:r>
    </w:p>
    <w:p w14:paraId="013608A7" w14:textId="21B90525" w:rsidR="00251AAF" w:rsidRDefault="00251AAF" w:rsidP="00CD2880">
      <w:r>
        <w:t xml:space="preserve">We carried out a large </w:t>
      </w:r>
      <w:r w:rsidR="00937DBD">
        <w:t xml:space="preserve">community-based survey of </w:t>
      </w:r>
      <w:r>
        <w:t>depression, anxiety, self-harm and suicid</w:t>
      </w:r>
      <w:r w:rsidR="00397967">
        <w:t>e attempts</w:t>
      </w:r>
      <w:r>
        <w:t xml:space="preserve"> among </w:t>
      </w:r>
      <w:r w:rsidR="00937DBD">
        <w:t>gay and bisexual men</w:t>
      </w:r>
      <w:r>
        <w:t xml:space="preserve"> in England</w:t>
      </w:r>
      <w:r w:rsidR="004C6946">
        <w:t>, Scotland and Wales</w:t>
      </w:r>
      <w:r>
        <w:t xml:space="preserve">. </w:t>
      </w:r>
      <w:r w:rsidR="00937DBD">
        <w:t xml:space="preserve"> </w:t>
      </w:r>
      <w:r>
        <w:t xml:space="preserve">Mental health problems were relatively common and </w:t>
      </w:r>
      <w:r w:rsidR="004C6946">
        <w:t xml:space="preserve">we identified </w:t>
      </w:r>
      <w:r>
        <w:t xml:space="preserve">significant and </w:t>
      </w:r>
      <w:r w:rsidR="009062EA">
        <w:t>independent inequalities</w:t>
      </w:r>
      <w:r>
        <w:t xml:space="preserve">, particularly with regard to income, age and household. </w:t>
      </w:r>
      <w:r w:rsidR="000F4288">
        <w:t>I</w:t>
      </w:r>
      <w:r w:rsidR="00573365">
        <w:t>n addition to an overall</w:t>
      </w:r>
      <w:r w:rsidR="003B55A6">
        <w:t xml:space="preserve"> mental health </w:t>
      </w:r>
      <w:r w:rsidR="00573365">
        <w:t xml:space="preserve">inequality between the sexual majority and sexual minorities, other </w:t>
      </w:r>
      <w:r w:rsidR="004C6946">
        <w:t xml:space="preserve">common </w:t>
      </w:r>
      <w:r w:rsidR="00573365">
        <w:t>inequalities persist</w:t>
      </w:r>
      <w:r w:rsidR="000F4288" w:rsidRPr="000F4288">
        <w:t xml:space="preserve"> </w:t>
      </w:r>
      <w:r w:rsidR="000F4288">
        <w:t>within sexual minorities</w:t>
      </w:r>
      <w:r w:rsidR="00573365">
        <w:t>.</w:t>
      </w:r>
    </w:p>
    <w:p w14:paraId="6A7CB507" w14:textId="77777777" w:rsidR="000F4288" w:rsidRPr="0013031F" w:rsidRDefault="000F4288" w:rsidP="0013031F">
      <w:pPr>
        <w:rPr>
          <w:i/>
        </w:rPr>
      </w:pPr>
      <w:r w:rsidRPr="0013031F">
        <w:rPr>
          <w:i/>
        </w:rPr>
        <w:t xml:space="preserve">What is already known on this </w:t>
      </w:r>
      <w:proofErr w:type="gramStart"/>
      <w:r w:rsidRPr="0013031F">
        <w:rPr>
          <w:i/>
        </w:rPr>
        <w:t>topic</w:t>
      </w:r>
      <w:proofErr w:type="gramEnd"/>
    </w:p>
    <w:p w14:paraId="062F14AD" w14:textId="5D1D1271" w:rsidR="009029DF" w:rsidRDefault="009029DF" w:rsidP="00CD2880">
      <w:r>
        <w:t xml:space="preserve">This is the first report of mental health differences within gay and bisexual men in the UK. </w:t>
      </w:r>
      <w:r w:rsidR="00D731A7">
        <w:t>Other studies have demonstrated that sexual minorities are at greater risk of poor mental health than sexual majorities.</w:t>
      </w:r>
      <w:r w:rsidR="00D731A7">
        <w:rPr>
          <w:vertAlign w:val="superscript"/>
        </w:rPr>
        <w:t>2,3</w:t>
      </w:r>
      <w:r w:rsidR="0054051A">
        <w:rPr>
          <w:vertAlign w:val="superscript"/>
        </w:rPr>
        <w:t>,4</w:t>
      </w:r>
      <w:r w:rsidR="00D731A7">
        <w:t xml:space="preserve"> </w:t>
      </w:r>
      <w:r w:rsidR="00D731A7" w:rsidRPr="005B6113">
        <w:t>The</w:t>
      </w:r>
      <w:r w:rsidR="00D731A7">
        <w:t xml:space="preserve"> dominant account for the population level association between sexual minority status and poor health outcomes is Meyer’s minority stress theory.</w:t>
      </w:r>
      <w:r w:rsidR="00343688" w:rsidRPr="003B6629">
        <w:rPr>
          <w:vertAlign w:val="superscript"/>
        </w:rPr>
        <w:t>1</w:t>
      </w:r>
      <w:r w:rsidR="003B111B">
        <w:rPr>
          <w:vertAlign w:val="superscript"/>
        </w:rPr>
        <w:t>8</w:t>
      </w:r>
      <w:r w:rsidR="00D731A7">
        <w:t xml:space="preserve"> Meyer suggests that it is the daily experience of being oppressed that is detrimental to people’s physical and mental well-being. </w:t>
      </w:r>
    </w:p>
    <w:p w14:paraId="5E53FED2" w14:textId="651C24F0" w:rsidR="00D731A7" w:rsidRDefault="00D731A7" w:rsidP="00CD2880">
      <w:r>
        <w:t xml:space="preserve">Much less is known about within group differences in mental health among gay and bisexual men. </w:t>
      </w:r>
      <w:r w:rsidR="00E478A9">
        <w:t>Associations with e</w:t>
      </w:r>
      <w:r w:rsidR="00D660AE">
        <w:t>ducation</w:t>
      </w:r>
      <w:r w:rsidR="009029DF">
        <w:t>,</w:t>
      </w:r>
      <w:r w:rsidR="00D660AE">
        <w:t xml:space="preserve"> income </w:t>
      </w:r>
      <w:r w:rsidR="009029DF">
        <w:t xml:space="preserve">and household </w:t>
      </w:r>
      <w:r w:rsidR="00D660AE">
        <w:t xml:space="preserve">have not been </w:t>
      </w:r>
      <w:r w:rsidR="009029DF">
        <w:t>studied</w:t>
      </w:r>
      <w:r w:rsidR="00E478A9">
        <w:t xml:space="preserve"> in this population</w:t>
      </w:r>
      <w:r w:rsidR="00D660AE">
        <w:t>.</w:t>
      </w:r>
      <w:r w:rsidR="00343688" w:rsidRPr="003B6629">
        <w:rPr>
          <w:vertAlign w:val="superscript"/>
        </w:rPr>
        <w:t>1</w:t>
      </w:r>
      <w:r w:rsidR="003B111B">
        <w:rPr>
          <w:vertAlign w:val="superscript"/>
        </w:rPr>
        <w:t>9</w:t>
      </w:r>
      <w:r w:rsidR="00D660AE">
        <w:t xml:space="preserve"> </w:t>
      </w:r>
      <w:r w:rsidR="00317C73">
        <w:t xml:space="preserve">Meyer et al.’s </w:t>
      </w:r>
      <w:r w:rsidR="00523AB5">
        <w:t xml:space="preserve">2004-5 </w:t>
      </w:r>
      <w:r w:rsidR="00317C73">
        <w:t xml:space="preserve">data from </w:t>
      </w:r>
      <w:r w:rsidR="00523AB5">
        <w:t xml:space="preserve">LGBT people in the US </w:t>
      </w:r>
      <w:r w:rsidR="00317C73">
        <w:t xml:space="preserve">suggested that </w:t>
      </w:r>
      <w:r w:rsidR="00523AB5">
        <w:t xml:space="preserve">anxiety and mood disorders were significantly more common </w:t>
      </w:r>
      <w:r w:rsidR="00317C73">
        <w:t xml:space="preserve">among </w:t>
      </w:r>
      <w:r w:rsidR="00523AB5">
        <w:t xml:space="preserve">White </w:t>
      </w:r>
      <w:r w:rsidR="00D660AE">
        <w:t xml:space="preserve">LGBT </w:t>
      </w:r>
      <w:r w:rsidR="00523AB5">
        <w:t xml:space="preserve">people than Black </w:t>
      </w:r>
      <w:r w:rsidR="00D660AE">
        <w:t xml:space="preserve">LGBT </w:t>
      </w:r>
      <w:r w:rsidR="00523AB5">
        <w:t>people, and more common among older rather than younger cohorts.</w:t>
      </w:r>
      <w:r w:rsidR="003B111B">
        <w:rPr>
          <w:vertAlign w:val="superscript"/>
        </w:rPr>
        <w:t>20</w:t>
      </w:r>
      <w:r>
        <w:t xml:space="preserve"> This </w:t>
      </w:r>
      <w:r w:rsidR="009029DF">
        <w:t>dual gender study wa</w:t>
      </w:r>
      <w:r>
        <w:t xml:space="preserve">s </w:t>
      </w:r>
      <w:r w:rsidR="009029DF">
        <w:t>much smaller</w:t>
      </w:r>
      <w:r>
        <w:t xml:space="preserve"> (n=388) than the current study.</w:t>
      </w:r>
      <w:r w:rsidRPr="00D731A7">
        <w:t xml:space="preserve"> </w:t>
      </w:r>
    </w:p>
    <w:p w14:paraId="6ABB85D6" w14:textId="77777777" w:rsidR="000F4288" w:rsidRPr="0013031F" w:rsidRDefault="000F4288" w:rsidP="0013031F">
      <w:pPr>
        <w:rPr>
          <w:i/>
        </w:rPr>
      </w:pPr>
      <w:r w:rsidRPr="0013031F">
        <w:rPr>
          <w:i/>
        </w:rPr>
        <w:t>What this study adds</w:t>
      </w:r>
    </w:p>
    <w:p w14:paraId="38CBEA96" w14:textId="2C028171" w:rsidR="00E40D54" w:rsidRDefault="009029DF" w:rsidP="00584145">
      <w:r>
        <w:t>W</w:t>
      </w:r>
      <w:r w:rsidR="00BA0EA8">
        <w:t>hile gay and bisexual men in all demographic groups experience poor mental health, other group memberships influence its likelihood</w:t>
      </w:r>
      <w:r>
        <w:t xml:space="preserve"> and </w:t>
      </w:r>
      <w:r w:rsidR="00E40D54">
        <w:t xml:space="preserve">social gradients are </w:t>
      </w:r>
      <w:r>
        <w:t xml:space="preserve">not </w:t>
      </w:r>
      <w:r w:rsidR="00E40D54">
        <w:t>of equal size.</w:t>
      </w:r>
      <w:r w:rsidR="00133205">
        <w:t xml:space="preserve"> </w:t>
      </w:r>
      <w:r w:rsidR="00E40D54">
        <w:t xml:space="preserve">In </w:t>
      </w:r>
      <w:r w:rsidR="00D731A7">
        <w:t>contrast to Meyer et al.</w:t>
      </w:r>
      <w:r w:rsidR="0054051A">
        <w:t>’s study</w:t>
      </w:r>
      <w:r w:rsidR="00D731A7">
        <w:t>,</w:t>
      </w:r>
      <w:r w:rsidR="003B111B">
        <w:rPr>
          <w:vertAlign w:val="superscript"/>
        </w:rPr>
        <w:t>20</w:t>
      </w:r>
      <w:r w:rsidR="00D731A7">
        <w:t xml:space="preserve"> </w:t>
      </w:r>
      <w:r w:rsidR="00E40D54">
        <w:t xml:space="preserve">our data </w:t>
      </w:r>
      <w:r w:rsidR="00D731A7">
        <w:t xml:space="preserve">suggest </w:t>
      </w:r>
      <w:r w:rsidR="00E40D54">
        <w:t xml:space="preserve">young gay and bisexual men are significantly greater risk of poor mental health than older men </w:t>
      </w:r>
      <w:r w:rsidR="00133205">
        <w:t>on</w:t>
      </w:r>
      <w:r w:rsidR="00E40D54">
        <w:t xml:space="preserve"> every indicator, with very high levels of depression (29%), anxiety (24%), suicid</w:t>
      </w:r>
      <w:r w:rsidR="00397967">
        <w:t>e attempts</w:t>
      </w:r>
      <w:r w:rsidR="00E40D54">
        <w:t xml:space="preserve"> (6%) and self-harm (14%). </w:t>
      </w:r>
      <w:r w:rsidR="007733C6">
        <w:t xml:space="preserve">This finding is congruent with </w:t>
      </w:r>
      <w:r>
        <w:t xml:space="preserve">homophobic abuse and assault </w:t>
      </w:r>
      <w:r w:rsidR="007733C6">
        <w:t xml:space="preserve">being very disproportionately experienced </w:t>
      </w:r>
      <w:r>
        <w:t>by the young.</w:t>
      </w:r>
      <w:r w:rsidR="003B111B">
        <w:rPr>
          <w:vertAlign w:val="superscript"/>
        </w:rPr>
        <w:t>21</w:t>
      </w:r>
      <w:r w:rsidR="00E40D54">
        <w:t xml:space="preserve"> Age is fortunately the one characteristic on which </w:t>
      </w:r>
      <w:r w:rsidR="00503EF7">
        <w:t xml:space="preserve">LGBT </w:t>
      </w:r>
      <w:r w:rsidR="00E40D54">
        <w:t xml:space="preserve">services have been targeted and there is a network of social support </w:t>
      </w:r>
      <w:r w:rsidR="00E40D54">
        <w:lastRenderedPageBreak/>
        <w:t>interventions for young LGBT people</w:t>
      </w:r>
      <w:r w:rsidR="00BA0EA8">
        <w:t xml:space="preserve"> in the UK</w:t>
      </w:r>
      <w:r w:rsidR="00E40D54">
        <w:t>.</w:t>
      </w:r>
      <w:r w:rsidR="003B111B">
        <w:rPr>
          <w:vertAlign w:val="superscript"/>
        </w:rPr>
        <w:t>22</w:t>
      </w:r>
      <w:r w:rsidR="00343688" w:rsidRPr="003B6629">
        <w:rPr>
          <w:vertAlign w:val="superscript"/>
        </w:rPr>
        <w:t>9</w:t>
      </w:r>
      <w:r w:rsidR="00E40D54">
        <w:t xml:space="preserve"> Our data suggest th</w:t>
      </w:r>
      <w:r w:rsidR="004C6946">
        <w:t xml:space="preserve">ese services are </w:t>
      </w:r>
      <w:r w:rsidR="00EC352B">
        <w:t>insufficient</w:t>
      </w:r>
      <w:r w:rsidR="00E40D54">
        <w:t xml:space="preserve"> and that the mental health impact on </w:t>
      </w:r>
      <w:r w:rsidR="00133205">
        <w:t xml:space="preserve">LGBT </w:t>
      </w:r>
      <w:r w:rsidR="00E40D54">
        <w:t xml:space="preserve">young people should be </w:t>
      </w:r>
      <w:r w:rsidR="00503EF7">
        <w:t xml:space="preserve">considered </w:t>
      </w:r>
      <w:r w:rsidR="00E40D54">
        <w:t>in national policy decisions.</w:t>
      </w:r>
      <w:r w:rsidR="00E40D54" w:rsidRPr="00584145">
        <w:t xml:space="preserve"> </w:t>
      </w:r>
    </w:p>
    <w:p w14:paraId="7F9A57C9" w14:textId="4F66C863" w:rsidR="00E40D54" w:rsidRDefault="007733C6" w:rsidP="00A82646">
      <w:r>
        <w:t xml:space="preserve">Higher </w:t>
      </w:r>
      <w:r w:rsidR="00E40D54">
        <w:t>education and higher income were independently associated with lower levels of mental health problems. These patterns reflect the importance of both literacy and ma</w:t>
      </w:r>
      <w:r w:rsidR="00E40D54" w:rsidRPr="00584145">
        <w:t>terial circumstances</w:t>
      </w:r>
      <w:r w:rsidR="00E40D54">
        <w:t xml:space="preserve"> in determining mental </w:t>
      </w:r>
      <w:r w:rsidR="003B6629">
        <w:t>states.</w:t>
      </w:r>
      <w:r w:rsidR="003B6629" w:rsidRPr="003B6629">
        <w:rPr>
          <w:vertAlign w:val="superscript"/>
        </w:rPr>
        <w:t>2</w:t>
      </w:r>
      <w:r w:rsidR="003B111B">
        <w:rPr>
          <w:vertAlign w:val="superscript"/>
        </w:rPr>
        <w:t>3</w:t>
      </w:r>
      <w:r w:rsidR="003B6629">
        <w:rPr>
          <w:vertAlign w:val="superscript"/>
        </w:rPr>
        <w:t xml:space="preserve"> </w:t>
      </w:r>
      <w:proofErr w:type="gramStart"/>
      <w:r w:rsidR="003B6629">
        <w:t>Conversely</w:t>
      </w:r>
      <w:proofErr w:type="gramEnd"/>
      <w:r>
        <w:t>,</w:t>
      </w:r>
      <w:r w:rsidR="00E40D54">
        <w:t xml:space="preserve"> men on lower incomes </w:t>
      </w:r>
      <w:r>
        <w:t>were</w:t>
      </w:r>
      <w:r w:rsidR="00E40D54">
        <w:t xml:space="preserve"> at significantly higher risk in relation to every indicator of poor mental health, independently of age and education. To ensure this group are not failed by policy and practice, poverty discourse must include discussion of sexuality, and LGBT movements must attend to poverty.</w:t>
      </w:r>
    </w:p>
    <w:p w14:paraId="39DB723C" w14:textId="35225D33" w:rsidR="00E73444" w:rsidRDefault="00E40D54" w:rsidP="002923FE">
      <w:r>
        <w:t xml:space="preserve">Living with a male partner has a large protective effect on mental health. The same effect was not observed from living with </w:t>
      </w:r>
      <w:r w:rsidR="007733C6">
        <w:t>other people</w:t>
      </w:r>
      <w:r>
        <w:t xml:space="preserve">. Marriage has </w:t>
      </w:r>
      <w:r w:rsidR="007733C6">
        <w:t xml:space="preserve">been shown to confer </w:t>
      </w:r>
      <w:r>
        <w:t>health benefit</w:t>
      </w:r>
      <w:r w:rsidR="007733C6">
        <w:t>s</w:t>
      </w:r>
      <w:r>
        <w:t>, especially to men, through companionship and psycho-social support that provide a buffer to emotional distress and illness.</w:t>
      </w:r>
      <w:r w:rsidR="00343688" w:rsidRPr="003B6629">
        <w:rPr>
          <w:vertAlign w:val="superscript"/>
        </w:rPr>
        <w:t>2</w:t>
      </w:r>
      <w:r w:rsidR="003B111B">
        <w:rPr>
          <w:vertAlign w:val="superscript"/>
        </w:rPr>
        <w:t>4</w:t>
      </w:r>
      <w:r>
        <w:t xml:space="preserve"> </w:t>
      </w:r>
      <w:r w:rsidR="003B6629">
        <w:t xml:space="preserve"> </w:t>
      </w:r>
      <w:r w:rsidR="00C77662">
        <w:t xml:space="preserve">Our findings suggest that these benefits extend to </w:t>
      </w:r>
      <w:r w:rsidR="00584145">
        <w:t xml:space="preserve">co-habiting </w:t>
      </w:r>
      <w:r w:rsidR="00C77662">
        <w:t>male couples.</w:t>
      </w:r>
      <w:r w:rsidR="00604DDD">
        <w:t xml:space="preserve"> The finding that men who are attracted to women as well as men are at greater risk of poor mental health than are men attracted only to men reflect the same inequality found among sexual minority women, and reinforce the need for bisexual visibility in LGBT services.</w:t>
      </w:r>
      <w:r w:rsidR="00CC62BF">
        <w:rPr>
          <w:vertAlign w:val="superscript"/>
        </w:rPr>
        <w:t>11</w:t>
      </w:r>
      <w:r w:rsidR="00E73444" w:rsidRPr="00E73444">
        <w:t xml:space="preserve"> </w:t>
      </w:r>
    </w:p>
    <w:p w14:paraId="3B8802D1" w14:textId="025E4233" w:rsidR="00317C73" w:rsidRDefault="00317C73" w:rsidP="002923FE">
      <w:r>
        <w:t>Three possible non-exclusive explanations for the variations in mental health among gay and bisexual men suggest themselves. First</w:t>
      </w:r>
      <w:r w:rsidR="007733C6">
        <w:t>,</w:t>
      </w:r>
      <w:r w:rsidR="007733C6" w:rsidRPr="007733C6">
        <w:t xml:space="preserve"> </w:t>
      </w:r>
      <w:r w:rsidR="007733C6">
        <w:t>that</w:t>
      </w:r>
      <w:r>
        <w:t xml:space="preserve"> homophobia is unequally experienced across the population</w:t>
      </w:r>
      <w:r w:rsidR="007733C6">
        <w:t xml:space="preserve"> of gay and bisexual men</w:t>
      </w:r>
      <w:r>
        <w:t>, being more prevalent in the lives of younger, poorer and/or less well-educated men, and those from minority ethnic groups (</w:t>
      </w:r>
      <w:proofErr w:type="spellStart"/>
      <w:r>
        <w:t>ie</w:t>
      </w:r>
      <w:proofErr w:type="spellEnd"/>
      <w:r>
        <w:t xml:space="preserve">. different levels of homophobic discrimination result in mental health inequalities). Secondly, men </w:t>
      </w:r>
      <w:r w:rsidR="007733C6">
        <w:t xml:space="preserve">are </w:t>
      </w:r>
      <w:r>
        <w:t xml:space="preserve">better able to resist </w:t>
      </w:r>
      <w:r w:rsidR="007733C6">
        <w:t>the</w:t>
      </w:r>
      <w:r>
        <w:t xml:space="preserve"> impact </w:t>
      </w:r>
      <w:r w:rsidR="007733C6">
        <w:t xml:space="preserve">of homophobia </w:t>
      </w:r>
      <w:r>
        <w:t>if they are relatively privileged in other areas of their lives (</w:t>
      </w:r>
      <w:proofErr w:type="spellStart"/>
      <w:r>
        <w:t>ie</w:t>
      </w:r>
      <w:proofErr w:type="spellEnd"/>
      <w:r>
        <w:t>. different levels of resilience to homophobia result in mental health inequalities).</w:t>
      </w:r>
      <w:r w:rsidR="003B6629" w:rsidRPr="003B6629">
        <w:rPr>
          <w:vertAlign w:val="superscript"/>
        </w:rPr>
        <w:t>2</w:t>
      </w:r>
      <w:r w:rsidR="003B111B">
        <w:rPr>
          <w:vertAlign w:val="superscript"/>
        </w:rPr>
        <w:t>5</w:t>
      </w:r>
      <w:r w:rsidR="00523AB5">
        <w:t xml:space="preserve"> </w:t>
      </w:r>
      <w:r w:rsidR="007733C6">
        <w:t>T</w:t>
      </w:r>
      <w:r>
        <w:t>hird</w:t>
      </w:r>
      <w:r w:rsidR="007733C6">
        <w:t xml:space="preserve">ly, </w:t>
      </w:r>
      <w:r>
        <w:t>that whatever the levels and effects of sexual minority stress</w:t>
      </w:r>
      <w:r w:rsidR="007733C6">
        <w:t>,</w:t>
      </w:r>
      <w:r>
        <w:t xml:space="preserve"> gay and bisexual men also experience discrimination or marginalisation other than that related to their sexuality (</w:t>
      </w:r>
      <w:proofErr w:type="spellStart"/>
      <w:r>
        <w:t>ie</w:t>
      </w:r>
      <w:proofErr w:type="spellEnd"/>
      <w:r>
        <w:t xml:space="preserve">. </w:t>
      </w:r>
      <w:r w:rsidR="00523AB5">
        <w:t xml:space="preserve">different experiences of poverty, racism and other social hierarchies </w:t>
      </w:r>
      <w:r>
        <w:t xml:space="preserve">result </w:t>
      </w:r>
      <w:r w:rsidR="00523AB5">
        <w:t>in mental health inequalities</w:t>
      </w:r>
      <w:r w:rsidR="00523AB5" w:rsidRPr="00523AB5">
        <w:t xml:space="preserve"> </w:t>
      </w:r>
      <w:r w:rsidR="00523AB5">
        <w:t>among gay and bisexual men</w:t>
      </w:r>
      <w:r>
        <w:t xml:space="preserve">). Future research could investigate the relative contribution of these three </w:t>
      </w:r>
      <w:r w:rsidR="006670BE">
        <w:t xml:space="preserve">potential </w:t>
      </w:r>
      <w:r>
        <w:t>processes.</w:t>
      </w:r>
    </w:p>
    <w:p w14:paraId="3D93AAD1" w14:textId="77777777" w:rsidR="000F4288" w:rsidRPr="0013031F" w:rsidRDefault="000F4288" w:rsidP="000F4288">
      <w:pPr>
        <w:rPr>
          <w:i/>
        </w:rPr>
      </w:pPr>
      <w:r w:rsidRPr="0013031F">
        <w:rPr>
          <w:i/>
        </w:rPr>
        <w:t>Limitations of this study</w:t>
      </w:r>
    </w:p>
    <w:p w14:paraId="5D5A96FF" w14:textId="15300220" w:rsidR="00597A5D" w:rsidRPr="0013031F" w:rsidRDefault="003B55A6" w:rsidP="000F4288">
      <w:pPr>
        <w:rPr>
          <w:rFonts w:ascii="Segoe UI" w:hAnsi="Segoe UI" w:cs="Segoe UI"/>
          <w:i/>
          <w:sz w:val="18"/>
          <w:szCs w:val="18"/>
        </w:rPr>
      </w:pPr>
      <w:r>
        <w:t xml:space="preserve">Our findings are limited through the self-selecting nature of the sample and the </w:t>
      </w:r>
      <w:r w:rsidR="003D53A4">
        <w:t xml:space="preserve">imprecision involved in </w:t>
      </w:r>
      <w:r>
        <w:t>self-completion</w:t>
      </w:r>
      <w:r w:rsidR="003D53A4">
        <w:t xml:space="preserve"> of short measure</w:t>
      </w:r>
      <w:r w:rsidR="00503EF7">
        <w:t>s</w:t>
      </w:r>
      <w:r w:rsidR="003D53A4">
        <w:t xml:space="preserve"> of mental health states.</w:t>
      </w:r>
      <w:r w:rsidR="00144353">
        <w:t xml:space="preserve"> </w:t>
      </w:r>
      <w:r w:rsidR="00367677">
        <w:t xml:space="preserve">We were unable to measure response rate and the representativeness of the sample is unknown. </w:t>
      </w:r>
      <w:r w:rsidR="004B68F8">
        <w:t>Despite controlling for confounders, there will be residual confounding from unmeasured factors.</w:t>
      </w:r>
    </w:p>
    <w:p w14:paraId="3CDA1AB6" w14:textId="77777777" w:rsidR="003D53A4" w:rsidRDefault="003D53A4" w:rsidP="00B04B8E"/>
    <w:p w14:paraId="7917B81C" w14:textId="3A7B7991" w:rsidR="003D53A4" w:rsidRDefault="00FE1634" w:rsidP="00B04B8E">
      <w:r>
        <w:rPr>
          <w:b/>
        </w:rPr>
        <w:t>ACKNOWLEDGMENTS</w:t>
      </w:r>
    </w:p>
    <w:p w14:paraId="364257F0" w14:textId="1526765C" w:rsidR="003D53A4" w:rsidRPr="003D53A4" w:rsidRDefault="003D53A4" w:rsidP="00B04B8E">
      <w:r>
        <w:t xml:space="preserve">The Stonewall Gay &amp; Bisexual Men’s Health Survey </w:t>
      </w:r>
      <w:r w:rsidR="00D04F4E" w:rsidRPr="00D04F4E">
        <w:t xml:space="preserve">was funded by Stonewall, the UK LGBT rights charity, and was commissioned and managed by April </w:t>
      </w:r>
      <w:proofErr w:type="spellStart"/>
      <w:r w:rsidR="00D04F4E" w:rsidRPr="00D04F4E">
        <w:t>Guasp</w:t>
      </w:r>
      <w:proofErr w:type="spellEnd"/>
      <w:r w:rsidR="00D04F4E" w:rsidRPr="00D04F4E">
        <w:t>.</w:t>
      </w:r>
      <w:r>
        <w:t xml:space="preserve"> </w:t>
      </w:r>
      <w:r w:rsidR="00FE1634" w:rsidRPr="002F5628">
        <w:rPr>
          <w:rFonts w:ascii="Calibri" w:eastAsia="Arial" w:hAnsi="Calibri" w:cs="Calibri"/>
          <w:color w:val="000000"/>
          <w:lang w:eastAsia="en-GB"/>
        </w:rPr>
        <w:t>We are grateful to the organisations and individuals who promoted the survey through their networks and to all the men who took part. We also wish to thank G.J Melendez-Torres for helpful comments on earlier drafts of this article.</w:t>
      </w:r>
    </w:p>
    <w:p w14:paraId="775F8C99" w14:textId="77777777" w:rsidR="00597A5D" w:rsidRDefault="00597A5D" w:rsidP="00B04B8E"/>
    <w:p w14:paraId="27A1D33A" w14:textId="77777777" w:rsidR="00597A5D" w:rsidRDefault="00597A5D" w:rsidP="00B04B8E">
      <w:pPr>
        <w:sectPr w:rsidR="00597A5D" w:rsidSect="00B04B8E">
          <w:footerReference w:type="default" r:id="rId11"/>
          <w:endnotePr>
            <w:numFmt w:val="decimal"/>
          </w:endnotePr>
          <w:pgSz w:w="11906" w:h="16838"/>
          <w:pgMar w:top="1440" w:right="1440" w:bottom="1440" w:left="1440" w:header="708" w:footer="708" w:gutter="0"/>
          <w:cols w:space="708"/>
          <w:docGrid w:linePitch="360"/>
        </w:sectPr>
      </w:pPr>
    </w:p>
    <w:tbl>
      <w:tblPr>
        <w:tblW w:w="15776" w:type="dxa"/>
        <w:tblInd w:w="148" w:type="dxa"/>
        <w:tblLook w:val="04A0" w:firstRow="1" w:lastRow="0" w:firstColumn="1" w:lastColumn="0" w:noHBand="0" w:noVBand="1"/>
      </w:tblPr>
      <w:tblGrid>
        <w:gridCol w:w="2552"/>
        <w:gridCol w:w="709"/>
        <w:gridCol w:w="708"/>
        <w:gridCol w:w="1418"/>
        <w:gridCol w:w="1411"/>
        <w:gridCol w:w="709"/>
        <w:gridCol w:w="1418"/>
        <w:gridCol w:w="661"/>
        <w:gridCol w:w="1701"/>
        <w:gridCol w:w="1418"/>
        <w:gridCol w:w="896"/>
        <w:gridCol w:w="1514"/>
        <w:gridCol w:w="661"/>
      </w:tblGrid>
      <w:tr w:rsidR="00B04B8E" w:rsidRPr="00642C7E" w14:paraId="0D02CA82" w14:textId="77777777" w:rsidTr="009062EA">
        <w:trPr>
          <w:trHeight w:val="57"/>
        </w:trPr>
        <w:tc>
          <w:tcPr>
            <w:tcW w:w="2552" w:type="dxa"/>
            <w:tcBorders>
              <w:top w:val="nil"/>
              <w:left w:val="nil"/>
              <w:bottom w:val="nil"/>
              <w:right w:val="nil"/>
            </w:tcBorders>
            <w:shd w:val="clear" w:color="000000" w:fill="FFFFFF"/>
            <w:noWrap/>
            <w:vAlign w:val="bottom"/>
            <w:hideMark/>
          </w:tcPr>
          <w:p w14:paraId="0631257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lastRenderedPageBreak/>
              <w:t> </w:t>
            </w:r>
          </w:p>
        </w:tc>
        <w:tc>
          <w:tcPr>
            <w:tcW w:w="709" w:type="dxa"/>
            <w:tcBorders>
              <w:top w:val="nil"/>
              <w:left w:val="nil"/>
              <w:bottom w:val="nil"/>
              <w:right w:val="nil"/>
            </w:tcBorders>
            <w:shd w:val="clear" w:color="000000" w:fill="FFFFFF"/>
            <w:noWrap/>
            <w:vAlign w:val="bottom"/>
            <w:hideMark/>
          </w:tcPr>
          <w:p w14:paraId="26775EC9"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Total</w:t>
            </w:r>
          </w:p>
        </w:tc>
        <w:tc>
          <w:tcPr>
            <w:tcW w:w="708" w:type="dxa"/>
            <w:tcBorders>
              <w:top w:val="nil"/>
              <w:left w:val="nil"/>
              <w:bottom w:val="nil"/>
              <w:right w:val="nil"/>
            </w:tcBorders>
            <w:shd w:val="clear" w:color="000000" w:fill="FFFFFF"/>
            <w:noWrap/>
            <w:vAlign w:val="bottom"/>
            <w:hideMark/>
          </w:tcPr>
          <w:p w14:paraId="4C7C17F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Col</w:t>
            </w:r>
            <w:r w:rsidRPr="00642C7E">
              <w:rPr>
                <w:rFonts w:ascii="Calibri" w:eastAsia="Times New Roman" w:hAnsi="Calibri" w:cs="Times New Roman"/>
                <w:color w:val="000000"/>
                <w:sz w:val="16"/>
                <w:szCs w:val="16"/>
                <w:lang w:eastAsia="en-GB"/>
              </w:rPr>
              <w:t xml:space="preserve"> %</w:t>
            </w:r>
          </w:p>
        </w:tc>
        <w:tc>
          <w:tcPr>
            <w:tcW w:w="2829" w:type="dxa"/>
            <w:gridSpan w:val="2"/>
            <w:tcBorders>
              <w:top w:val="nil"/>
              <w:left w:val="single" w:sz="4" w:space="0" w:color="auto"/>
              <w:bottom w:val="nil"/>
              <w:right w:val="nil"/>
            </w:tcBorders>
            <w:shd w:val="clear" w:color="000000" w:fill="FFFFFF"/>
            <w:noWrap/>
            <w:vAlign w:val="bottom"/>
            <w:hideMark/>
          </w:tcPr>
          <w:p w14:paraId="4FB03B7E" w14:textId="2878EC4B" w:rsidR="00B04B8E" w:rsidRPr="00642C7E" w:rsidRDefault="00B04B8E" w:rsidP="005E0624">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Depress</w:t>
            </w:r>
            <w:r w:rsidR="005E0624">
              <w:rPr>
                <w:rFonts w:ascii="Calibri" w:eastAsia="Times New Roman" w:hAnsi="Calibri" w:cs="Times New Roman"/>
                <w:color w:val="000000"/>
                <w:sz w:val="16"/>
                <w:szCs w:val="16"/>
                <w:lang w:eastAsia="en-GB"/>
              </w:rPr>
              <w:t>ion</w:t>
            </w:r>
            <w:r w:rsidRPr="00642C7E">
              <w:rPr>
                <w:rFonts w:ascii="Calibri" w:eastAsia="Times New Roman" w:hAnsi="Calibri" w:cs="Times New Roman"/>
                <w:color w:val="000000"/>
                <w:sz w:val="16"/>
                <w:szCs w:val="16"/>
                <w:lang w:eastAsia="en-GB"/>
              </w:rPr>
              <w:t xml:space="preserve">  (383 missing)</w:t>
            </w:r>
          </w:p>
        </w:tc>
        <w:tc>
          <w:tcPr>
            <w:tcW w:w="709" w:type="dxa"/>
            <w:tcBorders>
              <w:top w:val="nil"/>
              <w:left w:val="nil"/>
              <w:bottom w:val="nil"/>
              <w:right w:val="nil"/>
            </w:tcBorders>
            <w:shd w:val="clear" w:color="000000" w:fill="FFFFFF"/>
            <w:noWrap/>
            <w:vAlign w:val="bottom"/>
            <w:hideMark/>
          </w:tcPr>
          <w:p w14:paraId="36E725A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5C9CE33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09C69E5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23B60B4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Anxiety (243 missing)</w:t>
            </w:r>
          </w:p>
        </w:tc>
        <w:tc>
          <w:tcPr>
            <w:tcW w:w="1418" w:type="dxa"/>
            <w:tcBorders>
              <w:top w:val="nil"/>
              <w:left w:val="nil"/>
              <w:bottom w:val="nil"/>
              <w:right w:val="nil"/>
            </w:tcBorders>
            <w:shd w:val="clear" w:color="000000" w:fill="FFFFFF"/>
            <w:noWrap/>
            <w:vAlign w:val="bottom"/>
            <w:hideMark/>
          </w:tcPr>
          <w:p w14:paraId="19DBBD8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1E02748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5F3D376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4A828A5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56B6316E" w14:textId="77777777" w:rsidTr="009062EA">
        <w:trPr>
          <w:trHeight w:val="57"/>
        </w:trPr>
        <w:tc>
          <w:tcPr>
            <w:tcW w:w="2552" w:type="dxa"/>
            <w:tcBorders>
              <w:top w:val="nil"/>
              <w:left w:val="nil"/>
              <w:bottom w:val="nil"/>
              <w:right w:val="nil"/>
            </w:tcBorders>
            <w:shd w:val="clear" w:color="000000" w:fill="FFFFFF"/>
            <w:noWrap/>
            <w:vAlign w:val="bottom"/>
            <w:hideMark/>
          </w:tcPr>
          <w:p w14:paraId="3F1FA3F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w:t>
            </w:r>
          </w:p>
        </w:tc>
        <w:tc>
          <w:tcPr>
            <w:tcW w:w="709" w:type="dxa"/>
            <w:tcBorders>
              <w:top w:val="nil"/>
              <w:left w:val="nil"/>
              <w:bottom w:val="nil"/>
              <w:right w:val="nil"/>
            </w:tcBorders>
            <w:shd w:val="clear" w:color="000000" w:fill="FFFFFF"/>
            <w:noWrap/>
            <w:vAlign w:val="bottom"/>
            <w:hideMark/>
          </w:tcPr>
          <w:p w14:paraId="3BE1D9D4"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5799</w:t>
            </w:r>
          </w:p>
        </w:tc>
        <w:tc>
          <w:tcPr>
            <w:tcW w:w="708" w:type="dxa"/>
            <w:tcBorders>
              <w:top w:val="nil"/>
              <w:left w:val="nil"/>
              <w:bottom w:val="nil"/>
              <w:right w:val="nil"/>
            </w:tcBorders>
            <w:shd w:val="clear" w:color="000000" w:fill="FFFFFF"/>
            <w:noWrap/>
            <w:vAlign w:val="bottom"/>
            <w:hideMark/>
          </w:tcPr>
          <w:p w14:paraId="626E5C1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1418" w:type="dxa"/>
            <w:tcBorders>
              <w:top w:val="nil"/>
              <w:left w:val="single" w:sz="4" w:space="0" w:color="auto"/>
              <w:bottom w:val="nil"/>
              <w:right w:val="nil"/>
            </w:tcBorders>
            <w:shd w:val="clear" w:color="000000" w:fill="FFFFFF"/>
            <w:noWrap/>
            <w:vAlign w:val="bottom"/>
            <w:hideMark/>
          </w:tcPr>
          <w:p w14:paraId="3ED0333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1155/5416 (21.3)</w:t>
            </w:r>
          </w:p>
        </w:tc>
        <w:tc>
          <w:tcPr>
            <w:tcW w:w="1411" w:type="dxa"/>
            <w:tcBorders>
              <w:top w:val="nil"/>
              <w:left w:val="nil"/>
              <w:bottom w:val="nil"/>
              <w:right w:val="nil"/>
            </w:tcBorders>
            <w:shd w:val="clear" w:color="000000" w:fill="FFFFFF"/>
            <w:noWrap/>
            <w:vAlign w:val="bottom"/>
            <w:hideMark/>
          </w:tcPr>
          <w:p w14:paraId="544A137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OR</w:t>
            </w:r>
          </w:p>
        </w:tc>
        <w:tc>
          <w:tcPr>
            <w:tcW w:w="709" w:type="dxa"/>
            <w:tcBorders>
              <w:top w:val="nil"/>
              <w:left w:val="nil"/>
              <w:bottom w:val="nil"/>
              <w:right w:val="nil"/>
            </w:tcBorders>
            <w:shd w:val="clear" w:color="000000" w:fill="FFFFFF"/>
            <w:noWrap/>
            <w:vAlign w:val="bottom"/>
            <w:hideMark/>
          </w:tcPr>
          <w:p w14:paraId="38DA469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p-value</w:t>
            </w:r>
          </w:p>
        </w:tc>
        <w:tc>
          <w:tcPr>
            <w:tcW w:w="1418" w:type="dxa"/>
            <w:tcBorders>
              <w:top w:val="nil"/>
              <w:left w:val="nil"/>
              <w:bottom w:val="nil"/>
              <w:right w:val="nil"/>
            </w:tcBorders>
            <w:shd w:val="clear" w:color="000000" w:fill="FFFFFF"/>
            <w:noWrap/>
            <w:vAlign w:val="bottom"/>
            <w:hideMark/>
          </w:tcPr>
          <w:p w14:paraId="28D3518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roofErr w:type="spellStart"/>
            <w:r w:rsidRPr="00642C7E">
              <w:rPr>
                <w:rFonts w:ascii="Calibri" w:eastAsia="Times New Roman" w:hAnsi="Calibri" w:cs="Times New Roman"/>
                <w:color w:val="000000"/>
                <w:sz w:val="16"/>
                <w:szCs w:val="16"/>
                <w:lang w:eastAsia="en-GB"/>
              </w:rPr>
              <w:t>aOR</w:t>
            </w:r>
            <w:proofErr w:type="spellEnd"/>
          </w:p>
        </w:tc>
        <w:tc>
          <w:tcPr>
            <w:tcW w:w="661" w:type="dxa"/>
            <w:tcBorders>
              <w:top w:val="nil"/>
              <w:left w:val="nil"/>
              <w:bottom w:val="nil"/>
              <w:right w:val="nil"/>
            </w:tcBorders>
            <w:shd w:val="clear" w:color="000000" w:fill="FFFFFF"/>
            <w:noWrap/>
            <w:vAlign w:val="bottom"/>
            <w:hideMark/>
          </w:tcPr>
          <w:p w14:paraId="4DEB316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p-value</w:t>
            </w:r>
          </w:p>
        </w:tc>
        <w:tc>
          <w:tcPr>
            <w:tcW w:w="1701" w:type="dxa"/>
            <w:tcBorders>
              <w:top w:val="nil"/>
              <w:left w:val="single" w:sz="4" w:space="0" w:color="auto"/>
              <w:bottom w:val="nil"/>
              <w:right w:val="nil"/>
            </w:tcBorders>
            <w:shd w:val="clear" w:color="000000" w:fill="FFFFFF"/>
            <w:noWrap/>
            <w:vAlign w:val="bottom"/>
            <w:hideMark/>
          </w:tcPr>
          <w:p w14:paraId="52D357A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949</w:t>
            </w:r>
            <w:r>
              <w:rPr>
                <w:rFonts w:ascii="Calibri" w:eastAsia="Times New Roman" w:hAnsi="Calibri" w:cs="Times New Roman"/>
                <w:color w:val="000000"/>
                <w:sz w:val="16"/>
                <w:szCs w:val="16"/>
                <w:lang w:eastAsia="en-GB"/>
              </w:rPr>
              <w:t>/5556</w:t>
            </w:r>
            <w:r w:rsidRPr="00642C7E">
              <w:rPr>
                <w:rFonts w:ascii="Calibri" w:eastAsia="Times New Roman" w:hAnsi="Calibri" w:cs="Times New Roman"/>
                <w:color w:val="000000"/>
                <w:sz w:val="16"/>
                <w:szCs w:val="16"/>
                <w:lang w:eastAsia="en-GB"/>
              </w:rPr>
              <w:t xml:space="preserve"> (17.1)</w:t>
            </w:r>
          </w:p>
        </w:tc>
        <w:tc>
          <w:tcPr>
            <w:tcW w:w="1418" w:type="dxa"/>
            <w:tcBorders>
              <w:top w:val="nil"/>
              <w:left w:val="nil"/>
              <w:bottom w:val="nil"/>
              <w:right w:val="nil"/>
            </w:tcBorders>
            <w:shd w:val="clear" w:color="000000" w:fill="FFFFFF"/>
            <w:noWrap/>
            <w:vAlign w:val="bottom"/>
            <w:hideMark/>
          </w:tcPr>
          <w:p w14:paraId="10D722C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OR</w:t>
            </w:r>
          </w:p>
        </w:tc>
        <w:tc>
          <w:tcPr>
            <w:tcW w:w="896" w:type="dxa"/>
            <w:tcBorders>
              <w:top w:val="nil"/>
              <w:left w:val="nil"/>
              <w:bottom w:val="nil"/>
              <w:right w:val="nil"/>
            </w:tcBorders>
            <w:shd w:val="clear" w:color="000000" w:fill="FFFFFF"/>
            <w:noWrap/>
            <w:vAlign w:val="bottom"/>
            <w:hideMark/>
          </w:tcPr>
          <w:p w14:paraId="285CDB3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p-value</w:t>
            </w:r>
          </w:p>
        </w:tc>
        <w:tc>
          <w:tcPr>
            <w:tcW w:w="1514" w:type="dxa"/>
            <w:tcBorders>
              <w:top w:val="nil"/>
              <w:left w:val="nil"/>
              <w:bottom w:val="nil"/>
              <w:right w:val="nil"/>
            </w:tcBorders>
            <w:shd w:val="clear" w:color="000000" w:fill="FFFFFF"/>
            <w:noWrap/>
            <w:vAlign w:val="bottom"/>
            <w:hideMark/>
          </w:tcPr>
          <w:p w14:paraId="0D53BBE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roofErr w:type="spellStart"/>
            <w:r w:rsidRPr="00642C7E">
              <w:rPr>
                <w:rFonts w:ascii="Calibri" w:eastAsia="Times New Roman" w:hAnsi="Calibri" w:cs="Times New Roman"/>
                <w:color w:val="000000"/>
                <w:sz w:val="16"/>
                <w:szCs w:val="16"/>
                <w:lang w:eastAsia="en-GB"/>
              </w:rPr>
              <w:t>aOR</w:t>
            </w:r>
            <w:proofErr w:type="spellEnd"/>
          </w:p>
        </w:tc>
        <w:tc>
          <w:tcPr>
            <w:tcW w:w="661" w:type="dxa"/>
            <w:tcBorders>
              <w:top w:val="nil"/>
              <w:left w:val="nil"/>
              <w:bottom w:val="nil"/>
              <w:right w:val="nil"/>
            </w:tcBorders>
            <w:shd w:val="clear" w:color="000000" w:fill="FFFFFF"/>
            <w:noWrap/>
            <w:vAlign w:val="bottom"/>
            <w:hideMark/>
          </w:tcPr>
          <w:p w14:paraId="605C79B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p-value</w:t>
            </w:r>
          </w:p>
        </w:tc>
      </w:tr>
      <w:tr w:rsidR="00B04B8E" w:rsidRPr="00642C7E" w14:paraId="146C01E6"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26931B89" w14:textId="6682DF96" w:rsidR="00B04B8E" w:rsidRPr="00642C7E" w:rsidRDefault="00BB395A" w:rsidP="00BB395A">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Age (years)</w:t>
            </w:r>
          </w:p>
        </w:tc>
        <w:tc>
          <w:tcPr>
            <w:tcW w:w="709" w:type="dxa"/>
            <w:tcBorders>
              <w:top w:val="nil"/>
              <w:left w:val="nil"/>
              <w:bottom w:val="nil"/>
              <w:right w:val="nil"/>
            </w:tcBorders>
            <w:shd w:val="clear" w:color="auto" w:fill="D9D9D9" w:themeFill="background1" w:themeFillShade="D9"/>
            <w:noWrap/>
            <w:vAlign w:val="bottom"/>
            <w:hideMark/>
          </w:tcPr>
          <w:p w14:paraId="749410B0"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auto" w:fill="D9D9D9" w:themeFill="background1" w:themeFillShade="D9"/>
            <w:noWrap/>
            <w:vAlign w:val="bottom"/>
            <w:hideMark/>
          </w:tcPr>
          <w:p w14:paraId="6F51196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1549ADF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p>
        </w:tc>
        <w:tc>
          <w:tcPr>
            <w:tcW w:w="1411" w:type="dxa"/>
            <w:tcBorders>
              <w:top w:val="nil"/>
              <w:left w:val="nil"/>
              <w:bottom w:val="nil"/>
              <w:right w:val="nil"/>
            </w:tcBorders>
            <w:shd w:val="clear" w:color="auto" w:fill="D9D9D9" w:themeFill="background1" w:themeFillShade="D9"/>
            <w:noWrap/>
            <w:vAlign w:val="bottom"/>
            <w:hideMark/>
          </w:tcPr>
          <w:p w14:paraId="46A2985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709" w:type="dxa"/>
            <w:tcBorders>
              <w:top w:val="nil"/>
              <w:left w:val="nil"/>
              <w:bottom w:val="nil"/>
              <w:right w:val="nil"/>
            </w:tcBorders>
            <w:shd w:val="clear" w:color="auto" w:fill="D9D9D9" w:themeFill="background1" w:themeFillShade="D9"/>
            <w:noWrap/>
            <w:vAlign w:val="bottom"/>
            <w:hideMark/>
          </w:tcPr>
          <w:p w14:paraId="66BB3EB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1418" w:type="dxa"/>
            <w:tcBorders>
              <w:top w:val="nil"/>
              <w:left w:val="nil"/>
              <w:bottom w:val="nil"/>
              <w:right w:val="nil"/>
            </w:tcBorders>
            <w:shd w:val="clear" w:color="auto" w:fill="D9D9D9" w:themeFill="background1" w:themeFillShade="D9"/>
            <w:noWrap/>
            <w:vAlign w:val="bottom"/>
            <w:hideMark/>
          </w:tcPr>
          <w:p w14:paraId="3862992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661" w:type="dxa"/>
            <w:tcBorders>
              <w:top w:val="nil"/>
              <w:left w:val="nil"/>
              <w:bottom w:val="nil"/>
              <w:right w:val="nil"/>
            </w:tcBorders>
            <w:shd w:val="clear" w:color="auto" w:fill="D9D9D9" w:themeFill="background1" w:themeFillShade="D9"/>
            <w:noWrap/>
            <w:vAlign w:val="bottom"/>
            <w:hideMark/>
          </w:tcPr>
          <w:p w14:paraId="399B15E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0DA3645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p>
        </w:tc>
        <w:tc>
          <w:tcPr>
            <w:tcW w:w="1418" w:type="dxa"/>
            <w:tcBorders>
              <w:top w:val="nil"/>
              <w:left w:val="nil"/>
              <w:bottom w:val="nil"/>
              <w:right w:val="nil"/>
            </w:tcBorders>
            <w:shd w:val="clear" w:color="auto" w:fill="D9D9D9" w:themeFill="background1" w:themeFillShade="D9"/>
            <w:noWrap/>
            <w:vAlign w:val="bottom"/>
            <w:hideMark/>
          </w:tcPr>
          <w:p w14:paraId="504CD39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896" w:type="dxa"/>
            <w:tcBorders>
              <w:top w:val="nil"/>
              <w:left w:val="nil"/>
              <w:bottom w:val="nil"/>
              <w:right w:val="nil"/>
            </w:tcBorders>
            <w:shd w:val="clear" w:color="auto" w:fill="D9D9D9" w:themeFill="background1" w:themeFillShade="D9"/>
            <w:noWrap/>
            <w:vAlign w:val="bottom"/>
            <w:hideMark/>
          </w:tcPr>
          <w:p w14:paraId="2E5D2E7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1514" w:type="dxa"/>
            <w:tcBorders>
              <w:top w:val="nil"/>
              <w:left w:val="nil"/>
              <w:bottom w:val="nil"/>
              <w:right w:val="nil"/>
            </w:tcBorders>
            <w:shd w:val="clear" w:color="auto" w:fill="D9D9D9" w:themeFill="background1" w:themeFillShade="D9"/>
            <w:noWrap/>
            <w:vAlign w:val="bottom"/>
            <w:hideMark/>
          </w:tcPr>
          <w:p w14:paraId="47CCDF2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661" w:type="dxa"/>
            <w:tcBorders>
              <w:top w:val="nil"/>
              <w:left w:val="nil"/>
              <w:bottom w:val="nil"/>
              <w:right w:val="nil"/>
            </w:tcBorders>
            <w:shd w:val="clear" w:color="auto" w:fill="D9D9D9" w:themeFill="background1" w:themeFillShade="D9"/>
            <w:noWrap/>
            <w:vAlign w:val="bottom"/>
            <w:hideMark/>
          </w:tcPr>
          <w:p w14:paraId="1998C28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r>
      <w:tr w:rsidR="00B04B8E" w:rsidRPr="00642C7E" w14:paraId="16061CA7"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0E919F4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16-25</w:t>
            </w:r>
          </w:p>
        </w:tc>
        <w:tc>
          <w:tcPr>
            <w:tcW w:w="709" w:type="dxa"/>
            <w:tcBorders>
              <w:top w:val="nil"/>
              <w:left w:val="nil"/>
              <w:bottom w:val="nil"/>
              <w:right w:val="nil"/>
            </w:tcBorders>
            <w:shd w:val="clear" w:color="auto" w:fill="D9D9D9" w:themeFill="background1" w:themeFillShade="D9"/>
            <w:noWrap/>
            <w:vAlign w:val="bottom"/>
            <w:hideMark/>
          </w:tcPr>
          <w:p w14:paraId="0397847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1539</w:t>
            </w:r>
          </w:p>
        </w:tc>
        <w:tc>
          <w:tcPr>
            <w:tcW w:w="708" w:type="dxa"/>
            <w:tcBorders>
              <w:top w:val="nil"/>
              <w:left w:val="nil"/>
              <w:bottom w:val="nil"/>
              <w:right w:val="nil"/>
            </w:tcBorders>
            <w:shd w:val="clear" w:color="auto" w:fill="D9D9D9" w:themeFill="background1" w:themeFillShade="D9"/>
            <w:noWrap/>
            <w:vAlign w:val="bottom"/>
            <w:hideMark/>
          </w:tcPr>
          <w:p w14:paraId="66C27D4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26.4</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4E4C429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422/1445 (29.2)</w:t>
            </w:r>
          </w:p>
        </w:tc>
        <w:tc>
          <w:tcPr>
            <w:tcW w:w="1411" w:type="dxa"/>
            <w:tcBorders>
              <w:top w:val="nil"/>
              <w:left w:val="nil"/>
              <w:bottom w:val="nil"/>
              <w:right w:val="nil"/>
            </w:tcBorders>
            <w:shd w:val="clear" w:color="auto" w:fill="D9D9D9" w:themeFill="background1" w:themeFillShade="D9"/>
            <w:noWrap/>
            <w:vAlign w:val="bottom"/>
            <w:hideMark/>
          </w:tcPr>
          <w:p w14:paraId="5EA4619E" w14:textId="236F2F17"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auto" w:fill="D9D9D9" w:themeFill="background1" w:themeFillShade="D9"/>
            <w:noWrap/>
            <w:vAlign w:val="bottom"/>
            <w:hideMark/>
          </w:tcPr>
          <w:p w14:paraId="6341C96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6DD880E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25D6343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259E56E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349/1475 (23.7)</w:t>
            </w:r>
          </w:p>
        </w:tc>
        <w:tc>
          <w:tcPr>
            <w:tcW w:w="1418" w:type="dxa"/>
            <w:tcBorders>
              <w:top w:val="nil"/>
              <w:left w:val="nil"/>
              <w:bottom w:val="nil"/>
              <w:right w:val="nil"/>
            </w:tcBorders>
            <w:shd w:val="clear" w:color="auto" w:fill="D9D9D9" w:themeFill="background1" w:themeFillShade="D9"/>
            <w:noWrap/>
            <w:vAlign w:val="bottom"/>
            <w:hideMark/>
          </w:tcPr>
          <w:p w14:paraId="4679DBB3" w14:textId="162E77F7"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p>
        </w:tc>
        <w:tc>
          <w:tcPr>
            <w:tcW w:w="896" w:type="dxa"/>
            <w:tcBorders>
              <w:top w:val="nil"/>
              <w:left w:val="nil"/>
              <w:bottom w:val="nil"/>
              <w:right w:val="nil"/>
            </w:tcBorders>
            <w:shd w:val="clear" w:color="auto" w:fill="D9D9D9" w:themeFill="background1" w:themeFillShade="D9"/>
            <w:noWrap/>
            <w:vAlign w:val="bottom"/>
            <w:hideMark/>
          </w:tcPr>
          <w:p w14:paraId="4BEE49C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0F922D4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75DF63D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57E8D38E"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0385FBB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26-35</w:t>
            </w:r>
          </w:p>
        </w:tc>
        <w:tc>
          <w:tcPr>
            <w:tcW w:w="709" w:type="dxa"/>
            <w:tcBorders>
              <w:top w:val="nil"/>
              <w:left w:val="nil"/>
              <w:bottom w:val="nil"/>
              <w:right w:val="nil"/>
            </w:tcBorders>
            <w:shd w:val="clear" w:color="auto" w:fill="D9D9D9" w:themeFill="background1" w:themeFillShade="D9"/>
            <w:noWrap/>
            <w:vAlign w:val="bottom"/>
            <w:hideMark/>
          </w:tcPr>
          <w:p w14:paraId="4616C5D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1664</w:t>
            </w:r>
          </w:p>
        </w:tc>
        <w:tc>
          <w:tcPr>
            <w:tcW w:w="708" w:type="dxa"/>
            <w:tcBorders>
              <w:top w:val="nil"/>
              <w:left w:val="nil"/>
              <w:bottom w:val="nil"/>
              <w:right w:val="nil"/>
            </w:tcBorders>
            <w:shd w:val="clear" w:color="auto" w:fill="D9D9D9" w:themeFill="background1" w:themeFillShade="D9"/>
            <w:noWrap/>
            <w:vAlign w:val="bottom"/>
            <w:hideMark/>
          </w:tcPr>
          <w:p w14:paraId="72B1B16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28.7</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25F0DCB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328/1574 (20.8)</w:t>
            </w:r>
          </w:p>
        </w:tc>
        <w:tc>
          <w:tcPr>
            <w:tcW w:w="1411" w:type="dxa"/>
            <w:tcBorders>
              <w:top w:val="nil"/>
              <w:left w:val="nil"/>
              <w:bottom w:val="nil"/>
              <w:right w:val="nil"/>
            </w:tcBorders>
            <w:shd w:val="clear" w:color="auto" w:fill="D9D9D9" w:themeFill="background1" w:themeFillShade="D9"/>
            <w:noWrap/>
            <w:vAlign w:val="bottom"/>
            <w:hideMark/>
          </w:tcPr>
          <w:p w14:paraId="2450602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0.64 (0.54 - 0.75)</w:t>
            </w:r>
          </w:p>
        </w:tc>
        <w:tc>
          <w:tcPr>
            <w:tcW w:w="709" w:type="dxa"/>
            <w:tcBorders>
              <w:top w:val="nil"/>
              <w:left w:val="nil"/>
              <w:bottom w:val="nil"/>
              <w:right w:val="nil"/>
            </w:tcBorders>
            <w:shd w:val="clear" w:color="auto" w:fill="D9D9D9" w:themeFill="background1" w:themeFillShade="D9"/>
            <w:noWrap/>
            <w:vAlign w:val="bottom"/>
            <w:hideMark/>
          </w:tcPr>
          <w:p w14:paraId="3A86765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5375BE5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6714034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05CF3F7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266/1612 (16.5)</w:t>
            </w:r>
          </w:p>
        </w:tc>
        <w:tc>
          <w:tcPr>
            <w:tcW w:w="1418" w:type="dxa"/>
            <w:tcBorders>
              <w:top w:val="nil"/>
              <w:left w:val="nil"/>
              <w:bottom w:val="nil"/>
              <w:right w:val="nil"/>
            </w:tcBorders>
            <w:shd w:val="clear" w:color="auto" w:fill="D9D9D9" w:themeFill="background1" w:themeFillShade="D9"/>
            <w:noWrap/>
            <w:vAlign w:val="bottom"/>
            <w:hideMark/>
          </w:tcPr>
          <w:p w14:paraId="7AC2B5A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0.64 (0.53 - 0.76)</w:t>
            </w:r>
          </w:p>
        </w:tc>
        <w:tc>
          <w:tcPr>
            <w:tcW w:w="896" w:type="dxa"/>
            <w:tcBorders>
              <w:top w:val="nil"/>
              <w:left w:val="nil"/>
              <w:bottom w:val="nil"/>
              <w:right w:val="nil"/>
            </w:tcBorders>
            <w:shd w:val="clear" w:color="auto" w:fill="D9D9D9" w:themeFill="background1" w:themeFillShade="D9"/>
            <w:noWrap/>
            <w:vAlign w:val="bottom"/>
            <w:hideMark/>
          </w:tcPr>
          <w:p w14:paraId="1ABFF0C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5085012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1989D62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AF7FECE"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1A08DC6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36-45</w:t>
            </w:r>
          </w:p>
        </w:tc>
        <w:tc>
          <w:tcPr>
            <w:tcW w:w="709" w:type="dxa"/>
            <w:tcBorders>
              <w:top w:val="nil"/>
              <w:left w:val="nil"/>
              <w:bottom w:val="nil"/>
              <w:right w:val="nil"/>
            </w:tcBorders>
            <w:shd w:val="clear" w:color="auto" w:fill="D9D9D9" w:themeFill="background1" w:themeFillShade="D9"/>
            <w:noWrap/>
            <w:vAlign w:val="bottom"/>
            <w:hideMark/>
          </w:tcPr>
          <w:p w14:paraId="60FD4CBD"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1336</w:t>
            </w:r>
          </w:p>
        </w:tc>
        <w:tc>
          <w:tcPr>
            <w:tcW w:w="708" w:type="dxa"/>
            <w:tcBorders>
              <w:top w:val="nil"/>
              <w:left w:val="nil"/>
              <w:bottom w:val="nil"/>
              <w:right w:val="nil"/>
            </w:tcBorders>
            <w:shd w:val="clear" w:color="auto" w:fill="D9D9D9" w:themeFill="background1" w:themeFillShade="D9"/>
            <w:noWrap/>
            <w:vAlign w:val="bottom"/>
            <w:hideMark/>
          </w:tcPr>
          <w:p w14:paraId="7075D44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23.1</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735CF3D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237/1239 (19.1)</w:t>
            </w:r>
          </w:p>
        </w:tc>
        <w:tc>
          <w:tcPr>
            <w:tcW w:w="1411" w:type="dxa"/>
            <w:tcBorders>
              <w:top w:val="nil"/>
              <w:left w:val="nil"/>
              <w:bottom w:val="nil"/>
              <w:right w:val="nil"/>
            </w:tcBorders>
            <w:shd w:val="clear" w:color="auto" w:fill="D9D9D9" w:themeFill="background1" w:themeFillShade="D9"/>
            <w:noWrap/>
            <w:vAlign w:val="bottom"/>
            <w:hideMark/>
          </w:tcPr>
          <w:p w14:paraId="50046A4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0.57 (0.48 - 0.69)</w:t>
            </w:r>
          </w:p>
        </w:tc>
        <w:tc>
          <w:tcPr>
            <w:tcW w:w="709" w:type="dxa"/>
            <w:tcBorders>
              <w:top w:val="nil"/>
              <w:left w:val="nil"/>
              <w:bottom w:val="nil"/>
              <w:right w:val="nil"/>
            </w:tcBorders>
            <w:shd w:val="clear" w:color="auto" w:fill="D9D9D9" w:themeFill="background1" w:themeFillShade="D9"/>
            <w:noWrap/>
            <w:vAlign w:val="bottom"/>
            <w:hideMark/>
          </w:tcPr>
          <w:p w14:paraId="546E35E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2315DDE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18EE55E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0A629C9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201/1271 (15.8)</w:t>
            </w:r>
          </w:p>
        </w:tc>
        <w:tc>
          <w:tcPr>
            <w:tcW w:w="1418" w:type="dxa"/>
            <w:tcBorders>
              <w:top w:val="nil"/>
              <w:left w:val="nil"/>
              <w:bottom w:val="nil"/>
              <w:right w:val="nil"/>
            </w:tcBorders>
            <w:shd w:val="clear" w:color="auto" w:fill="D9D9D9" w:themeFill="background1" w:themeFillShade="D9"/>
            <w:noWrap/>
            <w:vAlign w:val="bottom"/>
            <w:hideMark/>
          </w:tcPr>
          <w:p w14:paraId="041D471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0.61 (0.5 - 0.73)</w:t>
            </w:r>
          </w:p>
        </w:tc>
        <w:tc>
          <w:tcPr>
            <w:tcW w:w="896" w:type="dxa"/>
            <w:tcBorders>
              <w:top w:val="nil"/>
              <w:left w:val="nil"/>
              <w:bottom w:val="nil"/>
              <w:right w:val="nil"/>
            </w:tcBorders>
            <w:shd w:val="clear" w:color="auto" w:fill="D9D9D9" w:themeFill="background1" w:themeFillShade="D9"/>
            <w:noWrap/>
            <w:vAlign w:val="bottom"/>
            <w:hideMark/>
          </w:tcPr>
          <w:p w14:paraId="723DCE3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481E0EE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442E301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6E8F6B6F"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56F708D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&gt;45</w:t>
            </w:r>
          </w:p>
        </w:tc>
        <w:tc>
          <w:tcPr>
            <w:tcW w:w="709" w:type="dxa"/>
            <w:tcBorders>
              <w:top w:val="nil"/>
              <w:left w:val="nil"/>
              <w:bottom w:val="nil"/>
              <w:right w:val="nil"/>
            </w:tcBorders>
            <w:shd w:val="clear" w:color="auto" w:fill="D9D9D9" w:themeFill="background1" w:themeFillShade="D9"/>
            <w:noWrap/>
            <w:vAlign w:val="bottom"/>
            <w:hideMark/>
          </w:tcPr>
          <w:p w14:paraId="5E1BF2E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1260</w:t>
            </w:r>
          </w:p>
        </w:tc>
        <w:tc>
          <w:tcPr>
            <w:tcW w:w="708" w:type="dxa"/>
            <w:tcBorders>
              <w:top w:val="nil"/>
              <w:left w:val="nil"/>
              <w:bottom w:val="nil"/>
              <w:right w:val="nil"/>
            </w:tcBorders>
            <w:shd w:val="clear" w:color="auto" w:fill="D9D9D9" w:themeFill="background1" w:themeFillShade="D9"/>
            <w:noWrap/>
            <w:vAlign w:val="bottom"/>
            <w:hideMark/>
          </w:tcPr>
          <w:p w14:paraId="71437CD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21.8</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4518F88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168/1158 (14.5)</w:t>
            </w:r>
          </w:p>
        </w:tc>
        <w:tc>
          <w:tcPr>
            <w:tcW w:w="1411" w:type="dxa"/>
            <w:tcBorders>
              <w:top w:val="nil"/>
              <w:left w:val="nil"/>
              <w:bottom w:val="nil"/>
              <w:right w:val="nil"/>
            </w:tcBorders>
            <w:shd w:val="clear" w:color="auto" w:fill="D9D9D9" w:themeFill="background1" w:themeFillShade="D9"/>
            <w:noWrap/>
            <w:vAlign w:val="bottom"/>
            <w:hideMark/>
          </w:tcPr>
          <w:p w14:paraId="6A043F1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0.41 (0.34 - 0.5)</w:t>
            </w:r>
          </w:p>
        </w:tc>
        <w:tc>
          <w:tcPr>
            <w:tcW w:w="709" w:type="dxa"/>
            <w:tcBorders>
              <w:top w:val="nil"/>
              <w:left w:val="nil"/>
              <w:bottom w:val="nil"/>
              <w:right w:val="nil"/>
            </w:tcBorders>
            <w:shd w:val="clear" w:color="auto" w:fill="D9D9D9" w:themeFill="background1" w:themeFillShade="D9"/>
            <w:noWrap/>
            <w:vAlign w:val="bottom"/>
            <w:hideMark/>
          </w:tcPr>
          <w:p w14:paraId="3FF6527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auto" w:fill="D9D9D9" w:themeFill="background1" w:themeFillShade="D9"/>
            <w:noWrap/>
            <w:vAlign w:val="bottom"/>
            <w:hideMark/>
          </w:tcPr>
          <w:p w14:paraId="67C58C2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209E522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74C1FBB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133/1198 (11.1)</w:t>
            </w:r>
          </w:p>
        </w:tc>
        <w:tc>
          <w:tcPr>
            <w:tcW w:w="1418" w:type="dxa"/>
            <w:tcBorders>
              <w:top w:val="nil"/>
              <w:left w:val="nil"/>
              <w:bottom w:val="nil"/>
              <w:right w:val="nil"/>
            </w:tcBorders>
            <w:shd w:val="clear" w:color="auto" w:fill="D9D9D9" w:themeFill="background1" w:themeFillShade="D9"/>
            <w:noWrap/>
            <w:vAlign w:val="bottom"/>
            <w:hideMark/>
          </w:tcPr>
          <w:p w14:paraId="50E307CE" w14:textId="75AE24DB"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 xml:space="preserve"> (0.32 - 0.5</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w:t>
            </w:r>
          </w:p>
        </w:tc>
        <w:tc>
          <w:tcPr>
            <w:tcW w:w="896" w:type="dxa"/>
            <w:tcBorders>
              <w:top w:val="nil"/>
              <w:left w:val="nil"/>
              <w:bottom w:val="nil"/>
              <w:right w:val="nil"/>
            </w:tcBorders>
            <w:shd w:val="clear" w:color="auto" w:fill="D9D9D9" w:themeFill="background1" w:themeFillShade="D9"/>
            <w:noWrap/>
            <w:vAlign w:val="bottom"/>
            <w:hideMark/>
          </w:tcPr>
          <w:p w14:paraId="30AF3FC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514" w:type="dxa"/>
            <w:tcBorders>
              <w:top w:val="nil"/>
              <w:left w:val="nil"/>
              <w:bottom w:val="nil"/>
              <w:right w:val="nil"/>
            </w:tcBorders>
            <w:shd w:val="clear" w:color="auto" w:fill="D9D9D9" w:themeFill="background1" w:themeFillShade="D9"/>
            <w:noWrap/>
            <w:vAlign w:val="bottom"/>
            <w:hideMark/>
          </w:tcPr>
          <w:p w14:paraId="4E2E9C3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6D2CE66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4805F2F" w14:textId="77777777" w:rsidTr="009062EA">
        <w:trPr>
          <w:trHeight w:val="57"/>
        </w:trPr>
        <w:tc>
          <w:tcPr>
            <w:tcW w:w="2552" w:type="dxa"/>
            <w:tcBorders>
              <w:top w:val="nil"/>
              <w:left w:val="nil"/>
              <w:bottom w:val="nil"/>
              <w:right w:val="nil"/>
            </w:tcBorders>
            <w:shd w:val="clear" w:color="000000" w:fill="FFFFFF"/>
            <w:noWrap/>
            <w:vAlign w:val="bottom"/>
            <w:hideMark/>
          </w:tcPr>
          <w:p w14:paraId="0F196AC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Ethnicity</w:t>
            </w:r>
          </w:p>
        </w:tc>
        <w:tc>
          <w:tcPr>
            <w:tcW w:w="709" w:type="dxa"/>
            <w:tcBorders>
              <w:top w:val="nil"/>
              <w:left w:val="nil"/>
              <w:bottom w:val="nil"/>
              <w:right w:val="nil"/>
            </w:tcBorders>
            <w:shd w:val="clear" w:color="000000" w:fill="FFFFFF"/>
            <w:noWrap/>
            <w:vAlign w:val="bottom"/>
            <w:hideMark/>
          </w:tcPr>
          <w:p w14:paraId="5D21111A"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000000" w:fill="FFFFFF"/>
            <w:noWrap/>
            <w:vAlign w:val="bottom"/>
            <w:hideMark/>
          </w:tcPr>
          <w:p w14:paraId="589A0BF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28CA677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77F0EEF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710B66C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5D73727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30FABDF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1E56367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6C748AF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4E03D26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03AB03B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52B9947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82F183B" w14:textId="77777777" w:rsidTr="009062EA">
        <w:trPr>
          <w:trHeight w:val="57"/>
        </w:trPr>
        <w:tc>
          <w:tcPr>
            <w:tcW w:w="2552" w:type="dxa"/>
            <w:tcBorders>
              <w:top w:val="nil"/>
              <w:left w:val="nil"/>
              <w:bottom w:val="nil"/>
              <w:right w:val="nil"/>
            </w:tcBorders>
            <w:shd w:val="clear" w:color="000000" w:fill="FFFFFF"/>
            <w:noWrap/>
            <w:vAlign w:val="bottom"/>
            <w:hideMark/>
          </w:tcPr>
          <w:p w14:paraId="3BD0676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White background</w:t>
            </w:r>
          </w:p>
        </w:tc>
        <w:tc>
          <w:tcPr>
            <w:tcW w:w="709" w:type="dxa"/>
            <w:tcBorders>
              <w:top w:val="nil"/>
              <w:left w:val="nil"/>
              <w:bottom w:val="nil"/>
              <w:right w:val="nil"/>
            </w:tcBorders>
            <w:shd w:val="clear" w:color="000000" w:fill="FFFFFF"/>
            <w:noWrap/>
            <w:vAlign w:val="bottom"/>
            <w:hideMark/>
          </w:tcPr>
          <w:p w14:paraId="451B2E96"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5476</w:t>
            </w:r>
          </w:p>
        </w:tc>
        <w:tc>
          <w:tcPr>
            <w:tcW w:w="708" w:type="dxa"/>
            <w:tcBorders>
              <w:top w:val="nil"/>
              <w:left w:val="nil"/>
              <w:bottom w:val="nil"/>
              <w:right w:val="nil"/>
            </w:tcBorders>
            <w:shd w:val="clear" w:color="000000" w:fill="FFFFFF"/>
            <w:noWrap/>
            <w:vAlign w:val="bottom"/>
            <w:hideMark/>
          </w:tcPr>
          <w:p w14:paraId="3ED7005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94.6</w:t>
            </w:r>
          </w:p>
        </w:tc>
        <w:tc>
          <w:tcPr>
            <w:tcW w:w="1418" w:type="dxa"/>
            <w:tcBorders>
              <w:top w:val="nil"/>
              <w:left w:val="single" w:sz="4" w:space="0" w:color="auto"/>
              <w:bottom w:val="nil"/>
              <w:right w:val="nil"/>
            </w:tcBorders>
            <w:shd w:val="clear" w:color="000000" w:fill="FFFFFF"/>
            <w:noWrap/>
            <w:vAlign w:val="bottom"/>
            <w:hideMark/>
          </w:tcPr>
          <w:p w14:paraId="5935E1C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1071/5128 (20.9)</w:t>
            </w:r>
          </w:p>
        </w:tc>
        <w:tc>
          <w:tcPr>
            <w:tcW w:w="1411" w:type="dxa"/>
            <w:tcBorders>
              <w:top w:val="nil"/>
              <w:left w:val="nil"/>
              <w:bottom w:val="nil"/>
              <w:right w:val="nil"/>
            </w:tcBorders>
            <w:shd w:val="clear" w:color="000000" w:fill="FFFFFF"/>
            <w:noWrap/>
            <w:vAlign w:val="bottom"/>
            <w:hideMark/>
          </w:tcPr>
          <w:p w14:paraId="03226728" w14:textId="7B3460B6"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000000" w:fill="FFFFFF"/>
            <w:noWrap/>
            <w:vAlign w:val="bottom"/>
            <w:hideMark/>
          </w:tcPr>
          <w:p w14:paraId="59DC2C4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6E9C0D04" w14:textId="5B2A2759"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73AC462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330BBE4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884/5248 (16.8)</w:t>
            </w:r>
          </w:p>
        </w:tc>
        <w:tc>
          <w:tcPr>
            <w:tcW w:w="1418" w:type="dxa"/>
            <w:tcBorders>
              <w:top w:val="nil"/>
              <w:left w:val="nil"/>
              <w:bottom w:val="nil"/>
              <w:right w:val="nil"/>
            </w:tcBorders>
            <w:shd w:val="clear" w:color="000000" w:fill="FFFFFF"/>
            <w:noWrap/>
            <w:vAlign w:val="bottom"/>
            <w:hideMark/>
          </w:tcPr>
          <w:p w14:paraId="6490671D" w14:textId="39B5E638"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000000" w:fill="FFFFFF"/>
            <w:noWrap/>
            <w:vAlign w:val="bottom"/>
            <w:hideMark/>
          </w:tcPr>
          <w:p w14:paraId="12D0A6E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699F4D1F" w14:textId="124DC691"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1F5E855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2C71DDA3" w14:textId="77777777" w:rsidTr="009062EA">
        <w:trPr>
          <w:trHeight w:val="57"/>
        </w:trPr>
        <w:tc>
          <w:tcPr>
            <w:tcW w:w="2552" w:type="dxa"/>
            <w:tcBorders>
              <w:top w:val="nil"/>
              <w:left w:val="nil"/>
              <w:bottom w:val="nil"/>
              <w:right w:val="nil"/>
            </w:tcBorders>
            <w:shd w:val="clear" w:color="000000" w:fill="FFFFFF"/>
            <w:noWrap/>
            <w:vAlign w:val="bottom"/>
            <w:hideMark/>
          </w:tcPr>
          <w:p w14:paraId="11C141F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Black background</w:t>
            </w:r>
          </w:p>
        </w:tc>
        <w:tc>
          <w:tcPr>
            <w:tcW w:w="709" w:type="dxa"/>
            <w:tcBorders>
              <w:top w:val="nil"/>
              <w:left w:val="nil"/>
              <w:bottom w:val="nil"/>
              <w:right w:val="nil"/>
            </w:tcBorders>
            <w:shd w:val="clear" w:color="000000" w:fill="FFFFFF"/>
            <w:noWrap/>
            <w:vAlign w:val="bottom"/>
            <w:hideMark/>
          </w:tcPr>
          <w:p w14:paraId="3E0B5800"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52</w:t>
            </w:r>
          </w:p>
        </w:tc>
        <w:tc>
          <w:tcPr>
            <w:tcW w:w="708" w:type="dxa"/>
            <w:tcBorders>
              <w:top w:val="nil"/>
              <w:left w:val="nil"/>
              <w:bottom w:val="nil"/>
              <w:right w:val="nil"/>
            </w:tcBorders>
            <w:shd w:val="clear" w:color="000000" w:fill="FFFFFF"/>
            <w:noWrap/>
            <w:vAlign w:val="bottom"/>
            <w:hideMark/>
          </w:tcPr>
          <w:p w14:paraId="543BBA3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0.9</w:t>
            </w:r>
          </w:p>
        </w:tc>
        <w:tc>
          <w:tcPr>
            <w:tcW w:w="1418" w:type="dxa"/>
            <w:tcBorders>
              <w:top w:val="nil"/>
              <w:left w:val="single" w:sz="4" w:space="0" w:color="auto"/>
              <w:bottom w:val="nil"/>
              <w:right w:val="nil"/>
            </w:tcBorders>
            <w:shd w:val="clear" w:color="000000" w:fill="FFFFFF"/>
            <w:noWrap/>
            <w:vAlign w:val="bottom"/>
            <w:hideMark/>
          </w:tcPr>
          <w:p w14:paraId="12647F8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15/48 (31.3)</w:t>
            </w:r>
          </w:p>
        </w:tc>
        <w:tc>
          <w:tcPr>
            <w:tcW w:w="1411" w:type="dxa"/>
            <w:tcBorders>
              <w:top w:val="nil"/>
              <w:left w:val="nil"/>
              <w:bottom w:val="nil"/>
              <w:right w:val="nil"/>
            </w:tcBorders>
            <w:shd w:val="clear" w:color="000000" w:fill="FFFFFF"/>
            <w:noWrap/>
            <w:vAlign w:val="bottom"/>
            <w:hideMark/>
          </w:tcPr>
          <w:p w14:paraId="347CBE2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1.72 (0.93 - 3.18)</w:t>
            </w:r>
          </w:p>
        </w:tc>
        <w:tc>
          <w:tcPr>
            <w:tcW w:w="709" w:type="dxa"/>
            <w:tcBorders>
              <w:top w:val="nil"/>
              <w:left w:val="nil"/>
              <w:bottom w:val="nil"/>
              <w:right w:val="nil"/>
            </w:tcBorders>
            <w:shd w:val="clear" w:color="000000" w:fill="FFFFFF"/>
            <w:noWrap/>
            <w:vAlign w:val="bottom"/>
            <w:hideMark/>
          </w:tcPr>
          <w:p w14:paraId="30969CE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1D0F1EFE" w14:textId="6D07B14F"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w:t>
            </w:r>
            <w:r w:rsidR="000766C5">
              <w:rPr>
                <w:rFonts w:ascii="Calibri" w:eastAsia="Times New Roman" w:hAnsi="Calibri" w:cs="Times New Roman"/>
                <w:color w:val="000000"/>
                <w:sz w:val="16"/>
                <w:szCs w:val="16"/>
                <w:lang w:eastAsia="en-GB"/>
              </w:rPr>
              <w:t>.00</w:t>
            </w:r>
            <w:r w:rsidRPr="00642C7E">
              <w:rPr>
                <w:rFonts w:ascii="Calibri" w:eastAsia="Times New Roman" w:hAnsi="Calibri" w:cs="Times New Roman"/>
                <w:color w:val="000000"/>
                <w:sz w:val="16"/>
                <w:szCs w:val="16"/>
                <w:lang w:eastAsia="en-GB"/>
              </w:rPr>
              <w:t xml:space="preserve"> (1.07 - 3.74)</w:t>
            </w:r>
          </w:p>
        </w:tc>
        <w:tc>
          <w:tcPr>
            <w:tcW w:w="661" w:type="dxa"/>
            <w:tcBorders>
              <w:top w:val="nil"/>
              <w:left w:val="nil"/>
              <w:bottom w:val="nil"/>
              <w:right w:val="nil"/>
            </w:tcBorders>
            <w:shd w:val="clear" w:color="000000" w:fill="FFFFFF"/>
            <w:noWrap/>
            <w:vAlign w:val="bottom"/>
            <w:hideMark/>
          </w:tcPr>
          <w:p w14:paraId="6824C98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6653C59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11/49 (22.4)</w:t>
            </w:r>
          </w:p>
        </w:tc>
        <w:tc>
          <w:tcPr>
            <w:tcW w:w="1418" w:type="dxa"/>
            <w:tcBorders>
              <w:top w:val="nil"/>
              <w:left w:val="nil"/>
              <w:bottom w:val="nil"/>
              <w:right w:val="nil"/>
            </w:tcBorders>
            <w:shd w:val="clear" w:color="000000" w:fill="FFFFFF"/>
            <w:noWrap/>
            <w:vAlign w:val="bottom"/>
            <w:hideMark/>
          </w:tcPr>
          <w:p w14:paraId="36CFF64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1.43 (0.73 - 2.81)</w:t>
            </w:r>
          </w:p>
        </w:tc>
        <w:tc>
          <w:tcPr>
            <w:tcW w:w="896" w:type="dxa"/>
            <w:tcBorders>
              <w:top w:val="nil"/>
              <w:left w:val="nil"/>
              <w:bottom w:val="nil"/>
              <w:right w:val="nil"/>
            </w:tcBorders>
            <w:shd w:val="clear" w:color="000000" w:fill="FFFFFF"/>
            <w:noWrap/>
            <w:vAlign w:val="bottom"/>
            <w:hideMark/>
          </w:tcPr>
          <w:p w14:paraId="6327625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78F3D8E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1.45 (0.73 - 2.88)</w:t>
            </w:r>
          </w:p>
        </w:tc>
        <w:tc>
          <w:tcPr>
            <w:tcW w:w="661" w:type="dxa"/>
            <w:tcBorders>
              <w:top w:val="nil"/>
              <w:left w:val="nil"/>
              <w:bottom w:val="nil"/>
              <w:right w:val="nil"/>
            </w:tcBorders>
            <w:shd w:val="clear" w:color="000000" w:fill="FFFFFF"/>
            <w:noWrap/>
            <w:vAlign w:val="bottom"/>
            <w:hideMark/>
          </w:tcPr>
          <w:p w14:paraId="3DD4EC1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C82D2DD" w14:textId="77777777" w:rsidTr="009062EA">
        <w:trPr>
          <w:trHeight w:val="57"/>
        </w:trPr>
        <w:tc>
          <w:tcPr>
            <w:tcW w:w="2552" w:type="dxa"/>
            <w:tcBorders>
              <w:top w:val="nil"/>
              <w:left w:val="nil"/>
              <w:bottom w:val="nil"/>
              <w:right w:val="nil"/>
            </w:tcBorders>
            <w:shd w:val="clear" w:color="000000" w:fill="FFFFFF"/>
            <w:noWrap/>
            <w:vAlign w:val="bottom"/>
            <w:hideMark/>
          </w:tcPr>
          <w:p w14:paraId="2750814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Asian background</w:t>
            </w:r>
          </w:p>
        </w:tc>
        <w:tc>
          <w:tcPr>
            <w:tcW w:w="709" w:type="dxa"/>
            <w:tcBorders>
              <w:top w:val="nil"/>
              <w:left w:val="nil"/>
              <w:bottom w:val="nil"/>
              <w:right w:val="nil"/>
            </w:tcBorders>
            <w:shd w:val="clear" w:color="000000" w:fill="FFFFFF"/>
            <w:noWrap/>
            <w:vAlign w:val="bottom"/>
            <w:hideMark/>
          </w:tcPr>
          <w:p w14:paraId="567CF43C"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93</w:t>
            </w:r>
          </w:p>
        </w:tc>
        <w:tc>
          <w:tcPr>
            <w:tcW w:w="708" w:type="dxa"/>
            <w:tcBorders>
              <w:top w:val="nil"/>
              <w:left w:val="nil"/>
              <w:bottom w:val="nil"/>
              <w:right w:val="nil"/>
            </w:tcBorders>
            <w:shd w:val="clear" w:color="000000" w:fill="FFFFFF"/>
            <w:noWrap/>
            <w:vAlign w:val="bottom"/>
            <w:hideMark/>
          </w:tcPr>
          <w:p w14:paraId="12B2816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w:t>
            </w:r>
          </w:p>
        </w:tc>
        <w:tc>
          <w:tcPr>
            <w:tcW w:w="1418" w:type="dxa"/>
            <w:tcBorders>
              <w:top w:val="nil"/>
              <w:left w:val="single" w:sz="4" w:space="0" w:color="auto"/>
              <w:bottom w:val="nil"/>
              <w:right w:val="nil"/>
            </w:tcBorders>
            <w:shd w:val="clear" w:color="000000" w:fill="FFFFFF"/>
            <w:noWrap/>
            <w:vAlign w:val="bottom"/>
            <w:hideMark/>
          </w:tcPr>
          <w:p w14:paraId="651B43E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28/85 (32.9)</w:t>
            </w:r>
          </w:p>
        </w:tc>
        <w:tc>
          <w:tcPr>
            <w:tcW w:w="1411" w:type="dxa"/>
            <w:tcBorders>
              <w:top w:val="nil"/>
              <w:left w:val="nil"/>
              <w:bottom w:val="nil"/>
              <w:right w:val="nil"/>
            </w:tcBorders>
            <w:shd w:val="clear" w:color="000000" w:fill="FFFFFF"/>
            <w:noWrap/>
            <w:vAlign w:val="bottom"/>
            <w:hideMark/>
          </w:tcPr>
          <w:p w14:paraId="6209D06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1.86 (1.18 - 2.94)</w:t>
            </w:r>
          </w:p>
        </w:tc>
        <w:tc>
          <w:tcPr>
            <w:tcW w:w="709" w:type="dxa"/>
            <w:tcBorders>
              <w:top w:val="nil"/>
              <w:left w:val="nil"/>
              <w:bottom w:val="nil"/>
              <w:right w:val="nil"/>
            </w:tcBorders>
            <w:shd w:val="clear" w:color="000000" w:fill="FFFFFF"/>
            <w:noWrap/>
            <w:vAlign w:val="bottom"/>
            <w:hideMark/>
          </w:tcPr>
          <w:p w14:paraId="2D8E1D6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400A9B2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1.82 (1.14 - 2.9)</w:t>
            </w:r>
          </w:p>
        </w:tc>
        <w:tc>
          <w:tcPr>
            <w:tcW w:w="661" w:type="dxa"/>
            <w:tcBorders>
              <w:top w:val="nil"/>
              <w:left w:val="nil"/>
              <w:bottom w:val="nil"/>
              <w:right w:val="nil"/>
            </w:tcBorders>
            <w:shd w:val="clear" w:color="000000" w:fill="FFFFFF"/>
            <w:noWrap/>
            <w:vAlign w:val="bottom"/>
            <w:hideMark/>
          </w:tcPr>
          <w:p w14:paraId="71F03EB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28A2570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18/91 (19.8)</w:t>
            </w:r>
          </w:p>
        </w:tc>
        <w:tc>
          <w:tcPr>
            <w:tcW w:w="1418" w:type="dxa"/>
            <w:tcBorders>
              <w:top w:val="nil"/>
              <w:left w:val="nil"/>
              <w:bottom w:val="nil"/>
              <w:right w:val="nil"/>
            </w:tcBorders>
            <w:shd w:val="clear" w:color="000000" w:fill="FFFFFF"/>
            <w:noWrap/>
            <w:vAlign w:val="bottom"/>
            <w:hideMark/>
          </w:tcPr>
          <w:p w14:paraId="76F2A20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1.22 (0.72 - 2.05)</w:t>
            </w:r>
          </w:p>
        </w:tc>
        <w:tc>
          <w:tcPr>
            <w:tcW w:w="896" w:type="dxa"/>
            <w:tcBorders>
              <w:top w:val="nil"/>
              <w:left w:val="nil"/>
              <w:bottom w:val="nil"/>
              <w:right w:val="nil"/>
            </w:tcBorders>
            <w:shd w:val="clear" w:color="000000" w:fill="FFFFFF"/>
            <w:noWrap/>
            <w:vAlign w:val="bottom"/>
            <w:hideMark/>
          </w:tcPr>
          <w:p w14:paraId="553DEC1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4397CFC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1.09 (0.64 - 1.85)</w:t>
            </w:r>
          </w:p>
        </w:tc>
        <w:tc>
          <w:tcPr>
            <w:tcW w:w="661" w:type="dxa"/>
            <w:tcBorders>
              <w:top w:val="nil"/>
              <w:left w:val="nil"/>
              <w:bottom w:val="nil"/>
              <w:right w:val="nil"/>
            </w:tcBorders>
            <w:shd w:val="clear" w:color="000000" w:fill="FFFFFF"/>
            <w:noWrap/>
            <w:vAlign w:val="bottom"/>
            <w:hideMark/>
          </w:tcPr>
          <w:p w14:paraId="320BDF5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416E42B9" w14:textId="77777777" w:rsidTr="009062EA">
        <w:trPr>
          <w:trHeight w:val="57"/>
        </w:trPr>
        <w:tc>
          <w:tcPr>
            <w:tcW w:w="2552" w:type="dxa"/>
            <w:tcBorders>
              <w:top w:val="nil"/>
              <w:left w:val="nil"/>
              <w:bottom w:val="nil"/>
              <w:right w:val="nil"/>
            </w:tcBorders>
            <w:shd w:val="clear" w:color="000000" w:fill="FFFFFF"/>
            <w:noWrap/>
            <w:vAlign w:val="bottom"/>
            <w:hideMark/>
          </w:tcPr>
          <w:p w14:paraId="11E010C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Mixed &amp; Other</w:t>
            </w:r>
          </w:p>
        </w:tc>
        <w:tc>
          <w:tcPr>
            <w:tcW w:w="709" w:type="dxa"/>
            <w:tcBorders>
              <w:top w:val="nil"/>
              <w:left w:val="nil"/>
              <w:bottom w:val="nil"/>
              <w:right w:val="nil"/>
            </w:tcBorders>
            <w:shd w:val="clear" w:color="000000" w:fill="FFFFFF"/>
            <w:noWrap/>
            <w:vAlign w:val="bottom"/>
            <w:hideMark/>
          </w:tcPr>
          <w:p w14:paraId="5BEF4C85"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171</w:t>
            </w:r>
          </w:p>
        </w:tc>
        <w:tc>
          <w:tcPr>
            <w:tcW w:w="708" w:type="dxa"/>
            <w:tcBorders>
              <w:top w:val="nil"/>
              <w:left w:val="nil"/>
              <w:bottom w:val="nil"/>
              <w:right w:val="nil"/>
            </w:tcBorders>
            <w:shd w:val="clear" w:color="000000" w:fill="FFFFFF"/>
            <w:noWrap/>
            <w:vAlign w:val="bottom"/>
            <w:hideMark/>
          </w:tcPr>
          <w:p w14:paraId="0657820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2.9</w:t>
            </w:r>
          </w:p>
        </w:tc>
        <w:tc>
          <w:tcPr>
            <w:tcW w:w="1418" w:type="dxa"/>
            <w:tcBorders>
              <w:top w:val="nil"/>
              <w:left w:val="single" w:sz="4" w:space="0" w:color="auto"/>
              <w:bottom w:val="nil"/>
              <w:right w:val="nil"/>
            </w:tcBorders>
            <w:shd w:val="clear" w:color="000000" w:fill="FFFFFF"/>
            <w:noWrap/>
            <w:vAlign w:val="bottom"/>
            <w:hideMark/>
          </w:tcPr>
          <w:p w14:paraId="6625109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38/149 (25.5)</w:t>
            </w:r>
          </w:p>
        </w:tc>
        <w:tc>
          <w:tcPr>
            <w:tcW w:w="1411" w:type="dxa"/>
            <w:tcBorders>
              <w:top w:val="nil"/>
              <w:left w:val="nil"/>
              <w:bottom w:val="nil"/>
              <w:right w:val="nil"/>
            </w:tcBorders>
            <w:shd w:val="clear" w:color="000000" w:fill="FFFFFF"/>
            <w:noWrap/>
            <w:vAlign w:val="bottom"/>
            <w:hideMark/>
          </w:tcPr>
          <w:p w14:paraId="36FAC2A8" w14:textId="34C8EC5B"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 xml:space="preserve"> (0.89 - 1.89)</w:t>
            </w:r>
          </w:p>
        </w:tc>
        <w:tc>
          <w:tcPr>
            <w:tcW w:w="709" w:type="dxa"/>
            <w:tcBorders>
              <w:top w:val="nil"/>
              <w:left w:val="nil"/>
              <w:bottom w:val="nil"/>
              <w:right w:val="nil"/>
            </w:tcBorders>
            <w:shd w:val="clear" w:color="000000" w:fill="FFFFFF"/>
            <w:noWrap/>
            <w:vAlign w:val="bottom"/>
            <w:hideMark/>
          </w:tcPr>
          <w:p w14:paraId="4D0A714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0.013</w:t>
            </w:r>
          </w:p>
        </w:tc>
        <w:tc>
          <w:tcPr>
            <w:tcW w:w="1418" w:type="dxa"/>
            <w:tcBorders>
              <w:top w:val="nil"/>
              <w:left w:val="nil"/>
              <w:bottom w:val="nil"/>
              <w:right w:val="nil"/>
            </w:tcBorders>
            <w:shd w:val="clear" w:color="000000" w:fill="FFFFFF"/>
            <w:noWrap/>
            <w:vAlign w:val="bottom"/>
            <w:hideMark/>
          </w:tcPr>
          <w:p w14:paraId="24A8D79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1.34 (0.91 - 1.97)</w:t>
            </w:r>
          </w:p>
        </w:tc>
        <w:tc>
          <w:tcPr>
            <w:tcW w:w="661" w:type="dxa"/>
            <w:tcBorders>
              <w:top w:val="nil"/>
              <w:left w:val="nil"/>
              <w:bottom w:val="nil"/>
              <w:right w:val="nil"/>
            </w:tcBorders>
            <w:shd w:val="clear" w:color="000000" w:fill="FFFFFF"/>
            <w:noWrap/>
            <w:vAlign w:val="bottom"/>
            <w:hideMark/>
          </w:tcPr>
          <w:p w14:paraId="7C6355B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0.008</w:t>
            </w:r>
          </w:p>
        </w:tc>
        <w:tc>
          <w:tcPr>
            <w:tcW w:w="1701" w:type="dxa"/>
            <w:tcBorders>
              <w:top w:val="nil"/>
              <w:left w:val="single" w:sz="4" w:space="0" w:color="auto"/>
              <w:bottom w:val="nil"/>
              <w:right w:val="nil"/>
            </w:tcBorders>
            <w:shd w:val="clear" w:color="000000" w:fill="FFFFFF"/>
            <w:noWrap/>
            <w:vAlign w:val="bottom"/>
            <w:hideMark/>
          </w:tcPr>
          <w:p w14:paraId="09DBCDC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34/161 (21.1)</w:t>
            </w:r>
          </w:p>
        </w:tc>
        <w:tc>
          <w:tcPr>
            <w:tcW w:w="1418" w:type="dxa"/>
            <w:tcBorders>
              <w:top w:val="nil"/>
              <w:left w:val="nil"/>
              <w:bottom w:val="nil"/>
              <w:right w:val="nil"/>
            </w:tcBorders>
            <w:shd w:val="clear" w:color="000000" w:fill="FFFFFF"/>
            <w:noWrap/>
            <w:vAlign w:val="bottom"/>
            <w:hideMark/>
          </w:tcPr>
          <w:p w14:paraId="5072410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1.32 (0.9 - 1.94)</w:t>
            </w:r>
          </w:p>
        </w:tc>
        <w:tc>
          <w:tcPr>
            <w:tcW w:w="896" w:type="dxa"/>
            <w:tcBorders>
              <w:top w:val="nil"/>
              <w:left w:val="nil"/>
              <w:bottom w:val="nil"/>
              <w:right w:val="nil"/>
            </w:tcBorders>
            <w:shd w:val="clear" w:color="000000" w:fill="FFFFFF"/>
            <w:noWrap/>
            <w:vAlign w:val="bottom"/>
            <w:hideMark/>
          </w:tcPr>
          <w:p w14:paraId="4A34AAE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0.343</w:t>
            </w:r>
          </w:p>
        </w:tc>
        <w:tc>
          <w:tcPr>
            <w:tcW w:w="1514" w:type="dxa"/>
            <w:tcBorders>
              <w:top w:val="nil"/>
              <w:left w:val="nil"/>
              <w:bottom w:val="nil"/>
              <w:right w:val="nil"/>
            </w:tcBorders>
            <w:shd w:val="clear" w:color="000000" w:fill="FFFFFF"/>
            <w:noWrap/>
            <w:vAlign w:val="bottom"/>
            <w:hideMark/>
          </w:tcPr>
          <w:p w14:paraId="618DADE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1.27 (0.86 - 1.88)</w:t>
            </w:r>
          </w:p>
        </w:tc>
        <w:tc>
          <w:tcPr>
            <w:tcW w:w="661" w:type="dxa"/>
            <w:tcBorders>
              <w:top w:val="nil"/>
              <w:left w:val="nil"/>
              <w:bottom w:val="nil"/>
              <w:right w:val="nil"/>
            </w:tcBorders>
            <w:shd w:val="clear" w:color="000000" w:fill="FFFFFF"/>
            <w:noWrap/>
            <w:vAlign w:val="bottom"/>
            <w:hideMark/>
          </w:tcPr>
          <w:p w14:paraId="135510B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0.489</w:t>
            </w:r>
          </w:p>
        </w:tc>
      </w:tr>
      <w:tr w:rsidR="00B04B8E" w:rsidRPr="00642C7E" w14:paraId="3235DB61" w14:textId="77777777" w:rsidTr="009062EA">
        <w:trPr>
          <w:trHeight w:val="57"/>
        </w:trPr>
        <w:tc>
          <w:tcPr>
            <w:tcW w:w="2552" w:type="dxa"/>
            <w:tcBorders>
              <w:top w:val="nil"/>
              <w:left w:val="nil"/>
              <w:bottom w:val="nil"/>
              <w:right w:val="nil"/>
            </w:tcBorders>
            <w:shd w:val="clear" w:color="000000" w:fill="FFFFFF"/>
            <w:noWrap/>
            <w:vAlign w:val="bottom"/>
            <w:hideMark/>
          </w:tcPr>
          <w:p w14:paraId="3E0286A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Missing</w:t>
            </w:r>
          </w:p>
        </w:tc>
        <w:tc>
          <w:tcPr>
            <w:tcW w:w="709" w:type="dxa"/>
            <w:tcBorders>
              <w:top w:val="nil"/>
              <w:left w:val="nil"/>
              <w:bottom w:val="nil"/>
              <w:right w:val="nil"/>
            </w:tcBorders>
            <w:shd w:val="clear" w:color="000000" w:fill="FFFFFF"/>
            <w:noWrap/>
            <w:vAlign w:val="bottom"/>
            <w:hideMark/>
          </w:tcPr>
          <w:p w14:paraId="01F58207"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7</w:t>
            </w:r>
          </w:p>
        </w:tc>
        <w:tc>
          <w:tcPr>
            <w:tcW w:w="708" w:type="dxa"/>
            <w:tcBorders>
              <w:top w:val="nil"/>
              <w:left w:val="nil"/>
              <w:bottom w:val="nil"/>
              <w:right w:val="nil"/>
            </w:tcBorders>
            <w:shd w:val="clear" w:color="000000" w:fill="FFFFFF"/>
            <w:noWrap/>
            <w:vAlign w:val="bottom"/>
            <w:hideMark/>
          </w:tcPr>
          <w:p w14:paraId="4289FE9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42F8BB9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5B41DE2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08F39A5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0475BDB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33FC372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6DDD926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6847AB6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20876AA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0613798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34295F3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6A2F6734"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572DE66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Education</w:t>
            </w:r>
          </w:p>
        </w:tc>
        <w:tc>
          <w:tcPr>
            <w:tcW w:w="709" w:type="dxa"/>
            <w:tcBorders>
              <w:top w:val="nil"/>
              <w:left w:val="nil"/>
              <w:bottom w:val="nil"/>
              <w:right w:val="nil"/>
            </w:tcBorders>
            <w:shd w:val="clear" w:color="auto" w:fill="D9D9D9" w:themeFill="background1" w:themeFillShade="D9"/>
            <w:noWrap/>
            <w:vAlign w:val="bottom"/>
            <w:hideMark/>
          </w:tcPr>
          <w:p w14:paraId="16EC4F1D"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auto" w:fill="D9D9D9" w:themeFill="background1" w:themeFillShade="D9"/>
            <w:noWrap/>
            <w:vAlign w:val="bottom"/>
            <w:hideMark/>
          </w:tcPr>
          <w:p w14:paraId="02A3DBA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632DB65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D9D9D9" w:themeFill="background1" w:themeFillShade="D9"/>
            <w:noWrap/>
            <w:vAlign w:val="bottom"/>
            <w:hideMark/>
          </w:tcPr>
          <w:p w14:paraId="6BB9BF7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D9D9D9" w:themeFill="background1" w:themeFillShade="D9"/>
            <w:noWrap/>
            <w:vAlign w:val="bottom"/>
            <w:hideMark/>
          </w:tcPr>
          <w:p w14:paraId="4FF3131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3B314C7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6D4FB15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255372A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0D6364D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D9D9D9" w:themeFill="background1" w:themeFillShade="D9"/>
            <w:noWrap/>
            <w:vAlign w:val="bottom"/>
            <w:hideMark/>
          </w:tcPr>
          <w:p w14:paraId="3920479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26679AF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6FB0BC2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11F8DF3"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37972EE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 A-level</w:t>
            </w:r>
          </w:p>
        </w:tc>
        <w:tc>
          <w:tcPr>
            <w:tcW w:w="709" w:type="dxa"/>
            <w:tcBorders>
              <w:top w:val="nil"/>
              <w:left w:val="nil"/>
              <w:bottom w:val="nil"/>
              <w:right w:val="nil"/>
            </w:tcBorders>
            <w:shd w:val="clear" w:color="auto" w:fill="D9D9D9" w:themeFill="background1" w:themeFillShade="D9"/>
            <w:noWrap/>
            <w:vAlign w:val="bottom"/>
            <w:hideMark/>
          </w:tcPr>
          <w:p w14:paraId="3DEF14C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946</w:t>
            </w:r>
          </w:p>
        </w:tc>
        <w:tc>
          <w:tcPr>
            <w:tcW w:w="708" w:type="dxa"/>
            <w:tcBorders>
              <w:top w:val="nil"/>
              <w:left w:val="nil"/>
              <w:bottom w:val="nil"/>
              <w:right w:val="nil"/>
            </w:tcBorders>
            <w:shd w:val="clear" w:color="auto" w:fill="D9D9D9" w:themeFill="background1" w:themeFillShade="D9"/>
            <w:noWrap/>
            <w:vAlign w:val="bottom"/>
            <w:hideMark/>
          </w:tcPr>
          <w:p w14:paraId="17FE083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16.4</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078DF69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258/877 (29.4)</w:t>
            </w:r>
          </w:p>
        </w:tc>
        <w:tc>
          <w:tcPr>
            <w:tcW w:w="1411" w:type="dxa"/>
            <w:tcBorders>
              <w:top w:val="nil"/>
              <w:left w:val="nil"/>
              <w:bottom w:val="nil"/>
              <w:right w:val="nil"/>
            </w:tcBorders>
            <w:shd w:val="clear" w:color="auto" w:fill="D9D9D9" w:themeFill="background1" w:themeFillShade="D9"/>
            <w:noWrap/>
            <w:vAlign w:val="bottom"/>
            <w:hideMark/>
          </w:tcPr>
          <w:p w14:paraId="6C3A5CDE" w14:textId="7B6E3A54"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auto" w:fill="D9D9D9" w:themeFill="background1" w:themeFillShade="D9"/>
            <w:noWrap/>
            <w:vAlign w:val="bottom"/>
            <w:hideMark/>
          </w:tcPr>
          <w:p w14:paraId="1609923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083AC1EA" w14:textId="474B9592"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512DEC7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69D6B0B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205/904 (22.7)</w:t>
            </w:r>
          </w:p>
        </w:tc>
        <w:tc>
          <w:tcPr>
            <w:tcW w:w="1418" w:type="dxa"/>
            <w:tcBorders>
              <w:top w:val="nil"/>
              <w:left w:val="nil"/>
              <w:bottom w:val="nil"/>
              <w:right w:val="nil"/>
            </w:tcBorders>
            <w:shd w:val="clear" w:color="auto" w:fill="D9D9D9" w:themeFill="background1" w:themeFillShade="D9"/>
            <w:noWrap/>
            <w:vAlign w:val="bottom"/>
            <w:hideMark/>
          </w:tcPr>
          <w:p w14:paraId="6C45F129" w14:textId="4CC76272"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auto" w:fill="D9D9D9" w:themeFill="background1" w:themeFillShade="D9"/>
            <w:noWrap/>
            <w:vAlign w:val="bottom"/>
            <w:hideMark/>
          </w:tcPr>
          <w:p w14:paraId="524190D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385DF440" w14:textId="18188AFB"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07700FE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81B41A8"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62958C7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A-level</w:t>
            </w:r>
          </w:p>
        </w:tc>
        <w:tc>
          <w:tcPr>
            <w:tcW w:w="709" w:type="dxa"/>
            <w:tcBorders>
              <w:top w:val="nil"/>
              <w:left w:val="nil"/>
              <w:bottom w:val="nil"/>
              <w:right w:val="nil"/>
            </w:tcBorders>
            <w:shd w:val="clear" w:color="auto" w:fill="D9D9D9" w:themeFill="background1" w:themeFillShade="D9"/>
            <w:noWrap/>
            <w:vAlign w:val="bottom"/>
            <w:hideMark/>
          </w:tcPr>
          <w:p w14:paraId="1E3AFF10"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1457</w:t>
            </w:r>
          </w:p>
        </w:tc>
        <w:tc>
          <w:tcPr>
            <w:tcW w:w="708" w:type="dxa"/>
            <w:tcBorders>
              <w:top w:val="nil"/>
              <w:left w:val="nil"/>
              <w:bottom w:val="nil"/>
              <w:right w:val="nil"/>
            </w:tcBorders>
            <w:shd w:val="clear" w:color="auto" w:fill="D9D9D9" w:themeFill="background1" w:themeFillShade="D9"/>
            <w:noWrap/>
            <w:vAlign w:val="bottom"/>
            <w:hideMark/>
          </w:tcPr>
          <w:p w14:paraId="5857BB0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25.2</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38AE56C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353/1366 (25.8)</w:t>
            </w:r>
          </w:p>
        </w:tc>
        <w:tc>
          <w:tcPr>
            <w:tcW w:w="1411" w:type="dxa"/>
            <w:tcBorders>
              <w:top w:val="nil"/>
              <w:left w:val="nil"/>
              <w:bottom w:val="nil"/>
              <w:right w:val="nil"/>
            </w:tcBorders>
            <w:shd w:val="clear" w:color="auto" w:fill="D9D9D9" w:themeFill="background1" w:themeFillShade="D9"/>
            <w:noWrap/>
            <w:vAlign w:val="bottom"/>
            <w:hideMark/>
          </w:tcPr>
          <w:p w14:paraId="1342FCD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0.84 (0.69 - 1.01)</w:t>
            </w:r>
          </w:p>
        </w:tc>
        <w:tc>
          <w:tcPr>
            <w:tcW w:w="709" w:type="dxa"/>
            <w:tcBorders>
              <w:top w:val="nil"/>
              <w:left w:val="nil"/>
              <w:bottom w:val="nil"/>
              <w:right w:val="nil"/>
            </w:tcBorders>
            <w:shd w:val="clear" w:color="auto" w:fill="D9D9D9" w:themeFill="background1" w:themeFillShade="D9"/>
            <w:noWrap/>
            <w:vAlign w:val="bottom"/>
            <w:hideMark/>
          </w:tcPr>
          <w:p w14:paraId="0BEA659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3A487FD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0.76 (0.63 - 0.93)</w:t>
            </w:r>
          </w:p>
        </w:tc>
        <w:tc>
          <w:tcPr>
            <w:tcW w:w="661" w:type="dxa"/>
            <w:tcBorders>
              <w:top w:val="nil"/>
              <w:left w:val="nil"/>
              <w:bottom w:val="nil"/>
              <w:right w:val="nil"/>
            </w:tcBorders>
            <w:shd w:val="clear" w:color="auto" w:fill="D9D9D9" w:themeFill="background1" w:themeFillShade="D9"/>
            <w:noWrap/>
            <w:vAlign w:val="bottom"/>
            <w:hideMark/>
          </w:tcPr>
          <w:p w14:paraId="0A5D2C1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3371C8D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277/1403 (19.7)</w:t>
            </w:r>
          </w:p>
        </w:tc>
        <w:tc>
          <w:tcPr>
            <w:tcW w:w="1418" w:type="dxa"/>
            <w:tcBorders>
              <w:top w:val="nil"/>
              <w:left w:val="nil"/>
              <w:bottom w:val="nil"/>
              <w:right w:val="nil"/>
            </w:tcBorders>
            <w:shd w:val="clear" w:color="auto" w:fill="D9D9D9" w:themeFill="background1" w:themeFillShade="D9"/>
            <w:noWrap/>
            <w:vAlign w:val="bottom"/>
            <w:hideMark/>
          </w:tcPr>
          <w:p w14:paraId="2F32F9C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0.84 (0.68 - 1.03)</w:t>
            </w:r>
          </w:p>
        </w:tc>
        <w:tc>
          <w:tcPr>
            <w:tcW w:w="896" w:type="dxa"/>
            <w:tcBorders>
              <w:top w:val="nil"/>
              <w:left w:val="nil"/>
              <w:bottom w:val="nil"/>
              <w:right w:val="nil"/>
            </w:tcBorders>
            <w:shd w:val="clear" w:color="auto" w:fill="D9D9D9" w:themeFill="background1" w:themeFillShade="D9"/>
            <w:noWrap/>
            <w:vAlign w:val="bottom"/>
            <w:hideMark/>
          </w:tcPr>
          <w:p w14:paraId="51A55C6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4FD6A0B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0.76 (0.61 - 0.93)</w:t>
            </w:r>
          </w:p>
        </w:tc>
        <w:tc>
          <w:tcPr>
            <w:tcW w:w="661" w:type="dxa"/>
            <w:tcBorders>
              <w:top w:val="nil"/>
              <w:left w:val="nil"/>
              <w:bottom w:val="nil"/>
              <w:right w:val="nil"/>
            </w:tcBorders>
            <w:shd w:val="clear" w:color="auto" w:fill="D9D9D9" w:themeFill="background1" w:themeFillShade="D9"/>
            <w:noWrap/>
            <w:vAlign w:val="bottom"/>
            <w:hideMark/>
          </w:tcPr>
          <w:p w14:paraId="77E0DA1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FA99C86"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18B27E6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Degree level</w:t>
            </w:r>
          </w:p>
        </w:tc>
        <w:tc>
          <w:tcPr>
            <w:tcW w:w="709" w:type="dxa"/>
            <w:tcBorders>
              <w:top w:val="nil"/>
              <w:left w:val="nil"/>
              <w:bottom w:val="nil"/>
              <w:right w:val="nil"/>
            </w:tcBorders>
            <w:shd w:val="clear" w:color="auto" w:fill="D9D9D9" w:themeFill="background1" w:themeFillShade="D9"/>
            <w:noWrap/>
            <w:vAlign w:val="bottom"/>
            <w:hideMark/>
          </w:tcPr>
          <w:p w14:paraId="12A83459"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3379</w:t>
            </w:r>
          </w:p>
        </w:tc>
        <w:tc>
          <w:tcPr>
            <w:tcW w:w="708" w:type="dxa"/>
            <w:tcBorders>
              <w:top w:val="nil"/>
              <w:left w:val="nil"/>
              <w:bottom w:val="nil"/>
              <w:right w:val="nil"/>
            </w:tcBorders>
            <w:shd w:val="clear" w:color="auto" w:fill="D9D9D9" w:themeFill="background1" w:themeFillShade="D9"/>
            <w:noWrap/>
            <w:vAlign w:val="bottom"/>
            <w:hideMark/>
          </w:tcPr>
          <w:p w14:paraId="59ED08A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58.4</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7571019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541/3160 (17.1)</w:t>
            </w:r>
          </w:p>
        </w:tc>
        <w:tc>
          <w:tcPr>
            <w:tcW w:w="1411" w:type="dxa"/>
            <w:tcBorders>
              <w:top w:val="nil"/>
              <w:left w:val="nil"/>
              <w:bottom w:val="nil"/>
              <w:right w:val="nil"/>
            </w:tcBorders>
            <w:shd w:val="clear" w:color="auto" w:fill="D9D9D9" w:themeFill="background1" w:themeFillShade="D9"/>
            <w:noWrap/>
            <w:vAlign w:val="bottom"/>
            <w:hideMark/>
          </w:tcPr>
          <w:p w14:paraId="0B562C43" w14:textId="1B203035"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 xml:space="preserve"> (0.42 - 0.59)</w:t>
            </w:r>
          </w:p>
        </w:tc>
        <w:tc>
          <w:tcPr>
            <w:tcW w:w="709" w:type="dxa"/>
            <w:tcBorders>
              <w:top w:val="nil"/>
              <w:left w:val="nil"/>
              <w:bottom w:val="nil"/>
              <w:right w:val="nil"/>
            </w:tcBorders>
            <w:shd w:val="clear" w:color="auto" w:fill="D9D9D9" w:themeFill="background1" w:themeFillShade="D9"/>
            <w:noWrap/>
            <w:vAlign w:val="bottom"/>
            <w:hideMark/>
          </w:tcPr>
          <w:p w14:paraId="03ECC15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auto" w:fill="D9D9D9" w:themeFill="background1" w:themeFillShade="D9"/>
            <w:noWrap/>
            <w:vAlign w:val="bottom"/>
            <w:hideMark/>
          </w:tcPr>
          <w:p w14:paraId="2CC0CBA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0.51 (0.43 - 0.61)</w:t>
            </w:r>
          </w:p>
        </w:tc>
        <w:tc>
          <w:tcPr>
            <w:tcW w:w="661" w:type="dxa"/>
            <w:tcBorders>
              <w:top w:val="nil"/>
              <w:left w:val="nil"/>
              <w:bottom w:val="nil"/>
              <w:right w:val="nil"/>
            </w:tcBorders>
            <w:shd w:val="clear" w:color="auto" w:fill="D9D9D9" w:themeFill="background1" w:themeFillShade="D9"/>
            <w:noWrap/>
            <w:vAlign w:val="bottom"/>
            <w:hideMark/>
          </w:tcPr>
          <w:p w14:paraId="7B521C0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180A78F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465/3236 (14.4)</w:t>
            </w:r>
          </w:p>
        </w:tc>
        <w:tc>
          <w:tcPr>
            <w:tcW w:w="1418" w:type="dxa"/>
            <w:tcBorders>
              <w:top w:val="nil"/>
              <w:left w:val="nil"/>
              <w:bottom w:val="nil"/>
              <w:right w:val="nil"/>
            </w:tcBorders>
            <w:shd w:val="clear" w:color="auto" w:fill="D9D9D9" w:themeFill="background1" w:themeFillShade="D9"/>
            <w:noWrap/>
            <w:vAlign w:val="bottom"/>
            <w:hideMark/>
          </w:tcPr>
          <w:p w14:paraId="64CF3A3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0.57 (0.48 - 0.69)</w:t>
            </w:r>
          </w:p>
        </w:tc>
        <w:tc>
          <w:tcPr>
            <w:tcW w:w="896" w:type="dxa"/>
            <w:tcBorders>
              <w:top w:val="nil"/>
              <w:left w:val="nil"/>
              <w:bottom w:val="nil"/>
              <w:right w:val="nil"/>
            </w:tcBorders>
            <w:shd w:val="clear" w:color="auto" w:fill="D9D9D9" w:themeFill="background1" w:themeFillShade="D9"/>
            <w:noWrap/>
            <w:vAlign w:val="bottom"/>
            <w:hideMark/>
          </w:tcPr>
          <w:p w14:paraId="7CF99A2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514" w:type="dxa"/>
            <w:tcBorders>
              <w:top w:val="nil"/>
              <w:left w:val="nil"/>
              <w:bottom w:val="nil"/>
              <w:right w:val="nil"/>
            </w:tcBorders>
            <w:shd w:val="clear" w:color="auto" w:fill="D9D9D9" w:themeFill="background1" w:themeFillShade="D9"/>
            <w:noWrap/>
            <w:vAlign w:val="bottom"/>
            <w:hideMark/>
          </w:tcPr>
          <w:p w14:paraId="0E9B0D1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0.58 (0.48 - 0.71)</w:t>
            </w:r>
          </w:p>
        </w:tc>
        <w:tc>
          <w:tcPr>
            <w:tcW w:w="661" w:type="dxa"/>
            <w:tcBorders>
              <w:top w:val="nil"/>
              <w:left w:val="nil"/>
              <w:bottom w:val="nil"/>
              <w:right w:val="nil"/>
            </w:tcBorders>
            <w:shd w:val="clear" w:color="auto" w:fill="D9D9D9" w:themeFill="background1" w:themeFillShade="D9"/>
            <w:noWrap/>
            <w:vAlign w:val="bottom"/>
            <w:hideMark/>
          </w:tcPr>
          <w:p w14:paraId="6D5276E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r>
      <w:tr w:rsidR="00B04B8E" w:rsidRPr="00642C7E" w14:paraId="0595AAC2"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78E6712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Missing</w:t>
            </w:r>
          </w:p>
        </w:tc>
        <w:tc>
          <w:tcPr>
            <w:tcW w:w="709" w:type="dxa"/>
            <w:tcBorders>
              <w:top w:val="nil"/>
              <w:left w:val="nil"/>
              <w:bottom w:val="nil"/>
              <w:right w:val="nil"/>
            </w:tcBorders>
            <w:shd w:val="clear" w:color="auto" w:fill="D9D9D9" w:themeFill="background1" w:themeFillShade="D9"/>
            <w:noWrap/>
            <w:vAlign w:val="bottom"/>
            <w:hideMark/>
          </w:tcPr>
          <w:p w14:paraId="3B8FF960"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w:t>
            </w:r>
          </w:p>
        </w:tc>
        <w:tc>
          <w:tcPr>
            <w:tcW w:w="708" w:type="dxa"/>
            <w:tcBorders>
              <w:top w:val="nil"/>
              <w:left w:val="nil"/>
              <w:bottom w:val="nil"/>
              <w:right w:val="nil"/>
            </w:tcBorders>
            <w:shd w:val="clear" w:color="auto" w:fill="D9D9D9" w:themeFill="background1" w:themeFillShade="D9"/>
            <w:noWrap/>
            <w:vAlign w:val="bottom"/>
            <w:hideMark/>
          </w:tcPr>
          <w:p w14:paraId="1D5EBCC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567DF80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D9D9D9" w:themeFill="background1" w:themeFillShade="D9"/>
            <w:noWrap/>
            <w:vAlign w:val="bottom"/>
            <w:hideMark/>
          </w:tcPr>
          <w:p w14:paraId="39A0686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D9D9D9" w:themeFill="background1" w:themeFillShade="D9"/>
            <w:noWrap/>
            <w:vAlign w:val="bottom"/>
            <w:hideMark/>
          </w:tcPr>
          <w:p w14:paraId="59D10A2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438088B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35098D9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4A8929F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0B1C330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D9D9D9" w:themeFill="background1" w:themeFillShade="D9"/>
            <w:noWrap/>
            <w:vAlign w:val="bottom"/>
            <w:hideMark/>
          </w:tcPr>
          <w:p w14:paraId="53DECA9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250EF96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4A8258C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4F7C54B" w14:textId="77777777" w:rsidTr="009062EA">
        <w:trPr>
          <w:trHeight w:val="57"/>
        </w:trPr>
        <w:tc>
          <w:tcPr>
            <w:tcW w:w="2552" w:type="dxa"/>
            <w:tcBorders>
              <w:top w:val="nil"/>
              <w:left w:val="nil"/>
              <w:bottom w:val="nil"/>
              <w:right w:val="nil"/>
            </w:tcBorders>
            <w:shd w:val="clear" w:color="000000" w:fill="FFFFFF"/>
            <w:noWrap/>
            <w:vAlign w:val="bottom"/>
            <w:hideMark/>
          </w:tcPr>
          <w:p w14:paraId="59C498B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Migrant</w:t>
            </w:r>
          </w:p>
        </w:tc>
        <w:tc>
          <w:tcPr>
            <w:tcW w:w="709" w:type="dxa"/>
            <w:tcBorders>
              <w:top w:val="nil"/>
              <w:left w:val="nil"/>
              <w:bottom w:val="nil"/>
              <w:right w:val="nil"/>
            </w:tcBorders>
            <w:shd w:val="clear" w:color="000000" w:fill="FFFFFF"/>
            <w:noWrap/>
            <w:vAlign w:val="bottom"/>
            <w:hideMark/>
          </w:tcPr>
          <w:p w14:paraId="66245057"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000000" w:fill="FFFFFF"/>
            <w:noWrap/>
            <w:vAlign w:val="bottom"/>
            <w:hideMark/>
          </w:tcPr>
          <w:p w14:paraId="1A2B16F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021CB0C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21B6EB8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01778CF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6266C8A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1C2D677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14E83F7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2CD87BC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08111AD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133FA7F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0C1C4E6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E6F76AD" w14:textId="77777777" w:rsidTr="009062EA">
        <w:trPr>
          <w:trHeight w:val="57"/>
        </w:trPr>
        <w:tc>
          <w:tcPr>
            <w:tcW w:w="2552" w:type="dxa"/>
            <w:tcBorders>
              <w:top w:val="nil"/>
              <w:left w:val="nil"/>
              <w:bottom w:val="nil"/>
              <w:right w:val="nil"/>
            </w:tcBorders>
            <w:shd w:val="clear" w:color="000000" w:fill="FFFFFF"/>
            <w:noWrap/>
            <w:vAlign w:val="bottom"/>
            <w:hideMark/>
          </w:tcPr>
          <w:p w14:paraId="205890D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709" w:type="dxa"/>
            <w:tcBorders>
              <w:top w:val="nil"/>
              <w:left w:val="nil"/>
              <w:bottom w:val="nil"/>
              <w:right w:val="nil"/>
            </w:tcBorders>
            <w:shd w:val="clear" w:color="000000" w:fill="FFFFFF"/>
            <w:noWrap/>
            <w:vAlign w:val="bottom"/>
            <w:hideMark/>
          </w:tcPr>
          <w:p w14:paraId="00BA0DC2"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4963</w:t>
            </w:r>
          </w:p>
        </w:tc>
        <w:tc>
          <w:tcPr>
            <w:tcW w:w="708" w:type="dxa"/>
            <w:tcBorders>
              <w:top w:val="nil"/>
              <w:left w:val="nil"/>
              <w:bottom w:val="nil"/>
              <w:right w:val="nil"/>
            </w:tcBorders>
            <w:shd w:val="clear" w:color="000000" w:fill="FFFFFF"/>
            <w:noWrap/>
            <w:vAlign w:val="bottom"/>
            <w:hideMark/>
          </w:tcPr>
          <w:p w14:paraId="7CAE8A0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86.4</w:t>
            </w:r>
          </w:p>
        </w:tc>
        <w:tc>
          <w:tcPr>
            <w:tcW w:w="1418" w:type="dxa"/>
            <w:tcBorders>
              <w:top w:val="nil"/>
              <w:left w:val="single" w:sz="4" w:space="0" w:color="auto"/>
              <w:bottom w:val="nil"/>
              <w:right w:val="nil"/>
            </w:tcBorders>
            <w:shd w:val="clear" w:color="000000" w:fill="FFFFFF"/>
            <w:noWrap/>
            <w:vAlign w:val="bottom"/>
            <w:hideMark/>
          </w:tcPr>
          <w:p w14:paraId="4EF2952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1013/4636 (21.9)</w:t>
            </w:r>
          </w:p>
        </w:tc>
        <w:tc>
          <w:tcPr>
            <w:tcW w:w="1411" w:type="dxa"/>
            <w:tcBorders>
              <w:top w:val="nil"/>
              <w:left w:val="nil"/>
              <w:bottom w:val="nil"/>
              <w:right w:val="nil"/>
            </w:tcBorders>
            <w:shd w:val="clear" w:color="000000" w:fill="FFFFFF"/>
            <w:noWrap/>
            <w:vAlign w:val="bottom"/>
            <w:hideMark/>
          </w:tcPr>
          <w:p w14:paraId="4B51A1CF" w14:textId="4EC09277"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000000" w:fill="FFFFFF"/>
            <w:noWrap/>
            <w:vAlign w:val="bottom"/>
            <w:hideMark/>
          </w:tcPr>
          <w:p w14:paraId="15B9607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03B655AE" w14:textId="0DEC8F8C"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05019A4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298853C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811/4750 (17.1)</w:t>
            </w:r>
          </w:p>
        </w:tc>
        <w:tc>
          <w:tcPr>
            <w:tcW w:w="1418" w:type="dxa"/>
            <w:tcBorders>
              <w:top w:val="nil"/>
              <w:left w:val="nil"/>
              <w:bottom w:val="nil"/>
              <w:right w:val="nil"/>
            </w:tcBorders>
            <w:shd w:val="clear" w:color="000000" w:fill="FFFFFF"/>
            <w:noWrap/>
            <w:vAlign w:val="bottom"/>
            <w:hideMark/>
          </w:tcPr>
          <w:p w14:paraId="6E021BA1" w14:textId="00987151"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000000" w:fill="FFFFFF"/>
            <w:noWrap/>
            <w:vAlign w:val="bottom"/>
            <w:hideMark/>
          </w:tcPr>
          <w:p w14:paraId="61EAEDB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0CAF6E6A" w14:textId="733FD164"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412B8A8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B5ACC0E" w14:textId="77777777" w:rsidTr="009062EA">
        <w:trPr>
          <w:trHeight w:val="57"/>
        </w:trPr>
        <w:tc>
          <w:tcPr>
            <w:tcW w:w="2552" w:type="dxa"/>
            <w:tcBorders>
              <w:top w:val="nil"/>
              <w:left w:val="nil"/>
              <w:bottom w:val="nil"/>
              <w:right w:val="nil"/>
            </w:tcBorders>
            <w:shd w:val="clear" w:color="000000" w:fill="FFFFFF"/>
            <w:noWrap/>
            <w:vAlign w:val="bottom"/>
            <w:hideMark/>
          </w:tcPr>
          <w:p w14:paraId="5528A5C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709" w:type="dxa"/>
            <w:tcBorders>
              <w:top w:val="nil"/>
              <w:left w:val="nil"/>
              <w:bottom w:val="nil"/>
              <w:right w:val="nil"/>
            </w:tcBorders>
            <w:shd w:val="clear" w:color="000000" w:fill="FFFFFF"/>
            <w:noWrap/>
            <w:vAlign w:val="bottom"/>
            <w:hideMark/>
          </w:tcPr>
          <w:p w14:paraId="136DE3AC"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779</w:t>
            </w:r>
          </w:p>
        </w:tc>
        <w:tc>
          <w:tcPr>
            <w:tcW w:w="708" w:type="dxa"/>
            <w:tcBorders>
              <w:top w:val="nil"/>
              <w:left w:val="nil"/>
              <w:bottom w:val="nil"/>
              <w:right w:val="nil"/>
            </w:tcBorders>
            <w:shd w:val="clear" w:color="000000" w:fill="FFFFFF"/>
            <w:noWrap/>
            <w:vAlign w:val="bottom"/>
            <w:hideMark/>
          </w:tcPr>
          <w:p w14:paraId="79C3FF6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13.6</w:t>
            </w:r>
          </w:p>
        </w:tc>
        <w:tc>
          <w:tcPr>
            <w:tcW w:w="1418" w:type="dxa"/>
            <w:tcBorders>
              <w:top w:val="nil"/>
              <w:left w:val="single" w:sz="4" w:space="0" w:color="auto"/>
              <w:bottom w:val="nil"/>
              <w:right w:val="nil"/>
            </w:tcBorders>
            <w:shd w:val="clear" w:color="000000" w:fill="FFFFFF"/>
            <w:noWrap/>
            <w:vAlign w:val="bottom"/>
            <w:hideMark/>
          </w:tcPr>
          <w:p w14:paraId="6F2AA61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132/726 (18.2)</w:t>
            </w:r>
          </w:p>
        </w:tc>
        <w:tc>
          <w:tcPr>
            <w:tcW w:w="1411" w:type="dxa"/>
            <w:tcBorders>
              <w:top w:val="nil"/>
              <w:left w:val="nil"/>
              <w:bottom w:val="nil"/>
              <w:right w:val="nil"/>
            </w:tcBorders>
            <w:shd w:val="clear" w:color="000000" w:fill="FFFFFF"/>
            <w:noWrap/>
            <w:vAlign w:val="bottom"/>
            <w:hideMark/>
          </w:tcPr>
          <w:p w14:paraId="523230F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0.79 (0.65 - 0.97)</w:t>
            </w:r>
          </w:p>
        </w:tc>
        <w:tc>
          <w:tcPr>
            <w:tcW w:w="709" w:type="dxa"/>
            <w:tcBorders>
              <w:top w:val="nil"/>
              <w:left w:val="nil"/>
              <w:bottom w:val="nil"/>
              <w:right w:val="nil"/>
            </w:tcBorders>
            <w:shd w:val="clear" w:color="000000" w:fill="FFFFFF"/>
            <w:noWrap/>
            <w:vAlign w:val="bottom"/>
            <w:hideMark/>
          </w:tcPr>
          <w:p w14:paraId="6A8E777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0.023</w:t>
            </w:r>
          </w:p>
        </w:tc>
        <w:tc>
          <w:tcPr>
            <w:tcW w:w="1418" w:type="dxa"/>
            <w:tcBorders>
              <w:top w:val="nil"/>
              <w:left w:val="nil"/>
              <w:bottom w:val="nil"/>
              <w:right w:val="nil"/>
            </w:tcBorders>
            <w:shd w:val="clear" w:color="000000" w:fill="FFFFFF"/>
            <w:noWrap/>
            <w:vAlign w:val="bottom"/>
            <w:hideMark/>
          </w:tcPr>
          <w:p w14:paraId="768AA98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0.85 (0.69 - 1.04)</w:t>
            </w:r>
          </w:p>
        </w:tc>
        <w:tc>
          <w:tcPr>
            <w:tcW w:w="661" w:type="dxa"/>
            <w:tcBorders>
              <w:top w:val="nil"/>
              <w:left w:val="nil"/>
              <w:bottom w:val="nil"/>
              <w:right w:val="nil"/>
            </w:tcBorders>
            <w:shd w:val="clear" w:color="000000" w:fill="FFFFFF"/>
            <w:noWrap/>
            <w:vAlign w:val="bottom"/>
            <w:hideMark/>
          </w:tcPr>
          <w:p w14:paraId="4095DBC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0.102</w:t>
            </w:r>
          </w:p>
        </w:tc>
        <w:tc>
          <w:tcPr>
            <w:tcW w:w="1701" w:type="dxa"/>
            <w:tcBorders>
              <w:top w:val="nil"/>
              <w:left w:val="single" w:sz="4" w:space="0" w:color="auto"/>
              <w:bottom w:val="nil"/>
              <w:right w:val="nil"/>
            </w:tcBorders>
            <w:shd w:val="clear" w:color="000000" w:fill="FFFFFF"/>
            <w:noWrap/>
            <w:vAlign w:val="bottom"/>
            <w:hideMark/>
          </w:tcPr>
          <w:p w14:paraId="501D75B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127/750 (16.9)</w:t>
            </w:r>
          </w:p>
        </w:tc>
        <w:tc>
          <w:tcPr>
            <w:tcW w:w="1418" w:type="dxa"/>
            <w:tcBorders>
              <w:top w:val="nil"/>
              <w:left w:val="nil"/>
              <w:bottom w:val="nil"/>
              <w:right w:val="nil"/>
            </w:tcBorders>
            <w:shd w:val="clear" w:color="000000" w:fill="FFFFFF"/>
            <w:noWrap/>
            <w:vAlign w:val="bottom"/>
            <w:hideMark/>
          </w:tcPr>
          <w:p w14:paraId="153A33E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0.99 (0.81 - 1.22)</w:t>
            </w:r>
          </w:p>
        </w:tc>
        <w:tc>
          <w:tcPr>
            <w:tcW w:w="896" w:type="dxa"/>
            <w:tcBorders>
              <w:top w:val="nil"/>
              <w:left w:val="nil"/>
              <w:bottom w:val="nil"/>
              <w:right w:val="nil"/>
            </w:tcBorders>
            <w:shd w:val="clear" w:color="000000" w:fill="FFFFFF"/>
            <w:noWrap/>
            <w:vAlign w:val="bottom"/>
            <w:hideMark/>
          </w:tcPr>
          <w:p w14:paraId="74E58B1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0.924</w:t>
            </w:r>
          </w:p>
        </w:tc>
        <w:tc>
          <w:tcPr>
            <w:tcW w:w="1514" w:type="dxa"/>
            <w:tcBorders>
              <w:top w:val="nil"/>
              <w:left w:val="nil"/>
              <w:bottom w:val="nil"/>
              <w:right w:val="nil"/>
            </w:tcBorders>
            <w:shd w:val="clear" w:color="000000" w:fill="FFFFFF"/>
            <w:noWrap/>
            <w:vAlign w:val="bottom"/>
            <w:hideMark/>
          </w:tcPr>
          <w:p w14:paraId="2514F1D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1.06 (0.86 - 1.31)</w:t>
            </w:r>
          </w:p>
        </w:tc>
        <w:tc>
          <w:tcPr>
            <w:tcW w:w="661" w:type="dxa"/>
            <w:tcBorders>
              <w:top w:val="nil"/>
              <w:left w:val="nil"/>
              <w:bottom w:val="nil"/>
              <w:right w:val="nil"/>
            </w:tcBorders>
            <w:shd w:val="clear" w:color="000000" w:fill="FFFFFF"/>
            <w:noWrap/>
            <w:vAlign w:val="bottom"/>
            <w:hideMark/>
          </w:tcPr>
          <w:p w14:paraId="2F8E262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0.571</w:t>
            </w:r>
          </w:p>
        </w:tc>
      </w:tr>
      <w:tr w:rsidR="00B04B8E" w:rsidRPr="00642C7E" w14:paraId="71EC39D4" w14:textId="77777777" w:rsidTr="009062EA">
        <w:trPr>
          <w:trHeight w:val="57"/>
        </w:trPr>
        <w:tc>
          <w:tcPr>
            <w:tcW w:w="2552" w:type="dxa"/>
            <w:tcBorders>
              <w:top w:val="nil"/>
              <w:left w:val="nil"/>
              <w:bottom w:val="nil"/>
              <w:right w:val="nil"/>
            </w:tcBorders>
            <w:shd w:val="clear" w:color="000000" w:fill="FFFFFF"/>
            <w:noWrap/>
            <w:vAlign w:val="bottom"/>
            <w:hideMark/>
          </w:tcPr>
          <w:p w14:paraId="65533B2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Missing</w:t>
            </w:r>
          </w:p>
        </w:tc>
        <w:tc>
          <w:tcPr>
            <w:tcW w:w="709" w:type="dxa"/>
            <w:tcBorders>
              <w:top w:val="nil"/>
              <w:left w:val="nil"/>
              <w:bottom w:val="nil"/>
              <w:right w:val="nil"/>
            </w:tcBorders>
            <w:shd w:val="clear" w:color="000000" w:fill="FFFFFF"/>
            <w:noWrap/>
            <w:vAlign w:val="bottom"/>
            <w:hideMark/>
          </w:tcPr>
          <w:p w14:paraId="45105F8B"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57</w:t>
            </w:r>
          </w:p>
        </w:tc>
        <w:tc>
          <w:tcPr>
            <w:tcW w:w="708" w:type="dxa"/>
            <w:tcBorders>
              <w:top w:val="nil"/>
              <w:left w:val="nil"/>
              <w:bottom w:val="nil"/>
              <w:right w:val="nil"/>
            </w:tcBorders>
            <w:shd w:val="clear" w:color="000000" w:fill="FFFFFF"/>
            <w:noWrap/>
            <w:vAlign w:val="bottom"/>
            <w:hideMark/>
          </w:tcPr>
          <w:p w14:paraId="202E295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25F3EFC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1A41851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5E9BDC9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1C6A2B6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3010D2A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106D691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50667CB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06CA4F2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1A4B04C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4B03F57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9030ECA"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0E73804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Income</w:t>
            </w:r>
          </w:p>
        </w:tc>
        <w:tc>
          <w:tcPr>
            <w:tcW w:w="709" w:type="dxa"/>
            <w:tcBorders>
              <w:top w:val="nil"/>
              <w:left w:val="nil"/>
              <w:bottom w:val="nil"/>
              <w:right w:val="nil"/>
            </w:tcBorders>
            <w:shd w:val="clear" w:color="auto" w:fill="D9D9D9" w:themeFill="background1" w:themeFillShade="D9"/>
            <w:noWrap/>
            <w:vAlign w:val="bottom"/>
            <w:hideMark/>
          </w:tcPr>
          <w:p w14:paraId="000D5D8B"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auto" w:fill="D9D9D9" w:themeFill="background1" w:themeFillShade="D9"/>
            <w:noWrap/>
            <w:vAlign w:val="bottom"/>
            <w:hideMark/>
          </w:tcPr>
          <w:p w14:paraId="1BCA5BF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3D37BF1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D9D9D9" w:themeFill="background1" w:themeFillShade="D9"/>
            <w:noWrap/>
            <w:vAlign w:val="bottom"/>
            <w:hideMark/>
          </w:tcPr>
          <w:p w14:paraId="1EABD0F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D9D9D9" w:themeFill="background1" w:themeFillShade="D9"/>
            <w:noWrap/>
            <w:vAlign w:val="bottom"/>
            <w:hideMark/>
          </w:tcPr>
          <w:p w14:paraId="407B8EB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5F1F8C5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585737A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24FFB46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00B9858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D9D9D9" w:themeFill="background1" w:themeFillShade="D9"/>
            <w:noWrap/>
            <w:vAlign w:val="bottom"/>
            <w:hideMark/>
          </w:tcPr>
          <w:p w14:paraId="6843596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7ACA102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34DA628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5C2658F6"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455B403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&lt;10,400</w:t>
            </w:r>
          </w:p>
        </w:tc>
        <w:tc>
          <w:tcPr>
            <w:tcW w:w="709" w:type="dxa"/>
            <w:tcBorders>
              <w:top w:val="nil"/>
              <w:left w:val="nil"/>
              <w:bottom w:val="nil"/>
              <w:right w:val="nil"/>
            </w:tcBorders>
            <w:shd w:val="clear" w:color="auto" w:fill="D9D9D9" w:themeFill="background1" w:themeFillShade="D9"/>
            <w:noWrap/>
            <w:vAlign w:val="bottom"/>
            <w:hideMark/>
          </w:tcPr>
          <w:p w14:paraId="58BC2A5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1327</w:t>
            </w:r>
          </w:p>
        </w:tc>
        <w:tc>
          <w:tcPr>
            <w:tcW w:w="708" w:type="dxa"/>
            <w:tcBorders>
              <w:top w:val="nil"/>
              <w:left w:val="nil"/>
              <w:bottom w:val="nil"/>
              <w:right w:val="nil"/>
            </w:tcBorders>
            <w:shd w:val="clear" w:color="auto" w:fill="D9D9D9" w:themeFill="background1" w:themeFillShade="D9"/>
            <w:noWrap/>
            <w:vAlign w:val="bottom"/>
            <w:hideMark/>
          </w:tcPr>
          <w:p w14:paraId="45B2398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23.2</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6156DB8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426/1244 (34.2)</w:t>
            </w:r>
          </w:p>
        </w:tc>
        <w:tc>
          <w:tcPr>
            <w:tcW w:w="1411" w:type="dxa"/>
            <w:tcBorders>
              <w:top w:val="nil"/>
              <w:left w:val="nil"/>
              <w:bottom w:val="nil"/>
              <w:right w:val="nil"/>
            </w:tcBorders>
            <w:shd w:val="clear" w:color="auto" w:fill="D9D9D9" w:themeFill="background1" w:themeFillShade="D9"/>
            <w:noWrap/>
            <w:vAlign w:val="bottom"/>
            <w:hideMark/>
          </w:tcPr>
          <w:p w14:paraId="5C305C79" w14:textId="4CBFB313"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auto" w:fill="D9D9D9" w:themeFill="background1" w:themeFillShade="D9"/>
            <w:noWrap/>
            <w:vAlign w:val="bottom"/>
            <w:hideMark/>
          </w:tcPr>
          <w:p w14:paraId="4658820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4C80E184" w14:textId="074C1C76"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07586DC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6678498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334/1274 (26.2)</w:t>
            </w:r>
          </w:p>
        </w:tc>
        <w:tc>
          <w:tcPr>
            <w:tcW w:w="1418" w:type="dxa"/>
            <w:tcBorders>
              <w:top w:val="nil"/>
              <w:left w:val="nil"/>
              <w:bottom w:val="nil"/>
              <w:right w:val="nil"/>
            </w:tcBorders>
            <w:shd w:val="clear" w:color="auto" w:fill="D9D9D9" w:themeFill="background1" w:themeFillShade="D9"/>
            <w:noWrap/>
            <w:vAlign w:val="bottom"/>
            <w:hideMark/>
          </w:tcPr>
          <w:p w14:paraId="2FAA9365" w14:textId="7250E688"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auto" w:fill="D9D9D9" w:themeFill="background1" w:themeFillShade="D9"/>
            <w:noWrap/>
            <w:vAlign w:val="bottom"/>
            <w:hideMark/>
          </w:tcPr>
          <w:p w14:paraId="3DE5561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2225A13B" w14:textId="24A8E8DE"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18A7103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667B9786"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462FB1A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10,400-18,199</w:t>
            </w:r>
          </w:p>
        </w:tc>
        <w:tc>
          <w:tcPr>
            <w:tcW w:w="709" w:type="dxa"/>
            <w:tcBorders>
              <w:top w:val="nil"/>
              <w:left w:val="nil"/>
              <w:bottom w:val="nil"/>
              <w:right w:val="nil"/>
            </w:tcBorders>
            <w:shd w:val="clear" w:color="auto" w:fill="D9D9D9" w:themeFill="background1" w:themeFillShade="D9"/>
            <w:noWrap/>
            <w:vAlign w:val="bottom"/>
            <w:hideMark/>
          </w:tcPr>
          <w:p w14:paraId="2EC031A9"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924</w:t>
            </w:r>
          </w:p>
        </w:tc>
        <w:tc>
          <w:tcPr>
            <w:tcW w:w="708" w:type="dxa"/>
            <w:tcBorders>
              <w:top w:val="nil"/>
              <w:left w:val="nil"/>
              <w:bottom w:val="nil"/>
              <w:right w:val="nil"/>
            </w:tcBorders>
            <w:shd w:val="clear" w:color="auto" w:fill="D9D9D9" w:themeFill="background1" w:themeFillShade="D9"/>
            <w:noWrap/>
            <w:vAlign w:val="bottom"/>
            <w:hideMark/>
          </w:tcPr>
          <w:p w14:paraId="1E3DE4E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16.2</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4782665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216/868 (24.9)</w:t>
            </w:r>
          </w:p>
        </w:tc>
        <w:tc>
          <w:tcPr>
            <w:tcW w:w="1411" w:type="dxa"/>
            <w:tcBorders>
              <w:top w:val="nil"/>
              <w:left w:val="nil"/>
              <w:bottom w:val="nil"/>
              <w:right w:val="nil"/>
            </w:tcBorders>
            <w:shd w:val="clear" w:color="auto" w:fill="D9D9D9" w:themeFill="background1" w:themeFillShade="D9"/>
            <w:noWrap/>
            <w:vAlign w:val="bottom"/>
            <w:hideMark/>
          </w:tcPr>
          <w:p w14:paraId="709C6F2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0.64 (0.52 - 0.77)</w:t>
            </w:r>
          </w:p>
        </w:tc>
        <w:tc>
          <w:tcPr>
            <w:tcW w:w="709" w:type="dxa"/>
            <w:tcBorders>
              <w:top w:val="nil"/>
              <w:left w:val="nil"/>
              <w:bottom w:val="nil"/>
              <w:right w:val="nil"/>
            </w:tcBorders>
            <w:shd w:val="clear" w:color="auto" w:fill="D9D9D9" w:themeFill="background1" w:themeFillShade="D9"/>
            <w:noWrap/>
            <w:vAlign w:val="bottom"/>
            <w:hideMark/>
          </w:tcPr>
          <w:p w14:paraId="3C60B4F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650BF99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0.67 (0.54 - 0.82)</w:t>
            </w:r>
          </w:p>
        </w:tc>
        <w:tc>
          <w:tcPr>
            <w:tcW w:w="661" w:type="dxa"/>
            <w:tcBorders>
              <w:top w:val="nil"/>
              <w:left w:val="nil"/>
              <w:bottom w:val="nil"/>
              <w:right w:val="nil"/>
            </w:tcBorders>
            <w:shd w:val="clear" w:color="auto" w:fill="D9D9D9" w:themeFill="background1" w:themeFillShade="D9"/>
            <w:noWrap/>
            <w:vAlign w:val="bottom"/>
            <w:hideMark/>
          </w:tcPr>
          <w:p w14:paraId="1773121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3489B5F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171/888 (19.3)</w:t>
            </w:r>
          </w:p>
        </w:tc>
        <w:tc>
          <w:tcPr>
            <w:tcW w:w="1418" w:type="dxa"/>
            <w:tcBorders>
              <w:top w:val="nil"/>
              <w:left w:val="nil"/>
              <w:bottom w:val="nil"/>
              <w:right w:val="nil"/>
            </w:tcBorders>
            <w:shd w:val="clear" w:color="auto" w:fill="D9D9D9" w:themeFill="background1" w:themeFillShade="D9"/>
            <w:noWrap/>
            <w:vAlign w:val="bottom"/>
            <w:hideMark/>
          </w:tcPr>
          <w:p w14:paraId="2217057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0.67 (0.54 - 0.83)</w:t>
            </w:r>
          </w:p>
        </w:tc>
        <w:tc>
          <w:tcPr>
            <w:tcW w:w="896" w:type="dxa"/>
            <w:tcBorders>
              <w:top w:val="nil"/>
              <w:left w:val="nil"/>
              <w:bottom w:val="nil"/>
              <w:right w:val="nil"/>
            </w:tcBorders>
            <w:shd w:val="clear" w:color="auto" w:fill="D9D9D9" w:themeFill="background1" w:themeFillShade="D9"/>
            <w:noWrap/>
            <w:vAlign w:val="bottom"/>
            <w:hideMark/>
          </w:tcPr>
          <w:p w14:paraId="6838C72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653CC363" w14:textId="234EC5F1"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0.72 (0.58 - 0.9</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auto" w:fill="D9D9D9" w:themeFill="background1" w:themeFillShade="D9"/>
            <w:noWrap/>
            <w:vAlign w:val="bottom"/>
            <w:hideMark/>
          </w:tcPr>
          <w:p w14:paraId="67208AD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B09FE71"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2E70D0B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18,200-31,199</w:t>
            </w:r>
          </w:p>
        </w:tc>
        <w:tc>
          <w:tcPr>
            <w:tcW w:w="709" w:type="dxa"/>
            <w:tcBorders>
              <w:top w:val="nil"/>
              <w:left w:val="nil"/>
              <w:bottom w:val="nil"/>
              <w:right w:val="nil"/>
            </w:tcBorders>
            <w:shd w:val="clear" w:color="auto" w:fill="D9D9D9" w:themeFill="background1" w:themeFillShade="D9"/>
            <w:noWrap/>
            <w:vAlign w:val="bottom"/>
            <w:hideMark/>
          </w:tcPr>
          <w:p w14:paraId="3903B893"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1525</w:t>
            </w:r>
          </w:p>
        </w:tc>
        <w:tc>
          <w:tcPr>
            <w:tcW w:w="708" w:type="dxa"/>
            <w:tcBorders>
              <w:top w:val="nil"/>
              <w:left w:val="nil"/>
              <w:bottom w:val="nil"/>
              <w:right w:val="nil"/>
            </w:tcBorders>
            <w:shd w:val="clear" w:color="auto" w:fill="D9D9D9" w:themeFill="background1" w:themeFillShade="D9"/>
            <w:noWrap/>
            <w:vAlign w:val="bottom"/>
            <w:hideMark/>
          </w:tcPr>
          <w:p w14:paraId="5ECCACC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26.7</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6D0E26A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258/1421 (18.2)</w:t>
            </w:r>
          </w:p>
        </w:tc>
        <w:tc>
          <w:tcPr>
            <w:tcW w:w="1411" w:type="dxa"/>
            <w:tcBorders>
              <w:top w:val="nil"/>
              <w:left w:val="nil"/>
              <w:bottom w:val="nil"/>
              <w:right w:val="nil"/>
            </w:tcBorders>
            <w:shd w:val="clear" w:color="auto" w:fill="D9D9D9" w:themeFill="background1" w:themeFillShade="D9"/>
            <w:noWrap/>
            <w:vAlign w:val="bottom"/>
            <w:hideMark/>
          </w:tcPr>
          <w:p w14:paraId="52EE1AB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0.43 (0.36 - 0.51)</w:t>
            </w:r>
          </w:p>
        </w:tc>
        <w:tc>
          <w:tcPr>
            <w:tcW w:w="709" w:type="dxa"/>
            <w:tcBorders>
              <w:top w:val="nil"/>
              <w:left w:val="nil"/>
              <w:bottom w:val="nil"/>
              <w:right w:val="nil"/>
            </w:tcBorders>
            <w:shd w:val="clear" w:color="auto" w:fill="D9D9D9" w:themeFill="background1" w:themeFillShade="D9"/>
            <w:noWrap/>
            <w:vAlign w:val="bottom"/>
            <w:hideMark/>
          </w:tcPr>
          <w:p w14:paraId="1383483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2E76B4E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0.46 (0.38 - 0.56)</w:t>
            </w:r>
          </w:p>
        </w:tc>
        <w:tc>
          <w:tcPr>
            <w:tcW w:w="661" w:type="dxa"/>
            <w:tcBorders>
              <w:top w:val="nil"/>
              <w:left w:val="nil"/>
              <w:bottom w:val="nil"/>
              <w:right w:val="nil"/>
            </w:tcBorders>
            <w:shd w:val="clear" w:color="auto" w:fill="D9D9D9" w:themeFill="background1" w:themeFillShade="D9"/>
            <w:noWrap/>
            <w:vAlign w:val="bottom"/>
            <w:hideMark/>
          </w:tcPr>
          <w:p w14:paraId="1B0802D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1D6135D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228/1464 (15.6)</w:t>
            </w:r>
          </w:p>
        </w:tc>
        <w:tc>
          <w:tcPr>
            <w:tcW w:w="1418" w:type="dxa"/>
            <w:tcBorders>
              <w:top w:val="nil"/>
              <w:left w:val="nil"/>
              <w:bottom w:val="nil"/>
              <w:right w:val="nil"/>
            </w:tcBorders>
            <w:shd w:val="clear" w:color="auto" w:fill="D9D9D9" w:themeFill="background1" w:themeFillShade="D9"/>
            <w:noWrap/>
            <w:vAlign w:val="bottom"/>
            <w:hideMark/>
          </w:tcPr>
          <w:p w14:paraId="355C37A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0.52 (0.43 - 0.63)</w:t>
            </w:r>
          </w:p>
        </w:tc>
        <w:tc>
          <w:tcPr>
            <w:tcW w:w="896" w:type="dxa"/>
            <w:tcBorders>
              <w:top w:val="nil"/>
              <w:left w:val="nil"/>
              <w:bottom w:val="nil"/>
              <w:right w:val="nil"/>
            </w:tcBorders>
            <w:shd w:val="clear" w:color="auto" w:fill="D9D9D9" w:themeFill="background1" w:themeFillShade="D9"/>
            <w:noWrap/>
            <w:vAlign w:val="bottom"/>
            <w:hideMark/>
          </w:tcPr>
          <w:p w14:paraId="2DCED4E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72C9C12F" w14:textId="200C6D58"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0.57 (0.46 - 0.7</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auto" w:fill="D9D9D9" w:themeFill="background1" w:themeFillShade="D9"/>
            <w:noWrap/>
            <w:vAlign w:val="bottom"/>
            <w:hideMark/>
          </w:tcPr>
          <w:p w14:paraId="4105152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D152464"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49731D8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31,200-46,799</w:t>
            </w:r>
          </w:p>
        </w:tc>
        <w:tc>
          <w:tcPr>
            <w:tcW w:w="709" w:type="dxa"/>
            <w:tcBorders>
              <w:top w:val="nil"/>
              <w:left w:val="nil"/>
              <w:bottom w:val="nil"/>
              <w:right w:val="nil"/>
            </w:tcBorders>
            <w:shd w:val="clear" w:color="auto" w:fill="D9D9D9" w:themeFill="background1" w:themeFillShade="D9"/>
            <w:noWrap/>
            <w:vAlign w:val="bottom"/>
            <w:hideMark/>
          </w:tcPr>
          <w:p w14:paraId="603F996E"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964</w:t>
            </w:r>
          </w:p>
        </w:tc>
        <w:tc>
          <w:tcPr>
            <w:tcW w:w="708" w:type="dxa"/>
            <w:tcBorders>
              <w:top w:val="nil"/>
              <w:left w:val="nil"/>
              <w:bottom w:val="nil"/>
              <w:right w:val="nil"/>
            </w:tcBorders>
            <w:shd w:val="clear" w:color="auto" w:fill="D9D9D9" w:themeFill="background1" w:themeFillShade="D9"/>
            <w:noWrap/>
            <w:vAlign w:val="bottom"/>
            <w:hideMark/>
          </w:tcPr>
          <w:p w14:paraId="02EDFA5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7EA8915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124/902 (13.7)</w:t>
            </w:r>
          </w:p>
        </w:tc>
        <w:tc>
          <w:tcPr>
            <w:tcW w:w="1411" w:type="dxa"/>
            <w:tcBorders>
              <w:top w:val="nil"/>
              <w:left w:val="nil"/>
              <w:bottom w:val="nil"/>
              <w:right w:val="nil"/>
            </w:tcBorders>
            <w:shd w:val="clear" w:color="auto" w:fill="D9D9D9" w:themeFill="background1" w:themeFillShade="D9"/>
            <w:noWrap/>
            <w:vAlign w:val="bottom"/>
            <w:hideMark/>
          </w:tcPr>
          <w:p w14:paraId="23DDE03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0.31 (0.24 - 0.38)</w:t>
            </w:r>
          </w:p>
        </w:tc>
        <w:tc>
          <w:tcPr>
            <w:tcW w:w="709" w:type="dxa"/>
            <w:tcBorders>
              <w:top w:val="nil"/>
              <w:left w:val="nil"/>
              <w:bottom w:val="nil"/>
              <w:right w:val="nil"/>
            </w:tcBorders>
            <w:shd w:val="clear" w:color="auto" w:fill="D9D9D9" w:themeFill="background1" w:themeFillShade="D9"/>
            <w:noWrap/>
            <w:vAlign w:val="bottom"/>
            <w:hideMark/>
          </w:tcPr>
          <w:p w14:paraId="11EEEAA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15ACF89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0.36 (0.28 - 0.46)</w:t>
            </w:r>
          </w:p>
        </w:tc>
        <w:tc>
          <w:tcPr>
            <w:tcW w:w="661" w:type="dxa"/>
            <w:tcBorders>
              <w:top w:val="nil"/>
              <w:left w:val="nil"/>
              <w:bottom w:val="nil"/>
              <w:right w:val="nil"/>
            </w:tcBorders>
            <w:shd w:val="clear" w:color="auto" w:fill="D9D9D9" w:themeFill="background1" w:themeFillShade="D9"/>
            <w:noWrap/>
            <w:vAlign w:val="bottom"/>
            <w:hideMark/>
          </w:tcPr>
          <w:p w14:paraId="27CA60C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19EE64B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118/922 (12.8)</w:t>
            </w:r>
          </w:p>
        </w:tc>
        <w:tc>
          <w:tcPr>
            <w:tcW w:w="1418" w:type="dxa"/>
            <w:tcBorders>
              <w:top w:val="nil"/>
              <w:left w:val="nil"/>
              <w:bottom w:val="nil"/>
              <w:right w:val="nil"/>
            </w:tcBorders>
            <w:shd w:val="clear" w:color="auto" w:fill="D9D9D9" w:themeFill="background1" w:themeFillShade="D9"/>
            <w:noWrap/>
            <w:vAlign w:val="bottom"/>
            <w:hideMark/>
          </w:tcPr>
          <w:p w14:paraId="6999A3F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0.41 (0.33 - 0.52)</w:t>
            </w:r>
          </w:p>
        </w:tc>
        <w:tc>
          <w:tcPr>
            <w:tcW w:w="896" w:type="dxa"/>
            <w:tcBorders>
              <w:top w:val="nil"/>
              <w:left w:val="nil"/>
              <w:bottom w:val="nil"/>
              <w:right w:val="nil"/>
            </w:tcBorders>
            <w:shd w:val="clear" w:color="auto" w:fill="D9D9D9" w:themeFill="background1" w:themeFillShade="D9"/>
            <w:noWrap/>
            <w:vAlign w:val="bottom"/>
            <w:hideMark/>
          </w:tcPr>
          <w:p w14:paraId="4633B6A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48F438C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0.48 (0.37 - 0.63)</w:t>
            </w:r>
          </w:p>
        </w:tc>
        <w:tc>
          <w:tcPr>
            <w:tcW w:w="661" w:type="dxa"/>
            <w:tcBorders>
              <w:top w:val="nil"/>
              <w:left w:val="nil"/>
              <w:bottom w:val="nil"/>
              <w:right w:val="nil"/>
            </w:tcBorders>
            <w:shd w:val="clear" w:color="auto" w:fill="D9D9D9" w:themeFill="background1" w:themeFillShade="D9"/>
            <w:noWrap/>
            <w:vAlign w:val="bottom"/>
            <w:hideMark/>
          </w:tcPr>
          <w:p w14:paraId="5C32348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28747AA"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7F21B68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46,800+</w:t>
            </w:r>
          </w:p>
        </w:tc>
        <w:tc>
          <w:tcPr>
            <w:tcW w:w="709" w:type="dxa"/>
            <w:tcBorders>
              <w:top w:val="nil"/>
              <w:left w:val="nil"/>
              <w:bottom w:val="nil"/>
              <w:right w:val="nil"/>
            </w:tcBorders>
            <w:shd w:val="clear" w:color="auto" w:fill="D9D9D9" w:themeFill="background1" w:themeFillShade="D9"/>
            <w:noWrap/>
            <w:vAlign w:val="bottom"/>
            <w:hideMark/>
          </w:tcPr>
          <w:p w14:paraId="4B64BE66"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968</w:t>
            </w:r>
          </w:p>
        </w:tc>
        <w:tc>
          <w:tcPr>
            <w:tcW w:w="708" w:type="dxa"/>
            <w:tcBorders>
              <w:top w:val="nil"/>
              <w:left w:val="nil"/>
              <w:bottom w:val="nil"/>
              <w:right w:val="nil"/>
            </w:tcBorders>
            <w:shd w:val="clear" w:color="auto" w:fill="D9D9D9" w:themeFill="background1" w:themeFillShade="D9"/>
            <w:noWrap/>
            <w:vAlign w:val="bottom"/>
            <w:hideMark/>
          </w:tcPr>
          <w:p w14:paraId="72E9290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17</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75D86A9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106/903 (11.7)</w:t>
            </w:r>
          </w:p>
        </w:tc>
        <w:tc>
          <w:tcPr>
            <w:tcW w:w="1411" w:type="dxa"/>
            <w:tcBorders>
              <w:top w:val="nil"/>
              <w:left w:val="nil"/>
              <w:bottom w:val="nil"/>
              <w:right w:val="nil"/>
            </w:tcBorders>
            <w:shd w:val="clear" w:color="auto" w:fill="D9D9D9" w:themeFill="background1" w:themeFillShade="D9"/>
            <w:noWrap/>
            <w:vAlign w:val="bottom"/>
            <w:hideMark/>
          </w:tcPr>
          <w:p w14:paraId="0A7E8D7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0.26 (0.2 - 0.32)</w:t>
            </w:r>
          </w:p>
        </w:tc>
        <w:tc>
          <w:tcPr>
            <w:tcW w:w="709" w:type="dxa"/>
            <w:tcBorders>
              <w:top w:val="nil"/>
              <w:left w:val="nil"/>
              <w:bottom w:val="nil"/>
              <w:right w:val="nil"/>
            </w:tcBorders>
            <w:shd w:val="clear" w:color="auto" w:fill="D9D9D9" w:themeFill="background1" w:themeFillShade="D9"/>
            <w:noWrap/>
            <w:vAlign w:val="bottom"/>
            <w:hideMark/>
          </w:tcPr>
          <w:p w14:paraId="3405908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auto" w:fill="D9D9D9" w:themeFill="background1" w:themeFillShade="D9"/>
            <w:noWrap/>
            <w:vAlign w:val="bottom"/>
            <w:hideMark/>
          </w:tcPr>
          <w:p w14:paraId="5487634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0.33 (0.25 - 0.43)</w:t>
            </w:r>
          </w:p>
        </w:tc>
        <w:tc>
          <w:tcPr>
            <w:tcW w:w="661" w:type="dxa"/>
            <w:tcBorders>
              <w:top w:val="nil"/>
              <w:left w:val="nil"/>
              <w:bottom w:val="nil"/>
              <w:right w:val="nil"/>
            </w:tcBorders>
            <w:shd w:val="clear" w:color="auto" w:fill="D9D9D9" w:themeFill="background1" w:themeFillShade="D9"/>
            <w:noWrap/>
            <w:vAlign w:val="bottom"/>
            <w:hideMark/>
          </w:tcPr>
          <w:p w14:paraId="68F7ECB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0A40E72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76/926 (8.2)</w:t>
            </w:r>
          </w:p>
        </w:tc>
        <w:tc>
          <w:tcPr>
            <w:tcW w:w="1418" w:type="dxa"/>
            <w:tcBorders>
              <w:top w:val="nil"/>
              <w:left w:val="nil"/>
              <w:bottom w:val="nil"/>
              <w:right w:val="nil"/>
            </w:tcBorders>
            <w:shd w:val="clear" w:color="auto" w:fill="D9D9D9" w:themeFill="background1" w:themeFillShade="D9"/>
            <w:noWrap/>
            <w:vAlign w:val="bottom"/>
            <w:hideMark/>
          </w:tcPr>
          <w:p w14:paraId="76EF646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0.25 (0.19 - 0.33)</w:t>
            </w:r>
          </w:p>
        </w:tc>
        <w:tc>
          <w:tcPr>
            <w:tcW w:w="896" w:type="dxa"/>
            <w:tcBorders>
              <w:top w:val="nil"/>
              <w:left w:val="nil"/>
              <w:bottom w:val="nil"/>
              <w:right w:val="nil"/>
            </w:tcBorders>
            <w:shd w:val="clear" w:color="auto" w:fill="D9D9D9" w:themeFill="background1" w:themeFillShade="D9"/>
            <w:noWrap/>
            <w:vAlign w:val="bottom"/>
            <w:hideMark/>
          </w:tcPr>
          <w:p w14:paraId="58EBC2F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514" w:type="dxa"/>
            <w:tcBorders>
              <w:top w:val="nil"/>
              <w:left w:val="nil"/>
              <w:bottom w:val="nil"/>
              <w:right w:val="nil"/>
            </w:tcBorders>
            <w:shd w:val="clear" w:color="auto" w:fill="D9D9D9" w:themeFill="background1" w:themeFillShade="D9"/>
            <w:noWrap/>
            <w:vAlign w:val="bottom"/>
            <w:hideMark/>
          </w:tcPr>
          <w:p w14:paraId="67A29DB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0.31 (0.23 - 0.42)</w:t>
            </w:r>
          </w:p>
        </w:tc>
        <w:tc>
          <w:tcPr>
            <w:tcW w:w="661" w:type="dxa"/>
            <w:tcBorders>
              <w:top w:val="nil"/>
              <w:left w:val="nil"/>
              <w:bottom w:val="nil"/>
              <w:right w:val="nil"/>
            </w:tcBorders>
            <w:shd w:val="clear" w:color="auto" w:fill="D9D9D9" w:themeFill="background1" w:themeFillShade="D9"/>
            <w:noWrap/>
            <w:vAlign w:val="bottom"/>
            <w:hideMark/>
          </w:tcPr>
          <w:p w14:paraId="648A8E7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r>
      <w:tr w:rsidR="00B04B8E" w:rsidRPr="00642C7E" w14:paraId="744C088A"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0AD50A9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Missing</w:t>
            </w:r>
          </w:p>
        </w:tc>
        <w:tc>
          <w:tcPr>
            <w:tcW w:w="709" w:type="dxa"/>
            <w:tcBorders>
              <w:top w:val="nil"/>
              <w:left w:val="nil"/>
              <w:bottom w:val="nil"/>
              <w:right w:val="nil"/>
            </w:tcBorders>
            <w:shd w:val="clear" w:color="auto" w:fill="D9D9D9" w:themeFill="background1" w:themeFillShade="D9"/>
            <w:noWrap/>
            <w:vAlign w:val="bottom"/>
            <w:hideMark/>
          </w:tcPr>
          <w:p w14:paraId="2A0427C9"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91</w:t>
            </w:r>
          </w:p>
        </w:tc>
        <w:tc>
          <w:tcPr>
            <w:tcW w:w="708" w:type="dxa"/>
            <w:tcBorders>
              <w:top w:val="nil"/>
              <w:left w:val="nil"/>
              <w:bottom w:val="nil"/>
              <w:right w:val="nil"/>
            </w:tcBorders>
            <w:shd w:val="clear" w:color="auto" w:fill="D9D9D9" w:themeFill="background1" w:themeFillShade="D9"/>
            <w:noWrap/>
            <w:vAlign w:val="bottom"/>
            <w:hideMark/>
          </w:tcPr>
          <w:p w14:paraId="7C77173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7FC1B67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D9D9D9" w:themeFill="background1" w:themeFillShade="D9"/>
            <w:noWrap/>
            <w:vAlign w:val="bottom"/>
            <w:hideMark/>
          </w:tcPr>
          <w:p w14:paraId="4581392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D9D9D9" w:themeFill="background1" w:themeFillShade="D9"/>
            <w:noWrap/>
            <w:vAlign w:val="bottom"/>
            <w:hideMark/>
          </w:tcPr>
          <w:p w14:paraId="097ABC9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44A135B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7796469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5B1E963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3F74F4E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D9D9D9" w:themeFill="background1" w:themeFillShade="D9"/>
            <w:noWrap/>
            <w:vAlign w:val="bottom"/>
            <w:hideMark/>
          </w:tcPr>
          <w:p w14:paraId="04E300C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13A0BB9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184A452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64474F22" w14:textId="77777777" w:rsidTr="009062EA">
        <w:trPr>
          <w:trHeight w:val="57"/>
        </w:trPr>
        <w:tc>
          <w:tcPr>
            <w:tcW w:w="2552" w:type="dxa"/>
            <w:tcBorders>
              <w:top w:val="nil"/>
              <w:left w:val="nil"/>
              <w:bottom w:val="nil"/>
              <w:right w:val="nil"/>
            </w:tcBorders>
            <w:shd w:val="clear" w:color="000000" w:fill="FFFFFF"/>
            <w:noWrap/>
            <w:vAlign w:val="bottom"/>
            <w:hideMark/>
          </w:tcPr>
          <w:p w14:paraId="23F07D6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Household situation</w:t>
            </w:r>
          </w:p>
        </w:tc>
        <w:tc>
          <w:tcPr>
            <w:tcW w:w="709" w:type="dxa"/>
            <w:tcBorders>
              <w:top w:val="nil"/>
              <w:left w:val="nil"/>
              <w:bottom w:val="nil"/>
              <w:right w:val="nil"/>
            </w:tcBorders>
            <w:shd w:val="clear" w:color="000000" w:fill="FFFFFF"/>
            <w:noWrap/>
            <w:vAlign w:val="bottom"/>
            <w:hideMark/>
          </w:tcPr>
          <w:p w14:paraId="5C06FE21"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000000" w:fill="FFFFFF"/>
            <w:noWrap/>
            <w:vAlign w:val="bottom"/>
            <w:hideMark/>
          </w:tcPr>
          <w:p w14:paraId="1350168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027DDB8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315C1F7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362EF18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41F4400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524915A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58D14C1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7061CC3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72E3AE4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23A2777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2ACF0D8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732495B" w14:textId="77777777" w:rsidTr="009062EA">
        <w:trPr>
          <w:trHeight w:val="57"/>
        </w:trPr>
        <w:tc>
          <w:tcPr>
            <w:tcW w:w="2552" w:type="dxa"/>
            <w:tcBorders>
              <w:top w:val="nil"/>
              <w:left w:val="nil"/>
              <w:bottom w:val="nil"/>
              <w:right w:val="nil"/>
            </w:tcBorders>
            <w:shd w:val="clear" w:color="000000" w:fill="FFFFFF"/>
            <w:noWrap/>
            <w:vAlign w:val="bottom"/>
            <w:hideMark/>
          </w:tcPr>
          <w:p w14:paraId="1EB3A9B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Live alone</w:t>
            </w:r>
          </w:p>
        </w:tc>
        <w:tc>
          <w:tcPr>
            <w:tcW w:w="709" w:type="dxa"/>
            <w:tcBorders>
              <w:top w:val="nil"/>
              <w:left w:val="nil"/>
              <w:bottom w:val="nil"/>
              <w:right w:val="nil"/>
            </w:tcBorders>
            <w:shd w:val="clear" w:color="000000" w:fill="FFFFFF"/>
            <w:noWrap/>
            <w:vAlign w:val="bottom"/>
            <w:hideMark/>
          </w:tcPr>
          <w:p w14:paraId="6D8192B6"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1448</w:t>
            </w:r>
          </w:p>
        </w:tc>
        <w:tc>
          <w:tcPr>
            <w:tcW w:w="708" w:type="dxa"/>
            <w:tcBorders>
              <w:top w:val="nil"/>
              <w:left w:val="nil"/>
              <w:bottom w:val="nil"/>
              <w:right w:val="nil"/>
            </w:tcBorders>
            <w:shd w:val="clear" w:color="000000" w:fill="FFFFFF"/>
            <w:noWrap/>
            <w:vAlign w:val="bottom"/>
            <w:hideMark/>
          </w:tcPr>
          <w:p w14:paraId="1EE63EC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25.1</w:t>
            </w:r>
          </w:p>
        </w:tc>
        <w:tc>
          <w:tcPr>
            <w:tcW w:w="1418" w:type="dxa"/>
            <w:tcBorders>
              <w:top w:val="nil"/>
              <w:left w:val="single" w:sz="4" w:space="0" w:color="auto"/>
              <w:bottom w:val="nil"/>
              <w:right w:val="nil"/>
            </w:tcBorders>
            <w:shd w:val="clear" w:color="000000" w:fill="FFFFFF"/>
            <w:noWrap/>
            <w:vAlign w:val="bottom"/>
            <w:hideMark/>
          </w:tcPr>
          <w:p w14:paraId="020389C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318/1344 (23.7)</w:t>
            </w:r>
          </w:p>
        </w:tc>
        <w:tc>
          <w:tcPr>
            <w:tcW w:w="1411" w:type="dxa"/>
            <w:tcBorders>
              <w:top w:val="nil"/>
              <w:left w:val="nil"/>
              <w:bottom w:val="nil"/>
              <w:right w:val="nil"/>
            </w:tcBorders>
            <w:shd w:val="clear" w:color="000000" w:fill="FFFFFF"/>
            <w:noWrap/>
            <w:vAlign w:val="bottom"/>
            <w:hideMark/>
          </w:tcPr>
          <w:p w14:paraId="5CCA3CB6" w14:textId="7145C38E"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000000" w:fill="FFFFFF"/>
            <w:noWrap/>
            <w:vAlign w:val="bottom"/>
            <w:hideMark/>
          </w:tcPr>
          <w:p w14:paraId="5587F7A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5C346A81" w14:textId="2765CBE7"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61E6B07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6A0D1B7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238/1392 (17.1)</w:t>
            </w:r>
          </w:p>
        </w:tc>
        <w:tc>
          <w:tcPr>
            <w:tcW w:w="1418" w:type="dxa"/>
            <w:tcBorders>
              <w:top w:val="nil"/>
              <w:left w:val="nil"/>
              <w:bottom w:val="nil"/>
              <w:right w:val="nil"/>
            </w:tcBorders>
            <w:shd w:val="clear" w:color="000000" w:fill="FFFFFF"/>
            <w:noWrap/>
            <w:vAlign w:val="bottom"/>
            <w:hideMark/>
          </w:tcPr>
          <w:p w14:paraId="13E2F088" w14:textId="7EFA510E"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000000" w:fill="FFFFFF"/>
            <w:noWrap/>
            <w:vAlign w:val="bottom"/>
            <w:hideMark/>
          </w:tcPr>
          <w:p w14:paraId="04325E8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1B60778C" w14:textId="64048011"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000000" w:fill="FFFFFF"/>
            <w:noWrap/>
            <w:vAlign w:val="bottom"/>
            <w:hideMark/>
          </w:tcPr>
          <w:p w14:paraId="5ED6F2E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2D3A64B7" w14:textId="77777777" w:rsidTr="009062EA">
        <w:trPr>
          <w:trHeight w:val="57"/>
        </w:trPr>
        <w:tc>
          <w:tcPr>
            <w:tcW w:w="2552" w:type="dxa"/>
            <w:tcBorders>
              <w:top w:val="nil"/>
              <w:left w:val="nil"/>
              <w:bottom w:val="nil"/>
              <w:right w:val="nil"/>
            </w:tcBorders>
            <w:shd w:val="clear" w:color="000000" w:fill="FFFFFF"/>
            <w:noWrap/>
            <w:vAlign w:val="bottom"/>
            <w:hideMark/>
          </w:tcPr>
          <w:p w14:paraId="5F353167" w14:textId="5DB1C415" w:rsidR="00B04B8E" w:rsidRPr="00642C7E" w:rsidRDefault="00BB395A" w:rsidP="00BB395A">
            <w:pPr>
              <w:spacing w:after="0" w:line="240" w:lineRule="auto"/>
              <w:contextualSpacing/>
              <w:jc w:val="right"/>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Cohabits,</w:t>
            </w:r>
            <w:r w:rsidR="00B04B8E" w:rsidRPr="00642C7E">
              <w:rPr>
                <w:rFonts w:ascii="Calibri" w:eastAsia="Times New Roman" w:hAnsi="Calibri" w:cs="Times New Roman"/>
                <w:color w:val="000000"/>
                <w:sz w:val="16"/>
                <w:szCs w:val="16"/>
                <w:lang w:eastAsia="en-GB"/>
              </w:rPr>
              <w:t xml:space="preserve"> male partner</w:t>
            </w:r>
          </w:p>
        </w:tc>
        <w:tc>
          <w:tcPr>
            <w:tcW w:w="709" w:type="dxa"/>
            <w:tcBorders>
              <w:top w:val="nil"/>
              <w:left w:val="nil"/>
              <w:bottom w:val="nil"/>
              <w:right w:val="nil"/>
            </w:tcBorders>
            <w:shd w:val="clear" w:color="000000" w:fill="FFFFFF"/>
            <w:noWrap/>
            <w:vAlign w:val="bottom"/>
            <w:hideMark/>
          </w:tcPr>
          <w:p w14:paraId="16B51450"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2068</w:t>
            </w:r>
          </w:p>
        </w:tc>
        <w:tc>
          <w:tcPr>
            <w:tcW w:w="708" w:type="dxa"/>
            <w:tcBorders>
              <w:top w:val="nil"/>
              <w:left w:val="nil"/>
              <w:bottom w:val="nil"/>
              <w:right w:val="nil"/>
            </w:tcBorders>
            <w:shd w:val="clear" w:color="000000" w:fill="FFFFFF"/>
            <w:noWrap/>
            <w:vAlign w:val="bottom"/>
            <w:hideMark/>
          </w:tcPr>
          <w:p w14:paraId="3BD8F70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35.8</w:t>
            </w:r>
          </w:p>
        </w:tc>
        <w:tc>
          <w:tcPr>
            <w:tcW w:w="1418" w:type="dxa"/>
            <w:tcBorders>
              <w:top w:val="nil"/>
              <w:left w:val="single" w:sz="4" w:space="0" w:color="auto"/>
              <w:bottom w:val="nil"/>
              <w:right w:val="nil"/>
            </w:tcBorders>
            <w:shd w:val="clear" w:color="000000" w:fill="FFFFFF"/>
            <w:noWrap/>
            <w:vAlign w:val="bottom"/>
            <w:hideMark/>
          </w:tcPr>
          <w:p w14:paraId="0D88FF8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268/1924 (13.9)</w:t>
            </w:r>
          </w:p>
        </w:tc>
        <w:tc>
          <w:tcPr>
            <w:tcW w:w="1411" w:type="dxa"/>
            <w:tcBorders>
              <w:top w:val="nil"/>
              <w:left w:val="nil"/>
              <w:bottom w:val="nil"/>
              <w:right w:val="nil"/>
            </w:tcBorders>
            <w:shd w:val="clear" w:color="000000" w:fill="FFFFFF"/>
            <w:noWrap/>
            <w:vAlign w:val="bottom"/>
            <w:hideMark/>
          </w:tcPr>
          <w:p w14:paraId="5BC0159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0.52 (0.44 - 0.63)</w:t>
            </w:r>
          </w:p>
        </w:tc>
        <w:tc>
          <w:tcPr>
            <w:tcW w:w="709" w:type="dxa"/>
            <w:tcBorders>
              <w:top w:val="nil"/>
              <w:left w:val="nil"/>
              <w:bottom w:val="nil"/>
              <w:right w:val="nil"/>
            </w:tcBorders>
            <w:shd w:val="clear" w:color="000000" w:fill="FFFFFF"/>
            <w:noWrap/>
            <w:vAlign w:val="bottom"/>
            <w:hideMark/>
          </w:tcPr>
          <w:p w14:paraId="730A28F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67D33C89" w14:textId="274AB173"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0.5</w:t>
            </w:r>
            <w:r w:rsidR="002A4738">
              <w:rPr>
                <w:rFonts w:ascii="Calibri" w:eastAsia="Times New Roman" w:hAnsi="Calibri" w:cs="Times New Roman"/>
                <w:color w:val="000000"/>
                <w:sz w:val="16"/>
                <w:szCs w:val="16"/>
                <w:lang w:eastAsia="en-GB"/>
              </w:rPr>
              <w:t>2</w:t>
            </w:r>
            <w:r w:rsidRPr="00642C7E">
              <w:rPr>
                <w:rFonts w:ascii="Calibri" w:eastAsia="Times New Roman" w:hAnsi="Calibri" w:cs="Times New Roman"/>
                <w:color w:val="000000"/>
                <w:sz w:val="16"/>
                <w:szCs w:val="16"/>
                <w:lang w:eastAsia="en-GB"/>
              </w:rPr>
              <w:t xml:space="preserve"> (0.4</w:t>
            </w:r>
            <w:r w:rsidR="002A4738">
              <w:rPr>
                <w:rFonts w:ascii="Calibri" w:eastAsia="Times New Roman" w:hAnsi="Calibri" w:cs="Times New Roman"/>
                <w:color w:val="000000"/>
                <w:sz w:val="16"/>
                <w:szCs w:val="16"/>
                <w:lang w:eastAsia="en-GB"/>
              </w:rPr>
              <w:t>3</w:t>
            </w:r>
            <w:r w:rsidRPr="00642C7E">
              <w:rPr>
                <w:rFonts w:ascii="Calibri" w:eastAsia="Times New Roman" w:hAnsi="Calibri" w:cs="Times New Roman"/>
                <w:color w:val="000000"/>
                <w:sz w:val="16"/>
                <w:szCs w:val="16"/>
                <w:lang w:eastAsia="en-GB"/>
              </w:rPr>
              <w:t xml:space="preserve"> - 0.6</w:t>
            </w:r>
            <w:r w:rsidR="002A4738">
              <w:rPr>
                <w:rFonts w:ascii="Calibri" w:eastAsia="Times New Roman" w:hAnsi="Calibri" w:cs="Times New Roman"/>
                <w:color w:val="000000"/>
                <w:sz w:val="16"/>
                <w:szCs w:val="16"/>
                <w:lang w:eastAsia="en-GB"/>
              </w:rPr>
              <w:t>2</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000000" w:fill="FFFFFF"/>
            <w:noWrap/>
            <w:vAlign w:val="bottom"/>
            <w:hideMark/>
          </w:tcPr>
          <w:p w14:paraId="2DC650A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2C11CED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262/1974 (13.3)</w:t>
            </w:r>
          </w:p>
        </w:tc>
        <w:tc>
          <w:tcPr>
            <w:tcW w:w="1418" w:type="dxa"/>
            <w:tcBorders>
              <w:top w:val="nil"/>
              <w:left w:val="nil"/>
              <w:bottom w:val="nil"/>
              <w:right w:val="nil"/>
            </w:tcBorders>
            <w:shd w:val="clear" w:color="000000" w:fill="FFFFFF"/>
            <w:noWrap/>
            <w:vAlign w:val="bottom"/>
            <w:hideMark/>
          </w:tcPr>
          <w:p w14:paraId="42381D3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0.74 (0.61 - 0.9)</w:t>
            </w:r>
          </w:p>
        </w:tc>
        <w:tc>
          <w:tcPr>
            <w:tcW w:w="896" w:type="dxa"/>
            <w:tcBorders>
              <w:top w:val="nil"/>
              <w:left w:val="nil"/>
              <w:bottom w:val="nil"/>
              <w:right w:val="nil"/>
            </w:tcBorders>
            <w:shd w:val="clear" w:color="000000" w:fill="FFFFFF"/>
            <w:noWrap/>
            <w:vAlign w:val="bottom"/>
            <w:hideMark/>
          </w:tcPr>
          <w:p w14:paraId="7DC49E8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7B0307BE" w14:textId="77864099"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w:t>
            </w:r>
            <w:r w:rsidR="002A4738">
              <w:rPr>
                <w:rFonts w:ascii="Calibri" w:eastAsia="Times New Roman" w:hAnsi="Calibri" w:cs="Times New Roman"/>
                <w:color w:val="000000"/>
                <w:sz w:val="16"/>
                <w:szCs w:val="16"/>
                <w:lang w:eastAsia="en-GB"/>
              </w:rPr>
              <w:t>4</w:t>
            </w:r>
            <w:r w:rsidRPr="00642C7E">
              <w:rPr>
                <w:rFonts w:ascii="Calibri" w:eastAsia="Times New Roman" w:hAnsi="Calibri" w:cs="Times New Roman"/>
                <w:color w:val="000000"/>
                <w:sz w:val="16"/>
                <w:szCs w:val="16"/>
                <w:lang w:eastAsia="en-GB"/>
              </w:rPr>
              <w:t xml:space="preserve"> (0.6</w:t>
            </w:r>
            <w:r w:rsidR="002A4738">
              <w:rPr>
                <w:rFonts w:ascii="Calibri" w:eastAsia="Times New Roman" w:hAnsi="Calibri" w:cs="Times New Roman"/>
                <w:color w:val="000000"/>
                <w:sz w:val="16"/>
                <w:szCs w:val="16"/>
                <w:lang w:eastAsia="en-GB"/>
              </w:rPr>
              <w:t>1</w:t>
            </w:r>
            <w:r w:rsidRPr="00642C7E">
              <w:rPr>
                <w:rFonts w:ascii="Calibri" w:eastAsia="Times New Roman" w:hAnsi="Calibri" w:cs="Times New Roman"/>
                <w:color w:val="000000"/>
                <w:sz w:val="16"/>
                <w:szCs w:val="16"/>
                <w:lang w:eastAsia="en-GB"/>
              </w:rPr>
              <w:t xml:space="preserve"> - 0.9</w:t>
            </w:r>
            <w:r w:rsidR="002A4738">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000000" w:fill="FFFFFF"/>
            <w:noWrap/>
            <w:vAlign w:val="bottom"/>
            <w:hideMark/>
          </w:tcPr>
          <w:p w14:paraId="3E4D0EB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495CF5CD" w14:textId="77777777" w:rsidTr="009062EA">
        <w:trPr>
          <w:trHeight w:val="57"/>
        </w:trPr>
        <w:tc>
          <w:tcPr>
            <w:tcW w:w="2552" w:type="dxa"/>
            <w:tcBorders>
              <w:top w:val="nil"/>
              <w:left w:val="nil"/>
              <w:bottom w:val="nil"/>
              <w:right w:val="nil"/>
            </w:tcBorders>
            <w:shd w:val="clear" w:color="000000" w:fill="FFFFFF"/>
            <w:noWrap/>
            <w:vAlign w:val="bottom"/>
            <w:hideMark/>
          </w:tcPr>
          <w:p w14:paraId="343678FA" w14:textId="572499BF" w:rsidR="00B04B8E" w:rsidRPr="00642C7E" w:rsidRDefault="00BB395A" w:rsidP="00BB395A">
            <w:pPr>
              <w:spacing w:after="0" w:line="240" w:lineRule="auto"/>
              <w:contextualSpacing/>
              <w:jc w:val="right"/>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Cohabits, not</w:t>
            </w:r>
            <w:r w:rsidR="00B04B8E" w:rsidRPr="00642C7E">
              <w:rPr>
                <w:rFonts w:ascii="Calibri" w:eastAsia="Times New Roman" w:hAnsi="Calibri" w:cs="Times New Roman"/>
                <w:color w:val="000000"/>
                <w:sz w:val="16"/>
                <w:szCs w:val="16"/>
                <w:lang w:eastAsia="en-GB"/>
              </w:rPr>
              <w:t xml:space="preserve"> male partner</w:t>
            </w:r>
          </w:p>
        </w:tc>
        <w:tc>
          <w:tcPr>
            <w:tcW w:w="709" w:type="dxa"/>
            <w:tcBorders>
              <w:top w:val="nil"/>
              <w:left w:val="nil"/>
              <w:bottom w:val="nil"/>
              <w:right w:val="nil"/>
            </w:tcBorders>
            <w:shd w:val="clear" w:color="000000" w:fill="FFFFFF"/>
            <w:noWrap/>
            <w:vAlign w:val="bottom"/>
            <w:hideMark/>
          </w:tcPr>
          <w:p w14:paraId="28CBE703"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2263</w:t>
            </w:r>
          </w:p>
        </w:tc>
        <w:tc>
          <w:tcPr>
            <w:tcW w:w="708" w:type="dxa"/>
            <w:tcBorders>
              <w:top w:val="nil"/>
              <w:left w:val="nil"/>
              <w:bottom w:val="nil"/>
              <w:right w:val="nil"/>
            </w:tcBorders>
            <w:shd w:val="clear" w:color="000000" w:fill="FFFFFF"/>
            <w:noWrap/>
            <w:vAlign w:val="bottom"/>
            <w:hideMark/>
          </w:tcPr>
          <w:p w14:paraId="316A2FE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39.1</w:t>
            </w:r>
          </w:p>
        </w:tc>
        <w:tc>
          <w:tcPr>
            <w:tcW w:w="1418" w:type="dxa"/>
            <w:tcBorders>
              <w:top w:val="nil"/>
              <w:left w:val="single" w:sz="4" w:space="0" w:color="auto"/>
              <w:bottom w:val="nil"/>
              <w:right w:val="nil"/>
            </w:tcBorders>
            <w:shd w:val="clear" w:color="000000" w:fill="FFFFFF"/>
            <w:noWrap/>
            <w:vAlign w:val="bottom"/>
            <w:hideMark/>
          </w:tcPr>
          <w:p w14:paraId="51BCE4F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568/2130 (26.7)</w:t>
            </w:r>
          </w:p>
        </w:tc>
        <w:tc>
          <w:tcPr>
            <w:tcW w:w="1411" w:type="dxa"/>
            <w:tcBorders>
              <w:top w:val="nil"/>
              <w:left w:val="nil"/>
              <w:bottom w:val="nil"/>
              <w:right w:val="nil"/>
            </w:tcBorders>
            <w:shd w:val="clear" w:color="000000" w:fill="FFFFFF"/>
            <w:noWrap/>
            <w:vAlign w:val="bottom"/>
            <w:hideMark/>
          </w:tcPr>
          <w:p w14:paraId="56A8EA7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1.17 (1 - 1.37)</w:t>
            </w:r>
          </w:p>
        </w:tc>
        <w:tc>
          <w:tcPr>
            <w:tcW w:w="709" w:type="dxa"/>
            <w:tcBorders>
              <w:top w:val="nil"/>
              <w:left w:val="nil"/>
              <w:bottom w:val="nil"/>
              <w:right w:val="nil"/>
            </w:tcBorders>
            <w:shd w:val="clear" w:color="000000" w:fill="FFFFFF"/>
            <w:noWrap/>
            <w:vAlign w:val="bottom"/>
            <w:hideMark/>
          </w:tcPr>
          <w:p w14:paraId="2936BD8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000000" w:fill="FFFFFF"/>
            <w:noWrap/>
            <w:vAlign w:val="bottom"/>
            <w:hideMark/>
          </w:tcPr>
          <w:p w14:paraId="3412B585" w14:textId="7FBC5CB4"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w:t>
            </w:r>
            <w:r w:rsidR="002A4738">
              <w:rPr>
                <w:rFonts w:ascii="Calibri" w:eastAsia="Times New Roman" w:hAnsi="Calibri" w:cs="Times New Roman"/>
                <w:color w:val="000000"/>
                <w:sz w:val="16"/>
                <w:szCs w:val="16"/>
                <w:lang w:eastAsia="en-GB"/>
              </w:rPr>
              <w:t>7</w:t>
            </w:r>
            <w:r w:rsidRPr="00642C7E">
              <w:rPr>
                <w:rFonts w:ascii="Calibri" w:eastAsia="Times New Roman" w:hAnsi="Calibri" w:cs="Times New Roman"/>
                <w:color w:val="000000"/>
                <w:sz w:val="16"/>
                <w:szCs w:val="16"/>
                <w:lang w:eastAsia="en-GB"/>
              </w:rPr>
              <w:t xml:space="preserve"> (0.7</w:t>
            </w:r>
            <w:r w:rsidR="002A4738">
              <w:rPr>
                <w:rFonts w:ascii="Calibri" w:eastAsia="Times New Roman" w:hAnsi="Calibri" w:cs="Times New Roman"/>
                <w:color w:val="000000"/>
                <w:sz w:val="16"/>
                <w:szCs w:val="16"/>
                <w:lang w:eastAsia="en-GB"/>
              </w:rPr>
              <w:t>3</w:t>
            </w:r>
            <w:r w:rsidRPr="00642C7E">
              <w:rPr>
                <w:rFonts w:ascii="Calibri" w:eastAsia="Times New Roman" w:hAnsi="Calibri" w:cs="Times New Roman"/>
                <w:color w:val="000000"/>
                <w:sz w:val="16"/>
                <w:szCs w:val="16"/>
                <w:lang w:eastAsia="en-GB"/>
              </w:rPr>
              <w:t xml:space="preserve"> - 1.0</w:t>
            </w:r>
            <w:r w:rsidR="002A4738">
              <w:rPr>
                <w:rFonts w:ascii="Calibri" w:eastAsia="Times New Roman" w:hAnsi="Calibri" w:cs="Times New Roman"/>
                <w:color w:val="000000"/>
                <w:sz w:val="16"/>
                <w:szCs w:val="16"/>
                <w:lang w:eastAsia="en-GB"/>
              </w:rPr>
              <w:t>5</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000000" w:fill="FFFFFF"/>
            <w:noWrap/>
            <w:vAlign w:val="bottom"/>
            <w:hideMark/>
          </w:tcPr>
          <w:p w14:paraId="4CCA8D5A"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701" w:type="dxa"/>
            <w:tcBorders>
              <w:top w:val="nil"/>
              <w:left w:val="single" w:sz="4" w:space="0" w:color="auto"/>
              <w:bottom w:val="nil"/>
              <w:right w:val="nil"/>
            </w:tcBorders>
            <w:shd w:val="clear" w:color="000000" w:fill="FFFFFF"/>
            <w:noWrap/>
            <w:vAlign w:val="bottom"/>
            <w:hideMark/>
          </w:tcPr>
          <w:p w14:paraId="119D8DF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446/2170 (20.6)</w:t>
            </w:r>
          </w:p>
        </w:tc>
        <w:tc>
          <w:tcPr>
            <w:tcW w:w="1418" w:type="dxa"/>
            <w:tcBorders>
              <w:top w:val="nil"/>
              <w:left w:val="nil"/>
              <w:bottom w:val="nil"/>
              <w:right w:val="nil"/>
            </w:tcBorders>
            <w:shd w:val="clear" w:color="000000" w:fill="FFFFFF"/>
            <w:noWrap/>
            <w:vAlign w:val="bottom"/>
            <w:hideMark/>
          </w:tcPr>
          <w:p w14:paraId="645BEF2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1.25 (1.05 - 1.49)</w:t>
            </w:r>
          </w:p>
        </w:tc>
        <w:tc>
          <w:tcPr>
            <w:tcW w:w="896" w:type="dxa"/>
            <w:tcBorders>
              <w:top w:val="nil"/>
              <w:left w:val="nil"/>
              <w:bottom w:val="nil"/>
              <w:right w:val="nil"/>
            </w:tcBorders>
            <w:shd w:val="clear" w:color="000000" w:fill="FFFFFF"/>
            <w:noWrap/>
            <w:vAlign w:val="bottom"/>
            <w:hideMark/>
          </w:tcPr>
          <w:p w14:paraId="35F2B4B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514" w:type="dxa"/>
            <w:tcBorders>
              <w:top w:val="nil"/>
              <w:left w:val="nil"/>
              <w:bottom w:val="nil"/>
              <w:right w:val="nil"/>
            </w:tcBorders>
            <w:shd w:val="clear" w:color="000000" w:fill="FFFFFF"/>
            <w:noWrap/>
            <w:vAlign w:val="bottom"/>
            <w:hideMark/>
          </w:tcPr>
          <w:p w14:paraId="3B0C7D05" w14:textId="56F1DD9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0.9</w:t>
            </w:r>
            <w:r w:rsidR="00893C4E">
              <w:rPr>
                <w:rFonts w:ascii="Calibri" w:eastAsia="Times New Roman" w:hAnsi="Calibri" w:cs="Times New Roman"/>
                <w:color w:val="000000"/>
                <w:sz w:val="16"/>
                <w:szCs w:val="16"/>
                <w:lang w:eastAsia="en-GB"/>
              </w:rPr>
              <w:t>1</w:t>
            </w:r>
            <w:r w:rsidRPr="00642C7E">
              <w:rPr>
                <w:rFonts w:ascii="Calibri" w:eastAsia="Times New Roman" w:hAnsi="Calibri" w:cs="Times New Roman"/>
                <w:color w:val="000000"/>
                <w:sz w:val="16"/>
                <w:szCs w:val="16"/>
                <w:lang w:eastAsia="en-GB"/>
              </w:rPr>
              <w:t xml:space="preserve"> (0.7</w:t>
            </w:r>
            <w:r w:rsidR="00893C4E">
              <w:rPr>
                <w:rFonts w:ascii="Calibri" w:eastAsia="Times New Roman" w:hAnsi="Calibri" w:cs="Times New Roman"/>
                <w:color w:val="000000"/>
                <w:sz w:val="16"/>
                <w:szCs w:val="16"/>
                <w:lang w:eastAsia="en-GB"/>
              </w:rPr>
              <w:t>5</w:t>
            </w:r>
            <w:r w:rsidRPr="00642C7E">
              <w:rPr>
                <w:rFonts w:ascii="Calibri" w:eastAsia="Times New Roman" w:hAnsi="Calibri" w:cs="Times New Roman"/>
                <w:color w:val="000000"/>
                <w:sz w:val="16"/>
                <w:szCs w:val="16"/>
                <w:lang w:eastAsia="en-GB"/>
              </w:rPr>
              <w:t xml:space="preserve"> - 1.1</w:t>
            </w:r>
            <w:r w:rsidR="00893C4E">
              <w:rPr>
                <w:rFonts w:ascii="Calibri" w:eastAsia="Times New Roman" w:hAnsi="Calibri" w:cs="Times New Roman"/>
                <w:color w:val="000000"/>
                <w:sz w:val="16"/>
                <w:szCs w:val="16"/>
                <w:lang w:eastAsia="en-GB"/>
              </w:rPr>
              <w:t>2</w:t>
            </w:r>
            <w:r w:rsidRPr="00642C7E">
              <w:rPr>
                <w:rFonts w:ascii="Calibri" w:eastAsia="Times New Roman" w:hAnsi="Calibri" w:cs="Times New Roman"/>
                <w:color w:val="000000"/>
                <w:sz w:val="16"/>
                <w:szCs w:val="16"/>
                <w:lang w:eastAsia="en-GB"/>
              </w:rPr>
              <w:t>)</w:t>
            </w:r>
          </w:p>
        </w:tc>
        <w:tc>
          <w:tcPr>
            <w:tcW w:w="661" w:type="dxa"/>
            <w:tcBorders>
              <w:top w:val="nil"/>
              <w:left w:val="nil"/>
              <w:bottom w:val="nil"/>
              <w:right w:val="nil"/>
            </w:tcBorders>
            <w:shd w:val="clear" w:color="000000" w:fill="FFFFFF"/>
            <w:noWrap/>
            <w:vAlign w:val="bottom"/>
            <w:hideMark/>
          </w:tcPr>
          <w:p w14:paraId="6924F1CB" w14:textId="17CECC9D"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0.00</w:t>
            </w:r>
            <w:r w:rsidR="002A4738">
              <w:rPr>
                <w:rFonts w:ascii="Calibri" w:eastAsia="Times New Roman" w:hAnsi="Calibri" w:cs="Times New Roman"/>
                <w:color w:val="000000"/>
                <w:sz w:val="16"/>
                <w:szCs w:val="16"/>
                <w:lang w:eastAsia="en-GB"/>
              </w:rPr>
              <w:t>5</w:t>
            </w:r>
          </w:p>
        </w:tc>
      </w:tr>
      <w:tr w:rsidR="00B04B8E" w:rsidRPr="00642C7E" w14:paraId="7854E0D4" w14:textId="77777777" w:rsidTr="009062EA">
        <w:trPr>
          <w:trHeight w:val="57"/>
        </w:trPr>
        <w:tc>
          <w:tcPr>
            <w:tcW w:w="2552" w:type="dxa"/>
            <w:tcBorders>
              <w:top w:val="nil"/>
              <w:left w:val="nil"/>
              <w:bottom w:val="nil"/>
              <w:right w:val="nil"/>
            </w:tcBorders>
            <w:shd w:val="clear" w:color="000000" w:fill="FFFFFF"/>
            <w:noWrap/>
            <w:vAlign w:val="bottom"/>
            <w:hideMark/>
          </w:tcPr>
          <w:p w14:paraId="0E4E996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Missing</w:t>
            </w:r>
          </w:p>
        </w:tc>
        <w:tc>
          <w:tcPr>
            <w:tcW w:w="709" w:type="dxa"/>
            <w:tcBorders>
              <w:top w:val="nil"/>
              <w:left w:val="nil"/>
              <w:bottom w:val="nil"/>
              <w:right w:val="nil"/>
            </w:tcBorders>
            <w:shd w:val="clear" w:color="000000" w:fill="FFFFFF"/>
            <w:noWrap/>
            <w:vAlign w:val="bottom"/>
            <w:hideMark/>
          </w:tcPr>
          <w:p w14:paraId="785F0B41"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w:t>
            </w:r>
          </w:p>
        </w:tc>
        <w:tc>
          <w:tcPr>
            <w:tcW w:w="708" w:type="dxa"/>
            <w:tcBorders>
              <w:top w:val="nil"/>
              <w:left w:val="nil"/>
              <w:bottom w:val="nil"/>
              <w:right w:val="nil"/>
            </w:tcBorders>
            <w:shd w:val="clear" w:color="000000" w:fill="FFFFFF"/>
            <w:noWrap/>
            <w:vAlign w:val="bottom"/>
            <w:hideMark/>
          </w:tcPr>
          <w:p w14:paraId="713FC7D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36E1FCB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16A9A7B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0593F52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183041D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0E5BA8A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6D62FC8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097F387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70A5EA4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281A40E0"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12378E2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3636708D"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6B42187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Lives in London</w:t>
            </w:r>
          </w:p>
        </w:tc>
        <w:tc>
          <w:tcPr>
            <w:tcW w:w="709" w:type="dxa"/>
            <w:tcBorders>
              <w:top w:val="nil"/>
              <w:left w:val="nil"/>
              <w:bottom w:val="nil"/>
              <w:right w:val="nil"/>
            </w:tcBorders>
            <w:shd w:val="clear" w:color="auto" w:fill="D9D9D9" w:themeFill="background1" w:themeFillShade="D9"/>
            <w:noWrap/>
            <w:vAlign w:val="bottom"/>
            <w:hideMark/>
          </w:tcPr>
          <w:p w14:paraId="61B1FD13"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auto" w:fill="D9D9D9" w:themeFill="background1" w:themeFillShade="D9"/>
            <w:noWrap/>
            <w:vAlign w:val="bottom"/>
            <w:hideMark/>
          </w:tcPr>
          <w:p w14:paraId="0446AC6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264FBCF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D9D9D9" w:themeFill="background1" w:themeFillShade="D9"/>
            <w:noWrap/>
            <w:vAlign w:val="bottom"/>
            <w:hideMark/>
          </w:tcPr>
          <w:p w14:paraId="5C11EEC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D9D9D9" w:themeFill="background1" w:themeFillShade="D9"/>
            <w:noWrap/>
            <w:vAlign w:val="bottom"/>
            <w:hideMark/>
          </w:tcPr>
          <w:p w14:paraId="3702435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6CDDAAB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0EEBB12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02F74018"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62628AE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D9D9D9" w:themeFill="background1" w:themeFillShade="D9"/>
            <w:noWrap/>
            <w:vAlign w:val="bottom"/>
            <w:hideMark/>
          </w:tcPr>
          <w:p w14:paraId="79784E0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175698F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D9D9D9" w:themeFill="background1" w:themeFillShade="D9"/>
            <w:noWrap/>
            <w:vAlign w:val="bottom"/>
            <w:hideMark/>
          </w:tcPr>
          <w:p w14:paraId="70382D8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0DF1200A"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61889E2C"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709" w:type="dxa"/>
            <w:tcBorders>
              <w:top w:val="nil"/>
              <w:left w:val="nil"/>
              <w:bottom w:val="nil"/>
              <w:right w:val="nil"/>
            </w:tcBorders>
            <w:shd w:val="clear" w:color="auto" w:fill="D9D9D9" w:themeFill="background1" w:themeFillShade="D9"/>
            <w:noWrap/>
            <w:vAlign w:val="bottom"/>
            <w:hideMark/>
          </w:tcPr>
          <w:p w14:paraId="5128ECBA"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3796</w:t>
            </w:r>
          </w:p>
        </w:tc>
        <w:tc>
          <w:tcPr>
            <w:tcW w:w="708" w:type="dxa"/>
            <w:tcBorders>
              <w:top w:val="nil"/>
              <w:left w:val="nil"/>
              <w:bottom w:val="nil"/>
              <w:right w:val="nil"/>
            </w:tcBorders>
            <w:shd w:val="clear" w:color="auto" w:fill="D9D9D9" w:themeFill="background1" w:themeFillShade="D9"/>
            <w:noWrap/>
            <w:vAlign w:val="bottom"/>
            <w:hideMark/>
          </w:tcPr>
          <w:p w14:paraId="2A0E873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65.5</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0A67300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828/3547 (23.3)</w:t>
            </w:r>
          </w:p>
        </w:tc>
        <w:tc>
          <w:tcPr>
            <w:tcW w:w="1411" w:type="dxa"/>
            <w:tcBorders>
              <w:top w:val="nil"/>
              <w:left w:val="nil"/>
              <w:bottom w:val="nil"/>
              <w:right w:val="nil"/>
            </w:tcBorders>
            <w:shd w:val="clear" w:color="auto" w:fill="D9D9D9" w:themeFill="background1" w:themeFillShade="D9"/>
            <w:noWrap/>
            <w:vAlign w:val="bottom"/>
            <w:hideMark/>
          </w:tcPr>
          <w:p w14:paraId="33AAB34B" w14:textId="1C6C0EC2"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auto" w:fill="D9D9D9" w:themeFill="background1" w:themeFillShade="D9"/>
            <w:noWrap/>
            <w:vAlign w:val="bottom"/>
            <w:hideMark/>
          </w:tcPr>
          <w:p w14:paraId="36AD1EE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D9D9D9" w:themeFill="background1" w:themeFillShade="D9"/>
            <w:noWrap/>
            <w:vAlign w:val="bottom"/>
            <w:hideMark/>
          </w:tcPr>
          <w:p w14:paraId="2A87A23E" w14:textId="4C81B767"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3067F6F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1F79744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660/3639 (18.1)</w:t>
            </w:r>
          </w:p>
        </w:tc>
        <w:tc>
          <w:tcPr>
            <w:tcW w:w="1418" w:type="dxa"/>
            <w:tcBorders>
              <w:top w:val="nil"/>
              <w:left w:val="nil"/>
              <w:bottom w:val="nil"/>
              <w:right w:val="nil"/>
            </w:tcBorders>
            <w:shd w:val="clear" w:color="auto" w:fill="D9D9D9" w:themeFill="background1" w:themeFillShade="D9"/>
            <w:noWrap/>
            <w:vAlign w:val="bottom"/>
            <w:hideMark/>
          </w:tcPr>
          <w:p w14:paraId="116DF9B9" w14:textId="1BB2014B"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auto" w:fill="D9D9D9" w:themeFill="background1" w:themeFillShade="D9"/>
            <w:noWrap/>
            <w:vAlign w:val="bottom"/>
            <w:hideMark/>
          </w:tcPr>
          <w:p w14:paraId="4311D75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D9D9D9" w:themeFill="background1" w:themeFillShade="D9"/>
            <w:noWrap/>
            <w:vAlign w:val="bottom"/>
            <w:hideMark/>
          </w:tcPr>
          <w:p w14:paraId="1E7F1A18" w14:textId="16E84A0E"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D9D9D9" w:themeFill="background1" w:themeFillShade="D9"/>
            <w:noWrap/>
            <w:vAlign w:val="bottom"/>
            <w:hideMark/>
          </w:tcPr>
          <w:p w14:paraId="0D18DD5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25F5509E" w14:textId="77777777" w:rsidTr="009062EA">
        <w:trPr>
          <w:trHeight w:val="57"/>
        </w:trPr>
        <w:tc>
          <w:tcPr>
            <w:tcW w:w="2552" w:type="dxa"/>
            <w:tcBorders>
              <w:top w:val="nil"/>
              <w:left w:val="nil"/>
              <w:bottom w:val="nil"/>
              <w:right w:val="nil"/>
            </w:tcBorders>
            <w:shd w:val="clear" w:color="auto" w:fill="D9D9D9" w:themeFill="background1" w:themeFillShade="D9"/>
            <w:noWrap/>
            <w:vAlign w:val="bottom"/>
            <w:hideMark/>
          </w:tcPr>
          <w:p w14:paraId="7666DEA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709" w:type="dxa"/>
            <w:tcBorders>
              <w:top w:val="nil"/>
              <w:left w:val="nil"/>
              <w:bottom w:val="nil"/>
              <w:right w:val="nil"/>
            </w:tcBorders>
            <w:shd w:val="clear" w:color="auto" w:fill="D9D9D9" w:themeFill="background1" w:themeFillShade="D9"/>
            <w:noWrap/>
            <w:vAlign w:val="bottom"/>
            <w:hideMark/>
          </w:tcPr>
          <w:p w14:paraId="637856ED"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2003</w:t>
            </w:r>
          </w:p>
        </w:tc>
        <w:tc>
          <w:tcPr>
            <w:tcW w:w="708" w:type="dxa"/>
            <w:tcBorders>
              <w:top w:val="nil"/>
              <w:left w:val="nil"/>
              <w:bottom w:val="nil"/>
              <w:right w:val="nil"/>
            </w:tcBorders>
            <w:shd w:val="clear" w:color="auto" w:fill="D9D9D9" w:themeFill="background1" w:themeFillShade="D9"/>
            <w:noWrap/>
            <w:vAlign w:val="bottom"/>
            <w:hideMark/>
          </w:tcPr>
          <w:p w14:paraId="1AABAD0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34.5</w:t>
            </w:r>
          </w:p>
        </w:tc>
        <w:tc>
          <w:tcPr>
            <w:tcW w:w="1418" w:type="dxa"/>
            <w:tcBorders>
              <w:top w:val="nil"/>
              <w:left w:val="single" w:sz="4" w:space="0" w:color="auto"/>
              <w:bottom w:val="nil"/>
              <w:right w:val="nil"/>
            </w:tcBorders>
            <w:shd w:val="clear" w:color="auto" w:fill="D9D9D9" w:themeFill="background1" w:themeFillShade="D9"/>
            <w:noWrap/>
            <w:vAlign w:val="bottom"/>
            <w:hideMark/>
          </w:tcPr>
          <w:p w14:paraId="47197A5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327/1869 (17.5)</w:t>
            </w:r>
          </w:p>
        </w:tc>
        <w:tc>
          <w:tcPr>
            <w:tcW w:w="1411" w:type="dxa"/>
            <w:tcBorders>
              <w:top w:val="nil"/>
              <w:left w:val="nil"/>
              <w:bottom w:val="nil"/>
              <w:right w:val="nil"/>
            </w:tcBorders>
            <w:shd w:val="clear" w:color="auto" w:fill="D9D9D9" w:themeFill="background1" w:themeFillShade="D9"/>
            <w:noWrap/>
            <w:vAlign w:val="bottom"/>
            <w:hideMark/>
          </w:tcPr>
          <w:p w14:paraId="37787B62" w14:textId="3CE6303B"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w:t>
            </w:r>
            <w:r w:rsidR="00647DC9">
              <w:rPr>
                <w:rFonts w:ascii="Calibri" w:eastAsia="Times New Roman" w:hAnsi="Calibri" w:cs="Times New Roman"/>
                <w:color w:val="000000"/>
                <w:sz w:val="16"/>
                <w:szCs w:val="16"/>
                <w:lang w:eastAsia="en-GB"/>
              </w:rPr>
              <w:t>0</w:t>
            </w:r>
            <w:r w:rsidRPr="00642C7E">
              <w:rPr>
                <w:rFonts w:ascii="Calibri" w:eastAsia="Times New Roman" w:hAnsi="Calibri" w:cs="Times New Roman"/>
                <w:color w:val="000000"/>
                <w:sz w:val="16"/>
                <w:szCs w:val="16"/>
                <w:lang w:eastAsia="en-GB"/>
              </w:rPr>
              <w:t xml:space="preserve"> (0.6 - 0.8)</w:t>
            </w:r>
          </w:p>
        </w:tc>
        <w:tc>
          <w:tcPr>
            <w:tcW w:w="709" w:type="dxa"/>
            <w:tcBorders>
              <w:top w:val="nil"/>
              <w:left w:val="nil"/>
              <w:bottom w:val="nil"/>
              <w:right w:val="nil"/>
            </w:tcBorders>
            <w:shd w:val="clear" w:color="auto" w:fill="D9D9D9" w:themeFill="background1" w:themeFillShade="D9"/>
            <w:noWrap/>
            <w:vAlign w:val="bottom"/>
            <w:hideMark/>
          </w:tcPr>
          <w:p w14:paraId="24223585"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auto" w:fill="D9D9D9" w:themeFill="background1" w:themeFillShade="D9"/>
            <w:noWrap/>
            <w:vAlign w:val="bottom"/>
            <w:hideMark/>
          </w:tcPr>
          <w:p w14:paraId="4F6BFDC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0.76 (0.66 - 0.89)</w:t>
            </w:r>
          </w:p>
        </w:tc>
        <w:tc>
          <w:tcPr>
            <w:tcW w:w="661" w:type="dxa"/>
            <w:tcBorders>
              <w:top w:val="nil"/>
              <w:left w:val="nil"/>
              <w:bottom w:val="nil"/>
              <w:right w:val="nil"/>
            </w:tcBorders>
            <w:shd w:val="clear" w:color="auto" w:fill="D9D9D9" w:themeFill="background1" w:themeFillShade="D9"/>
            <w:noWrap/>
            <w:vAlign w:val="bottom"/>
            <w:hideMark/>
          </w:tcPr>
          <w:p w14:paraId="7CF328D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701" w:type="dxa"/>
            <w:tcBorders>
              <w:top w:val="nil"/>
              <w:left w:val="single" w:sz="4" w:space="0" w:color="auto"/>
              <w:bottom w:val="nil"/>
              <w:right w:val="nil"/>
            </w:tcBorders>
            <w:shd w:val="clear" w:color="auto" w:fill="D9D9D9" w:themeFill="background1" w:themeFillShade="D9"/>
            <w:noWrap/>
            <w:vAlign w:val="bottom"/>
            <w:hideMark/>
          </w:tcPr>
          <w:p w14:paraId="177365E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289/1917 (15.1)</w:t>
            </w:r>
          </w:p>
        </w:tc>
        <w:tc>
          <w:tcPr>
            <w:tcW w:w="1418" w:type="dxa"/>
            <w:tcBorders>
              <w:top w:val="nil"/>
              <w:left w:val="nil"/>
              <w:bottom w:val="nil"/>
              <w:right w:val="nil"/>
            </w:tcBorders>
            <w:shd w:val="clear" w:color="auto" w:fill="D9D9D9" w:themeFill="background1" w:themeFillShade="D9"/>
            <w:noWrap/>
            <w:vAlign w:val="bottom"/>
            <w:hideMark/>
          </w:tcPr>
          <w:p w14:paraId="41190AA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 (0.69 - 0.93)</w:t>
            </w:r>
          </w:p>
        </w:tc>
        <w:tc>
          <w:tcPr>
            <w:tcW w:w="896" w:type="dxa"/>
            <w:tcBorders>
              <w:top w:val="nil"/>
              <w:left w:val="nil"/>
              <w:bottom w:val="nil"/>
              <w:right w:val="nil"/>
            </w:tcBorders>
            <w:shd w:val="clear" w:color="auto" w:fill="D9D9D9" w:themeFill="background1" w:themeFillShade="D9"/>
            <w:noWrap/>
            <w:vAlign w:val="bottom"/>
            <w:hideMark/>
          </w:tcPr>
          <w:p w14:paraId="78B9E02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0.004</w:t>
            </w:r>
          </w:p>
        </w:tc>
        <w:tc>
          <w:tcPr>
            <w:tcW w:w="1514" w:type="dxa"/>
            <w:tcBorders>
              <w:top w:val="nil"/>
              <w:left w:val="nil"/>
              <w:bottom w:val="nil"/>
              <w:right w:val="nil"/>
            </w:tcBorders>
            <w:shd w:val="clear" w:color="auto" w:fill="D9D9D9" w:themeFill="background1" w:themeFillShade="D9"/>
            <w:noWrap/>
            <w:vAlign w:val="bottom"/>
            <w:hideMark/>
          </w:tcPr>
          <w:p w14:paraId="0DD87F27"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0.86 (0.74 - 1.01)</w:t>
            </w:r>
          </w:p>
        </w:tc>
        <w:tc>
          <w:tcPr>
            <w:tcW w:w="661" w:type="dxa"/>
            <w:tcBorders>
              <w:top w:val="nil"/>
              <w:left w:val="nil"/>
              <w:bottom w:val="nil"/>
              <w:right w:val="nil"/>
            </w:tcBorders>
            <w:shd w:val="clear" w:color="auto" w:fill="D9D9D9" w:themeFill="background1" w:themeFillShade="D9"/>
            <w:noWrap/>
            <w:vAlign w:val="bottom"/>
            <w:hideMark/>
          </w:tcPr>
          <w:p w14:paraId="4592A5F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0.068</w:t>
            </w:r>
          </w:p>
        </w:tc>
      </w:tr>
      <w:tr w:rsidR="00B04B8E" w:rsidRPr="00642C7E" w14:paraId="4D02B402" w14:textId="77777777" w:rsidTr="009062EA">
        <w:trPr>
          <w:trHeight w:val="57"/>
        </w:trPr>
        <w:tc>
          <w:tcPr>
            <w:tcW w:w="2552" w:type="dxa"/>
            <w:tcBorders>
              <w:top w:val="nil"/>
              <w:left w:val="nil"/>
              <w:bottom w:val="nil"/>
              <w:right w:val="nil"/>
            </w:tcBorders>
            <w:shd w:val="clear" w:color="auto" w:fill="FFFFFF" w:themeFill="background1"/>
            <w:noWrap/>
            <w:vAlign w:val="bottom"/>
            <w:hideMark/>
          </w:tcPr>
          <w:p w14:paraId="7642F51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Also attracted to women</w:t>
            </w:r>
          </w:p>
        </w:tc>
        <w:tc>
          <w:tcPr>
            <w:tcW w:w="709" w:type="dxa"/>
            <w:tcBorders>
              <w:top w:val="nil"/>
              <w:left w:val="nil"/>
              <w:bottom w:val="nil"/>
              <w:right w:val="nil"/>
            </w:tcBorders>
            <w:shd w:val="clear" w:color="auto" w:fill="FFFFFF" w:themeFill="background1"/>
            <w:noWrap/>
            <w:vAlign w:val="bottom"/>
            <w:hideMark/>
          </w:tcPr>
          <w:p w14:paraId="01C21BED"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auto" w:fill="FFFFFF" w:themeFill="background1"/>
            <w:noWrap/>
            <w:vAlign w:val="bottom"/>
            <w:hideMark/>
          </w:tcPr>
          <w:p w14:paraId="0EB6042E" w14:textId="77777777" w:rsidR="00B04B8E" w:rsidRPr="00642C7E" w:rsidRDefault="00B04B8E" w:rsidP="00F15ED2">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auto" w:fill="FFFFFF" w:themeFill="background1"/>
            <w:noWrap/>
            <w:vAlign w:val="bottom"/>
            <w:hideMark/>
          </w:tcPr>
          <w:p w14:paraId="77CB0B3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1411" w:type="dxa"/>
            <w:tcBorders>
              <w:top w:val="nil"/>
              <w:left w:val="nil"/>
              <w:bottom w:val="nil"/>
              <w:right w:val="nil"/>
            </w:tcBorders>
            <w:shd w:val="clear" w:color="auto" w:fill="FFFFFF" w:themeFill="background1"/>
            <w:noWrap/>
            <w:vAlign w:val="bottom"/>
            <w:hideMark/>
          </w:tcPr>
          <w:p w14:paraId="437A17CB"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FFFFFF" w:themeFill="background1"/>
            <w:noWrap/>
            <w:vAlign w:val="bottom"/>
            <w:hideMark/>
          </w:tcPr>
          <w:p w14:paraId="3DEFA64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FFFFFF" w:themeFill="background1"/>
            <w:noWrap/>
            <w:vAlign w:val="bottom"/>
            <w:hideMark/>
          </w:tcPr>
          <w:p w14:paraId="2DCAE25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FFFFFF" w:themeFill="background1"/>
            <w:noWrap/>
            <w:vAlign w:val="bottom"/>
            <w:hideMark/>
          </w:tcPr>
          <w:p w14:paraId="5B59D05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FFFFFF" w:themeFill="background1"/>
            <w:noWrap/>
            <w:vAlign w:val="bottom"/>
            <w:hideMark/>
          </w:tcPr>
          <w:p w14:paraId="1F9A5DF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p>
        </w:tc>
        <w:tc>
          <w:tcPr>
            <w:tcW w:w="1418" w:type="dxa"/>
            <w:tcBorders>
              <w:top w:val="nil"/>
              <w:left w:val="nil"/>
              <w:bottom w:val="nil"/>
              <w:right w:val="nil"/>
            </w:tcBorders>
            <w:shd w:val="clear" w:color="auto" w:fill="FFFFFF" w:themeFill="background1"/>
            <w:noWrap/>
            <w:vAlign w:val="bottom"/>
            <w:hideMark/>
          </w:tcPr>
          <w:p w14:paraId="0012B33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FFFFFF" w:themeFill="background1"/>
            <w:noWrap/>
            <w:vAlign w:val="bottom"/>
            <w:hideMark/>
          </w:tcPr>
          <w:p w14:paraId="6871A4C2"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FFFFFF" w:themeFill="background1"/>
            <w:noWrap/>
            <w:vAlign w:val="bottom"/>
            <w:hideMark/>
          </w:tcPr>
          <w:p w14:paraId="6ACAA2A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FFFFFF" w:themeFill="background1"/>
            <w:noWrap/>
            <w:vAlign w:val="bottom"/>
            <w:hideMark/>
          </w:tcPr>
          <w:p w14:paraId="7ACE078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828115D" w14:textId="77777777" w:rsidTr="009062EA">
        <w:trPr>
          <w:trHeight w:val="57"/>
        </w:trPr>
        <w:tc>
          <w:tcPr>
            <w:tcW w:w="2552" w:type="dxa"/>
            <w:tcBorders>
              <w:top w:val="nil"/>
              <w:left w:val="nil"/>
              <w:bottom w:val="nil"/>
              <w:right w:val="nil"/>
            </w:tcBorders>
            <w:shd w:val="clear" w:color="auto" w:fill="FFFFFF" w:themeFill="background1"/>
            <w:noWrap/>
            <w:vAlign w:val="bottom"/>
            <w:hideMark/>
          </w:tcPr>
          <w:p w14:paraId="7BC089F6"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709" w:type="dxa"/>
            <w:tcBorders>
              <w:top w:val="nil"/>
              <w:left w:val="nil"/>
              <w:bottom w:val="nil"/>
              <w:right w:val="nil"/>
            </w:tcBorders>
            <w:shd w:val="clear" w:color="auto" w:fill="FFFFFF" w:themeFill="background1"/>
            <w:noWrap/>
            <w:vAlign w:val="bottom"/>
            <w:hideMark/>
          </w:tcPr>
          <w:p w14:paraId="2479AF62"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4,701</w:t>
            </w:r>
          </w:p>
        </w:tc>
        <w:tc>
          <w:tcPr>
            <w:tcW w:w="708" w:type="dxa"/>
            <w:tcBorders>
              <w:top w:val="nil"/>
              <w:left w:val="nil"/>
              <w:bottom w:val="nil"/>
              <w:right w:val="nil"/>
            </w:tcBorders>
            <w:shd w:val="clear" w:color="auto" w:fill="FFFFFF" w:themeFill="background1"/>
            <w:noWrap/>
            <w:vAlign w:val="bottom"/>
            <w:hideMark/>
          </w:tcPr>
          <w:p w14:paraId="6B4A16BE" w14:textId="77777777" w:rsidR="00B04B8E" w:rsidRPr="00642C7E" w:rsidRDefault="00B04B8E" w:rsidP="00F15ED2">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81.2</w:t>
            </w:r>
          </w:p>
        </w:tc>
        <w:tc>
          <w:tcPr>
            <w:tcW w:w="1418" w:type="dxa"/>
            <w:tcBorders>
              <w:top w:val="nil"/>
              <w:left w:val="single" w:sz="4" w:space="0" w:color="auto"/>
              <w:bottom w:val="nil"/>
              <w:right w:val="nil"/>
            </w:tcBorders>
            <w:shd w:val="clear" w:color="auto" w:fill="FFFFFF" w:themeFill="background1"/>
            <w:noWrap/>
            <w:vAlign w:val="bottom"/>
            <w:hideMark/>
          </w:tcPr>
          <w:p w14:paraId="1457768E"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889/4379 (20.3)</w:t>
            </w:r>
          </w:p>
        </w:tc>
        <w:tc>
          <w:tcPr>
            <w:tcW w:w="1411" w:type="dxa"/>
            <w:tcBorders>
              <w:top w:val="nil"/>
              <w:left w:val="nil"/>
              <w:bottom w:val="nil"/>
              <w:right w:val="nil"/>
            </w:tcBorders>
            <w:shd w:val="clear" w:color="auto" w:fill="FFFFFF" w:themeFill="background1"/>
            <w:noWrap/>
            <w:vAlign w:val="bottom"/>
            <w:hideMark/>
          </w:tcPr>
          <w:p w14:paraId="7A6BDF0D" w14:textId="355036BF"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09" w:type="dxa"/>
            <w:tcBorders>
              <w:top w:val="nil"/>
              <w:left w:val="nil"/>
              <w:bottom w:val="nil"/>
              <w:right w:val="nil"/>
            </w:tcBorders>
            <w:shd w:val="clear" w:color="auto" w:fill="FFFFFF" w:themeFill="background1"/>
            <w:noWrap/>
            <w:vAlign w:val="bottom"/>
            <w:hideMark/>
          </w:tcPr>
          <w:p w14:paraId="1759022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FFFFFF" w:themeFill="background1"/>
            <w:noWrap/>
            <w:vAlign w:val="bottom"/>
            <w:hideMark/>
          </w:tcPr>
          <w:p w14:paraId="4CB3E1D7" w14:textId="6151040B" w:rsidR="00B04B8E" w:rsidRPr="00642C7E" w:rsidRDefault="00AC3634" w:rsidP="00AC3634">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FFFFFF" w:themeFill="background1"/>
            <w:noWrap/>
            <w:vAlign w:val="bottom"/>
            <w:hideMark/>
          </w:tcPr>
          <w:p w14:paraId="2BEBC8E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FFFFFF" w:themeFill="background1"/>
            <w:noWrap/>
            <w:vAlign w:val="bottom"/>
            <w:hideMark/>
          </w:tcPr>
          <w:p w14:paraId="0F861611"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739/4523 (16.3)</w:t>
            </w:r>
          </w:p>
        </w:tc>
        <w:tc>
          <w:tcPr>
            <w:tcW w:w="1418" w:type="dxa"/>
            <w:tcBorders>
              <w:top w:val="nil"/>
              <w:left w:val="nil"/>
              <w:bottom w:val="nil"/>
              <w:right w:val="nil"/>
            </w:tcBorders>
            <w:shd w:val="clear" w:color="auto" w:fill="FFFFFF" w:themeFill="background1"/>
            <w:noWrap/>
            <w:vAlign w:val="bottom"/>
            <w:hideMark/>
          </w:tcPr>
          <w:p w14:paraId="260931BD" w14:textId="5227E37C"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896" w:type="dxa"/>
            <w:tcBorders>
              <w:top w:val="nil"/>
              <w:left w:val="nil"/>
              <w:bottom w:val="nil"/>
              <w:right w:val="nil"/>
            </w:tcBorders>
            <w:shd w:val="clear" w:color="auto" w:fill="FFFFFF" w:themeFill="background1"/>
            <w:noWrap/>
            <w:vAlign w:val="bottom"/>
            <w:hideMark/>
          </w:tcPr>
          <w:p w14:paraId="49C5F5E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FFFFFF" w:themeFill="background1"/>
            <w:noWrap/>
            <w:vAlign w:val="bottom"/>
            <w:hideMark/>
          </w:tcPr>
          <w:p w14:paraId="4A777B61" w14:textId="7217F8A6" w:rsidR="00B04B8E" w:rsidRPr="00642C7E" w:rsidRDefault="00AC3634" w:rsidP="00B04B8E">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tcBorders>
              <w:top w:val="nil"/>
              <w:left w:val="nil"/>
              <w:bottom w:val="nil"/>
              <w:right w:val="nil"/>
            </w:tcBorders>
            <w:shd w:val="clear" w:color="auto" w:fill="FFFFFF" w:themeFill="background1"/>
            <w:noWrap/>
            <w:vAlign w:val="bottom"/>
            <w:hideMark/>
          </w:tcPr>
          <w:p w14:paraId="64C5179F"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7E8E13DB" w14:textId="77777777" w:rsidTr="009062EA">
        <w:trPr>
          <w:trHeight w:val="57"/>
        </w:trPr>
        <w:tc>
          <w:tcPr>
            <w:tcW w:w="2552" w:type="dxa"/>
            <w:tcBorders>
              <w:top w:val="nil"/>
              <w:left w:val="nil"/>
              <w:bottom w:val="nil"/>
              <w:right w:val="nil"/>
            </w:tcBorders>
            <w:shd w:val="clear" w:color="auto" w:fill="FFFFFF" w:themeFill="background1"/>
            <w:noWrap/>
            <w:vAlign w:val="bottom"/>
            <w:hideMark/>
          </w:tcPr>
          <w:p w14:paraId="342F1E7D"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709" w:type="dxa"/>
            <w:tcBorders>
              <w:top w:val="nil"/>
              <w:left w:val="nil"/>
              <w:bottom w:val="nil"/>
              <w:right w:val="nil"/>
            </w:tcBorders>
            <w:shd w:val="clear" w:color="auto" w:fill="FFFFFF" w:themeFill="background1"/>
            <w:noWrap/>
            <w:vAlign w:val="bottom"/>
            <w:hideMark/>
          </w:tcPr>
          <w:p w14:paraId="0EB16513"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1088</w:t>
            </w:r>
          </w:p>
        </w:tc>
        <w:tc>
          <w:tcPr>
            <w:tcW w:w="708" w:type="dxa"/>
            <w:tcBorders>
              <w:top w:val="nil"/>
              <w:left w:val="nil"/>
              <w:bottom w:val="nil"/>
              <w:right w:val="nil"/>
            </w:tcBorders>
            <w:shd w:val="clear" w:color="auto" w:fill="FFFFFF" w:themeFill="background1"/>
            <w:noWrap/>
            <w:vAlign w:val="bottom"/>
            <w:hideMark/>
          </w:tcPr>
          <w:p w14:paraId="467F3E34" w14:textId="77777777" w:rsidR="00B04B8E" w:rsidRPr="00642C7E" w:rsidRDefault="00B04B8E" w:rsidP="00F15ED2">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18.8</w:t>
            </w:r>
          </w:p>
        </w:tc>
        <w:tc>
          <w:tcPr>
            <w:tcW w:w="1418" w:type="dxa"/>
            <w:tcBorders>
              <w:top w:val="nil"/>
              <w:left w:val="single" w:sz="4" w:space="0" w:color="auto"/>
              <w:bottom w:val="nil"/>
              <w:right w:val="nil"/>
            </w:tcBorders>
            <w:shd w:val="clear" w:color="auto" w:fill="FFFFFF" w:themeFill="background1"/>
            <w:noWrap/>
            <w:vAlign w:val="bottom"/>
            <w:hideMark/>
          </w:tcPr>
          <w:p w14:paraId="1A82227D"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266/1028 (25.9)</w:t>
            </w:r>
          </w:p>
        </w:tc>
        <w:tc>
          <w:tcPr>
            <w:tcW w:w="1411" w:type="dxa"/>
            <w:tcBorders>
              <w:top w:val="nil"/>
              <w:left w:val="nil"/>
              <w:bottom w:val="nil"/>
              <w:right w:val="nil"/>
            </w:tcBorders>
            <w:shd w:val="clear" w:color="auto" w:fill="FFFFFF" w:themeFill="background1"/>
            <w:noWrap/>
            <w:vAlign w:val="bottom"/>
            <w:hideMark/>
          </w:tcPr>
          <w:p w14:paraId="0D71E7D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1.37 (1.17 - 1.6)</w:t>
            </w:r>
          </w:p>
        </w:tc>
        <w:tc>
          <w:tcPr>
            <w:tcW w:w="709" w:type="dxa"/>
            <w:tcBorders>
              <w:top w:val="nil"/>
              <w:left w:val="nil"/>
              <w:bottom w:val="nil"/>
              <w:right w:val="nil"/>
            </w:tcBorders>
            <w:shd w:val="clear" w:color="auto" w:fill="FFFFFF" w:themeFill="background1"/>
            <w:noWrap/>
            <w:vAlign w:val="bottom"/>
            <w:hideMark/>
          </w:tcPr>
          <w:p w14:paraId="65D7A8B9"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&lt;0.001</w:t>
            </w:r>
          </w:p>
        </w:tc>
        <w:tc>
          <w:tcPr>
            <w:tcW w:w="1418" w:type="dxa"/>
            <w:tcBorders>
              <w:top w:val="nil"/>
              <w:left w:val="nil"/>
              <w:bottom w:val="nil"/>
              <w:right w:val="nil"/>
            </w:tcBorders>
            <w:shd w:val="clear" w:color="auto" w:fill="FFFFFF" w:themeFill="background1"/>
            <w:noWrap/>
            <w:vAlign w:val="bottom"/>
            <w:hideMark/>
          </w:tcPr>
          <w:p w14:paraId="1D70B2F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1.21 (1.03 - 1.44)</w:t>
            </w:r>
          </w:p>
        </w:tc>
        <w:tc>
          <w:tcPr>
            <w:tcW w:w="661" w:type="dxa"/>
            <w:tcBorders>
              <w:top w:val="nil"/>
              <w:left w:val="nil"/>
              <w:bottom w:val="nil"/>
              <w:right w:val="nil"/>
            </w:tcBorders>
            <w:shd w:val="clear" w:color="auto" w:fill="FFFFFF" w:themeFill="background1"/>
            <w:noWrap/>
            <w:vAlign w:val="bottom"/>
            <w:hideMark/>
          </w:tcPr>
          <w:p w14:paraId="078DE3C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0.023</w:t>
            </w:r>
          </w:p>
        </w:tc>
        <w:tc>
          <w:tcPr>
            <w:tcW w:w="1701" w:type="dxa"/>
            <w:tcBorders>
              <w:top w:val="nil"/>
              <w:left w:val="single" w:sz="4" w:space="0" w:color="auto"/>
              <w:bottom w:val="nil"/>
              <w:right w:val="nil"/>
            </w:tcBorders>
            <w:shd w:val="clear" w:color="auto" w:fill="FFFFFF" w:themeFill="background1"/>
            <w:noWrap/>
            <w:vAlign w:val="bottom"/>
            <w:hideMark/>
          </w:tcPr>
          <w:p w14:paraId="6968186A"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209/1023 (20.4)</w:t>
            </w:r>
          </w:p>
        </w:tc>
        <w:tc>
          <w:tcPr>
            <w:tcW w:w="1418" w:type="dxa"/>
            <w:tcBorders>
              <w:top w:val="nil"/>
              <w:left w:val="nil"/>
              <w:bottom w:val="nil"/>
              <w:right w:val="nil"/>
            </w:tcBorders>
            <w:shd w:val="clear" w:color="auto" w:fill="FFFFFF" w:themeFill="background1"/>
            <w:noWrap/>
            <w:vAlign w:val="bottom"/>
            <w:hideMark/>
          </w:tcPr>
          <w:p w14:paraId="597D938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1.31 (1.11 - 1.56)</w:t>
            </w:r>
          </w:p>
        </w:tc>
        <w:tc>
          <w:tcPr>
            <w:tcW w:w="896" w:type="dxa"/>
            <w:tcBorders>
              <w:top w:val="nil"/>
              <w:left w:val="nil"/>
              <w:bottom w:val="nil"/>
              <w:right w:val="nil"/>
            </w:tcBorders>
            <w:shd w:val="clear" w:color="auto" w:fill="FFFFFF" w:themeFill="background1"/>
            <w:noWrap/>
            <w:vAlign w:val="bottom"/>
            <w:hideMark/>
          </w:tcPr>
          <w:p w14:paraId="41911634"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0.002</w:t>
            </w:r>
          </w:p>
        </w:tc>
        <w:tc>
          <w:tcPr>
            <w:tcW w:w="1514" w:type="dxa"/>
            <w:tcBorders>
              <w:top w:val="nil"/>
              <w:left w:val="nil"/>
              <w:bottom w:val="nil"/>
              <w:right w:val="nil"/>
            </w:tcBorders>
            <w:shd w:val="clear" w:color="auto" w:fill="FFFFFF" w:themeFill="background1"/>
            <w:noWrap/>
            <w:vAlign w:val="bottom"/>
            <w:hideMark/>
          </w:tcPr>
          <w:p w14:paraId="760DAE44"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1.16 (0.96 - 1.38)</w:t>
            </w:r>
          </w:p>
        </w:tc>
        <w:tc>
          <w:tcPr>
            <w:tcW w:w="661" w:type="dxa"/>
            <w:tcBorders>
              <w:top w:val="nil"/>
              <w:left w:val="nil"/>
              <w:bottom w:val="nil"/>
              <w:right w:val="nil"/>
            </w:tcBorders>
            <w:shd w:val="clear" w:color="auto" w:fill="FFFFFF" w:themeFill="background1"/>
            <w:noWrap/>
            <w:vAlign w:val="bottom"/>
            <w:hideMark/>
          </w:tcPr>
          <w:p w14:paraId="05E35DB1"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0.119</w:t>
            </w:r>
          </w:p>
        </w:tc>
      </w:tr>
      <w:tr w:rsidR="00B04B8E" w:rsidRPr="00642C7E" w14:paraId="68679F77" w14:textId="77777777" w:rsidTr="009062EA">
        <w:trPr>
          <w:trHeight w:val="57"/>
        </w:trPr>
        <w:tc>
          <w:tcPr>
            <w:tcW w:w="2552" w:type="dxa"/>
            <w:tcBorders>
              <w:top w:val="nil"/>
              <w:left w:val="nil"/>
              <w:bottom w:val="nil"/>
              <w:right w:val="nil"/>
            </w:tcBorders>
            <w:shd w:val="clear" w:color="auto" w:fill="FFFFFF" w:themeFill="background1"/>
            <w:noWrap/>
            <w:vAlign w:val="bottom"/>
            <w:hideMark/>
          </w:tcPr>
          <w:p w14:paraId="2B9CC07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xml:space="preserve">Missing </w:t>
            </w:r>
          </w:p>
        </w:tc>
        <w:tc>
          <w:tcPr>
            <w:tcW w:w="709" w:type="dxa"/>
            <w:tcBorders>
              <w:top w:val="nil"/>
              <w:left w:val="nil"/>
              <w:bottom w:val="nil"/>
              <w:right w:val="nil"/>
            </w:tcBorders>
            <w:shd w:val="clear" w:color="auto" w:fill="FFFFFF" w:themeFill="background1"/>
            <w:noWrap/>
            <w:vAlign w:val="bottom"/>
            <w:hideMark/>
          </w:tcPr>
          <w:p w14:paraId="3790F558"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w:t>
            </w:r>
          </w:p>
        </w:tc>
        <w:tc>
          <w:tcPr>
            <w:tcW w:w="708" w:type="dxa"/>
            <w:tcBorders>
              <w:top w:val="nil"/>
              <w:left w:val="nil"/>
              <w:bottom w:val="nil"/>
              <w:right w:val="nil"/>
            </w:tcBorders>
            <w:shd w:val="clear" w:color="auto" w:fill="FFFFFF" w:themeFill="background1"/>
            <w:noWrap/>
            <w:vAlign w:val="bottom"/>
            <w:hideMark/>
          </w:tcPr>
          <w:p w14:paraId="4F20EF75" w14:textId="77777777" w:rsidR="00B04B8E" w:rsidRPr="00642C7E" w:rsidRDefault="00B04B8E" w:rsidP="00F15ED2">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0.17</w:t>
            </w:r>
          </w:p>
        </w:tc>
        <w:tc>
          <w:tcPr>
            <w:tcW w:w="1418" w:type="dxa"/>
            <w:tcBorders>
              <w:top w:val="nil"/>
              <w:left w:val="single" w:sz="4" w:space="0" w:color="auto"/>
              <w:bottom w:val="nil"/>
              <w:right w:val="nil"/>
            </w:tcBorders>
            <w:shd w:val="clear" w:color="auto" w:fill="FFFFFF" w:themeFill="background1"/>
            <w:noWrap/>
            <w:vAlign w:val="bottom"/>
            <w:hideMark/>
          </w:tcPr>
          <w:p w14:paraId="3D8F481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auto" w:fill="FFFFFF" w:themeFill="background1"/>
            <w:noWrap/>
            <w:vAlign w:val="bottom"/>
            <w:hideMark/>
          </w:tcPr>
          <w:p w14:paraId="3CCCE24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auto" w:fill="FFFFFF" w:themeFill="background1"/>
            <w:noWrap/>
            <w:vAlign w:val="bottom"/>
            <w:hideMark/>
          </w:tcPr>
          <w:p w14:paraId="1B12CFA3"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FFFFFF" w:themeFill="background1"/>
            <w:noWrap/>
            <w:vAlign w:val="bottom"/>
            <w:hideMark/>
          </w:tcPr>
          <w:p w14:paraId="3BB45903"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FFFFFF" w:themeFill="background1"/>
            <w:noWrap/>
            <w:vAlign w:val="bottom"/>
            <w:hideMark/>
          </w:tcPr>
          <w:p w14:paraId="10C795C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auto" w:fill="FFFFFF" w:themeFill="background1"/>
            <w:noWrap/>
            <w:vAlign w:val="bottom"/>
            <w:hideMark/>
          </w:tcPr>
          <w:p w14:paraId="53CA4E1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auto" w:fill="FFFFFF" w:themeFill="background1"/>
            <w:noWrap/>
            <w:vAlign w:val="bottom"/>
            <w:hideMark/>
          </w:tcPr>
          <w:p w14:paraId="1322647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auto" w:fill="FFFFFF" w:themeFill="background1"/>
            <w:noWrap/>
            <w:vAlign w:val="bottom"/>
            <w:hideMark/>
          </w:tcPr>
          <w:p w14:paraId="29749467"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auto" w:fill="FFFFFF" w:themeFill="background1"/>
            <w:noWrap/>
            <w:vAlign w:val="bottom"/>
            <w:hideMark/>
          </w:tcPr>
          <w:p w14:paraId="786DFA3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auto" w:fill="FFFFFF" w:themeFill="background1"/>
            <w:noWrap/>
            <w:vAlign w:val="bottom"/>
            <w:hideMark/>
          </w:tcPr>
          <w:p w14:paraId="2E254F80"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r w:rsidR="00B04B8E" w:rsidRPr="00642C7E" w14:paraId="22335879" w14:textId="77777777" w:rsidTr="009062EA">
        <w:trPr>
          <w:trHeight w:val="57"/>
        </w:trPr>
        <w:tc>
          <w:tcPr>
            <w:tcW w:w="2552" w:type="dxa"/>
            <w:tcBorders>
              <w:top w:val="nil"/>
              <w:left w:val="nil"/>
              <w:bottom w:val="nil"/>
              <w:right w:val="nil"/>
            </w:tcBorders>
            <w:shd w:val="clear" w:color="000000" w:fill="FFFFFF"/>
            <w:noWrap/>
            <w:vAlign w:val="bottom"/>
            <w:hideMark/>
          </w:tcPr>
          <w:p w14:paraId="6A5D7A6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1F2CFFDC" w14:textId="77777777" w:rsidR="00B04B8E" w:rsidRPr="00642C7E" w:rsidRDefault="00B04B8E" w:rsidP="00B04B8E">
            <w:pPr>
              <w:spacing w:after="0" w:line="240" w:lineRule="auto"/>
              <w:contextualSpacing/>
              <w:jc w:val="center"/>
              <w:rPr>
                <w:rFonts w:ascii="Calibri" w:eastAsia="Times New Roman" w:hAnsi="Calibri" w:cs="Times New Roman"/>
                <w:color w:val="000000"/>
                <w:sz w:val="16"/>
                <w:szCs w:val="16"/>
                <w:lang w:eastAsia="en-GB"/>
              </w:rPr>
            </w:pPr>
          </w:p>
        </w:tc>
        <w:tc>
          <w:tcPr>
            <w:tcW w:w="708" w:type="dxa"/>
            <w:tcBorders>
              <w:top w:val="nil"/>
              <w:left w:val="nil"/>
              <w:bottom w:val="nil"/>
              <w:right w:val="nil"/>
            </w:tcBorders>
            <w:shd w:val="clear" w:color="000000" w:fill="FFFFFF"/>
            <w:noWrap/>
            <w:vAlign w:val="bottom"/>
            <w:hideMark/>
          </w:tcPr>
          <w:p w14:paraId="1C6050D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single" w:sz="4" w:space="0" w:color="auto"/>
              <w:bottom w:val="nil"/>
              <w:right w:val="nil"/>
            </w:tcBorders>
            <w:shd w:val="clear" w:color="000000" w:fill="FFFFFF"/>
            <w:noWrap/>
            <w:vAlign w:val="bottom"/>
            <w:hideMark/>
          </w:tcPr>
          <w:p w14:paraId="360B4C76"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1" w:type="dxa"/>
            <w:tcBorders>
              <w:top w:val="nil"/>
              <w:left w:val="nil"/>
              <w:bottom w:val="nil"/>
              <w:right w:val="nil"/>
            </w:tcBorders>
            <w:shd w:val="clear" w:color="000000" w:fill="FFFFFF"/>
            <w:noWrap/>
            <w:vAlign w:val="bottom"/>
            <w:hideMark/>
          </w:tcPr>
          <w:p w14:paraId="6A810F59"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709" w:type="dxa"/>
            <w:tcBorders>
              <w:top w:val="nil"/>
              <w:left w:val="nil"/>
              <w:bottom w:val="nil"/>
              <w:right w:val="nil"/>
            </w:tcBorders>
            <w:shd w:val="clear" w:color="000000" w:fill="FFFFFF"/>
            <w:noWrap/>
            <w:vAlign w:val="bottom"/>
            <w:hideMark/>
          </w:tcPr>
          <w:p w14:paraId="7436CA4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74FB1D25"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609A1158"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701" w:type="dxa"/>
            <w:tcBorders>
              <w:top w:val="nil"/>
              <w:left w:val="single" w:sz="4" w:space="0" w:color="auto"/>
              <w:bottom w:val="nil"/>
              <w:right w:val="nil"/>
            </w:tcBorders>
            <w:shd w:val="clear" w:color="000000" w:fill="FFFFFF"/>
            <w:noWrap/>
            <w:vAlign w:val="bottom"/>
            <w:hideMark/>
          </w:tcPr>
          <w:p w14:paraId="11985562"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418" w:type="dxa"/>
            <w:tcBorders>
              <w:top w:val="nil"/>
              <w:left w:val="nil"/>
              <w:bottom w:val="nil"/>
              <w:right w:val="nil"/>
            </w:tcBorders>
            <w:shd w:val="clear" w:color="000000" w:fill="FFFFFF"/>
            <w:noWrap/>
            <w:vAlign w:val="bottom"/>
            <w:hideMark/>
          </w:tcPr>
          <w:p w14:paraId="1C10401C"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896" w:type="dxa"/>
            <w:tcBorders>
              <w:top w:val="nil"/>
              <w:left w:val="nil"/>
              <w:bottom w:val="nil"/>
              <w:right w:val="nil"/>
            </w:tcBorders>
            <w:shd w:val="clear" w:color="000000" w:fill="FFFFFF"/>
            <w:noWrap/>
            <w:vAlign w:val="bottom"/>
            <w:hideMark/>
          </w:tcPr>
          <w:p w14:paraId="36782BCB"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1514" w:type="dxa"/>
            <w:tcBorders>
              <w:top w:val="nil"/>
              <w:left w:val="nil"/>
              <w:bottom w:val="nil"/>
              <w:right w:val="nil"/>
            </w:tcBorders>
            <w:shd w:val="clear" w:color="000000" w:fill="FFFFFF"/>
            <w:noWrap/>
            <w:vAlign w:val="bottom"/>
            <w:hideMark/>
          </w:tcPr>
          <w:p w14:paraId="3B34D85F" w14:textId="77777777" w:rsidR="00B04B8E" w:rsidRPr="00642C7E" w:rsidRDefault="00B04B8E" w:rsidP="00B04B8E">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755D953E" w14:textId="77777777" w:rsidR="00B04B8E" w:rsidRPr="00642C7E" w:rsidRDefault="00B04B8E" w:rsidP="00B04B8E">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 </w:t>
            </w:r>
          </w:p>
        </w:tc>
      </w:tr>
    </w:tbl>
    <w:p w14:paraId="6322A31C" w14:textId="742221F5" w:rsidR="000B3A7B" w:rsidRDefault="00A25D1E" w:rsidP="000B3A7B">
      <w:pPr>
        <w:rPr>
          <w:b/>
        </w:rPr>
      </w:pPr>
      <w:r w:rsidRPr="00A373A4">
        <w:rPr>
          <w:b/>
        </w:rPr>
        <w:t xml:space="preserve">Table 1: </w:t>
      </w:r>
      <w:r w:rsidR="00A373A4">
        <w:rPr>
          <w:b/>
        </w:rPr>
        <w:t xml:space="preserve">Stonewall Gay &amp; Bisexual Men’s Health Survey: </w:t>
      </w:r>
      <w:r w:rsidR="00A373A4" w:rsidRPr="00A373A4">
        <w:rPr>
          <w:b/>
        </w:rPr>
        <w:t>Sample characteristics, prevalence of poor mental health and the odds of their occurrence.</w:t>
      </w:r>
    </w:p>
    <w:p w14:paraId="790FB962" w14:textId="77777777" w:rsidR="00D04F4E" w:rsidRDefault="00D04F4E" w:rsidP="000B3A7B">
      <w:pPr>
        <w:rPr>
          <w:b/>
        </w:rPr>
      </w:pPr>
    </w:p>
    <w:p w14:paraId="5FB31464" w14:textId="2BC0AB45" w:rsidR="000B3A7B" w:rsidRDefault="000B3A7B" w:rsidP="000B3A7B">
      <w:pPr>
        <w:spacing w:line="259" w:lineRule="auto"/>
        <w:rPr>
          <w:b/>
        </w:rPr>
      </w:pPr>
    </w:p>
    <w:tbl>
      <w:tblPr>
        <w:tblW w:w="15149" w:type="dxa"/>
        <w:tblInd w:w="108" w:type="dxa"/>
        <w:tblLook w:val="04A0" w:firstRow="1" w:lastRow="0" w:firstColumn="1" w:lastColumn="0" w:noHBand="0" w:noVBand="1"/>
      </w:tblPr>
      <w:tblGrid>
        <w:gridCol w:w="2268"/>
        <w:gridCol w:w="1718"/>
        <w:gridCol w:w="1958"/>
        <w:gridCol w:w="718"/>
        <w:gridCol w:w="1589"/>
        <w:gridCol w:w="748"/>
        <w:gridCol w:w="1476"/>
        <w:gridCol w:w="1676"/>
        <w:gridCol w:w="661"/>
        <w:gridCol w:w="1676"/>
        <w:gridCol w:w="661"/>
      </w:tblGrid>
      <w:tr w:rsidR="003B32B8" w:rsidRPr="00A85FC6" w14:paraId="1B7C1F62" w14:textId="77777777" w:rsidTr="000B3A7B">
        <w:trPr>
          <w:trHeight w:val="20"/>
        </w:trPr>
        <w:tc>
          <w:tcPr>
            <w:tcW w:w="2268" w:type="dxa"/>
            <w:tcBorders>
              <w:right w:val="single" w:sz="4" w:space="0" w:color="000000"/>
            </w:tcBorders>
            <w:shd w:val="clear" w:color="000000" w:fill="FFFFFF"/>
          </w:tcPr>
          <w:p w14:paraId="3C95F5E7" w14:textId="77777777" w:rsidR="003B32B8" w:rsidRPr="00A85FC6" w:rsidRDefault="003B32B8" w:rsidP="00B04B8E">
            <w:pPr>
              <w:spacing w:after="0" w:line="240" w:lineRule="auto"/>
              <w:contextualSpacing/>
              <w:rPr>
                <w:rFonts w:ascii="Calibri" w:eastAsia="Times New Roman" w:hAnsi="Calibri" w:cs="Times New Roman"/>
                <w:color w:val="000000"/>
                <w:sz w:val="16"/>
                <w:szCs w:val="16"/>
                <w:lang w:eastAsia="en-GB"/>
              </w:rPr>
            </w:pPr>
          </w:p>
        </w:tc>
        <w:tc>
          <w:tcPr>
            <w:tcW w:w="3676" w:type="dxa"/>
            <w:gridSpan w:val="2"/>
            <w:tcBorders>
              <w:left w:val="single" w:sz="4" w:space="0" w:color="000000"/>
            </w:tcBorders>
            <w:shd w:val="clear" w:color="000000" w:fill="FFFFFF"/>
            <w:noWrap/>
            <w:hideMark/>
          </w:tcPr>
          <w:p w14:paraId="60078232" w14:textId="5C3D52A9" w:rsidR="003B32B8" w:rsidRPr="00A85FC6" w:rsidRDefault="003B32B8" w:rsidP="00397967">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Suicid</w:t>
            </w:r>
            <w:r w:rsidR="00397967">
              <w:rPr>
                <w:rFonts w:ascii="Calibri" w:eastAsia="Times New Roman" w:hAnsi="Calibri" w:cs="Times New Roman"/>
                <w:color w:val="000000"/>
                <w:sz w:val="16"/>
                <w:szCs w:val="16"/>
                <w:lang w:eastAsia="en-GB"/>
              </w:rPr>
              <w:t>e attempt</w:t>
            </w:r>
            <w:r w:rsidRPr="00A85FC6">
              <w:rPr>
                <w:rFonts w:ascii="Calibri" w:eastAsia="Times New Roman" w:hAnsi="Calibri" w:cs="Times New Roman"/>
                <w:color w:val="000000"/>
                <w:sz w:val="16"/>
                <w:szCs w:val="16"/>
                <w:lang w:eastAsia="en-GB"/>
              </w:rPr>
              <w:t xml:space="preserve"> (60 missing)</w:t>
            </w:r>
          </w:p>
        </w:tc>
        <w:tc>
          <w:tcPr>
            <w:tcW w:w="718" w:type="dxa"/>
            <w:shd w:val="clear" w:color="000000" w:fill="FFFFFF"/>
            <w:noWrap/>
            <w:hideMark/>
          </w:tcPr>
          <w:p w14:paraId="1B1AABDB" w14:textId="77777777" w:rsidR="003B32B8" w:rsidRPr="00A85FC6" w:rsidRDefault="003B32B8" w:rsidP="00BB395A">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hideMark/>
          </w:tcPr>
          <w:p w14:paraId="693FB56A" w14:textId="77777777" w:rsidR="003B32B8" w:rsidRPr="00A85FC6" w:rsidRDefault="003B32B8" w:rsidP="00BB395A">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auto"/>
            <w:noWrap/>
            <w:hideMark/>
          </w:tcPr>
          <w:p w14:paraId="4C1FA0F0" w14:textId="77777777" w:rsidR="003B32B8" w:rsidRPr="00A85FC6" w:rsidRDefault="003B32B8" w:rsidP="00BB395A">
            <w:pPr>
              <w:spacing w:after="0" w:line="240" w:lineRule="auto"/>
              <w:contextualSpacing/>
              <w:rPr>
                <w:rFonts w:ascii="Calibri" w:eastAsia="Times New Roman" w:hAnsi="Calibri" w:cs="Times New Roman"/>
                <w:color w:val="000000"/>
                <w:sz w:val="16"/>
                <w:szCs w:val="16"/>
                <w:lang w:eastAsia="en-GB"/>
              </w:rPr>
            </w:pPr>
          </w:p>
        </w:tc>
        <w:tc>
          <w:tcPr>
            <w:tcW w:w="6150" w:type="dxa"/>
            <w:gridSpan w:val="5"/>
            <w:tcBorders>
              <w:left w:val="single" w:sz="4" w:space="0" w:color="000000"/>
            </w:tcBorders>
            <w:shd w:val="clear" w:color="auto" w:fill="auto"/>
            <w:noWrap/>
            <w:hideMark/>
          </w:tcPr>
          <w:p w14:paraId="17CC80F6" w14:textId="76D8C5B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Self harm</w:t>
            </w:r>
            <w:proofErr w:type="spellEnd"/>
            <w:r>
              <w:rPr>
                <w:rFonts w:ascii="Calibri" w:eastAsia="Times New Roman" w:hAnsi="Calibri" w:cs="Times New Roman"/>
                <w:color w:val="000000"/>
                <w:sz w:val="16"/>
                <w:szCs w:val="16"/>
                <w:lang w:eastAsia="en-GB"/>
              </w:rPr>
              <w:t xml:space="preserve"> (48 missing)</w:t>
            </w:r>
            <w:r w:rsidRPr="00A85FC6">
              <w:rPr>
                <w:rFonts w:ascii="Calibri" w:eastAsia="Times New Roman" w:hAnsi="Calibri" w:cs="Times New Roman"/>
                <w:color w:val="000000"/>
                <w:sz w:val="16"/>
                <w:szCs w:val="16"/>
                <w:lang w:eastAsia="en-GB"/>
              </w:rPr>
              <w:t> </w:t>
            </w:r>
          </w:p>
        </w:tc>
      </w:tr>
      <w:tr w:rsidR="003B32B8" w:rsidRPr="00A85FC6" w14:paraId="538A612F" w14:textId="77777777" w:rsidTr="000B3A7B">
        <w:trPr>
          <w:trHeight w:val="20"/>
        </w:trPr>
        <w:tc>
          <w:tcPr>
            <w:tcW w:w="2268" w:type="dxa"/>
            <w:tcBorders>
              <w:right w:val="single" w:sz="4" w:space="0" w:color="000000"/>
            </w:tcBorders>
            <w:shd w:val="clear" w:color="000000" w:fill="FFFFFF"/>
            <w:vAlign w:val="bottom"/>
          </w:tcPr>
          <w:p w14:paraId="7D22DE57"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718" w:type="dxa"/>
            <w:tcBorders>
              <w:left w:val="single" w:sz="4" w:space="0" w:color="000000"/>
            </w:tcBorders>
            <w:shd w:val="clear" w:color="000000" w:fill="FFFFFF"/>
            <w:noWrap/>
            <w:vAlign w:val="bottom"/>
          </w:tcPr>
          <w:p w14:paraId="3DB8A338" w14:textId="4BC5FCD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w:t>
            </w:r>
            <w:r>
              <w:rPr>
                <w:rFonts w:ascii="Calibri" w:eastAsia="Times New Roman" w:hAnsi="Calibri" w:cs="Times New Roman"/>
                <w:color w:val="000000"/>
                <w:sz w:val="16"/>
                <w:szCs w:val="16"/>
                <w:lang w:eastAsia="en-GB"/>
              </w:rPr>
              <w:t xml:space="preserve"> (%)</w:t>
            </w:r>
          </w:p>
        </w:tc>
        <w:tc>
          <w:tcPr>
            <w:tcW w:w="1958" w:type="dxa"/>
            <w:shd w:val="clear" w:color="000000" w:fill="FFFFFF"/>
            <w:noWrap/>
            <w:vAlign w:val="bottom"/>
          </w:tcPr>
          <w:p w14:paraId="6F5A7FAC" w14:textId="154DE95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OR</w:t>
            </w:r>
          </w:p>
        </w:tc>
        <w:tc>
          <w:tcPr>
            <w:tcW w:w="718" w:type="dxa"/>
            <w:shd w:val="clear" w:color="000000" w:fill="FFFFFF"/>
            <w:noWrap/>
            <w:vAlign w:val="bottom"/>
          </w:tcPr>
          <w:p w14:paraId="7DE0CBA3" w14:textId="5538F226"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p-value</w:t>
            </w:r>
          </w:p>
        </w:tc>
        <w:tc>
          <w:tcPr>
            <w:tcW w:w="1589" w:type="dxa"/>
            <w:shd w:val="clear" w:color="000000" w:fill="FFFFFF"/>
            <w:noWrap/>
            <w:vAlign w:val="bottom"/>
          </w:tcPr>
          <w:p w14:paraId="33F12A9F" w14:textId="688EEE9C"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roofErr w:type="spellStart"/>
            <w:r w:rsidRPr="00A85FC6">
              <w:rPr>
                <w:rFonts w:ascii="Calibri" w:eastAsia="Times New Roman" w:hAnsi="Calibri" w:cs="Times New Roman"/>
                <w:color w:val="000000"/>
                <w:sz w:val="16"/>
                <w:szCs w:val="16"/>
                <w:lang w:eastAsia="en-GB"/>
              </w:rPr>
              <w:t>aOR</w:t>
            </w:r>
            <w:proofErr w:type="spellEnd"/>
          </w:p>
        </w:tc>
        <w:tc>
          <w:tcPr>
            <w:tcW w:w="748" w:type="dxa"/>
            <w:tcBorders>
              <w:right w:val="single" w:sz="4" w:space="0" w:color="000000"/>
            </w:tcBorders>
            <w:shd w:val="clear" w:color="auto" w:fill="auto"/>
            <w:noWrap/>
            <w:vAlign w:val="bottom"/>
          </w:tcPr>
          <w:p w14:paraId="45FCD9B9" w14:textId="47947628"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p-value</w:t>
            </w:r>
          </w:p>
        </w:tc>
        <w:tc>
          <w:tcPr>
            <w:tcW w:w="1476" w:type="dxa"/>
            <w:tcBorders>
              <w:left w:val="single" w:sz="4" w:space="0" w:color="000000"/>
            </w:tcBorders>
            <w:shd w:val="clear" w:color="000000" w:fill="FFFFFF"/>
            <w:noWrap/>
            <w:vAlign w:val="bottom"/>
          </w:tcPr>
          <w:p w14:paraId="10395E6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676" w:type="dxa"/>
            <w:shd w:val="clear" w:color="000000" w:fill="FFFFFF"/>
            <w:noWrap/>
            <w:vAlign w:val="bottom"/>
          </w:tcPr>
          <w:p w14:paraId="03E696B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661" w:type="dxa"/>
            <w:shd w:val="clear" w:color="000000" w:fill="FFFFFF"/>
            <w:noWrap/>
            <w:vAlign w:val="bottom"/>
          </w:tcPr>
          <w:p w14:paraId="4030BE67"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676" w:type="dxa"/>
            <w:shd w:val="clear" w:color="000000" w:fill="FFFFFF"/>
            <w:noWrap/>
            <w:vAlign w:val="bottom"/>
          </w:tcPr>
          <w:p w14:paraId="290539A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661" w:type="dxa"/>
            <w:shd w:val="clear" w:color="000000" w:fill="FFFFFF"/>
            <w:noWrap/>
            <w:vAlign w:val="bottom"/>
          </w:tcPr>
          <w:p w14:paraId="48828DE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r>
      <w:tr w:rsidR="003B32B8" w:rsidRPr="00A85FC6" w14:paraId="1B29715E" w14:textId="77777777" w:rsidTr="000B3A7B">
        <w:trPr>
          <w:trHeight w:val="20"/>
        </w:trPr>
        <w:tc>
          <w:tcPr>
            <w:tcW w:w="2268" w:type="dxa"/>
            <w:tcBorders>
              <w:right w:val="single" w:sz="4" w:space="0" w:color="000000"/>
            </w:tcBorders>
            <w:shd w:val="clear" w:color="000000" w:fill="FFFFFF"/>
            <w:vAlign w:val="bottom"/>
          </w:tcPr>
          <w:p w14:paraId="03CCA70E" w14:textId="0581E2F5"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Total sample</w:t>
            </w:r>
          </w:p>
        </w:tc>
        <w:tc>
          <w:tcPr>
            <w:tcW w:w="1718" w:type="dxa"/>
            <w:tcBorders>
              <w:left w:val="single" w:sz="4" w:space="0" w:color="000000"/>
            </w:tcBorders>
            <w:shd w:val="clear" w:color="000000" w:fill="FFFFFF"/>
            <w:noWrap/>
            <w:vAlign w:val="bottom"/>
            <w:hideMark/>
          </w:tcPr>
          <w:p w14:paraId="5D317D4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171</w:t>
            </w:r>
            <w:r>
              <w:rPr>
                <w:rFonts w:ascii="Calibri" w:eastAsia="Times New Roman" w:hAnsi="Calibri" w:cs="Times New Roman"/>
                <w:color w:val="000000"/>
                <w:sz w:val="16"/>
                <w:szCs w:val="16"/>
                <w:lang w:eastAsia="en-GB"/>
              </w:rPr>
              <w:t>/5739 (3.0%</w:t>
            </w:r>
            <w:r w:rsidRPr="00A85FC6">
              <w:rPr>
                <w:rFonts w:ascii="Calibri" w:eastAsia="Times New Roman" w:hAnsi="Calibri" w:cs="Times New Roman"/>
                <w:color w:val="000000"/>
                <w:sz w:val="16"/>
                <w:szCs w:val="16"/>
                <w:lang w:eastAsia="en-GB"/>
              </w:rPr>
              <w:t>)</w:t>
            </w:r>
          </w:p>
        </w:tc>
        <w:tc>
          <w:tcPr>
            <w:tcW w:w="1958" w:type="dxa"/>
            <w:shd w:val="clear" w:color="000000" w:fill="FFFFFF"/>
            <w:noWrap/>
            <w:vAlign w:val="bottom"/>
            <w:hideMark/>
          </w:tcPr>
          <w:p w14:paraId="4E9F1728" w14:textId="060C84C3" w:rsidR="003B32B8" w:rsidRPr="00A85FC6" w:rsidRDefault="00DD56F4"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
        </w:tc>
        <w:tc>
          <w:tcPr>
            <w:tcW w:w="718" w:type="dxa"/>
            <w:shd w:val="clear" w:color="000000" w:fill="FFFFFF"/>
            <w:noWrap/>
            <w:vAlign w:val="bottom"/>
            <w:hideMark/>
          </w:tcPr>
          <w:p w14:paraId="48482CA0" w14:textId="294DD7C7" w:rsidR="003B32B8" w:rsidRPr="00A85FC6" w:rsidRDefault="00DD56F4"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w:t>
            </w:r>
          </w:p>
        </w:tc>
        <w:tc>
          <w:tcPr>
            <w:tcW w:w="1589" w:type="dxa"/>
            <w:shd w:val="clear" w:color="000000" w:fill="FFFFFF"/>
            <w:noWrap/>
            <w:vAlign w:val="bottom"/>
            <w:hideMark/>
          </w:tcPr>
          <w:p w14:paraId="13E4E0D3" w14:textId="3C461B3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748" w:type="dxa"/>
            <w:tcBorders>
              <w:right w:val="single" w:sz="4" w:space="0" w:color="000000"/>
            </w:tcBorders>
            <w:shd w:val="clear" w:color="auto" w:fill="auto"/>
            <w:noWrap/>
            <w:vAlign w:val="bottom"/>
          </w:tcPr>
          <w:p w14:paraId="4E91CB4E" w14:textId="5C9E6234"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476" w:type="dxa"/>
            <w:tcBorders>
              <w:left w:val="single" w:sz="4" w:space="0" w:color="000000"/>
            </w:tcBorders>
            <w:shd w:val="clear" w:color="000000" w:fill="FFFFFF"/>
            <w:noWrap/>
            <w:vAlign w:val="bottom"/>
            <w:hideMark/>
          </w:tcPr>
          <w:p w14:paraId="4A31423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375</w:t>
            </w:r>
            <w:r>
              <w:rPr>
                <w:rFonts w:ascii="Calibri" w:eastAsia="Times New Roman" w:hAnsi="Calibri" w:cs="Times New Roman"/>
                <w:color w:val="000000"/>
                <w:sz w:val="16"/>
                <w:szCs w:val="16"/>
                <w:lang w:eastAsia="en-GB"/>
              </w:rPr>
              <w:t>/5751 (6.5%</w:t>
            </w:r>
            <w:r w:rsidRPr="00A85FC6">
              <w:rPr>
                <w:rFonts w:ascii="Calibri" w:eastAsia="Times New Roman" w:hAnsi="Calibri" w:cs="Times New Roman"/>
                <w:color w:val="000000"/>
                <w:sz w:val="16"/>
                <w:szCs w:val="16"/>
                <w:lang w:eastAsia="en-GB"/>
              </w:rPr>
              <w:t>)</w:t>
            </w:r>
          </w:p>
        </w:tc>
        <w:tc>
          <w:tcPr>
            <w:tcW w:w="1676" w:type="dxa"/>
            <w:shd w:val="clear" w:color="000000" w:fill="FFFFFF"/>
            <w:noWrap/>
            <w:vAlign w:val="bottom"/>
            <w:hideMark/>
          </w:tcPr>
          <w:p w14:paraId="5EC5C10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OR</w:t>
            </w:r>
          </w:p>
        </w:tc>
        <w:tc>
          <w:tcPr>
            <w:tcW w:w="661" w:type="dxa"/>
            <w:shd w:val="clear" w:color="000000" w:fill="FFFFFF"/>
            <w:noWrap/>
            <w:vAlign w:val="bottom"/>
            <w:hideMark/>
          </w:tcPr>
          <w:p w14:paraId="638BC25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p-value</w:t>
            </w:r>
          </w:p>
        </w:tc>
        <w:tc>
          <w:tcPr>
            <w:tcW w:w="1676" w:type="dxa"/>
            <w:shd w:val="clear" w:color="000000" w:fill="FFFFFF"/>
            <w:noWrap/>
            <w:vAlign w:val="bottom"/>
            <w:hideMark/>
          </w:tcPr>
          <w:p w14:paraId="03ACAEA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roofErr w:type="spellStart"/>
            <w:r w:rsidRPr="00A85FC6">
              <w:rPr>
                <w:rFonts w:ascii="Calibri" w:eastAsia="Times New Roman" w:hAnsi="Calibri" w:cs="Times New Roman"/>
                <w:color w:val="000000"/>
                <w:sz w:val="16"/>
                <w:szCs w:val="16"/>
                <w:lang w:eastAsia="en-GB"/>
              </w:rPr>
              <w:t>aOR</w:t>
            </w:r>
            <w:proofErr w:type="spellEnd"/>
          </w:p>
        </w:tc>
        <w:tc>
          <w:tcPr>
            <w:tcW w:w="661" w:type="dxa"/>
            <w:shd w:val="clear" w:color="000000" w:fill="FFFFFF"/>
            <w:noWrap/>
            <w:vAlign w:val="bottom"/>
            <w:hideMark/>
          </w:tcPr>
          <w:p w14:paraId="12B3EA1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p-value</w:t>
            </w:r>
          </w:p>
        </w:tc>
      </w:tr>
      <w:tr w:rsidR="003B32B8" w:rsidRPr="00A85FC6" w14:paraId="05E9BCD8" w14:textId="77777777" w:rsidTr="000B3A7B">
        <w:trPr>
          <w:trHeight w:val="20"/>
        </w:trPr>
        <w:tc>
          <w:tcPr>
            <w:tcW w:w="2268" w:type="dxa"/>
            <w:tcBorders>
              <w:right w:val="single" w:sz="4" w:space="0" w:color="000000"/>
            </w:tcBorders>
            <w:shd w:val="clear" w:color="auto" w:fill="D9D9D9" w:themeFill="background1" w:themeFillShade="D9"/>
            <w:vAlign w:val="bottom"/>
          </w:tcPr>
          <w:p w14:paraId="1FEEEF47"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Age category</w:t>
            </w:r>
          </w:p>
        </w:tc>
        <w:tc>
          <w:tcPr>
            <w:tcW w:w="1718" w:type="dxa"/>
            <w:tcBorders>
              <w:left w:val="single" w:sz="4" w:space="0" w:color="000000"/>
            </w:tcBorders>
            <w:shd w:val="clear" w:color="auto" w:fill="D9D9D9" w:themeFill="background1" w:themeFillShade="D9"/>
            <w:noWrap/>
            <w:vAlign w:val="bottom"/>
            <w:hideMark/>
          </w:tcPr>
          <w:p w14:paraId="2C5E3F4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p>
        </w:tc>
        <w:tc>
          <w:tcPr>
            <w:tcW w:w="1958" w:type="dxa"/>
            <w:shd w:val="clear" w:color="auto" w:fill="D9D9D9" w:themeFill="background1" w:themeFillShade="D9"/>
            <w:noWrap/>
            <w:vAlign w:val="bottom"/>
            <w:hideMark/>
          </w:tcPr>
          <w:p w14:paraId="36AD4687"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718" w:type="dxa"/>
            <w:shd w:val="clear" w:color="auto" w:fill="D9D9D9" w:themeFill="background1" w:themeFillShade="D9"/>
            <w:noWrap/>
            <w:vAlign w:val="bottom"/>
            <w:hideMark/>
          </w:tcPr>
          <w:p w14:paraId="30777F7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589" w:type="dxa"/>
            <w:shd w:val="clear" w:color="auto" w:fill="D9D9D9" w:themeFill="background1" w:themeFillShade="D9"/>
            <w:noWrap/>
            <w:vAlign w:val="bottom"/>
            <w:hideMark/>
          </w:tcPr>
          <w:p w14:paraId="7360AFB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748" w:type="dxa"/>
            <w:tcBorders>
              <w:right w:val="single" w:sz="4" w:space="0" w:color="000000"/>
            </w:tcBorders>
            <w:shd w:val="clear" w:color="auto" w:fill="D9D9D9" w:themeFill="background1" w:themeFillShade="D9"/>
            <w:noWrap/>
            <w:vAlign w:val="bottom"/>
            <w:hideMark/>
          </w:tcPr>
          <w:p w14:paraId="5F42235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476" w:type="dxa"/>
            <w:tcBorders>
              <w:left w:val="single" w:sz="4" w:space="0" w:color="000000"/>
            </w:tcBorders>
            <w:shd w:val="clear" w:color="auto" w:fill="D9D9D9" w:themeFill="background1" w:themeFillShade="D9"/>
            <w:noWrap/>
            <w:vAlign w:val="bottom"/>
            <w:hideMark/>
          </w:tcPr>
          <w:p w14:paraId="0752F0C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p>
        </w:tc>
        <w:tc>
          <w:tcPr>
            <w:tcW w:w="1676" w:type="dxa"/>
            <w:shd w:val="clear" w:color="auto" w:fill="D9D9D9" w:themeFill="background1" w:themeFillShade="D9"/>
            <w:noWrap/>
            <w:vAlign w:val="bottom"/>
            <w:hideMark/>
          </w:tcPr>
          <w:p w14:paraId="13EB441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661" w:type="dxa"/>
            <w:shd w:val="clear" w:color="auto" w:fill="D9D9D9" w:themeFill="background1" w:themeFillShade="D9"/>
            <w:noWrap/>
            <w:vAlign w:val="bottom"/>
            <w:hideMark/>
          </w:tcPr>
          <w:p w14:paraId="43A07C6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676" w:type="dxa"/>
            <w:shd w:val="clear" w:color="auto" w:fill="D9D9D9" w:themeFill="background1" w:themeFillShade="D9"/>
            <w:noWrap/>
            <w:vAlign w:val="bottom"/>
            <w:hideMark/>
          </w:tcPr>
          <w:p w14:paraId="7ED2396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661" w:type="dxa"/>
            <w:shd w:val="clear" w:color="auto" w:fill="D9D9D9" w:themeFill="background1" w:themeFillShade="D9"/>
            <w:noWrap/>
            <w:vAlign w:val="bottom"/>
            <w:hideMark/>
          </w:tcPr>
          <w:p w14:paraId="61F16CD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r>
      <w:tr w:rsidR="003B32B8" w:rsidRPr="00A85FC6" w14:paraId="04F73661" w14:textId="77777777" w:rsidTr="000B3A7B">
        <w:trPr>
          <w:trHeight w:val="20"/>
        </w:trPr>
        <w:tc>
          <w:tcPr>
            <w:tcW w:w="2268" w:type="dxa"/>
            <w:tcBorders>
              <w:right w:val="single" w:sz="4" w:space="0" w:color="000000"/>
            </w:tcBorders>
            <w:shd w:val="clear" w:color="auto" w:fill="D9D9D9" w:themeFill="background1" w:themeFillShade="D9"/>
            <w:vAlign w:val="bottom"/>
          </w:tcPr>
          <w:p w14:paraId="72FE4F2E"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16-25</w:t>
            </w:r>
          </w:p>
        </w:tc>
        <w:tc>
          <w:tcPr>
            <w:tcW w:w="1718" w:type="dxa"/>
            <w:tcBorders>
              <w:left w:val="single" w:sz="4" w:space="0" w:color="000000"/>
            </w:tcBorders>
            <w:shd w:val="clear" w:color="auto" w:fill="D9D9D9" w:themeFill="background1" w:themeFillShade="D9"/>
            <w:noWrap/>
            <w:vAlign w:val="bottom"/>
            <w:hideMark/>
          </w:tcPr>
          <w:p w14:paraId="2130981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90/1521 (5.9)</w:t>
            </w:r>
          </w:p>
        </w:tc>
        <w:tc>
          <w:tcPr>
            <w:tcW w:w="1958" w:type="dxa"/>
            <w:shd w:val="clear" w:color="auto" w:fill="D9D9D9" w:themeFill="background1" w:themeFillShade="D9"/>
            <w:noWrap/>
            <w:vAlign w:val="bottom"/>
            <w:hideMark/>
          </w:tcPr>
          <w:p w14:paraId="60467D7F" w14:textId="1CAAF6DC"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auto" w:fill="D9D9D9" w:themeFill="background1" w:themeFillShade="D9"/>
            <w:noWrap/>
            <w:vAlign w:val="bottom"/>
            <w:hideMark/>
          </w:tcPr>
          <w:p w14:paraId="0B49494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158C0D7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38ED79A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0961CDD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210/1524 (13.8)</w:t>
            </w:r>
          </w:p>
        </w:tc>
        <w:tc>
          <w:tcPr>
            <w:tcW w:w="1676" w:type="dxa"/>
            <w:shd w:val="clear" w:color="auto" w:fill="D9D9D9" w:themeFill="background1" w:themeFillShade="D9"/>
            <w:noWrap/>
            <w:vAlign w:val="bottom"/>
            <w:hideMark/>
          </w:tcPr>
          <w:p w14:paraId="0821C151" w14:textId="4007685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1201F39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6FEB371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2DADF0A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7275F4E" w14:textId="77777777" w:rsidTr="000B3A7B">
        <w:trPr>
          <w:trHeight w:val="20"/>
        </w:trPr>
        <w:tc>
          <w:tcPr>
            <w:tcW w:w="2268" w:type="dxa"/>
            <w:tcBorders>
              <w:right w:val="single" w:sz="4" w:space="0" w:color="000000"/>
            </w:tcBorders>
            <w:shd w:val="clear" w:color="auto" w:fill="D9D9D9" w:themeFill="background1" w:themeFillShade="D9"/>
            <w:vAlign w:val="bottom"/>
          </w:tcPr>
          <w:p w14:paraId="1AEDE1AF"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26-35</w:t>
            </w:r>
          </w:p>
        </w:tc>
        <w:tc>
          <w:tcPr>
            <w:tcW w:w="1718" w:type="dxa"/>
            <w:tcBorders>
              <w:left w:val="single" w:sz="4" w:space="0" w:color="000000"/>
            </w:tcBorders>
            <w:shd w:val="clear" w:color="auto" w:fill="D9D9D9" w:themeFill="background1" w:themeFillShade="D9"/>
            <w:noWrap/>
            <w:vAlign w:val="bottom"/>
            <w:hideMark/>
          </w:tcPr>
          <w:p w14:paraId="32F7C42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38/1653 (2.3)</w:t>
            </w:r>
          </w:p>
        </w:tc>
        <w:tc>
          <w:tcPr>
            <w:tcW w:w="1958" w:type="dxa"/>
            <w:shd w:val="clear" w:color="auto" w:fill="D9D9D9" w:themeFill="background1" w:themeFillShade="D9"/>
            <w:noWrap/>
            <w:vAlign w:val="bottom"/>
            <w:hideMark/>
          </w:tcPr>
          <w:p w14:paraId="662BD96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0.37 (0.25 - 0.55)</w:t>
            </w:r>
          </w:p>
        </w:tc>
        <w:tc>
          <w:tcPr>
            <w:tcW w:w="718" w:type="dxa"/>
            <w:shd w:val="clear" w:color="auto" w:fill="D9D9D9" w:themeFill="background1" w:themeFillShade="D9"/>
            <w:noWrap/>
            <w:vAlign w:val="bottom"/>
            <w:hideMark/>
          </w:tcPr>
          <w:p w14:paraId="3B3F9C0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1251BC6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64B622B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3A5EE27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77/1655 (4.7)</w:t>
            </w:r>
          </w:p>
        </w:tc>
        <w:tc>
          <w:tcPr>
            <w:tcW w:w="1676" w:type="dxa"/>
            <w:shd w:val="clear" w:color="auto" w:fill="D9D9D9" w:themeFill="background1" w:themeFillShade="D9"/>
            <w:noWrap/>
            <w:vAlign w:val="bottom"/>
            <w:hideMark/>
          </w:tcPr>
          <w:p w14:paraId="65236944" w14:textId="5AFCADDF"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0.31 (0.23 - 0.4</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661" w:type="dxa"/>
            <w:shd w:val="clear" w:color="auto" w:fill="D9D9D9" w:themeFill="background1" w:themeFillShade="D9"/>
            <w:noWrap/>
            <w:vAlign w:val="bottom"/>
            <w:hideMark/>
          </w:tcPr>
          <w:p w14:paraId="1A8A34B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4315103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1A1D0A7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4CAA806" w14:textId="77777777" w:rsidTr="000B3A7B">
        <w:trPr>
          <w:trHeight w:val="20"/>
        </w:trPr>
        <w:tc>
          <w:tcPr>
            <w:tcW w:w="2268" w:type="dxa"/>
            <w:tcBorders>
              <w:right w:val="single" w:sz="4" w:space="0" w:color="000000"/>
            </w:tcBorders>
            <w:shd w:val="clear" w:color="auto" w:fill="D9D9D9" w:themeFill="background1" w:themeFillShade="D9"/>
            <w:vAlign w:val="bottom"/>
          </w:tcPr>
          <w:p w14:paraId="6C8018A3"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36-45</w:t>
            </w:r>
          </w:p>
        </w:tc>
        <w:tc>
          <w:tcPr>
            <w:tcW w:w="1718" w:type="dxa"/>
            <w:tcBorders>
              <w:left w:val="single" w:sz="4" w:space="0" w:color="000000"/>
            </w:tcBorders>
            <w:shd w:val="clear" w:color="auto" w:fill="D9D9D9" w:themeFill="background1" w:themeFillShade="D9"/>
            <w:noWrap/>
            <w:vAlign w:val="bottom"/>
            <w:hideMark/>
          </w:tcPr>
          <w:p w14:paraId="093E153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31/1321 (2.3)</w:t>
            </w:r>
          </w:p>
        </w:tc>
        <w:tc>
          <w:tcPr>
            <w:tcW w:w="1958" w:type="dxa"/>
            <w:shd w:val="clear" w:color="auto" w:fill="D9D9D9" w:themeFill="background1" w:themeFillShade="D9"/>
            <w:noWrap/>
            <w:vAlign w:val="bottom"/>
            <w:hideMark/>
          </w:tcPr>
          <w:p w14:paraId="2DC1678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0.38 (0.25 - 0.58)</w:t>
            </w:r>
          </w:p>
        </w:tc>
        <w:tc>
          <w:tcPr>
            <w:tcW w:w="718" w:type="dxa"/>
            <w:shd w:val="clear" w:color="auto" w:fill="D9D9D9" w:themeFill="background1" w:themeFillShade="D9"/>
            <w:noWrap/>
            <w:vAlign w:val="bottom"/>
            <w:hideMark/>
          </w:tcPr>
          <w:p w14:paraId="6FAE745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12B34CC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039580A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1974708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57/1321 (4.3)</w:t>
            </w:r>
          </w:p>
        </w:tc>
        <w:tc>
          <w:tcPr>
            <w:tcW w:w="1676" w:type="dxa"/>
            <w:shd w:val="clear" w:color="auto" w:fill="D9D9D9" w:themeFill="background1" w:themeFillShade="D9"/>
            <w:noWrap/>
            <w:vAlign w:val="bottom"/>
            <w:hideMark/>
          </w:tcPr>
          <w:p w14:paraId="230D2B2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0.28 (0.21 - 0.38)</w:t>
            </w:r>
          </w:p>
        </w:tc>
        <w:tc>
          <w:tcPr>
            <w:tcW w:w="661" w:type="dxa"/>
            <w:shd w:val="clear" w:color="auto" w:fill="D9D9D9" w:themeFill="background1" w:themeFillShade="D9"/>
            <w:noWrap/>
            <w:vAlign w:val="bottom"/>
            <w:hideMark/>
          </w:tcPr>
          <w:p w14:paraId="4B3C6D2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683434A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35D5C3F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2B9DC0AC" w14:textId="77777777" w:rsidTr="000B3A7B">
        <w:trPr>
          <w:trHeight w:val="20"/>
        </w:trPr>
        <w:tc>
          <w:tcPr>
            <w:tcW w:w="2268" w:type="dxa"/>
            <w:tcBorders>
              <w:right w:val="single" w:sz="4" w:space="0" w:color="000000"/>
            </w:tcBorders>
            <w:shd w:val="clear" w:color="auto" w:fill="D9D9D9" w:themeFill="background1" w:themeFillShade="D9"/>
            <w:vAlign w:val="bottom"/>
          </w:tcPr>
          <w:p w14:paraId="4D9CE637"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&gt;45</w:t>
            </w:r>
          </w:p>
        </w:tc>
        <w:tc>
          <w:tcPr>
            <w:tcW w:w="1718" w:type="dxa"/>
            <w:tcBorders>
              <w:left w:val="single" w:sz="4" w:space="0" w:color="000000"/>
            </w:tcBorders>
            <w:shd w:val="clear" w:color="auto" w:fill="D9D9D9" w:themeFill="background1" w:themeFillShade="D9"/>
            <w:noWrap/>
            <w:vAlign w:val="bottom"/>
            <w:hideMark/>
          </w:tcPr>
          <w:p w14:paraId="1738A55F" w14:textId="6CCAC64B"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12/1244 (1</w:t>
            </w:r>
            <w:r>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1958" w:type="dxa"/>
            <w:shd w:val="clear" w:color="auto" w:fill="D9D9D9" w:themeFill="background1" w:themeFillShade="D9"/>
            <w:noWrap/>
            <w:vAlign w:val="bottom"/>
            <w:hideMark/>
          </w:tcPr>
          <w:p w14:paraId="732CFBB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0.15 (0.08 - 0.28)</w:t>
            </w:r>
          </w:p>
        </w:tc>
        <w:tc>
          <w:tcPr>
            <w:tcW w:w="718" w:type="dxa"/>
            <w:shd w:val="clear" w:color="auto" w:fill="D9D9D9" w:themeFill="background1" w:themeFillShade="D9"/>
            <w:noWrap/>
            <w:vAlign w:val="bottom"/>
            <w:hideMark/>
          </w:tcPr>
          <w:p w14:paraId="1FC24D6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589" w:type="dxa"/>
            <w:shd w:val="clear" w:color="auto" w:fill="D9D9D9" w:themeFill="background1" w:themeFillShade="D9"/>
            <w:noWrap/>
            <w:vAlign w:val="bottom"/>
            <w:hideMark/>
          </w:tcPr>
          <w:p w14:paraId="7C20A78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0BC900C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3930890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31/1251 (2.5)</w:t>
            </w:r>
          </w:p>
        </w:tc>
        <w:tc>
          <w:tcPr>
            <w:tcW w:w="1676" w:type="dxa"/>
            <w:shd w:val="clear" w:color="auto" w:fill="D9D9D9" w:themeFill="background1" w:themeFillShade="D9"/>
            <w:noWrap/>
            <w:vAlign w:val="bottom"/>
            <w:hideMark/>
          </w:tcPr>
          <w:p w14:paraId="160568C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0.16 (0.11 - 0.23)</w:t>
            </w:r>
          </w:p>
        </w:tc>
        <w:tc>
          <w:tcPr>
            <w:tcW w:w="661" w:type="dxa"/>
            <w:shd w:val="clear" w:color="auto" w:fill="D9D9D9" w:themeFill="background1" w:themeFillShade="D9"/>
            <w:noWrap/>
            <w:vAlign w:val="bottom"/>
            <w:hideMark/>
          </w:tcPr>
          <w:p w14:paraId="6891333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auto" w:fill="D9D9D9" w:themeFill="background1" w:themeFillShade="D9"/>
            <w:noWrap/>
            <w:vAlign w:val="bottom"/>
            <w:hideMark/>
          </w:tcPr>
          <w:p w14:paraId="2567BE0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17F1A04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2DF91E4F" w14:textId="77777777" w:rsidTr="000B3A7B">
        <w:trPr>
          <w:trHeight w:val="20"/>
        </w:trPr>
        <w:tc>
          <w:tcPr>
            <w:tcW w:w="2268" w:type="dxa"/>
            <w:tcBorders>
              <w:right w:val="single" w:sz="4" w:space="0" w:color="000000"/>
            </w:tcBorders>
            <w:shd w:val="clear" w:color="000000" w:fill="FFFFFF"/>
            <w:vAlign w:val="bottom"/>
          </w:tcPr>
          <w:p w14:paraId="5DF53EE7"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Ethnicity</w:t>
            </w:r>
          </w:p>
        </w:tc>
        <w:tc>
          <w:tcPr>
            <w:tcW w:w="1718" w:type="dxa"/>
            <w:tcBorders>
              <w:left w:val="single" w:sz="4" w:space="0" w:color="000000"/>
            </w:tcBorders>
            <w:shd w:val="clear" w:color="000000" w:fill="FFFFFF"/>
            <w:noWrap/>
            <w:vAlign w:val="bottom"/>
            <w:hideMark/>
          </w:tcPr>
          <w:p w14:paraId="247B1B8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000000" w:fill="FFFFFF"/>
            <w:noWrap/>
            <w:vAlign w:val="bottom"/>
            <w:hideMark/>
          </w:tcPr>
          <w:p w14:paraId="21DAF9C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000000" w:fill="FFFFFF"/>
            <w:noWrap/>
            <w:vAlign w:val="bottom"/>
            <w:hideMark/>
          </w:tcPr>
          <w:p w14:paraId="68AE3AC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7F1220E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000000" w:fill="FFFFFF"/>
            <w:noWrap/>
            <w:vAlign w:val="bottom"/>
            <w:hideMark/>
          </w:tcPr>
          <w:p w14:paraId="7584859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78051B7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76FB6D9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26A7E6B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124BB30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7D1F1F1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120BA522" w14:textId="77777777" w:rsidTr="000B3A7B">
        <w:trPr>
          <w:trHeight w:val="20"/>
        </w:trPr>
        <w:tc>
          <w:tcPr>
            <w:tcW w:w="2268" w:type="dxa"/>
            <w:tcBorders>
              <w:right w:val="single" w:sz="4" w:space="0" w:color="000000"/>
            </w:tcBorders>
            <w:shd w:val="clear" w:color="000000" w:fill="FFFFFF"/>
            <w:vAlign w:val="bottom"/>
          </w:tcPr>
          <w:p w14:paraId="490C8BE6"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White background</w:t>
            </w:r>
          </w:p>
        </w:tc>
        <w:tc>
          <w:tcPr>
            <w:tcW w:w="1718" w:type="dxa"/>
            <w:tcBorders>
              <w:left w:val="single" w:sz="4" w:space="0" w:color="000000"/>
            </w:tcBorders>
            <w:shd w:val="clear" w:color="000000" w:fill="FFFFFF"/>
            <w:noWrap/>
            <w:vAlign w:val="bottom"/>
            <w:hideMark/>
          </w:tcPr>
          <w:p w14:paraId="015FD02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153/5419 (2.8)</w:t>
            </w:r>
          </w:p>
        </w:tc>
        <w:tc>
          <w:tcPr>
            <w:tcW w:w="1958" w:type="dxa"/>
            <w:shd w:val="clear" w:color="000000" w:fill="FFFFFF"/>
            <w:noWrap/>
            <w:vAlign w:val="bottom"/>
            <w:hideMark/>
          </w:tcPr>
          <w:p w14:paraId="53C1E4C0" w14:textId="65CD27D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000000" w:fill="FFFFFF"/>
            <w:noWrap/>
            <w:vAlign w:val="bottom"/>
            <w:hideMark/>
          </w:tcPr>
          <w:p w14:paraId="50717F8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2D35506E" w14:textId="676E70CC"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000000" w:fill="FFFFFF"/>
            <w:noWrap/>
            <w:vAlign w:val="bottom"/>
            <w:hideMark/>
          </w:tcPr>
          <w:p w14:paraId="715B5A4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58A28F0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350/5430 (6.4)</w:t>
            </w:r>
          </w:p>
        </w:tc>
        <w:tc>
          <w:tcPr>
            <w:tcW w:w="1676" w:type="dxa"/>
            <w:shd w:val="clear" w:color="000000" w:fill="FFFFFF"/>
            <w:noWrap/>
            <w:vAlign w:val="bottom"/>
            <w:hideMark/>
          </w:tcPr>
          <w:p w14:paraId="6F5720AB" w14:textId="12EA428A"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7C8D216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4D465763" w14:textId="6AE224E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1E93400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0A4A5409" w14:textId="77777777" w:rsidTr="000B3A7B">
        <w:trPr>
          <w:trHeight w:val="20"/>
        </w:trPr>
        <w:tc>
          <w:tcPr>
            <w:tcW w:w="2268" w:type="dxa"/>
            <w:tcBorders>
              <w:right w:val="single" w:sz="4" w:space="0" w:color="000000"/>
            </w:tcBorders>
            <w:shd w:val="clear" w:color="000000" w:fill="FFFFFF"/>
            <w:vAlign w:val="bottom"/>
          </w:tcPr>
          <w:p w14:paraId="63CACE5C"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Black background</w:t>
            </w:r>
          </w:p>
        </w:tc>
        <w:tc>
          <w:tcPr>
            <w:tcW w:w="1718" w:type="dxa"/>
            <w:tcBorders>
              <w:left w:val="single" w:sz="4" w:space="0" w:color="000000"/>
            </w:tcBorders>
            <w:shd w:val="clear" w:color="000000" w:fill="FFFFFF"/>
            <w:noWrap/>
            <w:vAlign w:val="bottom"/>
            <w:hideMark/>
          </w:tcPr>
          <w:p w14:paraId="765B846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5/52 (9.6)</w:t>
            </w:r>
          </w:p>
        </w:tc>
        <w:tc>
          <w:tcPr>
            <w:tcW w:w="1958" w:type="dxa"/>
            <w:shd w:val="clear" w:color="000000" w:fill="FFFFFF"/>
            <w:noWrap/>
            <w:vAlign w:val="bottom"/>
            <w:hideMark/>
          </w:tcPr>
          <w:p w14:paraId="2FF41DB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3.66 (1.44 - 9.33)</w:t>
            </w:r>
          </w:p>
        </w:tc>
        <w:tc>
          <w:tcPr>
            <w:tcW w:w="718" w:type="dxa"/>
            <w:shd w:val="clear" w:color="000000" w:fill="FFFFFF"/>
            <w:noWrap/>
            <w:vAlign w:val="bottom"/>
            <w:hideMark/>
          </w:tcPr>
          <w:p w14:paraId="4325DB43"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1E597FF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4.97 (1.88 - 13.19)</w:t>
            </w:r>
          </w:p>
        </w:tc>
        <w:tc>
          <w:tcPr>
            <w:tcW w:w="748" w:type="dxa"/>
            <w:tcBorders>
              <w:right w:val="single" w:sz="4" w:space="0" w:color="000000"/>
            </w:tcBorders>
            <w:shd w:val="clear" w:color="000000" w:fill="FFFFFF"/>
            <w:noWrap/>
            <w:vAlign w:val="bottom"/>
            <w:hideMark/>
          </w:tcPr>
          <w:p w14:paraId="6A90074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3273AD4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6/51 (11.8)</w:t>
            </w:r>
          </w:p>
        </w:tc>
        <w:tc>
          <w:tcPr>
            <w:tcW w:w="1676" w:type="dxa"/>
            <w:shd w:val="clear" w:color="000000" w:fill="FFFFFF"/>
            <w:noWrap/>
            <w:vAlign w:val="bottom"/>
            <w:hideMark/>
          </w:tcPr>
          <w:p w14:paraId="1ACBFE2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1.94 (0.82 - 4.57)</w:t>
            </w:r>
          </w:p>
        </w:tc>
        <w:tc>
          <w:tcPr>
            <w:tcW w:w="661" w:type="dxa"/>
            <w:shd w:val="clear" w:color="000000" w:fill="FFFFFF"/>
            <w:noWrap/>
            <w:vAlign w:val="bottom"/>
            <w:hideMark/>
          </w:tcPr>
          <w:p w14:paraId="1EE2B55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7A540F97" w14:textId="6DDD39BB"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2.3</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(0.94 - 5.61)</w:t>
            </w:r>
          </w:p>
        </w:tc>
        <w:tc>
          <w:tcPr>
            <w:tcW w:w="661" w:type="dxa"/>
            <w:shd w:val="clear" w:color="000000" w:fill="FFFFFF"/>
            <w:noWrap/>
            <w:vAlign w:val="bottom"/>
            <w:hideMark/>
          </w:tcPr>
          <w:p w14:paraId="05E7022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52B9E258" w14:textId="77777777" w:rsidTr="000B3A7B">
        <w:trPr>
          <w:trHeight w:val="20"/>
        </w:trPr>
        <w:tc>
          <w:tcPr>
            <w:tcW w:w="2268" w:type="dxa"/>
            <w:tcBorders>
              <w:right w:val="single" w:sz="4" w:space="0" w:color="000000"/>
            </w:tcBorders>
            <w:shd w:val="clear" w:color="000000" w:fill="FFFFFF"/>
            <w:vAlign w:val="bottom"/>
          </w:tcPr>
          <w:p w14:paraId="608683C8"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Asian background</w:t>
            </w:r>
          </w:p>
        </w:tc>
        <w:tc>
          <w:tcPr>
            <w:tcW w:w="1718" w:type="dxa"/>
            <w:tcBorders>
              <w:left w:val="single" w:sz="4" w:space="0" w:color="000000"/>
            </w:tcBorders>
            <w:shd w:val="clear" w:color="000000" w:fill="FFFFFF"/>
            <w:noWrap/>
            <w:vAlign w:val="bottom"/>
            <w:hideMark/>
          </w:tcPr>
          <w:p w14:paraId="237A776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2/93 (2.2)</w:t>
            </w:r>
          </w:p>
        </w:tc>
        <w:tc>
          <w:tcPr>
            <w:tcW w:w="1958" w:type="dxa"/>
            <w:shd w:val="clear" w:color="000000" w:fill="FFFFFF"/>
            <w:noWrap/>
            <w:vAlign w:val="bottom"/>
            <w:hideMark/>
          </w:tcPr>
          <w:p w14:paraId="2C44A6C1" w14:textId="05F29B2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0.76 (0.18 - 3.1</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718" w:type="dxa"/>
            <w:shd w:val="clear" w:color="000000" w:fill="FFFFFF"/>
            <w:noWrap/>
            <w:vAlign w:val="bottom"/>
            <w:hideMark/>
          </w:tcPr>
          <w:p w14:paraId="60BE144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771BC8C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0.76 (0.18 - 3.14)</w:t>
            </w:r>
          </w:p>
        </w:tc>
        <w:tc>
          <w:tcPr>
            <w:tcW w:w="748" w:type="dxa"/>
            <w:tcBorders>
              <w:right w:val="single" w:sz="4" w:space="0" w:color="000000"/>
            </w:tcBorders>
            <w:shd w:val="clear" w:color="000000" w:fill="FFFFFF"/>
            <w:noWrap/>
            <w:vAlign w:val="bottom"/>
            <w:hideMark/>
          </w:tcPr>
          <w:p w14:paraId="7FF30303"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28C7804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5/93 (5.4)</w:t>
            </w:r>
          </w:p>
        </w:tc>
        <w:tc>
          <w:tcPr>
            <w:tcW w:w="1676" w:type="dxa"/>
            <w:shd w:val="clear" w:color="000000" w:fill="FFFFFF"/>
            <w:noWrap/>
            <w:vAlign w:val="bottom"/>
            <w:hideMark/>
          </w:tcPr>
          <w:p w14:paraId="0890025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0.82 (0.33 - 2.04)</w:t>
            </w:r>
          </w:p>
        </w:tc>
        <w:tc>
          <w:tcPr>
            <w:tcW w:w="661" w:type="dxa"/>
            <w:shd w:val="clear" w:color="000000" w:fill="FFFFFF"/>
            <w:noWrap/>
            <w:vAlign w:val="bottom"/>
            <w:hideMark/>
          </w:tcPr>
          <w:p w14:paraId="17B5F34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3A42F5C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0.79 (0.31 - 1.99)</w:t>
            </w:r>
          </w:p>
        </w:tc>
        <w:tc>
          <w:tcPr>
            <w:tcW w:w="661" w:type="dxa"/>
            <w:shd w:val="clear" w:color="000000" w:fill="FFFFFF"/>
            <w:noWrap/>
            <w:vAlign w:val="bottom"/>
            <w:hideMark/>
          </w:tcPr>
          <w:p w14:paraId="35DBF7B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73C62F4" w14:textId="77777777" w:rsidTr="000B3A7B">
        <w:trPr>
          <w:trHeight w:val="20"/>
        </w:trPr>
        <w:tc>
          <w:tcPr>
            <w:tcW w:w="2268" w:type="dxa"/>
            <w:tcBorders>
              <w:right w:val="single" w:sz="4" w:space="0" w:color="000000"/>
            </w:tcBorders>
            <w:shd w:val="clear" w:color="000000" w:fill="FFFFFF"/>
            <w:vAlign w:val="bottom"/>
          </w:tcPr>
          <w:p w14:paraId="402D27C7"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Mixed &amp; Other</w:t>
            </w:r>
          </w:p>
        </w:tc>
        <w:tc>
          <w:tcPr>
            <w:tcW w:w="1718" w:type="dxa"/>
            <w:tcBorders>
              <w:left w:val="single" w:sz="4" w:space="0" w:color="000000"/>
            </w:tcBorders>
            <w:shd w:val="clear" w:color="000000" w:fill="FFFFFF"/>
            <w:noWrap/>
            <w:vAlign w:val="bottom"/>
            <w:hideMark/>
          </w:tcPr>
          <w:p w14:paraId="1F5BE70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11/168 (6.5)</w:t>
            </w:r>
          </w:p>
        </w:tc>
        <w:tc>
          <w:tcPr>
            <w:tcW w:w="1958" w:type="dxa"/>
            <w:shd w:val="clear" w:color="000000" w:fill="FFFFFF"/>
            <w:noWrap/>
            <w:vAlign w:val="bottom"/>
            <w:hideMark/>
          </w:tcPr>
          <w:p w14:paraId="23BA699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2.41 (1.28 - 4.54)</w:t>
            </w:r>
          </w:p>
        </w:tc>
        <w:tc>
          <w:tcPr>
            <w:tcW w:w="718" w:type="dxa"/>
            <w:shd w:val="clear" w:color="000000" w:fill="FFFFFF"/>
            <w:noWrap/>
            <w:vAlign w:val="bottom"/>
            <w:hideMark/>
          </w:tcPr>
          <w:p w14:paraId="4172416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0.01</w:t>
            </w:r>
          </w:p>
        </w:tc>
        <w:tc>
          <w:tcPr>
            <w:tcW w:w="1589" w:type="dxa"/>
            <w:shd w:val="clear" w:color="000000" w:fill="FFFFFF"/>
            <w:noWrap/>
            <w:vAlign w:val="bottom"/>
            <w:hideMark/>
          </w:tcPr>
          <w:p w14:paraId="57436A4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2.55 (1.33 - 4.89)</w:t>
            </w:r>
          </w:p>
        </w:tc>
        <w:tc>
          <w:tcPr>
            <w:tcW w:w="748" w:type="dxa"/>
            <w:tcBorders>
              <w:right w:val="single" w:sz="4" w:space="0" w:color="000000"/>
            </w:tcBorders>
            <w:shd w:val="clear" w:color="000000" w:fill="FFFFFF"/>
            <w:noWrap/>
            <w:vAlign w:val="bottom"/>
            <w:hideMark/>
          </w:tcPr>
          <w:p w14:paraId="504FF9A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0.004</w:t>
            </w:r>
          </w:p>
        </w:tc>
        <w:tc>
          <w:tcPr>
            <w:tcW w:w="1476" w:type="dxa"/>
            <w:tcBorders>
              <w:left w:val="single" w:sz="4" w:space="0" w:color="000000"/>
            </w:tcBorders>
            <w:shd w:val="clear" w:color="000000" w:fill="FFFFFF"/>
            <w:noWrap/>
            <w:vAlign w:val="bottom"/>
            <w:hideMark/>
          </w:tcPr>
          <w:p w14:paraId="272A7FA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14/170 (8.2)</w:t>
            </w:r>
          </w:p>
        </w:tc>
        <w:tc>
          <w:tcPr>
            <w:tcW w:w="1676" w:type="dxa"/>
            <w:shd w:val="clear" w:color="000000" w:fill="FFFFFF"/>
            <w:noWrap/>
            <w:vAlign w:val="bottom"/>
            <w:hideMark/>
          </w:tcPr>
          <w:p w14:paraId="246FCB50" w14:textId="545577A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1.3</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(0.75 - 2.27)</w:t>
            </w:r>
          </w:p>
        </w:tc>
        <w:tc>
          <w:tcPr>
            <w:tcW w:w="661" w:type="dxa"/>
            <w:shd w:val="clear" w:color="000000" w:fill="FFFFFF"/>
            <w:noWrap/>
            <w:vAlign w:val="bottom"/>
            <w:hideMark/>
          </w:tcPr>
          <w:p w14:paraId="6FD784E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0.406</w:t>
            </w:r>
          </w:p>
        </w:tc>
        <w:tc>
          <w:tcPr>
            <w:tcW w:w="1676" w:type="dxa"/>
            <w:shd w:val="clear" w:color="000000" w:fill="FFFFFF"/>
            <w:noWrap/>
            <w:vAlign w:val="bottom"/>
            <w:hideMark/>
          </w:tcPr>
          <w:p w14:paraId="3A120DF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1.29 (0.73 - 2.29)</w:t>
            </w:r>
          </w:p>
        </w:tc>
        <w:tc>
          <w:tcPr>
            <w:tcW w:w="661" w:type="dxa"/>
            <w:shd w:val="clear" w:color="000000" w:fill="FFFFFF"/>
            <w:noWrap/>
            <w:vAlign w:val="bottom"/>
            <w:hideMark/>
          </w:tcPr>
          <w:p w14:paraId="61ADE523"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0.291</w:t>
            </w:r>
          </w:p>
        </w:tc>
      </w:tr>
      <w:tr w:rsidR="003B32B8" w:rsidRPr="00A85FC6" w14:paraId="36CCA4C3" w14:textId="77777777" w:rsidTr="000B3A7B">
        <w:trPr>
          <w:trHeight w:val="20"/>
        </w:trPr>
        <w:tc>
          <w:tcPr>
            <w:tcW w:w="2268" w:type="dxa"/>
            <w:tcBorders>
              <w:right w:val="single" w:sz="4" w:space="0" w:color="000000"/>
            </w:tcBorders>
            <w:shd w:val="clear" w:color="auto" w:fill="D9D9D9" w:themeFill="background1" w:themeFillShade="D9"/>
            <w:vAlign w:val="bottom"/>
          </w:tcPr>
          <w:p w14:paraId="1E195B2D"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Education</w:t>
            </w:r>
          </w:p>
        </w:tc>
        <w:tc>
          <w:tcPr>
            <w:tcW w:w="1718" w:type="dxa"/>
            <w:tcBorders>
              <w:left w:val="single" w:sz="4" w:space="0" w:color="000000"/>
            </w:tcBorders>
            <w:shd w:val="clear" w:color="auto" w:fill="D9D9D9" w:themeFill="background1" w:themeFillShade="D9"/>
            <w:noWrap/>
            <w:vAlign w:val="bottom"/>
            <w:hideMark/>
          </w:tcPr>
          <w:p w14:paraId="4DCB91A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auto" w:fill="D9D9D9" w:themeFill="background1" w:themeFillShade="D9"/>
            <w:noWrap/>
            <w:vAlign w:val="bottom"/>
            <w:hideMark/>
          </w:tcPr>
          <w:p w14:paraId="15A0B33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auto" w:fill="D9D9D9" w:themeFill="background1" w:themeFillShade="D9"/>
            <w:noWrap/>
            <w:vAlign w:val="bottom"/>
            <w:hideMark/>
          </w:tcPr>
          <w:p w14:paraId="51088AF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4FC7155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238AA9F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19A7FA4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5C39EF9A"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35A9D76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4FB9C9A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25793AA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76F21E2F" w14:textId="77777777" w:rsidTr="000B3A7B">
        <w:trPr>
          <w:trHeight w:val="20"/>
        </w:trPr>
        <w:tc>
          <w:tcPr>
            <w:tcW w:w="2268" w:type="dxa"/>
            <w:tcBorders>
              <w:right w:val="single" w:sz="4" w:space="0" w:color="000000"/>
            </w:tcBorders>
            <w:shd w:val="clear" w:color="auto" w:fill="D9D9D9" w:themeFill="background1" w:themeFillShade="D9"/>
            <w:vAlign w:val="bottom"/>
          </w:tcPr>
          <w:p w14:paraId="63D9A33B"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 A-level</w:t>
            </w:r>
          </w:p>
        </w:tc>
        <w:tc>
          <w:tcPr>
            <w:tcW w:w="1718" w:type="dxa"/>
            <w:tcBorders>
              <w:left w:val="single" w:sz="4" w:space="0" w:color="000000"/>
            </w:tcBorders>
            <w:shd w:val="clear" w:color="auto" w:fill="D9D9D9" w:themeFill="background1" w:themeFillShade="D9"/>
            <w:noWrap/>
            <w:vAlign w:val="bottom"/>
            <w:hideMark/>
          </w:tcPr>
          <w:p w14:paraId="2F57F8D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54/930 (5.8)</w:t>
            </w:r>
          </w:p>
        </w:tc>
        <w:tc>
          <w:tcPr>
            <w:tcW w:w="1958" w:type="dxa"/>
            <w:shd w:val="clear" w:color="auto" w:fill="D9D9D9" w:themeFill="background1" w:themeFillShade="D9"/>
            <w:noWrap/>
            <w:vAlign w:val="bottom"/>
            <w:hideMark/>
          </w:tcPr>
          <w:p w14:paraId="5CF1DA85" w14:textId="0A7D6B3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auto" w:fill="D9D9D9" w:themeFill="background1" w:themeFillShade="D9"/>
            <w:noWrap/>
            <w:vAlign w:val="bottom"/>
            <w:hideMark/>
          </w:tcPr>
          <w:p w14:paraId="455903A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02EEB1C8" w14:textId="2B473FFC"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auto" w:fill="D9D9D9" w:themeFill="background1" w:themeFillShade="D9"/>
            <w:noWrap/>
            <w:vAlign w:val="bottom"/>
            <w:hideMark/>
          </w:tcPr>
          <w:p w14:paraId="1A27066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662D282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98/938 (10.4)</w:t>
            </w:r>
          </w:p>
        </w:tc>
        <w:tc>
          <w:tcPr>
            <w:tcW w:w="1676" w:type="dxa"/>
            <w:shd w:val="clear" w:color="auto" w:fill="D9D9D9" w:themeFill="background1" w:themeFillShade="D9"/>
            <w:noWrap/>
            <w:vAlign w:val="bottom"/>
            <w:hideMark/>
          </w:tcPr>
          <w:p w14:paraId="6D699038" w14:textId="773AEB5B"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05CE957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61484633" w14:textId="37BD0E80"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2CBA022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3F276C1C" w14:textId="77777777" w:rsidTr="000B3A7B">
        <w:trPr>
          <w:trHeight w:val="20"/>
        </w:trPr>
        <w:tc>
          <w:tcPr>
            <w:tcW w:w="2268" w:type="dxa"/>
            <w:tcBorders>
              <w:right w:val="single" w:sz="4" w:space="0" w:color="000000"/>
            </w:tcBorders>
            <w:shd w:val="clear" w:color="auto" w:fill="D9D9D9" w:themeFill="background1" w:themeFillShade="D9"/>
            <w:vAlign w:val="bottom"/>
          </w:tcPr>
          <w:p w14:paraId="417CE6DD"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A-level</w:t>
            </w:r>
          </w:p>
        </w:tc>
        <w:tc>
          <w:tcPr>
            <w:tcW w:w="1718" w:type="dxa"/>
            <w:tcBorders>
              <w:left w:val="single" w:sz="4" w:space="0" w:color="000000"/>
            </w:tcBorders>
            <w:shd w:val="clear" w:color="auto" w:fill="D9D9D9" w:themeFill="background1" w:themeFillShade="D9"/>
            <w:noWrap/>
            <w:vAlign w:val="bottom"/>
            <w:hideMark/>
          </w:tcPr>
          <w:p w14:paraId="6FB1747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62/1448 (4.3)</w:t>
            </w:r>
          </w:p>
        </w:tc>
        <w:tc>
          <w:tcPr>
            <w:tcW w:w="1958" w:type="dxa"/>
            <w:shd w:val="clear" w:color="auto" w:fill="D9D9D9" w:themeFill="background1" w:themeFillShade="D9"/>
            <w:noWrap/>
            <w:vAlign w:val="bottom"/>
            <w:hideMark/>
          </w:tcPr>
          <w:p w14:paraId="05CCE9D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0.73 (0.5 - 1.06)</w:t>
            </w:r>
          </w:p>
        </w:tc>
        <w:tc>
          <w:tcPr>
            <w:tcW w:w="718" w:type="dxa"/>
            <w:shd w:val="clear" w:color="auto" w:fill="D9D9D9" w:themeFill="background1" w:themeFillShade="D9"/>
            <w:noWrap/>
            <w:vAlign w:val="bottom"/>
            <w:hideMark/>
          </w:tcPr>
          <w:p w14:paraId="2132DDF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3779AA1D" w14:textId="6BDFDB72"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0.61 (0.42 - 0.9</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748" w:type="dxa"/>
            <w:tcBorders>
              <w:right w:val="single" w:sz="4" w:space="0" w:color="000000"/>
            </w:tcBorders>
            <w:shd w:val="clear" w:color="auto" w:fill="D9D9D9" w:themeFill="background1" w:themeFillShade="D9"/>
            <w:noWrap/>
            <w:vAlign w:val="bottom"/>
            <w:hideMark/>
          </w:tcPr>
          <w:p w14:paraId="517FF785"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3547931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142/1448 (9.8)</w:t>
            </w:r>
          </w:p>
        </w:tc>
        <w:tc>
          <w:tcPr>
            <w:tcW w:w="1676" w:type="dxa"/>
            <w:shd w:val="clear" w:color="auto" w:fill="D9D9D9" w:themeFill="background1" w:themeFillShade="D9"/>
            <w:noWrap/>
            <w:vAlign w:val="bottom"/>
            <w:hideMark/>
          </w:tcPr>
          <w:p w14:paraId="15E3ABA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0.93 (0.71 - 1.22)</w:t>
            </w:r>
          </w:p>
        </w:tc>
        <w:tc>
          <w:tcPr>
            <w:tcW w:w="661" w:type="dxa"/>
            <w:shd w:val="clear" w:color="auto" w:fill="D9D9D9" w:themeFill="background1" w:themeFillShade="D9"/>
            <w:noWrap/>
            <w:vAlign w:val="bottom"/>
            <w:hideMark/>
          </w:tcPr>
          <w:p w14:paraId="5A3D29F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7780C69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0.76 (0.58 - 1.01)</w:t>
            </w:r>
          </w:p>
        </w:tc>
        <w:tc>
          <w:tcPr>
            <w:tcW w:w="661" w:type="dxa"/>
            <w:shd w:val="clear" w:color="auto" w:fill="D9D9D9" w:themeFill="background1" w:themeFillShade="D9"/>
            <w:noWrap/>
            <w:vAlign w:val="bottom"/>
            <w:hideMark/>
          </w:tcPr>
          <w:p w14:paraId="224EABF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040E07F" w14:textId="77777777" w:rsidTr="000B3A7B">
        <w:trPr>
          <w:trHeight w:val="20"/>
        </w:trPr>
        <w:tc>
          <w:tcPr>
            <w:tcW w:w="2268" w:type="dxa"/>
            <w:tcBorders>
              <w:right w:val="single" w:sz="4" w:space="0" w:color="000000"/>
            </w:tcBorders>
            <w:shd w:val="clear" w:color="auto" w:fill="D9D9D9" w:themeFill="background1" w:themeFillShade="D9"/>
            <w:vAlign w:val="bottom"/>
          </w:tcPr>
          <w:p w14:paraId="666B380D"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Degree level</w:t>
            </w:r>
          </w:p>
        </w:tc>
        <w:tc>
          <w:tcPr>
            <w:tcW w:w="1718" w:type="dxa"/>
            <w:tcBorders>
              <w:left w:val="single" w:sz="4" w:space="0" w:color="000000"/>
            </w:tcBorders>
            <w:shd w:val="clear" w:color="auto" w:fill="D9D9D9" w:themeFill="background1" w:themeFillShade="D9"/>
            <w:noWrap/>
            <w:vAlign w:val="bottom"/>
            <w:hideMark/>
          </w:tcPr>
          <w:p w14:paraId="3A52284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55/3348 (1.6)</w:t>
            </w:r>
          </w:p>
        </w:tc>
        <w:tc>
          <w:tcPr>
            <w:tcW w:w="1958" w:type="dxa"/>
            <w:shd w:val="clear" w:color="auto" w:fill="D9D9D9" w:themeFill="background1" w:themeFillShade="D9"/>
            <w:noWrap/>
            <w:vAlign w:val="bottom"/>
            <w:hideMark/>
          </w:tcPr>
          <w:p w14:paraId="7CE1338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0.27 (0.18 - 0.4)</w:t>
            </w:r>
          </w:p>
        </w:tc>
        <w:tc>
          <w:tcPr>
            <w:tcW w:w="718" w:type="dxa"/>
            <w:shd w:val="clear" w:color="auto" w:fill="D9D9D9" w:themeFill="background1" w:themeFillShade="D9"/>
            <w:noWrap/>
            <w:vAlign w:val="bottom"/>
            <w:hideMark/>
          </w:tcPr>
          <w:p w14:paraId="6682407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589" w:type="dxa"/>
            <w:shd w:val="clear" w:color="auto" w:fill="D9D9D9" w:themeFill="background1" w:themeFillShade="D9"/>
            <w:noWrap/>
            <w:vAlign w:val="bottom"/>
            <w:hideMark/>
          </w:tcPr>
          <w:p w14:paraId="2DF01CA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0.31 (0.21 - 0.46)</w:t>
            </w:r>
          </w:p>
        </w:tc>
        <w:tc>
          <w:tcPr>
            <w:tcW w:w="748" w:type="dxa"/>
            <w:tcBorders>
              <w:right w:val="single" w:sz="4" w:space="0" w:color="000000"/>
            </w:tcBorders>
            <w:shd w:val="clear" w:color="auto" w:fill="D9D9D9" w:themeFill="background1" w:themeFillShade="D9"/>
            <w:noWrap/>
            <w:vAlign w:val="bottom"/>
            <w:hideMark/>
          </w:tcPr>
          <w:p w14:paraId="6F87089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476" w:type="dxa"/>
            <w:tcBorders>
              <w:left w:val="single" w:sz="4" w:space="0" w:color="000000"/>
            </w:tcBorders>
            <w:shd w:val="clear" w:color="auto" w:fill="D9D9D9" w:themeFill="background1" w:themeFillShade="D9"/>
            <w:noWrap/>
            <w:vAlign w:val="bottom"/>
            <w:hideMark/>
          </w:tcPr>
          <w:p w14:paraId="2A61098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135/3352 (4)</w:t>
            </w:r>
          </w:p>
        </w:tc>
        <w:tc>
          <w:tcPr>
            <w:tcW w:w="1676" w:type="dxa"/>
            <w:shd w:val="clear" w:color="auto" w:fill="D9D9D9" w:themeFill="background1" w:themeFillShade="D9"/>
            <w:noWrap/>
            <w:vAlign w:val="bottom"/>
            <w:hideMark/>
          </w:tcPr>
          <w:p w14:paraId="67B7724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0.36 (0.27 - 0.47)</w:t>
            </w:r>
          </w:p>
        </w:tc>
        <w:tc>
          <w:tcPr>
            <w:tcW w:w="661" w:type="dxa"/>
            <w:shd w:val="clear" w:color="auto" w:fill="D9D9D9" w:themeFill="background1" w:themeFillShade="D9"/>
            <w:noWrap/>
            <w:vAlign w:val="bottom"/>
            <w:hideMark/>
          </w:tcPr>
          <w:p w14:paraId="03A91A9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auto" w:fill="D9D9D9" w:themeFill="background1" w:themeFillShade="D9"/>
            <w:noWrap/>
            <w:vAlign w:val="bottom"/>
            <w:hideMark/>
          </w:tcPr>
          <w:p w14:paraId="096ED1A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0.41 (0.31 - 0.54)</w:t>
            </w:r>
          </w:p>
        </w:tc>
        <w:tc>
          <w:tcPr>
            <w:tcW w:w="661" w:type="dxa"/>
            <w:shd w:val="clear" w:color="auto" w:fill="D9D9D9" w:themeFill="background1" w:themeFillShade="D9"/>
            <w:noWrap/>
            <w:vAlign w:val="bottom"/>
            <w:hideMark/>
          </w:tcPr>
          <w:p w14:paraId="7B6EAF1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r>
      <w:tr w:rsidR="003B32B8" w:rsidRPr="00A85FC6" w14:paraId="1694C9A6" w14:textId="77777777" w:rsidTr="000B3A7B">
        <w:trPr>
          <w:trHeight w:val="20"/>
        </w:trPr>
        <w:tc>
          <w:tcPr>
            <w:tcW w:w="2268" w:type="dxa"/>
            <w:tcBorders>
              <w:right w:val="single" w:sz="4" w:space="0" w:color="000000"/>
            </w:tcBorders>
            <w:shd w:val="clear" w:color="000000" w:fill="FFFFFF"/>
            <w:vAlign w:val="bottom"/>
          </w:tcPr>
          <w:p w14:paraId="7EF47F18"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Migrant</w:t>
            </w:r>
          </w:p>
        </w:tc>
        <w:tc>
          <w:tcPr>
            <w:tcW w:w="1718" w:type="dxa"/>
            <w:tcBorders>
              <w:left w:val="single" w:sz="4" w:space="0" w:color="000000"/>
            </w:tcBorders>
            <w:shd w:val="clear" w:color="000000" w:fill="FFFFFF"/>
            <w:noWrap/>
            <w:vAlign w:val="bottom"/>
            <w:hideMark/>
          </w:tcPr>
          <w:p w14:paraId="04BCB07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000000" w:fill="FFFFFF"/>
            <w:noWrap/>
            <w:vAlign w:val="bottom"/>
            <w:hideMark/>
          </w:tcPr>
          <w:p w14:paraId="55CA525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000000" w:fill="FFFFFF"/>
            <w:noWrap/>
            <w:vAlign w:val="bottom"/>
            <w:hideMark/>
          </w:tcPr>
          <w:p w14:paraId="4DC5CBA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38222BF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000000" w:fill="FFFFFF"/>
            <w:noWrap/>
            <w:vAlign w:val="bottom"/>
            <w:hideMark/>
          </w:tcPr>
          <w:p w14:paraId="11FD975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48A2F08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2DF2D07A"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573492D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16F216A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605ACDC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584E62E4" w14:textId="77777777" w:rsidTr="000B3A7B">
        <w:trPr>
          <w:trHeight w:val="20"/>
        </w:trPr>
        <w:tc>
          <w:tcPr>
            <w:tcW w:w="2268" w:type="dxa"/>
            <w:tcBorders>
              <w:right w:val="single" w:sz="4" w:space="0" w:color="000000"/>
            </w:tcBorders>
            <w:shd w:val="clear" w:color="000000" w:fill="FFFFFF"/>
            <w:vAlign w:val="bottom"/>
          </w:tcPr>
          <w:p w14:paraId="650898EE"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1718" w:type="dxa"/>
            <w:tcBorders>
              <w:left w:val="single" w:sz="4" w:space="0" w:color="000000"/>
            </w:tcBorders>
            <w:shd w:val="clear" w:color="000000" w:fill="FFFFFF"/>
            <w:noWrap/>
            <w:vAlign w:val="bottom"/>
            <w:hideMark/>
          </w:tcPr>
          <w:p w14:paraId="15DFC21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158/4909 (3.2)</w:t>
            </w:r>
          </w:p>
        </w:tc>
        <w:tc>
          <w:tcPr>
            <w:tcW w:w="1958" w:type="dxa"/>
            <w:shd w:val="clear" w:color="000000" w:fill="FFFFFF"/>
            <w:noWrap/>
            <w:vAlign w:val="bottom"/>
            <w:hideMark/>
          </w:tcPr>
          <w:p w14:paraId="4424FDB0" w14:textId="08872B93"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000000" w:fill="FFFFFF"/>
            <w:noWrap/>
            <w:vAlign w:val="bottom"/>
            <w:hideMark/>
          </w:tcPr>
          <w:p w14:paraId="5A2517E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5C1330B7" w14:textId="7B34950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000000" w:fill="FFFFFF"/>
            <w:noWrap/>
            <w:vAlign w:val="bottom"/>
            <w:hideMark/>
          </w:tcPr>
          <w:p w14:paraId="6740CBF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3BDDF416" w14:textId="76737998"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346/4921 (7</w:t>
            </w:r>
            <w:r>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1676" w:type="dxa"/>
            <w:shd w:val="clear" w:color="000000" w:fill="FFFFFF"/>
            <w:noWrap/>
            <w:vAlign w:val="bottom"/>
            <w:hideMark/>
          </w:tcPr>
          <w:p w14:paraId="4CE9C7A8" w14:textId="2A63F7C6"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3F9D65C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14574749" w14:textId="6E93D0C5"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73567EE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38E53416" w14:textId="77777777" w:rsidTr="000B3A7B">
        <w:trPr>
          <w:trHeight w:val="20"/>
        </w:trPr>
        <w:tc>
          <w:tcPr>
            <w:tcW w:w="2268" w:type="dxa"/>
            <w:tcBorders>
              <w:right w:val="single" w:sz="4" w:space="0" w:color="000000"/>
            </w:tcBorders>
            <w:shd w:val="clear" w:color="000000" w:fill="FFFFFF"/>
            <w:vAlign w:val="bottom"/>
          </w:tcPr>
          <w:p w14:paraId="5234A70F"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1718" w:type="dxa"/>
            <w:tcBorders>
              <w:left w:val="single" w:sz="4" w:space="0" w:color="000000"/>
            </w:tcBorders>
            <w:shd w:val="clear" w:color="000000" w:fill="FFFFFF"/>
            <w:noWrap/>
            <w:vAlign w:val="bottom"/>
            <w:hideMark/>
          </w:tcPr>
          <w:p w14:paraId="48F9C94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12/774 (1.6)</w:t>
            </w:r>
          </w:p>
        </w:tc>
        <w:tc>
          <w:tcPr>
            <w:tcW w:w="1958" w:type="dxa"/>
            <w:shd w:val="clear" w:color="000000" w:fill="FFFFFF"/>
            <w:noWrap/>
            <w:vAlign w:val="bottom"/>
            <w:hideMark/>
          </w:tcPr>
          <w:p w14:paraId="31ACB3E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0.47 (0.26 - 0.86)</w:t>
            </w:r>
          </w:p>
        </w:tc>
        <w:tc>
          <w:tcPr>
            <w:tcW w:w="718" w:type="dxa"/>
            <w:shd w:val="clear" w:color="000000" w:fill="FFFFFF"/>
            <w:noWrap/>
            <w:vAlign w:val="bottom"/>
            <w:hideMark/>
          </w:tcPr>
          <w:p w14:paraId="497E03A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0.006</w:t>
            </w:r>
          </w:p>
        </w:tc>
        <w:tc>
          <w:tcPr>
            <w:tcW w:w="1589" w:type="dxa"/>
            <w:shd w:val="clear" w:color="000000" w:fill="FFFFFF"/>
            <w:noWrap/>
            <w:vAlign w:val="bottom"/>
            <w:hideMark/>
          </w:tcPr>
          <w:p w14:paraId="025EDEA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0.56 (0.31 - 1.01)</w:t>
            </w:r>
          </w:p>
        </w:tc>
        <w:tc>
          <w:tcPr>
            <w:tcW w:w="748" w:type="dxa"/>
            <w:tcBorders>
              <w:right w:val="single" w:sz="4" w:space="0" w:color="000000"/>
            </w:tcBorders>
            <w:shd w:val="clear" w:color="000000" w:fill="FFFFFF"/>
            <w:noWrap/>
            <w:vAlign w:val="bottom"/>
            <w:hideMark/>
          </w:tcPr>
          <w:p w14:paraId="0C8FB2D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0.037</w:t>
            </w:r>
          </w:p>
        </w:tc>
        <w:tc>
          <w:tcPr>
            <w:tcW w:w="1476" w:type="dxa"/>
            <w:tcBorders>
              <w:left w:val="single" w:sz="4" w:space="0" w:color="000000"/>
            </w:tcBorders>
            <w:shd w:val="clear" w:color="000000" w:fill="FFFFFF"/>
            <w:noWrap/>
            <w:vAlign w:val="bottom"/>
            <w:hideMark/>
          </w:tcPr>
          <w:p w14:paraId="7FCC883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25/774 (3.2)</w:t>
            </w:r>
          </w:p>
        </w:tc>
        <w:tc>
          <w:tcPr>
            <w:tcW w:w="1676" w:type="dxa"/>
            <w:shd w:val="clear" w:color="000000" w:fill="FFFFFF"/>
            <w:noWrap/>
            <w:vAlign w:val="bottom"/>
            <w:hideMark/>
          </w:tcPr>
          <w:p w14:paraId="6493B4D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0.44 (0.29 - 0.67)</w:t>
            </w:r>
          </w:p>
        </w:tc>
        <w:tc>
          <w:tcPr>
            <w:tcW w:w="661" w:type="dxa"/>
            <w:shd w:val="clear" w:color="000000" w:fill="FFFFFF"/>
            <w:noWrap/>
            <w:vAlign w:val="bottom"/>
            <w:hideMark/>
          </w:tcPr>
          <w:p w14:paraId="118C7BB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000000" w:fill="FFFFFF"/>
            <w:noWrap/>
            <w:vAlign w:val="bottom"/>
            <w:hideMark/>
          </w:tcPr>
          <w:p w14:paraId="5571C68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0.53 (0.35 - 0.81)</w:t>
            </w:r>
          </w:p>
        </w:tc>
        <w:tc>
          <w:tcPr>
            <w:tcW w:w="661" w:type="dxa"/>
            <w:shd w:val="clear" w:color="000000" w:fill="FFFFFF"/>
            <w:noWrap/>
            <w:vAlign w:val="bottom"/>
            <w:hideMark/>
          </w:tcPr>
          <w:p w14:paraId="08DA471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0.001</w:t>
            </w:r>
          </w:p>
        </w:tc>
      </w:tr>
      <w:tr w:rsidR="003B32B8" w:rsidRPr="00A85FC6" w14:paraId="5D4BDC48" w14:textId="77777777" w:rsidTr="000B3A7B">
        <w:trPr>
          <w:trHeight w:val="20"/>
        </w:trPr>
        <w:tc>
          <w:tcPr>
            <w:tcW w:w="2268" w:type="dxa"/>
            <w:tcBorders>
              <w:right w:val="single" w:sz="4" w:space="0" w:color="000000"/>
            </w:tcBorders>
            <w:shd w:val="clear" w:color="000000" w:fill="FFFFFF"/>
            <w:vAlign w:val="bottom"/>
          </w:tcPr>
          <w:p w14:paraId="4C0C12D2"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p>
        </w:tc>
        <w:tc>
          <w:tcPr>
            <w:tcW w:w="1718" w:type="dxa"/>
            <w:tcBorders>
              <w:left w:val="single" w:sz="4" w:space="0" w:color="000000"/>
            </w:tcBorders>
            <w:shd w:val="clear" w:color="000000" w:fill="FFFFFF"/>
            <w:noWrap/>
            <w:vAlign w:val="bottom"/>
            <w:hideMark/>
          </w:tcPr>
          <w:p w14:paraId="063AF28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000000" w:fill="FFFFFF"/>
            <w:noWrap/>
            <w:vAlign w:val="bottom"/>
            <w:hideMark/>
          </w:tcPr>
          <w:p w14:paraId="1E7728F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000000" w:fill="FFFFFF"/>
            <w:noWrap/>
            <w:vAlign w:val="bottom"/>
            <w:hideMark/>
          </w:tcPr>
          <w:p w14:paraId="5C6C6D1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46A1FCD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000000" w:fill="FFFFFF"/>
            <w:noWrap/>
            <w:vAlign w:val="bottom"/>
            <w:hideMark/>
          </w:tcPr>
          <w:p w14:paraId="4F6ED7F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6A60209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04CEC5A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0B81632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7DC472BA"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74723AE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3C0EC147" w14:textId="77777777" w:rsidTr="000B3A7B">
        <w:trPr>
          <w:trHeight w:val="20"/>
        </w:trPr>
        <w:tc>
          <w:tcPr>
            <w:tcW w:w="2268" w:type="dxa"/>
            <w:tcBorders>
              <w:right w:val="single" w:sz="4" w:space="0" w:color="000000"/>
            </w:tcBorders>
            <w:shd w:val="clear" w:color="auto" w:fill="D9D9D9" w:themeFill="background1" w:themeFillShade="D9"/>
            <w:vAlign w:val="bottom"/>
          </w:tcPr>
          <w:p w14:paraId="424EA0EE"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Income</w:t>
            </w:r>
          </w:p>
        </w:tc>
        <w:tc>
          <w:tcPr>
            <w:tcW w:w="1718" w:type="dxa"/>
            <w:tcBorders>
              <w:left w:val="single" w:sz="4" w:space="0" w:color="000000"/>
            </w:tcBorders>
            <w:shd w:val="clear" w:color="auto" w:fill="D9D9D9" w:themeFill="background1" w:themeFillShade="D9"/>
            <w:noWrap/>
            <w:vAlign w:val="bottom"/>
            <w:hideMark/>
          </w:tcPr>
          <w:p w14:paraId="5D809E1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auto" w:fill="D9D9D9" w:themeFill="background1" w:themeFillShade="D9"/>
            <w:noWrap/>
            <w:vAlign w:val="bottom"/>
            <w:hideMark/>
          </w:tcPr>
          <w:p w14:paraId="2A3D5A6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auto" w:fill="D9D9D9" w:themeFill="background1" w:themeFillShade="D9"/>
            <w:noWrap/>
            <w:vAlign w:val="bottom"/>
            <w:hideMark/>
          </w:tcPr>
          <w:p w14:paraId="0EC1116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1FC59847"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7A6F98E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264AEB0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2328570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5D9F39F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407FF98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08944B05"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78B2907B" w14:textId="77777777" w:rsidTr="000B3A7B">
        <w:trPr>
          <w:trHeight w:val="20"/>
        </w:trPr>
        <w:tc>
          <w:tcPr>
            <w:tcW w:w="2268" w:type="dxa"/>
            <w:tcBorders>
              <w:right w:val="single" w:sz="4" w:space="0" w:color="000000"/>
            </w:tcBorders>
            <w:shd w:val="clear" w:color="auto" w:fill="D9D9D9" w:themeFill="background1" w:themeFillShade="D9"/>
            <w:vAlign w:val="bottom"/>
          </w:tcPr>
          <w:p w14:paraId="1D199F0E"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&lt;10,400</w:t>
            </w:r>
          </w:p>
        </w:tc>
        <w:tc>
          <w:tcPr>
            <w:tcW w:w="1718" w:type="dxa"/>
            <w:tcBorders>
              <w:left w:val="single" w:sz="4" w:space="0" w:color="000000"/>
            </w:tcBorders>
            <w:shd w:val="clear" w:color="auto" w:fill="D9D9D9" w:themeFill="background1" w:themeFillShade="D9"/>
            <w:noWrap/>
            <w:vAlign w:val="bottom"/>
            <w:hideMark/>
          </w:tcPr>
          <w:p w14:paraId="7AF7A2E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88/1307 (6.7)</w:t>
            </w:r>
          </w:p>
        </w:tc>
        <w:tc>
          <w:tcPr>
            <w:tcW w:w="1958" w:type="dxa"/>
            <w:shd w:val="clear" w:color="auto" w:fill="D9D9D9" w:themeFill="background1" w:themeFillShade="D9"/>
            <w:noWrap/>
            <w:vAlign w:val="bottom"/>
            <w:hideMark/>
          </w:tcPr>
          <w:p w14:paraId="0930F79F" w14:textId="449F4CEA"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auto" w:fill="D9D9D9" w:themeFill="background1" w:themeFillShade="D9"/>
            <w:noWrap/>
            <w:vAlign w:val="bottom"/>
            <w:hideMark/>
          </w:tcPr>
          <w:p w14:paraId="36984CB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0BC45DBB" w14:textId="702CA14A"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auto" w:fill="D9D9D9" w:themeFill="background1" w:themeFillShade="D9"/>
            <w:noWrap/>
            <w:vAlign w:val="bottom"/>
            <w:hideMark/>
          </w:tcPr>
          <w:p w14:paraId="074C807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1CE90B2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201/1317 (15.3)</w:t>
            </w:r>
          </w:p>
        </w:tc>
        <w:tc>
          <w:tcPr>
            <w:tcW w:w="1676" w:type="dxa"/>
            <w:shd w:val="clear" w:color="auto" w:fill="D9D9D9" w:themeFill="background1" w:themeFillShade="D9"/>
            <w:noWrap/>
            <w:vAlign w:val="bottom"/>
            <w:hideMark/>
          </w:tcPr>
          <w:p w14:paraId="335EB529" w14:textId="5825283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5358AA6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0B8D25D5" w14:textId="1E5CF0EF"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40F100A5"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1D1497BE" w14:textId="77777777" w:rsidTr="000B3A7B">
        <w:trPr>
          <w:trHeight w:val="20"/>
        </w:trPr>
        <w:tc>
          <w:tcPr>
            <w:tcW w:w="2268" w:type="dxa"/>
            <w:tcBorders>
              <w:right w:val="single" w:sz="4" w:space="0" w:color="000000"/>
            </w:tcBorders>
            <w:shd w:val="clear" w:color="auto" w:fill="D9D9D9" w:themeFill="background1" w:themeFillShade="D9"/>
            <w:vAlign w:val="bottom"/>
          </w:tcPr>
          <w:p w14:paraId="755DB704"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10,400-18,199</w:t>
            </w:r>
          </w:p>
        </w:tc>
        <w:tc>
          <w:tcPr>
            <w:tcW w:w="1718" w:type="dxa"/>
            <w:tcBorders>
              <w:left w:val="single" w:sz="4" w:space="0" w:color="000000"/>
            </w:tcBorders>
            <w:shd w:val="clear" w:color="auto" w:fill="D9D9D9" w:themeFill="background1" w:themeFillShade="D9"/>
            <w:noWrap/>
            <w:vAlign w:val="bottom"/>
            <w:hideMark/>
          </w:tcPr>
          <w:p w14:paraId="274309D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29/920 (3.2)</w:t>
            </w:r>
          </w:p>
        </w:tc>
        <w:tc>
          <w:tcPr>
            <w:tcW w:w="1958" w:type="dxa"/>
            <w:shd w:val="clear" w:color="auto" w:fill="D9D9D9" w:themeFill="background1" w:themeFillShade="D9"/>
            <w:noWrap/>
            <w:vAlign w:val="bottom"/>
            <w:hideMark/>
          </w:tcPr>
          <w:p w14:paraId="51DE556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0.45 (0.29 - 0.69)</w:t>
            </w:r>
          </w:p>
        </w:tc>
        <w:tc>
          <w:tcPr>
            <w:tcW w:w="718" w:type="dxa"/>
            <w:shd w:val="clear" w:color="auto" w:fill="D9D9D9" w:themeFill="background1" w:themeFillShade="D9"/>
            <w:noWrap/>
            <w:vAlign w:val="bottom"/>
            <w:hideMark/>
          </w:tcPr>
          <w:p w14:paraId="597F1C65"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7C712F9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0.56 (0.36 - 0.89)</w:t>
            </w:r>
          </w:p>
        </w:tc>
        <w:tc>
          <w:tcPr>
            <w:tcW w:w="748" w:type="dxa"/>
            <w:tcBorders>
              <w:right w:val="single" w:sz="4" w:space="0" w:color="000000"/>
            </w:tcBorders>
            <w:shd w:val="clear" w:color="auto" w:fill="D9D9D9" w:themeFill="background1" w:themeFillShade="D9"/>
            <w:noWrap/>
            <w:vAlign w:val="bottom"/>
            <w:hideMark/>
          </w:tcPr>
          <w:p w14:paraId="1D3AEEE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78ECA96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72/917 (7.9)</w:t>
            </w:r>
          </w:p>
        </w:tc>
        <w:tc>
          <w:tcPr>
            <w:tcW w:w="1676" w:type="dxa"/>
            <w:shd w:val="clear" w:color="auto" w:fill="D9D9D9" w:themeFill="background1" w:themeFillShade="D9"/>
            <w:noWrap/>
            <w:vAlign w:val="bottom"/>
            <w:hideMark/>
          </w:tcPr>
          <w:p w14:paraId="2A2AB95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0.47 (0.36 - 0.63)</w:t>
            </w:r>
          </w:p>
        </w:tc>
        <w:tc>
          <w:tcPr>
            <w:tcW w:w="661" w:type="dxa"/>
            <w:shd w:val="clear" w:color="auto" w:fill="D9D9D9" w:themeFill="background1" w:themeFillShade="D9"/>
            <w:noWrap/>
            <w:vAlign w:val="bottom"/>
            <w:hideMark/>
          </w:tcPr>
          <w:p w14:paraId="4414329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55E4ABD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0.6 (0.45 - 0.81)</w:t>
            </w:r>
          </w:p>
        </w:tc>
        <w:tc>
          <w:tcPr>
            <w:tcW w:w="661" w:type="dxa"/>
            <w:shd w:val="clear" w:color="auto" w:fill="D9D9D9" w:themeFill="background1" w:themeFillShade="D9"/>
            <w:noWrap/>
            <w:vAlign w:val="bottom"/>
            <w:hideMark/>
          </w:tcPr>
          <w:p w14:paraId="40A1DFD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20EE735F" w14:textId="77777777" w:rsidTr="000B3A7B">
        <w:trPr>
          <w:trHeight w:val="20"/>
        </w:trPr>
        <w:tc>
          <w:tcPr>
            <w:tcW w:w="2268" w:type="dxa"/>
            <w:tcBorders>
              <w:right w:val="single" w:sz="4" w:space="0" w:color="000000"/>
            </w:tcBorders>
            <w:shd w:val="clear" w:color="auto" w:fill="D9D9D9" w:themeFill="background1" w:themeFillShade="D9"/>
            <w:vAlign w:val="bottom"/>
          </w:tcPr>
          <w:p w14:paraId="3A0E11B1"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18,200-31,199</w:t>
            </w:r>
          </w:p>
        </w:tc>
        <w:tc>
          <w:tcPr>
            <w:tcW w:w="1718" w:type="dxa"/>
            <w:tcBorders>
              <w:left w:val="single" w:sz="4" w:space="0" w:color="000000"/>
            </w:tcBorders>
            <w:shd w:val="clear" w:color="auto" w:fill="D9D9D9" w:themeFill="background1" w:themeFillShade="D9"/>
            <w:noWrap/>
            <w:vAlign w:val="bottom"/>
            <w:hideMark/>
          </w:tcPr>
          <w:p w14:paraId="48C9799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28/1507 (1.9)</w:t>
            </w:r>
          </w:p>
        </w:tc>
        <w:tc>
          <w:tcPr>
            <w:tcW w:w="1958" w:type="dxa"/>
            <w:shd w:val="clear" w:color="auto" w:fill="D9D9D9" w:themeFill="background1" w:themeFillShade="D9"/>
            <w:noWrap/>
            <w:vAlign w:val="bottom"/>
            <w:hideMark/>
          </w:tcPr>
          <w:p w14:paraId="744A3180" w14:textId="4737E37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0.26 (0.17 - 0.4</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718" w:type="dxa"/>
            <w:shd w:val="clear" w:color="auto" w:fill="D9D9D9" w:themeFill="background1" w:themeFillShade="D9"/>
            <w:noWrap/>
            <w:vAlign w:val="bottom"/>
            <w:hideMark/>
          </w:tcPr>
          <w:p w14:paraId="5D59FCA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603F586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0.39 (0.24 - 0.63)</w:t>
            </w:r>
          </w:p>
        </w:tc>
        <w:tc>
          <w:tcPr>
            <w:tcW w:w="748" w:type="dxa"/>
            <w:tcBorders>
              <w:right w:val="single" w:sz="4" w:space="0" w:color="000000"/>
            </w:tcBorders>
            <w:shd w:val="clear" w:color="auto" w:fill="D9D9D9" w:themeFill="background1" w:themeFillShade="D9"/>
            <w:noWrap/>
            <w:vAlign w:val="bottom"/>
            <w:hideMark/>
          </w:tcPr>
          <w:p w14:paraId="792E71C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05CFD8C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52/1512 (3.4)</w:t>
            </w:r>
          </w:p>
        </w:tc>
        <w:tc>
          <w:tcPr>
            <w:tcW w:w="1676" w:type="dxa"/>
            <w:shd w:val="clear" w:color="auto" w:fill="D9D9D9" w:themeFill="background1" w:themeFillShade="D9"/>
            <w:noWrap/>
            <w:vAlign w:val="bottom"/>
            <w:hideMark/>
          </w:tcPr>
          <w:p w14:paraId="11BB2887" w14:textId="2AA7366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(0.14 - 0.27)</w:t>
            </w:r>
          </w:p>
        </w:tc>
        <w:tc>
          <w:tcPr>
            <w:tcW w:w="661" w:type="dxa"/>
            <w:shd w:val="clear" w:color="auto" w:fill="D9D9D9" w:themeFill="background1" w:themeFillShade="D9"/>
            <w:noWrap/>
            <w:vAlign w:val="bottom"/>
            <w:hideMark/>
          </w:tcPr>
          <w:p w14:paraId="540E704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48F708B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0.28 (0.2 - 0.4)</w:t>
            </w:r>
          </w:p>
        </w:tc>
        <w:tc>
          <w:tcPr>
            <w:tcW w:w="661" w:type="dxa"/>
            <w:shd w:val="clear" w:color="auto" w:fill="D9D9D9" w:themeFill="background1" w:themeFillShade="D9"/>
            <w:noWrap/>
            <w:vAlign w:val="bottom"/>
            <w:hideMark/>
          </w:tcPr>
          <w:p w14:paraId="4816776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05B7037A" w14:textId="77777777" w:rsidTr="000B3A7B">
        <w:trPr>
          <w:trHeight w:val="20"/>
        </w:trPr>
        <w:tc>
          <w:tcPr>
            <w:tcW w:w="2268" w:type="dxa"/>
            <w:tcBorders>
              <w:right w:val="single" w:sz="4" w:space="0" w:color="000000"/>
            </w:tcBorders>
            <w:shd w:val="clear" w:color="auto" w:fill="D9D9D9" w:themeFill="background1" w:themeFillShade="D9"/>
            <w:vAlign w:val="bottom"/>
          </w:tcPr>
          <w:p w14:paraId="76CCC0A6"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31,200-46,799</w:t>
            </w:r>
          </w:p>
        </w:tc>
        <w:tc>
          <w:tcPr>
            <w:tcW w:w="1718" w:type="dxa"/>
            <w:tcBorders>
              <w:left w:val="single" w:sz="4" w:space="0" w:color="000000"/>
            </w:tcBorders>
            <w:shd w:val="clear" w:color="auto" w:fill="D9D9D9" w:themeFill="background1" w:themeFillShade="D9"/>
            <w:noWrap/>
            <w:vAlign w:val="bottom"/>
            <w:hideMark/>
          </w:tcPr>
          <w:p w14:paraId="2807A8E7"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9/959 (0.9)</w:t>
            </w:r>
          </w:p>
        </w:tc>
        <w:tc>
          <w:tcPr>
            <w:tcW w:w="1958" w:type="dxa"/>
            <w:shd w:val="clear" w:color="auto" w:fill="D9D9D9" w:themeFill="background1" w:themeFillShade="D9"/>
            <w:noWrap/>
            <w:vAlign w:val="bottom"/>
            <w:hideMark/>
          </w:tcPr>
          <w:p w14:paraId="48E75E7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0.13 (0.07 - 0.26)</w:t>
            </w:r>
          </w:p>
        </w:tc>
        <w:tc>
          <w:tcPr>
            <w:tcW w:w="718" w:type="dxa"/>
            <w:shd w:val="clear" w:color="auto" w:fill="D9D9D9" w:themeFill="background1" w:themeFillShade="D9"/>
            <w:noWrap/>
            <w:vAlign w:val="bottom"/>
            <w:hideMark/>
          </w:tcPr>
          <w:p w14:paraId="6F20C09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56886EB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0.24 (0.11 - 0.51)</w:t>
            </w:r>
          </w:p>
        </w:tc>
        <w:tc>
          <w:tcPr>
            <w:tcW w:w="748" w:type="dxa"/>
            <w:tcBorders>
              <w:right w:val="single" w:sz="4" w:space="0" w:color="000000"/>
            </w:tcBorders>
            <w:shd w:val="clear" w:color="auto" w:fill="D9D9D9" w:themeFill="background1" w:themeFillShade="D9"/>
            <w:noWrap/>
            <w:vAlign w:val="bottom"/>
            <w:hideMark/>
          </w:tcPr>
          <w:p w14:paraId="4B0D306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5408021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21/961 (2.2)</w:t>
            </w:r>
          </w:p>
        </w:tc>
        <w:tc>
          <w:tcPr>
            <w:tcW w:w="1676" w:type="dxa"/>
            <w:shd w:val="clear" w:color="auto" w:fill="D9D9D9" w:themeFill="background1" w:themeFillShade="D9"/>
            <w:noWrap/>
            <w:vAlign w:val="bottom"/>
            <w:hideMark/>
          </w:tcPr>
          <w:p w14:paraId="5246130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0.12 (0.08 - 0.2)</w:t>
            </w:r>
          </w:p>
        </w:tc>
        <w:tc>
          <w:tcPr>
            <w:tcW w:w="661" w:type="dxa"/>
            <w:shd w:val="clear" w:color="auto" w:fill="D9D9D9" w:themeFill="background1" w:themeFillShade="D9"/>
            <w:noWrap/>
            <w:vAlign w:val="bottom"/>
            <w:hideMark/>
          </w:tcPr>
          <w:p w14:paraId="65552DD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0FCB73D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0.22 (0.13 - 0.36)</w:t>
            </w:r>
          </w:p>
        </w:tc>
        <w:tc>
          <w:tcPr>
            <w:tcW w:w="661" w:type="dxa"/>
            <w:shd w:val="clear" w:color="auto" w:fill="D9D9D9" w:themeFill="background1" w:themeFillShade="D9"/>
            <w:noWrap/>
            <w:vAlign w:val="bottom"/>
            <w:hideMark/>
          </w:tcPr>
          <w:p w14:paraId="0B27821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3EFFD3F3" w14:textId="77777777" w:rsidTr="000B3A7B">
        <w:trPr>
          <w:trHeight w:val="20"/>
        </w:trPr>
        <w:tc>
          <w:tcPr>
            <w:tcW w:w="2268" w:type="dxa"/>
            <w:tcBorders>
              <w:right w:val="single" w:sz="4" w:space="0" w:color="000000"/>
            </w:tcBorders>
            <w:shd w:val="clear" w:color="auto" w:fill="D9D9D9" w:themeFill="background1" w:themeFillShade="D9"/>
            <w:vAlign w:val="bottom"/>
          </w:tcPr>
          <w:p w14:paraId="590D259A"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46,800+</w:t>
            </w:r>
          </w:p>
        </w:tc>
        <w:tc>
          <w:tcPr>
            <w:tcW w:w="1718" w:type="dxa"/>
            <w:tcBorders>
              <w:left w:val="single" w:sz="4" w:space="0" w:color="000000"/>
            </w:tcBorders>
            <w:shd w:val="clear" w:color="auto" w:fill="D9D9D9" w:themeFill="background1" w:themeFillShade="D9"/>
            <w:noWrap/>
            <w:vAlign w:val="bottom"/>
            <w:hideMark/>
          </w:tcPr>
          <w:p w14:paraId="68686D5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12/960 (1.3)</w:t>
            </w:r>
          </w:p>
        </w:tc>
        <w:tc>
          <w:tcPr>
            <w:tcW w:w="1958" w:type="dxa"/>
            <w:shd w:val="clear" w:color="auto" w:fill="D9D9D9" w:themeFill="background1" w:themeFillShade="D9"/>
            <w:noWrap/>
            <w:vAlign w:val="bottom"/>
            <w:hideMark/>
          </w:tcPr>
          <w:p w14:paraId="0936BD9B" w14:textId="461D3493"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0.18 (0.1</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- 0.32)</w:t>
            </w:r>
          </w:p>
        </w:tc>
        <w:tc>
          <w:tcPr>
            <w:tcW w:w="718" w:type="dxa"/>
            <w:shd w:val="clear" w:color="auto" w:fill="D9D9D9" w:themeFill="background1" w:themeFillShade="D9"/>
            <w:noWrap/>
            <w:vAlign w:val="bottom"/>
            <w:hideMark/>
          </w:tcPr>
          <w:p w14:paraId="14149C7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589" w:type="dxa"/>
            <w:shd w:val="clear" w:color="auto" w:fill="D9D9D9" w:themeFill="background1" w:themeFillShade="D9"/>
            <w:noWrap/>
            <w:vAlign w:val="bottom"/>
            <w:hideMark/>
          </w:tcPr>
          <w:p w14:paraId="75C3E4D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0.37 (0.19 - 0.74)</w:t>
            </w:r>
          </w:p>
        </w:tc>
        <w:tc>
          <w:tcPr>
            <w:tcW w:w="748" w:type="dxa"/>
            <w:tcBorders>
              <w:right w:val="single" w:sz="4" w:space="0" w:color="000000"/>
            </w:tcBorders>
            <w:shd w:val="clear" w:color="auto" w:fill="D9D9D9" w:themeFill="background1" w:themeFillShade="D9"/>
            <w:noWrap/>
            <w:vAlign w:val="bottom"/>
            <w:hideMark/>
          </w:tcPr>
          <w:p w14:paraId="772FC56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476" w:type="dxa"/>
            <w:tcBorders>
              <w:left w:val="single" w:sz="4" w:space="0" w:color="000000"/>
            </w:tcBorders>
            <w:shd w:val="clear" w:color="auto" w:fill="D9D9D9" w:themeFill="background1" w:themeFillShade="D9"/>
            <w:noWrap/>
            <w:vAlign w:val="bottom"/>
            <w:hideMark/>
          </w:tcPr>
          <w:p w14:paraId="7EB4050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20/958 (2.1)</w:t>
            </w:r>
          </w:p>
        </w:tc>
        <w:tc>
          <w:tcPr>
            <w:tcW w:w="1676" w:type="dxa"/>
            <w:shd w:val="clear" w:color="auto" w:fill="D9D9D9" w:themeFill="background1" w:themeFillShade="D9"/>
            <w:noWrap/>
            <w:vAlign w:val="bottom"/>
            <w:hideMark/>
          </w:tcPr>
          <w:p w14:paraId="5B3117C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0.12 (0.07 - 0.19)</w:t>
            </w:r>
          </w:p>
        </w:tc>
        <w:tc>
          <w:tcPr>
            <w:tcW w:w="661" w:type="dxa"/>
            <w:shd w:val="clear" w:color="auto" w:fill="D9D9D9" w:themeFill="background1" w:themeFillShade="D9"/>
            <w:noWrap/>
            <w:vAlign w:val="bottom"/>
            <w:hideMark/>
          </w:tcPr>
          <w:p w14:paraId="056A4FD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auto" w:fill="D9D9D9" w:themeFill="background1" w:themeFillShade="D9"/>
            <w:noWrap/>
            <w:vAlign w:val="bottom"/>
            <w:hideMark/>
          </w:tcPr>
          <w:p w14:paraId="5A84B79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0.23 (0.14 - 0.39)</w:t>
            </w:r>
          </w:p>
        </w:tc>
        <w:tc>
          <w:tcPr>
            <w:tcW w:w="661" w:type="dxa"/>
            <w:shd w:val="clear" w:color="auto" w:fill="D9D9D9" w:themeFill="background1" w:themeFillShade="D9"/>
            <w:noWrap/>
            <w:vAlign w:val="bottom"/>
            <w:hideMark/>
          </w:tcPr>
          <w:p w14:paraId="30837A83"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r>
      <w:tr w:rsidR="003B32B8" w:rsidRPr="00A85FC6" w14:paraId="1E92BEC4" w14:textId="77777777" w:rsidTr="000B3A7B">
        <w:trPr>
          <w:trHeight w:val="20"/>
        </w:trPr>
        <w:tc>
          <w:tcPr>
            <w:tcW w:w="2268" w:type="dxa"/>
            <w:tcBorders>
              <w:right w:val="single" w:sz="4" w:space="0" w:color="000000"/>
            </w:tcBorders>
            <w:shd w:val="clear" w:color="000000" w:fill="FFFFFF"/>
            <w:vAlign w:val="bottom"/>
          </w:tcPr>
          <w:p w14:paraId="73562D03"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Household situation</w:t>
            </w:r>
          </w:p>
        </w:tc>
        <w:tc>
          <w:tcPr>
            <w:tcW w:w="1718" w:type="dxa"/>
            <w:tcBorders>
              <w:left w:val="single" w:sz="4" w:space="0" w:color="000000"/>
            </w:tcBorders>
            <w:shd w:val="clear" w:color="000000" w:fill="FFFFFF"/>
            <w:noWrap/>
            <w:vAlign w:val="bottom"/>
            <w:hideMark/>
          </w:tcPr>
          <w:p w14:paraId="4C09C94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000000" w:fill="FFFFFF"/>
            <w:noWrap/>
            <w:vAlign w:val="bottom"/>
            <w:hideMark/>
          </w:tcPr>
          <w:p w14:paraId="2E7C302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000000" w:fill="FFFFFF"/>
            <w:noWrap/>
            <w:vAlign w:val="bottom"/>
            <w:hideMark/>
          </w:tcPr>
          <w:p w14:paraId="6D50A70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4A23B2D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000000" w:fill="FFFFFF"/>
            <w:noWrap/>
            <w:vAlign w:val="bottom"/>
            <w:hideMark/>
          </w:tcPr>
          <w:p w14:paraId="5690EE7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11186D6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712A923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09371FF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22D3242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000000" w:fill="FFFFFF"/>
            <w:noWrap/>
            <w:vAlign w:val="bottom"/>
            <w:hideMark/>
          </w:tcPr>
          <w:p w14:paraId="191D92B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5090EA01" w14:textId="77777777" w:rsidTr="000B3A7B">
        <w:trPr>
          <w:trHeight w:val="20"/>
        </w:trPr>
        <w:tc>
          <w:tcPr>
            <w:tcW w:w="2268" w:type="dxa"/>
            <w:tcBorders>
              <w:right w:val="single" w:sz="4" w:space="0" w:color="000000"/>
            </w:tcBorders>
            <w:shd w:val="clear" w:color="000000" w:fill="FFFFFF"/>
            <w:vAlign w:val="bottom"/>
          </w:tcPr>
          <w:p w14:paraId="7EAD2CD5"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Live alone</w:t>
            </w:r>
          </w:p>
        </w:tc>
        <w:tc>
          <w:tcPr>
            <w:tcW w:w="1718" w:type="dxa"/>
            <w:tcBorders>
              <w:left w:val="single" w:sz="4" w:space="0" w:color="000000"/>
            </w:tcBorders>
            <w:shd w:val="clear" w:color="000000" w:fill="FFFFFF"/>
            <w:noWrap/>
            <w:vAlign w:val="bottom"/>
            <w:hideMark/>
          </w:tcPr>
          <w:p w14:paraId="549DDA1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50/1429 (3.5)</w:t>
            </w:r>
          </w:p>
        </w:tc>
        <w:tc>
          <w:tcPr>
            <w:tcW w:w="1958" w:type="dxa"/>
            <w:shd w:val="clear" w:color="000000" w:fill="FFFFFF"/>
            <w:noWrap/>
            <w:vAlign w:val="bottom"/>
            <w:hideMark/>
          </w:tcPr>
          <w:p w14:paraId="46C4A827" w14:textId="2E5694C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000000" w:fill="FFFFFF"/>
            <w:noWrap/>
            <w:vAlign w:val="bottom"/>
            <w:hideMark/>
          </w:tcPr>
          <w:p w14:paraId="0173CD6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529C2EE7" w14:textId="1189D7E8"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000000" w:fill="FFFFFF"/>
            <w:noWrap/>
            <w:vAlign w:val="bottom"/>
            <w:hideMark/>
          </w:tcPr>
          <w:p w14:paraId="4CC03420"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049C9DA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92/1438 (6.4)</w:t>
            </w:r>
          </w:p>
        </w:tc>
        <w:tc>
          <w:tcPr>
            <w:tcW w:w="1676" w:type="dxa"/>
            <w:shd w:val="clear" w:color="000000" w:fill="FFFFFF"/>
            <w:noWrap/>
            <w:vAlign w:val="bottom"/>
            <w:hideMark/>
          </w:tcPr>
          <w:p w14:paraId="0757A91E" w14:textId="2483C1A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48FF9AE5"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10E62979" w14:textId="74954AA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000000" w:fill="FFFFFF"/>
            <w:noWrap/>
            <w:vAlign w:val="bottom"/>
            <w:hideMark/>
          </w:tcPr>
          <w:p w14:paraId="68D1B81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4A34794" w14:textId="77777777" w:rsidTr="000B3A7B">
        <w:trPr>
          <w:trHeight w:val="20"/>
        </w:trPr>
        <w:tc>
          <w:tcPr>
            <w:tcW w:w="2268" w:type="dxa"/>
            <w:tcBorders>
              <w:right w:val="single" w:sz="4" w:space="0" w:color="000000"/>
            </w:tcBorders>
            <w:shd w:val="clear" w:color="000000" w:fill="FFFFFF"/>
            <w:vAlign w:val="bottom"/>
          </w:tcPr>
          <w:p w14:paraId="626E0E6A" w14:textId="235FF362" w:rsidR="003B32B8" w:rsidRPr="00642C7E" w:rsidRDefault="00F22874" w:rsidP="00F22874">
            <w:pPr>
              <w:spacing w:after="0" w:line="240" w:lineRule="auto"/>
              <w:contextualSpacing/>
              <w:jc w:val="right"/>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Cohabits, </w:t>
            </w:r>
            <w:r w:rsidR="003B32B8" w:rsidRPr="00642C7E">
              <w:rPr>
                <w:rFonts w:ascii="Calibri" w:eastAsia="Times New Roman" w:hAnsi="Calibri" w:cs="Times New Roman"/>
                <w:color w:val="000000"/>
                <w:sz w:val="16"/>
                <w:szCs w:val="16"/>
                <w:lang w:eastAsia="en-GB"/>
              </w:rPr>
              <w:t>male partner</w:t>
            </w:r>
          </w:p>
        </w:tc>
        <w:tc>
          <w:tcPr>
            <w:tcW w:w="1718" w:type="dxa"/>
            <w:tcBorders>
              <w:left w:val="single" w:sz="4" w:space="0" w:color="000000"/>
            </w:tcBorders>
            <w:shd w:val="clear" w:color="000000" w:fill="FFFFFF"/>
            <w:noWrap/>
            <w:vAlign w:val="bottom"/>
            <w:hideMark/>
          </w:tcPr>
          <w:p w14:paraId="332BE17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20/2050 (1)</w:t>
            </w:r>
          </w:p>
        </w:tc>
        <w:tc>
          <w:tcPr>
            <w:tcW w:w="1958" w:type="dxa"/>
            <w:shd w:val="clear" w:color="000000" w:fill="FFFFFF"/>
            <w:noWrap/>
            <w:vAlign w:val="bottom"/>
            <w:hideMark/>
          </w:tcPr>
          <w:p w14:paraId="357617E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0.27 (0.16 - 0.46)</w:t>
            </w:r>
          </w:p>
        </w:tc>
        <w:tc>
          <w:tcPr>
            <w:tcW w:w="718" w:type="dxa"/>
            <w:shd w:val="clear" w:color="000000" w:fill="FFFFFF"/>
            <w:noWrap/>
            <w:vAlign w:val="bottom"/>
            <w:hideMark/>
          </w:tcPr>
          <w:p w14:paraId="0E7EF7A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000000" w:fill="FFFFFF"/>
            <w:noWrap/>
            <w:vAlign w:val="bottom"/>
            <w:hideMark/>
          </w:tcPr>
          <w:p w14:paraId="37F0284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0.27 (0.16 - 0.46)</w:t>
            </w:r>
          </w:p>
        </w:tc>
        <w:tc>
          <w:tcPr>
            <w:tcW w:w="748" w:type="dxa"/>
            <w:tcBorders>
              <w:right w:val="single" w:sz="4" w:space="0" w:color="000000"/>
            </w:tcBorders>
            <w:shd w:val="clear" w:color="000000" w:fill="FFFFFF"/>
            <w:noWrap/>
            <w:vAlign w:val="bottom"/>
            <w:hideMark/>
          </w:tcPr>
          <w:p w14:paraId="1346C8E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000000" w:fill="FFFFFF"/>
            <w:noWrap/>
            <w:vAlign w:val="bottom"/>
            <w:hideMark/>
          </w:tcPr>
          <w:p w14:paraId="1D95D881"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54/2047 (2.6)</w:t>
            </w:r>
          </w:p>
        </w:tc>
        <w:tc>
          <w:tcPr>
            <w:tcW w:w="1676" w:type="dxa"/>
            <w:shd w:val="clear" w:color="000000" w:fill="FFFFFF"/>
            <w:noWrap/>
            <w:vAlign w:val="bottom"/>
            <w:hideMark/>
          </w:tcPr>
          <w:p w14:paraId="189F8224" w14:textId="02289E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w:t>
            </w:r>
            <w:r w:rsidR="00647DC9">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(0.28 - 0.56)</w:t>
            </w:r>
          </w:p>
        </w:tc>
        <w:tc>
          <w:tcPr>
            <w:tcW w:w="661" w:type="dxa"/>
            <w:shd w:val="clear" w:color="000000" w:fill="FFFFFF"/>
            <w:noWrap/>
            <w:vAlign w:val="bottom"/>
            <w:hideMark/>
          </w:tcPr>
          <w:p w14:paraId="3A50582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000000" w:fill="FFFFFF"/>
            <w:noWrap/>
            <w:vAlign w:val="bottom"/>
            <w:hideMark/>
          </w:tcPr>
          <w:p w14:paraId="3753798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0.39 (0.27 - 0.55)</w:t>
            </w:r>
          </w:p>
        </w:tc>
        <w:tc>
          <w:tcPr>
            <w:tcW w:w="661" w:type="dxa"/>
            <w:shd w:val="clear" w:color="000000" w:fill="FFFFFF"/>
            <w:noWrap/>
            <w:vAlign w:val="bottom"/>
            <w:hideMark/>
          </w:tcPr>
          <w:p w14:paraId="186B3A2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004FAC51" w14:textId="77777777" w:rsidTr="000B3A7B">
        <w:trPr>
          <w:trHeight w:val="20"/>
        </w:trPr>
        <w:tc>
          <w:tcPr>
            <w:tcW w:w="2268" w:type="dxa"/>
            <w:tcBorders>
              <w:right w:val="single" w:sz="4" w:space="0" w:color="000000"/>
            </w:tcBorders>
            <w:shd w:val="clear" w:color="000000" w:fill="FFFFFF"/>
            <w:vAlign w:val="bottom"/>
          </w:tcPr>
          <w:p w14:paraId="66FDEF4D" w14:textId="44C30F48" w:rsidR="003B32B8" w:rsidRPr="00642C7E" w:rsidRDefault="00F22874" w:rsidP="00F22874">
            <w:pPr>
              <w:spacing w:after="0" w:line="240" w:lineRule="auto"/>
              <w:contextualSpacing/>
              <w:jc w:val="right"/>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Cohabits, </w:t>
            </w:r>
            <w:r w:rsidR="003B32B8" w:rsidRPr="00642C7E">
              <w:rPr>
                <w:rFonts w:ascii="Calibri" w:eastAsia="Times New Roman" w:hAnsi="Calibri" w:cs="Times New Roman"/>
                <w:color w:val="000000"/>
                <w:sz w:val="16"/>
                <w:szCs w:val="16"/>
                <w:lang w:eastAsia="en-GB"/>
              </w:rPr>
              <w:t>not male partner</w:t>
            </w:r>
          </w:p>
        </w:tc>
        <w:tc>
          <w:tcPr>
            <w:tcW w:w="1718" w:type="dxa"/>
            <w:tcBorders>
              <w:left w:val="single" w:sz="4" w:space="0" w:color="000000"/>
            </w:tcBorders>
            <w:shd w:val="clear" w:color="000000" w:fill="FFFFFF"/>
            <w:noWrap/>
            <w:vAlign w:val="bottom"/>
            <w:hideMark/>
          </w:tcPr>
          <w:p w14:paraId="36D2447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101/2240 (4.5)</w:t>
            </w:r>
          </w:p>
        </w:tc>
        <w:tc>
          <w:tcPr>
            <w:tcW w:w="1958" w:type="dxa"/>
            <w:shd w:val="clear" w:color="000000" w:fill="FFFFFF"/>
            <w:noWrap/>
            <w:vAlign w:val="bottom"/>
            <w:hideMark/>
          </w:tcPr>
          <w:p w14:paraId="3B98C3B3" w14:textId="6976D30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1.3</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(0.92 - 1.84)</w:t>
            </w:r>
          </w:p>
        </w:tc>
        <w:tc>
          <w:tcPr>
            <w:tcW w:w="718" w:type="dxa"/>
            <w:shd w:val="clear" w:color="000000" w:fill="FFFFFF"/>
            <w:noWrap/>
            <w:vAlign w:val="bottom"/>
            <w:hideMark/>
          </w:tcPr>
          <w:p w14:paraId="6E986E4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589" w:type="dxa"/>
            <w:shd w:val="clear" w:color="000000" w:fill="FFFFFF"/>
            <w:noWrap/>
            <w:vAlign w:val="bottom"/>
            <w:hideMark/>
          </w:tcPr>
          <w:p w14:paraId="68CBD290" w14:textId="02496636"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w:t>
            </w:r>
            <w:r w:rsidR="00647DC9">
              <w:rPr>
                <w:rFonts w:ascii="Calibri" w:eastAsia="Times New Roman" w:hAnsi="Calibri" w:cs="Times New Roman"/>
                <w:color w:val="000000"/>
                <w:sz w:val="16"/>
                <w:szCs w:val="16"/>
                <w:lang w:eastAsia="en-GB"/>
              </w:rPr>
              <w:t>67</w:t>
            </w:r>
            <w:r w:rsidRPr="00A85FC6">
              <w:rPr>
                <w:rFonts w:ascii="Calibri" w:eastAsia="Times New Roman" w:hAnsi="Calibri" w:cs="Times New Roman"/>
                <w:color w:val="000000"/>
                <w:sz w:val="16"/>
                <w:szCs w:val="16"/>
                <w:lang w:eastAsia="en-GB"/>
              </w:rPr>
              <w:t xml:space="preserve"> (0.4</w:t>
            </w:r>
            <w:r w:rsidR="00647DC9">
              <w:rPr>
                <w:rFonts w:ascii="Calibri" w:eastAsia="Times New Roman" w:hAnsi="Calibri" w:cs="Times New Roman"/>
                <w:color w:val="000000"/>
                <w:sz w:val="16"/>
                <w:szCs w:val="16"/>
                <w:lang w:eastAsia="en-GB"/>
              </w:rPr>
              <w:t>5</w:t>
            </w:r>
            <w:r w:rsidRPr="00A85FC6">
              <w:rPr>
                <w:rFonts w:ascii="Calibri" w:eastAsia="Times New Roman" w:hAnsi="Calibri" w:cs="Times New Roman"/>
                <w:color w:val="000000"/>
                <w:sz w:val="16"/>
                <w:szCs w:val="16"/>
                <w:lang w:eastAsia="en-GB"/>
              </w:rPr>
              <w:t xml:space="preserve"> - 1.0</w:t>
            </w:r>
            <w:r w:rsidR="00647DC9">
              <w:rPr>
                <w:rFonts w:ascii="Calibri" w:eastAsia="Times New Roman" w:hAnsi="Calibri" w:cs="Times New Roman"/>
                <w:color w:val="000000"/>
                <w:sz w:val="16"/>
                <w:szCs w:val="16"/>
                <w:lang w:eastAsia="en-GB"/>
              </w:rPr>
              <w:t>2</w:t>
            </w:r>
            <w:r w:rsidRPr="00A85FC6">
              <w:rPr>
                <w:rFonts w:ascii="Calibri" w:eastAsia="Times New Roman" w:hAnsi="Calibri" w:cs="Times New Roman"/>
                <w:color w:val="000000"/>
                <w:sz w:val="16"/>
                <w:szCs w:val="16"/>
                <w:lang w:eastAsia="en-GB"/>
              </w:rPr>
              <w:t>)</w:t>
            </w:r>
          </w:p>
        </w:tc>
        <w:tc>
          <w:tcPr>
            <w:tcW w:w="748" w:type="dxa"/>
            <w:tcBorders>
              <w:right w:val="single" w:sz="4" w:space="0" w:color="000000"/>
            </w:tcBorders>
            <w:shd w:val="clear" w:color="000000" w:fill="FFFFFF"/>
            <w:noWrap/>
            <w:vAlign w:val="bottom"/>
            <w:hideMark/>
          </w:tcPr>
          <w:p w14:paraId="6E59DBD1"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476" w:type="dxa"/>
            <w:tcBorders>
              <w:left w:val="single" w:sz="4" w:space="0" w:color="000000"/>
            </w:tcBorders>
            <w:shd w:val="clear" w:color="000000" w:fill="FFFFFF"/>
            <w:noWrap/>
            <w:vAlign w:val="bottom"/>
            <w:hideMark/>
          </w:tcPr>
          <w:p w14:paraId="0852C44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227/2246 (10.1)</w:t>
            </w:r>
          </w:p>
        </w:tc>
        <w:tc>
          <w:tcPr>
            <w:tcW w:w="1676" w:type="dxa"/>
            <w:shd w:val="clear" w:color="000000" w:fill="FFFFFF"/>
            <w:noWrap/>
            <w:vAlign w:val="bottom"/>
            <w:hideMark/>
          </w:tcPr>
          <w:p w14:paraId="6A40D299"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1.64 (1.28 - 2.12)</w:t>
            </w:r>
          </w:p>
        </w:tc>
        <w:tc>
          <w:tcPr>
            <w:tcW w:w="661" w:type="dxa"/>
            <w:shd w:val="clear" w:color="000000" w:fill="FFFFFF"/>
            <w:noWrap/>
            <w:vAlign w:val="bottom"/>
            <w:hideMark/>
          </w:tcPr>
          <w:p w14:paraId="53DC2C9E"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000000" w:fill="FFFFFF"/>
            <w:noWrap/>
            <w:vAlign w:val="bottom"/>
            <w:hideMark/>
          </w:tcPr>
          <w:p w14:paraId="40A89EF6" w14:textId="6252535B"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0.8</w:t>
            </w:r>
            <w:r w:rsidR="00453776">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 xml:space="preserve"> (0.</w:t>
            </w:r>
            <w:r w:rsidR="00453776">
              <w:rPr>
                <w:rFonts w:ascii="Calibri" w:eastAsia="Times New Roman" w:hAnsi="Calibri" w:cs="Times New Roman"/>
                <w:color w:val="000000"/>
                <w:sz w:val="16"/>
                <w:szCs w:val="16"/>
                <w:lang w:eastAsia="en-GB"/>
              </w:rPr>
              <w:t>59</w:t>
            </w:r>
            <w:r w:rsidRPr="00A85FC6">
              <w:rPr>
                <w:rFonts w:ascii="Calibri" w:eastAsia="Times New Roman" w:hAnsi="Calibri" w:cs="Times New Roman"/>
                <w:color w:val="000000"/>
                <w:sz w:val="16"/>
                <w:szCs w:val="16"/>
                <w:lang w:eastAsia="en-GB"/>
              </w:rPr>
              <w:t xml:space="preserve"> - 1.</w:t>
            </w:r>
            <w:r w:rsidR="00453776">
              <w:rPr>
                <w:rFonts w:ascii="Calibri" w:eastAsia="Times New Roman" w:hAnsi="Calibri" w:cs="Times New Roman"/>
                <w:color w:val="000000"/>
                <w:sz w:val="16"/>
                <w:szCs w:val="16"/>
                <w:lang w:eastAsia="en-GB"/>
              </w:rPr>
              <w:t>08)</w:t>
            </w:r>
          </w:p>
        </w:tc>
        <w:tc>
          <w:tcPr>
            <w:tcW w:w="661" w:type="dxa"/>
            <w:shd w:val="clear" w:color="000000" w:fill="FFFFFF"/>
            <w:noWrap/>
            <w:vAlign w:val="bottom"/>
            <w:hideMark/>
          </w:tcPr>
          <w:p w14:paraId="1FE71CF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r>
      <w:tr w:rsidR="003B32B8" w:rsidRPr="00A85FC6" w14:paraId="641F82D2" w14:textId="77777777" w:rsidTr="000B3A7B">
        <w:trPr>
          <w:trHeight w:val="20"/>
        </w:trPr>
        <w:tc>
          <w:tcPr>
            <w:tcW w:w="2268" w:type="dxa"/>
            <w:tcBorders>
              <w:right w:val="single" w:sz="4" w:space="0" w:color="000000"/>
            </w:tcBorders>
            <w:shd w:val="clear" w:color="auto" w:fill="D9D9D9" w:themeFill="background1" w:themeFillShade="D9"/>
            <w:vAlign w:val="bottom"/>
          </w:tcPr>
          <w:p w14:paraId="6719CC5A"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Lives in London</w:t>
            </w:r>
          </w:p>
        </w:tc>
        <w:tc>
          <w:tcPr>
            <w:tcW w:w="1718" w:type="dxa"/>
            <w:tcBorders>
              <w:left w:val="single" w:sz="4" w:space="0" w:color="000000"/>
            </w:tcBorders>
            <w:shd w:val="clear" w:color="auto" w:fill="D9D9D9" w:themeFill="background1" w:themeFillShade="D9"/>
            <w:noWrap/>
            <w:vAlign w:val="bottom"/>
            <w:hideMark/>
          </w:tcPr>
          <w:p w14:paraId="63C1954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958" w:type="dxa"/>
            <w:shd w:val="clear" w:color="auto" w:fill="D9D9D9" w:themeFill="background1" w:themeFillShade="D9"/>
            <w:noWrap/>
            <w:vAlign w:val="bottom"/>
            <w:hideMark/>
          </w:tcPr>
          <w:p w14:paraId="14898770"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auto" w:fill="D9D9D9" w:themeFill="background1" w:themeFillShade="D9"/>
            <w:noWrap/>
            <w:vAlign w:val="bottom"/>
            <w:hideMark/>
          </w:tcPr>
          <w:p w14:paraId="7B1D8CB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37ABDE5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D9D9D9" w:themeFill="background1" w:themeFillShade="D9"/>
            <w:noWrap/>
            <w:vAlign w:val="bottom"/>
            <w:hideMark/>
          </w:tcPr>
          <w:p w14:paraId="577E4AC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2306DE6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598FCF4B"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7D1045F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7458E6C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D9D9D9" w:themeFill="background1" w:themeFillShade="D9"/>
            <w:noWrap/>
            <w:vAlign w:val="bottom"/>
            <w:hideMark/>
          </w:tcPr>
          <w:p w14:paraId="119A363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7BED04C5" w14:textId="77777777" w:rsidTr="000B3A7B">
        <w:trPr>
          <w:trHeight w:val="20"/>
        </w:trPr>
        <w:tc>
          <w:tcPr>
            <w:tcW w:w="2268" w:type="dxa"/>
            <w:tcBorders>
              <w:right w:val="single" w:sz="4" w:space="0" w:color="000000"/>
            </w:tcBorders>
            <w:shd w:val="clear" w:color="auto" w:fill="D9D9D9" w:themeFill="background1" w:themeFillShade="D9"/>
            <w:vAlign w:val="bottom"/>
          </w:tcPr>
          <w:p w14:paraId="27EAA921"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1718" w:type="dxa"/>
            <w:tcBorders>
              <w:left w:val="single" w:sz="4" w:space="0" w:color="000000"/>
            </w:tcBorders>
            <w:shd w:val="clear" w:color="auto" w:fill="D9D9D9" w:themeFill="background1" w:themeFillShade="D9"/>
            <w:noWrap/>
            <w:vAlign w:val="bottom"/>
            <w:hideMark/>
          </w:tcPr>
          <w:p w14:paraId="70670D9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136/3755 (3.6)</w:t>
            </w:r>
          </w:p>
        </w:tc>
        <w:tc>
          <w:tcPr>
            <w:tcW w:w="1958" w:type="dxa"/>
            <w:shd w:val="clear" w:color="auto" w:fill="D9D9D9" w:themeFill="background1" w:themeFillShade="D9"/>
            <w:noWrap/>
            <w:vAlign w:val="bottom"/>
            <w:hideMark/>
          </w:tcPr>
          <w:p w14:paraId="3C820379" w14:textId="4A96AC73"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auto" w:fill="D9D9D9" w:themeFill="background1" w:themeFillShade="D9"/>
            <w:noWrap/>
            <w:vAlign w:val="bottom"/>
            <w:hideMark/>
          </w:tcPr>
          <w:p w14:paraId="62CBFEB7"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D9D9D9" w:themeFill="background1" w:themeFillShade="D9"/>
            <w:noWrap/>
            <w:vAlign w:val="bottom"/>
            <w:hideMark/>
          </w:tcPr>
          <w:p w14:paraId="46F79071" w14:textId="67A7202A"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auto" w:fill="D9D9D9" w:themeFill="background1" w:themeFillShade="D9"/>
            <w:noWrap/>
            <w:vAlign w:val="bottom"/>
            <w:hideMark/>
          </w:tcPr>
          <w:p w14:paraId="226D105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D9D9D9" w:themeFill="background1" w:themeFillShade="D9"/>
            <w:noWrap/>
            <w:vAlign w:val="bottom"/>
            <w:hideMark/>
          </w:tcPr>
          <w:p w14:paraId="4D19033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287/3769 (7.6)</w:t>
            </w:r>
          </w:p>
        </w:tc>
        <w:tc>
          <w:tcPr>
            <w:tcW w:w="1676" w:type="dxa"/>
            <w:shd w:val="clear" w:color="auto" w:fill="D9D9D9" w:themeFill="background1" w:themeFillShade="D9"/>
            <w:noWrap/>
            <w:vAlign w:val="bottom"/>
            <w:hideMark/>
          </w:tcPr>
          <w:p w14:paraId="539E445A" w14:textId="6DA92C6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79B120E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D9D9D9" w:themeFill="background1" w:themeFillShade="D9"/>
            <w:noWrap/>
            <w:vAlign w:val="bottom"/>
            <w:hideMark/>
          </w:tcPr>
          <w:p w14:paraId="1B4974C7" w14:textId="5765B9C9"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D9D9D9" w:themeFill="background1" w:themeFillShade="D9"/>
            <w:noWrap/>
            <w:vAlign w:val="bottom"/>
            <w:hideMark/>
          </w:tcPr>
          <w:p w14:paraId="6C11A4D2"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4F244986" w14:textId="77777777" w:rsidTr="000B3A7B">
        <w:trPr>
          <w:trHeight w:val="20"/>
        </w:trPr>
        <w:tc>
          <w:tcPr>
            <w:tcW w:w="2268" w:type="dxa"/>
            <w:tcBorders>
              <w:right w:val="single" w:sz="4" w:space="0" w:color="000000"/>
            </w:tcBorders>
            <w:shd w:val="clear" w:color="auto" w:fill="D9D9D9" w:themeFill="background1" w:themeFillShade="D9"/>
            <w:vAlign w:val="bottom"/>
          </w:tcPr>
          <w:p w14:paraId="4EDCFCC4"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1718" w:type="dxa"/>
            <w:tcBorders>
              <w:left w:val="single" w:sz="4" w:space="0" w:color="000000"/>
            </w:tcBorders>
            <w:shd w:val="clear" w:color="auto" w:fill="D9D9D9" w:themeFill="background1" w:themeFillShade="D9"/>
            <w:noWrap/>
            <w:vAlign w:val="bottom"/>
            <w:hideMark/>
          </w:tcPr>
          <w:p w14:paraId="0ED9C72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35/1984 (1.8)</w:t>
            </w:r>
          </w:p>
        </w:tc>
        <w:tc>
          <w:tcPr>
            <w:tcW w:w="1958" w:type="dxa"/>
            <w:shd w:val="clear" w:color="auto" w:fill="D9D9D9" w:themeFill="background1" w:themeFillShade="D9"/>
            <w:noWrap/>
            <w:vAlign w:val="bottom"/>
            <w:hideMark/>
          </w:tcPr>
          <w:p w14:paraId="53B9850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0.48 (0.33 - 0.7)</w:t>
            </w:r>
          </w:p>
        </w:tc>
        <w:tc>
          <w:tcPr>
            <w:tcW w:w="718" w:type="dxa"/>
            <w:shd w:val="clear" w:color="auto" w:fill="D9D9D9" w:themeFill="background1" w:themeFillShade="D9"/>
            <w:noWrap/>
            <w:vAlign w:val="bottom"/>
            <w:hideMark/>
          </w:tcPr>
          <w:p w14:paraId="0F31F67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589" w:type="dxa"/>
            <w:shd w:val="clear" w:color="auto" w:fill="D9D9D9" w:themeFill="background1" w:themeFillShade="D9"/>
            <w:noWrap/>
            <w:vAlign w:val="bottom"/>
            <w:hideMark/>
          </w:tcPr>
          <w:p w14:paraId="0AC8727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0.62 (0.42 - 0.91)</w:t>
            </w:r>
          </w:p>
        </w:tc>
        <w:tc>
          <w:tcPr>
            <w:tcW w:w="748" w:type="dxa"/>
            <w:tcBorders>
              <w:right w:val="single" w:sz="4" w:space="0" w:color="000000"/>
            </w:tcBorders>
            <w:shd w:val="clear" w:color="auto" w:fill="D9D9D9" w:themeFill="background1" w:themeFillShade="D9"/>
            <w:noWrap/>
            <w:vAlign w:val="bottom"/>
            <w:hideMark/>
          </w:tcPr>
          <w:p w14:paraId="46DD2803"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0.012</w:t>
            </w:r>
          </w:p>
        </w:tc>
        <w:tc>
          <w:tcPr>
            <w:tcW w:w="1476" w:type="dxa"/>
            <w:tcBorders>
              <w:left w:val="single" w:sz="4" w:space="0" w:color="000000"/>
            </w:tcBorders>
            <w:shd w:val="clear" w:color="auto" w:fill="D9D9D9" w:themeFill="background1" w:themeFillShade="D9"/>
            <w:noWrap/>
            <w:vAlign w:val="bottom"/>
            <w:hideMark/>
          </w:tcPr>
          <w:p w14:paraId="2D54C59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88/1982 (4.4)</w:t>
            </w:r>
          </w:p>
        </w:tc>
        <w:tc>
          <w:tcPr>
            <w:tcW w:w="1676" w:type="dxa"/>
            <w:shd w:val="clear" w:color="auto" w:fill="D9D9D9" w:themeFill="background1" w:themeFillShade="D9"/>
            <w:noWrap/>
            <w:vAlign w:val="bottom"/>
            <w:hideMark/>
          </w:tcPr>
          <w:p w14:paraId="282C3AA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0.56 (0.44 - 0.72)</w:t>
            </w:r>
          </w:p>
        </w:tc>
        <w:tc>
          <w:tcPr>
            <w:tcW w:w="661" w:type="dxa"/>
            <w:shd w:val="clear" w:color="auto" w:fill="D9D9D9" w:themeFill="background1" w:themeFillShade="D9"/>
            <w:noWrap/>
            <w:vAlign w:val="bottom"/>
            <w:hideMark/>
          </w:tcPr>
          <w:p w14:paraId="43D2A628"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auto" w:fill="D9D9D9" w:themeFill="background1" w:themeFillShade="D9"/>
            <w:noWrap/>
            <w:vAlign w:val="bottom"/>
            <w:hideMark/>
          </w:tcPr>
          <w:p w14:paraId="033D1AAF" w14:textId="0C4BE05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xml:space="preserve">0.78 (0.6 </w:t>
            </w:r>
            <w:r>
              <w:rPr>
                <w:rFonts w:ascii="Calibri" w:eastAsia="Times New Roman" w:hAnsi="Calibri" w:cs="Times New Roman"/>
                <w:color w:val="000000"/>
                <w:sz w:val="16"/>
                <w:szCs w:val="16"/>
                <w:lang w:eastAsia="en-GB"/>
              </w:rPr>
              <w:t>-</w:t>
            </w:r>
            <w:r w:rsidRPr="00A85FC6">
              <w:rPr>
                <w:rFonts w:ascii="Calibri" w:eastAsia="Times New Roman" w:hAnsi="Calibri" w:cs="Times New Roman"/>
                <w:color w:val="000000"/>
                <w:sz w:val="16"/>
                <w:szCs w:val="16"/>
                <w:lang w:eastAsia="en-GB"/>
              </w:rPr>
              <w:t xml:space="preserve"> 1</w:t>
            </w:r>
            <w:r>
              <w:rPr>
                <w:rFonts w:ascii="Calibri" w:eastAsia="Times New Roman" w:hAnsi="Calibri" w:cs="Times New Roman"/>
                <w:color w:val="000000"/>
                <w:sz w:val="16"/>
                <w:szCs w:val="16"/>
                <w:lang w:eastAsia="en-GB"/>
              </w:rPr>
              <w:t>.0</w:t>
            </w:r>
            <w:r w:rsidRPr="00A85FC6">
              <w:rPr>
                <w:rFonts w:ascii="Calibri" w:eastAsia="Times New Roman" w:hAnsi="Calibri" w:cs="Times New Roman"/>
                <w:color w:val="000000"/>
                <w:sz w:val="16"/>
                <w:szCs w:val="16"/>
                <w:lang w:eastAsia="en-GB"/>
              </w:rPr>
              <w:t>)</w:t>
            </w:r>
          </w:p>
        </w:tc>
        <w:tc>
          <w:tcPr>
            <w:tcW w:w="661" w:type="dxa"/>
            <w:shd w:val="clear" w:color="auto" w:fill="D9D9D9" w:themeFill="background1" w:themeFillShade="D9"/>
            <w:noWrap/>
            <w:vAlign w:val="bottom"/>
            <w:hideMark/>
          </w:tcPr>
          <w:p w14:paraId="5A35705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0.05</w:t>
            </w:r>
          </w:p>
        </w:tc>
      </w:tr>
      <w:tr w:rsidR="003B32B8" w:rsidRPr="00A85FC6" w14:paraId="15117AAB" w14:textId="77777777" w:rsidTr="009062EA">
        <w:trPr>
          <w:trHeight w:val="20"/>
        </w:trPr>
        <w:tc>
          <w:tcPr>
            <w:tcW w:w="2268" w:type="dxa"/>
            <w:tcBorders>
              <w:right w:val="single" w:sz="4" w:space="0" w:color="000000"/>
            </w:tcBorders>
            <w:shd w:val="clear" w:color="auto" w:fill="FFFFFF" w:themeFill="background1"/>
            <w:vAlign w:val="bottom"/>
          </w:tcPr>
          <w:p w14:paraId="0E81B23F" w14:textId="77777777" w:rsidR="003B32B8" w:rsidRPr="00642C7E" w:rsidRDefault="003B32B8" w:rsidP="003B32B8">
            <w:pPr>
              <w:spacing w:after="0" w:line="240" w:lineRule="auto"/>
              <w:contextualSpacing/>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Also attracted to women</w:t>
            </w:r>
          </w:p>
        </w:tc>
        <w:tc>
          <w:tcPr>
            <w:tcW w:w="1718" w:type="dxa"/>
            <w:tcBorders>
              <w:left w:val="single" w:sz="4" w:space="0" w:color="000000"/>
            </w:tcBorders>
            <w:shd w:val="clear" w:color="auto" w:fill="FFFFFF" w:themeFill="background1"/>
            <w:noWrap/>
            <w:vAlign w:val="bottom"/>
            <w:hideMark/>
          </w:tcPr>
          <w:p w14:paraId="209FD08A"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958" w:type="dxa"/>
            <w:shd w:val="clear" w:color="auto" w:fill="FFFFFF" w:themeFill="background1"/>
            <w:noWrap/>
            <w:vAlign w:val="bottom"/>
            <w:hideMark/>
          </w:tcPr>
          <w:p w14:paraId="2E0FF3B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18" w:type="dxa"/>
            <w:shd w:val="clear" w:color="auto" w:fill="FFFFFF" w:themeFill="background1"/>
            <w:noWrap/>
            <w:vAlign w:val="bottom"/>
            <w:hideMark/>
          </w:tcPr>
          <w:p w14:paraId="35053BB9"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FFFFFF" w:themeFill="background1"/>
            <w:noWrap/>
            <w:vAlign w:val="bottom"/>
            <w:hideMark/>
          </w:tcPr>
          <w:p w14:paraId="24D1014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748" w:type="dxa"/>
            <w:tcBorders>
              <w:right w:val="single" w:sz="4" w:space="0" w:color="000000"/>
            </w:tcBorders>
            <w:shd w:val="clear" w:color="auto" w:fill="FFFFFF" w:themeFill="background1"/>
            <w:noWrap/>
            <w:vAlign w:val="bottom"/>
            <w:hideMark/>
          </w:tcPr>
          <w:p w14:paraId="012B9954"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FFFFFF" w:themeFill="background1"/>
            <w:noWrap/>
            <w:vAlign w:val="bottom"/>
            <w:hideMark/>
          </w:tcPr>
          <w:p w14:paraId="00A5E165"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p>
        </w:tc>
        <w:tc>
          <w:tcPr>
            <w:tcW w:w="1676" w:type="dxa"/>
            <w:shd w:val="clear" w:color="auto" w:fill="FFFFFF" w:themeFill="background1"/>
            <w:noWrap/>
            <w:vAlign w:val="bottom"/>
            <w:hideMark/>
          </w:tcPr>
          <w:p w14:paraId="76C483CE"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FFFFFF" w:themeFill="background1"/>
            <w:noWrap/>
            <w:vAlign w:val="bottom"/>
            <w:hideMark/>
          </w:tcPr>
          <w:p w14:paraId="6C01704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FFFFFF" w:themeFill="background1"/>
            <w:noWrap/>
            <w:vAlign w:val="bottom"/>
            <w:hideMark/>
          </w:tcPr>
          <w:p w14:paraId="0E3E323C"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661" w:type="dxa"/>
            <w:shd w:val="clear" w:color="auto" w:fill="FFFFFF" w:themeFill="background1"/>
            <w:noWrap/>
            <w:vAlign w:val="bottom"/>
            <w:hideMark/>
          </w:tcPr>
          <w:p w14:paraId="0319EFC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A3A543C" w14:textId="77777777" w:rsidTr="009062EA">
        <w:trPr>
          <w:trHeight w:val="20"/>
        </w:trPr>
        <w:tc>
          <w:tcPr>
            <w:tcW w:w="2268" w:type="dxa"/>
            <w:tcBorders>
              <w:right w:val="single" w:sz="4" w:space="0" w:color="000000"/>
            </w:tcBorders>
            <w:shd w:val="clear" w:color="auto" w:fill="FFFFFF" w:themeFill="background1"/>
            <w:vAlign w:val="bottom"/>
          </w:tcPr>
          <w:p w14:paraId="5A9BBAE1"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No</w:t>
            </w:r>
          </w:p>
        </w:tc>
        <w:tc>
          <w:tcPr>
            <w:tcW w:w="1718" w:type="dxa"/>
            <w:tcBorders>
              <w:left w:val="single" w:sz="4" w:space="0" w:color="000000"/>
            </w:tcBorders>
            <w:shd w:val="clear" w:color="auto" w:fill="FFFFFF" w:themeFill="background1"/>
            <w:noWrap/>
            <w:vAlign w:val="bottom"/>
            <w:hideMark/>
          </w:tcPr>
          <w:p w14:paraId="235D228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126/4654 (2.7)</w:t>
            </w:r>
          </w:p>
        </w:tc>
        <w:tc>
          <w:tcPr>
            <w:tcW w:w="1958" w:type="dxa"/>
            <w:shd w:val="clear" w:color="auto" w:fill="FFFFFF" w:themeFill="background1"/>
            <w:noWrap/>
            <w:vAlign w:val="bottom"/>
            <w:hideMark/>
          </w:tcPr>
          <w:p w14:paraId="4702783F" w14:textId="0D84AB8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18" w:type="dxa"/>
            <w:shd w:val="clear" w:color="auto" w:fill="FFFFFF" w:themeFill="background1"/>
            <w:noWrap/>
            <w:vAlign w:val="bottom"/>
            <w:hideMark/>
          </w:tcPr>
          <w:p w14:paraId="44CBF59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589" w:type="dxa"/>
            <w:shd w:val="clear" w:color="auto" w:fill="FFFFFF" w:themeFill="background1"/>
            <w:noWrap/>
            <w:vAlign w:val="bottom"/>
            <w:hideMark/>
          </w:tcPr>
          <w:p w14:paraId="5F9A2AA7" w14:textId="35B62F7E"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748" w:type="dxa"/>
            <w:tcBorders>
              <w:right w:val="single" w:sz="4" w:space="0" w:color="000000"/>
            </w:tcBorders>
            <w:shd w:val="clear" w:color="auto" w:fill="FFFFFF" w:themeFill="background1"/>
            <w:noWrap/>
            <w:vAlign w:val="bottom"/>
            <w:hideMark/>
          </w:tcPr>
          <w:p w14:paraId="38631F5C"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476" w:type="dxa"/>
            <w:tcBorders>
              <w:left w:val="single" w:sz="4" w:space="0" w:color="000000"/>
            </w:tcBorders>
            <w:shd w:val="clear" w:color="auto" w:fill="FFFFFF" w:themeFill="background1"/>
            <w:noWrap/>
            <w:vAlign w:val="bottom"/>
            <w:hideMark/>
          </w:tcPr>
          <w:p w14:paraId="4DB6EC54"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255/4663 (5.5)</w:t>
            </w:r>
          </w:p>
        </w:tc>
        <w:tc>
          <w:tcPr>
            <w:tcW w:w="1676" w:type="dxa"/>
            <w:shd w:val="clear" w:color="auto" w:fill="FFFFFF" w:themeFill="background1"/>
            <w:noWrap/>
            <w:vAlign w:val="bottom"/>
            <w:hideMark/>
          </w:tcPr>
          <w:p w14:paraId="7D953F88" w14:textId="08D98181"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FFFFFF" w:themeFill="background1"/>
            <w:noWrap/>
            <w:vAlign w:val="bottom"/>
            <w:hideMark/>
          </w:tcPr>
          <w:p w14:paraId="61B34F9F"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c>
          <w:tcPr>
            <w:tcW w:w="1676" w:type="dxa"/>
            <w:shd w:val="clear" w:color="auto" w:fill="FFFFFF" w:themeFill="background1"/>
            <w:noWrap/>
            <w:vAlign w:val="bottom"/>
            <w:hideMark/>
          </w:tcPr>
          <w:p w14:paraId="3702737C" w14:textId="1B49DE13"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1.0</w:t>
            </w:r>
            <w:r w:rsidR="000766C5">
              <w:rPr>
                <w:rFonts w:ascii="Calibri" w:eastAsia="Times New Roman" w:hAnsi="Calibri" w:cs="Times New Roman"/>
                <w:color w:val="000000"/>
                <w:sz w:val="16"/>
                <w:szCs w:val="16"/>
                <w:lang w:eastAsia="en-GB"/>
              </w:rPr>
              <w:t>0</w:t>
            </w:r>
          </w:p>
        </w:tc>
        <w:tc>
          <w:tcPr>
            <w:tcW w:w="661" w:type="dxa"/>
            <w:shd w:val="clear" w:color="auto" w:fill="FFFFFF" w:themeFill="background1"/>
            <w:noWrap/>
            <w:vAlign w:val="bottom"/>
            <w:hideMark/>
          </w:tcPr>
          <w:p w14:paraId="7415250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 </w:t>
            </w:r>
          </w:p>
        </w:tc>
      </w:tr>
      <w:tr w:rsidR="003B32B8" w:rsidRPr="00A85FC6" w14:paraId="6DE9C6BB" w14:textId="77777777" w:rsidTr="009062EA">
        <w:trPr>
          <w:trHeight w:val="20"/>
        </w:trPr>
        <w:tc>
          <w:tcPr>
            <w:tcW w:w="2268" w:type="dxa"/>
            <w:tcBorders>
              <w:right w:val="single" w:sz="4" w:space="0" w:color="000000"/>
            </w:tcBorders>
            <w:shd w:val="clear" w:color="auto" w:fill="FFFFFF" w:themeFill="background1"/>
            <w:vAlign w:val="bottom"/>
          </w:tcPr>
          <w:p w14:paraId="5ABE61C7" w14:textId="77777777" w:rsidR="003B32B8" w:rsidRPr="00642C7E"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642C7E">
              <w:rPr>
                <w:rFonts w:ascii="Calibri" w:eastAsia="Times New Roman" w:hAnsi="Calibri" w:cs="Times New Roman"/>
                <w:color w:val="000000"/>
                <w:sz w:val="16"/>
                <w:szCs w:val="16"/>
                <w:lang w:eastAsia="en-GB"/>
              </w:rPr>
              <w:t>Yes</w:t>
            </w:r>
          </w:p>
        </w:tc>
        <w:tc>
          <w:tcPr>
            <w:tcW w:w="1718" w:type="dxa"/>
            <w:tcBorders>
              <w:left w:val="single" w:sz="4" w:space="0" w:color="000000"/>
            </w:tcBorders>
            <w:shd w:val="clear" w:color="auto" w:fill="FFFFFF" w:themeFill="background1"/>
            <w:noWrap/>
            <w:vAlign w:val="bottom"/>
            <w:hideMark/>
          </w:tcPr>
          <w:p w14:paraId="54BA0348"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45/1076 (4.2)</w:t>
            </w:r>
          </w:p>
        </w:tc>
        <w:tc>
          <w:tcPr>
            <w:tcW w:w="1958" w:type="dxa"/>
            <w:shd w:val="clear" w:color="auto" w:fill="FFFFFF" w:themeFill="background1"/>
            <w:noWrap/>
            <w:vAlign w:val="bottom"/>
            <w:hideMark/>
          </w:tcPr>
          <w:p w14:paraId="7F1CC1E3"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1.57 (1.11 - 2.22)</w:t>
            </w:r>
          </w:p>
        </w:tc>
        <w:tc>
          <w:tcPr>
            <w:tcW w:w="718" w:type="dxa"/>
            <w:shd w:val="clear" w:color="auto" w:fill="FFFFFF" w:themeFill="background1"/>
            <w:noWrap/>
            <w:vAlign w:val="bottom"/>
            <w:hideMark/>
          </w:tcPr>
          <w:p w14:paraId="0D470E6A"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0.014</w:t>
            </w:r>
          </w:p>
        </w:tc>
        <w:tc>
          <w:tcPr>
            <w:tcW w:w="1589" w:type="dxa"/>
            <w:shd w:val="clear" w:color="auto" w:fill="FFFFFF" w:themeFill="background1"/>
            <w:noWrap/>
            <w:vAlign w:val="bottom"/>
            <w:hideMark/>
          </w:tcPr>
          <w:p w14:paraId="7A00B02D"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1.14 (0.78 - 1.64)</w:t>
            </w:r>
          </w:p>
        </w:tc>
        <w:tc>
          <w:tcPr>
            <w:tcW w:w="748" w:type="dxa"/>
            <w:tcBorders>
              <w:right w:val="single" w:sz="4" w:space="0" w:color="000000"/>
            </w:tcBorders>
            <w:shd w:val="clear" w:color="auto" w:fill="FFFFFF" w:themeFill="background1"/>
            <w:noWrap/>
            <w:vAlign w:val="bottom"/>
            <w:hideMark/>
          </w:tcPr>
          <w:p w14:paraId="0773ACFB"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0.502</w:t>
            </w:r>
          </w:p>
        </w:tc>
        <w:tc>
          <w:tcPr>
            <w:tcW w:w="1476" w:type="dxa"/>
            <w:tcBorders>
              <w:left w:val="single" w:sz="4" w:space="0" w:color="000000"/>
            </w:tcBorders>
            <w:shd w:val="clear" w:color="auto" w:fill="FFFFFF" w:themeFill="background1"/>
            <w:noWrap/>
            <w:vAlign w:val="bottom"/>
            <w:hideMark/>
          </w:tcPr>
          <w:p w14:paraId="7BBFCBC2"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118/1078 (10.9)</w:t>
            </w:r>
          </w:p>
        </w:tc>
        <w:tc>
          <w:tcPr>
            <w:tcW w:w="1676" w:type="dxa"/>
            <w:shd w:val="clear" w:color="auto" w:fill="FFFFFF" w:themeFill="background1"/>
            <w:noWrap/>
            <w:vAlign w:val="bottom"/>
            <w:hideMark/>
          </w:tcPr>
          <w:p w14:paraId="07F8C29F"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2.12 (1.69 - 2.67)</w:t>
            </w:r>
          </w:p>
        </w:tc>
        <w:tc>
          <w:tcPr>
            <w:tcW w:w="661" w:type="dxa"/>
            <w:shd w:val="clear" w:color="auto" w:fill="FFFFFF" w:themeFill="background1"/>
            <w:noWrap/>
            <w:vAlign w:val="bottom"/>
            <w:hideMark/>
          </w:tcPr>
          <w:p w14:paraId="6D4F0C06"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c>
          <w:tcPr>
            <w:tcW w:w="1676" w:type="dxa"/>
            <w:shd w:val="clear" w:color="auto" w:fill="FFFFFF" w:themeFill="background1"/>
            <w:noWrap/>
            <w:vAlign w:val="bottom"/>
            <w:hideMark/>
          </w:tcPr>
          <w:p w14:paraId="0C8D4036" w14:textId="77777777" w:rsidR="003B32B8" w:rsidRPr="00A85FC6" w:rsidRDefault="003B32B8" w:rsidP="003B32B8">
            <w:pPr>
              <w:spacing w:after="0" w:line="240" w:lineRule="auto"/>
              <w:contextualSpacing/>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1.71 (1.34 - 2.19)</w:t>
            </w:r>
          </w:p>
        </w:tc>
        <w:tc>
          <w:tcPr>
            <w:tcW w:w="661" w:type="dxa"/>
            <w:shd w:val="clear" w:color="auto" w:fill="FFFFFF" w:themeFill="background1"/>
            <w:noWrap/>
            <w:vAlign w:val="bottom"/>
            <w:hideMark/>
          </w:tcPr>
          <w:p w14:paraId="21E51F2D" w14:textId="77777777" w:rsidR="003B32B8" w:rsidRPr="00A85FC6" w:rsidRDefault="003B32B8" w:rsidP="003B32B8">
            <w:pPr>
              <w:spacing w:after="0" w:line="240" w:lineRule="auto"/>
              <w:contextualSpacing/>
              <w:jc w:val="right"/>
              <w:rPr>
                <w:rFonts w:ascii="Calibri" w:eastAsia="Times New Roman" w:hAnsi="Calibri" w:cs="Times New Roman"/>
                <w:color w:val="000000"/>
                <w:sz w:val="16"/>
                <w:szCs w:val="16"/>
                <w:lang w:eastAsia="en-GB"/>
              </w:rPr>
            </w:pPr>
            <w:r w:rsidRPr="00A85FC6">
              <w:rPr>
                <w:rFonts w:ascii="Calibri" w:eastAsia="Times New Roman" w:hAnsi="Calibri" w:cs="Times New Roman"/>
                <w:color w:val="000000"/>
                <w:sz w:val="16"/>
                <w:szCs w:val="16"/>
                <w:lang w:eastAsia="en-GB"/>
              </w:rPr>
              <w:t>&lt;0.001</w:t>
            </w:r>
          </w:p>
        </w:tc>
      </w:tr>
    </w:tbl>
    <w:p w14:paraId="297058FD" w14:textId="77777777" w:rsidR="000B3A7B" w:rsidRDefault="000B3A7B" w:rsidP="00B04B8E">
      <w:pPr>
        <w:rPr>
          <w:b/>
        </w:rPr>
      </w:pPr>
    </w:p>
    <w:p w14:paraId="0580119E" w14:textId="314FFB0E" w:rsidR="00B04B8E" w:rsidRDefault="00173316" w:rsidP="00B04B8E">
      <w:pPr>
        <w:rPr>
          <w:b/>
        </w:rPr>
      </w:pPr>
      <w:r w:rsidRPr="00A373A4">
        <w:rPr>
          <w:b/>
        </w:rPr>
        <w:t>Table 1</w:t>
      </w:r>
      <w:r w:rsidR="00BB395A">
        <w:rPr>
          <w:b/>
        </w:rPr>
        <w:t xml:space="preserve"> (</w:t>
      </w:r>
      <w:proofErr w:type="spellStart"/>
      <w:r w:rsidR="00BB395A">
        <w:rPr>
          <w:b/>
        </w:rPr>
        <w:t>cont</w:t>
      </w:r>
      <w:proofErr w:type="spellEnd"/>
      <w:r w:rsidR="00BB395A">
        <w:rPr>
          <w:b/>
        </w:rPr>
        <w:t>)</w:t>
      </w:r>
      <w:r w:rsidRPr="00A373A4">
        <w:rPr>
          <w:b/>
        </w:rPr>
        <w:t xml:space="preserve">: </w:t>
      </w:r>
      <w:r>
        <w:rPr>
          <w:b/>
        </w:rPr>
        <w:t xml:space="preserve">Stonewall Gay &amp; Bisexual Men’s Health Survey: </w:t>
      </w:r>
      <w:r w:rsidRPr="00A373A4">
        <w:rPr>
          <w:b/>
        </w:rPr>
        <w:t>Sample characteristics, prevalence of poor mental health and the odds of their occurrence</w:t>
      </w:r>
      <w:r w:rsidR="009940A4">
        <w:rPr>
          <w:b/>
        </w:rPr>
        <w:t>.</w:t>
      </w:r>
    </w:p>
    <w:p w14:paraId="24E99D9B" w14:textId="2EE01230" w:rsidR="009940A4" w:rsidRPr="00173316" w:rsidRDefault="00D6787E" w:rsidP="00B04B8E">
      <w:pPr>
        <w:rPr>
          <w:b/>
        </w:rPr>
        <w:sectPr w:rsidR="009940A4" w:rsidRPr="00173316" w:rsidSect="00B04B8E">
          <w:endnotePr>
            <w:numFmt w:val="decimal"/>
          </w:endnotePr>
          <w:pgSz w:w="16838" w:h="11906" w:orient="landscape"/>
          <w:pgMar w:top="720" w:right="720" w:bottom="720" w:left="720" w:header="709" w:footer="709" w:gutter="0"/>
          <w:cols w:space="708"/>
          <w:docGrid w:linePitch="360"/>
        </w:sectPr>
      </w:pPr>
      <w:r w:rsidRPr="00150BCD">
        <w:rPr>
          <w:rFonts w:ascii="Calibri" w:eastAsia="Times New Roman" w:hAnsi="Calibri" w:cs="Calibri"/>
          <w:lang w:eastAsia="en-GB"/>
        </w:rPr>
        <w:t xml:space="preserve">In the adjusted models, associations with ethnicity were adjusted by age, geography, and migrant status; education was adjusted by age, ethnicity, and living in London; income was adjusted by age, ethnicity, education, migrant status, and living in London; household was adjusted by age, ethnicity, education, migrant status, and living in </w:t>
      </w:r>
      <w:r w:rsidRPr="00150BCD">
        <w:rPr>
          <w:rFonts w:ascii="Calibri" w:eastAsia="Times New Roman" w:hAnsi="Calibri" w:cs="Calibri"/>
          <w:lang w:eastAsia="en-GB"/>
        </w:rPr>
        <w:lastRenderedPageBreak/>
        <w:t xml:space="preserve">London; migrant status was adjusted by age; living in London </w:t>
      </w:r>
      <w:r>
        <w:rPr>
          <w:rFonts w:ascii="Calibri" w:eastAsia="Times New Roman" w:hAnsi="Calibri" w:cs="Calibri"/>
          <w:lang w:eastAsia="en-GB"/>
        </w:rPr>
        <w:t>was</w:t>
      </w:r>
      <w:r w:rsidRPr="00150BCD">
        <w:rPr>
          <w:rFonts w:ascii="Calibri" w:eastAsia="Times New Roman" w:hAnsi="Calibri" w:cs="Calibri"/>
          <w:lang w:eastAsia="en-GB"/>
        </w:rPr>
        <w:t xml:space="preserve"> adjusted </w:t>
      </w:r>
      <w:r>
        <w:rPr>
          <w:rFonts w:ascii="Calibri" w:eastAsia="Times New Roman" w:hAnsi="Calibri" w:cs="Calibri"/>
          <w:lang w:eastAsia="en-GB"/>
        </w:rPr>
        <w:t>by</w:t>
      </w:r>
      <w:r w:rsidRPr="00150BCD">
        <w:rPr>
          <w:rFonts w:ascii="Calibri" w:eastAsia="Times New Roman" w:hAnsi="Calibri" w:cs="Calibri"/>
          <w:lang w:eastAsia="en-GB"/>
        </w:rPr>
        <w:t xml:space="preserve"> age and migrant status</w:t>
      </w:r>
      <w:r>
        <w:rPr>
          <w:rFonts w:ascii="Calibri" w:eastAsia="Times New Roman" w:hAnsi="Calibri" w:cs="Calibri"/>
          <w:lang w:eastAsia="en-GB"/>
        </w:rPr>
        <w:t>; and being attracted to women was adjusted by age, ethnicity, education, migrant status, living in London, and income</w:t>
      </w:r>
      <w:r w:rsidRPr="00150BCD">
        <w:rPr>
          <w:rFonts w:ascii="Calibri" w:eastAsia="Times New Roman" w:hAnsi="Calibri" w:cs="Calibri"/>
          <w:lang w:eastAsia="en-GB"/>
        </w:rPr>
        <w:t xml:space="preserve">.  </w:t>
      </w:r>
    </w:p>
    <w:p w14:paraId="6658D9EF" w14:textId="022F8B2B" w:rsidR="00961C8C" w:rsidRDefault="00FC0C16" w:rsidP="00961C8C">
      <w:pPr>
        <w:rPr>
          <w:b/>
        </w:rPr>
      </w:pPr>
      <w:r>
        <w:rPr>
          <w:b/>
        </w:rPr>
        <w:lastRenderedPageBreak/>
        <w:t>REFERENCES</w:t>
      </w:r>
    </w:p>
    <w:p w14:paraId="69AE2485" w14:textId="77777777" w:rsidR="00343688" w:rsidRDefault="00343688" w:rsidP="00961C8C">
      <w:pPr>
        <w:rPr>
          <w:b/>
        </w:rPr>
      </w:pPr>
    </w:p>
    <w:p w14:paraId="58BBF538" w14:textId="4A821052" w:rsidR="00343688" w:rsidRDefault="00343688" w:rsidP="00961C8C">
      <w:r w:rsidRPr="003B6629">
        <w:rPr>
          <w:vertAlign w:val="superscript"/>
        </w:rPr>
        <w:t>1</w:t>
      </w:r>
      <w:r>
        <w:t xml:space="preserve"> WHO. </w:t>
      </w:r>
      <w:r w:rsidRPr="005B1F92">
        <w:rPr>
          <w:i/>
        </w:rPr>
        <w:t>Mental Health Action Plan 2013-2020.</w:t>
      </w:r>
      <w:r>
        <w:t xml:space="preserve"> Geneva: WHO, 2013.</w:t>
      </w:r>
      <w:bookmarkStart w:id="0" w:name="_GoBack"/>
      <w:bookmarkEnd w:id="0"/>
    </w:p>
    <w:p w14:paraId="4B49F264" w14:textId="231CA809" w:rsidR="00343688" w:rsidRDefault="00343688" w:rsidP="00961C8C">
      <w:r w:rsidRPr="003B6629">
        <w:rPr>
          <w:vertAlign w:val="superscript"/>
        </w:rPr>
        <w:t>2</w:t>
      </w:r>
      <w:r w:rsidRPr="00343688">
        <w:t xml:space="preserve"> </w:t>
      </w:r>
      <w:r w:rsidRPr="000F766A">
        <w:t xml:space="preserve">King M, </w:t>
      </w:r>
      <w:proofErr w:type="spellStart"/>
      <w:r w:rsidRPr="000F766A">
        <w:t>Semlyen</w:t>
      </w:r>
      <w:proofErr w:type="spellEnd"/>
      <w:r w:rsidRPr="000F766A">
        <w:t xml:space="preserve"> J, Tai SS, </w:t>
      </w:r>
      <w:proofErr w:type="spellStart"/>
      <w:r w:rsidRPr="000F766A">
        <w:t>Killaspy</w:t>
      </w:r>
      <w:proofErr w:type="spellEnd"/>
      <w:r w:rsidRPr="000F766A">
        <w:t xml:space="preserve"> H, Osborn D, </w:t>
      </w:r>
      <w:proofErr w:type="spellStart"/>
      <w:r w:rsidRPr="000F766A">
        <w:t>Popelyuk</w:t>
      </w:r>
      <w:proofErr w:type="spellEnd"/>
      <w:r w:rsidRPr="000F766A">
        <w:t xml:space="preserve"> D, et al. A systematic review of mental disorder, suicide, and deliberate self-harm in lesbian, gay and bisexual people. </w:t>
      </w:r>
      <w:r w:rsidRPr="00C35118">
        <w:rPr>
          <w:i/>
        </w:rPr>
        <w:t xml:space="preserve">BMC Psychiatry </w:t>
      </w:r>
      <w:r w:rsidRPr="000F766A">
        <w:t>2008</w:t>
      </w:r>
      <w:proofErr w:type="gramStart"/>
      <w:r w:rsidRPr="000F766A">
        <w:t>;</w:t>
      </w:r>
      <w:r w:rsidRPr="0013031F">
        <w:rPr>
          <w:b/>
        </w:rPr>
        <w:t>8</w:t>
      </w:r>
      <w:proofErr w:type="gramEnd"/>
      <w:r w:rsidRPr="0013031F">
        <w:rPr>
          <w:b/>
        </w:rPr>
        <w:t>(70)</w:t>
      </w:r>
      <w:r w:rsidRPr="000F766A">
        <w:t>.</w:t>
      </w:r>
    </w:p>
    <w:p w14:paraId="6EE4C842" w14:textId="188D9E4D" w:rsidR="00343688" w:rsidRDefault="00343688" w:rsidP="00961C8C">
      <w:r w:rsidRPr="003B6629">
        <w:rPr>
          <w:vertAlign w:val="superscript"/>
        </w:rPr>
        <w:t>3</w:t>
      </w:r>
      <w:r w:rsidRPr="00343688">
        <w:t xml:space="preserve"> </w:t>
      </w:r>
      <w:r w:rsidRPr="00CC62BF">
        <w:t xml:space="preserve">Elliott MN, </w:t>
      </w:r>
      <w:proofErr w:type="spellStart"/>
      <w:r w:rsidRPr="00CC62BF">
        <w:t>Kanouse</w:t>
      </w:r>
      <w:proofErr w:type="spellEnd"/>
      <w:r w:rsidRPr="00CC62BF">
        <w:t xml:space="preserve"> DE, Burkhart Q, Abel GA, </w:t>
      </w:r>
      <w:proofErr w:type="spellStart"/>
      <w:r w:rsidRPr="00CC62BF">
        <w:t>Lyratzopoulos</w:t>
      </w:r>
      <w:proofErr w:type="spellEnd"/>
      <w:r w:rsidRPr="00CC62BF">
        <w:t xml:space="preserve"> G, Beckett MK, Schuster MA, Roland M</w:t>
      </w:r>
      <w:r>
        <w:t>.</w:t>
      </w:r>
      <w:r w:rsidRPr="00CC62BF">
        <w:t xml:space="preserve"> Sexual minorities in England have poorer health and worse health care experiences: a national survey. </w:t>
      </w:r>
      <w:r w:rsidRPr="0013031F">
        <w:rPr>
          <w:i/>
        </w:rPr>
        <w:t>J Gen Intern Med</w:t>
      </w:r>
      <w:r>
        <w:t xml:space="preserve"> 2015</w:t>
      </w:r>
      <w:proofErr w:type="gramStart"/>
      <w:r>
        <w:t>;</w:t>
      </w:r>
      <w:r w:rsidRPr="0013031F">
        <w:rPr>
          <w:b/>
        </w:rPr>
        <w:t>30</w:t>
      </w:r>
      <w:proofErr w:type="gramEnd"/>
      <w:r w:rsidRPr="0013031F">
        <w:rPr>
          <w:b/>
        </w:rPr>
        <w:t>(1)</w:t>
      </w:r>
      <w:r w:rsidRPr="00CC62BF">
        <w:t xml:space="preserve">:9-16. </w:t>
      </w:r>
      <w:proofErr w:type="spellStart"/>
      <w:proofErr w:type="gramStart"/>
      <w:r w:rsidRPr="00CC62BF">
        <w:t>doi</w:t>
      </w:r>
      <w:proofErr w:type="spellEnd"/>
      <w:proofErr w:type="gramEnd"/>
      <w:r w:rsidRPr="00CC62BF">
        <w:t>: 10.1007/s11606-014-2905-y.</w:t>
      </w:r>
    </w:p>
    <w:p w14:paraId="098B5234" w14:textId="28266D5D" w:rsidR="00343688" w:rsidRDefault="00343688" w:rsidP="00961C8C">
      <w:r w:rsidRPr="003B6629">
        <w:rPr>
          <w:vertAlign w:val="superscript"/>
        </w:rPr>
        <w:t>4</w:t>
      </w:r>
      <w:r w:rsidRPr="00343688">
        <w:t xml:space="preserve"> </w:t>
      </w:r>
      <w:r w:rsidRPr="000F766A">
        <w:t xml:space="preserve">Chakraborty A, McManus S, </w:t>
      </w:r>
      <w:proofErr w:type="spellStart"/>
      <w:r w:rsidRPr="000F766A">
        <w:t>Brugha</w:t>
      </w:r>
      <w:proofErr w:type="spellEnd"/>
      <w:r w:rsidRPr="000F766A">
        <w:t xml:space="preserve"> TS, </w:t>
      </w:r>
      <w:proofErr w:type="spellStart"/>
      <w:r w:rsidRPr="000F766A">
        <w:t>Bebbington</w:t>
      </w:r>
      <w:proofErr w:type="spellEnd"/>
      <w:r w:rsidRPr="000F766A">
        <w:t xml:space="preserve"> P, King M. Mental health of the non-heterosexual population of England. </w:t>
      </w:r>
      <w:r w:rsidRPr="00107A51">
        <w:rPr>
          <w:i/>
        </w:rPr>
        <w:t xml:space="preserve">Br J </w:t>
      </w:r>
      <w:proofErr w:type="spellStart"/>
      <w:r w:rsidRPr="00107A51">
        <w:rPr>
          <w:i/>
        </w:rPr>
        <w:t>Psychiat</w:t>
      </w:r>
      <w:proofErr w:type="spellEnd"/>
      <w:r>
        <w:rPr>
          <w:i/>
        </w:rPr>
        <w:t>,</w:t>
      </w:r>
      <w:r w:rsidRPr="000F766A">
        <w:t xml:space="preserve"> 2011</w:t>
      </w:r>
      <w:proofErr w:type="gramStart"/>
      <w:r w:rsidRPr="000F766A">
        <w:t>;</w:t>
      </w:r>
      <w:r w:rsidRPr="0013031F">
        <w:rPr>
          <w:b/>
        </w:rPr>
        <w:t>198</w:t>
      </w:r>
      <w:proofErr w:type="gramEnd"/>
      <w:r w:rsidRPr="0013031F">
        <w:rPr>
          <w:b/>
        </w:rPr>
        <w:t>(2)</w:t>
      </w:r>
      <w:r w:rsidRPr="000F766A">
        <w:t>:143-8.</w:t>
      </w:r>
    </w:p>
    <w:p w14:paraId="03EBF2CC" w14:textId="12514B69" w:rsidR="00343688" w:rsidRDefault="00343688" w:rsidP="00961C8C">
      <w:r w:rsidRPr="003B6629">
        <w:rPr>
          <w:vertAlign w:val="superscript"/>
        </w:rPr>
        <w:t>5</w:t>
      </w:r>
      <w:r w:rsidRPr="00343688">
        <w:rPr>
          <w:lang w:eastAsia="en-GB"/>
        </w:rPr>
        <w:t xml:space="preserve"> </w:t>
      </w:r>
      <w:r>
        <w:rPr>
          <w:lang w:eastAsia="en-GB"/>
        </w:rPr>
        <w:t>Simon B.</w:t>
      </w:r>
      <w:r w:rsidRPr="002F5628">
        <w:rPr>
          <w:lang w:eastAsia="en-GB"/>
        </w:rPr>
        <w:t xml:space="preserve"> The </w:t>
      </w:r>
      <w:r>
        <w:rPr>
          <w:lang w:eastAsia="en-GB"/>
        </w:rPr>
        <w:t>p</w:t>
      </w:r>
      <w:r w:rsidRPr="002F5628">
        <w:rPr>
          <w:lang w:eastAsia="en-GB"/>
        </w:rPr>
        <w:t xml:space="preserve">erception of </w:t>
      </w:r>
      <w:proofErr w:type="spellStart"/>
      <w:r w:rsidRPr="002F5628">
        <w:rPr>
          <w:lang w:eastAsia="en-GB"/>
        </w:rPr>
        <w:t>ingroup</w:t>
      </w:r>
      <w:proofErr w:type="spellEnd"/>
      <w:r w:rsidRPr="002F5628">
        <w:rPr>
          <w:lang w:eastAsia="en-GB"/>
        </w:rPr>
        <w:t xml:space="preserve"> and outgroup homogeneity: reintroducing the intergroup context. </w:t>
      </w:r>
      <w:proofErr w:type="spellStart"/>
      <w:r w:rsidRPr="002F5628">
        <w:rPr>
          <w:i/>
          <w:lang w:eastAsia="en-GB"/>
        </w:rPr>
        <w:t>Eur</w:t>
      </w:r>
      <w:proofErr w:type="spellEnd"/>
      <w:r w:rsidRPr="002F5628">
        <w:rPr>
          <w:i/>
          <w:lang w:eastAsia="en-GB"/>
        </w:rPr>
        <w:t xml:space="preserve"> Rev </w:t>
      </w:r>
      <w:proofErr w:type="spellStart"/>
      <w:r w:rsidRPr="002F5628">
        <w:rPr>
          <w:i/>
          <w:lang w:eastAsia="en-GB"/>
        </w:rPr>
        <w:t>Soc</w:t>
      </w:r>
      <w:proofErr w:type="spellEnd"/>
      <w:r w:rsidRPr="002F5628">
        <w:rPr>
          <w:i/>
          <w:lang w:eastAsia="en-GB"/>
        </w:rPr>
        <w:t xml:space="preserve"> </w:t>
      </w:r>
      <w:proofErr w:type="spellStart"/>
      <w:r w:rsidRPr="002F5628">
        <w:rPr>
          <w:i/>
          <w:lang w:eastAsia="en-GB"/>
        </w:rPr>
        <w:t>Psychol</w:t>
      </w:r>
      <w:proofErr w:type="spellEnd"/>
      <w:r w:rsidRPr="002F5628">
        <w:rPr>
          <w:i/>
          <w:lang w:eastAsia="en-GB"/>
        </w:rPr>
        <w:t xml:space="preserve"> </w:t>
      </w:r>
      <w:r w:rsidRPr="00107A51">
        <w:rPr>
          <w:lang w:eastAsia="en-GB"/>
        </w:rPr>
        <w:t>1992:</w:t>
      </w:r>
      <w:r w:rsidRPr="0013031F">
        <w:rPr>
          <w:b/>
          <w:lang w:eastAsia="en-GB"/>
        </w:rPr>
        <w:t>3(1)</w:t>
      </w:r>
      <w:r w:rsidRPr="00107A51">
        <w:rPr>
          <w:lang w:eastAsia="en-GB"/>
        </w:rPr>
        <w:t>:</w:t>
      </w:r>
      <w:r w:rsidRPr="002F5628">
        <w:rPr>
          <w:lang w:eastAsia="en-GB"/>
        </w:rPr>
        <w:t xml:space="preserve">1-30. </w:t>
      </w:r>
      <w:r w:rsidRPr="002F5628">
        <w:rPr>
          <w:bCs/>
          <w:lang w:eastAsia="en-GB"/>
        </w:rPr>
        <w:t>DOI</w:t>
      </w:r>
      <w:r w:rsidRPr="002F5628">
        <w:rPr>
          <w:b/>
          <w:bCs/>
          <w:lang w:eastAsia="en-GB"/>
        </w:rPr>
        <w:t xml:space="preserve">: </w:t>
      </w:r>
      <w:r w:rsidRPr="002F5628">
        <w:rPr>
          <w:lang w:eastAsia="en-GB"/>
        </w:rPr>
        <w:t>0.1080/14792779243000005.</w:t>
      </w:r>
    </w:p>
    <w:p w14:paraId="3CA7E0C6" w14:textId="097BEC0C" w:rsidR="00343688" w:rsidRDefault="00343688" w:rsidP="00961C8C">
      <w:r w:rsidRPr="003B6629">
        <w:rPr>
          <w:vertAlign w:val="superscript"/>
        </w:rPr>
        <w:t>6</w:t>
      </w:r>
      <w:r w:rsidRPr="00343688">
        <w:t xml:space="preserve"> </w:t>
      </w:r>
      <w:proofErr w:type="spellStart"/>
      <w:r>
        <w:t>Rosenfield</w:t>
      </w:r>
      <w:proofErr w:type="spellEnd"/>
      <w:r>
        <w:t xml:space="preserve"> S, </w:t>
      </w:r>
      <w:proofErr w:type="spellStart"/>
      <w:r>
        <w:t>Mouzon</w:t>
      </w:r>
      <w:proofErr w:type="spellEnd"/>
      <w:r>
        <w:t xml:space="preserve"> D. Gender and mental health. In </w:t>
      </w:r>
      <w:proofErr w:type="spellStart"/>
      <w:r>
        <w:t>Aneshensel</w:t>
      </w:r>
      <w:proofErr w:type="spellEnd"/>
      <w:r>
        <w:t xml:space="preserve"> CS, Phelan JC, </w:t>
      </w:r>
      <w:proofErr w:type="spellStart"/>
      <w:r>
        <w:t>Bierman</w:t>
      </w:r>
      <w:proofErr w:type="spellEnd"/>
      <w:r>
        <w:t xml:space="preserve"> A (</w:t>
      </w:r>
      <w:proofErr w:type="spellStart"/>
      <w:r>
        <w:t>Eds</w:t>
      </w:r>
      <w:proofErr w:type="spellEnd"/>
      <w:r>
        <w:t xml:space="preserve">) </w:t>
      </w:r>
      <w:r w:rsidRPr="00B13775">
        <w:rPr>
          <w:i/>
        </w:rPr>
        <w:t>Handbook of the Sociology of Mental Health</w:t>
      </w:r>
      <w:r>
        <w:rPr>
          <w:i/>
        </w:rPr>
        <w:t>, 2</w:t>
      </w:r>
      <w:r w:rsidRPr="00B13775">
        <w:rPr>
          <w:i/>
          <w:vertAlign w:val="superscript"/>
        </w:rPr>
        <w:t>nd</w:t>
      </w:r>
      <w:r>
        <w:rPr>
          <w:i/>
        </w:rPr>
        <w:t xml:space="preserve"> edition</w:t>
      </w:r>
      <w:r>
        <w:t>. Springer; New York, 2013</w:t>
      </w:r>
      <w:proofErr w:type="gramStart"/>
      <w:r>
        <w:t>,277</w:t>
      </w:r>
      <w:proofErr w:type="gramEnd"/>
      <w:r>
        <w:t>-296.</w:t>
      </w:r>
    </w:p>
    <w:p w14:paraId="7810F92D" w14:textId="116B67BC" w:rsidR="00343688" w:rsidRDefault="00343688" w:rsidP="00961C8C">
      <w:r w:rsidRPr="003B6629">
        <w:rPr>
          <w:vertAlign w:val="superscript"/>
        </w:rPr>
        <w:t>7</w:t>
      </w:r>
      <w:r w:rsidRPr="00343688">
        <w:t xml:space="preserve"> </w:t>
      </w:r>
      <w:r w:rsidRPr="007349B9">
        <w:t xml:space="preserve">Kessler RC, </w:t>
      </w:r>
      <w:proofErr w:type="spellStart"/>
      <w:r w:rsidRPr="007349B9">
        <w:t>Amminger</w:t>
      </w:r>
      <w:proofErr w:type="spellEnd"/>
      <w:r w:rsidRPr="007349B9">
        <w:t xml:space="preserve"> GP, Aguilar‐</w:t>
      </w:r>
      <w:proofErr w:type="spellStart"/>
      <w:r w:rsidRPr="007349B9">
        <w:t>Gaxiola</w:t>
      </w:r>
      <w:proofErr w:type="spellEnd"/>
      <w:r w:rsidRPr="007349B9">
        <w:t xml:space="preserve"> S, Alonso J, Lee S, </w:t>
      </w:r>
      <w:proofErr w:type="spellStart"/>
      <w:r w:rsidRPr="007349B9">
        <w:t>Bedirhan</w:t>
      </w:r>
      <w:proofErr w:type="spellEnd"/>
      <w:r w:rsidRPr="007349B9">
        <w:t xml:space="preserve"> </w:t>
      </w:r>
      <w:proofErr w:type="spellStart"/>
      <w:r w:rsidRPr="007349B9">
        <w:t>Ustun</w:t>
      </w:r>
      <w:proofErr w:type="spellEnd"/>
      <w:r w:rsidRPr="007349B9">
        <w:t xml:space="preserve"> T</w:t>
      </w:r>
      <w:r>
        <w:t>.</w:t>
      </w:r>
      <w:r w:rsidRPr="007349B9">
        <w:t xml:space="preserve"> Age of onset of mental disorders: A review of recent literature. </w:t>
      </w:r>
      <w:r w:rsidRPr="00AE4EAC">
        <w:rPr>
          <w:i/>
        </w:rPr>
        <w:t>Cur</w:t>
      </w:r>
      <w:r w:rsidRPr="007349B9">
        <w:t xml:space="preserve"> </w:t>
      </w:r>
      <w:proofErr w:type="spellStart"/>
      <w:r w:rsidRPr="00AE4EAC">
        <w:rPr>
          <w:i/>
        </w:rPr>
        <w:t>Opin</w:t>
      </w:r>
      <w:proofErr w:type="spellEnd"/>
      <w:r w:rsidRPr="00AE4EAC">
        <w:rPr>
          <w:i/>
        </w:rPr>
        <w:t xml:space="preserve"> </w:t>
      </w:r>
      <w:proofErr w:type="spellStart"/>
      <w:r w:rsidRPr="00AE4EAC">
        <w:rPr>
          <w:i/>
        </w:rPr>
        <w:t>Psychia</w:t>
      </w:r>
      <w:proofErr w:type="spellEnd"/>
      <w:r>
        <w:rPr>
          <w:i/>
        </w:rPr>
        <w:t xml:space="preserve"> </w:t>
      </w:r>
      <w:r>
        <w:t>2007</w:t>
      </w:r>
      <w:proofErr w:type="gramStart"/>
      <w:r>
        <w:t>;</w:t>
      </w:r>
      <w:r w:rsidRPr="0013031F">
        <w:rPr>
          <w:b/>
        </w:rPr>
        <w:t>20</w:t>
      </w:r>
      <w:proofErr w:type="gramEnd"/>
      <w:r w:rsidRPr="0013031F">
        <w:rPr>
          <w:b/>
        </w:rPr>
        <w:t>(4)</w:t>
      </w:r>
      <w:r w:rsidRPr="00AE4EAC">
        <w:rPr>
          <w:i/>
        </w:rPr>
        <w:t>:</w:t>
      </w:r>
      <w:r w:rsidRPr="007349B9">
        <w:t xml:space="preserve">359–364. </w:t>
      </w:r>
      <w:r>
        <w:t>DOI</w:t>
      </w:r>
      <w:r w:rsidRPr="007349B9">
        <w:t>:  10.1097/YCO.0b013e32816ebc8c.</w:t>
      </w:r>
    </w:p>
    <w:p w14:paraId="74039608" w14:textId="68A66211" w:rsidR="00343688" w:rsidRDefault="00343688" w:rsidP="00961C8C">
      <w:r w:rsidRPr="003B6629">
        <w:rPr>
          <w:vertAlign w:val="superscript"/>
        </w:rPr>
        <w:t>8</w:t>
      </w:r>
      <w:r w:rsidRPr="00343688">
        <w:t xml:space="preserve"> </w:t>
      </w:r>
      <w:proofErr w:type="spellStart"/>
      <w:r>
        <w:t>Bhui</w:t>
      </w:r>
      <w:proofErr w:type="spellEnd"/>
      <w:r>
        <w:t xml:space="preserve"> K, </w:t>
      </w:r>
      <w:proofErr w:type="spellStart"/>
      <w:r>
        <w:t>Stansfeld</w:t>
      </w:r>
      <w:proofErr w:type="spellEnd"/>
      <w:r>
        <w:t xml:space="preserve"> S, Hull S, </w:t>
      </w:r>
      <w:proofErr w:type="spellStart"/>
      <w:r>
        <w:t>Priebe</w:t>
      </w:r>
      <w:proofErr w:type="spellEnd"/>
      <w:r>
        <w:t xml:space="preserve"> S, Mole F, </w:t>
      </w:r>
      <w:proofErr w:type="spellStart"/>
      <w:r>
        <w:t>Feder</w:t>
      </w:r>
      <w:proofErr w:type="spellEnd"/>
      <w:r>
        <w:t xml:space="preserve"> G. Ethnic variations in pathways to and use of specialist mental health services in the UK: Systematic review. </w:t>
      </w:r>
      <w:r w:rsidRPr="00AE4EAC">
        <w:rPr>
          <w:i/>
        </w:rPr>
        <w:t xml:space="preserve">Br J </w:t>
      </w:r>
      <w:proofErr w:type="spellStart"/>
      <w:r w:rsidRPr="00AE4EAC">
        <w:rPr>
          <w:i/>
        </w:rPr>
        <w:t>Psychia</w:t>
      </w:r>
      <w:proofErr w:type="spellEnd"/>
      <w:r>
        <w:rPr>
          <w:i/>
        </w:rPr>
        <w:t xml:space="preserve"> </w:t>
      </w:r>
      <w:r>
        <w:t>2003</w:t>
      </w:r>
      <w:proofErr w:type="gramStart"/>
      <w:r>
        <w:t>;</w:t>
      </w:r>
      <w:r w:rsidRPr="0013031F">
        <w:rPr>
          <w:b/>
        </w:rPr>
        <w:t>182</w:t>
      </w:r>
      <w:r>
        <w:t>:105</w:t>
      </w:r>
      <w:proofErr w:type="gramEnd"/>
      <w:r>
        <w:t>-16. DOI: 10.1192/bjp.182.2.105.</w:t>
      </w:r>
    </w:p>
    <w:p w14:paraId="3179EF92" w14:textId="604BEB35" w:rsidR="00343688" w:rsidRDefault="00343688" w:rsidP="00961C8C">
      <w:r w:rsidRPr="003B6629">
        <w:rPr>
          <w:vertAlign w:val="superscript"/>
        </w:rPr>
        <w:t>9</w:t>
      </w:r>
      <w:r w:rsidRPr="00343688">
        <w:t xml:space="preserve"> </w:t>
      </w:r>
      <w:r w:rsidRPr="00486CD1">
        <w:t>Coombs RH</w:t>
      </w:r>
      <w:r>
        <w:t>.</w:t>
      </w:r>
      <w:r w:rsidRPr="00486CD1">
        <w:t xml:space="preserve"> Marital status and personal well-being: a literature </w:t>
      </w:r>
      <w:r>
        <w:t xml:space="preserve">review. </w:t>
      </w:r>
      <w:r w:rsidRPr="00E23B4C">
        <w:rPr>
          <w:i/>
        </w:rPr>
        <w:t>Family relations</w:t>
      </w:r>
      <w:r>
        <w:rPr>
          <w:i/>
        </w:rPr>
        <w:t xml:space="preserve"> </w:t>
      </w:r>
      <w:r>
        <w:t>1991</w:t>
      </w:r>
      <w:proofErr w:type="gramStart"/>
      <w:r>
        <w:t>;</w:t>
      </w:r>
      <w:r w:rsidRPr="0013031F">
        <w:rPr>
          <w:b/>
        </w:rPr>
        <w:t>40</w:t>
      </w:r>
      <w:proofErr w:type="gramEnd"/>
      <w:r w:rsidRPr="0013031F">
        <w:rPr>
          <w:b/>
        </w:rPr>
        <w:t>(1)</w:t>
      </w:r>
      <w:r w:rsidRPr="0013031F">
        <w:t>:</w:t>
      </w:r>
      <w:r w:rsidRPr="00486CD1">
        <w:t>97-102.</w:t>
      </w:r>
    </w:p>
    <w:p w14:paraId="05F20AA4" w14:textId="266A7D6B" w:rsidR="00343688" w:rsidRDefault="00343688" w:rsidP="00961C8C">
      <w:r w:rsidRPr="003B6629">
        <w:rPr>
          <w:vertAlign w:val="superscript"/>
        </w:rPr>
        <w:t>10</w:t>
      </w:r>
      <w:r w:rsidRPr="00343688">
        <w:t xml:space="preserve"> </w:t>
      </w:r>
      <w:r>
        <w:t xml:space="preserve">Wildman J. Income related inequalities in mental health in Great Britain: </w:t>
      </w:r>
      <w:proofErr w:type="spellStart"/>
      <w:r>
        <w:t>analyising</w:t>
      </w:r>
      <w:proofErr w:type="spellEnd"/>
      <w:r>
        <w:t xml:space="preserve"> the causes of health inequalities over time. </w:t>
      </w:r>
      <w:r w:rsidRPr="0013031F">
        <w:rPr>
          <w:i/>
        </w:rPr>
        <w:t>J Health Econ</w:t>
      </w:r>
      <w:r>
        <w:t xml:space="preserve"> 2003</w:t>
      </w:r>
      <w:proofErr w:type="gramStart"/>
      <w:r>
        <w:t>;</w:t>
      </w:r>
      <w:r w:rsidRPr="0013031F">
        <w:rPr>
          <w:b/>
        </w:rPr>
        <w:t>22</w:t>
      </w:r>
      <w:proofErr w:type="gramEnd"/>
      <w:r w:rsidRPr="0013031F">
        <w:rPr>
          <w:b/>
        </w:rPr>
        <w:t>(2)</w:t>
      </w:r>
      <w:r>
        <w:t>:295-312.</w:t>
      </w:r>
    </w:p>
    <w:p w14:paraId="405D1814" w14:textId="58FF78C3" w:rsidR="00343688" w:rsidRDefault="00343688" w:rsidP="00961C8C">
      <w:r w:rsidRPr="003B6629">
        <w:rPr>
          <w:vertAlign w:val="superscript"/>
        </w:rPr>
        <w:t>11</w:t>
      </w:r>
      <w:r w:rsidRPr="00343688">
        <w:t xml:space="preserve"> </w:t>
      </w:r>
      <w:proofErr w:type="spellStart"/>
      <w:r>
        <w:t>Colledge</w:t>
      </w:r>
      <w:proofErr w:type="spellEnd"/>
      <w:r>
        <w:t xml:space="preserve"> L, Hickson F, Reid D, </w:t>
      </w:r>
      <w:proofErr w:type="spellStart"/>
      <w:r>
        <w:t>Weatherburn</w:t>
      </w:r>
      <w:proofErr w:type="spellEnd"/>
      <w:r>
        <w:t xml:space="preserve"> P. Poorer mental health in UK bisexual women than lesbians: evidence from the UK 2007 Stonewall Women’s Health Survey. </w:t>
      </w:r>
      <w:r>
        <w:rPr>
          <w:i/>
        </w:rPr>
        <w:t xml:space="preserve">J Pub Health </w:t>
      </w:r>
      <w:r>
        <w:t>2015</w:t>
      </w:r>
      <w:proofErr w:type="gramStart"/>
      <w:r>
        <w:t>;</w:t>
      </w:r>
      <w:r w:rsidRPr="0013031F">
        <w:rPr>
          <w:b/>
        </w:rPr>
        <w:t>37</w:t>
      </w:r>
      <w:proofErr w:type="gramEnd"/>
      <w:r w:rsidRPr="0013031F">
        <w:rPr>
          <w:b/>
        </w:rPr>
        <w:t>(3)</w:t>
      </w:r>
      <w:r>
        <w:t>:427-437. DOI: 10.1093/</w:t>
      </w:r>
      <w:proofErr w:type="spellStart"/>
      <w:r>
        <w:t>pubmed</w:t>
      </w:r>
      <w:proofErr w:type="spellEnd"/>
      <w:r>
        <w:t>/fdu105.</w:t>
      </w:r>
    </w:p>
    <w:p w14:paraId="4E717D53" w14:textId="28B2713A" w:rsidR="00343688" w:rsidRDefault="00343688" w:rsidP="00961C8C">
      <w:r w:rsidRPr="003B6629">
        <w:rPr>
          <w:vertAlign w:val="superscript"/>
        </w:rPr>
        <w:lastRenderedPageBreak/>
        <w:t>12</w:t>
      </w:r>
      <w:r w:rsidRPr="00343688">
        <w:t xml:space="preserve"> </w:t>
      </w:r>
      <w:proofErr w:type="spellStart"/>
      <w:r>
        <w:t>Kroenke</w:t>
      </w:r>
      <w:proofErr w:type="spellEnd"/>
      <w:r>
        <w:t xml:space="preserve"> K, Spitzer R and Williams J </w:t>
      </w:r>
      <w:proofErr w:type="gramStart"/>
      <w:r>
        <w:t>The</w:t>
      </w:r>
      <w:proofErr w:type="gramEnd"/>
      <w:r>
        <w:t xml:space="preserve"> PHQ-9: the validity of a brief depression severity measure. </w:t>
      </w:r>
      <w:r w:rsidRPr="00171D8E">
        <w:rPr>
          <w:i/>
        </w:rPr>
        <w:t>J Gen Intern Med</w:t>
      </w:r>
      <w:r>
        <w:rPr>
          <w:i/>
        </w:rPr>
        <w:t xml:space="preserve"> </w:t>
      </w:r>
      <w:r>
        <w:t>2001</w:t>
      </w:r>
      <w:proofErr w:type="gramStart"/>
      <w:r>
        <w:t>;</w:t>
      </w:r>
      <w:r w:rsidRPr="0013031F">
        <w:rPr>
          <w:b/>
        </w:rPr>
        <w:t>16</w:t>
      </w:r>
      <w:proofErr w:type="gramEnd"/>
      <w:r w:rsidRPr="0013031F">
        <w:rPr>
          <w:b/>
        </w:rPr>
        <w:t>(9)</w:t>
      </w:r>
      <w:r w:rsidRPr="00322BCA">
        <w:t>:</w:t>
      </w:r>
      <w:r>
        <w:t>606-613.</w:t>
      </w:r>
    </w:p>
    <w:p w14:paraId="56A836F0" w14:textId="7A0B1500" w:rsidR="00343688" w:rsidRDefault="00343688" w:rsidP="00961C8C">
      <w:r w:rsidRPr="003B6629">
        <w:rPr>
          <w:vertAlign w:val="superscript"/>
        </w:rPr>
        <w:t>13</w:t>
      </w:r>
      <w:r w:rsidRPr="00343688">
        <w:t xml:space="preserve"> </w:t>
      </w:r>
      <w:r>
        <w:t xml:space="preserve">Spitzer RL, </w:t>
      </w:r>
      <w:proofErr w:type="spellStart"/>
      <w:r>
        <w:t>Kroenke</w:t>
      </w:r>
      <w:proofErr w:type="spellEnd"/>
      <w:r>
        <w:t xml:space="preserve"> K, Williams JB, Lowe B. A brief measure for assessing generalised anxiety disorder: the GAD-7. </w:t>
      </w:r>
      <w:r w:rsidRPr="00755942">
        <w:rPr>
          <w:i/>
        </w:rPr>
        <w:t>Arch Intern Med</w:t>
      </w:r>
      <w:r>
        <w:rPr>
          <w:i/>
        </w:rPr>
        <w:t xml:space="preserve"> </w:t>
      </w:r>
      <w:r>
        <w:t>2006</w:t>
      </w:r>
      <w:proofErr w:type="gramStart"/>
      <w:r>
        <w:t>;</w:t>
      </w:r>
      <w:r w:rsidRPr="0013031F">
        <w:rPr>
          <w:b/>
        </w:rPr>
        <w:t>166</w:t>
      </w:r>
      <w:proofErr w:type="gramEnd"/>
      <w:r w:rsidRPr="0013031F">
        <w:rPr>
          <w:b/>
        </w:rPr>
        <w:t>(10)</w:t>
      </w:r>
      <w:r>
        <w:rPr>
          <w:i/>
        </w:rPr>
        <w:t>:</w:t>
      </w:r>
      <w:r>
        <w:t>1092-7.</w:t>
      </w:r>
    </w:p>
    <w:p w14:paraId="19FB47C3" w14:textId="6D7FE398" w:rsidR="003605FF" w:rsidRDefault="00343688" w:rsidP="00961C8C">
      <w:r w:rsidRPr="003B6629">
        <w:rPr>
          <w:vertAlign w:val="superscript"/>
        </w:rPr>
        <w:t>14</w:t>
      </w:r>
      <w:r w:rsidRPr="00343688">
        <w:t xml:space="preserve"> </w:t>
      </w:r>
      <w:proofErr w:type="spellStart"/>
      <w:r w:rsidR="003605FF" w:rsidRPr="003605FF">
        <w:t>Schisterman</w:t>
      </w:r>
      <w:proofErr w:type="spellEnd"/>
      <w:r w:rsidR="003605FF" w:rsidRPr="003605FF">
        <w:t xml:space="preserve"> EF, Cole SR and Platt RW. </w:t>
      </w:r>
      <w:proofErr w:type="spellStart"/>
      <w:r w:rsidR="003605FF" w:rsidRPr="003605FF">
        <w:t>Overadjustment</w:t>
      </w:r>
      <w:proofErr w:type="spellEnd"/>
      <w:r w:rsidR="003605FF" w:rsidRPr="003605FF">
        <w:t xml:space="preserve"> bias and unnecessary adjustment in epidemiologic studies. </w:t>
      </w:r>
      <w:r w:rsidR="003605FF" w:rsidRPr="00322BCA">
        <w:rPr>
          <w:i/>
        </w:rPr>
        <w:t>Epidemiology</w:t>
      </w:r>
      <w:r w:rsidR="003605FF" w:rsidRPr="003605FF">
        <w:t xml:space="preserve"> 2009</w:t>
      </w:r>
      <w:proofErr w:type="gramStart"/>
      <w:r w:rsidR="003605FF">
        <w:t>;</w:t>
      </w:r>
      <w:r w:rsidR="003605FF" w:rsidRPr="00322BCA">
        <w:rPr>
          <w:b/>
        </w:rPr>
        <w:t>20</w:t>
      </w:r>
      <w:proofErr w:type="gramEnd"/>
      <w:r w:rsidR="003605FF" w:rsidRPr="00322BCA">
        <w:rPr>
          <w:b/>
        </w:rPr>
        <w:t>(4):</w:t>
      </w:r>
      <w:r w:rsidR="003605FF" w:rsidRPr="003605FF">
        <w:t xml:space="preserve">488–495. </w:t>
      </w:r>
      <w:proofErr w:type="spellStart"/>
      <w:proofErr w:type="gramStart"/>
      <w:r w:rsidR="003605FF" w:rsidRPr="003605FF">
        <w:t>doi</w:t>
      </w:r>
      <w:proofErr w:type="spellEnd"/>
      <w:proofErr w:type="gramEnd"/>
      <w:r w:rsidR="003605FF" w:rsidRPr="003605FF">
        <w:t>:  10.1097/EDE.0b013e3181a819a1</w:t>
      </w:r>
    </w:p>
    <w:p w14:paraId="15AF88FD" w14:textId="5E4B25EB" w:rsidR="003605FF" w:rsidRDefault="003605FF" w:rsidP="00961C8C">
      <w:r>
        <w:rPr>
          <w:vertAlign w:val="superscript"/>
        </w:rPr>
        <w:t>15</w:t>
      </w:r>
      <w:r>
        <w:t xml:space="preserve"> </w:t>
      </w:r>
      <w:r w:rsidRPr="003605FF">
        <w:t>Greenland S, Pearl J and Robbins JM</w:t>
      </w:r>
      <w:r>
        <w:t>.</w:t>
      </w:r>
      <w:r w:rsidRPr="003605FF">
        <w:t xml:space="preserve"> Casual diagrams for epidemiologic research. </w:t>
      </w:r>
      <w:r w:rsidRPr="00322BCA">
        <w:rPr>
          <w:i/>
        </w:rPr>
        <w:t>Epidemiology</w:t>
      </w:r>
      <w:r>
        <w:t xml:space="preserve"> 1999</w:t>
      </w:r>
      <w:proofErr w:type="gramStart"/>
      <w:r>
        <w:t>;</w:t>
      </w:r>
      <w:r w:rsidRPr="00322BCA">
        <w:rPr>
          <w:b/>
        </w:rPr>
        <w:t>10</w:t>
      </w:r>
      <w:proofErr w:type="gramEnd"/>
      <w:r w:rsidRPr="00322BCA">
        <w:rPr>
          <w:b/>
        </w:rPr>
        <w:t>(1)</w:t>
      </w:r>
      <w:r>
        <w:t>:</w:t>
      </w:r>
      <w:r w:rsidRPr="003605FF">
        <w:t>37-48.</w:t>
      </w:r>
    </w:p>
    <w:p w14:paraId="7EFEE08B" w14:textId="3F4FA529" w:rsidR="003605FF" w:rsidRPr="003605FF" w:rsidRDefault="003605FF" w:rsidP="00961C8C">
      <w:r>
        <w:rPr>
          <w:vertAlign w:val="superscript"/>
        </w:rPr>
        <w:t>16</w:t>
      </w:r>
      <w:r>
        <w:t xml:space="preserve"> </w:t>
      </w:r>
      <w:proofErr w:type="spellStart"/>
      <w:r w:rsidRPr="003605FF">
        <w:t>Textor</w:t>
      </w:r>
      <w:proofErr w:type="spellEnd"/>
      <w:r w:rsidRPr="003605FF">
        <w:t xml:space="preserve"> J, </w:t>
      </w:r>
      <w:proofErr w:type="spellStart"/>
      <w:r w:rsidRPr="003605FF">
        <w:t>Hardt</w:t>
      </w:r>
      <w:proofErr w:type="spellEnd"/>
      <w:r w:rsidRPr="003605FF">
        <w:t xml:space="preserve"> J and </w:t>
      </w:r>
      <w:proofErr w:type="spellStart"/>
      <w:r w:rsidRPr="003605FF">
        <w:t>Knuppel</w:t>
      </w:r>
      <w:proofErr w:type="spellEnd"/>
      <w:r w:rsidRPr="003605FF">
        <w:t xml:space="preserve"> S. </w:t>
      </w:r>
      <w:proofErr w:type="spellStart"/>
      <w:r w:rsidRPr="003605FF">
        <w:t>Dagitty</w:t>
      </w:r>
      <w:proofErr w:type="spellEnd"/>
      <w:r w:rsidRPr="003605FF">
        <w:t xml:space="preserve">: A graphical tool for </w:t>
      </w:r>
      <w:proofErr w:type="spellStart"/>
      <w:r w:rsidRPr="003605FF">
        <w:t>analyzing</w:t>
      </w:r>
      <w:proofErr w:type="spellEnd"/>
      <w:r w:rsidRPr="003605FF">
        <w:t xml:space="preserve"> causal diagrams. </w:t>
      </w:r>
      <w:r w:rsidRPr="00322BCA">
        <w:rPr>
          <w:i/>
        </w:rPr>
        <w:t>Epidemiology</w:t>
      </w:r>
      <w:r>
        <w:t xml:space="preserve"> 2011</w:t>
      </w:r>
      <w:proofErr w:type="gramStart"/>
      <w:r>
        <w:t>;</w:t>
      </w:r>
      <w:r w:rsidRPr="00322BCA">
        <w:rPr>
          <w:b/>
        </w:rPr>
        <w:t>22</w:t>
      </w:r>
      <w:proofErr w:type="gramEnd"/>
      <w:r w:rsidRPr="00322BCA">
        <w:rPr>
          <w:b/>
        </w:rPr>
        <w:t>(5)</w:t>
      </w:r>
      <w:r w:rsidRPr="003605FF">
        <w:t>:745.</w:t>
      </w:r>
    </w:p>
    <w:p w14:paraId="3F726932" w14:textId="1A4B5E73" w:rsidR="00343688" w:rsidRDefault="003605FF" w:rsidP="00961C8C">
      <w:r w:rsidRPr="00322BCA">
        <w:rPr>
          <w:vertAlign w:val="superscript"/>
        </w:rPr>
        <w:t>17</w:t>
      </w:r>
      <w:r>
        <w:t xml:space="preserve"> </w:t>
      </w:r>
      <w:proofErr w:type="spellStart"/>
      <w:r w:rsidR="00343688">
        <w:t>Hernán</w:t>
      </w:r>
      <w:proofErr w:type="spellEnd"/>
      <w:r w:rsidR="00343688">
        <w:t xml:space="preserve"> MA, Hernández-</w:t>
      </w:r>
      <w:proofErr w:type="spellStart"/>
      <w:r w:rsidR="00343688">
        <w:t>Díaz</w:t>
      </w:r>
      <w:proofErr w:type="spellEnd"/>
      <w:r w:rsidR="00343688">
        <w:t xml:space="preserve"> S, </w:t>
      </w:r>
      <w:proofErr w:type="spellStart"/>
      <w:r w:rsidR="00343688">
        <w:t>Werler</w:t>
      </w:r>
      <w:proofErr w:type="spellEnd"/>
      <w:r w:rsidR="00343688">
        <w:t xml:space="preserve"> MM, Mitchell AA. Causal knowledge as a prerequisite for confounding evaluation: an application to birth defects epidemiology.</w:t>
      </w:r>
      <w:r w:rsidR="00343688" w:rsidRPr="008E0516">
        <w:t xml:space="preserve"> </w:t>
      </w:r>
      <w:r w:rsidR="00343688" w:rsidRPr="008E0516">
        <w:rPr>
          <w:i/>
        </w:rPr>
        <w:t xml:space="preserve">Am J </w:t>
      </w:r>
      <w:proofErr w:type="spellStart"/>
      <w:r w:rsidR="00343688" w:rsidRPr="008E0516">
        <w:rPr>
          <w:i/>
        </w:rPr>
        <w:t>Epidemiol</w:t>
      </w:r>
      <w:proofErr w:type="spellEnd"/>
      <w:r w:rsidR="00343688" w:rsidRPr="008E0516">
        <w:rPr>
          <w:i/>
        </w:rPr>
        <w:t>.</w:t>
      </w:r>
      <w:r w:rsidR="00343688">
        <w:t xml:space="preserve"> 2002</w:t>
      </w:r>
      <w:proofErr w:type="gramStart"/>
      <w:r w:rsidR="00343688">
        <w:t>;</w:t>
      </w:r>
      <w:r w:rsidR="00343688" w:rsidRPr="00BA0EA8">
        <w:rPr>
          <w:b/>
        </w:rPr>
        <w:t>155</w:t>
      </w:r>
      <w:proofErr w:type="gramEnd"/>
      <w:r w:rsidR="00343688" w:rsidRPr="00BA0EA8">
        <w:rPr>
          <w:b/>
        </w:rPr>
        <w:t>(2):</w:t>
      </w:r>
      <w:r w:rsidR="00343688">
        <w:t>176-84.</w:t>
      </w:r>
    </w:p>
    <w:p w14:paraId="17BD4B50" w14:textId="60AE8985" w:rsidR="00343688" w:rsidRDefault="00343688" w:rsidP="00961C8C">
      <w:r w:rsidRPr="003B6629">
        <w:rPr>
          <w:vertAlign w:val="superscript"/>
        </w:rPr>
        <w:t>1</w:t>
      </w:r>
      <w:r w:rsidR="003B111B">
        <w:rPr>
          <w:vertAlign w:val="superscript"/>
        </w:rPr>
        <w:t>8</w:t>
      </w:r>
      <w:r w:rsidRPr="00343688">
        <w:t xml:space="preserve"> </w:t>
      </w:r>
      <w:r w:rsidRPr="000F766A">
        <w:t xml:space="preserve">Meyer IH. Prejudice, social stress, and mental health in lesbian, gay, and bisexual populations: </w:t>
      </w:r>
      <w:r>
        <w:t>c</w:t>
      </w:r>
      <w:r w:rsidRPr="000F766A">
        <w:t xml:space="preserve">onceptual issues and research evidence. </w:t>
      </w:r>
      <w:proofErr w:type="spellStart"/>
      <w:r w:rsidRPr="00C35118">
        <w:rPr>
          <w:i/>
        </w:rPr>
        <w:t>Psychol</w:t>
      </w:r>
      <w:proofErr w:type="spellEnd"/>
      <w:r w:rsidRPr="00C35118">
        <w:rPr>
          <w:i/>
        </w:rPr>
        <w:t xml:space="preserve"> Bull </w:t>
      </w:r>
      <w:r w:rsidRPr="000F766A">
        <w:t>2003</w:t>
      </w:r>
      <w:proofErr w:type="gramStart"/>
      <w:r w:rsidRPr="000F766A">
        <w:t>;</w:t>
      </w:r>
      <w:r w:rsidRPr="00872226">
        <w:rPr>
          <w:b/>
        </w:rPr>
        <w:t>129</w:t>
      </w:r>
      <w:proofErr w:type="gramEnd"/>
      <w:r w:rsidRPr="00872226">
        <w:rPr>
          <w:b/>
        </w:rPr>
        <w:t>(5)</w:t>
      </w:r>
      <w:r w:rsidRPr="000F766A">
        <w:t>:674-97.</w:t>
      </w:r>
    </w:p>
    <w:p w14:paraId="75E216AE" w14:textId="22DEB026" w:rsidR="00343688" w:rsidRDefault="00343688" w:rsidP="00961C8C">
      <w:r w:rsidRPr="003B6629">
        <w:rPr>
          <w:vertAlign w:val="superscript"/>
        </w:rPr>
        <w:t>1</w:t>
      </w:r>
      <w:r w:rsidR="003B111B">
        <w:rPr>
          <w:vertAlign w:val="superscript"/>
        </w:rPr>
        <w:t>9</w:t>
      </w:r>
      <w:r w:rsidRPr="00343688">
        <w:t xml:space="preserve"> </w:t>
      </w:r>
      <w:proofErr w:type="spellStart"/>
      <w:r>
        <w:t>McGarrity</w:t>
      </w:r>
      <w:proofErr w:type="spellEnd"/>
      <w:r>
        <w:t xml:space="preserve"> LA. Socioeconomic status as context for minority stress and health disparities among lesbian, gay, and bisexual individuals. </w:t>
      </w:r>
      <w:r w:rsidRPr="007F7D2A">
        <w:rPr>
          <w:i/>
        </w:rPr>
        <w:t>Psychology of Sexual Orientation and Gender Diversity</w:t>
      </w:r>
      <w:r>
        <w:t>. 2014</w:t>
      </w:r>
      <w:proofErr w:type="gramStart"/>
      <w:r>
        <w:t>;1</w:t>
      </w:r>
      <w:proofErr w:type="gramEnd"/>
      <w:r>
        <w:t>(4):383-397. doi.org/10.1037/sgd0000067.</w:t>
      </w:r>
    </w:p>
    <w:p w14:paraId="2918534A" w14:textId="54186CCF" w:rsidR="00343688" w:rsidRDefault="003B111B" w:rsidP="00961C8C">
      <w:r>
        <w:rPr>
          <w:vertAlign w:val="superscript"/>
        </w:rPr>
        <w:t>20</w:t>
      </w:r>
      <w:r w:rsidR="00343688" w:rsidRPr="00343688">
        <w:t xml:space="preserve"> </w:t>
      </w:r>
      <w:r w:rsidR="00343688" w:rsidRPr="00523AB5">
        <w:t xml:space="preserve">Meyer IH, Dietrich J, Schwartz S. Lifetime prevalence of mental disorders and suicide attempts in diverse lesbian, gay, and bisexual populations. </w:t>
      </w:r>
      <w:r w:rsidR="00343688" w:rsidRPr="00523AB5">
        <w:rPr>
          <w:i/>
        </w:rPr>
        <w:t xml:space="preserve">Am J Public Health. </w:t>
      </w:r>
      <w:r w:rsidR="00343688" w:rsidRPr="00523AB5">
        <w:t>2008</w:t>
      </w:r>
      <w:proofErr w:type="gramStart"/>
      <w:r w:rsidR="00343688" w:rsidRPr="00523AB5">
        <w:t>;</w:t>
      </w:r>
      <w:r w:rsidR="00343688" w:rsidRPr="00523AB5">
        <w:rPr>
          <w:b/>
        </w:rPr>
        <w:t>98</w:t>
      </w:r>
      <w:proofErr w:type="gramEnd"/>
      <w:r w:rsidR="00343688" w:rsidRPr="00523AB5">
        <w:rPr>
          <w:b/>
        </w:rPr>
        <w:t>(6):</w:t>
      </w:r>
      <w:r w:rsidR="00343688" w:rsidRPr="00523AB5">
        <w:t xml:space="preserve">1004–1006. </w:t>
      </w:r>
      <w:proofErr w:type="spellStart"/>
      <w:proofErr w:type="gramStart"/>
      <w:r w:rsidR="00343688" w:rsidRPr="00523AB5">
        <w:t>doi</w:t>
      </w:r>
      <w:proofErr w:type="spellEnd"/>
      <w:proofErr w:type="gramEnd"/>
      <w:r w:rsidR="00343688" w:rsidRPr="00523AB5">
        <w:t>:  10.2105/AJPH.2006.096826</w:t>
      </w:r>
      <w:r w:rsidR="00343688">
        <w:t>.</w:t>
      </w:r>
    </w:p>
    <w:p w14:paraId="24628255" w14:textId="48131438" w:rsidR="00343688" w:rsidRDefault="003B111B" w:rsidP="00961C8C">
      <w:r>
        <w:rPr>
          <w:vertAlign w:val="superscript"/>
        </w:rPr>
        <w:t>21</w:t>
      </w:r>
      <w:r w:rsidR="00343688" w:rsidRPr="00343688">
        <w:t xml:space="preserve"> </w:t>
      </w:r>
      <w:r w:rsidR="00343688">
        <w:t xml:space="preserve">The EMIS Network </w:t>
      </w:r>
      <w:r w:rsidR="00343688" w:rsidRPr="00486CD1">
        <w:t xml:space="preserve">EMIS 2010: The European Men-Who-Have-Sex-With-Men Internet Survey. Findings from 38 countries. </w:t>
      </w:r>
      <w:r w:rsidR="00343688">
        <w:t>Stockholm: European Centre for Disease Prevention and Control, 2013, p.168.</w:t>
      </w:r>
    </w:p>
    <w:p w14:paraId="06DC4D9C" w14:textId="1EFB8C13" w:rsidR="00343688" w:rsidRDefault="003B111B" w:rsidP="00961C8C">
      <w:r>
        <w:rPr>
          <w:vertAlign w:val="superscript"/>
        </w:rPr>
        <w:t>22</w:t>
      </w:r>
      <w:r w:rsidR="00343688" w:rsidRPr="00343688">
        <w:t xml:space="preserve"> </w:t>
      </w:r>
      <w:r w:rsidR="00343688">
        <w:t xml:space="preserve">See </w:t>
      </w:r>
      <w:hyperlink r:id="rId12" w:history="1">
        <w:r w:rsidR="00343688" w:rsidRPr="00741FFB">
          <w:rPr>
            <w:rStyle w:val="Hyperlink"/>
          </w:rPr>
          <w:t>www.ygm.org.uk/home</w:t>
        </w:r>
      </w:hyperlink>
      <w:r w:rsidR="00343688">
        <w:t xml:space="preserve"> for a listing.</w:t>
      </w:r>
    </w:p>
    <w:p w14:paraId="4BFA47DB" w14:textId="333985AD" w:rsidR="00343688" w:rsidRDefault="003B111B" w:rsidP="00961C8C">
      <w:r>
        <w:rPr>
          <w:vertAlign w:val="superscript"/>
        </w:rPr>
        <w:t>23</w:t>
      </w:r>
      <w:r w:rsidR="00343688" w:rsidRPr="00343688">
        <w:t xml:space="preserve"> </w:t>
      </w:r>
      <w:r w:rsidR="00343688">
        <w:t>Fryers T, Melzer D, Jenkins R. Social inequalities and the common mental disorders.</w:t>
      </w:r>
      <w:r w:rsidR="00343688" w:rsidRPr="00EB35D4">
        <w:t xml:space="preserve"> </w:t>
      </w:r>
      <w:proofErr w:type="spellStart"/>
      <w:r w:rsidR="00343688" w:rsidRPr="00EB35D4">
        <w:rPr>
          <w:i/>
        </w:rPr>
        <w:t>Soc</w:t>
      </w:r>
      <w:proofErr w:type="spellEnd"/>
      <w:r w:rsidR="00343688" w:rsidRPr="00EB35D4">
        <w:rPr>
          <w:i/>
        </w:rPr>
        <w:t xml:space="preserve"> Psych </w:t>
      </w:r>
      <w:proofErr w:type="spellStart"/>
      <w:r w:rsidR="00343688" w:rsidRPr="00EB35D4">
        <w:rPr>
          <w:i/>
        </w:rPr>
        <w:t>Psych</w:t>
      </w:r>
      <w:proofErr w:type="spellEnd"/>
      <w:r w:rsidR="00343688" w:rsidRPr="00EB35D4">
        <w:rPr>
          <w:i/>
        </w:rPr>
        <w:t xml:space="preserve"> </w:t>
      </w:r>
      <w:proofErr w:type="spellStart"/>
      <w:r w:rsidR="00343688" w:rsidRPr="00EB35D4">
        <w:rPr>
          <w:i/>
        </w:rPr>
        <w:t>Epid</w:t>
      </w:r>
      <w:proofErr w:type="spellEnd"/>
      <w:r w:rsidR="00343688">
        <w:rPr>
          <w:i/>
        </w:rPr>
        <w:t xml:space="preserve"> </w:t>
      </w:r>
      <w:r w:rsidR="00343688">
        <w:t>2003</w:t>
      </w:r>
      <w:proofErr w:type="gramStart"/>
      <w:r w:rsidR="00343688">
        <w:t>;</w:t>
      </w:r>
      <w:r w:rsidR="00343688" w:rsidRPr="0013031F">
        <w:rPr>
          <w:b/>
        </w:rPr>
        <w:t>38</w:t>
      </w:r>
      <w:proofErr w:type="gramEnd"/>
      <w:r w:rsidR="00343688" w:rsidRPr="0013031F">
        <w:rPr>
          <w:b/>
        </w:rPr>
        <w:t>(5)</w:t>
      </w:r>
      <w:r w:rsidR="00343688">
        <w:rPr>
          <w:i/>
        </w:rPr>
        <w:t>:</w:t>
      </w:r>
      <w:r w:rsidR="00343688">
        <w:t>229-237.</w:t>
      </w:r>
    </w:p>
    <w:p w14:paraId="07A2B8C1" w14:textId="40CA1058" w:rsidR="00343688" w:rsidRDefault="003B111B" w:rsidP="00961C8C">
      <w:r>
        <w:rPr>
          <w:vertAlign w:val="superscript"/>
        </w:rPr>
        <w:t>24</w:t>
      </w:r>
      <w:r w:rsidR="00343688" w:rsidRPr="00343688">
        <w:t xml:space="preserve"> </w:t>
      </w:r>
      <w:r w:rsidR="00343688" w:rsidRPr="00486CD1">
        <w:t>Coombs RH</w:t>
      </w:r>
      <w:r w:rsidR="00343688">
        <w:t>.</w:t>
      </w:r>
      <w:r w:rsidR="00343688" w:rsidRPr="00486CD1">
        <w:t xml:space="preserve"> Marital status and personal well-being: a literature </w:t>
      </w:r>
      <w:r w:rsidR="00343688">
        <w:t xml:space="preserve">review. </w:t>
      </w:r>
      <w:r w:rsidR="00343688" w:rsidRPr="00E23B4C">
        <w:rPr>
          <w:i/>
        </w:rPr>
        <w:t>Family relations</w:t>
      </w:r>
      <w:r w:rsidR="00343688">
        <w:rPr>
          <w:i/>
        </w:rPr>
        <w:t xml:space="preserve"> </w:t>
      </w:r>
      <w:r w:rsidR="00343688" w:rsidRPr="0013031F">
        <w:t>1991</w:t>
      </w:r>
      <w:proofErr w:type="gramStart"/>
      <w:r w:rsidR="00343688" w:rsidRPr="0013031F">
        <w:t>;</w:t>
      </w:r>
      <w:r w:rsidR="00343688" w:rsidRPr="0013031F">
        <w:rPr>
          <w:b/>
        </w:rPr>
        <w:t>40</w:t>
      </w:r>
      <w:proofErr w:type="gramEnd"/>
      <w:r w:rsidR="00343688" w:rsidRPr="0013031F">
        <w:rPr>
          <w:b/>
        </w:rPr>
        <w:t>(1)</w:t>
      </w:r>
      <w:r w:rsidR="00343688" w:rsidRPr="0013031F">
        <w:t>:</w:t>
      </w:r>
      <w:r w:rsidR="00343688" w:rsidRPr="00486CD1">
        <w:t>97-102.</w:t>
      </w:r>
    </w:p>
    <w:p w14:paraId="089686E1" w14:textId="22E1D949" w:rsidR="00343688" w:rsidRDefault="003B111B" w:rsidP="00961C8C">
      <w:r>
        <w:rPr>
          <w:vertAlign w:val="superscript"/>
        </w:rPr>
        <w:lastRenderedPageBreak/>
        <w:t>25</w:t>
      </w:r>
      <w:r w:rsidR="00343688" w:rsidRPr="00343688">
        <w:t xml:space="preserve"> </w:t>
      </w:r>
      <w:proofErr w:type="spellStart"/>
      <w:r w:rsidR="00343688">
        <w:t>Mustanskia</w:t>
      </w:r>
      <w:proofErr w:type="spellEnd"/>
      <w:r w:rsidR="00343688">
        <w:t xml:space="preserve"> B, </w:t>
      </w:r>
      <w:proofErr w:type="spellStart"/>
      <w:r w:rsidR="00343688">
        <w:t>Newcomba</w:t>
      </w:r>
      <w:proofErr w:type="spellEnd"/>
      <w:r w:rsidR="00343688">
        <w:t xml:space="preserve"> ME, </w:t>
      </w:r>
      <w:proofErr w:type="spellStart"/>
      <w:r w:rsidR="00343688">
        <w:t>Garofalob</w:t>
      </w:r>
      <w:proofErr w:type="spellEnd"/>
      <w:r w:rsidR="00343688">
        <w:t xml:space="preserve"> R. </w:t>
      </w:r>
      <w:r w:rsidR="00343688" w:rsidRPr="002543D9">
        <w:t>Mental health of lesbian, gay, and bisexual youths: a developmental resiliency perspective</w:t>
      </w:r>
      <w:r w:rsidR="00343688">
        <w:t>.</w:t>
      </w:r>
      <w:r w:rsidR="00343688" w:rsidRPr="002543D9">
        <w:rPr>
          <w:i/>
        </w:rPr>
        <w:t xml:space="preserve"> J Gay Lesbian </w:t>
      </w:r>
      <w:proofErr w:type="spellStart"/>
      <w:r w:rsidR="00343688" w:rsidRPr="002543D9">
        <w:rPr>
          <w:i/>
        </w:rPr>
        <w:t>Soc</w:t>
      </w:r>
      <w:proofErr w:type="spellEnd"/>
      <w:r w:rsidR="00343688" w:rsidRPr="002543D9">
        <w:rPr>
          <w:i/>
        </w:rPr>
        <w:t xml:space="preserve"> </w:t>
      </w:r>
      <w:proofErr w:type="spellStart"/>
      <w:r w:rsidR="00343688" w:rsidRPr="002543D9">
        <w:rPr>
          <w:i/>
        </w:rPr>
        <w:t>Serv</w:t>
      </w:r>
      <w:proofErr w:type="spellEnd"/>
      <w:r w:rsidR="00343688" w:rsidRPr="002543D9">
        <w:rPr>
          <w:i/>
        </w:rPr>
        <w:t xml:space="preserve"> </w:t>
      </w:r>
      <w:r w:rsidR="00343688">
        <w:t>2011; 23(2):204-225. DOI:10.1080/10538720.2011.561474.</w:t>
      </w:r>
    </w:p>
    <w:p w14:paraId="25D94C40" w14:textId="77777777" w:rsidR="00343688" w:rsidRPr="00343688" w:rsidRDefault="00343688" w:rsidP="00961C8C"/>
    <w:sectPr w:rsidR="00343688" w:rsidRPr="0034368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843E" w14:textId="77777777" w:rsidR="003667C9" w:rsidRDefault="003667C9" w:rsidP="00171082">
      <w:pPr>
        <w:spacing w:after="0" w:line="240" w:lineRule="auto"/>
      </w:pPr>
      <w:r>
        <w:separator/>
      </w:r>
    </w:p>
  </w:endnote>
  <w:endnote w:type="continuationSeparator" w:id="0">
    <w:p w14:paraId="4505CA36" w14:textId="77777777" w:rsidR="003667C9" w:rsidRDefault="003667C9" w:rsidP="0017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11593"/>
      <w:docPartObj>
        <w:docPartGallery w:val="Page Numbers (Bottom of Page)"/>
        <w:docPartUnique/>
      </w:docPartObj>
    </w:sdtPr>
    <w:sdtEndPr>
      <w:rPr>
        <w:noProof/>
      </w:rPr>
    </w:sdtEndPr>
    <w:sdtContent>
      <w:p w14:paraId="6F36F50F" w14:textId="5E906C59" w:rsidR="003667C9" w:rsidRDefault="003667C9">
        <w:pPr>
          <w:pStyle w:val="Footer"/>
          <w:jc w:val="right"/>
        </w:pPr>
        <w:r>
          <w:fldChar w:fldCharType="begin"/>
        </w:r>
        <w:r>
          <w:instrText xml:space="preserve"> PAGE   \* MERGEFORMAT </w:instrText>
        </w:r>
        <w:r>
          <w:fldChar w:fldCharType="separate"/>
        </w:r>
        <w:r w:rsidR="00397967">
          <w:rPr>
            <w:noProof/>
          </w:rPr>
          <w:t>16</w:t>
        </w:r>
        <w:r>
          <w:rPr>
            <w:noProof/>
          </w:rPr>
          <w:fldChar w:fldCharType="end"/>
        </w:r>
      </w:p>
    </w:sdtContent>
  </w:sdt>
  <w:p w14:paraId="36B9DF0E" w14:textId="77777777" w:rsidR="003667C9" w:rsidRDefault="00366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EFC29" w14:textId="77777777" w:rsidR="003667C9" w:rsidRDefault="003667C9" w:rsidP="00171082">
      <w:pPr>
        <w:spacing w:after="0" w:line="240" w:lineRule="auto"/>
      </w:pPr>
      <w:r>
        <w:separator/>
      </w:r>
    </w:p>
  </w:footnote>
  <w:footnote w:type="continuationSeparator" w:id="0">
    <w:p w14:paraId="1571E6E6" w14:textId="77777777" w:rsidR="003667C9" w:rsidRDefault="003667C9" w:rsidP="00171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45943"/>
    <w:multiLevelType w:val="hybridMultilevel"/>
    <w:tmpl w:val="4A2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812E6A"/>
    <w:multiLevelType w:val="hybridMultilevel"/>
    <w:tmpl w:val="183C0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005346B"/>
    <w:multiLevelType w:val="hybridMultilevel"/>
    <w:tmpl w:val="FEE41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7C"/>
    <w:rsid w:val="00015610"/>
    <w:rsid w:val="000264EF"/>
    <w:rsid w:val="00066E41"/>
    <w:rsid w:val="000766C5"/>
    <w:rsid w:val="000779A2"/>
    <w:rsid w:val="00096491"/>
    <w:rsid w:val="000A092A"/>
    <w:rsid w:val="000A11E4"/>
    <w:rsid w:val="000A5226"/>
    <w:rsid w:val="000A607E"/>
    <w:rsid w:val="000B0DC4"/>
    <w:rsid w:val="000B3A7B"/>
    <w:rsid w:val="000C11CB"/>
    <w:rsid w:val="000D172C"/>
    <w:rsid w:val="000E06F3"/>
    <w:rsid w:val="000E4841"/>
    <w:rsid w:val="000F1FB4"/>
    <w:rsid w:val="000F3700"/>
    <w:rsid w:val="000F4288"/>
    <w:rsid w:val="00107A51"/>
    <w:rsid w:val="001164A7"/>
    <w:rsid w:val="00123817"/>
    <w:rsid w:val="0013031F"/>
    <w:rsid w:val="0013137A"/>
    <w:rsid w:val="00133205"/>
    <w:rsid w:val="001430A4"/>
    <w:rsid w:val="00144353"/>
    <w:rsid w:val="00150BCD"/>
    <w:rsid w:val="00171082"/>
    <w:rsid w:val="00171D8E"/>
    <w:rsid w:val="00173316"/>
    <w:rsid w:val="00175C86"/>
    <w:rsid w:val="0018037A"/>
    <w:rsid w:val="00195488"/>
    <w:rsid w:val="001A15A9"/>
    <w:rsid w:val="001A643E"/>
    <w:rsid w:val="001B1D35"/>
    <w:rsid w:val="001B6134"/>
    <w:rsid w:val="001C12E3"/>
    <w:rsid w:val="001D2B2A"/>
    <w:rsid w:val="001E2609"/>
    <w:rsid w:val="001E7DAB"/>
    <w:rsid w:val="001F7484"/>
    <w:rsid w:val="00251AAF"/>
    <w:rsid w:val="002531A7"/>
    <w:rsid w:val="002535B5"/>
    <w:rsid w:val="00256F15"/>
    <w:rsid w:val="002923FE"/>
    <w:rsid w:val="002A1B4E"/>
    <w:rsid w:val="002A4738"/>
    <w:rsid w:val="002A5D4C"/>
    <w:rsid w:val="002A6257"/>
    <w:rsid w:val="002B31E8"/>
    <w:rsid w:val="002C6689"/>
    <w:rsid w:val="002E67F2"/>
    <w:rsid w:val="00302B46"/>
    <w:rsid w:val="00317C73"/>
    <w:rsid w:val="00322BCA"/>
    <w:rsid w:val="00342F4D"/>
    <w:rsid w:val="00343688"/>
    <w:rsid w:val="00353CA1"/>
    <w:rsid w:val="003605FF"/>
    <w:rsid w:val="003667C9"/>
    <w:rsid w:val="00367677"/>
    <w:rsid w:val="00390DB2"/>
    <w:rsid w:val="00395D2B"/>
    <w:rsid w:val="00396785"/>
    <w:rsid w:val="00397967"/>
    <w:rsid w:val="003B111B"/>
    <w:rsid w:val="003B32B8"/>
    <w:rsid w:val="003B55A6"/>
    <w:rsid w:val="003B6629"/>
    <w:rsid w:val="003C7031"/>
    <w:rsid w:val="003D53A4"/>
    <w:rsid w:val="003E0052"/>
    <w:rsid w:val="003E5A74"/>
    <w:rsid w:val="00427F55"/>
    <w:rsid w:val="00433C1B"/>
    <w:rsid w:val="00453776"/>
    <w:rsid w:val="0046352F"/>
    <w:rsid w:val="00466D50"/>
    <w:rsid w:val="00486CD1"/>
    <w:rsid w:val="00487902"/>
    <w:rsid w:val="00494536"/>
    <w:rsid w:val="004B68F8"/>
    <w:rsid w:val="004C287F"/>
    <w:rsid w:val="004C6946"/>
    <w:rsid w:val="004D037A"/>
    <w:rsid w:val="004E3E3D"/>
    <w:rsid w:val="004E596E"/>
    <w:rsid w:val="0050056C"/>
    <w:rsid w:val="00503EF7"/>
    <w:rsid w:val="005143F8"/>
    <w:rsid w:val="00523AB5"/>
    <w:rsid w:val="00523F91"/>
    <w:rsid w:val="00531838"/>
    <w:rsid w:val="00535A87"/>
    <w:rsid w:val="0054051A"/>
    <w:rsid w:val="00544D3A"/>
    <w:rsid w:val="00573365"/>
    <w:rsid w:val="00574328"/>
    <w:rsid w:val="00584145"/>
    <w:rsid w:val="00597A5D"/>
    <w:rsid w:val="005A2E0C"/>
    <w:rsid w:val="005A7304"/>
    <w:rsid w:val="005B1F92"/>
    <w:rsid w:val="005B6113"/>
    <w:rsid w:val="005E0624"/>
    <w:rsid w:val="00604DDD"/>
    <w:rsid w:val="00626639"/>
    <w:rsid w:val="006308B3"/>
    <w:rsid w:val="00632B99"/>
    <w:rsid w:val="00633FA9"/>
    <w:rsid w:val="00636287"/>
    <w:rsid w:val="006472F6"/>
    <w:rsid w:val="00647DC9"/>
    <w:rsid w:val="006636E7"/>
    <w:rsid w:val="006670BE"/>
    <w:rsid w:val="0067734F"/>
    <w:rsid w:val="006812D3"/>
    <w:rsid w:val="006950FE"/>
    <w:rsid w:val="00695620"/>
    <w:rsid w:val="006A0CF2"/>
    <w:rsid w:val="006A1CD1"/>
    <w:rsid w:val="006C614B"/>
    <w:rsid w:val="006F49ED"/>
    <w:rsid w:val="00715AA9"/>
    <w:rsid w:val="00715FC7"/>
    <w:rsid w:val="00716E79"/>
    <w:rsid w:val="007349B9"/>
    <w:rsid w:val="00736251"/>
    <w:rsid w:val="00736373"/>
    <w:rsid w:val="00740A7B"/>
    <w:rsid w:val="007459FC"/>
    <w:rsid w:val="00755942"/>
    <w:rsid w:val="00765A5B"/>
    <w:rsid w:val="00770E99"/>
    <w:rsid w:val="007733C6"/>
    <w:rsid w:val="00775442"/>
    <w:rsid w:val="007C22BD"/>
    <w:rsid w:val="007C3ECE"/>
    <w:rsid w:val="007F00DE"/>
    <w:rsid w:val="00810579"/>
    <w:rsid w:val="00837D51"/>
    <w:rsid w:val="00855F19"/>
    <w:rsid w:val="008625AA"/>
    <w:rsid w:val="0087097C"/>
    <w:rsid w:val="008759E2"/>
    <w:rsid w:val="00882343"/>
    <w:rsid w:val="008918AA"/>
    <w:rsid w:val="00891D49"/>
    <w:rsid w:val="00893C4E"/>
    <w:rsid w:val="008A497C"/>
    <w:rsid w:val="008A6327"/>
    <w:rsid w:val="008C203B"/>
    <w:rsid w:val="008C7A1D"/>
    <w:rsid w:val="008D01D1"/>
    <w:rsid w:val="008D3EC5"/>
    <w:rsid w:val="008F2271"/>
    <w:rsid w:val="008F233F"/>
    <w:rsid w:val="009029DF"/>
    <w:rsid w:val="009062EA"/>
    <w:rsid w:val="0090779B"/>
    <w:rsid w:val="00920BBB"/>
    <w:rsid w:val="00924A29"/>
    <w:rsid w:val="00927872"/>
    <w:rsid w:val="009308C8"/>
    <w:rsid w:val="00937DBD"/>
    <w:rsid w:val="00946549"/>
    <w:rsid w:val="00961C4C"/>
    <w:rsid w:val="00961C8C"/>
    <w:rsid w:val="00983952"/>
    <w:rsid w:val="009940A4"/>
    <w:rsid w:val="00996B85"/>
    <w:rsid w:val="009E1065"/>
    <w:rsid w:val="009F3D0D"/>
    <w:rsid w:val="00A1019C"/>
    <w:rsid w:val="00A25D1E"/>
    <w:rsid w:val="00A2606E"/>
    <w:rsid w:val="00A373A4"/>
    <w:rsid w:val="00A408FB"/>
    <w:rsid w:val="00A72F58"/>
    <w:rsid w:val="00A7488B"/>
    <w:rsid w:val="00A82646"/>
    <w:rsid w:val="00AC3634"/>
    <w:rsid w:val="00AD39B7"/>
    <w:rsid w:val="00AE4EAC"/>
    <w:rsid w:val="00AE5A76"/>
    <w:rsid w:val="00AF6C09"/>
    <w:rsid w:val="00B00EA1"/>
    <w:rsid w:val="00B04B8E"/>
    <w:rsid w:val="00B123A6"/>
    <w:rsid w:val="00B13775"/>
    <w:rsid w:val="00B266D7"/>
    <w:rsid w:val="00B33B9F"/>
    <w:rsid w:val="00B65A32"/>
    <w:rsid w:val="00B76C43"/>
    <w:rsid w:val="00B826A9"/>
    <w:rsid w:val="00B84B98"/>
    <w:rsid w:val="00B96840"/>
    <w:rsid w:val="00BA0EA8"/>
    <w:rsid w:val="00BB395A"/>
    <w:rsid w:val="00BC24F3"/>
    <w:rsid w:val="00C0336F"/>
    <w:rsid w:val="00C07FA7"/>
    <w:rsid w:val="00C1145C"/>
    <w:rsid w:val="00C47401"/>
    <w:rsid w:val="00C53DB0"/>
    <w:rsid w:val="00C77662"/>
    <w:rsid w:val="00C92A43"/>
    <w:rsid w:val="00C97366"/>
    <w:rsid w:val="00CA4126"/>
    <w:rsid w:val="00CC45FF"/>
    <w:rsid w:val="00CC6110"/>
    <w:rsid w:val="00CC62BF"/>
    <w:rsid w:val="00CC669E"/>
    <w:rsid w:val="00CD2880"/>
    <w:rsid w:val="00CD3293"/>
    <w:rsid w:val="00D0055C"/>
    <w:rsid w:val="00D04F4E"/>
    <w:rsid w:val="00D24FF5"/>
    <w:rsid w:val="00D2522F"/>
    <w:rsid w:val="00D417A9"/>
    <w:rsid w:val="00D5504A"/>
    <w:rsid w:val="00D643F9"/>
    <w:rsid w:val="00D660AE"/>
    <w:rsid w:val="00D6787E"/>
    <w:rsid w:val="00D731A7"/>
    <w:rsid w:val="00D909D0"/>
    <w:rsid w:val="00DD0E09"/>
    <w:rsid w:val="00DD56F4"/>
    <w:rsid w:val="00DE1426"/>
    <w:rsid w:val="00DE1523"/>
    <w:rsid w:val="00DE5044"/>
    <w:rsid w:val="00E10B6A"/>
    <w:rsid w:val="00E17DAF"/>
    <w:rsid w:val="00E23B4C"/>
    <w:rsid w:val="00E273EC"/>
    <w:rsid w:val="00E40D54"/>
    <w:rsid w:val="00E478A9"/>
    <w:rsid w:val="00E54945"/>
    <w:rsid w:val="00E55920"/>
    <w:rsid w:val="00E62E9C"/>
    <w:rsid w:val="00E73444"/>
    <w:rsid w:val="00E838A4"/>
    <w:rsid w:val="00EA06A5"/>
    <w:rsid w:val="00EB35D4"/>
    <w:rsid w:val="00EB6529"/>
    <w:rsid w:val="00EC352B"/>
    <w:rsid w:val="00ED55A1"/>
    <w:rsid w:val="00F11732"/>
    <w:rsid w:val="00F15ED2"/>
    <w:rsid w:val="00F16406"/>
    <w:rsid w:val="00F22874"/>
    <w:rsid w:val="00F30961"/>
    <w:rsid w:val="00F365C4"/>
    <w:rsid w:val="00F42ACB"/>
    <w:rsid w:val="00F42AF4"/>
    <w:rsid w:val="00F43290"/>
    <w:rsid w:val="00F5624B"/>
    <w:rsid w:val="00F67542"/>
    <w:rsid w:val="00F7612C"/>
    <w:rsid w:val="00F81E3E"/>
    <w:rsid w:val="00F81E5E"/>
    <w:rsid w:val="00F86BA7"/>
    <w:rsid w:val="00F952DB"/>
    <w:rsid w:val="00FA452D"/>
    <w:rsid w:val="00FB0607"/>
    <w:rsid w:val="00FB6B44"/>
    <w:rsid w:val="00FC0C16"/>
    <w:rsid w:val="00FC2E19"/>
    <w:rsid w:val="00FC3AC9"/>
    <w:rsid w:val="00FE1634"/>
    <w:rsid w:val="00FF1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4FA1C"/>
  <w15:docId w15:val="{3BDAFF3E-B3A7-4D93-90BB-F512C373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B8E"/>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97C"/>
    <w:pPr>
      <w:ind w:left="720"/>
      <w:contextualSpacing/>
    </w:pPr>
  </w:style>
  <w:style w:type="paragraph" w:styleId="FootnoteText">
    <w:name w:val="footnote text"/>
    <w:basedOn w:val="Normal"/>
    <w:link w:val="FootnoteTextChar"/>
    <w:uiPriority w:val="99"/>
    <w:semiHidden/>
    <w:unhideWhenUsed/>
    <w:rsid w:val="001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082"/>
    <w:rPr>
      <w:sz w:val="20"/>
      <w:szCs w:val="20"/>
    </w:rPr>
  </w:style>
  <w:style w:type="character" w:styleId="FootnoteReference">
    <w:name w:val="footnote reference"/>
    <w:basedOn w:val="DefaultParagraphFont"/>
    <w:uiPriority w:val="99"/>
    <w:semiHidden/>
    <w:unhideWhenUsed/>
    <w:rsid w:val="00171082"/>
    <w:rPr>
      <w:vertAlign w:val="superscript"/>
    </w:rPr>
  </w:style>
  <w:style w:type="character" w:styleId="Hyperlink">
    <w:name w:val="Hyperlink"/>
    <w:basedOn w:val="DefaultParagraphFont"/>
    <w:uiPriority w:val="99"/>
    <w:unhideWhenUsed/>
    <w:rsid w:val="00983952"/>
    <w:rPr>
      <w:color w:val="0563C1" w:themeColor="hyperlink"/>
      <w:u w:val="single"/>
    </w:rPr>
  </w:style>
  <w:style w:type="character" w:styleId="CommentReference">
    <w:name w:val="annotation reference"/>
    <w:basedOn w:val="DefaultParagraphFont"/>
    <w:uiPriority w:val="99"/>
    <w:semiHidden/>
    <w:unhideWhenUsed/>
    <w:rsid w:val="00D24FF5"/>
    <w:rPr>
      <w:sz w:val="16"/>
      <w:szCs w:val="16"/>
    </w:rPr>
  </w:style>
  <w:style w:type="paragraph" w:styleId="CommentText">
    <w:name w:val="annotation text"/>
    <w:basedOn w:val="Normal"/>
    <w:link w:val="CommentTextChar"/>
    <w:uiPriority w:val="99"/>
    <w:semiHidden/>
    <w:unhideWhenUsed/>
    <w:rsid w:val="00D24FF5"/>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D24FF5"/>
    <w:rPr>
      <w:rFonts w:eastAsiaTheme="minorEastAsia"/>
      <w:sz w:val="20"/>
      <w:szCs w:val="20"/>
      <w:lang w:eastAsia="en-GB"/>
    </w:rPr>
  </w:style>
  <w:style w:type="paragraph" w:styleId="Caption">
    <w:name w:val="caption"/>
    <w:basedOn w:val="Normal"/>
    <w:next w:val="Normal"/>
    <w:uiPriority w:val="35"/>
    <w:unhideWhenUsed/>
    <w:qFormat/>
    <w:rsid w:val="00D24FF5"/>
    <w:pPr>
      <w:spacing w:after="200" w:line="240" w:lineRule="auto"/>
    </w:pPr>
    <w:rPr>
      <w:rFonts w:eastAsiaTheme="minorEastAsia"/>
      <w:i/>
      <w:iCs/>
      <w:color w:val="44546A" w:themeColor="text2"/>
      <w:sz w:val="18"/>
      <w:szCs w:val="18"/>
      <w:lang w:eastAsia="en-GB"/>
    </w:rPr>
  </w:style>
  <w:style w:type="paragraph" w:styleId="BalloonText">
    <w:name w:val="Balloon Text"/>
    <w:basedOn w:val="Normal"/>
    <w:link w:val="BalloonTextChar"/>
    <w:uiPriority w:val="99"/>
    <w:semiHidden/>
    <w:unhideWhenUsed/>
    <w:rsid w:val="00D24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F5"/>
    <w:rPr>
      <w:rFonts w:ascii="Segoe UI" w:hAnsi="Segoe UI" w:cs="Segoe UI"/>
      <w:sz w:val="18"/>
      <w:szCs w:val="18"/>
    </w:rPr>
  </w:style>
  <w:style w:type="paragraph" w:styleId="Header">
    <w:name w:val="header"/>
    <w:basedOn w:val="Normal"/>
    <w:link w:val="HeaderChar"/>
    <w:uiPriority w:val="99"/>
    <w:unhideWhenUsed/>
    <w:rsid w:val="00A25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1E"/>
  </w:style>
  <w:style w:type="paragraph" w:styleId="Footer">
    <w:name w:val="footer"/>
    <w:basedOn w:val="Normal"/>
    <w:link w:val="FooterChar"/>
    <w:uiPriority w:val="99"/>
    <w:unhideWhenUsed/>
    <w:rsid w:val="00A25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1E"/>
  </w:style>
  <w:style w:type="table" w:styleId="TableGrid">
    <w:name w:val="Table Grid"/>
    <w:basedOn w:val="TableNormal"/>
    <w:uiPriority w:val="39"/>
    <w:rsid w:val="0048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86C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6CD1"/>
    <w:rPr>
      <w:sz w:val="20"/>
      <w:szCs w:val="20"/>
    </w:rPr>
  </w:style>
  <w:style w:type="character" w:styleId="EndnoteReference">
    <w:name w:val="endnote reference"/>
    <w:basedOn w:val="DefaultParagraphFont"/>
    <w:uiPriority w:val="99"/>
    <w:semiHidden/>
    <w:unhideWhenUsed/>
    <w:rsid w:val="00486CD1"/>
    <w:rPr>
      <w:vertAlign w:val="superscript"/>
    </w:rPr>
  </w:style>
  <w:style w:type="paragraph" w:styleId="CommentSubject">
    <w:name w:val="annotation subject"/>
    <w:basedOn w:val="CommentText"/>
    <w:next w:val="CommentText"/>
    <w:link w:val="CommentSubjectChar"/>
    <w:uiPriority w:val="99"/>
    <w:semiHidden/>
    <w:unhideWhenUsed/>
    <w:rsid w:val="00F81E5E"/>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F81E5E"/>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d.hickson@lsht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gm.org.uk/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gitty.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365D-AB4F-4230-BC7E-D7F0BE72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Davey</dc:creator>
  <cp:keywords/>
  <dc:description/>
  <cp:lastModifiedBy>Ford Hickson</cp:lastModifiedBy>
  <cp:revision>3</cp:revision>
  <cp:lastPrinted>2016-02-09T11:58:00Z</cp:lastPrinted>
  <dcterms:created xsi:type="dcterms:W3CDTF">2016-04-27T12:51:00Z</dcterms:created>
  <dcterms:modified xsi:type="dcterms:W3CDTF">2016-04-27T12:56:00Z</dcterms:modified>
</cp:coreProperties>
</file>