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CC8DE" w14:textId="66940A32" w:rsidR="0091643E" w:rsidRDefault="0091643E" w:rsidP="0091643E">
      <w:pPr>
        <w:spacing w:before="0" w:after="160" w:line="259" w:lineRule="auto"/>
        <w:rPr>
          <w:rFonts w:ascii="Calibri" w:eastAsia="Arial" w:hAnsi="Calibri" w:cs="Calibri"/>
          <w:color w:val="000000"/>
          <w:lang w:eastAsia="en-GB"/>
        </w:rPr>
      </w:pPr>
      <w:r>
        <w:rPr>
          <w:rFonts w:ascii="Calibri" w:eastAsia="Arial" w:hAnsi="Calibri" w:cs="Calibri"/>
          <w:color w:val="000000"/>
          <w:lang w:eastAsia="en-GB"/>
        </w:rPr>
        <w:t>ACCEPTED FOR PUBLICATION BY THE JOURNAL OF PUBLIC HEALTH</w:t>
      </w:r>
    </w:p>
    <w:p w14:paraId="2220DAB2" w14:textId="58F70412" w:rsidR="002F5628" w:rsidRPr="002F5628" w:rsidRDefault="00865A8A" w:rsidP="00006056">
      <w:pPr>
        <w:widowControl w:val="0"/>
        <w:spacing w:after="0"/>
        <w:rPr>
          <w:rFonts w:ascii="Calibri" w:eastAsia="Arial" w:hAnsi="Calibri" w:cs="Calibri"/>
          <w:b/>
          <w:color w:val="000000"/>
          <w:sz w:val="28"/>
          <w:szCs w:val="28"/>
          <w:lang w:eastAsia="en-GB"/>
        </w:rPr>
      </w:pPr>
      <w:r>
        <w:rPr>
          <w:rFonts w:ascii="Calibri" w:eastAsia="Arial" w:hAnsi="Calibri" w:cs="Calibri"/>
          <w:b/>
          <w:color w:val="000000"/>
          <w:sz w:val="28"/>
          <w:szCs w:val="28"/>
          <w:lang w:eastAsia="en-GB"/>
        </w:rPr>
        <w:t>Physical h</w:t>
      </w:r>
      <w:r w:rsidR="00337212">
        <w:rPr>
          <w:rFonts w:ascii="Calibri" w:eastAsia="Arial" w:hAnsi="Calibri" w:cs="Calibri"/>
          <w:b/>
          <w:color w:val="000000"/>
          <w:sz w:val="28"/>
          <w:szCs w:val="28"/>
          <w:lang w:eastAsia="en-GB"/>
        </w:rPr>
        <w:t xml:space="preserve">ealth </w:t>
      </w:r>
      <w:r w:rsidR="007962A5">
        <w:rPr>
          <w:rFonts w:ascii="Calibri" w:eastAsia="Arial" w:hAnsi="Calibri" w:cs="Calibri"/>
          <w:b/>
          <w:color w:val="000000"/>
          <w:sz w:val="28"/>
          <w:szCs w:val="28"/>
          <w:lang w:eastAsia="en-GB"/>
        </w:rPr>
        <w:t>i</w:t>
      </w:r>
      <w:r w:rsidR="00337212">
        <w:rPr>
          <w:rFonts w:ascii="Calibri" w:eastAsia="Arial" w:hAnsi="Calibri" w:cs="Calibri"/>
          <w:b/>
          <w:color w:val="000000"/>
          <w:sz w:val="28"/>
          <w:szCs w:val="28"/>
          <w:lang w:eastAsia="en-GB"/>
        </w:rPr>
        <w:t xml:space="preserve">nequalities among </w:t>
      </w:r>
      <w:r w:rsidR="007962A5">
        <w:rPr>
          <w:rFonts w:ascii="Calibri" w:eastAsia="Arial" w:hAnsi="Calibri" w:cs="Calibri"/>
          <w:b/>
          <w:color w:val="000000"/>
          <w:sz w:val="28"/>
          <w:szCs w:val="28"/>
          <w:lang w:eastAsia="en-GB"/>
        </w:rPr>
        <w:t>g</w:t>
      </w:r>
      <w:r w:rsidR="00337212">
        <w:rPr>
          <w:rFonts w:ascii="Calibri" w:eastAsia="Arial" w:hAnsi="Calibri" w:cs="Calibri"/>
          <w:b/>
          <w:color w:val="000000"/>
          <w:sz w:val="28"/>
          <w:szCs w:val="28"/>
          <w:lang w:eastAsia="en-GB"/>
        </w:rPr>
        <w:t xml:space="preserve">ay and </w:t>
      </w:r>
      <w:r w:rsidR="007962A5">
        <w:rPr>
          <w:rFonts w:ascii="Calibri" w:eastAsia="Arial" w:hAnsi="Calibri" w:cs="Calibri"/>
          <w:b/>
          <w:color w:val="000000"/>
          <w:sz w:val="28"/>
          <w:szCs w:val="28"/>
          <w:lang w:eastAsia="en-GB"/>
        </w:rPr>
        <w:t>b</w:t>
      </w:r>
      <w:r w:rsidR="00337212" w:rsidRPr="002F5628">
        <w:rPr>
          <w:rFonts w:ascii="Calibri" w:eastAsia="Arial" w:hAnsi="Calibri" w:cs="Calibri"/>
          <w:b/>
          <w:color w:val="000000"/>
          <w:sz w:val="28"/>
          <w:szCs w:val="28"/>
          <w:lang w:eastAsia="en-GB"/>
        </w:rPr>
        <w:t>isexual</w:t>
      </w:r>
      <w:r w:rsidR="00337212">
        <w:rPr>
          <w:rFonts w:ascii="Calibri" w:eastAsia="Arial" w:hAnsi="Calibri" w:cs="Calibri"/>
          <w:b/>
          <w:color w:val="000000"/>
          <w:sz w:val="28"/>
          <w:szCs w:val="28"/>
          <w:lang w:eastAsia="en-GB"/>
        </w:rPr>
        <w:t xml:space="preserve"> </w:t>
      </w:r>
      <w:r w:rsidR="007962A5">
        <w:rPr>
          <w:rFonts w:ascii="Calibri" w:eastAsia="Arial" w:hAnsi="Calibri" w:cs="Calibri"/>
          <w:b/>
          <w:color w:val="000000"/>
          <w:sz w:val="28"/>
          <w:szCs w:val="28"/>
          <w:lang w:eastAsia="en-GB"/>
        </w:rPr>
        <w:t>m</w:t>
      </w:r>
      <w:r w:rsidR="00337212">
        <w:rPr>
          <w:rFonts w:ascii="Calibri" w:eastAsia="Arial" w:hAnsi="Calibri" w:cs="Calibri"/>
          <w:b/>
          <w:color w:val="000000"/>
          <w:sz w:val="28"/>
          <w:szCs w:val="28"/>
          <w:lang w:eastAsia="en-GB"/>
        </w:rPr>
        <w:t>en in England</w:t>
      </w:r>
      <w:r w:rsidR="00AD6EC1" w:rsidRPr="00AD6EC1">
        <w:rPr>
          <w:b/>
          <w:sz w:val="28"/>
          <w:szCs w:val="28"/>
        </w:rPr>
        <w:t>: a large community-based cross-sectional survey</w:t>
      </w:r>
      <w:bookmarkStart w:id="0" w:name="_GoBack"/>
      <w:bookmarkEnd w:id="0"/>
    </w:p>
    <w:p w14:paraId="61729104" w14:textId="77777777" w:rsidR="002F5628" w:rsidRPr="002F5628" w:rsidRDefault="002F5628" w:rsidP="00006056">
      <w:pPr>
        <w:widowControl w:val="0"/>
        <w:spacing w:after="0"/>
        <w:rPr>
          <w:rFonts w:ascii="Calibri" w:eastAsia="Arial" w:hAnsi="Calibri" w:cs="Calibri"/>
          <w:b/>
          <w:color w:val="000000"/>
          <w:lang w:eastAsia="en-GB"/>
        </w:rPr>
      </w:pPr>
    </w:p>
    <w:p w14:paraId="033222B2" w14:textId="154497B0" w:rsidR="002F5628" w:rsidRPr="002F5628" w:rsidRDefault="002F5628" w:rsidP="00C019E0">
      <w:pPr>
        <w:spacing w:after="120"/>
        <w:rPr>
          <w:vertAlign w:val="superscript"/>
          <w:lang w:eastAsia="en-GB"/>
        </w:rPr>
      </w:pPr>
      <w:r w:rsidRPr="002F5628">
        <w:rPr>
          <w:lang w:eastAsia="en-GB"/>
        </w:rPr>
        <w:t>A</w:t>
      </w:r>
      <w:r w:rsidR="003A78E9">
        <w:rPr>
          <w:lang w:eastAsia="en-GB"/>
        </w:rPr>
        <w:t>dam</w:t>
      </w:r>
      <w:r w:rsidRPr="002F5628">
        <w:rPr>
          <w:lang w:eastAsia="en-GB"/>
        </w:rPr>
        <w:t xml:space="preserve"> Bourne</w:t>
      </w:r>
      <w:r w:rsidR="007654EB">
        <w:rPr>
          <w:lang w:eastAsia="en-GB"/>
        </w:rPr>
        <w:t>, L</w:t>
      </w:r>
      <w:r w:rsidR="006A0787">
        <w:rPr>
          <w:lang w:eastAsia="en-GB"/>
        </w:rPr>
        <w:t xml:space="preserve">ecturer </w:t>
      </w:r>
      <w:r w:rsidR="00443347">
        <w:rPr>
          <w:vertAlign w:val="superscript"/>
          <w:lang w:eastAsia="en-GB"/>
        </w:rPr>
        <w:t>1</w:t>
      </w:r>
    </w:p>
    <w:p w14:paraId="3569AAC8" w14:textId="04764B6C" w:rsidR="002F5628" w:rsidRPr="002F5628" w:rsidRDefault="002F5628" w:rsidP="00C019E0">
      <w:pPr>
        <w:spacing w:after="120"/>
        <w:rPr>
          <w:rFonts w:ascii="Calibri" w:eastAsia="Times New Roman" w:hAnsi="Calibri" w:cs="Calibri"/>
          <w:vertAlign w:val="superscript"/>
          <w:lang w:eastAsia="en-GB"/>
        </w:rPr>
      </w:pPr>
      <w:r w:rsidRPr="002F5628">
        <w:rPr>
          <w:rFonts w:ascii="Calibri" w:eastAsia="Times New Roman" w:hAnsi="Calibri" w:cs="Calibri"/>
          <w:lang w:eastAsia="en-GB"/>
        </w:rPr>
        <w:t>C</w:t>
      </w:r>
      <w:r w:rsidR="003A78E9">
        <w:rPr>
          <w:rFonts w:ascii="Calibri" w:eastAsia="Times New Roman" w:hAnsi="Calibri" w:cs="Calibri"/>
          <w:lang w:eastAsia="en-GB"/>
        </w:rPr>
        <w:t>alum</w:t>
      </w:r>
      <w:r w:rsidRPr="002F5628">
        <w:rPr>
          <w:rFonts w:ascii="Calibri" w:eastAsia="Times New Roman" w:hAnsi="Calibri" w:cs="Calibri"/>
          <w:lang w:eastAsia="en-GB"/>
        </w:rPr>
        <w:t xml:space="preserve"> Davey</w:t>
      </w:r>
      <w:r w:rsidR="006A0787">
        <w:rPr>
          <w:rFonts w:ascii="Calibri" w:eastAsia="Times New Roman" w:hAnsi="Calibri" w:cs="Calibri"/>
          <w:lang w:eastAsia="en-GB"/>
        </w:rPr>
        <w:t xml:space="preserve">, </w:t>
      </w:r>
      <w:r w:rsidR="007654EB">
        <w:rPr>
          <w:rFonts w:ascii="Calibri" w:eastAsia="Times New Roman" w:hAnsi="Calibri" w:cs="Calibri"/>
          <w:lang w:eastAsia="en-GB"/>
        </w:rPr>
        <w:t>R</w:t>
      </w:r>
      <w:r w:rsidR="006A0787">
        <w:rPr>
          <w:rFonts w:ascii="Calibri" w:eastAsia="Times New Roman" w:hAnsi="Calibri" w:cs="Calibri"/>
          <w:lang w:eastAsia="en-GB"/>
        </w:rPr>
        <w:t xml:space="preserve">esearch </w:t>
      </w:r>
      <w:r w:rsidR="007654EB">
        <w:rPr>
          <w:rFonts w:ascii="Calibri" w:eastAsia="Times New Roman" w:hAnsi="Calibri" w:cs="Calibri"/>
          <w:lang w:eastAsia="en-GB"/>
        </w:rPr>
        <w:t>F</w:t>
      </w:r>
      <w:r w:rsidR="006A0787">
        <w:rPr>
          <w:rFonts w:ascii="Calibri" w:eastAsia="Times New Roman" w:hAnsi="Calibri" w:cs="Calibri"/>
          <w:lang w:eastAsia="en-GB"/>
        </w:rPr>
        <w:t xml:space="preserve">ellow </w:t>
      </w:r>
      <w:r w:rsidRPr="002F5628">
        <w:rPr>
          <w:rFonts w:ascii="Calibri" w:eastAsia="Times New Roman" w:hAnsi="Calibri" w:cs="Calibri"/>
          <w:vertAlign w:val="superscript"/>
          <w:lang w:eastAsia="en-GB"/>
        </w:rPr>
        <w:t>1</w:t>
      </w:r>
    </w:p>
    <w:p w14:paraId="31C98344" w14:textId="037BE726" w:rsidR="002F5628" w:rsidRPr="002F5628" w:rsidRDefault="002F5628" w:rsidP="00C019E0">
      <w:pPr>
        <w:spacing w:after="120"/>
        <w:rPr>
          <w:rFonts w:ascii="Calibri" w:eastAsia="Times New Roman" w:hAnsi="Calibri" w:cs="Calibri"/>
          <w:vertAlign w:val="superscript"/>
          <w:lang w:eastAsia="en-GB"/>
        </w:rPr>
      </w:pPr>
      <w:r w:rsidRPr="002F5628">
        <w:rPr>
          <w:rFonts w:ascii="Calibri" w:eastAsia="Times New Roman" w:hAnsi="Calibri" w:cs="Calibri"/>
          <w:lang w:eastAsia="en-GB"/>
        </w:rPr>
        <w:t>F</w:t>
      </w:r>
      <w:r w:rsidR="003A78E9">
        <w:rPr>
          <w:rFonts w:ascii="Calibri" w:eastAsia="Times New Roman" w:hAnsi="Calibri" w:cs="Calibri"/>
          <w:lang w:eastAsia="en-GB"/>
        </w:rPr>
        <w:t>ord</w:t>
      </w:r>
      <w:r w:rsidR="006A0787">
        <w:rPr>
          <w:rFonts w:ascii="Calibri" w:eastAsia="Times New Roman" w:hAnsi="Calibri" w:cs="Calibri"/>
          <w:lang w:eastAsia="en-GB"/>
        </w:rPr>
        <w:t xml:space="preserve"> Hickson, </w:t>
      </w:r>
      <w:r w:rsidR="007654EB">
        <w:rPr>
          <w:rFonts w:ascii="Calibri" w:eastAsia="Times New Roman" w:hAnsi="Calibri" w:cs="Calibri"/>
          <w:lang w:eastAsia="en-GB"/>
        </w:rPr>
        <w:t>L</w:t>
      </w:r>
      <w:r w:rsidR="006A0787">
        <w:rPr>
          <w:rFonts w:ascii="Calibri" w:eastAsia="Times New Roman" w:hAnsi="Calibri" w:cs="Calibri"/>
          <w:lang w:eastAsia="en-GB"/>
        </w:rPr>
        <w:t xml:space="preserve">ecturer </w:t>
      </w:r>
      <w:r w:rsidRPr="002F5628">
        <w:rPr>
          <w:rFonts w:ascii="Calibri" w:eastAsia="Times New Roman" w:hAnsi="Calibri" w:cs="Calibri"/>
          <w:vertAlign w:val="superscript"/>
          <w:lang w:eastAsia="en-GB"/>
        </w:rPr>
        <w:t>1</w:t>
      </w:r>
      <w:r w:rsidR="00443347">
        <w:rPr>
          <w:rFonts w:ascii="Calibri" w:eastAsia="Times New Roman" w:hAnsi="Calibri" w:cs="Calibri"/>
          <w:vertAlign w:val="superscript"/>
          <w:lang w:eastAsia="en-GB"/>
        </w:rPr>
        <w:t>*</w:t>
      </w:r>
    </w:p>
    <w:p w14:paraId="1ABD928F" w14:textId="517EB78E" w:rsidR="002F5628" w:rsidRPr="002F5628" w:rsidRDefault="002F5628" w:rsidP="00C019E0">
      <w:pPr>
        <w:spacing w:after="120"/>
        <w:rPr>
          <w:rFonts w:ascii="Calibri" w:eastAsia="Times New Roman" w:hAnsi="Calibri" w:cs="Calibri"/>
          <w:vertAlign w:val="superscript"/>
          <w:lang w:eastAsia="en-GB"/>
        </w:rPr>
      </w:pPr>
      <w:r w:rsidRPr="002F5628">
        <w:rPr>
          <w:rFonts w:ascii="Calibri" w:eastAsia="Times New Roman" w:hAnsi="Calibri" w:cs="Calibri"/>
          <w:lang w:eastAsia="en-GB"/>
        </w:rPr>
        <w:t>D</w:t>
      </w:r>
      <w:r w:rsidR="003A78E9">
        <w:rPr>
          <w:rFonts w:ascii="Calibri" w:eastAsia="Times New Roman" w:hAnsi="Calibri" w:cs="Calibri"/>
          <w:lang w:eastAsia="en-GB"/>
        </w:rPr>
        <w:t>avid</w:t>
      </w:r>
      <w:r w:rsidRPr="002F5628">
        <w:rPr>
          <w:rFonts w:ascii="Calibri" w:eastAsia="Times New Roman" w:hAnsi="Calibri" w:cs="Calibri"/>
          <w:lang w:eastAsia="en-GB"/>
        </w:rPr>
        <w:t xml:space="preserve"> Reid</w:t>
      </w:r>
      <w:r w:rsidR="006A0787">
        <w:rPr>
          <w:rFonts w:ascii="Calibri" w:eastAsia="Times New Roman" w:hAnsi="Calibri" w:cs="Calibri"/>
          <w:lang w:eastAsia="en-GB"/>
        </w:rPr>
        <w:t xml:space="preserve">, </w:t>
      </w:r>
      <w:r w:rsidR="007654EB">
        <w:rPr>
          <w:rFonts w:ascii="Calibri" w:eastAsia="Times New Roman" w:hAnsi="Calibri" w:cs="Calibri"/>
          <w:lang w:eastAsia="en-GB"/>
        </w:rPr>
        <w:t>R</w:t>
      </w:r>
      <w:r w:rsidR="006A0787">
        <w:rPr>
          <w:rFonts w:ascii="Calibri" w:eastAsia="Times New Roman" w:hAnsi="Calibri" w:cs="Calibri"/>
          <w:lang w:eastAsia="en-GB"/>
        </w:rPr>
        <w:t xml:space="preserve">esearch </w:t>
      </w:r>
      <w:r w:rsidR="007654EB">
        <w:rPr>
          <w:rFonts w:ascii="Calibri" w:eastAsia="Times New Roman" w:hAnsi="Calibri" w:cs="Calibri"/>
          <w:lang w:eastAsia="en-GB"/>
        </w:rPr>
        <w:t>F</w:t>
      </w:r>
      <w:r w:rsidR="006A0787">
        <w:rPr>
          <w:rFonts w:ascii="Calibri" w:eastAsia="Times New Roman" w:hAnsi="Calibri" w:cs="Calibri"/>
          <w:lang w:eastAsia="en-GB"/>
        </w:rPr>
        <w:t xml:space="preserve">ellow </w:t>
      </w:r>
      <w:r w:rsidRPr="002F5628">
        <w:rPr>
          <w:rFonts w:ascii="Calibri" w:eastAsia="Times New Roman" w:hAnsi="Calibri" w:cs="Calibri"/>
          <w:vertAlign w:val="superscript"/>
          <w:lang w:eastAsia="en-GB"/>
        </w:rPr>
        <w:t>1</w:t>
      </w:r>
    </w:p>
    <w:p w14:paraId="180852D7" w14:textId="7AED11CC" w:rsidR="002F5628" w:rsidRPr="002F5628" w:rsidRDefault="002F5628" w:rsidP="00C019E0">
      <w:pPr>
        <w:spacing w:after="120"/>
        <w:rPr>
          <w:rFonts w:ascii="Calibri" w:eastAsia="Times New Roman" w:hAnsi="Calibri" w:cs="Calibri"/>
          <w:lang w:eastAsia="en-GB"/>
        </w:rPr>
      </w:pPr>
      <w:r w:rsidRPr="002F5628">
        <w:rPr>
          <w:rFonts w:ascii="Calibri" w:eastAsia="Times New Roman" w:hAnsi="Calibri" w:cs="Calibri"/>
          <w:lang w:eastAsia="en-GB"/>
        </w:rPr>
        <w:t>P</w:t>
      </w:r>
      <w:r w:rsidR="003A78E9">
        <w:rPr>
          <w:rFonts w:ascii="Calibri" w:eastAsia="Times New Roman" w:hAnsi="Calibri" w:cs="Calibri"/>
          <w:lang w:eastAsia="en-GB"/>
        </w:rPr>
        <w:t>eter</w:t>
      </w:r>
      <w:r w:rsidRPr="002F5628">
        <w:rPr>
          <w:rFonts w:ascii="Calibri" w:eastAsia="Times New Roman" w:hAnsi="Calibri" w:cs="Calibri"/>
          <w:lang w:eastAsia="en-GB"/>
        </w:rPr>
        <w:t xml:space="preserve"> </w:t>
      </w:r>
      <w:proofErr w:type="spellStart"/>
      <w:r w:rsidRPr="002F5628">
        <w:rPr>
          <w:rFonts w:ascii="Calibri" w:eastAsia="Times New Roman" w:hAnsi="Calibri" w:cs="Calibri"/>
          <w:lang w:eastAsia="en-GB"/>
        </w:rPr>
        <w:t>Weatherburn</w:t>
      </w:r>
      <w:proofErr w:type="spellEnd"/>
      <w:r w:rsidR="006A0787">
        <w:rPr>
          <w:rFonts w:ascii="Calibri" w:eastAsia="Times New Roman" w:hAnsi="Calibri" w:cs="Calibri"/>
          <w:lang w:eastAsia="en-GB"/>
        </w:rPr>
        <w:t xml:space="preserve">, </w:t>
      </w:r>
      <w:r w:rsidR="007654EB">
        <w:rPr>
          <w:rFonts w:ascii="Calibri" w:eastAsia="Times New Roman" w:hAnsi="Calibri" w:cs="Calibri"/>
          <w:lang w:eastAsia="en-GB"/>
        </w:rPr>
        <w:t>S</w:t>
      </w:r>
      <w:r w:rsidR="006A0787">
        <w:rPr>
          <w:rFonts w:ascii="Calibri" w:eastAsia="Times New Roman" w:hAnsi="Calibri" w:cs="Calibri"/>
          <w:lang w:eastAsia="en-GB"/>
        </w:rPr>
        <w:t xml:space="preserve">enior </w:t>
      </w:r>
      <w:r w:rsidR="007654EB">
        <w:rPr>
          <w:rFonts w:ascii="Calibri" w:eastAsia="Times New Roman" w:hAnsi="Calibri" w:cs="Calibri"/>
          <w:lang w:eastAsia="en-GB"/>
        </w:rPr>
        <w:t>L</w:t>
      </w:r>
      <w:r w:rsidR="006A0787">
        <w:rPr>
          <w:rFonts w:ascii="Calibri" w:eastAsia="Times New Roman" w:hAnsi="Calibri" w:cs="Calibri"/>
          <w:lang w:eastAsia="en-GB"/>
        </w:rPr>
        <w:t xml:space="preserve">ecturer </w:t>
      </w:r>
      <w:r w:rsidRPr="002F5628">
        <w:rPr>
          <w:rFonts w:ascii="Calibri" w:eastAsia="Times New Roman" w:hAnsi="Calibri" w:cs="Calibri"/>
          <w:vertAlign w:val="superscript"/>
          <w:lang w:eastAsia="en-GB"/>
        </w:rPr>
        <w:t>1</w:t>
      </w:r>
    </w:p>
    <w:p w14:paraId="125EBC54" w14:textId="77777777" w:rsidR="002F5628" w:rsidRPr="002F5628" w:rsidRDefault="002F5628" w:rsidP="00006056">
      <w:pPr>
        <w:spacing w:after="0"/>
        <w:ind w:left="720"/>
        <w:contextualSpacing/>
        <w:rPr>
          <w:rFonts w:ascii="Calibri" w:eastAsia="Times New Roman" w:hAnsi="Calibri" w:cs="Calibri"/>
          <w:lang w:eastAsia="en-GB"/>
        </w:rPr>
      </w:pPr>
    </w:p>
    <w:p w14:paraId="2D0E5A01" w14:textId="6D695802" w:rsidR="00926B96" w:rsidRPr="00926B96" w:rsidRDefault="00926B96" w:rsidP="00926B96">
      <w:pPr>
        <w:rPr>
          <w:lang w:eastAsia="en-GB"/>
        </w:rPr>
      </w:pPr>
      <w:r w:rsidRPr="00926B96">
        <w:rPr>
          <w:vertAlign w:val="superscript"/>
          <w:lang w:eastAsia="en-GB"/>
        </w:rPr>
        <w:t>1</w:t>
      </w:r>
      <w:r>
        <w:rPr>
          <w:vertAlign w:val="superscript"/>
          <w:lang w:eastAsia="en-GB"/>
        </w:rPr>
        <w:t xml:space="preserve"> </w:t>
      </w:r>
      <w:r w:rsidRPr="00926B96">
        <w:rPr>
          <w:lang w:eastAsia="en-GB"/>
        </w:rPr>
        <w:t>Sigma Research, London School of Hygiene &amp; Tropical Medicine, London WC1H 9SH, United Kingdom</w:t>
      </w:r>
    </w:p>
    <w:p w14:paraId="7E8661C1" w14:textId="77777777" w:rsidR="002F5628" w:rsidRPr="002F5628" w:rsidRDefault="002F5628" w:rsidP="00006056">
      <w:pPr>
        <w:spacing w:after="0"/>
        <w:rPr>
          <w:rFonts w:ascii="Calibri" w:eastAsia="Times New Roman" w:hAnsi="Calibri" w:cs="Calibri"/>
          <w:b/>
          <w:lang w:eastAsia="en-GB"/>
        </w:rPr>
      </w:pPr>
    </w:p>
    <w:p w14:paraId="0461378E" w14:textId="77777777" w:rsidR="002F5628" w:rsidRPr="002F5628" w:rsidRDefault="002F5628" w:rsidP="00006056">
      <w:pPr>
        <w:spacing w:after="0"/>
        <w:rPr>
          <w:rFonts w:ascii="Calibri" w:eastAsia="Times New Roman" w:hAnsi="Calibri" w:cs="Calibri"/>
          <w:lang w:eastAsia="en-GB"/>
        </w:rPr>
      </w:pPr>
      <w:r w:rsidRPr="002F5628">
        <w:rPr>
          <w:rFonts w:ascii="Calibri" w:eastAsia="Times New Roman" w:hAnsi="Calibri" w:cs="Calibri"/>
          <w:lang w:eastAsia="en-GB"/>
        </w:rPr>
        <w:t>* Corresponding Author</w:t>
      </w:r>
    </w:p>
    <w:p w14:paraId="209D019A" w14:textId="692DA316" w:rsidR="002F5628" w:rsidRPr="002F5628" w:rsidRDefault="0091643E" w:rsidP="00006056">
      <w:pPr>
        <w:spacing w:after="0"/>
        <w:rPr>
          <w:rFonts w:ascii="Calibri" w:eastAsia="Times New Roman" w:hAnsi="Calibri" w:cs="Calibri"/>
          <w:lang w:eastAsia="en-GB"/>
        </w:rPr>
      </w:pPr>
      <w:hyperlink r:id="rId8" w:history="1">
        <w:r w:rsidR="00443347" w:rsidRPr="00115055">
          <w:rPr>
            <w:rStyle w:val="Hyperlink"/>
            <w:rFonts w:ascii="Calibri" w:eastAsia="Times New Roman" w:hAnsi="Calibri" w:cs="Calibri"/>
            <w:lang w:eastAsia="en-GB"/>
          </w:rPr>
          <w:t>ford.hickson@lshtm.ac.uk</w:t>
        </w:r>
      </w:hyperlink>
      <w:r w:rsidR="002F5628" w:rsidRPr="002F5628">
        <w:rPr>
          <w:rFonts w:ascii="Calibri" w:eastAsia="Times New Roman" w:hAnsi="Calibri" w:cs="Calibri"/>
          <w:lang w:eastAsia="en-GB"/>
        </w:rPr>
        <w:t xml:space="preserve"> </w:t>
      </w:r>
    </w:p>
    <w:p w14:paraId="42534191" w14:textId="77777777" w:rsidR="002F5628" w:rsidRPr="002F5628" w:rsidRDefault="002F5628" w:rsidP="00006056">
      <w:pPr>
        <w:spacing w:after="0"/>
        <w:rPr>
          <w:rFonts w:ascii="Calibri" w:eastAsia="Times New Roman" w:hAnsi="Calibri" w:cs="Calibri"/>
          <w:lang w:eastAsia="en-GB"/>
        </w:rPr>
      </w:pPr>
      <w:r w:rsidRPr="002F5628">
        <w:rPr>
          <w:rFonts w:ascii="Calibri" w:eastAsia="Times New Roman" w:hAnsi="Calibri" w:cs="Calibri"/>
          <w:lang w:eastAsia="en-GB"/>
        </w:rPr>
        <w:t>London School of Hygiene &amp; Tropical Medicine</w:t>
      </w:r>
    </w:p>
    <w:p w14:paraId="0F07429A" w14:textId="77777777" w:rsidR="002F5628" w:rsidRPr="002F5628" w:rsidRDefault="002F5628" w:rsidP="00006056">
      <w:pPr>
        <w:spacing w:after="0"/>
        <w:rPr>
          <w:rFonts w:ascii="Calibri" w:eastAsia="Times New Roman" w:hAnsi="Calibri" w:cs="Calibri"/>
          <w:lang w:eastAsia="en-GB"/>
        </w:rPr>
      </w:pPr>
      <w:r w:rsidRPr="002F5628">
        <w:rPr>
          <w:rFonts w:ascii="Calibri" w:eastAsia="Times New Roman" w:hAnsi="Calibri" w:cs="Calibri"/>
          <w:lang w:eastAsia="en-GB"/>
        </w:rPr>
        <w:t>15-17 Tavistock Place</w:t>
      </w:r>
    </w:p>
    <w:p w14:paraId="2492C924" w14:textId="77777777" w:rsidR="002F5628" w:rsidRPr="002F5628" w:rsidRDefault="002F5628" w:rsidP="00006056">
      <w:pPr>
        <w:spacing w:after="0"/>
        <w:rPr>
          <w:rFonts w:ascii="Calibri" w:eastAsia="Times New Roman" w:hAnsi="Calibri" w:cs="Calibri"/>
          <w:lang w:eastAsia="en-GB"/>
        </w:rPr>
      </w:pPr>
      <w:r w:rsidRPr="002F5628">
        <w:rPr>
          <w:rFonts w:ascii="Calibri" w:eastAsia="Times New Roman" w:hAnsi="Calibri" w:cs="Calibri"/>
          <w:lang w:eastAsia="en-GB"/>
        </w:rPr>
        <w:t>London WC1H 9SH</w:t>
      </w:r>
    </w:p>
    <w:p w14:paraId="2E3B3096" w14:textId="77777777" w:rsidR="002F5628" w:rsidRPr="002F5628" w:rsidRDefault="002F5628" w:rsidP="00006056">
      <w:pPr>
        <w:spacing w:after="0"/>
        <w:rPr>
          <w:rFonts w:ascii="Calibri" w:eastAsia="Times New Roman" w:hAnsi="Calibri" w:cs="Calibri"/>
          <w:lang w:eastAsia="en-GB"/>
        </w:rPr>
      </w:pPr>
      <w:r w:rsidRPr="002F5628">
        <w:rPr>
          <w:rFonts w:ascii="Calibri" w:eastAsia="Times New Roman" w:hAnsi="Calibri" w:cs="Calibri"/>
          <w:lang w:eastAsia="en-GB"/>
        </w:rPr>
        <w:t>Telephone: 020 7927 2793</w:t>
      </w:r>
    </w:p>
    <w:p w14:paraId="2FC3C169" w14:textId="77777777" w:rsidR="002F5628" w:rsidRPr="002F5628" w:rsidRDefault="002F5628" w:rsidP="00006056">
      <w:pPr>
        <w:spacing w:after="0"/>
        <w:rPr>
          <w:rFonts w:ascii="Calibri" w:eastAsia="Times New Roman" w:hAnsi="Calibri" w:cs="Calibri"/>
          <w:lang w:eastAsia="en-GB"/>
        </w:rPr>
      </w:pPr>
      <w:r w:rsidRPr="002F5628">
        <w:rPr>
          <w:rFonts w:ascii="Calibri" w:eastAsia="Times New Roman" w:hAnsi="Calibri" w:cs="Calibri"/>
          <w:lang w:eastAsia="en-GB"/>
        </w:rPr>
        <w:t>Fax: 020 7927 2701</w:t>
      </w:r>
    </w:p>
    <w:p w14:paraId="03DFA799" w14:textId="77777777" w:rsidR="002F5628" w:rsidRPr="002F5628" w:rsidRDefault="002F5628" w:rsidP="00006056">
      <w:pPr>
        <w:widowControl w:val="0"/>
        <w:spacing w:after="0"/>
        <w:rPr>
          <w:rFonts w:ascii="Calibri" w:eastAsia="Arial" w:hAnsi="Calibri" w:cs="Calibri"/>
          <w:b/>
          <w:color w:val="000000"/>
          <w:lang w:eastAsia="en-GB"/>
        </w:rPr>
      </w:pPr>
    </w:p>
    <w:p w14:paraId="66D63701" w14:textId="50F9EE0C" w:rsidR="00443347" w:rsidRPr="008C6EC2" w:rsidRDefault="00443347">
      <w:pPr>
        <w:spacing w:before="0" w:after="160" w:line="259" w:lineRule="auto"/>
        <w:rPr>
          <w:rFonts w:ascii="Calibri" w:eastAsia="Arial" w:hAnsi="Calibri" w:cs="Calibri"/>
          <w:color w:val="000000"/>
          <w:lang w:eastAsia="en-GB"/>
        </w:rPr>
      </w:pPr>
      <w:r w:rsidRPr="008C6EC2">
        <w:rPr>
          <w:rFonts w:ascii="Calibri" w:eastAsia="Arial" w:hAnsi="Calibri" w:cs="Calibri"/>
          <w:color w:val="000000"/>
          <w:lang w:eastAsia="en-GB"/>
        </w:rPr>
        <w:t xml:space="preserve">Word Count (Introduction to Discussion):  </w:t>
      </w:r>
      <w:r w:rsidR="00C84812" w:rsidRPr="008C6EC2">
        <w:rPr>
          <w:rFonts w:ascii="Calibri" w:eastAsia="Arial" w:hAnsi="Calibri" w:cs="Calibri"/>
          <w:color w:val="000000"/>
          <w:lang w:eastAsia="en-GB"/>
        </w:rPr>
        <w:t>2,99</w:t>
      </w:r>
      <w:r w:rsidR="00050596">
        <w:rPr>
          <w:rFonts w:ascii="Calibri" w:eastAsia="Arial" w:hAnsi="Calibri" w:cs="Calibri"/>
          <w:color w:val="000000"/>
          <w:lang w:eastAsia="en-GB"/>
        </w:rPr>
        <w:t>2</w:t>
      </w:r>
    </w:p>
    <w:p w14:paraId="6A1F3312" w14:textId="77777777" w:rsidR="0091643E" w:rsidRDefault="00443347">
      <w:pPr>
        <w:spacing w:before="0" w:after="160" w:line="259" w:lineRule="auto"/>
        <w:rPr>
          <w:rFonts w:ascii="Calibri" w:eastAsia="Arial" w:hAnsi="Calibri" w:cs="Calibri"/>
          <w:color w:val="000000"/>
          <w:lang w:eastAsia="en-GB"/>
        </w:rPr>
      </w:pPr>
      <w:r w:rsidRPr="008C6EC2">
        <w:rPr>
          <w:rFonts w:ascii="Calibri" w:eastAsia="Arial" w:hAnsi="Calibri" w:cs="Calibri"/>
          <w:color w:val="000000"/>
          <w:lang w:eastAsia="en-GB"/>
        </w:rPr>
        <w:t xml:space="preserve">Word Count (Abstract):  </w:t>
      </w:r>
      <w:r w:rsidR="006F348B" w:rsidRPr="008C6EC2">
        <w:rPr>
          <w:rFonts w:ascii="Calibri" w:eastAsia="Arial" w:hAnsi="Calibri" w:cs="Calibri"/>
          <w:color w:val="000000"/>
          <w:lang w:eastAsia="en-GB"/>
        </w:rPr>
        <w:t>200</w:t>
      </w:r>
    </w:p>
    <w:p w14:paraId="279257B2" w14:textId="77777777" w:rsidR="0091643E" w:rsidRDefault="0091643E">
      <w:pPr>
        <w:spacing w:before="0" w:after="160" w:line="259" w:lineRule="auto"/>
        <w:rPr>
          <w:rFonts w:ascii="Calibri" w:eastAsia="Arial" w:hAnsi="Calibri" w:cs="Calibri"/>
          <w:color w:val="000000"/>
          <w:lang w:eastAsia="en-GB"/>
        </w:rPr>
      </w:pPr>
    </w:p>
    <w:p w14:paraId="0EE0AE75" w14:textId="52F8BBDA" w:rsidR="00443347" w:rsidRDefault="00443347">
      <w:pPr>
        <w:spacing w:before="0" w:after="160" w:line="259" w:lineRule="auto"/>
        <w:rPr>
          <w:rFonts w:ascii="Calibri" w:eastAsia="Arial" w:hAnsi="Calibri" w:cs="Calibri"/>
          <w:b/>
          <w:color w:val="000000"/>
          <w:lang w:eastAsia="en-GB"/>
        </w:rPr>
      </w:pPr>
      <w:r>
        <w:rPr>
          <w:rFonts w:ascii="Calibri" w:eastAsia="Arial" w:hAnsi="Calibri" w:cs="Calibri"/>
          <w:b/>
          <w:color w:val="000000"/>
          <w:lang w:eastAsia="en-GB"/>
        </w:rPr>
        <w:br w:type="page"/>
      </w:r>
    </w:p>
    <w:p w14:paraId="362D52E1" w14:textId="524D21AD" w:rsidR="002F5628" w:rsidRPr="002F5628" w:rsidRDefault="0050457B" w:rsidP="00006056">
      <w:pPr>
        <w:widowControl w:val="0"/>
        <w:spacing w:after="0"/>
        <w:rPr>
          <w:rFonts w:ascii="Calibri" w:eastAsia="Arial" w:hAnsi="Calibri" w:cs="Calibri"/>
          <w:b/>
          <w:color w:val="000000"/>
          <w:lang w:eastAsia="en-GB"/>
        </w:rPr>
      </w:pPr>
      <w:r w:rsidRPr="002F5628">
        <w:rPr>
          <w:rFonts w:ascii="Calibri" w:eastAsia="Arial" w:hAnsi="Calibri" w:cs="Calibri"/>
          <w:b/>
          <w:color w:val="000000"/>
          <w:lang w:eastAsia="en-GB"/>
        </w:rPr>
        <w:lastRenderedPageBreak/>
        <w:t>ABSTRACT</w:t>
      </w:r>
    </w:p>
    <w:p w14:paraId="4DB3E537" w14:textId="6FA4D8BB" w:rsidR="00675528" w:rsidRDefault="00733A0F" w:rsidP="00AA0417">
      <w:r>
        <w:t>Gay and bisexual men</w:t>
      </w:r>
      <w:r w:rsidR="007B177F">
        <w:t xml:space="preserve"> experience a disproportionate</w:t>
      </w:r>
      <w:r w:rsidR="002D7D95">
        <w:t xml:space="preserve"> burden of</w:t>
      </w:r>
      <w:r w:rsidR="007B177F">
        <w:t xml:space="preserve"> ill health compared to the general </w:t>
      </w:r>
      <w:r w:rsidR="00B615A1">
        <w:t xml:space="preserve">male </w:t>
      </w:r>
      <w:r w:rsidR="007B177F">
        <w:t>population</w:t>
      </w:r>
      <w:r w:rsidR="00675528">
        <w:t>. However,</w:t>
      </w:r>
      <w:r w:rsidR="007B177F">
        <w:t xml:space="preserve"> little is known regarding health inequalities</w:t>
      </w:r>
      <w:r w:rsidR="002D7D95">
        <w:t xml:space="preserve"> that exist</w:t>
      </w:r>
      <w:r w:rsidR="007B177F">
        <w:t xml:space="preserve"> </w:t>
      </w:r>
      <w:r w:rsidR="00675528">
        <w:t>within th</w:t>
      </w:r>
      <w:r>
        <w:t>is</w:t>
      </w:r>
      <w:r w:rsidR="00675528">
        <w:t xml:space="preserve"> </w:t>
      </w:r>
      <w:r w:rsidR="0021092A">
        <w:t>group</w:t>
      </w:r>
      <w:r w:rsidR="007B177F">
        <w:t xml:space="preserve">. </w:t>
      </w:r>
      <w:r w:rsidR="00675528">
        <w:t xml:space="preserve">We </w:t>
      </w:r>
      <w:r w:rsidR="003E2D07">
        <w:t>describe</w:t>
      </w:r>
      <w:r w:rsidR="007B177F">
        <w:t xml:space="preserve"> </w:t>
      </w:r>
      <w:r w:rsidR="00675528">
        <w:t>five</w:t>
      </w:r>
      <w:r w:rsidR="007B177F">
        <w:t xml:space="preserve"> key </w:t>
      </w:r>
      <w:r w:rsidR="00005531">
        <w:t xml:space="preserve">physical </w:t>
      </w:r>
      <w:r w:rsidR="007B177F">
        <w:t xml:space="preserve">health indicators and </w:t>
      </w:r>
      <w:r w:rsidR="0021092A">
        <w:t xml:space="preserve">their </w:t>
      </w:r>
      <w:r w:rsidR="007B177F">
        <w:t>var</w:t>
      </w:r>
      <w:r w:rsidR="0021092A">
        <w:t>iation</w:t>
      </w:r>
      <w:r w:rsidR="007B177F">
        <w:t xml:space="preserve"> </w:t>
      </w:r>
      <w:r w:rsidR="00675528">
        <w:t xml:space="preserve">across </w:t>
      </w:r>
      <w:r w:rsidR="0021092A">
        <w:t xml:space="preserve">common </w:t>
      </w:r>
      <w:r w:rsidR="00675528">
        <w:t xml:space="preserve">axes of inequality. </w:t>
      </w:r>
    </w:p>
    <w:p w14:paraId="1CDADEFC" w14:textId="6C44D0B2" w:rsidR="00675528" w:rsidRDefault="006F348B" w:rsidP="00675528">
      <w:r>
        <w:rPr>
          <w:lang w:eastAsia="en-GB"/>
        </w:rPr>
        <w:t>C</w:t>
      </w:r>
      <w:r w:rsidR="003E2D07" w:rsidRPr="003E2D07">
        <w:rPr>
          <w:lang w:eastAsia="en-GB"/>
        </w:rPr>
        <w:t xml:space="preserve">ommunity-based opportunistic sampling recruited </w:t>
      </w:r>
      <w:r w:rsidR="003E2D07">
        <w:rPr>
          <w:lang w:eastAsia="en-GB"/>
        </w:rPr>
        <w:t>5799 gay</w:t>
      </w:r>
      <w:r w:rsidR="0021092A">
        <w:rPr>
          <w:lang w:eastAsia="en-GB"/>
        </w:rPr>
        <w:t xml:space="preserve"> and</w:t>
      </w:r>
      <w:r w:rsidR="003E2D07">
        <w:rPr>
          <w:lang w:eastAsia="en-GB"/>
        </w:rPr>
        <w:t xml:space="preserve"> bisexual men </w:t>
      </w:r>
      <w:r w:rsidR="00561B23">
        <w:rPr>
          <w:lang w:eastAsia="en-GB"/>
        </w:rPr>
        <w:t>to a s</w:t>
      </w:r>
      <w:r w:rsidR="00561B23" w:rsidRPr="003E2D07">
        <w:rPr>
          <w:lang w:eastAsia="en-GB"/>
        </w:rPr>
        <w:t xml:space="preserve">elf-completion </w:t>
      </w:r>
      <w:r w:rsidR="00AD6EC1">
        <w:rPr>
          <w:lang w:eastAsia="en-GB"/>
        </w:rPr>
        <w:t xml:space="preserve">internet </w:t>
      </w:r>
      <w:r w:rsidR="00561B23" w:rsidRPr="003E2D07">
        <w:rPr>
          <w:lang w:eastAsia="en-GB"/>
        </w:rPr>
        <w:t>survey</w:t>
      </w:r>
      <w:r w:rsidR="003E2D07" w:rsidRPr="003E2D07">
        <w:rPr>
          <w:lang w:eastAsia="en-GB"/>
        </w:rPr>
        <w:t xml:space="preserve">. </w:t>
      </w:r>
      <w:r w:rsidR="002D7D95">
        <w:rPr>
          <w:lang w:eastAsia="en-GB"/>
        </w:rPr>
        <w:t>Respondents provided data relating to their</w:t>
      </w:r>
      <w:r w:rsidR="00675528">
        <w:rPr>
          <w:lang w:eastAsia="en-GB"/>
        </w:rPr>
        <w:t xml:space="preserve"> height</w:t>
      </w:r>
      <w:r>
        <w:rPr>
          <w:lang w:eastAsia="en-GB"/>
        </w:rPr>
        <w:t xml:space="preserve">, </w:t>
      </w:r>
      <w:r w:rsidR="00675528">
        <w:rPr>
          <w:lang w:eastAsia="en-GB"/>
        </w:rPr>
        <w:t xml:space="preserve">weight, physical activity and substance use (tobacco, alcohol, illicit drugs). Responses were compared across </w:t>
      </w:r>
      <w:r w:rsidR="00675528">
        <w:t>sev</w:t>
      </w:r>
      <w:r w:rsidR="0021092A">
        <w:t>en</w:t>
      </w:r>
      <w:r w:rsidR="002D7D95">
        <w:t xml:space="preserve"> demographic</w:t>
      </w:r>
      <w:r w:rsidR="0021092A">
        <w:t xml:space="preserve"> characteristics.</w:t>
      </w:r>
    </w:p>
    <w:p w14:paraId="3E000B00" w14:textId="65FFD542" w:rsidR="0074394A" w:rsidRPr="0074394A" w:rsidRDefault="0021092A" w:rsidP="00AA0417">
      <w:pPr>
        <w:rPr>
          <w:lang w:eastAsia="en-GB"/>
        </w:rPr>
      </w:pPr>
      <w:r>
        <w:rPr>
          <w:lang w:eastAsia="en-GB"/>
        </w:rPr>
        <w:t xml:space="preserve">Indicators of </w:t>
      </w:r>
      <w:r w:rsidR="002D7D95">
        <w:rPr>
          <w:lang w:eastAsia="en-GB"/>
        </w:rPr>
        <w:t>problematic health behaviour</w:t>
      </w:r>
      <w:r w:rsidR="00271D83">
        <w:rPr>
          <w:lang w:eastAsia="en-GB"/>
        </w:rPr>
        <w:t xml:space="preserve"> w</w:t>
      </w:r>
      <w:r>
        <w:rPr>
          <w:lang w:eastAsia="en-GB"/>
        </w:rPr>
        <w:t>ere</w:t>
      </w:r>
      <w:r w:rsidR="00271D83">
        <w:rPr>
          <w:lang w:eastAsia="en-GB"/>
        </w:rPr>
        <w:t xml:space="preserve"> concentrated </w:t>
      </w:r>
      <w:r w:rsidR="002D7D95">
        <w:rPr>
          <w:lang w:eastAsia="en-GB"/>
        </w:rPr>
        <w:t>with</w:t>
      </w:r>
      <w:r w:rsidR="00271D83">
        <w:rPr>
          <w:lang w:eastAsia="en-GB"/>
        </w:rPr>
        <w:t>in different group</w:t>
      </w:r>
      <w:r w:rsidR="00733A0F">
        <w:rPr>
          <w:lang w:eastAsia="en-GB"/>
        </w:rPr>
        <w:t>s</w:t>
      </w:r>
      <w:r w:rsidR="006F348B">
        <w:rPr>
          <w:lang w:eastAsia="en-GB"/>
        </w:rPr>
        <w:t xml:space="preserve"> and</w:t>
      </w:r>
      <w:r>
        <w:rPr>
          <w:lang w:eastAsia="en-GB"/>
        </w:rPr>
        <w:t xml:space="preserve"> </w:t>
      </w:r>
      <w:r w:rsidR="006F348B">
        <w:rPr>
          <w:lang w:eastAsia="en-GB"/>
        </w:rPr>
        <w:t>i</w:t>
      </w:r>
      <w:r w:rsidR="00CC7D4F">
        <w:rPr>
          <w:lang w:eastAsia="en-GB"/>
        </w:rPr>
        <w:t xml:space="preserve">nequalities were </w:t>
      </w:r>
      <w:r w:rsidR="006F348B">
        <w:rPr>
          <w:lang w:eastAsia="en-GB"/>
        </w:rPr>
        <w:t xml:space="preserve">rarely observed </w:t>
      </w:r>
      <w:r w:rsidR="00CC7D4F">
        <w:rPr>
          <w:lang w:eastAsia="en-GB"/>
        </w:rPr>
        <w:t>in the same direction</w:t>
      </w:r>
      <w:r w:rsidR="00271D83">
        <w:rPr>
          <w:lang w:eastAsia="en-GB"/>
        </w:rPr>
        <w:t>.</w:t>
      </w:r>
      <w:r w:rsidR="00CC7D4F">
        <w:rPr>
          <w:lang w:eastAsia="en-GB"/>
        </w:rPr>
        <w:t xml:space="preserve"> </w:t>
      </w:r>
      <w:r w:rsidR="0074394A">
        <w:rPr>
          <w:lang w:eastAsia="en-GB"/>
        </w:rPr>
        <w:t>O</w:t>
      </w:r>
      <w:r w:rsidR="0074394A" w:rsidRPr="0074394A">
        <w:rPr>
          <w:lang w:eastAsia="en-GB"/>
        </w:rPr>
        <w:t xml:space="preserve">lder </w:t>
      </w:r>
      <w:r w:rsidR="00733A0F">
        <w:rPr>
          <w:lang w:eastAsia="en-GB"/>
        </w:rPr>
        <w:t>men</w:t>
      </w:r>
      <w:r w:rsidR="00733A0F" w:rsidRPr="0074394A">
        <w:rPr>
          <w:lang w:eastAsia="en-GB"/>
        </w:rPr>
        <w:t xml:space="preserve"> </w:t>
      </w:r>
      <w:r w:rsidR="0074394A" w:rsidRPr="0074394A">
        <w:rPr>
          <w:lang w:eastAsia="en-GB"/>
        </w:rPr>
        <w:t xml:space="preserve">were </w:t>
      </w:r>
      <w:r w:rsidR="00CC7D4F">
        <w:rPr>
          <w:lang w:eastAsia="en-GB"/>
        </w:rPr>
        <w:t>more likely to be overweight</w:t>
      </w:r>
      <w:r w:rsidR="0074394A" w:rsidRPr="0074394A">
        <w:rPr>
          <w:lang w:eastAsia="en-GB"/>
        </w:rPr>
        <w:t xml:space="preserve"> and drink </w:t>
      </w:r>
      <w:r w:rsidR="00675528">
        <w:rPr>
          <w:lang w:eastAsia="en-GB"/>
        </w:rPr>
        <w:t>alcohol frequently bu</w:t>
      </w:r>
      <w:r w:rsidR="0074394A" w:rsidRPr="0074394A">
        <w:rPr>
          <w:lang w:eastAsia="en-GB"/>
        </w:rPr>
        <w:t xml:space="preserve">t less likely to smoke or use illicit drugs. </w:t>
      </w:r>
      <w:r w:rsidR="0074394A">
        <w:rPr>
          <w:lang w:eastAsia="en-GB"/>
        </w:rPr>
        <w:t>M</w:t>
      </w:r>
      <w:r w:rsidR="0074394A" w:rsidRPr="0074394A">
        <w:rPr>
          <w:lang w:eastAsia="en-GB"/>
        </w:rPr>
        <w:t xml:space="preserve">en </w:t>
      </w:r>
      <w:r w:rsidR="00AE10D2">
        <w:rPr>
          <w:lang w:eastAsia="en-GB"/>
        </w:rPr>
        <w:t>of</w:t>
      </w:r>
      <w:r w:rsidR="00AE10D2" w:rsidRPr="0074394A">
        <w:rPr>
          <w:lang w:eastAsia="en-GB"/>
        </w:rPr>
        <w:t xml:space="preserve"> </w:t>
      </w:r>
      <w:r w:rsidR="0074394A" w:rsidRPr="0074394A">
        <w:rPr>
          <w:lang w:eastAsia="en-GB"/>
        </w:rPr>
        <w:t xml:space="preserve">Asian </w:t>
      </w:r>
      <w:r w:rsidR="00AE10D2">
        <w:rPr>
          <w:lang w:eastAsia="en-GB"/>
        </w:rPr>
        <w:t>ethnicity</w:t>
      </w:r>
      <w:r w:rsidR="0074394A" w:rsidRPr="0074394A">
        <w:rPr>
          <w:lang w:eastAsia="en-GB"/>
        </w:rPr>
        <w:t xml:space="preserve"> were </w:t>
      </w:r>
      <w:r w:rsidR="00675528">
        <w:rPr>
          <w:lang w:eastAsia="en-GB"/>
        </w:rPr>
        <w:t xml:space="preserve">more likely to </w:t>
      </w:r>
      <w:r w:rsidR="00675528" w:rsidRPr="0074394A">
        <w:rPr>
          <w:lang w:eastAsia="en-GB"/>
        </w:rPr>
        <w:t xml:space="preserve">exercise </w:t>
      </w:r>
      <w:r w:rsidR="00675528">
        <w:rPr>
          <w:lang w:eastAsia="en-GB"/>
        </w:rPr>
        <w:t>infrequently</w:t>
      </w:r>
      <w:r w:rsidR="00675528" w:rsidRPr="0074394A">
        <w:rPr>
          <w:lang w:eastAsia="en-GB"/>
        </w:rPr>
        <w:t xml:space="preserve"> </w:t>
      </w:r>
      <w:r w:rsidR="00675528">
        <w:rPr>
          <w:lang w:eastAsia="en-GB"/>
        </w:rPr>
        <w:t xml:space="preserve">but </w:t>
      </w:r>
      <w:r w:rsidR="0074394A" w:rsidRPr="0074394A">
        <w:rPr>
          <w:lang w:eastAsia="en-GB"/>
        </w:rPr>
        <w:t>less likely to</w:t>
      </w:r>
      <w:r w:rsidR="008E4DDB">
        <w:rPr>
          <w:lang w:eastAsia="en-GB"/>
        </w:rPr>
        <w:t xml:space="preserve"> smoke</w:t>
      </w:r>
      <w:r w:rsidR="00675528">
        <w:rPr>
          <w:lang w:eastAsia="en-GB"/>
        </w:rPr>
        <w:t>.</w:t>
      </w:r>
      <w:r w:rsidR="0074394A">
        <w:rPr>
          <w:lang w:eastAsia="en-GB"/>
        </w:rPr>
        <w:t xml:space="preserve"> </w:t>
      </w:r>
      <w:r w:rsidR="00CC7D4F">
        <w:rPr>
          <w:lang w:eastAsia="en-GB"/>
        </w:rPr>
        <w:t xml:space="preserve">Men living in London </w:t>
      </w:r>
      <w:r>
        <w:rPr>
          <w:lang w:eastAsia="en-GB"/>
        </w:rPr>
        <w:t xml:space="preserve">were more likely to smoke and use illicit drugs but </w:t>
      </w:r>
      <w:r w:rsidR="00CC7D4F">
        <w:rPr>
          <w:lang w:eastAsia="en-GB"/>
        </w:rPr>
        <w:t>less likely to be overweight.</w:t>
      </w:r>
      <w:r w:rsidR="00271D83" w:rsidRPr="00271D83">
        <w:rPr>
          <w:lang w:eastAsia="en-GB"/>
        </w:rPr>
        <w:t xml:space="preserve"> </w:t>
      </w:r>
      <w:r>
        <w:rPr>
          <w:lang w:eastAsia="en-GB"/>
        </w:rPr>
        <w:t>However, l</w:t>
      </w:r>
      <w:r w:rsidR="00271D83" w:rsidRPr="0074394A">
        <w:rPr>
          <w:lang w:eastAsia="en-GB"/>
        </w:rPr>
        <w:t xml:space="preserve">ower education was associated with being overweight, </w:t>
      </w:r>
      <w:r w:rsidR="00271D83">
        <w:rPr>
          <w:lang w:eastAsia="en-GB"/>
        </w:rPr>
        <w:t xml:space="preserve">frequent alcohol, </w:t>
      </w:r>
      <w:r w:rsidR="000D3A91">
        <w:rPr>
          <w:lang w:eastAsia="en-GB"/>
        </w:rPr>
        <w:t xml:space="preserve">low </w:t>
      </w:r>
      <w:r w:rsidR="00271D83">
        <w:rPr>
          <w:lang w:eastAsia="en-GB"/>
        </w:rPr>
        <w:t xml:space="preserve">exercise and </w:t>
      </w:r>
      <w:r w:rsidR="00271D83" w:rsidRPr="0074394A">
        <w:rPr>
          <w:lang w:eastAsia="en-GB"/>
        </w:rPr>
        <w:t>smoking</w:t>
      </w:r>
      <w:r w:rsidR="00271D83">
        <w:rPr>
          <w:lang w:eastAsia="en-GB"/>
        </w:rPr>
        <w:t>.</w:t>
      </w:r>
    </w:p>
    <w:p w14:paraId="7DBF7C0C" w14:textId="5B0B285C" w:rsidR="00271D83" w:rsidRDefault="00C21D58" w:rsidP="00AA0417">
      <w:pPr>
        <w:rPr>
          <w:lang w:eastAsia="en-GB"/>
        </w:rPr>
      </w:pPr>
      <w:r>
        <w:rPr>
          <w:lang w:eastAsia="en-GB"/>
        </w:rPr>
        <w:t>There is evidence of significant demographic variation in physical health related behaviours among</w:t>
      </w:r>
      <w:r w:rsidR="00271D83">
        <w:rPr>
          <w:lang w:eastAsia="en-GB"/>
        </w:rPr>
        <w:t xml:space="preserve"> </w:t>
      </w:r>
      <w:r w:rsidR="00733A0F">
        <w:rPr>
          <w:lang w:eastAsia="en-GB"/>
        </w:rPr>
        <w:t>gay and bisexual men</w:t>
      </w:r>
      <w:r w:rsidR="0037154D">
        <w:rPr>
          <w:lang w:eastAsia="en-GB"/>
        </w:rPr>
        <w:t xml:space="preserve">, and men with lower levels of education are consistently in greater need. </w:t>
      </w:r>
    </w:p>
    <w:p w14:paraId="5B8560BA" w14:textId="77777777" w:rsidR="0021092A" w:rsidRDefault="0021092A" w:rsidP="00AA0417">
      <w:pPr>
        <w:rPr>
          <w:lang w:eastAsia="en-GB"/>
        </w:rPr>
      </w:pPr>
    </w:p>
    <w:p w14:paraId="58F8F258" w14:textId="52887E16" w:rsidR="002F5628" w:rsidRPr="002F5628" w:rsidRDefault="0050457B" w:rsidP="00006056">
      <w:pPr>
        <w:spacing w:after="200" w:line="276" w:lineRule="auto"/>
        <w:rPr>
          <w:rFonts w:ascii="Calibri" w:eastAsia="Times New Roman" w:hAnsi="Calibri" w:cs="Calibri"/>
          <w:b/>
          <w:lang w:eastAsia="en-GB"/>
        </w:rPr>
      </w:pPr>
      <w:r w:rsidRPr="002F5628">
        <w:rPr>
          <w:rFonts w:ascii="Calibri" w:eastAsia="Times New Roman" w:hAnsi="Calibri" w:cs="Calibri"/>
          <w:b/>
          <w:lang w:eastAsia="en-GB"/>
        </w:rPr>
        <w:t>KEY WORDS</w:t>
      </w:r>
    </w:p>
    <w:p w14:paraId="6175FE85" w14:textId="52DA8F90" w:rsidR="002D21C0" w:rsidRDefault="0050457B" w:rsidP="00AA0417">
      <w:pPr>
        <w:rPr>
          <w:lang w:eastAsia="en-GB"/>
        </w:rPr>
      </w:pPr>
      <w:r>
        <w:rPr>
          <w:lang w:eastAsia="en-GB"/>
        </w:rPr>
        <w:t xml:space="preserve">Health inequalities; </w:t>
      </w:r>
      <w:r w:rsidR="00733A0F">
        <w:rPr>
          <w:lang w:eastAsia="en-GB"/>
        </w:rPr>
        <w:t>male homosexuality</w:t>
      </w:r>
      <w:r>
        <w:rPr>
          <w:lang w:eastAsia="en-GB"/>
        </w:rPr>
        <w:t>; drug use; exercise; smoking; alcohol consumption.</w:t>
      </w:r>
    </w:p>
    <w:p w14:paraId="1EF81F3C" w14:textId="77777777" w:rsidR="002D21C0" w:rsidRDefault="002D21C0">
      <w:pPr>
        <w:spacing w:before="0" w:after="160" w:line="259" w:lineRule="auto"/>
        <w:rPr>
          <w:lang w:eastAsia="en-GB"/>
        </w:rPr>
      </w:pPr>
      <w:r>
        <w:rPr>
          <w:lang w:eastAsia="en-GB"/>
        </w:rPr>
        <w:br w:type="page"/>
      </w:r>
    </w:p>
    <w:p w14:paraId="7C36F3C3" w14:textId="7CB412F3" w:rsidR="002F5628" w:rsidRPr="002F5628" w:rsidRDefault="00C62E7B" w:rsidP="00006056">
      <w:pPr>
        <w:widowControl w:val="0"/>
        <w:spacing w:after="0"/>
        <w:rPr>
          <w:rFonts w:ascii="Calibri" w:eastAsia="Arial" w:hAnsi="Calibri" w:cs="Calibri"/>
          <w:b/>
          <w:color w:val="000000"/>
          <w:lang w:eastAsia="en-GB"/>
        </w:rPr>
      </w:pPr>
      <w:r w:rsidRPr="002F5628">
        <w:rPr>
          <w:rFonts w:ascii="Calibri" w:eastAsia="Arial" w:hAnsi="Calibri" w:cs="Calibri"/>
          <w:b/>
          <w:color w:val="000000"/>
          <w:lang w:eastAsia="en-GB"/>
        </w:rPr>
        <w:lastRenderedPageBreak/>
        <w:t>INTRODUCTION</w:t>
      </w:r>
    </w:p>
    <w:p w14:paraId="3E67F6AB" w14:textId="369B8712" w:rsidR="002F5628" w:rsidRPr="002F5628" w:rsidRDefault="002F5628" w:rsidP="00006056">
      <w:pPr>
        <w:spacing w:after="0"/>
        <w:rPr>
          <w:rFonts w:ascii="Calibri" w:eastAsia="Times New Roman" w:hAnsi="Calibri" w:cs="Calibri"/>
          <w:lang w:eastAsia="en-GB"/>
        </w:rPr>
      </w:pPr>
      <w:r w:rsidRPr="002F5628">
        <w:rPr>
          <w:rFonts w:ascii="Calibri" w:eastAsia="Times New Roman" w:hAnsi="Calibri" w:cs="Calibri"/>
          <w:lang w:eastAsia="en-GB"/>
        </w:rPr>
        <w:t>The majority of public health data analysis relating to sexual orientation considers differences in health outcomes between sexual majorities and sexual minorities, usually finding outcomes t</w:t>
      </w:r>
      <w:r w:rsidR="00E62B4D">
        <w:rPr>
          <w:rFonts w:ascii="Calibri" w:eastAsia="Times New Roman" w:hAnsi="Calibri" w:cs="Calibri"/>
          <w:lang w:eastAsia="en-GB"/>
        </w:rPr>
        <w:t>o be worse among minorities [</w:t>
      </w:r>
      <w:r w:rsidR="003B5437">
        <w:rPr>
          <w:rFonts w:ascii="Calibri" w:eastAsia="Times New Roman" w:hAnsi="Calibri" w:cs="Calibri"/>
          <w:lang w:eastAsia="en-GB"/>
        </w:rPr>
        <w:t>1</w:t>
      </w:r>
      <w:r w:rsidR="00B615A1">
        <w:rPr>
          <w:rFonts w:ascii="Calibri" w:eastAsia="Times New Roman" w:hAnsi="Calibri" w:cs="Calibri"/>
          <w:lang w:eastAsia="en-GB"/>
        </w:rPr>
        <w:t xml:space="preserve">, </w:t>
      </w:r>
      <w:r w:rsidR="003B5437">
        <w:rPr>
          <w:rFonts w:ascii="Calibri" w:eastAsia="Times New Roman" w:hAnsi="Calibri" w:cs="Calibri"/>
          <w:lang w:eastAsia="en-GB"/>
        </w:rPr>
        <w:t>2</w:t>
      </w:r>
      <w:r w:rsidR="00E62B4D">
        <w:rPr>
          <w:rFonts w:ascii="Calibri" w:eastAsia="Times New Roman" w:hAnsi="Calibri" w:cs="Calibri"/>
          <w:lang w:eastAsia="en-GB"/>
        </w:rPr>
        <w:t>]</w:t>
      </w:r>
      <w:r w:rsidR="00180B1A">
        <w:rPr>
          <w:rFonts w:ascii="Calibri" w:eastAsia="Times New Roman" w:hAnsi="Calibri" w:cs="Calibri"/>
          <w:lang w:eastAsia="en-GB"/>
        </w:rPr>
        <w:t>.</w:t>
      </w:r>
      <w:r w:rsidR="00E62B4D">
        <w:rPr>
          <w:rFonts w:ascii="Calibri" w:eastAsia="Times New Roman" w:hAnsi="Calibri" w:cs="Calibri"/>
          <w:lang w:eastAsia="en-GB"/>
        </w:rPr>
        <w:t xml:space="preserve"> </w:t>
      </w:r>
      <w:r w:rsidRPr="002F5628">
        <w:rPr>
          <w:rFonts w:ascii="Calibri" w:eastAsia="Times New Roman" w:hAnsi="Calibri" w:cs="Calibri"/>
          <w:lang w:eastAsia="en-GB"/>
        </w:rPr>
        <w:t>Minority stress theory is currently the dominant explanation for differences in health</w:t>
      </w:r>
      <w:r w:rsidR="00A93D5A">
        <w:rPr>
          <w:rFonts w:ascii="Calibri" w:eastAsia="Times New Roman" w:hAnsi="Calibri" w:cs="Calibri"/>
          <w:lang w:eastAsia="en-GB"/>
        </w:rPr>
        <w:t xml:space="preserve"> between sexual minorities and the sexual majority</w:t>
      </w:r>
      <w:r w:rsidRPr="002F5628">
        <w:rPr>
          <w:rFonts w:ascii="Calibri" w:eastAsia="Times New Roman" w:hAnsi="Calibri" w:cs="Calibri"/>
          <w:lang w:eastAsia="en-GB"/>
        </w:rPr>
        <w:t xml:space="preserve"> </w:t>
      </w:r>
      <w:r w:rsidR="00E62B4D">
        <w:rPr>
          <w:rFonts w:ascii="Calibri" w:eastAsia="Times New Roman" w:hAnsi="Calibri" w:cs="Calibri"/>
          <w:lang w:eastAsia="en-GB"/>
        </w:rPr>
        <w:t>[</w:t>
      </w:r>
      <w:r w:rsidR="003B5437">
        <w:rPr>
          <w:rFonts w:ascii="Calibri" w:eastAsia="Times New Roman" w:hAnsi="Calibri" w:cs="Calibri"/>
          <w:lang w:eastAsia="en-GB"/>
        </w:rPr>
        <w:t>3</w:t>
      </w:r>
      <w:r w:rsidR="00E62B4D">
        <w:rPr>
          <w:rFonts w:ascii="Calibri" w:eastAsia="Times New Roman" w:hAnsi="Calibri" w:cs="Calibri"/>
          <w:lang w:eastAsia="en-GB"/>
        </w:rPr>
        <w:t>]</w:t>
      </w:r>
      <w:r w:rsidR="00180B1A">
        <w:rPr>
          <w:rFonts w:ascii="Calibri" w:eastAsia="Times New Roman" w:hAnsi="Calibri" w:cs="Calibri"/>
          <w:lang w:eastAsia="en-GB"/>
        </w:rPr>
        <w:t>.</w:t>
      </w:r>
      <w:r w:rsidR="00E62B4D">
        <w:rPr>
          <w:rFonts w:ascii="Calibri" w:eastAsia="Times New Roman" w:hAnsi="Calibri" w:cs="Calibri"/>
          <w:lang w:eastAsia="en-GB"/>
        </w:rPr>
        <w:t xml:space="preserve"> However</w:t>
      </w:r>
      <w:r w:rsidRPr="002F5628">
        <w:rPr>
          <w:rFonts w:ascii="Calibri" w:eastAsia="Times New Roman" w:hAnsi="Calibri" w:cs="Calibri"/>
          <w:lang w:eastAsia="en-GB"/>
        </w:rPr>
        <w:t xml:space="preserve">, little data is available about health inequalities </w:t>
      </w:r>
      <w:r w:rsidRPr="002F5628">
        <w:rPr>
          <w:rFonts w:ascii="Calibri" w:eastAsia="Times New Roman" w:hAnsi="Calibri" w:cs="Calibri"/>
          <w:i/>
          <w:lang w:eastAsia="en-GB"/>
        </w:rPr>
        <w:t>within</w:t>
      </w:r>
      <w:r w:rsidRPr="002F5628">
        <w:rPr>
          <w:rFonts w:ascii="Calibri" w:eastAsia="Times New Roman" w:hAnsi="Calibri" w:cs="Calibri"/>
          <w:lang w:eastAsia="en-GB"/>
        </w:rPr>
        <w:t xml:space="preserve"> sexual minorities.</w:t>
      </w:r>
    </w:p>
    <w:p w14:paraId="7FE1E7F7" w14:textId="243643E6" w:rsidR="00DD49F9" w:rsidRDefault="002F5628" w:rsidP="00006056">
      <w:pPr>
        <w:spacing w:after="0"/>
        <w:rPr>
          <w:rFonts w:ascii="Calibri" w:eastAsia="Times New Roman" w:hAnsi="Calibri" w:cs="Calibri"/>
          <w:lang w:eastAsia="en-GB"/>
        </w:rPr>
      </w:pPr>
      <w:r w:rsidRPr="002F5628">
        <w:rPr>
          <w:rFonts w:ascii="Calibri" w:eastAsia="Times New Roman" w:hAnsi="Calibri" w:cs="Calibri"/>
          <w:lang w:eastAsia="en-GB"/>
        </w:rPr>
        <w:t xml:space="preserve">Describing health inequalities within </w:t>
      </w:r>
      <w:r w:rsidR="00030E4A">
        <w:rPr>
          <w:rFonts w:ascii="Calibri" w:eastAsia="Times New Roman" w:hAnsi="Calibri" w:cs="Calibri"/>
          <w:lang w:eastAsia="en-GB"/>
        </w:rPr>
        <w:t>sexual minorities</w:t>
      </w:r>
      <w:r w:rsidR="00030E4A" w:rsidRPr="002F5628">
        <w:rPr>
          <w:rFonts w:ascii="Calibri" w:eastAsia="Times New Roman" w:hAnsi="Calibri" w:cs="Calibri"/>
          <w:lang w:eastAsia="en-GB"/>
        </w:rPr>
        <w:t xml:space="preserve"> </w:t>
      </w:r>
      <w:r w:rsidRPr="002F5628">
        <w:rPr>
          <w:rFonts w:ascii="Calibri" w:eastAsia="Times New Roman" w:hAnsi="Calibri" w:cs="Calibri"/>
          <w:lang w:eastAsia="en-GB"/>
        </w:rPr>
        <w:t xml:space="preserve">is challenging </w:t>
      </w:r>
      <w:r w:rsidR="00A93D5A">
        <w:rPr>
          <w:rFonts w:ascii="Calibri" w:eastAsia="Times New Roman" w:hAnsi="Calibri" w:cs="Calibri"/>
          <w:lang w:eastAsia="en-GB"/>
        </w:rPr>
        <w:t xml:space="preserve">primarily </w:t>
      </w:r>
      <w:r w:rsidRPr="002F5628">
        <w:rPr>
          <w:rFonts w:ascii="Calibri" w:eastAsia="Times New Roman" w:hAnsi="Calibri" w:cs="Calibri"/>
          <w:lang w:eastAsia="en-GB"/>
        </w:rPr>
        <w:t xml:space="preserve">due to sampling. Large representative samples are theoretically possible but remain practically unfeasible. There is no sampling frame for </w:t>
      </w:r>
      <w:r w:rsidR="00DD49F9">
        <w:rPr>
          <w:rFonts w:ascii="Calibri" w:eastAsia="Times New Roman" w:hAnsi="Calibri" w:cs="Calibri"/>
          <w:lang w:eastAsia="en-GB"/>
        </w:rPr>
        <w:t>sexual minorities</w:t>
      </w:r>
      <w:r w:rsidR="00DD49F9" w:rsidRPr="002F5628">
        <w:rPr>
          <w:rFonts w:ascii="Calibri" w:eastAsia="Times New Roman" w:hAnsi="Calibri" w:cs="Calibri"/>
          <w:lang w:eastAsia="en-GB"/>
        </w:rPr>
        <w:t xml:space="preserve"> </w:t>
      </w:r>
      <w:r w:rsidRPr="002F5628">
        <w:rPr>
          <w:rFonts w:ascii="Calibri" w:eastAsia="Times New Roman" w:hAnsi="Calibri" w:cs="Calibri"/>
          <w:lang w:eastAsia="en-GB"/>
        </w:rPr>
        <w:t>and, as they form small proportion</w:t>
      </w:r>
      <w:r w:rsidR="00DD49F9">
        <w:rPr>
          <w:rFonts w:ascii="Calibri" w:eastAsia="Times New Roman" w:hAnsi="Calibri" w:cs="Calibri"/>
          <w:lang w:eastAsia="en-GB"/>
        </w:rPr>
        <w:t>s</w:t>
      </w:r>
      <w:r w:rsidRPr="002F5628">
        <w:rPr>
          <w:rFonts w:ascii="Calibri" w:eastAsia="Times New Roman" w:hAnsi="Calibri" w:cs="Calibri"/>
          <w:lang w:eastAsia="en-GB"/>
        </w:rPr>
        <w:t xml:space="preserve"> of the population, even large representative general population surveys recruit </w:t>
      </w:r>
      <w:r w:rsidR="00A93D5A" w:rsidRPr="002F5628">
        <w:rPr>
          <w:rFonts w:ascii="Calibri" w:eastAsia="Times New Roman" w:hAnsi="Calibri" w:cs="Calibri"/>
          <w:lang w:eastAsia="en-GB"/>
        </w:rPr>
        <w:t xml:space="preserve">only </w:t>
      </w:r>
      <w:r w:rsidRPr="002F5628">
        <w:rPr>
          <w:rFonts w:ascii="Calibri" w:eastAsia="Times New Roman" w:hAnsi="Calibri" w:cs="Calibri"/>
          <w:lang w:eastAsia="en-GB"/>
        </w:rPr>
        <w:t>a small absolute number</w:t>
      </w:r>
      <w:r w:rsidR="00DD49F9">
        <w:rPr>
          <w:rFonts w:ascii="Calibri" w:eastAsia="Times New Roman" w:hAnsi="Calibri" w:cs="Calibri"/>
          <w:lang w:eastAsia="en-GB"/>
        </w:rPr>
        <w:t>s</w:t>
      </w:r>
      <w:r w:rsidRPr="002F5628">
        <w:rPr>
          <w:rFonts w:ascii="Calibri" w:eastAsia="Times New Roman" w:hAnsi="Calibri" w:cs="Calibri"/>
          <w:lang w:eastAsia="en-GB"/>
        </w:rPr>
        <w:t xml:space="preserve"> of </w:t>
      </w:r>
      <w:r w:rsidR="00DD49F9">
        <w:rPr>
          <w:rFonts w:ascii="Calibri" w:eastAsia="Times New Roman" w:hAnsi="Calibri" w:cs="Calibri"/>
          <w:lang w:eastAsia="en-GB"/>
        </w:rPr>
        <w:t xml:space="preserve">sexual minority </w:t>
      </w:r>
      <w:r w:rsidRPr="002F5628">
        <w:rPr>
          <w:rFonts w:ascii="Calibri" w:eastAsia="Times New Roman" w:hAnsi="Calibri" w:cs="Calibri"/>
          <w:lang w:eastAsia="en-GB"/>
        </w:rPr>
        <w:t>men</w:t>
      </w:r>
      <w:r w:rsidR="00DD49F9">
        <w:rPr>
          <w:rFonts w:ascii="Calibri" w:eastAsia="Times New Roman" w:hAnsi="Calibri" w:cs="Calibri"/>
          <w:lang w:eastAsia="en-GB"/>
        </w:rPr>
        <w:t xml:space="preserve"> and women</w:t>
      </w:r>
      <w:r w:rsidRPr="002F5628">
        <w:rPr>
          <w:rFonts w:ascii="Calibri" w:eastAsia="Times New Roman" w:hAnsi="Calibri" w:cs="Calibri"/>
          <w:lang w:eastAsia="en-GB"/>
        </w:rPr>
        <w:t xml:space="preserve">. The majority of population health research with </w:t>
      </w:r>
      <w:r w:rsidR="00DD49F9">
        <w:rPr>
          <w:rFonts w:ascii="Calibri" w:eastAsia="Times New Roman" w:hAnsi="Calibri" w:cs="Calibri"/>
          <w:lang w:eastAsia="en-GB"/>
        </w:rPr>
        <w:t xml:space="preserve">sexual minorities </w:t>
      </w:r>
      <w:r w:rsidRPr="002F5628">
        <w:rPr>
          <w:rFonts w:ascii="Calibri" w:eastAsia="Times New Roman" w:hAnsi="Calibri" w:cs="Calibri"/>
          <w:lang w:eastAsia="en-GB"/>
        </w:rPr>
        <w:t>has there</w:t>
      </w:r>
      <w:r w:rsidR="00292369">
        <w:rPr>
          <w:rFonts w:ascii="Calibri" w:eastAsia="Times New Roman" w:hAnsi="Calibri" w:cs="Calibri"/>
          <w:lang w:eastAsia="en-GB"/>
        </w:rPr>
        <w:t xml:space="preserve">fore used convenience samples. </w:t>
      </w:r>
    </w:p>
    <w:p w14:paraId="3194DBCB" w14:textId="5835F6FA" w:rsidR="00AA0417" w:rsidRDefault="00DD49F9" w:rsidP="00006056">
      <w:pPr>
        <w:spacing w:after="0"/>
        <w:rPr>
          <w:rFonts w:ascii="Calibri" w:eastAsia="Times New Roman" w:hAnsi="Calibri" w:cs="Calibri"/>
          <w:lang w:eastAsia="en-GB"/>
        </w:rPr>
      </w:pPr>
      <w:r>
        <w:rPr>
          <w:rFonts w:ascii="Calibri" w:eastAsia="Times New Roman" w:hAnsi="Calibri" w:cs="Calibri"/>
          <w:lang w:eastAsia="en-GB"/>
        </w:rPr>
        <w:t xml:space="preserve">With regard to health differences within gay and bisexual men, </w:t>
      </w:r>
      <w:r w:rsidR="00C21D58">
        <w:rPr>
          <w:rFonts w:ascii="Calibri" w:eastAsia="Times New Roman" w:hAnsi="Calibri" w:cs="Calibri"/>
          <w:lang w:eastAsia="en-GB"/>
        </w:rPr>
        <w:t xml:space="preserve">studies </w:t>
      </w:r>
      <w:r>
        <w:rPr>
          <w:rFonts w:ascii="Calibri" w:eastAsia="Times New Roman" w:hAnsi="Calibri" w:cs="Calibri"/>
          <w:lang w:eastAsia="en-GB"/>
        </w:rPr>
        <w:t>(</w:t>
      </w:r>
      <w:r w:rsidR="00C21D58">
        <w:rPr>
          <w:rFonts w:ascii="Calibri" w:eastAsia="Times New Roman" w:hAnsi="Calibri" w:cs="Calibri"/>
          <w:lang w:eastAsia="en-GB"/>
        </w:rPr>
        <w:t>in Australia and North</w:t>
      </w:r>
      <w:r w:rsidR="007B7007">
        <w:rPr>
          <w:rFonts w:ascii="Calibri" w:eastAsia="Times New Roman" w:hAnsi="Calibri" w:cs="Calibri"/>
          <w:lang w:eastAsia="en-GB"/>
        </w:rPr>
        <w:t xml:space="preserve"> America</w:t>
      </w:r>
      <w:r>
        <w:rPr>
          <w:rFonts w:ascii="Calibri" w:eastAsia="Times New Roman" w:hAnsi="Calibri" w:cs="Calibri"/>
          <w:lang w:eastAsia="en-GB"/>
        </w:rPr>
        <w:t>)</w:t>
      </w:r>
      <w:r w:rsidR="007B7007">
        <w:rPr>
          <w:rFonts w:ascii="Calibri" w:eastAsia="Times New Roman" w:hAnsi="Calibri" w:cs="Calibri"/>
          <w:lang w:eastAsia="en-GB"/>
        </w:rPr>
        <w:t xml:space="preserve"> have identified higher rates of smoking </w:t>
      </w:r>
      <w:r w:rsidR="001703EC">
        <w:rPr>
          <w:rFonts w:ascii="Calibri" w:eastAsia="Times New Roman" w:hAnsi="Calibri" w:cs="Calibri"/>
          <w:lang w:eastAsia="en-GB"/>
        </w:rPr>
        <w:t xml:space="preserve">among white </w:t>
      </w:r>
      <w:r w:rsidR="007B7007">
        <w:rPr>
          <w:rFonts w:ascii="Calibri" w:eastAsia="Times New Roman" w:hAnsi="Calibri" w:cs="Calibri"/>
          <w:lang w:eastAsia="en-GB"/>
        </w:rPr>
        <w:t>compared to</w:t>
      </w:r>
      <w:r w:rsidR="001703EC">
        <w:rPr>
          <w:rFonts w:ascii="Calibri" w:eastAsia="Times New Roman" w:hAnsi="Calibri" w:cs="Calibri"/>
          <w:lang w:eastAsia="en-GB"/>
        </w:rPr>
        <w:t xml:space="preserve"> ethnic minorit</w:t>
      </w:r>
      <w:r>
        <w:rPr>
          <w:rFonts w:ascii="Calibri" w:eastAsia="Times New Roman" w:hAnsi="Calibri" w:cs="Calibri"/>
          <w:lang w:eastAsia="en-GB"/>
        </w:rPr>
        <w:t>y men</w:t>
      </w:r>
      <w:r w:rsidR="00867A00">
        <w:rPr>
          <w:rFonts w:ascii="Calibri" w:eastAsia="Times New Roman" w:hAnsi="Calibri" w:cs="Calibri"/>
          <w:lang w:eastAsia="en-GB"/>
        </w:rPr>
        <w:t xml:space="preserve"> [</w:t>
      </w:r>
      <w:r w:rsidR="003B5437">
        <w:rPr>
          <w:rFonts w:ascii="Calibri" w:eastAsia="Times New Roman" w:hAnsi="Calibri" w:cs="Calibri"/>
          <w:lang w:eastAsia="en-GB"/>
        </w:rPr>
        <w:t>4</w:t>
      </w:r>
      <w:r w:rsidR="00867A00">
        <w:rPr>
          <w:rFonts w:ascii="Calibri" w:eastAsia="Times New Roman" w:hAnsi="Calibri" w:cs="Calibri"/>
          <w:lang w:eastAsia="en-GB"/>
        </w:rPr>
        <w:t>]</w:t>
      </w:r>
      <w:r w:rsidR="00DC7071">
        <w:rPr>
          <w:rFonts w:ascii="Calibri" w:eastAsia="Times New Roman" w:hAnsi="Calibri" w:cs="Calibri"/>
          <w:lang w:eastAsia="en-GB"/>
        </w:rPr>
        <w:t xml:space="preserve"> and</w:t>
      </w:r>
      <w:r w:rsidR="001703EC">
        <w:rPr>
          <w:rFonts w:ascii="Calibri" w:eastAsia="Times New Roman" w:hAnsi="Calibri" w:cs="Calibri"/>
          <w:lang w:eastAsia="en-GB"/>
        </w:rPr>
        <w:t xml:space="preserve"> higher rates of </w:t>
      </w:r>
      <w:r w:rsidR="00DC7071">
        <w:rPr>
          <w:rFonts w:ascii="Calibri" w:eastAsia="Times New Roman" w:hAnsi="Calibri" w:cs="Calibri"/>
          <w:lang w:eastAsia="en-GB"/>
        </w:rPr>
        <w:t>alcohol</w:t>
      </w:r>
      <w:r w:rsidR="001703EC">
        <w:rPr>
          <w:rFonts w:ascii="Calibri" w:eastAsia="Times New Roman" w:hAnsi="Calibri" w:cs="Calibri"/>
          <w:lang w:eastAsia="en-GB"/>
        </w:rPr>
        <w:t xml:space="preserve"> use among </w:t>
      </w:r>
      <w:r w:rsidR="00DC7071">
        <w:rPr>
          <w:rFonts w:ascii="Calibri" w:eastAsia="Times New Roman" w:hAnsi="Calibri" w:cs="Calibri"/>
          <w:lang w:eastAsia="en-GB"/>
        </w:rPr>
        <w:t>young compa</w:t>
      </w:r>
      <w:r w:rsidR="001703EC">
        <w:rPr>
          <w:rFonts w:ascii="Calibri" w:eastAsia="Times New Roman" w:hAnsi="Calibri" w:cs="Calibri"/>
          <w:lang w:eastAsia="en-GB"/>
        </w:rPr>
        <w:t>red to</w:t>
      </w:r>
      <w:r w:rsidR="00DC7071">
        <w:rPr>
          <w:rFonts w:ascii="Calibri" w:eastAsia="Times New Roman" w:hAnsi="Calibri" w:cs="Calibri"/>
          <w:lang w:eastAsia="en-GB"/>
        </w:rPr>
        <w:t xml:space="preserve"> older </w:t>
      </w:r>
      <w:r>
        <w:rPr>
          <w:rFonts w:ascii="Calibri" w:eastAsia="Times New Roman" w:hAnsi="Calibri" w:cs="Calibri"/>
          <w:lang w:eastAsia="en-GB"/>
        </w:rPr>
        <w:t xml:space="preserve">men </w:t>
      </w:r>
      <w:r w:rsidR="00867A00">
        <w:rPr>
          <w:rFonts w:ascii="Calibri" w:eastAsia="Times New Roman" w:hAnsi="Calibri" w:cs="Calibri"/>
          <w:lang w:eastAsia="en-GB"/>
        </w:rPr>
        <w:t>[</w:t>
      </w:r>
      <w:r w:rsidR="003B5437">
        <w:rPr>
          <w:rFonts w:ascii="Calibri" w:eastAsia="Times New Roman" w:hAnsi="Calibri" w:cs="Calibri"/>
          <w:lang w:eastAsia="en-GB"/>
        </w:rPr>
        <w:t>5</w:t>
      </w:r>
      <w:r w:rsidR="00867A00">
        <w:rPr>
          <w:rFonts w:ascii="Calibri" w:eastAsia="Times New Roman" w:hAnsi="Calibri" w:cs="Calibri"/>
          <w:lang w:eastAsia="en-GB"/>
        </w:rPr>
        <w:t>]</w:t>
      </w:r>
      <w:r w:rsidR="00DC7071">
        <w:rPr>
          <w:rFonts w:ascii="Calibri" w:eastAsia="Times New Roman" w:hAnsi="Calibri" w:cs="Calibri"/>
          <w:lang w:eastAsia="en-GB"/>
        </w:rPr>
        <w:t xml:space="preserve">. </w:t>
      </w:r>
      <w:r w:rsidR="00C21D58">
        <w:rPr>
          <w:rFonts w:ascii="Calibri" w:eastAsia="Times New Roman" w:hAnsi="Calibri" w:cs="Calibri"/>
          <w:lang w:eastAsia="en-GB"/>
        </w:rPr>
        <w:t>However, to date, there has been no published data from the UK that examine</w:t>
      </w:r>
      <w:r w:rsidR="00867A00">
        <w:rPr>
          <w:rFonts w:ascii="Calibri" w:eastAsia="Times New Roman" w:hAnsi="Calibri" w:cs="Calibri"/>
          <w:lang w:eastAsia="en-GB"/>
        </w:rPr>
        <w:t>s</w:t>
      </w:r>
      <w:r w:rsidR="00C21D58">
        <w:rPr>
          <w:rFonts w:ascii="Calibri" w:eastAsia="Times New Roman" w:hAnsi="Calibri" w:cs="Calibri"/>
          <w:lang w:eastAsia="en-GB"/>
        </w:rPr>
        <w:t xml:space="preserve"> diversity in health related behaviour among male sexual minorities beyond </w:t>
      </w:r>
      <w:r>
        <w:rPr>
          <w:rFonts w:ascii="Calibri" w:eastAsia="Times New Roman" w:hAnsi="Calibri" w:cs="Calibri"/>
          <w:lang w:eastAsia="en-GB"/>
        </w:rPr>
        <w:t xml:space="preserve">those </w:t>
      </w:r>
      <w:r w:rsidR="00C21D58">
        <w:rPr>
          <w:rFonts w:ascii="Calibri" w:eastAsia="Times New Roman" w:hAnsi="Calibri" w:cs="Calibri"/>
          <w:lang w:eastAsia="en-GB"/>
        </w:rPr>
        <w:t>which focuses on HIV</w:t>
      </w:r>
      <w:r>
        <w:rPr>
          <w:rFonts w:ascii="Calibri" w:eastAsia="Times New Roman" w:hAnsi="Calibri" w:cs="Calibri"/>
          <w:lang w:eastAsia="en-GB"/>
        </w:rPr>
        <w:t>/STI</w:t>
      </w:r>
      <w:r w:rsidR="00C21D58">
        <w:rPr>
          <w:rFonts w:ascii="Calibri" w:eastAsia="Times New Roman" w:hAnsi="Calibri" w:cs="Calibri"/>
          <w:lang w:eastAsia="en-GB"/>
        </w:rPr>
        <w:t xml:space="preserve"> transmission behaviour. </w:t>
      </w:r>
    </w:p>
    <w:p w14:paraId="78122D87" w14:textId="65EAF110" w:rsidR="002F5628" w:rsidRPr="002F5628" w:rsidRDefault="002F5628" w:rsidP="00AA0417">
      <w:pPr>
        <w:rPr>
          <w:lang w:eastAsia="en-GB"/>
        </w:rPr>
      </w:pPr>
      <w:r w:rsidRPr="002F5628">
        <w:rPr>
          <w:lang w:eastAsia="en-GB"/>
        </w:rPr>
        <w:t>The aim of the current analysis is to describe variation in health</w:t>
      </w:r>
      <w:r w:rsidR="00005531">
        <w:rPr>
          <w:lang w:eastAsia="en-GB"/>
        </w:rPr>
        <w:t xml:space="preserve"> behaviours and indicators of physical health among</w:t>
      </w:r>
      <w:r w:rsidR="00E21323">
        <w:rPr>
          <w:lang w:eastAsia="en-GB"/>
        </w:rPr>
        <w:t xml:space="preserve"> </w:t>
      </w:r>
      <w:r w:rsidRPr="002F5628">
        <w:rPr>
          <w:lang w:eastAsia="en-GB"/>
        </w:rPr>
        <w:t xml:space="preserve">a large (N=5,799) community-recruited sample of </w:t>
      </w:r>
      <w:r w:rsidR="00DD49F9">
        <w:rPr>
          <w:lang w:eastAsia="en-GB"/>
        </w:rPr>
        <w:t>gay and bisexual</w:t>
      </w:r>
      <w:r w:rsidR="00DD49F9" w:rsidRPr="002F5628">
        <w:rPr>
          <w:lang w:eastAsia="en-GB"/>
        </w:rPr>
        <w:t xml:space="preserve"> </w:t>
      </w:r>
      <w:r w:rsidRPr="002F5628">
        <w:rPr>
          <w:lang w:eastAsia="en-GB"/>
        </w:rPr>
        <w:t>living</w:t>
      </w:r>
      <w:r w:rsidR="00292369">
        <w:rPr>
          <w:lang w:eastAsia="en-GB"/>
        </w:rPr>
        <w:t xml:space="preserve"> in England</w:t>
      </w:r>
      <w:r w:rsidR="003F1730">
        <w:rPr>
          <w:lang w:eastAsia="en-GB"/>
        </w:rPr>
        <w:t xml:space="preserve">. </w:t>
      </w:r>
      <w:r w:rsidR="00292369">
        <w:rPr>
          <w:lang w:eastAsia="en-GB"/>
        </w:rPr>
        <w:t xml:space="preserve">We </w:t>
      </w:r>
      <w:r w:rsidR="00E21323">
        <w:rPr>
          <w:lang w:eastAsia="en-GB"/>
        </w:rPr>
        <w:t>consider</w:t>
      </w:r>
      <w:r w:rsidRPr="002F5628">
        <w:rPr>
          <w:lang w:eastAsia="en-GB"/>
        </w:rPr>
        <w:t xml:space="preserve"> five indicators (overweightness,</w:t>
      </w:r>
      <w:r w:rsidR="000D3A91">
        <w:rPr>
          <w:lang w:eastAsia="en-GB"/>
        </w:rPr>
        <w:t xml:space="preserve"> low </w:t>
      </w:r>
      <w:r w:rsidRPr="002F5628">
        <w:rPr>
          <w:lang w:eastAsia="en-GB"/>
        </w:rPr>
        <w:t xml:space="preserve">exercise, </w:t>
      </w:r>
      <w:r w:rsidR="002A6F00">
        <w:rPr>
          <w:lang w:eastAsia="en-GB"/>
        </w:rPr>
        <w:t>frequent</w:t>
      </w:r>
      <w:r w:rsidR="002A6F00" w:rsidRPr="002F5628">
        <w:rPr>
          <w:lang w:eastAsia="en-GB"/>
        </w:rPr>
        <w:t xml:space="preserve"> </w:t>
      </w:r>
      <w:r w:rsidRPr="002F5628">
        <w:rPr>
          <w:lang w:eastAsia="en-GB"/>
        </w:rPr>
        <w:t xml:space="preserve">alcohol consumption, </w:t>
      </w:r>
      <w:r w:rsidR="00FF5F6F" w:rsidRPr="002F5628">
        <w:rPr>
          <w:lang w:eastAsia="en-GB"/>
        </w:rPr>
        <w:t xml:space="preserve">smoking </w:t>
      </w:r>
      <w:r w:rsidRPr="002F5628">
        <w:rPr>
          <w:lang w:eastAsia="en-GB"/>
        </w:rPr>
        <w:t xml:space="preserve">tobacco and illicit drug use) across seven demographics (age, ethnicity, educational attainment, </w:t>
      </w:r>
      <w:proofErr w:type="spellStart"/>
      <w:r w:rsidR="00155854" w:rsidRPr="002F5628">
        <w:rPr>
          <w:lang w:eastAsia="en-GB"/>
        </w:rPr>
        <w:t>migrancy</w:t>
      </w:r>
      <w:proofErr w:type="spellEnd"/>
      <w:r w:rsidRPr="002F5628">
        <w:rPr>
          <w:lang w:eastAsia="en-GB"/>
        </w:rPr>
        <w:t>, household</w:t>
      </w:r>
      <w:r w:rsidR="00155854">
        <w:rPr>
          <w:lang w:eastAsia="en-GB"/>
        </w:rPr>
        <w:t>, income and living in London</w:t>
      </w:r>
      <w:r w:rsidRPr="002F5628">
        <w:rPr>
          <w:lang w:eastAsia="en-GB"/>
        </w:rPr>
        <w:t xml:space="preserve">). </w:t>
      </w:r>
    </w:p>
    <w:p w14:paraId="6C698FF9" w14:textId="77777777" w:rsidR="002F5628" w:rsidRPr="002F5628" w:rsidRDefault="002F5628" w:rsidP="00006056">
      <w:pPr>
        <w:spacing w:after="0"/>
        <w:rPr>
          <w:rFonts w:ascii="Calibri" w:eastAsia="Times New Roman" w:hAnsi="Calibri" w:cs="Calibri"/>
          <w:lang w:eastAsia="en-GB"/>
        </w:rPr>
      </w:pPr>
    </w:p>
    <w:p w14:paraId="28C52E15" w14:textId="57630BDB" w:rsidR="002F5628" w:rsidRPr="002F5628" w:rsidRDefault="00C62E7B" w:rsidP="00006056">
      <w:pPr>
        <w:widowControl w:val="0"/>
        <w:spacing w:after="0"/>
        <w:rPr>
          <w:rFonts w:ascii="Calibri" w:eastAsia="Arial" w:hAnsi="Calibri" w:cs="Calibri"/>
          <w:b/>
          <w:color w:val="000000"/>
          <w:lang w:eastAsia="en-GB"/>
        </w:rPr>
      </w:pPr>
      <w:r w:rsidRPr="002F5628">
        <w:rPr>
          <w:rFonts w:ascii="Calibri" w:eastAsia="Arial" w:hAnsi="Calibri" w:cs="Calibri"/>
          <w:b/>
          <w:color w:val="000000"/>
          <w:lang w:eastAsia="en-GB"/>
        </w:rPr>
        <w:t>METHODS</w:t>
      </w:r>
    </w:p>
    <w:p w14:paraId="2F85A163" w14:textId="297B10BE" w:rsidR="002F5628" w:rsidRDefault="00FF5F6F" w:rsidP="00006056">
      <w:pPr>
        <w:spacing w:after="0"/>
        <w:rPr>
          <w:rFonts w:ascii="Calibri" w:eastAsia="Times New Roman" w:hAnsi="Calibri" w:cs="Calibri"/>
          <w:lang w:eastAsia="en-GB"/>
        </w:rPr>
      </w:pPr>
      <w:r>
        <w:rPr>
          <w:rFonts w:ascii="Calibri" w:eastAsia="Times New Roman" w:hAnsi="Calibri" w:cs="Calibri"/>
          <w:lang w:eastAsia="en-GB"/>
        </w:rPr>
        <w:t xml:space="preserve">The </w:t>
      </w:r>
      <w:r w:rsidR="002F5628" w:rsidRPr="002F5628">
        <w:rPr>
          <w:rFonts w:ascii="Calibri" w:eastAsia="Times New Roman" w:hAnsi="Calibri" w:cs="Calibri"/>
          <w:lang w:eastAsia="en-GB"/>
        </w:rPr>
        <w:t>Stonewall Gay and Bisexual Men’s Health Survey 2011 was</w:t>
      </w:r>
      <w:r>
        <w:rPr>
          <w:rFonts w:ascii="Calibri" w:eastAsia="Times New Roman" w:hAnsi="Calibri" w:cs="Calibri"/>
          <w:lang w:eastAsia="en-GB"/>
        </w:rPr>
        <w:t xml:space="preserve"> an</w:t>
      </w:r>
      <w:r w:rsidR="002F5628" w:rsidRPr="002F5628">
        <w:rPr>
          <w:rFonts w:ascii="Calibri" w:eastAsia="Times New Roman" w:hAnsi="Calibri" w:cs="Calibri"/>
          <w:lang w:eastAsia="en-GB"/>
        </w:rPr>
        <w:t xml:space="preserve"> </w:t>
      </w:r>
      <w:r>
        <w:rPr>
          <w:rFonts w:ascii="Calibri" w:eastAsia="Times New Roman" w:hAnsi="Calibri" w:cs="Calibri"/>
          <w:lang w:eastAsia="en-GB"/>
        </w:rPr>
        <w:t>online</w:t>
      </w:r>
      <w:r w:rsidR="002F5628" w:rsidRPr="002F5628">
        <w:rPr>
          <w:rFonts w:ascii="Calibri" w:eastAsia="Times New Roman" w:hAnsi="Calibri" w:cs="Calibri"/>
          <w:lang w:eastAsia="en-GB"/>
        </w:rPr>
        <w:t xml:space="preserve">, anonymous, self-completed survey. </w:t>
      </w:r>
      <w:r>
        <w:rPr>
          <w:rFonts w:ascii="Calibri" w:eastAsia="Times New Roman" w:hAnsi="Calibri" w:cs="Calibri"/>
          <w:lang w:eastAsia="en-GB"/>
        </w:rPr>
        <w:t>E</w:t>
      </w:r>
      <w:r w:rsidRPr="002F5628">
        <w:rPr>
          <w:rFonts w:ascii="Calibri" w:eastAsia="Times New Roman" w:hAnsi="Calibri" w:cs="Calibri"/>
          <w:lang w:eastAsia="en-GB"/>
        </w:rPr>
        <w:t>ligibi</w:t>
      </w:r>
      <w:r>
        <w:rPr>
          <w:rFonts w:ascii="Calibri" w:eastAsia="Times New Roman" w:hAnsi="Calibri" w:cs="Calibri"/>
          <w:lang w:eastAsia="en-GB"/>
        </w:rPr>
        <w:t xml:space="preserve">lity was </w:t>
      </w:r>
      <w:r w:rsidR="002F5628" w:rsidRPr="002F5628">
        <w:rPr>
          <w:rFonts w:ascii="Calibri" w:eastAsia="Times New Roman" w:hAnsi="Calibri" w:cs="Calibri"/>
          <w:lang w:eastAsia="en-GB"/>
        </w:rPr>
        <w:t>identify</w:t>
      </w:r>
      <w:r>
        <w:rPr>
          <w:rFonts w:ascii="Calibri" w:eastAsia="Times New Roman" w:hAnsi="Calibri" w:cs="Calibri"/>
          <w:lang w:eastAsia="en-GB"/>
        </w:rPr>
        <w:t>ing</w:t>
      </w:r>
      <w:r w:rsidR="002F5628" w:rsidRPr="002F5628">
        <w:rPr>
          <w:rFonts w:ascii="Calibri" w:eastAsia="Times New Roman" w:hAnsi="Calibri" w:cs="Calibri"/>
          <w:lang w:eastAsia="en-GB"/>
        </w:rPr>
        <w:t xml:space="preserve"> as gay or bisexual (or us</w:t>
      </w:r>
      <w:r>
        <w:rPr>
          <w:rFonts w:ascii="Calibri" w:eastAsia="Times New Roman" w:hAnsi="Calibri" w:cs="Calibri"/>
          <w:lang w:eastAsia="en-GB"/>
        </w:rPr>
        <w:t>ing</w:t>
      </w:r>
      <w:r w:rsidR="002F5628" w:rsidRPr="002F5628">
        <w:rPr>
          <w:rFonts w:ascii="Calibri" w:eastAsia="Times New Roman" w:hAnsi="Calibri" w:cs="Calibri"/>
          <w:lang w:eastAsia="en-GB"/>
        </w:rPr>
        <w:t xml:space="preserve"> another term </w:t>
      </w:r>
      <w:r>
        <w:rPr>
          <w:rFonts w:ascii="Calibri" w:eastAsia="Times New Roman" w:hAnsi="Calibri" w:cs="Calibri"/>
          <w:lang w:eastAsia="en-GB"/>
        </w:rPr>
        <w:t xml:space="preserve">indicating </w:t>
      </w:r>
      <w:r w:rsidR="002F5628" w:rsidRPr="002F5628">
        <w:rPr>
          <w:rFonts w:ascii="Calibri" w:eastAsia="Times New Roman" w:hAnsi="Calibri" w:cs="Calibri"/>
          <w:lang w:eastAsia="en-GB"/>
        </w:rPr>
        <w:t>same-sex attraction), aged 16 years or over and liv</w:t>
      </w:r>
      <w:r>
        <w:rPr>
          <w:rFonts w:ascii="Calibri" w:eastAsia="Times New Roman" w:hAnsi="Calibri" w:cs="Calibri"/>
          <w:lang w:eastAsia="en-GB"/>
        </w:rPr>
        <w:t xml:space="preserve">ing </w:t>
      </w:r>
      <w:r w:rsidR="002F5628" w:rsidRPr="002F5628">
        <w:rPr>
          <w:rFonts w:ascii="Calibri" w:eastAsia="Times New Roman" w:hAnsi="Calibri" w:cs="Calibri"/>
          <w:lang w:eastAsia="en-GB"/>
        </w:rPr>
        <w:t xml:space="preserve">in </w:t>
      </w:r>
      <w:r>
        <w:rPr>
          <w:rFonts w:ascii="Calibri" w:eastAsia="Times New Roman" w:hAnsi="Calibri" w:cs="Calibri"/>
          <w:lang w:eastAsia="en-GB"/>
        </w:rPr>
        <w:t>England</w:t>
      </w:r>
      <w:r w:rsidR="002F5628" w:rsidRPr="002F5628">
        <w:rPr>
          <w:rFonts w:ascii="Calibri" w:eastAsia="Times New Roman" w:hAnsi="Calibri" w:cs="Calibri"/>
          <w:lang w:eastAsia="en-GB"/>
        </w:rPr>
        <w:t xml:space="preserve">. </w:t>
      </w:r>
    </w:p>
    <w:p w14:paraId="25C6AB71" w14:textId="77777777" w:rsidR="00C019E0" w:rsidRDefault="00C019E0" w:rsidP="00006056">
      <w:pPr>
        <w:spacing w:after="0"/>
        <w:rPr>
          <w:rFonts w:ascii="Calibri" w:eastAsia="Times New Roman" w:hAnsi="Calibri" w:cs="Calibri"/>
          <w:lang w:eastAsia="en-GB"/>
        </w:rPr>
      </w:pPr>
    </w:p>
    <w:p w14:paraId="0D7F6426" w14:textId="77777777" w:rsidR="008C6EC2" w:rsidRDefault="008C6EC2" w:rsidP="00006056">
      <w:pPr>
        <w:spacing w:after="0"/>
        <w:rPr>
          <w:rFonts w:ascii="Calibri" w:eastAsia="Times New Roman" w:hAnsi="Calibri" w:cs="Calibri"/>
          <w:lang w:eastAsia="en-GB"/>
        </w:rPr>
      </w:pPr>
    </w:p>
    <w:p w14:paraId="348D30ED" w14:textId="49A9878A" w:rsidR="002F5628" w:rsidRPr="00C019E0" w:rsidRDefault="00C019E0" w:rsidP="00006056">
      <w:pPr>
        <w:spacing w:after="0"/>
        <w:rPr>
          <w:rFonts w:ascii="Calibri" w:eastAsia="Times New Roman" w:hAnsi="Calibri" w:cs="Calibri"/>
          <w:i/>
          <w:lang w:eastAsia="en-GB"/>
        </w:rPr>
      </w:pPr>
      <w:r>
        <w:rPr>
          <w:rFonts w:ascii="Calibri" w:eastAsia="Times New Roman" w:hAnsi="Calibri" w:cs="Calibri"/>
          <w:i/>
          <w:lang w:eastAsia="en-GB"/>
        </w:rPr>
        <w:lastRenderedPageBreak/>
        <w:t>Recruitment</w:t>
      </w:r>
    </w:p>
    <w:p w14:paraId="54E9566A" w14:textId="2FFC66A4" w:rsidR="00967D94" w:rsidRPr="002D5EF0" w:rsidRDefault="00AE10D2" w:rsidP="004A2B2F">
      <w:pPr>
        <w:spacing w:after="0"/>
      </w:pPr>
      <w:r>
        <w:t xml:space="preserve">We attempted to reduce bias through </w:t>
      </w:r>
      <w:r w:rsidRPr="002D5EF0">
        <w:t>snowball sampling with multiple en</w:t>
      </w:r>
      <w:r>
        <w:t xml:space="preserve">try points into the population, drawing </w:t>
      </w:r>
      <w:r w:rsidRPr="002D5EF0">
        <w:t xml:space="preserve">upon </w:t>
      </w:r>
      <w:r>
        <w:t>the</w:t>
      </w:r>
      <w:r w:rsidRPr="002D5EF0">
        <w:t xml:space="preserve"> </w:t>
      </w:r>
      <w:r>
        <w:t xml:space="preserve">communications </w:t>
      </w:r>
      <w:r w:rsidRPr="002D5EF0">
        <w:t xml:space="preserve">networks of </w:t>
      </w:r>
      <w:r w:rsidRPr="00FF5F6F">
        <w:t>Stonewall</w:t>
      </w:r>
      <w:r>
        <w:t xml:space="preserve">, a sexual minority rights charity. </w:t>
      </w:r>
      <w:r w:rsidRPr="002F5628">
        <w:rPr>
          <w:rFonts w:ascii="Calibri" w:eastAsia="Times New Roman" w:hAnsi="Calibri" w:cs="Calibri"/>
          <w:lang w:eastAsia="en-GB"/>
        </w:rPr>
        <w:t xml:space="preserve">The survey was promoted to </w:t>
      </w:r>
      <w:r>
        <w:rPr>
          <w:rFonts w:ascii="Calibri" w:eastAsia="Times New Roman" w:hAnsi="Calibri" w:cs="Calibri"/>
          <w:lang w:eastAsia="en-GB"/>
        </w:rPr>
        <w:t xml:space="preserve">approximately </w:t>
      </w:r>
      <w:r w:rsidRPr="002F5628">
        <w:rPr>
          <w:rFonts w:ascii="Calibri" w:eastAsia="Times New Roman" w:hAnsi="Calibri" w:cs="Calibri"/>
          <w:lang w:eastAsia="en-GB"/>
        </w:rPr>
        <w:t xml:space="preserve">500 employers who were members of </w:t>
      </w:r>
      <w:proofErr w:type="spellStart"/>
      <w:r w:rsidRPr="002F5628">
        <w:rPr>
          <w:rFonts w:ascii="Calibri" w:eastAsia="Times New Roman" w:hAnsi="Calibri" w:cs="Calibri"/>
          <w:lang w:eastAsia="en-GB"/>
        </w:rPr>
        <w:t>Stonewall’s</w:t>
      </w:r>
      <w:proofErr w:type="spellEnd"/>
      <w:r w:rsidRPr="002F5628">
        <w:rPr>
          <w:rFonts w:ascii="Calibri" w:eastAsia="Times New Roman" w:hAnsi="Calibri" w:cs="Calibri"/>
          <w:lang w:eastAsia="en-GB"/>
        </w:rPr>
        <w:t xml:space="preserve"> Diversity Champions programme, between them employ</w:t>
      </w:r>
      <w:r>
        <w:rPr>
          <w:rFonts w:ascii="Calibri" w:eastAsia="Times New Roman" w:hAnsi="Calibri" w:cs="Calibri"/>
          <w:lang w:eastAsia="en-GB"/>
        </w:rPr>
        <w:t>ing around</w:t>
      </w:r>
      <w:r w:rsidRPr="002F5628">
        <w:rPr>
          <w:rFonts w:ascii="Calibri" w:eastAsia="Times New Roman" w:hAnsi="Calibri" w:cs="Calibri"/>
          <w:lang w:eastAsia="en-GB"/>
        </w:rPr>
        <w:t xml:space="preserve"> 5 million people across the public, private and third sectors</w:t>
      </w:r>
      <w:r>
        <w:rPr>
          <w:rFonts w:ascii="Calibri" w:eastAsia="Times New Roman" w:hAnsi="Calibri" w:cs="Calibri"/>
          <w:lang w:eastAsia="en-GB"/>
        </w:rPr>
        <w:t>.</w:t>
      </w:r>
      <w:r w:rsidRPr="002F5628">
        <w:rPr>
          <w:rFonts w:ascii="Calibri" w:eastAsia="Times New Roman" w:hAnsi="Calibri" w:cs="Calibri"/>
          <w:lang w:eastAsia="en-GB"/>
        </w:rPr>
        <w:t xml:space="preserve"> </w:t>
      </w:r>
      <w:r w:rsidR="002F5628" w:rsidRPr="002F5628">
        <w:rPr>
          <w:rFonts w:ascii="Calibri" w:eastAsia="Times New Roman" w:hAnsi="Calibri" w:cs="Calibri"/>
          <w:lang w:eastAsia="en-GB"/>
        </w:rPr>
        <w:t>Employe</w:t>
      </w:r>
      <w:r w:rsidR="00FF5F6F">
        <w:rPr>
          <w:rFonts w:ascii="Calibri" w:eastAsia="Times New Roman" w:hAnsi="Calibri" w:cs="Calibri"/>
          <w:lang w:eastAsia="en-GB"/>
        </w:rPr>
        <w:t xml:space="preserve">rs in turn promoted the survey </w:t>
      </w:r>
      <w:r w:rsidR="002F5628" w:rsidRPr="002F5628">
        <w:rPr>
          <w:rFonts w:ascii="Calibri" w:eastAsia="Times New Roman" w:hAnsi="Calibri" w:cs="Calibri"/>
          <w:lang w:eastAsia="en-GB"/>
        </w:rPr>
        <w:t>to their employees</w:t>
      </w:r>
      <w:r w:rsidR="00FF5F6F">
        <w:rPr>
          <w:rFonts w:ascii="Calibri" w:eastAsia="Times New Roman" w:hAnsi="Calibri" w:cs="Calibri"/>
          <w:lang w:eastAsia="en-GB"/>
        </w:rPr>
        <w:t xml:space="preserve">, networks and </w:t>
      </w:r>
      <w:r w:rsidR="002F5628" w:rsidRPr="002F5628">
        <w:rPr>
          <w:rFonts w:ascii="Calibri" w:eastAsia="Times New Roman" w:hAnsi="Calibri" w:cs="Calibri"/>
          <w:lang w:eastAsia="en-GB"/>
        </w:rPr>
        <w:t>service-users/clients</w:t>
      </w:r>
      <w:r w:rsidR="004A2B2F">
        <w:rPr>
          <w:rFonts w:ascii="Calibri" w:eastAsia="Times New Roman" w:hAnsi="Calibri" w:cs="Calibri"/>
          <w:lang w:eastAsia="en-GB"/>
        </w:rPr>
        <w:t>. R</w:t>
      </w:r>
      <w:r w:rsidR="002F5628" w:rsidRPr="002F5628">
        <w:rPr>
          <w:rFonts w:ascii="Calibri" w:eastAsia="Times New Roman" w:hAnsi="Calibri" w:cs="Calibri"/>
          <w:lang w:eastAsia="en-GB"/>
        </w:rPr>
        <w:t xml:space="preserve">equests to participate and to promote the survey </w:t>
      </w:r>
      <w:r w:rsidR="004A2B2F">
        <w:rPr>
          <w:rFonts w:ascii="Calibri" w:eastAsia="Times New Roman" w:hAnsi="Calibri" w:cs="Calibri"/>
          <w:lang w:eastAsia="en-GB"/>
        </w:rPr>
        <w:t xml:space="preserve">were </w:t>
      </w:r>
      <w:r w:rsidR="002F5628" w:rsidRPr="002F5628">
        <w:rPr>
          <w:rFonts w:ascii="Calibri" w:eastAsia="Times New Roman" w:hAnsi="Calibri" w:cs="Calibri"/>
          <w:lang w:eastAsia="en-GB"/>
        </w:rPr>
        <w:t xml:space="preserve">sent to email lists of gay community leaders and professional networks. </w:t>
      </w:r>
      <w:r w:rsidR="004A2B2F">
        <w:rPr>
          <w:rFonts w:ascii="Calibri" w:eastAsia="Times New Roman" w:hAnsi="Calibri" w:cs="Calibri"/>
          <w:lang w:eastAsia="en-GB"/>
        </w:rPr>
        <w:t>B</w:t>
      </w:r>
      <w:r w:rsidR="002F5628" w:rsidRPr="002F5628">
        <w:rPr>
          <w:rFonts w:ascii="Calibri" w:eastAsia="Times New Roman" w:hAnsi="Calibri" w:cs="Calibri"/>
          <w:lang w:eastAsia="en-GB"/>
        </w:rPr>
        <w:t xml:space="preserve">etween March and </w:t>
      </w:r>
      <w:r w:rsidR="00C84812">
        <w:rPr>
          <w:rFonts w:ascii="Calibri" w:eastAsia="Times New Roman" w:hAnsi="Calibri" w:cs="Calibri"/>
          <w:lang w:eastAsia="en-GB"/>
        </w:rPr>
        <w:t>October</w:t>
      </w:r>
      <w:r w:rsidR="002F5628" w:rsidRPr="002F5628">
        <w:rPr>
          <w:rFonts w:ascii="Calibri" w:eastAsia="Times New Roman" w:hAnsi="Calibri" w:cs="Calibri"/>
          <w:lang w:eastAsia="en-GB"/>
        </w:rPr>
        <w:t xml:space="preserve"> 2011 </w:t>
      </w:r>
      <w:r w:rsidR="004A2B2F">
        <w:rPr>
          <w:rFonts w:ascii="Calibri" w:eastAsia="Times New Roman" w:hAnsi="Calibri" w:cs="Calibri"/>
          <w:lang w:eastAsia="en-GB"/>
        </w:rPr>
        <w:t xml:space="preserve">the survey was repeatedly promoted </w:t>
      </w:r>
      <w:r w:rsidR="00733A0F">
        <w:rPr>
          <w:rFonts w:ascii="Calibri" w:eastAsia="Times New Roman" w:hAnsi="Calibri" w:cs="Calibri"/>
          <w:lang w:eastAsia="en-GB"/>
        </w:rPr>
        <w:t xml:space="preserve">by </w:t>
      </w:r>
      <w:r w:rsidR="002F5628" w:rsidRPr="002F5628">
        <w:rPr>
          <w:rFonts w:ascii="Calibri" w:eastAsia="Times New Roman" w:hAnsi="Calibri" w:cs="Calibri"/>
          <w:lang w:eastAsia="en-GB"/>
        </w:rPr>
        <w:t>Stonewall</w:t>
      </w:r>
      <w:r w:rsidR="00733A0F">
        <w:rPr>
          <w:rFonts w:ascii="Calibri" w:eastAsia="Times New Roman" w:hAnsi="Calibri" w:cs="Calibri"/>
          <w:lang w:eastAsia="en-GB"/>
        </w:rPr>
        <w:t xml:space="preserve"> thr</w:t>
      </w:r>
      <w:r w:rsidR="00137505">
        <w:rPr>
          <w:rFonts w:ascii="Calibri" w:eastAsia="Times New Roman" w:hAnsi="Calibri" w:cs="Calibri"/>
          <w:lang w:eastAsia="en-GB"/>
        </w:rPr>
        <w:t>o</w:t>
      </w:r>
      <w:r w:rsidR="00733A0F">
        <w:rPr>
          <w:rFonts w:ascii="Calibri" w:eastAsia="Times New Roman" w:hAnsi="Calibri" w:cs="Calibri"/>
          <w:lang w:eastAsia="en-GB"/>
        </w:rPr>
        <w:t>ugh</w:t>
      </w:r>
      <w:r w:rsidR="002F5628" w:rsidRPr="002F5628">
        <w:rPr>
          <w:rFonts w:ascii="Calibri" w:eastAsia="Times New Roman" w:hAnsi="Calibri" w:cs="Calibri"/>
          <w:lang w:eastAsia="en-GB"/>
        </w:rPr>
        <w:t xml:space="preserve"> social media – </w:t>
      </w:r>
      <w:r w:rsidR="002F5628" w:rsidRPr="002F5628">
        <w:rPr>
          <w:rFonts w:ascii="Calibri" w:eastAsia="Times New Roman" w:hAnsi="Calibri" w:cs="Calibri"/>
          <w:i/>
          <w:lang w:eastAsia="en-GB"/>
        </w:rPr>
        <w:t>Facebook</w:t>
      </w:r>
      <w:r w:rsidR="004A2B2F">
        <w:rPr>
          <w:rFonts w:ascii="Calibri" w:eastAsia="Times New Roman" w:hAnsi="Calibri" w:cs="Calibri"/>
          <w:i/>
          <w:lang w:eastAsia="en-GB"/>
        </w:rPr>
        <w:t xml:space="preserve"> </w:t>
      </w:r>
      <w:r w:rsidR="004A2B2F">
        <w:rPr>
          <w:rFonts w:ascii="Calibri" w:eastAsia="Times New Roman" w:hAnsi="Calibri" w:cs="Calibri"/>
          <w:lang w:eastAsia="en-GB"/>
        </w:rPr>
        <w:t>(a</w:t>
      </w:r>
      <w:r w:rsidR="002F5628" w:rsidRPr="002F5628">
        <w:rPr>
          <w:rFonts w:ascii="Calibri" w:eastAsia="Times New Roman" w:hAnsi="Calibri" w:cs="Calibri"/>
          <w:lang w:eastAsia="en-GB"/>
        </w:rPr>
        <w:t>pproximately 20,000 friends</w:t>
      </w:r>
      <w:r w:rsidR="004A2B2F">
        <w:rPr>
          <w:rFonts w:ascii="Calibri" w:eastAsia="Times New Roman" w:hAnsi="Calibri" w:cs="Calibri"/>
          <w:lang w:eastAsia="en-GB"/>
        </w:rPr>
        <w:t>)</w:t>
      </w:r>
      <w:r w:rsidR="002F5628" w:rsidRPr="002F5628">
        <w:rPr>
          <w:rFonts w:ascii="Calibri" w:eastAsia="Times New Roman" w:hAnsi="Calibri" w:cs="Calibri"/>
          <w:lang w:eastAsia="en-GB"/>
        </w:rPr>
        <w:t xml:space="preserve"> and </w:t>
      </w:r>
      <w:r w:rsidR="002F5628" w:rsidRPr="002F5628">
        <w:rPr>
          <w:rFonts w:ascii="Calibri" w:eastAsia="Times New Roman" w:hAnsi="Calibri" w:cs="Calibri"/>
          <w:i/>
          <w:lang w:eastAsia="en-GB"/>
        </w:rPr>
        <w:t>Twitter</w:t>
      </w:r>
      <w:r w:rsidR="002F5628" w:rsidRPr="002F5628">
        <w:rPr>
          <w:rFonts w:ascii="Calibri" w:eastAsia="Times New Roman" w:hAnsi="Calibri" w:cs="Calibri"/>
          <w:lang w:eastAsia="en-GB"/>
        </w:rPr>
        <w:t xml:space="preserve"> </w:t>
      </w:r>
      <w:r w:rsidR="004A2B2F">
        <w:rPr>
          <w:rFonts w:ascii="Calibri" w:eastAsia="Times New Roman" w:hAnsi="Calibri" w:cs="Calibri"/>
          <w:lang w:eastAsia="en-GB"/>
        </w:rPr>
        <w:t>(</w:t>
      </w:r>
      <w:r w:rsidR="002F5628" w:rsidRPr="002F5628">
        <w:rPr>
          <w:rFonts w:ascii="Calibri" w:eastAsia="Times New Roman" w:hAnsi="Calibri" w:cs="Calibri"/>
          <w:lang w:eastAsia="en-GB"/>
        </w:rPr>
        <w:t>approximately 10,000 followers</w:t>
      </w:r>
      <w:r w:rsidR="004A2B2F">
        <w:rPr>
          <w:rFonts w:ascii="Calibri" w:eastAsia="Times New Roman" w:hAnsi="Calibri" w:cs="Calibri"/>
          <w:lang w:eastAsia="en-GB"/>
        </w:rPr>
        <w:t>)</w:t>
      </w:r>
      <w:r w:rsidR="002F5628" w:rsidRPr="002F5628">
        <w:rPr>
          <w:rFonts w:ascii="Calibri" w:eastAsia="Times New Roman" w:hAnsi="Calibri" w:cs="Calibri"/>
          <w:lang w:eastAsia="en-GB"/>
        </w:rPr>
        <w:t xml:space="preserve">. </w:t>
      </w:r>
      <w:r w:rsidR="004A2B2F">
        <w:rPr>
          <w:rFonts w:ascii="Calibri" w:eastAsia="Times New Roman" w:hAnsi="Calibri" w:cs="Calibri"/>
          <w:lang w:eastAsia="en-GB"/>
        </w:rPr>
        <w:t xml:space="preserve">Several </w:t>
      </w:r>
      <w:r w:rsidR="002F5628" w:rsidRPr="002F5628">
        <w:rPr>
          <w:rFonts w:ascii="Calibri" w:eastAsia="Times New Roman" w:hAnsi="Calibri" w:cs="Calibri"/>
          <w:lang w:eastAsia="en-GB"/>
        </w:rPr>
        <w:t xml:space="preserve">high profile gay celebrities and large gay businesses tweeted and posted links. The survey was promoted to </w:t>
      </w:r>
      <w:proofErr w:type="spellStart"/>
      <w:r w:rsidR="002F5628" w:rsidRPr="002F5628">
        <w:rPr>
          <w:rFonts w:ascii="Calibri" w:eastAsia="Times New Roman" w:hAnsi="Calibri" w:cs="Calibri"/>
          <w:lang w:eastAsia="en-GB"/>
        </w:rPr>
        <w:t>Stonewall’s</w:t>
      </w:r>
      <w:proofErr w:type="spellEnd"/>
      <w:r w:rsidR="002F5628" w:rsidRPr="002F5628">
        <w:rPr>
          <w:rFonts w:ascii="Calibri" w:eastAsia="Times New Roman" w:hAnsi="Calibri" w:cs="Calibri"/>
          <w:lang w:eastAsia="en-GB"/>
        </w:rPr>
        <w:t xml:space="preserve"> education campaign contacts (approxim</w:t>
      </w:r>
      <w:r w:rsidR="004A2B2F">
        <w:rPr>
          <w:rFonts w:ascii="Calibri" w:eastAsia="Times New Roman" w:hAnsi="Calibri" w:cs="Calibri"/>
          <w:lang w:eastAsia="en-GB"/>
        </w:rPr>
        <w:t xml:space="preserve">ately 2,000 people), including </w:t>
      </w:r>
      <w:r w:rsidR="002F5628" w:rsidRPr="002F5628">
        <w:rPr>
          <w:rFonts w:ascii="Calibri" w:eastAsia="Times New Roman" w:hAnsi="Calibri" w:cs="Calibri"/>
          <w:lang w:eastAsia="en-GB"/>
        </w:rPr>
        <w:t xml:space="preserve">schools, universities and local authorities who in turn promoted </w:t>
      </w:r>
      <w:r w:rsidR="004A2B2F">
        <w:rPr>
          <w:rFonts w:ascii="Calibri" w:eastAsia="Times New Roman" w:hAnsi="Calibri" w:cs="Calibri"/>
          <w:lang w:eastAsia="en-GB"/>
        </w:rPr>
        <w:t xml:space="preserve">it </w:t>
      </w:r>
      <w:r w:rsidR="002F5628" w:rsidRPr="002F5628">
        <w:rPr>
          <w:rFonts w:ascii="Calibri" w:eastAsia="Times New Roman" w:hAnsi="Calibri" w:cs="Calibri"/>
          <w:lang w:eastAsia="en-GB"/>
        </w:rPr>
        <w:t>to their contacts, networks and mailing lists. Finally, a small amount of paid advertising was undertaken for a period of four weeks on an MSM news and dating website (Gaydar.co.uk).</w:t>
      </w:r>
      <w:r w:rsidR="004A2B2F">
        <w:rPr>
          <w:rFonts w:ascii="Calibri" w:eastAsia="Times New Roman" w:hAnsi="Calibri" w:cs="Calibri"/>
          <w:lang w:eastAsia="en-GB"/>
        </w:rPr>
        <w:t xml:space="preserve"> </w:t>
      </w:r>
    </w:p>
    <w:p w14:paraId="77939099" w14:textId="77777777" w:rsidR="002F5628" w:rsidRPr="002F5628" w:rsidRDefault="002F5628" w:rsidP="00006056">
      <w:pPr>
        <w:spacing w:after="0"/>
        <w:rPr>
          <w:rFonts w:ascii="Calibri" w:eastAsia="Times New Roman" w:hAnsi="Calibri" w:cs="Calibri"/>
          <w:lang w:eastAsia="en-GB"/>
        </w:rPr>
      </w:pPr>
    </w:p>
    <w:p w14:paraId="731F46C6" w14:textId="666402A7" w:rsidR="009E60EA" w:rsidRPr="00C019E0" w:rsidRDefault="00C019E0" w:rsidP="00006056">
      <w:pPr>
        <w:spacing w:after="0"/>
        <w:rPr>
          <w:rFonts w:ascii="Calibri" w:eastAsia="Times New Roman" w:hAnsi="Calibri" w:cs="Calibri"/>
          <w:i/>
          <w:lang w:eastAsia="en-GB"/>
        </w:rPr>
      </w:pPr>
      <w:r w:rsidRPr="00C019E0">
        <w:rPr>
          <w:rFonts w:ascii="Calibri" w:eastAsia="Times New Roman" w:hAnsi="Calibri" w:cs="Calibri"/>
          <w:i/>
          <w:lang w:eastAsia="en-GB"/>
        </w:rPr>
        <w:t>Measures</w:t>
      </w:r>
    </w:p>
    <w:p w14:paraId="16EA09EB" w14:textId="4013FF70" w:rsidR="004210F6" w:rsidRDefault="004A2B2F" w:rsidP="00006056">
      <w:pPr>
        <w:spacing w:after="0"/>
        <w:rPr>
          <w:rFonts w:ascii="Calibri" w:eastAsia="Times New Roman" w:hAnsi="Calibri" w:cs="Calibri"/>
          <w:lang w:eastAsia="en-GB"/>
        </w:rPr>
      </w:pPr>
      <w:r>
        <w:rPr>
          <w:rFonts w:ascii="Calibri" w:eastAsia="Times New Roman" w:hAnsi="Calibri" w:cs="Calibri"/>
          <w:lang w:eastAsia="en-GB"/>
        </w:rPr>
        <w:t>All measures were self-reported.</w:t>
      </w:r>
      <w:r w:rsidRPr="004A2B2F">
        <w:rPr>
          <w:rFonts w:ascii="Calibri" w:eastAsia="Times New Roman" w:hAnsi="Calibri" w:cs="Calibri"/>
          <w:lang w:eastAsia="en-GB"/>
        </w:rPr>
        <w:t xml:space="preserve"> </w:t>
      </w:r>
      <w:r w:rsidR="00ED619D">
        <w:rPr>
          <w:rFonts w:ascii="Calibri" w:eastAsia="Times New Roman" w:hAnsi="Calibri" w:cs="Calibri"/>
          <w:lang w:eastAsia="en-GB"/>
        </w:rPr>
        <w:t xml:space="preserve">We used five </w:t>
      </w:r>
      <w:r w:rsidRPr="002F5628">
        <w:rPr>
          <w:rFonts w:ascii="Calibri" w:eastAsia="Times New Roman" w:hAnsi="Calibri" w:cs="Calibri"/>
          <w:lang w:eastAsia="en-GB"/>
        </w:rPr>
        <w:t xml:space="preserve">commonly used measures of </w:t>
      </w:r>
      <w:r w:rsidR="008070D8">
        <w:rPr>
          <w:rFonts w:ascii="Calibri" w:eastAsia="Times New Roman" w:hAnsi="Calibri" w:cs="Calibri"/>
          <w:lang w:eastAsia="en-GB"/>
        </w:rPr>
        <w:t>physical health</w:t>
      </w:r>
      <w:r w:rsidRPr="002F5628">
        <w:rPr>
          <w:rFonts w:ascii="Calibri" w:eastAsia="Times New Roman" w:hAnsi="Calibri" w:cs="Calibri"/>
          <w:lang w:eastAsia="en-GB"/>
        </w:rPr>
        <w:t xml:space="preserve"> drawn from existing UK surveys: Body Mass Index (</w:t>
      </w:r>
      <w:r>
        <w:rPr>
          <w:rFonts w:ascii="Calibri" w:eastAsia="Times New Roman" w:hAnsi="Calibri" w:cs="Calibri"/>
          <w:lang w:eastAsia="en-GB"/>
        </w:rPr>
        <w:t xml:space="preserve">BMI, </w:t>
      </w:r>
      <w:r w:rsidRPr="002F5628">
        <w:rPr>
          <w:rFonts w:ascii="Calibri" w:eastAsia="Times New Roman" w:hAnsi="Calibri" w:cs="Calibri"/>
          <w:lang w:eastAsia="en-GB"/>
        </w:rPr>
        <w:t xml:space="preserve">weight divided by squared height); </w:t>
      </w:r>
      <w:r w:rsidR="00A6381D">
        <w:rPr>
          <w:rFonts w:ascii="Calibri" w:eastAsia="Times New Roman" w:hAnsi="Calibri" w:cs="Calibri"/>
          <w:lang w:eastAsia="en-GB"/>
        </w:rPr>
        <w:t xml:space="preserve">typical </w:t>
      </w:r>
      <w:r w:rsidRPr="002F5628">
        <w:rPr>
          <w:rFonts w:ascii="Calibri" w:eastAsia="Times New Roman" w:hAnsi="Calibri" w:cs="Calibri"/>
          <w:lang w:eastAsia="en-GB"/>
        </w:rPr>
        <w:t>number of days</w:t>
      </w:r>
      <w:r w:rsidR="00A6381D">
        <w:rPr>
          <w:rFonts w:ascii="Calibri" w:eastAsia="Times New Roman" w:hAnsi="Calibri" w:cs="Calibri"/>
          <w:lang w:eastAsia="en-GB"/>
        </w:rPr>
        <w:t xml:space="preserve"> per week featuring moderate to vigorous physical activity of</w:t>
      </w:r>
      <w:r w:rsidRPr="002F5628">
        <w:rPr>
          <w:rFonts w:ascii="Calibri" w:eastAsia="Times New Roman" w:hAnsi="Calibri" w:cs="Calibri"/>
          <w:lang w:eastAsia="en-GB"/>
        </w:rPr>
        <w:t xml:space="preserve"> at least 30 minutes</w:t>
      </w:r>
      <w:r w:rsidRPr="004C6F53">
        <w:rPr>
          <w:rFonts w:ascii="Calibri" w:eastAsia="Times New Roman" w:hAnsi="Calibri" w:cs="Calibri"/>
          <w:lang w:eastAsia="en-GB"/>
        </w:rPr>
        <w:t xml:space="preserve"> </w:t>
      </w:r>
      <w:r>
        <w:rPr>
          <w:rFonts w:ascii="Calibri" w:eastAsia="Times New Roman" w:hAnsi="Calibri" w:cs="Calibri"/>
          <w:lang w:eastAsia="en-GB"/>
        </w:rPr>
        <w:t>[</w:t>
      </w:r>
      <w:r w:rsidR="003B5437">
        <w:rPr>
          <w:rFonts w:ascii="Calibri" w:eastAsia="Times New Roman" w:hAnsi="Calibri" w:cs="Calibri"/>
          <w:lang w:eastAsia="en-GB"/>
        </w:rPr>
        <w:t>6</w:t>
      </w:r>
      <w:r>
        <w:rPr>
          <w:rFonts w:ascii="Calibri" w:eastAsia="Times New Roman" w:hAnsi="Calibri" w:cs="Calibri"/>
          <w:lang w:eastAsia="en-GB"/>
        </w:rPr>
        <w:t>]</w:t>
      </w:r>
      <w:r w:rsidRPr="004C6F53">
        <w:rPr>
          <w:rFonts w:ascii="Calibri" w:eastAsia="Times New Roman" w:hAnsi="Calibri" w:cs="Calibri"/>
          <w:lang w:eastAsia="en-GB"/>
        </w:rPr>
        <w:t xml:space="preserve">; </w:t>
      </w:r>
      <w:r w:rsidRPr="002F5628">
        <w:rPr>
          <w:rFonts w:ascii="Calibri" w:eastAsia="Times New Roman" w:hAnsi="Calibri" w:cs="Calibri"/>
          <w:lang w:eastAsia="en-GB"/>
        </w:rPr>
        <w:t xml:space="preserve">number of days in past week </w:t>
      </w:r>
      <w:r>
        <w:rPr>
          <w:rFonts w:ascii="Calibri" w:eastAsia="Times New Roman" w:hAnsi="Calibri" w:cs="Calibri"/>
          <w:lang w:eastAsia="en-GB"/>
        </w:rPr>
        <w:t xml:space="preserve">on which </w:t>
      </w:r>
      <w:r w:rsidRPr="002F5628">
        <w:rPr>
          <w:rFonts w:ascii="Calibri" w:eastAsia="Times New Roman" w:hAnsi="Calibri" w:cs="Calibri"/>
          <w:lang w:eastAsia="en-GB"/>
        </w:rPr>
        <w:t xml:space="preserve">alcohol </w:t>
      </w:r>
      <w:r>
        <w:rPr>
          <w:rFonts w:ascii="Calibri" w:eastAsia="Times New Roman" w:hAnsi="Calibri" w:cs="Calibri"/>
          <w:lang w:eastAsia="en-GB"/>
        </w:rPr>
        <w:t>was consumed [</w:t>
      </w:r>
      <w:r w:rsidR="003B5437">
        <w:rPr>
          <w:rFonts w:ascii="Calibri" w:eastAsia="Times New Roman" w:hAnsi="Calibri" w:cs="Calibri"/>
          <w:lang w:eastAsia="en-GB"/>
        </w:rPr>
        <w:t>7</w:t>
      </w:r>
      <w:r>
        <w:rPr>
          <w:rFonts w:ascii="Calibri" w:eastAsia="Times New Roman" w:hAnsi="Calibri" w:cs="Calibri"/>
          <w:lang w:eastAsia="en-GB"/>
        </w:rPr>
        <w:t>]</w:t>
      </w:r>
      <w:r w:rsidRPr="009C0BF9">
        <w:rPr>
          <w:rFonts w:ascii="Calibri" w:eastAsia="Times New Roman" w:hAnsi="Calibri" w:cs="Calibri"/>
          <w:lang w:eastAsia="en-GB"/>
        </w:rPr>
        <w:t xml:space="preserve">; </w:t>
      </w:r>
      <w:r w:rsidR="001B0DCD">
        <w:rPr>
          <w:rFonts w:ascii="Calibri" w:eastAsia="Times New Roman" w:hAnsi="Calibri" w:cs="Calibri"/>
          <w:lang w:eastAsia="en-GB"/>
        </w:rPr>
        <w:t>t</w:t>
      </w:r>
      <w:r w:rsidRPr="009C0BF9">
        <w:rPr>
          <w:rFonts w:ascii="Calibri" w:eastAsia="Times New Roman" w:hAnsi="Calibri" w:cs="Calibri"/>
          <w:lang w:eastAsia="en-GB"/>
        </w:rPr>
        <w:t>obacco</w:t>
      </w:r>
      <w:r w:rsidRPr="002F5628">
        <w:rPr>
          <w:rFonts w:ascii="Calibri" w:eastAsia="Times New Roman" w:hAnsi="Calibri" w:cs="Calibri"/>
          <w:lang w:eastAsia="en-GB"/>
        </w:rPr>
        <w:t xml:space="preserve"> smoking history (never smoked/have smoked but not at the moment/current smoker</w:t>
      </w:r>
      <w:r w:rsidRPr="004C6F53">
        <w:rPr>
          <w:rFonts w:ascii="Calibri" w:eastAsia="Times New Roman" w:hAnsi="Calibri" w:cs="Calibri"/>
          <w:lang w:eastAsia="en-GB"/>
        </w:rPr>
        <w:t xml:space="preserve">) </w:t>
      </w:r>
      <w:r>
        <w:rPr>
          <w:rFonts w:ascii="Calibri" w:eastAsia="Times New Roman" w:hAnsi="Calibri" w:cs="Calibri"/>
          <w:lang w:eastAsia="en-GB"/>
        </w:rPr>
        <w:t>[</w:t>
      </w:r>
      <w:r w:rsidR="003B5437">
        <w:rPr>
          <w:rFonts w:ascii="Calibri" w:eastAsia="Times New Roman" w:hAnsi="Calibri" w:cs="Calibri"/>
          <w:lang w:eastAsia="en-GB"/>
        </w:rPr>
        <w:t>7</w:t>
      </w:r>
      <w:r>
        <w:rPr>
          <w:rFonts w:ascii="Calibri" w:eastAsia="Times New Roman" w:hAnsi="Calibri" w:cs="Calibri"/>
          <w:lang w:eastAsia="en-GB"/>
        </w:rPr>
        <w:t>]</w:t>
      </w:r>
      <w:r w:rsidRPr="002F5628">
        <w:rPr>
          <w:rFonts w:ascii="Calibri" w:eastAsia="Times New Roman" w:hAnsi="Calibri" w:cs="Calibri"/>
          <w:lang w:eastAsia="en-GB"/>
        </w:rPr>
        <w:t xml:space="preserve">; and illicit drugs used in the last </w:t>
      </w:r>
      <w:r w:rsidR="008347A9">
        <w:rPr>
          <w:rFonts w:ascii="Calibri" w:eastAsia="Times New Roman" w:hAnsi="Calibri" w:cs="Calibri"/>
          <w:lang w:eastAsia="en-GB"/>
        </w:rPr>
        <w:t>four weeks</w:t>
      </w:r>
      <w:r>
        <w:rPr>
          <w:rFonts w:ascii="Calibri" w:eastAsia="Times New Roman" w:hAnsi="Calibri" w:cs="Calibri"/>
          <w:lang w:eastAsia="en-GB"/>
        </w:rPr>
        <w:t xml:space="preserve"> [</w:t>
      </w:r>
      <w:r w:rsidR="003B5437">
        <w:rPr>
          <w:rFonts w:ascii="Calibri" w:eastAsia="Times New Roman" w:hAnsi="Calibri" w:cs="Calibri"/>
          <w:lang w:eastAsia="en-GB"/>
        </w:rPr>
        <w:t>8</w:t>
      </w:r>
      <w:r>
        <w:rPr>
          <w:rFonts w:ascii="Calibri" w:eastAsia="Times New Roman" w:hAnsi="Calibri" w:cs="Calibri"/>
          <w:lang w:eastAsia="en-GB"/>
        </w:rPr>
        <w:t xml:space="preserve">]. </w:t>
      </w:r>
    </w:p>
    <w:p w14:paraId="11EB0A40" w14:textId="48603EE0" w:rsidR="002F5628" w:rsidRPr="002F5628" w:rsidRDefault="00ED619D" w:rsidP="00006056">
      <w:pPr>
        <w:spacing w:after="0"/>
        <w:rPr>
          <w:rFonts w:ascii="Calibri" w:eastAsia="Times New Roman" w:hAnsi="Calibri" w:cs="Calibri"/>
          <w:lang w:eastAsia="en-GB"/>
        </w:rPr>
      </w:pPr>
      <w:r>
        <w:rPr>
          <w:rFonts w:ascii="Calibri" w:eastAsia="Times New Roman" w:hAnsi="Calibri" w:cs="Calibri"/>
          <w:lang w:eastAsia="en-GB"/>
        </w:rPr>
        <w:t xml:space="preserve">All outcomes </w:t>
      </w:r>
      <w:r w:rsidR="002F5628" w:rsidRPr="002F5628">
        <w:rPr>
          <w:rFonts w:ascii="Calibri" w:eastAsia="Times New Roman" w:hAnsi="Calibri" w:cs="Calibri"/>
          <w:lang w:eastAsia="en-GB"/>
        </w:rPr>
        <w:t>were coded as binary variables</w:t>
      </w:r>
      <w:r>
        <w:rPr>
          <w:rFonts w:ascii="Calibri" w:eastAsia="Times New Roman" w:hAnsi="Calibri" w:cs="Calibri"/>
          <w:lang w:eastAsia="en-GB"/>
        </w:rPr>
        <w:t>:</w:t>
      </w:r>
      <w:r w:rsidR="002F5628" w:rsidRPr="002F5628">
        <w:rPr>
          <w:rFonts w:ascii="Calibri" w:eastAsia="Times New Roman" w:hAnsi="Calibri" w:cs="Calibri"/>
          <w:lang w:eastAsia="en-GB"/>
        </w:rPr>
        <w:t xml:space="preserve"> ‘</w:t>
      </w:r>
      <w:r>
        <w:rPr>
          <w:rFonts w:ascii="Calibri" w:eastAsia="Times New Roman" w:hAnsi="Calibri" w:cs="Calibri"/>
          <w:lang w:eastAsia="en-GB"/>
        </w:rPr>
        <w:t>o</w:t>
      </w:r>
      <w:r w:rsidR="002F5628" w:rsidRPr="002F5628">
        <w:rPr>
          <w:rFonts w:ascii="Calibri" w:eastAsia="Times New Roman" w:hAnsi="Calibri" w:cs="Calibri"/>
          <w:lang w:eastAsia="en-GB"/>
        </w:rPr>
        <w:t xml:space="preserve">verweight’ </w:t>
      </w:r>
      <w:r>
        <w:rPr>
          <w:rFonts w:ascii="Calibri" w:eastAsia="Times New Roman" w:hAnsi="Calibri" w:cs="Calibri"/>
          <w:lang w:eastAsia="en-GB"/>
        </w:rPr>
        <w:t xml:space="preserve">was </w:t>
      </w:r>
      <w:r w:rsidR="004A2B2F">
        <w:rPr>
          <w:rFonts w:ascii="Calibri" w:eastAsia="Times New Roman" w:hAnsi="Calibri" w:cs="Calibri"/>
          <w:lang w:eastAsia="en-GB"/>
        </w:rPr>
        <w:t>defin</w:t>
      </w:r>
      <w:r>
        <w:rPr>
          <w:rFonts w:ascii="Calibri" w:eastAsia="Times New Roman" w:hAnsi="Calibri" w:cs="Calibri"/>
          <w:lang w:eastAsia="en-GB"/>
        </w:rPr>
        <w:t>ed as</w:t>
      </w:r>
      <w:r w:rsidR="004A2B2F">
        <w:rPr>
          <w:rFonts w:ascii="Calibri" w:eastAsia="Times New Roman" w:hAnsi="Calibri" w:cs="Calibri"/>
          <w:lang w:eastAsia="en-GB"/>
        </w:rPr>
        <w:t xml:space="preserve"> </w:t>
      </w:r>
      <w:r w:rsidR="002F5628" w:rsidRPr="002F5628">
        <w:rPr>
          <w:rFonts w:ascii="Calibri" w:eastAsia="Times New Roman" w:hAnsi="Calibri" w:cs="Calibri"/>
          <w:lang w:eastAsia="en-GB"/>
        </w:rPr>
        <w:t>B</w:t>
      </w:r>
      <w:r>
        <w:rPr>
          <w:rFonts w:ascii="Calibri" w:eastAsia="Times New Roman" w:hAnsi="Calibri" w:cs="Calibri"/>
          <w:lang w:eastAsia="en-GB"/>
        </w:rPr>
        <w:t>MI</w:t>
      </w:r>
      <w:r w:rsidR="002F5628" w:rsidRPr="002F5628">
        <w:rPr>
          <w:rFonts w:ascii="Calibri" w:eastAsia="Times New Roman" w:hAnsi="Calibri" w:cs="Calibri"/>
          <w:lang w:eastAsia="en-GB"/>
        </w:rPr>
        <w:t xml:space="preserve"> equal </w:t>
      </w:r>
      <w:r w:rsidR="004A2B2F">
        <w:rPr>
          <w:rFonts w:ascii="Calibri" w:eastAsia="Times New Roman" w:hAnsi="Calibri" w:cs="Calibri"/>
          <w:lang w:eastAsia="en-GB"/>
        </w:rPr>
        <w:t xml:space="preserve">to or </w:t>
      </w:r>
      <w:r w:rsidR="004A2B2F" w:rsidRPr="002F5628">
        <w:rPr>
          <w:rFonts w:ascii="Calibri" w:eastAsia="Times New Roman" w:hAnsi="Calibri" w:cs="Calibri"/>
          <w:lang w:eastAsia="en-GB"/>
        </w:rPr>
        <w:t>greater than</w:t>
      </w:r>
      <w:r w:rsidR="002F5628" w:rsidRPr="002F5628">
        <w:rPr>
          <w:rFonts w:ascii="Calibri" w:eastAsia="Times New Roman" w:hAnsi="Calibri" w:cs="Calibri"/>
          <w:lang w:eastAsia="en-GB"/>
        </w:rPr>
        <w:t xml:space="preserve"> 25</w:t>
      </w:r>
      <w:r w:rsidR="00C04D53">
        <w:rPr>
          <w:rFonts w:ascii="Calibri" w:eastAsia="Times New Roman" w:hAnsi="Calibri" w:cs="Calibri"/>
          <w:lang w:eastAsia="en-GB"/>
        </w:rPr>
        <w:t xml:space="preserve"> (as </w:t>
      </w:r>
      <w:r w:rsidR="00C04D53">
        <w:rPr>
          <w:rFonts w:ascii="Calibri" w:eastAsia="Times New Roman" w:hAnsi="Calibri" w:cs="Calibri"/>
          <w:i/>
          <w:lang w:eastAsia="en-GB"/>
        </w:rPr>
        <w:t>per</w:t>
      </w:r>
      <w:r w:rsidR="00C04D53">
        <w:rPr>
          <w:rFonts w:ascii="Calibri" w:eastAsia="Times New Roman" w:hAnsi="Calibri" w:cs="Calibri"/>
          <w:lang w:eastAsia="en-GB"/>
        </w:rPr>
        <w:t xml:space="preserve"> the World Health Organisation definition, </w:t>
      </w:r>
      <w:r w:rsidR="004A2B2F">
        <w:rPr>
          <w:rFonts w:ascii="Calibri" w:eastAsia="Times New Roman" w:hAnsi="Calibri" w:cs="Calibri"/>
          <w:lang w:eastAsia="en-GB"/>
        </w:rPr>
        <w:t>[</w:t>
      </w:r>
      <w:r w:rsidR="003B5437">
        <w:rPr>
          <w:rFonts w:ascii="Calibri" w:eastAsia="Times New Roman" w:hAnsi="Calibri" w:cs="Calibri"/>
          <w:lang w:eastAsia="en-GB"/>
        </w:rPr>
        <w:t>9</w:t>
      </w:r>
      <w:r w:rsidR="004A2B2F">
        <w:rPr>
          <w:rFonts w:ascii="Calibri" w:eastAsia="Times New Roman" w:hAnsi="Calibri" w:cs="Calibri"/>
          <w:lang w:eastAsia="en-GB"/>
        </w:rPr>
        <w:t>]</w:t>
      </w:r>
      <w:r w:rsidR="00C04D53">
        <w:rPr>
          <w:rFonts w:ascii="Calibri" w:eastAsia="Times New Roman" w:hAnsi="Calibri" w:cs="Calibri"/>
          <w:lang w:eastAsia="en-GB"/>
        </w:rPr>
        <w:t>)</w:t>
      </w:r>
      <w:r>
        <w:rPr>
          <w:rFonts w:ascii="Calibri" w:eastAsia="Times New Roman" w:hAnsi="Calibri" w:cs="Calibri"/>
          <w:lang w:eastAsia="en-GB"/>
        </w:rPr>
        <w:t xml:space="preserve">; </w:t>
      </w:r>
      <w:r w:rsidR="002F5628" w:rsidRPr="002F5628">
        <w:rPr>
          <w:rFonts w:ascii="Calibri" w:eastAsia="Times New Roman" w:hAnsi="Calibri" w:cs="Calibri"/>
          <w:lang w:eastAsia="en-GB"/>
        </w:rPr>
        <w:t xml:space="preserve"> ’</w:t>
      </w:r>
      <w:r w:rsidR="000D3A91">
        <w:rPr>
          <w:rFonts w:ascii="Calibri" w:eastAsia="Times New Roman" w:hAnsi="Calibri" w:cs="Calibri"/>
          <w:lang w:eastAsia="en-GB"/>
        </w:rPr>
        <w:t>low</w:t>
      </w:r>
      <w:r w:rsidR="002F5628" w:rsidRPr="002F5628">
        <w:rPr>
          <w:rFonts w:ascii="Calibri" w:eastAsia="Times New Roman" w:hAnsi="Calibri" w:cs="Calibri"/>
          <w:lang w:eastAsia="en-GB"/>
        </w:rPr>
        <w:t xml:space="preserve"> exercise’ was defined as reporting </w:t>
      </w:r>
      <w:r w:rsidR="00C04D53">
        <w:rPr>
          <w:rFonts w:ascii="Calibri" w:eastAsia="Times New Roman" w:hAnsi="Calibri" w:cs="Calibri"/>
          <w:lang w:eastAsia="en-GB"/>
        </w:rPr>
        <w:t xml:space="preserve">at least </w:t>
      </w:r>
      <w:r w:rsidR="003008ED">
        <w:rPr>
          <w:rFonts w:ascii="Calibri" w:eastAsia="Times New Roman" w:hAnsi="Calibri" w:cs="Calibri"/>
          <w:lang w:eastAsia="en-GB"/>
        </w:rPr>
        <w:t xml:space="preserve">30 minutes </w:t>
      </w:r>
      <w:r w:rsidR="00A6381D">
        <w:rPr>
          <w:rFonts w:ascii="Calibri" w:eastAsia="Times New Roman" w:hAnsi="Calibri" w:cs="Calibri"/>
          <w:lang w:eastAsia="en-GB"/>
        </w:rPr>
        <w:t>moderate to vigorous physical activity</w:t>
      </w:r>
      <w:r w:rsidR="00A6381D" w:rsidRPr="002F5628" w:rsidDel="00A6381D">
        <w:rPr>
          <w:rFonts w:ascii="Calibri" w:eastAsia="Times New Roman" w:hAnsi="Calibri" w:cs="Calibri"/>
          <w:lang w:eastAsia="en-GB"/>
        </w:rPr>
        <w:t xml:space="preserve"> </w:t>
      </w:r>
      <w:r w:rsidR="002F5628" w:rsidRPr="002F5628">
        <w:rPr>
          <w:rFonts w:ascii="Calibri" w:eastAsia="Times New Roman" w:hAnsi="Calibri" w:cs="Calibri"/>
          <w:lang w:eastAsia="en-GB"/>
        </w:rPr>
        <w:t>on</w:t>
      </w:r>
      <w:r w:rsidR="00A6381D">
        <w:rPr>
          <w:rFonts w:ascii="Calibri" w:eastAsia="Times New Roman" w:hAnsi="Calibri" w:cs="Calibri"/>
          <w:lang w:eastAsia="en-GB"/>
        </w:rPr>
        <w:t xml:space="preserve"> fewer than five days </w:t>
      </w:r>
      <w:r w:rsidR="002F5628" w:rsidRPr="002F5628">
        <w:rPr>
          <w:rFonts w:ascii="Calibri" w:eastAsia="Times New Roman" w:hAnsi="Calibri" w:cs="Calibri"/>
          <w:lang w:eastAsia="en-GB"/>
        </w:rPr>
        <w:t>per week</w:t>
      </w:r>
      <w:r w:rsidR="00C04D53">
        <w:rPr>
          <w:rFonts w:ascii="Calibri" w:eastAsia="Times New Roman" w:hAnsi="Calibri" w:cs="Calibri"/>
          <w:lang w:eastAsia="en-GB"/>
        </w:rPr>
        <w:t xml:space="preserve"> (</w:t>
      </w:r>
      <w:r w:rsidR="00881A1F">
        <w:rPr>
          <w:rFonts w:ascii="Calibri" w:eastAsia="Times New Roman" w:hAnsi="Calibri" w:cs="Calibri"/>
          <w:lang w:eastAsia="en-GB"/>
        </w:rPr>
        <w:t>the</w:t>
      </w:r>
      <w:r w:rsidR="00C04D53">
        <w:rPr>
          <w:rFonts w:ascii="Calibri" w:eastAsia="Times New Roman" w:hAnsi="Calibri" w:cs="Calibri"/>
          <w:lang w:eastAsia="en-GB"/>
        </w:rPr>
        <w:t xml:space="preserve"> current UK government recommendation,</w:t>
      </w:r>
      <w:r w:rsidR="0068111A">
        <w:rPr>
          <w:rFonts w:ascii="Calibri" w:eastAsia="Times New Roman" w:hAnsi="Calibri" w:cs="Calibri"/>
          <w:lang w:eastAsia="en-GB"/>
        </w:rPr>
        <w:t xml:space="preserve"> [6]</w:t>
      </w:r>
      <w:r w:rsidR="00354C11">
        <w:rPr>
          <w:rFonts w:ascii="Calibri" w:eastAsia="Times New Roman" w:hAnsi="Calibri" w:cs="Calibri"/>
          <w:lang w:eastAsia="en-GB"/>
        </w:rPr>
        <w:t>)</w:t>
      </w:r>
      <w:r>
        <w:rPr>
          <w:rFonts w:ascii="Calibri" w:eastAsia="Times New Roman" w:hAnsi="Calibri" w:cs="Calibri"/>
          <w:lang w:eastAsia="en-GB"/>
        </w:rPr>
        <w:t xml:space="preserve">; </w:t>
      </w:r>
      <w:r w:rsidR="002F5628" w:rsidRPr="002F5628">
        <w:rPr>
          <w:rFonts w:ascii="Calibri" w:eastAsia="Times New Roman" w:hAnsi="Calibri" w:cs="Calibri"/>
          <w:lang w:eastAsia="en-GB"/>
        </w:rPr>
        <w:t>‘</w:t>
      </w:r>
      <w:r w:rsidR="0068111A">
        <w:rPr>
          <w:rFonts w:ascii="Calibri" w:eastAsia="Times New Roman" w:hAnsi="Calibri" w:cs="Calibri"/>
          <w:lang w:eastAsia="en-GB"/>
        </w:rPr>
        <w:t>frequent</w:t>
      </w:r>
      <w:r w:rsidR="0068111A" w:rsidRPr="002F5628">
        <w:rPr>
          <w:rFonts w:ascii="Calibri" w:eastAsia="Times New Roman" w:hAnsi="Calibri" w:cs="Calibri"/>
          <w:lang w:eastAsia="en-GB"/>
        </w:rPr>
        <w:t xml:space="preserve"> </w:t>
      </w:r>
      <w:r w:rsidR="002F5628" w:rsidRPr="002F5628">
        <w:rPr>
          <w:rFonts w:ascii="Calibri" w:eastAsia="Times New Roman" w:hAnsi="Calibri" w:cs="Calibri"/>
          <w:lang w:eastAsia="en-GB"/>
        </w:rPr>
        <w:t>alcohol’ was defined as drinking on four or more days a week</w:t>
      </w:r>
      <w:r w:rsidR="002F2ACC">
        <w:rPr>
          <w:rFonts w:ascii="Calibri" w:eastAsia="Times New Roman" w:hAnsi="Calibri" w:cs="Calibri"/>
          <w:lang w:eastAsia="en-GB"/>
        </w:rPr>
        <w:t>, to i</w:t>
      </w:r>
      <w:r w:rsidR="00331B4B">
        <w:rPr>
          <w:rFonts w:ascii="Calibri" w:eastAsia="Times New Roman" w:hAnsi="Calibri" w:cs="Calibri"/>
          <w:lang w:eastAsia="en-GB"/>
        </w:rPr>
        <w:t>dentify those not following the Royal College of Physicians  recommendation for alcohol-free days [</w:t>
      </w:r>
      <w:r w:rsidR="00A174D5">
        <w:rPr>
          <w:rFonts w:ascii="Calibri" w:eastAsia="Times New Roman" w:hAnsi="Calibri" w:cs="Calibri"/>
          <w:lang w:eastAsia="en-GB"/>
        </w:rPr>
        <w:t>10</w:t>
      </w:r>
      <w:r w:rsidR="00331B4B">
        <w:rPr>
          <w:rFonts w:ascii="Calibri" w:eastAsia="Times New Roman" w:hAnsi="Calibri" w:cs="Calibri"/>
          <w:lang w:eastAsia="en-GB"/>
        </w:rPr>
        <w:t>]</w:t>
      </w:r>
      <w:r>
        <w:rPr>
          <w:rFonts w:ascii="Calibri" w:eastAsia="Times New Roman" w:hAnsi="Calibri" w:cs="Calibri"/>
          <w:lang w:eastAsia="en-GB"/>
        </w:rPr>
        <w:t xml:space="preserve">; </w:t>
      </w:r>
      <w:r w:rsidR="002F5628" w:rsidRPr="002F5628">
        <w:rPr>
          <w:rFonts w:ascii="Calibri" w:eastAsia="Times New Roman" w:hAnsi="Calibri" w:cs="Calibri"/>
          <w:lang w:eastAsia="en-GB"/>
        </w:rPr>
        <w:t xml:space="preserve"> ‘</w:t>
      </w:r>
      <w:r>
        <w:rPr>
          <w:rFonts w:ascii="Calibri" w:eastAsia="Times New Roman" w:hAnsi="Calibri" w:cs="Calibri"/>
          <w:lang w:eastAsia="en-GB"/>
        </w:rPr>
        <w:t>c</w:t>
      </w:r>
      <w:r w:rsidR="002F5628" w:rsidRPr="002F5628">
        <w:rPr>
          <w:rFonts w:ascii="Calibri" w:eastAsia="Times New Roman" w:hAnsi="Calibri" w:cs="Calibri"/>
          <w:lang w:eastAsia="en-GB"/>
        </w:rPr>
        <w:t xml:space="preserve">urrent smoking’ was </w:t>
      </w:r>
      <w:r w:rsidR="009032D7">
        <w:rPr>
          <w:rFonts w:ascii="Calibri" w:eastAsia="Times New Roman" w:hAnsi="Calibri" w:cs="Calibri"/>
          <w:lang w:eastAsia="en-GB"/>
        </w:rPr>
        <w:t>defined as responding affirmatively to “Do you sm</w:t>
      </w:r>
      <w:r w:rsidR="0033292C">
        <w:rPr>
          <w:rFonts w:ascii="Calibri" w:eastAsia="Times New Roman" w:hAnsi="Calibri" w:cs="Calibri"/>
          <w:lang w:eastAsia="en-GB"/>
        </w:rPr>
        <w:t>oke cigarettes at al</w:t>
      </w:r>
      <w:r w:rsidR="00733A0F">
        <w:rPr>
          <w:rFonts w:ascii="Calibri" w:eastAsia="Times New Roman" w:hAnsi="Calibri" w:cs="Calibri"/>
          <w:lang w:eastAsia="en-GB"/>
        </w:rPr>
        <w:t>l</w:t>
      </w:r>
      <w:r w:rsidR="0033292C">
        <w:rPr>
          <w:rFonts w:ascii="Calibri" w:eastAsia="Times New Roman" w:hAnsi="Calibri" w:cs="Calibri"/>
          <w:lang w:eastAsia="en-GB"/>
        </w:rPr>
        <w:t xml:space="preserve"> nowadays?”</w:t>
      </w:r>
      <w:r>
        <w:rPr>
          <w:rFonts w:ascii="Calibri" w:eastAsia="Times New Roman" w:hAnsi="Calibri" w:cs="Calibri"/>
          <w:lang w:eastAsia="en-GB"/>
        </w:rPr>
        <w:t xml:space="preserve">; </w:t>
      </w:r>
      <w:r w:rsidR="002F5628" w:rsidRPr="002F5628">
        <w:rPr>
          <w:rFonts w:ascii="Calibri" w:eastAsia="Times New Roman" w:hAnsi="Calibri" w:cs="Calibri"/>
          <w:lang w:eastAsia="en-GB"/>
        </w:rPr>
        <w:t>‘</w:t>
      </w:r>
      <w:r>
        <w:rPr>
          <w:rFonts w:ascii="Calibri" w:eastAsia="Times New Roman" w:hAnsi="Calibri" w:cs="Calibri"/>
          <w:lang w:eastAsia="en-GB"/>
        </w:rPr>
        <w:t>i</w:t>
      </w:r>
      <w:r w:rsidR="002F5628" w:rsidRPr="002F5628">
        <w:rPr>
          <w:rFonts w:ascii="Calibri" w:eastAsia="Times New Roman" w:hAnsi="Calibri" w:cs="Calibri"/>
          <w:lang w:eastAsia="en-GB"/>
        </w:rPr>
        <w:t xml:space="preserve">llicit drug use’ was defined as reporting having taken any of ten </w:t>
      </w:r>
      <w:r>
        <w:rPr>
          <w:rFonts w:ascii="Calibri" w:eastAsia="Times New Roman" w:hAnsi="Calibri" w:cs="Calibri"/>
          <w:lang w:eastAsia="en-GB"/>
        </w:rPr>
        <w:t>named</w:t>
      </w:r>
      <w:r w:rsidR="009032D7">
        <w:rPr>
          <w:rFonts w:ascii="Calibri" w:eastAsia="Times New Roman" w:hAnsi="Calibri" w:cs="Calibri"/>
          <w:lang w:eastAsia="en-GB"/>
        </w:rPr>
        <w:t xml:space="preserve"> </w:t>
      </w:r>
      <w:r>
        <w:rPr>
          <w:rFonts w:ascii="Calibri" w:eastAsia="Times New Roman" w:hAnsi="Calibri" w:cs="Calibri"/>
          <w:lang w:eastAsia="en-GB"/>
        </w:rPr>
        <w:t>r</w:t>
      </w:r>
      <w:r w:rsidR="002F5628" w:rsidRPr="002F5628">
        <w:rPr>
          <w:rFonts w:ascii="Calibri" w:eastAsia="Times New Roman" w:hAnsi="Calibri" w:cs="Calibri"/>
          <w:lang w:eastAsia="en-GB"/>
        </w:rPr>
        <w:t>ecreational drug</w:t>
      </w:r>
      <w:r>
        <w:rPr>
          <w:rFonts w:ascii="Calibri" w:eastAsia="Times New Roman" w:hAnsi="Calibri" w:cs="Calibri"/>
          <w:lang w:eastAsia="en-GB"/>
        </w:rPr>
        <w:t>s</w:t>
      </w:r>
      <w:r w:rsidR="002F5628" w:rsidRPr="002F5628">
        <w:rPr>
          <w:rFonts w:ascii="Calibri" w:eastAsia="Times New Roman" w:hAnsi="Calibri" w:cs="Calibri"/>
          <w:lang w:eastAsia="en-GB"/>
        </w:rPr>
        <w:t xml:space="preserve"> in the previous </w:t>
      </w:r>
      <w:r w:rsidR="008347A9">
        <w:rPr>
          <w:rFonts w:ascii="Calibri" w:eastAsia="Times New Roman" w:hAnsi="Calibri" w:cs="Calibri"/>
          <w:lang w:eastAsia="en-GB"/>
        </w:rPr>
        <w:t>four weeks</w:t>
      </w:r>
      <w:r w:rsidR="00ED367C">
        <w:rPr>
          <w:rFonts w:ascii="Calibri" w:eastAsia="Times New Roman" w:hAnsi="Calibri" w:cs="Calibri"/>
          <w:lang w:eastAsia="en-GB"/>
        </w:rPr>
        <w:t xml:space="preserve"> (</w:t>
      </w:r>
      <w:r w:rsidR="009032D7">
        <w:rPr>
          <w:rFonts w:ascii="Calibri" w:eastAsia="Times New Roman" w:hAnsi="Calibri" w:cs="Calibri"/>
          <w:lang w:eastAsia="en-GB"/>
        </w:rPr>
        <w:t>marijuana, ecstasy, LSD, amphetamine, crystal methamphetamine, cocaine, crack cocaine, ketamine, GHB, heroin, inhaled nitrites, erecti</w:t>
      </w:r>
      <w:r w:rsidR="00733A0F">
        <w:rPr>
          <w:rFonts w:ascii="Calibri" w:eastAsia="Times New Roman" w:hAnsi="Calibri" w:cs="Calibri"/>
          <w:lang w:eastAsia="en-GB"/>
        </w:rPr>
        <w:t>le dysfunction medications</w:t>
      </w:r>
      <w:r w:rsidR="009032D7">
        <w:rPr>
          <w:rFonts w:ascii="Calibri" w:eastAsia="Times New Roman" w:hAnsi="Calibri" w:cs="Calibri"/>
          <w:lang w:eastAsia="en-GB"/>
        </w:rPr>
        <w:t>, tranquillisers)</w:t>
      </w:r>
      <w:r w:rsidR="002F5628" w:rsidRPr="002F5628">
        <w:rPr>
          <w:rFonts w:ascii="Calibri" w:eastAsia="Times New Roman" w:hAnsi="Calibri" w:cs="Calibri"/>
          <w:lang w:eastAsia="en-GB"/>
        </w:rPr>
        <w:t>.</w:t>
      </w:r>
    </w:p>
    <w:p w14:paraId="31494D2C" w14:textId="049780B9" w:rsidR="002F5628" w:rsidRPr="002F5628" w:rsidRDefault="009E60EA" w:rsidP="00006056">
      <w:pPr>
        <w:spacing w:after="0"/>
        <w:rPr>
          <w:rFonts w:ascii="Calibri" w:eastAsia="Times New Roman" w:hAnsi="Calibri" w:cs="Calibri"/>
          <w:lang w:eastAsia="en-GB"/>
        </w:rPr>
      </w:pPr>
      <w:r>
        <w:rPr>
          <w:rFonts w:ascii="Calibri" w:eastAsia="Times New Roman" w:hAnsi="Calibri" w:cs="Calibri"/>
          <w:lang w:eastAsia="en-GB"/>
        </w:rPr>
        <w:lastRenderedPageBreak/>
        <w:t xml:space="preserve">Age, education, ethnicity, migrant status, income, household situation and geography were analysed for their associations with health outcomes.  These </w:t>
      </w:r>
      <w:r w:rsidR="002F5628" w:rsidRPr="002F5628">
        <w:rPr>
          <w:rFonts w:ascii="Calibri" w:eastAsia="Times New Roman" w:hAnsi="Calibri" w:cs="Calibri"/>
          <w:lang w:eastAsia="en-GB"/>
        </w:rPr>
        <w:t>variables were</w:t>
      </w:r>
      <w:r w:rsidR="002D7D95">
        <w:rPr>
          <w:rFonts w:ascii="Calibri" w:eastAsia="Times New Roman" w:hAnsi="Calibri" w:cs="Calibri"/>
          <w:lang w:eastAsia="en-GB"/>
        </w:rPr>
        <w:t xml:space="preserve"> selected on their basis of their mention within the Public Health England Outcomes Framework LGBT Companion Document</w:t>
      </w:r>
      <w:r w:rsidR="00DC7071">
        <w:rPr>
          <w:rFonts w:ascii="Calibri" w:eastAsia="Times New Roman" w:hAnsi="Calibri" w:cs="Calibri"/>
          <w:lang w:eastAsia="en-GB"/>
        </w:rPr>
        <w:t xml:space="preserve"> [</w:t>
      </w:r>
      <w:r w:rsidR="003B5437">
        <w:rPr>
          <w:rFonts w:ascii="Calibri" w:eastAsia="Times New Roman" w:hAnsi="Calibri" w:cs="Calibri"/>
          <w:lang w:eastAsia="en-GB"/>
        </w:rPr>
        <w:t>1</w:t>
      </w:r>
      <w:r w:rsidR="00DC7071">
        <w:rPr>
          <w:rFonts w:ascii="Calibri" w:eastAsia="Times New Roman" w:hAnsi="Calibri" w:cs="Calibri"/>
          <w:lang w:eastAsia="en-GB"/>
        </w:rPr>
        <w:t>]</w:t>
      </w:r>
      <w:r w:rsidR="002F5628" w:rsidRPr="002F5628">
        <w:rPr>
          <w:rFonts w:ascii="Calibri" w:eastAsia="Times New Roman" w:hAnsi="Calibri" w:cs="Calibri"/>
          <w:lang w:eastAsia="en-GB"/>
        </w:rPr>
        <w:t xml:space="preserve">. Ages were coded in four bands giving approximately equal sized groups (16-25; 26-35; 36-45; &gt;45).  </w:t>
      </w:r>
      <w:r w:rsidRPr="002F5628">
        <w:rPr>
          <w:rFonts w:ascii="Calibri" w:eastAsia="Times New Roman" w:hAnsi="Calibri" w:cs="Calibri"/>
          <w:lang w:eastAsia="en-GB"/>
        </w:rPr>
        <w:t xml:space="preserve">Educational attainment was coded in three groups: </w:t>
      </w:r>
      <w:r w:rsidR="00733A0F">
        <w:rPr>
          <w:rFonts w:ascii="Calibri" w:eastAsia="Times New Roman" w:hAnsi="Calibri" w:cs="Calibri"/>
          <w:lang w:eastAsia="en-GB"/>
        </w:rPr>
        <w:t>to General Certificate of Education (GCSE) or less; post-GCSE qualifications but not a degree; university degree.</w:t>
      </w:r>
      <w:r w:rsidRPr="002F5628">
        <w:rPr>
          <w:rFonts w:ascii="Calibri" w:eastAsia="Times New Roman" w:hAnsi="Calibri" w:cs="Calibri"/>
          <w:lang w:eastAsia="en-GB"/>
        </w:rPr>
        <w:t xml:space="preserve"> </w:t>
      </w:r>
      <w:r w:rsidR="002F5628" w:rsidRPr="002F5628">
        <w:rPr>
          <w:rFonts w:ascii="Calibri" w:eastAsia="Times New Roman" w:hAnsi="Calibri" w:cs="Calibri"/>
          <w:lang w:eastAsia="en-GB"/>
        </w:rPr>
        <w:t xml:space="preserve">Ethnicity was </w:t>
      </w:r>
      <w:r w:rsidR="009032D7">
        <w:rPr>
          <w:rFonts w:ascii="Calibri" w:eastAsia="Times New Roman" w:hAnsi="Calibri" w:cs="Calibri"/>
          <w:lang w:eastAsia="en-GB"/>
        </w:rPr>
        <w:t>re</w:t>
      </w:r>
      <w:r w:rsidR="002F5628" w:rsidRPr="002F5628">
        <w:rPr>
          <w:rFonts w:ascii="Calibri" w:eastAsia="Times New Roman" w:hAnsi="Calibri" w:cs="Calibri"/>
          <w:lang w:eastAsia="en-GB"/>
        </w:rPr>
        <w:t>coded as “</w:t>
      </w:r>
      <w:r w:rsidR="009032D7">
        <w:rPr>
          <w:rFonts w:ascii="Calibri" w:eastAsia="Times New Roman" w:hAnsi="Calibri" w:cs="Calibri"/>
          <w:lang w:eastAsia="en-GB"/>
        </w:rPr>
        <w:t>W</w:t>
      </w:r>
      <w:r w:rsidR="002F5628" w:rsidRPr="002F5628">
        <w:rPr>
          <w:rFonts w:ascii="Calibri" w:eastAsia="Times New Roman" w:hAnsi="Calibri" w:cs="Calibri"/>
          <w:lang w:eastAsia="en-GB"/>
        </w:rPr>
        <w:t>hite”, “</w:t>
      </w:r>
      <w:r w:rsidR="009032D7">
        <w:rPr>
          <w:rFonts w:ascii="Calibri" w:eastAsia="Times New Roman" w:hAnsi="Calibri" w:cs="Calibri"/>
          <w:lang w:eastAsia="en-GB"/>
        </w:rPr>
        <w:t>B</w:t>
      </w:r>
      <w:r w:rsidR="002F5628" w:rsidRPr="002F5628">
        <w:rPr>
          <w:rFonts w:ascii="Calibri" w:eastAsia="Times New Roman" w:hAnsi="Calibri" w:cs="Calibri"/>
          <w:lang w:eastAsia="en-GB"/>
        </w:rPr>
        <w:t>lack”, “Asian”, and “</w:t>
      </w:r>
      <w:r w:rsidR="009032D7">
        <w:rPr>
          <w:rFonts w:ascii="Calibri" w:eastAsia="Times New Roman" w:hAnsi="Calibri" w:cs="Calibri"/>
          <w:lang w:eastAsia="en-GB"/>
        </w:rPr>
        <w:t>O</w:t>
      </w:r>
      <w:r w:rsidR="002F5628" w:rsidRPr="002F5628">
        <w:rPr>
          <w:rFonts w:ascii="Calibri" w:eastAsia="Times New Roman" w:hAnsi="Calibri" w:cs="Calibri"/>
          <w:lang w:eastAsia="en-GB"/>
        </w:rPr>
        <w:t>ther ethnicity”</w:t>
      </w:r>
      <w:r w:rsidR="009032D7">
        <w:rPr>
          <w:rFonts w:ascii="Calibri" w:eastAsia="Times New Roman" w:hAnsi="Calibri" w:cs="Calibri"/>
          <w:lang w:eastAsia="en-GB"/>
        </w:rPr>
        <w:t>, from the O</w:t>
      </w:r>
      <w:r w:rsidR="00E21217">
        <w:rPr>
          <w:rFonts w:ascii="Calibri" w:eastAsia="Times New Roman" w:hAnsi="Calibri" w:cs="Calibri"/>
          <w:lang w:eastAsia="en-GB"/>
        </w:rPr>
        <w:t xml:space="preserve">ffice for </w:t>
      </w:r>
      <w:r w:rsidR="009032D7">
        <w:rPr>
          <w:rFonts w:ascii="Calibri" w:eastAsia="Times New Roman" w:hAnsi="Calibri" w:cs="Calibri"/>
          <w:lang w:eastAsia="en-GB"/>
        </w:rPr>
        <w:t>N</w:t>
      </w:r>
      <w:r w:rsidR="00E21217">
        <w:rPr>
          <w:rFonts w:ascii="Calibri" w:eastAsia="Times New Roman" w:hAnsi="Calibri" w:cs="Calibri"/>
          <w:lang w:eastAsia="en-GB"/>
        </w:rPr>
        <w:t xml:space="preserve">ational </w:t>
      </w:r>
      <w:r w:rsidR="009032D7">
        <w:rPr>
          <w:rFonts w:ascii="Calibri" w:eastAsia="Times New Roman" w:hAnsi="Calibri" w:cs="Calibri"/>
          <w:lang w:eastAsia="en-GB"/>
        </w:rPr>
        <w:t>S</w:t>
      </w:r>
      <w:r w:rsidR="00E21217">
        <w:rPr>
          <w:rFonts w:ascii="Calibri" w:eastAsia="Times New Roman" w:hAnsi="Calibri" w:cs="Calibri"/>
          <w:lang w:eastAsia="en-GB"/>
        </w:rPr>
        <w:t>tatistics</w:t>
      </w:r>
      <w:r w:rsidR="009032D7">
        <w:rPr>
          <w:rFonts w:ascii="Calibri" w:eastAsia="Times New Roman" w:hAnsi="Calibri" w:cs="Calibri"/>
          <w:lang w:eastAsia="en-GB"/>
        </w:rPr>
        <w:t xml:space="preserve"> 18 category ethnicity question</w:t>
      </w:r>
      <w:r w:rsidR="002F5628" w:rsidRPr="002F5628">
        <w:rPr>
          <w:rFonts w:ascii="Calibri" w:eastAsia="Times New Roman" w:hAnsi="Calibri" w:cs="Calibri"/>
          <w:lang w:eastAsia="en-GB"/>
        </w:rPr>
        <w:t xml:space="preserve">.  Migrant status was coded according to whether or not respondents reported having been born outside of the UK.  Income was coded into five bands giving approximately similar sized groups.  </w:t>
      </w:r>
      <w:r w:rsidR="009032D7">
        <w:rPr>
          <w:rFonts w:ascii="Calibri" w:eastAsia="Times New Roman" w:hAnsi="Calibri" w:cs="Calibri"/>
          <w:lang w:eastAsia="en-GB"/>
        </w:rPr>
        <w:t>H</w:t>
      </w:r>
      <w:r w:rsidR="002F5628" w:rsidRPr="002F5628">
        <w:rPr>
          <w:rFonts w:ascii="Calibri" w:eastAsia="Times New Roman" w:hAnsi="Calibri" w:cs="Calibri"/>
          <w:lang w:eastAsia="en-GB"/>
        </w:rPr>
        <w:t xml:space="preserve">ousehold </w:t>
      </w:r>
      <w:r w:rsidR="00ED619D">
        <w:rPr>
          <w:rFonts w:ascii="Calibri" w:eastAsia="Times New Roman" w:hAnsi="Calibri" w:cs="Calibri"/>
          <w:lang w:eastAsia="en-GB"/>
        </w:rPr>
        <w:t>indicates</w:t>
      </w:r>
      <w:r w:rsidR="009032D7">
        <w:rPr>
          <w:rFonts w:ascii="Calibri" w:eastAsia="Times New Roman" w:hAnsi="Calibri" w:cs="Calibri"/>
          <w:lang w:eastAsia="en-GB"/>
        </w:rPr>
        <w:t xml:space="preserve"> who the</w:t>
      </w:r>
      <w:r w:rsidR="002F5628" w:rsidRPr="002F5628">
        <w:rPr>
          <w:rFonts w:ascii="Calibri" w:eastAsia="Times New Roman" w:hAnsi="Calibri" w:cs="Calibri"/>
          <w:lang w:eastAsia="en-GB"/>
        </w:rPr>
        <w:t xml:space="preserve"> respondent liv</w:t>
      </w:r>
      <w:r w:rsidR="009032D7">
        <w:rPr>
          <w:rFonts w:ascii="Calibri" w:eastAsia="Times New Roman" w:hAnsi="Calibri" w:cs="Calibri"/>
          <w:lang w:eastAsia="en-GB"/>
        </w:rPr>
        <w:t>ed</w:t>
      </w:r>
      <w:r w:rsidR="002F5628" w:rsidRPr="002F5628">
        <w:rPr>
          <w:rFonts w:ascii="Calibri" w:eastAsia="Times New Roman" w:hAnsi="Calibri" w:cs="Calibri"/>
          <w:lang w:eastAsia="en-GB"/>
        </w:rPr>
        <w:t xml:space="preserve"> with (alone; with a male partner; with others but not a male partner). Finally, respondents were assigned to one of two geographical groupings: living in London or not living in London. </w:t>
      </w:r>
    </w:p>
    <w:p w14:paraId="642253E5" w14:textId="77777777" w:rsidR="002F5628" w:rsidRDefault="002F5628" w:rsidP="00006056">
      <w:pPr>
        <w:spacing w:after="0"/>
        <w:rPr>
          <w:rFonts w:ascii="Calibri" w:eastAsia="Times New Roman" w:hAnsi="Calibri" w:cs="Calibri"/>
          <w:lang w:eastAsia="en-GB"/>
        </w:rPr>
      </w:pPr>
    </w:p>
    <w:p w14:paraId="51ABE1AC" w14:textId="49FD523C" w:rsidR="00C019E0" w:rsidRPr="00C019E0" w:rsidRDefault="00C019E0" w:rsidP="00006056">
      <w:pPr>
        <w:spacing w:after="0"/>
        <w:rPr>
          <w:rFonts w:ascii="Calibri" w:eastAsia="Times New Roman" w:hAnsi="Calibri" w:cs="Calibri"/>
          <w:i/>
          <w:lang w:eastAsia="en-GB"/>
        </w:rPr>
      </w:pPr>
      <w:r>
        <w:rPr>
          <w:rFonts w:ascii="Calibri" w:eastAsia="Times New Roman" w:hAnsi="Calibri" w:cs="Calibri"/>
          <w:i/>
          <w:lang w:eastAsia="en-GB"/>
        </w:rPr>
        <w:t>Model development</w:t>
      </w:r>
    </w:p>
    <w:p w14:paraId="13F959E7" w14:textId="6C159578" w:rsidR="002F5628" w:rsidRPr="002F5628" w:rsidRDefault="002F5628" w:rsidP="00006056">
      <w:pPr>
        <w:spacing w:after="0"/>
        <w:rPr>
          <w:rFonts w:ascii="Calibri" w:eastAsia="Times New Roman" w:hAnsi="Calibri" w:cs="Calibri"/>
          <w:lang w:eastAsia="en-GB"/>
        </w:rPr>
      </w:pPr>
      <w:r w:rsidRPr="002F5628">
        <w:rPr>
          <w:rFonts w:ascii="Calibri" w:eastAsia="Times New Roman" w:hAnsi="Calibri" w:cs="Calibri"/>
          <w:lang w:eastAsia="en-GB"/>
        </w:rPr>
        <w:t xml:space="preserve">We </w:t>
      </w:r>
      <w:r w:rsidR="00ED619D">
        <w:rPr>
          <w:rFonts w:ascii="Calibri" w:eastAsia="Times New Roman" w:hAnsi="Calibri" w:cs="Calibri"/>
          <w:lang w:eastAsia="en-GB"/>
        </w:rPr>
        <w:t xml:space="preserve">first </w:t>
      </w:r>
      <w:r w:rsidRPr="002F5628">
        <w:rPr>
          <w:rFonts w:ascii="Calibri" w:eastAsia="Times New Roman" w:hAnsi="Calibri" w:cs="Calibri"/>
          <w:lang w:eastAsia="en-GB"/>
        </w:rPr>
        <w:t xml:space="preserve">investigated and reported </w:t>
      </w:r>
      <w:r w:rsidR="00ED619D">
        <w:rPr>
          <w:rFonts w:ascii="Calibri" w:eastAsia="Times New Roman" w:hAnsi="Calibri" w:cs="Calibri"/>
          <w:lang w:eastAsia="en-GB"/>
        </w:rPr>
        <w:t xml:space="preserve">data </w:t>
      </w:r>
      <w:proofErr w:type="spellStart"/>
      <w:r w:rsidRPr="002F5628">
        <w:rPr>
          <w:rFonts w:ascii="Calibri" w:eastAsia="Times New Roman" w:hAnsi="Calibri" w:cs="Calibri"/>
          <w:lang w:eastAsia="en-GB"/>
        </w:rPr>
        <w:t>missingness</w:t>
      </w:r>
      <w:proofErr w:type="spellEnd"/>
      <w:r w:rsidRPr="002F5628">
        <w:rPr>
          <w:rFonts w:ascii="Calibri" w:eastAsia="Times New Roman" w:hAnsi="Calibri" w:cs="Calibri"/>
          <w:lang w:eastAsia="en-GB"/>
        </w:rPr>
        <w:t xml:space="preserve">, and used cross-tabulation and logistic regression to explore unadjusted trends between each demographic and the </w:t>
      </w:r>
      <w:r w:rsidR="00ED619D">
        <w:rPr>
          <w:rFonts w:ascii="Calibri" w:eastAsia="Times New Roman" w:hAnsi="Calibri" w:cs="Calibri"/>
          <w:lang w:eastAsia="en-GB"/>
        </w:rPr>
        <w:t xml:space="preserve">health </w:t>
      </w:r>
      <w:r w:rsidRPr="002F5628">
        <w:rPr>
          <w:rFonts w:ascii="Calibri" w:eastAsia="Times New Roman" w:hAnsi="Calibri" w:cs="Calibri"/>
          <w:lang w:eastAsia="en-GB"/>
        </w:rPr>
        <w:t>outcomes.</w:t>
      </w:r>
      <w:r w:rsidR="00C37068">
        <w:rPr>
          <w:rFonts w:ascii="Calibri" w:eastAsia="Times New Roman" w:hAnsi="Calibri" w:cs="Calibri"/>
          <w:lang w:eastAsia="en-GB"/>
        </w:rPr>
        <w:t xml:space="preserve">  Associations were described as odds ratios, </w:t>
      </w:r>
      <w:r w:rsidR="00ED619D">
        <w:rPr>
          <w:rFonts w:ascii="Calibri" w:eastAsia="Times New Roman" w:hAnsi="Calibri" w:cs="Calibri"/>
          <w:lang w:eastAsia="en-GB"/>
        </w:rPr>
        <w:t>with</w:t>
      </w:r>
      <w:r w:rsidR="00C37068">
        <w:rPr>
          <w:rFonts w:ascii="Calibri" w:eastAsia="Times New Roman" w:hAnsi="Calibri" w:cs="Calibri"/>
          <w:lang w:eastAsia="en-GB"/>
        </w:rPr>
        <w:t xml:space="preserve"> strength of association </w:t>
      </w:r>
      <w:r w:rsidR="00ED619D">
        <w:rPr>
          <w:rFonts w:ascii="Calibri" w:eastAsia="Times New Roman" w:hAnsi="Calibri" w:cs="Calibri"/>
          <w:lang w:eastAsia="en-GB"/>
        </w:rPr>
        <w:t>measured by</w:t>
      </w:r>
      <w:r w:rsidR="00C37068">
        <w:rPr>
          <w:rFonts w:ascii="Calibri" w:eastAsia="Times New Roman" w:hAnsi="Calibri" w:cs="Calibri"/>
          <w:lang w:eastAsia="en-GB"/>
        </w:rPr>
        <w:t xml:space="preserve"> </w:t>
      </w:r>
      <w:r w:rsidR="00A929C1">
        <w:rPr>
          <w:rFonts w:ascii="Calibri" w:eastAsia="Times New Roman" w:hAnsi="Calibri" w:cs="Calibri"/>
          <w:lang w:eastAsia="en-GB"/>
        </w:rPr>
        <w:t xml:space="preserve">effect size </w:t>
      </w:r>
      <w:r w:rsidR="00ED619D">
        <w:rPr>
          <w:rFonts w:ascii="Calibri" w:eastAsia="Times New Roman" w:hAnsi="Calibri" w:cs="Calibri"/>
          <w:lang w:eastAsia="en-GB"/>
        </w:rPr>
        <w:t>(</w:t>
      </w:r>
      <w:r w:rsidR="00A929C1">
        <w:rPr>
          <w:rFonts w:ascii="Calibri" w:eastAsia="Times New Roman" w:hAnsi="Calibri" w:cs="Calibri"/>
          <w:lang w:eastAsia="en-GB"/>
        </w:rPr>
        <w:t>p-value from a likelihood ratio test</w:t>
      </w:r>
      <w:r w:rsidR="00ED619D">
        <w:rPr>
          <w:rFonts w:ascii="Calibri" w:eastAsia="Times New Roman" w:hAnsi="Calibri" w:cs="Calibri"/>
          <w:lang w:eastAsia="en-GB"/>
        </w:rPr>
        <w:t>)</w:t>
      </w:r>
      <w:r w:rsidR="00A929C1">
        <w:rPr>
          <w:rFonts w:ascii="Calibri" w:eastAsia="Times New Roman" w:hAnsi="Calibri" w:cs="Calibri"/>
          <w:lang w:eastAsia="en-GB"/>
        </w:rPr>
        <w:t>.</w:t>
      </w:r>
      <w:r w:rsidR="00C37068">
        <w:rPr>
          <w:rFonts w:ascii="Calibri" w:eastAsia="Times New Roman" w:hAnsi="Calibri" w:cs="Calibri"/>
          <w:lang w:eastAsia="en-GB"/>
        </w:rPr>
        <w:t xml:space="preserve"> </w:t>
      </w:r>
      <w:r w:rsidR="00A929C1">
        <w:rPr>
          <w:rFonts w:ascii="Calibri" w:eastAsia="Times New Roman" w:hAnsi="Calibri" w:cs="Calibri"/>
          <w:lang w:eastAsia="en-GB"/>
        </w:rPr>
        <w:t>The associations under investigation were liable to confounding, and i</w:t>
      </w:r>
      <w:r w:rsidRPr="002F5628">
        <w:rPr>
          <w:rFonts w:ascii="Calibri" w:eastAsia="Times New Roman" w:hAnsi="Calibri" w:cs="Calibri"/>
          <w:lang w:eastAsia="en-GB"/>
        </w:rPr>
        <w:t xml:space="preserve">n order to select appropriate potential confounders, and to make explicit our assumptions about the causal connections between the variables, we drew a directed </w:t>
      </w:r>
      <w:proofErr w:type="spellStart"/>
      <w:r w:rsidRPr="002F5628">
        <w:rPr>
          <w:rFonts w:ascii="Calibri" w:eastAsia="Times New Roman" w:hAnsi="Calibri" w:cs="Calibri"/>
          <w:lang w:eastAsia="en-GB"/>
        </w:rPr>
        <w:t>acyclical</w:t>
      </w:r>
      <w:proofErr w:type="spellEnd"/>
      <w:r w:rsidRPr="002F5628">
        <w:rPr>
          <w:rFonts w:ascii="Calibri" w:eastAsia="Times New Roman" w:hAnsi="Calibri" w:cs="Calibri"/>
          <w:lang w:eastAsia="en-GB"/>
        </w:rPr>
        <w:t xml:space="preserve"> graph (</w:t>
      </w:r>
      <w:r w:rsidR="006E1B0B">
        <w:rPr>
          <w:rFonts w:ascii="Calibri" w:eastAsia="Times New Roman" w:hAnsi="Calibri" w:cs="Calibri"/>
          <w:lang w:eastAsia="en-GB"/>
        </w:rPr>
        <w:t>F</w:t>
      </w:r>
      <w:r w:rsidRPr="002F5628">
        <w:rPr>
          <w:rFonts w:ascii="Calibri" w:eastAsia="Times New Roman" w:hAnsi="Calibri" w:cs="Calibri"/>
          <w:lang w:eastAsia="en-GB"/>
        </w:rPr>
        <w:t xml:space="preserve">igure 1).  </w:t>
      </w:r>
      <w:r w:rsidR="00542872">
        <w:rPr>
          <w:rFonts w:ascii="Calibri" w:eastAsia="Times New Roman" w:hAnsi="Calibri" w:cs="Calibri"/>
          <w:lang w:eastAsia="en-GB"/>
        </w:rPr>
        <w:t xml:space="preserve">The graph states our assumptions and was developed by the authors.  </w:t>
      </w:r>
      <w:r w:rsidRPr="002F5628">
        <w:rPr>
          <w:rFonts w:ascii="Calibri" w:eastAsia="Times New Roman" w:hAnsi="Calibri" w:cs="Calibri"/>
          <w:lang w:eastAsia="en-GB"/>
        </w:rPr>
        <w:t>We used the DAGITTY software (</w:t>
      </w:r>
      <w:hyperlink r:id="rId9" w:history="1">
        <w:r w:rsidRPr="002F5628">
          <w:rPr>
            <w:rFonts w:ascii="Calibri" w:eastAsia="Times New Roman" w:hAnsi="Calibri" w:cs="Calibri"/>
            <w:color w:val="0000FF"/>
            <w:u w:val="single"/>
            <w:lang w:eastAsia="en-GB"/>
          </w:rPr>
          <w:t>http://www.dagitty.net/</w:t>
        </w:r>
      </w:hyperlink>
      <w:r w:rsidRPr="002F5628">
        <w:rPr>
          <w:rFonts w:ascii="Calibri" w:eastAsia="Times New Roman" w:hAnsi="Calibri" w:cs="Calibri"/>
          <w:lang w:eastAsia="en-GB"/>
        </w:rPr>
        <w:t>) to identify minimal sufficient adjustment sets of potential confounders.  These confounders were used in logistic regression.</w:t>
      </w:r>
      <w:r w:rsidR="00542872">
        <w:rPr>
          <w:rFonts w:ascii="Calibri" w:eastAsia="Times New Roman" w:hAnsi="Calibri" w:cs="Calibri"/>
          <w:lang w:eastAsia="en-GB"/>
        </w:rPr>
        <w:t xml:space="preserve">  By identifying confounders in this way, as opposed to including potential confounders on the basis of association with the exposure of interest and the outcome, we aimed to avoid over-fitting the model with </w:t>
      </w:r>
      <w:r w:rsidR="009C0BF9">
        <w:rPr>
          <w:rFonts w:ascii="Calibri" w:eastAsia="Times New Roman" w:hAnsi="Calibri" w:cs="Calibri"/>
          <w:lang w:eastAsia="en-GB"/>
        </w:rPr>
        <w:t>variables on the causal pathway</w:t>
      </w:r>
      <w:r w:rsidR="00867A00">
        <w:rPr>
          <w:rFonts w:ascii="Calibri" w:eastAsia="Times New Roman" w:hAnsi="Calibri" w:cs="Calibri"/>
          <w:lang w:eastAsia="en-GB"/>
        </w:rPr>
        <w:t xml:space="preserve"> [1</w:t>
      </w:r>
      <w:r w:rsidR="00A174D5">
        <w:rPr>
          <w:rFonts w:ascii="Calibri" w:eastAsia="Times New Roman" w:hAnsi="Calibri" w:cs="Calibri"/>
          <w:lang w:eastAsia="en-GB"/>
        </w:rPr>
        <w:t>1</w:t>
      </w:r>
      <w:r w:rsidR="00867A00">
        <w:rPr>
          <w:rFonts w:ascii="Calibri" w:eastAsia="Times New Roman" w:hAnsi="Calibri" w:cs="Calibri"/>
          <w:lang w:eastAsia="en-GB"/>
        </w:rPr>
        <w:t>]</w:t>
      </w:r>
      <w:r w:rsidR="00180B1A">
        <w:rPr>
          <w:rFonts w:ascii="Calibri" w:eastAsia="Times New Roman" w:hAnsi="Calibri" w:cs="Calibri"/>
          <w:lang w:eastAsia="en-GB"/>
        </w:rPr>
        <w:t>.</w:t>
      </w:r>
      <w:r w:rsidR="00535115">
        <w:rPr>
          <w:rFonts w:ascii="Calibri" w:eastAsia="Times New Roman" w:hAnsi="Calibri" w:cs="Calibri"/>
          <w:lang w:eastAsia="en-GB"/>
        </w:rPr>
        <w:t xml:space="preserve"> </w:t>
      </w:r>
    </w:p>
    <w:p w14:paraId="5FFAA0FF" w14:textId="77777777" w:rsidR="002F5628" w:rsidRPr="002F5628" w:rsidRDefault="002F5628" w:rsidP="00006056">
      <w:pPr>
        <w:keepNext/>
        <w:spacing w:after="0"/>
        <w:rPr>
          <w:rFonts w:ascii="Calibri" w:eastAsia="Times New Roman" w:hAnsi="Calibri" w:cs="Calibri"/>
          <w:lang w:eastAsia="en-GB"/>
        </w:rPr>
      </w:pPr>
      <w:r w:rsidRPr="002F5628">
        <w:rPr>
          <w:rFonts w:ascii="Calibri" w:eastAsia="Times New Roman" w:hAnsi="Calibri" w:cs="Calibri"/>
          <w:noProof/>
          <w:lang w:eastAsia="en-GB"/>
        </w:rPr>
        <w:lastRenderedPageBreak/>
        <w:drawing>
          <wp:inline distT="0" distB="0" distL="0" distR="0" wp14:anchorId="03691689" wp14:editId="7192259D">
            <wp:extent cx="5568315" cy="3466465"/>
            <wp:effectExtent l="19050" t="0" r="0" b="0"/>
            <wp:docPr id="1" name="Picture 1" descr="https://lh4.googleusercontent.com/hYJgd1txuAfLjQ6QfV8SfU_2cGaGMOQiEPyRjuF-gVhXZLUCZW9PWqW3o_IOJXTGUxBxANVo9MD-c6kFfG7otYWauTX8X_-NZatTB32v0fp80zwXPVX1cFRYWG15mxsj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YJgd1txuAfLjQ6QfV8SfU_2cGaGMOQiEPyRjuF-gVhXZLUCZW9PWqW3o_IOJXTGUxBxANVo9MD-c6kFfG7otYWauTX8X_-NZatTB32v0fp80zwXPVX1cFRYWG15mxsjkg"/>
                    <pic:cNvPicPr>
                      <a:picLocks noChangeAspect="1" noChangeArrowheads="1"/>
                    </pic:cNvPicPr>
                  </pic:nvPicPr>
                  <pic:blipFill>
                    <a:blip r:embed="rId10" cstate="print"/>
                    <a:srcRect/>
                    <a:stretch>
                      <a:fillRect/>
                    </a:stretch>
                  </pic:blipFill>
                  <pic:spPr bwMode="auto">
                    <a:xfrm>
                      <a:off x="0" y="0"/>
                      <a:ext cx="5568315" cy="3466465"/>
                    </a:xfrm>
                    <a:prstGeom prst="rect">
                      <a:avLst/>
                    </a:prstGeom>
                    <a:noFill/>
                    <a:ln w="9525">
                      <a:noFill/>
                      <a:miter lim="800000"/>
                      <a:headEnd/>
                      <a:tailEnd/>
                    </a:ln>
                  </pic:spPr>
                </pic:pic>
              </a:graphicData>
            </a:graphic>
          </wp:inline>
        </w:drawing>
      </w:r>
    </w:p>
    <w:p w14:paraId="2CFF4BAD" w14:textId="77777777" w:rsidR="002F5628" w:rsidRPr="002F5628" w:rsidRDefault="002F5628" w:rsidP="00006056">
      <w:pPr>
        <w:spacing w:after="200"/>
        <w:rPr>
          <w:rFonts w:ascii="Calibri" w:eastAsia="Times New Roman" w:hAnsi="Calibri" w:cs="Calibri"/>
          <w:i/>
          <w:iCs/>
          <w:lang w:eastAsia="en-GB"/>
        </w:rPr>
      </w:pPr>
      <w:r w:rsidRPr="002F5628">
        <w:rPr>
          <w:rFonts w:ascii="Calibri" w:eastAsia="Times New Roman" w:hAnsi="Calibri" w:cs="Calibri"/>
          <w:i/>
          <w:iCs/>
          <w:lang w:eastAsia="en-GB"/>
        </w:rPr>
        <w:t xml:space="preserve">Figure </w:t>
      </w:r>
      <w:r w:rsidR="00912E96" w:rsidRPr="002F5628">
        <w:rPr>
          <w:rFonts w:ascii="Calibri" w:eastAsia="Times New Roman" w:hAnsi="Calibri" w:cs="Calibri"/>
          <w:i/>
          <w:iCs/>
          <w:lang w:eastAsia="en-GB"/>
        </w:rPr>
        <w:fldChar w:fldCharType="begin"/>
      </w:r>
      <w:r w:rsidRPr="002F5628">
        <w:rPr>
          <w:rFonts w:ascii="Calibri" w:eastAsia="Times New Roman" w:hAnsi="Calibri" w:cs="Calibri"/>
          <w:i/>
          <w:iCs/>
          <w:lang w:eastAsia="en-GB"/>
        </w:rPr>
        <w:instrText xml:space="preserve"> SEQ Figure \* ARABIC </w:instrText>
      </w:r>
      <w:r w:rsidR="00912E96" w:rsidRPr="002F5628">
        <w:rPr>
          <w:rFonts w:ascii="Calibri" w:eastAsia="Times New Roman" w:hAnsi="Calibri" w:cs="Calibri"/>
          <w:i/>
          <w:iCs/>
          <w:lang w:eastAsia="en-GB"/>
        </w:rPr>
        <w:fldChar w:fldCharType="separate"/>
      </w:r>
      <w:r w:rsidR="00A174D5">
        <w:rPr>
          <w:rFonts w:ascii="Calibri" w:eastAsia="Times New Roman" w:hAnsi="Calibri" w:cs="Calibri"/>
          <w:i/>
          <w:iCs/>
          <w:noProof/>
          <w:lang w:eastAsia="en-GB"/>
        </w:rPr>
        <w:t>1</w:t>
      </w:r>
      <w:r w:rsidR="00912E96" w:rsidRPr="002F5628">
        <w:rPr>
          <w:rFonts w:ascii="Calibri" w:eastAsia="Times New Roman" w:hAnsi="Calibri" w:cs="Calibri"/>
          <w:i/>
          <w:iCs/>
          <w:lang w:eastAsia="en-GB"/>
        </w:rPr>
        <w:fldChar w:fldCharType="end"/>
      </w:r>
      <w:r w:rsidRPr="002F5628">
        <w:rPr>
          <w:rFonts w:ascii="Calibri" w:eastAsia="Times New Roman" w:hAnsi="Calibri" w:cs="Calibri"/>
          <w:i/>
          <w:iCs/>
          <w:lang w:eastAsia="en-GB"/>
        </w:rPr>
        <w:t>: Assumptions of casual connections between demographic variables</w:t>
      </w:r>
    </w:p>
    <w:p w14:paraId="5906FB0C" w14:textId="77777777" w:rsidR="002F5628" w:rsidRPr="002F5628" w:rsidRDefault="002F5628" w:rsidP="00006056">
      <w:pPr>
        <w:spacing w:after="0"/>
        <w:rPr>
          <w:rFonts w:ascii="Calibri" w:eastAsia="Times New Roman" w:hAnsi="Calibri" w:cs="Calibri"/>
          <w:lang w:eastAsia="en-GB"/>
        </w:rPr>
      </w:pPr>
    </w:p>
    <w:p w14:paraId="6ECC3796" w14:textId="16A4FA33" w:rsidR="00CD54B4" w:rsidRDefault="002F5628" w:rsidP="00006056">
      <w:pPr>
        <w:spacing w:after="0"/>
        <w:rPr>
          <w:rFonts w:ascii="Calibri" w:eastAsia="Times New Roman" w:hAnsi="Calibri" w:cs="Calibri"/>
          <w:lang w:eastAsia="en-GB"/>
        </w:rPr>
      </w:pPr>
      <w:r w:rsidRPr="002F5628">
        <w:rPr>
          <w:rFonts w:ascii="Calibri" w:eastAsia="Times New Roman" w:hAnsi="Calibri" w:cs="Calibri"/>
          <w:lang w:eastAsia="en-GB"/>
        </w:rPr>
        <w:t xml:space="preserve">The arrows represent assumed causal links.  Education and migration status are both </w:t>
      </w:r>
      <w:r w:rsidR="009E60EA">
        <w:rPr>
          <w:rFonts w:ascii="Calibri" w:eastAsia="Times New Roman" w:hAnsi="Calibri" w:cs="Calibri"/>
          <w:lang w:eastAsia="en-GB"/>
        </w:rPr>
        <w:t xml:space="preserve">determined in the </w:t>
      </w:r>
      <w:r w:rsidRPr="002F5628">
        <w:rPr>
          <w:rFonts w:ascii="Calibri" w:eastAsia="Times New Roman" w:hAnsi="Calibri" w:cs="Calibri"/>
          <w:lang w:eastAsia="en-GB"/>
        </w:rPr>
        <w:t xml:space="preserve">‘past’ and therefore have been placed higher in the causal pathways.  Each of these variables is also thought to have a causal relationship with the outcomes </w:t>
      </w:r>
      <w:r w:rsidR="00882825">
        <w:rPr>
          <w:rFonts w:ascii="Calibri" w:eastAsia="Times New Roman" w:hAnsi="Calibri" w:cs="Calibri"/>
          <w:lang w:eastAsia="en-GB"/>
        </w:rPr>
        <w:t>(</w:t>
      </w:r>
      <w:r w:rsidRPr="002F5628">
        <w:rPr>
          <w:rFonts w:ascii="Calibri" w:eastAsia="Times New Roman" w:hAnsi="Calibri" w:cs="Calibri"/>
          <w:lang w:eastAsia="en-GB"/>
        </w:rPr>
        <w:t>not shown</w:t>
      </w:r>
      <w:r w:rsidR="00882825">
        <w:rPr>
          <w:rFonts w:ascii="Calibri" w:eastAsia="Times New Roman" w:hAnsi="Calibri" w:cs="Calibri"/>
          <w:lang w:eastAsia="en-GB"/>
        </w:rPr>
        <w:t>)</w:t>
      </w:r>
      <w:r w:rsidRPr="002F5628">
        <w:rPr>
          <w:rFonts w:ascii="Calibri" w:eastAsia="Times New Roman" w:hAnsi="Calibri" w:cs="Calibri"/>
          <w:lang w:eastAsia="en-GB"/>
        </w:rPr>
        <w:t xml:space="preserve">. </w:t>
      </w:r>
    </w:p>
    <w:p w14:paraId="4439A5FD" w14:textId="70CF262A" w:rsidR="00B74ED4" w:rsidRDefault="00882825" w:rsidP="00006056">
      <w:pPr>
        <w:spacing w:after="0"/>
        <w:rPr>
          <w:rFonts w:ascii="Calibri" w:eastAsia="Arial" w:hAnsi="Calibri" w:cs="Calibri"/>
          <w:b/>
          <w:color w:val="000000"/>
          <w:lang w:eastAsia="en-GB"/>
        </w:rPr>
      </w:pPr>
      <w:r>
        <w:rPr>
          <w:rFonts w:ascii="Calibri" w:eastAsia="Times New Roman" w:hAnsi="Calibri" w:cs="Calibri"/>
          <w:lang w:eastAsia="en-GB"/>
        </w:rPr>
        <w:t>Figure 1 indicates</w:t>
      </w:r>
      <w:r w:rsidR="001610EC">
        <w:rPr>
          <w:rFonts w:ascii="Calibri" w:eastAsia="Times New Roman" w:hAnsi="Calibri" w:cs="Calibri"/>
          <w:lang w:eastAsia="en-GB"/>
        </w:rPr>
        <w:t xml:space="preserve"> that we assumed </w:t>
      </w:r>
      <w:r>
        <w:rPr>
          <w:rFonts w:ascii="Calibri" w:eastAsia="Times New Roman" w:hAnsi="Calibri" w:cs="Calibri"/>
          <w:lang w:eastAsia="en-GB"/>
        </w:rPr>
        <w:t>some</w:t>
      </w:r>
      <w:r w:rsidR="001610EC">
        <w:rPr>
          <w:rFonts w:ascii="Calibri" w:eastAsia="Times New Roman" w:hAnsi="Calibri" w:cs="Calibri"/>
          <w:lang w:eastAsia="en-GB"/>
        </w:rPr>
        <w:t xml:space="preserve"> </w:t>
      </w:r>
      <w:r w:rsidR="006E1B0B">
        <w:rPr>
          <w:rFonts w:ascii="Calibri" w:eastAsia="Times New Roman" w:hAnsi="Calibri" w:cs="Calibri"/>
          <w:lang w:eastAsia="en-GB"/>
        </w:rPr>
        <w:t>demographics</w:t>
      </w:r>
      <w:r w:rsidR="001610EC">
        <w:rPr>
          <w:rFonts w:ascii="Calibri" w:eastAsia="Times New Roman" w:hAnsi="Calibri" w:cs="Calibri"/>
          <w:lang w:eastAsia="en-GB"/>
        </w:rPr>
        <w:t xml:space="preserve"> were intermediate on the causal pathway between other variables and the outcomes. For each adjusted </w:t>
      </w:r>
      <w:r w:rsidR="001610EC" w:rsidRPr="002F5628">
        <w:rPr>
          <w:rFonts w:ascii="Calibri" w:eastAsia="Times New Roman" w:hAnsi="Calibri" w:cs="Calibri"/>
          <w:lang w:eastAsia="en-GB"/>
        </w:rPr>
        <w:t>logistic regression model</w:t>
      </w:r>
      <w:r w:rsidR="001610EC">
        <w:rPr>
          <w:rFonts w:ascii="Calibri" w:eastAsia="Times New Roman" w:hAnsi="Calibri" w:cs="Calibri"/>
          <w:lang w:eastAsia="en-GB"/>
        </w:rPr>
        <w:t xml:space="preserve"> estimating the association between a particular demographic and a particular outcome, we</w:t>
      </w:r>
      <w:r w:rsidR="00CD54B4" w:rsidRPr="002F5628">
        <w:rPr>
          <w:rFonts w:ascii="Calibri" w:eastAsia="Times New Roman" w:hAnsi="Calibri" w:cs="Calibri"/>
          <w:lang w:eastAsia="en-GB"/>
        </w:rPr>
        <w:t xml:space="preserve"> reported whether or not variables assumed to be on the causal pathway </w:t>
      </w:r>
      <w:r w:rsidR="00CD54B4">
        <w:rPr>
          <w:rFonts w:ascii="Calibri" w:eastAsia="Times New Roman" w:hAnsi="Calibri" w:cs="Calibri"/>
          <w:lang w:eastAsia="en-GB"/>
        </w:rPr>
        <w:t xml:space="preserve">substantially </w:t>
      </w:r>
      <w:r w:rsidR="00CD54B4" w:rsidRPr="002F5628">
        <w:rPr>
          <w:rFonts w:ascii="Calibri" w:eastAsia="Times New Roman" w:hAnsi="Calibri" w:cs="Calibri"/>
          <w:lang w:eastAsia="en-GB"/>
        </w:rPr>
        <w:t>changed the association</w:t>
      </w:r>
      <w:r w:rsidR="001610EC">
        <w:rPr>
          <w:rFonts w:ascii="Calibri" w:eastAsia="Times New Roman" w:hAnsi="Calibri" w:cs="Calibri"/>
          <w:lang w:eastAsia="en-GB"/>
        </w:rPr>
        <w:t xml:space="preserve"> when added to the model</w:t>
      </w:r>
      <w:r w:rsidR="002F5628" w:rsidRPr="002F5628">
        <w:rPr>
          <w:rFonts w:ascii="Calibri" w:eastAsia="Times New Roman" w:hAnsi="Calibri" w:cs="Calibri"/>
          <w:lang w:eastAsia="en-GB"/>
        </w:rPr>
        <w:t xml:space="preserve">.  </w:t>
      </w:r>
      <w:r w:rsidR="00CD54B4">
        <w:rPr>
          <w:rFonts w:ascii="Calibri" w:eastAsia="Times New Roman" w:hAnsi="Calibri" w:cs="Calibri"/>
          <w:lang w:eastAsia="en-GB"/>
        </w:rPr>
        <w:t>This was not a formal assessment of mediation in order to make causal claims</w:t>
      </w:r>
      <w:r w:rsidR="001610EC">
        <w:rPr>
          <w:rFonts w:ascii="Calibri" w:eastAsia="Times New Roman" w:hAnsi="Calibri" w:cs="Calibri"/>
          <w:lang w:eastAsia="en-GB"/>
        </w:rPr>
        <w:t>, but a description of the associations in the sample</w:t>
      </w:r>
      <w:r w:rsidR="00CD54B4">
        <w:rPr>
          <w:rFonts w:ascii="Calibri" w:eastAsia="Times New Roman" w:hAnsi="Calibri" w:cs="Calibri"/>
          <w:lang w:eastAsia="en-GB"/>
        </w:rPr>
        <w:t xml:space="preserve">.  When the odds ratio </w:t>
      </w:r>
      <w:r w:rsidR="001610EC">
        <w:rPr>
          <w:rFonts w:ascii="Calibri" w:eastAsia="Times New Roman" w:hAnsi="Calibri" w:cs="Calibri"/>
          <w:lang w:eastAsia="en-GB"/>
        </w:rPr>
        <w:t xml:space="preserve">was substantially altered </w:t>
      </w:r>
      <w:r w:rsidR="006E1B0B">
        <w:rPr>
          <w:rFonts w:ascii="Calibri" w:eastAsia="Times New Roman" w:hAnsi="Calibri" w:cs="Calibri"/>
          <w:lang w:eastAsia="en-GB"/>
        </w:rPr>
        <w:t xml:space="preserve">(i.e. by above 10%) </w:t>
      </w:r>
      <w:r w:rsidR="001610EC">
        <w:rPr>
          <w:rFonts w:ascii="Calibri" w:eastAsia="Times New Roman" w:hAnsi="Calibri" w:cs="Calibri"/>
          <w:lang w:eastAsia="en-GB"/>
        </w:rPr>
        <w:t>by the inclus</w:t>
      </w:r>
      <w:r w:rsidR="006E1B0B">
        <w:rPr>
          <w:rFonts w:ascii="Calibri" w:eastAsia="Times New Roman" w:hAnsi="Calibri" w:cs="Calibri"/>
          <w:lang w:eastAsia="en-GB"/>
        </w:rPr>
        <w:t xml:space="preserve">ion of a potential mediator, </w:t>
      </w:r>
      <w:r w:rsidR="001610EC">
        <w:rPr>
          <w:rFonts w:ascii="Calibri" w:eastAsia="Times New Roman" w:hAnsi="Calibri" w:cs="Calibri"/>
          <w:lang w:eastAsia="en-GB"/>
        </w:rPr>
        <w:t xml:space="preserve">we described the variable as having at least partially </w:t>
      </w:r>
      <w:r w:rsidR="006D6164">
        <w:rPr>
          <w:rFonts w:ascii="Calibri" w:eastAsia="Times New Roman" w:hAnsi="Calibri" w:cs="Calibri"/>
          <w:lang w:eastAsia="en-GB"/>
        </w:rPr>
        <w:t>altered</w:t>
      </w:r>
      <w:r w:rsidR="001610EC">
        <w:rPr>
          <w:rFonts w:ascii="Calibri" w:eastAsia="Times New Roman" w:hAnsi="Calibri" w:cs="Calibri"/>
          <w:lang w:eastAsia="en-GB"/>
        </w:rPr>
        <w:t xml:space="preserve"> the association.  </w:t>
      </w:r>
    </w:p>
    <w:p w14:paraId="72A1BA98" w14:textId="0697F90F" w:rsidR="00C019E0" w:rsidRDefault="00C019E0">
      <w:pPr>
        <w:spacing w:before="0" w:after="160" w:line="259" w:lineRule="auto"/>
        <w:rPr>
          <w:rFonts w:ascii="Calibri" w:eastAsia="Arial" w:hAnsi="Calibri" w:cs="Calibri"/>
          <w:b/>
          <w:color w:val="000000"/>
          <w:lang w:eastAsia="en-GB"/>
        </w:rPr>
      </w:pPr>
      <w:r>
        <w:rPr>
          <w:rFonts w:ascii="Calibri" w:eastAsia="Arial" w:hAnsi="Calibri" w:cs="Calibri"/>
          <w:b/>
          <w:color w:val="000000"/>
          <w:lang w:eastAsia="en-GB"/>
        </w:rPr>
        <w:br w:type="page"/>
      </w:r>
    </w:p>
    <w:p w14:paraId="41804856" w14:textId="36D7901C" w:rsidR="002F5628" w:rsidRPr="002F5628" w:rsidRDefault="00C62E7B" w:rsidP="00006056">
      <w:pPr>
        <w:widowControl w:val="0"/>
        <w:spacing w:after="0"/>
        <w:rPr>
          <w:rFonts w:ascii="Calibri" w:eastAsia="Arial" w:hAnsi="Calibri" w:cs="Calibri"/>
          <w:b/>
          <w:color w:val="000000"/>
          <w:lang w:eastAsia="en-GB"/>
        </w:rPr>
      </w:pPr>
      <w:r w:rsidRPr="002F5628">
        <w:rPr>
          <w:rFonts w:ascii="Calibri" w:eastAsia="Arial" w:hAnsi="Calibri" w:cs="Calibri"/>
          <w:b/>
          <w:color w:val="000000"/>
          <w:lang w:eastAsia="en-GB"/>
        </w:rPr>
        <w:lastRenderedPageBreak/>
        <w:t>RESULTS</w:t>
      </w:r>
    </w:p>
    <w:p w14:paraId="5DAA03AE" w14:textId="372564EF" w:rsidR="002F5628" w:rsidRPr="002F5628" w:rsidRDefault="002F5628" w:rsidP="00006056">
      <w:pPr>
        <w:spacing w:after="0"/>
        <w:rPr>
          <w:rFonts w:ascii="Calibri" w:eastAsia="Times New Roman" w:hAnsi="Calibri" w:cs="Calibri"/>
          <w:lang w:eastAsia="en-GB"/>
        </w:rPr>
      </w:pPr>
      <w:r w:rsidRPr="002F5628">
        <w:rPr>
          <w:rFonts w:ascii="Calibri" w:eastAsia="Times New Roman" w:hAnsi="Calibri" w:cs="Calibri"/>
          <w:lang w:eastAsia="en-GB"/>
        </w:rPr>
        <w:t>After ineligibility</w:t>
      </w:r>
      <w:r w:rsidR="00882825" w:rsidRPr="00882825">
        <w:rPr>
          <w:rFonts w:ascii="Calibri" w:eastAsia="Times New Roman" w:hAnsi="Calibri" w:cs="Calibri"/>
          <w:lang w:eastAsia="en-GB"/>
        </w:rPr>
        <w:t xml:space="preserve"> </w:t>
      </w:r>
      <w:r w:rsidR="00882825" w:rsidRPr="002F5628">
        <w:rPr>
          <w:rFonts w:ascii="Calibri" w:eastAsia="Times New Roman" w:hAnsi="Calibri" w:cs="Calibri"/>
          <w:lang w:eastAsia="en-GB"/>
        </w:rPr>
        <w:t>exclusions</w:t>
      </w:r>
      <w:r w:rsidRPr="002F5628">
        <w:rPr>
          <w:rFonts w:ascii="Calibri" w:eastAsia="Times New Roman" w:hAnsi="Calibri" w:cs="Calibri"/>
          <w:lang w:eastAsia="en-GB"/>
        </w:rPr>
        <w:t xml:space="preserve">, there were 5799 </w:t>
      </w:r>
      <w:r w:rsidR="00882825" w:rsidRPr="002F5628">
        <w:rPr>
          <w:rFonts w:ascii="Calibri" w:eastAsia="Times New Roman" w:hAnsi="Calibri" w:cs="Calibri"/>
          <w:lang w:eastAsia="en-GB"/>
        </w:rPr>
        <w:t xml:space="preserve">valid survey </w:t>
      </w:r>
      <w:r w:rsidR="00882825">
        <w:rPr>
          <w:rFonts w:ascii="Calibri" w:eastAsia="Times New Roman" w:hAnsi="Calibri" w:cs="Calibri"/>
          <w:lang w:eastAsia="en-GB"/>
        </w:rPr>
        <w:t>submissions</w:t>
      </w:r>
      <w:r w:rsidRPr="002F5628">
        <w:rPr>
          <w:rFonts w:ascii="Calibri" w:eastAsia="Times New Roman" w:hAnsi="Calibri" w:cs="Calibri"/>
          <w:lang w:eastAsia="en-GB"/>
        </w:rPr>
        <w:t>.</w:t>
      </w:r>
      <w:r w:rsidR="002D7D95" w:rsidRPr="002D7D95">
        <w:rPr>
          <w:b/>
        </w:rPr>
        <w:t xml:space="preserve"> </w:t>
      </w:r>
      <w:r w:rsidR="002D7D95" w:rsidRPr="002D7D95">
        <w:rPr>
          <w:rFonts w:ascii="Calibri" w:eastAsia="Times New Roman" w:hAnsi="Calibri" w:cs="Calibri"/>
          <w:lang w:eastAsia="en-GB"/>
        </w:rPr>
        <w:t xml:space="preserve">From the original sample of 7160, 1361 cases were excluded. </w:t>
      </w:r>
      <w:r w:rsidR="0047760B">
        <w:rPr>
          <w:rFonts w:ascii="Calibri" w:eastAsia="Times New Roman" w:hAnsi="Calibri" w:cs="Calibri"/>
          <w:lang w:eastAsia="en-GB"/>
        </w:rPr>
        <w:t xml:space="preserve">As this paper focusses specifically on England, </w:t>
      </w:r>
      <w:r w:rsidR="002D7D95" w:rsidRPr="002D7D95">
        <w:rPr>
          <w:rFonts w:ascii="Calibri" w:eastAsia="Times New Roman" w:hAnsi="Calibri" w:cs="Calibri"/>
          <w:lang w:eastAsia="en-GB"/>
        </w:rPr>
        <w:t>1257</w:t>
      </w:r>
      <w:r w:rsidR="00867A00">
        <w:rPr>
          <w:rFonts w:ascii="Calibri" w:eastAsia="Times New Roman" w:hAnsi="Calibri" w:cs="Calibri"/>
          <w:lang w:eastAsia="en-GB"/>
        </w:rPr>
        <w:t xml:space="preserve"> men who</w:t>
      </w:r>
      <w:r w:rsidR="002D7D95" w:rsidRPr="002D7D95">
        <w:rPr>
          <w:rFonts w:ascii="Calibri" w:eastAsia="Times New Roman" w:hAnsi="Calibri" w:cs="Calibri"/>
          <w:lang w:eastAsia="en-GB"/>
        </w:rPr>
        <w:t xml:space="preserve"> lived in Scotland or Wales or provided no evidence of living in England</w:t>
      </w:r>
      <w:r w:rsidR="00867A00">
        <w:rPr>
          <w:rFonts w:ascii="Calibri" w:eastAsia="Times New Roman" w:hAnsi="Calibri" w:cs="Calibri"/>
          <w:lang w:eastAsia="en-GB"/>
        </w:rPr>
        <w:t xml:space="preserve"> were excluded. A further </w:t>
      </w:r>
      <w:r w:rsidR="002D7D95" w:rsidRPr="002D7D95">
        <w:rPr>
          <w:rFonts w:ascii="Calibri" w:eastAsia="Times New Roman" w:hAnsi="Calibri" w:cs="Calibri"/>
          <w:lang w:eastAsia="en-GB"/>
        </w:rPr>
        <w:t>112 gave no evidence of sex with men or a gay, bisexual or queer identity, 66 were duplicates, 60 gave no evidence of being aged 16 or above, 35 expressed a female gender identity and 7 gave very inconsistent answers deemed to be nonsensical. Some of these cases overlapped on exclusion criteria.</w:t>
      </w:r>
      <w:r w:rsidRPr="002F5628">
        <w:rPr>
          <w:rFonts w:ascii="Calibri" w:eastAsia="Times New Roman" w:hAnsi="Calibri" w:cs="Calibri"/>
          <w:lang w:eastAsia="en-GB"/>
        </w:rPr>
        <w:t xml:space="preserve"> </w:t>
      </w:r>
      <w:r w:rsidR="006E1B0B" w:rsidRPr="002F5628">
        <w:rPr>
          <w:rFonts w:ascii="Calibri" w:eastAsia="Times New Roman" w:hAnsi="Calibri" w:cs="Calibri"/>
          <w:lang w:eastAsia="en-GB"/>
        </w:rPr>
        <w:t>Table 1</w:t>
      </w:r>
      <w:r w:rsidR="006E1B0B">
        <w:rPr>
          <w:rFonts w:ascii="Calibri" w:eastAsia="Times New Roman" w:hAnsi="Calibri" w:cs="Calibri"/>
          <w:lang w:eastAsia="en-GB"/>
        </w:rPr>
        <w:t xml:space="preserve"> presents a</w:t>
      </w:r>
      <w:r w:rsidRPr="002F5628">
        <w:rPr>
          <w:rFonts w:ascii="Calibri" w:eastAsia="Times New Roman" w:hAnsi="Calibri" w:cs="Calibri"/>
          <w:lang w:eastAsia="en-GB"/>
        </w:rPr>
        <w:t xml:space="preserve"> description of the sample and results of the logi</w:t>
      </w:r>
      <w:r w:rsidR="006E1B0B">
        <w:rPr>
          <w:rFonts w:ascii="Calibri" w:eastAsia="Times New Roman" w:hAnsi="Calibri" w:cs="Calibri"/>
          <w:lang w:eastAsia="en-GB"/>
        </w:rPr>
        <w:t>stic regression.</w:t>
      </w:r>
    </w:p>
    <w:p w14:paraId="5E5C2278" w14:textId="63ED13F3" w:rsidR="00C11164" w:rsidRPr="007845BA" w:rsidRDefault="002F5628" w:rsidP="00006056">
      <w:pPr>
        <w:spacing w:after="0"/>
        <w:rPr>
          <w:rFonts w:ascii="Calibri" w:eastAsia="Times New Roman" w:hAnsi="Calibri" w:cs="Calibri"/>
          <w:lang w:eastAsia="en-GB"/>
        </w:rPr>
      </w:pPr>
      <w:r w:rsidRPr="002F5628">
        <w:rPr>
          <w:rFonts w:ascii="Calibri" w:eastAsia="Times New Roman" w:hAnsi="Calibri" w:cs="Calibri"/>
          <w:lang w:eastAsia="en-GB"/>
        </w:rPr>
        <w:t xml:space="preserve">The median age was 32 years </w:t>
      </w:r>
      <w:r w:rsidR="0081303F">
        <w:rPr>
          <w:rFonts w:ascii="Calibri" w:eastAsia="Times New Roman" w:hAnsi="Calibri" w:cs="Calibri"/>
          <w:lang w:eastAsia="en-GB"/>
        </w:rPr>
        <w:t>with</w:t>
      </w:r>
      <w:r w:rsidRPr="002F5628">
        <w:rPr>
          <w:rFonts w:ascii="Calibri" w:eastAsia="Times New Roman" w:hAnsi="Calibri" w:cs="Calibri"/>
          <w:lang w:eastAsia="en-GB"/>
        </w:rPr>
        <w:t xml:space="preserve"> the majority (78%) under 45 years</w:t>
      </w:r>
      <w:r w:rsidR="0081303F">
        <w:rPr>
          <w:rFonts w:ascii="Calibri" w:eastAsia="Times New Roman" w:hAnsi="Calibri" w:cs="Calibri"/>
          <w:lang w:eastAsia="en-GB"/>
        </w:rPr>
        <w:t>. M</w:t>
      </w:r>
      <w:r w:rsidRPr="002F5628">
        <w:rPr>
          <w:rFonts w:ascii="Calibri" w:eastAsia="Times New Roman" w:hAnsi="Calibri" w:cs="Calibri"/>
          <w:lang w:eastAsia="en-GB"/>
        </w:rPr>
        <w:t xml:space="preserve">ost were </w:t>
      </w:r>
      <w:r w:rsidR="0081303F">
        <w:rPr>
          <w:rFonts w:ascii="Calibri" w:eastAsia="Times New Roman" w:hAnsi="Calibri" w:cs="Calibri"/>
          <w:lang w:eastAsia="en-GB"/>
        </w:rPr>
        <w:t>W</w:t>
      </w:r>
      <w:r w:rsidRPr="002F5628">
        <w:rPr>
          <w:rFonts w:ascii="Calibri" w:eastAsia="Times New Roman" w:hAnsi="Calibri" w:cs="Calibri"/>
          <w:lang w:eastAsia="en-GB"/>
        </w:rPr>
        <w:t xml:space="preserve">hite (94%) and </w:t>
      </w:r>
      <w:r w:rsidR="0081303F">
        <w:rPr>
          <w:rFonts w:ascii="Calibri" w:eastAsia="Times New Roman" w:hAnsi="Calibri" w:cs="Calibri"/>
          <w:lang w:eastAsia="en-GB"/>
        </w:rPr>
        <w:t xml:space="preserve">58% </w:t>
      </w:r>
      <w:r w:rsidRPr="002F5628">
        <w:rPr>
          <w:rFonts w:ascii="Calibri" w:eastAsia="Times New Roman" w:hAnsi="Calibri" w:cs="Calibri"/>
          <w:lang w:eastAsia="en-GB"/>
        </w:rPr>
        <w:t>had degree-level</w:t>
      </w:r>
      <w:r w:rsidR="0081303F">
        <w:rPr>
          <w:rFonts w:ascii="Calibri" w:eastAsia="Times New Roman" w:hAnsi="Calibri" w:cs="Calibri"/>
          <w:lang w:eastAsia="en-GB"/>
        </w:rPr>
        <w:t xml:space="preserve"> education</w:t>
      </w:r>
      <w:r w:rsidRPr="002F5628">
        <w:rPr>
          <w:rFonts w:ascii="Calibri" w:eastAsia="Times New Roman" w:hAnsi="Calibri" w:cs="Calibri"/>
          <w:lang w:eastAsia="en-GB"/>
        </w:rPr>
        <w:t xml:space="preserve">. </w:t>
      </w:r>
      <w:r w:rsidR="0081303F">
        <w:rPr>
          <w:rFonts w:ascii="Calibri" w:eastAsia="Times New Roman" w:hAnsi="Calibri" w:cs="Calibri"/>
          <w:lang w:eastAsia="en-GB"/>
        </w:rPr>
        <w:t xml:space="preserve">There was </w:t>
      </w:r>
      <w:r w:rsidR="0081303F" w:rsidRPr="002F5628">
        <w:rPr>
          <w:rFonts w:ascii="Calibri" w:eastAsia="Times New Roman" w:hAnsi="Calibri" w:cs="Calibri"/>
          <w:lang w:eastAsia="en-GB"/>
        </w:rPr>
        <w:t>a broad distribution of incomes</w:t>
      </w:r>
      <w:r w:rsidR="0081303F">
        <w:rPr>
          <w:rFonts w:ascii="Calibri" w:eastAsia="Times New Roman" w:hAnsi="Calibri" w:cs="Calibri"/>
          <w:lang w:eastAsia="en-GB"/>
        </w:rPr>
        <w:t xml:space="preserve"> and 14% were</w:t>
      </w:r>
      <w:r w:rsidRPr="002F5628">
        <w:rPr>
          <w:rFonts w:ascii="Calibri" w:eastAsia="Times New Roman" w:hAnsi="Calibri" w:cs="Calibri"/>
          <w:lang w:eastAsia="en-GB"/>
        </w:rPr>
        <w:t xml:space="preserve"> migrants.  Approximately equal numbers reported living alone, living with a male partner, or living with others </w:t>
      </w:r>
      <w:r w:rsidR="00473D65">
        <w:rPr>
          <w:rFonts w:ascii="Calibri" w:eastAsia="Times New Roman" w:hAnsi="Calibri" w:cs="Calibri"/>
          <w:lang w:eastAsia="en-GB"/>
        </w:rPr>
        <w:t>(</w:t>
      </w:r>
      <w:r w:rsidRPr="002F5628">
        <w:rPr>
          <w:rFonts w:ascii="Calibri" w:eastAsia="Times New Roman" w:hAnsi="Calibri" w:cs="Calibri"/>
          <w:lang w:eastAsia="en-GB"/>
        </w:rPr>
        <w:t>not a male partner</w:t>
      </w:r>
      <w:r w:rsidR="00473D65">
        <w:rPr>
          <w:rFonts w:ascii="Calibri" w:eastAsia="Times New Roman" w:hAnsi="Calibri" w:cs="Calibri"/>
          <w:lang w:eastAsia="en-GB"/>
        </w:rPr>
        <w:t>)</w:t>
      </w:r>
      <w:r w:rsidRPr="002F5628">
        <w:rPr>
          <w:rFonts w:ascii="Calibri" w:eastAsia="Times New Roman" w:hAnsi="Calibri" w:cs="Calibri"/>
          <w:lang w:eastAsia="en-GB"/>
        </w:rPr>
        <w:t xml:space="preserve">.  </w:t>
      </w:r>
      <w:r w:rsidR="0081303F">
        <w:rPr>
          <w:rFonts w:ascii="Calibri" w:eastAsia="Times New Roman" w:hAnsi="Calibri" w:cs="Calibri"/>
          <w:lang w:eastAsia="en-GB"/>
        </w:rPr>
        <w:t>35%</w:t>
      </w:r>
      <w:r w:rsidRPr="002F5628">
        <w:rPr>
          <w:rFonts w:ascii="Calibri" w:eastAsia="Times New Roman" w:hAnsi="Calibri" w:cs="Calibri"/>
          <w:lang w:eastAsia="en-GB"/>
        </w:rPr>
        <w:t xml:space="preserve"> lived in London.  </w:t>
      </w:r>
      <w:r w:rsidR="00C11164">
        <w:rPr>
          <w:rFonts w:ascii="Calibri" w:eastAsia="Times New Roman" w:hAnsi="Calibri" w:cs="Calibri"/>
          <w:lang w:eastAsia="en-GB"/>
        </w:rPr>
        <w:t>In the adjusted models</w:t>
      </w:r>
      <w:r w:rsidR="007A5569">
        <w:rPr>
          <w:rFonts w:ascii="Calibri" w:eastAsia="Times New Roman" w:hAnsi="Calibri" w:cs="Calibri"/>
          <w:lang w:eastAsia="en-GB"/>
        </w:rPr>
        <w:t>:</w:t>
      </w:r>
      <w:r w:rsidR="00C11164">
        <w:rPr>
          <w:rFonts w:ascii="Calibri" w:eastAsia="Times New Roman" w:hAnsi="Calibri" w:cs="Calibri"/>
          <w:lang w:eastAsia="en-GB"/>
        </w:rPr>
        <w:t xml:space="preserve"> </w:t>
      </w:r>
      <w:r w:rsidR="00473D65">
        <w:rPr>
          <w:rFonts w:ascii="Calibri" w:eastAsia="Times New Roman" w:hAnsi="Calibri" w:cs="Calibri"/>
          <w:lang w:eastAsia="en-GB"/>
        </w:rPr>
        <w:t xml:space="preserve">associations with </w:t>
      </w:r>
      <w:r w:rsidR="00C11164" w:rsidRPr="00C11164">
        <w:rPr>
          <w:rFonts w:ascii="Calibri" w:eastAsia="Times New Roman" w:hAnsi="Calibri" w:cs="Calibri"/>
          <w:lang w:eastAsia="en-GB"/>
        </w:rPr>
        <w:t xml:space="preserve">ethnicity </w:t>
      </w:r>
      <w:r w:rsidR="00473D65">
        <w:rPr>
          <w:rFonts w:ascii="Calibri" w:eastAsia="Times New Roman" w:hAnsi="Calibri" w:cs="Calibri"/>
          <w:lang w:eastAsia="en-GB"/>
        </w:rPr>
        <w:t>were</w:t>
      </w:r>
      <w:r w:rsidR="00C11164" w:rsidRPr="00C11164">
        <w:rPr>
          <w:rFonts w:ascii="Calibri" w:eastAsia="Times New Roman" w:hAnsi="Calibri" w:cs="Calibri"/>
          <w:lang w:eastAsia="en-GB"/>
        </w:rPr>
        <w:t xml:space="preserve"> adjusted by age,</w:t>
      </w:r>
      <w:r w:rsidR="00C11164">
        <w:rPr>
          <w:rFonts w:ascii="Calibri" w:eastAsia="Times New Roman" w:hAnsi="Calibri" w:cs="Calibri"/>
          <w:lang w:eastAsia="en-GB"/>
        </w:rPr>
        <w:t xml:space="preserve"> geography, and migrant status; </w:t>
      </w:r>
      <w:r w:rsidR="00C11164" w:rsidRPr="00C11164">
        <w:rPr>
          <w:rFonts w:ascii="Calibri" w:eastAsia="Times New Roman" w:hAnsi="Calibri" w:cs="Calibri"/>
          <w:lang w:eastAsia="en-GB"/>
        </w:rPr>
        <w:t xml:space="preserve">education </w:t>
      </w:r>
      <w:r w:rsidR="00C11164">
        <w:rPr>
          <w:rFonts w:ascii="Calibri" w:eastAsia="Times New Roman" w:hAnsi="Calibri" w:cs="Calibri"/>
          <w:lang w:eastAsia="en-GB"/>
        </w:rPr>
        <w:t>was</w:t>
      </w:r>
      <w:r w:rsidR="00C11164" w:rsidRPr="00C11164">
        <w:rPr>
          <w:rFonts w:ascii="Calibri" w:eastAsia="Times New Roman" w:hAnsi="Calibri" w:cs="Calibri"/>
          <w:lang w:eastAsia="en-GB"/>
        </w:rPr>
        <w:t xml:space="preserve"> adjusted by age, ethnicity, and living in London</w:t>
      </w:r>
      <w:r w:rsidR="00C11164">
        <w:rPr>
          <w:rFonts w:ascii="Calibri" w:eastAsia="Times New Roman" w:hAnsi="Calibri" w:cs="Calibri"/>
          <w:lang w:eastAsia="en-GB"/>
        </w:rPr>
        <w:t xml:space="preserve">; </w:t>
      </w:r>
      <w:r w:rsidR="00C11164" w:rsidRPr="00C11164">
        <w:rPr>
          <w:rFonts w:ascii="Calibri" w:eastAsia="Times New Roman" w:hAnsi="Calibri" w:cs="Calibri"/>
          <w:lang w:eastAsia="en-GB"/>
        </w:rPr>
        <w:t xml:space="preserve">income </w:t>
      </w:r>
      <w:r w:rsidR="00C11164">
        <w:rPr>
          <w:rFonts w:ascii="Calibri" w:eastAsia="Times New Roman" w:hAnsi="Calibri" w:cs="Calibri"/>
          <w:lang w:eastAsia="en-GB"/>
        </w:rPr>
        <w:t>was</w:t>
      </w:r>
      <w:r w:rsidR="00C11164" w:rsidRPr="00C11164">
        <w:rPr>
          <w:rFonts w:ascii="Calibri" w:eastAsia="Times New Roman" w:hAnsi="Calibri" w:cs="Calibri"/>
          <w:lang w:eastAsia="en-GB"/>
        </w:rPr>
        <w:t xml:space="preserve"> adjusted </w:t>
      </w:r>
      <w:r w:rsidR="00473D65">
        <w:rPr>
          <w:rFonts w:ascii="Calibri" w:eastAsia="Times New Roman" w:hAnsi="Calibri" w:cs="Calibri"/>
          <w:lang w:eastAsia="en-GB"/>
        </w:rPr>
        <w:t>by</w:t>
      </w:r>
      <w:r w:rsidR="00C11164" w:rsidRPr="00C11164">
        <w:rPr>
          <w:rFonts w:ascii="Calibri" w:eastAsia="Times New Roman" w:hAnsi="Calibri" w:cs="Calibri"/>
          <w:lang w:eastAsia="en-GB"/>
        </w:rPr>
        <w:t xml:space="preserve"> age, ethnicity, education, migrant</w:t>
      </w:r>
      <w:r w:rsidR="00C11164">
        <w:rPr>
          <w:rFonts w:ascii="Calibri" w:eastAsia="Times New Roman" w:hAnsi="Calibri" w:cs="Calibri"/>
          <w:lang w:eastAsia="en-GB"/>
        </w:rPr>
        <w:t xml:space="preserve"> status, and living in London; </w:t>
      </w:r>
      <w:r w:rsidR="00C11164" w:rsidRPr="00C11164">
        <w:rPr>
          <w:rFonts w:ascii="Calibri" w:eastAsia="Times New Roman" w:hAnsi="Calibri" w:cs="Calibri"/>
          <w:lang w:eastAsia="en-GB"/>
        </w:rPr>
        <w:t xml:space="preserve">household </w:t>
      </w:r>
      <w:r w:rsidR="00C11164">
        <w:rPr>
          <w:rFonts w:ascii="Calibri" w:eastAsia="Times New Roman" w:hAnsi="Calibri" w:cs="Calibri"/>
          <w:lang w:eastAsia="en-GB"/>
        </w:rPr>
        <w:t>was</w:t>
      </w:r>
      <w:r w:rsidR="00C11164" w:rsidRPr="00C11164">
        <w:rPr>
          <w:rFonts w:ascii="Calibri" w:eastAsia="Times New Roman" w:hAnsi="Calibri" w:cs="Calibri"/>
          <w:lang w:eastAsia="en-GB"/>
        </w:rPr>
        <w:t xml:space="preserve"> adjusted by age, ethnicity, education, migrant status,</w:t>
      </w:r>
      <w:r w:rsidR="00C11164">
        <w:rPr>
          <w:rFonts w:ascii="Calibri" w:eastAsia="Times New Roman" w:hAnsi="Calibri" w:cs="Calibri"/>
          <w:lang w:eastAsia="en-GB"/>
        </w:rPr>
        <w:t xml:space="preserve"> and living in London; </w:t>
      </w:r>
      <w:r w:rsidR="00C11164" w:rsidRPr="00C11164">
        <w:rPr>
          <w:rFonts w:ascii="Calibri" w:eastAsia="Times New Roman" w:hAnsi="Calibri" w:cs="Calibri"/>
          <w:lang w:eastAsia="en-GB"/>
        </w:rPr>
        <w:t xml:space="preserve">migrant status </w:t>
      </w:r>
      <w:r w:rsidR="00C11164">
        <w:rPr>
          <w:rFonts w:ascii="Calibri" w:eastAsia="Times New Roman" w:hAnsi="Calibri" w:cs="Calibri"/>
          <w:lang w:eastAsia="en-GB"/>
        </w:rPr>
        <w:t>was adjusted by age</w:t>
      </w:r>
      <w:r w:rsidR="00473D65">
        <w:rPr>
          <w:rFonts w:ascii="Calibri" w:eastAsia="Times New Roman" w:hAnsi="Calibri" w:cs="Calibri"/>
          <w:lang w:eastAsia="en-GB"/>
        </w:rPr>
        <w:t>;</w:t>
      </w:r>
      <w:r w:rsidR="007A5569">
        <w:rPr>
          <w:rFonts w:ascii="Calibri" w:eastAsia="Times New Roman" w:hAnsi="Calibri" w:cs="Calibri"/>
          <w:lang w:eastAsia="en-GB"/>
        </w:rPr>
        <w:t xml:space="preserve"> and</w:t>
      </w:r>
      <w:r w:rsidR="00C11164" w:rsidRPr="00C11164">
        <w:rPr>
          <w:rFonts w:ascii="Calibri" w:eastAsia="Times New Roman" w:hAnsi="Calibri" w:cs="Calibri"/>
          <w:lang w:eastAsia="en-GB"/>
        </w:rPr>
        <w:t xml:space="preserve"> associations with living in London were adjusted for age and migrant status.  </w:t>
      </w:r>
    </w:p>
    <w:p w14:paraId="3EE1AA2D" w14:textId="77777777" w:rsidR="002F5628" w:rsidRPr="002F5628" w:rsidRDefault="002F5628" w:rsidP="00006056">
      <w:pPr>
        <w:spacing w:after="0"/>
        <w:rPr>
          <w:rFonts w:ascii="Calibri" w:eastAsia="Times New Roman" w:hAnsi="Calibri" w:cs="Calibri"/>
          <w:lang w:eastAsia="en-GB"/>
        </w:rPr>
      </w:pPr>
    </w:p>
    <w:p w14:paraId="724A681F" w14:textId="77777777" w:rsidR="009E60EA" w:rsidRPr="00666A16" w:rsidRDefault="009E60EA" w:rsidP="00006056">
      <w:pPr>
        <w:spacing w:after="0"/>
        <w:rPr>
          <w:rFonts w:ascii="Calibri" w:eastAsia="Times New Roman" w:hAnsi="Calibri" w:cs="Calibri"/>
          <w:b/>
          <w:lang w:eastAsia="en-GB"/>
        </w:rPr>
      </w:pPr>
      <w:r w:rsidRPr="00666A16">
        <w:rPr>
          <w:rFonts w:ascii="Calibri" w:eastAsia="Times New Roman" w:hAnsi="Calibri" w:cs="Calibri"/>
          <w:b/>
          <w:lang w:eastAsia="en-GB"/>
        </w:rPr>
        <w:t xml:space="preserve">Overweight </w:t>
      </w:r>
    </w:p>
    <w:p w14:paraId="2B895D0E" w14:textId="69772296" w:rsidR="002F5628" w:rsidRPr="002F5628" w:rsidRDefault="002F5628" w:rsidP="00006056">
      <w:pPr>
        <w:spacing w:after="0"/>
        <w:rPr>
          <w:rFonts w:ascii="Calibri" w:eastAsia="Times New Roman" w:hAnsi="Calibri" w:cs="Calibri"/>
          <w:lang w:eastAsia="en-GB"/>
        </w:rPr>
      </w:pPr>
      <w:r w:rsidRPr="002F5628">
        <w:rPr>
          <w:rFonts w:ascii="Calibri" w:eastAsia="Times New Roman" w:hAnsi="Calibri" w:cs="Calibri"/>
          <w:lang w:eastAsia="en-GB"/>
        </w:rPr>
        <w:t>Overall, 44% of the men were overweight.  Th</w:t>
      </w:r>
      <w:r w:rsidR="004B4E2C">
        <w:rPr>
          <w:rFonts w:ascii="Calibri" w:eastAsia="Times New Roman" w:hAnsi="Calibri" w:cs="Calibri"/>
          <w:lang w:eastAsia="en-GB"/>
        </w:rPr>
        <w:t>e</w:t>
      </w:r>
      <w:r w:rsidRPr="002F5628">
        <w:rPr>
          <w:rFonts w:ascii="Calibri" w:eastAsia="Times New Roman" w:hAnsi="Calibri" w:cs="Calibri"/>
          <w:lang w:eastAsia="en-GB"/>
        </w:rPr>
        <w:t xml:space="preserve"> proportion overweight </w:t>
      </w:r>
      <w:r w:rsidR="004B4E2C">
        <w:rPr>
          <w:rFonts w:ascii="Calibri" w:eastAsia="Times New Roman" w:hAnsi="Calibri" w:cs="Calibri"/>
          <w:lang w:eastAsia="en-GB"/>
        </w:rPr>
        <w:t>increased successively with age. T</w:t>
      </w:r>
      <w:r w:rsidRPr="002F5628">
        <w:rPr>
          <w:rFonts w:ascii="Calibri" w:eastAsia="Times New Roman" w:hAnsi="Calibri" w:cs="Calibri"/>
          <w:lang w:eastAsia="en-GB"/>
        </w:rPr>
        <w:t xml:space="preserve">here was strong </w:t>
      </w:r>
      <w:r w:rsidR="004B4E2C">
        <w:rPr>
          <w:rFonts w:ascii="Calibri" w:eastAsia="Times New Roman" w:hAnsi="Calibri" w:cs="Calibri"/>
          <w:lang w:eastAsia="en-GB"/>
        </w:rPr>
        <w:t xml:space="preserve">statistical </w:t>
      </w:r>
      <w:r w:rsidRPr="002F5628">
        <w:rPr>
          <w:rFonts w:ascii="Calibri" w:eastAsia="Times New Roman" w:hAnsi="Calibri" w:cs="Calibri"/>
          <w:lang w:eastAsia="en-GB"/>
        </w:rPr>
        <w:t xml:space="preserve">evidence </w:t>
      </w:r>
      <w:r w:rsidR="004B4E2C" w:rsidRPr="002F5628">
        <w:rPr>
          <w:rFonts w:ascii="Calibri" w:eastAsia="Times New Roman" w:hAnsi="Calibri" w:cs="Calibri"/>
          <w:lang w:eastAsia="en-GB"/>
        </w:rPr>
        <w:t>for a</w:t>
      </w:r>
      <w:r w:rsidR="004B4E2C">
        <w:rPr>
          <w:rFonts w:ascii="Calibri" w:eastAsia="Times New Roman" w:hAnsi="Calibri" w:cs="Calibri"/>
          <w:lang w:eastAsia="en-GB"/>
        </w:rPr>
        <w:t xml:space="preserve">n </w:t>
      </w:r>
      <w:r w:rsidR="004B4E2C" w:rsidRPr="002F5628">
        <w:rPr>
          <w:rFonts w:ascii="Calibri" w:eastAsia="Times New Roman" w:hAnsi="Calibri" w:cs="Calibri"/>
          <w:lang w:eastAsia="en-GB"/>
        </w:rPr>
        <w:t xml:space="preserve">association (p&lt;0.001) </w:t>
      </w:r>
      <w:r w:rsidR="004B4E2C">
        <w:rPr>
          <w:rFonts w:ascii="Calibri" w:eastAsia="Times New Roman" w:hAnsi="Calibri" w:cs="Calibri"/>
          <w:lang w:eastAsia="en-GB"/>
        </w:rPr>
        <w:t>and large effect size</w:t>
      </w:r>
      <w:r w:rsidR="003F1589">
        <w:rPr>
          <w:rFonts w:ascii="Calibri" w:eastAsia="Times New Roman" w:hAnsi="Calibri" w:cs="Calibri"/>
          <w:lang w:eastAsia="en-GB"/>
        </w:rPr>
        <w:t>s relative to the youngest group:</w:t>
      </w:r>
      <w:r w:rsidR="004B4E2C">
        <w:rPr>
          <w:rFonts w:ascii="Calibri" w:eastAsia="Times New Roman" w:hAnsi="Calibri" w:cs="Calibri"/>
          <w:lang w:eastAsia="en-GB"/>
        </w:rPr>
        <w:t xml:space="preserve"> men aged over </w:t>
      </w:r>
      <w:r w:rsidRPr="002F5628">
        <w:rPr>
          <w:rFonts w:ascii="Calibri" w:eastAsia="Times New Roman" w:hAnsi="Calibri" w:cs="Calibri"/>
          <w:lang w:eastAsia="en-GB"/>
        </w:rPr>
        <w:t xml:space="preserve">45 </w:t>
      </w:r>
      <w:r w:rsidR="00BD0F8C">
        <w:rPr>
          <w:rFonts w:ascii="Calibri" w:eastAsia="Times New Roman" w:hAnsi="Calibri" w:cs="Calibri"/>
          <w:lang w:eastAsia="en-GB"/>
        </w:rPr>
        <w:t>were more than twice as likely to</w:t>
      </w:r>
      <w:r w:rsidRPr="002F5628">
        <w:rPr>
          <w:rFonts w:ascii="Calibri" w:eastAsia="Times New Roman" w:hAnsi="Calibri" w:cs="Calibri"/>
          <w:lang w:eastAsia="en-GB"/>
        </w:rPr>
        <w:t xml:space="preserve"> be overweight relative to those </w:t>
      </w:r>
      <w:r w:rsidR="004B4E2C">
        <w:rPr>
          <w:rFonts w:ascii="Calibri" w:eastAsia="Times New Roman" w:hAnsi="Calibri" w:cs="Calibri"/>
          <w:lang w:eastAsia="en-GB"/>
        </w:rPr>
        <w:t xml:space="preserve">under </w:t>
      </w:r>
      <w:r w:rsidRPr="002F5628">
        <w:rPr>
          <w:rFonts w:ascii="Calibri" w:eastAsia="Times New Roman" w:hAnsi="Calibri" w:cs="Calibri"/>
          <w:lang w:eastAsia="en-GB"/>
        </w:rPr>
        <w:t>25</w:t>
      </w:r>
      <w:r w:rsidR="00BD0F8C">
        <w:rPr>
          <w:rFonts w:ascii="Calibri" w:eastAsia="Times New Roman" w:hAnsi="Calibri" w:cs="Calibri"/>
          <w:lang w:eastAsia="en-GB"/>
        </w:rPr>
        <w:t xml:space="preserve"> (percentage overweight aged &gt;45=57%, 16-25=25%; OR=4.08 95% CI: 3.47-4.8</w:t>
      </w:r>
      <w:r w:rsidR="00170F73">
        <w:rPr>
          <w:rFonts w:ascii="Calibri" w:eastAsia="Times New Roman" w:hAnsi="Calibri" w:cs="Calibri"/>
          <w:lang w:eastAsia="en-GB"/>
        </w:rPr>
        <w:t>0</w:t>
      </w:r>
      <w:r w:rsidR="00BD0F8C">
        <w:rPr>
          <w:rFonts w:ascii="Calibri" w:eastAsia="Times New Roman" w:hAnsi="Calibri" w:cs="Calibri"/>
          <w:lang w:eastAsia="en-GB"/>
        </w:rPr>
        <w:t>).</w:t>
      </w:r>
      <w:r w:rsidRPr="002F5628">
        <w:rPr>
          <w:rFonts w:ascii="Calibri" w:eastAsia="Times New Roman" w:hAnsi="Calibri" w:cs="Calibri"/>
          <w:lang w:eastAsia="en-GB"/>
        </w:rPr>
        <w:t xml:space="preserve"> </w:t>
      </w:r>
      <w:r w:rsidR="004B4E2C">
        <w:rPr>
          <w:rFonts w:ascii="Calibri" w:eastAsia="Times New Roman" w:hAnsi="Calibri" w:cs="Calibri"/>
          <w:lang w:eastAsia="en-GB"/>
        </w:rPr>
        <w:t>T</w:t>
      </w:r>
      <w:r w:rsidRPr="002F5628">
        <w:rPr>
          <w:rFonts w:ascii="Calibri" w:eastAsia="Times New Roman" w:hAnsi="Calibri" w:cs="Calibri"/>
          <w:lang w:eastAsia="en-GB"/>
        </w:rPr>
        <w:t xml:space="preserve">he effect </w:t>
      </w:r>
      <w:r w:rsidR="00BD0F8C">
        <w:rPr>
          <w:rFonts w:ascii="Calibri" w:eastAsia="Times New Roman" w:hAnsi="Calibri" w:cs="Calibri"/>
          <w:lang w:eastAsia="en-GB"/>
        </w:rPr>
        <w:t xml:space="preserve">of age </w:t>
      </w:r>
      <w:r w:rsidRPr="002F5628">
        <w:rPr>
          <w:rFonts w:ascii="Calibri" w:eastAsia="Times New Roman" w:hAnsi="Calibri" w:cs="Calibri"/>
          <w:lang w:eastAsia="en-GB"/>
        </w:rPr>
        <w:t xml:space="preserve">was not </w:t>
      </w:r>
      <w:r w:rsidR="006D6164">
        <w:rPr>
          <w:rFonts w:ascii="Calibri" w:eastAsia="Times New Roman" w:hAnsi="Calibri" w:cs="Calibri"/>
          <w:lang w:eastAsia="en-GB"/>
        </w:rPr>
        <w:t>changed</w:t>
      </w:r>
      <w:r w:rsidR="006D6164" w:rsidRPr="002F5628">
        <w:rPr>
          <w:rFonts w:ascii="Calibri" w:eastAsia="Times New Roman" w:hAnsi="Calibri" w:cs="Calibri"/>
          <w:lang w:eastAsia="en-GB"/>
        </w:rPr>
        <w:t xml:space="preserve"> </w:t>
      </w:r>
      <w:r w:rsidRPr="002F5628">
        <w:rPr>
          <w:rFonts w:ascii="Calibri" w:eastAsia="Times New Roman" w:hAnsi="Calibri" w:cs="Calibri"/>
          <w:lang w:eastAsia="en-GB"/>
        </w:rPr>
        <w:t xml:space="preserve">by </w:t>
      </w:r>
      <w:r w:rsidR="006D6164">
        <w:rPr>
          <w:rFonts w:ascii="Calibri" w:eastAsia="Times New Roman" w:hAnsi="Calibri" w:cs="Calibri"/>
          <w:lang w:eastAsia="en-GB"/>
        </w:rPr>
        <w:t xml:space="preserve">adjusting for </w:t>
      </w:r>
      <w:r w:rsidRPr="002F5628">
        <w:rPr>
          <w:rFonts w:ascii="Calibri" w:eastAsia="Times New Roman" w:hAnsi="Calibri" w:cs="Calibri"/>
          <w:lang w:eastAsia="en-GB"/>
        </w:rPr>
        <w:t>migration status or household living arrangement</w:t>
      </w:r>
      <w:r w:rsidR="006D6164">
        <w:rPr>
          <w:rFonts w:ascii="Calibri" w:eastAsia="Times New Roman" w:hAnsi="Calibri" w:cs="Calibri"/>
          <w:lang w:eastAsia="en-GB"/>
        </w:rPr>
        <w:t>;</w:t>
      </w:r>
      <w:r w:rsidRPr="002F5628">
        <w:rPr>
          <w:rFonts w:ascii="Calibri" w:eastAsia="Times New Roman" w:hAnsi="Calibri" w:cs="Calibri"/>
          <w:lang w:eastAsia="en-GB"/>
        </w:rPr>
        <w:t xml:space="preserve"> adjusting for income, education, and living in London </w:t>
      </w:r>
      <w:r w:rsidR="004B4E2C" w:rsidRPr="002F5628">
        <w:rPr>
          <w:rFonts w:ascii="Calibri" w:eastAsia="Times New Roman" w:hAnsi="Calibri" w:cs="Calibri"/>
          <w:lang w:eastAsia="en-GB"/>
        </w:rPr>
        <w:t xml:space="preserve">moderately </w:t>
      </w:r>
      <w:r w:rsidRPr="002F5628">
        <w:rPr>
          <w:rFonts w:ascii="Calibri" w:eastAsia="Times New Roman" w:hAnsi="Calibri" w:cs="Calibri"/>
          <w:lang w:eastAsia="en-GB"/>
        </w:rPr>
        <w:t xml:space="preserve">shifted the effect estimates away from the null.  This suggested that the effect of age </w:t>
      </w:r>
      <w:r w:rsidR="006D6164">
        <w:rPr>
          <w:rFonts w:ascii="Calibri" w:eastAsia="Times New Roman" w:hAnsi="Calibri" w:cs="Calibri"/>
          <w:lang w:eastAsia="en-GB"/>
        </w:rPr>
        <w:t>might be</w:t>
      </w:r>
      <w:r w:rsidR="006D6164" w:rsidRPr="002F5628">
        <w:rPr>
          <w:rFonts w:ascii="Calibri" w:eastAsia="Times New Roman" w:hAnsi="Calibri" w:cs="Calibri"/>
          <w:lang w:eastAsia="en-GB"/>
        </w:rPr>
        <w:t xml:space="preserve"> </w:t>
      </w:r>
      <w:r w:rsidRPr="002F5628">
        <w:rPr>
          <w:rFonts w:ascii="Calibri" w:eastAsia="Times New Roman" w:hAnsi="Calibri" w:cs="Calibri"/>
          <w:lang w:eastAsia="en-GB"/>
        </w:rPr>
        <w:t xml:space="preserve">slightly weakened because of its intermediate effect on these factors. There </w:t>
      </w:r>
      <w:r w:rsidR="006D6164">
        <w:rPr>
          <w:rFonts w:ascii="Calibri" w:eastAsia="Times New Roman" w:hAnsi="Calibri" w:cs="Calibri"/>
          <w:lang w:eastAsia="en-GB"/>
        </w:rPr>
        <w:t>was</w:t>
      </w:r>
      <w:r w:rsidR="006D6164" w:rsidRPr="002F5628">
        <w:rPr>
          <w:rFonts w:ascii="Calibri" w:eastAsia="Times New Roman" w:hAnsi="Calibri" w:cs="Calibri"/>
          <w:lang w:eastAsia="en-GB"/>
        </w:rPr>
        <w:t xml:space="preserve"> </w:t>
      </w:r>
      <w:r w:rsidRPr="002F5628">
        <w:rPr>
          <w:rFonts w:ascii="Calibri" w:eastAsia="Times New Roman" w:hAnsi="Calibri" w:cs="Calibri"/>
          <w:lang w:eastAsia="en-GB"/>
        </w:rPr>
        <w:t>strong evidence of an association between increasing level of education and a lower risk of being overweight</w:t>
      </w:r>
      <w:r w:rsidR="00BD0F8C">
        <w:rPr>
          <w:rFonts w:ascii="Calibri" w:eastAsia="Times New Roman" w:hAnsi="Calibri" w:cs="Calibri"/>
          <w:lang w:eastAsia="en-GB"/>
        </w:rPr>
        <w:t xml:space="preserve"> (p&lt;0.001)</w:t>
      </w:r>
      <w:r w:rsidRPr="002F5628">
        <w:rPr>
          <w:rFonts w:ascii="Calibri" w:eastAsia="Times New Roman" w:hAnsi="Calibri" w:cs="Calibri"/>
          <w:lang w:eastAsia="en-GB"/>
        </w:rPr>
        <w:t>, with the strongest effect for the high education category relative to the low category (</w:t>
      </w:r>
      <w:proofErr w:type="spellStart"/>
      <w:r w:rsidRPr="002F5628">
        <w:rPr>
          <w:rFonts w:ascii="Calibri" w:eastAsia="Times New Roman" w:hAnsi="Calibri" w:cs="Calibri"/>
          <w:lang w:eastAsia="en-GB"/>
        </w:rPr>
        <w:t>aOR</w:t>
      </w:r>
      <w:proofErr w:type="spellEnd"/>
      <w:r w:rsidRPr="002F5628">
        <w:rPr>
          <w:rFonts w:ascii="Calibri" w:eastAsia="Times New Roman" w:hAnsi="Calibri" w:cs="Calibri"/>
          <w:lang w:eastAsia="en-GB"/>
        </w:rPr>
        <w:t xml:space="preserve"> degree=0.74 95% CI 0.63-0.87). </w:t>
      </w:r>
      <w:r w:rsidR="006D6164">
        <w:rPr>
          <w:rFonts w:ascii="Calibri" w:eastAsia="Times New Roman" w:hAnsi="Calibri" w:cs="Calibri"/>
          <w:lang w:eastAsia="en-GB"/>
        </w:rPr>
        <w:t>Adjusting for other potentially mediating variables did not change the estimated effect</w:t>
      </w:r>
      <w:r w:rsidRPr="002F5628">
        <w:rPr>
          <w:rFonts w:ascii="Calibri" w:eastAsia="Times New Roman" w:hAnsi="Calibri" w:cs="Calibri"/>
          <w:lang w:eastAsia="en-GB"/>
        </w:rPr>
        <w:t>. We found moderate evidence that migrant status was associated with lower risk of being overweight (</w:t>
      </w:r>
      <w:proofErr w:type="spellStart"/>
      <w:r w:rsidRPr="002F5628">
        <w:rPr>
          <w:rFonts w:ascii="Calibri" w:eastAsia="Times New Roman" w:hAnsi="Calibri" w:cs="Calibri"/>
          <w:lang w:eastAsia="en-GB"/>
        </w:rPr>
        <w:t>aOR</w:t>
      </w:r>
      <w:proofErr w:type="spellEnd"/>
      <w:r w:rsidRPr="002F5628">
        <w:rPr>
          <w:rFonts w:ascii="Calibri" w:eastAsia="Times New Roman" w:hAnsi="Calibri" w:cs="Calibri"/>
          <w:lang w:eastAsia="en-GB"/>
        </w:rPr>
        <w:t xml:space="preserve"> </w:t>
      </w:r>
      <w:r w:rsidR="00170F73">
        <w:rPr>
          <w:rFonts w:ascii="Calibri" w:eastAsia="Times New Roman" w:hAnsi="Calibri" w:cs="Calibri"/>
          <w:lang w:eastAsia="en-GB"/>
        </w:rPr>
        <w:t>migrant=</w:t>
      </w:r>
      <w:r w:rsidRPr="002F5628">
        <w:rPr>
          <w:rFonts w:ascii="Calibri" w:eastAsia="Times New Roman" w:hAnsi="Calibri" w:cs="Calibri"/>
          <w:lang w:eastAsia="en-GB"/>
        </w:rPr>
        <w:t xml:space="preserve">0.82 95% CI 0.70-0.96), but that </w:t>
      </w:r>
      <w:r w:rsidRPr="002F5628">
        <w:rPr>
          <w:rFonts w:ascii="Calibri" w:eastAsia="Times New Roman" w:hAnsi="Calibri" w:cs="Calibri"/>
          <w:lang w:eastAsia="en-GB"/>
        </w:rPr>
        <w:lastRenderedPageBreak/>
        <w:t xml:space="preserve">this was strongly </w:t>
      </w:r>
      <w:r w:rsidR="006D6164">
        <w:rPr>
          <w:rFonts w:ascii="Calibri" w:eastAsia="Times New Roman" w:hAnsi="Calibri" w:cs="Calibri"/>
          <w:lang w:eastAsia="en-GB"/>
        </w:rPr>
        <w:t>altered</w:t>
      </w:r>
      <w:r w:rsidR="006D6164" w:rsidRPr="002F5628">
        <w:rPr>
          <w:rFonts w:ascii="Calibri" w:eastAsia="Times New Roman" w:hAnsi="Calibri" w:cs="Calibri"/>
          <w:lang w:eastAsia="en-GB"/>
        </w:rPr>
        <w:t xml:space="preserve"> </w:t>
      </w:r>
      <w:r w:rsidRPr="002F5628">
        <w:rPr>
          <w:rFonts w:ascii="Calibri" w:eastAsia="Times New Roman" w:hAnsi="Calibri" w:cs="Calibri"/>
          <w:lang w:eastAsia="en-GB"/>
        </w:rPr>
        <w:t xml:space="preserve">by </w:t>
      </w:r>
      <w:r w:rsidR="006D6164">
        <w:rPr>
          <w:rFonts w:ascii="Calibri" w:eastAsia="Times New Roman" w:hAnsi="Calibri" w:cs="Calibri"/>
          <w:lang w:eastAsia="en-GB"/>
        </w:rPr>
        <w:t xml:space="preserve">adjusting for </w:t>
      </w:r>
      <w:r w:rsidRPr="002F5628">
        <w:rPr>
          <w:rFonts w:ascii="Calibri" w:eastAsia="Times New Roman" w:hAnsi="Calibri" w:cs="Calibri"/>
          <w:lang w:eastAsia="en-GB"/>
        </w:rPr>
        <w:t xml:space="preserve">living in London so that the </w:t>
      </w:r>
      <w:proofErr w:type="spellStart"/>
      <w:r w:rsidRPr="002F5628">
        <w:rPr>
          <w:rFonts w:ascii="Calibri" w:eastAsia="Times New Roman" w:hAnsi="Calibri" w:cs="Calibri"/>
          <w:lang w:eastAsia="en-GB"/>
        </w:rPr>
        <w:t>aOR</w:t>
      </w:r>
      <w:proofErr w:type="spellEnd"/>
      <w:r w:rsidRPr="002F5628">
        <w:rPr>
          <w:rFonts w:ascii="Calibri" w:eastAsia="Times New Roman" w:hAnsi="Calibri" w:cs="Calibri"/>
          <w:lang w:eastAsia="en-GB"/>
        </w:rPr>
        <w:t xml:space="preserve"> was 0.93, and the p-value became 0.40.  </w:t>
      </w:r>
    </w:p>
    <w:p w14:paraId="4FC3BC39" w14:textId="77777777" w:rsidR="002F5628" w:rsidRPr="002F5628" w:rsidRDefault="002F5628" w:rsidP="00006056">
      <w:pPr>
        <w:spacing w:after="0"/>
        <w:rPr>
          <w:rFonts w:ascii="Calibri" w:eastAsia="Times New Roman" w:hAnsi="Calibri" w:cs="Calibri"/>
          <w:lang w:eastAsia="en-GB"/>
        </w:rPr>
      </w:pPr>
    </w:p>
    <w:p w14:paraId="2318C441" w14:textId="1A76CBA1" w:rsidR="009E60EA" w:rsidRPr="00666A16" w:rsidRDefault="000D3A91" w:rsidP="00006056">
      <w:pPr>
        <w:spacing w:after="0"/>
        <w:rPr>
          <w:rFonts w:ascii="Calibri" w:eastAsia="Times New Roman" w:hAnsi="Calibri" w:cs="Calibri"/>
          <w:b/>
          <w:lang w:eastAsia="en-GB"/>
        </w:rPr>
      </w:pPr>
      <w:r>
        <w:rPr>
          <w:rFonts w:ascii="Calibri" w:eastAsia="Times New Roman" w:hAnsi="Calibri" w:cs="Calibri"/>
          <w:b/>
          <w:lang w:eastAsia="en-GB"/>
        </w:rPr>
        <w:t xml:space="preserve">Low </w:t>
      </w:r>
      <w:r w:rsidR="004B4E2C">
        <w:rPr>
          <w:rFonts w:ascii="Calibri" w:eastAsia="Times New Roman" w:hAnsi="Calibri" w:cs="Calibri"/>
          <w:b/>
          <w:lang w:eastAsia="en-GB"/>
        </w:rPr>
        <w:t>e</w:t>
      </w:r>
      <w:r w:rsidR="009E60EA" w:rsidRPr="00666A16">
        <w:rPr>
          <w:rFonts w:ascii="Calibri" w:eastAsia="Times New Roman" w:hAnsi="Calibri" w:cs="Calibri"/>
          <w:b/>
          <w:lang w:eastAsia="en-GB"/>
        </w:rPr>
        <w:t>xercise</w:t>
      </w:r>
    </w:p>
    <w:p w14:paraId="082DBA86" w14:textId="01EDAD31" w:rsidR="002F5628" w:rsidRPr="002F5628" w:rsidRDefault="006B1976" w:rsidP="00006056">
      <w:pPr>
        <w:spacing w:after="0"/>
        <w:rPr>
          <w:rFonts w:ascii="Calibri" w:eastAsia="Times New Roman" w:hAnsi="Calibri" w:cs="Calibri"/>
          <w:lang w:eastAsia="en-GB"/>
        </w:rPr>
      </w:pPr>
      <w:r>
        <w:rPr>
          <w:rFonts w:ascii="Calibri" w:eastAsia="Times New Roman" w:hAnsi="Calibri" w:cs="Calibri"/>
          <w:lang w:eastAsia="en-GB"/>
        </w:rPr>
        <w:t xml:space="preserve">The majority, </w:t>
      </w:r>
      <w:r w:rsidR="002152F0">
        <w:rPr>
          <w:rFonts w:ascii="Calibri" w:eastAsia="Times New Roman" w:hAnsi="Calibri" w:cs="Calibri"/>
          <w:lang w:eastAsia="en-GB"/>
        </w:rPr>
        <w:t>61</w:t>
      </w:r>
      <w:r>
        <w:rPr>
          <w:rFonts w:ascii="Calibri" w:eastAsia="Times New Roman" w:hAnsi="Calibri" w:cs="Calibri"/>
          <w:lang w:eastAsia="en-GB"/>
        </w:rPr>
        <w:t xml:space="preserve">.6%, were physically active (for 30 minutes or more) on fewer than five days per week. </w:t>
      </w:r>
      <w:r w:rsidR="002F5628" w:rsidRPr="002F5628">
        <w:rPr>
          <w:rFonts w:ascii="Calibri" w:eastAsia="Times New Roman" w:hAnsi="Calibri" w:cs="Calibri"/>
          <w:lang w:eastAsia="en-GB"/>
        </w:rPr>
        <w:t xml:space="preserve">  There was </w:t>
      </w:r>
      <w:r w:rsidR="00332960">
        <w:rPr>
          <w:rFonts w:ascii="Calibri" w:eastAsia="Times New Roman" w:hAnsi="Calibri" w:cs="Calibri"/>
          <w:lang w:eastAsia="en-GB"/>
        </w:rPr>
        <w:t>no</w:t>
      </w:r>
      <w:r w:rsidR="00332960" w:rsidRPr="002F5628">
        <w:rPr>
          <w:rFonts w:ascii="Calibri" w:eastAsia="Times New Roman" w:hAnsi="Calibri" w:cs="Calibri"/>
          <w:lang w:eastAsia="en-GB"/>
        </w:rPr>
        <w:t xml:space="preserve"> </w:t>
      </w:r>
      <w:r w:rsidR="002F5628" w:rsidRPr="002F5628">
        <w:rPr>
          <w:rFonts w:ascii="Calibri" w:eastAsia="Times New Roman" w:hAnsi="Calibri" w:cs="Calibri"/>
          <w:lang w:eastAsia="en-GB"/>
        </w:rPr>
        <w:t>evidence of an association with increasing age (p</w:t>
      </w:r>
      <w:r w:rsidR="00332960">
        <w:rPr>
          <w:rFonts w:ascii="Calibri" w:eastAsia="Times New Roman" w:hAnsi="Calibri" w:cs="Calibri"/>
          <w:lang w:eastAsia="en-GB"/>
        </w:rPr>
        <w:t>=0.390</w:t>
      </w:r>
      <w:r w:rsidR="002F5628" w:rsidRPr="002F5628">
        <w:rPr>
          <w:rFonts w:ascii="Calibri" w:eastAsia="Times New Roman" w:hAnsi="Calibri" w:cs="Calibri"/>
          <w:lang w:eastAsia="en-GB"/>
        </w:rPr>
        <w:t xml:space="preserve">). Men of Asian </w:t>
      </w:r>
      <w:r w:rsidR="00AE10D2">
        <w:rPr>
          <w:rFonts w:ascii="Calibri" w:eastAsia="Times New Roman" w:hAnsi="Calibri" w:cs="Calibri"/>
          <w:lang w:eastAsia="en-GB"/>
        </w:rPr>
        <w:t>ethnicity</w:t>
      </w:r>
      <w:r w:rsidR="00AE10D2" w:rsidRPr="002F5628">
        <w:rPr>
          <w:rFonts w:ascii="Calibri" w:eastAsia="Times New Roman" w:hAnsi="Calibri" w:cs="Calibri"/>
          <w:lang w:eastAsia="en-GB"/>
        </w:rPr>
        <w:t xml:space="preserve"> </w:t>
      </w:r>
      <w:r w:rsidR="002F5628" w:rsidRPr="002F5628">
        <w:rPr>
          <w:rFonts w:ascii="Calibri" w:eastAsia="Times New Roman" w:hAnsi="Calibri" w:cs="Calibri"/>
          <w:lang w:eastAsia="en-GB"/>
        </w:rPr>
        <w:t xml:space="preserve">were less likely to exercise relative to </w:t>
      </w:r>
      <w:r w:rsidR="004B4E2C">
        <w:rPr>
          <w:rFonts w:ascii="Calibri" w:eastAsia="Times New Roman" w:hAnsi="Calibri" w:cs="Calibri"/>
          <w:lang w:eastAsia="en-GB"/>
        </w:rPr>
        <w:t>W</w:t>
      </w:r>
      <w:r w:rsidR="002F5628" w:rsidRPr="002F5628">
        <w:rPr>
          <w:rFonts w:ascii="Calibri" w:eastAsia="Times New Roman" w:hAnsi="Calibri" w:cs="Calibri"/>
          <w:lang w:eastAsia="en-GB"/>
        </w:rPr>
        <w:t xml:space="preserve">hite </w:t>
      </w:r>
      <w:r w:rsidR="00AE10D2">
        <w:rPr>
          <w:rFonts w:ascii="Calibri" w:eastAsia="Times New Roman" w:hAnsi="Calibri" w:cs="Calibri"/>
          <w:lang w:eastAsia="en-GB"/>
        </w:rPr>
        <w:t>men</w:t>
      </w:r>
      <w:r w:rsidR="002F5628" w:rsidRPr="002F5628">
        <w:rPr>
          <w:rFonts w:ascii="Calibri" w:eastAsia="Times New Roman" w:hAnsi="Calibri" w:cs="Calibri"/>
          <w:lang w:eastAsia="en-GB"/>
        </w:rPr>
        <w:t xml:space="preserve">, and there was moderate evidence for the association </w:t>
      </w:r>
      <w:proofErr w:type="gramStart"/>
      <w:r w:rsidR="002F5628" w:rsidRPr="002F5628">
        <w:rPr>
          <w:rFonts w:ascii="Calibri" w:eastAsia="Times New Roman" w:hAnsi="Calibri" w:cs="Calibri"/>
          <w:lang w:eastAsia="en-GB"/>
        </w:rPr>
        <w:t xml:space="preserve">( </w:t>
      </w:r>
      <w:proofErr w:type="spellStart"/>
      <w:r w:rsidR="002F5628" w:rsidRPr="002F5628">
        <w:rPr>
          <w:rFonts w:ascii="Calibri" w:eastAsia="Times New Roman" w:hAnsi="Calibri" w:cs="Calibri"/>
          <w:lang w:eastAsia="en-GB"/>
        </w:rPr>
        <w:t>aOR</w:t>
      </w:r>
      <w:proofErr w:type="spellEnd"/>
      <w:proofErr w:type="gramEnd"/>
      <w:r w:rsidR="002F5628" w:rsidRPr="002F5628">
        <w:rPr>
          <w:rFonts w:ascii="Calibri" w:eastAsia="Times New Roman" w:hAnsi="Calibri" w:cs="Calibri"/>
          <w:lang w:eastAsia="en-GB"/>
        </w:rPr>
        <w:t xml:space="preserve"> </w:t>
      </w:r>
      <w:r w:rsidR="00332960">
        <w:rPr>
          <w:rFonts w:ascii="Calibri" w:eastAsia="Times New Roman" w:hAnsi="Calibri" w:cs="Calibri"/>
          <w:lang w:eastAsia="en-GB"/>
        </w:rPr>
        <w:t>2</w:t>
      </w:r>
      <w:r w:rsidR="002F5628" w:rsidRPr="002F5628">
        <w:rPr>
          <w:rFonts w:ascii="Calibri" w:eastAsia="Times New Roman" w:hAnsi="Calibri" w:cs="Calibri"/>
          <w:lang w:eastAsia="en-GB"/>
        </w:rPr>
        <w:t>.</w:t>
      </w:r>
      <w:r w:rsidR="00332960">
        <w:rPr>
          <w:rFonts w:ascii="Calibri" w:eastAsia="Times New Roman" w:hAnsi="Calibri" w:cs="Calibri"/>
          <w:lang w:eastAsia="en-GB"/>
        </w:rPr>
        <w:t>02</w:t>
      </w:r>
      <w:r w:rsidR="002F5628" w:rsidRPr="002F5628">
        <w:rPr>
          <w:rFonts w:ascii="Calibri" w:eastAsia="Times New Roman" w:hAnsi="Calibri" w:cs="Calibri"/>
          <w:lang w:eastAsia="en-GB"/>
        </w:rPr>
        <w:t xml:space="preserve"> 95% CI 1.</w:t>
      </w:r>
      <w:r w:rsidR="00332960">
        <w:rPr>
          <w:rFonts w:ascii="Calibri" w:eastAsia="Times New Roman" w:hAnsi="Calibri" w:cs="Calibri"/>
          <w:lang w:eastAsia="en-GB"/>
        </w:rPr>
        <w:t>25</w:t>
      </w:r>
      <w:r w:rsidR="002F5628" w:rsidRPr="002F5628">
        <w:rPr>
          <w:rFonts w:ascii="Calibri" w:eastAsia="Times New Roman" w:hAnsi="Calibri" w:cs="Calibri"/>
          <w:lang w:eastAsia="en-GB"/>
        </w:rPr>
        <w:t>-3.</w:t>
      </w:r>
      <w:r w:rsidR="00332960">
        <w:rPr>
          <w:rFonts w:ascii="Calibri" w:eastAsia="Times New Roman" w:hAnsi="Calibri" w:cs="Calibri"/>
          <w:lang w:eastAsia="en-GB"/>
        </w:rPr>
        <w:t>26</w:t>
      </w:r>
      <w:r w:rsidR="002F5628" w:rsidRPr="002F5628">
        <w:rPr>
          <w:rFonts w:ascii="Calibri" w:eastAsia="Times New Roman" w:hAnsi="Calibri" w:cs="Calibri"/>
          <w:lang w:eastAsia="en-GB"/>
        </w:rPr>
        <w:t>; p-value overall=0.0</w:t>
      </w:r>
      <w:r w:rsidR="00332960">
        <w:rPr>
          <w:rFonts w:ascii="Calibri" w:eastAsia="Times New Roman" w:hAnsi="Calibri" w:cs="Calibri"/>
          <w:lang w:eastAsia="en-GB"/>
        </w:rPr>
        <w:t>09</w:t>
      </w:r>
      <w:r w:rsidR="002F5628" w:rsidRPr="002F5628">
        <w:rPr>
          <w:rFonts w:ascii="Calibri" w:eastAsia="Times New Roman" w:hAnsi="Calibri" w:cs="Calibri"/>
          <w:lang w:eastAsia="en-GB"/>
        </w:rPr>
        <w:t>).  This association</w:t>
      </w:r>
      <w:r w:rsidR="00997F13">
        <w:rPr>
          <w:rFonts w:ascii="Calibri" w:eastAsia="Times New Roman" w:hAnsi="Calibri" w:cs="Calibri"/>
          <w:lang w:eastAsia="en-GB"/>
        </w:rPr>
        <w:t xml:space="preserve"> </w:t>
      </w:r>
      <w:r w:rsidR="002F5628" w:rsidRPr="002F5628">
        <w:rPr>
          <w:rFonts w:ascii="Calibri" w:eastAsia="Times New Roman" w:hAnsi="Calibri" w:cs="Calibri"/>
          <w:lang w:eastAsia="en-GB"/>
        </w:rPr>
        <w:t xml:space="preserve">was not </w:t>
      </w:r>
      <w:r w:rsidR="00E12DB9">
        <w:rPr>
          <w:rFonts w:ascii="Calibri" w:eastAsia="Times New Roman" w:hAnsi="Calibri" w:cs="Calibri"/>
          <w:lang w:eastAsia="en-GB"/>
        </w:rPr>
        <w:t xml:space="preserve">altered </w:t>
      </w:r>
      <w:r w:rsidR="00E12DB9" w:rsidRPr="002F5628">
        <w:rPr>
          <w:rFonts w:ascii="Calibri" w:eastAsia="Times New Roman" w:hAnsi="Calibri" w:cs="Calibri"/>
          <w:lang w:eastAsia="en-GB"/>
        </w:rPr>
        <w:t>by</w:t>
      </w:r>
      <w:r w:rsidR="002F5628" w:rsidRPr="002F5628">
        <w:rPr>
          <w:rFonts w:ascii="Calibri" w:eastAsia="Times New Roman" w:hAnsi="Calibri" w:cs="Calibri"/>
          <w:lang w:eastAsia="en-GB"/>
        </w:rPr>
        <w:t xml:space="preserve"> </w:t>
      </w:r>
      <w:r w:rsidR="00E12DB9">
        <w:rPr>
          <w:rFonts w:ascii="Calibri" w:eastAsia="Times New Roman" w:hAnsi="Calibri" w:cs="Calibri"/>
          <w:lang w:eastAsia="en-GB"/>
        </w:rPr>
        <w:t xml:space="preserve">adjustment for </w:t>
      </w:r>
      <w:r w:rsidR="002F5628" w:rsidRPr="002F5628">
        <w:rPr>
          <w:rFonts w:ascii="Calibri" w:eastAsia="Times New Roman" w:hAnsi="Calibri" w:cs="Calibri"/>
          <w:lang w:eastAsia="en-GB"/>
        </w:rPr>
        <w:t xml:space="preserve">education </w:t>
      </w:r>
      <w:r w:rsidR="00997F13">
        <w:rPr>
          <w:rFonts w:ascii="Calibri" w:eastAsia="Times New Roman" w:hAnsi="Calibri" w:cs="Calibri"/>
          <w:lang w:eastAsia="en-GB"/>
        </w:rPr>
        <w:t>(</w:t>
      </w:r>
      <w:proofErr w:type="spellStart"/>
      <w:proofErr w:type="gramStart"/>
      <w:r w:rsidR="00997F13">
        <w:rPr>
          <w:rFonts w:ascii="Calibri" w:eastAsia="Times New Roman" w:hAnsi="Calibri" w:cs="Calibri"/>
          <w:lang w:eastAsia="en-GB"/>
        </w:rPr>
        <w:t>aOR</w:t>
      </w:r>
      <w:proofErr w:type="spellEnd"/>
      <w:r w:rsidR="00997F13">
        <w:rPr>
          <w:rFonts w:ascii="Calibri" w:eastAsia="Times New Roman" w:hAnsi="Calibri" w:cs="Calibri"/>
          <w:lang w:eastAsia="en-GB"/>
        </w:rPr>
        <w:t xml:space="preserve"> </w:t>
      </w:r>
      <w:r w:rsidR="00964F99">
        <w:rPr>
          <w:rFonts w:ascii="Calibri" w:eastAsia="Times New Roman" w:hAnsi="Calibri" w:cs="Calibri"/>
          <w:lang w:eastAsia="en-GB"/>
        </w:rPr>
        <w:t xml:space="preserve"> Asian</w:t>
      </w:r>
      <w:proofErr w:type="gramEnd"/>
      <w:r w:rsidR="00FB6165">
        <w:rPr>
          <w:rFonts w:ascii="Calibri" w:eastAsia="Times New Roman" w:hAnsi="Calibri" w:cs="Calibri"/>
          <w:lang w:eastAsia="en-GB"/>
        </w:rPr>
        <w:t xml:space="preserve"> </w:t>
      </w:r>
      <w:r w:rsidR="00997F13">
        <w:rPr>
          <w:rFonts w:ascii="Calibri" w:eastAsia="Times New Roman" w:hAnsi="Calibri" w:cs="Calibri"/>
          <w:lang w:eastAsia="en-GB"/>
        </w:rPr>
        <w:t>| education = 2.0</w:t>
      </w:r>
      <w:r w:rsidR="00170F73">
        <w:rPr>
          <w:rFonts w:ascii="Calibri" w:eastAsia="Times New Roman" w:hAnsi="Calibri" w:cs="Calibri"/>
          <w:lang w:eastAsia="en-GB"/>
        </w:rPr>
        <w:t>4</w:t>
      </w:r>
      <w:r w:rsidR="00997F13">
        <w:rPr>
          <w:rFonts w:ascii="Calibri" w:eastAsia="Times New Roman" w:hAnsi="Calibri" w:cs="Calibri"/>
          <w:lang w:eastAsia="en-GB"/>
        </w:rPr>
        <w:t xml:space="preserve">) </w:t>
      </w:r>
      <w:r w:rsidR="002F5628" w:rsidRPr="002F5628">
        <w:rPr>
          <w:rFonts w:ascii="Calibri" w:eastAsia="Times New Roman" w:hAnsi="Calibri" w:cs="Calibri"/>
          <w:lang w:eastAsia="en-GB"/>
        </w:rPr>
        <w:t>or income</w:t>
      </w:r>
      <w:r w:rsidR="00997F13">
        <w:rPr>
          <w:rFonts w:ascii="Calibri" w:eastAsia="Times New Roman" w:hAnsi="Calibri" w:cs="Calibri"/>
          <w:lang w:eastAsia="en-GB"/>
        </w:rPr>
        <w:t xml:space="preserve"> (</w:t>
      </w:r>
      <w:proofErr w:type="spellStart"/>
      <w:r w:rsidR="00997F13">
        <w:rPr>
          <w:rFonts w:ascii="Calibri" w:eastAsia="Times New Roman" w:hAnsi="Calibri" w:cs="Calibri"/>
          <w:lang w:eastAsia="en-GB"/>
        </w:rPr>
        <w:t>aOR</w:t>
      </w:r>
      <w:proofErr w:type="spellEnd"/>
      <w:r w:rsidR="00997F13">
        <w:rPr>
          <w:rFonts w:ascii="Calibri" w:eastAsia="Times New Roman" w:hAnsi="Calibri" w:cs="Calibri"/>
          <w:lang w:eastAsia="en-GB"/>
        </w:rPr>
        <w:t xml:space="preserve"> </w:t>
      </w:r>
      <w:r w:rsidR="00964F99">
        <w:rPr>
          <w:rFonts w:ascii="Calibri" w:eastAsia="Times New Roman" w:hAnsi="Calibri" w:cs="Calibri"/>
          <w:lang w:eastAsia="en-GB"/>
        </w:rPr>
        <w:t>Asian</w:t>
      </w:r>
      <w:r w:rsidR="00FB6165">
        <w:rPr>
          <w:rFonts w:ascii="Calibri" w:eastAsia="Times New Roman" w:hAnsi="Calibri" w:cs="Calibri"/>
          <w:lang w:eastAsia="en-GB"/>
        </w:rPr>
        <w:t xml:space="preserve"> </w:t>
      </w:r>
      <w:r w:rsidR="00997F13">
        <w:rPr>
          <w:rFonts w:ascii="Calibri" w:eastAsia="Times New Roman" w:hAnsi="Calibri" w:cs="Calibri"/>
          <w:lang w:eastAsia="en-GB"/>
        </w:rPr>
        <w:t xml:space="preserve">| 1.94 </w:t>
      </w:r>
      <w:r w:rsidR="00964F99">
        <w:rPr>
          <w:rFonts w:ascii="Calibri" w:eastAsia="Times New Roman" w:hAnsi="Calibri" w:cs="Calibri"/>
          <w:lang w:eastAsia="en-GB"/>
        </w:rPr>
        <w:t>income)</w:t>
      </w:r>
      <w:r w:rsidR="002F5628" w:rsidRPr="002F5628">
        <w:rPr>
          <w:rFonts w:ascii="Calibri" w:eastAsia="Times New Roman" w:hAnsi="Calibri" w:cs="Calibri"/>
          <w:lang w:eastAsia="en-GB"/>
        </w:rPr>
        <w:t xml:space="preserve">. </w:t>
      </w:r>
      <w:r w:rsidR="00F24E8C">
        <w:rPr>
          <w:rFonts w:ascii="Calibri" w:eastAsia="Times New Roman" w:hAnsi="Calibri" w:cs="Calibri"/>
          <w:lang w:eastAsia="en-GB"/>
        </w:rPr>
        <w:t>E</w:t>
      </w:r>
      <w:r w:rsidR="002F5628" w:rsidRPr="002F5628">
        <w:rPr>
          <w:rFonts w:ascii="Calibri" w:eastAsia="Times New Roman" w:hAnsi="Calibri" w:cs="Calibri"/>
          <w:lang w:eastAsia="en-GB"/>
        </w:rPr>
        <w:t xml:space="preserve">ducation </w:t>
      </w:r>
      <w:r w:rsidR="00F24E8C">
        <w:rPr>
          <w:rFonts w:ascii="Calibri" w:eastAsia="Times New Roman" w:hAnsi="Calibri" w:cs="Calibri"/>
          <w:lang w:eastAsia="en-GB"/>
        </w:rPr>
        <w:t>was not associated with</w:t>
      </w:r>
      <w:r w:rsidR="000D3A91">
        <w:rPr>
          <w:rFonts w:ascii="Calibri" w:eastAsia="Times New Roman" w:hAnsi="Calibri" w:cs="Calibri"/>
          <w:lang w:eastAsia="en-GB"/>
        </w:rPr>
        <w:t xml:space="preserve"> low</w:t>
      </w:r>
      <w:r w:rsidR="00F24E8C">
        <w:rPr>
          <w:rFonts w:ascii="Calibri" w:eastAsia="Times New Roman" w:hAnsi="Calibri" w:cs="Calibri"/>
          <w:lang w:eastAsia="en-GB"/>
        </w:rPr>
        <w:t xml:space="preserve"> </w:t>
      </w:r>
      <w:r w:rsidR="007530B3">
        <w:rPr>
          <w:rFonts w:ascii="Calibri" w:eastAsia="Times New Roman" w:hAnsi="Calibri" w:cs="Calibri"/>
          <w:lang w:eastAsia="en-GB"/>
        </w:rPr>
        <w:t>exercise</w:t>
      </w:r>
      <w:r w:rsidR="002F5628" w:rsidRPr="002F5628">
        <w:rPr>
          <w:rFonts w:ascii="Calibri" w:eastAsia="Times New Roman" w:hAnsi="Calibri" w:cs="Calibri"/>
          <w:lang w:eastAsia="en-GB"/>
        </w:rPr>
        <w:t xml:space="preserve">.  </w:t>
      </w:r>
      <w:r w:rsidR="007E6EF7">
        <w:rPr>
          <w:rFonts w:ascii="Calibri" w:eastAsia="Times New Roman" w:hAnsi="Calibri" w:cs="Calibri"/>
          <w:lang w:eastAsia="en-GB"/>
        </w:rPr>
        <w:t>There was no evidence that m</w:t>
      </w:r>
      <w:r w:rsidR="002F5628" w:rsidRPr="002F5628">
        <w:rPr>
          <w:rFonts w:ascii="Calibri" w:eastAsia="Times New Roman" w:hAnsi="Calibri" w:cs="Calibri"/>
          <w:lang w:eastAsia="en-GB"/>
        </w:rPr>
        <w:t>igrants exercise</w:t>
      </w:r>
      <w:r w:rsidR="007E6EF7">
        <w:rPr>
          <w:rFonts w:ascii="Calibri" w:eastAsia="Times New Roman" w:hAnsi="Calibri" w:cs="Calibri"/>
          <w:lang w:eastAsia="en-GB"/>
        </w:rPr>
        <w:t>d more or less</w:t>
      </w:r>
      <w:r w:rsidR="002F5628" w:rsidRPr="002F5628">
        <w:rPr>
          <w:rFonts w:ascii="Calibri" w:eastAsia="Times New Roman" w:hAnsi="Calibri" w:cs="Calibri"/>
          <w:lang w:eastAsia="en-GB"/>
        </w:rPr>
        <w:t xml:space="preserve"> </w:t>
      </w:r>
      <w:r w:rsidR="004B4E2C">
        <w:rPr>
          <w:rFonts w:ascii="Calibri" w:eastAsia="Times New Roman" w:hAnsi="Calibri" w:cs="Calibri"/>
          <w:lang w:eastAsia="en-GB"/>
        </w:rPr>
        <w:t>than non-migrants</w:t>
      </w:r>
      <w:r w:rsidR="00E90D92">
        <w:rPr>
          <w:rFonts w:ascii="Calibri" w:eastAsia="Times New Roman" w:hAnsi="Calibri" w:cs="Calibri"/>
          <w:lang w:eastAsia="en-GB"/>
        </w:rPr>
        <w:t>, while living in London was associated with a modest protective effect (</w:t>
      </w:r>
      <w:proofErr w:type="spellStart"/>
      <w:r w:rsidR="00E90D92">
        <w:rPr>
          <w:rFonts w:ascii="Calibri" w:eastAsia="Times New Roman" w:hAnsi="Calibri" w:cs="Calibri"/>
          <w:lang w:eastAsia="en-GB"/>
        </w:rPr>
        <w:t>aOR</w:t>
      </w:r>
      <w:proofErr w:type="spellEnd"/>
      <w:r w:rsidR="00E90D92">
        <w:rPr>
          <w:rFonts w:ascii="Calibri" w:eastAsia="Times New Roman" w:hAnsi="Calibri" w:cs="Calibri"/>
          <w:lang w:eastAsia="en-GB"/>
        </w:rPr>
        <w:t>=0.89 95% CI 0.79 – 1.00)</w:t>
      </w:r>
      <w:r w:rsidR="002F5628" w:rsidRPr="002F5628">
        <w:rPr>
          <w:rFonts w:ascii="Calibri" w:eastAsia="Times New Roman" w:hAnsi="Calibri" w:cs="Calibri"/>
          <w:lang w:eastAsia="en-GB"/>
        </w:rPr>
        <w:t xml:space="preserve">. </w:t>
      </w:r>
    </w:p>
    <w:p w14:paraId="5D59500A" w14:textId="77777777" w:rsidR="002F5628" w:rsidRPr="002F5628" w:rsidRDefault="002F5628" w:rsidP="00006056">
      <w:pPr>
        <w:spacing w:after="0"/>
        <w:rPr>
          <w:rFonts w:ascii="Calibri" w:eastAsia="Times New Roman" w:hAnsi="Calibri" w:cs="Calibri"/>
          <w:lang w:eastAsia="en-GB"/>
        </w:rPr>
      </w:pPr>
    </w:p>
    <w:p w14:paraId="466073A9" w14:textId="7A9C465C" w:rsidR="009E60EA" w:rsidRDefault="002A6F00" w:rsidP="00006056">
      <w:pPr>
        <w:spacing w:after="0"/>
        <w:rPr>
          <w:rFonts w:ascii="Calibri" w:eastAsia="Times New Roman" w:hAnsi="Calibri" w:cs="Calibri"/>
          <w:lang w:eastAsia="en-GB"/>
        </w:rPr>
      </w:pPr>
      <w:r>
        <w:rPr>
          <w:rFonts w:ascii="Calibri" w:eastAsia="Times New Roman" w:hAnsi="Calibri" w:cs="Calibri"/>
          <w:b/>
          <w:lang w:eastAsia="en-GB"/>
        </w:rPr>
        <w:t xml:space="preserve">Frequent </w:t>
      </w:r>
      <w:r w:rsidR="004B4E2C">
        <w:rPr>
          <w:rFonts w:ascii="Calibri" w:eastAsia="Times New Roman" w:hAnsi="Calibri" w:cs="Calibri"/>
          <w:b/>
          <w:lang w:eastAsia="en-GB"/>
        </w:rPr>
        <w:t>a</w:t>
      </w:r>
      <w:r w:rsidR="009E60EA" w:rsidRPr="00666A16">
        <w:rPr>
          <w:rFonts w:ascii="Calibri" w:eastAsia="Times New Roman" w:hAnsi="Calibri" w:cs="Calibri"/>
          <w:b/>
          <w:lang w:eastAsia="en-GB"/>
        </w:rPr>
        <w:t>lcohol</w:t>
      </w:r>
    </w:p>
    <w:p w14:paraId="7D42070A" w14:textId="4C252626" w:rsidR="002F5628" w:rsidRPr="002F5628" w:rsidRDefault="00170F73" w:rsidP="00006056">
      <w:pPr>
        <w:spacing w:after="0"/>
        <w:rPr>
          <w:rFonts w:ascii="Calibri" w:eastAsia="Times New Roman" w:hAnsi="Calibri" w:cs="Calibri"/>
          <w:lang w:eastAsia="en-GB"/>
        </w:rPr>
      </w:pPr>
      <w:r>
        <w:rPr>
          <w:rFonts w:ascii="Calibri" w:eastAsia="Times New Roman" w:hAnsi="Calibri" w:cs="Calibri"/>
          <w:lang w:eastAsia="en-GB"/>
        </w:rPr>
        <w:t>Over</w:t>
      </w:r>
      <w:r w:rsidR="004B4E2C">
        <w:rPr>
          <w:rFonts w:ascii="Calibri" w:eastAsia="Times New Roman" w:hAnsi="Calibri" w:cs="Calibri"/>
          <w:lang w:eastAsia="en-GB"/>
        </w:rPr>
        <w:t xml:space="preserve"> 4</w:t>
      </w:r>
      <w:r>
        <w:rPr>
          <w:rFonts w:ascii="Calibri" w:eastAsia="Times New Roman" w:hAnsi="Calibri" w:cs="Calibri"/>
          <w:lang w:eastAsia="en-GB"/>
        </w:rPr>
        <w:t>3</w:t>
      </w:r>
      <w:r w:rsidR="004B4E2C">
        <w:rPr>
          <w:rFonts w:ascii="Calibri" w:eastAsia="Times New Roman" w:hAnsi="Calibri" w:cs="Calibri"/>
          <w:lang w:eastAsia="en-GB"/>
        </w:rPr>
        <w:t xml:space="preserve">% </w:t>
      </w:r>
      <w:r w:rsidR="002F5628" w:rsidRPr="002F5628">
        <w:rPr>
          <w:rFonts w:ascii="Calibri" w:eastAsia="Times New Roman" w:hAnsi="Calibri" w:cs="Calibri"/>
          <w:lang w:eastAsia="en-GB"/>
        </w:rPr>
        <w:t>dr</w:t>
      </w:r>
      <w:r w:rsidR="004B4E2C">
        <w:rPr>
          <w:rFonts w:ascii="Calibri" w:eastAsia="Times New Roman" w:hAnsi="Calibri" w:cs="Calibri"/>
          <w:lang w:eastAsia="en-GB"/>
        </w:rPr>
        <w:t>a</w:t>
      </w:r>
      <w:r w:rsidR="002F5628" w:rsidRPr="002F5628">
        <w:rPr>
          <w:rFonts w:ascii="Calibri" w:eastAsia="Times New Roman" w:hAnsi="Calibri" w:cs="Calibri"/>
          <w:lang w:eastAsia="en-GB"/>
        </w:rPr>
        <w:t xml:space="preserve">nk on four or more days </w:t>
      </w:r>
      <w:r w:rsidR="004B4E2C">
        <w:rPr>
          <w:rFonts w:ascii="Calibri" w:eastAsia="Times New Roman" w:hAnsi="Calibri" w:cs="Calibri"/>
          <w:lang w:eastAsia="en-GB"/>
        </w:rPr>
        <w:t>in the last week</w:t>
      </w:r>
      <w:r w:rsidR="00B07970">
        <w:rPr>
          <w:rFonts w:ascii="Calibri" w:eastAsia="Times New Roman" w:hAnsi="Calibri" w:cs="Calibri"/>
          <w:lang w:eastAsia="en-GB"/>
        </w:rPr>
        <w:t>. T</w:t>
      </w:r>
      <w:r w:rsidR="002F5628" w:rsidRPr="002F5628">
        <w:rPr>
          <w:rFonts w:ascii="Calibri" w:eastAsia="Times New Roman" w:hAnsi="Calibri" w:cs="Calibri"/>
          <w:lang w:eastAsia="en-GB"/>
        </w:rPr>
        <w:t xml:space="preserve">he proportion </w:t>
      </w:r>
      <w:r w:rsidR="00B07970">
        <w:rPr>
          <w:rFonts w:ascii="Calibri" w:eastAsia="Times New Roman" w:hAnsi="Calibri" w:cs="Calibri"/>
          <w:lang w:eastAsia="en-GB"/>
        </w:rPr>
        <w:t xml:space="preserve">was lowest in the 16-35 year olds and highest for </w:t>
      </w:r>
      <w:r w:rsidR="002F5628" w:rsidRPr="002F5628">
        <w:rPr>
          <w:rFonts w:ascii="Calibri" w:eastAsia="Times New Roman" w:hAnsi="Calibri" w:cs="Calibri"/>
          <w:lang w:eastAsia="en-GB"/>
        </w:rPr>
        <w:t xml:space="preserve">men over 45.  The association between age and </w:t>
      </w:r>
      <w:r w:rsidR="002A6F00">
        <w:rPr>
          <w:rFonts w:ascii="Calibri" w:eastAsia="Times New Roman" w:hAnsi="Calibri" w:cs="Calibri"/>
          <w:lang w:eastAsia="en-GB"/>
        </w:rPr>
        <w:t>frequent</w:t>
      </w:r>
      <w:r w:rsidR="002A6F00" w:rsidRPr="002F5628">
        <w:rPr>
          <w:rFonts w:ascii="Calibri" w:eastAsia="Times New Roman" w:hAnsi="Calibri" w:cs="Calibri"/>
          <w:lang w:eastAsia="en-GB"/>
        </w:rPr>
        <w:t xml:space="preserve"> </w:t>
      </w:r>
      <w:r w:rsidR="002F5628" w:rsidRPr="002F5628">
        <w:rPr>
          <w:rFonts w:ascii="Calibri" w:eastAsia="Times New Roman" w:hAnsi="Calibri" w:cs="Calibri"/>
          <w:lang w:eastAsia="en-GB"/>
        </w:rPr>
        <w:t>alcohol</w:t>
      </w:r>
      <w:r w:rsidR="00434711">
        <w:rPr>
          <w:rFonts w:ascii="Calibri" w:eastAsia="Times New Roman" w:hAnsi="Calibri" w:cs="Calibri"/>
          <w:lang w:eastAsia="en-GB"/>
        </w:rPr>
        <w:t xml:space="preserve"> intake</w:t>
      </w:r>
      <w:r w:rsidR="002F5628" w:rsidRPr="002F5628">
        <w:rPr>
          <w:rFonts w:ascii="Calibri" w:eastAsia="Times New Roman" w:hAnsi="Calibri" w:cs="Calibri"/>
          <w:lang w:eastAsia="en-GB"/>
        </w:rPr>
        <w:t xml:space="preserve"> </w:t>
      </w:r>
      <w:r w:rsidR="002A36F9">
        <w:rPr>
          <w:rFonts w:ascii="Calibri" w:eastAsia="Times New Roman" w:hAnsi="Calibri" w:cs="Calibri"/>
          <w:lang w:eastAsia="en-GB"/>
        </w:rPr>
        <w:t>was</w:t>
      </w:r>
      <w:r w:rsidR="002A36F9" w:rsidRPr="002F5628">
        <w:rPr>
          <w:rFonts w:ascii="Calibri" w:eastAsia="Times New Roman" w:hAnsi="Calibri" w:cs="Calibri"/>
          <w:lang w:eastAsia="en-GB"/>
        </w:rPr>
        <w:t xml:space="preserve"> </w:t>
      </w:r>
      <w:r w:rsidR="002F5628" w:rsidRPr="002F5628">
        <w:rPr>
          <w:rFonts w:ascii="Calibri" w:eastAsia="Times New Roman" w:hAnsi="Calibri" w:cs="Calibri"/>
          <w:lang w:eastAsia="en-GB"/>
        </w:rPr>
        <w:t xml:space="preserve">strong, with substantial effect sizes. </w:t>
      </w:r>
      <w:r w:rsidR="00B07970">
        <w:rPr>
          <w:rFonts w:ascii="Calibri" w:eastAsia="Times New Roman" w:hAnsi="Calibri" w:cs="Calibri"/>
          <w:lang w:eastAsia="en-GB"/>
        </w:rPr>
        <w:t>S</w:t>
      </w:r>
      <w:r w:rsidR="002F5628" w:rsidRPr="002F5628">
        <w:rPr>
          <w:rFonts w:ascii="Calibri" w:eastAsia="Times New Roman" w:hAnsi="Calibri" w:cs="Calibri"/>
          <w:lang w:eastAsia="en-GB"/>
        </w:rPr>
        <w:t>ome of th</w:t>
      </w:r>
      <w:r w:rsidR="00B07970">
        <w:rPr>
          <w:rFonts w:ascii="Calibri" w:eastAsia="Times New Roman" w:hAnsi="Calibri" w:cs="Calibri"/>
          <w:lang w:eastAsia="en-GB"/>
        </w:rPr>
        <w:t>is</w:t>
      </w:r>
      <w:r w:rsidR="002F5628" w:rsidRPr="002F5628">
        <w:rPr>
          <w:rFonts w:ascii="Calibri" w:eastAsia="Times New Roman" w:hAnsi="Calibri" w:cs="Calibri"/>
          <w:lang w:eastAsia="en-GB"/>
        </w:rPr>
        <w:t xml:space="preserve"> association </w:t>
      </w:r>
      <w:r w:rsidR="002A36F9">
        <w:rPr>
          <w:rFonts w:ascii="Calibri" w:eastAsia="Times New Roman" w:hAnsi="Calibri" w:cs="Calibri"/>
          <w:lang w:eastAsia="en-GB"/>
        </w:rPr>
        <w:t>was</w:t>
      </w:r>
      <w:r w:rsidR="002A36F9" w:rsidRPr="002F5628">
        <w:rPr>
          <w:rFonts w:ascii="Calibri" w:eastAsia="Times New Roman" w:hAnsi="Calibri" w:cs="Calibri"/>
          <w:lang w:eastAsia="en-GB"/>
        </w:rPr>
        <w:t xml:space="preserve"> </w:t>
      </w:r>
      <w:r w:rsidR="0093674E">
        <w:rPr>
          <w:rFonts w:ascii="Calibri" w:eastAsia="Times New Roman" w:hAnsi="Calibri" w:cs="Calibri"/>
          <w:lang w:eastAsia="en-GB"/>
        </w:rPr>
        <w:t xml:space="preserve">altered </w:t>
      </w:r>
      <w:r w:rsidR="002F5628" w:rsidRPr="002F5628">
        <w:rPr>
          <w:rFonts w:ascii="Calibri" w:eastAsia="Times New Roman" w:hAnsi="Calibri" w:cs="Calibri"/>
          <w:lang w:eastAsia="en-GB"/>
        </w:rPr>
        <w:t xml:space="preserve">by </w:t>
      </w:r>
      <w:r w:rsidR="0093674E">
        <w:rPr>
          <w:rFonts w:ascii="Calibri" w:eastAsia="Times New Roman" w:hAnsi="Calibri" w:cs="Calibri"/>
          <w:lang w:eastAsia="en-GB"/>
        </w:rPr>
        <w:t xml:space="preserve">adjusting for </w:t>
      </w:r>
      <w:r w:rsidR="002F5628" w:rsidRPr="002F5628">
        <w:rPr>
          <w:rFonts w:ascii="Calibri" w:eastAsia="Times New Roman" w:hAnsi="Calibri" w:cs="Calibri"/>
          <w:lang w:eastAsia="en-GB"/>
        </w:rPr>
        <w:t>income (</w:t>
      </w:r>
      <w:proofErr w:type="spellStart"/>
      <w:r w:rsidR="002F5628" w:rsidRPr="002F5628">
        <w:rPr>
          <w:rFonts w:ascii="Calibri" w:eastAsia="Times New Roman" w:hAnsi="Calibri" w:cs="Calibri"/>
          <w:lang w:eastAsia="en-GB"/>
        </w:rPr>
        <w:t>aOR|income</w:t>
      </w:r>
      <w:proofErr w:type="spellEnd"/>
      <w:r w:rsidR="002F5628" w:rsidRPr="002F5628">
        <w:rPr>
          <w:rFonts w:ascii="Calibri" w:eastAsia="Times New Roman" w:hAnsi="Calibri" w:cs="Calibri"/>
          <w:lang w:eastAsia="en-GB"/>
        </w:rPr>
        <w:t xml:space="preserve">: 25-35=1.12; 36-45=1.41; &gt;45=1.77).  There </w:t>
      </w:r>
      <w:r w:rsidR="002A36F9">
        <w:rPr>
          <w:rFonts w:ascii="Calibri" w:eastAsia="Times New Roman" w:hAnsi="Calibri" w:cs="Calibri"/>
          <w:lang w:eastAsia="en-GB"/>
        </w:rPr>
        <w:t>was</w:t>
      </w:r>
      <w:r w:rsidR="002A36F9" w:rsidRPr="002F5628">
        <w:rPr>
          <w:rFonts w:ascii="Calibri" w:eastAsia="Times New Roman" w:hAnsi="Calibri" w:cs="Calibri"/>
          <w:lang w:eastAsia="en-GB"/>
        </w:rPr>
        <w:t xml:space="preserve"> </w:t>
      </w:r>
      <w:r w:rsidR="002F5628" w:rsidRPr="002F5628">
        <w:rPr>
          <w:rFonts w:ascii="Calibri" w:eastAsia="Times New Roman" w:hAnsi="Calibri" w:cs="Calibri"/>
          <w:lang w:eastAsia="en-GB"/>
        </w:rPr>
        <w:t xml:space="preserve">moderate evidence that </w:t>
      </w:r>
      <w:r w:rsidR="002A6F00">
        <w:rPr>
          <w:rFonts w:ascii="Calibri" w:eastAsia="Times New Roman" w:hAnsi="Calibri" w:cs="Calibri"/>
          <w:lang w:eastAsia="en-GB"/>
        </w:rPr>
        <w:t xml:space="preserve">frequent </w:t>
      </w:r>
      <w:r w:rsidR="00B07970">
        <w:rPr>
          <w:rFonts w:ascii="Calibri" w:eastAsia="Times New Roman" w:hAnsi="Calibri" w:cs="Calibri"/>
          <w:lang w:eastAsia="en-GB"/>
        </w:rPr>
        <w:t xml:space="preserve">alcohol </w:t>
      </w:r>
      <w:r w:rsidR="002F5628" w:rsidRPr="002F5628">
        <w:rPr>
          <w:rFonts w:ascii="Calibri" w:eastAsia="Times New Roman" w:hAnsi="Calibri" w:cs="Calibri"/>
          <w:lang w:eastAsia="en-GB"/>
        </w:rPr>
        <w:t>increases with income, and strong evidence of association with living in London (</w:t>
      </w:r>
      <w:proofErr w:type="spellStart"/>
      <w:r w:rsidR="002F5628" w:rsidRPr="002F5628">
        <w:rPr>
          <w:rFonts w:ascii="Calibri" w:eastAsia="Times New Roman" w:hAnsi="Calibri" w:cs="Calibri"/>
          <w:lang w:eastAsia="en-GB"/>
        </w:rPr>
        <w:t>aOR</w:t>
      </w:r>
      <w:proofErr w:type="spellEnd"/>
      <w:r w:rsidR="002F5628" w:rsidRPr="002F5628">
        <w:rPr>
          <w:rFonts w:ascii="Calibri" w:eastAsia="Times New Roman" w:hAnsi="Calibri" w:cs="Calibri"/>
          <w:lang w:eastAsia="en-GB"/>
        </w:rPr>
        <w:t xml:space="preserve"> living in London 1.24 95% CI 1.11-1.39; p&lt;0.001).  The effect of living in London </w:t>
      </w:r>
      <w:r w:rsidR="002A36F9">
        <w:rPr>
          <w:rFonts w:ascii="Calibri" w:eastAsia="Times New Roman" w:hAnsi="Calibri" w:cs="Calibri"/>
          <w:lang w:eastAsia="en-GB"/>
        </w:rPr>
        <w:t>was</w:t>
      </w:r>
      <w:r w:rsidR="002A36F9" w:rsidRPr="002F5628">
        <w:rPr>
          <w:rFonts w:ascii="Calibri" w:eastAsia="Times New Roman" w:hAnsi="Calibri" w:cs="Calibri"/>
          <w:lang w:eastAsia="en-GB"/>
        </w:rPr>
        <w:t xml:space="preserve"> </w:t>
      </w:r>
      <w:r w:rsidR="002F5628" w:rsidRPr="002F5628">
        <w:rPr>
          <w:rFonts w:ascii="Calibri" w:eastAsia="Times New Roman" w:hAnsi="Calibri" w:cs="Calibri"/>
          <w:lang w:eastAsia="en-GB"/>
        </w:rPr>
        <w:t>very slightly moved towards the null when adjusting for income (</w:t>
      </w:r>
      <w:proofErr w:type="spellStart"/>
      <w:r w:rsidR="002F5628" w:rsidRPr="002F5628">
        <w:rPr>
          <w:rFonts w:ascii="Calibri" w:eastAsia="Times New Roman" w:hAnsi="Calibri" w:cs="Calibri"/>
          <w:lang w:eastAsia="en-GB"/>
        </w:rPr>
        <w:t>aOR|income</w:t>
      </w:r>
      <w:proofErr w:type="spellEnd"/>
      <w:r w:rsidR="002F5628" w:rsidRPr="002F5628">
        <w:rPr>
          <w:rFonts w:ascii="Calibri" w:eastAsia="Times New Roman" w:hAnsi="Calibri" w:cs="Calibri"/>
          <w:lang w:eastAsia="en-GB"/>
        </w:rPr>
        <w:t xml:space="preserve"> = 1.21), but not by other variables, suggesting that some of the effect is because of geographical income differences, but that there are independent ef</w:t>
      </w:r>
      <w:r w:rsidR="00B07970">
        <w:rPr>
          <w:rFonts w:ascii="Calibri" w:eastAsia="Times New Roman" w:hAnsi="Calibri" w:cs="Calibri"/>
          <w:lang w:eastAsia="en-GB"/>
        </w:rPr>
        <w:t>fects on drinking behaviour.</w:t>
      </w:r>
    </w:p>
    <w:p w14:paraId="6914F301" w14:textId="77777777" w:rsidR="002F5628" w:rsidRPr="002F5628" w:rsidRDefault="002F5628" w:rsidP="00006056">
      <w:pPr>
        <w:spacing w:after="0"/>
        <w:rPr>
          <w:rFonts w:ascii="Calibri" w:eastAsia="Times New Roman" w:hAnsi="Calibri" w:cs="Calibri"/>
          <w:lang w:eastAsia="en-GB"/>
        </w:rPr>
      </w:pPr>
    </w:p>
    <w:p w14:paraId="63BB6E9D" w14:textId="77777777" w:rsidR="009E60EA" w:rsidRPr="00666A16" w:rsidRDefault="009E60EA" w:rsidP="00006056">
      <w:pPr>
        <w:spacing w:after="0"/>
        <w:rPr>
          <w:rFonts w:ascii="Calibri" w:eastAsia="Times New Roman" w:hAnsi="Calibri" w:cs="Calibri"/>
          <w:b/>
          <w:lang w:eastAsia="en-GB"/>
        </w:rPr>
      </w:pPr>
      <w:r w:rsidRPr="00666A16">
        <w:rPr>
          <w:rFonts w:ascii="Calibri" w:eastAsia="Times New Roman" w:hAnsi="Calibri" w:cs="Calibri"/>
          <w:b/>
          <w:lang w:eastAsia="en-GB"/>
        </w:rPr>
        <w:t xml:space="preserve">Smoking </w:t>
      </w:r>
    </w:p>
    <w:p w14:paraId="288F638A" w14:textId="66E50617" w:rsidR="002F5628" w:rsidRPr="002F5628" w:rsidRDefault="002F5628" w:rsidP="00006056">
      <w:pPr>
        <w:spacing w:after="0"/>
        <w:rPr>
          <w:rFonts w:ascii="Calibri" w:eastAsia="Times New Roman" w:hAnsi="Calibri" w:cs="Calibri"/>
          <w:lang w:eastAsia="en-GB"/>
        </w:rPr>
      </w:pPr>
      <w:r w:rsidRPr="002F5628">
        <w:rPr>
          <w:rFonts w:ascii="Calibri" w:eastAsia="Times New Roman" w:hAnsi="Calibri" w:cs="Calibri"/>
          <w:lang w:eastAsia="en-GB"/>
        </w:rPr>
        <w:t xml:space="preserve">Approximately 25% </w:t>
      </w:r>
      <w:r w:rsidR="00B07970">
        <w:rPr>
          <w:rFonts w:ascii="Calibri" w:eastAsia="Times New Roman" w:hAnsi="Calibri" w:cs="Calibri"/>
          <w:lang w:eastAsia="en-GB"/>
        </w:rPr>
        <w:t>currently</w:t>
      </w:r>
      <w:r w:rsidRPr="002F5628">
        <w:rPr>
          <w:rFonts w:ascii="Calibri" w:eastAsia="Times New Roman" w:hAnsi="Calibri" w:cs="Calibri"/>
          <w:lang w:eastAsia="en-GB"/>
        </w:rPr>
        <w:t xml:space="preserve"> smoked</w:t>
      </w:r>
      <w:r w:rsidR="00B07970">
        <w:rPr>
          <w:rFonts w:ascii="Calibri" w:eastAsia="Times New Roman" w:hAnsi="Calibri" w:cs="Calibri"/>
          <w:lang w:eastAsia="en-GB"/>
        </w:rPr>
        <w:t xml:space="preserve"> tobacco</w:t>
      </w:r>
      <w:r w:rsidRPr="002F5628">
        <w:rPr>
          <w:rFonts w:ascii="Calibri" w:eastAsia="Times New Roman" w:hAnsi="Calibri" w:cs="Calibri"/>
          <w:lang w:eastAsia="en-GB"/>
        </w:rPr>
        <w:t xml:space="preserve">.  This proportion was highest in men </w:t>
      </w:r>
      <w:r w:rsidR="00434711">
        <w:rPr>
          <w:rFonts w:ascii="Calibri" w:eastAsia="Times New Roman" w:hAnsi="Calibri" w:cs="Calibri"/>
          <w:lang w:eastAsia="en-GB"/>
        </w:rPr>
        <w:t xml:space="preserve">aged </w:t>
      </w:r>
      <w:r w:rsidRPr="002F5628">
        <w:rPr>
          <w:rFonts w:ascii="Calibri" w:eastAsia="Times New Roman" w:hAnsi="Calibri" w:cs="Calibri"/>
          <w:lang w:eastAsia="en-GB"/>
        </w:rPr>
        <w:t xml:space="preserve">16-25 (30%), successively lower with increasing age, and lowest in men &gt;45 (15%).  The </w:t>
      </w:r>
      <w:r w:rsidR="00B07970">
        <w:rPr>
          <w:rFonts w:ascii="Calibri" w:eastAsia="Times New Roman" w:hAnsi="Calibri" w:cs="Calibri"/>
          <w:lang w:eastAsia="en-GB"/>
        </w:rPr>
        <w:t xml:space="preserve">age </w:t>
      </w:r>
      <w:r w:rsidRPr="002F5628">
        <w:rPr>
          <w:rFonts w:ascii="Calibri" w:eastAsia="Times New Roman" w:hAnsi="Calibri" w:cs="Calibri"/>
          <w:lang w:eastAsia="en-GB"/>
        </w:rPr>
        <w:t xml:space="preserve">effect was </w:t>
      </w:r>
      <w:r w:rsidR="00E510F6">
        <w:rPr>
          <w:rFonts w:ascii="Calibri" w:eastAsia="Times New Roman" w:hAnsi="Calibri" w:cs="Calibri"/>
          <w:lang w:eastAsia="en-GB"/>
        </w:rPr>
        <w:t>only altered</w:t>
      </w:r>
      <w:r w:rsidR="00E510F6" w:rsidRPr="002F5628">
        <w:rPr>
          <w:rFonts w:ascii="Calibri" w:eastAsia="Times New Roman" w:hAnsi="Calibri" w:cs="Calibri"/>
          <w:lang w:eastAsia="en-GB"/>
        </w:rPr>
        <w:t xml:space="preserve"> </w:t>
      </w:r>
      <w:r w:rsidRPr="002F5628">
        <w:rPr>
          <w:rFonts w:ascii="Calibri" w:eastAsia="Times New Roman" w:hAnsi="Calibri" w:cs="Calibri"/>
          <w:lang w:eastAsia="en-GB"/>
        </w:rPr>
        <w:t xml:space="preserve">by </w:t>
      </w:r>
      <w:r w:rsidR="00E510F6">
        <w:rPr>
          <w:rFonts w:ascii="Calibri" w:eastAsia="Times New Roman" w:hAnsi="Calibri" w:cs="Calibri"/>
          <w:lang w:eastAsia="en-GB"/>
        </w:rPr>
        <w:t xml:space="preserve">adjustment for </w:t>
      </w:r>
      <w:r w:rsidRPr="002F5628">
        <w:rPr>
          <w:rFonts w:ascii="Calibri" w:eastAsia="Times New Roman" w:hAnsi="Calibri" w:cs="Calibri"/>
          <w:lang w:eastAsia="en-GB"/>
        </w:rPr>
        <w:t>income, and there were substantial residual effects, especially for older ages relative to 16-25 year olds (</w:t>
      </w:r>
      <w:proofErr w:type="spellStart"/>
      <w:r w:rsidRPr="002F5628">
        <w:rPr>
          <w:rFonts w:ascii="Calibri" w:eastAsia="Times New Roman" w:hAnsi="Calibri" w:cs="Calibri"/>
          <w:lang w:eastAsia="en-GB"/>
        </w:rPr>
        <w:t>aOR|income</w:t>
      </w:r>
      <w:proofErr w:type="spellEnd"/>
      <w:r w:rsidRPr="002F5628">
        <w:rPr>
          <w:rFonts w:ascii="Calibri" w:eastAsia="Times New Roman" w:hAnsi="Calibri" w:cs="Calibri"/>
          <w:lang w:eastAsia="en-GB"/>
        </w:rPr>
        <w:t xml:space="preserve">: 25-35=1.09; 36-45=0.96; &gt;45=0.49).  </w:t>
      </w:r>
      <w:r w:rsidR="00B07970">
        <w:rPr>
          <w:rFonts w:ascii="Calibri" w:eastAsia="Times New Roman" w:hAnsi="Calibri" w:cs="Calibri"/>
          <w:lang w:eastAsia="en-GB"/>
        </w:rPr>
        <w:t>Higher e</w:t>
      </w:r>
      <w:r w:rsidRPr="002F5628">
        <w:rPr>
          <w:rFonts w:ascii="Calibri" w:eastAsia="Times New Roman" w:hAnsi="Calibri" w:cs="Calibri"/>
          <w:lang w:eastAsia="en-GB"/>
        </w:rPr>
        <w:t xml:space="preserve">ducation was associated with </w:t>
      </w:r>
      <w:r w:rsidR="00B07970">
        <w:rPr>
          <w:rFonts w:ascii="Calibri" w:eastAsia="Times New Roman" w:hAnsi="Calibri" w:cs="Calibri"/>
          <w:lang w:eastAsia="en-GB"/>
        </w:rPr>
        <w:t>not</w:t>
      </w:r>
      <w:r w:rsidRPr="002F5628">
        <w:rPr>
          <w:rFonts w:ascii="Calibri" w:eastAsia="Times New Roman" w:hAnsi="Calibri" w:cs="Calibri"/>
          <w:lang w:eastAsia="en-GB"/>
        </w:rPr>
        <w:t xml:space="preserve"> smoking</w:t>
      </w:r>
      <w:r w:rsidR="002A36F9">
        <w:rPr>
          <w:rFonts w:ascii="Calibri" w:eastAsia="Times New Roman" w:hAnsi="Calibri" w:cs="Calibri"/>
          <w:lang w:eastAsia="en-GB"/>
        </w:rPr>
        <w:t xml:space="preserve"> (</w:t>
      </w:r>
      <w:proofErr w:type="spellStart"/>
      <w:r w:rsidR="002A36F9">
        <w:rPr>
          <w:rFonts w:ascii="Calibri" w:eastAsia="Times New Roman" w:hAnsi="Calibri" w:cs="Calibri"/>
          <w:lang w:eastAsia="en-GB"/>
        </w:rPr>
        <w:t>aOR</w:t>
      </w:r>
      <w:proofErr w:type="spellEnd"/>
      <w:r w:rsidR="002A36F9">
        <w:rPr>
          <w:rFonts w:ascii="Calibri" w:eastAsia="Times New Roman" w:hAnsi="Calibri" w:cs="Calibri"/>
          <w:lang w:eastAsia="en-GB"/>
        </w:rPr>
        <w:t>: A-level=0.91; Degree=0.66)</w:t>
      </w:r>
      <w:r w:rsidRPr="002F5628">
        <w:rPr>
          <w:rFonts w:ascii="Calibri" w:eastAsia="Times New Roman" w:hAnsi="Calibri" w:cs="Calibri"/>
          <w:lang w:eastAsia="en-GB"/>
        </w:rPr>
        <w:t xml:space="preserve">, and this </w:t>
      </w:r>
      <w:r w:rsidR="002A36F9">
        <w:rPr>
          <w:rFonts w:ascii="Calibri" w:eastAsia="Times New Roman" w:hAnsi="Calibri" w:cs="Calibri"/>
          <w:lang w:eastAsia="en-GB"/>
        </w:rPr>
        <w:t>moved somewhat</w:t>
      </w:r>
      <w:r w:rsidR="002A36F9" w:rsidRPr="002F5628">
        <w:rPr>
          <w:rFonts w:ascii="Calibri" w:eastAsia="Times New Roman" w:hAnsi="Calibri" w:cs="Calibri"/>
          <w:lang w:eastAsia="en-GB"/>
        </w:rPr>
        <w:t xml:space="preserve"> </w:t>
      </w:r>
      <w:r w:rsidRPr="002F5628">
        <w:rPr>
          <w:rFonts w:ascii="Calibri" w:eastAsia="Times New Roman" w:hAnsi="Calibri" w:cs="Calibri"/>
          <w:lang w:eastAsia="en-GB"/>
        </w:rPr>
        <w:t xml:space="preserve">towards the null </w:t>
      </w:r>
      <w:r w:rsidR="002A36F9">
        <w:rPr>
          <w:rFonts w:ascii="Calibri" w:eastAsia="Times New Roman" w:hAnsi="Calibri" w:cs="Calibri"/>
          <w:lang w:eastAsia="en-GB"/>
        </w:rPr>
        <w:t xml:space="preserve">when </w:t>
      </w:r>
      <w:r w:rsidR="002A36F9">
        <w:rPr>
          <w:rFonts w:ascii="Calibri" w:eastAsia="Times New Roman" w:hAnsi="Calibri" w:cs="Calibri"/>
          <w:lang w:eastAsia="en-GB"/>
        </w:rPr>
        <w:lastRenderedPageBreak/>
        <w:t xml:space="preserve">adjusting </w:t>
      </w:r>
      <w:r w:rsidRPr="002F5628">
        <w:rPr>
          <w:rFonts w:ascii="Calibri" w:eastAsia="Times New Roman" w:hAnsi="Calibri" w:cs="Calibri"/>
          <w:lang w:eastAsia="en-GB"/>
        </w:rPr>
        <w:t>by income (</w:t>
      </w:r>
      <w:proofErr w:type="spellStart"/>
      <w:r w:rsidRPr="002F5628">
        <w:rPr>
          <w:rFonts w:ascii="Calibri" w:eastAsia="Times New Roman" w:hAnsi="Calibri" w:cs="Calibri"/>
          <w:lang w:eastAsia="en-GB"/>
        </w:rPr>
        <w:t>aOR|income</w:t>
      </w:r>
      <w:proofErr w:type="spellEnd"/>
      <w:r w:rsidRPr="002F5628">
        <w:rPr>
          <w:rFonts w:ascii="Calibri" w:eastAsia="Times New Roman" w:hAnsi="Calibri" w:cs="Calibri"/>
          <w:lang w:eastAsia="en-GB"/>
        </w:rPr>
        <w:t xml:space="preserve">: A-level=0.97; Degree=0.73).  There was a strong association between </w:t>
      </w:r>
      <w:r w:rsidR="00B07970">
        <w:rPr>
          <w:rFonts w:ascii="Calibri" w:eastAsia="Times New Roman" w:hAnsi="Calibri" w:cs="Calibri"/>
          <w:lang w:eastAsia="en-GB"/>
        </w:rPr>
        <w:t xml:space="preserve">lower income and </w:t>
      </w:r>
      <w:r w:rsidRPr="002F5628">
        <w:rPr>
          <w:rFonts w:ascii="Calibri" w:eastAsia="Times New Roman" w:hAnsi="Calibri" w:cs="Calibri"/>
          <w:lang w:eastAsia="en-GB"/>
        </w:rPr>
        <w:t>smoking</w:t>
      </w:r>
      <w:r w:rsidR="00B07970">
        <w:rPr>
          <w:rFonts w:ascii="Calibri" w:eastAsia="Times New Roman" w:hAnsi="Calibri" w:cs="Calibri"/>
          <w:lang w:eastAsia="en-GB"/>
        </w:rPr>
        <w:t xml:space="preserve"> </w:t>
      </w:r>
      <w:r w:rsidRPr="002F5628">
        <w:rPr>
          <w:rFonts w:ascii="Calibri" w:eastAsia="Times New Roman" w:hAnsi="Calibri" w:cs="Calibri"/>
          <w:lang w:eastAsia="en-GB"/>
        </w:rPr>
        <w:t xml:space="preserve">(p&lt;0.001).  </w:t>
      </w:r>
    </w:p>
    <w:p w14:paraId="1FEA6B31" w14:textId="77777777" w:rsidR="002F5628" w:rsidRPr="002F5628" w:rsidRDefault="002F5628" w:rsidP="00006056">
      <w:pPr>
        <w:spacing w:after="0"/>
        <w:rPr>
          <w:rFonts w:ascii="Calibri" w:eastAsia="Times New Roman" w:hAnsi="Calibri" w:cs="Calibri"/>
          <w:lang w:eastAsia="en-GB"/>
        </w:rPr>
      </w:pPr>
    </w:p>
    <w:p w14:paraId="7F1F0A44" w14:textId="661D5A0A" w:rsidR="009E60EA" w:rsidRPr="00666A16" w:rsidRDefault="00B07970" w:rsidP="00006056">
      <w:pPr>
        <w:spacing w:after="0"/>
        <w:rPr>
          <w:rFonts w:ascii="Calibri" w:eastAsia="Times New Roman" w:hAnsi="Calibri" w:cs="Calibri"/>
          <w:b/>
          <w:lang w:eastAsia="en-GB"/>
        </w:rPr>
      </w:pPr>
      <w:r>
        <w:rPr>
          <w:rFonts w:ascii="Calibri" w:eastAsia="Times New Roman" w:hAnsi="Calibri" w:cs="Calibri"/>
          <w:b/>
          <w:lang w:eastAsia="en-GB"/>
        </w:rPr>
        <w:t>Illicit d</w:t>
      </w:r>
      <w:r w:rsidR="009E60EA" w:rsidRPr="00666A16">
        <w:rPr>
          <w:rFonts w:ascii="Calibri" w:eastAsia="Times New Roman" w:hAnsi="Calibri" w:cs="Calibri"/>
          <w:b/>
          <w:lang w:eastAsia="en-GB"/>
        </w:rPr>
        <w:t xml:space="preserve">rug use </w:t>
      </w:r>
    </w:p>
    <w:p w14:paraId="64D9E03E" w14:textId="275FF3B6" w:rsidR="002F5628" w:rsidRPr="002F5628" w:rsidRDefault="002F5628" w:rsidP="00006056">
      <w:pPr>
        <w:spacing w:after="0"/>
        <w:rPr>
          <w:rFonts w:ascii="Calibri" w:eastAsia="Times New Roman" w:hAnsi="Calibri" w:cs="Calibri"/>
          <w:lang w:eastAsia="en-GB"/>
        </w:rPr>
      </w:pPr>
      <w:r w:rsidRPr="002F5628">
        <w:rPr>
          <w:rFonts w:ascii="Calibri" w:eastAsia="Times New Roman" w:hAnsi="Calibri" w:cs="Calibri"/>
          <w:lang w:eastAsia="en-GB"/>
        </w:rPr>
        <w:t xml:space="preserve">Approximately </w:t>
      </w:r>
      <w:r w:rsidR="00711B67">
        <w:rPr>
          <w:rFonts w:ascii="Calibri" w:eastAsia="Times New Roman" w:hAnsi="Calibri" w:cs="Calibri"/>
          <w:lang w:eastAsia="en-GB"/>
        </w:rPr>
        <w:t>19</w:t>
      </w:r>
      <w:r w:rsidRPr="002F5628">
        <w:rPr>
          <w:rFonts w:ascii="Calibri" w:eastAsia="Times New Roman" w:hAnsi="Calibri" w:cs="Calibri"/>
          <w:lang w:eastAsia="en-GB"/>
        </w:rPr>
        <w:t xml:space="preserve">% had </w:t>
      </w:r>
      <w:r w:rsidR="00B07970">
        <w:rPr>
          <w:rFonts w:ascii="Calibri" w:eastAsia="Times New Roman" w:hAnsi="Calibri" w:cs="Calibri"/>
          <w:lang w:eastAsia="en-GB"/>
        </w:rPr>
        <w:t>used an</w:t>
      </w:r>
      <w:r w:rsidRPr="002F5628">
        <w:rPr>
          <w:rFonts w:ascii="Calibri" w:eastAsia="Times New Roman" w:hAnsi="Calibri" w:cs="Calibri"/>
          <w:lang w:eastAsia="en-GB"/>
        </w:rPr>
        <w:t xml:space="preserve"> illicit drug in the previous </w:t>
      </w:r>
      <w:r w:rsidR="003049E5">
        <w:rPr>
          <w:rFonts w:ascii="Calibri" w:eastAsia="Times New Roman" w:hAnsi="Calibri" w:cs="Calibri"/>
          <w:lang w:eastAsia="en-GB"/>
        </w:rPr>
        <w:t>four weeks</w:t>
      </w:r>
      <w:r w:rsidRPr="002F5628">
        <w:rPr>
          <w:rFonts w:ascii="Calibri" w:eastAsia="Times New Roman" w:hAnsi="Calibri" w:cs="Calibri"/>
          <w:lang w:eastAsia="en-GB"/>
        </w:rPr>
        <w:t xml:space="preserve">.  This proportion was lower in men aged 16-25 (16%) and in men over 45 (11%). </w:t>
      </w:r>
      <w:r w:rsidR="00B07970">
        <w:rPr>
          <w:rFonts w:ascii="Calibri" w:eastAsia="Times New Roman" w:hAnsi="Calibri" w:cs="Calibri"/>
          <w:lang w:eastAsia="en-GB"/>
        </w:rPr>
        <w:t>R</w:t>
      </w:r>
      <w:r w:rsidR="00B07970" w:rsidRPr="002F5628">
        <w:rPr>
          <w:rFonts w:ascii="Calibri" w:eastAsia="Times New Roman" w:hAnsi="Calibri" w:cs="Calibri"/>
          <w:lang w:eastAsia="en-GB"/>
        </w:rPr>
        <w:t>elative to the youngest age</w:t>
      </w:r>
      <w:r w:rsidR="00B07970">
        <w:rPr>
          <w:rFonts w:ascii="Calibri" w:eastAsia="Times New Roman" w:hAnsi="Calibri" w:cs="Calibri"/>
          <w:lang w:eastAsia="en-GB"/>
        </w:rPr>
        <w:t xml:space="preserve"> group th</w:t>
      </w:r>
      <w:r w:rsidRPr="002F5628">
        <w:rPr>
          <w:rFonts w:ascii="Calibri" w:eastAsia="Times New Roman" w:hAnsi="Calibri" w:cs="Calibri"/>
          <w:lang w:eastAsia="en-GB"/>
        </w:rPr>
        <w:t xml:space="preserve">ere was increased </w:t>
      </w:r>
      <w:r w:rsidR="00B07970">
        <w:rPr>
          <w:rFonts w:ascii="Calibri" w:eastAsia="Times New Roman" w:hAnsi="Calibri" w:cs="Calibri"/>
          <w:lang w:eastAsia="en-GB"/>
        </w:rPr>
        <w:t>likelihood</w:t>
      </w:r>
      <w:r w:rsidRPr="002F5628">
        <w:rPr>
          <w:rFonts w:ascii="Calibri" w:eastAsia="Times New Roman" w:hAnsi="Calibri" w:cs="Calibri"/>
          <w:lang w:eastAsia="en-GB"/>
        </w:rPr>
        <w:t xml:space="preserve"> of drug use in </w:t>
      </w:r>
      <w:r w:rsidR="00B07970">
        <w:rPr>
          <w:rFonts w:ascii="Calibri" w:eastAsia="Times New Roman" w:hAnsi="Calibri" w:cs="Calibri"/>
          <w:lang w:eastAsia="en-GB"/>
        </w:rPr>
        <w:t xml:space="preserve">middle </w:t>
      </w:r>
      <w:r w:rsidRPr="002F5628">
        <w:rPr>
          <w:rFonts w:ascii="Calibri" w:eastAsia="Times New Roman" w:hAnsi="Calibri" w:cs="Calibri"/>
          <w:lang w:eastAsia="en-GB"/>
        </w:rPr>
        <w:t xml:space="preserve">age groups </w:t>
      </w:r>
      <w:r w:rsidR="00B07970">
        <w:rPr>
          <w:rFonts w:ascii="Calibri" w:eastAsia="Times New Roman" w:hAnsi="Calibri" w:cs="Calibri"/>
          <w:lang w:eastAsia="en-GB"/>
        </w:rPr>
        <w:t>(</w:t>
      </w:r>
      <w:r w:rsidRPr="002F5628">
        <w:rPr>
          <w:rFonts w:ascii="Calibri" w:eastAsia="Times New Roman" w:hAnsi="Calibri" w:cs="Calibri"/>
          <w:lang w:eastAsia="en-GB"/>
        </w:rPr>
        <w:t xml:space="preserve">26-35 </w:t>
      </w:r>
      <w:r w:rsidR="00B07970">
        <w:rPr>
          <w:rFonts w:ascii="Calibri" w:eastAsia="Times New Roman" w:hAnsi="Calibri" w:cs="Calibri"/>
          <w:lang w:eastAsia="en-GB"/>
        </w:rPr>
        <w:t xml:space="preserve">years, </w:t>
      </w:r>
      <w:r w:rsidRPr="002F5628">
        <w:rPr>
          <w:rFonts w:ascii="Calibri" w:eastAsia="Times New Roman" w:hAnsi="Calibri" w:cs="Calibri"/>
          <w:lang w:eastAsia="en-GB"/>
        </w:rPr>
        <w:t>OR 1.96 95% CI 1.65-2.34</w:t>
      </w:r>
      <w:r w:rsidR="00B07970">
        <w:rPr>
          <w:rFonts w:ascii="Calibri" w:eastAsia="Times New Roman" w:hAnsi="Calibri" w:cs="Calibri"/>
          <w:lang w:eastAsia="en-GB"/>
        </w:rPr>
        <w:t xml:space="preserve">; </w:t>
      </w:r>
      <w:r w:rsidRPr="002F5628">
        <w:rPr>
          <w:rFonts w:ascii="Calibri" w:eastAsia="Times New Roman" w:hAnsi="Calibri" w:cs="Calibri"/>
          <w:lang w:eastAsia="en-GB"/>
        </w:rPr>
        <w:t xml:space="preserve">36-45 </w:t>
      </w:r>
      <w:r w:rsidR="00B07970">
        <w:rPr>
          <w:rFonts w:ascii="Calibri" w:eastAsia="Times New Roman" w:hAnsi="Calibri" w:cs="Calibri"/>
          <w:lang w:eastAsia="en-GB"/>
        </w:rPr>
        <w:t xml:space="preserve">years, </w:t>
      </w:r>
      <w:r w:rsidRPr="002F5628">
        <w:rPr>
          <w:rFonts w:ascii="Calibri" w:eastAsia="Times New Roman" w:hAnsi="Calibri" w:cs="Calibri"/>
          <w:lang w:eastAsia="en-GB"/>
        </w:rPr>
        <w:t xml:space="preserve">OR 1.48 95% CI 1.22-1.79) and lower </w:t>
      </w:r>
      <w:r w:rsidR="00B07970">
        <w:rPr>
          <w:rFonts w:ascii="Calibri" w:eastAsia="Times New Roman" w:hAnsi="Calibri" w:cs="Calibri"/>
          <w:lang w:eastAsia="en-GB"/>
        </w:rPr>
        <w:t xml:space="preserve">likelihood </w:t>
      </w:r>
      <w:r w:rsidRPr="002F5628">
        <w:rPr>
          <w:rFonts w:ascii="Calibri" w:eastAsia="Times New Roman" w:hAnsi="Calibri" w:cs="Calibri"/>
          <w:lang w:eastAsia="en-GB"/>
        </w:rPr>
        <w:t xml:space="preserve">in men </w:t>
      </w:r>
      <w:r w:rsidR="00B07970">
        <w:rPr>
          <w:rFonts w:ascii="Calibri" w:eastAsia="Times New Roman" w:hAnsi="Calibri" w:cs="Calibri"/>
          <w:lang w:eastAsia="en-GB"/>
        </w:rPr>
        <w:t>aged &gt;</w:t>
      </w:r>
      <w:r w:rsidRPr="002F5628">
        <w:rPr>
          <w:rFonts w:ascii="Calibri" w:eastAsia="Times New Roman" w:hAnsi="Calibri" w:cs="Calibri"/>
          <w:lang w:eastAsia="en-GB"/>
        </w:rPr>
        <w:t>45 (OR 0.64 95% CI 0.51-0.80). These odds-ratios moved towards the null when adjusted for income (</w:t>
      </w:r>
      <w:proofErr w:type="spellStart"/>
      <w:r w:rsidRPr="002F5628">
        <w:rPr>
          <w:rFonts w:ascii="Calibri" w:eastAsia="Times New Roman" w:hAnsi="Calibri" w:cs="Calibri"/>
          <w:lang w:eastAsia="en-GB"/>
        </w:rPr>
        <w:t>aOR|income</w:t>
      </w:r>
      <w:proofErr w:type="spellEnd"/>
      <w:r w:rsidRPr="002F5628">
        <w:rPr>
          <w:rFonts w:ascii="Calibri" w:eastAsia="Times New Roman" w:hAnsi="Calibri" w:cs="Calibri"/>
          <w:lang w:eastAsia="en-GB"/>
        </w:rPr>
        <w:t>: 25-35=1.71; 36-45=0.24; &gt;45=</w:t>
      </w:r>
      <w:r w:rsidR="00155854">
        <w:rPr>
          <w:rFonts w:ascii="Calibri" w:eastAsia="Times New Roman" w:hAnsi="Calibri" w:cs="Calibri"/>
          <w:lang w:eastAsia="en-GB"/>
        </w:rPr>
        <w:t>0.54) or living in London (</w:t>
      </w:r>
      <w:proofErr w:type="spellStart"/>
      <w:r w:rsidR="00155854">
        <w:rPr>
          <w:rFonts w:ascii="Calibri" w:eastAsia="Times New Roman" w:hAnsi="Calibri" w:cs="Calibri"/>
          <w:lang w:eastAsia="en-GB"/>
        </w:rPr>
        <w:t>aOR|L</w:t>
      </w:r>
      <w:r w:rsidRPr="002F5628">
        <w:rPr>
          <w:rFonts w:ascii="Calibri" w:eastAsia="Times New Roman" w:hAnsi="Calibri" w:cs="Calibri"/>
          <w:lang w:eastAsia="en-GB"/>
        </w:rPr>
        <w:t>ondon</w:t>
      </w:r>
      <w:proofErr w:type="spellEnd"/>
      <w:r w:rsidRPr="002F5628">
        <w:rPr>
          <w:rFonts w:ascii="Calibri" w:eastAsia="Times New Roman" w:hAnsi="Calibri" w:cs="Calibri"/>
          <w:lang w:eastAsia="en-GB"/>
        </w:rPr>
        <w:t xml:space="preserve">: 25-35=1.60; 36-45=0.26; &gt;45=0.54). There was strong evidence that men living in London had </w:t>
      </w:r>
      <w:r w:rsidR="00B07970">
        <w:rPr>
          <w:rFonts w:ascii="Calibri" w:eastAsia="Times New Roman" w:hAnsi="Calibri" w:cs="Calibri"/>
          <w:lang w:eastAsia="en-GB"/>
        </w:rPr>
        <w:t>over</w:t>
      </w:r>
      <w:r w:rsidRPr="002F5628">
        <w:rPr>
          <w:rFonts w:ascii="Calibri" w:eastAsia="Times New Roman" w:hAnsi="Calibri" w:cs="Calibri"/>
          <w:lang w:eastAsia="en-GB"/>
        </w:rPr>
        <w:t xml:space="preserve"> twice the odds of illicit drug </w:t>
      </w:r>
      <w:r w:rsidR="005E53C6">
        <w:rPr>
          <w:rFonts w:ascii="Calibri" w:eastAsia="Times New Roman" w:hAnsi="Calibri" w:cs="Calibri"/>
          <w:lang w:eastAsia="en-GB"/>
        </w:rPr>
        <w:t xml:space="preserve">use </w:t>
      </w:r>
      <w:r w:rsidRPr="002F5628">
        <w:rPr>
          <w:rFonts w:ascii="Calibri" w:eastAsia="Times New Roman" w:hAnsi="Calibri" w:cs="Calibri"/>
          <w:lang w:eastAsia="en-GB"/>
        </w:rPr>
        <w:t>in the previous year, with no evidence o</w:t>
      </w:r>
      <w:r w:rsidR="003049E5">
        <w:rPr>
          <w:rFonts w:ascii="Calibri" w:eastAsia="Times New Roman" w:hAnsi="Calibri" w:cs="Calibri"/>
          <w:lang w:eastAsia="en-GB"/>
        </w:rPr>
        <w:t>f mediation by other variables.</w:t>
      </w:r>
    </w:p>
    <w:p w14:paraId="157C8903" w14:textId="77777777" w:rsidR="002F5628" w:rsidRDefault="002F5628" w:rsidP="00006056">
      <w:pPr>
        <w:widowControl w:val="0"/>
        <w:spacing w:after="0"/>
        <w:rPr>
          <w:rFonts w:ascii="Calibri" w:eastAsia="Arial" w:hAnsi="Calibri" w:cs="Calibri"/>
          <w:b/>
          <w:color w:val="000000"/>
          <w:lang w:eastAsia="en-GB"/>
        </w:rPr>
      </w:pPr>
    </w:p>
    <w:p w14:paraId="65A0ED70" w14:textId="1C2C558D" w:rsidR="002F5628" w:rsidRPr="002F5628" w:rsidRDefault="00C62E7B" w:rsidP="00006056">
      <w:pPr>
        <w:widowControl w:val="0"/>
        <w:spacing w:after="0"/>
        <w:rPr>
          <w:rFonts w:ascii="Calibri" w:eastAsia="Arial" w:hAnsi="Calibri" w:cs="Calibri"/>
          <w:b/>
          <w:color w:val="000000"/>
          <w:lang w:eastAsia="en-GB"/>
        </w:rPr>
      </w:pPr>
      <w:r w:rsidRPr="002F5628">
        <w:rPr>
          <w:rFonts w:ascii="Calibri" w:eastAsia="Arial" w:hAnsi="Calibri" w:cs="Calibri"/>
          <w:b/>
          <w:color w:val="000000"/>
          <w:lang w:eastAsia="en-GB"/>
        </w:rPr>
        <w:t>DISCUSSION</w:t>
      </w:r>
    </w:p>
    <w:p w14:paraId="3896CFD4" w14:textId="0CAFDB26" w:rsidR="00B175CF" w:rsidRPr="003347FD" w:rsidRDefault="00B175CF" w:rsidP="00006056">
      <w:pPr>
        <w:spacing w:after="0"/>
        <w:rPr>
          <w:rFonts w:ascii="Calibri" w:eastAsia="Times New Roman" w:hAnsi="Calibri" w:cs="Calibri"/>
          <w:b/>
          <w:lang w:eastAsia="en-GB"/>
        </w:rPr>
      </w:pPr>
      <w:r w:rsidRPr="003347FD">
        <w:rPr>
          <w:rFonts w:ascii="Calibri" w:eastAsia="Times New Roman" w:hAnsi="Calibri" w:cs="Calibri"/>
          <w:b/>
          <w:lang w:eastAsia="en-GB"/>
        </w:rPr>
        <w:t>Main findings of this study</w:t>
      </w:r>
    </w:p>
    <w:p w14:paraId="66C939F1" w14:textId="379F7C2E" w:rsidR="003347FD" w:rsidRDefault="00B175CF" w:rsidP="00006056">
      <w:pPr>
        <w:spacing w:after="0"/>
        <w:rPr>
          <w:rFonts w:ascii="Calibri" w:eastAsia="Times New Roman" w:hAnsi="Calibri" w:cs="Calibri"/>
          <w:b/>
          <w:lang w:eastAsia="en-GB"/>
        </w:rPr>
      </w:pPr>
      <w:r>
        <w:rPr>
          <w:rFonts w:ascii="Calibri" w:eastAsia="Times New Roman" w:hAnsi="Calibri" w:cs="Calibri"/>
          <w:lang w:eastAsia="en-GB"/>
        </w:rPr>
        <w:t xml:space="preserve">The findings of the survey indicate </w:t>
      </w:r>
      <w:r w:rsidR="003347FD" w:rsidRPr="002F5628">
        <w:rPr>
          <w:rFonts w:ascii="Calibri" w:eastAsia="Times New Roman" w:hAnsi="Calibri" w:cs="Calibri"/>
          <w:lang w:eastAsia="en-GB"/>
        </w:rPr>
        <w:t>widespread problematic</w:t>
      </w:r>
      <w:r w:rsidR="002F5628" w:rsidRPr="002F5628">
        <w:rPr>
          <w:rFonts w:ascii="Calibri" w:eastAsia="Times New Roman" w:hAnsi="Calibri" w:cs="Calibri"/>
          <w:lang w:eastAsia="en-GB"/>
        </w:rPr>
        <w:t xml:space="preserve"> behaviours</w:t>
      </w:r>
      <w:r>
        <w:rPr>
          <w:rFonts w:ascii="Calibri" w:eastAsia="Times New Roman" w:hAnsi="Calibri" w:cs="Calibri"/>
          <w:lang w:eastAsia="en-GB"/>
        </w:rPr>
        <w:t xml:space="preserve"> connected with physical </w:t>
      </w:r>
      <w:r w:rsidR="003347FD">
        <w:rPr>
          <w:rFonts w:ascii="Calibri" w:eastAsia="Times New Roman" w:hAnsi="Calibri" w:cs="Calibri"/>
          <w:lang w:eastAsia="en-GB"/>
        </w:rPr>
        <w:t>ill-health</w:t>
      </w:r>
      <w:r w:rsidR="005E53C6">
        <w:rPr>
          <w:rFonts w:ascii="Calibri" w:eastAsia="Times New Roman" w:hAnsi="Calibri" w:cs="Calibri"/>
          <w:lang w:eastAsia="en-GB"/>
        </w:rPr>
        <w:t xml:space="preserve"> among gay and bisexual men in England</w:t>
      </w:r>
      <w:r w:rsidR="002F5628" w:rsidRPr="002F5628">
        <w:rPr>
          <w:rFonts w:ascii="Calibri" w:eastAsia="Times New Roman" w:hAnsi="Calibri" w:cs="Calibri"/>
          <w:lang w:eastAsia="en-GB"/>
        </w:rPr>
        <w:t xml:space="preserve">: 44% of respondents were overweight; </w:t>
      </w:r>
      <w:r w:rsidR="00D42D4B">
        <w:rPr>
          <w:rFonts w:ascii="Calibri" w:eastAsia="Times New Roman" w:hAnsi="Calibri" w:cs="Calibri"/>
          <w:lang w:eastAsia="en-GB"/>
        </w:rPr>
        <w:t>6</w:t>
      </w:r>
      <w:r w:rsidR="00711B67">
        <w:rPr>
          <w:rFonts w:ascii="Calibri" w:eastAsia="Times New Roman" w:hAnsi="Calibri" w:cs="Calibri"/>
          <w:lang w:eastAsia="en-GB"/>
        </w:rPr>
        <w:t>2</w:t>
      </w:r>
      <w:r w:rsidR="002F5628" w:rsidRPr="002F5628">
        <w:rPr>
          <w:rFonts w:ascii="Calibri" w:eastAsia="Times New Roman" w:hAnsi="Calibri" w:cs="Calibri"/>
          <w:lang w:eastAsia="en-GB"/>
        </w:rPr>
        <w:t xml:space="preserve">% </w:t>
      </w:r>
      <w:r w:rsidR="00D42D4B">
        <w:rPr>
          <w:rFonts w:ascii="Calibri" w:eastAsia="Times New Roman" w:hAnsi="Calibri" w:cs="Calibri"/>
          <w:lang w:eastAsia="en-GB"/>
        </w:rPr>
        <w:t>do not meet recommended levels of</w:t>
      </w:r>
      <w:r w:rsidR="002F5628" w:rsidRPr="002F5628">
        <w:rPr>
          <w:rFonts w:ascii="Calibri" w:eastAsia="Times New Roman" w:hAnsi="Calibri" w:cs="Calibri"/>
          <w:lang w:eastAsia="en-GB"/>
        </w:rPr>
        <w:t xml:space="preserve"> physical activity; 4</w:t>
      </w:r>
      <w:r w:rsidR="00711B67">
        <w:rPr>
          <w:rFonts w:ascii="Calibri" w:eastAsia="Times New Roman" w:hAnsi="Calibri" w:cs="Calibri"/>
          <w:lang w:eastAsia="en-GB"/>
        </w:rPr>
        <w:t>3</w:t>
      </w:r>
      <w:r w:rsidR="002F5628" w:rsidRPr="002F5628">
        <w:rPr>
          <w:rFonts w:ascii="Calibri" w:eastAsia="Times New Roman" w:hAnsi="Calibri" w:cs="Calibri"/>
          <w:lang w:eastAsia="en-GB"/>
        </w:rPr>
        <w:t xml:space="preserve">% were </w:t>
      </w:r>
      <w:r w:rsidR="00711B67">
        <w:rPr>
          <w:rFonts w:ascii="Calibri" w:eastAsia="Times New Roman" w:hAnsi="Calibri" w:cs="Calibri"/>
          <w:lang w:eastAsia="en-GB"/>
        </w:rPr>
        <w:t xml:space="preserve">very </w:t>
      </w:r>
      <w:r w:rsidR="002F5628" w:rsidRPr="002F5628">
        <w:rPr>
          <w:rFonts w:ascii="Calibri" w:eastAsia="Times New Roman" w:hAnsi="Calibri" w:cs="Calibri"/>
          <w:lang w:eastAsia="en-GB"/>
        </w:rPr>
        <w:t>frequent drinkers; 2</w:t>
      </w:r>
      <w:r w:rsidR="00711B67">
        <w:rPr>
          <w:rFonts w:ascii="Calibri" w:eastAsia="Times New Roman" w:hAnsi="Calibri" w:cs="Calibri"/>
          <w:lang w:eastAsia="en-GB"/>
        </w:rPr>
        <w:t>6</w:t>
      </w:r>
      <w:r w:rsidR="002F5628" w:rsidRPr="002F5628">
        <w:rPr>
          <w:rFonts w:ascii="Calibri" w:eastAsia="Times New Roman" w:hAnsi="Calibri" w:cs="Calibri"/>
          <w:lang w:eastAsia="en-GB"/>
        </w:rPr>
        <w:t xml:space="preserve">% currently smoked; and </w:t>
      </w:r>
      <w:r w:rsidR="00711B67">
        <w:rPr>
          <w:rFonts w:ascii="Calibri" w:eastAsia="Times New Roman" w:hAnsi="Calibri" w:cs="Calibri"/>
          <w:lang w:eastAsia="en-GB"/>
        </w:rPr>
        <w:t>19</w:t>
      </w:r>
      <w:r w:rsidR="002F5628" w:rsidRPr="002F5628">
        <w:rPr>
          <w:rFonts w:ascii="Calibri" w:eastAsia="Times New Roman" w:hAnsi="Calibri" w:cs="Calibri"/>
          <w:lang w:eastAsia="en-GB"/>
        </w:rPr>
        <w:t xml:space="preserve">% </w:t>
      </w:r>
      <w:r w:rsidR="003049E5">
        <w:rPr>
          <w:rFonts w:ascii="Calibri" w:eastAsia="Times New Roman" w:hAnsi="Calibri" w:cs="Calibri"/>
          <w:lang w:eastAsia="en-GB"/>
        </w:rPr>
        <w:t>used</w:t>
      </w:r>
      <w:r w:rsidR="002F5628" w:rsidRPr="002F5628">
        <w:rPr>
          <w:rFonts w:ascii="Calibri" w:eastAsia="Times New Roman" w:hAnsi="Calibri" w:cs="Calibri"/>
          <w:lang w:eastAsia="en-GB"/>
        </w:rPr>
        <w:t xml:space="preserve"> illicit drugs within the previous 4 weeks. </w:t>
      </w:r>
      <w:r w:rsidR="00711B67">
        <w:rPr>
          <w:rFonts w:ascii="Calibri" w:eastAsia="Times New Roman" w:hAnsi="Calibri" w:cs="Calibri"/>
          <w:lang w:eastAsia="en-GB"/>
        </w:rPr>
        <w:t xml:space="preserve">Among </w:t>
      </w:r>
      <w:r w:rsidR="00711B67" w:rsidRPr="002F5628">
        <w:rPr>
          <w:rFonts w:ascii="Calibri" w:eastAsia="Times New Roman" w:hAnsi="Calibri" w:cs="Calibri"/>
          <w:lang w:eastAsia="en-GB"/>
        </w:rPr>
        <w:t xml:space="preserve">all UK adult males in the same time period </w:t>
      </w:r>
      <w:r w:rsidR="003347FD">
        <w:rPr>
          <w:rFonts w:ascii="Calibri" w:eastAsia="Times New Roman" w:hAnsi="Calibri" w:cs="Calibri"/>
          <w:lang w:eastAsia="en-GB"/>
        </w:rPr>
        <w:t>(</w:t>
      </w:r>
      <w:r w:rsidR="00711B67">
        <w:rPr>
          <w:rFonts w:ascii="Calibri" w:eastAsia="Times New Roman" w:hAnsi="Calibri" w:cs="Calibri"/>
          <w:lang w:eastAsia="en-GB"/>
        </w:rPr>
        <w:t xml:space="preserve">and </w:t>
      </w:r>
      <w:r w:rsidR="003347FD">
        <w:rPr>
          <w:rFonts w:ascii="Calibri" w:eastAsia="Times New Roman" w:hAnsi="Calibri" w:cs="Calibri"/>
          <w:lang w:eastAsia="en-GB"/>
        </w:rPr>
        <w:t>utilising the same operational definitions</w:t>
      </w:r>
      <w:r w:rsidR="00711B67">
        <w:rPr>
          <w:rFonts w:ascii="Calibri" w:eastAsia="Times New Roman" w:hAnsi="Calibri" w:cs="Calibri"/>
          <w:lang w:eastAsia="en-GB"/>
        </w:rPr>
        <w:t xml:space="preserve">), </w:t>
      </w:r>
      <w:r w:rsidR="002F5628" w:rsidRPr="002F5628">
        <w:rPr>
          <w:rFonts w:ascii="Calibri" w:eastAsia="Times New Roman" w:hAnsi="Calibri" w:cs="Calibri"/>
          <w:lang w:eastAsia="en-GB"/>
        </w:rPr>
        <w:t xml:space="preserve">66% had a BMI over </w:t>
      </w:r>
      <w:r w:rsidR="002F5628" w:rsidRPr="003F0681">
        <w:rPr>
          <w:rFonts w:ascii="Calibri" w:eastAsia="Times New Roman" w:hAnsi="Calibri" w:cs="Calibri"/>
          <w:lang w:eastAsia="en-GB"/>
        </w:rPr>
        <w:t xml:space="preserve">25 </w:t>
      </w:r>
      <w:r w:rsidR="008347A9">
        <w:rPr>
          <w:rFonts w:ascii="Calibri" w:eastAsia="Times New Roman" w:hAnsi="Calibri" w:cs="Calibri"/>
          <w:lang w:eastAsia="en-GB"/>
        </w:rPr>
        <w:t>[</w:t>
      </w:r>
      <w:r w:rsidR="00867A00">
        <w:rPr>
          <w:rFonts w:ascii="Calibri" w:eastAsia="Times New Roman" w:hAnsi="Calibri" w:cs="Calibri"/>
          <w:lang w:eastAsia="en-GB"/>
        </w:rPr>
        <w:t>1</w:t>
      </w:r>
      <w:r w:rsidR="003E1E30">
        <w:rPr>
          <w:rFonts w:ascii="Calibri" w:eastAsia="Times New Roman" w:hAnsi="Calibri" w:cs="Calibri"/>
          <w:lang w:eastAsia="en-GB"/>
        </w:rPr>
        <w:t>2</w:t>
      </w:r>
      <w:r w:rsidR="008347A9">
        <w:rPr>
          <w:rFonts w:ascii="Calibri" w:eastAsia="Times New Roman" w:hAnsi="Calibri" w:cs="Calibri"/>
          <w:lang w:eastAsia="en-GB"/>
        </w:rPr>
        <w:t xml:space="preserve">] </w:t>
      </w:r>
      <w:r w:rsidR="002F5628" w:rsidRPr="002F5628">
        <w:rPr>
          <w:rFonts w:ascii="Calibri" w:eastAsia="Times New Roman" w:hAnsi="Calibri" w:cs="Calibri"/>
          <w:lang w:eastAsia="en-GB"/>
        </w:rPr>
        <w:t xml:space="preserve">and </w:t>
      </w:r>
      <w:r w:rsidR="00711B67">
        <w:rPr>
          <w:rFonts w:ascii="Calibri" w:eastAsia="Times New Roman" w:hAnsi="Calibri" w:cs="Calibri"/>
          <w:lang w:eastAsia="en-GB"/>
        </w:rPr>
        <w:t>61</w:t>
      </w:r>
      <w:r w:rsidR="002F5628" w:rsidRPr="00711B67">
        <w:rPr>
          <w:rFonts w:ascii="Calibri" w:eastAsia="Times New Roman" w:hAnsi="Calibri" w:cs="Calibri"/>
          <w:lang w:eastAsia="en-GB"/>
        </w:rPr>
        <w:t xml:space="preserve">% had low activity </w:t>
      </w:r>
      <w:r w:rsidR="008347A9" w:rsidRPr="00711B67">
        <w:rPr>
          <w:rFonts w:ascii="Calibri" w:eastAsia="Times New Roman" w:hAnsi="Calibri" w:cs="Calibri"/>
          <w:lang w:eastAsia="en-GB"/>
        </w:rPr>
        <w:t>[</w:t>
      </w:r>
      <w:r w:rsidR="004210F6" w:rsidRPr="00711B67">
        <w:rPr>
          <w:rFonts w:ascii="Calibri" w:eastAsia="Times New Roman" w:hAnsi="Calibri" w:cs="Calibri"/>
          <w:lang w:eastAsia="en-GB"/>
        </w:rPr>
        <w:t>6</w:t>
      </w:r>
      <w:r w:rsidR="008347A9" w:rsidRPr="00711B67">
        <w:rPr>
          <w:rFonts w:ascii="Calibri" w:eastAsia="Times New Roman" w:hAnsi="Calibri" w:cs="Calibri"/>
          <w:lang w:eastAsia="en-GB"/>
        </w:rPr>
        <w:t>]</w:t>
      </w:r>
      <w:r w:rsidR="000C3E1F">
        <w:rPr>
          <w:rFonts w:ascii="Calibri" w:eastAsia="Times New Roman" w:hAnsi="Calibri" w:cs="Calibri"/>
          <w:lang w:eastAsia="en-GB"/>
        </w:rPr>
        <w:t>,</w:t>
      </w:r>
      <w:r w:rsidR="002F5628" w:rsidRPr="002F5628">
        <w:rPr>
          <w:rFonts w:ascii="Calibri" w:eastAsia="Times New Roman" w:hAnsi="Calibri" w:cs="Calibri"/>
          <w:lang w:eastAsia="en-GB"/>
        </w:rPr>
        <w:t xml:space="preserve"> </w:t>
      </w:r>
      <w:r w:rsidR="000C3E1F">
        <w:rPr>
          <w:rFonts w:ascii="Calibri" w:eastAsia="Times New Roman" w:hAnsi="Calibri" w:cs="Calibri"/>
          <w:lang w:eastAsia="en-GB"/>
        </w:rPr>
        <w:t xml:space="preserve">suggesting these sexual minority men had less overweightness and comparable physical activity to the sexual majority. </w:t>
      </w:r>
      <w:r w:rsidR="002F5628" w:rsidRPr="002F5628">
        <w:rPr>
          <w:rFonts w:ascii="Calibri" w:eastAsia="Times New Roman" w:hAnsi="Calibri" w:cs="Calibri"/>
          <w:lang w:eastAsia="en-GB"/>
        </w:rPr>
        <w:t xml:space="preserve">However, the substance use figures were higher than comparable measures for all adult males in similar times periods, where 24% were </w:t>
      </w:r>
      <w:r w:rsidR="00711B67">
        <w:rPr>
          <w:rFonts w:ascii="Calibri" w:eastAsia="Times New Roman" w:hAnsi="Calibri" w:cs="Calibri"/>
          <w:lang w:eastAsia="en-GB"/>
        </w:rPr>
        <w:t xml:space="preserve">very </w:t>
      </w:r>
      <w:r w:rsidR="002F5628" w:rsidRPr="002F5628">
        <w:rPr>
          <w:rFonts w:ascii="Calibri" w:eastAsia="Times New Roman" w:hAnsi="Calibri" w:cs="Calibri"/>
          <w:lang w:eastAsia="en-GB"/>
        </w:rPr>
        <w:t xml:space="preserve">frequent drinkers </w:t>
      </w:r>
      <w:r w:rsidR="008347A9">
        <w:rPr>
          <w:rFonts w:ascii="Calibri" w:eastAsia="Times New Roman" w:hAnsi="Calibri" w:cs="Calibri"/>
          <w:lang w:eastAsia="en-GB"/>
        </w:rPr>
        <w:t>[</w:t>
      </w:r>
      <w:r w:rsidR="00B615A1">
        <w:rPr>
          <w:rFonts w:ascii="Calibri" w:eastAsia="Times New Roman" w:hAnsi="Calibri" w:cs="Calibri"/>
          <w:lang w:eastAsia="en-GB"/>
        </w:rPr>
        <w:t>1</w:t>
      </w:r>
      <w:r w:rsidR="003409BA">
        <w:rPr>
          <w:rFonts w:ascii="Calibri" w:eastAsia="Times New Roman" w:hAnsi="Calibri" w:cs="Calibri"/>
          <w:lang w:eastAsia="en-GB"/>
        </w:rPr>
        <w:t>3</w:t>
      </w:r>
      <w:r w:rsidR="008347A9">
        <w:rPr>
          <w:rFonts w:ascii="Calibri" w:eastAsia="Times New Roman" w:hAnsi="Calibri" w:cs="Calibri"/>
          <w:lang w:eastAsia="en-GB"/>
        </w:rPr>
        <w:t>]</w:t>
      </w:r>
      <w:r w:rsidR="002F5628" w:rsidRPr="002F5628">
        <w:rPr>
          <w:rFonts w:ascii="Calibri" w:eastAsia="Times New Roman" w:hAnsi="Calibri" w:cs="Calibri"/>
          <w:lang w:eastAsia="en-GB"/>
        </w:rPr>
        <w:t xml:space="preserve">, 21% smoked </w:t>
      </w:r>
      <w:r w:rsidR="008347A9">
        <w:rPr>
          <w:rFonts w:ascii="Calibri" w:eastAsia="Times New Roman" w:hAnsi="Calibri" w:cs="Calibri"/>
          <w:lang w:eastAsia="en-GB"/>
        </w:rPr>
        <w:t>[1</w:t>
      </w:r>
      <w:r w:rsidR="003409BA">
        <w:rPr>
          <w:rFonts w:ascii="Calibri" w:eastAsia="Times New Roman" w:hAnsi="Calibri" w:cs="Calibri"/>
          <w:lang w:eastAsia="en-GB"/>
        </w:rPr>
        <w:t>4</w:t>
      </w:r>
      <w:r w:rsidR="008347A9">
        <w:rPr>
          <w:rFonts w:ascii="Calibri" w:eastAsia="Times New Roman" w:hAnsi="Calibri" w:cs="Calibri"/>
          <w:lang w:eastAsia="en-GB"/>
        </w:rPr>
        <w:t>]</w:t>
      </w:r>
      <w:r w:rsidR="002F5628" w:rsidRPr="002F5628">
        <w:rPr>
          <w:rFonts w:ascii="Calibri" w:eastAsia="Times New Roman" w:hAnsi="Calibri" w:cs="Calibri"/>
          <w:lang w:eastAsia="en-GB"/>
        </w:rPr>
        <w:t xml:space="preserve"> and</w:t>
      </w:r>
      <w:r w:rsidR="0033292C">
        <w:rPr>
          <w:rFonts w:ascii="Calibri" w:eastAsia="Times New Roman" w:hAnsi="Calibri" w:cs="Calibri"/>
          <w:lang w:eastAsia="en-GB"/>
        </w:rPr>
        <w:t xml:space="preserve"> 12% used illicit drugs </w:t>
      </w:r>
      <w:r w:rsidR="008347A9">
        <w:rPr>
          <w:rFonts w:ascii="Calibri" w:eastAsia="Times New Roman" w:hAnsi="Calibri" w:cs="Calibri"/>
          <w:lang w:eastAsia="en-GB"/>
        </w:rPr>
        <w:t>[</w:t>
      </w:r>
      <w:r w:rsidR="003B5437">
        <w:rPr>
          <w:rFonts w:ascii="Calibri" w:eastAsia="Times New Roman" w:hAnsi="Calibri" w:cs="Calibri"/>
          <w:lang w:eastAsia="en-GB"/>
        </w:rPr>
        <w:t>8</w:t>
      </w:r>
      <w:r w:rsidR="008347A9">
        <w:rPr>
          <w:rFonts w:ascii="Calibri" w:eastAsia="Times New Roman" w:hAnsi="Calibri" w:cs="Calibri"/>
          <w:lang w:eastAsia="en-GB"/>
        </w:rPr>
        <w:t>]</w:t>
      </w:r>
      <w:r w:rsidR="002F5628" w:rsidRPr="002F5628">
        <w:rPr>
          <w:rFonts w:ascii="Calibri" w:eastAsia="Times New Roman" w:hAnsi="Calibri" w:cs="Calibri"/>
          <w:lang w:eastAsia="en-GB"/>
        </w:rPr>
        <w:t xml:space="preserve">. This suggests that male health inequalities across sexuality do not all trend in the same direction. </w:t>
      </w:r>
    </w:p>
    <w:p w14:paraId="5151F280" w14:textId="6DE8B75B" w:rsidR="002F5628" w:rsidRPr="002F5628" w:rsidRDefault="003347FD" w:rsidP="00006056">
      <w:pPr>
        <w:spacing w:after="0"/>
        <w:rPr>
          <w:rFonts w:ascii="Calibri" w:eastAsia="Times New Roman" w:hAnsi="Calibri" w:cs="Calibri"/>
          <w:lang w:eastAsia="en-GB"/>
        </w:rPr>
      </w:pPr>
      <w:r>
        <w:rPr>
          <w:rFonts w:ascii="Calibri" w:eastAsia="Times New Roman" w:hAnsi="Calibri" w:cs="Calibri"/>
          <w:lang w:eastAsia="en-GB"/>
        </w:rPr>
        <w:t>O</w:t>
      </w:r>
      <w:r w:rsidR="002F5628" w:rsidRPr="002F5628">
        <w:rPr>
          <w:rFonts w:ascii="Calibri" w:eastAsia="Times New Roman" w:hAnsi="Calibri" w:cs="Calibri"/>
          <w:lang w:eastAsia="en-GB"/>
        </w:rPr>
        <w:t xml:space="preserve">ur analysis found </w:t>
      </w:r>
      <w:r w:rsidR="00155854" w:rsidRPr="002F5628">
        <w:rPr>
          <w:rFonts w:ascii="Calibri" w:eastAsia="Times New Roman" w:hAnsi="Calibri" w:cs="Calibri"/>
          <w:lang w:eastAsia="en-GB"/>
        </w:rPr>
        <w:t xml:space="preserve">heterogeneous </w:t>
      </w:r>
      <w:r w:rsidR="002F5628" w:rsidRPr="002F5628">
        <w:rPr>
          <w:rFonts w:ascii="Calibri" w:eastAsia="Times New Roman" w:hAnsi="Calibri" w:cs="Calibri"/>
          <w:lang w:eastAsia="en-GB"/>
        </w:rPr>
        <w:t>associations between demographic factors and different hea</w:t>
      </w:r>
      <w:r w:rsidR="00C84812">
        <w:rPr>
          <w:rFonts w:ascii="Calibri" w:eastAsia="Times New Roman" w:hAnsi="Calibri" w:cs="Calibri"/>
          <w:lang w:eastAsia="en-GB"/>
        </w:rPr>
        <w:t>lth indicators in this sample. W</w:t>
      </w:r>
      <w:r w:rsidR="002F5628" w:rsidRPr="002F5628">
        <w:rPr>
          <w:rFonts w:ascii="Calibri" w:eastAsia="Times New Roman" w:hAnsi="Calibri" w:cs="Calibri"/>
          <w:lang w:eastAsia="en-GB"/>
        </w:rPr>
        <w:t xml:space="preserve">e </w:t>
      </w:r>
      <w:r w:rsidR="00C84812">
        <w:rPr>
          <w:rFonts w:ascii="Calibri" w:eastAsia="Times New Roman" w:hAnsi="Calibri" w:cs="Calibri"/>
          <w:lang w:eastAsia="en-GB"/>
        </w:rPr>
        <w:t>identified</w:t>
      </w:r>
      <w:r w:rsidR="002F5628" w:rsidRPr="002F5628">
        <w:rPr>
          <w:rFonts w:ascii="Calibri" w:eastAsia="Times New Roman" w:hAnsi="Calibri" w:cs="Calibri"/>
          <w:lang w:eastAsia="en-GB"/>
        </w:rPr>
        <w:t xml:space="preserve"> that older </w:t>
      </w:r>
      <w:r w:rsidR="005E53C6">
        <w:rPr>
          <w:rFonts w:ascii="Calibri" w:eastAsia="Times New Roman" w:hAnsi="Calibri" w:cs="Calibri"/>
          <w:lang w:eastAsia="en-GB"/>
        </w:rPr>
        <w:t xml:space="preserve">gay and bisexual </w:t>
      </w:r>
      <w:r w:rsidR="002F5628" w:rsidRPr="002F5628">
        <w:rPr>
          <w:rFonts w:ascii="Calibri" w:eastAsia="Times New Roman" w:hAnsi="Calibri" w:cs="Calibri"/>
          <w:lang w:eastAsia="en-GB"/>
        </w:rPr>
        <w:t>men were significantly more likely to be overweight</w:t>
      </w:r>
      <w:r w:rsidR="00AB5722">
        <w:rPr>
          <w:rFonts w:ascii="Calibri" w:eastAsia="Times New Roman" w:hAnsi="Calibri" w:cs="Calibri"/>
          <w:lang w:eastAsia="en-GB"/>
        </w:rPr>
        <w:t xml:space="preserve"> </w:t>
      </w:r>
      <w:r w:rsidR="002F5628" w:rsidRPr="002F5628">
        <w:rPr>
          <w:rFonts w:ascii="Calibri" w:eastAsia="Times New Roman" w:hAnsi="Calibri" w:cs="Calibri"/>
          <w:lang w:eastAsia="en-GB"/>
        </w:rPr>
        <w:t>and drink f</w:t>
      </w:r>
      <w:r w:rsidR="008347A9">
        <w:rPr>
          <w:rFonts w:ascii="Calibri" w:eastAsia="Times New Roman" w:hAnsi="Calibri" w:cs="Calibri"/>
          <w:lang w:eastAsia="en-GB"/>
        </w:rPr>
        <w:t xml:space="preserve">requently </w:t>
      </w:r>
      <w:r w:rsidR="002F5628" w:rsidRPr="002F5628">
        <w:rPr>
          <w:rFonts w:ascii="Calibri" w:eastAsia="Times New Roman" w:hAnsi="Calibri" w:cs="Calibri"/>
          <w:lang w:eastAsia="en-GB"/>
        </w:rPr>
        <w:t>but were less likely to smoke or use illicit drugs</w:t>
      </w:r>
      <w:r w:rsidR="005E53C6">
        <w:rPr>
          <w:rFonts w:ascii="Calibri" w:eastAsia="Times New Roman" w:hAnsi="Calibri" w:cs="Calibri"/>
          <w:lang w:eastAsia="en-GB"/>
        </w:rPr>
        <w:t xml:space="preserve"> than younger men</w:t>
      </w:r>
      <w:r w:rsidR="002F5628" w:rsidRPr="002F5628">
        <w:rPr>
          <w:rFonts w:ascii="Calibri" w:eastAsia="Times New Roman" w:hAnsi="Calibri" w:cs="Calibri"/>
          <w:lang w:eastAsia="en-GB"/>
        </w:rPr>
        <w:t xml:space="preserve">.  As in the general male population </w:t>
      </w:r>
      <w:r w:rsidR="008347A9">
        <w:rPr>
          <w:rFonts w:ascii="Calibri" w:eastAsia="Times New Roman" w:hAnsi="Calibri" w:cs="Calibri"/>
          <w:lang w:eastAsia="en-GB"/>
        </w:rPr>
        <w:t>[1</w:t>
      </w:r>
      <w:r w:rsidR="003409BA">
        <w:rPr>
          <w:rFonts w:ascii="Calibri" w:eastAsia="Times New Roman" w:hAnsi="Calibri" w:cs="Calibri"/>
          <w:lang w:eastAsia="en-GB"/>
        </w:rPr>
        <w:t>4</w:t>
      </w:r>
      <w:r w:rsidR="008347A9">
        <w:rPr>
          <w:rFonts w:ascii="Calibri" w:eastAsia="Times New Roman" w:hAnsi="Calibri" w:cs="Calibri"/>
          <w:lang w:eastAsia="en-GB"/>
        </w:rPr>
        <w:t>]</w:t>
      </w:r>
      <w:r w:rsidR="002F5628" w:rsidRPr="002F5628">
        <w:rPr>
          <w:rFonts w:ascii="Calibri" w:eastAsia="Times New Roman" w:hAnsi="Calibri" w:cs="Calibri"/>
          <w:lang w:eastAsia="en-GB"/>
        </w:rPr>
        <w:t xml:space="preserve">, younger </w:t>
      </w:r>
      <w:r w:rsidR="005E53C6">
        <w:rPr>
          <w:rFonts w:ascii="Calibri" w:eastAsia="Times New Roman" w:hAnsi="Calibri" w:cs="Calibri"/>
          <w:lang w:eastAsia="en-GB"/>
        </w:rPr>
        <w:t xml:space="preserve">men </w:t>
      </w:r>
      <w:r w:rsidR="002F5628" w:rsidRPr="002F5628">
        <w:rPr>
          <w:rFonts w:ascii="Calibri" w:eastAsia="Times New Roman" w:hAnsi="Calibri" w:cs="Calibri"/>
          <w:lang w:eastAsia="en-GB"/>
        </w:rPr>
        <w:t xml:space="preserve">were most likely to smoke, with only a slow falling </w:t>
      </w:r>
      <w:r w:rsidR="002F5628" w:rsidRPr="002F5628">
        <w:rPr>
          <w:rFonts w:ascii="Calibri" w:eastAsia="Times New Roman" w:hAnsi="Calibri" w:cs="Calibri"/>
          <w:lang w:eastAsia="en-GB"/>
        </w:rPr>
        <w:lastRenderedPageBreak/>
        <w:t>off until the over 45s when the decline is steeper. However, illicit drug use was most common in men aged 25-45. Only a small proportion of this association was accounted for by living in London.</w:t>
      </w:r>
    </w:p>
    <w:p w14:paraId="1FDF0EE8" w14:textId="6EF1ADE7" w:rsidR="002F5628" w:rsidRPr="002F5628" w:rsidRDefault="005E53C6" w:rsidP="00006056">
      <w:pPr>
        <w:spacing w:after="0"/>
        <w:rPr>
          <w:rFonts w:ascii="Calibri" w:eastAsia="Times New Roman" w:hAnsi="Calibri" w:cs="Calibri"/>
          <w:lang w:eastAsia="en-GB"/>
        </w:rPr>
      </w:pPr>
      <w:r w:rsidRPr="002F5628">
        <w:rPr>
          <w:rFonts w:ascii="Calibri" w:eastAsia="Times New Roman" w:hAnsi="Calibri" w:cs="Calibri"/>
          <w:lang w:eastAsia="en-GB"/>
        </w:rPr>
        <w:t xml:space="preserve">In this survey, </w:t>
      </w:r>
      <w:r>
        <w:rPr>
          <w:rFonts w:ascii="Calibri" w:eastAsia="Times New Roman" w:hAnsi="Calibri" w:cs="Calibri"/>
          <w:lang w:eastAsia="en-GB"/>
        </w:rPr>
        <w:t>di</w:t>
      </w:r>
      <w:r w:rsidRPr="002F5628">
        <w:rPr>
          <w:rFonts w:ascii="Calibri" w:eastAsia="Times New Roman" w:hAnsi="Calibri" w:cs="Calibri"/>
          <w:lang w:eastAsia="en-GB"/>
        </w:rPr>
        <w:t xml:space="preserve">fferences in health outcomes by ethnicity were difficult to </w:t>
      </w:r>
      <w:r w:rsidR="000C3E1F">
        <w:rPr>
          <w:rFonts w:ascii="Calibri" w:eastAsia="Times New Roman" w:hAnsi="Calibri" w:cs="Calibri"/>
          <w:lang w:eastAsia="en-GB"/>
        </w:rPr>
        <w:t>detect</w:t>
      </w:r>
      <w:r w:rsidRPr="002F5628">
        <w:rPr>
          <w:rFonts w:ascii="Calibri" w:eastAsia="Times New Roman" w:hAnsi="Calibri" w:cs="Calibri"/>
          <w:lang w:eastAsia="en-GB"/>
        </w:rPr>
        <w:t xml:space="preserve"> because of the small numbers of men </w:t>
      </w:r>
      <w:r>
        <w:rPr>
          <w:rFonts w:ascii="Calibri" w:eastAsia="Times New Roman" w:hAnsi="Calibri" w:cs="Calibri"/>
          <w:lang w:eastAsia="en-GB"/>
        </w:rPr>
        <w:t>from specific minority ethnicities</w:t>
      </w:r>
      <w:r w:rsidRPr="002F5628">
        <w:rPr>
          <w:rFonts w:ascii="Calibri" w:eastAsia="Times New Roman" w:hAnsi="Calibri" w:cs="Calibri"/>
          <w:lang w:eastAsia="en-GB"/>
        </w:rPr>
        <w:t xml:space="preserve">. </w:t>
      </w:r>
      <w:r>
        <w:rPr>
          <w:rFonts w:ascii="Calibri" w:eastAsia="Times New Roman" w:hAnsi="Calibri" w:cs="Calibri"/>
          <w:lang w:eastAsia="en-GB"/>
        </w:rPr>
        <w:t xml:space="preserve">However, Asian </w:t>
      </w:r>
      <w:r w:rsidR="002F5628" w:rsidRPr="002F5628">
        <w:rPr>
          <w:rFonts w:ascii="Calibri" w:eastAsia="Times New Roman" w:hAnsi="Calibri" w:cs="Calibri"/>
          <w:lang w:eastAsia="en-GB"/>
        </w:rPr>
        <w:t xml:space="preserve">men were less likely </w:t>
      </w:r>
      <w:r w:rsidR="008347A9">
        <w:rPr>
          <w:rFonts w:ascii="Calibri" w:eastAsia="Times New Roman" w:hAnsi="Calibri" w:cs="Calibri"/>
          <w:lang w:eastAsia="en-GB"/>
        </w:rPr>
        <w:t>to</w:t>
      </w:r>
      <w:r w:rsidR="002F5628" w:rsidRPr="002F5628">
        <w:rPr>
          <w:rFonts w:ascii="Calibri" w:eastAsia="Times New Roman" w:hAnsi="Calibri" w:cs="Calibri"/>
          <w:lang w:eastAsia="en-GB"/>
        </w:rPr>
        <w:t xml:space="preserve"> </w:t>
      </w:r>
      <w:r w:rsidR="008347A9">
        <w:rPr>
          <w:rFonts w:ascii="Calibri" w:eastAsia="Times New Roman" w:hAnsi="Calibri" w:cs="Calibri"/>
          <w:lang w:eastAsia="en-GB"/>
        </w:rPr>
        <w:t xml:space="preserve">take </w:t>
      </w:r>
      <w:r w:rsidR="002F5628" w:rsidRPr="002F5628">
        <w:rPr>
          <w:rFonts w:ascii="Calibri" w:eastAsia="Times New Roman" w:hAnsi="Calibri" w:cs="Calibri"/>
          <w:lang w:eastAsia="en-GB"/>
        </w:rPr>
        <w:t>exercise</w:t>
      </w:r>
      <w:r w:rsidR="009669AF">
        <w:rPr>
          <w:rFonts w:ascii="Calibri" w:eastAsia="Times New Roman" w:hAnsi="Calibri" w:cs="Calibri"/>
          <w:lang w:eastAsia="en-GB"/>
        </w:rPr>
        <w:t xml:space="preserve"> than White men</w:t>
      </w:r>
      <w:r w:rsidR="002F5628" w:rsidRPr="002F5628">
        <w:rPr>
          <w:rFonts w:ascii="Calibri" w:eastAsia="Times New Roman" w:hAnsi="Calibri" w:cs="Calibri"/>
          <w:lang w:eastAsia="en-GB"/>
        </w:rPr>
        <w:t xml:space="preserve">, and that this was not </w:t>
      </w:r>
      <w:r w:rsidR="008347A9">
        <w:rPr>
          <w:rFonts w:ascii="Calibri" w:eastAsia="Times New Roman" w:hAnsi="Calibri" w:cs="Calibri"/>
          <w:lang w:eastAsia="en-GB"/>
        </w:rPr>
        <w:t>due to</w:t>
      </w:r>
      <w:r w:rsidR="002F5628" w:rsidRPr="002F5628">
        <w:rPr>
          <w:rFonts w:ascii="Calibri" w:eastAsia="Times New Roman" w:hAnsi="Calibri" w:cs="Calibri"/>
          <w:lang w:eastAsia="en-GB"/>
        </w:rPr>
        <w:t xml:space="preserve"> differences in education or income. </w:t>
      </w:r>
      <w:r w:rsidR="008347A9">
        <w:rPr>
          <w:rFonts w:ascii="Calibri" w:eastAsia="Times New Roman" w:hAnsi="Calibri" w:cs="Calibri"/>
          <w:lang w:eastAsia="en-GB"/>
        </w:rPr>
        <w:t>An</w:t>
      </w:r>
      <w:r w:rsidR="002F5628" w:rsidRPr="002F5628">
        <w:rPr>
          <w:rFonts w:ascii="Calibri" w:eastAsia="Times New Roman" w:hAnsi="Calibri" w:cs="Calibri"/>
          <w:lang w:eastAsia="en-GB"/>
        </w:rPr>
        <w:t xml:space="preserve"> association between </w:t>
      </w:r>
      <w:r w:rsidR="000C3E1F">
        <w:rPr>
          <w:rFonts w:ascii="Calibri" w:eastAsia="Times New Roman" w:hAnsi="Calibri" w:cs="Calibri"/>
          <w:lang w:eastAsia="en-GB"/>
        </w:rPr>
        <w:t xml:space="preserve">physical </w:t>
      </w:r>
      <w:r w:rsidR="002F5628" w:rsidRPr="002F5628">
        <w:rPr>
          <w:rFonts w:ascii="Calibri" w:eastAsia="Times New Roman" w:hAnsi="Calibri" w:cs="Calibri"/>
          <w:lang w:eastAsia="en-GB"/>
        </w:rPr>
        <w:t xml:space="preserve">inactivity and Asian </w:t>
      </w:r>
      <w:r w:rsidR="00AE10D2">
        <w:rPr>
          <w:rFonts w:ascii="Calibri" w:eastAsia="Times New Roman" w:hAnsi="Calibri" w:cs="Calibri"/>
          <w:lang w:eastAsia="en-GB"/>
        </w:rPr>
        <w:t>ethnicity</w:t>
      </w:r>
      <w:r w:rsidR="00AE10D2" w:rsidRPr="002F5628">
        <w:rPr>
          <w:rFonts w:ascii="Calibri" w:eastAsia="Times New Roman" w:hAnsi="Calibri" w:cs="Calibri"/>
          <w:lang w:eastAsia="en-GB"/>
        </w:rPr>
        <w:t xml:space="preserve"> </w:t>
      </w:r>
      <w:r w:rsidR="002F5628" w:rsidRPr="002F5628">
        <w:rPr>
          <w:rFonts w:ascii="Calibri" w:eastAsia="Times New Roman" w:hAnsi="Calibri" w:cs="Calibri"/>
          <w:lang w:eastAsia="en-GB"/>
        </w:rPr>
        <w:t xml:space="preserve">has </w:t>
      </w:r>
      <w:r>
        <w:rPr>
          <w:rFonts w:ascii="Calibri" w:eastAsia="Times New Roman" w:hAnsi="Calibri" w:cs="Calibri"/>
          <w:lang w:eastAsia="en-GB"/>
        </w:rPr>
        <w:t xml:space="preserve">also </w:t>
      </w:r>
      <w:r w:rsidR="002F5628" w:rsidRPr="002F5628">
        <w:rPr>
          <w:rFonts w:ascii="Calibri" w:eastAsia="Times New Roman" w:hAnsi="Calibri" w:cs="Calibri"/>
          <w:lang w:eastAsia="en-GB"/>
        </w:rPr>
        <w:t xml:space="preserve">been documented in the general population </w:t>
      </w:r>
      <w:r w:rsidR="008347A9">
        <w:rPr>
          <w:rFonts w:ascii="Calibri" w:eastAsia="Times New Roman" w:hAnsi="Calibri" w:cs="Calibri"/>
          <w:lang w:eastAsia="en-GB"/>
        </w:rPr>
        <w:t>[1</w:t>
      </w:r>
      <w:r w:rsidR="003409BA">
        <w:rPr>
          <w:rFonts w:ascii="Calibri" w:eastAsia="Times New Roman" w:hAnsi="Calibri" w:cs="Calibri"/>
          <w:lang w:eastAsia="en-GB"/>
        </w:rPr>
        <w:t>5</w:t>
      </w:r>
      <w:r w:rsidR="008347A9">
        <w:rPr>
          <w:rFonts w:ascii="Calibri" w:eastAsia="Times New Roman" w:hAnsi="Calibri" w:cs="Calibri"/>
          <w:lang w:eastAsia="en-GB"/>
        </w:rPr>
        <w:t>]</w:t>
      </w:r>
      <w:r w:rsidR="00180B1A">
        <w:rPr>
          <w:rFonts w:ascii="Calibri" w:eastAsia="Times New Roman" w:hAnsi="Calibri" w:cs="Calibri"/>
          <w:lang w:eastAsia="en-GB"/>
        </w:rPr>
        <w:t>.</w:t>
      </w:r>
      <w:r w:rsidR="008347A9">
        <w:rPr>
          <w:rFonts w:ascii="Calibri" w:eastAsia="Times New Roman" w:hAnsi="Calibri" w:cs="Calibri"/>
          <w:lang w:eastAsia="en-GB"/>
        </w:rPr>
        <w:t xml:space="preserve"> </w:t>
      </w:r>
      <w:r w:rsidR="002F5628" w:rsidRPr="002F5628">
        <w:rPr>
          <w:rFonts w:ascii="Calibri" w:eastAsia="Times New Roman" w:hAnsi="Calibri" w:cs="Calibri"/>
          <w:lang w:eastAsia="en-GB"/>
        </w:rPr>
        <w:t xml:space="preserve">However, Asian </w:t>
      </w:r>
      <w:r w:rsidR="00434711">
        <w:rPr>
          <w:rFonts w:ascii="Calibri" w:eastAsia="Times New Roman" w:hAnsi="Calibri" w:cs="Calibri"/>
          <w:lang w:eastAsia="en-GB"/>
        </w:rPr>
        <w:t>men</w:t>
      </w:r>
      <w:r w:rsidR="002F5628" w:rsidRPr="002F5628">
        <w:rPr>
          <w:rFonts w:ascii="Calibri" w:eastAsia="Times New Roman" w:hAnsi="Calibri" w:cs="Calibri"/>
          <w:lang w:eastAsia="en-GB"/>
        </w:rPr>
        <w:t xml:space="preserve"> were</w:t>
      </w:r>
      <w:r w:rsidR="009669AF">
        <w:rPr>
          <w:rFonts w:ascii="Calibri" w:eastAsia="Times New Roman" w:hAnsi="Calibri" w:cs="Calibri"/>
          <w:lang w:eastAsia="en-GB"/>
        </w:rPr>
        <w:t xml:space="preserve"> also</w:t>
      </w:r>
      <w:r w:rsidR="002F5628" w:rsidRPr="002F5628">
        <w:rPr>
          <w:rFonts w:ascii="Calibri" w:eastAsia="Times New Roman" w:hAnsi="Calibri" w:cs="Calibri"/>
          <w:lang w:eastAsia="en-GB"/>
        </w:rPr>
        <w:t xml:space="preserve"> sig</w:t>
      </w:r>
      <w:r w:rsidR="008347A9">
        <w:rPr>
          <w:rFonts w:ascii="Calibri" w:eastAsia="Times New Roman" w:hAnsi="Calibri" w:cs="Calibri"/>
          <w:lang w:eastAsia="en-GB"/>
        </w:rPr>
        <w:t>nificantly less likely to smoke</w:t>
      </w:r>
      <w:r w:rsidR="002F5628" w:rsidRPr="002F5628">
        <w:rPr>
          <w:rFonts w:ascii="Calibri" w:eastAsia="Times New Roman" w:hAnsi="Calibri" w:cs="Calibri"/>
          <w:lang w:eastAsia="en-GB"/>
        </w:rPr>
        <w:t xml:space="preserve">. In the Health Survey for England 2004 </w:t>
      </w:r>
      <w:r w:rsidR="008347A9">
        <w:rPr>
          <w:rFonts w:ascii="Calibri" w:eastAsia="Times New Roman" w:hAnsi="Calibri" w:cs="Calibri"/>
          <w:lang w:eastAsia="en-GB"/>
        </w:rPr>
        <w:t>[1</w:t>
      </w:r>
      <w:r w:rsidR="003409BA">
        <w:rPr>
          <w:rFonts w:ascii="Calibri" w:eastAsia="Times New Roman" w:hAnsi="Calibri" w:cs="Calibri"/>
          <w:lang w:eastAsia="en-GB"/>
        </w:rPr>
        <w:t>6</w:t>
      </w:r>
      <w:r w:rsidR="008347A9">
        <w:rPr>
          <w:rFonts w:ascii="Calibri" w:eastAsia="Times New Roman" w:hAnsi="Calibri" w:cs="Calibri"/>
          <w:lang w:eastAsia="en-GB"/>
        </w:rPr>
        <w:t xml:space="preserve">] </w:t>
      </w:r>
      <w:r w:rsidR="002F5628" w:rsidRPr="002F5628">
        <w:rPr>
          <w:rFonts w:ascii="Calibri" w:eastAsia="Times New Roman" w:hAnsi="Calibri" w:cs="Calibri"/>
          <w:lang w:eastAsia="en-GB"/>
        </w:rPr>
        <w:t xml:space="preserve">Indian men were less likely to smoke (20%) than the general population (24%) but Pakistani men (29%) and especially Bangladeshi men (40%) were more likely to smoke. </w:t>
      </w:r>
      <w:r w:rsidR="009669AF">
        <w:rPr>
          <w:rFonts w:ascii="Calibri" w:eastAsia="Times New Roman" w:hAnsi="Calibri" w:cs="Calibri"/>
          <w:lang w:eastAsia="en-GB"/>
        </w:rPr>
        <w:t>Our data do not allow for this level of enquiry.</w:t>
      </w:r>
    </w:p>
    <w:p w14:paraId="7E3E82F3" w14:textId="2EB849E8" w:rsidR="00967D94" w:rsidRDefault="002F5628" w:rsidP="00006056">
      <w:pPr>
        <w:spacing w:after="0"/>
        <w:rPr>
          <w:rFonts w:ascii="Calibri" w:eastAsia="Times New Roman" w:hAnsi="Calibri" w:cs="Calibri"/>
          <w:lang w:eastAsia="en-GB"/>
        </w:rPr>
      </w:pPr>
      <w:r w:rsidRPr="002F5628">
        <w:rPr>
          <w:rFonts w:ascii="Calibri" w:eastAsia="Times New Roman" w:hAnsi="Calibri" w:cs="Calibri"/>
          <w:lang w:eastAsia="en-GB"/>
        </w:rPr>
        <w:t xml:space="preserve">We found that lower education was associated with being overweight, inactivity, smoking and </w:t>
      </w:r>
      <w:r w:rsidR="008347A9">
        <w:rPr>
          <w:rFonts w:ascii="Calibri" w:eastAsia="Times New Roman" w:hAnsi="Calibri" w:cs="Calibri"/>
          <w:lang w:eastAsia="en-GB"/>
        </w:rPr>
        <w:t xml:space="preserve">frequent </w:t>
      </w:r>
      <w:r w:rsidRPr="002F5628">
        <w:rPr>
          <w:rFonts w:ascii="Calibri" w:eastAsia="Times New Roman" w:hAnsi="Calibri" w:cs="Calibri"/>
          <w:lang w:eastAsia="en-GB"/>
        </w:rPr>
        <w:t xml:space="preserve">alcohol use, and that these associations were only slightly mediated by differences in income.  Illicit drug use however was mildly associated with higher levels of education, </w:t>
      </w:r>
      <w:r w:rsidR="008347A9">
        <w:rPr>
          <w:rFonts w:ascii="Calibri" w:eastAsia="Times New Roman" w:hAnsi="Calibri" w:cs="Calibri"/>
          <w:lang w:eastAsia="en-GB"/>
        </w:rPr>
        <w:t xml:space="preserve">after </w:t>
      </w:r>
      <w:r w:rsidRPr="002F5628">
        <w:rPr>
          <w:rFonts w:ascii="Calibri" w:eastAsia="Times New Roman" w:hAnsi="Calibri" w:cs="Calibri"/>
          <w:lang w:eastAsia="en-GB"/>
        </w:rPr>
        <w:t>adjusting for potential confounders.</w:t>
      </w:r>
      <w:r w:rsidR="0091742C">
        <w:rPr>
          <w:rFonts w:ascii="Calibri" w:eastAsia="Times New Roman" w:hAnsi="Calibri" w:cs="Calibri"/>
          <w:lang w:eastAsia="en-GB"/>
        </w:rPr>
        <w:t xml:space="preserve"> </w:t>
      </w:r>
      <w:r w:rsidRPr="002F5628">
        <w:rPr>
          <w:rFonts w:ascii="Calibri" w:eastAsia="Times New Roman" w:hAnsi="Calibri" w:cs="Calibri"/>
          <w:lang w:eastAsia="en-GB"/>
        </w:rPr>
        <w:t xml:space="preserve">Higher earners were more likely to drink </w:t>
      </w:r>
      <w:r w:rsidR="008347A9">
        <w:rPr>
          <w:rFonts w:ascii="Calibri" w:eastAsia="Times New Roman" w:hAnsi="Calibri" w:cs="Calibri"/>
          <w:lang w:eastAsia="en-GB"/>
        </w:rPr>
        <w:t xml:space="preserve">frequently </w:t>
      </w:r>
      <w:r w:rsidRPr="002F5628">
        <w:rPr>
          <w:rFonts w:ascii="Calibri" w:eastAsia="Times New Roman" w:hAnsi="Calibri" w:cs="Calibri"/>
          <w:lang w:eastAsia="en-GB"/>
        </w:rPr>
        <w:t xml:space="preserve">but much less likely to smoke, mirroring biases in the general population </w:t>
      </w:r>
      <w:r w:rsidR="008347A9">
        <w:rPr>
          <w:rFonts w:ascii="Calibri" w:eastAsia="Times New Roman" w:hAnsi="Calibri" w:cs="Calibri"/>
          <w:lang w:eastAsia="en-GB"/>
        </w:rPr>
        <w:t>[1</w:t>
      </w:r>
      <w:r w:rsidR="003409BA">
        <w:rPr>
          <w:rFonts w:ascii="Calibri" w:eastAsia="Times New Roman" w:hAnsi="Calibri" w:cs="Calibri"/>
          <w:lang w:eastAsia="en-GB"/>
        </w:rPr>
        <w:t>7</w:t>
      </w:r>
      <w:r w:rsidR="008347A9">
        <w:rPr>
          <w:rFonts w:ascii="Calibri" w:eastAsia="Times New Roman" w:hAnsi="Calibri" w:cs="Calibri"/>
          <w:lang w:eastAsia="en-GB"/>
        </w:rPr>
        <w:t>]</w:t>
      </w:r>
      <w:r w:rsidRPr="002F5628">
        <w:rPr>
          <w:rFonts w:ascii="Calibri" w:eastAsia="Times New Roman" w:hAnsi="Calibri" w:cs="Calibri"/>
          <w:lang w:eastAsia="en-GB"/>
        </w:rPr>
        <w:t>. In both cases the effects were progressive with increasing income. Income was not associated with being overweight, exercise, or illicit drug</w:t>
      </w:r>
      <w:r w:rsidR="00A47FF4">
        <w:rPr>
          <w:rFonts w:ascii="Calibri" w:eastAsia="Times New Roman" w:hAnsi="Calibri" w:cs="Calibri"/>
          <w:lang w:eastAsia="en-GB"/>
        </w:rPr>
        <w:t xml:space="preserve"> use</w:t>
      </w:r>
      <w:r w:rsidRPr="002F5628">
        <w:rPr>
          <w:rFonts w:ascii="Calibri" w:eastAsia="Times New Roman" w:hAnsi="Calibri" w:cs="Calibri"/>
          <w:lang w:eastAsia="en-GB"/>
        </w:rPr>
        <w:t xml:space="preserve"> after adjusting for confounders. Migrants were less likely to be overweight</w:t>
      </w:r>
      <w:r w:rsidR="00A47FF4">
        <w:rPr>
          <w:rFonts w:ascii="Calibri" w:eastAsia="Times New Roman" w:hAnsi="Calibri" w:cs="Calibri"/>
          <w:lang w:eastAsia="en-GB"/>
        </w:rPr>
        <w:t xml:space="preserve">, </w:t>
      </w:r>
      <w:r w:rsidRPr="002F5628">
        <w:rPr>
          <w:rFonts w:ascii="Calibri" w:eastAsia="Times New Roman" w:hAnsi="Calibri" w:cs="Calibri"/>
          <w:lang w:eastAsia="en-GB"/>
        </w:rPr>
        <w:t>which was mediated by living in London</w:t>
      </w:r>
      <w:r w:rsidR="00A47FF4">
        <w:rPr>
          <w:rFonts w:ascii="Calibri" w:eastAsia="Times New Roman" w:hAnsi="Calibri" w:cs="Calibri"/>
          <w:lang w:eastAsia="en-GB"/>
        </w:rPr>
        <w:t xml:space="preserve">, and </w:t>
      </w:r>
      <w:r w:rsidRPr="002F5628">
        <w:rPr>
          <w:rFonts w:ascii="Calibri" w:eastAsia="Times New Roman" w:hAnsi="Calibri" w:cs="Calibri"/>
          <w:lang w:eastAsia="en-GB"/>
        </w:rPr>
        <w:t>were more likely t</w:t>
      </w:r>
      <w:r w:rsidR="00A47FF4">
        <w:rPr>
          <w:rFonts w:ascii="Calibri" w:eastAsia="Times New Roman" w:hAnsi="Calibri" w:cs="Calibri"/>
          <w:lang w:eastAsia="en-GB"/>
        </w:rPr>
        <w:t>o exercise</w:t>
      </w:r>
      <w:r w:rsidR="003008ED">
        <w:rPr>
          <w:rFonts w:ascii="Calibri" w:eastAsia="Times New Roman" w:hAnsi="Calibri" w:cs="Calibri"/>
          <w:lang w:eastAsia="en-GB"/>
        </w:rPr>
        <w:t xml:space="preserve"> frequently</w:t>
      </w:r>
      <w:r w:rsidRPr="002F5628">
        <w:rPr>
          <w:rFonts w:ascii="Calibri" w:eastAsia="Times New Roman" w:hAnsi="Calibri" w:cs="Calibri"/>
          <w:lang w:eastAsia="en-GB"/>
        </w:rPr>
        <w:t xml:space="preserve">, </w:t>
      </w:r>
      <w:r w:rsidR="00A47FF4">
        <w:rPr>
          <w:rFonts w:ascii="Calibri" w:eastAsia="Times New Roman" w:hAnsi="Calibri" w:cs="Calibri"/>
          <w:lang w:eastAsia="en-GB"/>
        </w:rPr>
        <w:t xml:space="preserve">which was </w:t>
      </w:r>
      <w:r w:rsidRPr="002F5628">
        <w:rPr>
          <w:rFonts w:ascii="Calibri" w:eastAsia="Times New Roman" w:hAnsi="Calibri" w:cs="Calibri"/>
          <w:lang w:eastAsia="en-GB"/>
        </w:rPr>
        <w:t xml:space="preserve">independent of living in London.  </w:t>
      </w:r>
    </w:p>
    <w:p w14:paraId="6E21397E" w14:textId="4B076C17" w:rsidR="002F5628" w:rsidRPr="002F5628" w:rsidRDefault="00967D94" w:rsidP="00006056">
      <w:pPr>
        <w:spacing w:after="0"/>
        <w:rPr>
          <w:rFonts w:ascii="Calibri" w:eastAsia="Times New Roman" w:hAnsi="Calibri" w:cs="Calibri"/>
          <w:lang w:eastAsia="en-GB"/>
        </w:rPr>
      </w:pPr>
      <w:r>
        <w:rPr>
          <w:rFonts w:ascii="Calibri" w:eastAsia="Times New Roman" w:hAnsi="Calibri" w:cs="Calibri"/>
          <w:lang w:eastAsia="en-GB"/>
        </w:rPr>
        <w:t>A</w:t>
      </w:r>
      <w:r w:rsidR="002F5628" w:rsidRPr="002F5628">
        <w:rPr>
          <w:rFonts w:ascii="Calibri" w:eastAsia="Times New Roman" w:hAnsi="Calibri" w:cs="Calibri"/>
          <w:lang w:eastAsia="en-GB"/>
        </w:rPr>
        <w:t xml:space="preserve">fter controlling for potential confounders, household was not strongly associated with any of the health outcomes, but smoking was slightly less common among men co-habiting with a male partner, which reflects the general population where smoking is less common in married rather than single people </w:t>
      </w:r>
      <w:r w:rsidR="00303644">
        <w:rPr>
          <w:rFonts w:ascii="Calibri" w:eastAsia="Times New Roman" w:hAnsi="Calibri" w:cs="Calibri"/>
          <w:lang w:eastAsia="en-GB"/>
        </w:rPr>
        <w:t>[1</w:t>
      </w:r>
      <w:r w:rsidR="003E1E30">
        <w:rPr>
          <w:rFonts w:ascii="Calibri" w:eastAsia="Times New Roman" w:hAnsi="Calibri" w:cs="Calibri"/>
          <w:lang w:eastAsia="en-GB"/>
        </w:rPr>
        <w:t>7</w:t>
      </w:r>
      <w:r w:rsidR="00303644">
        <w:rPr>
          <w:rFonts w:ascii="Calibri" w:eastAsia="Times New Roman" w:hAnsi="Calibri" w:cs="Calibri"/>
          <w:lang w:eastAsia="en-GB"/>
        </w:rPr>
        <w:t>]</w:t>
      </w:r>
      <w:r w:rsidR="002F5628" w:rsidRPr="002F5628">
        <w:rPr>
          <w:rFonts w:ascii="Calibri" w:eastAsia="Times New Roman" w:hAnsi="Calibri" w:cs="Calibri"/>
          <w:lang w:eastAsia="en-GB"/>
        </w:rPr>
        <w:t xml:space="preserve">. Living in London was strongly associated with a lower risk of being overweight, and this was not mediated by education, income, or any other available factor.  </w:t>
      </w:r>
      <w:r w:rsidR="00434711">
        <w:rPr>
          <w:rFonts w:ascii="Calibri" w:eastAsia="Times New Roman" w:hAnsi="Calibri" w:cs="Calibri"/>
          <w:lang w:eastAsia="en-GB"/>
        </w:rPr>
        <w:t>Men</w:t>
      </w:r>
      <w:r w:rsidR="00434711" w:rsidRPr="002F5628">
        <w:rPr>
          <w:rFonts w:ascii="Calibri" w:eastAsia="Times New Roman" w:hAnsi="Calibri" w:cs="Calibri"/>
          <w:lang w:eastAsia="en-GB"/>
        </w:rPr>
        <w:t xml:space="preserve"> </w:t>
      </w:r>
      <w:r w:rsidR="002F5628" w:rsidRPr="002F5628">
        <w:rPr>
          <w:rFonts w:ascii="Calibri" w:eastAsia="Times New Roman" w:hAnsi="Calibri" w:cs="Calibri"/>
          <w:lang w:eastAsia="en-GB"/>
        </w:rPr>
        <w:t xml:space="preserve">in London were more likely to drink </w:t>
      </w:r>
      <w:r w:rsidR="00303644">
        <w:rPr>
          <w:rFonts w:ascii="Calibri" w:eastAsia="Times New Roman" w:hAnsi="Calibri" w:cs="Calibri"/>
          <w:lang w:eastAsia="en-GB"/>
        </w:rPr>
        <w:t>frequently</w:t>
      </w:r>
      <w:r w:rsidR="002F5628" w:rsidRPr="002F5628">
        <w:rPr>
          <w:rFonts w:ascii="Calibri" w:eastAsia="Times New Roman" w:hAnsi="Calibri" w:cs="Calibri"/>
          <w:lang w:eastAsia="en-GB"/>
        </w:rPr>
        <w:t xml:space="preserve">, and considerably more likely to have </w:t>
      </w:r>
      <w:r w:rsidR="00303644">
        <w:rPr>
          <w:rFonts w:ascii="Calibri" w:eastAsia="Times New Roman" w:hAnsi="Calibri" w:cs="Calibri"/>
          <w:lang w:eastAsia="en-GB"/>
        </w:rPr>
        <w:t>used</w:t>
      </w:r>
      <w:r w:rsidR="002F5628" w:rsidRPr="002F5628">
        <w:rPr>
          <w:rFonts w:ascii="Calibri" w:eastAsia="Times New Roman" w:hAnsi="Calibri" w:cs="Calibri"/>
          <w:lang w:eastAsia="en-GB"/>
        </w:rPr>
        <w:t xml:space="preserve"> illicit drugs than </w:t>
      </w:r>
      <w:r w:rsidR="00434711">
        <w:rPr>
          <w:rFonts w:ascii="Calibri" w:eastAsia="Times New Roman" w:hAnsi="Calibri" w:cs="Calibri"/>
          <w:lang w:eastAsia="en-GB"/>
        </w:rPr>
        <w:t>those</w:t>
      </w:r>
      <w:r w:rsidR="002F5628" w:rsidRPr="002F5628">
        <w:rPr>
          <w:rFonts w:ascii="Calibri" w:eastAsia="Times New Roman" w:hAnsi="Calibri" w:cs="Calibri"/>
          <w:lang w:eastAsia="en-GB"/>
        </w:rPr>
        <w:t xml:space="preserve"> living elsewhere. However, </w:t>
      </w:r>
      <w:r w:rsidR="00303644">
        <w:rPr>
          <w:rFonts w:ascii="Calibri" w:eastAsia="Times New Roman" w:hAnsi="Calibri" w:cs="Calibri"/>
          <w:lang w:eastAsia="en-GB"/>
        </w:rPr>
        <w:t>as in the general population [1</w:t>
      </w:r>
      <w:r w:rsidR="003E1E30">
        <w:rPr>
          <w:rFonts w:ascii="Calibri" w:eastAsia="Times New Roman" w:hAnsi="Calibri" w:cs="Calibri"/>
          <w:lang w:eastAsia="en-GB"/>
        </w:rPr>
        <w:t>4</w:t>
      </w:r>
      <w:r w:rsidR="00303644">
        <w:rPr>
          <w:rFonts w:ascii="Calibri" w:eastAsia="Times New Roman" w:hAnsi="Calibri" w:cs="Calibri"/>
          <w:lang w:eastAsia="en-GB"/>
        </w:rPr>
        <w:t>]</w:t>
      </w:r>
      <w:r w:rsidR="002F5628" w:rsidRPr="002F5628">
        <w:rPr>
          <w:rFonts w:ascii="Calibri" w:eastAsia="Times New Roman" w:hAnsi="Calibri" w:cs="Calibri"/>
          <w:lang w:eastAsia="en-GB"/>
        </w:rPr>
        <w:t xml:space="preserve">, living in London </w:t>
      </w:r>
      <w:r w:rsidR="00303644">
        <w:rPr>
          <w:rFonts w:ascii="Calibri" w:eastAsia="Times New Roman" w:hAnsi="Calibri" w:cs="Calibri"/>
          <w:lang w:eastAsia="en-GB"/>
        </w:rPr>
        <w:t>did</w:t>
      </w:r>
      <w:r w:rsidR="002F5628" w:rsidRPr="002F5628">
        <w:rPr>
          <w:rFonts w:ascii="Calibri" w:eastAsia="Times New Roman" w:hAnsi="Calibri" w:cs="Calibri"/>
          <w:lang w:eastAsia="en-GB"/>
        </w:rPr>
        <w:t xml:space="preserve"> not </w:t>
      </w:r>
      <w:r w:rsidR="00303644">
        <w:rPr>
          <w:rFonts w:ascii="Calibri" w:eastAsia="Times New Roman" w:hAnsi="Calibri" w:cs="Calibri"/>
          <w:lang w:eastAsia="en-GB"/>
        </w:rPr>
        <w:t>change</w:t>
      </w:r>
      <w:r w:rsidR="002F5628" w:rsidRPr="002F5628">
        <w:rPr>
          <w:rFonts w:ascii="Calibri" w:eastAsia="Times New Roman" w:hAnsi="Calibri" w:cs="Calibri"/>
          <w:lang w:eastAsia="en-GB"/>
        </w:rPr>
        <w:t xml:space="preserve"> the likelihood of tobacco use.</w:t>
      </w:r>
    </w:p>
    <w:p w14:paraId="7B228595" w14:textId="77777777" w:rsidR="003347FD" w:rsidRDefault="003347FD" w:rsidP="00006056">
      <w:pPr>
        <w:widowControl w:val="0"/>
        <w:spacing w:after="0"/>
        <w:rPr>
          <w:rFonts w:ascii="Calibri" w:eastAsia="Arial" w:hAnsi="Calibri" w:cs="Calibri"/>
          <w:color w:val="000000"/>
          <w:lang w:eastAsia="en-GB"/>
        </w:rPr>
      </w:pPr>
    </w:p>
    <w:p w14:paraId="4E077FF2" w14:textId="10C45776" w:rsidR="003347FD" w:rsidRPr="003347FD" w:rsidRDefault="003347FD" w:rsidP="00006056">
      <w:pPr>
        <w:widowControl w:val="0"/>
        <w:spacing w:after="0"/>
        <w:rPr>
          <w:rFonts w:ascii="Calibri" w:eastAsia="Arial" w:hAnsi="Calibri" w:cs="Calibri"/>
          <w:b/>
          <w:color w:val="000000"/>
          <w:lang w:eastAsia="en-GB"/>
        </w:rPr>
      </w:pPr>
      <w:r w:rsidRPr="003347FD">
        <w:rPr>
          <w:rFonts w:ascii="Calibri" w:eastAsia="Arial" w:hAnsi="Calibri" w:cs="Calibri"/>
          <w:b/>
          <w:color w:val="000000"/>
          <w:lang w:eastAsia="en-GB"/>
        </w:rPr>
        <w:t>What this study adds</w:t>
      </w:r>
    </w:p>
    <w:p w14:paraId="1818910B" w14:textId="3323ADF8" w:rsidR="003347FD" w:rsidRPr="003347FD" w:rsidRDefault="003347FD" w:rsidP="003347FD">
      <w:pPr>
        <w:widowControl w:val="0"/>
        <w:spacing w:after="0"/>
        <w:rPr>
          <w:rFonts w:ascii="Calibri" w:eastAsia="Arial" w:hAnsi="Calibri" w:cs="Calibri"/>
          <w:color w:val="000000"/>
          <w:lang w:eastAsia="en-GB"/>
        </w:rPr>
      </w:pPr>
      <w:r w:rsidRPr="003347FD">
        <w:rPr>
          <w:rFonts w:ascii="Calibri" w:eastAsia="Arial" w:hAnsi="Calibri" w:cs="Calibri"/>
          <w:color w:val="000000"/>
          <w:lang w:eastAsia="en-GB"/>
        </w:rPr>
        <w:t>Our findings contribute a clear, nuanced account of demographic variation in health related behaviours among gay</w:t>
      </w:r>
      <w:r w:rsidR="00180B1A">
        <w:rPr>
          <w:rFonts w:ascii="Calibri" w:eastAsia="Arial" w:hAnsi="Calibri" w:cs="Calibri"/>
          <w:color w:val="000000"/>
          <w:lang w:eastAsia="en-GB"/>
        </w:rPr>
        <w:t xml:space="preserve"> and</w:t>
      </w:r>
      <w:r w:rsidRPr="003347FD">
        <w:rPr>
          <w:rFonts w:ascii="Calibri" w:eastAsia="Arial" w:hAnsi="Calibri" w:cs="Calibri"/>
          <w:color w:val="000000"/>
          <w:lang w:eastAsia="en-GB"/>
        </w:rPr>
        <w:t xml:space="preserve"> bisexual living in </w:t>
      </w:r>
      <w:proofErr w:type="gramStart"/>
      <w:r w:rsidRPr="003347FD">
        <w:rPr>
          <w:rFonts w:ascii="Calibri" w:eastAsia="Arial" w:hAnsi="Calibri" w:cs="Calibri"/>
          <w:color w:val="000000"/>
          <w:lang w:eastAsia="en-GB"/>
        </w:rPr>
        <w:t>England</w:t>
      </w:r>
      <w:r w:rsidR="00180B1A">
        <w:rPr>
          <w:rFonts w:ascii="Calibri" w:eastAsia="Arial" w:hAnsi="Calibri" w:cs="Calibri"/>
          <w:color w:val="000000"/>
          <w:lang w:eastAsia="en-GB"/>
        </w:rPr>
        <w:t>,</w:t>
      </w:r>
      <w:r>
        <w:rPr>
          <w:rFonts w:ascii="Calibri" w:eastAsia="Arial" w:hAnsi="Calibri" w:cs="Calibri"/>
          <w:color w:val="000000"/>
          <w:lang w:eastAsia="en-GB"/>
        </w:rPr>
        <w:t xml:space="preserve"> that</w:t>
      </w:r>
      <w:proofErr w:type="gramEnd"/>
      <w:r>
        <w:rPr>
          <w:rFonts w:ascii="Calibri" w:eastAsia="Arial" w:hAnsi="Calibri" w:cs="Calibri"/>
          <w:color w:val="000000"/>
          <w:lang w:eastAsia="en-GB"/>
        </w:rPr>
        <w:t xml:space="preserve"> did not previously exist</w:t>
      </w:r>
      <w:r w:rsidRPr="003347FD">
        <w:rPr>
          <w:rFonts w:ascii="Calibri" w:eastAsia="Arial" w:hAnsi="Calibri" w:cs="Calibri"/>
          <w:color w:val="000000"/>
          <w:lang w:eastAsia="en-GB"/>
        </w:rPr>
        <w:t xml:space="preserve">. That many of these findings </w:t>
      </w:r>
      <w:r w:rsidRPr="003347FD">
        <w:rPr>
          <w:rFonts w:ascii="Calibri" w:eastAsia="Arial" w:hAnsi="Calibri" w:cs="Calibri"/>
          <w:color w:val="000000"/>
          <w:lang w:eastAsia="en-GB"/>
        </w:rPr>
        <w:lastRenderedPageBreak/>
        <w:t xml:space="preserve">mirror those observed among the general population is </w:t>
      </w:r>
      <w:r w:rsidR="00180B1A" w:rsidRPr="003347FD">
        <w:rPr>
          <w:rFonts w:ascii="Calibri" w:eastAsia="Arial" w:hAnsi="Calibri" w:cs="Calibri"/>
          <w:color w:val="000000"/>
          <w:lang w:eastAsia="en-GB"/>
        </w:rPr>
        <w:t>valuable</w:t>
      </w:r>
      <w:r w:rsidRPr="003347FD">
        <w:rPr>
          <w:rFonts w:ascii="Calibri" w:eastAsia="Arial" w:hAnsi="Calibri" w:cs="Calibri"/>
          <w:color w:val="000000"/>
          <w:lang w:eastAsia="en-GB"/>
        </w:rPr>
        <w:t xml:space="preserve"> to document in the context of public health policy or discussion which has often tended to consider minority groups more homogenous than they actually are</w:t>
      </w:r>
      <w:r w:rsidR="00180B1A">
        <w:rPr>
          <w:rFonts w:ascii="Calibri" w:eastAsia="Arial" w:hAnsi="Calibri" w:cs="Calibri"/>
          <w:color w:val="000000"/>
          <w:lang w:eastAsia="en-GB"/>
        </w:rPr>
        <w:t xml:space="preserve"> </w:t>
      </w:r>
      <w:r w:rsidR="00867A00">
        <w:rPr>
          <w:rFonts w:ascii="Calibri" w:eastAsia="Arial" w:hAnsi="Calibri" w:cs="Calibri"/>
          <w:color w:val="000000"/>
          <w:lang w:eastAsia="en-GB"/>
        </w:rPr>
        <w:t>[1</w:t>
      </w:r>
      <w:r w:rsidR="003E1E30">
        <w:rPr>
          <w:rFonts w:ascii="Calibri" w:eastAsia="Arial" w:hAnsi="Calibri" w:cs="Calibri"/>
          <w:color w:val="000000"/>
          <w:lang w:eastAsia="en-GB"/>
        </w:rPr>
        <w:t>8</w:t>
      </w:r>
      <w:r w:rsidR="00867A00">
        <w:rPr>
          <w:rFonts w:ascii="Calibri" w:eastAsia="Arial" w:hAnsi="Calibri" w:cs="Calibri"/>
          <w:color w:val="000000"/>
          <w:lang w:eastAsia="en-GB"/>
        </w:rPr>
        <w:t>]</w:t>
      </w:r>
      <w:r w:rsidR="00180B1A">
        <w:rPr>
          <w:rFonts w:ascii="Calibri" w:eastAsia="Arial" w:hAnsi="Calibri" w:cs="Calibri"/>
          <w:color w:val="000000"/>
          <w:lang w:eastAsia="en-GB"/>
        </w:rPr>
        <w:t>.</w:t>
      </w:r>
    </w:p>
    <w:p w14:paraId="36C52D17" w14:textId="784A7CD9" w:rsidR="002F5628" w:rsidRDefault="00303644" w:rsidP="00006056">
      <w:pPr>
        <w:widowControl w:val="0"/>
        <w:spacing w:after="0"/>
        <w:rPr>
          <w:rFonts w:ascii="Calibri" w:eastAsia="Arial" w:hAnsi="Calibri" w:cs="Calibri"/>
          <w:color w:val="000000"/>
          <w:lang w:eastAsia="en-GB"/>
        </w:rPr>
      </w:pPr>
      <w:r>
        <w:rPr>
          <w:rFonts w:ascii="Calibri" w:eastAsia="Arial" w:hAnsi="Calibri" w:cs="Calibri"/>
          <w:color w:val="000000"/>
          <w:lang w:eastAsia="en-GB"/>
        </w:rPr>
        <w:t xml:space="preserve">The concept of </w:t>
      </w:r>
      <w:r w:rsidR="002F5628" w:rsidRPr="002F5628">
        <w:rPr>
          <w:rFonts w:ascii="Calibri" w:eastAsia="Arial" w:hAnsi="Calibri" w:cs="Calibri"/>
          <w:color w:val="000000"/>
          <w:lang w:eastAsia="en-GB"/>
        </w:rPr>
        <w:t>‘</w:t>
      </w:r>
      <w:r>
        <w:rPr>
          <w:rFonts w:ascii="Calibri" w:eastAsia="Arial" w:hAnsi="Calibri" w:cs="Calibri"/>
          <w:color w:val="000000"/>
          <w:lang w:eastAsia="en-GB"/>
        </w:rPr>
        <w:t>i</w:t>
      </w:r>
      <w:r w:rsidR="002F5628" w:rsidRPr="002F5628">
        <w:rPr>
          <w:rFonts w:ascii="Calibri" w:eastAsia="Arial" w:hAnsi="Calibri" w:cs="Calibri"/>
          <w:color w:val="000000"/>
          <w:lang w:eastAsia="en-GB"/>
        </w:rPr>
        <w:t>ntersectionality’ provides a useful way of interpreting these findings</w:t>
      </w:r>
      <w:r w:rsidR="008C44E0">
        <w:rPr>
          <w:rFonts w:ascii="Calibri" w:eastAsia="Arial" w:hAnsi="Calibri" w:cs="Calibri"/>
          <w:color w:val="000000"/>
          <w:lang w:eastAsia="en-GB"/>
        </w:rPr>
        <w:t xml:space="preserve"> </w:t>
      </w:r>
      <w:r>
        <w:rPr>
          <w:rFonts w:ascii="Calibri" w:eastAsia="Arial" w:hAnsi="Calibri" w:cs="Calibri"/>
          <w:color w:val="000000"/>
          <w:lang w:eastAsia="en-GB"/>
        </w:rPr>
        <w:t>[1</w:t>
      </w:r>
      <w:r w:rsidR="003E1E30">
        <w:rPr>
          <w:rFonts w:ascii="Calibri" w:eastAsia="Arial" w:hAnsi="Calibri" w:cs="Calibri"/>
          <w:color w:val="000000"/>
          <w:lang w:eastAsia="en-GB"/>
        </w:rPr>
        <w:t>9</w:t>
      </w:r>
      <w:r>
        <w:rPr>
          <w:rFonts w:ascii="Calibri" w:eastAsia="Arial" w:hAnsi="Calibri" w:cs="Calibri"/>
          <w:color w:val="000000"/>
          <w:lang w:eastAsia="en-GB"/>
        </w:rPr>
        <w:t>]</w:t>
      </w:r>
      <w:r w:rsidR="002F5628" w:rsidRPr="002F5628">
        <w:rPr>
          <w:rFonts w:ascii="Calibri" w:eastAsia="Arial" w:hAnsi="Calibri" w:cs="Calibri"/>
          <w:color w:val="000000"/>
          <w:lang w:eastAsia="en-GB"/>
        </w:rPr>
        <w:t xml:space="preserve">. </w:t>
      </w:r>
      <w:r>
        <w:rPr>
          <w:rFonts w:ascii="Calibri" w:eastAsia="Arial" w:hAnsi="Calibri" w:cs="Calibri"/>
          <w:color w:val="000000"/>
          <w:lang w:eastAsia="en-GB"/>
        </w:rPr>
        <w:t xml:space="preserve">Applied to </w:t>
      </w:r>
      <w:r w:rsidR="00434711">
        <w:rPr>
          <w:rFonts w:ascii="Calibri" w:eastAsia="Arial" w:hAnsi="Calibri" w:cs="Calibri"/>
          <w:color w:val="000000"/>
          <w:lang w:eastAsia="en-GB"/>
        </w:rPr>
        <w:t>gay and bisexual men, intersectionality</w:t>
      </w:r>
      <w:r w:rsidR="008C44E0">
        <w:rPr>
          <w:rFonts w:ascii="Calibri" w:eastAsia="Arial" w:hAnsi="Calibri" w:cs="Calibri"/>
          <w:color w:val="000000"/>
          <w:lang w:eastAsia="en-GB"/>
        </w:rPr>
        <w:t xml:space="preserve"> </w:t>
      </w:r>
      <w:r>
        <w:rPr>
          <w:rFonts w:ascii="Calibri" w:eastAsia="Arial" w:hAnsi="Calibri" w:cs="Calibri"/>
          <w:color w:val="000000"/>
          <w:lang w:eastAsia="en-GB"/>
        </w:rPr>
        <w:t xml:space="preserve">suggests </w:t>
      </w:r>
      <w:r w:rsidR="002F5628" w:rsidRPr="002F5628">
        <w:rPr>
          <w:rFonts w:ascii="Calibri" w:eastAsia="Arial" w:hAnsi="Calibri" w:cs="Calibri"/>
          <w:color w:val="000000"/>
          <w:lang w:eastAsia="en-GB"/>
        </w:rPr>
        <w:t>that the impact of homophobia on health is not felt equally</w:t>
      </w:r>
      <w:r>
        <w:rPr>
          <w:rFonts w:ascii="Calibri" w:eastAsia="Arial" w:hAnsi="Calibri" w:cs="Calibri"/>
          <w:color w:val="000000"/>
          <w:lang w:eastAsia="en-GB"/>
        </w:rPr>
        <w:t>,</w:t>
      </w:r>
      <w:r w:rsidR="002F5628" w:rsidRPr="002F5628">
        <w:rPr>
          <w:rFonts w:ascii="Calibri" w:eastAsia="Arial" w:hAnsi="Calibri" w:cs="Calibri"/>
          <w:color w:val="000000"/>
          <w:lang w:eastAsia="en-GB"/>
        </w:rPr>
        <w:t xml:space="preserve"> and</w:t>
      </w:r>
      <w:r>
        <w:rPr>
          <w:rFonts w:ascii="Calibri" w:eastAsia="Arial" w:hAnsi="Calibri" w:cs="Calibri"/>
          <w:color w:val="000000"/>
          <w:lang w:eastAsia="en-GB"/>
        </w:rPr>
        <w:t xml:space="preserve"> further</w:t>
      </w:r>
      <w:r w:rsidR="002F5628" w:rsidRPr="002F5628">
        <w:rPr>
          <w:rFonts w:ascii="Calibri" w:eastAsia="Arial" w:hAnsi="Calibri" w:cs="Calibri"/>
          <w:color w:val="000000"/>
          <w:lang w:eastAsia="en-GB"/>
        </w:rPr>
        <w:t xml:space="preserve"> that the negative effect of homophobia may operate differently, and be more or less resisted</w:t>
      </w:r>
      <w:r w:rsidR="008C44E0">
        <w:rPr>
          <w:rFonts w:ascii="Calibri" w:eastAsia="Arial" w:hAnsi="Calibri" w:cs="Calibri"/>
          <w:color w:val="000000"/>
          <w:lang w:eastAsia="en-GB"/>
        </w:rPr>
        <w:t>,</w:t>
      </w:r>
      <w:r w:rsidR="002F5628" w:rsidRPr="002F5628">
        <w:rPr>
          <w:rFonts w:ascii="Calibri" w:eastAsia="Arial" w:hAnsi="Calibri" w:cs="Calibri"/>
          <w:color w:val="000000"/>
          <w:lang w:eastAsia="en-GB"/>
        </w:rPr>
        <w:t xml:space="preserve"> exacerbated or mitigated, by membership of other groups. It is possible that the negative health impact of being in a sexual minority can be mitigated by being </w:t>
      </w:r>
      <w:r>
        <w:rPr>
          <w:rFonts w:ascii="Calibri" w:eastAsia="Arial" w:hAnsi="Calibri" w:cs="Calibri"/>
          <w:color w:val="000000"/>
          <w:lang w:eastAsia="en-GB"/>
        </w:rPr>
        <w:t xml:space="preserve">relatively </w:t>
      </w:r>
      <w:r w:rsidR="002F5628" w:rsidRPr="002F5628">
        <w:rPr>
          <w:rFonts w:ascii="Calibri" w:eastAsia="Arial" w:hAnsi="Calibri" w:cs="Calibri"/>
          <w:color w:val="000000"/>
          <w:lang w:eastAsia="en-GB"/>
        </w:rPr>
        <w:t xml:space="preserve">privileged in other </w:t>
      </w:r>
      <w:r>
        <w:rPr>
          <w:rFonts w:ascii="Calibri" w:eastAsia="Arial" w:hAnsi="Calibri" w:cs="Calibri"/>
          <w:color w:val="000000"/>
          <w:lang w:eastAsia="en-GB"/>
        </w:rPr>
        <w:t>areas</w:t>
      </w:r>
      <w:r w:rsidR="002F5628" w:rsidRPr="002F5628">
        <w:rPr>
          <w:rFonts w:ascii="Calibri" w:eastAsia="Arial" w:hAnsi="Calibri" w:cs="Calibri"/>
          <w:color w:val="000000"/>
          <w:lang w:eastAsia="en-GB"/>
        </w:rPr>
        <w:t xml:space="preserve"> of life. There is also a danger that interventions targeted at sexual minorities are least accessed by those marginalised in other ways, such that interventions reinforce health inequalities along lines of ethnicity, education, income and age for example.</w:t>
      </w:r>
      <w:r w:rsidR="003347FD">
        <w:rPr>
          <w:rFonts w:ascii="Calibri" w:eastAsia="Arial" w:hAnsi="Calibri" w:cs="Calibri"/>
          <w:color w:val="000000"/>
          <w:lang w:eastAsia="en-GB"/>
        </w:rPr>
        <w:t xml:space="preserve"> While this study has identified diversity according to key demographic characteristics, further qualitative research is required to understand the nature of such health related behaviour and the reasons why such divergence may exist. </w:t>
      </w:r>
    </w:p>
    <w:p w14:paraId="1FAEC675" w14:textId="77777777" w:rsidR="00867A00" w:rsidRPr="002F5628" w:rsidRDefault="00867A00" w:rsidP="00006056">
      <w:pPr>
        <w:widowControl w:val="0"/>
        <w:spacing w:after="0"/>
        <w:rPr>
          <w:rFonts w:ascii="Calibri" w:eastAsia="Arial" w:hAnsi="Calibri" w:cs="Calibri"/>
          <w:color w:val="000000"/>
          <w:lang w:eastAsia="en-GB"/>
        </w:rPr>
      </w:pPr>
    </w:p>
    <w:p w14:paraId="6497F452" w14:textId="77777777" w:rsidR="003347FD" w:rsidRPr="003347FD" w:rsidRDefault="003347FD" w:rsidP="003347FD">
      <w:pPr>
        <w:widowControl w:val="0"/>
        <w:spacing w:after="0"/>
        <w:rPr>
          <w:rFonts w:ascii="Calibri" w:eastAsia="Arial" w:hAnsi="Calibri" w:cs="Calibri"/>
          <w:b/>
          <w:color w:val="000000"/>
          <w:lang w:eastAsia="en-GB"/>
        </w:rPr>
      </w:pPr>
      <w:r w:rsidRPr="003347FD">
        <w:rPr>
          <w:rFonts w:ascii="Calibri" w:eastAsia="Arial" w:hAnsi="Calibri" w:cs="Calibri"/>
          <w:b/>
          <w:color w:val="000000"/>
          <w:lang w:eastAsia="en-GB"/>
        </w:rPr>
        <w:t>Limitations of this study</w:t>
      </w:r>
    </w:p>
    <w:p w14:paraId="3484CE26" w14:textId="7868FCF5" w:rsidR="003347FD" w:rsidRPr="003347FD" w:rsidRDefault="003347FD" w:rsidP="003347FD">
      <w:pPr>
        <w:widowControl w:val="0"/>
        <w:spacing w:after="0"/>
        <w:rPr>
          <w:rFonts w:ascii="Calibri" w:eastAsia="Arial" w:hAnsi="Calibri" w:cs="Calibri"/>
          <w:color w:val="000000"/>
          <w:lang w:eastAsia="en-GB"/>
        </w:rPr>
      </w:pPr>
      <w:r w:rsidRPr="003347FD">
        <w:rPr>
          <w:rFonts w:ascii="Calibri" w:eastAsia="Arial" w:hAnsi="Calibri" w:cs="Calibri"/>
          <w:color w:val="000000"/>
          <w:lang w:eastAsia="en-GB"/>
        </w:rPr>
        <w:t>While large</w:t>
      </w:r>
      <w:r w:rsidR="00050596">
        <w:rPr>
          <w:rFonts w:ascii="Calibri" w:eastAsia="Arial" w:hAnsi="Calibri" w:cs="Calibri"/>
          <w:color w:val="000000"/>
          <w:lang w:eastAsia="en-GB"/>
        </w:rPr>
        <w:t>,</w:t>
      </w:r>
      <w:r w:rsidRPr="003347FD">
        <w:rPr>
          <w:rFonts w:ascii="Calibri" w:eastAsia="Arial" w:hAnsi="Calibri" w:cs="Calibri"/>
          <w:color w:val="000000"/>
          <w:lang w:eastAsia="en-GB"/>
        </w:rPr>
        <w:t xml:space="preserve"> this remains a non-representative </w:t>
      </w:r>
      <w:r w:rsidR="00050596">
        <w:rPr>
          <w:rFonts w:ascii="Calibri" w:eastAsia="Arial" w:hAnsi="Calibri" w:cs="Calibri"/>
          <w:color w:val="000000"/>
          <w:lang w:eastAsia="en-GB"/>
        </w:rPr>
        <w:t xml:space="preserve">self-selecting </w:t>
      </w:r>
      <w:r w:rsidRPr="003347FD">
        <w:rPr>
          <w:rFonts w:ascii="Calibri" w:eastAsia="Arial" w:hAnsi="Calibri" w:cs="Calibri"/>
          <w:color w:val="000000"/>
          <w:lang w:eastAsia="en-GB"/>
        </w:rPr>
        <w:t xml:space="preserve">sample of gay and bisexual men. Due to the mode of online completion we are unable to establish a response rate for the survey. Despite controlling for confounders, there may be residual confounding unmeasured factors.  </w:t>
      </w:r>
      <w:r w:rsidR="002A6F00">
        <w:rPr>
          <w:rFonts w:ascii="Calibri" w:eastAsia="Arial" w:hAnsi="Calibri" w:cs="Calibri"/>
          <w:color w:val="000000"/>
          <w:lang w:eastAsia="en-GB"/>
        </w:rPr>
        <w:t xml:space="preserve">The alcohol measure may not reflect </w:t>
      </w:r>
      <w:r w:rsidR="00050596">
        <w:rPr>
          <w:rFonts w:ascii="Calibri" w:eastAsia="Arial" w:hAnsi="Calibri" w:cs="Calibri"/>
          <w:color w:val="000000"/>
          <w:lang w:eastAsia="en-GB"/>
        </w:rPr>
        <w:t xml:space="preserve">the </w:t>
      </w:r>
      <w:r w:rsidR="002A6F00">
        <w:rPr>
          <w:rFonts w:ascii="Calibri" w:eastAsia="Arial" w:hAnsi="Calibri" w:cs="Calibri"/>
          <w:color w:val="000000"/>
          <w:lang w:eastAsia="en-GB"/>
        </w:rPr>
        <w:t xml:space="preserve">quantity consumed and therefore alcohol-related harm. </w:t>
      </w:r>
      <w:r w:rsidR="00050596">
        <w:rPr>
          <w:rFonts w:ascii="Calibri" w:eastAsia="Arial" w:hAnsi="Calibri" w:cs="Calibri"/>
          <w:color w:val="000000"/>
          <w:lang w:eastAsia="en-GB"/>
        </w:rPr>
        <w:t>T</w:t>
      </w:r>
      <w:r w:rsidRPr="003347FD">
        <w:rPr>
          <w:rFonts w:ascii="Calibri" w:eastAsia="Arial" w:hAnsi="Calibri" w:cs="Calibri"/>
          <w:color w:val="000000"/>
          <w:lang w:eastAsia="en-GB"/>
        </w:rPr>
        <w:t>he</w:t>
      </w:r>
      <w:r w:rsidR="00050596">
        <w:rPr>
          <w:rFonts w:ascii="Calibri" w:eastAsia="Arial" w:hAnsi="Calibri" w:cs="Calibri"/>
          <w:color w:val="000000"/>
          <w:lang w:eastAsia="en-GB"/>
        </w:rPr>
        <w:t>re is</w:t>
      </w:r>
      <w:r w:rsidRPr="003347FD">
        <w:rPr>
          <w:rFonts w:ascii="Calibri" w:eastAsia="Arial" w:hAnsi="Calibri" w:cs="Calibri"/>
          <w:color w:val="000000"/>
          <w:lang w:eastAsia="en-GB"/>
        </w:rPr>
        <w:t xml:space="preserve"> imprecision involved in </w:t>
      </w:r>
      <w:r w:rsidR="00050596" w:rsidRPr="003347FD">
        <w:rPr>
          <w:rFonts w:ascii="Calibri" w:eastAsia="Arial" w:hAnsi="Calibri" w:cs="Calibri"/>
          <w:color w:val="000000"/>
          <w:lang w:eastAsia="en-GB"/>
        </w:rPr>
        <w:t xml:space="preserve">short </w:t>
      </w:r>
      <w:r w:rsidRPr="003347FD">
        <w:rPr>
          <w:rFonts w:ascii="Calibri" w:eastAsia="Arial" w:hAnsi="Calibri" w:cs="Calibri"/>
          <w:color w:val="000000"/>
          <w:lang w:eastAsia="en-GB"/>
        </w:rPr>
        <w:t xml:space="preserve">self-completion measures of health states. </w:t>
      </w:r>
    </w:p>
    <w:p w14:paraId="0B33FDB0" w14:textId="77777777" w:rsidR="003347FD" w:rsidRDefault="003347FD" w:rsidP="00006056">
      <w:pPr>
        <w:widowControl w:val="0"/>
        <w:spacing w:after="0"/>
        <w:rPr>
          <w:rFonts w:ascii="Calibri" w:eastAsia="Arial" w:hAnsi="Calibri" w:cs="Calibri"/>
          <w:b/>
          <w:color w:val="000000"/>
          <w:lang w:eastAsia="en-GB"/>
        </w:rPr>
      </w:pPr>
    </w:p>
    <w:p w14:paraId="3B28A04E" w14:textId="4042C828" w:rsidR="002F5628" w:rsidRPr="002F5628" w:rsidRDefault="00C62E7B" w:rsidP="00006056">
      <w:pPr>
        <w:widowControl w:val="0"/>
        <w:spacing w:after="0"/>
        <w:rPr>
          <w:rFonts w:ascii="Calibri" w:eastAsia="Arial" w:hAnsi="Calibri" w:cs="Calibri"/>
          <w:b/>
          <w:color w:val="000000"/>
          <w:lang w:eastAsia="en-GB"/>
        </w:rPr>
      </w:pPr>
      <w:r w:rsidRPr="002F5628">
        <w:rPr>
          <w:rFonts w:ascii="Calibri" w:eastAsia="Arial" w:hAnsi="Calibri" w:cs="Calibri"/>
          <w:b/>
          <w:color w:val="000000"/>
          <w:lang w:eastAsia="en-GB"/>
        </w:rPr>
        <w:t>ACKNOWLEDGEMENTS</w:t>
      </w:r>
    </w:p>
    <w:p w14:paraId="209A97AB" w14:textId="4ABA686C" w:rsidR="002F5628" w:rsidRPr="002F5628" w:rsidRDefault="004429B2" w:rsidP="00006056">
      <w:pPr>
        <w:widowControl w:val="0"/>
        <w:spacing w:after="0"/>
        <w:rPr>
          <w:rFonts w:ascii="Calibri" w:eastAsia="Arial" w:hAnsi="Calibri" w:cs="Calibri"/>
          <w:color w:val="000000"/>
          <w:lang w:eastAsia="en-GB"/>
        </w:rPr>
      </w:pPr>
      <w:r>
        <w:t xml:space="preserve">The Stonewall Gay &amp; Bisexual Men’s Health Survey </w:t>
      </w:r>
      <w:r w:rsidRPr="00D04F4E">
        <w:t xml:space="preserve">was funded by Stonewall, the UK LGBT rights charity, and was commissioned and managed by April </w:t>
      </w:r>
      <w:proofErr w:type="spellStart"/>
      <w:r w:rsidRPr="00D04F4E">
        <w:t>Guasp</w:t>
      </w:r>
      <w:proofErr w:type="spellEnd"/>
      <w:r w:rsidRPr="00D04F4E">
        <w:t>.</w:t>
      </w:r>
      <w:r>
        <w:t xml:space="preserve"> </w:t>
      </w:r>
      <w:r w:rsidR="002F5628" w:rsidRPr="002F5628">
        <w:rPr>
          <w:rFonts w:ascii="Calibri" w:eastAsia="Arial" w:hAnsi="Calibri" w:cs="Calibri"/>
          <w:color w:val="000000"/>
          <w:lang w:eastAsia="en-GB"/>
        </w:rPr>
        <w:t xml:space="preserve">We are grateful to the organisations and individuals who promoted the survey through their networks and to all the men who took part. We also wish to thank G.J Melendez-Torres for helpful comments on earlier drafts of this article. </w:t>
      </w:r>
    </w:p>
    <w:p w14:paraId="65B951F6" w14:textId="77777777" w:rsidR="002F5628" w:rsidRDefault="002F5628" w:rsidP="00006056">
      <w:pPr>
        <w:widowControl w:val="0"/>
        <w:spacing w:after="0"/>
        <w:rPr>
          <w:rFonts w:ascii="Calibri" w:eastAsia="Arial" w:hAnsi="Calibri" w:cs="Calibri"/>
          <w:b/>
          <w:color w:val="000000"/>
          <w:lang w:eastAsia="en-GB"/>
        </w:rPr>
      </w:pPr>
    </w:p>
    <w:p w14:paraId="6E6CC784" w14:textId="77777777" w:rsidR="008C6EC2" w:rsidRPr="002F5628" w:rsidRDefault="008C6EC2" w:rsidP="00006056">
      <w:pPr>
        <w:widowControl w:val="0"/>
        <w:spacing w:after="0"/>
        <w:rPr>
          <w:rFonts w:ascii="Calibri" w:eastAsia="Arial" w:hAnsi="Calibri" w:cs="Calibri"/>
          <w:b/>
          <w:color w:val="000000"/>
          <w:lang w:eastAsia="en-GB"/>
        </w:rPr>
      </w:pPr>
    </w:p>
    <w:p w14:paraId="118A3837" w14:textId="37488C1D" w:rsidR="002F5628" w:rsidRPr="002F5628" w:rsidRDefault="00C62E7B" w:rsidP="00006056">
      <w:pPr>
        <w:widowControl w:val="0"/>
        <w:spacing w:after="0"/>
        <w:rPr>
          <w:rFonts w:ascii="Calibri" w:eastAsia="Arial" w:hAnsi="Calibri" w:cs="Calibri"/>
          <w:color w:val="000000"/>
          <w:lang w:eastAsia="en-GB"/>
        </w:rPr>
      </w:pPr>
      <w:r w:rsidRPr="002F5628">
        <w:rPr>
          <w:rFonts w:ascii="Calibri" w:eastAsia="Arial" w:hAnsi="Calibri" w:cs="Calibri"/>
          <w:b/>
          <w:color w:val="000000"/>
          <w:lang w:eastAsia="en-GB"/>
        </w:rPr>
        <w:t>REFERENCES</w:t>
      </w:r>
    </w:p>
    <w:p w14:paraId="56CC088A" w14:textId="5AE969E0" w:rsidR="0023668E" w:rsidRDefault="003B5437" w:rsidP="0023668E">
      <w:pPr>
        <w:widowControl w:val="0"/>
        <w:spacing w:after="0"/>
        <w:rPr>
          <w:rFonts w:ascii="Calibri" w:eastAsia="Arial" w:hAnsi="Calibri" w:cs="Calibri"/>
          <w:color w:val="000000"/>
          <w:lang w:val="en-US" w:eastAsia="en-GB"/>
        </w:rPr>
      </w:pPr>
      <w:bookmarkStart w:id="1" w:name="_ENREF_2"/>
      <w:r>
        <w:rPr>
          <w:rFonts w:ascii="Calibri" w:eastAsia="Arial" w:hAnsi="Calibri" w:cs="Calibri"/>
          <w:color w:val="000000"/>
          <w:lang w:val="en-US" w:eastAsia="en-GB"/>
        </w:rPr>
        <w:lastRenderedPageBreak/>
        <w:t>[1</w:t>
      </w:r>
      <w:r w:rsidR="0023668E">
        <w:rPr>
          <w:rFonts w:ascii="Calibri" w:eastAsia="Arial" w:hAnsi="Calibri" w:cs="Calibri"/>
          <w:color w:val="000000"/>
          <w:lang w:val="en-US" w:eastAsia="en-GB"/>
        </w:rPr>
        <w:t xml:space="preserve">] </w:t>
      </w:r>
      <w:bookmarkStart w:id="2" w:name="_ENREF_20"/>
      <w:r w:rsidR="0023668E" w:rsidRPr="00743E42">
        <w:rPr>
          <w:rFonts w:ascii="Calibri" w:eastAsia="Arial" w:hAnsi="Calibri" w:cs="Calibri"/>
          <w:color w:val="000000"/>
          <w:lang w:val="en-US" w:eastAsia="en-GB"/>
        </w:rPr>
        <w:t xml:space="preserve">Williams H, Varney J, Taylor JJ, Fish J, </w:t>
      </w:r>
      <w:proofErr w:type="spellStart"/>
      <w:r w:rsidR="0023668E" w:rsidRPr="00743E42">
        <w:rPr>
          <w:rFonts w:ascii="Calibri" w:eastAsia="Arial" w:hAnsi="Calibri" w:cs="Calibri"/>
          <w:color w:val="000000"/>
          <w:lang w:val="en-US" w:eastAsia="en-GB"/>
        </w:rPr>
        <w:t>Durr</w:t>
      </w:r>
      <w:proofErr w:type="spellEnd"/>
      <w:r w:rsidR="0023668E" w:rsidRPr="00743E42">
        <w:rPr>
          <w:rFonts w:ascii="Calibri" w:eastAsia="Arial" w:hAnsi="Calibri" w:cs="Calibri"/>
          <w:color w:val="000000"/>
          <w:lang w:val="en-US" w:eastAsia="en-GB"/>
        </w:rPr>
        <w:t xml:space="preserve"> P, Elan-Cane C (2012) </w:t>
      </w:r>
      <w:proofErr w:type="gramStart"/>
      <w:r w:rsidR="0023668E" w:rsidRPr="00B615A1">
        <w:rPr>
          <w:rFonts w:ascii="Calibri" w:eastAsia="Arial" w:hAnsi="Calibri" w:cs="Calibri"/>
          <w:i/>
          <w:color w:val="000000"/>
          <w:lang w:val="en-US" w:eastAsia="en-GB"/>
        </w:rPr>
        <w:t>The</w:t>
      </w:r>
      <w:proofErr w:type="gramEnd"/>
      <w:r w:rsidR="0023668E" w:rsidRPr="00B615A1">
        <w:rPr>
          <w:rFonts w:ascii="Calibri" w:eastAsia="Arial" w:hAnsi="Calibri" w:cs="Calibri"/>
          <w:i/>
          <w:color w:val="000000"/>
          <w:lang w:val="en-US" w:eastAsia="en-GB"/>
        </w:rPr>
        <w:t xml:space="preserve"> </w:t>
      </w:r>
      <w:r w:rsidR="00B615A1" w:rsidRPr="00B615A1">
        <w:rPr>
          <w:rFonts w:ascii="Calibri" w:eastAsia="Arial" w:hAnsi="Calibri" w:cs="Calibri"/>
          <w:i/>
          <w:color w:val="000000"/>
          <w:lang w:val="en-US" w:eastAsia="en-GB"/>
        </w:rPr>
        <w:t>Lesbian, Gay, Bisexual And Trans Public Health Outcomes Framework Companion Document</w:t>
      </w:r>
      <w:r w:rsidR="0023668E" w:rsidRPr="00743E42">
        <w:rPr>
          <w:rFonts w:ascii="Calibri" w:eastAsia="Arial" w:hAnsi="Calibri" w:cs="Calibri"/>
          <w:color w:val="000000"/>
          <w:lang w:val="en-US" w:eastAsia="en-GB"/>
        </w:rPr>
        <w:t>. London, Department of Health, Public Health England and National LGB&amp;T Partnership</w:t>
      </w:r>
      <w:bookmarkEnd w:id="2"/>
      <w:r w:rsidR="00B615A1">
        <w:rPr>
          <w:rFonts w:ascii="Calibri" w:eastAsia="Arial" w:hAnsi="Calibri" w:cs="Calibri"/>
          <w:color w:val="000000"/>
          <w:lang w:val="en-US" w:eastAsia="en-GB"/>
        </w:rPr>
        <w:t>.</w:t>
      </w:r>
    </w:p>
    <w:p w14:paraId="020CC944" w14:textId="6DB2C794" w:rsidR="00B615A1" w:rsidRPr="00B615A1" w:rsidRDefault="00B615A1" w:rsidP="00B615A1">
      <w:pPr>
        <w:widowControl w:val="0"/>
        <w:spacing w:after="0"/>
        <w:rPr>
          <w:rFonts w:ascii="Calibri" w:eastAsia="Arial" w:hAnsi="Calibri" w:cs="Calibri"/>
          <w:color w:val="000000"/>
          <w:lang w:val="en-US" w:eastAsia="en-GB"/>
        </w:rPr>
      </w:pPr>
      <w:r>
        <w:rPr>
          <w:rFonts w:ascii="Calibri" w:eastAsia="Arial" w:hAnsi="Calibri" w:cs="Calibri"/>
          <w:color w:val="000000"/>
          <w:lang w:val="en-US" w:eastAsia="en-GB"/>
        </w:rPr>
        <w:t>[</w:t>
      </w:r>
      <w:r w:rsidR="003B5437">
        <w:rPr>
          <w:rFonts w:ascii="Calibri" w:eastAsia="Arial" w:hAnsi="Calibri" w:cs="Calibri"/>
          <w:color w:val="000000"/>
          <w:lang w:val="en-US" w:eastAsia="en-GB"/>
        </w:rPr>
        <w:t>2</w:t>
      </w:r>
      <w:r>
        <w:rPr>
          <w:rFonts w:ascii="Calibri" w:eastAsia="Arial" w:hAnsi="Calibri" w:cs="Calibri"/>
          <w:color w:val="000000"/>
          <w:lang w:val="en-US" w:eastAsia="en-GB"/>
        </w:rPr>
        <w:t xml:space="preserve">] </w:t>
      </w:r>
      <w:r w:rsidRPr="00B615A1">
        <w:rPr>
          <w:rFonts w:ascii="Calibri" w:eastAsia="Arial" w:hAnsi="Calibri" w:cs="Calibri"/>
          <w:color w:val="000000"/>
          <w:lang w:val="en-US" w:eastAsia="en-GB"/>
        </w:rPr>
        <w:t xml:space="preserve">Elliott MN, </w:t>
      </w:r>
      <w:proofErr w:type="spellStart"/>
      <w:r w:rsidRPr="00B615A1">
        <w:rPr>
          <w:rFonts w:ascii="Calibri" w:eastAsia="Arial" w:hAnsi="Calibri" w:cs="Calibri"/>
          <w:color w:val="000000"/>
          <w:lang w:val="en-US" w:eastAsia="en-GB"/>
        </w:rPr>
        <w:t>Kanouse</w:t>
      </w:r>
      <w:proofErr w:type="spellEnd"/>
      <w:r w:rsidRPr="00B615A1">
        <w:rPr>
          <w:rFonts w:ascii="Calibri" w:eastAsia="Arial" w:hAnsi="Calibri" w:cs="Calibri"/>
          <w:color w:val="000000"/>
          <w:lang w:val="en-US" w:eastAsia="en-GB"/>
        </w:rPr>
        <w:t xml:space="preserve"> DE, Burkhart Q, Abel GA, </w:t>
      </w:r>
      <w:proofErr w:type="spellStart"/>
      <w:r w:rsidRPr="00B615A1">
        <w:rPr>
          <w:rFonts w:ascii="Calibri" w:eastAsia="Arial" w:hAnsi="Calibri" w:cs="Calibri"/>
          <w:color w:val="000000"/>
          <w:lang w:val="en-US" w:eastAsia="en-GB"/>
        </w:rPr>
        <w:t>Lyratzopoulos</w:t>
      </w:r>
      <w:proofErr w:type="spellEnd"/>
      <w:r w:rsidRPr="00B615A1">
        <w:rPr>
          <w:rFonts w:ascii="Calibri" w:eastAsia="Arial" w:hAnsi="Calibri" w:cs="Calibri"/>
          <w:color w:val="000000"/>
          <w:lang w:val="en-US" w:eastAsia="en-GB"/>
        </w:rPr>
        <w:t xml:space="preserve"> G, Beckett MK, Schuster MA, Roland M</w:t>
      </w:r>
      <w:r>
        <w:rPr>
          <w:rFonts w:ascii="Calibri" w:eastAsia="Arial" w:hAnsi="Calibri" w:cs="Calibri"/>
          <w:color w:val="000000"/>
          <w:lang w:val="en-US" w:eastAsia="en-GB"/>
        </w:rPr>
        <w:t xml:space="preserve"> (2015) </w:t>
      </w:r>
      <w:r w:rsidRPr="00B615A1">
        <w:rPr>
          <w:rFonts w:ascii="Calibri" w:eastAsia="Arial" w:hAnsi="Calibri" w:cs="Calibri"/>
          <w:color w:val="000000"/>
          <w:lang w:val="en-US" w:eastAsia="en-GB"/>
        </w:rPr>
        <w:t>Sexual minorities in England have poorer health and worse health care experiences: a national survey.</w:t>
      </w:r>
      <w:r>
        <w:rPr>
          <w:rFonts w:ascii="Calibri" w:eastAsia="Arial" w:hAnsi="Calibri" w:cs="Calibri"/>
          <w:color w:val="000000"/>
          <w:lang w:val="en-US" w:eastAsia="en-GB"/>
        </w:rPr>
        <w:t xml:space="preserve"> </w:t>
      </w:r>
      <w:r w:rsidRPr="00B615A1">
        <w:rPr>
          <w:rFonts w:ascii="Calibri" w:eastAsia="Arial" w:hAnsi="Calibri" w:cs="Calibri"/>
          <w:i/>
          <w:color w:val="000000"/>
          <w:lang w:val="en-US" w:eastAsia="en-GB"/>
        </w:rPr>
        <w:t>J Gen Intern Med. 30(1)</w:t>
      </w:r>
      <w:r w:rsidRPr="00B615A1">
        <w:rPr>
          <w:rFonts w:ascii="Calibri" w:eastAsia="Arial" w:hAnsi="Calibri" w:cs="Calibri"/>
          <w:color w:val="000000"/>
          <w:lang w:val="en-US" w:eastAsia="en-GB"/>
        </w:rPr>
        <w:t xml:space="preserve">:9-16. </w:t>
      </w:r>
      <w:proofErr w:type="spellStart"/>
      <w:proofErr w:type="gramStart"/>
      <w:r w:rsidRPr="00B615A1">
        <w:rPr>
          <w:rFonts w:ascii="Calibri" w:eastAsia="Arial" w:hAnsi="Calibri" w:cs="Calibri"/>
          <w:color w:val="000000"/>
          <w:lang w:val="en-US" w:eastAsia="en-GB"/>
        </w:rPr>
        <w:t>doi</w:t>
      </w:r>
      <w:proofErr w:type="spellEnd"/>
      <w:proofErr w:type="gramEnd"/>
      <w:r w:rsidRPr="00B615A1">
        <w:rPr>
          <w:rFonts w:ascii="Calibri" w:eastAsia="Arial" w:hAnsi="Calibri" w:cs="Calibri"/>
          <w:color w:val="000000"/>
          <w:lang w:val="en-US" w:eastAsia="en-GB"/>
        </w:rPr>
        <w:t>: 10.1007/s11</w:t>
      </w:r>
      <w:r w:rsidR="00EF7759">
        <w:rPr>
          <w:rFonts w:ascii="Calibri" w:eastAsia="Arial" w:hAnsi="Calibri" w:cs="Calibri"/>
          <w:color w:val="000000"/>
          <w:lang w:val="en-US" w:eastAsia="en-GB"/>
        </w:rPr>
        <w:t>606-014-2905-y.</w:t>
      </w:r>
    </w:p>
    <w:p w14:paraId="6C7081F4" w14:textId="44EE0AEA" w:rsidR="0023668E" w:rsidRDefault="0023668E" w:rsidP="0023668E">
      <w:pPr>
        <w:widowControl w:val="0"/>
        <w:spacing w:after="0"/>
        <w:rPr>
          <w:rFonts w:ascii="Calibri" w:eastAsia="Arial" w:hAnsi="Calibri" w:cs="Calibri"/>
          <w:color w:val="000000"/>
          <w:lang w:val="en-US" w:eastAsia="en-GB"/>
        </w:rPr>
      </w:pPr>
      <w:r>
        <w:rPr>
          <w:rFonts w:ascii="Calibri" w:eastAsia="Arial" w:hAnsi="Calibri" w:cs="Calibri"/>
          <w:color w:val="000000"/>
          <w:lang w:val="en-US" w:eastAsia="en-GB"/>
        </w:rPr>
        <w:t>[</w:t>
      </w:r>
      <w:r w:rsidR="003B5437">
        <w:rPr>
          <w:rFonts w:ascii="Calibri" w:eastAsia="Arial" w:hAnsi="Calibri" w:cs="Calibri"/>
          <w:color w:val="000000"/>
          <w:lang w:val="en-US" w:eastAsia="en-GB"/>
        </w:rPr>
        <w:t>3</w:t>
      </w:r>
      <w:r>
        <w:rPr>
          <w:rFonts w:ascii="Calibri" w:eastAsia="Arial" w:hAnsi="Calibri" w:cs="Calibri"/>
          <w:color w:val="000000"/>
          <w:lang w:val="en-US" w:eastAsia="en-GB"/>
        </w:rPr>
        <w:t xml:space="preserve">] </w:t>
      </w:r>
      <w:bookmarkStart w:id="3" w:name="_ENREF_10"/>
      <w:r w:rsidRPr="00743E42">
        <w:rPr>
          <w:rFonts w:ascii="Calibri" w:eastAsia="Arial" w:hAnsi="Calibri" w:cs="Calibri"/>
          <w:color w:val="000000"/>
          <w:lang w:val="en-US" w:eastAsia="en-GB"/>
        </w:rPr>
        <w:t xml:space="preserve">Lick DJ, </w:t>
      </w:r>
      <w:proofErr w:type="spellStart"/>
      <w:r w:rsidRPr="00743E42">
        <w:rPr>
          <w:rFonts w:ascii="Calibri" w:eastAsia="Arial" w:hAnsi="Calibri" w:cs="Calibri"/>
          <w:color w:val="000000"/>
          <w:lang w:val="en-US" w:eastAsia="en-GB"/>
        </w:rPr>
        <w:t>Durso</w:t>
      </w:r>
      <w:proofErr w:type="spellEnd"/>
      <w:r w:rsidRPr="00743E42">
        <w:rPr>
          <w:rFonts w:ascii="Calibri" w:eastAsia="Arial" w:hAnsi="Calibri" w:cs="Calibri"/>
          <w:color w:val="000000"/>
          <w:lang w:val="en-US" w:eastAsia="en-GB"/>
        </w:rPr>
        <w:t xml:space="preserve"> LE, Johnson KL (2013) Minority stress and physical health among sexual minorities</w:t>
      </w:r>
      <w:r>
        <w:rPr>
          <w:rFonts w:ascii="Calibri" w:eastAsia="Arial" w:hAnsi="Calibri" w:cs="Calibri"/>
          <w:color w:val="000000"/>
          <w:lang w:val="en-US" w:eastAsia="en-GB"/>
        </w:rPr>
        <w:t>.</w:t>
      </w:r>
      <w:r w:rsidRPr="00743E42">
        <w:rPr>
          <w:rFonts w:ascii="Calibri" w:eastAsia="Arial" w:hAnsi="Calibri" w:cs="Calibri"/>
          <w:color w:val="000000"/>
          <w:lang w:val="en-US" w:eastAsia="en-GB"/>
        </w:rPr>
        <w:t xml:space="preserve"> </w:t>
      </w:r>
      <w:proofErr w:type="spellStart"/>
      <w:r w:rsidRPr="00B615A1">
        <w:rPr>
          <w:rFonts w:ascii="Calibri" w:eastAsia="Arial" w:hAnsi="Calibri" w:cs="Calibri"/>
          <w:i/>
          <w:color w:val="000000"/>
          <w:lang w:val="en-US" w:eastAsia="en-GB"/>
        </w:rPr>
        <w:t>Perspect</w:t>
      </w:r>
      <w:proofErr w:type="spellEnd"/>
      <w:r w:rsidRPr="00B615A1">
        <w:rPr>
          <w:rFonts w:ascii="Calibri" w:eastAsia="Arial" w:hAnsi="Calibri" w:cs="Calibri"/>
          <w:i/>
          <w:color w:val="000000"/>
          <w:lang w:val="en-US" w:eastAsia="en-GB"/>
        </w:rPr>
        <w:t xml:space="preserve"> Psych </w:t>
      </w:r>
      <w:proofErr w:type="spellStart"/>
      <w:r w:rsidRPr="00B615A1">
        <w:rPr>
          <w:rFonts w:ascii="Calibri" w:eastAsia="Arial" w:hAnsi="Calibri" w:cs="Calibri"/>
          <w:i/>
          <w:color w:val="000000"/>
          <w:lang w:val="en-US" w:eastAsia="en-GB"/>
        </w:rPr>
        <w:t>Sci</w:t>
      </w:r>
      <w:proofErr w:type="spellEnd"/>
      <w:r w:rsidRPr="00B615A1">
        <w:rPr>
          <w:rFonts w:ascii="Calibri" w:eastAsia="Arial" w:hAnsi="Calibri" w:cs="Calibri"/>
          <w:i/>
          <w:color w:val="000000"/>
          <w:lang w:val="en-US" w:eastAsia="en-GB"/>
        </w:rPr>
        <w:t xml:space="preserve"> 8</w:t>
      </w:r>
      <w:r w:rsidRPr="00743E42">
        <w:rPr>
          <w:rFonts w:ascii="Calibri" w:eastAsia="Arial" w:hAnsi="Calibri" w:cs="Calibri"/>
          <w:color w:val="000000"/>
          <w:lang w:val="en-US" w:eastAsia="en-GB"/>
        </w:rPr>
        <w:t>:521-548</w:t>
      </w:r>
      <w:bookmarkEnd w:id="3"/>
      <w:r w:rsidRPr="00743E42">
        <w:rPr>
          <w:rFonts w:ascii="Calibri" w:eastAsia="Arial" w:hAnsi="Calibri" w:cs="Calibri"/>
          <w:color w:val="000000"/>
          <w:lang w:val="en-US" w:eastAsia="en-GB"/>
        </w:rPr>
        <w:t>.</w:t>
      </w:r>
    </w:p>
    <w:p w14:paraId="7A7A92FF" w14:textId="6BDB2404" w:rsidR="00867A00" w:rsidRPr="00867A00" w:rsidRDefault="003B5437" w:rsidP="00867A00">
      <w:pPr>
        <w:widowControl w:val="0"/>
        <w:spacing w:after="0"/>
        <w:rPr>
          <w:rFonts w:ascii="Calibri" w:eastAsia="Arial" w:hAnsi="Calibri" w:cs="Calibri"/>
          <w:color w:val="000000"/>
          <w:lang w:val="en-US" w:eastAsia="en-GB"/>
        </w:rPr>
      </w:pPr>
      <w:r>
        <w:rPr>
          <w:rFonts w:ascii="Calibri" w:eastAsia="Arial" w:hAnsi="Calibri" w:cs="Calibri"/>
          <w:color w:val="000000"/>
          <w:lang w:val="en-US" w:eastAsia="en-GB"/>
        </w:rPr>
        <w:t>[4</w:t>
      </w:r>
      <w:r w:rsidR="00867A00">
        <w:rPr>
          <w:rFonts w:ascii="Calibri" w:eastAsia="Arial" w:hAnsi="Calibri" w:cs="Calibri"/>
          <w:color w:val="000000"/>
          <w:lang w:val="en-US" w:eastAsia="en-GB"/>
        </w:rPr>
        <w:t xml:space="preserve">] </w:t>
      </w:r>
      <w:r w:rsidR="00867A00" w:rsidRPr="00867A00">
        <w:rPr>
          <w:rFonts w:ascii="Calibri" w:eastAsia="Arial" w:hAnsi="Calibri" w:cs="Calibri"/>
          <w:color w:val="000000"/>
          <w:lang w:val="en-US" w:eastAsia="en-GB"/>
        </w:rPr>
        <w:t xml:space="preserve">Ortiz KS, Duncan DT, </w:t>
      </w:r>
      <w:proofErr w:type="spellStart"/>
      <w:r w:rsidR="00867A00" w:rsidRPr="00867A00">
        <w:rPr>
          <w:rFonts w:ascii="Calibri" w:eastAsia="Arial" w:hAnsi="Calibri" w:cs="Calibri"/>
          <w:color w:val="000000"/>
          <w:lang w:val="en-US" w:eastAsia="en-GB"/>
        </w:rPr>
        <w:t>Blosnich</w:t>
      </w:r>
      <w:proofErr w:type="spellEnd"/>
      <w:r w:rsidR="00867A00" w:rsidRPr="00867A00">
        <w:rPr>
          <w:rFonts w:ascii="Calibri" w:eastAsia="Arial" w:hAnsi="Calibri" w:cs="Calibri"/>
          <w:color w:val="000000"/>
          <w:lang w:val="en-US" w:eastAsia="en-GB"/>
        </w:rPr>
        <w:t xml:space="preserve"> JR, </w:t>
      </w:r>
      <w:proofErr w:type="spellStart"/>
      <w:r w:rsidR="00867A00" w:rsidRPr="00867A00">
        <w:rPr>
          <w:rFonts w:ascii="Calibri" w:eastAsia="Arial" w:hAnsi="Calibri" w:cs="Calibri"/>
          <w:color w:val="000000"/>
          <w:lang w:val="en-US" w:eastAsia="en-GB"/>
        </w:rPr>
        <w:t>Salloum</w:t>
      </w:r>
      <w:proofErr w:type="spellEnd"/>
      <w:r w:rsidR="00867A00" w:rsidRPr="00867A00">
        <w:rPr>
          <w:rFonts w:ascii="Calibri" w:eastAsia="Arial" w:hAnsi="Calibri" w:cs="Calibri"/>
          <w:color w:val="000000"/>
          <w:lang w:val="en-US" w:eastAsia="en-GB"/>
        </w:rPr>
        <w:t xml:space="preserve"> RG, Battle J (2015) Smoking among sexual minorities: are there racial differences? </w:t>
      </w:r>
      <w:r w:rsidR="00867A00" w:rsidRPr="00867A00">
        <w:rPr>
          <w:rFonts w:ascii="Calibri" w:eastAsia="Arial" w:hAnsi="Calibri" w:cs="Calibri"/>
          <w:i/>
          <w:color w:val="000000"/>
          <w:lang w:val="en-US" w:eastAsia="en-GB"/>
        </w:rPr>
        <w:t>Nicotine &amp; Tobacco</w:t>
      </w:r>
      <w:r w:rsidR="00867A00" w:rsidRPr="00867A00">
        <w:rPr>
          <w:rFonts w:ascii="Calibri" w:eastAsia="Arial" w:hAnsi="Calibri" w:cs="Calibri"/>
          <w:color w:val="000000"/>
          <w:lang w:val="en-US" w:eastAsia="en-GB"/>
        </w:rPr>
        <w:t xml:space="preserve"> 17(11): 1362-1368. </w:t>
      </w:r>
    </w:p>
    <w:p w14:paraId="2B653A34" w14:textId="48365A5D" w:rsidR="00867A00" w:rsidRPr="00867A00" w:rsidRDefault="003B5437" w:rsidP="00867A00">
      <w:pPr>
        <w:widowControl w:val="0"/>
        <w:spacing w:after="0"/>
        <w:rPr>
          <w:rFonts w:ascii="Calibri" w:eastAsia="Arial" w:hAnsi="Calibri" w:cs="Calibri"/>
          <w:color w:val="000000"/>
          <w:lang w:eastAsia="en-GB"/>
        </w:rPr>
      </w:pPr>
      <w:r>
        <w:rPr>
          <w:rFonts w:ascii="Calibri" w:eastAsia="Arial" w:hAnsi="Calibri" w:cs="Calibri"/>
          <w:color w:val="000000"/>
          <w:lang w:eastAsia="en-GB"/>
        </w:rPr>
        <w:t>[5</w:t>
      </w:r>
      <w:r w:rsidR="00867A00">
        <w:rPr>
          <w:rFonts w:ascii="Calibri" w:eastAsia="Arial" w:hAnsi="Calibri" w:cs="Calibri"/>
          <w:color w:val="000000"/>
          <w:lang w:eastAsia="en-GB"/>
        </w:rPr>
        <w:t xml:space="preserve">] </w:t>
      </w:r>
      <w:r w:rsidR="00867A00" w:rsidRPr="00867A00">
        <w:rPr>
          <w:rFonts w:ascii="Calibri" w:eastAsia="Arial" w:hAnsi="Calibri" w:cs="Calibri"/>
          <w:color w:val="000000"/>
          <w:lang w:eastAsia="en-GB"/>
        </w:rPr>
        <w:t xml:space="preserve">Lea T, Ryan D, </w:t>
      </w:r>
      <w:proofErr w:type="spellStart"/>
      <w:r w:rsidR="00867A00" w:rsidRPr="00867A00">
        <w:rPr>
          <w:rFonts w:ascii="Calibri" w:eastAsia="Arial" w:hAnsi="Calibri" w:cs="Calibri"/>
          <w:color w:val="000000"/>
          <w:lang w:eastAsia="en-GB"/>
        </w:rPr>
        <w:t>Prestage</w:t>
      </w:r>
      <w:proofErr w:type="spellEnd"/>
      <w:r w:rsidR="00867A00" w:rsidRPr="00867A00">
        <w:rPr>
          <w:rFonts w:ascii="Calibri" w:eastAsia="Arial" w:hAnsi="Calibri" w:cs="Calibri"/>
          <w:color w:val="000000"/>
          <w:lang w:eastAsia="en-GB"/>
        </w:rPr>
        <w:t xml:space="preserve"> G, </w:t>
      </w:r>
      <w:proofErr w:type="spellStart"/>
      <w:r w:rsidR="00867A00" w:rsidRPr="00867A00">
        <w:rPr>
          <w:rFonts w:ascii="Calibri" w:eastAsia="Arial" w:hAnsi="Calibri" w:cs="Calibri"/>
          <w:color w:val="000000"/>
          <w:lang w:eastAsia="en-GB"/>
        </w:rPr>
        <w:t>Zablotska</w:t>
      </w:r>
      <w:proofErr w:type="spellEnd"/>
      <w:r w:rsidR="00867A00" w:rsidRPr="00867A00">
        <w:rPr>
          <w:rFonts w:ascii="Calibri" w:eastAsia="Arial" w:hAnsi="Calibri" w:cs="Calibri"/>
          <w:color w:val="000000"/>
          <w:lang w:eastAsia="en-GB"/>
        </w:rPr>
        <w:t xml:space="preserve"> I, Mao L, de Wit J, Holt M (2015) </w:t>
      </w:r>
      <w:r w:rsidR="00867A00" w:rsidRPr="00867A00">
        <w:rPr>
          <w:rFonts w:ascii="Calibri" w:eastAsia="Arial" w:hAnsi="Calibri" w:cs="Calibri"/>
          <w:i/>
          <w:color w:val="000000"/>
          <w:lang w:eastAsia="en-GB"/>
        </w:rPr>
        <w:t>Drug and Alcohol Review</w:t>
      </w:r>
      <w:r w:rsidR="00867A00" w:rsidRPr="00867A00">
        <w:rPr>
          <w:rFonts w:ascii="Calibri" w:eastAsia="Arial" w:hAnsi="Calibri" w:cs="Calibri"/>
          <w:color w:val="000000"/>
          <w:lang w:eastAsia="en-GB"/>
        </w:rPr>
        <w:t xml:space="preserve"> 34(4): 349-357. </w:t>
      </w:r>
    </w:p>
    <w:p w14:paraId="33365617" w14:textId="68A905B7" w:rsidR="0023668E" w:rsidRPr="00743E42" w:rsidRDefault="0023668E" w:rsidP="0023668E">
      <w:pPr>
        <w:widowControl w:val="0"/>
        <w:spacing w:after="0"/>
        <w:rPr>
          <w:rFonts w:ascii="Calibri" w:eastAsia="Arial" w:hAnsi="Calibri" w:cs="Calibri"/>
          <w:color w:val="000000"/>
          <w:lang w:val="en-US" w:eastAsia="en-GB"/>
        </w:rPr>
      </w:pPr>
      <w:r>
        <w:rPr>
          <w:rFonts w:ascii="Calibri" w:eastAsia="Arial" w:hAnsi="Calibri" w:cs="Calibri"/>
          <w:color w:val="000000"/>
          <w:lang w:val="en-US" w:eastAsia="en-GB"/>
        </w:rPr>
        <w:t>[</w:t>
      </w:r>
      <w:r w:rsidR="003B5437">
        <w:rPr>
          <w:rFonts w:ascii="Calibri" w:eastAsia="Arial" w:hAnsi="Calibri" w:cs="Calibri"/>
          <w:color w:val="000000"/>
          <w:lang w:val="en-US" w:eastAsia="en-GB"/>
        </w:rPr>
        <w:t>6</w:t>
      </w:r>
      <w:r>
        <w:rPr>
          <w:rFonts w:ascii="Calibri" w:eastAsia="Arial" w:hAnsi="Calibri" w:cs="Calibri"/>
          <w:color w:val="000000"/>
          <w:lang w:val="en-US" w:eastAsia="en-GB"/>
        </w:rPr>
        <w:t xml:space="preserve">] </w:t>
      </w:r>
      <w:bookmarkStart w:id="4" w:name="_ENREF_3"/>
      <w:r w:rsidRPr="00743E42">
        <w:rPr>
          <w:rFonts w:ascii="Calibri" w:eastAsia="Arial" w:hAnsi="Calibri" w:cs="Calibri"/>
          <w:color w:val="000000"/>
          <w:lang w:val="en-US" w:eastAsia="en-GB"/>
        </w:rPr>
        <w:t xml:space="preserve">Craig R, Mindell J, </w:t>
      </w:r>
      <w:proofErr w:type="spellStart"/>
      <w:r w:rsidRPr="00743E42">
        <w:rPr>
          <w:rFonts w:ascii="Calibri" w:eastAsia="Arial" w:hAnsi="Calibri" w:cs="Calibri"/>
          <w:color w:val="000000"/>
          <w:lang w:val="en-US" w:eastAsia="en-GB"/>
        </w:rPr>
        <w:t>Hirani</w:t>
      </w:r>
      <w:proofErr w:type="spellEnd"/>
      <w:r w:rsidRPr="00743E42">
        <w:rPr>
          <w:rFonts w:ascii="Calibri" w:eastAsia="Arial" w:hAnsi="Calibri" w:cs="Calibri"/>
          <w:color w:val="000000"/>
          <w:lang w:val="en-US" w:eastAsia="en-GB"/>
        </w:rPr>
        <w:t xml:space="preserve"> V (2009) </w:t>
      </w:r>
      <w:r w:rsidRPr="00B615A1">
        <w:rPr>
          <w:rFonts w:ascii="Calibri" w:eastAsia="Arial" w:hAnsi="Calibri" w:cs="Calibri"/>
          <w:i/>
          <w:color w:val="000000"/>
          <w:lang w:val="en-US" w:eastAsia="en-GB"/>
        </w:rPr>
        <w:t xml:space="preserve">Health </w:t>
      </w:r>
      <w:r w:rsidR="00B615A1" w:rsidRPr="00B615A1">
        <w:rPr>
          <w:rFonts w:ascii="Calibri" w:eastAsia="Arial" w:hAnsi="Calibri" w:cs="Calibri"/>
          <w:i/>
          <w:color w:val="000000"/>
          <w:lang w:val="en-US" w:eastAsia="en-GB"/>
        </w:rPr>
        <w:t>S</w:t>
      </w:r>
      <w:r w:rsidRPr="00B615A1">
        <w:rPr>
          <w:rFonts w:ascii="Calibri" w:eastAsia="Arial" w:hAnsi="Calibri" w:cs="Calibri"/>
          <w:i/>
          <w:color w:val="000000"/>
          <w:lang w:val="en-US" w:eastAsia="en-GB"/>
        </w:rPr>
        <w:t>urvey for England 2008</w:t>
      </w:r>
      <w:r w:rsidRPr="00743E42">
        <w:rPr>
          <w:rFonts w:ascii="Calibri" w:eastAsia="Arial" w:hAnsi="Calibri" w:cs="Calibri"/>
          <w:color w:val="000000"/>
          <w:lang w:val="en-US" w:eastAsia="en-GB"/>
        </w:rPr>
        <w:t>. The Information Centre, London</w:t>
      </w:r>
      <w:bookmarkEnd w:id="4"/>
      <w:r w:rsidRPr="00743E42">
        <w:rPr>
          <w:rFonts w:ascii="Calibri" w:eastAsia="Arial" w:hAnsi="Calibri" w:cs="Calibri"/>
          <w:color w:val="000000"/>
          <w:lang w:val="en-US" w:eastAsia="en-GB"/>
        </w:rPr>
        <w:t>.</w:t>
      </w:r>
    </w:p>
    <w:p w14:paraId="46919249" w14:textId="2644B6C7" w:rsidR="0023668E" w:rsidRPr="00743E42" w:rsidRDefault="0023668E" w:rsidP="0023668E">
      <w:pPr>
        <w:widowControl w:val="0"/>
        <w:spacing w:after="0"/>
        <w:rPr>
          <w:rFonts w:ascii="Calibri" w:eastAsia="Arial" w:hAnsi="Calibri" w:cs="Calibri"/>
          <w:color w:val="000000"/>
          <w:lang w:val="en-US" w:eastAsia="en-GB"/>
        </w:rPr>
      </w:pPr>
      <w:r>
        <w:rPr>
          <w:rFonts w:ascii="Calibri" w:eastAsia="Arial" w:hAnsi="Calibri" w:cs="Calibri"/>
          <w:color w:val="000000"/>
          <w:lang w:val="en-US" w:eastAsia="en-GB"/>
        </w:rPr>
        <w:t>[</w:t>
      </w:r>
      <w:r w:rsidR="003B5437">
        <w:rPr>
          <w:rFonts w:ascii="Calibri" w:eastAsia="Arial" w:hAnsi="Calibri" w:cs="Calibri"/>
          <w:color w:val="000000"/>
          <w:lang w:val="en-US" w:eastAsia="en-GB"/>
        </w:rPr>
        <w:t>7</w:t>
      </w:r>
      <w:r>
        <w:rPr>
          <w:rFonts w:ascii="Calibri" w:eastAsia="Arial" w:hAnsi="Calibri" w:cs="Calibri"/>
          <w:color w:val="000000"/>
          <w:lang w:val="en-US" w:eastAsia="en-GB"/>
        </w:rPr>
        <w:t xml:space="preserve">] </w:t>
      </w:r>
      <w:r w:rsidRPr="00743E42">
        <w:rPr>
          <w:rFonts w:ascii="Calibri" w:eastAsia="Arial" w:hAnsi="Calibri" w:cs="Calibri"/>
          <w:color w:val="000000"/>
          <w:lang w:val="en-US" w:eastAsia="en-GB"/>
        </w:rPr>
        <w:t xml:space="preserve">Craig R, </w:t>
      </w:r>
      <w:proofErr w:type="spellStart"/>
      <w:r w:rsidRPr="00743E42">
        <w:rPr>
          <w:rFonts w:ascii="Calibri" w:eastAsia="Arial" w:hAnsi="Calibri" w:cs="Calibri"/>
          <w:color w:val="000000"/>
          <w:lang w:val="en-US" w:eastAsia="en-GB"/>
        </w:rPr>
        <w:t>Hirani</w:t>
      </w:r>
      <w:proofErr w:type="spellEnd"/>
      <w:r w:rsidRPr="00743E42">
        <w:rPr>
          <w:rFonts w:ascii="Calibri" w:eastAsia="Arial" w:hAnsi="Calibri" w:cs="Calibri"/>
          <w:color w:val="000000"/>
          <w:lang w:val="en-US" w:eastAsia="en-GB"/>
        </w:rPr>
        <w:t xml:space="preserve"> V (2010) </w:t>
      </w:r>
      <w:r w:rsidRPr="00B615A1">
        <w:rPr>
          <w:rFonts w:ascii="Calibri" w:eastAsia="Arial" w:hAnsi="Calibri" w:cs="Calibri"/>
          <w:i/>
          <w:color w:val="000000"/>
          <w:lang w:val="en-US" w:eastAsia="en-GB"/>
        </w:rPr>
        <w:t xml:space="preserve">Health </w:t>
      </w:r>
      <w:r w:rsidR="00B615A1" w:rsidRPr="00B615A1">
        <w:rPr>
          <w:rFonts w:ascii="Calibri" w:eastAsia="Arial" w:hAnsi="Calibri" w:cs="Calibri"/>
          <w:i/>
          <w:color w:val="000000"/>
          <w:lang w:val="en-US" w:eastAsia="en-GB"/>
        </w:rPr>
        <w:t>S</w:t>
      </w:r>
      <w:r w:rsidRPr="00B615A1">
        <w:rPr>
          <w:rFonts w:ascii="Calibri" w:eastAsia="Arial" w:hAnsi="Calibri" w:cs="Calibri"/>
          <w:i/>
          <w:color w:val="000000"/>
          <w:lang w:val="en-US" w:eastAsia="en-GB"/>
        </w:rPr>
        <w:t>urvey for England 2009</w:t>
      </w:r>
      <w:r w:rsidRPr="00743E42">
        <w:rPr>
          <w:rFonts w:ascii="Calibri" w:eastAsia="Arial" w:hAnsi="Calibri" w:cs="Calibri"/>
          <w:color w:val="000000"/>
          <w:lang w:val="en-US" w:eastAsia="en-GB"/>
        </w:rPr>
        <w:t>. The Information Centre, London</w:t>
      </w:r>
      <w:bookmarkEnd w:id="1"/>
      <w:r w:rsidRPr="00743E42">
        <w:rPr>
          <w:rFonts w:ascii="Calibri" w:eastAsia="Arial" w:hAnsi="Calibri" w:cs="Calibri"/>
          <w:color w:val="000000"/>
          <w:lang w:val="en-US" w:eastAsia="en-GB"/>
        </w:rPr>
        <w:t>.</w:t>
      </w:r>
    </w:p>
    <w:p w14:paraId="59A5E3DE" w14:textId="5D8581E1" w:rsidR="0023668E" w:rsidRPr="00743E42" w:rsidRDefault="003B5437" w:rsidP="0023668E">
      <w:pPr>
        <w:widowControl w:val="0"/>
        <w:spacing w:after="0"/>
        <w:rPr>
          <w:rFonts w:ascii="Calibri" w:eastAsia="Arial" w:hAnsi="Calibri" w:cs="Calibri"/>
          <w:color w:val="000000"/>
          <w:lang w:val="en-US" w:eastAsia="en-GB"/>
        </w:rPr>
      </w:pPr>
      <w:bookmarkStart w:id="5" w:name="_ENREF_9"/>
      <w:r>
        <w:rPr>
          <w:rFonts w:ascii="Calibri" w:eastAsia="Arial" w:hAnsi="Calibri" w:cs="Calibri"/>
          <w:color w:val="000000"/>
          <w:lang w:val="en-US" w:eastAsia="en-GB"/>
        </w:rPr>
        <w:t>[8</w:t>
      </w:r>
      <w:r w:rsidR="0023668E">
        <w:rPr>
          <w:rFonts w:ascii="Calibri" w:eastAsia="Arial" w:hAnsi="Calibri" w:cs="Calibri"/>
          <w:color w:val="000000"/>
          <w:lang w:val="en-US" w:eastAsia="en-GB"/>
        </w:rPr>
        <w:t xml:space="preserve">] </w:t>
      </w:r>
      <w:bookmarkStart w:id="6" w:name="_ENREF_17"/>
      <w:r w:rsidR="0023668E" w:rsidRPr="00743E42">
        <w:rPr>
          <w:rFonts w:ascii="Calibri" w:eastAsia="Arial" w:hAnsi="Calibri" w:cs="Calibri"/>
          <w:color w:val="000000"/>
          <w:lang w:val="en-US" w:eastAsia="en-GB"/>
        </w:rPr>
        <w:t xml:space="preserve">Smith K, </w:t>
      </w:r>
      <w:proofErr w:type="spellStart"/>
      <w:r w:rsidR="0023668E" w:rsidRPr="00743E42">
        <w:rPr>
          <w:rFonts w:ascii="Calibri" w:eastAsia="Arial" w:hAnsi="Calibri" w:cs="Calibri"/>
          <w:color w:val="000000"/>
          <w:lang w:val="en-US" w:eastAsia="en-GB"/>
        </w:rPr>
        <w:t>Flatley</w:t>
      </w:r>
      <w:proofErr w:type="spellEnd"/>
      <w:r w:rsidR="0023668E" w:rsidRPr="00743E42">
        <w:rPr>
          <w:rFonts w:ascii="Calibri" w:eastAsia="Arial" w:hAnsi="Calibri" w:cs="Calibri"/>
          <w:color w:val="000000"/>
          <w:lang w:val="en-US" w:eastAsia="en-GB"/>
        </w:rPr>
        <w:t xml:space="preserve"> J (2011) </w:t>
      </w:r>
      <w:r w:rsidR="0023668E" w:rsidRPr="00B615A1">
        <w:rPr>
          <w:rFonts w:ascii="Calibri" w:eastAsia="Arial" w:hAnsi="Calibri" w:cs="Calibri"/>
          <w:i/>
          <w:color w:val="000000"/>
          <w:lang w:val="en-US" w:eastAsia="en-GB"/>
        </w:rPr>
        <w:t xml:space="preserve">Drug </w:t>
      </w:r>
      <w:r w:rsidR="00B615A1" w:rsidRPr="00B615A1">
        <w:rPr>
          <w:rFonts w:ascii="Calibri" w:eastAsia="Arial" w:hAnsi="Calibri" w:cs="Calibri"/>
          <w:i/>
          <w:color w:val="000000"/>
          <w:lang w:val="en-US" w:eastAsia="en-GB"/>
        </w:rPr>
        <w:t>M</w:t>
      </w:r>
      <w:r w:rsidR="0023668E" w:rsidRPr="00B615A1">
        <w:rPr>
          <w:rFonts w:ascii="Calibri" w:eastAsia="Arial" w:hAnsi="Calibri" w:cs="Calibri"/>
          <w:i/>
          <w:color w:val="000000"/>
          <w:lang w:val="en-US" w:eastAsia="en-GB"/>
        </w:rPr>
        <w:t xml:space="preserve">isuse </w:t>
      </w:r>
      <w:r w:rsidR="00B615A1" w:rsidRPr="00B615A1">
        <w:rPr>
          <w:rFonts w:ascii="Calibri" w:eastAsia="Arial" w:hAnsi="Calibri" w:cs="Calibri"/>
          <w:i/>
          <w:color w:val="000000"/>
          <w:lang w:val="en-US" w:eastAsia="en-GB"/>
        </w:rPr>
        <w:t>D</w:t>
      </w:r>
      <w:r w:rsidR="0023668E" w:rsidRPr="00B615A1">
        <w:rPr>
          <w:rFonts w:ascii="Calibri" w:eastAsia="Arial" w:hAnsi="Calibri" w:cs="Calibri"/>
          <w:i/>
          <w:color w:val="000000"/>
          <w:lang w:val="en-US" w:eastAsia="en-GB"/>
        </w:rPr>
        <w:t xml:space="preserve">eclared: Findings from the 2010/2011 British </w:t>
      </w:r>
      <w:r w:rsidR="00B615A1" w:rsidRPr="00B615A1">
        <w:rPr>
          <w:rFonts w:ascii="Calibri" w:eastAsia="Arial" w:hAnsi="Calibri" w:cs="Calibri"/>
          <w:i/>
          <w:color w:val="000000"/>
          <w:lang w:val="en-US" w:eastAsia="en-GB"/>
        </w:rPr>
        <w:t>C</w:t>
      </w:r>
      <w:r w:rsidR="0023668E" w:rsidRPr="00B615A1">
        <w:rPr>
          <w:rFonts w:ascii="Calibri" w:eastAsia="Arial" w:hAnsi="Calibri" w:cs="Calibri"/>
          <w:i/>
          <w:color w:val="000000"/>
          <w:lang w:val="en-US" w:eastAsia="en-GB"/>
        </w:rPr>
        <w:t xml:space="preserve">rime </w:t>
      </w:r>
      <w:r w:rsidR="00B615A1" w:rsidRPr="00B615A1">
        <w:rPr>
          <w:rFonts w:ascii="Calibri" w:eastAsia="Arial" w:hAnsi="Calibri" w:cs="Calibri"/>
          <w:i/>
          <w:color w:val="000000"/>
          <w:lang w:val="en-US" w:eastAsia="en-GB"/>
        </w:rPr>
        <w:t>S</w:t>
      </w:r>
      <w:r w:rsidR="0023668E" w:rsidRPr="00B615A1">
        <w:rPr>
          <w:rFonts w:ascii="Calibri" w:eastAsia="Arial" w:hAnsi="Calibri" w:cs="Calibri"/>
          <w:i/>
          <w:color w:val="000000"/>
          <w:lang w:val="en-US" w:eastAsia="en-GB"/>
        </w:rPr>
        <w:t xml:space="preserve">urvey (England and Wales). </w:t>
      </w:r>
      <w:r w:rsidR="0023668E" w:rsidRPr="00743E42">
        <w:rPr>
          <w:rFonts w:ascii="Calibri" w:eastAsia="Arial" w:hAnsi="Calibri" w:cs="Calibri"/>
          <w:color w:val="000000"/>
          <w:lang w:val="en-US" w:eastAsia="en-GB"/>
        </w:rPr>
        <w:t>Home Office, London</w:t>
      </w:r>
      <w:bookmarkEnd w:id="6"/>
      <w:r w:rsidR="0023668E" w:rsidRPr="00743E42">
        <w:rPr>
          <w:rFonts w:ascii="Calibri" w:eastAsia="Arial" w:hAnsi="Calibri" w:cs="Calibri"/>
          <w:color w:val="000000"/>
          <w:lang w:val="en-US" w:eastAsia="en-GB"/>
        </w:rPr>
        <w:t>.</w:t>
      </w:r>
    </w:p>
    <w:p w14:paraId="4C23A453" w14:textId="2274CC00" w:rsidR="0023668E" w:rsidRDefault="003B5437" w:rsidP="0023668E">
      <w:pPr>
        <w:spacing w:after="0"/>
        <w:jc w:val="both"/>
        <w:rPr>
          <w:rFonts w:ascii="Calibri" w:eastAsia="Times New Roman" w:hAnsi="Calibri" w:cs="Calibri"/>
          <w:lang w:val="en-US" w:eastAsia="en-GB"/>
        </w:rPr>
      </w:pPr>
      <w:r>
        <w:rPr>
          <w:rFonts w:ascii="Calibri" w:eastAsia="Arial" w:hAnsi="Calibri" w:cs="Calibri"/>
          <w:color w:val="000000"/>
          <w:lang w:val="en-US" w:eastAsia="en-GB"/>
        </w:rPr>
        <w:t>[9</w:t>
      </w:r>
      <w:r w:rsidR="0023668E">
        <w:rPr>
          <w:rFonts w:ascii="Calibri" w:eastAsia="Arial" w:hAnsi="Calibri" w:cs="Calibri"/>
          <w:color w:val="000000"/>
          <w:lang w:val="en-US" w:eastAsia="en-GB"/>
        </w:rPr>
        <w:t xml:space="preserve">] </w:t>
      </w:r>
      <w:r w:rsidR="0023668E" w:rsidRPr="00743E42">
        <w:rPr>
          <w:rFonts w:ascii="Calibri" w:eastAsia="Times New Roman" w:hAnsi="Calibri" w:cs="Calibri"/>
          <w:lang w:val="en-US" w:eastAsia="en-GB"/>
        </w:rPr>
        <w:t xml:space="preserve">World Health Organization (2006) </w:t>
      </w:r>
      <w:r w:rsidR="00B615A1" w:rsidRPr="00B615A1">
        <w:rPr>
          <w:rFonts w:ascii="Calibri" w:eastAsia="Times New Roman" w:hAnsi="Calibri" w:cs="Calibri"/>
          <w:i/>
          <w:lang w:val="en-US" w:eastAsia="en-GB"/>
        </w:rPr>
        <w:t>WHO B</w:t>
      </w:r>
      <w:r w:rsidR="0023668E" w:rsidRPr="00B615A1">
        <w:rPr>
          <w:rFonts w:ascii="Calibri" w:eastAsia="Times New Roman" w:hAnsi="Calibri" w:cs="Calibri"/>
          <w:i/>
          <w:lang w:val="en-US" w:eastAsia="en-GB"/>
        </w:rPr>
        <w:t xml:space="preserve">ody </w:t>
      </w:r>
      <w:r w:rsidR="00B615A1" w:rsidRPr="00B615A1">
        <w:rPr>
          <w:rFonts w:ascii="Calibri" w:eastAsia="Times New Roman" w:hAnsi="Calibri" w:cs="Calibri"/>
          <w:i/>
          <w:lang w:val="en-US" w:eastAsia="en-GB"/>
        </w:rPr>
        <w:t>M</w:t>
      </w:r>
      <w:r w:rsidR="0023668E" w:rsidRPr="00B615A1">
        <w:rPr>
          <w:rFonts w:ascii="Calibri" w:eastAsia="Times New Roman" w:hAnsi="Calibri" w:cs="Calibri"/>
          <w:i/>
          <w:lang w:val="en-US" w:eastAsia="en-GB"/>
        </w:rPr>
        <w:t xml:space="preserve">ass </w:t>
      </w:r>
      <w:r w:rsidR="00B615A1" w:rsidRPr="00B615A1">
        <w:rPr>
          <w:rFonts w:ascii="Calibri" w:eastAsia="Times New Roman" w:hAnsi="Calibri" w:cs="Calibri"/>
          <w:i/>
          <w:lang w:val="en-US" w:eastAsia="en-GB"/>
        </w:rPr>
        <w:t>I</w:t>
      </w:r>
      <w:r w:rsidR="0023668E" w:rsidRPr="00B615A1">
        <w:rPr>
          <w:rFonts w:ascii="Calibri" w:eastAsia="Times New Roman" w:hAnsi="Calibri" w:cs="Calibri"/>
          <w:i/>
          <w:lang w:val="en-US" w:eastAsia="en-GB"/>
        </w:rPr>
        <w:t xml:space="preserve">ndex </w:t>
      </w:r>
      <w:r w:rsidR="00B615A1" w:rsidRPr="00B615A1">
        <w:rPr>
          <w:rFonts w:ascii="Calibri" w:eastAsia="Times New Roman" w:hAnsi="Calibri" w:cs="Calibri"/>
          <w:i/>
          <w:lang w:val="en-US" w:eastAsia="en-GB"/>
        </w:rPr>
        <w:t>D</w:t>
      </w:r>
      <w:r w:rsidR="0023668E" w:rsidRPr="00B615A1">
        <w:rPr>
          <w:rFonts w:ascii="Calibri" w:eastAsia="Times New Roman" w:hAnsi="Calibri" w:cs="Calibri"/>
          <w:i/>
          <w:lang w:val="en-US" w:eastAsia="en-GB"/>
        </w:rPr>
        <w:t>atabase: BMI Classification</w:t>
      </w:r>
      <w:r w:rsidR="0023668E" w:rsidRPr="00743E42">
        <w:rPr>
          <w:rFonts w:ascii="Calibri" w:eastAsia="Times New Roman" w:hAnsi="Calibri" w:cs="Calibri"/>
          <w:lang w:val="en-US" w:eastAsia="en-GB"/>
        </w:rPr>
        <w:t>. World Health Organization, Geneva.</w:t>
      </w:r>
    </w:p>
    <w:p w14:paraId="4CD6403A" w14:textId="77777777" w:rsidR="00A174D5" w:rsidRPr="00A174D5" w:rsidRDefault="003B5437" w:rsidP="00A174D5">
      <w:pPr>
        <w:spacing w:after="0"/>
        <w:jc w:val="both"/>
        <w:rPr>
          <w:rFonts w:ascii="Calibri" w:eastAsia="Times New Roman" w:hAnsi="Calibri" w:cs="Calibri"/>
          <w:lang w:val="en-US" w:eastAsia="en-GB"/>
        </w:rPr>
      </w:pPr>
      <w:r>
        <w:rPr>
          <w:rFonts w:ascii="Calibri" w:eastAsia="Times New Roman" w:hAnsi="Calibri" w:cs="Calibri"/>
          <w:lang w:val="en-US" w:eastAsia="en-GB"/>
        </w:rPr>
        <w:t>[10</w:t>
      </w:r>
      <w:r w:rsidR="00867A00">
        <w:rPr>
          <w:rFonts w:ascii="Calibri" w:eastAsia="Times New Roman" w:hAnsi="Calibri" w:cs="Calibri"/>
          <w:lang w:val="en-US" w:eastAsia="en-GB"/>
        </w:rPr>
        <w:t xml:space="preserve">] </w:t>
      </w:r>
      <w:r w:rsidR="00A174D5" w:rsidRPr="00A174D5">
        <w:rPr>
          <w:rFonts w:ascii="Calibri" w:eastAsia="Times New Roman" w:hAnsi="Calibri" w:cs="Calibri"/>
          <w:lang w:val="en-US" w:eastAsia="en-GB"/>
        </w:rPr>
        <w:t>Royal College of Physicians. The evidence base for alcohol guidelines. RCP, London, 2011.</w:t>
      </w:r>
    </w:p>
    <w:p w14:paraId="526AC1EB" w14:textId="77777777" w:rsidR="00A174D5" w:rsidRPr="00A174D5" w:rsidRDefault="00A174D5" w:rsidP="00A174D5">
      <w:pPr>
        <w:spacing w:after="0"/>
        <w:jc w:val="both"/>
        <w:rPr>
          <w:rFonts w:ascii="Calibri" w:eastAsia="Times New Roman" w:hAnsi="Calibri" w:cs="Calibri"/>
          <w:lang w:val="en-US" w:eastAsia="en-GB"/>
        </w:rPr>
      </w:pPr>
      <w:r w:rsidRPr="00A174D5">
        <w:rPr>
          <w:rFonts w:ascii="Calibri" w:eastAsia="Times New Roman" w:hAnsi="Calibri" w:cs="Calibri"/>
          <w:lang w:val="en-US" w:eastAsia="en-GB"/>
        </w:rPr>
        <w:t>www.publications.parliament.uk/pa/cm201012/cmselect/cmsctech/writev/1536/ag22.htm accessed</w:t>
      </w:r>
    </w:p>
    <w:p w14:paraId="596DCB02" w14:textId="649E2DD5" w:rsidR="00A174D5" w:rsidRDefault="00A174D5" w:rsidP="00A174D5">
      <w:pPr>
        <w:spacing w:after="0"/>
        <w:jc w:val="both"/>
        <w:rPr>
          <w:rFonts w:ascii="Calibri" w:eastAsia="Times New Roman" w:hAnsi="Calibri" w:cs="Calibri"/>
          <w:lang w:val="en-US" w:eastAsia="en-GB"/>
        </w:rPr>
      </w:pPr>
      <w:r w:rsidRPr="00A174D5">
        <w:rPr>
          <w:rFonts w:ascii="Calibri" w:eastAsia="Times New Roman" w:hAnsi="Calibri" w:cs="Calibri"/>
          <w:lang w:val="en-US" w:eastAsia="en-GB"/>
        </w:rPr>
        <w:t>8th February 2013.</w:t>
      </w:r>
    </w:p>
    <w:p w14:paraId="43FF1DE4" w14:textId="23513FF0" w:rsidR="00867A00" w:rsidRPr="00867A00" w:rsidRDefault="00A174D5" w:rsidP="00867A00">
      <w:pPr>
        <w:spacing w:after="0"/>
        <w:jc w:val="both"/>
        <w:rPr>
          <w:rFonts w:ascii="Calibri" w:eastAsia="Times New Roman" w:hAnsi="Calibri" w:cs="Calibri"/>
          <w:lang w:eastAsia="en-GB"/>
        </w:rPr>
      </w:pPr>
      <w:r>
        <w:rPr>
          <w:rFonts w:ascii="Calibri" w:eastAsia="Times New Roman" w:hAnsi="Calibri" w:cs="Calibri"/>
          <w:lang w:val="en-US" w:eastAsia="en-GB"/>
        </w:rPr>
        <w:t xml:space="preserve">[11] </w:t>
      </w:r>
      <w:proofErr w:type="spellStart"/>
      <w:r w:rsidR="00867A00" w:rsidRPr="00867A00">
        <w:rPr>
          <w:rFonts w:ascii="Calibri" w:eastAsia="Times New Roman" w:hAnsi="Calibri" w:cs="Calibri"/>
          <w:lang w:val="en-US" w:eastAsia="en-GB"/>
        </w:rPr>
        <w:t>Hernán</w:t>
      </w:r>
      <w:proofErr w:type="spellEnd"/>
      <w:r w:rsidR="00867A00" w:rsidRPr="00867A00">
        <w:rPr>
          <w:rFonts w:ascii="Calibri" w:eastAsia="Times New Roman" w:hAnsi="Calibri" w:cs="Calibri"/>
          <w:lang w:val="en-US" w:eastAsia="en-GB"/>
        </w:rPr>
        <w:t xml:space="preserve"> MA, Hernández-</w:t>
      </w:r>
      <w:proofErr w:type="spellStart"/>
      <w:r w:rsidR="00867A00" w:rsidRPr="00867A00">
        <w:rPr>
          <w:rFonts w:ascii="Calibri" w:eastAsia="Times New Roman" w:hAnsi="Calibri" w:cs="Calibri"/>
          <w:lang w:val="en-US" w:eastAsia="en-GB"/>
        </w:rPr>
        <w:t>Díaz</w:t>
      </w:r>
      <w:proofErr w:type="spellEnd"/>
      <w:r w:rsidR="00867A00" w:rsidRPr="00867A00">
        <w:rPr>
          <w:rFonts w:ascii="Calibri" w:eastAsia="Times New Roman" w:hAnsi="Calibri" w:cs="Calibri"/>
          <w:lang w:val="en-US" w:eastAsia="en-GB"/>
        </w:rPr>
        <w:t xml:space="preserve"> S, </w:t>
      </w:r>
      <w:proofErr w:type="spellStart"/>
      <w:r w:rsidR="00867A00" w:rsidRPr="00867A00">
        <w:rPr>
          <w:rFonts w:ascii="Calibri" w:eastAsia="Times New Roman" w:hAnsi="Calibri" w:cs="Calibri"/>
          <w:lang w:val="en-US" w:eastAsia="en-GB"/>
        </w:rPr>
        <w:t>Werler</w:t>
      </w:r>
      <w:proofErr w:type="spellEnd"/>
      <w:r w:rsidR="00867A00" w:rsidRPr="00867A00">
        <w:rPr>
          <w:rFonts w:ascii="Calibri" w:eastAsia="Times New Roman" w:hAnsi="Calibri" w:cs="Calibri"/>
          <w:lang w:val="en-US" w:eastAsia="en-GB"/>
        </w:rPr>
        <w:t xml:space="preserve"> MM, Mitchell AA (2002) Causal knowledge as a prerequisite for confounding evaluation: an application to birth defects epidemiology. </w:t>
      </w:r>
      <w:r w:rsidR="00867A00" w:rsidRPr="00867A00">
        <w:rPr>
          <w:rFonts w:ascii="Calibri" w:eastAsia="Times New Roman" w:hAnsi="Calibri" w:cs="Calibri"/>
          <w:i/>
          <w:iCs/>
          <w:lang w:val="en-US" w:eastAsia="en-GB"/>
        </w:rPr>
        <w:t xml:space="preserve">Am J </w:t>
      </w:r>
      <w:proofErr w:type="spellStart"/>
      <w:r w:rsidR="00867A00" w:rsidRPr="00867A00">
        <w:rPr>
          <w:rFonts w:ascii="Calibri" w:eastAsia="Times New Roman" w:hAnsi="Calibri" w:cs="Calibri"/>
          <w:i/>
          <w:iCs/>
          <w:lang w:val="en-US" w:eastAsia="en-GB"/>
        </w:rPr>
        <w:t>Epidemiol</w:t>
      </w:r>
      <w:proofErr w:type="spellEnd"/>
      <w:r w:rsidR="00867A00" w:rsidRPr="00867A00">
        <w:rPr>
          <w:rFonts w:ascii="Calibri" w:eastAsia="Times New Roman" w:hAnsi="Calibri" w:cs="Calibri"/>
          <w:i/>
          <w:iCs/>
          <w:lang w:val="en-US" w:eastAsia="en-GB"/>
        </w:rPr>
        <w:t xml:space="preserve"> </w:t>
      </w:r>
      <w:r w:rsidR="00867A00" w:rsidRPr="00867A00">
        <w:rPr>
          <w:rFonts w:ascii="Calibri" w:eastAsia="Times New Roman" w:hAnsi="Calibri" w:cs="Calibri"/>
          <w:bCs/>
          <w:lang w:val="en-US" w:eastAsia="en-GB"/>
        </w:rPr>
        <w:t>155(2):</w:t>
      </w:r>
      <w:r w:rsidR="00867A00" w:rsidRPr="00867A00">
        <w:rPr>
          <w:rFonts w:ascii="Calibri" w:eastAsia="Times New Roman" w:hAnsi="Calibri" w:cs="Calibri"/>
          <w:lang w:val="en-US" w:eastAsia="en-GB"/>
        </w:rPr>
        <w:t>176</w:t>
      </w:r>
      <w:r w:rsidR="00867A00">
        <w:rPr>
          <w:rFonts w:ascii="Calibri" w:eastAsia="Times New Roman" w:hAnsi="Calibri" w:cs="Calibri"/>
          <w:lang w:val="en-US" w:eastAsia="en-GB"/>
        </w:rPr>
        <w:t>-</w:t>
      </w:r>
      <w:proofErr w:type="gramStart"/>
      <w:r w:rsidR="00867A00">
        <w:rPr>
          <w:rFonts w:ascii="Calibri" w:eastAsia="Times New Roman" w:hAnsi="Calibri" w:cs="Calibri"/>
          <w:lang w:val="en-US" w:eastAsia="en-GB"/>
        </w:rPr>
        <w:t>84</w:t>
      </w:r>
      <w:r w:rsidR="00867A00" w:rsidRPr="00867A00">
        <w:rPr>
          <w:rFonts w:ascii="Calibri" w:eastAsia="Times New Roman" w:hAnsi="Calibri" w:cs="Calibri"/>
          <w:lang w:eastAsia="en-GB"/>
        </w:rPr>
        <w:t>.</w:t>
      </w:r>
      <w:proofErr w:type="gramEnd"/>
      <w:r w:rsidR="00867A00" w:rsidRPr="00867A00">
        <w:rPr>
          <w:rFonts w:ascii="Calibri" w:eastAsia="Times New Roman" w:hAnsi="Calibri" w:cs="Calibri"/>
          <w:lang w:eastAsia="en-GB"/>
        </w:rPr>
        <w:t xml:space="preserve"> </w:t>
      </w:r>
    </w:p>
    <w:p w14:paraId="0E63D47B" w14:textId="6EBD4B98" w:rsidR="0023668E" w:rsidRDefault="00B615A1" w:rsidP="0023668E">
      <w:pPr>
        <w:widowControl w:val="0"/>
        <w:spacing w:after="0"/>
        <w:rPr>
          <w:rFonts w:ascii="Calibri" w:eastAsia="Arial" w:hAnsi="Calibri" w:cs="Calibri"/>
          <w:color w:val="000000"/>
          <w:lang w:val="en-US" w:eastAsia="en-GB"/>
        </w:rPr>
      </w:pPr>
      <w:r>
        <w:rPr>
          <w:rFonts w:ascii="Calibri" w:eastAsia="Arial" w:hAnsi="Calibri" w:cs="Calibri"/>
          <w:color w:val="000000"/>
          <w:lang w:val="en-US" w:eastAsia="en-GB"/>
        </w:rPr>
        <w:t>[</w:t>
      </w:r>
      <w:r w:rsidR="00867A00">
        <w:rPr>
          <w:rFonts w:ascii="Calibri" w:eastAsia="Arial" w:hAnsi="Calibri" w:cs="Calibri"/>
          <w:color w:val="000000"/>
          <w:lang w:val="en-US" w:eastAsia="en-GB"/>
        </w:rPr>
        <w:t>1</w:t>
      </w:r>
      <w:r w:rsidR="00A174D5">
        <w:rPr>
          <w:rFonts w:ascii="Calibri" w:eastAsia="Arial" w:hAnsi="Calibri" w:cs="Calibri"/>
          <w:color w:val="000000"/>
          <w:lang w:val="en-US" w:eastAsia="en-GB"/>
        </w:rPr>
        <w:t>2</w:t>
      </w:r>
      <w:r w:rsidR="0023668E">
        <w:rPr>
          <w:rFonts w:ascii="Calibri" w:eastAsia="Arial" w:hAnsi="Calibri" w:cs="Calibri"/>
          <w:color w:val="000000"/>
          <w:lang w:val="en-US" w:eastAsia="en-GB"/>
        </w:rPr>
        <w:t xml:space="preserve">] </w:t>
      </w:r>
      <w:bookmarkStart w:id="7" w:name="_ENREF_12"/>
      <w:r w:rsidR="0023668E" w:rsidRPr="00743E42">
        <w:rPr>
          <w:rFonts w:ascii="Calibri" w:eastAsia="Arial" w:hAnsi="Calibri" w:cs="Calibri"/>
          <w:color w:val="000000"/>
          <w:lang w:val="en-US" w:eastAsia="en-GB"/>
        </w:rPr>
        <w:t>National Ob</w:t>
      </w:r>
      <w:r>
        <w:rPr>
          <w:rFonts w:ascii="Calibri" w:eastAsia="Arial" w:hAnsi="Calibri" w:cs="Calibri"/>
          <w:color w:val="000000"/>
          <w:lang w:val="en-US" w:eastAsia="en-GB"/>
        </w:rPr>
        <w:t xml:space="preserve">esity Observatory (2011) </w:t>
      </w:r>
      <w:r w:rsidRPr="00B615A1">
        <w:rPr>
          <w:rFonts w:ascii="Calibri" w:eastAsia="Arial" w:hAnsi="Calibri" w:cs="Calibri"/>
          <w:i/>
          <w:color w:val="000000"/>
          <w:lang w:val="en-US" w:eastAsia="en-GB"/>
        </w:rPr>
        <w:t>Adult W</w:t>
      </w:r>
      <w:r w:rsidR="0023668E" w:rsidRPr="00B615A1">
        <w:rPr>
          <w:rFonts w:ascii="Calibri" w:eastAsia="Arial" w:hAnsi="Calibri" w:cs="Calibri"/>
          <w:i/>
          <w:color w:val="000000"/>
          <w:lang w:val="en-US" w:eastAsia="en-GB"/>
        </w:rPr>
        <w:t xml:space="preserve">eight: NOO </w:t>
      </w:r>
      <w:r w:rsidRPr="00B615A1">
        <w:rPr>
          <w:rFonts w:ascii="Calibri" w:eastAsia="Arial" w:hAnsi="Calibri" w:cs="Calibri"/>
          <w:i/>
          <w:color w:val="000000"/>
          <w:lang w:val="en-US" w:eastAsia="en-GB"/>
        </w:rPr>
        <w:t>D</w:t>
      </w:r>
      <w:r w:rsidR="0023668E" w:rsidRPr="00B615A1">
        <w:rPr>
          <w:rFonts w:ascii="Calibri" w:eastAsia="Arial" w:hAnsi="Calibri" w:cs="Calibri"/>
          <w:i/>
          <w:color w:val="000000"/>
          <w:lang w:val="en-US" w:eastAsia="en-GB"/>
        </w:rPr>
        <w:t xml:space="preserve">ata </w:t>
      </w:r>
      <w:r w:rsidRPr="00B615A1">
        <w:rPr>
          <w:rFonts w:ascii="Calibri" w:eastAsia="Arial" w:hAnsi="Calibri" w:cs="Calibri"/>
          <w:i/>
          <w:color w:val="000000"/>
          <w:lang w:val="en-US" w:eastAsia="en-GB"/>
        </w:rPr>
        <w:t>B</w:t>
      </w:r>
      <w:r w:rsidR="0023668E" w:rsidRPr="00B615A1">
        <w:rPr>
          <w:rFonts w:ascii="Calibri" w:eastAsia="Arial" w:hAnsi="Calibri" w:cs="Calibri"/>
          <w:i/>
          <w:color w:val="000000"/>
          <w:lang w:val="en-US" w:eastAsia="en-GB"/>
        </w:rPr>
        <w:t>riefing.</w:t>
      </w:r>
      <w:r w:rsidR="0023668E" w:rsidRPr="00743E42">
        <w:rPr>
          <w:rFonts w:ascii="Calibri" w:eastAsia="Arial" w:hAnsi="Calibri" w:cs="Calibri"/>
          <w:color w:val="000000"/>
          <w:lang w:val="en-US" w:eastAsia="en-GB"/>
        </w:rPr>
        <w:t xml:space="preserve"> National Obesity Observatory, London</w:t>
      </w:r>
      <w:bookmarkEnd w:id="7"/>
      <w:r w:rsidR="0023668E">
        <w:rPr>
          <w:rFonts w:ascii="Calibri" w:eastAsia="Arial" w:hAnsi="Calibri" w:cs="Calibri"/>
          <w:color w:val="000000"/>
          <w:lang w:val="en-US" w:eastAsia="en-GB"/>
        </w:rPr>
        <w:t>.</w:t>
      </w:r>
    </w:p>
    <w:p w14:paraId="26DB1B5F" w14:textId="6F0A0B83" w:rsidR="0023668E" w:rsidRPr="00743E42" w:rsidRDefault="003B5437" w:rsidP="0023668E">
      <w:pPr>
        <w:widowControl w:val="0"/>
        <w:spacing w:after="0"/>
        <w:rPr>
          <w:rFonts w:ascii="Calibri" w:eastAsia="Arial" w:hAnsi="Calibri" w:cs="Calibri"/>
          <w:color w:val="000000"/>
          <w:lang w:val="en-US" w:eastAsia="en-GB"/>
        </w:rPr>
      </w:pPr>
      <w:r>
        <w:rPr>
          <w:rFonts w:ascii="Calibri" w:eastAsia="Arial" w:hAnsi="Calibri" w:cs="Calibri"/>
          <w:color w:val="000000"/>
          <w:lang w:val="en-US" w:eastAsia="en-GB"/>
        </w:rPr>
        <w:t>[1</w:t>
      </w:r>
      <w:r w:rsidR="00A174D5">
        <w:rPr>
          <w:rFonts w:ascii="Calibri" w:eastAsia="Arial" w:hAnsi="Calibri" w:cs="Calibri"/>
          <w:color w:val="000000"/>
          <w:lang w:val="en-US" w:eastAsia="en-GB"/>
        </w:rPr>
        <w:t>3</w:t>
      </w:r>
      <w:r w:rsidR="0023668E">
        <w:rPr>
          <w:rFonts w:ascii="Calibri" w:eastAsia="Arial" w:hAnsi="Calibri" w:cs="Calibri"/>
          <w:color w:val="000000"/>
          <w:lang w:val="en-US" w:eastAsia="en-GB"/>
        </w:rPr>
        <w:t>]</w:t>
      </w:r>
      <w:bookmarkStart w:id="8" w:name="_ENREF_4"/>
      <w:r w:rsidR="0023668E" w:rsidRPr="005F6236">
        <w:rPr>
          <w:rFonts w:ascii="Calibri" w:eastAsia="Arial" w:hAnsi="Calibri" w:cs="Calibri"/>
          <w:color w:val="000000"/>
          <w:lang w:val="en-US" w:eastAsia="en-GB"/>
        </w:rPr>
        <w:t xml:space="preserve"> </w:t>
      </w:r>
      <w:r w:rsidR="0023668E" w:rsidRPr="00743E42">
        <w:rPr>
          <w:rFonts w:ascii="Calibri" w:eastAsia="Arial" w:hAnsi="Calibri" w:cs="Calibri"/>
          <w:color w:val="000000"/>
          <w:lang w:val="en-US" w:eastAsia="en-GB"/>
        </w:rPr>
        <w:t xml:space="preserve">Dunstan S (2012) </w:t>
      </w:r>
      <w:r w:rsidR="0023668E" w:rsidRPr="00B615A1">
        <w:rPr>
          <w:rFonts w:ascii="Calibri" w:eastAsia="Arial" w:hAnsi="Calibri" w:cs="Calibri"/>
          <w:i/>
          <w:color w:val="000000"/>
          <w:lang w:val="en-US" w:eastAsia="en-GB"/>
        </w:rPr>
        <w:t xml:space="preserve">General </w:t>
      </w:r>
      <w:r w:rsidR="00B615A1" w:rsidRPr="00B615A1">
        <w:rPr>
          <w:rFonts w:ascii="Calibri" w:eastAsia="Arial" w:hAnsi="Calibri" w:cs="Calibri"/>
          <w:i/>
          <w:color w:val="000000"/>
          <w:lang w:val="en-US" w:eastAsia="en-GB"/>
        </w:rPr>
        <w:t>L</w:t>
      </w:r>
      <w:r w:rsidR="0023668E" w:rsidRPr="00B615A1">
        <w:rPr>
          <w:rFonts w:ascii="Calibri" w:eastAsia="Arial" w:hAnsi="Calibri" w:cs="Calibri"/>
          <w:i/>
          <w:color w:val="000000"/>
          <w:lang w:val="en-US" w:eastAsia="en-GB"/>
        </w:rPr>
        <w:t xml:space="preserve">ifestyle 2010 </w:t>
      </w:r>
      <w:r w:rsidR="00B615A1" w:rsidRPr="00B615A1">
        <w:rPr>
          <w:rFonts w:ascii="Calibri" w:eastAsia="Arial" w:hAnsi="Calibri" w:cs="Calibri"/>
          <w:i/>
          <w:color w:val="000000"/>
          <w:lang w:val="en-US" w:eastAsia="en-GB"/>
        </w:rPr>
        <w:t>O</w:t>
      </w:r>
      <w:r w:rsidR="0023668E" w:rsidRPr="00B615A1">
        <w:rPr>
          <w:rFonts w:ascii="Calibri" w:eastAsia="Arial" w:hAnsi="Calibri" w:cs="Calibri"/>
          <w:i/>
          <w:color w:val="000000"/>
          <w:lang w:val="en-US" w:eastAsia="en-GB"/>
        </w:rPr>
        <w:t>verview</w:t>
      </w:r>
      <w:r w:rsidR="0023668E" w:rsidRPr="00743E42">
        <w:rPr>
          <w:rFonts w:ascii="Calibri" w:eastAsia="Arial" w:hAnsi="Calibri" w:cs="Calibri"/>
          <w:color w:val="000000"/>
          <w:lang w:val="en-US" w:eastAsia="en-GB"/>
        </w:rPr>
        <w:t>. Office for National Statistics, London</w:t>
      </w:r>
      <w:bookmarkEnd w:id="8"/>
      <w:r w:rsidR="0023668E" w:rsidRPr="00743E42">
        <w:rPr>
          <w:rFonts w:ascii="Calibri" w:eastAsia="Arial" w:hAnsi="Calibri" w:cs="Calibri"/>
          <w:color w:val="000000"/>
          <w:lang w:val="en-US" w:eastAsia="en-GB"/>
        </w:rPr>
        <w:t>.</w:t>
      </w:r>
    </w:p>
    <w:p w14:paraId="3EB5D731" w14:textId="6F68A62F" w:rsidR="0023668E" w:rsidRPr="003E7C9B" w:rsidRDefault="0023668E" w:rsidP="0023668E">
      <w:pPr>
        <w:widowControl w:val="0"/>
        <w:spacing w:after="0"/>
        <w:rPr>
          <w:rFonts w:ascii="Calibri" w:eastAsia="Arial" w:hAnsi="Calibri" w:cs="Calibri"/>
          <w:color w:val="000000"/>
          <w:lang w:val="en-US" w:eastAsia="en-GB"/>
        </w:rPr>
      </w:pPr>
      <w:bookmarkStart w:id="9" w:name="_ENREF_18"/>
      <w:r>
        <w:rPr>
          <w:rFonts w:ascii="Calibri" w:eastAsia="Arial" w:hAnsi="Calibri" w:cs="Calibri"/>
          <w:color w:val="000000"/>
          <w:lang w:val="en-US" w:eastAsia="en-GB"/>
        </w:rPr>
        <w:t>[1</w:t>
      </w:r>
      <w:r w:rsidR="00A174D5">
        <w:rPr>
          <w:rFonts w:ascii="Calibri" w:eastAsia="Arial" w:hAnsi="Calibri" w:cs="Calibri"/>
          <w:color w:val="000000"/>
          <w:lang w:val="en-US" w:eastAsia="en-GB"/>
        </w:rPr>
        <w:t>4</w:t>
      </w:r>
      <w:r>
        <w:rPr>
          <w:rFonts w:ascii="Calibri" w:eastAsia="Arial" w:hAnsi="Calibri" w:cs="Calibri"/>
          <w:color w:val="000000"/>
          <w:lang w:val="en-US" w:eastAsia="en-GB"/>
        </w:rPr>
        <w:t xml:space="preserve">] </w:t>
      </w:r>
      <w:r w:rsidRPr="003E7C9B">
        <w:rPr>
          <w:rFonts w:ascii="Calibri" w:eastAsia="Arial" w:hAnsi="Calibri" w:cs="Calibri"/>
          <w:color w:val="000000"/>
          <w:lang w:val="en-US" w:eastAsia="en-GB"/>
        </w:rPr>
        <w:t xml:space="preserve">Office for National Statistics (2012) </w:t>
      </w:r>
      <w:r w:rsidRPr="00B615A1">
        <w:rPr>
          <w:rFonts w:ascii="Calibri" w:eastAsia="Arial" w:hAnsi="Calibri" w:cs="Calibri"/>
          <w:i/>
          <w:color w:val="000000"/>
          <w:lang w:val="en-US" w:eastAsia="en-GB"/>
        </w:rPr>
        <w:t xml:space="preserve">General </w:t>
      </w:r>
      <w:r w:rsidR="00B615A1" w:rsidRPr="00B615A1">
        <w:rPr>
          <w:rFonts w:ascii="Calibri" w:eastAsia="Arial" w:hAnsi="Calibri" w:cs="Calibri"/>
          <w:i/>
          <w:color w:val="000000"/>
          <w:lang w:val="en-US" w:eastAsia="en-GB"/>
        </w:rPr>
        <w:t>L</w:t>
      </w:r>
      <w:r w:rsidRPr="00B615A1">
        <w:rPr>
          <w:rFonts w:ascii="Calibri" w:eastAsia="Arial" w:hAnsi="Calibri" w:cs="Calibri"/>
          <w:i/>
          <w:color w:val="000000"/>
          <w:lang w:val="en-US" w:eastAsia="en-GB"/>
        </w:rPr>
        <w:t xml:space="preserve">ifestyle </w:t>
      </w:r>
      <w:r w:rsidR="00B615A1" w:rsidRPr="00B615A1">
        <w:rPr>
          <w:rFonts w:ascii="Calibri" w:eastAsia="Arial" w:hAnsi="Calibri" w:cs="Calibri"/>
          <w:i/>
          <w:color w:val="000000"/>
          <w:lang w:val="en-US" w:eastAsia="en-GB"/>
        </w:rPr>
        <w:t>S</w:t>
      </w:r>
      <w:r w:rsidRPr="00B615A1">
        <w:rPr>
          <w:rFonts w:ascii="Calibri" w:eastAsia="Arial" w:hAnsi="Calibri" w:cs="Calibri"/>
          <w:i/>
          <w:color w:val="000000"/>
          <w:lang w:val="en-US" w:eastAsia="en-GB"/>
        </w:rPr>
        <w:t>urvey</w:t>
      </w:r>
      <w:r w:rsidRPr="003E7C9B">
        <w:rPr>
          <w:rFonts w:ascii="Calibri" w:eastAsia="Arial" w:hAnsi="Calibri" w:cs="Calibri"/>
          <w:color w:val="000000"/>
          <w:lang w:val="en-US" w:eastAsia="en-GB"/>
        </w:rPr>
        <w:t>. Office for National Statistics, London</w:t>
      </w:r>
      <w:bookmarkEnd w:id="9"/>
      <w:r w:rsidRPr="003E7C9B">
        <w:rPr>
          <w:rFonts w:ascii="Calibri" w:eastAsia="Arial" w:hAnsi="Calibri" w:cs="Calibri"/>
          <w:color w:val="000000"/>
          <w:lang w:val="en-US" w:eastAsia="en-GB"/>
        </w:rPr>
        <w:t>.</w:t>
      </w:r>
    </w:p>
    <w:p w14:paraId="610D37CF" w14:textId="1CBC542F" w:rsidR="0023668E" w:rsidRPr="00743E42" w:rsidRDefault="0023668E" w:rsidP="0023668E">
      <w:pPr>
        <w:widowControl w:val="0"/>
        <w:spacing w:after="0"/>
        <w:rPr>
          <w:rFonts w:ascii="Calibri" w:eastAsia="Arial" w:hAnsi="Calibri" w:cs="Calibri"/>
          <w:color w:val="000000"/>
          <w:lang w:val="en-US" w:eastAsia="en-GB"/>
        </w:rPr>
      </w:pPr>
      <w:r>
        <w:rPr>
          <w:rFonts w:ascii="Calibri" w:eastAsia="Arial" w:hAnsi="Calibri" w:cs="Calibri"/>
          <w:color w:val="000000"/>
          <w:lang w:val="en-US" w:eastAsia="en-GB"/>
        </w:rPr>
        <w:lastRenderedPageBreak/>
        <w:t>[1</w:t>
      </w:r>
      <w:r w:rsidR="00A174D5">
        <w:rPr>
          <w:rFonts w:ascii="Calibri" w:eastAsia="Arial" w:hAnsi="Calibri" w:cs="Calibri"/>
          <w:color w:val="000000"/>
          <w:lang w:val="en-US" w:eastAsia="en-GB"/>
        </w:rPr>
        <w:t>5</w:t>
      </w:r>
      <w:r>
        <w:rPr>
          <w:rFonts w:ascii="Calibri" w:eastAsia="Arial" w:hAnsi="Calibri" w:cs="Calibri"/>
          <w:color w:val="000000"/>
          <w:lang w:val="en-US" w:eastAsia="en-GB"/>
        </w:rPr>
        <w:t xml:space="preserve">] </w:t>
      </w:r>
      <w:bookmarkStart w:id="10" w:name="_ENREF_6"/>
      <w:proofErr w:type="spellStart"/>
      <w:r w:rsidRPr="00743E42">
        <w:rPr>
          <w:rFonts w:ascii="Calibri" w:eastAsia="Arial" w:hAnsi="Calibri" w:cs="Calibri"/>
          <w:color w:val="000000"/>
          <w:lang w:val="en-US" w:eastAsia="en-GB"/>
        </w:rPr>
        <w:t>Fischbacher</w:t>
      </w:r>
      <w:proofErr w:type="spellEnd"/>
      <w:r w:rsidRPr="00743E42">
        <w:rPr>
          <w:rFonts w:ascii="Calibri" w:eastAsia="Arial" w:hAnsi="Calibri" w:cs="Calibri"/>
          <w:color w:val="000000"/>
          <w:lang w:val="en-US" w:eastAsia="en-GB"/>
        </w:rPr>
        <w:t xml:space="preserve"> CM, Hunt S, Alexander L (2004) How physically active are south Asians in the United Kingdom? A literature review</w:t>
      </w:r>
      <w:r>
        <w:rPr>
          <w:rFonts w:ascii="Calibri" w:eastAsia="Arial" w:hAnsi="Calibri" w:cs="Calibri"/>
          <w:color w:val="000000"/>
          <w:lang w:val="en-US" w:eastAsia="en-GB"/>
        </w:rPr>
        <w:t>.</w:t>
      </w:r>
      <w:r w:rsidRPr="00743E42">
        <w:rPr>
          <w:rFonts w:ascii="Calibri" w:eastAsia="Arial" w:hAnsi="Calibri" w:cs="Calibri"/>
          <w:color w:val="000000"/>
          <w:lang w:val="en-US" w:eastAsia="en-GB"/>
        </w:rPr>
        <w:t xml:space="preserve"> </w:t>
      </w:r>
      <w:r w:rsidRPr="00B615A1">
        <w:rPr>
          <w:rFonts w:ascii="Calibri" w:eastAsia="Arial" w:hAnsi="Calibri" w:cs="Calibri"/>
          <w:i/>
          <w:color w:val="000000"/>
          <w:lang w:val="en-US" w:eastAsia="en-GB"/>
        </w:rPr>
        <w:t>J Pub Health 26</w:t>
      </w:r>
      <w:r w:rsidRPr="00743E42">
        <w:rPr>
          <w:rFonts w:ascii="Calibri" w:eastAsia="Arial" w:hAnsi="Calibri" w:cs="Calibri"/>
          <w:color w:val="000000"/>
          <w:lang w:val="en-US" w:eastAsia="en-GB"/>
        </w:rPr>
        <w:t>:250-258</w:t>
      </w:r>
      <w:bookmarkEnd w:id="10"/>
      <w:r w:rsidRPr="00743E42">
        <w:rPr>
          <w:rFonts w:ascii="Calibri" w:eastAsia="Arial" w:hAnsi="Calibri" w:cs="Calibri"/>
          <w:color w:val="000000"/>
          <w:lang w:val="en-US" w:eastAsia="en-GB"/>
        </w:rPr>
        <w:t>.</w:t>
      </w:r>
    </w:p>
    <w:p w14:paraId="5322E534" w14:textId="7FF65355" w:rsidR="0023668E" w:rsidRPr="00743E42" w:rsidRDefault="0023668E" w:rsidP="0023668E">
      <w:pPr>
        <w:widowControl w:val="0"/>
        <w:spacing w:after="0"/>
        <w:rPr>
          <w:rFonts w:ascii="Calibri" w:eastAsia="Arial" w:hAnsi="Calibri" w:cs="Calibri"/>
          <w:color w:val="000000"/>
          <w:lang w:val="en-US" w:eastAsia="en-GB"/>
        </w:rPr>
      </w:pPr>
      <w:bookmarkStart w:id="11" w:name="_ENREF_1"/>
      <w:r>
        <w:rPr>
          <w:rFonts w:ascii="Calibri" w:eastAsia="Arial" w:hAnsi="Calibri" w:cs="Calibri"/>
          <w:color w:val="000000"/>
          <w:lang w:val="en-US" w:eastAsia="en-GB"/>
        </w:rPr>
        <w:t>[1</w:t>
      </w:r>
      <w:r w:rsidR="00A174D5">
        <w:rPr>
          <w:rFonts w:ascii="Calibri" w:eastAsia="Arial" w:hAnsi="Calibri" w:cs="Calibri"/>
          <w:color w:val="000000"/>
          <w:lang w:val="en-US" w:eastAsia="en-GB"/>
        </w:rPr>
        <w:t>6</w:t>
      </w:r>
      <w:r>
        <w:rPr>
          <w:rFonts w:ascii="Calibri" w:eastAsia="Arial" w:hAnsi="Calibri" w:cs="Calibri"/>
          <w:color w:val="000000"/>
          <w:lang w:val="en-US" w:eastAsia="en-GB"/>
        </w:rPr>
        <w:t xml:space="preserve">] </w:t>
      </w:r>
      <w:r w:rsidRPr="00743E42">
        <w:rPr>
          <w:rFonts w:ascii="Calibri" w:eastAsia="Arial" w:hAnsi="Calibri" w:cs="Calibri"/>
          <w:color w:val="000000"/>
          <w:lang w:val="en-US" w:eastAsia="en-GB"/>
        </w:rPr>
        <w:t xml:space="preserve">Health &amp; Social Care Information Centre (2005) </w:t>
      </w:r>
      <w:r w:rsidRPr="00B615A1">
        <w:rPr>
          <w:rFonts w:ascii="Calibri" w:eastAsia="Arial" w:hAnsi="Calibri" w:cs="Calibri"/>
          <w:i/>
          <w:color w:val="000000"/>
          <w:lang w:val="en-US" w:eastAsia="en-GB"/>
        </w:rPr>
        <w:t xml:space="preserve">Health </w:t>
      </w:r>
      <w:r w:rsidR="00B615A1" w:rsidRPr="00B615A1">
        <w:rPr>
          <w:rFonts w:ascii="Calibri" w:eastAsia="Arial" w:hAnsi="Calibri" w:cs="Calibri"/>
          <w:i/>
          <w:color w:val="000000"/>
          <w:lang w:val="en-US" w:eastAsia="en-GB"/>
        </w:rPr>
        <w:t xml:space="preserve">Survey </w:t>
      </w:r>
      <w:r w:rsidR="00B615A1">
        <w:rPr>
          <w:rFonts w:ascii="Calibri" w:eastAsia="Arial" w:hAnsi="Calibri" w:cs="Calibri"/>
          <w:i/>
          <w:color w:val="000000"/>
          <w:lang w:val="en-US" w:eastAsia="en-GB"/>
        </w:rPr>
        <w:t>f</w:t>
      </w:r>
      <w:r w:rsidR="00B615A1" w:rsidRPr="00B615A1">
        <w:rPr>
          <w:rFonts w:ascii="Calibri" w:eastAsia="Arial" w:hAnsi="Calibri" w:cs="Calibri"/>
          <w:i/>
          <w:color w:val="000000"/>
          <w:lang w:val="en-US" w:eastAsia="en-GB"/>
        </w:rPr>
        <w:t xml:space="preserve">or </w:t>
      </w:r>
      <w:r w:rsidRPr="00B615A1">
        <w:rPr>
          <w:rFonts w:ascii="Calibri" w:eastAsia="Arial" w:hAnsi="Calibri" w:cs="Calibri"/>
          <w:i/>
          <w:color w:val="000000"/>
          <w:lang w:val="en-US" w:eastAsia="en-GB"/>
        </w:rPr>
        <w:t xml:space="preserve">England </w:t>
      </w:r>
      <w:r w:rsidR="00B615A1" w:rsidRPr="00B615A1">
        <w:rPr>
          <w:rFonts w:ascii="Calibri" w:eastAsia="Arial" w:hAnsi="Calibri" w:cs="Calibri"/>
          <w:i/>
          <w:color w:val="000000"/>
          <w:lang w:val="en-US" w:eastAsia="en-GB"/>
        </w:rPr>
        <w:t xml:space="preserve">2004: </w:t>
      </w:r>
      <w:r w:rsidRPr="00B615A1">
        <w:rPr>
          <w:rFonts w:ascii="Calibri" w:eastAsia="Arial" w:hAnsi="Calibri" w:cs="Calibri"/>
          <w:i/>
          <w:color w:val="000000"/>
          <w:lang w:val="en-US" w:eastAsia="en-GB"/>
        </w:rPr>
        <w:t xml:space="preserve">The </w:t>
      </w:r>
      <w:r w:rsidR="00B615A1" w:rsidRPr="00B615A1">
        <w:rPr>
          <w:rFonts w:ascii="Calibri" w:eastAsia="Arial" w:hAnsi="Calibri" w:cs="Calibri"/>
          <w:i/>
          <w:color w:val="000000"/>
          <w:lang w:val="en-US" w:eastAsia="en-GB"/>
        </w:rPr>
        <w:t xml:space="preserve">Health </w:t>
      </w:r>
      <w:r w:rsidR="00B615A1">
        <w:rPr>
          <w:rFonts w:ascii="Calibri" w:eastAsia="Arial" w:hAnsi="Calibri" w:cs="Calibri"/>
          <w:i/>
          <w:color w:val="000000"/>
          <w:lang w:val="en-US" w:eastAsia="en-GB"/>
        </w:rPr>
        <w:t>of</w:t>
      </w:r>
      <w:r w:rsidR="00B615A1" w:rsidRPr="00B615A1">
        <w:rPr>
          <w:rFonts w:ascii="Calibri" w:eastAsia="Arial" w:hAnsi="Calibri" w:cs="Calibri"/>
          <w:i/>
          <w:color w:val="000000"/>
          <w:lang w:val="en-US" w:eastAsia="en-GB"/>
        </w:rPr>
        <w:t xml:space="preserve"> Minority Ethnic Groups - Headline Tables</w:t>
      </w:r>
      <w:r w:rsidRPr="00743E42">
        <w:rPr>
          <w:rFonts w:ascii="Calibri" w:eastAsia="Arial" w:hAnsi="Calibri" w:cs="Calibri"/>
          <w:color w:val="000000"/>
          <w:lang w:val="en-US" w:eastAsia="en-GB"/>
        </w:rPr>
        <w:t>. Health &amp; Social Care Information Centre, London</w:t>
      </w:r>
      <w:bookmarkEnd w:id="11"/>
      <w:r w:rsidRPr="00743E42">
        <w:rPr>
          <w:rFonts w:ascii="Calibri" w:eastAsia="Arial" w:hAnsi="Calibri" w:cs="Calibri"/>
          <w:color w:val="000000"/>
          <w:lang w:val="en-US" w:eastAsia="en-GB"/>
        </w:rPr>
        <w:t>.</w:t>
      </w:r>
    </w:p>
    <w:p w14:paraId="7CBFD008" w14:textId="27E7CFED" w:rsidR="0023668E" w:rsidRPr="003E7C9B" w:rsidRDefault="0023668E" w:rsidP="0023668E">
      <w:pPr>
        <w:widowControl w:val="0"/>
        <w:spacing w:after="0"/>
        <w:rPr>
          <w:rFonts w:ascii="Calibri" w:eastAsia="Arial" w:hAnsi="Calibri" w:cs="Calibri"/>
          <w:color w:val="000000"/>
          <w:lang w:val="en-US" w:eastAsia="en-GB"/>
        </w:rPr>
      </w:pPr>
      <w:bookmarkStart w:id="12" w:name="_ENREF_19"/>
      <w:r>
        <w:rPr>
          <w:rFonts w:ascii="Calibri" w:eastAsia="Arial" w:hAnsi="Calibri" w:cs="Calibri"/>
          <w:color w:val="000000"/>
          <w:lang w:val="en-US" w:eastAsia="en-GB"/>
        </w:rPr>
        <w:t>[1</w:t>
      </w:r>
      <w:r w:rsidR="00A174D5">
        <w:rPr>
          <w:rFonts w:ascii="Calibri" w:eastAsia="Arial" w:hAnsi="Calibri" w:cs="Calibri"/>
          <w:color w:val="000000"/>
          <w:lang w:val="en-US" w:eastAsia="en-GB"/>
        </w:rPr>
        <w:t>7</w:t>
      </w:r>
      <w:r>
        <w:rPr>
          <w:rFonts w:ascii="Calibri" w:eastAsia="Arial" w:hAnsi="Calibri" w:cs="Calibri"/>
          <w:color w:val="000000"/>
          <w:lang w:val="en-US" w:eastAsia="en-GB"/>
        </w:rPr>
        <w:t xml:space="preserve">] </w:t>
      </w:r>
      <w:r w:rsidRPr="003E7C9B">
        <w:rPr>
          <w:rFonts w:ascii="Calibri" w:eastAsia="Arial" w:hAnsi="Calibri" w:cs="Calibri"/>
          <w:color w:val="000000"/>
          <w:lang w:val="en-US" w:eastAsia="en-GB"/>
        </w:rPr>
        <w:t xml:space="preserve">Office for National Statistics (2012) </w:t>
      </w:r>
      <w:r w:rsidRPr="00B615A1">
        <w:rPr>
          <w:rFonts w:ascii="Calibri" w:eastAsia="Arial" w:hAnsi="Calibri" w:cs="Calibri"/>
          <w:i/>
          <w:color w:val="000000"/>
          <w:lang w:val="en-US" w:eastAsia="en-GB"/>
        </w:rPr>
        <w:t xml:space="preserve">Integrated </w:t>
      </w:r>
      <w:r w:rsidR="00B615A1" w:rsidRPr="00B615A1">
        <w:rPr>
          <w:rFonts w:ascii="Calibri" w:eastAsia="Arial" w:hAnsi="Calibri" w:cs="Calibri"/>
          <w:i/>
          <w:color w:val="000000"/>
          <w:lang w:val="en-US" w:eastAsia="en-GB"/>
        </w:rPr>
        <w:t xml:space="preserve">Household Survey, </w:t>
      </w:r>
      <w:r w:rsidRPr="00B615A1">
        <w:rPr>
          <w:rFonts w:ascii="Calibri" w:eastAsia="Arial" w:hAnsi="Calibri" w:cs="Calibri"/>
          <w:i/>
          <w:color w:val="000000"/>
          <w:lang w:val="en-US" w:eastAsia="en-GB"/>
        </w:rPr>
        <w:t xml:space="preserve">Jan </w:t>
      </w:r>
      <w:r w:rsidR="00B615A1" w:rsidRPr="00B615A1">
        <w:rPr>
          <w:rFonts w:ascii="Calibri" w:eastAsia="Arial" w:hAnsi="Calibri" w:cs="Calibri"/>
          <w:i/>
          <w:color w:val="000000"/>
          <w:lang w:val="en-US" w:eastAsia="en-GB"/>
        </w:rPr>
        <w:t xml:space="preserve">to </w:t>
      </w:r>
      <w:r w:rsidRPr="00B615A1">
        <w:rPr>
          <w:rFonts w:ascii="Calibri" w:eastAsia="Arial" w:hAnsi="Calibri" w:cs="Calibri"/>
          <w:i/>
          <w:color w:val="000000"/>
          <w:lang w:val="en-US" w:eastAsia="en-GB"/>
        </w:rPr>
        <w:t>D</w:t>
      </w:r>
      <w:r w:rsidR="00B615A1" w:rsidRPr="00B615A1">
        <w:rPr>
          <w:rFonts w:ascii="Calibri" w:eastAsia="Arial" w:hAnsi="Calibri" w:cs="Calibri"/>
          <w:i/>
          <w:color w:val="000000"/>
          <w:lang w:val="en-US" w:eastAsia="en-GB"/>
        </w:rPr>
        <w:t>e</w:t>
      </w:r>
      <w:r w:rsidRPr="00B615A1">
        <w:rPr>
          <w:rFonts w:ascii="Calibri" w:eastAsia="Arial" w:hAnsi="Calibri" w:cs="Calibri"/>
          <w:i/>
          <w:color w:val="000000"/>
          <w:lang w:val="en-US" w:eastAsia="en-GB"/>
        </w:rPr>
        <w:t xml:space="preserve">c </w:t>
      </w:r>
      <w:r w:rsidR="00B615A1" w:rsidRPr="00B615A1">
        <w:rPr>
          <w:rFonts w:ascii="Calibri" w:eastAsia="Arial" w:hAnsi="Calibri" w:cs="Calibri"/>
          <w:i/>
          <w:color w:val="000000"/>
          <w:lang w:val="en-US" w:eastAsia="en-GB"/>
        </w:rPr>
        <w:t xml:space="preserve">2012: </w:t>
      </w:r>
      <w:r w:rsidRPr="00B615A1">
        <w:rPr>
          <w:rFonts w:ascii="Calibri" w:eastAsia="Arial" w:hAnsi="Calibri" w:cs="Calibri"/>
          <w:i/>
          <w:color w:val="000000"/>
          <w:lang w:val="en-US" w:eastAsia="en-GB"/>
        </w:rPr>
        <w:t xml:space="preserve">Opinions </w:t>
      </w:r>
      <w:r w:rsidR="00B615A1" w:rsidRPr="00B615A1">
        <w:rPr>
          <w:rFonts w:ascii="Calibri" w:eastAsia="Arial" w:hAnsi="Calibri" w:cs="Calibri"/>
          <w:i/>
          <w:color w:val="000000"/>
          <w:lang w:val="en-US" w:eastAsia="en-GB"/>
        </w:rPr>
        <w:t>and Lifestyle Survey, Smoking Amongst Adults, 2012</w:t>
      </w:r>
      <w:r w:rsidR="00B615A1" w:rsidRPr="003E7C9B">
        <w:rPr>
          <w:rFonts w:ascii="Calibri" w:eastAsia="Arial" w:hAnsi="Calibri" w:cs="Calibri"/>
          <w:color w:val="000000"/>
          <w:lang w:val="en-US" w:eastAsia="en-GB"/>
        </w:rPr>
        <w:t xml:space="preserve">. </w:t>
      </w:r>
      <w:r w:rsidRPr="003E7C9B">
        <w:rPr>
          <w:rFonts w:ascii="Calibri" w:eastAsia="Arial" w:hAnsi="Calibri" w:cs="Calibri"/>
          <w:color w:val="000000"/>
          <w:lang w:val="en-US" w:eastAsia="en-GB"/>
        </w:rPr>
        <w:t>Office for National Statistics, London</w:t>
      </w:r>
      <w:bookmarkEnd w:id="12"/>
      <w:r w:rsidRPr="003E7C9B">
        <w:rPr>
          <w:rFonts w:ascii="Calibri" w:eastAsia="Arial" w:hAnsi="Calibri" w:cs="Calibri"/>
          <w:color w:val="000000"/>
          <w:lang w:val="en-US" w:eastAsia="en-GB"/>
        </w:rPr>
        <w:t>.</w:t>
      </w:r>
    </w:p>
    <w:p w14:paraId="45D4D43D" w14:textId="03208E3E" w:rsidR="007A7129" w:rsidRPr="007A7129" w:rsidRDefault="003B5437" w:rsidP="007A7129">
      <w:pPr>
        <w:widowControl w:val="0"/>
        <w:spacing w:after="0"/>
        <w:rPr>
          <w:rFonts w:ascii="Calibri" w:eastAsia="Arial" w:hAnsi="Calibri" w:cs="Calibri"/>
          <w:color w:val="000000"/>
          <w:lang w:eastAsia="en-GB"/>
        </w:rPr>
      </w:pPr>
      <w:bookmarkStart w:id="13" w:name="_ENREF_8"/>
      <w:r>
        <w:rPr>
          <w:rFonts w:ascii="Calibri" w:eastAsia="Arial" w:hAnsi="Calibri" w:cs="Calibri"/>
          <w:color w:val="000000"/>
          <w:lang w:eastAsia="en-GB"/>
        </w:rPr>
        <w:t>[1</w:t>
      </w:r>
      <w:r w:rsidR="00A174D5">
        <w:rPr>
          <w:rFonts w:ascii="Calibri" w:eastAsia="Arial" w:hAnsi="Calibri" w:cs="Calibri"/>
          <w:color w:val="000000"/>
          <w:lang w:eastAsia="en-GB"/>
        </w:rPr>
        <w:t>8</w:t>
      </w:r>
      <w:r w:rsidR="007A7129">
        <w:rPr>
          <w:rFonts w:ascii="Calibri" w:eastAsia="Arial" w:hAnsi="Calibri" w:cs="Calibri"/>
          <w:color w:val="000000"/>
          <w:lang w:eastAsia="en-GB"/>
        </w:rPr>
        <w:t xml:space="preserve">] </w:t>
      </w:r>
      <w:r w:rsidR="007A7129" w:rsidRPr="007A7129">
        <w:rPr>
          <w:rFonts w:ascii="Calibri" w:eastAsia="Arial" w:hAnsi="Calibri" w:cs="Calibri"/>
          <w:color w:val="000000"/>
          <w:lang w:eastAsia="en-GB"/>
        </w:rPr>
        <w:t>Simon</w:t>
      </w:r>
      <w:r w:rsidR="007A7129">
        <w:rPr>
          <w:rFonts w:ascii="Calibri" w:eastAsia="Arial" w:hAnsi="Calibri" w:cs="Calibri"/>
          <w:color w:val="000000"/>
          <w:lang w:eastAsia="en-GB"/>
        </w:rPr>
        <w:t xml:space="preserve"> B</w:t>
      </w:r>
      <w:r w:rsidR="007A7129" w:rsidRPr="007A7129">
        <w:rPr>
          <w:rFonts w:ascii="Calibri" w:eastAsia="Arial" w:hAnsi="Calibri" w:cs="Calibri"/>
          <w:color w:val="000000"/>
          <w:lang w:eastAsia="en-GB"/>
        </w:rPr>
        <w:t xml:space="preserve"> (1992) The Perception of </w:t>
      </w:r>
      <w:proofErr w:type="spellStart"/>
      <w:r w:rsidR="007A7129" w:rsidRPr="007A7129">
        <w:rPr>
          <w:rFonts w:ascii="Calibri" w:eastAsia="Arial" w:hAnsi="Calibri" w:cs="Calibri"/>
          <w:color w:val="000000"/>
          <w:lang w:eastAsia="en-GB"/>
        </w:rPr>
        <w:t>ingroup</w:t>
      </w:r>
      <w:proofErr w:type="spellEnd"/>
      <w:r w:rsidR="007A7129" w:rsidRPr="007A7129">
        <w:rPr>
          <w:rFonts w:ascii="Calibri" w:eastAsia="Arial" w:hAnsi="Calibri" w:cs="Calibri"/>
          <w:color w:val="000000"/>
          <w:lang w:eastAsia="en-GB"/>
        </w:rPr>
        <w:t xml:space="preserve"> and outgroup homogeneity: reintroducing the intergroup context. </w:t>
      </w:r>
      <w:r w:rsidR="007A7129" w:rsidRPr="007A7129">
        <w:rPr>
          <w:rFonts w:ascii="Calibri" w:eastAsia="Arial" w:hAnsi="Calibri" w:cs="Calibri"/>
          <w:i/>
          <w:color w:val="000000"/>
          <w:lang w:eastAsia="en-GB"/>
        </w:rPr>
        <w:t>European Review of Social Psychology, 3(1),</w:t>
      </w:r>
      <w:r w:rsidR="007A7129" w:rsidRPr="007A7129">
        <w:rPr>
          <w:rFonts w:ascii="Calibri" w:eastAsia="Arial" w:hAnsi="Calibri" w:cs="Calibri"/>
          <w:color w:val="000000"/>
          <w:lang w:eastAsia="en-GB"/>
        </w:rPr>
        <w:t xml:space="preserve"> 1-30. </w:t>
      </w:r>
      <w:r w:rsidR="007A7129" w:rsidRPr="007A7129">
        <w:rPr>
          <w:rFonts w:ascii="Calibri" w:eastAsia="Arial" w:hAnsi="Calibri" w:cs="Calibri"/>
          <w:bCs/>
          <w:color w:val="000000"/>
          <w:lang w:eastAsia="en-GB"/>
        </w:rPr>
        <w:t>DOI</w:t>
      </w:r>
      <w:r w:rsidR="007A7129" w:rsidRPr="007A7129">
        <w:rPr>
          <w:rFonts w:ascii="Calibri" w:eastAsia="Arial" w:hAnsi="Calibri" w:cs="Calibri"/>
          <w:b/>
          <w:bCs/>
          <w:color w:val="000000"/>
          <w:lang w:eastAsia="en-GB"/>
        </w:rPr>
        <w:t xml:space="preserve">: </w:t>
      </w:r>
      <w:r w:rsidR="007A7129" w:rsidRPr="007A7129">
        <w:rPr>
          <w:rFonts w:ascii="Calibri" w:eastAsia="Arial" w:hAnsi="Calibri" w:cs="Calibri"/>
          <w:color w:val="000000"/>
          <w:lang w:eastAsia="en-GB"/>
        </w:rPr>
        <w:t>0.1080/14792779243000005.</w:t>
      </w:r>
    </w:p>
    <w:p w14:paraId="49091455" w14:textId="12FD9D85" w:rsidR="002F5628" w:rsidRDefault="0023668E" w:rsidP="00137505">
      <w:pPr>
        <w:widowControl w:val="0"/>
        <w:spacing w:after="0"/>
        <w:rPr>
          <w:rFonts w:ascii="Calibri" w:eastAsia="Arial" w:hAnsi="Calibri" w:cs="Calibri"/>
          <w:color w:val="000000"/>
          <w:lang w:val="en-US" w:eastAsia="en-GB"/>
        </w:rPr>
      </w:pPr>
      <w:r>
        <w:rPr>
          <w:rFonts w:ascii="Calibri" w:eastAsia="Arial" w:hAnsi="Calibri" w:cs="Calibri"/>
          <w:color w:val="000000"/>
          <w:lang w:val="en-US" w:eastAsia="en-GB"/>
        </w:rPr>
        <w:t>[1</w:t>
      </w:r>
      <w:r w:rsidR="00A174D5">
        <w:rPr>
          <w:rFonts w:ascii="Calibri" w:eastAsia="Arial" w:hAnsi="Calibri" w:cs="Calibri"/>
          <w:color w:val="000000"/>
          <w:lang w:val="en-US" w:eastAsia="en-GB"/>
        </w:rPr>
        <w:t>9</w:t>
      </w:r>
      <w:r>
        <w:rPr>
          <w:rFonts w:ascii="Calibri" w:eastAsia="Arial" w:hAnsi="Calibri" w:cs="Calibri"/>
          <w:color w:val="000000"/>
          <w:lang w:val="en-US" w:eastAsia="en-GB"/>
        </w:rPr>
        <w:t xml:space="preserve">] </w:t>
      </w:r>
      <w:proofErr w:type="spellStart"/>
      <w:r w:rsidRPr="00743E42">
        <w:rPr>
          <w:rFonts w:ascii="Calibri" w:eastAsia="Arial" w:hAnsi="Calibri" w:cs="Calibri"/>
          <w:color w:val="000000"/>
          <w:lang w:val="en-US" w:eastAsia="en-GB"/>
        </w:rPr>
        <w:t>Hankivsky</w:t>
      </w:r>
      <w:proofErr w:type="spellEnd"/>
      <w:r w:rsidRPr="00743E42">
        <w:rPr>
          <w:rFonts w:ascii="Calibri" w:eastAsia="Arial" w:hAnsi="Calibri" w:cs="Calibri"/>
          <w:color w:val="000000"/>
          <w:lang w:val="en-US" w:eastAsia="en-GB"/>
        </w:rPr>
        <w:t xml:space="preserve"> O, </w:t>
      </w:r>
      <w:proofErr w:type="spellStart"/>
      <w:r w:rsidRPr="00743E42">
        <w:rPr>
          <w:rFonts w:ascii="Calibri" w:eastAsia="Arial" w:hAnsi="Calibri" w:cs="Calibri"/>
          <w:color w:val="000000"/>
          <w:lang w:val="en-US" w:eastAsia="en-GB"/>
        </w:rPr>
        <w:t>Christofferson</w:t>
      </w:r>
      <w:proofErr w:type="spellEnd"/>
      <w:r w:rsidRPr="00743E42">
        <w:rPr>
          <w:rFonts w:ascii="Calibri" w:eastAsia="Arial" w:hAnsi="Calibri" w:cs="Calibri"/>
          <w:color w:val="000000"/>
          <w:lang w:val="en-US" w:eastAsia="en-GB"/>
        </w:rPr>
        <w:t xml:space="preserve"> A (2008) Intersectionality and the determinants of health: a Canadia</w:t>
      </w:r>
      <w:r>
        <w:rPr>
          <w:rFonts w:ascii="Calibri" w:eastAsia="Arial" w:hAnsi="Calibri" w:cs="Calibri"/>
          <w:color w:val="000000"/>
          <w:lang w:val="en-US" w:eastAsia="en-GB"/>
        </w:rPr>
        <w:t>n</w:t>
      </w:r>
      <w:r w:rsidRPr="00743E42">
        <w:rPr>
          <w:rFonts w:ascii="Calibri" w:eastAsia="Arial" w:hAnsi="Calibri" w:cs="Calibri"/>
          <w:color w:val="000000"/>
          <w:lang w:val="en-US" w:eastAsia="en-GB"/>
        </w:rPr>
        <w:t xml:space="preserve"> perspective</w:t>
      </w:r>
      <w:r>
        <w:rPr>
          <w:rFonts w:ascii="Calibri" w:eastAsia="Arial" w:hAnsi="Calibri" w:cs="Calibri"/>
          <w:color w:val="000000"/>
          <w:lang w:val="en-US" w:eastAsia="en-GB"/>
        </w:rPr>
        <w:t>.</w:t>
      </w:r>
      <w:r w:rsidRPr="00743E42">
        <w:rPr>
          <w:rFonts w:ascii="Calibri" w:eastAsia="Arial" w:hAnsi="Calibri" w:cs="Calibri"/>
          <w:color w:val="000000"/>
          <w:lang w:val="en-US" w:eastAsia="en-GB"/>
        </w:rPr>
        <w:t xml:space="preserve"> </w:t>
      </w:r>
      <w:r w:rsidRPr="00B615A1">
        <w:rPr>
          <w:rFonts w:ascii="Calibri" w:eastAsia="Arial" w:hAnsi="Calibri" w:cs="Calibri"/>
          <w:i/>
          <w:color w:val="000000"/>
          <w:lang w:val="en-US" w:eastAsia="en-GB"/>
        </w:rPr>
        <w:t>Critical Public Health 18</w:t>
      </w:r>
      <w:r w:rsidRPr="00743E42">
        <w:rPr>
          <w:rFonts w:ascii="Calibri" w:eastAsia="Arial" w:hAnsi="Calibri" w:cs="Calibri"/>
          <w:color w:val="000000"/>
          <w:lang w:val="en-US" w:eastAsia="en-GB"/>
        </w:rPr>
        <w:t>:271-282</w:t>
      </w:r>
      <w:bookmarkEnd w:id="13"/>
      <w:r w:rsidRPr="00743E42">
        <w:rPr>
          <w:rFonts w:ascii="Calibri" w:eastAsia="Arial" w:hAnsi="Calibri" w:cs="Calibri"/>
          <w:color w:val="000000"/>
          <w:lang w:val="en-US" w:eastAsia="en-GB"/>
        </w:rPr>
        <w:t>.</w:t>
      </w:r>
      <w:bookmarkEnd w:id="5"/>
    </w:p>
    <w:p w14:paraId="6D56FC6D" w14:textId="77777777" w:rsidR="003E5E82" w:rsidRDefault="003E5E82" w:rsidP="00C630BF">
      <w:pPr>
        <w:widowControl w:val="0"/>
        <w:spacing w:after="0"/>
        <w:rPr>
          <w:rFonts w:ascii="Calibri" w:eastAsia="Arial" w:hAnsi="Calibri" w:cs="Calibri"/>
          <w:color w:val="000000"/>
          <w:lang w:val="en-US" w:eastAsia="en-GB"/>
        </w:rPr>
      </w:pPr>
    </w:p>
    <w:p w14:paraId="368E14F0" w14:textId="77777777" w:rsidR="002F5628" w:rsidRPr="002F5628" w:rsidRDefault="002F5628" w:rsidP="002F5628">
      <w:pPr>
        <w:spacing w:after="0"/>
        <w:jc w:val="both"/>
        <w:rPr>
          <w:rFonts w:ascii="Calibri" w:eastAsia="Arial" w:hAnsi="Calibri" w:cs="Calibri"/>
          <w:color w:val="000000"/>
          <w:lang w:eastAsia="en-GB"/>
        </w:rPr>
      </w:pPr>
      <w:r w:rsidRPr="002F5628">
        <w:rPr>
          <w:rFonts w:ascii="Calibri" w:eastAsia="Times New Roman" w:hAnsi="Calibri" w:cs="Calibri"/>
          <w:lang w:eastAsia="en-GB"/>
        </w:rPr>
        <w:br w:type="page"/>
      </w:r>
    </w:p>
    <w:p w14:paraId="03C5F962" w14:textId="77777777" w:rsidR="002F5628" w:rsidRPr="002F5628" w:rsidRDefault="002F5628" w:rsidP="002F5628">
      <w:pPr>
        <w:widowControl w:val="0"/>
        <w:spacing w:after="0"/>
        <w:jc w:val="both"/>
        <w:rPr>
          <w:rFonts w:ascii="Calibri" w:eastAsia="Arial" w:hAnsi="Calibri" w:cs="Calibri"/>
          <w:color w:val="000000"/>
          <w:lang w:eastAsia="en-GB"/>
        </w:rPr>
        <w:sectPr w:rsidR="002F5628" w:rsidRPr="002F5628" w:rsidSect="00206AF7">
          <w:footerReference w:type="default" r:id="rId11"/>
          <w:pgSz w:w="12240" w:h="15840"/>
          <w:pgMar w:top="1440" w:right="1440" w:bottom="1440" w:left="1440" w:header="720" w:footer="720" w:gutter="0"/>
          <w:cols w:space="720"/>
          <w:docGrid w:linePitch="299"/>
        </w:sectPr>
      </w:pPr>
    </w:p>
    <w:p w14:paraId="180151CF" w14:textId="0C0FE0E8" w:rsidR="009B23BE" w:rsidRPr="009B23BE" w:rsidRDefault="009B23BE" w:rsidP="009B23BE">
      <w:pPr>
        <w:widowControl w:val="0"/>
        <w:spacing w:after="0" w:line="276" w:lineRule="auto"/>
        <w:rPr>
          <w:rFonts w:ascii="Arial" w:eastAsia="Arial" w:hAnsi="Arial" w:cs="Arial"/>
          <w:b/>
          <w:color w:val="000000"/>
          <w:sz w:val="20"/>
          <w:szCs w:val="20"/>
          <w:lang w:eastAsia="en-GB"/>
        </w:rPr>
      </w:pPr>
      <w:r w:rsidRPr="009B23BE">
        <w:rPr>
          <w:rFonts w:ascii="Arial" w:eastAsia="Arial" w:hAnsi="Arial" w:cs="Arial"/>
          <w:b/>
          <w:color w:val="000000"/>
          <w:sz w:val="20"/>
          <w:szCs w:val="20"/>
          <w:lang w:eastAsia="en-GB"/>
        </w:rPr>
        <w:lastRenderedPageBreak/>
        <w:t>Table 1: Sample description, health outcomes and associations with demographic characteristics</w:t>
      </w:r>
      <w:r>
        <w:rPr>
          <w:rFonts w:ascii="Arial" w:eastAsia="Arial" w:hAnsi="Arial" w:cs="Arial"/>
          <w:b/>
          <w:color w:val="000000"/>
          <w:sz w:val="20"/>
          <w:szCs w:val="20"/>
          <w:lang w:eastAsia="en-GB"/>
        </w:rPr>
        <w:t xml:space="preserve">: </w:t>
      </w:r>
      <w:proofErr w:type="spellStart"/>
      <w:r>
        <w:rPr>
          <w:rFonts w:ascii="Arial" w:eastAsia="Arial" w:hAnsi="Arial" w:cs="Arial"/>
          <w:b/>
          <w:color w:val="000000"/>
          <w:sz w:val="20"/>
          <w:szCs w:val="20"/>
          <w:lang w:eastAsia="en-GB"/>
        </w:rPr>
        <w:t>Stonewall’s</w:t>
      </w:r>
      <w:proofErr w:type="spellEnd"/>
      <w:r>
        <w:rPr>
          <w:rFonts w:ascii="Arial" w:eastAsia="Arial" w:hAnsi="Arial" w:cs="Arial"/>
          <w:b/>
          <w:color w:val="000000"/>
          <w:sz w:val="20"/>
          <w:szCs w:val="20"/>
          <w:lang w:eastAsia="en-GB"/>
        </w:rPr>
        <w:t xml:space="preserve"> Gay and Bisexual Men’s Health Survey 2011</w:t>
      </w:r>
      <w:r w:rsidRPr="009B23BE">
        <w:rPr>
          <w:rFonts w:ascii="Arial" w:eastAsia="Arial" w:hAnsi="Arial" w:cs="Arial"/>
          <w:b/>
          <w:color w:val="000000"/>
          <w:sz w:val="20"/>
          <w:szCs w:val="20"/>
          <w:lang w:eastAsia="en-GB"/>
        </w:rPr>
        <w:t xml:space="preserve">. </w:t>
      </w:r>
    </w:p>
    <w:p w14:paraId="05AC2F92" w14:textId="77777777" w:rsidR="009B23BE" w:rsidRPr="0091742C" w:rsidRDefault="009B23BE" w:rsidP="009B23BE">
      <w:pPr>
        <w:widowControl w:val="0"/>
        <w:spacing w:after="0" w:line="276" w:lineRule="auto"/>
        <w:rPr>
          <w:sz w:val="20"/>
          <w:szCs w:val="20"/>
        </w:rPr>
      </w:pPr>
      <w:r w:rsidRPr="0091742C">
        <w:rPr>
          <w:rFonts w:ascii="Arial" w:eastAsia="Arial" w:hAnsi="Arial" w:cs="Arial"/>
          <w:color w:val="000000"/>
          <w:sz w:val="20"/>
          <w:szCs w:val="20"/>
          <w:lang w:eastAsia="en-GB"/>
        </w:rPr>
        <w:t xml:space="preserve">Column frequencies are shown for the complete dataset.  Row frequencies exclude missing data.  The adjusted analyses were informed by the causal diagram.  The associations with ethnicity were adjusted by age, geography, and migrant status. The associations with education were adjusted by age, ethnicity, and living in London.  The associations with income were adjusted for by age, ethnicity, education, migrant status, and living in London.  The associations with household living arrangement were adjusted by age, ethnicity, education, migrant status, and living in London.  The associations with migrant status were adjusted by age.  The associations with living in London were adjusted for age and migrant status.  P-values were calculated using likelihood-ratio tests.  </w:t>
      </w:r>
    </w:p>
    <w:p w14:paraId="5CFCCEEF" w14:textId="77777777" w:rsidR="00ED367C" w:rsidRDefault="00ED367C" w:rsidP="00ED367C">
      <w:pPr>
        <w:spacing w:after="0" w:line="240" w:lineRule="auto"/>
        <w:sectPr w:rsidR="00ED367C" w:rsidSect="00206AF7">
          <w:pgSz w:w="16839" w:h="11907" w:orient="landscape" w:code="9"/>
          <w:pgMar w:top="720" w:right="720" w:bottom="720" w:left="720" w:header="708" w:footer="708" w:gutter="0"/>
          <w:cols w:space="708"/>
          <w:docGrid w:linePitch="360"/>
        </w:sectPr>
      </w:pPr>
    </w:p>
    <w:p w14:paraId="699B98B7" w14:textId="1D5E6974" w:rsidR="00ED367C" w:rsidRPr="00834AAA" w:rsidRDefault="00ED367C" w:rsidP="00542872">
      <w:pPr>
        <w:spacing w:after="200" w:line="276" w:lineRule="auto"/>
        <w:jc w:val="both"/>
        <w:rPr>
          <w:rFonts w:ascii="Calibri" w:eastAsia="Times New Roman" w:hAnsi="Calibri" w:cs="Times New Roman"/>
          <w:b/>
          <w:lang w:eastAsia="en-GB"/>
        </w:rPr>
      </w:pPr>
    </w:p>
    <w:tbl>
      <w:tblPr>
        <w:tblpPr w:leftFromText="180" w:rightFromText="180" w:vertAnchor="page" w:horzAnchor="margin" w:tblpX="-420" w:tblpY="1471"/>
        <w:tblW w:w="16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67"/>
        <w:gridCol w:w="592"/>
        <w:gridCol w:w="1560"/>
        <w:gridCol w:w="1366"/>
        <w:gridCol w:w="692"/>
        <w:gridCol w:w="1485"/>
        <w:gridCol w:w="825"/>
        <w:gridCol w:w="1631"/>
        <w:gridCol w:w="1513"/>
        <w:gridCol w:w="692"/>
        <w:gridCol w:w="1576"/>
        <w:gridCol w:w="850"/>
      </w:tblGrid>
      <w:tr w:rsidR="001C4715" w:rsidRPr="00834AAA" w14:paraId="2E0E05AB" w14:textId="77777777" w:rsidTr="00187BA8">
        <w:trPr>
          <w:trHeight w:val="20"/>
        </w:trPr>
        <w:tc>
          <w:tcPr>
            <w:tcW w:w="2660" w:type="dxa"/>
            <w:tcBorders>
              <w:top w:val="nil"/>
              <w:left w:val="nil"/>
              <w:bottom w:val="nil"/>
              <w:right w:val="nil"/>
            </w:tcBorders>
            <w:shd w:val="clear" w:color="auto" w:fill="auto"/>
            <w:noWrap/>
            <w:vAlign w:val="bottom"/>
            <w:hideMark/>
          </w:tcPr>
          <w:p w14:paraId="113E81EB"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567" w:type="dxa"/>
            <w:tcBorders>
              <w:top w:val="nil"/>
              <w:left w:val="nil"/>
              <w:bottom w:val="nil"/>
              <w:right w:val="nil"/>
            </w:tcBorders>
            <w:shd w:val="clear" w:color="auto" w:fill="auto"/>
            <w:noWrap/>
            <w:vAlign w:val="bottom"/>
            <w:hideMark/>
          </w:tcPr>
          <w:p w14:paraId="260ADB41"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Total</w:t>
            </w:r>
          </w:p>
        </w:tc>
        <w:tc>
          <w:tcPr>
            <w:tcW w:w="592" w:type="dxa"/>
            <w:tcBorders>
              <w:top w:val="nil"/>
              <w:left w:val="nil"/>
              <w:bottom w:val="nil"/>
              <w:right w:val="single" w:sz="4" w:space="0" w:color="auto"/>
            </w:tcBorders>
            <w:shd w:val="clear" w:color="auto" w:fill="auto"/>
            <w:noWrap/>
            <w:vAlign w:val="bottom"/>
            <w:hideMark/>
          </w:tcPr>
          <w:p w14:paraId="098A2003"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Col</w:t>
            </w:r>
          </w:p>
          <w:p w14:paraId="12FACCF0"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 xml:space="preserve"> %</w:t>
            </w:r>
          </w:p>
        </w:tc>
        <w:tc>
          <w:tcPr>
            <w:tcW w:w="5928" w:type="dxa"/>
            <w:gridSpan w:val="5"/>
            <w:tcBorders>
              <w:top w:val="nil"/>
              <w:left w:val="single" w:sz="4" w:space="0" w:color="auto"/>
              <w:bottom w:val="nil"/>
              <w:right w:val="single" w:sz="4" w:space="0" w:color="auto"/>
            </w:tcBorders>
            <w:shd w:val="clear" w:color="auto" w:fill="auto"/>
            <w:noWrap/>
            <w:vAlign w:val="bottom"/>
            <w:hideMark/>
          </w:tcPr>
          <w:p w14:paraId="3A94CF5B"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Overweight (105 missing)</w:t>
            </w:r>
          </w:p>
        </w:tc>
        <w:tc>
          <w:tcPr>
            <w:tcW w:w="6262" w:type="dxa"/>
            <w:gridSpan w:val="5"/>
            <w:tcBorders>
              <w:top w:val="nil"/>
              <w:left w:val="single" w:sz="4" w:space="0" w:color="auto"/>
              <w:bottom w:val="nil"/>
              <w:right w:val="nil"/>
            </w:tcBorders>
            <w:shd w:val="clear" w:color="auto" w:fill="auto"/>
            <w:noWrap/>
            <w:vAlign w:val="bottom"/>
            <w:hideMark/>
          </w:tcPr>
          <w:p w14:paraId="79E3AA6D" w14:textId="66ED515E" w:rsidR="00ED367C" w:rsidRPr="00834AAA" w:rsidRDefault="000D3A91" w:rsidP="003008ED">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Low exe</w:t>
            </w:r>
            <w:r w:rsidR="00ED367C" w:rsidRPr="00834AAA">
              <w:rPr>
                <w:rFonts w:ascii="Calibri" w:eastAsia="Times New Roman" w:hAnsi="Calibri" w:cs="Times New Roman"/>
                <w:color w:val="000000"/>
                <w:sz w:val="16"/>
                <w:szCs w:val="14"/>
                <w:lang w:eastAsia="en-GB"/>
              </w:rPr>
              <w:t>rcise (38 missing)</w:t>
            </w:r>
          </w:p>
        </w:tc>
      </w:tr>
      <w:tr w:rsidR="001367EE" w:rsidRPr="00834AAA" w14:paraId="5C74A67B" w14:textId="77777777" w:rsidTr="001367EE">
        <w:trPr>
          <w:trHeight w:val="20"/>
        </w:trPr>
        <w:tc>
          <w:tcPr>
            <w:tcW w:w="2660" w:type="dxa"/>
            <w:tcBorders>
              <w:top w:val="nil"/>
              <w:left w:val="nil"/>
              <w:bottom w:val="nil"/>
              <w:right w:val="nil"/>
            </w:tcBorders>
            <w:shd w:val="clear" w:color="auto" w:fill="auto"/>
            <w:noWrap/>
            <w:vAlign w:val="bottom"/>
            <w:hideMark/>
          </w:tcPr>
          <w:p w14:paraId="6AFC4484"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N</w:t>
            </w:r>
          </w:p>
        </w:tc>
        <w:tc>
          <w:tcPr>
            <w:tcW w:w="567" w:type="dxa"/>
            <w:tcBorders>
              <w:top w:val="nil"/>
              <w:left w:val="nil"/>
              <w:bottom w:val="nil"/>
              <w:right w:val="nil"/>
            </w:tcBorders>
            <w:shd w:val="clear" w:color="auto" w:fill="auto"/>
            <w:noWrap/>
            <w:vAlign w:val="bottom"/>
            <w:hideMark/>
          </w:tcPr>
          <w:p w14:paraId="6ADD5C29"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5799</w:t>
            </w:r>
          </w:p>
        </w:tc>
        <w:tc>
          <w:tcPr>
            <w:tcW w:w="592" w:type="dxa"/>
            <w:tcBorders>
              <w:top w:val="nil"/>
              <w:left w:val="nil"/>
              <w:bottom w:val="nil"/>
              <w:right w:val="single" w:sz="4" w:space="0" w:color="auto"/>
            </w:tcBorders>
            <w:shd w:val="clear" w:color="auto" w:fill="auto"/>
            <w:noWrap/>
            <w:vAlign w:val="bottom"/>
            <w:hideMark/>
          </w:tcPr>
          <w:p w14:paraId="4925736D"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w:t>
            </w:r>
          </w:p>
        </w:tc>
        <w:tc>
          <w:tcPr>
            <w:tcW w:w="1560" w:type="dxa"/>
            <w:tcBorders>
              <w:top w:val="nil"/>
              <w:left w:val="single" w:sz="4" w:space="0" w:color="auto"/>
              <w:bottom w:val="nil"/>
              <w:right w:val="nil"/>
            </w:tcBorders>
            <w:shd w:val="clear" w:color="auto" w:fill="auto"/>
            <w:noWrap/>
            <w:vAlign w:val="bottom"/>
            <w:hideMark/>
          </w:tcPr>
          <w:p w14:paraId="3CC9F10B"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2498/5694 (43.9)</w:t>
            </w:r>
          </w:p>
        </w:tc>
        <w:tc>
          <w:tcPr>
            <w:tcW w:w="1366" w:type="dxa"/>
            <w:tcBorders>
              <w:top w:val="nil"/>
              <w:left w:val="nil"/>
              <w:bottom w:val="nil"/>
              <w:right w:val="nil"/>
            </w:tcBorders>
            <w:shd w:val="clear" w:color="auto" w:fill="auto"/>
            <w:noWrap/>
            <w:vAlign w:val="bottom"/>
            <w:hideMark/>
          </w:tcPr>
          <w:p w14:paraId="2A3101AC"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auto"/>
            <w:noWrap/>
            <w:vAlign w:val="bottom"/>
            <w:hideMark/>
          </w:tcPr>
          <w:p w14:paraId="3519F2AF"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auto"/>
            <w:noWrap/>
            <w:vAlign w:val="bottom"/>
            <w:hideMark/>
          </w:tcPr>
          <w:p w14:paraId="3F7FFD30"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25" w:type="dxa"/>
            <w:tcBorders>
              <w:top w:val="nil"/>
              <w:left w:val="nil"/>
              <w:bottom w:val="nil"/>
              <w:right w:val="single" w:sz="4" w:space="0" w:color="auto"/>
            </w:tcBorders>
            <w:shd w:val="clear" w:color="auto" w:fill="auto"/>
            <w:noWrap/>
            <w:vAlign w:val="bottom"/>
            <w:hideMark/>
          </w:tcPr>
          <w:p w14:paraId="2C20FD92"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auto"/>
            <w:noWrap/>
            <w:vAlign w:val="bottom"/>
            <w:hideMark/>
          </w:tcPr>
          <w:p w14:paraId="08AC896F" w14:textId="5FDDFC91" w:rsidR="00ED367C" w:rsidRPr="00834AAA" w:rsidRDefault="00B0200B" w:rsidP="00D30520">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3547</w:t>
            </w:r>
            <w:r w:rsidR="00ED367C" w:rsidRPr="00834AAA">
              <w:rPr>
                <w:rFonts w:ascii="Calibri" w:eastAsia="Times New Roman" w:hAnsi="Calibri" w:cs="Times New Roman"/>
                <w:color w:val="000000"/>
                <w:sz w:val="16"/>
                <w:szCs w:val="14"/>
                <w:lang w:eastAsia="en-GB"/>
              </w:rPr>
              <w:t>/5761 (</w:t>
            </w:r>
            <w:r>
              <w:rPr>
                <w:rFonts w:ascii="Calibri" w:eastAsia="Times New Roman" w:hAnsi="Calibri" w:cs="Times New Roman"/>
                <w:color w:val="000000"/>
                <w:sz w:val="16"/>
                <w:szCs w:val="14"/>
                <w:lang w:eastAsia="en-GB"/>
              </w:rPr>
              <w:t>61</w:t>
            </w:r>
            <w:r w:rsidR="00ED367C" w:rsidRPr="00834AAA">
              <w:rPr>
                <w:rFonts w:ascii="Calibri" w:eastAsia="Times New Roman" w:hAnsi="Calibri" w:cs="Times New Roman"/>
                <w:color w:val="000000"/>
                <w:sz w:val="16"/>
                <w:szCs w:val="14"/>
                <w:lang w:eastAsia="en-GB"/>
              </w:rPr>
              <w:t>.</w:t>
            </w:r>
            <w:r>
              <w:rPr>
                <w:rFonts w:ascii="Calibri" w:eastAsia="Times New Roman" w:hAnsi="Calibri" w:cs="Times New Roman"/>
                <w:color w:val="000000"/>
                <w:sz w:val="16"/>
                <w:szCs w:val="14"/>
                <w:lang w:eastAsia="en-GB"/>
              </w:rPr>
              <w:t>6</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auto"/>
            <w:noWrap/>
            <w:vAlign w:val="bottom"/>
            <w:hideMark/>
          </w:tcPr>
          <w:p w14:paraId="5E210E10"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auto"/>
            <w:noWrap/>
            <w:vAlign w:val="bottom"/>
            <w:hideMark/>
          </w:tcPr>
          <w:p w14:paraId="35255222"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auto"/>
            <w:noWrap/>
            <w:vAlign w:val="bottom"/>
            <w:hideMark/>
          </w:tcPr>
          <w:p w14:paraId="73CC9F6A"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50" w:type="dxa"/>
            <w:tcBorders>
              <w:top w:val="nil"/>
              <w:left w:val="nil"/>
              <w:bottom w:val="nil"/>
              <w:right w:val="nil"/>
            </w:tcBorders>
            <w:shd w:val="clear" w:color="auto" w:fill="auto"/>
            <w:noWrap/>
            <w:vAlign w:val="bottom"/>
            <w:hideMark/>
          </w:tcPr>
          <w:p w14:paraId="0C0CA723"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r>
      <w:tr w:rsidR="001367EE" w:rsidRPr="00834AAA" w14:paraId="503C7974" w14:textId="77777777" w:rsidTr="001367EE">
        <w:trPr>
          <w:trHeight w:val="20"/>
        </w:trPr>
        <w:tc>
          <w:tcPr>
            <w:tcW w:w="2660" w:type="dxa"/>
            <w:tcBorders>
              <w:top w:val="nil"/>
              <w:left w:val="nil"/>
              <w:bottom w:val="single" w:sz="4" w:space="0" w:color="auto"/>
              <w:right w:val="nil"/>
            </w:tcBorders>
            <w:shd w:val="clear" w:color="auto" w:fill="auto"/>
            <w:noWrap/>
            <w:vAlign w:val="bottom"/>
            <w:hideMark/>
          </w:tcPr>
          <w:p w14:paraId="0223A271"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567" w:type="dxa"/>
            <w:tcBorders>
              <w:top w:val="nil"/>
              <w:left w:val="nil"/>
              <w:bottom w:val="single" w:sz="4" w:space="0" w:color="auto"/>
              <w:right w:val="nil"/>
            </w:tcBorders>
            <w:shd w:val="clear" w:color="auto" w:fill="auto"/>
            <w:noWrap/>
            <w:vAlign w:val="bottom"/>
            <w:hideMark/>
          </w:tcPr>
          <w:p w14:paraId="2C1B6FCA"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592" w:type="dxa"/>
            <w:tcBorders>
              <w:top w:val="nil"/>
              <w:left w:val="nil"/>
              <w:bottom w:val="single" w:sz="4" w:space="0" w:color="auto"/>
              <w:right w:val="single" w:sz="4" w:space="0" w:color="auto"/>
            </w:tcBorders>
            <w:shd w:val="clear" w:color="auto" w:fill="auto"/>
            <w:noWrap/>
            <w:vAlign w:val="bottom"/>
            <w:hideMark/>
          </w:tcPr>
          <w:p w14:paraId="339C6EB4"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560" w:type="dxa"/>
            <w:tcBorders>
              <w:top w:val="nil"/>
              <w:left w:val="single" w:sz="4" w:space="0" w:color="auto"/>
              <w:bottom w:val="single" w:sz="4" w:space="0" w:color="auto"/>
              <w:right w:val="nil"/>
            </w:tcBorders>
            <w:shd w:val="clear" w:color="auto" w:fill="auto"/>
            <w:noWrap/>
            <w:vAlign w:val="bottom"/>
            <w:hideMark/>
          </w:tcPr>
          <w:p w14:paraId="134FC377"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roofErr w:type="gramStart"/>
            <w:r w:rsidRPr="00834AAA">
              <w:rPr>
                <w:rFonts w:ascii="Calibri" w:eastAsia="Times New Roman" w:hAnsi="Calibri" w:cs="Times New Roman"/>
                <w:color w:val="000000"/>
                <w:sz w:val="16"/>
                <w:szCs w:val="14"/>
                <w:lang w:eastAsia="en-GB"/>
              </w:rPr>
              <w:t>n/N</w:t>
            </w:r>
            <w:proofErr w:type="gramEnd"/>
            <w:r w:rsidRPr="00834AAA">
              <w:rPr>
                <w:rFonts w:ascii="Calibri" w:eastAsia="Times New Roman" w:hAnsi="Calibri" w:cs="Times New Roman"/>
                <w:color w:val="000000"/>
                <w:sz w:val="16"/>
                <w:szCs w:val="14"/>
                <w:lang w:eastAsia="en-GB"/>
              </w:rPr>
              <w:t xml:space="preserve"> (%)</w:t>
            </w:r>
          </w:p>
        </w:tc>
        <w:tc>
          <w:tcPr>
            <w:tcW w:w="1366" w:type="dxa"/>
            <w:tcBorders>
              <w:top w:val="nil"/>
              <w:left w:val="nil"/>
              <w:bottom w:val="single" w:sz="4" w:space="0" w:color="auto"/>
              <w:right w:val="nil"/>
            </w:tcBorders>
            <w:shd w:val="clear" w:color="auto" w:fill="auto"/>
            <w:noWrap/>
            <w:vAlign w:val="bottom"/>
            <w:hideMark/>
          </w:tcPr>
          <w:p w14:paraId="760A5810"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OR</w:t>
            </w:r>
          </w:p>
        </w:tc>
        <w:tc>
          <w:tcPr>
            <w:tcW w:w="692" w:type="dxa"/>
            <w:tcBorders>
              <w:top w:val="nil"/>
              <w:left w:val="nil"/>
              <w:bottom w:val="single" w:sz="4" w:space="0" w:color="auto"/>
              <w:right w:val="nil"/>
            </w:tcBorders>
            <w:shd w:val="clear" w:color="auto" w:fill="auto"/>
            <w:noWrap/>
            <w:vAlign w:val="bottom"/>
            <w:hideMark/>
          </w:tcPr>
          <w:p w14:paraId="05E1419F"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p-value</w:t>
            </w:r>
          </w:p>
        </w:tc>
        <w:tc>
          <w:tcPr>
            <w:tcW w:w="1485" w:type="dxa"/>
            <w:tcBorders>
              <w:top w:val="nil"/>
              <w:left w:val="nil"/>
              <w:bottom w:val="single" w:sz="4" w:space="0" w:color="auto"/>
              <w:right w:val="nil"/>
            </w:tcBorders>
            <w:shd w:val="clear" w:color="auto" w:fill="auto"/>
            <w:noWrap/>
            <w:vAlign w:val="bottom"/>
            <w:hideMark/>
          </w:tcPr>
          <w:p w14:paraId="2D9F2224"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roofErr w:type="spellStart"/>
            <w:r w:rsidRPr="00834AAA">
              <w:rPr>
                <w:rFonts w:ascii="Calibri" w:eastAsia="Times New Roman" w:hAnsi="Calibri" w:cs="Times New Roman"/>
                <w:color w:val="000000"/>
                <w:sz w:val="16"/>
                <w:szCs w:val="14"/>
                <w:lang w:eastAsia="en-GB"/>
              </w:rPr>
              <w:t>aOR</w:t>
            </w:r>
            <w:proofErr w:type="spellEnd"/>
          </w:p>
        </w:tc>
        <w:tc>
          <w:tcPr>
            <w:tcW w:w="825" w:type="dxa"/>
            <w:tcBorders>
              <w:top w:val="nil"/>
              <w:left w:val="nil"/>
              <w:bottom w:val="single" w:sz="4" w:space="0" w:color="auto"/>
              <w:right w:val="single" w:sz="4" w:space="0" w:color="auto"/>
            </w:tcBorders>
            <w:shd w:val="clear" w:color="auto" w:fill="auto"/>
            <w:noWrap/>
            <w:vAlign w:val="bottom"/>
            <w:hideMark/>
          </w:tcPr>
          <w:p w14:paraId="4CED8D74"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631" w:type="dxa"/>
            <w:tcBorders>
              <w:top w:val="nil"/>
              <w:left w:val="single" w:sz="4" w:space="0" w:color="auto"/>
              <w:bottom w:val="single" w:sz="4" w:space="0" w:color="auto"/>
              <w:right w:val="nil"/>
            </w:tcBorders>
            <w:shd w:val="clear" w:color="auto" w:fill="auto"/>
            <w:noWrap/>
            <w:vAlign w:val="bottom"/>
            <w:hideMark/>
          </w:tcPr>
          <w:p w14:paraId="505874D4"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roofErr w:type="gramStart"/>
            <w:r w:rsidRPr="00834AAA">
              <w:rPr>
                <w:rFonts w:ascii="Calibri" w:eastAsia="Times New Roman" w:hAnsi="Calibri" w:cs="Times New Roman"/>
                <w:color w:val="000000"/>
                <w:sz w:val="16"/>
                <w:szCs w:val="14"/>
                <w:lang w:eastAsia="en-GB"/>
              </w:rPr>
              <w:t>n/N</w:t>
            </w:r>
            <w:proofErr w:type="gramEnd"/>
            <w:r w:rsidRPr="00834AAA">
              <w:rPr>
                <w:rFonts w:ascii="Calibri" w:eastAsia="Times New Roman" w:hAnsi="Calibri" w:cs="Times New Roman"/>
                <w:color w:val="000000"/>
                <w:sz w:val="16"/>
                <w:szCs w:val="14"/>
                <w:lang w:eastAsia="en-GB"/>
              </w:rPr>
              <w:t xml:space="preserve"> (%)</w:t>
            </w:r>
          </w:p>
        </w:tc>
        <w:tc>
          <w:tcPr>
            <w:tcW w:w="1513" w:type="dxa"/>
            <w:tcBorders>
              <w:top w:val="nil"/>
              <w:left w:val="nil"/>
              <w:bottom w:val="single" w:sz="4" w:space="0" w:color="auto"/>
              <w:right w:val="nil"/>
            </w:tcBorders>
            <w:shd w:val="clear" w:color="auto" w:fill="auto"/>
            <w:noWrap/>
            <w:vAlign w:val="bottom"/>
            <w:hideMark/>
          </w:tcPr>
          <w:p w14:paraId="6C86D31D"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OR</w:t>
            </w:r>
          </w:p>
        </w:tc>
        <w:tc>
          <w:tcPr>
            <w:tcW w:w="692" w:type="dxa"/>
            <w:tcBorders>
              <w:top w:val="nil"/>
              <w:left w:val="nil"/>
              <w:bottom w:val="single" w:sz="4" w:space="0" w:color="auto"/>
              <w:right w:val="nil"/>
            </w:tcBorders>
            <w:shd w:val="clear" w:color="auto" w:fill="auto"/>
            <w:noWrap/>
            <w:vAlign w:val="bottom"/>
            <w:hideMark/>
          </w:tcPr>
          <w:p w14:paraId="0B5DE12C"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p-value</w:t>
            </w:r>
          </w:p>
        </w:tc>
        <w:tc>
          <w:tcPr>
            <w:tcW w:w="1576" w:type="dxa"/>
            <w:tcBorders>
              <w:top w:val="nil"/>
              <w:left w:val="nil"/>
              <w:bottom w:val="single" w:sz="4" w:space="0" w:color="auto"/>
              <w:right w:val="nil"/>
            </w:tcBorders>
            <w:shd w:val="clear" w:color="auto" w:fill="auto"/>
            <w:noWrap/>
            <w:vAlign w:val="bottom"/>
            <w:hideMark/>
          </w:tcPr>
          <w:p w14:paraId="2B93FC2C"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roofErr w:type="spellStart"/>
            <w:r w:rsidRPr="00834AAA">
              <w:rPr>
                <w:rFonts w:ascii="Calibri" w:eastAsia="Times New Roman" w:hAnsi="Calibri" w:cs="Times New Roman"/>
                <w:color w:val="000000"/>
                <w:sz w:val="16"/>
                <w:szCs w:val="14"/>
                <w:lang w:eastAsia="en-GB"/>
              </w:rPr>
              <w:t>aOR</w:t>
            </w:r>
            <w:proofErr w:type="spellEnd"/>
          </w:p>
        </w:tc>
        <w:tc>
          <w:tcPr>
            <w:tcW w:w="850" w:type="dxa"/>
            <w:tcBorders>
              <w:top w:val="nil"/>
              <w:left w:val="nil"/>
              <w:bottom w:val="single" w:sz="4" w:space="0" w:color="auto"/>
              <w:right w:val="nil"/>
            </w:tcBorders>
            <w:shd w:val="clear" w:color="auto" w:fill="auto"/>
            <w:noWrap/>
            <w:vAlign w:val="bottom"/>
            <w:hideMark/>
          </w:tcPr>
          <w:p w14:paraId="673DFDBF"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p-value</w:t>
            </w:r>
          </w:p>
        </w:tc>
      </w:tr>
      <w:tr w:rsidR="00331B4B" w:rsidRPr="00834AAA" w14:paraId="62F0B799" w14:textId="77777777" w:rsidTr="001367EE">
        <w:trPr>
          <w:trHeight w:val="20"/>
        </w:trPr>
        <w:tc>
          <w:tcPr>
            <w:tcW w:w="2660" w:type="dxa"/>
            <w:tcBorders>
              <w:top w:val="single" w:sz="4" w:space="0" w:color="auto"/>
              <w:left w:val="nil"/>
              <w:bottom w:val="nil"/>
              <w:right w:val="nil"/>
            </w:tcBorders>
            <w:shd w:val="clear" w:color="auto" w:fill="F2F2F2"/>
            <w:noWrap/>
            <w:vAlign w:val="bottom"/>
            <w:hideMark/>
          </w:tcPr>
          <w:p w14:paraId="3B0C34A7" w14:textId="77777777" w:rsidR="00ED367C" w:rsidRPr="00834AAA" w:rsidRDefault="00ED367C" w:rsidP="00D30520">
            <w:pPr>
              <w:spacing w:before="0" w:after="0" w:line="240" w:lineRule="auto"/>
              <w:rPr>
                <w:rFonts w:ascii="Calibri" w:eastAsia="Times New Roman" w:hAnsi="Calibri" w:cs="Times New Roman"/>
                <w:b/>
                <w:color w:val="000000"/>
                <w:sz w:val="16"/>
                <w:szCs w:val="14"/>
                <w:lang w:eastAsia="en-GB"/>
              </w:rPr>
            </w:pPr>
            <w:r w:rsidRPr="00834AAA">
              <w:rPr>
                <w:rFonts w:ascii="Calibri" w:eastAsia="Times New Roman" w:hAnsi="Calibri" w:cs="Times New Roman"/>
                <w:b/>
                <w:color w:val="000000"/>
                <w:sz w:val="16"/>
                <w:szCs w:val="14"/>
                <w:lang w:eastAsia="en-GB"/>
              </w:rPr>
              <w:t xml:space="preserve">Age </w:t>
            </w:r>
          </w:p>
        </w:tc>
        <w:tc>
          <w:tcPr>
            <w:tcW w:w="567" w:type="dxa"/>
            <w:tcBorders>
              <w:top w:val="single" w:sz="4" w:space="0" w:color="auto"/>
              <w:left w:val="nil"/>
              <w:bottom w:val="nil"/>
              <w:right w:val="nil"/>
            </w:tcBorders>
            <w:shd w:val="clear" w:color="auto" w:fill="F2F2F2"/>
            <w:noWrap/>
            <w:vAlign w:val="bottom"/>
            <w:hideMark/>
          </w:tcPr>
          <w:p w14:paraId="5E4CB884"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592" w:type="dxa"/>
            <w:tcBorders>
              <w:top w:val="single" w:sz="4" w:space="0" w:color="auto"/>
              <w:left w:val="nil"/>
              <w:bottom w:val="nil"/>
              <w:right w:val="single" w:sz="4" w:space="0" w:color="auto"/>
            </w:tcBorders>
            <w:shd w:val="clear" w:color="auto" w:fill="F2F2F2"/>
            <w:noWrap/>
            <w:vAlign w:val="bottom"/>
            <w:hideMark/>
          </w:tcPr>
          <w:p w14:paraId="404F9597"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560" w:type="dxa"/>
            <w:tcBorders>
              <w:top w:val="single" w:sz="4" w:space="0" w:color="auto"/>
              <w:left w:val="single" w:sz="4" w:space="0" w:color="auto"/>
              <w:bottom w:val="nil"/>
              <w:right w:val="nil"/>
            </w:tcBorders>
            <w:shd w:val="clear" w:color="auto" w:fill="F2F2F2"/>
            <w:noWrap/>
            <w:vAlign w:val="bottom"/>
            <w:hideMark/>
          </w:tcPr>
          <w:p w14:paraId="482AA270"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366" w:type="dxa"/>
            <w:tcBorders>
              <w:top w:val="single" w:sz="4" w:space="0" w:color="auto"/>
              <w:left w:val="nil"/>
              <w:bottom w:val="nil"/>
              <w:right w:val="nil"/>
            </w:tcBorders>
            <w:shd w:val="clear" w:color="auto" w:fill="F2F2F2"/>
            <w:noWrap/>
            <w:vAlign w:val="bottom"/>
            <w:hideMark/>
          </w:tcPr>
          <w:p w14:paraId="26A681B3"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single" w:sz="4" w:space="0" w:color="auto"/>
              <w:left w:val="nil"/>
              <w:bottom w:val="nil"/>
              <w:right w:val="nil"/>
            </w:tcBorders>
            <w:shd w:val="clear" w:color="auto" w:fill="F2F2F2"/>
            <w:noWrap/>
            <w:vAlign w:val="bottom"/>
            <w:hideMark/>
          </w:tcPr>
          <w:p w14:paraId="5CCA6FCA"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485" w:type="dxa"/>
            <w:tcBorders>
              <w:top w:val="single" w:sz="4" w:space="0" w:color="auto"/>
              <w:left w:val="nil"/>
              <w:bottom w:val="nil"/>
              <w:right w:val="nil"/>
            </w:tcBorders>
            <w:shd w:val="clear" w:color="auto" w:fill="F2F2F2"/>
            <w:noWrap/>
            <w:vAlign w:val="bottom"/>
            <w:hideMark/>
          </w:tcPr>
          <w:p w14:paraId="5D2F8853"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25" w:type="dxa"/>
            <w:tcBorders>
              <w:top w:val="single" w:sz="4" w:space="0" w:color="auto"/>
              <w:left w:val="nil"/>
              <w:bottom w:val="nil"/>
              <w:right w:val="single" w:sz="4" w:space="0" w:color="auto"/>
            </w:tcBorders>
            <w:shd w:val="clear" w:color="auto" w:fill="F2F2F2"/>
            <w:noWrap/>
            <w:vAlign w:val="bottom"/>
            <w:hideMark/>
          </w:tcPr>
          <w:p w14:paraId="038DC03B"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631" w:type="dxa"/>
            <w:tcBorders>
              <w:top w:val="single" w:sz="4" w:space="0" w:color="auto"/>
              <w:left w:val="single" w:sz="4" w:space="0" w:color="auto"/>
              <w:bottom w:val="nil"/>
              <w:right w:val="nil"/>
            </w:tcBorders>
            <w:shd w:val="clear" w:color="auto" w:fill="F2F2F2"/>
            <w:noWrap/>
            <w:vAlign w:val="bottom"/>
            <w:hideMark/>
          </w:tcPr>
          <w:p w14:paraId="7014565F"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513" w:type="dxa"/>
            <w:tcBorders>
              <w:top w:val="single" w:sz="4" w:space="0" w:color="auto"/>
              <w:left w:val="nil"/>
              <w:bottom w:val="nil"/>
              <w:right w:val="nil"/>
            </w:tcBorders>
            <w:shd w:val="clear" w:color="auto" w:fill="F2F2F2"/>
            <w:noWrap/>
            <w:vAlign w:val="bottom"/>
            <w:hideMark/>
          </w:tcPr>
          <w:p w14:paraId="57426A87"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single" w:sz="4" w:space="0" w:color="auto"/>
              <w:left w:val="nil"/>
              <w:bottom w:val="nil"/>
              <w:right w:val="nil"/>
            </w:tcBorders>
            <w:shd w:val="clear" w:color="auto" w:fill="F2F2F2"/>
            <w:noWrap/>
            <w:vAlign w:val="bottom"/>
            <w:hideMark/>
          </w:tcPr>
          <w:p w14:paraId="29FDAC2A"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576" w:type="dxa"/>
            <w:tcBorders>
              <w:top w:val="single" w:sz="4" w:space="0" w:color="auto"/>
              <w:left w:val="nil"/>
              <w:bottom w:val="nil"/>
              <w:right w:val="nil"/>
            </w:tcBorders>
            <w:shd w:val="clear" w:color="auto" w:fill="F2F2F2"/>
            <w:noWrap/>
            <w:vAlign w:val="bottom"/>
            <w:hideMark/>
          </w:tcPr>
          <w:p w14:paraId="03C2890D"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50" w:type="dxa"/>
            <w:tcBorders>
              <w:top w:val="single" w:sz="4" w:space="0" w:color="auto"/>
              <w:left w:val="nil"/>
              <w:bottom w:val="nil"/>
              <w:right w:val="nil"/>
            </w:tcBorders>
            <w:shd w:val="clear" w:color="auto" w:fill="F2F2F2"/>
            <w:noWrap/>
            <w:vAlign w:val="bottom"/>
            <w:hideMark/>
          </w:tcPr>
          <w:p w14:paraId="59105744"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r>
      <w:tr w:rsidR="00331B4B" w:rsidRPr="00834AAA" w14:paraId="76B158A7" w14:textId="77777777" w:rsidTr="001367EE">
        <w:trPr>
          <w:trHeight w:val="20"/>
        </w:trPr>
        <w:tc>
          <w:tcPr>
            <w:tcW w:w="2660" w:type="dxa"/>
            <w:tcBorders>
              <w:top w:val="nil"/>
              <w:left w:val="nil"/>
              <w:bottom w:val="nil"/>
              <w:right w:val="nil"/>
            </w:tcBorders>
            <w:shd w:val="clear" w:color="auto" w:fill="F2F2F2"/>
            <w:noWrap/>
            <w:vAlign w:val="bottom"/>
            <w:hideMark/>
          </w:tcPr>
          <w:p w14:paraId="47C05800"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16-25</w:t>
            </w:r>
          </w:p>
        </w:tc>
        <w:tc>
          <w:tcPr>
            <w:tcW w:w="567" w:type="dxa"/>
            <w:tcBorders>
              <w:top w:val="nil"/>
              <w:left w:val="nil"/>
              <w:bottom w:val="nil"/>
              <w:right w:val="nil"/>
            </w:tcBorders>
            <w:shd w:val="clear" w:color="auto" w:fill="F2F2F2"/>
            <w:noWrap/>
            <w:vAlign w:val="bottom"/>
            <w:hideMark/>
          </w:tcPr>
          <w:p w14:paraId="38FCD5A9"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1539</w:t>
            </w:r>
          </w:p>
        </w:tc>
        <w:tc>
          <w:tcPr>
            <w:tcW w:w="592" w:type="dxa"/>
            <w:tcBorders>
              <w:top w:val="nil"/>
              <w:left w:val="nil"/>
              <w:bottom w:val="nil"/>
              <w:right w:val="single" w:sz="4" w:space="0" w:color="auto"/>
            </w:tcBorders>
            <w:shd w:val="clear" w:color="auto" w:fill="F2F2F2"/>
            <w:noWrap/>
            <w:vAlign w:val="bottom"/>
            <w:hideMark/>
          </w:tcPr>
          <w:p w14:paraId="569D902E"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26.4</w:t>
            </w:r>
          </w:p>
        </w:tc>
        <w:tc>
          <w:tcPr>
            <w:tcW w:w="1560" w:type="dxa"/>
            <w:tcBorders>
              <w:top w:val="nil"/>
              <w:left w:val="single" w:sz="4" w:space="0" w:color="auto"/>
              <w:bottom w:val="nil"/>
              <w:right w:val="nil"/>
            </w:tcBorders>
            <w:shd w:val="clear" w:color="auto" w:fill="F2F2F2"/>
            <w:noWrap/>
            <w:vAlign w:val="bottom"/>
            <w:hideMark/>
          </w:tcPr>
          <w:p w14:paraId="75B1221A"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375/1505 (24.9)</w:t>
            </w:r>
          </w:p>
        </w:tc>
        <w:tc>
          <w:tcPr>
            <w:tcW w:w="1366" w:type="dxa"/>
            <w:tcBorders>
              <w:top w:val="nil"/>
              <w:left w:val="nil"/>
              <w:bottom w:val="nil"/>
              <w:right w:val="nil"/>
            </w:tcBorders>
            <w:shd w:val="clear" w:color="auto" w:fill="F2F2F2"/>
            <w:noWrap/>
            <w:vAlign w:val="bottom"/>
            <w:hideMark/>
          </w:tcPr>
          <w:p w14:paraId="27764724" w14:textId="622F36FE" w:rsidR="00ED367C" w:rsidRPr="00834AAA" w:rsidRDefault="001367EE" w:rsidP="00D30520">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692" w:type="dxa"/>
            <w:tcBorders>
              <w:top w:val="nil"/>
              <w:left w:val="nil"/>
              <w:bottom w:val="nil"/>
              <w:right w:val="nil"/>
            </w:tcBorders>
            <w:shd w:val="clear" w:color="auto" w:fill="F2F2F2"/>
            <w:noWrap/>
            <w:vAlign w:val="bottom"/>
            <w:hideMark/>
          </w:tcPr>
          <w:p w14:paraId="7F94081E"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F2F2F2"/>
            <w:noWrap/>
            <w:vAlign w:val="bottom"/>
            <w:hideMark/>
          </w:tcPr>
          <w:p w14:paraId="6D085125"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25" w:type="dxa"/>
            <w:tcBorders>
              <w:top w:val="nil"/>
              <w:left w:val="nil"/>
              <w:bottom w:val="nil"/>
              <w:right w:val="single" w:sz="4" w:space="0" w:color="auto"/>
            </w:tcBorders>
            <w:shd w:val="clear" w:color="auto" w:fill="F2F2F2"/>
            <w:noWrap/>
            <w:vAlign w:val="bottom"/>
            <w:hideMark/>
          </w:tcPr>
          <w:p w14:paraId="731DE828"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F2F2F2"/>
            <w:noWrap/>
            <w:vAlign w:val="bottom"/>
            <w:hideMark/>
          </w:tcPr>
          <w:p w14:paraId="5D604023" w14:textId="6CB9FB01" w:rsidR="00ED367C" w:rsidRPr="00834AAA" w:rsidRDefault="00B0200B"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941</w:t>
            </w:r>
            <w:r w:rsidR="00ED367C" w:rsidRPr="00834AAA">
              <w:rPr>
                <w:rFonts w:ascii="Calibri" w:eastAsia="Times New Roman" w:hAnsi="Calibri" w:cs="Times New Roman"/>
                <w:color w:val="000000"/>
                <w:sz w:val="16"/>
                <w:szCs w:val="14"/>
                <w:lang w:eastAsia="en-GB"/>
              </w:rPr>
              <w:t>/1530 (</w:t>
            </w:r>
            <w:r>
              <w:rPr>
                <w:rFonts w:ascii="Calibri" w:eastAsia="Times New Roman" w:hAnsi="Calibri" w:cs="Times New Roman"/>
                <w:color w:val="000000"/>
                <w:sz w:val="16"/>
                <w:szCs w:val="14"/>
                <w:lang w:eastAsia="en-GB"/>
              </w:rPr>
              <w:t>61</w:t>
            </w:r>
            <w:r w:rsidR="00ED367C" w:rsidRPr="00834AAA">
              <w:rPr>
                <w:rFonts w:ascii="Calibri" w:eastAsia="Times New Roman" w:hAnsi="Calibri" w:cs="Times New Roman"/>
                <w:color w:val="000000"/>
                <w:sz w:val="16"/>
                <w:szCs w:val="14"/>
                <w:lang w:eastAsia="en-GB"/>
              </w:rPr>
              <w:t>.</w:t>
            </w:r>
            <w:r>
              <w:rPr>
                <w:rFonts w:ascii="Calibri" w:eastAsia="Times New Roman" w:hAnsi="Calibri" w:cs="Times New Roman"/>
                <w:color w:val="000000"/>
                <w:sz w:val="16"/>
                <w:szCs w:val="14"/>
                <w:lang w:eastAsia="en-GB"/>
              </w:rPr>
              <w:t>5</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F2F2F2"/>
            <w:noWrap/>
            <w:vAlign w:val="bottom"/>
            <w:hideMark/>
          </w:tcPr>
          <w:p w14:paraId="5089776C" w14:textId="35DF592A" w:rsidR="00ED367C" w:rsidRPr="00834AAA" w:rsidRDefault="001367EE"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692" w:type="dxa"/>
            <w:tcBorders>
              <w:top w:val="nil"/>
              <w:left w:val="nil"/>
              <w:bottom w:val="nil"/>
              <w:right w:val="nil"/>
            </w:tcBorders>
            <w:shd w:val="clear" w:color="auto" w:fill="F2F2F2"/>
            <w:noWrap/>
            <w:vAlign w:val="bottom"/>
            <w:hideMark/>
          </w:tcPr>
          <w:p w14:paraId="44B75BFA"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F2F2F2"/>
            <w:noWrap/>
            <w:vAlign w:val="bottom"/>
            <w:hideMark/>
          </w:tcPr>
          <w:p w14:paraId="49505552"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50" w:type="dxa"/>
            <w:tcBorders>
              <w:top w:val="nil"/>
              <w:left w:val="nil"/>
              <w:bottom w:val="nil"/>
              <w:right w:val="nil"/>
            </w:tcBorders>
            <w:shd w:val="clear" w:color="auto" w:fill="F2F2F2"/>
            <w:noWrap/>
            <w:vAlign w:val="bottom"/>
            <w:hideMark/>
          </w:tcPr>
          <w:p w14:paraId="29E5F9EA"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331B4B" w:rsidRPr="00834AAA" w14:paraId="739D4926" w14:textId="77777777" w:rsidTr="001367EE">
        <w:trPr>
          <w:trHeight w:val="20"/>
        </w:trPr>
        <w:tc>
          <w:tcPr>
            <w:tcW w:w="2660" w:type="dxa"/>
            <w:tcBorders>
              <w:top w:val="nil"/>
              <w:left w:val="nil"/>
              <w:bottom w:val="nil"/>
              <w:right w:val="nil"/>
            </w:tcBorders>
            <w:shd w:val="clear" w:color="auto" w:fill="F2F2F2"/>
            <w:noWrap/>
            <w:vAlign w:val="bottom"/>
            <w:hideMark/>
          </w:tcPr>
          <w:p w14:paraId="0CA2E5EC"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26-35</w:t>
            </w:r>
          </w:p>
        </w:tc>
        <w:tc>
          <w:tcPr>
            <w:tcW w:w="567" w:type="dxa"/>
            <w:tcBorders>
              <w:top w:val="nil"/>
              <w:left w:val="nil"/>
              <w:bottom w:val="nil"/>
              <w:right w:val="nil"/>
            </w:tcBorders>
            <w:shd w:val="clear" w:color="auto" w:fill="F2F2F2"/>
            <w:noWrap/>
            <w:vAlign w:val="bottom"/>
            <w:hideMark/>
          </w:tcPr>
          <w:p w14:paraId="605B4DE6"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1664</w:t>
            </w:r>
          </w:p>
        </w:tc>
        <w:tc>
          <w:tcPr>
            <w:tcW w:w="592" w:type="dxa"/>
            <w:tcBorders>
              <w:top w:val="nil"/>
              <w:left w:val="nil"/>
              <w:bottom w:val="nil"/>
              <w:right w:val="single" w:sz="4" w:space="0" w:color="auto"/>
            </w:tcBorders>
            <w:shd w:val="clear" w:color="auto" w:fill="F2F2F2"/>
            <w:noWrap/>
            <w:vAlign w:val="bottom"/>
            <w:hideMark/>
          </w:tcPr>
          <w:p w14:paraId="29C84F1E"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28.7</w:t>
            </w:r>
          </w:p>
        </w:tc>
        <w:tc>
          <w:tcPr>
            <w:tcW w:w="1560" w:type="dxa"/>
            <w:tcBorders>
              <w:top w:val="nil"/>
              <w:left w:val="single" w:sz="4" w:space="0" w:color="auto"/>
              <w:bottom w:val="nil"/>
              <w:right w:val="nil"/>
            </w:tcBorders>
            <w:shd w:val="clear" w:color="auto" w:fill="F2F2F2"/>
            <w:noWrap/>
            <w:vAlign w:val="bottom"/>
            <w:hideMark/>
          </w:tcPr>
          <w:p w14:paraId="048FEE38" w14:textId="0FA69C8B"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674/1644 (41</w:t>
            </w:r>
            <w:r w:rsidR="00B10017">
              <w:rPr>
                <w:rFonts w:ascii="Calibri" w:eastAsia="Times New Roman" w:hAnsi="Calibri" w:cs="Times New Roman"/>
                <w:color w:val="000000"/>
                <w:sz w:val="16"/>
                <w:szCs w:val="14"/>
                <w:lang w:eastAsia="en-GB"/>
              </w:rPr>
              <w:t>.0</w:t>
            </w:r>
            <w:r w:rsidRPr="00834AAA">
              <w:rPr>
                <w:rFonts w:ascii="Calibri" w:eastAsia="Times New Roman" w:hAnsi="Calibri" w:cs="Times New Roman"/>
                <w:color w:val="000000"/>
                <w:sz w:val="16"/>
                <w:szCs w:val="14"/>
                <w:lang w:eastAsia="en-GB"/>
              </w:rPr>
              <w:t>)</w:t>
            </w:r>
          </w:p>
        </w:tc>
        <w:tc>
          <w:tcPr>
            <w:tcW w:w="1366" w:type="dxa"/>
            <w:tcBorders>
              <w:top w:val="nil"/>
              <w:left w:val="nil"/>
              <w:bottom w:val="nil"/>
              <w:right w:val="nil"/>
            </w:tcBorders>
            <w:shd w:val="clear" w:color="auto" w:fill="F2F2F2"/>
            <w:noWrap/>
            <w:vAlign w:val="bottom"/>
            <w:hideMark/>
          </w:tcPr>
          <w:p w14:paraId="20B2964A" w14:textId="546C6737"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2.09 (1.8</w:t>
            </w:r>
            <w:r w:rsidR="003F1589">
              <w:rPr>
                <w:rFonts w:ascii="Calibri" w:eastAsia="Times New Roman" w:hAnsi="Calibri" w:cs="Times New Roman"/>
                <w:color w:val="000000"/>
                <w:sz w:val="16"/>
                <w:szCs w:val="14"/>
                <w:lang w:eastAsia="en-GB"/>
              </w:rPr>
              <w:t>0</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2.44)</w:t>
            </w:r>
          </w:p>
        </w:tc>
        <w:tc>
          <w:tcPr>
            <w:tcW w:w="692" w:type="dxa"/>
            <w:tcBorders>
              <w:top w:val="nil"/>
              <w:left w:val="nil"/>
              <w:bottom w:val="nil"/>
              <w:right w:val="nil"/>
            </w:tcBorders>
            <w:shd w:val="clear" w:color="auto" w:fill="F2F2F2"/>
            <w:noWrap/>
            <w:vAlign w:val="bottom"/>
            <w:hideMark/>
          </w:tcPr>
          <w:p w14:paraId="7E3C5458"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F2F2F2"/>
            <w:noWrap/>
            <w:vAlign w:val="bottom"/>
            <w:hideMark/>
          </w:tcPr>
          <w:p w14:paraId="6B7CAE66"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25" w:type="dxa"/>
            <w:tcBorders>
              <w:top w:val="nil"/>
              <w:left w:val="nil"/>
              <w:bottom w:val="nil"/>
              <w:right w:val="single" w:sz="4" w:space="0" w:color="auto"/>
            </w:tcBorders>
            <w:shd w:val="clear" w:color="auto" w:fill="F2F2F2"/>
            <w:noWrap/>
            <w:vAlign w:val="bottom"/>
            <w:hideMark/>
          </w:tcPr>
          <w:p w14:paraId="293B77C4"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F2F2F2"/>
            <w:noWrap/>
            <w:vAlign w:val="bottom"/>
            <w:hideMark/>
          </w:tcPr>
          <w:p w14:paraId="696E65A7" w14:textId="4B2B32FE" w:rsidR="00ED367C" w:rsidRPr="00834AAA" w:rsidRDefault="00B0200B"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993</w:t>
            </w:r>
            <w:r w:rsidR="00ED367C" w:rsidRPr="00834AAA">
              <w:rPr>
                <w:rFonts w:ascii="Calibri" w:eastAsia="Times New Roman" w:hAnsi="Calibri" w:cs="Times New Roman"/>
                <w:color w:val="000000"/>
                <w:sz w:val="16"/>
                <w:szCs w:val="14"/>
                <w:lang w:eastAsia="en-GB"/>
              </w:rPr>
              <w:t>/1653 (</w:t>
            </w:r>
            <w:r>
              <w:rPr>
                <w:rFonts w:ascii="Calibri" w:eastAsia="Times New Roman" w:hAnsi="Calibri" w:cs="Times New Roman"/>
                <w:color w:val="000000"/>
                <w:sz w:val="16"/>
                <w:szCs w:val="14"/>
                <w:lang w:eastAsia="en-GB"/>
              </w:rPr>
              <w:t>60</w:t>
            </w:r>
            <w:r w:rsidR="00ED367C" w:rsidRPr="00834AAA">
              <w:rPr>
                <w:rFonts w:ascii="Calibri" w:eastAsia="Times New Roman" w:hAnsi="Calibri" w:cs="Times New Roman"/>
                <w:color w:val="000000"/>
                <w:sz w:val="16"/>
                <w:szCs w:val="14"/>
                <w:lang w:eastAsia="en-GB"/>
              </w:rPr>
              <w:t>.</w:t>
            </w:r>
            <w:r>
              <w:rPr>
                <w:rFonts w:ascii="Calibri" w:eastAsia="Times New Roman" w:hAnsi="Calibri" w:cs="Times New Roman"/>
                <w:color w:val="000000"/>
                <w:sz w:val="16"/>
                <w:szCs w:val="14"/>
                <w:lang w:eastAsia="en-GB"/>
              </w:rPr>
              <w:t>1</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F2F2F2"/>
            <w:noWrap/>
            <w:vAlign w:val="bottom"/>
            <w:hideMark/>
          </w:tcPr>
          <w:p w14:paraId="4B3EB480" w14:textId="6A95AFD5"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w:t>
            </w:r>
            <w:r w:rsidR="00E53EC5">
              <w:rPr>
                <w:rFonts w:ascii="Calibri" w:eastAsia="Times New Roman" w:hAnsi="Calibri" w:cs="Times New Roman"/>
                <w:color w:val="000000"/>
                <w:sz w:val="16"/>
                <w:szCs w:val="14"/>
                <w:lang w:eastAsia="en-GB"/>
              </w:rPr>
              <w:t>94</w:t>
            </w:r>
            <w:r w:rsidRPr="00834AAA">
              <w:rPr>
                <w:rFonts w:ascii="Calibri" w:eastAsia="Times New Roman" w:hAnsi="Calibri" w:cs="Times New Roman"/>
                <w:color w:val="000000"/>
                <w:sz w:val="16"/>
                <w:szCs w:val="14"/>
                <w:lang w:eastAsia="en-GB"/>
              </w:rPr>
              <w:t xml:space="preserve"> (0.</w:t>
            </w:r>
            <w:r w:rsidR="00E53EC5">
              <w:rPr>
                <w:rFonts w:ascii="Calibri" w:eastAsia="Times New Roman" w:hAnsi="Calibri" w:cs="Times New Roman"/>
                <w:color w:val="000000"/>
                <w:sz w:val="16"/>
                <w:szCs w:val="14"/>
                <w:lang w:eastAsia="en-GB"/>
              </w:rPr>
              <w:t>82</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1.0</w:t>
            </w:r>
            <w:r w:rsidR="00E53EC5">
              <w:rPr>
                <w:rFonts w:ascii="Calibri" w:eastAsia="Times New Roman" w:hAnsi="Calibri" w:cs="Times New Roman"/>
                <w:color w:val="000000"/>
                <w:sz w:val="16"/>
                <w:szCs w:val="14"/>
                <w:lang w:eastAsia="en-GB"/>
              </w:rPr>
              <w:t>9</w:t>
            </w:r>
            <w:r w:rsidRPr="00834AAA">
              <w:rPr>
                <w:rFonts w:ascii="Calibri" w:eastAsia="Times New Roman" w:hAnsi="Calibri" w:cs="Times New Roman"/>
                <w:color w:val="000000"/>
                <w:sz w:val="16"/>
                <w:szCs w:val="14"/>
                <w:lang w:eastAsia="en-GB"/>
              </w:rPr>
              <w:t>)</w:t>
            </w:r>
          </w:p>
        </w:tc>
        <w:tc>
          <w:tcPr>
            <w:tcW w:w="692" w:type="dxa"/>
            <w:tcBorders>
              <w:top w:val="nil"/>
              <w:left w:val="nil"/>
              <w:bottom w:val="nil"/>
              <w:right w:val="nil"/>
            </w:tcBorders>
            <w:shd w:val="clear" w:color="auto" w:fill="F2F2F2"/>
            <w:noWrap/>
            <w:vAlign w:val="bottom"/>
            <w:hideMark/>
          </w:tcPr>
          <w:p w14:paraId="3F9F5D81"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F2F2F2"/>
            <w:noWrap/>
            <w:vAlign w:val="bottom"/>
            <w:hideMark/>
          </w:tcPr>
          <w:p w14:paraId="5FD2F0E2"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50" w:type="dxa"/>
            <w:tcBorders>
              <w:top w:val="nil"/>
              <w:left w:val="nil"/>
              <w:bottom w:val="nil"/>
              <w:right w:val="nil"/>
            </w:tcBorders>
            <w:shd w:val="clear" w:color="auto" w:fill="F2F2F2"/>
            <w:noWrap/>
            <w:vAlign w:val="bottom"/>
            <w:hideMark/>
          </w:tcPr>
          <w:p w14:paraId="3A6FF1D5"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331B4B" w:rsidRPr="00834AAA" w14:paraId="4C474C7E" w14:textId="77777777" w:rsidTr="001367EE">
        <w:trPr>
          <w:trHeight w:val="20"/>
        </w:trPr>
        <w:tc>
          <w:tcPr>
            <w:tcW w:w="2660" w:type="dxa"/>
            <w:tcBorders>
              <w:top w:val="nil"/>
              <w:left w:val="nil"/>
              <w:bottom w:val="nil"/>
              <w:right w:val="nil"/>
            </w:tcBorders>
            <w:shd w:val="clear" w:color="auto" w:fill="F2F2F2"/>
            <w:noWrap/>
            <w:vAlign w:val="bottom"/>
            <w:hideMark/>
          </w:tcPr>
          <w:p w14:paraId="740C2FA9"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36-45</w:t>
            </w:r>
          </w:p>
        </w:tc>
        <w:tc>
          <w:tcPr>
            <w:tcW w:w="567" w:type="dxa"/>
            <w:tcBorders>
              <w:top w:val="nil"/>
              <w:left w:val="nil"/>
              <w:bottom w:val="nil"/>
              <w:right w:val="nil"/>
            </w:tcBorders>
            <w:shd w:val="clear" w:color="auto" w:fill="F2F2F2"/>
            <w:noWrap/>
            <w:vAlign w:val="bottom"/>
            <w:hideMark/>
          </w:tcPr>
          <w:p w14:paraId="128D6626"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1336</w:t>
            </w:r>
          </w:p>
        </w:tc>
        <w:tc>
          <w:tcPr>
            <w:tcW w:w="592" w:type="dxa"/>
            <w:tcBorders>
              <w:top w:val="nil"/>
              <w:left w:val="nil"/>
              <w:bottom w:val="nil"/>
              <w:right w:val="single" w:sz="4" w:space="0" w:color="auto"/>
            </w:tcBorders>
            <w:shd w:val="clear" w:color="auto" w:fill="F2F2F2"/>
            <w:noWrap/>
            <w:vAlign w:val="bottom"/>
            <w:hideMark/>
          </w:tcPr>
          <w:p w14:paraId="55948E1B"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23.1</w:t>
            </w:r>
          </w:p>
        </w:tc>
        <w:tc>
          <w:tcPr>
            <w:tcW w:w="1560" w:type="dxa"/>
            <w:tcBorders>
              <w:top w:val="nil"/>
              <w:left w:val="single" w:sz="4" w:space="0" w:color="auto"/>
              <w:bottom w:val="nil"/>
              <w:right w:val="nil"/>
            </w:tcBorders>
            <w:shd w:val="clear" w:color="auto" w:fill="F2F2F2"/>
            <w:noWrap/>
            <w:vAlign w:val="bottom"/>
            <w:hideMark/>
          </w:tcPr>
          <w:p w14:paraId="3F1C7488"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739/1311 (56.4)</w:t>
            </w:r>
          </w:p>
        </w:tc>
        <w:tc>
          <w:tcPr>
            <w:tcW w:w="1366" w:type="dxa"/>
            <w:tcBorders>
              <w:top w:val="nil"/>
              <w:left w:val="nil"/>
              <w:bottom w:val="nil"/>
              <w:right w:val="nil"/>
            </w:tcBorders>
            <w:shd w:val="clear" w:color="auto" w:fill="F2F2F2"/>
            <w:noWrap/>
            <w:vAlign w:val="bottom"/>
            <w:hideMark/>
          </w:tcPr>
          <w:p w14:paraId="41AF4D43" w14:textId="0B877119"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3.89 (3.32</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4.57)</w:t>
            </w:r>
          </w:p>
        </w:tc>
        <w:tc>
          <w:tcPr>
            <w:tcW w:w="692" w:type="dxa"/>
            <w:tcBorders>
              <w:top w:val="nil"/>
              <w:left w:val="nil"/>
              <w:bottom w:val="nil"/>
              <w:right w:val="nil"/>
            </w:tcBorders>
            <w:shd w:val="clear" w:color="auto" w:fill="F2F2F2"/>
            <w:noWrap/>
            <w:vAlign w:val="bottom"/>
            <w:hideMark/>
          </w:tcPr>
          <w:p w14:paraId="7D33E498"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F2F2F2"/>
            <w:noWrap/>
            <w:vAlign w:val="bottom"/>
            <w:hideMark/>
          </w:tcPr>
          <w:p w14:paraId="4AD59294"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25" w:type="dxa"/>
            <w:tcBorders>
              <w:top w:val="nil"/>
              <w:left w:val="nil"/>
              <w:bottom w:val="nil"/>
              <w:right w:val="single" w:sz="4" w:space="0" w:color="auto"/>
            </w:tcBorders>
            <w:shd w:val="clear" w:color="auto" w:fill="F2F2F2"/>
            <w:noWrap/>
            <w:vAlign w:val="bottom"/>
            <w:hideMark/>
          </w:tcPr>
          <w:p w14:paraId="7E651F3D"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F2F2F2"/>
            <w:noWrap/>
            <w:vAlign w:val="bottom"/>
            <w:hideMark/>
          </w:tcPr>
          <w:p w14:paraId="086C6172" w14:textId="69DDB803" w:rsidR="00ED367C" w:rsidRPr="00834AAA" w:rsidRDefault="00B0200B"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837</w:t>
            </w:r>
            <w:r w:rsidR="00ED367C" w:rsidRPr="00834AAA">
              <w:rPr>
                <w:rFonts w:ascii="Calibri" w:eastAsia="Times New Roman" w:hAnsi="Calibri" w:cs="Times New Roman"/>
                <w:color w:val="000000"/>
                <w:sz w:val="16"/>
                <w:szCs w:val="14"/>
                <w:lang w:eastAsia="en-GB"/>
              </w:rPr>
              <w:t>/1326 (</w:t>
            </w:r>
            <w:r w:rsidR="00E702EF">
              <w:rPr>
                <w:rFonts w:ascii="Calibri" w:eastAsia="Times New Roman" w:hAnsi="Calibri" w:cs="Times New Roman"/>
                <w:color w:val="000000"/>
                <w:sz w:val="16"/>
                <w:szCs w:val="14"/>
                <w:lang w:eastAsia="en-GB"/>
              </w:rPr>
              <w:t>63</w:t>
            </w:r>
            <w:r w:rsidR="00ED367C" w:rsidRPr="00834AAA">
              <w:rPr>
                <w:rFonts w:ascii="Calibri" w:eastAsia="Times New Roman" w:hAnsi="Calibri" w:cs="Times New Roman"/>
                <w:color w:val="000000"/>
                <w:sz w:val="16"/>
                <w:szCs w:val="14"/>
                <w:lang w:eastAsia="en-GB"/>
              </w:rPr>
              <w:t>.</w:t>
            </w:r>
            <w:r w:rsidR="00E702EF">
              <w:rPr>
                <w:rFonts w:ascii="Calibri" w:eastAsia="Times New Roman" w:hAnsi="Calibri" w:cs="Times New Roman"/>
                <w:color w:val="000000"/>
                <w:sz w:val="16"/>
                <w:szCs w:val="14"/>
                <w:lang w:eastAsia="en-GB"/>
              </w:rPr>
              <w:t>1</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F2F2F2"/>
            <w:noWrap/>
            <w:vAlign w:val="bottom"/>
            <w:hideMark/>
          </w:tcPr>
          <w:p w14:paraId="40E316AD" w14:textId="7C9DB436"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w:t>
            </w:r>
            <w:r w:rsidR="00E53EC5">
              <w:rPr>
                <w:rFonts w:ascii="Calibri" w:eastAsia="Times New Roman" w:hAnsi="Calibri" w:cs="Times New Roman"/>
                <w:color w:val="000000"/>
                <w:sz w:val="16"/>
                <w:szCs w:val="14"/>
                <w:lang w:eastAsia="en-GB"/>
              </w:rPr>
              <w:t>07</w:t>
            </w:r>
            <w:r w:rsidRPr="00834AAA">
              <w:rPr>
                <w:rFonts w:ascii="Calibri" w:eastAsia="Times New Roman" w:hAnsi="Calibri" w:cs="Times New Roman"/>
                <w:color w:val="000000"/>
                <w:sz w:val="16"/>
                <w:szCs w:val="14"/>
                <w:lang w:eastAsia="en-GB"/>
              </w:rPr>
              <w:t xml:space="preserve"> (0.</w:t>
            </w:r>
            <w:r w:rsidR="00E53EC5">
              <w:rPr>
                <w:rFonts w:ascii="Calibri" w:eastAsia="Times New Roman" w:hAnsi="Calibri" w:cs="Times New Roman"/>
                <w:color w:val="000000"/>
                <w:sz w:val="16"/>
                <w:szCs w:val="14"/>
                <w:lang w:eastAsia="en-GB"/>
              </w:rPr>
              <w:t>92</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w:t>
            </w:r>
            <w:r w:rsidR="00E53EC5">
              <w:rPr>
                <w:rFonts w:ascii="Calibri" w:eastAsia="Times New Roman" w:hAnsi="Calibri" w:cs="Times New Roman"/>
                <w:color w:val="000000"/>
                <w:sz w:val="16"/>
                <w:szCs w:val="14"/>
                <w:lang w:eastAsia="en-GB"/>
              </w:rPr>
              <w:t>25</w:t>
            </w:r>
            <w:r w:rsidRPr="00834AAA">
              <w:rPr>
                <w:rFonts w:ascii="Calibri" w:eastAsia="Times New Roman" w:hAnsi="Calibri" w:cs="Times New Roman"/>
                <w:color w:val="000000"/>
                <w:sz w:val="16"/>
                <w:szCs w:val="14"/>
                <w:lang w:eastAsia="en-GB"/>
              </w:rPr>
              <w:t>)</w:t>
            </w:r>
          </w:p>
        </w:tc>
        <w:tc>
          <w:tcPr>
            <w:tcW w:w="692" w:type="dxa"/>
            <w:tcBorders>
              <w:top w:val="nil"/>
              <w:left w:val="nil"/>
              <w:bottom w:val="nil"/>
              <w:right w:val="nil"/>
            </w:tcBorders>
            <w:shd w:val="clear" w:color="auto" w:fill="F2F2F2"/>
            <w:noWrap/>
            <w:vAlign w:val="bottom"/>
            <w:hideMark/>
          </w:tcPr>
          <w:p w14:paraId="62E9B087"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F2F2F2"/>
            <w:noWrap/>
            <w:vAlign w:val="bottom"/>
            <w:hideMark/>
          </w:tcPr>
          <w:p w14:paraId="3A262866"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50" w:type="dxa"/>
            <w:tcBorders>
              <w:top w:val="nil"/>
              <w:left w:val="nil"/>
              <w:bottom w:val="nil"/>
              <w:right w:val="nil"/>
            </w:tcBorders>
            <w:shd w:val="clear" w:color="auto" w:fill="F2F2F2"/>
            <w:noWrap/>
            <w:vAlign w:val="bottom"/>
            <w:hideMark/>
          </w:tcPr>
          <w:p w14:paraId="64E8A679"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331B4B" w:rsidRPr="00834AAA" w14:paraId="0A03FE89" w14:textId="77777777" w:rsidTr="001367EE">
        <w:trPr>
          <w:trHeight w:val="20"/>
        </w:trPr>
        <w:tc>
          <w:tcPr>
            <w:tcW w:w="2660" w:type="dxa"/>
            <w:tcBorders>
              <w:top w:val="nil"/>
              <w:left w:val="nil"/>
              <w:bottom w:val="nil"/>
              <w:right w:val="nil"/>
            </w:tcBorders>
            <w:shd w:val="clear" w:color="auto" w:fill="F2F2F2"/>
            <w:noWrap/>
            <w:vAlign w:val="bottom"/>
            <w:hideMark/>
          </w:tcPr>
          <w:p w14:paraId="664E6420"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&gt;45</w:t>
            </w:r>
          </w:p>
        </w:tc>
        <w:tc>
          <w:tcPr>
            <w:tcW w:w="567" w:type="dxa"/>
            <w:tcBorders>
              <w:top w:val="nil"/>
              <w:left w:val="nil"/>
              <w:bottom w:val="nil"/>
              <w:right w:val="nil"/>
            </w:tcBorders>
            <w:shd w:val="clear" w:color="auto" w:fill="F2F2F2"/>
            <w:noWrap/>
            <w:vAlign w:val="bottom"/>
            <w:hideMark/>
          </w:tcPr>
          <w:p w14:paraId="6863FE1C"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1260</w:t>
            </w:r>
          </w:p>
        </w:tc>
        <w:tc>
          <w:tcPr>
            <w:tcW w:w="592" w:type="dxa"/>
            <w:tcBorders>
              <w:top w:val="nil"/>
              <w:left w:val="nil"/>
              <w:bottom w:val="nil"/>
              <w:right w:val="single" w:sz="4" w:space="0" w:color="auto"/>
            </w:tcBorders>
            <w:shd w:val="clear" w:color="auto" w:fill="F2F2F2"/>
            <w:noWrap/>
            <w:vAlign w:val="bottom"/>
            <w:hideMark/>
          </w:tcPr>
          <w:p w14:paraId="5F1853E2"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21.8</w:t>
            </w:r>
          </w:p>
        </w:tc>
        <w:tc>
          <w:tcPr>
            <w:tcW w:w="1560" w:type="dxa"/>
            <w:tcBorders>
              <w:top w:val="nil"/>
              <w:left w:val="single" w:sz="4" w:space="0" w:color="auto"/>
              <w:bottom w:val="nil"/>
              <w:right w:val="nil"/>
            </w:tcBorders>
            <w:shd w:val="clear" w:color="auto" w:fill="F2F2F2"/>
            <w:noWrap/>
            <w:vAlign w:val="bottom"/>
            <w:hideMark/>
          </w:tcPr>
          <w:p w14:paraId="4356EB87"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710/1234 (57.5)</w:t>
            </w:r>
          </w:p>
        </w:tc>
        <w:tc>
          <w:tcPr>
            <w:tcW w:w="1366" w:type="dxa"/>
            <w:tcBorders>
              <w:top w:val="nil"/>
              <w:left w:val="nil"/>
              <w:bottom w:val="nil"/>
              <w:right w:val="nil"/>
            </w:tcBorders>
            <w:shd w:val="clear" w:color="auto" w:fill="F2F2F2"/>
            <w:noWrap/>
            <w:vAlign w:val="bottom"/>
            <w:hideMark/>
          </w:tcPr>
          <w:p w14:paraId="78967F7E" w14:textId="491763C4"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4.08 (3.47</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4.8</w:t>
            </w:r>
            <w:r w:rsidR="001367EE">
              <w:rPr>
                <w:rFonts w:ascii="Calibri" w:eastAsia="Times New Roman" w:hAnsi="Calibri" w:cs="Times New Roman"/>
                <w:color w:val="000000"/>
                <w:sz w:val="16"/>
                <w:szCs w:val="14"/>
                <w:lang w:eastAsia="en-GB"/>
              </w:rPr>
              <w:t>0</w:t>
            </w:r>
            <w:r w:rsidRPr="00834AAA">
              <w:rPr>
                <w:rFonts w:ascii="Calibri" w:eastAsia="Times New Roman" w:hAnsi="Calibri" w:cs="Times New Roman"/>
                <w:color w:val="000000"/>
                <w:sz w:val="16"/>
                <w:szCs w:val="14"/>
                <w:lang w:eastAsia="en-GB"/>
              </w:rPr>
              <w:t>)</w:t>
            </w:r>
          </w:p>
        </w:tc>
        <w:tc>
          <w:tcPr>
            <w:tcW w:w="692" w:type="dxa"/>
            <w:tcBorders>
              <w:top w:val="nil"/>
              <w:left w:val="nil"/>
              <w:bottom w:val="nil"/>
              <w:right w:val="nil"/>
            </w:tcBorders>
            <w:shd w:val="clear" w:color="auto" w:fill="F2F2F2"/>
            <w:noWrap/>
            <w:vAlign w:val="bottom"/>
            <w:hideMark/>
          </w:tcPr>
          <w:p w14:paraId="40A602BA"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&lt;0.001</w:t>
            </w:r>
          </w:p>
        </w:tc>
        <w:tc>
          <w:tcPr>
            <w:tcW w:w="1485" w:type="dxa"/>
            <w:tcBorders>
              <w:top w:val="nil"/>
              <w:left w:val="nil"/>
              <w:bottom w:val="nil"/>
              <w:right w:val="nil"/>
            </w:tcBorders>
            <w:shd w:val="clear" w:color="auto" w:fill="F2F2F2"/>
            <w:noWrap/>
            <w:vAlign w:val="bottom"/>
            <w:hideMark/>
          </w:tcPr>
          <w:p w14:paraId="3BC38073"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25" w:type="dxa"/>
            <w:tcBorders>
              <w:top w:val="nil"/>
              <w:left w:val="nil"/>
              <w:bottom w:val="nil"/>
              <w:right w:val="single" w:sz="4" w:space="0" w:color="auto"/>
            </w:tcBorders>
            <w:shd w:val="clear" w:color="auto" w:fill="F2F2F2"/>
            <w:noWrap/>
            <w:vAlign w:val="bottom"/>
            <w:hideMark/>
          </w:tcPr>
          <w:p w14:paraId="56237E50"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F2F2F2"/>
            <w:noWrap/>
            <w:vAlign w:val="bottom"/>
            <w:hideMark/>
          </w:tcPr>
          <w:p w14:paraId="2AB1A84B" w14:textId="3C50F965" w:rsidR="00ED367C" w:rsidRPr="00834AAA" w:rsidRDefault="00B0200B"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776</w:t>
            </w:r>
            <w:r w:rsidR="00ED367C" w:rsidRPr="00834AAA">
              <w:rPr>
                <w:rFonts w:ascii="Calibri" w:eastAsia="Times New Roman" w:hAnsi="Calibri" w:cs="Times New Roman"/>
                <w:color w:val="000000"/>
                <w:sz w:val="16"/>
                <w:szCs w:val="14"/>
                <w:lang w:eastAsia="en-GB"/>
              </w:rPr>
              <w:t>/1252 (</w:t>
            </w:r>
            <w:r w:rsidR="00E702EF">
              <w:rPr>
                <w:rFonts w:ascii="Calibri" w:eastAsia="Times New Roman" w:hAnsi="Calibri" w:cs="Times New Roman"/>
                <w:color w:val="000000"/>
                <w:sz w:val="16"/>
                <w:szCs w:val="14"/>
                <w:lang w:eastAsia="en-GB"/>
              </w:rPr>
              <w:t>62</w:t>
            </w:r>
            <w:r w:rsidR="00ED367C" w:rsidRPr="00834AAA">
              <w:rPr>
                <w:rFonts w:ascii="Calibri" w:eastAsia="Times New Roman" w:hAnsi="Calibri" w:cs="Times New Roman"/>
                <w:color w:val="000000"/>
                <w:sz w:val="16"/>
                <w:szCs w:val="14"/>
                <w:lang w:eastAsia="en-GB"/>
              </w:rPr>
              <w:t>.</w:t>
            </w:r>
            <w:r w:rsidR="00E702EF">
              <w:rPr>
                <w:rFonts w:ascii="Calibri" w:eastAsia="Times New Roman" w:hAnsi="Calibri" w:cs="Times New Roman"/>
                <w:color w:val="000000"/>
                <w:sz w:val="16"/>
                <w:szCs w:val="14"/>
                <w:lang w:eastAsia="en-GB"/>
              </w:rPr>
              <w:t>0</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F2F2F2"/>
            <w:noWrap/>
            <w:vAlign w:val="bottom"/>
            <w:hideMark/>
          </w:tcPr>
          <w:p w14:paraId="7C9207EE" w14:textId="7A94CF9F"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w:t>
            </w:r>
            <w:r w:rsidR="00E53EC5">
              <w:rPr>
                <w:rFonts w:ascii="Calibri" w:eastAsia="Times New Roman" w:hAnsi="Calibri" w:cs="Times New Roman"/>
                <w:color w:val="000000"/>
                <w:sz w:val="16"/>
                <w:szCs w:val="14"/>
                <w:lang w:eastAsia="en-GB"/>
              </w:rPr>
              <w:t>02</w:t>
            </w:r>
            <w:r w:rsidRPr="00834AAA">
              <w:rPr>
                <w:rFonts w:ascii="Calibri" w:eastAsia="Times New Roman" w:hAnsi="Calibri" w:cs="Times New Roman"/>
                <w:color w:val="000000"/>
                <w:sz w:val="16"/>
                <w:szCs w:val="14"/>
                <w:lang w:eastAsia="en-GB"/>
              </w:rPr>
              <w:t xml:space="preserve"> (</w:t>
            </w:r>
            <w:r w:rsidR="00E53EC5">
              <w:rPr>
                <w:rFonts w:ascii="Calibri" w:eastAsia="Times New Roman" w:hAnsi="Calibri" w:cs="Times New Roman"/>
                <w:color w:val="000000"/>
                <w:sz w:val="16"/>
                <w:szCs w:val="14"/>
                <w:lang w:eastAsia="en-GB"/>
              </w:rPr>
              <w:t>0.88</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w:t>
            </w:r>
            <w:r w:rsidR="00E53EC5">
              <w:rPr>
                <w:rFonts w:ascii="Calibri" w:eastAsia="Times New Roman" w:hAnsi="Calibri" w:cs="Times New Roman"/>
                <w:color w:val="000000"/>
                <w:sz w:val="16"/>
                <w:szCs w:val="14"/>
                <w:lang w:eastAsia="en-GB"/>
              </w:rPr>
              <w:t>19</w:t>
            </w:r>
            <w:r w:rsidRPr="00834AAA">
              <w:rPr>
                <w:rFonts w:ascii="Calibri" w:eastAsia="Times New Roman" w:hAnsi="Calibri" w:cs="Times New Roman"/>
                <w:color w:val="000000"/>
                <w:sz w:val="16"/>
                <w:szCs w:val="14"/>
                <w:lang w:eastAsia="en-GB"/>
              </w:rPr>
              <w:t>)</w:t>
            </w:r>
          </w:p>
        </w:tc>
        <w:tc>
          <w:tcPr>
            <w:tcW w:w="692" w:type="dxa"/>
            <w:tcBorders>
              <w:top w:val="nil"/>
              <w:left w:val="nil"/>
              <w:bottom w:val="nil"/>
              <w:right w:val="nil"/>
            </w:tcBorders>
            <w:shd w:val="clear" w:color="auto" w:fill="F2F2F2"/>
            <w:noWrap/>
            <w:vAlign w:val="bottom"/>
            <w:hideMark/>
          </w:tcPr>
          <w:p w14:paraId="094728A1" w14:textId="39EE083D" w:rsidR="00ED367C" w:rsidRPr="00834AAA" w:rsidRDefault="00E53EC5" w:rsidP="00D30520">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0.390</w:t>
            </w:r>
          </w:p>
        </w:tc>
        <w:tc>
          <w:tcPr>
            <w:tcW w:w="1576" w:type="dxa"/>
            <w:tcBorders>
              <w:top w:val="nil"/>
              <w:left w:val="nil"/>
              <w:bottom w:val="nil"/>
              <w:right w:val="nil"/>
            </w:tcBorders>
            <w:shd w:val="clear" w:color="auto" w:fill="F2F2F2"/>
            <w:noWrap/>
            <w:vAlign w:val="bottom"/>
            <w:hideMark/>
          </w:tcPr>
          <w:p w14:paraId="09EE6303"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50" w:type="dxa"/>
            <w:tcBorders>
              <w:top w:val="nil"/>
              <w:left w:val="nil"/>
              <w:bottom w:val="nil"/>
              <w:right w:val="nil"/>
            </w:tcBorders>
            <w:shd w:val="clear" w:color="auto" w:fill="F2F2F2"/>
            <w:noWrap/>
            <w:vAlign w:val="bottom"/>
            <w:hideMark/>
          </w:tcPr>
          <w:p w14:paraId="19591840"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1367EE" w:rsidRPr="00834AAA" w14:paraId="638C08D3" w14:textId="77777777" w:rsidTr="001367EE">
        <w:trPr>
          <w:trHeight w:val="20"/>
        </w:trPr>
        <w:tc>
          <w:tcPr>
            <w:tcW w:w="2660" w:type="dxa"/>
            <w:tcBorders>
              <w:top w:val="nil"/>
              <w:left w:val="nil"/>
              <w:bottom w:val="nil"/>
              <w:right w:val="nil"/>
            </w:tcBorders>
            <w:shd w:val="clear" w:color="auto" w:fill="auto"/>
            <w:noWrap/>
            <w:vAlign w:val="bottom"/>
            <w:hideMark/>
          </w:tcPr>
          <w:p w14:paraId="5648727C" w14:textId="77777777" w:rsidR="00ED367C" w:rsidRPr="00834AAA" w:rsidRDefault="00ED367C" w:rsidP="00D30520">
            <w:pPr>
              <w:spacing w:before="0" w:after="0" w:line="240" w:lineRule="auto"/>
              <w:rPr>
                <w:rFonts w:ascii="Calibri" w:eastAsia="Times New Roman" w:hAnsi="Calibri" w:cs="Times New Roman"/>
                <w:b/>
                <w:color w:val="000000"/>
                <w:sz w:val="16"/>
                <w:szCs w:val="14"/>
                <w:lang w:eastAsia="en-GB"/>
              </w:rPr>
            </w:pPr>
            <w:r w:rsidRPr="00834AAA">
              <w:rPr>
                <w:rFonts w:ascii="Calibri" w:eastAsia="Times New Roman" w:hAnsi="Calibri" w:cs="Times New Roman"/>
                <w:b/>
                <w:color w:val="000000"/>
                <w:sz w:val="16"/>
                <w:szCs w:val="14"/>
                <w:lang w:eastAsia="en-GB"/>
              </w:rPr>
              <w:t>Ethnicity</w:t>
            </w:r>
          </w:p>
        </w:tc>
        <w:tc>
          <w:tcPr>
            <w:tcW w:w="567" w:type="dxa"/>
            <w:tcBorders>
              <w:top w:val="nil"/>
              <w:left w:val="nil"/>
              <w:bottom w:val="nil"/>
              <w:right w:val="nil"/>
            </w:tcBorders>
            <w:shd w:val="clear" w:color="auto" w:fill="auto"/>
            <w:noWrap/>
            <w:vAlign w:val="bottom"/>
            <w:hideMark/>
          </w:tcPr>
          <w:p w14:paraId="345CD909"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592" w:type="dxa"/>
            <w:tcBorders>
              <w:top w:val="nil"/>
              <w:left w:val="nil"/>
              <w:bottom w:val="nil"/>
              <w:right w:val="single" w:sz="4" w:space="0" w:color="auto"/>
            </w:tcBorders>
            <w:shd w:val="clear" w:color="auto" w:fill="auto"/>
            <w:noWrap/>
            <w:vAlign w:val="bottom"/>
            <w:hideMark/>
          </w:tcPr>
          <w:p w14:paraId="68FF0DE0"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560" w:type="dxa"/>
            <w:tcBorders>
              <w:top w:val="nil"/>
              <w:left w:val="single" w:sz="4" w:space="0" w:color="auto"/>
              <w:bottom w:val="nil"/>
              <w:right w:val="nil"/>
            </w:tcBorders>
            <w:shd w:val="clear" w:color="auto" w:fill="auto"/>
            <w:noWrap/>
            <w:vAlign w:val="bottom"/>
            <w:hideMark/>
          </w:tcPr>
          <w:p w14:paraId="1BC441E3"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p>
        </w:tc>
        <w:tc>
          <w:tcPr>
            <w:tcW w:w="1366" w:type="dxa"/>
            <w:tcBorders>
              <w:top w:val="nil"/>
              <w:left w:val="nil"/>
              <w:bottom w:val="nil"/>
              <w:right w:val="nil"/>
            </w:tcBorders>
            <w:shd w:val="clear" w:color="auto" w:fill="auto"/>
            <w:noWrap/>
            <w:vAlign w:val="bottom"/>
            <w:hideMark/>
          </w:tcPr>
          <w:p w14:paraId="53207070"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auto"/>
            <w:noWrap/>
            <w:vAlign w:val="bottom"/>
            <w:hideMark/>
          </w:tcPr>
          <w:p w14:paraId="1E8663C3"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auto"/>
            <w:noWrap/>
            <w:vAlign w:val="bottom"/>
            <w:hideMark/>
          </w:tcPr>
          <w:p w14:paraId="24ADF8F9"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25" w:type="dxa"/>
            <w:tcBorders>
              <w:top w:val="nil"/>
              <w:left w:val="nil"/>
              <w:bottom w:val="nil"/>
              <w:right w:val="single" w:sz="4" w:space="0" w:color="auto"/>
            </w:tcBorders>
            <w:shd w:val="clear" w:color="auto" w:fill="auto"/>
            <w:noWrap/>
            <w:vAlign w:val="bottom"/>
            <w:hideMark/>
          </w:tcPr>
          <w:p w14:paraId="413526B9"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auto"/>
            <w:noWrap/>
            <w:vAlign w:val="bottom"/>
            <w:hideMark/>
          </w:tcPr>
          <w:p w14:paraId="2F1B5EE0"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p>
        </w:tc>
        <w:tc>
          <w:tcPr>
            <w:tcW w:w="1513" w:type="dxa"/>
            <w:tcBorders>
              <w:top w:val="nil"/>
              <w:left w:val="nil"/>
              <w:bottom w:val="nil"/>
              <w:right w:val="nil"/>
            </w:tcBorders>
            <w:shd w:val="clear" w:color="auto" w:fill="auto"/>
            <w:noWrap/>
            <w:vAlign w:val="bottom"/>
            <w:hideMark/>
          </w:tcPr>
          <w:p w14:paraId="48137EC8"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auto"/>
            <w:noWrap/>
            <w:vAlign w:val="bottom"/>
            <w:hideMark/>
          </w:tcPr>
          <w:p w14:paraId="2EF39C78"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auto"/>
            <w:noWrap/>
            <w:vAlign w:val="bottom"/>
            <w:hideMark/>
          </w:tcPr>
          <w:p w14:paraId="52C66AF4"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50" w:type="dxa"/>
            <w:tcBorders>
              <w:top w:val="nil"/>
              <w:left w:val="nil"/>
              <w:bottom w:val="nil"/>
              <w:right w:val="nil"/>
            </w:tcBorders>
            <w:shd w:val="clear" w:color="auto" w:fill="auto"/>
            <w:noWrap/>
            <w:vAlign w:val="bottom"/>
            <w:hideMark/>
          </w:tcPr>
          <w:p w14:paraId="2101F7CC"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1367EE" w:rsidRPr="00834AAA" w14:paraId="2814EAD6" w14:textId="77777777" w:rsidTr="001367EE">
        <w:trPr>
          <w:trHeight w:val="20"/>
        </w:trPr>
        <w:tc>
          <w:tcPr>
            <w:tcW w:w="2660" w:type="dxa"/>
            <w:tcBorders>
              <w:top w:val="nil"/>
              <w:left w:val="nil"/>
              <w:bottom w:val="nil"/>
              <w:right w:val="nil"/>
            </w:tcBorders>
            <w:shd w:val="clear" w:color="auto" w:fill="auto"/>
            <w:noWrap/>
            <w:vAlign w:val="bottom"/>
            <w:hideMark/>
          </w:tcPr>
          <w:p w14:paraId="0E3B7DF1" w14:textId="7BBEE133"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White</w:t>
            </w:r>
          </w:p>
        </w:tc>
        <w:tc>
          <w:tcPr>
            <w:tcW w:w="567" w:type="dxa"/>
            <w:tcBorders>
              <w:top w:val="nil"/>
              <w:left w:val="nil"/>
              <w:bottom w:val="nil"/>
              <w:right w:val="nil"/>
            </w:tcBorders>
            <w:shd w:val="clear" w:color="auto" w:fill="auto"/>
            <w:noWrap/>
            <w:vAlign w:val="bottom"/>
            <w:hideMark/>
          </w:tcPr>
          <w:p w14:paraId="1B5B409F"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5476</w:t>
            </w:r>
          </w:p>
        </w:tc>
        <w:tc>
          <w:tcPr>
            <w:tcW w:w="592" w:type="dxa"/>
            <w:tcBorders>
              <w:top w:val="nil"/>
              <w:left w:val="nil"/>
              <w:bottom w:val="nil"/>
              <w:right w:val="single" w:sz="4" w:space="0" w:color="auto"/>
            </w:tcBorders>
            <w:shd w:val="clear" w:color="auto" w:fill="auto"/>
            <w:noWrap/>
            <w:vAlign w:val="bottom"/>
            <w:hideMark/>
          </w:tcPr>
          <w:p w14:paraId="16CAE4D6"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94.6</w:t>
            </w:r>
          </w:p>
        </w:tc>
        <w:tc>
          <w:tcPr>
            <w:tcW w:w="1560" w:type="dxa"/>
            <w:tcBorders>
              <w:top w:val="nil"/>
              <w:left w:val="single" w:sz="4" w:space="0" w:color="auto"/>
              <w:bottom w:val="nil"/>
              <w:right w:val="nil"/>
            </w:tcBorders>
            <w:shd w:val="clear" w:color="auto" w:fill="auto"/>
            <w:noWrap/>
            <w:vAlign w:val="bottom"/>
            <w:hideMark/>
          </w:tcPr>
          <w:p w14:paraId="00B9ADC1"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2369/5377 (44.1)</w:t>
            </w:r>
          </w:p>
        </w:tc>
        <w:tc>
          <w:tcPr>
            <w:tcW w:w="1366" w:type="dxa"/>
            <w:tcBorders>
              <w:top w:val="nil"/>
              <w:left w:val="nil"/>
              <w:bottom w:val="nil"/>
              <w:right w:val="nil"/>
            </w:tcBorders>
            <w:shd w:val="clear" w:color="auto" w:fill="auto"/>
            <w:noWrap/>
            <w:vAlign w:val="bottom"/>
            <w:hideMark/>
          </w:tcPr>
          <w:p w14:paraId="6E4B6794" w14:textId="64D267F2" w:rsidR="00ED367C" w:rsidRPr="00834AAA" w:rsidRDefault="001367EE"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692" w:type="dxa"/>
            <w:tcBorders>
              <w:top w:val="nil"/>
              <w:left w:val="nil"/>
              <w:bottom w:val="nil"/>
              <w:right w:val="nil"/>
            </w:tcBorders>
            <w:shd w:val="clear" w:color="auto" w:fill="auto"/>
            <w:noWrap/>
            <w:vAlign w:val="bottom"/>
            <w:hideMark/>
          </w:tcPr>
          <w:p w14:paraId="5DD187E2"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auto"/>
            <w:noWrap/>
            <w:vAlign w:val="bottom"/>
            <w:hideMark/>
          </w:tcPr>
          <w:p w14:paraId="4A56DCDE" w14:textId="76EAAA05" w:rsidR="00ED367C" w:rsidRPr="00834AAA" w:rsidRDefault="001367EE"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825" w:type="dxa"/>
            <w:tcBorders>
              <w:top w:val="nil"/>
              <w:left w:val="nil"/>
              <w:bottom w:val="nil"/>
              <w:right w:val="single" w:sz="4" w:space="0" w:color="auto"/>
            </w:tcBorders>
            <w:shd w:val="clear" w:color="auto" w:fill="auto"/>
            <w:noWrap/>
            <w:vAlign w:val="bottom"/>
            <w:hideMark/>
          </w:tcPr>
          <w:p w14:paraId="0163FC7B"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auto"/>
            <w:noWrap/>
            <w:vAlign w:val="bottom"/>
            <w:hideMark/>
          </w:tcPr>
          <w:p w14:paraId="73D9A743" w14:textId="6A0F1103" w:rsidR="00ED367C" w:rsidRPr="00834AAA" w:rsidRDefault="00DC6617"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3331</w:t>
            </w:r>
            <w:r w:rsidR="00ED367C" w:rsidRPr="00834AAA">
              <w:rPr>
                <w:rFonts w:ascii="Calibri" w:eastAsia="Times New Roman" w:hAnsi="Calibri" w:cs="Times New Roman"/>
                <w:color w:val="000000"/>
                <w:sz w:val="16"/>
                <w:szCs w:val="14"/>
                <w:lang w:eastAsia="en-GB"/>
              </w:rPr>
              <w:t>/5440 (</w:t>
            </w:r>
            <w:r>
              <w:rPr>
                <w:rFonts w:ascii="Calibri" w:eastAsia="Times New Roman" w:hAnsi="Calibri" w:cs="Times New Roman"/>
                <w:color w:val="000000"/>
                <w:sz w:val="16"/>
                <w:szCs w:val="14"/>
                <w:lang w:eastAsia="en-GB"/>
              </w:rPr>
              <w:t>61.2</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auto"/>
            <w:noWrap/>
            <w:vAlign w:val="bottom"/>
            <w:hideMark/>
          </w:tcPr>
          <w:p w14:paraId="7FF2B876" w14:textId="5F0C8923" w:rsidR="00ED367C" w:rsidRPr="00834AAA" w:rsidRDefault="00617E90"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692" w:type="dxa"/>
            <w:tcBorders>
              <w:top w:val="nil"/>
              <w:left w:val="nil"/>
              <w:bottom w:val="nil"/>
              <w:right w:val="nil"/>
            </w:tcBorders>
            <w:shd w:val="clear" w:color="auto" w:fill="auto"/>
            <w:noWrap/>
            <w:vAlign w:val="bottom"/>
            <w:hideMark/>
          </w:tcPr>
          <w:p w14:paraId="1D9B8DAA"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auto"/>
            <w:noWrap/>
            <w:vAlign w:val="bottom"/>
            <w:hideMark/>
          </w:tcPr>
          <w:p w14:paraId="739683E7" w14:textId="7EF5F6E0" w:rsidR="00ED367C" w:rsidRPr="00834AAA" w:rsidRDefault="00617E90" w:rsidP="00D30520">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850" w:type="dxa"/>
            <w:tcBorders>
              <w:top w:val="nil"/>
              <w:left w:val="nil"/>
              <w:bottom w:val="nil"/>
              <w:right w:val="nil"/>
            </w:tcBorders>
            <w:shd w:val="clear" w:color="auto" w:fill="auto"/>
            <w:noWrap/>
            <w:vAlign w:val="bottom"/>
            <w:hideMark/>
          </w:tcPr>
          <w:p w14:paraId="704F2A41"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1367EE" w:rsidRPr="00834AAA" w14:paraId="6FDAC3FF" w14:textId="77777777" w:rsidTr="001367EE">
        <w:trPr>
          <w:trHeight w:val="20"/>
        </w:trPr>
        <w:tc>
          <w:tcPr>
            <w:tcW w:w="2660" w:type="dxa"/>
            <w:tcBorders>
              <w:top w:val="nil"/>
              <w:left w:val="nil"/>
              <w:bottom w:val="nil"/>
              <w:right w:val="nil"/>
            </w:tcBorders>
            <w:shd w:val="clear" w:color="auto" w:fill="auto"/>
            <w:noWrap/>
            <w:vAlign w:val="bottom"/>
            <w:hideMark/>
          </w:tcPr>
          <w:p w14:paraId="4581EAE2" w14:textId="3D0CF68C"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Black</w:t>
            </w:r>
          </w:p>
        </w:tc>
        <w:tc>
          <w:tcPr>
            <w:tcW w:w="567" w:type="dxa"/>
            <w:tcBorders>
              <w:top w:val="nil"/>
              <w:left w:val="nil"/>
              <w:bottom w:val="nil"/>
              <w:right w:val="nil"/>
            </w:tcBorders>
            <w:shd w:val="clear" w:color="auto" w:fill="auto"/>
            <w:noWrap/>
            <w:vAlign w:val="bottom"/>
            <w:hideMark/>
          </w:tcPr>
          <w:p w14:paraId="241CC375"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52</w:t>
            </w:r>
          </w:p>
        </w:tc>
        <w:tc>
          <w:tcPr>
            <w:tcW w:w="592" w:type="dxa"/>
            <w:tcBorders>
              <w:top w:val="nil"/>
              <w:left w:val="nil"/>
              <w:bottom w:val="nil"/>
              <w:right w:val="single" w:sz="4" w:space="0" w:color="auto"/>
            </w:tcBorders>
            <w:shd w:val="clear" w:color="auto" w:fill="auto"/>
            <w:noWrap/>
            <w:vAlign w:val="bottom"/>
            <w:hideMark/>
          </w:tcPr>
          <w:p w14:paraId="7E8333CB"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0.9</w:t>
            </w:r>
          </w:p>
        </w:tc>
        <w:tc>
          <w:tcPr>
            <w:tcW w:w="1560" w:type="dxa"/>
            <w:tcBorders>
              <w:top w:val="nil"/>
              <w:left w:val="single" w:sz="4" w:space="0" w:color="auto"/>
              <w:bottom w:val="nil"/>
              <w:right w:val="nil"/>
            </w:tcBorders>
            <w:shd w:val="clear" w:color="auto" w:fill="auto"/>
            <w:noWrap/>
            <w:vAlign w:val="bottom"/>
            <w:hideMark/>
          </w:tcPr>
          <w:p w14:paraId="0A670037"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24/52 (46.2)</w:t>
            </w:r>
          </w:p>
        </w:tc>
        <w:tc>
          <w:tcPr>
            <w:tcW w:w="1366" w:type="dxa"/>
            <w:tcBorders>
              <w:top w:val="nil"/>
              <w:left w:val="nil"/>
              <w:bottom w:val="nil"/>
              <w:right w:val="nil"/>
            </w:tcBorders>
            <w:shd w:val="clear" w:color="auto" w:fill="auto"/>
            <w:noWrap/>
            <w:vAlign w:val="bottom"/>
            <w:hideMark/>
          </w:tcPr>
          <w:p w14:paraId="2C7FEF0F" w14:textId="355B2669"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1.09 (0.63</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1.88)</w:t>
            </w:r>
          </w:p>
        </w:tc>
        <w:tc>
          <w:tcPr>
            <w:tcW w:w="692" w:type="dxa"/>
            <w:tcBorders>
              <w:top w:val="nil"/>
              <w:left w:val="nil"/>
              <w:bottom w:val="nil"/>
              <w:right w:val="nil"/>
            </w:tcBorders>
            <w:shd w:val="clear" w:color="auto" w:fill="auto"/>
            <w:noWrap/>
            <w:vAlign w:val="bottom"/>
            <w:hideMark/>
          </w:tcPr>
          <w:p w14:paraId="4302EB50"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auto"/>
            <w:noWrap/>
            <w:vAlign w:val="bottom"/>
            <w:hideMark/>
          </w:tcPr>
          <w:p w14:paraId="620A463C" w14:textId="04DD63EA"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1.42 (0.8</w:t>
            </w:r>
            <w:r w:rsidR="001367EE">
              <w:rPr>
                <w:rFonts w:ascii="Calibri" w:eastAsia="Times New Roman" w:hAnsi="Calibri" w:cs="Times New Roman"/>
                <w:color w:val="000000"/>
                <w:sz w:val="16"/>
                <w:szCs w:val="14"/>
                <w:lang w:eastAsia="en-GB"/>
              </w:rPr>
              <w:t>0–</w:t>
            </w:r>
            <w:r w:rsidRPr="00834AAA">
              <w:rPr>
                <w:rFonts w:ascii="Calibri" w:eastAsia="Times New Roman" w:hAnsi="Calibri" w:cs="Times New Roman"/>
                <w:color w:val="000000"/>
                <w:sz w:val="16"/>
                <w:szCs w:val="14"/>
                <w:lang w:eastAsia="en-GB"/>
              </w:rPr>
              <w:t>2.52)</w:t>
            </w:r>
          </w:p>
        </w:tc>
        <w:tc>
          <w:tcPr>
            <w:tcW w:w="825" w:type="dxa"/>
            <w:tcBorders>
              <w:top w:val="nil"/>
              <w:left w:val="nil"/>
              <w:bottom w:val="nil"/>
              <w:right w:val="single" w:sz="4" w:space="0" w:color="auto"/>
            </w:tcBorders>
            <w:shd w:val="clear" w:color="auto" w:fill="auto"/>
            <w:noWrap/>
            <w:vAlign w:val="bottom"/>
            <w:hideMark/>
          </w:tcPr>
          <w:p w14:paraId="3F355466"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auto"/>
            <w:noWrap/>
            <w:vAlign w:val="bottom"/>
            <w:hideMark/>
          </w:tcPr>
          <w:p w14:paraId="7BF39668" w14:textId="3136AFD8" w:rsidR="00ED367C" w:rsidRPr="00834AAA" w:rsidRDefault="00DC6617"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30</w:t>
            </w:r>
            <w:r w:rsidR="00ED367C" w:rsidRPr="00834AAA">
              <w:rPr>
                <w:rFonts w:ascii="Calibri" w:eastAsia="Times New Roman" w:hAnsi="Calibri" w:cs="Times New Roman"/>
                <w:color w:val="000000"/>
                <w:sz w:val="16"/>
                <w:szCs w:val="14"/>
                <w:lang w:eastAsia="en-GB"/>
              </w:rPr>
              <w:t>/52 (</w:t>
            </w:r>
            <w:r>
              <w:rPr>
                <w:rFonts w:ascii="Calibri" w:eastAsia="Times New Roman" w:hAnsi="Calibri" w:cs="Times New Roman"/>
                <w:color w:val="000000"/>
                <w:sz w:val="16"/>
                <w:szCs w:val="14"/>
                <w:lang w:eastAsia="en-GB"/>
              </w:rPr>
              <w:t>57.7</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auto"/>
            <w:noWrap/>
            <w:vAlign w:val="bottom"/>
            <w:hideMark/>
          </w:tcPr>
          <w:p w14:paraId="4ADE0D51" w14:textId="428DFA3F" w:rsidR="00ED367C" w:rsidRPr="00834AAA" w:rsidRDefault="00E0474C"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0.86</w:t>
            </w:r>
            <w:r w:rsidR="00ED367C" w:rsidRPr="00834AAA">
              <w:rPr>
                <w:rFonts w:ascii="Calibri" w:eastAsia="Times New Roman" w:hAnsi="Calibri" w:cs="Times New Roman"/>
                <w:color w:val="000000"/>
                <w:sz w:val="16"/>
                <w:szCs w:val="14"/>
                <w:lang w:eastAsia="en-GB"/>
              </w:rPr>
              <w:t xml:space="preserve"> (0.</w:t>
            </w:r>
            <w:r>
              <w:rPr>
                <w:rFonts w:ascii="Calibri" w:eastAsia="Times New Roman" w:hAnsi="Calibri" w:cs="Times New Roman"/>
                <w:color w:val="000000"/>
                <w:sz w:val="16"/>
                <w:szCs w:val="14"/>
                <w:lang w:eastAsia="en-GB"/>
              </w:rPr>
              <w:t>50–1.50</w:t>
            </w:r>
            <w:r w:rsidR="00ED367C" w:rsidRPr="00834AAA">
              <w:rPr>
                <w:rFonts w:ascii="Calibri" w:eastAsia="Times New Roman" w:hAnsi="Calibri" w:cs="Times New Roman"/>
                <w:color w:val="000000"/>
                <w:sz w:val="16"/>
                <w:szCs w:val="14"/>
                <w:lang w:eastAsia="en-GB"/>
              </w:rPr>
              <w:t>)</w:t>
            </w:r>
          </w:p>
        </w:tc>
        <w:tc>
          <w:tcPr>
            <w:tcW w:w="692" w:type="dxa"/>
            <w:tcBorders>
              <w:top w:val="nil"/>
              <w:left w:val="nil"/>
              <w:bottom w:val="nil"/>
              <w:right w:val="nil"/>
            </w:tcBorders>
            <w:shd w:val="clear" w:color="auto" w:fill="auto"/>
            <w:noWrap/>
            <w:vAlign w:val="bottom"/>
            <w:hideMark/>
          </w:tcPr>
          <w:p w14:paraId="43B1A7E1"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auto"/>
            <w:noWrap/>
            <w:vAlign w:val="bottom"/>
            <w:hideMark/>
          </w:tcPr>
          <w:p w14:paraId="11823935" w14:textId="23A22760" w:rsidR="00ED367C" w:rsidRPr="00834AAA" w:rsidRDefault="00D760E7"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0.94</w:t>
            </w:r>
            <w:r w:rsidR="00ED367C" w:rsidRPr="00834AAA">
              <w:rPr>
                <w:rFonts w:ascii="Calibri" w:eastAsia="Times New Roman" w:hAnsi="Calibri" w:cs="Times New Roman"/>
                <w:color w:val="000000"/>
                <w:sz w:val="16"/>
                <w:szCs w:val="14"/>
                <w:lang w:eastAsia="en-GB"/>
              </w:rPr>
              <w:t xml:space="preserve"> (0.</w:t>
            </w:r>
            <w:r w:rsidR="000948DA">
              <w:rPr>
                <w:rFonts w:ascii="Calibri" w:eastAsia="Times New Roman" w:hAnsi="Calibri" w:cs="Times New Roman"/>
                <w:color w:val="000000"/>
                <w:sz w:val="16"/>
                <w:szCs w:val="14"/>
                <w:lang w:eastAsia="en-GB"/>
              </w:rPr>
              <w:t>54</w:t>
            </w:r>
            <w:r w:rsidR="001367EE">
              <w:rPr>
                <w:rFonts w:ascii="Calibri" w:eastAsia="Times New Roman" w:hAnsi="Calibri" w:cs="Times New Roman"/>
                <w:color w:val="000000"/>
                <w:sz w:val="16"/>
                <w:szCs w:val="14"/>
                <w:lang w:eastAsia="en-GB"/>
              </w:rPr>
              <w:t>–</w:t>
            </w:r>
            <w:r w:rsidR="000948DA">
              <w:rPr>
                <w:rFonts w:ascii="Calibri" w:eastAsia="Times New Roman" w:hAnsi="Calibri" w:cs="Times New Roman"/>
                <w:color w:val="000000"/>
                <w:sz w:val="16"/>
                <w:szCs w:val="14"/>
                <w:lang w:eastAsia="en-GB"/>
              </w:rPr>
              <w:t>1.63</w:t>
            </w:r>
            <w:r w:rsidR="00ED367C" w:rsidRPr="00834AAA">
              <w:rPr>
                <w:rFonts w:ascii="Calibri" w:eastAsia="Times New Roman" w:hAnsi="Calibri" w:cs="Times New Roman"/>
                <w:color w:val="000000"/>
                <w:sz w:val="16"/>
                <w:szCs w:val="14"/>
                <w:lang w:eastAsia="en-GB"/>
              </w:rPr>
              <w:t>)</w:t>
            </w:r>
          </w:p>
        </w:tc>
        <w:tc>
          <w:tcPr>
            <w:tcW w:w="850" w:type="dxa"/>
            <w:tcBorders>
              <w:top w:val="nil"/>
              <w:left w:val="nil"/>
              <w:bottom w:val="nil"/>
              <w:right w:val="nil"/>
            </w:tcBorders>
            <w:shd w:val="clear" w:color="auto" w:fill="auto"/>
            <w:noWrap/>
            <w:vAlign w:val="bottom"/>
            <w:hideMark/>
          </w:tcPr>
          <w:p w14:paraId="4BD97142"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1367EE" w:rsidRPr="00834AAA" w14:paraId="39378F66" w14:textId="77777777" w:rsidTr="001367EE">
        <w:trPr>
          <w:trHeight w:val="20"/>
        </w:trPr>
        <w:tc>
          <w:tcPr>
            <w:tcW w:w="2660" w:type="dxa"/>
            <w:tcBorders>
              <w:top w:val="nil"/>
              <w:left w:val="nil"/>
              <w:bottom w:val="nil"/>
              <w:right w:val="nil"/>
            </w:tcBorders>
            <w:shd w:val="clear" w:color="auto" w:fill="auto"/>
            <w:noWrap/>
            <w:vAlign w:val="bottom"/>
            <w:hideMark/>
          </w:tcPr>
          <w:p w14:paraId="369DF15E" w14:textId="1ECD64CB"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Asian</w:t>
            </w:r>
          </w:p>
        </w:tc>
        <w:tc>
          <w:tcPr>
            <w:tcW w:w="567" w:type="dxa"/>
            <w:tcBorders>
              <w:top w:val="nil"/>
              <w:left w:val="nil"/>
              <w:bottom w:val="nil"/>
              <w:right w:val="nil"/>
            </w:tcBorders>
            <w:shd w:val="clear" w:color="auto" w:fill="auto"/>
            <w:noWrap/>
            <w:vAlign w:val="bottom"/>
            <w:hideMark/>
          </w:tcPr>
          <w:p w14:paraId="644173FF"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93</w:t>
            </w:r>
          </w:p>
        </w:tc>
        <w:tc>
          <w:tcPr>
            <w:tcW w:w="592" w:type="dxa"/>
            <w:tcBorders>
              <w:top w:val="nil"/>
              <w:left w:val="nil"/>
              <w:bottom w:val="nil"/>
              <w:right w:val="single" w:sz="4" w:space="0" w:color="auto"/>
            </w:tcBorders>
            <w:shd w:val="clear" w:color="auto" w:fill="auto"/>
            <w:noWrap/>
            <w:vAlign w:val="bottom"/>
            <w:hideMark/>
          </w:tcPr>
          <w:p w14:paraId="3E0BD71A"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1.6</w:t>
            </w:r>
          </w:p>
        </w:tc>
        <w:tc>
          <w:tcPr>
            <w:tcW w:w="1560" w:type="dxa"/>
            <w:tcBorders>
              <w:top w:val="nil"/>
              <w:left w:val="single" w:sz="4" w:space="0" w:color="auto"/>
              <w:bottom w:val="nil"/>
              <w:right w:val="nil"/>
            </w:tcBorders>
            <w:shd w:val="clear" w:color="auto" w:fill="auto"/>
            <w:noWrap/>
            <w:vAlign w:val="bottom"/>
            <w:hideMark/>
          </w:tcPr>
          <w:p w14:paraId="6747D5A3"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38/92 (41.3)</w:t>
            </w:r>
          </w:p>
        </w:tc>
        <w:tc>
          <w:tcPr>
            <w:tcW w:w="1366" w:type="dxa"/>
            <w:tcBorders>
              <w:top w:val="nil"/>
              <w:left w:val="nil"/>
              <w:bottom w:val="nil"/>
              <w:right w:val="nil"/>
            </w:tcBorders>
            <w:shd w:val="clear" w:color="auto" w:fill="auto"/>
            <w:noWrap/>
            <w:vAlign w:val="bottom"/>
            <w:hideMark/>
          </w:tcPr>
          <w:p w14:paraId="49DBBC36" w14:textId="48A08E32"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0.89 (0.59</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1.36)</w:t>
            </w:r>
          </w:p>
        </w:tc>
        <w:tc>
          <w:tcPr>
            <w:tcW w:w="692" w:type="dxa"/>
            <w:tcBorders>
              <w:top w:val="nil"/>
              <w:left w:val="nil"/>
              <w:bottom w:val="nil"/>
              <w:right w:val="nil"/>
            </w:tcBorders>
            <w:shd w:val="clear" w:color="auto" w:fill="auto"/>
            <w:noWrap/>
            <w:vAlign w:val="bottom"/>
            <w:hideMark/>
          </w:tcPr>
          <w:p w14:paraId="0DD02FF9"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auto"/>
            <w:noWrap/>
            <w:vAlign w:val="bottom"/>
            <w:hideMark/>
          </w:tcPr>
          <w:p w14:paraId="06CD1A75" w14:textId="527BF4D2"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1.24 (0.8</w:t>
            </w:r>
            <w:r w:rsidR="001367EE">
              <w:rPr>
                <w:rFonts w:ascii="Calibri" w:eastAsia="Times New Roman" w:hAnsi="Calibri" w:cs="Times New Roman"/>
                <w:color w:val="000000"/>
                <w:sz w:val="16"/>
                <w:szCs w:val="14"/>
                <w:lang w:eastAsia="en-GB"/>
              </w:rPr>
              <w:t>0–</w:t>
            </w:r>
            <w:r w:rsidRPr="00834AAA">
              <w:rPr>
                <w:rFonts w:ascii="Calibri" w:eastAsia="Times New Roman" w:hAnsi="Calibri" w:cs="Times New Roman"/>
                <w:color w:val="000000"/>
                <w:sz w:val="16"/>
                <w:szCs w:val="14"/>
                <w:lang w:eastAsia="en-GB"/>
              </w:rPr>
              <w:t>1.92)</w:t>
            </w:r>
          </w:p>
        </w:tc>
        <w:tc>
          <w:tcPr>
            <w:tcW w:w="825" w:type="dxa"/>
            <w:tcBorders>
              <w:top w:val="nil"/>
              <w:left w:val="nil"/>
              <w:bottom w:val="nil"/>
              <w:right w:val="single" w:sz="4" w:space="0" w:color="auto"/>
            </w:tcBorders>
            <w:shd w:val="clear" w:color="auto" w:fill="auto"/>
            <w:noWrap/>
            <w:vAlign w:val="bottom"/>
            <w:hideMark/>
          </w:tcPr>
          <w:p w14:paraId="057CBA6C"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auto"/>
            <w:noWrap/>
            <w:vAlign w:val="bottom"/>
            <w:hideMark/>
          </w:tcPr>
          <w:p w14:paraId="1D087264" w14:textId="277D2C13" w:rsidR="00ED367C" w:rsidRPr="00834AAA" w:rsidRDefault="00DC6617"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68</w:t>
            </w:r>
            <w:r w:rsidR="00ED367C" w:rsidRPr="00834AAA">
              <w:rPr>
                <w:rFonts w:ascii="Calibri" w:eastAsia="Times New Roman" w:hAnsi="Calibri" w:cs="Times New Roman"/>
                <w:color w:val="000000"/>
                <w:sz w:val="16"/>
                <w:szCs w:val="14"/>
                <w:lang w:eastAsia="en-GB"/>
              </w:rPr>
              <w:t>/91 (</w:t>
            </w:r>
            <w:r>
              <w:rPr>
                <w:rFonts w:ascii="Calibri" w:eastAsia="Times New Roman" w:hAnsi="Calibri" w:cs="Times New Roman"/>
                <w:color w:val="000000"/>
                <w:sz w:val="16"/>
                <w:szCs w:val="14"/>
                <w:lang w:eastAsia="en-GB"/>
              </w:rPr>
              <w:t>74.7</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auto"/>
            <w:noWrap/>
            <w:vAlign w:val="bottom"/>
            <w:hideMark/>
          </w:tcPr>
          <w:p w14:paraId="68191FCC" w14:textId="3CDED26D"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w:t>
            </w:r>
            <w:r w:rsidR="00E0474C">
              <w:rPr>
                <w:rFonts w:ascii="Calibri" w:eastAsia="Times New Roman" w:hAnsi="Calibri" w:cs="Times New Roman"/>
                <w:color w:val="000000"/>
                <w:sz w:val="16"/>
                <w:szCs w:val="14"/>
                <w:lang w:eastAsia="en-GB"/>
              </w:rPr>
              <w:t>87</w:t>
            </w:r>
            <w:r w:rsidRPr="00834AAA">
              <w:rPr>
                <w:rFonts w:ascii="Calibri" w:eastAsia="Times New Roman" w:hAnsi="Calibri" w:cs="Times New Roman"/>
                <w:color w:val="000000"/>
                <w:sz w:val="16"/>
                <w:szCs w:val="14"/>
                <w:lang w:eastAsia="en-GB"/>
              </w:rPr>
              <w:t xml:space="preserve"> (1.</w:t>
            </w:r>
            <w:r w:rsidR="00E0474C">
              <w:rPr>
                <w:rFonts w:ascii="Calibri" w:eastAsia="Times New Roman" w:hAnsi="Calibri" w:cs="Times New Roman"/>
                <w:color w:val="000000"/>
                <w:sz w:val="16"/>
                <w:szCs w:val="14"/>
                <w:lang w:eastAsia="en-GB"/>
              </w:rPr>
              <w:t>16–3.01</w:t>
            </w:r>
            <w:r w:rsidRPr="00834AAA">
              <w:rPr>
                <w:rFonts w:ascii="Calibri" w:eastAsia="Times New Roman" w:hAnsi="Calibri" w:cs="Times New Roman"/>
                <w:color w:val="000000"/>
                <w:sz w:val="16"/>
                <w:szCs w:val="14"/>
                <w:lang w:eastAsia="en-GB"/>
              </w:rPr>
              <w:t>)</w:t>
            </w:r>
          </w:p>
        </w:tc>
        <w:tc>
          <w:tcPr>
            <w:tcW w:w="692" w:type="dxa"/>
            <w:tcBorders>
              <w:top w:val="nil"/>
              <w:left w:val="nil"/>
              <w:bottom w:val="nil"/>
              <w:right w:val="nil"/>
            </w:tcBorders>
            <w:shd w:val="clear" w:color="auto" w:fill="auto"/>
            <w:noWrap/>
            <w:vAlign w:val="bottom"/>
            <w:hideMark/>
          </w:tcPr>
          <w:p w14:paraId="26E5BB2A"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auto"/>
            <w:noWrap/>
            <w:vAlign w:val="bottom"/>
            <w:hideMark/>
          </w:tcPr>
          <w:p w14:paraId="5649FCDE" w14:textId="34DCBC06" w:rsidR="00ED367C" w:rsidRPr="00834AAA" w:rsidRDefault="00D760E7"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2.02</w:t>
            </w:r>
            <w:r w:rsidR="00ED367C" w:rsidRPr="00834AAA">
              <w:rPr>
                <w:rFonts w:ascii="Calibri" w:eastAsia="Times New Roman" w:hAnsi="Calibri" w:cs="Times New Roman"/>
                <w:color w:val="000000"/>
                <w:sz w:val="16"/>
                <w:szCs w:val="14"/>
                <w:lang w:eastAsia="en-GB"/>
              </w:rPr>
              <w:t xml:space="preserve"> (1.</w:t>
            </w:r>
            <w:r w:rsidR="000948DA">
              <w:rPr>
                <w:rFonts w:ascii="Calibri" w:eastAsia="Times New Roman" w:hAnsi="Calibri" w:cs="Times New Roman"/>
                <w:color w:val="000000"/>
                <w:sz w:val="16"/>
                <w:szCs w:val="14"/>
                <w:lang w:eastAsia="en-GB"/>
              </w:rPr>
              <w:t>25</w:t>
            </w:r>
            <w:r w:rsidR="001367EE">
              <w:rPr>
                <w:rFonts w:ascii="Calibri" w:eastAsia="Times New Roman" w:hAnsi="Calibri" w:cs="Times New Roman"/>
                <w:color w:val="000000"/>
                <w:sz w:val="16"/>
                <w:szCs w:val="14"/>
                <w:lang w:eastAsia="en-GB"/>
              </w:rPr>
              <w:t>–</w:t>
            </w:r>
            <w:r w:rsidR="00ED367C" w:rsidRPr="00834AAA">
              <w:rPr>
                <w:rFonts w:ascii="Calibri" w:eastAsia="Times New Roman" w:hAnsi="Calibri" w:cs="Times New Roman"/>
                <w:color w:val="000000"/>
                <w:sz w:val="16"/>
                <w:szCs w:val="14"/>
                <w:lang w:eastAsia="en-GB"/>
              </w:rPr>
              <w:t>3.</w:t>
            </w:r>
            <w:r w:rsidR="002152F0">
              <w:rPr>
                <w:rFonts w:ascii="Calibri" w:eastAsia="Times New Roman" w:hAnsi="Calibri" w:cs="Times New Roman"/>
                <w:color w:val="000000"/>
                <w:sz w:val="16"/>
                <w:szCs w:val="14"/>
                <w:lang w:eastAsia="en-GB"/>
              </w:rPr>
              <w:t>2</w:t>
            </w:r>
            <w:r w:rsidR="000948DA">
              <w:rPr>
                <w:rFonts w:ascii="Calibri" w:eastAsia="Times New Roman" w:hAnsi="Calibri" w:cs="Times New Roman"/>
                <w:color w:val="000000"/>
                <w:sz w:val="16"/>
                <w:szCs w:val="14"/>
                <w:lang w:eastAsia="en-GB"/>
              </w:rPr>
              <w:t>6</w:t>
            </w:r>
            <w:r w:rsidR="00ED367C" w:rsidRPr="00834AAA">
              <w:rPr>
                <w:rFonts w:ascii="Calibri" w:eastAsia="Times New Roman" w:hAnsi="Calibri" w:cs="Times New Roman"/>
                <w:color w:val="000000"/>
                <w:sz w:val="16"/>
                <w:szCs w:val="14"/>
                <w:lang w:eastAsia="en-GB"/>
              </w:rPr>
              <w:t>)</w:t>
            </w:r>
          </w:p>
        </w:tc>
        <w:tc>
          <w:tcPr>
            <w:tcW w:w="850" w:type="dxa"/>
            <w:tcBorders>
              <w:top w:val="nil"/>
              <w:left w:val="nil"/>
              <w:bottom w:val="nil"/>
              <w:right w:val="nil"/>
            </w:tcBorders>
            <w:shd w:val="clear" w:color="auto" w:fill="auto"/>
            <w:noWrap/>
            <w:vAlign w:val="bottom"/>
            <w:hideMark/>
          </w:tcPr>
          <w:p w14:paraId="6F76BCD8"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1367EE" w:rsidRPr="00834AAA" w14:paraId="50EBBFCA" w14:textId="77777777" w:rsidTr="001367EE">
        <w:trPr>
          <w:trHeight w:val="20"/>
        </w:trPr>
        <w:tc>
          <w:tcPr>
            <w:tcW w:w="2660" w:type="dxa"/>
            <w:tcBorders>
              <w:top w:val="nil"/>
              <w:left w:val="nil"/>
              <w:bottom w:val="nil"/>
              <w:right w:val="nil"/>
            </w:tcBorders>
            <w:shd w:val="clear" w:color="auto" w:fill="auto"/>
            <w:noWrap/>
            <w:vAlign w:val="bottom"/>
            <w:hideMark/>
          </w:tcPr>
          <w:p w14:paraId="2385094F"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Mixed &amp; Other</w:t>
            </w:r>
          </w:p>
        </w:tc>
        <w:tc>
          <w:tcPr>
            <w:tcW w:w="567" w:type="dxa"/>
            <w:tcBorders>
              <w:top w:val="nil"/>
              <w:left w:val="nil"/>
              <w:bottom w:val="nil"/>
              <w:right w:val="nil"/>
            </w:tcBorders>
            <w:shd w:val="clear" w:color="auto" w:fill="auto"/>
            <w:noWrap/>
            <w:vAlign w:val="bottom"/>
            <w:hideMark/>
          </w:tcPr>
          <w:p w14:paraId="41C2D997"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171</w:t>
            </w:r>
          </w:p>
        </w:tc>
        <w:tc>
          <w:tcPr>
            <w:tcW w:w="592" w:type="dxa"/>
            <w:tcBorders>
              <w:top w:val="nil"/>
              <w:left w:val="nil"/>
              <w:bottom w:val="nil"/>
              <w:right w:val="single" w:sz="4" w:space="0" w:color="auto"/>
            </w:tcBorders>
            <w:shd w:val="clear" w:color="auto" w:fill="auto"/>
            <w:noWrap/>
            <w:vAlign w:val="bottom"/>
            <w:hideMark/>
          </w:tcPr>
          <w:p w14:paraId="6B22510A"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2.9</w:t>
            </w:r>
          </w:p>
        </w:tc>
        <w:tc>
          <w:tcPr>
            <w:tcW w:w="1560" w:type="dxa"/>
            <w:tcBorders>
              <w:top w:val="nil"/>
              <w:left w:val="single" w:sz="4" w:space="0" w:color="auto"/>
              <w:bottom w:val="nil"/>
              <w:right w:val="nil"/>
            </w:tcBorders>
            <w:shd w:val="clear" w:color="auto" w:fill="auto"/>
            <w:noWrap/>
            <w:vAlign w:val="bottom"/>
            <w:hideMark/>
          </w:tcPr>
          <w:p w14:paraId="1E8BEF03"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65/167 (38.9)</w:t>
            </w:r>
          </w:p>
        </w:tc>
        <w:tc>
          <w:tcPr>
            <w:tcW w:w="1366" w:type="dxa"/>
            <w:tcBorders>
              <w:top w:val="nil"/>
              <w:left w:val="nil"/>
              <w:bottom w:val="nil"/>
              <w:right w:val="nil"/>
            </w:tcBorders>
            <w:shd w:val="clear" w:color="auto" w:fill="auto"/>
            <w:noWrap/>
            <w:vAlign w:val="bottom"/>
            <w:hideMark/>
          </w:tcPr>
          <w:p w14:paraId="795CFBA9" w14:textId="13260581"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0.81 (0.59</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1.11)</w:t>
            </w:r>
          </w:p>
        </w:tc>
        <w:tc>
          <w:tcPr>
            <w:tcW w:w="692" w:type="dxa"/>
            <w:tcBorders>
              <w:top w:val="nil"/>
              <w:left w:val="nil"/>
              <w:bottom w:val="nil"/>
              <w:right w:val="nil"/>
            </w:tcBorders>
            <w:shd w:val="clear" w:color="auto" w:fill="auto"/>
            <w:noWrap/>
            <w:vAlign w:val="bottom"/>
            <w:hideMark/>
          </w:tcPr>
          <w:p w14:paraId="7F2F7DB9" w14:textId="0CAF8C6C"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0.55</w:t>
            </w:r>
            <w:r w:rsidR="00617E90">
              <w:rPr>
                <w:rFonts w:ascii="Calibri" w:eastAsia="Times New Roman" w:hAnsi="Calibri" w:cs="Times New Roman"/>
                <w:color w:val="000000"/>
                <w:sz w:val="16"/>
                <w:szCs w:val="14"/>
                <w:lang w:eastAsia="en-GB"/>
              </w:rPr>
              <w:t>0</w:t>
            </w:r>
          </w:p>
        </w:tc>
        <w:tc>
          <w:tcPr>
            <w:tcW w:w="1485" w:type="dxa"/>
            <w:tcBorders>
              <w:top w:val="nil"/>
              <w:left w:val="nil"/>
              <w:bottom w:val="nil"/>
              <w:right w:val="nil"/>
            </w:tcBorders>
            <w:shd w:val="clear" w:color="auto" w:fill="auto"/>
            <w:noWrap/>
            <w:vAlign w:val="bottom"/>
            <w:hideMark/>
          </w:tcPr>
          <w:p w14:paraId="5BF721CF" w14:textId="34ADD8BE"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1.08 (0.77</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1.51)</w:t>
            </w:r>
          </w:p>
        </w:tc>
        <w:tc>
          <w:tcPr>
            <w:tcW w:w="825" w:type="dxa"/>
            <w:tcBorders>
              <w:top w:val="nil"/>
              <w:left w:val="nil"/>
              <w:bottom w:val="nil"/>
              <w:right w:val="single" w:sz="4" w:space="0" w:color="auto"/>
            </w:tcBorders>
            <w:shd w:val="clear" w:color="auto" w:fill="auto"/>
            <w:noWrap/>
            <w:vAlign w:val="bottom"/>
            <w:hideMark/>
          </w:tcPr>
          <w:p w14:paraId="32D8E8ED"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0.486</w:t>
            </w:r>
          </w:p>
        </w:tc>
        <w:tc>
          <w:tcPr>
            <w:tcW w:w="1631" w:type="dxa"/>
            <w:tcBorders>
              <w:top w:val="nil"/>
              <w:left w:val="single" w:sz="4" w:space="0" w:color="auto"/>
              <w:bottom w:val="nil"/>
              <w:right w:val="nil"/>
            </w:tcBorders>
            <w:shd w:val="clear" w:color="auto" w:fill="auto"/>
            <w:noWrap/>
            <w:vAlign w:val="bottom"/>
            <w:hideMark/>
          </w:tcPr>
          <w:p w14:paraId="466CA70F" w14:textId="747F1E0E" w:rsidR="00ED367C" w:rsidRPr="00834AAA" w:rsidRDefault="00DC6617"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113</w:t>
            </w:r>
            <w:r w:rsidR="00ED367C" w:rsidRPr="00834AAA">
              <w:rPr>
                <w:rFonts w:ascii="Calibri" w:eastAsia="Times New Roman" w:hAnsi="Calibri" w:cs="Times New Roman"/>
                <w:color w:val="000000"/>
                <w:sz w:val="16"/>
                <w:szCs w:val="14"/>
                <w:lang w:eastAsia="en-GB"/>
              </w:rPr>
              <w:t>/171 (</w:t>
            </w:r>
            <w:r>
              <w:rPr>
                <w:rFonts w:ascii="Calibri" w:eastAsia="Times New Roman" w:hAnsi="Calibri" w:cs="Times New Roman"/>
                <w:color w:val="000000"/>
                <w:sz w:val="16"/>
                <w:szCs w:val="14"/>
                <w:lang w:eastAsia="en-GB"/>
              </w:rPr>
              <w:t>66.1</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auto"/>
            <w:noWrap/>
            <w:vAlign w:val="bottom"/>
            <w:hideMark/>
          </w:tcPr>
          <w:p w14:paraId="5151D7EB" w14:textId="1419ADC2" w:rsidR="00ED367C" w:rsidRPr="00834AAA" w:rsidRDefault="00E0474C"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1.23</w:t>
            </w:r>
            <w:r w:rsidR="00ED367C" w:rsidRPr="00834AAA">
              <w:rPr>
                <w:rFonts w:ascii="Calibri" w:eastAsia="Times New Roman" w:hAnsi="Calibri" w:cs="Times New Roman"/>
                <w:color w:val="000000"/>
                <w:sz w:val="16"/>
                <w:szCs w:val="14"/>
                <w:lang w:eastAsia="en-GB"/>
              </w:rPr>
              <w:t xml:space="preserve"> (0.</w:t>
            </w:r>
            <w:r>
              <w:rPr>
                <w:rFonts w:ascii="Calibri" w:eastAsia="Times New Roman" w:hAnsi="Calibri" w:cs="Times New Roman"/>
                <w:color w:val="000000"/>
                <w:sz w:val="16"/>
                <w:szCs w:val="14"/>
                <w:lang w:eastAsia="en-GB"/>
              </w:rPr>
              <w:t>89–</w:t>
            </w:r>
            <w:r w:rsidR="00ED367C" w:rsidRPr="00834AAA">
              <w:rPr>
                <w:rFonts w:ascii="Calibri" w:eastAsia="Times New Roman" w:hAnsi="Calibri" w:cs="Times New Roman"/>
                <w:color w:val="000000"/>
                <w:sz w:val="16"/>
                <w:szCs w:val="14"/>
                <w:lang w:eastAsia="en-GB"/>
              </w:rPr>
              <w:t>1</w:t>
            </w:r>
            <w:r>
              <w:rPr>
                <w:rFonts w:ascii="Calibri" w:eastAsia="Times New Roman" w:hAnsi="Calibri" w:cs="Times New Roman"/>
                <w:color w:val="000000"/>
                <w:sz w:val="16"/>
                <w:szCs w:val="14"/>
                <w:lang w:eastAsia="en-GB"/>
              </w:rPr>
              <w:t>.70</w:t>
            </w:r>
            <w:r w:rsidR="00ED367C" w:rsidRPr="00834AAA">
              <w:rPr>
                <w:rFonts w:ascii="Calibri" w:eastAsia="Times New Roman" w:hAnsi="Calibri" w:cs="Times New Roman"/>
                <w:color w:val="000000"/>
                <w:sz w:val="16"/>
                <w:szCs w:val="14"/>
                <w:lang w:eastAsia="en-GB"/>
              </w:rPr>
              <w:t>)</w:t>
            </w:r>
          </w:p>
        </w:tc>
        <w:tc>
          <w:tcPr>
            <w:tcW w:w="692" w:type="dxa"/>
            <w:tcBorders>
              <w:top w:val="nil"/>
              <w:left w:val="nil"/>
              <w:bottom w:val="nil"/>
              <w:right w:val="nil"/>
            </w:tcBorders>
            <w:shd w:val="clear" w:color="auto" w:fill="auto"/>
            <w:noWrap/>
            <w:vAlign w:val="bottom"/>
            <w:hideMark/>
          </w:tcPr>
          <w:p w14:paraId="4BD53AAC" w14:textId="382BB85B" w:rsidR="00ED367C" w:rsidRPr="00834AAA" w:rsidRDefault="00ED367C" w:rsidP="002F279D">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w:t>
            </w:r>
            <w:r w:rsidR="002F279D">
              <w:rPr>
                <w:rFonts w:ascii="Calibri" w:eastAsia="Times New Roman" w:hAnsi="Calibri" w:cs="Times New Roman"/>
                <w:color w:val="000000"/>
                <w:sz w:val="16"/>
                <w:szCs w:val="14"/>
                <w:lang w:eastAsia="en-GB"/>
              </w:rPr>
              <w:t>027</w:t>
            </w:r>
          </w:p>
        </w:tc>
        <w:tc>
          <w:tcPr>
            <w:tcW w:w="1576" w:type="dxa"/>
            <w:tcBorders>
              <w:top w:val="nil"/>
              <w:left w:val="nil"/>
              <w:bottom w:val="nil"/>
              <w:right w:val="nil"/>
            </w:tcBorders>
            <w:shd w:val="clear" w:color="auto" w:fill="auto"/>
            <w:noWrap/>
            <w:vAlign w:val="bottom"/>
            <w:hideMark/>
          </w:tcPr>
          <w:p w14:paraId="4E38AC54" w14:textId="0862805F" w:rsidR="00ED367C" w:rsidRPr="00834AAA" w:rsidRDefault="00D760E7"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1.32</w:t>
            </w:r>
            <w:r w:rsidR="00ED367C" w:rsidRPr="00834AAA">
              <w:rPr>
                <w:rFonts w:ascii="Calibri" w:eastAsia="Times New Roman" w:hAnsi="Calibri" w:cs="Times New Roman"/>
                <w:color w:val="000000"/>
                <w:sz w:val="16"/>
                <w:szCs w:val="14"/>
                <w:lang w:eastAsia="en-GB"/>
              </w:rPr>
              <w:t xml:space="preserve"> (0.</w:t>
            </w:r>
            <w:r w:rsidR="000948DA">
              <w:rPr>
                <w:rFonts w:ascii="Calibri" w:eastAsia="Times New Roman" w:hAnsi="Calibri" w:cs="Times New Roman"/>
                <w:color w:val="000000"/>
                <w:sz w:val="16"/>
                <w:szCs w:val="14"/>
                <w:lang w:eastAsia="en-GB"/>
              </w:rPr>
              <w:t>95</w:t>
            </w:r>
            <w:r w:rsidR="001367EE">
              <w:rPr>
                <w:rFonts w:ascii="Calibri" w:eastAsia="Times New Roman" w:hAnsi="Calibri" w:cs="Times New Roman"/>
                <w:color w:val="000000"/>
                <w:sz w:val="16"/>
                <w:szCs w:val="14"/>
                <w:lang w:eastAsia="en-GB"/>
              </w:rPr>
              <w:t>–</w:t>
            </w:r>
            <w:r w:rsidR="00ED367C" w:rsidRPr="00834AAA">
              <w:rPr>
                <w:rFonts w:ascii="Calibri" w:eastAsia="Times New Roman" w:hAnsi="Calibri" w:cs="Times New Roman"/>
                <w:color w:val="000000"/>
                <w:sz w:val="16"/>
                <w:szCs w:val="14"/>
                <w:lang w:eastAsia="en-GB"/>
              </w:rPr>
              <w:t>1.</w:t>
            </w:r>
            <w:r w:rsidR="000948DA">
              <w:rPr>
                <w:rFonts w:ascii="Calibri" w:eastAsia="Times New Roman" w:hAnsi="Calibri" w:cs="Times New Roman"/>
                <w:color w:val="000000"/>
                <w:sz w:val="16"/>
                <w:szCs w:val="14"/>
                <w:lang w:eastAsia="en-GB"/>
              </w:rPr>
              <w:t>83</w:t>
            </w:r>
            <w:r w:rsidR="00ED367C" w:rsidRPr="00834AAA">
              <w:rPr>
                <w:rFonts w:ascii="Calibri" w:eastAsia="Times New Roman" w:hAnsi="Calibri" w:cs="Times New Roman"/>
                <w:color w:val="000000"/>
                <w:sz w:val="16"/>
                <w:szCs w:val="14"/>
                <w:lang w:eastAsia="en-GB"/>
              </w:rPr>
              <w:t>)</w:t>
            </w:r>
          </w:p>
        </w:tc>
        <w:tc>
          <w:tcPr>
            <w:tcW w:w="850" w:type="dxa"/>
            <w:tcBorders>
              <w:top w:val="nil"/>
              <w:left w:val="nil"/>
              <w:bottom w:val="nil"/>
              <w:right w:val="nil"/>
            </w:tcBorders>
            <w:shd w:val="clear" w:color="auto" w:fill="auto"/>
            <w:noWrap/>
            <w:vAlign w:val="bottom"/>
            <w:hideMark/>
          </w:tcPr>
          <w:p w14:paraId="6F37F62B" w14:textId="45E37156" w:rsidR="00ED367C" w:rsidRPr="00834AAA" w:rsidRDefault="00ED367C" w:rsidP="000948DA">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w:t>
            </w:r>
            <w:r w:rsidR="000948DA">
              <w:rPr>
                <w:rFonts w:ascii="Calibri" w:eastAsia="Times New Roman" w:hAnsi="Calibri" w:cs="Times New Roman"/>
                <w:color w:val="000000"/>
                <w:sz w:val="16"/>
                <w:szCs w:val="14"/>
                <w:lang w:eastAsia="en-GB"/>
              </w:rPr>
              <w:t>009</w:t>
            </w:r>
          </w:p>
        </w:tc>
      </w:tr>
      <w:tr w:rsidR="001367EE" w:rsidRPr="00834AAA" w14:paraId="260D8565" w14:textId="77777777" w:rsidTr="001367EE">
        <w:trPr>
          <w:trHeight w:val="20"/>
        </w:trPr>
        <w:tc>
          <w:tcPr>
            <w:tcW w:w="2660" w:type="dxa"/>
            <w:tcBorders>
              <w:top w:val="nil"/>
              <w:left w:val="nil"/>
              <w:bottom w:val="nil"/>
              <w:right w:val="nil"/>
            </w:tcBorders>
            <w:shd w:val="clear" w:color="auto" w:fill="auto"/>
            <w:noWrap/>
            <w:vAlign w:val="bottom"/>
            <w:hideMark/>
          </w:tcPr>
          <w:p w14:paraId="7F297F12"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Missing</w:t>
            </w:r>
          </w:p>
        </w:tc>
        <w:tc>
          <w:tcPr>
            <w:tcW w:w="567" w:type="dxa"/>
            <w:tcBorders>
              <w:top w:val="nil"/>
              <w:left w:val="nil"/>
              <w:bottom w:val="nil"/>
              <w:right w:val="nil"/>
            </w:tcBorders>
            <w:shd w:val="clear" w:color="auto" w:fill="auto"/>
            <w:noWrap/>
            <w:vAlign w:val="bottom"/>
            <w:hideMark/>
          </w:tcPr>
          <w:p w14:paraId="75FCDBCF"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7</w:t>
            </w:r>
          </w:p>
        </w:tc>
        <w:tc>
          <w:tcPr>
            <w:tcW w:w="592" w:type="dxa"/>
            <w:tcBorders>
              <w:top w:val="nil"/>
              <w:left w:val="nil"/>
              <w:bottom w:val="nil"/>
              <w:right w:val="single" w:sz="4" w:space="0" w:color="auto"/>
            </w:tcBorders>
            <w:shd w:val="clear" w:color="auto" w:fill="auto"/>
            <w:noWrap/>
            <w:vAlign w:val="bottom"/>
            <w:hideMark/>
          </w:tcPr>
          <w:p w14:paraId="00898139"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560" w:type="dxa"/>
            <w:tcBorders>
              <w:top w:val="nil"/>
              <w:left w:val="single" w:sz="4" w:space="0" w:color="auto"/>
              <w:bottom w:val="nil"/>
              <w:right w:val="nil"/>
            </w:tcBorders>
            <w:shd w:val="clear" w:color="auto" w:fill="auto"/>
            <w:noWrap/>
            <w:vAlign w:val="bottom"/>
            <w:hideMark/>
          </w:tcPr>
          <w:p w14:paraId="362F2646"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p>
        </w:tc>
        <w:tc>
          <w:tcPr>
            <w:tcW w:w="1366" w:type="dxa"/>
            <w:tcBorders>
              <w:top w:val="nil"/>
              <w:left w:val="nil"/>
              <w:bottom w:val="nil"/>
              <w:right w:val="nil"/>
            </w:tcBorders>
            <w:shd w:val="clear" w:color="auto" w:fill="auto"/>
            <w:noWrap/>
            <w:vAlign w:val="bottom"/>
            <w:hideMark/>
          </w:tcPr>
          <w:p w14:paraId="49DC189B"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auto"/>
            <w:noWrap/>
            <w:vAlign w:val="bottom"/>
            <w:hideMark/>
          </w:tcPr>
          <w:p w14:paraId="1BA8DB10"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auto"/>
            <w:noWrap/>
            <w:vAlign w:val="bottom"/>
            <w:hideMark/>
          </w:tcPr>
          <w:p w14:paraId="37E8A5BE"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25" w:type="dxa"/>
            <w:tcBorders>
              <w:top w:val="nil"/>
              <w:left w:val="nil"/>
              <w:bottom w:val="nil"/>
              <w:right w:val="single" w:sz="4" w:space="0" w:color="auto"/>
            </w:tcBorders>
            <w:shd w:val="clear" w:color="auto" w:fill="auto"/>
            <w:noWrap/>
            <w:vAlign w:val="bottom"/>
            <w:hideMark/>
          </w:tcPr>
          <w:p w14:paraId="732B34F3"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auto"/>
            <w:noWrap/>
            <w:vAlign w:val="bottom"/>
            <w:hideMark/>
          </w:tcPr>
          <w:p w14:paraId="5B9B40B1"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p>
        </w:tc>
        <w:tc>
          <w:tcPr>
            <w:tcW w:w="1513" w:type="dxa"/>
            <w:tcBorders>
              <w:top w:val="nil"/>
              <w:left w:val="nil"/>
              <w:bottom w:val="nil"/>
              <w:right w:val="nil"/>
            </w:tcBorders>
            <w:shd w:val="clear" w:color="auto" w:fill="auto"/>
            <w:noWrap/>
            <w:vAlign w:val="bottom"/>
            <w:hideMark/>
          </w:tcPr>
          <w:p w14:paraId="6E0DAE39"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auto"/>
            <w:noWrap/>
            <w:vAlign w:val="bottom"/>
            <w:hideMark/>
          </w:tcPr>
          <w:p w14:paraId="1DE1BE70"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auto"/>
            <w:noWrap/>
            <w:vAlign w:val="bottom"/>
            <w:hideMark/>
          </w:tcPr>
          <w:p w14:paraId="7853A0BB"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50" w:type="dxa"/>
            <w:tcBorders>
              <w:top w:val="nil"/>
              <w:left w:val="nil"/>
              <w:bottom w:val="nil"/>
              <w:right w:val="nil"/>
            </w:tcBorders>
            <w:shd w:val="clear" w:color="auto" w:fill="auto"/>
            <w:noWrap/>
            <w:vAlign w:val="bottom"/>
            <w:hideMark/>
          </w:tcPr>
          <w:p w14:paraId="3B4A222A"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331B4B" w:rsidRPr="00834AAA" w14:paraId="2FA6ED6B" w14:textId="77777777" w:rsidTr="001367EE">
        <w:trPr>
          <w:trHeight w:val="20"/>
        </w:trPr>
        <w:tc>
          <w:tcPr>
            <w:tcW w:w="2660" w:type="dxa"/>
            <w:tcBorders>
              <w:top w:val="nil"/>
              <w:left w:val="nil"/>
              <w:bottom w:val="nil"/>
              <w:right w:val="nil"/>
            </w:tcBorders>
            <w:shd w:val="clear" w:color="auto" w:fill="F2F2F2"/>
            <w:noWrap/>
            <w:vAlign w:val="bottom"/>
            <w:hideMark/>
          </w:tcPr>
          <w:p w14:paraId="6FC328E3" w14:textId="77777777" w:rsidR="00ED367C" w:rsidRPr="00834AAA" w:rsidRDefault="00ED367C" w:rsidP="00D30520">
            <w:pPr>
              <w:spacing w:before="0" w:after="0" w:line="240" w:lineRule="auto"/>
              <w:rPr>
                <w:rFonts w:ascii="Calibri" w:eastAsia="Times New Roman" w:hAnsi="Calibri" w:cs="Times New Roman"/>
                <w:b/>
                <w:color w:val="000000"/>
                <w:sz w:val="16"/>
                <w:szCs w:val="14"/>
                <w:lang w:eastAsia="en-GB"/>
              </w:rPr>
            </w:pPr>
            <w:r w:rsidRPr="00834AAA">
              <w:rPr>
                <w:rFonts w:ascii="Calibri" w:eastAsia="Times New Roman" w:hAnsi="Calibri" w:cs="Times New Roman"/>
                <w:b/>
                <w:color w:val="000000"/>
                <w:sz w:val="16"/>
                <w:szCs w:val="14"/>
                <w:lang w:eastAsia="en-GB"/>
              </w:rPr>
              <w:t>Education</w:t>
            </w:r>
          </w:p>
        </w:tc>
        <w:tc>
          <w:tcPr>
            <w:tcW w:w="567" w:type="dxa"/>
            <w:tcBorders>
              <w:top w:val="nil"/>
              <w:left w:val="nil"/>
              <w:bottom w:val="nil"/>
              <w:right w:val="nil"/>
            </w:tcBorders>
            <w:shd w:val="clear" w:color="auto" w:fill="F2F2F2"/>
            <w:noWrap/>
            <w:vAlign w:val="bottom"/>
            <w:hideMark/>
          </w:tcPr>
          <w:p w14:paraId="2D048B52"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592" w:type="dxa"/>
            <w:tcBorders>
              <w:top w:val="nil"/>
              <w:left w:val="nil"/>
              <w:bottom w:val="nil"/>
              <w:right w:val="single" w:sz="4" w:space="0" w:color="auto"/>
            </w:tcBorders>
            <w:shd w:val="clear" w:color="auto" w:fill="F2F2F2"/>
            <w:noWrap/>
            <w:vAlign w:val="bottom"/>
            <w:hideMark/>
          </w:tcPr>
          <w:p w14:paraId="22619033"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560" w:type="dxa"/>
            <w:tcBorders>
              <w:top w:val="nil"/>
              <w:left w:val="single" w:sz="4" w:space="0" w:color="auto"/>
              <w:bottom w:val="nil"/>
              <w:right w:val="nil"/>
            </w:tcBorders>
            <w:shd w:val="clear" w:color="auto" w:fill="F2F2F2"/>
            <w:noWrap/>
            <w:vAlign w:val="bottom"/>
            <w:hideMark/>
          </w:tcPr>
          <w:p w14:paraId="13E5ABFA"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p>
        </w:tc>
        <w:tc>
          <w:tcPr>
            <w:tcW w:w="1366" w:type="dxa"/>
            <w:tcBorders>
              <w:top w:val="nil"/>
              <w:left w:val="nil"/>
              <w:bottom w:val="nil"/>
              <w:right w:val="nil"/>
            </w:tcBorders>
            <w:shd w:val="clear" w:color="auto" w:fill="F2F2F2"/>
            <w:noWrap/>
            <w:vAlign w:val="bottom"/>
            <w:hideMark/>
          </w:tcPr>
          <w:p w14:paraId="6D03592E"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F2F2F2"/>
            <w:noWrap/>
            <w:vAlign w:val="bottom"/>
            <w:hideMark/>
          </w:tcPr>
          <w:p w14:paraId="34811EDD"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F2F2F2"/>
            <w:noWrap/>
            <w:vAlign w:val="bottom"/>
            <w:hideMark/>
          </w:tcPr>
          <w:p w14:paraId="5889E684"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25" w:type="dxa"/>
            <w:tcBorders>
              <w:top w:val="nil"/>
              <w:left w:val="nil"/>
              <w:bottom w:val="nil"/>
              <w:right w:val="single" w:sz="4" w:space="0" w:color="auto"/>
            </w:tcBorders>
            <w:shd w:val="clear" w:color="auto" w:fill="F2F2F2"/>
            <w:noWrap/>
            <w:vAlign w:val="bottom"/>
            <w:hideMark/>
          </w:tcPr>
          <w:p w14:paraId="3D5D34D0"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F2F2F2"/>
            <w:noWrap/>
            <w:vAlign w:val="bottom"/>
            <w:hideMark/>
          </w:tcPr>
          <w:p w14:paraId="3BBFE7C1" w14:textId="77777777" w:rsidR="00ED367C" w:rsidRPr="00834AAA" w:rsidRDefault="00ED367C" w:rsidP="00187BA8">
            <w:pPr>
              <w:tabs>
                <w:tab w:val="left" w:pos="2552"/>
              </w:tabs>
              <w:spacing w:before="0" w:after="0" w:line="240" w:lineRule="auto"/>
              <w:jc w:val="right"/>
              <w:rPr>
                <w:rFonts w:ascii="Calibri" w:eastAsia="Times New Roman" w:hAnsi="Calibri" w:cs="Times New Roman"/>
                <w:color w:val="000000"/>
                <w:sz w:val="16"/>
                <w:szCs w:val="14"/>
                <w:lang w:eastAsia="en-GB"/>
              </w:rPr>
            </w:pPr>
          </w:p>
        </w:tc>
        <w:tc>
          <w:tcPr>
            <w:tcW w:w="1513" w:type="dxa"/>
            <w:tcBorders>
              <w:top w:val="nil"/>
              <w:left w:val="nil"/>
              <w:bottom w:val="nil"/>
              <w:right w:val="nil"/>
            </w:tcBorders>
            <w:shd w:val="clear" w:color="auto" w:fill="F2F2F2"/>
            <w:noWrap/>
            <w:vAlign w:val="bottom"/>
            <w:hideMark/>
          </w:tcPr>
          <w:p w14:paraId="4C2AA8EF"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F2F2F2"/>
            <w:noWrap/>
            <w:vAlign w:val="bottom"/>
            <w:hideMark/>
          </w:tcPr>
          <w:p w14:paraId="1B9FC027"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F2F2F2"/>
            <w:noWrap/>
            <w:vAlign w:val="bottom"/>
            <w:hideMark/>
          </w:tcPr>
          <w:p w14:paraId="5A9B5E26"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50" w:type="dxa"/>
            <w:tcBorders>
              <w:top w:val="nil"/>
              <w:left w:val="nil"/>
              <w:bottom w:val="nil"/>
              <w:right w:val="nil"/>
            </w:tcBorders>
            <w:shd w:val="clear" w:color="auto" w:fill="F2F2F2"/>
            <w:noWrap/>
            <w:vAlign w:val="bottom"/>
            <w:hideMark/>
          </w:tcPr>
          <w:p w14:paraId="1577CAAC"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331B4B" w:rsidRPr="00834AAA" w14:paraId="3890F0AC" w14:textId="77777777" w:rsidTr="001367EE">
        <w:trPr>
          <w:trHeight w:val="20"/>
        </w:trPr>
        <w:tc>
          <w:tcPr>
            <w:tcW w:w="2660" w:type="dxa"/>
            <w:tcBorders>
              <w:top w:val="nil"/>
              <w:left w:val="nil"/>
              <w:bottom w:val="nil"/>
              <w:right w:val="nil"/>
            </w:tcBorders>
            <w:shd w:val="clear" w:color="auto" w:fill="F2F2F2"/>
            <w:noWrap/>
            <w:vAlign w:val="bottom"/>
            <w:hideMark/>
          </w:tcPr>
          <w:p w14:paraId="31EEFFE8"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No A-level</w:t>
            </w:r>
          </w:p>
        </w:tc>
        <w:tc>
          <w:tcPr>
            <w:tcW w:w="567" w:type="dxa"/>
            <w:tcBorders>
              <w:top w:val="nil"/>
              <w:left w:val="nil"/>
              <w:bottom w:val="nil"/>
              <w:right w:val="nil"/>
            </w:tcBorders>
            <w:shd w:val="clear" w:color="auto" w:fill="F2F2F2"/>
            <w:noWrap/>
            <w:vAlign w:val="bottom"/>
            <w:hideMark/>
          </w:tcPr>
          <w:p w14:paraId="38DC3F8C"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946</w:t>
            </w:r>
          </w:p>
        </w:tc>
        <w:tc>
          <w:tcPr>
            <w:tcW w:w="592" w:type="dxa"/>
            <w:tcBorders>
              <w:top w:val="nil"/>
              <w:left w:val="nil"/>
              <w:bottom w:val="nil"/>
              <w:right w:val="single" w:sz="4" w:space="0" w:color="auto"/>
            </w:tcBorders>
            <w:shd w:val="clear" w:color="auto" w:fill="F2F2F2"/>
            <w:noWrap/>
            <w:vAlign w:val="bottom"/>
            <w:hideMark/>
          </w:tcPr>
          <w:p w14:paraId="747EB6A6"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16.4</w:t>
            </w:r>
          </w:p>
        </w:tc>
        <w:tc>
          <w:tcPr>
            <w:tcW w:w="1560" w:type="dxa"/>
            <w:tcBorders>
              <w:top w:val="nil"/>
              <w:left w:val="single" w:sz="4" w:space="0" w:color="auto"/>
              <w:bottom w:val="nil"/>
              <w:right w:val="nil"/>
            </w:tcBorders>
            <w:shd w:val="clear" w:color="auto" w:fill="F2F2F2"/>
            <w:noWrap/>
            <w:vAlign w:val="bottom"/>
            <w:hideMark/>
          </w:tcPr>
          <w:p w14:paraId="3C31E183"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460/922 (49.9)</w:t>
            </w:r>
          </w:p>
        </w:tc>
        <w:tc>
          <w:tcPr>
            <w:tcW w:w="1366" w:type="dxa"/>
            <w:tcBorders>
              <w:top w:val="nil"/>
              <w:left w:val="nil"/>
              <w:bottom w:val="nil"/>
              <w:right w:val="nil"/>
            </w:tcBorders>
            <w:shd w:val="clear" w:color="auto" w:fill="F2F2F2"/>
            <w:noWrap/>
            <w:vAlign w:val="bottom"/>
            <w:hideMark/>
          </w:tcPr>
          <w:p w14:paraId="60A524F2" w14:textId="417FCC41" w:rsidR="00ED367C" w:rsidRPr="00834AAA" w:rsidRDefault="001367EE"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692" w:type="dxa"/>
            <w:tcBorders>
              <w:top w:val="nil"/>
              <w:left w:val="nil"/>
              <w:bottom w:val="nil"/>
              <w:right w:val="nil"/>
            </w:tcBorders>
            <w:shd w:val="clear" w:color="auto" w:fill="F2F2F2"/>
            <w:noWrap/>
            <w:vAlign w:val="bottom"/>
            <w:hideMark/>
          </w:tcPr>
          <w:p w14:paraId="3A874742"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F2F2F2"/>
            <w:noWrap/>
            <w:vAlign w:val="bottom"/>
            <w:hideMark/>
          </w:tcPr>
          <w:p w14:paraId="72C585AA" w14:textId="5ECBB58C" w:rsidR="00ED367C" w:rsidRPr="00834AAA" w:rsidRDefault="001367EE"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825" w:type="dxa"/>
            <w:tcBorders>
              <w:top w:val="nil"/>
              <w:left w:val="nil"/>
              <w:bottom w:val="nil"/>
              <w:right w:val="single" w:sz="4" w:space="0" w:color="auto"/>
            </w:tcBorders>
            <w:shd w:val="clear" w:color="auto" w:fill="F2F2F2"/>
            <w:noWrap/>
            <w:vAlign w:val="bottom"/>
            <w:hideMark/>
          </w:tcPr>
          <w:p w14:paraId="1EA5D108"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F2F2F2"/>
            <w:noWrap/>
            <w:vAlign w:val="bottom"/>
            <w:hideMark/>
          </w:tcPr>
          <w:p w14:paraId="5A50E690" w14:textId="5E80ABE4" w:rsidR="00ED367C" w:rsidRPr="00834AAA" w:rsidRDefault="00B00EBA"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572</w:t>
            </w:r>
            <w:r w:rsidR="00ED367C" w:rsidRPr="00834AAA">
              <w:rPr>
                <w:rFonts w:ascii="Calibri" w:eastAsia="Times New Roman" w:hAnsi="Calibri" w:cs="Times New Roman"/>
                <w:color w:val="000000"/>
                <w:sz w:val="16"/>
                <w:szCs w:val="14"/>
                <w:lang w:eastAsia="en-GB"/>
              </w:rPr>
              <w:t>/937 (</w:t>
            </w:r>
            <w:r>
              <w:rPr>
                <w:rFonts w:ascii="Calibri" w:eastAsia="Times New Roman" w:hAnsi="Calibri" w:cs="Times New Roman"/>
                <w:color w:val="000000"/>
                <w:sz w:val="16"/>
                <w:szCs w:val="14"/>
                <w:lang w:eastAsia="en-GB"/>
              </w:rPr>
              <w:t>61.0</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F2F2F2"/>
            <w:noWrap/>
            <w:vAlign w:val="bottom"/>
            <w:hideMark/>
          </w:tcPr>
          <w:p w14:paraId="6CAA072A" w14:textId="094F228C" w:rsidR="00ED367C" w:rsidRPr="00834AAA" w:rsidRDefault="001367EE" w:rsidP="00D30520">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692" w:type="dxa"/>
            <w:tcBorders>
              <w:top w:val="nil"/>
              <w:left w:val="nil"/>
              <w:bottom w:val="nil"/>
              <w:right w:val="nil"/>
            </w:tcBorders>
            <w:shd w:val="clear" w:color="auto" w:fill="F2F2F2"/>
            <w:noWrap/>
            <w:vAlign w:val="bottom"/>
            <w:hideMark/>
          </w:tcPr>
          <w:p w14:paraId="51E1C2D4"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F2F2F2"/>
            <w:noWrap/>
            <w:vAlign w:val="bottom"/>
            <w:hideMark/>
          </w:tcPr>
          <w:p w14:paraId="5CFC207F" w14:textId="3BED0ABC" w:rsidR="00ED367C" w:rsidRPr="00834AAA" w:rsidRDefault="00617E90" w:rsidP="00D30520">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850" w:type="dxa"/>
            <w:tcBorders>
              <w:top w:val="nil"/>
              <w:left w:val="nil"/>
              <w:bottom w:val="nil"/>
              <w:right w:val="nil"/>
            </w:tcBorders>
            <w:shd w:val="clear" w:color="auto" w:fill="F2F2F2"/>
            <w:noWrap/>
            <w:vAlign w:val="bottom"/>
            <w:hideMark/>
          </w:tcPr>
          <w:p w14:paraId="4F778E0A"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331B4B" w:rsidRPr="00834AAA" w14:paraId="6E0D919F" w14:textId="77777777" w:rsidTr="001367EE">
        <w:trPr>
          <w:trHeight w:val="20"/>
        </w:trPr>
        <w:tc>
          <w:tcPr>
            <w:tcW w:w="2660" w:type="dxa"/>
            <w:tcBorders>
              <w:top w:val="nil"/>
              <w:left w:val="nil"/>
              <w:bottom w:val="nil"/>
              <w:right w:val="nil"/>
            </w:tcBorders>
            <w:shd w:val="clear" w:color="auto" w:fill="F2F2F2"/>
            <w:noWrap/>
            <w:vAlign w:val="bottom"/>
            <w:hideMark/>
          </w:tcPr>
          <w:p w14:paraId="2B6DC490"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A-level ,di</w:t>
            </w:r>
            <w:r w:rsidRPr="00834AAA">
              <w:rPr>
                <w:rFonts w:ascii="Calibri" w:eastAsia="Times New Roman" w:hAnsi="Calibri" w:cs="Times New Roman"/>
                <w:color w:val="000000"/>
                <w:sz w:val="16"/>
                <w:szCs w:val="14"/>
                <w:lang w:eastAsia="en-GB"/>
              </w:rPr>
              <w:t>ploma,</w:t>
            </w:r>
            <w:r>
              <w:rPr>
                <w:rFonts w:ascii="Calibri" w:eastAsia="Times New Roman" w:hAnsi="Calibri" w:cs="Times New Roman"/>
                <w:color w:val="000000"/>
                <w:sz w:val="16"/>
                <w:szCs w:val="14"/>
                <w:lang w:eastAsia="en-GB"/>
              </w:rPr>
              <w:t xml:space="preserve"> </w:t>
            </w:r>
            <w:r w:rsidRPr="00834AAA">
              <w:rPr>
                <w:rFonts w:ascii="Calibri" w:eastAsia="Times New Roman" w:hAnsi="Calibri" w:cs="Times New Roman"/>
                <w:color w:val="000000"/>
                <w:sz w:val="16"/>
                <w:szCs w:val="14"/>
                <w:lang w:eastAsia="en-GB"/>
              </w:rPr>
              <w:t>HE below degree</w:t>
            </w:r>
          </w:p>
        </w:tc>
        <w:tc>
          <w:tcPr>
            <w:tcW w:w="567" w:type="dxa"/>
            <w:tcBorders>
              <w:top w:val="nil"/>
              <w:left w:val="nil"/>
              <w:bottom w:val="nil"/>
              <w:right w:val="nil"/>
            </w:tcBorders>
            <w:shd w:val="clear" w:color="auto" w:fill="F2F2F2"/>
            <w:noWrap/>
            <w:vAlign w:val="bottom"/>
            <w:hideMark/>
          </w:tcPr>
          <w:p w14:paraId="2D1A8621"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1457</w:t>
            </w:r>
          </w:p>
        </w:tc>
        <w:tc>
          <w:tcPr>
            <w:tcW w:w="592" w:type="dxa"/>
            <w:tcBorders>
              <w:top w:val="nil"/>
              <w:left w:val="nil"/>
              <w:bottom w:val="nil"/>
              <w:right w:val="single" w:sz="4" w:space="0" w:color="auto"/>
            </w:tcBorders>
            <w:shd w:val="clear" w:color="auto" w:fill="F2F2F2"/>
            <w:noWrap/>
            <w:vAlign w:val="bottom"/>
            <w:hideMark/>
          </w:tcPr>
          <w:p w14:paraId="6D987435"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25.2</w:t>
            </w:r>
          </w:p>
        </w:tc>
        <w:tc>
          <w:tcPr>
            <w:tcW w:w="1560" w:type="dxa"/>
            <w:tcBorders>
              <w:top w:val="nil"/>
              <w:left w:val="single" w:sz="4" w:space="0" w:color="auto"/>
              <w:bottom w:val="nil"/>
              <w:right w:val="nil"/>
            </w:tcBorders>
            <w:shd w:val="clear" w:color="auto" w:fill="F2F2F2"/>
            <w:noWrap/>
            <w:vAlign w:val="bottom"/>
            <w:hideMark/>
          </w:tcPr>
          <w:p w14:paraId="0CAEF564"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610/1431 (42.6)</w:t>
            </w:r>
          </w:p>
        </w:tc>
        <w:tc>
          <w:tcPr>
            <w:tcW w:w="1366" w:type="dxa"/>
            <w:tcBorders>
              <w:top w:val="nil"/>
              <w:left w:val="nil"/>
              <w:bottom w:val="nil"/>
              <w:right w:val="nil"/>
            </w:tcBorders>
            <w:shd w:val="clear" w:color="auto" w:fill="F2F2F2"/>
            <w:noWrap/>
            <w:vAlign w:val="bottom"/>
            <w:hideMark/>
          </w:tcPr>
          <w:p w14:paraId="2F08B29A" w14:textId="0FC198C7"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0.75 (0.63</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0.88)</w:t>
            </w:r>
          </w:p>
        </w:tc>
        <w:tc>
          <w:tcPr>
            <w:tcW w:w="692" w:type="dxa"/>
            <w:tcBorders>
              <w:top w:val="nil"/>
              <w:left w:val="nil"/>
              <w:bottom w:val="nil"/>
              <w:right w:val="nil"/>
            </w:tcBorders>
            <w:shd w:val="clear" w:color="auto" w:fill="F2F2F2"/>
            <w:noWrap/>
            <w:vAlign w:val="bottom"/>
            <w:hideMark/>
          </w:tcPr>
          <w:p w14:paraId="7BB89D67"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F2F2F2"/>
            <w:noWrap/>
            <w:vAlign w:val="bottom"/>
            <w:hideMark/>
          </w:tcPr>
          <w:p w14:paraId="747B61FD" w14:textId="110ED2E7"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0.93 (0.78</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1.11)</w:t>
            </w:r>
          </w:p>
        </w:tc>
        <w:tc>
          <w:tcPr>
            <w:tcW w:w="825" w:type="dxa"/>
            <w:tcBorders>
              <w:top w:val="nil"/>
              <w:left w:val="nil"/>
              <w:bottom w:val="nil"/>
              <w:right w:val="single" w:sz="4" w:space="0" w:color="auto"/>
            </w:tcBorders>
            <w:shd w:val="clear" w:color="auto" w:fill="F2F2F2"/>
            <w:noWrap/>
            <w:vAlign w:val="bottom"/>
            <w:hideMark/>
          </w:tcPr>
          <w:p w14:paraId="3C6B2491"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F2F2F2"/>
            <w:noWrap/>
            <w:vAlign w:val="bottom"/>
            <w:hideMark/>
          </w:tcPr>
          <w:p w14:paraId="756699AD" w14:textId="050DA2B8" w:rsidR="00ED367C" w:rsidRPr="00834AAA" w:rsidRDefault="00B00EBA"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917</w:t>
            </w:r>
            <w:r w:rsidR="00ED367C" w:rsidRPr="00834AAA">
              <w:rPr>
                <w:rFonts w:ascii="Calibri" w:eastAsia="Times New Roman" w:hAnsi="Calibri" w:cs="Times New Roman"/>
                <w:color w:val="000000"/>
                <w:sz w:val="16"/>
                <w:szCs w:val="14"/>
                <w:lang w:eastAsia="en-GB"/>
              </w:rPr>
              <w:t>/1446 (</w:t>
            </w:r>
            <w:r>
              <w:rPr>
                <w:rFonts w:ascii="Calibri" w:eastAsia="Times New Roman" w:hAnsi="Calibri" w:cs="Times New Roman"/>
                <w:color w:val="000000"/>
                <w:sz w:val="16"/>
                <w:szCs w:val="14"/>
                <w:lang w:eastAsia="en-GB"/>
              </w:rPr>
              <w:t>63.4</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F2F2F2"/>
            <w:noWrap/>
            <w:vAlign w:val="bottom"/>
            <w:hideMark/>
          </w:tcPr>
          <w:p w14:paraId="7C227B3A" w14:textId="11002979" w:rsidR="00ED367C" w:rsidRPr="00834AAA" w:rsidRDefault="008F01B2"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1.11</w:t>
            </w:r>
            <w:r w:rsidR="00ED367C" w:rsidRPr="00834AAA">
              <w:rPr>
                <w:rFonts w:ascii="Calibri" w:eastAsia="Times New Roman" w:hAnsi="Calibri" w:cs="Times New Roman"/>
                <w:color w:val="000000"/>
                <w:sz w:val="16"/>
                <w:szCs w:val="14"/>
                <w:lang w:eastAsia="en-GB"/>
              </w:rPr>
              <w:t xml:space="preserve"> (0.</w:t>
            </w:r>
            <w:r>
              <w:rPr>
                <w:rFonts w:ascii="Calibri" w:eastAsia="Times New Roman" w:hAnsi="Calibri" w:cs="Times New Roman"/>
                <w:color w:val="000000"/>
                <w:sz w:val="16"/>
                <w:szCs w:val="14"/>
                <w:lang w:eastAsia="en-GB"/>
              </w:rPr>
              <w:t>93</w:t>
            </w:r>
            <w:r w:rsidR="001367EE">
              <w:rPr>
                <w:rFonts w:ascii="Calibri" w:eastAsia="Times New Roman" w:hAnsi="Calibri" w:cs="Times New Roman"/>
                <w:color w:val="000000"/>
                <w:sz w:val="16"/>
                <w:szCs w:val="14"/>
                <w:lang w:eastAsia="en-GB"/>
              </w:rPr>
              <w:t>–</w:t>
            </w:r>
            <w:r w:rsidR="00ED367C" w:rsidRPr="00834AAA">
              <w:rPr>
                <w:rFonts w:ascii="Calibri" w:eastAsia="Times New Roman" w:hAnsi="Calibri" w:cs="Times New Roman"/>
                <w:color w:val="000000"/>
                <w:sz w:val="16"/>
                <w:szCs w:val="14"/>
                <w:lang w:eastAsia="en-GB"/>
              </w:rPr>
              <w:t>1.</w:t>
            </w:r>
            <w:r>
              <w:rPr>
                <w:rFonts w:ascii="Calibri" w:eastAsia="Times New Roman" w:hAnsi="Calibri" w:cs="Times New Roman"/>
                <w:color w:val="000000"/>
                <w:sz w:val="16"/>
                <w:szCs w:val="14"/>
                <w:lang w:eastAsia="en-GB"/>
              </w:rPr>
              <w:t>31</w:t>
            </w:r>
            <w:r w:rsidR="00ED367C" w:rsidRPr="00834AAA">
              <w:rPr>
                <w:rFonts w:ascii="Calibri" w:eastAsia="Times New Roman" w:hAnsi="Calibri" w:cs="Times New Roman"/>
                <w:color w:val="000000"/>
                <w:sz w:val="16"/>
                <w:szCs w:val="14"/>
                <w:lang w:eastAsia="en-GB"/>
              </w:rPr>
              <w:t>)</w:t>
            </w:r>
          </w:p>
        </w:tc>
        <w:tc>
          <w:tcPr>
            <w:tcW w:w="692" w:type="dxa"/>
            <w:tcBorders>
              <w:top w:val="nil"/>
              <w:left w:val="nil"/>
              <w:bottom w:val="nil"/>
              <w:right w:val="nil"/>
            </w:tcBorders>
            <w:shd w:val="clear" w:color="auto" w:fill="F2F2F2"/>
            <w:noWrap/>
            <w:vAlign w:val="bottom"/>
            <w:hideMark/>
          </w:tcPr>
          <w:p w14:paraId="51DE6A2A"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F2F2F2"/>
            <w:noWrap/>
            <w:vAlign w:val="bottom"/>
            <w:hideMark/>
          </w:tcPr>
          <w:p w14:paraId="5C9B9E1B" w14:textId="1C9F4EE3" w:rsidR="00ED367C" w:rsidRPr="00834AAA" w:rsidRDefault="000948DA"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1.13</w:t>
            </w:r>
            <w:r w:rsidR="00ED367C" w:rsidRPr="00834AAA">
              <w:rPr>
                <w:rFonts w:ascii="Calibri" w:eastAsia="Times New Roman" w:hAnsi="Calibri" w:cs="Times New Roman"/>
                <w:color w:val="000000"/>
                <w:sz w:val="16"/>
                <w:szCs w:val="14"/>
                <w:lang w:eastAsia="en-GB"/>
              </w:rPr>
              <w:t xml:space="preserve"> (0.</w:t>
            </w:r>
            <w:r>
              <w:rPr>
                <w:rFonts w:ascii="Calibri" w:eastAsia="Times New Roman" w:hAnsi="Calibri" w:cs="Times New Roman"/>
                <w:color w:val="000000"/>
                <w:sz w:val="16"/>
                <w:szCs w:val="14"/>
                <w:lang w:eastAsia="en-GB"/>
              </w:rPr>
              <w:t>95</w:t>
            </w:r>
            <w:r w:rsidR="001367EE">
              <w:rPr>
                <w:rFonts w:ascii="Calibri" w:eastAsia="Times New Roman" w:hAnsi="Calibri" w:cs="Times New Roman"/>
                <w:color w:val="000000"/>
                <w:sz w:val="16"/>
                <w:szCs w:val="14"/>
                <w:lang w:eastAsia="en-GB"/>
              </w:rPr>
              <w:t>–</w:t>
            </w:r>
            <w:r w:rsidR="00ED367C" w:rsidRPr="00834AAA">
              <w:rPr>
                <w:rFonts w:ascii="Calibri" w:eastAsia="Times New Roman" w:hAnsi="Calibri" w:cs="Times New Roman"/>
                <w:color w:val="000000"/>
                <w:sz w:val="16"/>
                <w:szCs w:val="14"/>
                <w:lang w:eastAsia="en-GB"/>
              </w:rPr>
              <w:t>1.</w:t>
            </w:r>
            <w:r>
              <w:rPr>
                <w:rFonts w:ascii="Calibri" w:eastAsia="Times New Roman" w:hAnsi="Calibri" w:cs="Times New Roman"/>
                <w:color w:val="000000"/>
                <w:sz w:val="16"/>
                <w:szCs w:val="14"/>
                <w:lang w:eastAsia="en-GB"/>
              </w:rPr>
              <w:t>34</w:t>
            </w:r>
            <w:r w:rsidR="00ED367C" w:rsidRPr="00834AAA">
              <w:rPr>
                <w:rFonts w:ascii="Calibri" w:eastAsia="Times New Roman" w:hAnsi="Calibri" w:cs="Times New Roman"/>
                <w:color w:val="000000"/>
                <w:sz w:val="16"/>
                <w:szCs w:val="14"/>
                <w:lang w:eastAsia="en-GB"/>
              </w:rPr>
              <w:t>)</w:t>
            </w:r>
          </w:p>
        </w:tc>
        <w:tc>
          <w:tcPr>
            <w:tcW w:w="850" w:type="dxa"/>
            <w:tcBorders>
              <w:top w:val="nil"/>
              <w:left w:val="nil"/>
              <w:bottom w:val="nil"/>
              <w:right w:val="nil"/>
            </w:tcBorders>
            <w:shd w:val="clear" w:color="auto" w:fill="F2F2F2"/>
            <w:noWrap/>
            <w:vAlign w:val="bottom"/>
            <w:hideMark/>
          </w:tcPr>
          <w:p w14:paraId="590D4B46"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331B4B" w:rsidRPr="00834AAA" w14:paraId="135D6FD9" w14:textId="77777777" w:rsidTr="001367EE">
        <w:trPr>
          <w:trHeight w:val="20"/>
        </w:trPr>
        <w:tc>
          <w:tcPr>
            <w:tcW w:w="2660" w:type="dxa"/>
            <w:tcBorders>
              <w:top w:val="nil"/>
              <w:left w:val="nil"/>
              <w:bottom w:val="nil"/>
              <w:right w:val="nil"/>
            </w:tcBorders>
            <w:shd w:val="clear" w:color="auto" w:fill="F2F2F2"/>
            <w:noWrap/>
            <w:vAlign w:val="bottom"/>
            <w:hideMark/>
          </w:tcPr>
          <w:p w14:paraId="19986EC2"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Degree level</w:t>
            </w:r>
          </w:p>
        </w:tc>
        <w:tc>
          <w:tcPr>
            <w:tcW w:w="567" w:type="dxa"/>
            <w:tcBorders>
              <w:top w:val="nil"/>
              <w:left w:val="nil"/>
              <w:bottom w:val="nil"/>
              <w:right w:val="nil"/>
            </w:tcBorders>
            <w:shd w:val="clear" w:color="auto" w:fill="F2F2F2"/>
            <w:noWrap/>
            <w:vAlign w:val="bottom"/>
            <w:hideMark/>
          </w:tcPr>
          <w:p w14:paraId="07DDD4D5"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3379</w:t>
            </w:r>
          </w:p>
        </w:tc>
        <w:tc>
          <w:tcPr>
            <w:tcW w:w="592" w:type="dxa"/>
            <w:tcBorders>
              <w:top w:val="nil"/>
              <w:left w:val="nil"/>
              <w:bottom w:val="nil"/>
              <w:right w:val="single" w:sz="4" w:space="0" w:color="auto"/>
            </w:tcBorders>
            <w:shd w:val="clear" w:color="auto" w:fill="F2F2F2"/>
            <w:noWrap/>
            <w:vAlign w:val="bottom"/>
            <w:hideMark/>
          </w:tcPr>
          <w:p w14:paraId="643AA660"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58.4</w:t>
            </w:r>
          </w:p>
        </w:tc>
        <w:tc>
          <w:tcPr>
            <w:tcW w:w="1560" w:type="dxa"/>
            <w:tcBorders>
              <w:top w:val="nil"/>
              <w:left w:val="single" w:sz="4" w:space="0" w:color="auto"/>
              <w:bottom w:val="nil"/>
              <w:right w:val="nil"/>
            </w:tcBorders>
            <w:shd w:val="clear" w:color="auto" w:fill="F2F2F2"/>
            <w:noWrap/>
            <w:vAlign w:val="bottom"/>
            <w:hideMark/>
          </w:tcPr>
          <w:p w14:paraId="390D9727"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1421/3328 (42.7)</w:t>
            </w:r>
          </w:p>
        </w:tc>
        <w:tc>
          <w:tcPr>
            <w:tcW w:w="1366" w:type="dxa"/>
            <w:tcBorders>
              <w:top w:val="nil"/>
              <w:left w:val="nil"/>
              <w:bottom w:val="nil"/>
              <w:right w:val="nil"/>
            </w:tcBorders>
            <w:shd w:val="clear" w:color="auto" w:fill="F2F2F2"/>
            <w:noWrap/>
            <w:vAlign w:val="bottom"/>
            <w:hideMark/>
          </w:tcPr>
          <w:p w14:paraId="596C8AAF" w14:textId="26A21463"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0.75 (0.65</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0.87)</w:t>
            </w:r>
          </w:p>
        </w:tc>
        <w:tc>
          <w:tcPr>
            <w:tcW w:w="692" w:type="dxa"/>
            <w:tcBorders>
              <w:top w:val="nil"/>
              <w:left w:val="nil"/>
              <w:bottom w:val="nil"/>
              <w:right w:val="nil"/>
            </w:tcBorders>
            <w:shd w:val="clear" w:color="auto" w:fill="F2F2F2"/>
            <w:noWrap/>
            <w:vAlign w:val="bottom"/>
            <w:hideMark/>
          </w:tcPr>
          <w:p w14:paraId="34113B69"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&lt;0.001</w:t>
            </w:r>
          </w:p>
        </w:tc>
        <w:tc>
          <w:tcPr>
            <w:tcW w:w="1485" w:type="dxa"/>
            <w:tcBorders>
              <w:top w:val="nil"/>
              <w:left w:val="nil"/>
              <w:bottom w:val="nil"/>
              <w:right w:val="nil"/>
            </w:tcBorders>
            <w:shd w:val="clear" w:color="auto" w:fill="F2F2F2"/>
            <w:noWrap/>
            <w:vAlign w:val="bottom"/>
            <w:hideMark/>
          </w:tcPr>
          <w:p w14:paraId="1420EAD6" w14:textId="32F4DD1A"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0.74 (0.63</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0.87)</w:t>
            </w:r>
          </w:p>
        </w:tc>
        <w:tc>
          <w:tcPr>
            <w:tcW w:w="825" w:type="dxa"/>
            <w:tcBorders>
              <w:top w:val="nil"/>
              <w:left w:val="nil"/>
              <w:bottom w:val="nil"/>
              <w:right w:val="single" w:sz="4" w:space="0" w:color="auto"/>
            </w:tcBorders>
            <w:shd w:val="clear" w:color="auto" w:fill="F2F2F2"/>
            <w:noWrap/>
            <w:vAlign w:val="bottom"/>
            <w:hideMark/>
          </w:tcPr>
          <w:p w14:paraId="4DDDD65A"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&lt;0.001</w:t>
            </w:r>
          </w:p>
        </w:tc>
        <w:tc>
          <w:tcPr>
            <w:tcW w:w="1631" w:type="dxa"/>
            <w:tcBorders>
              <w:top w:val="nil"/>
              <w:left w:val="single" w:sz="4" w:space="0" w:color="auto"/>
              <w:bottom w:val="nil"/>
              <w:right w:val="nil"/>
            </w:tcBorders>
            <w:shd w:val="clear" w:color="auto" w:fill="F2F2F2"/>
            <w:noWrap/>
            <w:vAlign w:val="bottom"/>
            <w:hideMark/>
          </w:tcPr>
          <w:p w14:paraId="527526E4" w14:textId="1781BABF" w:rsidR="00ED367C" w:rsidRPr="00834AAA" w:rsidRDefault="00B00EBA"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2053</w:t>
            </w:r>
            <w:r w:rsidR="00ED367C" w:rsidRPr="00834AAA">
              <w:rPr>
                <w:rFonts w:ascii="Calibri" w:eastAsia="Times New Roman" w:hAnsi="Calibri" w:cs="Times New Roman"/>
                <w:color w:val="000000"/>
                <w:sz w:val="16"/>
                <w:szCs w:val="14"/>
                <w:lang w:eastAsia="en-GB"/>
              </w:rPr>
              <w:t>/3365 (</w:t>
            </w:r>
            <w:r>
              <w:rPr>
                <w:rFonts w:ascii="Calibri" w:eastAsia="Times New Roman" w:hAnsi="Calibri" w:cs="Times New Roman"/>
                <w:color w:val="000000"/>
                <w:sz w:val="16"/>
                <w:szCs w:val="14"/>
                <w:lang w:eastAsia="en-GB"/>
              </w:rPr>
              <w:t>61.0</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F2F2F2"/>
            <w:noWrap/>
            <w:vAlign w:val="bottom"/>
            <w:hideMark/>
          </w:tcPr>
          <w:p w14:paraId="7361DDC1" w14:textId="37D82C86" w:rsidR="00ED367C" w:rsidRPr="00834AAA" w:rsidRDefault="008F01B2"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r w:rsidR="00ED367C" w:rsidRPr="00834AAA">
              <w:rPr>
                <w:rFonts w:ascii="Calibri" w:eastAsia="Times New Roman" w:hAnsi="Calibri" w:cs="Times New Roman"/>
                <w:color w:val="000000"/>
                <w:sz w:val="16"/>
                <w:szCs w:val="14"/>
                <w:lang w:eastAsia="en-GB"/>
              </w:rPr>
              <w:t xml:space="preserve"> (0.</w:t>
            </w:r>
            <w:r>
              <w:rPr>
                <w:rFonts w:ascii="Calibri" w:eastAsia="Times New Roman" w:hAnsi="Calibri" w:cs="Times New Roman"/>
                <w:color w:val="000000"/>
                <w:sz w:val="16"/>
                <w:szCs w:val="14"/>
                <w:lang w:eastAsia="en-GB"/>
              </w:rPr>
              <w:t>86–1.16</w:t>
            </w:r>
            <w:r w:rsidR="00ED367C" w:rsidRPr="00834AAA">
              <w:rPr>
                <w:rFonts w:ascii="Calibri" w:eastAsia="Times New Roman" w:hAnsi="Calibri" w:cs="Times New Roman"/>
                <w:color w:val="000000"/>
                <w:sz w:val="16"/>
                <w:szCs w:val="14"/>
                <w:lang w:eastAsia="en-GB"/>
              </w:rPr>
              <w:t>)</w:t>
            </w:r>
          </w:p>
        </w:tc>
        <w:tc>
          <w:tcPr>
            <w:tcW w:w="692" w:type="dxa"/>
            <w:tcBorders>
              <w:top w:val="nil"/>
              <w:left w:val="nil"/>
              <w:bottom w:val="nil"/>
              <w:right w:val="nil"/>
            </w:tcBorders>
            <w:shd w:val="clear" w:color="auto" w:fill="F2F2F2"/>
            <w:noWrap/>
            <w:vAlign w:val="bottom"/>
            <w:hideMark/>
          </w:tcPr>
          <w:p w14:paraId="0C8528A8" w14:textId="7B30D550" w:rsidR="00ED367C" w:rsidRPr="00834AAA" w:rsidRDefault="008F01B2" w:rsidP="00D30520">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0.267</w:t>
            </w:r>
          </w:p>
        </w:tc>
        <w:tc>
          <w:tcPr>
            <w:tcW w:w="1576" w:type="dxa"/>
            <w:tcBorders>
              <w:top w:val="nil"/>
              <w:left w:val="nil"/>
              <w:bottom w:val="nil"/>
              <w:right w:val="nil"/>
            </w:tcBorders>
            <w:shd w:val="clear" w:color="auto" w:fill="F2F2F2"/>
            <w:noWrap/>
            <w:vAlign w:val="bottom"/>
            <w:hideMark/>
          </w:tcPr>
          <w:p w14:paraId="6B756C1A" w14:textId="3BEF6AE4" w:rsidR="00ED367C" w:rsidRPr="00834AAA" w:rsidRDefault="000948DA"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1.02</w:t>
            </w:r>
            <w:r w:rsidR="00ED367C" w:rsidRPr="00834AAA">
              <w:rPr>
                <w:rFonts w:ascii="Calibri" w:eastAsia="Times New Roman" w:hAnsi="Calibri" w:cs="Times New Roman"/>
                <w:color w:val="000000"/>
                <w:sz w:val="16"/>
                <w:szCs w:val="14"/>
                <w:lang w:eastAsia="en-GB"/>
              </w:rPr>
              <w:t xml:space="preserve"> (0.</w:t>
            </w:r>
            <w:r>
              <w:rPr>
                <w:rFonts w:ascii="Calibri" w:eastAsia="Times New Roman" w:hAnsi="Calibri" w:cs="Times New Roman"/>
                <w:color w:val="000000"/>
                <w:sz w:val="16"/>
                <w:szCs w:val="14"/>
                <w:lang w:eastAsia="en-GB"/>
              </w:rPr>
              <w:t>87</w:t>
            </w:r>
            <w:r w:rsidR="001367EE">
              <w:rPr>
                <w:rFonts w:ascii="Calibri" w:eastAsia="Times New Roman" w:hAnsi="Calibri" w:cs="Times New Roman"/>
                <w:color w:val="000000"/>
                <w:sz w:val="16"/>
                <w:szCs w:val="14"/>
                <w:lang w:eastAsia="en-GB"/>
              </w:rPr>
              <w:t>–</w:t>
            </w:r>
            <w:r w:rsidR="00617E90">
              <w:rPr>
                <w:rFonts w:ascii="Calibri" w:eastAsia="Times New Roman" w:hAnsi="Calibri" w:cs="Times New Roman"/>
                <w:color w:val="000000"/>
                <w:sz w:val="16"/>
                <w:szCs w:val="14"/>
                <w:lang w:eastAsia="en-GB"/>
              </w:rPr>
              <w:t>1</w:t>
            </w:r>
            <w:r w:rsidR="00ED367C" w:rsidRPr="00834AAA">
              <w:rPr>
                <w:rFonts w:ascii="Calibri" w:eastAsia="Times New Roman" w:hAnsi="Calibri" w:cs="Times New Roman"/>
                <w:color w:val="000000"/>
                <w:sz w:val="16"/>
                <w:szCs w:val="14"/>
                <w:lang w:eastAsia="en-GB"/>
              </w:rPr>
              <w:t>.</w:t>
            </w:r>
            <w:r>
              <w:rPr>
                <w:rFonts w:ascii="Calibri" w:eastAsia="Times New Roman" w:hAnsi="Calibri" w:cs="Times New Roman"/>
                <w:color w:val="000000"/>
                <w:sz w:val="16"/>
                <w:szCs w:val="14"/>
                <w:lang w:eastAsia="en-GB"/>
              </w:rPr>
              <w:t>18</w:t>
            </w:r>
            <w:r w:rsidR="00ED367C" w:rsidRPr="00834AAA">
              <w:rPr>
                <w:rFonts w:ascii="Calibri" w:eastAsia="Times New Roman" w:hAnsi="Calibri" w:cs="Times New Roman"/>
                <w:color w:val="000000"/>
                <w:sz w:val="16"/>
                <w:szCs w:val="14"/>
                <w:lang w:eastAsia="en-GB"/>
              </w:rPr>
              <w:t>)</w:t>
            </w:r>
          </w:p>
        </w:tc>
        <w:tc>
          <w:tcPr>
            <w:tcW w:w="850" w:type="dxa"/>
            <w:tcBorders>
              <w:top w:val="nil"/>
              <w:left w:val="nil"/>
              <w:bottom w:val="nil"/>
              <w:right w:val="nil"/>
            </w:tcBorders>
            <w:shd w:val="clear" w:color="auto" w:fill="F2F2F2"/>
            <w:noWrap/>
            <w:vAlign w:val="bottom"/>
            <w:hideMark/>
          </w:tcPr>
          <w:p w14:paraId="12C10EB2" w14:textId="6AE48F0F" w:rsidR="00ED367C" w:rsidRPr="00834AAA" w:rsidRDefault="000948DA" w:rsidP="000948DA">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0.235</w:t>
            </w:r>
          </w:p>
        </w:tc>
      </w:tr>
      <w:tr w:rsidR="00331B4B" w:rsidRPr="00834AAA" w14:paraId="102C6006" w14:textId="77777777" w:rsidTr="001367EE">
        <w:trPr>
          <w:trHeight w:val="20"/>
        </w:trPr>
        <w:tc>
          <w:tcPr>
            <w:tcW w:w="2660" w:type="dxa"/>
            <w:tcBorders>
              <w:top w:val="nil"/>
              <w:left w:val="nil"/>
              <w:bottom w:val="nil"/>
              <w:right w:val="nil"/>
            </w:tcBorders>
            <w:shd w:val="clear" w:color="auto" w:fill="F2F2F2"/>
            <w:noWrap/>
            <w:vAlign w:val="bottom"/>
            <w:hideMark/>
          </w:tcPr>
          <w:p w14:paraId="02989F9E"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Missing</w:t>
            </w:r>
          </w:p>
        </w:tc>
        <w:tc>
          <w:tcPr>
            <w:tcW w:w="567" w:type="dxa"/>
            <w:tcBorders>
              <w:top w:val="nil"/>
              <w:left w:val="nil"/>
              <w:bottom w:val="nil"/>
              <w:right w:val="nil"/>
            </w:tcBorders>
            <w:shd w:val="clear" w:color="auto" w:fill="F2F2F2"/>
            <w:noWrap/>
            <w:vAlign w:val="bottom"/>
            <w:hideMark/>
          </w:tcPr>
          <w:p w14:paraId="34302453"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17</w:t>
            </w:r>
          </w:p>
        </w:tc>
        <w:tc>
          <w:tcPr>
            <w:tcW w:w="592" w:type="dxa"/>
            <w:tcBorders>
              <w:top w:val="nil"/>
              <w:left w:val="nil"/>
              <w:bottom w:val="nil"/>
              <w:right w:val="single" w:sz="4" w:space="0" w:color="auto"/>
            </w:tcBorders>
            <w:shd w:val="clear" w:color="auto" w:fill="F2F2F2"/>
            <w:noWrap/>
            <w:vAlign w:val="bottom"/>
            <w:hideMark/>
          </w:tcPr>
          <w:p w14:paraId="35EE5946"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560" w:type="dxa"/>
            <w:tcBorders>
              <w:top w:val="nil"/>
              <w:left w:val="single" w:sz="4" w:space="0" w:color="auto"/>
              <w:bottom w:val="nil"/>
              <w:right w:val="nil"/>
            </w:tcBorders>
            <w:shd w:val="clear" w:color="auto" w:fill="F2F2F2"/>
            <w:noWrap/>
            <w:vAlign w:val="bottom"/>
            <w:hideMark/>
          </w:tcPr>
          <w:p w14:paraId="13E3AA19"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p>
        </w:tc>
        <w:tc>
          <w:tcPr>
            <w:tcW w:w="1366" w:type="dxa"/>
            <w:tcBorders>
              <w:top w:val="nil"/>
              <w:left w:val="nil"/>
              <w:bottom w:val="nil"/>
              <w:right w:val="nil"/>
            </w:tcBorders>
            <w:shd w:val="clear" w:color="auto" w:fill="F2F2F2"/>
            <w:noWrap/>
            <w:vAlign w:val="bottom"/>
            <w:hideMark/>
          </w:tcPr>
          <w:p w14:paraId="2001487E"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F2F2F2"/>
            <w:noWrap/>
            <w:vAlign w:val="bottom"/>
            <w:hideMark/>
          </w:tcPr>
          <w:p w14:paraId="6C46C138"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F2F2F2"/>
            <w:noWrap/>
            <w:vAlign w:val="bottom"/>
            <w:hideMark/>
          </w:tcPr>
          <w:p w14:paraId="716F6B11"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25" w:type="dxa"/>
            <w:tcBorders>
              <w:top w:val="nil"/>
              <w:left w:val="nil"/>
              <w:bottom w:val="nil"/>
              <w:right w:val="single" w:sz="4" w:space="0" w:color="auto"/>
            </w:tcBorders>
            <w:shd w:val="clear" w:color="auto" w:fill="F2F2F2"/>
            <w:noWrap/>
            <w:vAlign w:val="bottom"/>
            <w:hideMark/>
          </w:tcPr>
          <w:p w14:paraId="5A6B5067"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F2F2F2"/>
            <w:noWrap/>
            <w:vAlign w:val="bottom"/>
            <w:hideMark/>
          </w:tcPr>
          <w:p w14:paraId="61F8688A"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p>
        </w:tc>
        <w:tc>
          <w:tcPr>
            <w:tcW w:w="1513" w:type="dxa"/>
            <w:tcBorders>
              <w:top w:val="nil"/>
              <w:left w:val="nil"/>
              <w:bottom w:val="nil"/>
              <w:right w:val="nil"/>
            </w:tcBorders>
            <w:shd w:val="clear" w:color="auto" w:fill="F2F2F2"/>
            <w:noWrap/>
            <w:vAlign w:val="bottom"/>
            <w:hideMark/>
          </w:tcPr>
          <w:p w14:paraId="11CF7045"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F2F2F2"/>
            <w:noWrap/>
            <w:vAlign w:val="bottom"/>
            <w:hideMark/>
          </w:tcPr>
          <w:p w14:paraId="5E12BD63"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F2F2F2"/>
            <w:noWrap/>
            <w:vAlign w:val="bottom"/>
            <w:hideMark/>
          </w:tcPr>
          <w:p w14:paraId="0FF87342"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50" w:type="dxa"/>
            <w:tcBorders>
              <w:top w:val="nil"/>
              <w:left w:val="nil"/>
              <w:bottom w:val="nil"/>
              <w:right w:val="nil"/>
            </w:tcBorders>
            <w:shd w:val="clear" w:color="auto" w:fill="F2F2F2"/>
            <w:noWrap/>
            <w:vAlign w:val="bottom"/>
            <w:hideMark/>
          </w:tcPr>
          <w:p w14:paraId="496A5ADB"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1367EE" w:rsidRPr="00834AAA" w14:paraId="08168BF0" w14:textId="77777777" w:rsidTr="001367EE">
        <w:trPr>
          <w:trHeight w:val="20"/>
        </w:trPr>
        <w:tc>
          <w:tcPr>
            <w:tcW w:w="2660" w:type="dxa"/>
            <w:tcBorders>
              <w:top w:val="nil"/>
              <w:left w:val="nil"/>
              <w:bottom w:val="nil"/>
              <w:right w:val="nil"/>
            </w:tcBorders>
            <w:shd w:val="clear" w:color="auto" w:fill="auto"/>
            <w:noWrap/>
            <w:vAlign w:val="bottom"/>
            <w:hideMark/>
          </w:tcPr>
          <w:p w14:paraId="116C7F34" w14:textId="77777777" w:rsidR="00ED367C" w:rsidRPr="00834AAA" w:rsidRDefault="00ED367C" w:rsidP="00D30520">
            <w:pPr>
              <w:spacing w:before="0" w:after="0" w:line="240" w:lineRule="auto"/>
              <w:rPr>
                <w:rFonts w:ascii="Calibri" w:eastAsia="Times New Roman" w:hAnsi="Calibri" w:cs="Times New Roman"/>
                <w:b/>
                <w:color w:val="000000"/>
                <w:sz w:val="16"/>
                <w:szCs w:val="14"/>
                <w:lang w:eastAsia="en-GB"/>
              </w:rPr>
            </w:pPr>
            <w:r w:rsidRPr="00834AAA">
              <w:rPr>
                <w:rFonts w:ascii="Calibri" w:eastAsia="Times New Roman" w:hAnsi="Calibri" w:cs="Times New Roman"/>
                <w:b/>
                <w:color w:val="000000"/>
                <w:sz w:val="16"/>
                <w:szCs w:val="14"/>
                <w:lang w:eastAsia="en-GB"/>
              </w:rPr>
              <w:t>Migrant</w:t>
            </w:r>
          </w:p>
        </w:tc>
        <w:tc>
          <w:tcPr>
            <w:tcW w:w="567" w:type="dxa"/>
            <w:tcBorders>
              <w:top w:val="nil"/>
              <w:left w:val="nil"/>
              <w:bottom w:val="nil"/>
              <w:right w:val="nil"/>
            </w:tcBorders>
            <w:shd w:val="clear" w:color="auto" w:fill="auto"/>
            <w:noWrap/>
            <w:vAlign w:val="bottom"/>
            <w:hideMark/>
          </w:tcPr>
          <w:p w14:paraId="0A58AA23"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592" w:type="dxa"/>
            <w:tcBorders>
              <w:top w:val="nil"/>
              <w:left w:val="nil"/>
              <w:bottom w:val="nil"/>
              <w:right w:val="single" w:sz="4" w:space="0" w:color="auto"/>
            </w:tcBorders>
            <w:shd w:val="clear" w:color="auto" w:fill="auto"/>
            <w:noWrap/>
            <w:vAlign w:val="bottom"/>
            <w:hideMark/>
          </w:tcPr>
          <w:p w14:paraId="0683B5B1"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560" w:type="dxa"/>
            <w:tcBorders>
              <w:top w:val="nil"/>
              <w:left w:val="single" w:sz="4" w:space="0" w:color="auto"/>
              <w:bottom w:val="nil"/>
              <w:right w:val="nil"/>
            </w:tcBorders>
            <w:shd w:val="clear" w:color="auto" w:fill="auto"/>
            <w:noWrap/>
            <w:vAlign w:val="bottom"/>
            <w:hideMark/>
          </w:tcPr>
          <w:p w14:paraId="05DE0AE4"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p>
        </w:tc>
        <w:tc>
          <w:tcPr>
            <w:tcW w:w="1366" w:type="dxa"/>
            <w:tcBorders>
              <w:top w:val="nil"/>
              <w:left w:val="nil"/>
              <w:bottom w:val="nil"/>
              <w:right w:val="nil"/>
            </w:tcBorders>
            <w:shd w:val="clear" w:color="auto" w:fill="auto"/>
            <w:noWrap/>
            <w:vAlign w:val="bottom"/>
            <w:hideMark/>
          </w:tcPr>
          <w:p w14:paraId="32547A29"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auto"/>
            <w:noWrap/>
            <w:vAlign w:val="bottom"/>
            <w:hideMark/>
          </w:tcPr>
          <w:p w14:paraId="6DDF4C9C"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auto"/>
            <w:noWrap/>
            <w:vAlign w:val="bottom"/>
            <w:hideMark/>
          </w:tcPr>
          <w:p w14:paraId="2A8AF515"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25" w:type="dxa"/>
            <w:tcBorders>
              <w:top w:val="nil"/>
              <w:left w:val="nil"/>
              <w:bottom w:val="nil"/>
              <w:right w:val="single" w:sz="4" w:space="0" w:color="auto"/>
            </w:tcBorders>
            <w:shd w:val="clear" w:color="auto" w:fill="auto"/>
            <w:noWrap/>
            <w:vAlign w:val="bottom"/>
            <w:hideMark/>
          </w:tcPr>
          <w:p w14:paraId="2FE8FC93"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auto"/>
            <w:noWrap/>
            <w:vAlign w:val="bottom"/>
            <w:hideMark/>
          </w:tcPr>
          <w:p w14:paraId="182E53FE"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p>
        </w:tc>
        <w:tc>
          <w:tcPr>
            <w:tcW w:w="1513" w:type="dxa"/>
            <w:tcBorders>
              <w:top w:val="nil"/>
              <w:left w:val="nil"/>
              <w:bottom w:val="nil"/>
              <w:right w:val="nil"/>
            </w:tcBorders>
            <w:shd w:val="clear" w:color="auto" w:fill="auto"/>
            <w:noWrap/>
            <w:vAlign w:val="bottom"/>
            <w:hideMark/>
          </w:tcPr>
          <w:p w14:paraId="445900C7"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auto"/>
            <w:noWrap/>
            <w:vAlign w:val="bottom"/>
            <w:hideMark/>
          </w:tcPr>
          <w:p w14:paraId="257FB367"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auto"/>
            <w:noWrap/>
            <w:vAlign w:val="bottom"/>
            <w:hideMark/>
          </w:tcPr>
          <w:p w14:paraId="2F12397B"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50" w:type="dxa"/>
            <w:tcBorders>
              <w:top w:val="nil"/>
              <w:left w:val="nil"/>
              <w:bottom w:val="nil"/>
              <w:right w:val="nil"/>
            </w:tcBorders>
            <w:shd w:val="clear" w:color="auto" w:fill="auto"/>
            <w:noWrap/>
            <w:vAlign w:val="bottom"/>
            <w:hideMark/>
          </w:tcPr>
          <w:p w14:paraId="6933ECF6"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1367EE" w:rsidRPr="00834AAA" w14:paraId="4E997B66" w14:textId="77777777" w:rsidTr="001367EE">
        <w:trPr>
          <w:trHeight w:val="20"/>
        </w:trPr>
        <w:tc>
          <w:tcPr>
            <w:tcW w:w="2660" w:type="dxa"/>
            <w:tcBorders>
              <w:top w:val="nil"/>
              <w:left w:val="nil"/>
              <w:bottom w:val="nil"/>
              <w:right w:val="nil"/>
            </w:tcBorders>
            <w:shd w:val="clear" w:color="auto" w:fill="auto"/>
            <w:noWrap/>
            <w:vAlign w:val="bottom"/>
            <w:hideMark/>
          </w:tcPr>
          <w:p w14:paraId="64031F3F"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No</w:t>
            </w:r>
          </w:p>
        </w:tc>
        <w:tc>
          <w:tcPr>
            <w:tcW w:w="567" w:type="dxa"/>
            <w:tcBorders>
              <w:top w:val="nil"/>
              <w:left w:val="nil"/>
              <w:bottom w:val="nil"/>
              <w:right w:val="nil"/>
            </w:tcBorders>
            <w:shd w:val="clear" w:color="auto" w:fill="auto"/>
            <w:noWrap/>
            <w:vAlign w:val="bottom"/>
            <w:hideMark/>
          </w:tcPr>
          <w:p w14:paraId="66D2A267"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4963</w:t>
            </w:r>
          </w:p>
        </w:tc>
        <w:tc>
          <w:tcPr>
            <w:tcW w:w="592" w:type="dxa"/>
            <w:tcBorders>
              <w:top w:val="nil"/>
              <w:left w:val="nil"/>
              <w:bottom w:val="nil"/>
              <w:right w:val="single" w:sz="4" w:space="0" w:color="auto"/>
            </w:tcBorders>
            <w:shd w:val="clear" w:color="auto" w:fill="auto"/>
            <w:noWrap/>
            <w:vAlign w:val="bottom"/>
            <w:hideMark/>
          </w:tcPr>
          <w:p w14:paraId="39AD468D"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86.4</w:t>
            </w:r>
          </w:p>
        </w:tc>
        <w:tc>
          <w:tcPr>
            <w:tcW w:w="1560" w:type="dxa"/>
            <w:tcBorders>
              <w:top w:val="nil"/>
              <w:left w:val="single" w:sz="4" w:space="0" w:color="auto"/>
              <w:bottom w:val="nil"/>
              <w:right w:val="nil"/>
            </w:tcBorders>
            <w:shd w:val="clear" w:color="auto" w:fill="auto"/>
            <w:noWrap/>
            <w:vAlign w:val="bottom"/>
            <w:hideMark/>
          </w:tcPr>
          <w:p w14:paraId="47784FBC"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2148/4863 (44.2)</w:t>
            </w:r>
          </w:p>
        </w:tc>
        <w:tc>
          <w:tcPr>
            <w:tcW w:w="1366" w:type="dxa"/>
            <w:tcBorders>
              <w:top w:val="nil"/>
              <w:left w:val="nil"/>
              <w:bottom w:val="nil"/>
              <w:right w:val="nil"/>
            </w:tcBorders>
            <w:shd w:val="clear" w:color="auto" w:fill="auto"/>
            <w:noWrap/>
            <w:vAlign w:val="bottom"/>
            <w:hideMark/>
          </w:tcPr>
          <w:p w14:paraId="6D97C832" w14:textId="5D51114F" w:rsidR="00ED367C" w:rsidRPr="00834AAA" w:rsidRDefault="001367EE"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692" w:type="dxa"/>
            <w:tcBorders>
              <w:top w:val="nil"/>
              <w:left w:val="nil"/>
              <w:bottom w:val="nil"/>
              <w:right w:val="nil"/>
            </w:tcBorders>
            <w:shd w:val="clear" w:color="auto" w:fill="auto"/>
            <w:noWrap/>
            <w:vAlign w:val="bottom"/>
            <w:hideMark/>
          </w:tcPr>
          <w:p w14:paraId="72E80B64"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auto"/>
            <w:noWrap/>
            <w:vAlign w:val="bottom"/>
            <w:hideMark/>
          </w:tcPr>
          <w:p w14:paraId="4B09E474" w14:textId="0A11DC0B" w:rsidR="00ED367C" w:rsidRPr="00834AAA" w:rsidRDefault="001367EE"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825" w:type="dxa"/>
            <w:tcBorders>
              <w:top w:val="nil"/>
              <w:left w:val="nil"/>
              <w:bottom w:val="nil"/>
              <w:right w:val="single" w:sz="4" w:space="0" w:color="auto"/>
            </w:tcBorders>
            <w:shd w:val="clear" w:color="auto" w:fill="auto"/>
            <w:noWrap/>
            <w:vAlign w:val="bottom"/>
            <w:hideMark/>
          </w:tcPr>
          <w:p w14:paraId="558E09FC"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auto"/>
            <w:noWrap/>
            <w:vAlign w:val="bottom"/>
            <w:hideMark/>
          </w:tcPr>
          <w:p w14:paraId="4521EC34" w14:textId="4CE01A69" w:rsidR="00ED367C" w:rsidRPr="00834AAA" w:rsidRDefault="001A6F81"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3054</w:t>
            </w:r>
            <w:r w:rsidR="00ED367C" w:rsidRPr="00834AAA">
              <w:rPr>
                <w:rFonts w:ascii="Calibri" w:eastAsia="Times New Roman" w:hAnsi="Calibri" w:cs="Times New Roman"/>
                <w:color w:val="000000"/>
                <w:sz w:val="16"/>
                <w:szCs w:val="14"/>
                <w:lang w:eastAsia="en-GB"/>
              </w:rPr>
              <w:t>/4928 (</w:t>
            </w:r>
            <w:r>
              <w:rPr>
                <w:rFonts w:ascii="Calibri" w:eastAsia="Times New Roman" w:hAnsi="Calibri" w:cs="Times New Roman"/>
                <w:color w:val="000000"/>
                <w:sz w:val="16"/>
                <w:szCs w:val="14"/>
                <w:lang w:eastAsia="en-GB"/>
              </w:rPr>
              <w:t>62.0</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auto"/>
            <w:noWrap/>
            <w:vAlign w:val="bottom"/>
            <w:hideMark/>
          </w:tcPr>
          <w:p w14:paraId="416F50B2" w14:textId="4C621B3D" w:rsidR="00ED367C" w:rsidRPr="00834AAA" w:rsidRDefault="001367EE" w:rsidP="00D30520">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692" w:type="dxa"/>
            <w:tcBorders>
              <w:top w:val="nil"/>
              <w:left w:val="nil"/>
              <w:bottom w:val="nil"/>
              <w:right w:val="nil"/>
            </w:tcBorders>
            <w:shd w:val="clear" w:color="auto" w:fill="auto"/>
            <w:noWrap/>
            <w:vAlign w:val="bottom"/>
            <w:hideMark/>
          </w:tcPr>
          <w:p w14:paraId="66779347"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auto"/>
            <w:noWrap/>
            <w:vAlign w:val="bottom"/>
            <w:hideMark/>
          </w:tcPr>
          <w:p w14:paraId="145A0A19" w14:textId="6ABBDEFB" w:rsidR="00ED367C" w:rsidRPr="00834AAA" w:rsidRDefault="00617E90" w:rsidP="00D30520">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850" w:type="dxa"/>
            <w:tcBorders>
              <w:top w:val="nil"/>
              <w:left w:val="nil"/>
              <w:bottom w:val="nil"/>
              <w:right w:val="nil"/>
            </w:tcBorders>
            <w:shd w:val="clear" w:color="auto" w:fill="auto"/>
            <w:noWrap/>
            <w:vAlign w:val="bottom"/>
            <w:hideMark/>
          </w:tcPr>
          <w:p w14:paraId="5D422BDC"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1367EE" w:rsidRPr="00834AAA" w14:paraId="110F8A19" w14:textId="77777777" w:rsidTr="001367EE">
        <w:trPr>
          <w:trHeight w:val="20"/>
        </w:trPr>
        <w:tc>
          <w:tcPr>
            <w:tcW w:w="2660" w:type="dxa"/>
            <w:tcBorders>
              <w:top w:val="nil"/>
              <w:left w:val="nil"/>
              <w:bottom w:val="nil"/>
              <w:right w:val="nil"/>
            </w:tcBorders>
            <w:shd w:val="clear" w:color="auto" w:fill="auto"/>
            <w:noWrap/>
            <w:vAlign w:val="bottom"/>
            <w:hideMark/>
          </w:tcPr>
          <w:p w14:paraId="711FE825"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Yes</w:t>
            </w:r>
          </w:p>
        </w:tc>
        <w:tc>
          <w:tcPr>
            <w:tcW w:w="567" w:type="dxa"/>
            <w:tcBorders>
              <w:top w:val="nil"/>
              <w:left w:val="nil"/>
              <w:bottom w:val="nil"/>
              <w:right w:val="nil"/>
            </w:tcBorders>
            <w:shd w:val="clear" w:color="auto" w:fill="auto"/>
            <w:noWrap/>
            <w:vAlign w:val="bottom"/>
            <w:hideMark/>
          </w:tcPr>
          <w:p w14:paraId="7019C973"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779</w:t>
            </w:r>
          </w:p>
        </w:tc>
        <w:tc>
          <w:tcPr>
            <w:tcW w:w="592" w:type="dxa"/>
            <w:tcBorders>
              <w:top w:val="nil"/>
              <w:left w:val="nil"/>
              <w:bottom w:val="nil"/>
              <w:right w:val="single" w:sz="4" w:space="0" w:color="auto"/>
            </w:tcBorders>
            <w:shd w:val="clear" w:color="auto" w:fill="auto"/>
            <w:noWrap/>
            <w:vAlign w:val="bottom"/>
            <w:hideMark/>
          </w:tcPr>
          <w:p w14:paraId="28524447"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13.6</w:t>
            </w:r>
          </w:p>
        </w:tc>
        <w:tc>
          <w:tcPr>
            <w:tcW w:w="1560" w:type="dxa"/>
            <w:tcBorders>
              <w:top w:val="nil"/>
              <w:left w:val="single" w:sz="4" w:space="0" w:color="auto"/>
              <w:bottom w:val="nil"/>
              <w:right w:val="nil"/>
            </w:tcBorders>
            <w:shd w:val="clear" w:color="auto" w:fill="auto"/>
            <w:noWrap/>
            <w:vAlign w:val="bottom"/>
            <w:hideMark/>
          </w:tcPr>
          <w:p w14:paraId="7712293D"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326/774 (42.1)</w:t>
            </w:r>
          </w:p>
        </w:tc>
        <w:tc>
          <w:tcPr>
            <w:tcW w:w="1366" w:type="dxa"/>
            <w:tcBorders>
              <w:top w:val="nil"/>
              <w:left w:val="nil"/>
              <w:bottom w:val="nil"/>
              <w:right w:val="nil"/>
            </w:tcBorders>
            <w:shd w:val="clear" w:color="auto" w:fill="auto"/>
            <w:noWrap/>
            <w:vAlign w:val="bottom"/>
            <w:hideMark/>
          </w:tcPr>
          <w:p w14:paraId="0EC4F403" w14:textId="44662BA2"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0.92 (0.79</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1.07)</w:t>
            </w:r>
          </w:p>
        </w:tc>
        <w:tc>
          <w:tcPr>
            <w:tcW w:w="692" w:type="dxa"/>
            <w:tcBorders>
              <w:top w:val="nil"/>
              <w:left w:val="nil"/>
              <w:bottom w:val="nil"/>
              <w:right w:val="nil"/>
            </w:tcBorders>
            <w:shd w:val="clear" w:color="auto" w:fill="auto"/>
            <w:noWrap/>
            <w:vAlign w:val="bottom"/>
            <w:hideMark/>
          </w:tcPr>
          <w:p w14:paraId="34D1CB77"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0.285</w:t>
            </w:r>
          </w:p>
        </w:tc>
        <w:tc>
          <w:tcPr>
            <w:tcW w:w="1485" w:type="dxa"/>
            <w:tcBorders>
              <w:top w:val="nil"/>
              <w:left w:val="nil"/>
              <w:bottom w:val="nil"/>
              <w:right w:val="nil"/>
            </w:tcBorders>
            <w:shd w:val="clear" w:color="auto" w:fill="auto"/>
            <w:noWrap/>
            <w:vAlign w:val="bottom"/>
            <w:hideMark/>
          </w:tcPr>
          <w:p w14:paraId="6F776CCB" w14:textId="1EA4C7A3"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0.82 (0.7</w:t>
            </w:r>
            <w:r w:rsidR="001367EE">
              <w:rPr>
                <w:rFonts w:ascii="Calibri" w:eastAsia="Times New Roman" w:hAnsi="Calibri" w:cs="Times New Roman"/>
                <w:color w:val="000000"/>
                <w:sz w:val="16"/>
                <w:szCs w:val="14"/>
                <w:lang w:eastAsia="en-GB"/>
              </w:rPr>
              <w:t>0–</w:t>
            </w:r>
            <w:r w:rsidRPr="00834AAA">
              <w:rPr>
                <w:rFonts w:ascii="Calibri" w:eastAsia="Times New Roman" w:hAnsi="Calibri" w:cs="Times New Roman"/>
                <w:color w:val="000000"/>
                <w:sz w:val="16"/>
                <w:szCs w:val="14"/>
                <w:lang w:eastAsia="en-GB"/>
              </w:rPr>
              <w:t>0.96)</w:t>
            </w:r>
          </w:p>
        </w:tc>
        <w:tc>
          <w:tcPr>
            <w:tcW w:w="825" w:type="dxa"/>
            <w:tcBorders>
              <w:top w:val="nil"/>
              <w:left w:val="nil"/>
              <w:bottom w:val="nil"/>
              <w:right w:val="single" w:sz="4" w:space="0" w:color="auto"/>
            </w:tcBorders>
            <w:shd w:val="clear" w:color="auto" w:fill="auto"/>
            <w:noWrap/>
            <w:vAlign w:val="bottom"/>
            <w:hideMark/>
          </w:tcPr>
          <w:p w14:paraId="53959C69"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0.011</w:t>
            </w:r>
          </w:p>
        </w:tc>
        <w:tc>
          <w:tcPr>
            <w:tcW w:w="1631" w:type="dxa"/>
            <w:tcBorders>
              <w:top w:val="nil"/>
              <w:left w:val="single" w:sz="4" w:space="0" w:color="auto"/>
              <w:bottom w:val="nil"/>
              <w:right w:val="nil"/>
            </w:tcBorders>
            <w:shd w:val="clear" w:color="auto" w:fill="auto"/>
            <w:noWrap/>
            <w:vAlign w:val="bottom"/>
            <w:hideMark/>
          </w:tcPr>
          <w:p w14:paraId="2D9E3AF1" w14:textId="29EB9442" w:rsidR="00ED367C" w:rsidRPr="00834AAA" w:rsidRDefault="001A6F81"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459</w:t>
            </w:r>
            <w:r w:rsidR="00ED367C" w:rsidRPr="00834AAA">
              <w:rPr>
                <w:rFonts w:ascii="Calibri" w:eastAsia="Times New Roman" w:hAnsi="Calibri" w:cs="Times New Roman"/>
                <w:color w:val="000000"/>
                <w:sz w:val="16"/>
                <w:szCs w:val="14"/>
                <w:lang w:eastAsia="en-GB"/>
              </w:rPr>
              <w:t>/777 (</w:t>
            </w:r>
            <w:r>
              <w:rPr>
                <w:rFonts w:ascii="Calibri" w:eastAsia="Times New Roman" w:hAnsi="Calibri" w:cs="Times New Roman"/>
                <w:color w:val="000000"/>
                <w:sz w:val="16"/>
                <w:szCs w:val="14"/>
                <w:lang w:eastAsia="en-GB"/>
              </w:rPr>
              <w:t>59.1</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auto"/>
            <w:noWrap/>
            <w:vAlign w:val="bottom"/>
            <w:hideMark/>
          </w:tcPr>
          <w:p w14:paraId="2A47FE61" w14:textId="7A991FD9"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w:t>
            </w:r>
            <w:r w:rsidR="00132DB4">
              <w:rPr>
                <w:rFonts w:ascii="Calibri" w:eastAsia="Times New Roman" w:hAnsi="Calibri" w:cs="Times New Roman"/>
                <w:color w:val="000000"/>
                <w:sz w:val="16"/>
                <w:szCs w:val="14"/>
                <w:lang w:eastAsia="en-GB"/>
              </w:rPr>
              <w:t>89</w:t>
            </w:r>
            <w:r w:rsidRPr="00834AAA">
              <w:rPr>
                <w:rFonts w:ascii="Calibri" w:eastAsia="Times New Roman" w:hAnsi="Calibri" w:cs="Times New Roman"/>
                <w:color w:val="000000"/>
                <w:sz w:val="16"/>
                <w:szCs w:val="14"/>
                <w:lang w:eastAsia="en-GB"/>
              </w:rPr>
              <w:t xml:space="preserve"> (0.</w:t>
            </w:r>
            <w:r w:rsidR="00132DB4">
              <w:rPr>
                <w:rFonts w:ascii="Calibri" w:eastAsia="Times New Roman" w:hAnsi="Calibri" w:cs="Times New Roman"/>
                <w:color w:val="000000"/>
                <w:sz w:val="16"/>
                <w:szCs w:val="14"/>
                <w:lang w:eastAsia="en-GB"/>
              </w:rPr>
              <w:t>76</w:t>
            </w:r>
            <w:r w:rsidR="001367EE">
              <w:rPr>
                <w:rFonts w:ascii="Calibri" w:eastAsia="Times New Roman" w:hAnsi="Calibri" w:cs="Times New Roman"/>
                <w:color w:val="000000"/>
                <w:sz w:val="16"/>
                <w:szCs w:val="14"/>
                <w:lang w:eastAsia="en-GB"/>
              </w:rPr>
              <w:t>–</w:t>
            </w:r>
            <w:r w:rsidR="00132DB4">
              <w:rPr>
                <w:rFonts w:ascii="Calibri" w:eastAsia="Times New Roman" w:hAnsi="Calibri" w:cs="Times New Roman"/>
                <w:color w:val="000000"/>
                <w:sz w:val="16"/>
                <w:szCs w:val="14"/>
                <w:lang w:eastAsia="en-GB"/>
              </w:rPr>
              <w:t>1</w:t>
            </w:r>
            <w:r w:rsidRPr="00834AAA">
              <w:rPr>
                <w:rFonts w:ascii="Calibri" w:eastAsia="Times New Roman" w:hAnsi="Calibri" w:cs="Times New Roman"/>
                <w:color w:val="000000"/>
                <w:sz w:val="16"/>
                <w:szCs w:val="14"/>
                <w:lang w:eastAsia="en-GB"/>
              </w:rPr>
              <w:t>.</w:t>
            </w:r>
            <w:r w:rsidR="00132DB4">
              <w:rPr>
                <w:rFonts w:ascii="Calibri" w:eastAsia="Times New Roman" w:hAnsi="Calibri" w:cs="Times New Roman"/>
                <w:color w:val="000000"/>
                <w:sz w:val="16"/>
                <w:szCs w:val="14"/>
                <w:lang w:eastAsia="en-GB"/>
              </w:rPr>
              <w:t>03</w:t>
            </w:r>
            <w:r w:rsidRPr="00834AAA">
              <w:rPr>
                <w:rFonts w:ascii="Calibri" w:eastAsia="Times New Roman" w:hAnsi="Calibri" w:cs="Times New Roman"/>
                <w:color w:val="000000"/>
                <w:sz w:val="16"/>
                <w:szCs w:val="14"/>
                <w:lang w:eastAsia="en-GB"/>
              </w:rPr>
              <w:t>)</w:t>
            </w:r>
          </w:p>
        </w:tc>
        <w:tc>
          <w:tcPr>
            <w:tcW w:w="692" w:type="dxa"/>
            <w:tcBorders>
              <w:top w:val="nil"/>
              <w:left w:val="nil"/>
              <w:bottom w:val="nil"/>
              <w:right w:val="nil"/>
            </w:tcBorders>
            <w:shd w:val="clear" w:color="auto" w:fill="auto"/>
            <w:noWrap/>
            <w:vAlign w:val="bottom"/>
            <w:hideMark/>
          </w:tcPr>
          <w:p w14:paraId="26F68603" w14:textId="5F67B12E" w:rsidR="00ED367C" w:rsidRPr="00834AAA" w:rsidRDefault="00ED367C" w:rsidP="00132DB4">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w:t>
            </w:r>
            <w:r w:rsidR="00132DB4">
              <w:rPr>
                <w:rFonts w:ascii="Calibri" w:eastAsia="Times New Roman" w:hAnsi="Calibri" w:cs="Times New Roman"/>
                <w:color w:val="000000"/>
                <w:sz w:val="16"/>
                <w:szCs w:val="14"/>
                <w:lang w:eastAsia="en-GB"/>
              </w:rPr>
              <w:t>124</w:t>
            </w:r>
          </w:p>
        </w:tc>
        <w:tc>
          <w:tcPr>
            <w:tcW w:w="1576" w:type="dxa"/>
            <w:tcBorders>
              <w:top w:val="nil"/>
              <w:left w:val="nil"/>
              <w:bottom w:val="nil"/>
              <w:right w:val="nil"/>
            </w:tcBorders>
            <w:shd w:val="clear" w:color="auto" w:fill="auto"/>
            <w:noWrap/>
            <w:vAlign w:val="bottom"/>
            <w:hideMark/>
          </w:tcPr>
          <w:p w14:paraId="5A7FF276" w14:textId="18C1E4BD"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w:t>
            </w:r>
            <w:r w:rsidR="000948DA">
              <w:rPr>
                <w:rFonts w:ascii="Calibri" w:eastAsia="Times New Roman" w:hAnsi="Calibri" w:cs="Times New Roman"/>
                <w:color w:val="000000"/>
                <w:sz w:val="16"/>
                <w:szCs w:val="14"/>
                <w:lang w:eastAsia="en-GB"/>
              </w:rPr>
              <w:t>89</w:t>
            </w:r>
            <w:r w:rsidRPr="00834AAA">
              <w:rPr>
                <w:rFonts w:ascii="Calibri" w:eastAsia="Times New Roman" w:hAnsi="Calibri" w:cs="Times New Roman"/>
                <w:color w:val="000000"/>
                <w:sz w:val="16"/>
                <w:szCs w:val="14"/>
                <w:lang w:eastAsia="en-GB"/>
              </w:rPr>
              <w:t xml:space="preserve"> (0</w:t>
            </w:r>
            <w:r w:rsidR="00617E90">
              <w:rPr>
                <w:rFonts w:ascii="Calibri" w:eastAsia="Times New Roman" w:hAnsi="Calibri" w:cs="Times New Roman"/>
                <w:color w:val="000000"/>
                <w:sz w:val="16"/>
                <w:szCs w:val="14"/>
                <w:lang w:eastAsia="en-GB"/>
              </w:rPr>
              <w:t>.</w:t>
            </w:r>
            <w:r w:rsidR="000948DA">
              <w:rPr>
                <w:rFonts w:ascii="Calibri" w:eastAsia="Times New Roman" w:hAnsi="Calibri" w:cs="Times New Roman"/>
                <w:color w:val="000000"/>
                <w:sz w:val="16"/>
                <w:szCs w:val="14"/>
                <w:lang w:eastAsia="en-GB"/>
              </w:rPr>
              <w:t>76</w:t>
            </w:r>
            <w:r w:rsidR="001367EE">
              <w:rPr>
                <w:rFonts w:ascii="Calibri" w:eastAsia="Times New Roman" w:hAnsi="Calibri" w:cs="Times New Roman"/>
                <w:color w:val="000000"/>
                <w:sz w:val="16"/>
                <w:szCs w:val="14"/>
                <w:lang w:eastAsia="en-GB"/>
              </w:rPr>
              <w:t>–</w:t>
            </w:r>
            <w:r w:rsidR="000948DA">
              <w:rPr>
                <w:rFonts w:ascii="Calibri" w:eastAsia="Times New Roman" w:hAnsi="Calibri" w:cs="Times New Roman"/>
                <w:color w:val="000000"/>
                <w:sz w:val="16"/>
                <w:szCs w:val="14"/>
                <w:lang w:eastAsia="en-GB"/>
              </w:rPr>
              <w:t>1.04</w:t>
            </w:r>
            <w:r w:rsidRPr="00834AAA">
              <w:rPr>
                <w:rFonts w:ascii="Calibri" w:eastAsia="Times New Roman" w:hAnsi="Calibri" w:cs="Times New Roman"/>
                <w:color w:val="000000"/>
                <w:sz w:val="16"/>
                <w:szCs w:val="14"/>
                <w:lang w:eastAsia="en-GB"/>
              </w:rPr>
              <w:t>)</w:t>
            </w:r>
          </w:p>
        </w:tc>
        <w:tc>
          <w:tcPr>
            <w:tcW w:w="850" w:type="dxa"/>
            <w:tcBorders>
              <w:top w:val="nil"/>
              <w:left w:val="nil"/>
              <w:bottom w:val="nil"/>
              <w:right w:val="nil"/>
            </w:tcBorders>
            <w:shd w:val="clear" w:color="auto" w:fill="auto"/>
            <w:noWrap/>
            <w:vAlign w:val="bottom"/>
            <w:hideMark/>
          </w:tcPr>
          <w:p w14:paraId="79857CBE" w14:textId="6170E094" w:rsidR="00ED367C" w:rsidRPr="00834AAA" w:rsidRDefault="00ED367C" w:rsidP="00AF2583">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w:t>
            </w:r>
            <w:r w:rsidR="00AF2583">
              <w:rPr>
                <w:rFonts w:ascii="Calibri" w:eastAsia="Times New Roman" w:hAnsi="Calibri" w:cs="Times New Roman"/>
                <w:color w:val="000000"/>
                <w:sz w:val="16"/>
                <w:szCs w:val="14"/>
                <w:lang w:eastAsia="en-GB"/>
              </w:rPr>
              <w:t>130</w:t>
            </w:r>
          </w:p>
        </w:tc>
      </w:tr>
      <w:tr w:rsidR="001367EE" w:rsidRPr="00834AAA" w14:paraId="5B7275A3" w14:textId="77777777" w:rsidTr="001367EE">
        <w:trPr>
          <w:trHeight w:val="20"/>
        </w:trPr>
        <w:tc>
          <w:tcPr>
            <w:tcW w:w="2660" w:type="dxa"/>
            <w:tcBorders>
              <w:top w:val="nil"/>
              <w:left w:val="nil"/>
              <w:bottom w:val="nil"/>
              <w:right w:val="nil"/>
            </w:tcBorders>
            <w:shd w:val="clear" w:color="auto" w:fill="auto"/>
            <w:noWrap/>
            <w:vAlign w:val="bottom"/>
            <w:hideMark/>
          </w:tcPr>
          <w:p w14:paraId="1C31AB57"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Missing</w:t>
            </w:r>
          </w:p>
        </w:tc>
        <w:tc>
          <w:tcPr>
            <w:tcW w:w="567" w:type="dxa"/>
            <w:tcBorders>
              <w:top w:val="nil"/>
              <w:left w:val="nil"/>
              <w:bottom w:val="nil"/>
              <w:right w:val="nil"/>
            </w:tcBorders>
            <w:shd w:val="clear" w:color="auto" w:fill="auto"/>
            <w:noWrap/>
            <w:vAlign w:val="bottom"/>
            <w:hideMark/>
          </w:tcPr>
          <w:p w14:paraId="3886DC4F"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57</w:t>
            </w:r>
          </w:p>
        </w:tc>
        <w:tc>
          <w:tcPr>
            <w:tcW w:w="592" w:type="dxa"/>
            <w:tcBorders>
              <w:top w:val="nil"/>
              <w:left w:val="nil"/>
              <w:bottom w:val="nil"/>
              <w:right w:val="single" w:sz="4" w:space="0" w:color="auto"/>
            </w:tcBorders>
            <w:shd w:val="clear" w:color="auto" w:fill="auto"/>
            <w:noWrap/>
            <w:vAlign w:val="bottom"/>
            <w:hideMark/>
          </w:tcPr>
          <w:p w14:paraId="28BE82EA"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560" w:type="dxa"/>
            <w:tcBorders>
              <w:top w:val="nil"/>
              <w:left w:val="single" w:sz="4" w:space="0" w:color="auto"/>
              <w:bottom w:val="nil"/>
              <w:right w:val="nil"/>
            </w:tcBorders>
            <w:shd w:val="clear" w:color="auto" w:fill="auto"/>
            <w:noWrap/>
            <w:vAlign w:val="bottom"/>
            <w:hideMark/>
          </w:tcPr>
          <w:p w14:paraId="2FB11809"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p>
        </w:tc>
        <w:tc>
          <w:tcPr>
            <w:tcW w:w="1366" w:type="dxa"/>
            <w:tcBorders>
              <w:top w:val="nil"/>
              <w:left w:val="nil"/>
              <w:bottom w:val="nil"/>
              <w:right w:val="nil"/>
            </w:tcBorders>
            <w:shd w:val="clear" w:color="auto" w:fill="auto"/>
            <w:noWrap/>
            <w:vAlign w:val="bottom"/>
            <w:hideMark/>
          </w:tcPr>
          <w:p w14:paraId="37F3E09F"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auto"/>
            <w:noWrap/>
            <w:vAlign w:val="bottom"/>
            <w:hideMark/>
          </w:tcPr>
          <w:p w14:paraId="21FCF4F4"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auto"/>
            <w:noWrap/>
            <w:vAlign w:val="bottom"/>
            <w:hideMark/>
          </w:tcPr>
          <w:p w14:paraId="004DE92B"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25" w:type="dxa"/>
            <w:tcBorders>
              <w:top w:val="nil"/>
              <w:left w:val="nil"/>
              <w:bottom w:val="nil"/>
              <w:right w:val="single" w:sz="4" w:space="0" w:color="auto"/>
            </w:tcBorders>
            <w:shd w:val="clear" w:color="auto" w:fill="auto"/>
            <w:noWrap/>
            <w:vAlign w:val="bottom"/>
            <w:hideMark/>
          </w:tcPr>
          <w:p w14:paraId="47F6D6C2"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auto"/>
            <w:noWrap/>
            <w:vAlign w:val="bottom"/>
            <w:hideMark/>
          </w:tcPr>
          <w:p w14:paraId="6399BCE6"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p>
        </w:tc>
        <w:tc>
          <w:tcPr>
            <w:tcW w:w="1513" w:type="dxa"/>
            <w:tcBorders>
              <w:top w:val="nil"/>
              <w:left w:val="nil"/>
              <w:bottom w:val="nil"/>
              <w:right w:val="nil"/>
            </w:tcBorders>
            <w:shd w:val="clear" w:color="auto" w:fill="auto"/>
            <w:noWrap/>
            <w:vAlign w:val="bottom"/>
            <w:hideMark/>
          </w:tcPr>
          <w:p w14:paraId="1BF0A56A"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auto"/>
            <w:noWrap/>
            <w:vAlign w:val="bottom"/>
            <w:hideMark/>
          </w:tcPr>
          <w:p w14:paraId="7A068F86"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auto"/>
            <w:noWrap/>
            <w:vAlign w:val="bottom"/>
            <w:hideMark/>
          </w:tcPr>
          <w:p w14:paraId="68BCF479"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50" w:type="dxa"/>
            <w:tcBorders>
              <w:top w:val="nil"/>
              <w:left w:val="nil"/>
              <w:bottom w:val="nil"/>
              <w:right w:val="nil"/>
            </w:tcBorders>
            <w:shd w:val="clear" w:color="auto" w:fill="auto"/>
            <w:noWrap/>
            <w:vAlign w:val="bottom"/>
            <w:hideMark/>
          </w:tcPr>
          <w:p w14:paraId="33FBBC45"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331B4B" w:rsidRPr="00834AAA" w14:paraId="573570C3" w14:textId="77777777" w:rsidTr="001367EE">
        <w:trPr>
          <w:trHeight w:val="20"/>
        </w:trPr>
        <w:tc>
          <w:tcPr>
            <w:tcW w:w="2660" w:type="dxa"/>
            <w:tcBorders>
              <w:top w:val="nil"/>
              <w:left w:val="nil"/>
              <w:bottom w:val="nil"/>
              <w:right w:val="nil"/>
            </w:tcBorders>
            <w:shd w:val="clear" w:color="auto" w:fill="F2F2F2"/>
            <w:noWrap/>
            <w:vAlign w:val="bottom"/>
            <w:hideMark/>
          </w:tcPr>
          <w:p w14:paraId="5117CE7F" w14:textId="77777777" w:rsidR="00ED367C" w:rsidRPr="00834AAA" w:rsidRDefault="00ED367C" w:rsidP="00D30520">
            <w:pPr>
              <w:spacing w:before="0" w:after="0" w:line="240" w:lineRule="auto"/>
              <w:rPr>
                <w:rFonts w:ascii="Calibri" w:eastAsia="Times New Roman" w:hAnsi="Calibri" w:cs="Times New Roman"/>
                <w:b/>
                <w:color w:val="000000"/>
                <w:sz w:val="16"/>
                <w:szCs w:val="14"/>
                <w:lang w:eastAsia="en-GB"/>
              </w:rPr>
            </w:pPr>
            <w:r w:rsidRPr="00834AAA">
              <w:rPr>
                <w:rFonts w:ascii="Calibri" w:eastAsia="Times New Roman" w:hAnsi="Calibri" w:cs="Times New Roman"/>
                <w:b/>
                <w:color w:val="000000"/>
                <w:sz w:val="16"/>
                <w:szCs w:val="14"/>
                <w:lang w:eastAsia="en-GB"/>
              </w:rPr>
              <w:t>Income</w:t>
            </w:r>
          </w:p>
        </w:tc>
        <w:tc>
          <w:tcPr>
            <w:tcW w:w="567" w:type="dxa"/>
            <w:tcBorders>
              <w:top w:val="nil"/>
              <w:left w:val="nil"/>
              <w:bottom w:val="nil"/>
              <w:right w:val="nil"/>
            </w:tcBorders>
            <w:shd w:val="clear" w:color="auto" w:fill="F2F2F2"/>
            <w:noWrap/>
            <w:vAlign w:val="bottom"/>
            <w:hideMark/>
          </w:tcPr>
          <w:p w14:paraId="1959C7A3"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592" w:type="dxa"/>
            <w:tcBorders>
              <w:top w:val="nil"/>
              <w:left w:val="nil"/>
              <w:bottom w:val="nil"/>
              <w:right w:val="single" w:sz="4" w:space="0" w:color="auto"/>
            </w:tcBorders>
            <w:shd w:val="clear" w:color="auto" w:fill="F2F2F2"/>
            <w:noWrap/>
            <w:vAlign w:val="bottom"/>
            <w:hideMark/>
          </w:tcPr>
          <w:p w14:paraId="244C8877"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560" w:type="dxa"/>
            <w:tcBorders>
              <w:top w:val="nil"/>
              <w:left w:val="single" w:sz="4" w:space="0" w:color="auto"/>
              <w:bottom w:val="nil"/>
              <w:right w:val="nil"/>
            </w:tcBorders>
            <w:shd w:val="clear" w:color="auto" w:fill="F2F2F2"/>
            <w:noWrap/>
            <w:vAlign w:val="bottom"/>
            <w:hideMark/>
          </w:tcPr>
          <w:p w14:paraId="271C0550"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p>
        </w:tc>
        <w:tc>
          <w:tcPr>
            <w:tcW w:w="1366" w:type="dxa"/>
            <w:tcBorders>
              <w:top w:val="nil"/>
              <w:left w:val="nil"/>
              <w:bottom w:val="nil"/>
              <w:right w:val="nil"/>
            </w:tcBorders>
            <w:shd w:val="clear" w:color="auto" w:fill="F2F2F2"/>
            <w:noWrap/>
            <w:vAlign w:val="bottom"/>
            <w:hideMark/>
          </w:tcPr>
          <w:p w14:paraId="79049DDC"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F2F2F2"/>
            <w:noWrap/>
            <w:vAlign w:val="bottom"/>
            <w:hideMark/>
          </w:tcPr>
          <w:p w14:paraId="4128EBEB"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F2F2F2"/>
            <w:noWrap/>
            <w:vAlign w:val="bottom"/>
            <w:hideMark/>
          </w:tcPr>
          <w:p w14:paraId="59EF7EE5"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25" w:type="dxa"/>
            <w:tcBorders>
              <w:top w:val="nil"/>
              <w:left w:val="nil"/>
              <w:bottom w:val="nil"/>
              <w:right w:val="single" w:sz="4" w:space="0" w:color="auto"/>
            </w:tcBorders>
            <w:shd w:val="clear" w:color="auto" w:fill="F2F2F2"/>
            <w:noWrap/>
            <w:vAlign w:val="bottom"/>
            <w:hideMark/>
          </w:tcPr>
          <w:p w14:paraId="53E3FFF1"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F2F2F2"/>
            <w:noWrap/>
            <w:vAlign w:val="bottom"/>
            <w:hideMark/>
          </w:tcPr>
          <w:p w14:paraId="6CDE97D7"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p>
        </w:tc>
        <w:tc>
          <w:tcPr>
            <w:tcW w:w="1513" w:type="dxa"/>
            <w:tcBorders>
              <w:top w:val="nil"/>
              <w:left w:val="nil"/>
              <w:bottom w:val="nil"/>
              <w:right w:val="nil"/>
            </w:tcBorders>
            <w:shd w:val="clear" w:color="auto" w:fill="F2F2F2"/>
            <w:noWrap/>
            <w:vAlign w:val="bottom"/>
            <w:hideMark/>
          </w:tcPr>
          <w:p w14:paraId="32740466"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F2F2F2"/>
            <w:noWrap/>
            <w:vAlign w:val="bottom"/>
            <w:hideMark/>
          </w:tcPr>
          <w:p w14:paraId="27D9891C"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F2F2F2"/>
            <w:noWrap/>
            <w:vAlign w:val="bottom"/>
            <w:hideMark/>
          </w:tcPr>
          <w:p w14:paraId="5F6DB8A8"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50" w:type="dxa"/>
            <w:tcBorders>
              <w:top w:val="nil"/>
              <w:left w:val="nil"/>
              <w:bottom w:val="nil"/>
              <w:right w:val="nil"/>
            </w:tcBorders>
            <w:shd w:val="clear" w:color="auto" w:fill="F2F2F2"/>
            <w:noWrap/>
            <w:vAlign w:val="bottom"/>
            <w:hideMark/>
          </w:tcPr>
          <w:p w14:paraId="0F51FBCC"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331B4B" w:rsidRPr="00834AAA" w14:paraId="43A9C7BF" w14:textId="77777777" w:rsidTr="001367EE">
        <w:trPr>
          <w:trHeight w:val="20"/>
        </w:trPr>
        <w:tc>
          <w:tcPr>
            <w:tcW w:w="2660" w:type="dxa"/>
            <w:tcBorders>
              <w:top w:val="nil"/>
              <w:left w:val="nil"/>
              <w:bottom w:val="nil"/>
              <w:right w:val="nil"/>
            </w:tcBorders>
            <w:shd w:val="clear" w:color="auto" w:fill="F2F2F2"/>
            <w:noWrap/>
            <w:vAlign w:val="bottom"/>
            <w:hideMark/>
          </w:tcPr>
          <w:p w14:paraId="3833D6C3"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&lt;10,400</w:t>
            </w:r>
          </w:p>
        </w:tc>
        <w:tc>
          <w:tcPr>
            <w:tcW w:w="567" w:type="dxa"/>
            <w:tcBorders>
              <w:top w:val="nil"/>
              <w:left w:val="nil"/>
              <w:bottom w:val="nil"/>
              <w:right w:val="nil"/>
            </w:tcBorders>
            <w:shd w:val="clear" w:color="auto" w:fill="F2F2F2"/>
            <w:noWrap/>
            <w:vAlign w:val="bottom"/>
            <w:hideMark/>
          </w:tcPr>
          <w:p w14:paraId="37C2BC39"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1327</w:t>
            </w:r>
          </w:p>
        </w:tc>
        <w:tc>
          <w:tcPr>
            <w:tcW w:w="592" w:type="dxa"/>
            <w:tcBorders>
              <w:top w:val="nil"/>
              <w:left w:val="nil"/>
              <w:bottom w:val="nil"/>
              <w:right w:val="single" w:sz="4" w:space="0" w:color="auto"/>
            </w:tcBorders>
            <w:shd w:val="clear" w:color="auto" w:fill="F2F2F2"/>
            <w:noWrap/>
            <w:vAlign w:val="bottom"/>
            <w:hideMark/>
          </w:tcPr>
          <w:p w14:paraId="44BBB830"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23.2</w:t>
            </w:r>
          </w:p>
        </w:tc>
        <w:tc>
          <w:tcPr>
            <w:tcW w:w="1560" w:type="dxa"/>
            <w:tcBorders>
              <w:top w:val="nil"/>
              <w:left w:val="single" w:sz="4" w:space="0" w:color="auto"/>
              <w:bottom w:val="nil"/>
              <w:right w:val="nil"/>
            </w:tcBorders>
            <w:shd w:val="clear" w:color="auto" w:fill="F2F2F2"/>
            <w:noWrap/>
            <w:vAlign w:val="bottom"/>
            <w:hideMark/>
          </w:tcPr>
          <w:p w14:paraId="7095EF56" w14:textId="05D02CEF"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453/1294 (35</w:t>
            </w:r>
            <w:r w:rsidR="00B10017">
              <w:rPr>
                <w:rFonts w:ascii="Calibri" w:eastAsia="Times New Roman" w:hAnsi="Calibri" w:cs="Times New Roman"/>
                <w:color w:val="000000"/>
                <w:sz w:val="16"/>
                <w:szCs w:val="14"/>
                <w:lang w:eastAsia="en-GB"/>
              </w:rPr>
              <w:t>.0</w:t>
            </w:r>
            <w:r w:rsidRPr="00834AAA">
              <w:rPr>
                <w:rFonts w:ascii="Calibri" w:eastAsia="Times New Roman" w:hAnsi="Calibri" w:cs="Times New Roman"/>
                <w:color w:val="000000"/>
                <w:sz w:val="16"/>
                <w:szCs w:val="14"/>
                <w:lang w:eastAsia="en-GB"/>
              </w:rPr>
              <w:t>)</w:t>
            </w:r>
          </w:p>
        </w:tc>
        <w:tc>
          <w:tcPr>
            <w:tcW w:w="1366" w:type="dxa"/>
            <w:tcBorders>
              <w:top w:val="nil"/>
              <w:left w:val="nil"/>
              <w:bottom w:val="nil"/>
              <w:right w:val="nil"/>
            </w:tcBorders>
            <w:shd w:val="clear" w:color="auto" w:fill="F2F2F2"/>
            <w:noWrap/>
            <w:vAlign w:val="bottom"/>
            <w:hideMark/>
          </w:tcPr>
          <w:p w14:paraId="430BB7A5" w14:textId="42647744" w:rsidR="00ED367C" w:rsidRPr="00834AAA" w:rsidRDefault="001367EE"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692" w:type="dxa"/>
            <w:tcBorders>
              <w:top w:val="nil"/>
              <w:left w:val="nil"/>
              <w:bottom w:val="nil"/>
              <w:right w:val="nil"/>
            </w:tcBorders>
            <w:shd w:val="clear" w:color="auto" w:fill="F2F2F2"/>
            <w:noWrap/>
            <w:vAlign w:val="bottom"/>
            <w:hideMark/>
          </w:tcPr>
          <w:p w14:paraId="33910318"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F2F2F2"/>
            <w:noWrap/>
            <w:vAlign w:val="bottom"/>
            <w:hideMark/>
          </w:tcPr>
          <w:p w14:paraId="5D307480" w14:textId="23403BF4" w:rsidR="00ED367C" w:rsidRPr="00834AAA" w:rsidRDefault="001367EE"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825" w:type="dxa"/>
            <w:tcBorders>
              <w:top w:val="nil"/>
              <w:left w:val="nil"/>
              <w:bottom w:val="nil"/>
              <w:right w:val="single" w:sz="4" w:space="0" w:color="auto"/>
            </w:tcBorders>
            <w:shd w:val="clear" w:color="auto" w:fill="F2F2F2"/>
            <w:noWrap/>
            <w:vAlign w:val="bottom"/>
            <w:hideMark/>
          </w:tcPr>
          <w:p w14:paraId="26F248F7"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F2F2F2"/>
            <w:noWrap/>
            <w:vAlign w:val="bottom"/>
            <w:hideMark/>
          </w:tcPr>
          <w:p w14:paraId="37E5E5E0" w14:textId="6D22D401" w:rsidR="00ED367C" w:rsidRPr="00834AAA" w:rsidRDefault="00661D28"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818</w:t>
            </w:r>
            <w:r w:rsidR="00ED367C" w:rsidRPr="00834AAA">
              <w:rPr>
                <w:rFonts w:ascii="Calibri" w:eastAsia="Times New Roman" w:hAnsi="Calibri" w:cs="Times New Roman"/>
                <w:color w:val="000000"/>
                <w:sz w:val="16"/>
                <w:szCs w:val="14"/>
                <w:lang w:eastAsia="en-GB"/>
              </w:rPr>
              <w:t>/1320 (</w:t>
            </w:r>
            <w:r>
              <w:rPr>
                <w:rFonts w:ascii="Calibri" w:eastAsia="Times New Roman" w:hAnsi="Calibri" w:cs="Times New Roman"/>
                <w:color w:val="000000"/>
                <w:sz w:val="16"/>
                <w:szCs w:val="14"/>
                <w:lang w:eastAsia="en-GB"/>
              </w:rPr>
              <w:t>62.0</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F2F2F2"/>
            <w:noWrap/>
            <w:vAlign w:val="bottom"/>
            <w:hideMark/>
          </w:tcPr>
          <w:p w14:paraId="09B09A6B" w14:textId="6C2C156F" w:rsidR="00ED367C" w:rsidRPr="00834AAA" w:rsidRDefault="001367EE" w:rsidP="00D30520">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692" w:type="dxa"/>
            <w:tcBorders>
              <w:top w:val="nil"/>
              <w:left w:val="nil"/>
              <w:bottom w:val="nil"/>
              <w:right w:val="nil"/>
            </w:tcBorders>
            <w:shd w:val="clear" w:color="auto" w:fill="F2F2F2"/>
            <w:noWrap/>
            <w:vAlign w:val="bottom"/>
            <w:hideMark/>
          </w:tcPr>
          <w:p w14:paraId="5720BEC1"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F2F2F2"/>
            <w:noWrap/>
            <w:vAlign w:val="bottom"/>
            <w:hideMark/>
          </w:tcPr>
          <w:p w14:paraId="1E42E1AF" w14:textId="723F32E4" w:rsidR="00ED367C" w:rsidRPr="00834AAA" w:rsidRDefault="00617E90" w:rsidP="00D30520">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850" w:type="dxa"/>
            <w:tcBorders>
              <w:top w:val="nil"/>
              <w:left w:val="nil"/>
              <w:bottom w:val="nil"/>
              <w:right w:val="nil"/>
            </w:tcBorders>
            <w:shd w:val="clear" w:color="auto" w:fill="F2F2F2"/>
            <w:noWrap/>
            <w:vAlign w:val="bottom"/>
            <w:hideMark/>
          </w:tcPr>
          <w:p w14:paraId="06D8BBD0"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331B4B" w:rsidRPr="00834AAA" w14:paraId="51060F49" w14:textId="77777777" w:rsidTr="001367EE">
        <w:trPr>
          <w:trHeight w:val="20"/>
        </w:trPr>
        <w:tc>
          <w:tcPr>
            <w:tcW w:w="2660" w:type="dxa"/>
            <w:tcBorders>
              <w:top w:val="nil"/>
              <w:left w:val="nil"/>
              <w:bottom w:val="nil"/>
              <w:right w:val="nil"/>
            </w:tcBorders>
            <w:shd w:val="clear" w:color="auto" w:fill="F2F2F2"/>
            <w:noWrap/>
            <w:vAlign w:val="bottom"/>
            <w:hideMark/>
          </w:tcPr>
          <w:p w14:paraId="6360B22B"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10,400-18,199</w:t>
            </w:r>
          </w:p>
        </w:tc>
        <w:tc>
          <w:tcPr>
            <w:tcW w:w="567" w:type="dxa"/>
            <w:tcBorders>
              <w:top w:val="nil"/>
              <w:left w:val="nil"/>
              <w:bottom w:val="nil"/>
              <w:right w:val="nil"/>
            </w:tcBorders>
            <w:shd w:val="clear" w:color="auto" w:fill="F2F2F2"/>
            <w:noWrap/>
            <w:vAlign w:val="bottom"/>
            <w:hideMark/>
          </w:tcPr>
          <w:p w14:paraId="0F9FF5EA"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924</w:t>
            </w:r>
          </w:p>
        </w:tc>
        <w:tc>
          <w:tcPr>
            <w:tcW w:w="592" w:type="dxa"/>
            <w:tcBorders>
              <w:top w:val="nil"/>
              <w:left w:val="nil"/>
              <w:bottom w:val="nil"/>
              <w:right w:val="single" w:sz="4" w:space="0" w:color="auto"/>
            </w:tcBorders>
            <w:shd w:val="clear" w:color="auto" w:fill="F2F2F2"/>
            <w:noWrap/>
            <w:vAlign w:val="bottom"/>
            <w:hideMark/>
          </w:tcPr>
          <w:p w14:paraId="06A9C0C4"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16.2</w:t>
            </w:r>
          </w:p>
        </w:tc>
        <w:tc>
          <w:tcPr>
            <w:tcW w:w="1560" w:type="dxa"/>
            <w:tcBorders>
              <w:top w:val="nil"/>
              <w:left w:val="single" w:sz="4" w:space="0" w:color="auto"/>
              <w:bottom w:val="nil"/>
              <w:right w:val="nil"/>
            </w:tcBorders>
            <w:shd w:val="clear" w:color="auto" w:fill="F2F2F2"/>
            <w:noWrap/>
            <w:vAlign w:val="bottom"/>
            <w:hideMark/>
          </w:tcPr>
          <w:p w14:paraId="3954DFDE"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407/913 (44.6)</w:t>
            </w:r>
          </w:p>
        </w:tc>
        <w:tc>
          <w:tcPr>
            <w:tcW w:w="1366" w:type="dxa"/>
            <w:tcBorders>
              <w:top w:val="nil"/>
              <w:left w:val="nil"/>
              <w:bottom w:val="nil"/>
              <w:right w:val="nil"/>
            </w:tcBorders>
            <w:shd w:val="clear" w:color="auto" w:fill="F2F2F2"/>
            <w:noWrap/>
            <w:vAlign w:val="bottom"/>
            <w:hideMark/>
          </w:tcPr>
          <w:p w14:paraId="081D1820" w14:textId="7D90407F"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1.49 (1.26</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1.78)</w:t>
            </w:r>
          </w:p>
        </w:tc>
        <w:tc>
          <w:tcPr>
            <w:tcW w:w="692" w:type="dxa"/>
            <w:tcBorders>
              <w:top w:val="nil"/>
              <w:left w:val="nil"/>
              <w:bottom w:val="nil"/>
              <w:right w:val="nil"/>
            </w:tcBorders>
            <w:shd w:val="clear" w:color="auto" w:fill="F2F2F2"/>
            <w:noWrap/>
            <w:vAlign w:val="bottom"/>
            <w:hideMark/>
          </w:tcPr>
          <w:p w14:paraId="5F333A3F"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F2F2F2"/>
            <w:noWrap/>
            <w:vAlign w:val="bottom"/>
            <w:hideMark/>
          </w:tcPr>
          <w:p w14:paraId="4B4E6CAF" w14:textId="2207491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1.08 (0.89</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1.31)</w:t>
            </w:r>
          </w:p>
        </w:tc>
        <w:tc>
          <w:tcPr>
            <w:tcW w:w="825" w:type="dxa"/>
            <w:tcBorders>
              <w:top w:val="nil"/>
              <w:left w:val="nil"/>
              <w:bottom w:val="nil"/>
              <w:right w:val="single" w:sz="4" w:space="0" w:color="auto"/>
            </w:tcBorders>
            <w:shd w:val="clear" w:color="auto" w:fill="F2F2F2"/>
            <w:noWrap/>
            <w:vAlign w:val="bottom"/>
            <w:hideMark/>
          </w:tcPr>
          <w:p w14:paraId="1AAC61B3"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F2F2F2"/>
            <w:noWrap/>
            <w:vAlign w:val="bottom"/>
            <w:hideMark/>
          </w:tcPr>
          <w:p w14:paraId="622CC79F" w14:textId="68A096F5" w:rsidR="00ED367C" w:rsidRPr="00834AAA" w:rsidRDefault="00661D28"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555</w:t>
            </w:r>
            <w:r w:rsidR="00ED367C" w:rsidRPr="00834AAA">
              <w:rPr>
                <w:rFonts w:ascii="Calibri" w:eastAsia="Times New Roman" w:hAnsi="Calibri" w:cs="Times New Roman"/>
                <w:color w:val="000000"/>
                <w:sz w:val="16"/>
                <w:szCs w:val="14"/>
                <w:lang w:eastAsia="en-GB"/>
              </w:rPr>
              <w:t>/918 (</w:t>
            </w:r>
            <w:r>
              <w:rPr>
                <w:rFonts w:ascii="Calibri" w:eastAsia="Times New Roman" w:hAnsi="Calibri" w:cs="Times New Roman"/>
                <w:color w:val="000000"/>
                <w:sz w:val="16"/>
                <w:szCs w:val="14"/>
                <w:lang w:eastAsia="en-GB"/>
              </w:rPr>
              <w:t>60.5</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F2F2F2"/>
            <w:noWrap/>
            <w:vAlign w:val="bottom"/>
            <w:hideMark/>
          </w:tcPr>
          <w:p w14:paraId="6AF3166B" w14:textId="449D2A95" w:rsidR="00ED367C" w:rsidRPr="00834AAA" w:rsidRDefault="00132DB4" w:rsidP="00D30520">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0.94</w:t>
            </w:r>
            <w:r w:rsidR="00ED367C" w:rsidRPr="00834AAA">
              <w:rPr>
                <w:rFonts w:ascii="Calibri" w:eastAsia="Times New Roman" w:hAnsi="Calibri" w:cs="Times New Roman"/>
                <w:color w:val="000000"/>
                <w:sz w:val="16"/>
                <w:szCs w:val="14"/>
                <w:lang w:eastAsia="en-GB"/>
              </w:rPr>
              <w:t xml:space="preserve"> (0.</w:t>
            </w:r>
            <w:r>
              <w:rPr>
                <w:rFonts w:ascii="Calibri" w:eastAsia="Times New Roman" w:hAnsi="Calibri" w:cs="Times New Roman"/>
                <w:color w:val="000000"/>
                <w:sz w:val="16"/>
                <w:szCs w:val="14"/>
                <w:lang w:eastAsia="en-GB"/>
              </w:rPr>
              <w:t>79</w:t>
            </w:r>
            <w:r w:rsidR="001367EE">
              <w:rPr>
                <w:rFonts w:ascii="Calibri" w:eastAsia="Times New Roman" w:hAnsi="Calibri" w:cs="Times New Roman"/>
                <w:color w:val="000000"/>
                <w:sz w:val="16"/>
                <w:szCs w:val="14"/>
                <w:lang w:eastAsia="en-GB"/>
              </w:rPr>
              <w:t>–</w:t>
            </w:r>
            <w:r w:rsidR="00ED367C" w:rsidRPr="00834AAA">
              <w:rPr>
                <w:rFonts w:ascii="Calibri" w:eastAsia="Times New Roman" w:hAnsi="Calibri" w:cs="Times New Roman"/>
                <w:color w:val="000000"/>
                <w:sz w:val="16"/>
                <w:szCs w:val="14"/>
                <w:lang w:eastAsia="en-GB"/>
              </w:rPr>
              <w:t>1.</w:t>
            </w:r>
            <w:r>
              <w:rPr>
                <w:rFonts w:ascii="Calibri" w:eastAsia="Times New Roman" w:hAnsi="Calibri" w:cs="Times New Roman"/>
                <w:color w:val="000000"/>
                <w:sz w:val="16"/>
                <w:szCs w:val="14"/>
                <w:lang w:eastAsia="en-GB"/>
              </w:rPr>
              <w:t>12</w:t>
            </w:r>
            <w:r w:rsidR="00ED367C" w:rsidRPr="00834AAA">
              <w:rPr>
                <w:rFonts w:ascii="Calibri" w:eastAsia="Times New Roman" w:hAnsi="Calibri" w:cs="Times New Roman"/>
                <w:color w:val="000000"/>
                <w:sz w:val="16"/>
                <w:szCs w:val="14"/>
                <w:lang w:eastAsia="en-GB"/>
              </w:rPr>
              <w:t>)</w:t>
            </w:r>
          </w:p>
        </w:tc>
        <w:tc>
          <w:tcPr>
            <w:tcW w:w="692" w:type="dxa"/>
            <w:tcBorders>
              <w:top w:val="nil"/>
              <w:left w:val="nil"/>
              <w:bottom w:val="nil"/>
              <w:right w:val="nil"/>
            </w:tcBorders>
            <w:shd w:val="clear" w:color="auto" w:fill="F2F2F2"/>
            <w:noWrap/>
            <w:vAlign w:val="bottom"/>
            <w:hideMark/>
          </w:tcPr>
          <w:p w14:paraId="0AB00A26"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F2F2F2"/>
            <w:noWrap/>
            <w:vAlign w:val="bottom"/>
            <w:hideMark/>
          </w:tcPr>
          <w:p w14:paraId="1E821046" w14:textId="7D4A1651"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0.9</w:t>
            </w:r>
            <w:r w:rsidR="00EC0484">
              <w:rPr>
                <w:rFonts w:ascii="Calibri" w:eastAsia="Times New Roman" w:hAnsi="Calibri" w:cs="Times New Roman"/>
                <w:color w:val="000000"/>
                <w:sz w:val="16"/>
                <w:szCs w:val="14"/>
                <w:lang w:eastAsia="en-GB"/>
              </w:rPr>
              <w:t>5</w:t>
            </w:r>
            <w:r w:rsidRPr="00834AAA">
              <w:rPr>
                <w:rFonts w:ascii="Calibri" w:eastAsia="Times New Roman" w:hAnsi="Calibri" w:cs="Times New Roman"/>
                <w:color w:val="000000"/>
                <w:sz w:val="16"/>
                <w:szCs w:val="14"/>
                <w:lang w:eastAsia="en-GB"/>
              </w:rPr>
              <w:t xml:space="preserve"> (0.8</w:t>
            </w:r>
            <w:r w:rsidR="001E14F8">
              <w:rPr>
                <w:rFonts w:ascii="Calibri" w:eastAsia="Times New Roman" w:hAnsi="Calibri" w:cs="Times New Roman"/>
                <w:color w:val="000000"/>
                <w:sz w:val="16"/>
                <w:szCs w:val="14"/>
                <w:lang w:eastAsia="en-GB"/>
              </w:rPr>
              <w:t>0</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w:t>
            </w:r>
            <w:r w:rsidR="001D1A31">
              <w:rPr>
                <w:rFonts w:ascii="Calibri" w:eastAsia="Times New Roman" w:hAnsi="Calibri" w:cs="Times New Roman"/>
                <w:color w:val="000000"/>
                <w:sz w:val="16"/>
                <w:szCs w:val="14"/>
                <w:lang w:eastAsia="en-GB"/>
              </w:rPr>
              <w:t>14</w:t>
            </w:r>
            <w:r w:rsidRPr="00834AAA">
              <w:rPr>
                <w:rFonts w:ascii="Calibri" w:eastAsia="Times New Roman" w:hAnsi="Calibri" w:cs="Times New Roman"/>
                <w:color w:val="000000"/>
                <w:sz w:val="16"/>
                <w:szCs w:val="14"/>
                <w:lang w:eastAsia="en-GB"/>
              </w:rPr>
              <w:t>)</w:t>
            </w:r>
          </w:p>
        </w:tc>
        <w:tc>
          <w:tcPr>
            <w:tcW w:w="850" w:type="dxa"/>
            <w:tcBorders>
              <w:top w:val="nil"/>
              <w:left w:val="nil"/>
              <w:bottom w:val="nil"/>
              <w:right w:val="nil"/>
            </w:tcBorders>
            <w:shd w:val="clear" w:color="auto" w:fill="F2F2F2"/>
            <w:noWrap/>
            <w:vAlign w:val="bottom"/>
            <w:hideMark/>
          </w:tcPr>
          <w:p w14:paraId="7EB7174E"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331B4B" w:rsidRPr="00834AAA" w14:paraId="7517FE2E" w14:textId="77777777" w:rsidTr="001367EE">
        <w:trPr>
          <w:trHeight w:val="20"/>
        </w:trPr>
        <w:tc>
          <w:tcPr>
            <w:tcW w:w="2660" w:type="dxa"/>
            <w:tcBorders>
              <w:top w:val="nil"/>
              <w:left w:val="nil"/>
              <w:bottom w:val="nil"/>
              <w:right w:val="nil"/>
            </w:tcBorders>
            <w:shd w:val="clear" w:color="auto" w:fill="F2F2F2"/>
            <w:noWrap/>
            <w:vAlign w:val="bottom"/>
            <w:hideMark/>
          </w:tcPr>
          <w:p w14:paraId="70853869"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18,200-31,199</w:t>
            </w:r>
          </w:p>
        </w:tc>
        <w:tc>
          <w:tcPr>
            <w:tcW w:w="567" w:type="dxa"/>
            <w:tcBorders>
              <w:top w:val="nil"/>
              <w:left w:val="nil"/>
              <w:bottom w:val="nil"/>
              <w:right w:val="nil"/>
            </w:tcBorders>
            <w:shd w:val="clear" w:color="auto" w:fill="F2F2F2"/>
            <w:noWrap/>
            <w:vAlign w:val="bottom"/>
            <w:hideMark/>
          </w:tcPr>
          <w:p w14:paraId="41D20CA1"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1525</w:t>
            </w:r>
          </w:p>
        </w:tc>
        <w:tc>
          <w:tcPr>
            <w:tcW w:w="592" w:type="dxa"/>
            <w:tcBorders>
              <w:top w:val="nil"/>
              <w:left w:val="nil"/>
              <w:bottom w:val="nil"/>
              <w:right w:val="single" w:sz="4" w:space="0" w:color="auto"/>
            </w:tcBorders>
            <w:shd w:val="clear" w:color="auto" w:fill="F2F2F2"/>
            <w:noWrap/>
            <w:vAlign w:val="bottom"/>
            <w:hideMark/>
          </w:tcPr>
          <w:p w14:paraId="323B5953"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26.7</w:t>
            </w:r>
          </w:p>
        </w:tc>
        <w:tc>
          <w:tcPr>
            <w:tcW w:w="1560" w:type="dxa"/>
            <w:tcBorders>
              <w:top w:val="nil"/>
              <w:left w:val="single" w:sz="4" w:space="0" w:color="auto"/>
              <w:bottom w:val="nil"/>
              <w:right w:val="nil"/>
            </w:tcBorders>
            <w:shd w:val="clear" w:color="auto" w:fill="F2F2F2"/>
            <w:noWrap/>
            <w:vAlign w:val="bottom"/>
            <w:hideMark/>
          </w:tcPr>
          <w:p w14:paraId="29DEA104" w14:textId="1E58754A"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675/1501 (45</w:t>
            </w:r>
            <w:r w:rsidR="00B10017">
              <w:rPr>
                <w:rFonts w:ascii="Calibri" w:eastAsia="Times New Roman" w:hAnsi="Calibri" w:cs="Times New Roman"/>
                <w:color w:val="000000"/>
                <w:sz w:val="16"/>
                <w:szCs w:val="14"/>
                <w:lang w:eastAsia="en-GB"/>
              </w:rPr>
              <w:t>.0</w:t>
            </w:r>
            <w:r w:rsidRPr="00834AAA">
              <w:rPr>
                <w:rFonts w:ascii="Calibri" w:eastAsia="Times New Roman" w:hAnsi="Calibri" w:cs="Times New Roman"/>
                <w:color w:val="000000"/>
                <w:sz w:val="16"/>
                <w:szCs w:val="14"/>
                <w:lang w:eastAsia="en-GB"/>
              </w:rPr>
              <w:t>)</w:t>
            </w:r>
          </w:p>
        </w:tc>
        <w:tc>
          <w:tcPr>
            <w:tcW w:w="1366" w:type="dxa"/>
            <w:tcBorders>
              <w:top w:val="nil"/>
              <w:left w:val="nil"/>
              <w:bottom w:val="nil"/>
              <w:right w:val="nil"/>
            </w:tcBorders>
            <w:shd w:val="clear" w:color="auto" w:fill="F2F2F2"/>
            <w:noWrap/>
            <w:vAlign w:val="bottom"/>
            <w:hideMark/>
          </w:tcPr>
          <w:p w14:paraId="5CD3E474" w14:textId="1E47157E"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1.52 (1.3</w:t>
            </w:r>
            <w:r w:rsidR="003F1589">
              <w:rPr>
                <w:rFonts w:ascii="Calibri" w:eastAsia="Times New Roman" w:hAnsi="Calibri" w:cs="Times New Roman"/>
                <w:color w:val="000000"/>
                <w:sz w:val="16"/>
                <w:szCs w:val="14"/>
                <w:lang w:eastAsia="en-GB"/>
              </w:rPr>
              <w:t>0</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1.77)</w:t>
            </w:r>
          </w:p>
        </w:tc>
        <w:tc>
          <w:tcPr>
            <w:tcW w:w="692" w:type="dxa"/>
            <w:tcBorders>
              <w:top w:val="nil"/>
              <w:left w:val="nil"/>
              <w:bottom w:val="nil"/>
              <w:right w:val="nil"/>
            </w:tcBorders>
            <w:shd w:val="clear" w:color="auto" w:fill="F2F2F2"/>
            <w:noWrap/>
            <w:vAlign w:val="bottom"/>
            <w:hideMark/>
          </w:tcPr>
          <w:p w14:paraId="47F0135A"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F2F2F2"/>
            <w:noWrap/>
            <w:vAlign w:val="bottom"/>
            <w:hideMark/>
          </w:tcPr>
          <w:p w14:paraId="60233C09" w14:textId="28104430"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w:t>
            </w:r>
            <w:r w:rsidR="001E14F8">
              <w:rPr>
                <w:rFonts w:ascii="Calibri" w:eastAsia="Times New Roman" w:hAnsi="Calibri" w:cs="Times New Roman"/>
                <w:color w:val="000000"/>
                <w:sz w:val="16"/>
                <w:szCs w:val="14"/>
                <w:lang w:eastAsia="en-GB"/>
              </w:rPr>
              <w:t>.00</w:t>
            </w:r>
            <w:r w:rsidRPr="00834AAA">
              <w:rPr>
                <w:rFonts w:ascii="Calibri" w:eastAsia="Times New Roman" w:hAnsi="Calibri" w:cs="Times New Roman"/>
                <w:color w:val="000000"/>
                <w:sz w:val="16"/>
                <w:szCs w:val="14"/>
                <w:lang w:eastAsia="en-GB"/>
              </w:rPr>
              <w:t xml:space="preserve"> (0.84</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1.2</w:t>
            </w:r>
            <w:r w:rsidR="003F1589">
              <w:rPr>
                <w:rFonts w:ascii="Calibri" w:eastAsia="Times New Roman" w:hAnsi="Calibri" w:cs="Times New Roman"/>
                <w:color w:val="000000"/>
                <w:sz w:val="16"/>
                <w:szCs w:val="14"/>
                <w:lang w:eastAsia="en-GB"/>
              </w:rPr>
              <w:t>0</w:t>
            </w:r>
            <w:r w:rsidRPr="00834AAA">
              <w:rPr>
                <w:rFonts w:ascii="Calibri" w:eastAsia="Times New Roman" w:hAnsi="Calibri" w:cs="Times New Roman"/>
                <w:color w:val="000000"/>
                <w:sz w:val="16"/>
                <w:szCs w:val="14"/>
                <w:lang w:eastAsia="en-GB"/>
              </w:rPr>
              <w:t>)</w:t>
            </w:r>
          </w:p>
        </w:tc>
        <w:tc>
          <w:tcPr>
            <w:tcW w:w="825" w:type="dxa"/>
            <w:tcBorders>
              <w:top w:val="nil"/>
              <w:left w:val="nil"/>
              <w:bottom w:val="nil"/>
              <w:right w:val="single" w:sz="4" w:space="0" w:color="auto"/>
            </w:tcBorders>
            <w:shd w:val="clear" w:color="auto" w:fill="F2F2F2"/>
            <w:noWrap/>
            <w:vAlign w:val="bottom"/>
            <w:hideMark/>
          </w:tcPr>
          <w:p w14:paraId="42C30507"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F2F2F2"/>
            <w:noWrap/>
            <w:vAlign w:val="bottom"/>
            <w:hideMark/>
          </w:tcPr>
          <w:p w14:paraId="4EA4BCA0" w14:textId="1B8554CA" w:rsidR="00ED367C" w:rsidRPr="00834AAA" w:rsidRDefault="00661D28"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933</w:t>
            </w:r>
            <w:r w:rsidR="00ED367C" w:rsidRPr="00834AAA">
              <w:rPr>
                <w:rFonts w:ascii="Calibri" w:eastAsia="Times New Roman" w:hAnsi="Calibri" w:cs="Times New Roman"/>
                <w:color w:val="000000"/>
                <w:sz w:val="16"/>
                <w:szCs w:val="14"/>
                <w:lang w:eastAsia="en-GB"/>
              </w:rPr>
              <w:t>/1515 (</w:t>
            </w:r>
            <w:r>
              <w:rPr>
                <w:rFonts w:ascii="Calibri" w:eastAsia="Times New Roman" w:hAnsi="Calibri" w:cs="Times New Roman"/>
                <w:color w:val="000000"/>
                <w:sz w:val="16"/>
                <w:szCs w:val="14"/>
                <w:lang w:eastAsia="en-GB"/>
              </w:rPr>
              <w:t>61.6</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F2F2F2"/>
            <w:noWrap/>
            <w:vAlign w:val="bottom"/>
            <w:hideMark/>
          </w:tcPr>
          <w:p w14:paraId="20E53339" w14:textId="5DCFF139"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w:t>
            </w:r>
            <w:r w:rsidR="00132DB4">
              <w:rPr>
                <w:rFonts w:ascii="Calibri" w:eastAsia="Times New Roman" w:hAnsi="Calibri" w:cs="Times New Roman"/>
                <w:color w:val="000000"/>
                <w:sz w:val="16"/>
                <w:szCs w:val="14"/>
                <w:lang w:eastAsia="en-GB"/>
              </w:rPr>
              <w:t>98</w:t>
            </w:r>
            <w:r w:rsidRPr="00834AAA">
              <w:rPr>
                <w:rFonts w:ascii="Calibri" w:eastAsia="Times New Roman" w:hAnsi="Calibri" w:cs="Times New Roman"/>
                <w:color w:val="000000"/>
                <w:sz w:val="16"/>
                <w:szCs w:val="14"/>
                <w:lang w:eastAsia="en-GB"/>
              </w:rPr>
              <w:t xml:space="preserve"> (0.</w:t>
            </w:r>
            <w:r w:rsidR="00132DB4">
              <w:rPr>
                <w:rFonts w:ascii="Calibri" w:eastAsia="Times New Roman" w:hAnsi="Calibri" w:cs="Times New Roman"/>
                <w:color w:val="000000"/>
                <w:sz w:val="16"/>
                <w:szCs w:val="14"/>
                <w:lang w:eastAsia="en-GB"/>
              </w:rPr>
              <w:t>85</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w:t>
            </w:r>
            <w:r w:rsidR="00132DB4">
              <w:rPr>
                <w:rFonts w:ascii="Calibri" w:eastAsia="Times New Roman" w:hAnsi="Calibri" w:cs="Times New Roman"/>
                <w:color w:val="000000"/>
                <w:sz w:val="16"/>
                <w:szCs w:val="14"/>
                <w:lang w:eastAsia="en-GB"/>
              </w:rPr>
              <w:t>15</w:t>
            </w:r>
            <w:r w:rsidRPr="00834AAA">
              <w:rPr>
                <w:rFonts w:ascii="Calibri" w:eastAsia="Times New Roman" w:hAnsi="Calibri" w:cs="Times New Roman"/>
                <w:color w:val="000000"/>
                <w:sz w:val="16"/>
                <w:szCs w:val="14"/>
                <w:lang w:eastAsia="en-GB"/>
              </w:rPr>
              <w:t>)</w:t>
            </w:r>
          </w:p>
        </w:tc>
        <w:tc>
          <w:tcPr>
            <w:tcW w:w="692" w:type="dxa"/>
            <w:tcBorders>
              <w:top w:val="nil"/>
              <w:left w:val="nil"/>
              <w:bottom w:val="nil"/>
              <w:right w:val="nil"/>
            </w:tcBorders>
            <w:shd w:val="clear" w:color="auto" w:fill="F2F2F2"/>
            <w:noWrap/>
            <w:vAlign w:val="bottom"/>
            <w:hideMark/>
          </w:tcPr>
          <w:p w14:paraId="13EAD72B"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F2F2F2"/>
            <w:noWrap/>
            <w:vAlign w:val="bottom"/>
            <w:hideMark/>
          </w:tcPr>
          <w:p w14:paraId="334D4EB5" w14:textId="2016F63B" w:rsidR="00ED367C" w:rsidRPr="00834AAA" w:rsidRDefault="00EC0484" w:rsidP="00D30520">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1.02</w:t>
            </w:r>
            <w:r w:rsidR="00ED367C" w:rsidRPr="00834AAA">
              <w:rPr>
                <w:rFonts w:ascii="Calibri" w:eastAsia="Times New Roman" w:hAnsi="Calibri" w:cs="Times New Roman"/>
                <w:color w:val="000000"/>
                <w:sz w:val="16"/>
                <w:szCs w:val="14"/>
                <w:lang w:eastAsia="en-GB"/>
              </w:rPr>
              <w:t xml:space="preserve"> (0.</w:t>
            </w:r>
            <w:r w:rsidR="001D1A31">
              <w:rPr>
                <w:rFonts w:ascii="Calibri" w:eastAsia="Times New Roman" w:hAnsi="Calibri" w:cs="Times New Roman"/>
                <w:color w:val="000000"/>
                <w:sz w:val="16"/>
                <w:szCs w:val="14"/>
                <w:lang w:eastAsia="en-GB"/>
              </w:rPr>
              <w:t>86</w:t>
            </w:r>
            <w:r w:rsidR="001367EE">
              <w:rPr>
                <w:rFonts w:ascii="Calibri" w:eastAsia="Times New Roman" w:hAnsi="Calibri" w:cs="Times New Roman"/>
                <w:color w:val="000000"/>
                <w:sz w:val="16"/>
                <w:szCs w:val="14"/>
                <w:lang w:eastAsia="en-GB"/>
              </w:rPr>
              <w:t>–</w:t>
            </w:r>
            <w:r w:rsidR="00ED367C" w:rsidRPr="00834AAA">
              <w:rPr>
                <w:rFonts w:ascii="Calibri" w:eastAsia="Times New Roman" w:hAnsi="Calibri" w:cs="Times New Roman"/>
                <w:color w:val="000000"/>
                <w:sz w:val="16"/>
                <w:szCs w:val="14"/>
                <w:lang w:eastAsia="en-GB"/>
              </w:rPr>
              <w:t>1.</w:t>
            </w:r>
            <w:r w:rsidR="001D1A31">
              <w:rPr>
                <w:rFonts w:ascii="Calibri" w:eastAsia="Times New Roman" w:hAnsi="Calibri" w:cs="Times New Roman"/>
                <w:color w:val="000000"/>
                <w:sz w:val="16"/>
                <w:szCs w:val="14"/>
                <w:lang w:eastAsia="en-GB"/>
              </w:rPr>
              <w:t>21</w:t>
            </w:r>
            <w:r w:rsidR="00ED367C" w:rsidRPr="00834AAA">
              <w:rPr>
                <w:rFonts w:ascii="Calibri" w:eastAsia="Times New Roman" w:hAnsi="Calibri" w:cs="Times New Roman"/>
                <w:color w:val="000000"/>
                <w:sz w:val="16"/>
                <w:szCs w:val="14"/>
                <w:lang w:eastAsia="en-GB"/>
              </w:rPr>
              <w:t>)</w:t>
            </w:r>
          </w:p>
        </w:tc>
        <w:tc>
          <w:tcPr>
            <w:tcW w:w="850" w:type="dxa"/>
            <w:tcBorders>
              <w:top w:val="nil"/>
              <w:left w:val="nil"/>
              <w:bottom w:val="nil"/>
              <w:right w:val="nil"/>
            </w:tcBorders>
            <w:shd w:val="clear" w:color="auto" w:fill="F2F2F2"/>
            <w:noWrap/>
            <w:vAlign w:val="bottom"/>
            <w:hideMark/>
          </w:tcPr>
          <w:p w14:paraId="37D15789"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331B4B" w:rsidRPr="00834AAA" w14:paraId="11F3BC3B" w14:textId="77777777" w:rsidTr="001367EE">
        <w:trPr>
          <w:trHeight w:val="20"/>
        </w:trPr>
        <w:tc>
          <w:tcPr>
            <w:tcW w:w="2660" w:type="dxa"/>
            <w:tcBorders>
              <w:top w:val="nil"/>
              <w:left w:val="nil"/>
              <w:bottom w:val="nil"/>
              <w:right w:val="nil"/>
            </w:tcBorders>
            <w:shd w:val="clear" w:color="auto" w:fill="F2F2F2"/>
            <w:noWrap/>
            <w:vAlign w:val="bottom"/>
            <w:hideMark/>
          </w:tcPr>
          <w:p w14:paraId="347F1BA1"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31,200-46,799</w:t>
            </w:r>
          </w:p>
        </w:tc>
        <w:tc>
          <w:tcPr>
            <w:tcW w:w="567" w:type="dxa"/>
            <w:tcBorders>
              <w:top w:val="nil"/>
              <w:left w:val="nil"/>
              <w:bottom w:val="nil"/>
              <w:right w:val="nil"/>
            </w:tcBorders>
            <w:shd w:val="clear" w:color="auto" w:fill="F2F2F2"/>
            <w:noWrap/>
            <w:vAlign w:val="bottom"/>
            <w:hideMark/>
          </w:tcPr>
          <w:p w14:paraId="0B53BF24"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964</w:t>
            </w:r>
          </w:p>
        </w:tc>
        <w:tc>
          <w:tcPr>
            <w:tcW w:w="592" w:type="dxa"/>
            <w:tcBorders>
              <w:top w:val="nil"/>
              <w:left w:val="nil"/>
              <w:bottom w:val="nil"/>
              <w:right w:val="single" w:sz="4" w:space="0" w:color="auto"/>
            </w:tcBorders>
            <w:shd w:val="clear" w:color="auto" w:fill="F2F2F2"/>
            <w:noWrap/>
            <w:vAlign w:val="bottom"/>
            <w:hideMark/>
          </w:tcPr>
          <w:p w14:paraId="26D87EC7"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17</w:t>
            </w:r>
          </w:p>
        </w:tc>
        <w:tc>
          <w:tcPr>
            <w:tcW w:w="1560" w:type="dxa"/>
            <w:tcBorders>
              <w:top w:val="nil"/>
              <w:left w:val="single" w:sz="4" w:space="0" w:color="auto"/>
              <w:bottom w:val="nil"/>
              <w:right w:val="nil"/>
            </w:tcBorders>
            <w:shd w:val="clear" w:color="auto" w:fill="F2F2F2"/>
            <w:noWrap/>
            <w:vAlign w:val="bottom"/>
            <w:hideMark/>
          </w:tcPr>
          <w:p w14:paraId="5A8462B2"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440/952 (46.2)</w:t>
            </w:r>
          </w:p>
        </w:tc>
        <w:tc>
          <w:tcPr>
            <w:tcW w:w="1366" w:type="dxa"/>
            <w:tcBorders>
              <w:top w:val="nil"/>
              <w:left w:val="nil"/>
              <w:bottom w:val="nil"/>
              <w:right w:val="nil"/>
            </w:tcBorders>
            <w:shd w:val="clear" w:color="auto" w:fill="F2F2F2"/>
            <w:noWrap/>
            <w:vAlign w:val="bottom"/>
            <w:hideMark/>
          </w:tcPr>
          <w:p w14:paraId="23CB2EAB" w14:textId="2BF0FF9D"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1.6</w:t>
            </w:r>
            <w:r w:rsidR="003F1589">
              <w:rPr>
                <w:rFonts w:ascii="Calibri" w:eastAsia="Times New Roman" w:hAnsi="Calibri" w:cs="Times New Roman"/>
                <w:color w:val="000000"/>
                <w:sz w:val="16"/>
                <w:szCs w:val="14"/>
                <w:lang w:eastAsia="en-GB"/>
              </w:rPr>
              <w:t xml:space="preserve">0 </w:t>
            </w:r>
            <w:r w:rsidRPr="00834AAA">
              <w:rPr>
                <w:rFonts w:ascii="Calibri" w:eastAsia="Times New Roman" w:hAnsi="Calibri" w:cs="Times New Roman"/>
                <w:color w:val="000000"/>
                <w:sz w:val="16"/>
                <w:szCs w:val="14"/>
                <w:lang w:eastAsia="en-GB"/>
              </w:rPr>
              <w:t>(1.34</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1.89)</w:t>
            </w:r>
          </w:p>
        </w:tc>
        <w:tc>
          <w:tcPr>
            <w:tcW w:w="692" w:type="dxa"/>
            <w:tcBorders>
              <w:top w:val="nil"/>
              <w:left w:val="nil"/>
              <w:bottom w:val="nil"/>
              <w:right w:val="nil"/>
            </w:tcBorders>
            <w:shd w:val="clear" w:color="auto" w:fill="F2F2F2"/>
            <w:noWrap/>
            <w:vAlign w:val="bottom"/>
            <w:hideMark/>
          </w:tcPr>
          <w:p w14:paraId="44CA0E18"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F2F2F2"/>
            <w:noWrap/>
            <w:vAlign w:val="bottom"/>
            <w:hideMark/>
          </w:tcPr>
          <w:p w14:paraId="168B7C7F" w14:textId="578AFD21"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0.95 (0.78</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1.16)</w:t>
            </w:r>
          </w:p>
        </w:tc>
        <w:tc>
          <w:tcPr>
            <w:tcW w:w="825" w:type="dxa"/>
            <w:tcBorders>
              <w:top w:val="nil"/>
              <w:left w:val="nil"/>
              <w:bottom w:val="nil"/>
              <w:right w:val="single" w:sz="4" w:space="0" w:color="auto"/>
            </w:tcBorders>
            <w:shd w:val="clear" w:color="auto" w:fill="F2F2F2"/>
            <w:noWrap/>
            <w:vAlign w:val="bottom"/>
            <w:hideMark/>
          </w:tcPr>
          <w:p w14:paraId="0033DC72"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F2F2F2"/>
            <w:noWrap/>
            <w:vAlign w:val="bottom"/>
            <w:hideMark/>
          </w:tcPr>
          <w:p w14:paraId="609CBFC1" w14:textId="3335BD97" w:rsidR="00ED367C" w:rsidRPr="00834AAA" w:rsidRDefault="00661D28"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608</w:t>
            </w:r>
            <w:r w:rsidR="00ED367C" w:rsidRPr="00834AAA">
              <w:rPr>
                <w:rFonts w:ascii="Calibri" w:eastAsia="Times New Roman" w:hAnsi="Calibri" w:cs="Times New Roman"/>
                <w:color w:val="000000"/>
                <w:sz w:val="16"/>
                <w:szCs w:val="14"/>
                <w:lang w:eastAsia="en-GB"/>
              </w:rPr>
              <w:t>/959 (</w:t>
            </w:r>
            <w:r>
              <w:rPr>
                <w:rFonts w:ascii="Calibri" w:eastAsia="Times New Roman" w:hAnsi="Calibri" w:cs="Times New Roman"/>
                <w:color w:val="000000"/>
                <w:sz w:val="16"/>
                <w:szCs w:val="14"/>
                <w:lang w:eastAsia="en-GB"/>
              </w:rPr>
              <w:t>63.4</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F2F2F2"/>
            <w:noWrap/>
            <w:vAlign w:val="bottom"/>
            <w:hideMark/>
          </w:tcPr>
          <w:p w14:paraId="78752DBF" w14:textId="5E483728" w:rsidR="00ED367C" w:rsidRPr="00834AAA" w:rsidRDefault="00132DB4"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1.06</w:t>
            </w:r>
            <w:r w:rsidR="00ED367C" w:rsidRPr="00834AAA">
              <w:rPr>
                <w:rFonts w:ascii="Calibri" w:eastAsia="Times New Roman" w:hAnsi="Calibri" w:cs="Times New Roman"/>
                <w:color w:val="000000"/>
                <w:sz w:val="16"/>
                <w:szCs w:val="14"/>
                <w:lang w:eastAsia="en-GB"/>
              </w:rPr>
              <w:t xml:space="preserve"> (0.</w:t>
            </w:r>
            <w:r>
              <w:rPr>
                <w:rFonts w:ascii="Calibri" w:eastAsia="Times New Roman" w:hAnsi="Calibri" w:cs="Times New Roman"/>
                <w:color w:val="000000"/>
                <w:sz w:val="16"/>
                <w:szCs w:val="14"/>
                <w:lang w:eastAsia="en-GB"/>
              </w:rPr>
              <w:t>89</w:t>
            </w:r>
            <w:r w:rsidR="001367EE">
              <w:rPr>
                <w:rFonts w:ascii="Calibri" w:eastAsia="Times New Roman" w:hAnsi="Calibri" w:cs="Times New Roman"/>
                <w:color w:val="000000"/>
                <w:sz w:val="16"/>
                <w:szCs w:val="14"/>
                <w:lang w:eastAsia="en-GB"/>
              </w:rPr>
              <w:t>–</w:t>
            </w:r>
            <w:r>
              <w:rPr>
                <w:rFonts w:ascii="Calibri" w:eastAsia="Times New Roman" w:hAnsi="Calibri" w:cs="Times New Roman"/>
                <w:color w:val="000000"/>
                <w:sz w:val="16"/>
                <w:szCs w:val="14"/>
                <w:lang w:eastAsia="en-GB"/>
              </w:rPr>
              <w:t>1.26</w:t>
            </w:r>
            <w:r w:rsidR="00ED367C" w:rsidRPr="00834AAA">
              <w:rPr>
                <w:rFonts w:ascii="Calibri" w:eastAsia="Times New Roman" w:hAnsi="Calibri" w:cs="Times New Roman"/>
                <w:color w:val="000000"/>
                <w:sz w:val="16"/>
                <w:szCs w:val="14"/>
                <w:lang w:eastAsia="en-GB"/>
              </w:rPr>
              <w:t>)</w:t>
            </w:r>
          </w:p>
        </w:tc>
        <w:tc>
          <w:tcPr>
            <w:tcW w:w="692" w:type="dxa"/>
            <w:tcBorders>
              <w:top w:val="nil"/>
              <w:left w:val="nil"/>
              <w:bottom w:val="nil"/>
              <w:right w:val="nil"/>
            </w:tcBorders>
            <w:shd w:val="clear" w:color="auto" w:fill="F2F2F2"/>
            <w:noWrap/>
            <w:vAlign w:val="bottom"/>
            <w:hideMark/>
          </w:tcPr>
          <w:p w14:paraId="4268F06C"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F2F2F2"/>
            <w:noWrap/>
            <w:vAlign w:val="bottom"/>
            <w:hideMark/>
          </w:tcPr>
          <w:p w14:paraId="4EDC38C6" w14:textId="54D2B98A" w:rsidR="00ED367C" w:rsidRPr="00834AAA" w:rsidRDefault="00EC0484"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1.10</w:t>
            </w:r>
            <w:r w:rsidR="00ED367C" w:rsidRPr="00834AAA">
              <w:rPr>
                <w:rFonts w:ascii="Calibri" w:eastAsia="Times New Roman" w:hAnsi="Calibri" w:cs="Times New Roman"/>
                <w:color w:val="000000"/>
                <w:sz w:val="16"/>
                <w:szCs w:val="14"/>
                <w:lang w:eastAsia="en-GB"/>
              </w:rPr>
              <w:t xml:space="preserve"> (0.</w:t>
            </w:r>
            <w:r w:rsidR="001D1A31">
              <w:rPr>
                <w:rFonts w:ascii="Calibri" w:eastAsia="Times New Roman" w:hAnsi="Calibri" w:cs="Times New Roman"/>
                <w:color w:val="000000"/>
                <w:sz w:val="16"/>
                <w:szCs w:val="14"/>
                <w:lang w:eastAsia="en-GB"/>
              </w:rPr>
              <w:t>90</w:t>
            </w:r>
            <w:r w:rsidR="001367EE">
              <w:rPr>
                <w:rFonts w:ascii="Calibri" w:eastAsia="Times New Roman" w:hAnsi="Calibri" w:cs="Times New Roman"/>
                <w:color w:val="000000"/>
                <w:sz w:val="16"/>
                <w:szCs w:val="14"/>
                <w:lang w:eastAsia="en-GB"/>
              </w:rPr>
              <w:t>–</w:t>
            </w:r>
            <w:r w:rsidR="00ED367C" w:rsidRPr="00834AAA">
              <w:rPr>
                <w:rFonts w:ascii="Calibri" w:eastAsia="Times New Roman" w:hAnsi="Calibri" w:cs="Times New Roman"/>
                <w:color w:val="000000"/>
                <w:sz w:val="16"/>
                <w:szCs w:val="14"/>
                <w:lang w:eastAsia="en-GB"/>
              </w:rPr>
              <w:t>1</w:t>
            </w:r>
            <w:r w:rsidR="001E14F8">
              <w:rPr>
                <w:rFonts w:ascii="Calibri" w:eastAsia="Times New Roman" w:hAnsi="Calibri" w:cs="Times New Roman"/>
                <w:color w:val="000000"/>
                <w:sz w:val="16"/>
                <w:szCs w:val="14"/>
                <w:lang w:eastAsia="en-GB"/>
              </w:rPr>
              <w:t>.</w:t>
            </w:r>
            <w:r w:rsidR="001D1A31">
              <w:rPr>
                <w:rFonts w:ascii="Calibri" w:eastAsia="Times New Roman" w:hAnsi="Calibri" w:cs="Times New Roman"/>
                <w:color w:val="000000"/>
                <w:sz w:val="16"/>
                <w:szCs w:val="14"/>
                <w:lang w:eastAsia="en-GB"/>
              </w:rPr>
              <w:t>34</w:t>
            </w:r>
            <w:r w:rsidR="00ED367C" w:rsidRPr="00834AAA">
              <w:rPr>
                <w:rFonts w:ascii="Calibri" w:eastAsia="Times New Roman" w:hAnsi="Calibri" w:cs="Times New Roman"/>
                <w:color w:val="000000"/>
                <w:sz w:val="16"/>
                <w:szCs w:val="14"/>
                <w:lang w:eastAsia="en-GB"/>
              </w:rPr>
              <w:t>)</w:t>
            </w:r>
          </w:p>
        </w:tc>
        <w:tc>
          <w:tcPr>
            <w:tcW w:w="850" w:type="dxa"/>
            <w:tcBorders>
              <w:top w:val="nil"/>
              <w:left w:val="nil"/>
              <w:bottom w:val="nil"/>
              <w:right w:val="nil"/>
            </w:tcBorders>
            <w:shd w:val="clear" w:color="auto" w:fill="F2F2F2"/>
            <w:noWrap/>
            <w:vAlign w:val="bottom"/>
            <w:hideMark/>
          </w:tcPr>
          <w:p w14:paraId="717AE017"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331B4B" w:rsidRPr="00834AAA" w14:paraId="6D654C8D" w14:textId="77777777" w:rsidTr="001367EE">
        <w:trPr>
          <w:trHeight w:val="20"/>
        </w:trPr>
        <w:tc>
          <w:tcPr>
            <w:tcW w:w="2660" w:type="dxa"/>
            <w:tcBorders>
              <w:top w:val="nil"/>
              <w:left w:val="nil"/>
              <w:bottom w:val="nil"/>
              <w:right w:val="nil"/>
            </w:tcBorders>
            <w:shd w:val="clear" w:color="auto" w:fill="F2F2F2"/>
            <w:noWrap/>
            <w:vAlign w:val="bottom"/>
            <w:hideMark/>
          </w:tcPr>
          <w:p w14:paraId="4E88F03C"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46,800+</w:t>
            </w:r>
          </w:p>
        </w:tc>
        <w:tc>
          <w:tcPr>
            <w:tcW w:w="567" w:type="dxa"/>
            <w:tcBorders>
              <w:top w:val="nil"/>
              <w:left w:val="nil"/>
              <w:bottom w:val="nil"/>
              <w:right w:val="nil"/>
            </w:tcBorders>
            <w:shd w:val="clear" w:color="auto" w:fill="F2F2F2"/>
            <w:noWrap/>
            <w:vAlign w:val="bottom"/>
            <w:hideMark/>
          </w:tcPr>
          <w:p w14:paraId="76750E9A"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968</w:t>
            </w:r>
          </w:p>
        </w:tc>
        <w:tc>
          <w:tcPr>
            <w:tcW w:w="592" w:type="dxa"/>
            <w:tcBorders>
              <w:top w:val="nil"/>
              <w:left w:val="nil"/>
              <w:bottom w:val="nil"/>
              <w:right w:val="single" w:sz="4" w:space="0" w:color="auto"/>
            </w:tcBorders>
            <w:shd w:val="clear" w:color="auto" w:fill="F2F2F2"/>
            <w:noWrap/>
            <w:vAlign w:val="bottom"/>
            <w:hideMark/>
          </w:tcPr>
          <w:p w14:paraId="03BE1DDD"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17</w:t>
            </w:r>
          </w:p>
        </w:tc>
        <w:tc>
          <w:tcPr>
            <w:tcW w:w="1560" w:type="dxa"/>
            <w:tcBorders>
              <w:top w:val="nil"/>
              <w:left w:val="single" w:sz="4" w:space="0" w:color="auto"/>
              <w:bottom w:val="nil"/>
              <w:right w:val="nil"/>
            </w:tcBorders>
            <w:shd w:val="clear" w:color="auto" w:fill="F2F2F2"/>
            <w:noWrap/>
            <w:vAlign w:val="bottom"/>
            <w:hideMark/>
          </w:tcPr>
          <w:p w14:paraId="2F8C5AC3"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495/957 (51.7)</w:t>
            </w:r>
          </w:p>
        </w:tc>
        <w:tc>
          <w:tcPr>
            <w:tcW w:w="1366" w:type="dxa"/>
            <w:tcBorders>
              <w:top w:val="nil"/>
              <w:left w:val="nil"/>
              <w:bottom w:val="nil"/>
              <w:right w:val="nil"/>
            </w:tcBorders>
            <w:shd w:val="clear" w:color="auto" w:fill="F2F2F2"/>
            <w:noWrap/>
            <w:vAlign w:val="bottom"/>
            <w:hideMark/>
          </w:tcPr>
          <w:p w14:paraId="3682BC83" w14:textId="3324BAF3"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1.99 (1.68</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2.36)</w:t>
            </w:r>
          </w:p>
        </w:tc>
        <w:tc>
          <w:tcPr>
            <w:tcW w:w="692" w:type="dxa"/>
            <w:tcBorders>
              <w:top w:val="nil"/>
              <w:left w:val="nil"/>
              <w:bottom w:val="nil"/>
              <w:right w:val="nil"/>
            </w:tcBorders>
            <w:shd w:val="clear" w:color="auto" w:fill="F2F2F2"/>
            <w:noWrap/>
            <w:vAlign w:val="bottom"/>
            <w:hideMark/>
          </w:tcPr>
          <w:p w14:paraId="5086C6FB"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&lt;0.001</w:t>
            </w:r>
          </w:p>
        </w:tc>
        <w:tc>
          <w:tcPr>
            <w:tcW w:w="1485" w:type="dxa"/>
            <w:tcBorders>
              <w:top w:val="nil"/>
              <w:left w:val="nil"/>
              <w:bottom w:val="nil"/>
              <w:right w:val="nil"/>
            </w:tcBorders>
            <w:shd w:val="clear" w:color="auto" w:fill="F2F2F2"/>
            <w:noWrap/>
            <w:vAlign w:val="bottom"/>
            <w:hideMark/>
          </w:tcPr>
          <w:p w14:paraId="5D8C5968" w14:textId="2324D19F"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1.15 (0.93</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1.41)</w:t>
            </w:r>
          </w:p>
        </w:tc>
        <w:tc>
          <w:tcPr>
            <w:tcW w:w="825" w:type="dxa"/>
            <w:tcBorders>
              <w:top w:val="nil"/>
              <w:left w:val="nil"/>
              <w:bottom w:val="nil"/>
              <w:right w:val="single" w:sz="4" w:space="0" w:color="auto"/>
            </w:tcBorders>
            <w:shd w:val="clear" w:color="auto" w:fill="F2F2F2"/>
            <w:noWrap/>
            <w:vAlign w:val="bottom"/>
            <w:hideMark/>
          </w:tcPr>
          <w:p w14:paraId="6C4EDCE5" w14:textId="45AAD351"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0.3</w:t>
            </w:r>
            <w:r w:rsidR="00617E90">
              <w:rPr>
                <w:rFonts w:ascii="Calibri" w:eastAsia="Times New Roman" w:hAnsi="Calibri" w:cs="Times New Roman"/>
                <w:color w:val="000000"/>
                <w:sz w:val="16"/>
                <w:szCs w:val="14"/>
                <w:lang w:eastAsia="en-GB"/>
              </w:rPr>
              <w:t>00</w:t>
            </w:r>
          </w:p>
        </w:tc>
        <w:tc>
          <w:tcPr>
            <w:tcW w:w="1631" w:type="dxa"/>
            <w:tcBorders>
              <w:top w:val="nil"/>
              <w:left w:val="single" w:sz="4" w:space="0" w:color="auto"/>
              <w:bottom w:val="nil"/>
              <w:right w:val="nil"/>
            </w:tcBorders>
            <w:shd w:val="clear" w:color="auto" w:fill="F2F2F2"/>
            <w:noWrap/>
            <w:vAlign w:val="bottom"/>
            <w:hideMark/>
          </w:tcPr>
          <w:p w14:paraId="287D2F89" w14:textId="1DB5FEFE" w:rsidR="00ED367C" w:rsidRPr="00834AAA" w:rsidRDefault="00661D28"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582</w:t>
            </w:r>
            <w:r w:rsidR="00ED367C" w:rsidRPr="00834AAA">
              <w:rPr>
                <w:rFonts w:ascii="Calibri" w:eastAsia="Times New Roman" w:hAnsi="Calibri" w:cs="Times New Roman"/>
                <w:color w:val="000000"/>
                <w:sz w:val="16"/>
                <w:szCs w:val="14"/>
                <w:lang w:eastAsia="en-GB"/>
              </w:rPr>
              <w:t>/963 (</w:t>
            </w:r>
            <w:r>
              <w:rPr>
                <w:rFonts w:ascii="Calibri" w:eastAsia="Times New Roman" w:hAnsi="Calibri" w:cs="Times New Roman"/>
                <w:color w:val="000000"/>
                <w:sz w:val="16"/>
                <w:szCs w:val="14"/>
                <w:lang w:eastAsia="en-GB"/>
              </w:rPr>
              <w:t>60.4</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F2F2F2"/>
            <w:noWrap/>
            <w:vAlign w:val="bottom"/>
            <w:hideMark/>
          </w:tcPr>
          <w:p w14:paraId="65955570" w14:textId="7986E16B"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w:t>
            </w:r>
            <w:r w:rsidR="00132DB4">
              <w:rPr>
                <w:rFonts w:ascii="Calibri" w:eastAsia="Times New Roman" w:hAnsi="Calibri" w:cs="Times New Roman"/>
                <w:color w:val="000000"/>
                <w:sz w:val="16"/>
                <w:szCs w:val="14"/>
                <w:lang w:eastAsia="en-GB"/>
              </w:rPr>
              <w:t>94</w:t>
            </w:r>
            <w:r w:rsidRPr="00834AAA">
              <w:rPr>
                <w:rFonts w:ascii="Calibri" w:eastAsia="Times New Roman" w:hAnsi="Calibri" w:cs="Times New Roman"/>
                <w:color w:val="000000"/>
                <w:sz w:val="16"/>
                <w:szCs w:val="14"/>
                <w:lang w:eastAsia="en-GB"/>
              </w:rPr>
              <w:t xml:space="preserve"> (0.</w:t>
            </w:r>
            <w:r w:rsidR="00132DB4">
              <w:rPr>
                <w:rFonts w:ascii="Calibri" w:eastAsia="Times New Roman" w:hAnsi="Calibri" w:cs="Times New Roman"/>
                <w:color w:val="000000"/>
                <w:sz w:val="16"/>
                <w:szCs w:val="14"/>
                <w:lang w:eastAsia="en-GB"/>
              </w:rPr>
              <w:t>79</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w:t>
            </w:r>
            <w:r w:rsidR="001E14F8">
              <w:rPr>
                <w:rFonts w:ascii="Calibri" w:eastAsia="Times New Roman" w:hAnsi="Calibri" w:cs="Times New Roman"/>
                <w:color w:val="000000"/>
                <w:sz w:val="16"/>
                <w:szCs w:val="14"/>
                <w:lang w:eastAsia="en-GB"/>
              </w:rPr>
              <w:t>.</w:t>
            </w:r>
            <w:r w:rsidR="00132DB4">
              <w:rPr>
                <w:rFonts w:ascii="Calibri" w:eastAsia="Times New Roman" w:hAnsi="Calibri" w:cs="Times New Roman"/>
                <w:color w:val="000000"/>
                <w:sz w:val="16"/>
                <w:szCs w:val="14"/>
                <w:lang w:eastAsia="en-GB"/>
              </w:rPr>
              <w:t>11</w:t>
            </w:r>
            <w:r w:rsidRPr="00834AAA">
              <w:rPr>
                <w:rFonts w:ascii="Calibri" w:eastAsia="Times New Roman" w:hAnsi="Calibri" w:cs="Times New Roman"/>
                <w:color w:val="000000"/>
                <w:sz w:val="16"/>
                <w:szCs w:val="14"/>
                <w:lang w:eastAsia="en-GB"/>
              </w:rPr>
              <w:t>)</w:t>
            </w:r>
          </w:p>
        </w:tc>
        <w:tc>
          <w:tcPr>
            <w:tcW w:w="692" w:type="dxa"/>
            <w:tcBorders>
              <w:top w:val="nil"/>
              <w:left w:val="nil"/>
              <w:bottom w:val="nil"/>
              <w:right w:val="nil"/>
            </w:tcBorders>
            <w:shd w:val="clear" w:color="auto" w:fill="F2F2F2"/>
            <w:noWrap/>
            <w:vAlign w:val="bottom"/>
            <w:hideMark/>
          </w:tcPr>
          <w:p w14:paraId="2CFB8C25" w14:textId="4682C4CD" w:rsidR="00ED367C" w:rsidRPr="00834AAA" w:rsidRDefault="00ED367C" w:rsidP="00132DB4">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w:t>
            </w:r>
            <w:r w:rsidR="00132DB4">
              <w:rPr>
                <w:rFonts w:ascii="Calibri" w:eastAsia="Times New Roman" w:hAnsi="Calibri" w:cs="Times New Roman"/>
                <w:color w:val="000000"/>
                <w:sz w:val="16"/>
                <w:szCs w:val="14"/>
                <w:lang w:eastAsia="en-GB"/>
              </w:rPr>
              <w:t>653</w:t>
            </w:r>
          </w:p>
        </w:tc>
        <w:tc>
          <w:tcPr>
            <w:tcW w:w="1576" w:type="dxa"/>
            <w:tcBorders>
              <w:top w:val="nil"/>
              <w:left w:val="nil"/>
              <w:bottom w:val="nil"/>
              <w:right w:val="nil"/>
            </w:tcBorders>
            <w:shd w:val="clear" w:color="auto" w:fill="F2F2F2"/>
            <w:noWrap/>
            <w:vAlign w:val="bottom"/>
            <w:hideMark/>
          </w:tcPr>
          <w:p w14:paraId="493C34D8" w14:textId="7893FC5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w:t>
            </w:r>
            <w:r w:rsidR="00EC0484">
              <w:rPr>
                <w:rFonts w:ascii="Calibri" w:eastAsia="Times New Roman" w:hAnsi="Calibri" w:cs="Times New Roman"/>
                <w:color w:val="000000"/>
                <w:sz w:val="16"/>
                <w:szCs w:val="14"/>
                <w:lang w:eastAsia="en-GB"/>
              </w:rPr>
              <w:t>98</w:t>
            </w:r>
            <w:r w:rsidRPr="00834AAA">
              <w:rPr>
                <w:rFonts w:ascii="Calibri" w:eastAsia="Times New Roman" w:hAnsi="Calibri" w:cs="Times New Roman"/>
                <w:color w:val="000000"/>
                <w:sz w:val="16"/>
                <w:szCs w:val="14"/>
                <w:lang w:eastAsia="en-GB"/>
              </w:rPr>
              <w:t xml:space="preserve"> (0.</w:t>
            </w:r>
            <w:r w:rsidR="001D1A31">
              <w:rPr>
                <w:rFonts w:ascii="Calibri" w:eastAsia="Times New Roman" w:hAnsi="Calibri" w:cs="Times New Roman"/>
                <w:color w:val="000000"/>
                <w:sz w:val="16"/>
                <w:szCs w:val="14"/>
                <w:lang w:eastAsia="en-GB"/>
              </w:rPr>
              <w:t>80</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w:t>
            </w:r>
            <w:r w:rsidR="001D1A31">
              <w:rPr>
                <w:rFonts w:ascii="Calibri" w:eastAsia="Times New Roman" w:hAnsi="Calibri" w:cs="Times New Roman"/>
                <w:color w:val="000000"/>
                <w:sz w:val="16"/>
                <w:szCs w:val="14"/>
                <w:lang w:eastAsia="en-GB"/>
              </w:rPr>
              <w:t>20</w:t>
            </w:r>
            <w:r w:rsidRPr="00834AAA">
              <w:rPr>
                <w:rFonts w:ascii="Calibri" w:eastAsia="Times New Roman" w:hAnsi="Calibri" w:cs="Times New Roman"/>
                <w:color w:val="000000"/>
                <w:sz w:val="16"/>
                <w:szCs w:val="14"/>
                <w:lang w:eastAsia="en-GB"/>
              </w:rPr>
              <w:t>)</w:t>
            </w:r>
          </w:p>
        </w:tc>
        <w:tc>
          <w:tcPr>
            <w:tcW w:w="850" w:type="dxa"/>
            <w:tcBorders>
              <w:top w:val="nil"/>
              <w:left w:val="nil"/>
              <w:bottom w:val="nil"/>
              <w:right w:val="nil"/>
            </w:tcBorders>
            <w:shd w:val="clear" w:color="auto" w:fill="F2F2F2"/>
            <w:noWrap/>
            <w:vAlign w:val="bottom"/>
            <w:hideMark/>
          </w:tcPr>
          <w:p w14:paraId="25C40E4C" w14:textId="604485EC" w:rsidR="00ED367C" w:rsidRPr="00834AAA" w:rsidRDefault="00ED367C" w:rsidP="001D1A31">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w:t>
            </w:r>
            <w:r w:rsidR="001D1A31">
              <w:rPr>
                <w:rFonts w:ascii="Calibri" w:eastAsia="Times New Roman" w:hAnsi="Calibri" w:cs="Times New Roman"/>
                <w:color w:val="000000"/>
                <w:sz w:val="16"/>
                <w:szCs w:val="14"/>
                <w:lang w:eastAsia="en-GB"/>
              </w:rPr>
              <w:t>665</w:t>
            </w:r>
          </w:p>
        </w:tc>
      </w:tr>
      <w:tr w:rsidR="00331B4B" w:rsidRPr="00834AAA" w14:paraId="34A40436" w14:textId="77777777" w:rsidTr="001367EE">
        <w:trPr>
          <w:trHeight w:val="20"/>
        </w:trPr>
        <w:tc>
          <w:tcPr>
            <w:tcW w:w="2660" w:type="dxa"/>
            <w:tcBorders>
              <w:top w:val="nil"/>
              <w:left w:val="nil"/>
              <w:bottom w:val="nil"/>
              <w:right w:val="nil"/>
            </w:tcBorders>
            <w:shd w:val="clear" w:color="auto" w:fill="F2F2F2"/>
            <w:noWrap/>
            <w:vAlign w:val="bottom"/>
            <w:hideMark/>
          </w:tcPr>
          <w:p w14:paraId="6236C058"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Missing</w:t>
            </w:r>
          </w:p>
        </w:tc>
        <w:tc>
          <w:tcPr>
            <w:tcW w:w="567" w:type="dxa"/>
            <w:tcBorders>
              <w:top w:val="nil"/>
              <w:left w:val="nil"/>
              <w:bottom w:val="nil"/>
              <w:right w:val="nil"/>
            </w:tcBorders>
            <w:shd w:val="clear" w:color="auto" w:fill="F2F2F2"/>
            <w:noWrap/>
            <w:vAlign w:val="bottom"/>
            <w:hideMark/>
          </w:tcPr>
          <w:p w14:paraId="697DEB60"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91</w:t>
            </w:r>
          </w:p>
        </w:tc>
        <w:tc>
          <w:tcPr>
            <w:tcW w:w="592" w:type="dxa"/>
            <w:tcBorders>
              <w:top w:val="nil"/>
              <w:left w:val="nil"/>
              <w:bottom w:val="nil"/>
              <w:right w:val="single" w:sz="4" w:space="0" w:color="auto"/>
            </w:tcBorders>
            <w:shd w:val="clear" w:color="auto" w:fill="F2F2F2"/>
            <w:noWrap/>
            <w:vAlign w:val="bottom"/>
            <w:hideMark/>
          </w:tcPr>
          <w:p w14:paraId="1EBBA1EF"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560" w:type="dxa"/>
            <w:tcBorders>
              <w:top w:val="nil"/>
              <w:left w:val="single" w:sz="4" w:space="0" w:color="auto"/>
              <w:bottom w:val="nil"/>
              <w:right w:val="nil"/>
            </w:tcBorders>
            <w:shd w:val="clear" w:color="auto" w:fill="F2F2F2"/>
            <w:noWrap/>
            <w:vAlign w:val="bottom"/>
            <w:hideMark/>
          </w:tcPr>
          <w:p w14:paraId="1F40226C"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p>
        </w:tc>
        <w:tc>
          <w:tcPr>
            <w:tcW w:w="1366" w:type="dxa"/>
            <w:tcBorders>
              <w:top w:val="nil"/>
              <w:left w:val="nil"/>
              <w:bottom w:val="nil"/>
              <w:right w:val="nil"/>
            </w:tcBorders>
            <w:shd w:val="clear" w:color="auto" w:fill="F2F2F2"/>
            <w:noWrap/>
            <w:vAlign w:val="bottom"/>
            <w:hideMark/>
          </w:tcPr>
          <w:p w14:paraId="7A753F7B"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F2F2F2"/>
            <w:noWrap/>
            <w:vAlign w:val="bottom"/>
            <w:hideMark/>
          </w:tcPr>
          <w:p w14:paraId="7F113F00"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F2F2F2"/>
            <w:noWrap/>
            <w:vAlign w:val="bottom"/>
            <w:hideMark/>
          </w:tcPr>
          <w:p w14:paraId="53AAE3CD"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25" w:type="dxa"/>
            <w:tcBorders>
              <w:top w:val="nil"/>
              <w:left w:val="nil"/>
              <w:bottom w:val="nil"/>
              <w:right w:val="single" w:sz="4" w:space="0" w:color="auto"/>
            </w:tcBorders>
            <w:shd w:val="clear" w:color="auto" w:fill="F2F2F2"/>
            <w:noWrap/>
            <w:vAlign w:val="bottom"/>
            <w:hideMark/>
          </w:tcPr>
          <w:p w14:paraId="5DF2129A"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F2F2F2"/>
            <w:noWrap/>
            <w:vAlign w:val="bottom"/>
            <w:hideMark/>
          </w:tcPr>
          <w:p w14:paraId="2AC083B3"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p>
        </w:tc>
        <w:tc>
          <w:tcPr>
            <w:tcW w:w="1513" w:type="dxa"/>
            <w:tcBorders>
              <w:top w:val="nil"/>
              <w:left w:val="nil"/>
              <w:bottom w:val="nil"/>
              <w:right w:val="nil"/>
            </w:tcBorders>
            <w:shd w:val="clear" w:color="auto" w:fill="F2F2F2"/>
            <w:noWrap/>
            <w:vAlign w:val="bottom"/>
            <w:hideMark/>
          </w:tcPr>
          <w:p w14:paraId="36893721"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F2F2F2"/>
            <w:noWrap/>
            <w:vAlign w:val="bottom"/>
            <w:hideMark/>
          </w:tcPr>
          <w:p w14:paraId="4914C34E"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F2F2F2"/>
            <w:noWrap/>
            <w:vAlign w:val="bottom"/>
            <w:hideMark/>
          </w:tcPr>
          <w:p w14:paraId="3C956AC4"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50" w:type="dxa"/>
            <w:tcBorders>
              <w:top w:val="nil"/>
              <w:left w:val="nil"/>
              <w:bottom w:val="nil"/>
              <w:right w:val="nil"/>
            </w:tcBorders>
            <w:shd w:val="clear" w:color="auto" w:fill="F2F2F2"/>
            <w:noWrap/>
            <w:vAlign w:val="bottom"/>
            <w:hideMark/>
          </w:tcPr>
          <w:p w14:paraId="4B2DBC77"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3008ED" w:rsidRPr="00834AAA" w14:paraId="09CF802C" w14:textId="77777777" w:rsidTr="00187BA8">
        <w:trPr>
          <w:trHeight w:val="20"/>
        </w:trPr>
        <w:tc>
          <w:tcPr>
            <w:tcW w:w="3227" w:type="dxa"/>
            <w:gridSpan w:val="2"/>
            <w:tcBorders>
              <w:top w:val="nil"/>
              <w:left w:val="nil"/>
              <w:bottom w:val="nil"/>
              <w:right w:val="nil"/>
            </w:tcBorders>
            <w:shd w:val="clear" w:color="auto" w:fill="auto"/>
            <w:noWrap/>
            <w:vAlign w:val="bottom"/>
            <w:hideMark/>
          </w:tcPr>
          <w:p w14:paraId="13426370" w14:textId="77777777" w:rsidR="00ED367C" w:rsidRPr="00834AAA" w:rsidRDefault="00ED367C" w:rsidP="00D30520">
            <w:pPr>
              <w:spacing w:before="0" w:after="0" w:line="240" w:lineRule="auto"/>
              <w:rPr>
                <w:rFonts w:ascii="Calibri" w:eastAsia="Times New Roman" w:hAnsi="Calibri" w:cs="Times New Roman"/>
                <w:b/>
                <w:color w:val="000000"/>
                <w:sz w:val="16"/>
                <w:szCs w:val="14"/>
                <w:lang w:eastAsia="en-GB"/>
              </w:rPr>
            </w:pPr>
            <w:r w:rsidRPr="00834AAA">
              <w:rPr>
                <w:rFonts w:ascii="Calibri" w:eastAsia="Times New Roman" w:hAnsi="Calibri" w:cs="Times New Roman"/>
                <w:b/>
                <w:color w:val="000000"/>
                <w:sz w:val="16"/>
                <w:szCs w:val="14"/>
                <w:lang w:eastAsia="en-GB"/>
              </w:rPr>
              <w:t>Household situation</w:t>
            </w:r>
          </w:p>
        </w:tc>
        <w:tc>
          <w:tcPr>
            <w:tcW w:w="592" w:type="dxa"/>
            <w:tcBorders>
              <w:top w:val="nil"/>
              <w:left w:val="nil"/>
              <w:bottom w:val="nil"/>
              <w:right w:val="single" w:sz="4" w:space="0" w:color="auto"/>
            </w:tcBorders>
            <w:shd w:val="clear" w:color="auto" w:fill="auto"/>
            <w:noWrap/>
            <w:vAlign w:val="bottom"/>
            <w:hideMark/>
          </w:tcPr>
          <w:p w14:paraId="74ED6EAA"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560" w:type="dxa"/>
            <w:tcBorders>
              <w:top w:val="nil"/>
              <w:left w:val="single" w:sz="4" w:space="0" w:color="auto"/>
              <w:bottom w:val="nil"/>
              <w:right w:val="nil"/>
            </w:tcBorders>
            <w:shd w:val="clear" w:color="auto" w:fill="auto"/>
            <w:noWrap/>
            <w:vAlign w:val="bottom"/>
            <w:hideMark/>
          </w:tcPr>
          <w:p w14:paraId="53BB6BB0"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p>
        </w:tc>
        <w:tc>
          <w:tcPr>
            <w:tcW w:w="1366" w:type="dxa"/>
            <w:tcBorders>
              <w:top w:val="nil"/>
              <w:left w:val="nil"/>
              <w:bottom w:val="nil"/>
              <w:right w:val="nil"/>
            </w:tcBorders>
            <w:shd w:val="clear" w:color="auto" w:fill="auto"/>
            <w:noWrap/>
            <w:vAlign w:val="bottom"/>
            <w:hideMark/>
          </w:tcPr>
          <w:p w14:paraId="581F298F"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auto"/>
            <w:noWrap/>
            <w:vAlign w:val="bottom"/>
            <w:hideMark/>
          </w:tcPr>
          <w:p w14:paraId="3E8A3EFF"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auto"/>
            <w:noWrap/>
            <w:vAlign w:val="bottom"/>
            <w:hideMark/>
          </w:tcPr>
          <w:p w14:paraId="589F93A1"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25" w:type="dxa"/>
            <w:tcBorders>
              <w:top w:val="nil"/>
              <w:left w:val="nil"/>
              <w:bottom w:val="nil"/>
              <w:right w:val="single" w:sz="4" w:space="0" w:color="auto"/>
            </w:tcBorders>
            <w:shd w:val="clear" w:color="auto" w:fill="auto"/>
            <w:noWrap/>
            <w:vAlign w:val="bottom"/>
            <w:hideMark/>
          </w:tcPr>
          <w:p w14:paraId="7CEF5CE7"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auto"/>
            <w:noWrap/>
            <w:vAlign w:val="bottom"/>
            <w:hideMark/>
          </w:tcPr>
          <w:p w14:paraId="05CC0CD2"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p>
        </w:tc>
        <w:tc>
          <w:tcPr>
            <w:tcW w:w="1513" w:type="dxa"/>
            <w:tcBorders>
              <w:top w:val="nil"/>
              <w:left w:val="nil"/>
              <w:bottom w:val="nil"/>
              <w:right w:val="nil"/>
            </w:tcBorders>
            <w:shd w:val="clear" w:color="auto" w:fill="auto"/>
            <w:noWrap/>
            <w:vAlign w:val="bottom"/>
            <w:hideMark/>
          </w:tcPr>
          <w:p w14:paraId="0014945B"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auto"/>
            <w:noWrap/>
            <w:vAlign w:val="bottom"/>
            <w:hideMark/>
          </w:tcPr>
          <w:p w14:paraId="308C2626"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auto"/>
            <w:noWrap/>
            <w:vAlign w:val="bottom"/>
            <w:hideMark/>
          </w:tcPr>
          <w:p w14:paraId="0BA05767"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50" w:type="dxa"/>
            <w:tcBorders>
              <w:top w:val="nil"/>
              <w:left w:val="nil"/>
              <w:bottom w:val="nil"/>
              <w:right w:val="nil"/>
            </w:tcBorders>
            <w:shd w:val="clear" w:color="auto" w:fill="auto"/>
            <w:noWrap/>
            <w:vAlign w:val="bottom"/>
            <w:hideMark/>
          </w:tcPr>
          <w:p w14:paraId="2145B222"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1367EE" w:rsidRPr="00834AAA" w14:paraId="7DD25AEA" w14:textId="77777777" w:rsidTr="001367EE">
        <w:trPr>
          <w:trHeight w:val="20"/>
        </w:trPr>
        <w:tc>
          <w:tcPr>
            <w:tcW w:w="2660" w:type="dxa"/>
            <w:tcBorders>
              <w:top w:val="nil"/>
              <w:left w:val="nil"/>
              <w:bottom w:val="nil"/>
              <w:right w:val="nil"/>
            </w:tcBorders>
            <w:shd w:val="clear" w:color="auto" w:fill="auto"/>
            <w:noWrap/>
            <w:vAlign w:val="bottom"/>
            <w:hideMark/>
          </w:tcPr>
          <w:p w14:paraId="7874C5D6"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Live alone</w:t>
            </w:r>
          </w:p>
        </w:tc>
        <w:tc>
          <w:tcPr>
            <w:tcW w:w="567" w:type="dxa"/>
            <w:tcBorders>
              <w:top w:val="nil"/>
              <w:left w:val="nil"/>
              <w:bottom w:val="nil"/>
              <w:right w:val="nil"/>
            </w:tcBorders>
            <w:shd w:val="clear" w:color="auto" w:fill="auto"/>
            <w:noWrap/>
            <w:vAlign w:val="bottom"/>
            <w:hideMark/>
          </w:tcPr>
          <w:p w14:paraId="32D6A93D"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1448</w:t>
            </w:r>
          </w:p>
        </w:tc>
        <w:tc>
          <w:tcPr>
            <w:tcW w:w="592" w:type="dxa"/>
            <w:tcBorders>
              <w:top w:val="nil"/>
              <w:left w:val="nil"/>
              <w:bottom w:val="nil"/>
              <w:right w:val="single" w:sz="4" w:space="0" w:color="auto"/>
            </w:tcBorders>
            <w:shd w:val="clear" w:color="auto" w:fill="auto"/>
            <w:noWrap/>
            <w:vAlign w:val="bottom"/>
            <w:hideMark/>
          </w:tcPr>
          <w:p w14:paraId="702764CB"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25.1</w:t>
            </w:r>
          </w:p>
        </w:tc>
        <w:tc>
          <w:tcPr>
            <w:tcW w:w="1560" w:type="dxa"/>
            <w:tcBorders>
              <w:top w:val="nil"/>
              <w:left w:val="single" w:sz="4" w:space="0" w:color="auto"/>
              <w:bottom w:val="nil"/>
              <w:right w:val="nil"/>
            </w:tcBorders>
            <w:shd w:val="clear" w:color="auto" w:fill="auto"/>
            <w:noWrap/>
            <w:vAlign w:val="bottom"/>
            <w:hideMark/>
          </w:tcPr>
          <w:p w14:paraId="3252C592"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718/1420 (50.6)</w:t>
            </w:r>
          </w:p>
        </w:tc>
        <w:tc>
          <w:tcPr>
            <w:tcW w:w="1366" w:type="dxa"/>
            <w:tcBorders>
              <w:top w:val="nil"/>
              <w:left w:val="nil"/>
              <w:bottom w:val="nil"/>
              <w:right w:val="nil"/>
            </w:tcBorders>
            <w:shd w:val="clear" w:color="auto" w:fill="auto"/>
            <w:noWrap/>
            <w:vAlign w:val="bottom"/>
            <w:hideMark/>
          </w:tcPr>
          <w:p w14:paraId="2C723567" w14:textId="3FD2935D" w:rsidR="00ED367C" w:rsidRPr="00834AAA" w:rsidRDefault="001367EE"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692" w:type="dxa"/>
            <w:tcBorders>
              <w:top w:val="nil"/>
              <w:left w:val="nil"/>
              <w:bottom w:val="nil"/>
              <w:right w:val="nil"/>
            </w:tcBorders>
            <w:shd w:val="clear" w:color="auto" w:fill="auto"/>
            <w:noWrap/>
            <w:vAlign w:val="bottom"/>
            <w:hideMark/>
          </w:tcPr>
          <w:p w14:paraId="34776F35"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auto"/>
            <w:noWrap/>
            <w:vAlign w:val="bottom"/>
            <w:hideMark/>
          </w:tcPr>
          <w:p w14:paraId="64F22655" w14:textId="0C6C2E74" w:rsidR="00ED367C" w:rsidRPr="00834AAA" w:rsidRDefault="001367EE"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825" w:type="dxa"/>
            <w:tcBorders>
              <w:top w:val="nil"/>
              <w:left w:val="nil"/>
              <w:bottom w:val="nil"/>
              <w:right w:val="single" w:sz="4" w:space="0" w:color="auto"/>
            </w:tcBorders>
            <w:shd w:val="clear" w:color="auto" w:fill="auto"/>
            <w:noWrap/>
            <w:vAlign w:val="bottom"/>
            <w:hideMark/>
          </w:tcPr>
          <w:p w14:paraId="38B5822A"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auto"/>
            <w:noWrap/>
            <w:vAlign w:val="bottom"/>
            <w:hideMark/>
          </w:tcPr>
          <w:p w14:paraId="264F65B1" w14:textId="6012DBAB" w:rsidR="00ED367C" w:rsidRPr="00834AAA" w:rsidRDefault="00944FB0"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890</w:t>
            </w:r>
            <w:r w:rsidR="00ED367C" w:rsidRPr="00834AAA">
              <w:rPr>
                <w:rFonts w:ascii="Calibri" w:eastAsia="Times New Roman" w:hAnsi="Calibri" w:cs="Times New Roman"/>
                <w:color w:val="000000"/>
                <w:sz w:val="16"/>
                <w:szCs w:val="14"/>
                <w:lang w:eastAsia="en-GB"/>
              </w:rPr>
              <w:t>/1435 (</w:t>
            </w:r>
            <w:r>
              <w:rPr>
                <w:rFonts w:ascii="Calibri" w:eastAsia="Times New Roman" w:hAnsi="Calibri" w:cs="Times New Roman"/>
                <w:color w:val="000000"/>
                <w:sz w:val="16"/>
                <w:szCs w:val="14"/>
                <w:lang w:eastAsia="en-GB"/>
              </w:rPr>
              <w:t>62.0</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auto"/>
            <w:noWrap/>
            <w:vAlign w:val="bottom"/>
            <w:hideMark/>
          </w:tcPr>
          <w:p w14:paraId="4EFD085F" w14:textId="4E8218D8" w:rsidR="00ED367C" w:rsidRPr="00834AAA" w:rsidRDefault="001367EE" w:rsidP="00D30520">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692" w:type="dxa"/>
            <w:tcBorders>
              <w:top w:val="nil"/>
              <w:left w:val="nil"/>
              <w:bottom w:val="nil"/>
              <w:right w:val="nil"/>
            </w:tcBorders>
            <w:shd w:val="clear" w:color="auto" w:fill="auto"/>
            <w:noWrap/>
            <w:vAlign w:val="bottom"/>
            <w:hideMark/>
          </w:tcPr>
          <w:p w14:paraId="5C3712E1"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auto"/>
            <w:noWrap/>
            <w:vAlign w:val="bottom"/>
            <w:hideMark/>
          </w:tcPr>
          <w:p w14:paraId="47DC30EF" w14:textId="6FFFFB9F" w:rsidR="00ED367C" w:rsidRPr="00834AAA" w:rsidRDefault="00617E90" w:rsidP="00D30520">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850" w:type="dxa"/>
            <w:tcBorders>
              <w:top w:val="nil"/>
              <w:left w:val="nil"/>
              <w:bottom w:val="nil"/>
              <w:right w:val="nil"/>
            </w:tcBorders>
            <w:shd w:val="clear" w:color="auto" w:fill="auto"/>
            <w:noWrap/>
            <w:vAlign w:val="bottom"/>
            <w:hideMark/>
          </w:tcPr>
          <w:p w14:paraId="654E0994"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1367EE" w:rsidRPr="00834AAA" w14:paraId="78D438C9" w14:textId="77777777" w:rsidTr="001367EE">
        <w:trPr>
          <w:trHeight w:val="20"/>
        </w:trPr>
        <w:tc>
          <w:tcPr>
            <w:tcW w:w="2660" w:type="dxa"/>
            <w:tcBorders>
              <w:top w:val="nil"/>
              <w:left w:val="nil"/>
              <w:bottom w:val="nil"/>
              <w:right w:val="nil"/>
            </w:tcBorders>
            <w:shd w:val="clear" w:color="auto" w:fill="auto"/>
            <w:noWrap/>
            <w:vAlign w:val="bottom"/>
            <w:hideMark/>
          </w:tcPr>
          <w:p w14:paraId="09F6AF48" w14:textId="4A64E4D8" w:rsidR="00ED367C" w:rsidRPr="00834AAA" w:rsidRDefault="00ED367C" w:rsidP="001367EE">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Live</w:t>
            </w:r>
            <w:r w:rsidR="00BA74E6">
              <w:rPr>
                <w:rFonts w:ascii="Calibri" w:eastAsia="Times New Roman" w:hAnsi="Calibri" w:cs="Times New Roman"/>
                <w:color w:val="000000"/>
                <w:sz w:val="16"/>
                <w:szCs w:val="14"/>
                <w:lang w:eastAsia="en-GB"/>
              </w:rPr>
              <w:t>s</w:t>
            </w:r>
            <w:r w:rsidRPr="00834AAA">
              <w:rPr>
                <w:rFonts w:ascii="Calibri" w:eastAsia="Times New Roman" w:hAnsi="Calibri" w:cs="Times New Roman"/>
                <w:color w:val="000000"/>
                <w:sz w:val="16"/>
                <w:szCs w:val="14"/>
                <w:lang w:eastAsia="en-GB"/>
              </w:rPr>
              <w:t xml:space="preserve"> with male partner</w:t>
            </w:r>
          </w:p>
        </w:tc>
        <w:tc>
          <w:tcPr>
            <w:tcW w:w="567" w:type="dxa"/>
            <w:tcBorders>
              <w:top w:val="nil"/>
              <w:left w:val="nil"/>
              <w:bottom w:val="nil"/>
              <w:right w:val="nil"/>
            </w:tcBorders>
            <w:shd w:val="clear" w:color="auto" w:fill="auto"/>
            <w:noWrap/>
            <w:vAlign w:val="bottom"/>
            <w:hideMark/>
          </w:tcPr>
          <w:p w14:paraId="57AF22C3"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2068</w:t>
            </w:r>
          </w:p>
        </w:tc>
        <w:tc>
          <w:tcPr>
            <w:tcW w:w="592" w:type="dxa"/>
            <w:tcBorders>
              <w:top w:val="nil"/>
              <w:left w:val="nil"/>
              <w:bottom w:val="nil"/>
              <w:right w:val="single" w:sz="4" w:space="0" w:color="auto"/>
            </w:tcBorders>
            <w:shd w:val="clear" w:color="auto" w:fill="auto"/>
            <w:noWrap/>
            <w:vAlign w:val="bottom"/>
            <w:hideMark/>
          </w:tcPr>
          <w:p w14:paraId="74D58939"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35.8</w:t>
            </w:r>
          </w:p>
        </w:tc>
        <w:tc>
          <w:tcPr>
            <w:tcW w:w="1560" w:type="dxa"/>
            <w:tcBorders>
              <w:top w:val="nil"/>
              <w:left w:val="single" w:sz="4" w:space="0" w:color="auto"/>
              <w:bottom w:val="nil"/>
              <w:right w:val="nil"/>
            </w:tcBorders>
            <w:shd w:val="clear" w:color="auto" w:fill="auto"/>
            <w:noWrap/>
            <w:vAlign w:val="bottom"/>
            <w:hideMark/>
          </w:tcPr>
          <w:p w14:paraId="3EFE4F9C"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1009/2039 (49.5)</w:t>
            </w:r>
          </w:p>
        </w:tc>
        <w:tc>
          <w:tcPr>
            <w:tcW w:w="1366" w:type="dxa"/>
            <w:tcBorders>
              <w:top w:val="nil"/>
              <w:left w:val="nil"/>
              <w:bottom w:val="nil"/>
              <w:right w:val="nil"/>
            </w:tcBorders>
            <w:shd w:val="clear" w:color="auto" w:fill="auto"/>
            <w:noWrap/>
            <w:vAlign w:val="bottom"/>
            <w:hideMark/>
          </w:tcPr>
          <w:p w14:paraId="3D40EFE9" w14:textId="1BAC0378"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0.96 (0.84</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1.1</w:t>
            </w:r>
            <w:r w:rsidR="001E14F8">
              <w:rPr>
                <w:rFonts w:ascii="Calibri" w:eastAsia="Times New Roman" w:hAnsi="Calibri" w:cs="Times New Roman"/>
                <w:color w:val="000000"/>
                <w:sz w:val="16"/>
                <w:szCs w:val="14"/>
                <w:lang w:eastAsia="en-GB"/>
              </w:rPr>
              <w:t>0</w:t>
            </w:r>
            <w:r w:rsidRPr="00834AAA">
              <w:rPr>
                <w:rFonts w:ascii="Calibri" w:eastAsia="Times New Roman" w:hAnsi="Calibri" w:cs="Times New Roman"/>
                <w:color w:val="000000"/>
                <w:sz w:val="16"/>
                <w:szCs w:val="14"/>
                <w:lang w:eastAsia="en-GB"/>
              </w:rPr>
              <w:t>)</w:t>
            </w:r>
          </w:p>
        </w:tc>
        <w:tc>
          <w:tcPr>
            <w:tcW w:w="692" w:type="dxa"/>
            <w:tcBorders>
              <w:top w:val="nil"/>
              <w:left w:val="nil"/>
              <w:bottom w:val="nil"/>
              <w:right w:val="nil"/>
            </w:tcBorders>
            <w:shd w:val="clear" w:color="auto" w:fill="auto"/>
            <w:noWrap/>
            <w:vAlign w:val="bottom"/>
            <w:hideMark/>
          </w:tcPr>
          <w:p w14:paraId="7F40881F"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auto"/>
            <w:noWrap/>
            <w:vAlign w:val="bottom"/>
            <w:hideMark/>
          </w:tcPr>
          <w:p w14:paraId="69B2FC3A" w14:textId="7A7CBACD"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1.04 (0.9</w:t>
            </w:r>
            <w:r w:rsidR="001E14F8">
              <w:rPr>
                <w:rFonts w:ascii="Calibri" w:eastAsia="Times New Roman" w:hAnsi="Calibri" w:cs="Times New Roman"/>
                <w:color w:val="000000"/>
                <w:sz w:val="16"/>
                <w:szCs w:val="14"/>
                <w:lang w:eastAsia="en-GB"/>
              </w:rPr>
              <w:t>0</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1.19)</w:t>
            </w:r>
          </w:p>
        </w:tc>
        <w:tc>
          <w:tcPr>
            <w:tcW w:w="825" w:type="dxa"/>
            <w:tcBorders>
              <w:top w:val="nil"/>
              <w:left w:val="nil"/>
              <w:bottom w:val="nil"/>
              <w:right w:val="single" w:sz="4" w:space="0" w:color="auto"/>
            </w:tcBorders>
            <w:shd w:val="clear" w:color="auto" w:fill="auto"/>
            <w:noWrap/>
            <w:vAlign w:val="bottom"/>
            <w:hideMark/>
          </w:tcPr>
          <w:p w14:paraId="12833DBA"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auto"/>
            <w:noWrap/>
            <w:vAlign w:val="bottom"/>
            <w:hideMark/>
          </w:tcPr>
          <w:p w14:paraId="4FE3B753" w14:textId="7BFADECD" w:rsidR="00ED367C" w:rsidRPr="00834AAA" w:rsidRDefault="00944FB0"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1271</w:t>
            </w:r>
            <w:r w:rsidR="00ED367C" w:rsidRPr="00834AAA">
              <w:rPr>
                <w:rFonts w:ascii="Calibri" w:eastAsia="Times New Roman" w:hAnsi="Calibri" w:cs="Times New Roman"/>
                <w:color w:val="000000"/>
                <w:sz w:val="16"/>
                <w:szCs w:val="14"/>
                <w:lang w:eastAsia="en-GB"/>
              </w:rPr>
              <w:t>/2057 (</w:t>
            </w:r>
            <w:r>
              <w:rPr>
                <w:rFonts w:ascii="Calibri" w:eastAsia="Times New Roman" w:hAnsi="Calibri" w:cs="Times New Roman"/>
                <w:color w:val="000000"/>
                <w:sz w:val="16"/>
                <w:szCs w:val="14"/>
                <w:lang w:eastAsia="en-GB"/>
              </w:rPr>
              <w:t>61.8</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auto"/>
            <w:noWrap/>
            <w:vAlign w:val="bottom"/>
            <w:hideMark/>
          </w:tcPr>
          <w:p w14:paraId="6DFCD22D" w14:textId="537CD5E1"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w:t>
            </w:r>
            <w:r w:rsidR="00714B5F">
              <w:rPr>
                <w:rFonts w:ascii="Calibri" w:eastAsia="Times New Roman" w:hAnsi="Calibri" w:cs="Times New Roman"/>
                <w:color w:val="000000"/>
                <w:sz w:val="16"/>
                <w:szCs w:val="14"/>
                <w:lang w:eastAsia="en-GB"/>
              </w:rPr>
              <w:t>99</w:t>
            </w:r>
            <w:r w:rsidRPr="00834AAA">
              <w:rPr>
                <w:rFonts w:ascii="Calibri" w:eastAsia="Times New Roman" w:hAnsi="Calibri" w:cs="Times New Roman"/>
                <w:color w:val="000000"/>
                <w:sz w:val="16"/>
                <w:szCs w:val="14"/>
                <w:lang w:eastAsia="en-GB"/>
              </w:rPr>
              <w:t xml:space="preserve"> (0.</w:t>
            </w:r>
            <w:r w:rsidR="00714B5F">
              <w:rPr>
                <w:rFonts w:ascii="Calibri" w:eastAsia="Times New Roman" w:hAnsi="Calibri" w:cs="Times New Roman"/>
                <w:color w:val="000000"/>
                <w:sz w:val="16"/>
                <w:szCs w:val="14"/>
                <w:lang w:eastAsia="en-GB"/>
              </w:rPr>
              <w:t>86</w:t>
            </w:r>
            <w:r w:rsidR="001367EE">
              <w:rPr>
                <w:rFonts w:ascii="Calibri" w:eastAsia="Times New Roman" w:hAnsi="Calibri" w:cs="Times New Roman"/>
                <w:color w:val="000000"/>
                <w:sz w:val="16"/>
                <w:szCs w:val="14"/>
                <w:lang w:eastAsia="en-GB"/>
              </w:rPr>
              <w:t>–</w:t>
            </w:r>
            <w:r w:rsidR="00714B5F">
              <w:rPr>
                <w:rFonts w:ascii="Calibri" w:eastAsia="Times New Roman" w:hAnsi="Calibri" w:cs="Times New Roman"/>
                <w:color w:val="000000"/>
                <w:sz w:val="16"/>
                <w:szCs w:val="14"/>
                <w:lang w:eastAsia="en-GB"/>
              </w:rPr>
              <w:t>1.14</w:t>
            </w:r>
            <w:r w:rsidRPr="00834AAA">
              <w:rPr>
                <w:rFonts w:ascii="Calibri" w:eastAsia="Times New Roman" w:hAnsi="Calibri" w:cs="Times New Roman"/>
                <w:color w:val="000000"/>
                <w:sz w:val="16"/>
                <w:szCs w:val="14"/>
                <w:lang w:eastAsia="en-GB"/>
              </w:rPr>
              <w:t>)</w:t>
            </w:r>
          </w:p>
        </w:tc>
        <w:tc>
          <w:tcPr>
            <w:tcW w:w="692" w:type="dxa"/>
            <w:tcBorders>
              <w:top w:val="nil"/>
              <w:left w:val="nil"/>
              <w:bottom w:val="nil"/>
              <w:right w:val="nil"/>
            </w:tcBorders>
            <w:shd w:val="clear" w:color="auto" w:fill="auto"/>
            <w:noWrap/>
            <w:vAlign w:val="bottom"/>
            <w:hideMark/>
          </w:tcPr>
          <w:p w14:paraId="1717FF30"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auto"/>
            <w:noWrap/>
            <w:vAlign w:val="bottom"/>
            <w:hideMark/>
          </w:tcPr>
          <w:p w14:paraId="0EA58B37" w14:textId="45D8609B" w:rsidR="00ED367C" w:rsidRPr="00834AAA" w:rsidRDefault="00A9797E" w:rsidP="00D30520">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w:t>
            </w:r>
            <w:r w:rsidR="00ED367C" w:rsidRPr="00834AAA">
              <w:rPr>
                <w:rFonts w:ascii="Calibri" w:eastAsia="Times New Roman" w:hAnsi="Calibri" w:cs="Times New Roman"/>
                <w:color w:val="000000"/>
                <w:sz w:val="16"/>
                <w:szCs w:val="14"/>
                <w:lang w:eastAsia="en-GB"/>
              </w:rPr>
              <w:t>.</w:t>
            </w:r>
            <w:r>
              <w:rPr>
                <w:rFonts w:ascii="Calibri" w:eastAsia="Times New Roman" w:hAnsi="Calibri" w:cs="Times New Roman"/>
                <w:color w:val="000000"/>
                <w:sz w:val="16"/>
                <w:szCs w:val="14"/>
                <w:lang w:eastAsia="en-GB"/>
              </w:rPr>
              <w:t>00</w:t>
            </w:r>
            <w:r w:rsidR="00ED367C" w:rsidRPr="00834AAA">
              <w:rPr>
                <w:rFonts w:ascii="Calibri" w:eastAsia="Times New Roman" w:hAnsi="Calibri" w:cs="Times New Roman"/>
                <w:color w:val="000000"/>
                <w:sz w:val="16"/>
                <w:szCs w:val="14"/>
                <w:lang w:eastAsia="en-GB"/>
              </w:rPr>
              <w:t xml:space="preserve"> (0.</w:t>
            </w:r>
            <w:r>
              <w:rPr>
                <w:rFonts w:ascii="Calibri" w:eastAsia="Times New Roman" w:hAnsi="Calibri" w:cs="Times New Roman"/>
                <w:color w:val="000000"/>
                <w:sz w:val="16"/>
                <w:szCs w:val="14"/>
                <w:lang w:eastAsia="en-GB"/>
              </w:rPr>
              <w:t>87</w:t>
            </w:r>
            <w:r w:rsidR="001367EE">
              <w:rPr>
                <w:rFonts w:ascii="Calibri" w:eastAsia="Times New Roman" w:hAnsi="Calibri" w:cs="Times New Roman"/>
                <w:color w:val="000000"/>
                <w:sz w:val="16"/>
                <w:szCs w:val="14"/>
                <w:lang w:eastAsia="en-GB"/>
              </w:rPr>
              <w:t>–</w:t>
            </w:r>
            <w:r w:rsidR="00ED367C" w:rsidRPr="00834AAA">
              <w:rPr>
                <w:rFonts w:ascii="Calibri" w:eastAsia="Times New Roman" w:hAnsi="Calibri" w:cs="Times New Roman"/>
                <w:color w:val="000000"/>
                <w:sz w:val="16"/>
                <w:szCs w:val="14"/>
                <w:lang w:eastAsia="en-GB"/>
              </w:rPr>
              <w:t>1.</w:t>
            </w:r>
            <w:r>
              <w:rPr>
                <w:rFonts w:ascii="Calibri" w:eastAsia="Times New Roman" w:hAnsi="Calibri" w:cs="Times New Roman"/>
                <w:color w:val="000000"/>
                <w:sz w:val="16"/>
                <w:szCs w:val="14"/>
                <w:lang w:eastAsia="en-GB"/>
              </w:rPr>
              <w:t>15</w:t>
            </w:r>
            <w:r w:rsidR="00ED367C" w:rsidRPr="00834AAA">
              <w:rPr>
                <w:rFonts w:ascii="Calibri" w:eastAsia="Times New Roman" w:hAnsi="Calibri" w:cs="Times New Roman"/>
                <w:color w:val="000000"/>
                <w:sz w:val="16"/>
                <w:szCs w:val="14"/>
                <w:lang w:eastAsia="en-GB"/>
              </w:rPr>
              <w:t>)</w:t>
            </w:r>
          </w:p>
        </w:tc>
        <w:tc>
          <w:tcPr>
            <w:tcW w:w="850" w:type="dxa"/>
            <w:tcBorders>
              <w:top w:val="nil"/>
              <w:left w:val="nil"/>
              <w:bottom w:val="nil"/>
              <w:right w:val="nil"/>
            </w:tcBorders>
            <w:shd w:val="clear" w:color="auto" w:fill="auto"/>
            <w:noWrap/>
            <w:vAlign w:val="bottom"/>
            <w:hideMark/>
          </w:tcPr>
          <w:p w14:paraId="7FDA67FC"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1367EE" w:rsidRPr="00834AAA" w14:paraId="44E211B5" w14:textId="77777777" w:rsidTr="001367EE">
        <w:trPr>
          <w:trHeight w:val="20"/>
        </w:trPr>
        <w:tc>
          <w:tcPr>
            <w:tcW w:w="2660" w:type="dxa"/>
            <w:tcBorders>
              <w:top w:val="nil"/>
              <w:left w:val="nil"/>
              <w:bottom w:val="nil"/>
              <w:right w:val="nil"/>
            </w:tcBorders>
            <w:shd w:val="clear" w:color="auto" w:fill="auto"/>
            <w:noWrap/>
            <w:vAlign w:val="bottom"/>
            <w:hideMark/>
          </w:tcPr>
          <w:p w14:paraId="00937C2C" w14:textId="784D397C" w:rsidR="00ED367C" w:rsidRPr="00834AAA" w:rsidRDefault="00ED367C" w:rsidP="00F50FA2">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Live</w:t>
            </w:r>
            <w:r w:rsidR="00BA74E6">
              <w:rPr>
                <w:rFonts w:ascii="Calibri" w:eastAsia="Times New Roman" w:hAnsi="Calibri" w:cs="Times New Roman"/>
                <w:color w:val="000000"/>
                <w:sz w:val="16"/>
                <w:szCs w:val="14"/>
                <w:lang w:eastAsia="en-GB"/>
              </w:rPr>
              <w:t>s</w:t>
            </w:r>
            <w:r w:rsidRPr="00834AAA">
              <w:rPr>
                <w:rFonts w:ascii="Calibri" w:eastAsia="Times New Roman" w:hAnsi="Calibri" w:cs="Times New Roman"/>
                <w:color w:val="000000"/>
                <w:sz w:val="16"/>
                <w:szCs w:val="14"/>
                <w:lang w:eastAsia="en-GB"/>
              </w:rPr>
              <w:t xml:space="preserve"> with others </w:t>
            </w:r>
            <w:r w:rsidR="00BA74E6">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not male partner</w:t>
            </w:r>
            <w:r w:rsidR="001367EE">
              <w:rPr>
                <w:rFonts w:ascii="Calibri" w:eastAsia="Times New Roman" w:hAnsi="Calibri" w:cs="Times New Roman"/>
                <w:color w:val="000000"/>
                <w:sz w:val="16"/>
                <w:szCs w:val="14"/>
                <w:lang w:eastAsia="en-GB"/>
              </w:rPr>
              <w:t>)</w:t>
            </w:r>
          </w:p>
        </w:tc>
        <w:tc>
          <w:tcPr>
            <w:tcW w:w="567" w:type="dxa"/>
            <w:tcBorders>
              <w:top w:val="nil"/>
              <w:left w:val="nil"/>
              <w:bottom w:val="nil"/>
              <w:right w:val="nil"/>
            </w:tcBorders>
            <w:shd w:val="clear" w:color="auto" w:fill="auto"/>
            <w:noWrap/>
            <w:vAlign w:val="bottom"/>
            <w:hideMark/>
          </w:tcPr>
          <w:p w14:paraId="350F4EEB"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2263</w:t>
            </w:r>
          </w:p>
        </w:tc>
        <w:tc>
          <w:tcPr>
            <w:tcW w:w="592" w:type="dxa"/>
            <w:tcBorders>
              <w:top w:val="nil"/>
              <w:left w:val="nil"/>
              <w:bottom w:val="nil"/>
              <w:right w:val="single" w:sz="4" w:space="0" w:color="auto"/>
            </w:tcBorders>
            <w:shd w:val="clear" w:color="auto" w:fill="auto"/>
            <w:noWrap/>
            <w:vAlign w:val="bottom"/>
            <w:hideMark/>
          </w:tcPr>
          <w:p w14:paraId="27536A49"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39.1</w:t>
            </w:r>
          </w:p>
        </w:tc>
        <w:tc>
          <w:tcPr>
            <w:tcW w:w="1560" w:type="dxa"/>
            <w:tcBorders>
              <w:top w:val="nil"/>
              <w:left w:val="single" w:sz="4" w:space="0" w:color="auto"/>
              <w:bottom w:val="nil"/>
              <w:right w:val="nil"/>
            </w:tcBorders>
            <w:shd w:val="clear" w:color="auto" w:fill="auto"/>
            <w:noWrap/>
            <w:vAlign w:val="bottom"/>
            <w:hideMark/>
          </w:tcPr>
          <w:p w14:paraId="46213A7D"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764/2215 (34.5)</w:t>
            </w:r>
          </w:p>
        </w:tc>
        <w:tc>
          <w:tcPr>
            <w:tcW w:w="1366" w:type="dxa"/>
            <w:tcBorders>
              <w:top w:val="nil"/>
              <w:left w:val="nil"/>
              <w:bottom w:val="nil"/>
              <w:right w:val="nil"/>
            </w:tcBorders>
            <w:shd w:val="clear" w:color="auto" w:fill="auto"/>
            <w:noWrap/>
            <w:vAlign w:val="bottom"/>
            <w:hideMark/>
          </w:tcPr>
          <w:p w14:paraId="03CDA5F1" w14:textId="45A343CE"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0.51 (0.45</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0.59)</w:t>
            </w:r>
          </w:p>
        </w:tc>
        <w:tc>
          <w:tcPr>
            <w:tcW w:w="692" w:type="dxa"/>
            <w:tcBorders>
              <w:top w:val="nil"/>
              <w:left w:val="nil"/>
              <w:bottom w:val="nil"/>
              <w:right w:val="nil"/>
            </w:tcBorders>
            <w:shd w:val="clear" w:color="auto" w:fill="auto"/>
            <w:noWrap/>
            <w:vAlign w:val="bottom"/>
            <w:hideMark/>
          </w:tcPr>
          <w:p w14:paraId="0363C627"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&lt;0.001</w:t>
            </w:r>
          </w:p>
        </w:tc>
        <w:tc>
          <w:tcPr>
            <w:tcW w:w="1485" w:type="dxa"/>
            <w:tcBorders>
              <w:top w:val="nil"/>
              <w:left w:val="nil"/>
              <w:bottom w:val="nil"/>
              <w:right w:val="nil"/>
            </w:tcBorders>
            <w:shd w:val="clear" w:color="auto" w:fill="auto"/>
            <w:noWrap/>
            <w:vAlign w:val="bottom"/>
            <w:hideMark/>
          </w:tcPr>
          <w:p w14:paraId="25B5711B" w14:textId="236D161F"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0.91 (0.78</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1.07)</w:t>
            </w:r>
          </w:p>
        </w:tc>
        <w:tc>
          <w:tcPr>
            <w:tcW w:w="825" w:type="dxa"/>
            <w:tcBorders>
              <w:top w:val="nil"/>
              <w:left w:val="nil"/>
              <w:bottom w:val="nil"/>
              <w:right w:val="single" w:sz="4" w:space="0" w:color="auto"/>
            </w:tcBorders>
            <w:shd w:val="clear" w:color="auto" w:fill="auto"/>
            <w:noWrap/>
            <w:vAlign w:val="bottom"/>
            <w:hideMark/>
          </w:tcPr>
          <w:p w14:paraId="3CC0CF5B"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0.207</w:t>
            </w:r>
          </w:p>
        </w:tc>
        <w:tc>
          <w:tcPr>
            <w:tcW w:w="1631" w:type="dxa"/>
            <w:tcBorders>
              <w:top w:val="nil"/>
              <w:left w:val="single" w:sz="4" w:space="0" w:color="auto"/>
              <w:bottom w:val="nil"/>
              <w:right w:val="nil"/>
            </w:tcBorders>
            <w:shd w:val="clear" w:color="auto" w:fill="auto"/>
            <w:noWrap/>
            <w:vAlign w:val="bottom"/>
            <w:hideMark/>
          </w:tcPr>
          <w:p w14:paraId="4BDFB8E3" w14:textId="49C3274D" w:rsidR="00ED367C" w:rsidRPr="00834AAA" w:rsidRDefault="00944FB0"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1373</w:t>
            </w:r>
            <w:r w:rsidR="00ED367C" w:rsidRPr="00834AAA">
              <w:rPr>
                <w:rFonts w:ascii="Calibri" w:eastAsia="Times New Roman" w:hAnsi="Calibri" w:cs="Times New Roman"/>
                <w:color w:val="000000"/>
                <w:sz w:val="16"/>
                <w:szCs w:val="14"/>
                <w:lang w:eastAsia="en-GB"/>
              </w:rPr>
              <w:t>/2249 (</w:t>
            </w:r>
            <w:r>
              <w:rPr>
                <w:rFonts w:ascii="Calibri" w:eastAsia="Times New Roman" w:hAnsi="Calibri" w:cs="Times New Roman"/>
                <w:color w:val="000000"/>
                <w:sz w:val="16"/>
                <w:szCs w:val="14"/>
                <w:lang w:eastAsia="en-GB"/>
              </w:rPr>
              <w:t>61.0</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auto"/>
            <w:noWrap/>
            <w:vAlign w:val="bottom"/>
            <w:hideMark/>
          </w:tcPr>
          <w:p w14:paraId="60C4CCB5" w14:textId="2C7CF0FC"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w:t>
            </w:r>
            <w:r w:rsidR="00714B5F">
              <w:rPr>
                <w:rFonts w:ascii="Calibri" w:eastAsia="Times New Roman" w:hAnsi="Calibri" w:cs="Times New Roman"/>
                <w:color w:val="000000"/>
                <w:sz w:val="16"/>
                <w:szCs w:val="14"/>
                <w:lang w:eastAsia="en-GB"/>
              </w:rPr>
              <w:t>96</w:t>
            </w:r>
            <w:r w:rsidRPr="00834AAA">
              <w:rPr>
                <w:rFonts w:ascii="Calibri" w:eastAsia="Times New Roman" w:hAnsi="Calibri" w:cs="Times New Roman"/>
                <w:color w:val="000000"/>
                <w:sz w:val="16"/>
                <w:szCs w:val="14"/>
                <w:lang w:eastAsia="en-GB"/>
              </w:rPr>
              <w:t xml:space="preserve"> (0.</w:t>
            </w:r>
            <w:r w:rsidR="00714B5F">
              <w:rPr>
                <w:rFonts w:ascii="Calibri" w:eastAsia="Times New Roman" w:hAnsi="Calibri" w:cs="Times New Roman"/>
                <w:color w:val="000000"/>
                <w:sz w:val="16"/>
                <w:szCs w:val="14"/>
                <w:lang w:eastAsia="en-GB"/>
              </w:rPr>
              <w:t>84</w:t>
            </w:r>
            <w:r w:rsidR="001367EE">
              <w:rPr>
                <w:rFonts w:ascii="Calibri" w:eastAsia="Times New Roman" w:hAnsi="Calibri" w:cs="Times New Roman"/>
                <w:color w:val="000000"/>
                <w:sz w:val="16"/>
                <w:szCs w:val="14"/>
                <w:lang w:eastAsia="en-GB"/>
              </w:rPr>
              <w:t>–</w:t>
            </w:r>
            <w:r w:rsidR="00714B5F">
              <w:rPr>
                <w:rFonts w:ascii="Calibri" w:eastAsia="Times New Roman" w:hAnsi="Calibri" w:cs="Times New Roman"/>
                <w:color w:val="000000"/>
                <w:sz w:val="16"/>
                <w:szCs w:val="14"/>
                <w:lang w:eastAsia="en-GB"/>
              </w:rPr>
              <w:t>1.10</w:t>
            </w:r>
            <w:r w:rsidRPr="00834AAA">
              <w:rPr>
                <w:rFonts w:ascii="Calibri" w:eastAsia="Times New Roman" w:hAnsi="Calibri" w:cs="Times New Roman"/>
                <w:color w:val="000000"/>
                <w:sz w:val="16"/>
                <w:szCs w:val="14"/>
                <w:lang w:eastAsia="en-GB"/>
              </w:rPr>
              <w:t>)</w:t>
            </w:r>
          </w:p>
        </w:tc>
        <w:tc>
          <w:tcPr>
            <w:tcW w:w="692" w:type="dxa"/>
            <w:tcBorders>
              <w:top w:val="nil"/>
              <w:left w:val="nil"/>
              <w:bottom w:val="nil"/>
              <w:right w:val="nil"/>
            </w:tcBorders>
            <w:shd w:val="clear" w:color="auto" w:fill="auto"/>
            <w:noWrap/>
            <w:vAlign w:val="bottom"/>
            <w:hideMark/>
          </w:tcPr>
          <w:p w14:paraId="78EE1956" w14:textId="5035CAD6" w:rsidR="00ED367C" w:rsidRPr="00834AAA" w:rsidRDefault="00ED367C" w:rsidP="00714B5F">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w:t>
            </w:r>
            <w:r w:rsidR="00714B5F">
              <w:rPr>
                <w:rFonts w:ascii="Calibri" w:eastAsia="Times New Roman" w:hAnsi="Calibri" w:cs="Times New Roman"/>
                <w:color w:val="000000"/>
                <w:sz w:val="16"/>
                <w:szCs w:val="14"/>
                <w:lang w:eastAsia="en-GB"/>
              </w:rPr>
              <w:t>810</w:t>
            </w:r>
          </w:p>
        </w:tc>
        <w:tc>
          <w:tcPr>
            <w:tcW w:w="1576" w:type="dxa"/>
            <w:tcBorders>
              <w:top w:val="nil"/>
              <w:left w:val="nil"/>
              <w:bottom w:val="nil"/>
              <w:right w:val="nil"/>
            </w:tcBorders>
            <w:shd w:val="clear" w:color="auto" w:fill="auto"/>
            <w:noWrap/>
            <w:vAlign w:val="bottom"/>
            <w:hideMark/>
          </w:tcPr>
          <w:p w14:paraId="614EF36C" w14:textId="066736FB"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0.9</w:t>
            </w:r>
            <w:r w:rsidR="00A9797E">
              <w:rPr>
                <w:rFonts w:ascii="Calibri" w:eastAsia="Times New Roman" w:hAnsi="Calibri" w:cs="Times New Roman"/>
                <w:color w:val="000000"/>
                <w:sz w:val="16"/>
                <w:szCs w:val="14"/>
                <w:lang w:eastAsia="en-GB"/>
              </w:rPr>
              <w:t>9</w:t>
            </w:r>
            <w:r w:rsidRPr="00834AAA">
              <w:rPr>
                <w:rFonts w:ascii="Calibri" w:eastAsia="Times New Roman" w:hAnsi="Calibri" w:cs="Times New Roman"/>
                <w:color w:val="000000"/>
                <w:sz w:val="16"/>
                <w:szCs w:val="14"/>
                <w:lang w:eastAsia="en-GB"/>
              </w:rPr>
              <w:t xml:space="preserve"> (0.</w:t>
            </w:r>
            <w:r w:rsidR="00A9797E">
              <w:rPr>
                <w:rFonts w:ascii="Calibri" w:eastAsia="Times New Roman" w:hAnsi="Calibri" w:cs="Times New Roman"/>
                <w:color w:val="000000"/>
                <w:sz w:val="16"/>
                <w:szCs w:val="14"/>
                <w:lang w:eastAsia="en-GB"/>
              </w:rPr>
              <w:t>84</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w:t>
            </w:r>
            <w:r w:rsidR="00A9797E">
              <w:rPr>
                <w:rFonts w:ascii="Calibri" w:eastAsia="Times New Roman" w:hAnsi="Calibri" w:cs="Times New Roman"/>
                <w:color w:val="000000"/>
                <w:sz w:val="16"/>
                <w:szCs w:val="14"/>
                <w:lang w:eastAsia="en-GB"/>
              </w:rPr>
              <w:t>14</w:t>
            </w:r>
            <w:r w:rsidRPr="00834AAA">
              <w:rPr>
                <w:rFonts w:ascii="Calibri" w:eastAsia="Times New Roman" w:hAnsi="Calibri" w:cs="Times New Roman"/>
                <w:color w:val="000000"/>
                <w:sz w:val="16"/>
                <w:szCs w:val="14"/>
                <w:lang w:eastAsia="en-GB"/>
              </w:rPr>
              <w:t>)</w:t>
            </w:r>
          </w:p>
        </w:tc>
        <w:tc>
          <w:tcPr>
            <w:tcW w:w="850" w:type="dxa"/>
            <w:tcBorders>
              <w:top w:val="nil"/>
              <w:left w:val="nil"/>
              <w:bottom w:val="nil"/>
              <w:right w:val="nil"/>
            </w:tcBorders>
            <w:shd w:val="clear" w:color="auto" w:fill="auto"/>
            <w:noWrap/>
            <w:vAlign w:val="bottom"/>
            <w:hideMark/>
          </w:tcPr>
          <w:p w14:paraId="2CDD67C1" w14:textId="40B4EAEA" w:rsidR="00ED367C" w:rsidRPr="00834AAA" w:rsidRDefault="00ED367C" w:rsidP="00E107B7">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w:t>
            </w:r>
            <w:r w:rsidR="00E107B7">
              <w:rPr>
                <w:rFonts w:ascii="Calibri" w:eastAsia="Times New Roman" w:hAnsi="Calibri" w:cs="Times New Roman"/>
                <w:color w:val="000000"/>
                <w:sz w:val="16"/>
                <w:szCs w:val="14"/>
                <w:lang w:eastAsia="en-GB"/>
              </w:rPr>
              <w:t>949</w:t>
            </w:r>
          </w:p>
        </w:tc>
      </w:tr>
      <w:tr w:rsidR="001367EE" w:rsidRPr="00834AAA" w14:paraId="73CFB02C" w14:textId="77777777" w:rsidTr="001367EE">
        <w:trPr>
          <w:trHeight w:val="20"/>
        </w:trPr>
        <w:tc>
          <w:tcPr>
            <w:tcW w:w="2660" w:type="dxa"/>
            <w:tcBorders>
              <w:top w:val="nil"/>
              <w:left w:val="nil"/>
              <w:bottom w:val="nil"/>
              <w:right w:val="nil"/>
            </w:tcBorders>
            <w:shd w:val="clear" w:color="auto" w:fill="auto"/>
            <w:noWrap/>
            <w:vAlign w:val="bottom"/>
            <w:hideMark/>
          </w:tcPr>
          <w:p w14:paraId="2FCE283E"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Missing</w:t>
            </w:r>
          </w:p>
        </w:tc>
        <w:tc>
          <w:tcPr>
            <w:tcW w:w="567" w:type="dxa"/>
            <w:tcBorders>
              <w:top w:val="nil"/>
              <w:left w:val="nil"/>
              <w:bottom w:val="nil"/>
              <w:right w:val="nil"/>
            </w:tcBorders>
            <w:shd w:val="clear" w:color="auto" w:fill="auto"/>
            <w:noWrap/>
            <w:vAlign w:val="bottom"/>
            <w:hideMark/>
          </w:tcPr>
          <w:p w14:paraId="12EAA40C"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20</w:t>
            </w:r>
          </w:p>
        </w:tc>
        <w:tc>
          <w:tcPr>
            <w:tcW w:w="592" w:type="dxa"/>
            <w:tcBorders>
              <w:top w:val="nil"/>
              <w:left w:val="nil"/>
              <w:bottom w:val="nil"/>
              <w:right w:val="single" w:sz="4" w:space="0" w:color="auto"/>
            </w:tcBorders>
            <w:shd w:val="clear" w:color="auto" w:fill="auto"/>
            <w:noWrap/>
            <w:vAlign w:val="bottom"/>
            <w:hideMark/>
          </w:tcPr>
          <w:p w14:paraId="4EA42BD0"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560" w:type="dxa"/>
            <w:tcBorders>
              <w:top w:val="nil"/>
              <w:left w:val="single" w:sz="4" w:space="0" w:color="auto"/>
              <w:bottom w:val="nil"/>
              <w:right w:val="nil"/>
            </w:tcBorders>
            <w:shd w:val="clear" w:color="auto" w:fill="auto"/>
            <w:noWrap/>
            <w:vAlign w:val="bottom"/>
            <w:hideMark/>
          </w:tcPr>
          <w:p w14:paraId="0B31A109"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p>
        </w:tc>
        <w:tc>
          <w:tcPr>
            <w:tcW w:w="1366" w:type="dxa"/>
            <w:tcBorders>
              <w:top w:val="nil"/>
              <w:left w:val="nil"/>
              <w:bottom w:val="nil"/>
              <w:right w:val="nil"/>
            </w:tcBorders>
            <w:shd w:val="clear" w:color="auto" w:fill="auto"/>
            <w:noWrap/>
            <w:vAlign w:val="bottom"/>
            <w:hideMark/>
          </w:tcPr>
          <w:p w14:paraId="09FB7AEA"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auto"/>
            <w:noWrap/>
            <w:vAlign w:val="bottom"/>
            <w:hideMark/>
          </w:tcPr>
          <w:p w14:paraId="0FA70FAB"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auto"/>
            <w:noWrap/>
            <w:vAlign w:val="bottom"/>
            <w:hideMark/>
          </w:tcPr>
          <w:p w14:paraId="1710D07D"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25" w:type="dxa"/>
            <w:tcBorders>
              <w:top w:val="nil"/>
              <w:left w:val="nil"/>
              <w:bottom w:val="nil"/>
              <w:right w:val="single" w:sz="4" w:space="0" w:color="auto"/>
            </w:tcBorders>
            <w:shd w:val="clear" w:color="auto" w:fill="auto"/>
            <w:noWrap/>
            <w:vAlign w:val="bottom"/>
            <w:hideMark/>
          </w:tcPr>
          <w:p w14:paraId="7B1B1C2E"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auto"/>
            <w:noWrap/>
            <w:vAlign w:val="bottom"/>
            <w:hideMark/>
          </w:tcPr>
          <w:p w14:paraId="5A150992"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p>
        </w:tc>
        <w:tc>
          <w:tcPr>
            <w:tcW w:w="1513" w:type="dxa"/>
            <w:tcBorders>
              <w:top w:val="nil"/>
              <w:left w:val="nil"/>
              <w:bottom w:val="nil"/>
              <w:right w:val="nil"/>
            </w:tcBorders>
            <w:shd w:val="clear" w:color="auto" w:fill="auto"/>
            <w:noWrap/>
            <w:vAlign w:val="bottom"/>
            <w:hideMark/>
          </w:tcPr>
          <w:p w14:paraId="741CFF6D"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auto"/>
            <w:noWrap/>
            <w:vAlign w:val="bottom"/>
            <w:hideMark/>
          </w:tcPr>
          <w:p w14:paraId="177FED30"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auto"/>
            <w:noWrap/>
            <w:vAlign w:val="bottom"/>
            <w:hideMark/>
          </w:tcPr>
          <w:p w14:paraId="21BB1631"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50" w:type="dxa"/>
            <w:tcBorders>
              <w:top w:val="nil"/>
              <w:left w:val="nil"/>
              <w:bottom w:val="nil"/>
              <w:right w:val="nil"/>
            </w:tcBorders>
            <w:shd w:val="clear" w:color="auto" w:fill="auto"/>
            <w:noWrap/>
            <w:vAlign w:val="bottom"/>
            <w:hideMark/>
          </w:tcPr>
          <w:p w14:paraId="214F21C8"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331B4B" w:rsidRPr="00834AAA" w14:paraId="443D28BF" w14:textId="77777777" w:rsidTr="001367EE">
        <w:trPr>
          <w:trHeight w:val="20"/>
        </w:trPr>
        <w:tc>
          <w:tcPr>
            <w:tcW w:w="2660" w:type="dxa"/>
            <w:tcBorders>
              <w:top w:val="nil"/>
              <w:left w:val="nil"/>
              <w:bottom w:val="nil"/>
              <w:right w:val="nil"/>
            </w:tcBorders>
            <w:shd w:val="clear" w:color="auto" w:fill="F2F2F2"/>
            <w:noWrap/>
            <w:vAlign w:val="bottom"/>
            <w:hideMark/>
          </w:tcPr>
          <w:p w14:paraId="01A682DF" w14:textId="77777777" w:rsidR="00ED367C" w:rsidRPr="00834AAA" w:rsidRDefault="00ED367C" w:rsidP="00D30520">
            <w:pPr>
              <w:spacing w:before="0" w:after="0" w:line="240" w:lineRule="auto"/>
              <w:rPr>
                <w:rFonts w:ascii="Calibri" w:eastAsia="Times New Roman" w:hAnsi="Calibri" w:cs="Times New Roman"/>
                <w:b/>
                <w:color w:val="000000"/>
                <w:sz w:val="16"/>
                <w:szCs w:val="14"/>
                <w:lang w:eastAsia="en-GB"/>
              </w:rPr>
            </w:pPr>
            <w:r w:rsidRPr="00834AAA">
              <w:rPr>
                <w:rFonts w:ascii="Calibri" w:eastAsia="Times New Roman" w:hAnsi="Calibri" w:cs="Times New Roman"/>
                <w:b/>
                <w:color w:val="000000"/>
                <w:sz w:val="16"/>
                <w:szCs w:val="14"/>
                <w:lang w:eastAsia="en-GB"/>
              </w:rPr>
              <w:t>Lives in London</w:t>
            </w:r>
          </w:p>
        </w:tc>
        <w:tc>
          <w:tcPr>
            <w:tcW w:w="567" w:type="dxa"/>
            <w:tcBorders>
              <w:top w:val="nil"/>
              <w:left w:val="nil"/>
              <w:bottom w:val="nil"/>
              <w:right w:val="nil"/>
            </w:tcBorders>
            <w:shd w:val="clear" w:color="auto" w:fill="F2F2F2"/>
            <w:noWrap/>
            <w:vAlign w:val="bottom"/>
            <w:hideMark/>
          </w:tcPr>
          <w:p w14:paraId="6BF7544A"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592" w:type="dxa"/>
            <w:tcBorders>
              <w:top w:val="nil"/>
              <w:left w:val="nil"/>
              <w:bottom w:val="nil"/>
              <w:right w:val="single" w:sz="4" w:space="0" w:color="auto"/>
            </w:tcBorders>
            <w:shd w:val="clear" w:color="auto" w:fill="F2F2F2"/>
            <w:noWrap/>
            <w:vAlign w:val="bottom"/>
            <w:hideMark/>
          </w:tcPr>
          <w:p w14:paraId="0A698C54"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1560" w:type="dxa"/>
            <w:tcBorders>
              <w:top w:val="nil"/>
              <w:left w:val="single" w:sz="4" w:space="0" w:color="auto"/>
              <w:bottom w:val="nil"/>
              <w:right w:val="nil"/>
            </w:tcBorders>
            <w:shd w:val="clear" w:color="auto" w:fill="F2F2F2"/>
            <w:noWrap/>
            <w:vAlign w:val="bottom"/>
            <w:hideMark/>
          </w:tcPr>
          <w:p w14:paraId="0E3931AF"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p>
        </w:tc>
        <w:tc>
          <w:tcPr>
            <w:tcW w:w="1366" w:type="dxa"/>
            <w:tcBorders>
              <w:top w:val="nil"/>
              <w:left w:val="nil"/>
              <w:bottom w:val="nil"/>
              <w:right w:val="nil"/>
            </w:tcBorders>
            <w:shd w:val="clear" w:color="auto" w:fill="F2F2F2"/>
            <w:noWrap/>
            <w:vAlign w:val="bottom"/>
            <w:hideMark/>
          </w:tcPr>
          <w:p w14:paraId="4333BEC5"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F2F2F2"/>
            <w:noWrap/>
            <w:vAlign w:val="bottom"/>
            <w:hideMark/>
          </w:tcPr>
          <w:p w14:paraId="332A6E40"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F2F2F2"/>
            <w:noWrap/>
            <w:vAlign w:val="bottom"/>
            <w:hideMark/>
          </w:tcPr>
          <w:p w14:paraId="7DD44930"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25" w:type="dxa"/>
            <w:tcBorders>
              <w:top w:val="nil"/>
              <w:left w:val="nil"/>
              <w:bottom w:val="nil"/>
              <w:right w:val="single" w:sz="4" w:space="0" w:color="auto"/>
            </w:tcBorders>
            <w:shd w:val="clear" w:color="auto" w:fill="F2F2F2"/>
            <w:noWrap/>
            <w:vAlign w:val="bottom"/>
            <w:hideMark/>
          </w:tcPr>
          <w:p w14:paraId="5408C2A1"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F2F2F2"/>
            <w:noWrap/>
            <w:vAlign w:val="bottom"/>
            <w:hideMark/>
          </w:tcPr>
          <w:p w14:paraId="6F1F6EA1"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p>
        </w:tc>
        <w:tc>
          <w:tcPr>
            <w:tcW w:w="1513" w:type="dxa"/>
            <w:tcBorders>
              <w:top w:val="nil"/>
              <w:left w:val="nil"/>
              <w:bottom w:val="nil"/>
              <w:right w:val="nil"/>
            </w:tcBorders>
            <w:shd w:val="clear" w:color="auto" w:fill="F2F2F2"/>
            <w:noWrap/>
            <w:vAlign w:val="bottom"/>
            <w:hideMark/>
          </w:tcPr>
          <w:p w14:paraId="23E41605"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692" w:type="dxa"/>
            <w:tcBorders>
              <w:top w:val="nil"/>
              <w:left w:val="nil"/>
              <w:bottom w:val="nil"/>
              <w:right w:val="nil"/>
            </w:tcBorders>
            <w:shd w:val="clear" w:color="auto" w:fill="F2F2F2"/>
            <w:noWrap/>
            <w:vAlign w:val="bottom"/>
            <w:hideMark/>
          </w:tcPr>
          <w:p w14:paraId="002D774A"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F2F2F2"/>
            <w:noWrap/>
            <w:vAlign w:val="bottom"/>
            <w:hideMark/>
          </w:tcPr>
          <w:p w14:paraId="6B461192"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p>
        </w:tc>
        <w:tc>
          <w:tcPr>
            <w:tcW w:w="850" w:type="dxa"/>
            <w:tcBorders>
              <w:top w:val="nil"/>
              <w:left w:val="nil"/>
              <w:bottom w:val="nil"/>
              <w:right w:val="nil"/>
            </w:tcBorders>
            <w:shd w:val="clear" w:color="auto" w:fill="F2F2F2"/>
            <w:noWrap/>
            <w:vAlign w:val="bottom"/>
            <w:hideMark/>
          </w:tcPr>
          <w:p w14:paraId="7A1CF703"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331B4B" w:rsidRPr="00834AAA" w14:paraId="27086641" w14:textId="77777777" w:rsidTr="001367EE">
        <w:trPr>
          <w:trHeight w:val="20"/>
        </w:trPr>
        <w:tc>
          <w:tcPr>
            <w:tcW w:w="2660" w:type="dxa"/>
            <w:tcBorders>
              <w:top w:val="nil"/>
              <w:left w:val="nil"/>
              <w:bottom w:val="nil"/>
              <w:right w:val="nil"/>
            </w:tcBorders>
            <w:shd w:val="clear" w:color="auto" w:fill="F2F2F2"/>
            <w:noWrap/>
            <w:vAlign w:val="bottom"/>
            <w:hideMark/>
          </w:tcPr>
          <w:p w14:paraId="79510E8F"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No</w:t>
            </w:r>
          </w:p>
        </w:tc>
        <w:tc>
          <w:tcPr>
            <w:tcW w:w="567" w:type="dxa"/>
            <w:tcBorders>
              <w:top w:val="nil"/>
              <w:left w:val="nil"/>
              <w:bottom w:val="nil"/>
              <w:right w:val="nil"/>
            </w:tcBorders>
            <w:shd w:val="clear" w:color="auto" w:fill="F2F2F2"/>
            <w:noWrap/>
            <w:vAlign w:val="bottom"/>
            <w:hideMark/>
          </w:tcPr>
          <w:p w14:paraId="35A888B9"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3796</w:t>
            </w:r>
          </w:p>
        </w:tc>
        <w:tc>
          <w:tcPr>
            <w:tcW w:w="592" w:type="dxa"/>
            <w:tcBorders>
              <w:top w:val="nil"/>
              <w:left w:val="nil"/>
              <w:bottom w:val="nil"/>
              <w:right w:val="single" w:sz="4" w:space="0" w:color="auto"/>
            </w:tcBorders>
            <w:shd w:val="clear" w:color="auto" w:fill="F2F2F2"/>
            <w:noWrap/>
            <w:vAlign w:val="bottom"/>
            <w:hideMark/>
          </w:tcPr>
          <w:p w14:paraId="1D91F5F4"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65.5</w:t>
            </w:r>
          </w:p>
        </w:tc>
        <w:tc>
          <w:tcPr>
            <w:tcW w:w="1560" w:type="dxa"/>
            <w:tcBorders>
              <w:top w:val="nil"/>
              <w:left w:val="single" w:sz="4" w:space="0" w:color="auto"/>
              <w:bottom w:val="nil"/>
              <w:right w:val="nil"/>
            </w:tcBorders>
            <w:shd w:val="clear" w:color="auto" w:fill="F2F2F2"/>
            <w:noWrap/>
            <w:vAlign w:val="bottom"/>
            <w:hideMark/>
          </w:tcPr>
          <w:p w14:paraId="039555D4" w14:textId="42984EA8"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1714/3726 (46</w:t>
            </w:r>
            <w:r w:rsidR="00B10017">
              <w:rPr>
                <w:rFonts w:ascii="Calibri" w:eastAsia="Times New Roman" w:hAnsi="Calibri" w:cs="Times New Roman"/>
                <w:color w:val="000000"/>
                <w:sz w:val="16"/>
                <w:szCs w:val="14"/>
                <w:lang w:eastAsia="en-GB"/>
              </w:rPr>
              <w:t>.0</w:t>
            </w:r>
            <w:r w:rsidRPr="00834AAA">
              <w:rPr>
                <w:rFonts w:ascii="Calibri" w:eastAsia="Times New Roman" w:hAnsi="Calibri" w:cs="Times New Roman"/>
                <w:color w:val="000000"/>
                <w:sz w:val="16"/>
                <w:szCs w:val="14"/>
                <w:lang w:eastAsia="en-GB"/>
              </w:rPr>
              <w:t>)</w:t>
            </w:r>
          </w:p>
        </w:tc>
        <w:tc>
          <w:tcPr>
            <w:tcW w:w="1366" w:type="dxa"/>
            <w:tcBorders>
              <w:top w:val="nil"/>
              <w:left w:val="nil"/>
              <w:bottom w:val="nil"/>
              <w:right w:val="nil"/>
            </w:tcBorders>
            <w:shd w:val="clear" w:color="auto" w:fill="F2F2F2"/>
            <w:noWrap/>
            <w:vAlign w:val="bottom"/>
            <w:hideMark/>
          </w:tcPr>
          <w:p w14:paraId="130A64BC" w14:textId="77A4E188" w:rsidR="00ED367C" w:rsidRPr="00834AAA" w:rsidRDefault="001367EE"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692" w:type="dxa"/>
            <w:tcBorders>
              <w:top w:val="nil"/>
              <w:left w:val="nil"/>
              <w:bottom w:val="nil"/>
              <w:right w:val="nil"/>
            </w:tcBorders>
            <w:shd w:val="clear" w:color="auto" w:fill="F2F2F2"/>
            <w:noWrap/>
            <w:vAlign w:val="bottom"/>
            <w:hideMark/>
          </w:tcPr>
          <w:p w14:paraId="10C7350D"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485" w:type="dxa"/>
            <w:tcBorders>
              <w:top w:val="nil"/>
              <w:left w:val="nil"/>
              <w:bottom w:val="nil"/>
              <w:right w:val="nil"/>
            </w:tcBorders>
            <w:shd w:val="clear" w:color="auto" w:fill="F2F2F2"/>
            <w:noWrap/>
            <w:vAlign w:val="bottom"/>
            <w:hideMark/>
          </w:tcPr>
          <w:p w14:paraId="454AE267" w14:textId="0B6D0609" w:rsidR="00ED367C" w:rsidRPr="00834AAA" w:rsidRDefault="001367EE" w:rsidP="00F50FA2">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825" w:type="dxa"/>
            <w:tcBorders>
              <w:top w:val="nil"/>
              <w:left w:val="nil"/>
              <w:bottom w:val="nil"/>
              <w:right w:val="single" w:sz="4" w:space="0" w:color="auto"/>
            </w:tcBorders>
            <w:shd w:val="clear" w:color="auto" w:fill="F2F2F2"/>
            <w:noWrap/>
            <w:vAlign w:val="bottom"/>
            <w:hideMark/>
          </w:tcPr>
          <w:p w14:paraId="64DC6979"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631" w:type="dxa"/>
            <w:tcBorders>
              <w:top w:val="nil"/>
              <w:left w:val="single" w:sz="4" w:space="0" w:color="auto"/>
              <w:bottom w:val="nil"/>
              <w:right w:val="nil"/>
            </w:tcBorders>
            <w:shd w:val="clear" w:color="auto" w:fill="F2F2F2"/>
            <w:noWrap/>
            <w:vAlign w:val="bottom"/>
            <w:hideMark/>
          </w:tcPr>
          <w:p w14:paraId="76C741E9" w14:textId="7649F517" w:rsidR="00ED367C" w:rsidRPr="00834AAA" w:rsidRDefault="00B10017"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2360</w:t>
            </w:r>
            <w:r w:rsidR="00ED367C" w:rsidRPr="00834AAA">
              <w:rPr>
                <w:rFonts w:ascii="Calibri" w:eastAsia="Times New Roman" w:hAnsi="Calibri" w:cs="Times New Roman"/>
                <w:color w:val="000000"/>
                <w:sz w:val="16"/>
                <w:szCs w:val="14"/>
                <w:lang w:eastAsia="en-GB"/>
              </w:rPr>
              <w:t>/3770 (</w:t>
            </w:r>
            <w:r>
              <w:rPr>
                <w:rFonts w:ascii="Calibri" w:eastAsia="Times New Roman" w:hAnsi="Calibri" w:cs="Times New Roman"/>
                <w:color w:val="000000"/>
                <w:sz w:val="16"/>
                <w:szCs w:val="14"/>
                <w:lang w:eastAsia="en-GB"/>
              </w:rPr>
              <w:t>62.6</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F2F2F2"/>
            <w:noWrap/>
            <w:vAlign w:val="bottom"/>
            <w:hideMark/>
          </w:tcPr>
          <w:p w14:paraId="55388A9E" w14:textId="0E4C5C2F" w:rsidR="00ED367C" w:rsidRPr="00834AAA" w:rsidRDefault="00617E90" w:rsidP="00D30520">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692" w:type="dxa"/>
            <w:tcBorders>
              <w:top w:val="nil"/>
              <w:left w:val="nil"/>
              <w:bottom w:val="nil"/>
              <w:right w:val="nil"/>
            </w:tcBorders>
            <w:shd w:val="clear" w:color="auto" w:fill="F2F2F2"/>
            <w:noWrap/>
            <w:vAlign w:val="bottom"/>
            <w:hideMark/>
          </w:tcPr>
          <w:p w14:paraId="752ABCB7"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c>
          <w:tcPr>
            <w:tcW w:w="1576" w:type="dxa"/>
            <w:tcBorders>
              <w:top w:val="nil"/>
              <w:left w:val="nil"/>
              <w:bottom w:val="nil"/>
              <w:right w:val="nil"/>
            </w:tcBorders>
            <w:shd w:val="clear" w:color="auto" w:fill="F2F2F2"/>
            <w:noWrap/>
            <w:vAlign w:val="bottom"/>
            <w:hideMark/>
          </w:tcPr>
          <w:p w14:paraId="0396B936" w14:textId="22792F0C" w:rsidR="00ED367C" w:rsidRPr="00834AAA" w:rsidRDefault="00617E90" w:rsidP="00D30520">
            <w:pPr>
              <w:spacing w:before="0" w:after="0" w:line="240" w:lineRule="auto"/>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1.00</w:t>
            </w:r>
          </w:p>
        </w:tc>
        <w:tc>
          <w:tcPr>
            <w:tcW w:w="850" w:type="dxa"/>
            <w:tcBorders>
              <w:top w:val="nil"/>
              <w:left w:val="nil"/>
              <w:bottom w:val="nil"/>
              <w:right w:val="nil"/>
            </w:tcBorders>
            <w:shd w:val="clear" w:color="auto" w:fill="F2F2F2"/>
            <w:noWrap/>
            <w:vAlign w:val="bottom"/>
            <w:hideMark/>
          </w:tcPr>
          <w:p w14:paraId="484C027E"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p>
        </w:tc>
      </w:tr>
      <w:tr w:rsidR="00331B4B" w:rsidRPr="00834AAA" w14:paraId="4F5A6941" w14:textId="77777777" w:rsidTr="001367EE">
        <w:trPr>
          <w:trHeight w:val="20"/>
        </w:trPr>
        <w:tc>
          <w:tcPr>
            <w:tcW w:w="2660" w:type="dxa"/>
            <w:tcBorders>
              <w:top w:val="nil"/>
              <w:left w:val="nil"/>
              <w:bottom w:val="nil"/>
              <w:right w:val="nil"/>
            </w:tcBorders>
            <w:shd w:val="clear" w:color="auto" w:fill="F2F2F2"/>
            <w:noWrap/>
            <w:vAlign w:val="bottom"/>
            <w:hideMark/>
          </w:tcPr>
          <w:p w14:paraId="08479439"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Yes</w:t>
            </w:r>
          </w:p>
        </w:tc>
        <w:tc>
          <w:tcPr>
            <w:tcW w:w="567" w:type="dxa"/>
            <w:tcBorders>
              <w:top w:val="nil"/>
              <w:left w:val="nil"/>
              <w:bottom w:val="nil"/>
              <w:right w:val="nil"/>
            </w:tcBorders>
            <w:shd w:val="clear" w:color="auto" w:fill="F2F2F2"/>
            <w:noWrap/>
            <w:vAlign w:val="bottom"/>
            <w:hideMark/>
          </w:tcPr>
          <w:p w14:paraId="3D0E028F"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2003</w:t>
            </w:r>
          </w:p>
        </w:tc>
        <w:tc>
          <w:tcPr>
            <w:tcW w:w="592" w:type="dxa"/>
            <w:tcBorders>
              <w:top w:val="nil"/>
              <w:left w:val="nil"/>
              <w:bottom w:val="nil"/>
              <w:right w:val="single" w:sz="4" w:space="0" w:color="auto"/>
            </w:tcBorders>
            <w:shd w:val="clear" w:color="auto" w:fill="F2F2F2"/>
            <w:noWrap/>
            <w:vAlign w:val="bottom"/>
            <w:hideMark/>
          </w:tcPr>
          <w:p w14:paraId="5D84F619" w14:textId="7777777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34.5</w:t>
            </w:r>
          </w:p>
        </w:tc>
        <w:tc>
          <w:tcPr>
            <w:tcW w:w="1560" w:type="dxa"/>
            <w:tcBorders>
              <w:top w:val="nil"/>
              <w:left w:val="single" w:sz="4" w:space="0" w:color="auto"/>
              <w:bottom w:val="nil"/>
              <w:right w:val="nil"/>
            </w:tcBorders>
            <w:shd w:val="clear" w:color="auto" w:fill="F2F2F2"/>
            <w:noWrap/>
            <w:vAlign w:val="bottom"/>
            <w:hideMark/>
          </w:tcPr>
          <w:p w14:paraId="50E2083B" w14:textId="77777777" w:rsidR="00ED367C" w:rsidRPr="00834AAA" w:rsidRDefault="00ED367C" w:rsidP="00187BA8">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784/1968 (39.8)</w:t>
            </w:r>
          </w:p>
        </w:tc>
        <w:tc>
          <w:tcPr>
            <w:tcW w:w="1366" w:type="dxa"/>
            <w:tcBorders>
              <w:top w:val="nil"/>
              <w:left w:val="nil"/>
              <w:bottom w:val="nil"/>
              <w:right w:val="nil"/>
            </w:tcBorders>
            <w:shd w:val="clear" w:color="auto" w:fill="F2F2F2"/>
            <w:noWrap/>
            <w:vAlign w:val="bottom"/>
            <w:hideMark/>
          </w:tcPr>
          <w:p w14:paraId="0A628F89" w14:textId="1E0EAD23"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0.78 (0.7</w:t>
            </w:r>
            <w:r w:rsidR="001E14F8">
              <w:rPr>
                <w:rFonts w:ascii="Calibri" w:eastAsia="Times New Roman" w:hAnsi="Calibri" w:cs="Times New Roman"/>
                <w:color w:val="000000"/>
                <w:sz w:val="16"/>
                <w:szCs w:val="14"/>
                <w:lang w:eastAsia="en-GB"/>
              </w:rPr>
              <w:t>0</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0.87)</w:t>
            </w:r>
          </w:p>
        </w:tc>
        <w:tc>
          <w:tcPr>
            <w:tcW w:w="692" w:type="dxa"/>
            <w:tcBorders>
              <w:top w:val="nil"/>
              <w:left w:val="nil"/>
              <w:bottom w:val="nil"/>
              <w:right w:val="nil"/>
            </w:tcBorders>
            <w:shd w:val="clear" w:color="auto" w:fill="F2F2F2"/>
            <w:noWrap/>
            <w:vAlign w:val="bottom"/>
            <w:hideMark/>
          </w:tcPr>
          <w:p w14:paraId="022934EB"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&lt;0.001</w:t>
            </w:r>
          </w:p>
        </w:tc>
        <w:tc>
          <w:tcPr>
            <w:tcW w:w="1485" w:type="dxa"/>
            <w:tcBorders>
              <w:top w:val="nil"/>
              <w:left w:val="nil"/>
              <w:bottom w:val="nil"/>
              <w:right w:val="nil"/>
            </w:tcBorders>
            <w:shd w:val="clear" w:color="auto" w:fill="F2F2F2"/>
            <w:noWrap/>
            <w:vAlign w:val="bottom"/>
            <w:hideMark/>
          </w:tcPr>
          <w:p w14:paraId="01DFCD0D" w14:textId="3414E006"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0.65 (0.58</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0.74)</w:t>
            </w:r>
          </w:p>
        </w:tc>
        <w:tc>
          <w:tcPr>
            <w:tcW w:w="825" w:type="dxa"/>
            <w:tcBorders>
              <w:top w:val="nil"/>
              <w:left w:val="nil"/>
              <w:bottom w:val="nil"/>
              <w:right w:val="single" w:sz="4" w:space="0" w:color="auto"/>
            </w:tcBorders>
            <w:shd w:val="clear" w:color="auto" w:fill="F2F2F2"/>
            <w:noWrap/>
            <w:vAlign w:val="bottom"/>
            <w:hideMark/>
          </w:tcPr>
          <w:p w14:paraId="01CA2F9D" w14:textId="77777777"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&lt;0.001</w:t>
            </w:r>
          </w:p>
        </w:tc>
        <w:tc>
          <w:tcPr>
            <w:tcW w:w="1631" w:type="dxa"/>
            <w:tcBorders>
              <w:top w:val="nil"/>
              <w:left w:val="single" w:sz="4" w:space="0" w:color="auto"/>
              <w:bottom w:val="nil"/>
              <w:right w:val="nil"/>
            </w:tcBorders>
            <w:shd w:val="clear" w:color="auto" w:fill="F2F2F2"/>
            <w:noWrap/>
            <w:vAlign w:val="bottom"/>
            <w:hideMark/>
          </w:tcPr>
          <w:p w14:paraId="449153E0" w14:textId="633140F3" w:rsidR="00ED367C" w:rsidRPr="00834AAA" w:rsidRDefault="00B10017" w:rsidP="00187BA8">
            <w:pPr>
              <w:spacing w:before="0" w:after="0" w:line="240" w:lineRule="auto"/>
              <w:jc w:val="right"/>
              <w:rPr>
                <w:rFonts w:ascii="Calibri" w:eastAsia="Times New Roman" w:hAnsi="Calibri" w:cs="Times New Roman"/>
                <w:color w:val="000000"/>
                <w:sz w:val="16"/>
                <w:szCs w:val="14"/>
                <w:lang w:eastAsia="en-GB"/>
              </w:rPr>
            </w:pPr>
            <w:r>
              <w:rPr>
                <w:rFonts w:ascii="Calibri" w:eastAsia="Times New Roman" w:hAnsi="Calibri" w:cs="Times New Roman"/>
                <w:color w:val="000000"/>
                <w:sz w:val="16"/>
                <w:szCs w:val="14"/>
                <w:lang w:eastAsia="en-GB"/>
              </w:rPr>
              <w:t>1187</w:t>
            </w:r>
            <w:r w:rsidR="00ED367C" w:rsidRPr="00834AAA">
              <w:rPr>
                <w:rFonts w:ascii="Calibri" w:eastAsia="Times New Roman" w:hAnsi="Calibri" w:cs="Times New Roman"/>
                <w:color w:val="000000"/>
                <w:sz w:val="16"/>
                <w:szCs w:val="14"/>
                <w:lang w:eastAsia="en-GB"/>
              </w:rPr>
              <w:t>/1991 (</w:t>
            </w:r>
            <w:r>
              <w:rPr>
                <w:rFonts w:ascii="Calibri" w:eastAsia="Times New Roman" w:hAnsi="Calibri" w:cs="Times New Roman"/>
                <w:color w:val="000000"/>
                <w:sz w:val="16"/>
                <w:szCs w:val="14"/>
                <w:lang w:eastAsia="en-GB"/>
              </w:rPr>
              <w:t>59.6</w:t>
            </w:r>
            <w:r w:rsidR="00ED367C" w:rsidRPr="00834AAA">
              <w:rPr>
                <w:rFonts w:ascii="Calibri" w:eastAsia="Times New Roman" w:hAnsi="Calibri" w:cs="Times New Roman"/>
                <w:color w:val="000000"/>
                <w:sz w:val="16"/>
                <w:szCs w:val="14"/>
                <w:lang w:eastAsia="en-GB"/>
              </w:rPr>
              <w:t>)</w:t>
            </w:r>
          </w:p>
        </w:tc>
        <w:tc>
          <w:tcPr>
            <w:tcW w:w="1513" w:type="dxa"/>
            <w:tcBorders>
              <w:top w:val="nil"/>
              <w:left w:val="nil"/>
              <w:bottom w:val="nil"/>
              <w:right w:val="nil"/>
            </w:tcBorders>
            <w:shd w:val="clear" w:color="auto" w:fill="F2F2F2"/>
            <w:noWrap/>
            <w:vAlign w:val="bottom"/>
            <w:hideMark/>
          </w:tcPr>
          <w:p w14:paraId="164B9348" w14:textId="6BF33AD7" w:rsidR="00ED367C" w:rsidRPr="00834AAA" w:rsidRDefault="00ED367C" w:rsidP="00D30520">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0.8</w:t>
            </w:r>
            <w:r w:rsidR="00487287">
              <w:rPr>
                <w:rFonts w:ascii="Calibri" w:eastAsia="Times New Roman" w:hAnsi="Calibri" w:cs="Times New Roman"/>
                <w:color w:val="000000"/>
                <w:sz w:val="16"/>
                <w:szCs w:val="14"/>
                <w:lang w:eastAsia="en-GB"/>
              </w:rPr>
              <w:t>8</w:t>
            </w:r>
            <w:r w:rsidRPr="00834AAA">
              <w:rPr>
                <w:rFonts w:ascii="Calibri" w:eastAsia="Times New Roman" w:hAnsi="Calibri" w:cs="Times New Roman"/>
                <w:color w:val="000000"/>
                <w:sz w:val="16"/>
                <w:szCs w:val="14"/>
                <w:lang w:eastAsia="en-GB"/>
              </w:rPr>
              <w:t xml:space="preserve"> (0.7</w:t>
            </w:r>
            <w:r w:rsidR="00487287">
              <w:rPr>
                <w:rFonts w:ascii="Calibri" w:eastAsia="Times New Roman" w:hAnsi="Calibri" w:cs="Times New Roman"/>
                <w:color w:val="000000"/>
                <w:sz w:val="16"/>
                <w:szCs w:val="14"/>
                <w:lang w:eastAsia="en-GB"/>
              </w:rPr>
              <w:t>9</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0.9</w:t>
            </w:r>
            <w:r w:rsidR="00487287">
              <w:rPr>
                <w:rFonts w:ascii="Calibri" w:eastAsia="Times New Roman" w:hAnsi="Calibri" w:cs="Times New Roman"/>
                <w:color w:val="000000"/>
                <w:sz w:val="16"/>
                <w:szCs w:val="14"/>
                <w:lang w:eastAsia="en-GB"/>
              </w:rPr>
              <w:t>9</w:t>
            </w:r>
            <w:r w:rsidRPr="00834AAA">
              <w:rPr>
                <w:rFonts w:ascii="Calibri" w:eastAsia="Times New Roman" w:hAnsi="Calibri" w:cs="Times New Roman"/>
                <w:color w:val="000000"/>
                <w:sz w:val="16"/>
                <w:szCs w:val="14"/>
                <w:lang w:eastAsia="en-GB"/>
              </w:rPr>
              <w:t>)</w:t>
            </w:r>
          </w:p>
        </w:tc>
        <w:tc>
          <w:tcPr>
            <w:tcW w:w="692" w:type="dxa"/>
            <w:tcBorders>
              <w:top w:val="nil"/>
              <w:left w:val="nil"/>
              <w:bottom w:val="nil"/>
              <w:right w:val="nil"/>
            </w:tcBorders>
            <w:shd w:val="clear" w:color="auto" w:fill="F2F2F2"/>
            <w:noWrap/>
            <w:vAlign w:val="bottom"/>
            <w:hideMark/>
          </w:tcPr>
          <w:p w14:paraId="6C5DF8C9" w14:textId="6D2529F0"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0.0</w:t>
            </w:r>
            <w:r w:rsidR="00487287">
              <w:rPr>
                <w:rFonts w:ascii="Calibri" w:eastAsia="Times New Roman" w:hAnsi="Calibri" w:cs="Times New Roman"/>
                <w:color w:val="000000"/>
                <w:sz w:val="16"/>
                <w:szCs w:val="14"/>
                <w:lang w:eastAsia="en-GB"/>
              </w:rPr>
              <w:t>27</w:t>
            </w:r>
          </w:p>
        </w:tc>
        <w:tc>
          <w:tcPr>
            <w:tcW w:w="1576" w:type="dxa"/>
            <w:tcBorders>
              <w:top w:val="nil"/>
              <w:left w:val="nil"/>
              <w:bottom w:val="nil"/>
              <w:right w:val="nil"/>
            </w:tcBorders>
            <w:shd w:val="clear" w:color="auto" w:fill="F2F2F2"/>
            <w:noWrap/>
            <w:vAlign w:val="bottom"/>
            <w:hideMark/>
          </w:tcPr>
          <w:p w14:paraId="6C1E29BB" w14:textId="58330D08" w:rsidR="00ED367C" w:rsidRPr="00834AAA" w:rsidRDefault="00ED367C" w:rsidP="00F50FA2">
            <w:pPr>
              <w:spacing w:before="0" w:after="0" w:line="240" w:lineRule="auto"/>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0.8</w:t>
            </w:r>
            <w:r w:rsidR="00A96AF4">
              <w:rPr>
                <w:rFonts w:ascii="Calibri" w:eastAsia="Times New Roman" w:hAnsi="Calibri" w:cs="Times New Roman"/>
                <w:color w:val="000000"/>
                <w:sz w:val="16"/>
                <w:szCs w:val="14"/>
                <w:lang w:eastAsia="en-GB"/>
              </w:rPr>
              <w:t>9</w:t>
            </w:r>
            <w:r w:rsidRPr="00834AAA">
              <w:rPr>
                <w:rFonts w:ascii="Calibri" w:eastAsia="Times New Roman" w:hAnsi="Calibri" w:cs="Times New Roman"/>
                <w:color w:val="000000"/>
                <w:sz w:val="16"/>
                <w:szCs w:val="14"/>
                <w:lang w:eastAsia="en-GB"/>
              </w:rPr>
              <w:t xml:space="preserve"> (0.7</w:t>
            </w:r>
            <w:r w:rsidR="00A96AF4">
              <w:rPr>
                <w:rFonts w:ascii="Calibri" w:eastAsia="Times New Roman" w:hAnsi="Calibri" w:cs="Times New Roman"/>
                <w:color w:val="000000"/>
                <w:sz w:val="16"/>
                <w:szCs w:val="14"/>
                <w:lang w:eastAsia="en-GB"/>
              </w:rPr>
              <w:t>9</w:t>
            </w:r>
            <w:r w:rsidR="001367EE">
              <w:rPr>
                <w:rFonts w:ascii="Calibri" w:eastAsia="Times New Roman" w:hAnsi="Calibri" w:cs="Times New Roman"/>
                <w:color w:val="000000"/>
                <w:sz w:val="16"/>
                <w:szCs w:val="14"/>
                <w:lang w:eastAsia="en-GB"/>
              </w:rPr>
              <w:t>–</w:t>
            </w:r>
            <w:r w:rsidRPr="00834AAA">
              <w:rPr>
                <w:rFonts w:ascii="Calibri" w:eastAsia="Times New Roman" w:hAnsi="Calibri" w:cs="Times New Roman"/>
                <w:color w:val="000000"/>
                <w:sz w:val="16"/>
                <w:szCs w:val="14"/>
                <w:lang w:eastAsia="en-GB"/>
              </w:rPr>
              <w:t>1.0</w:t>
            </w:r>
            <w:r w:rsidR="00A96AF4">
              <w:rPr>
                <w:rFonts w:ascii="Calibri" w:eastAsia="Times New Roman" w:hAnsi="Calibri" w:cs="Times New Roman"/>
                <w:color w:val="000000"/>
                <w:sz w:val="16"/>
                <w:szCs w:val="14"/>
                <w:lang w:eastAsia="en-GB"/>
              </w:rPr>
              <w:t>0</w:t>
            </w:r>
            <w:r w:rsidRPr="00834AAA">
              <w:rPr>
                <w:rFonts w:ascii="Calibri" w:eastAsia="Times New Roman" w:hAnsi="Calibri" w:cs="Times New Roman"/>
                <w:color w:val="000000"/>
                <w:sz w:val="16"/>
                <w:szCs w:val="14"/>
                <w:lang w:eastAsia="en-GB"/>
              </w:rPr>
              <w:t>)</w:t>
            </w:r>
          </w:p>
        </w:tc>
        <w:tc>
          <w:tcPr>
            <w:tcW w:w="850" w:type="dxa"/>
            <w:tcBorders>
              <w:top w:val="nil"/>
              <w:left w:val="nil"/>
              <w:bottom w:val="nil"/>
              <w:right w:val="nil"/>
            </w:tcBorders>
            <w:shd w:val="clear" w:color="auto" w:fill="F2F2F2"/>
            <w:noWrap/>
            <w:vAlign w:val="bottom"/>
            <w:hideMark/>
          </w:tcPr>
          <w:p w14:paraId="5C33EEBB" w14:textId="3987C3DF" w:rsidR="00ED367C" w:rsidRPr="00834AAA" w:rsidRDefault="00ED367C" w:rsidP="00D30520">
            <w:pPr>
              <w:spacing w:before="0" w:after="0" w:line="240" w:lineRule="auto"/>
              <w:jc w:val="right"/>
              <w:rPr>
                <w:rFonts w:ascii="Calibri" w:eastAsia="Times New Roman" w:hAnsi="Calibri" w:cs="Times New Roman"/>
                <w:color w:val="000000"/>
                <w:sz w:val="16"/>
                <w:szCs w:val="14"/>
                <w:lang w:eastAsia="en-GB"/>
              </w:rPr>
            </w:pPr>
            <w:r w:rsidRPr="00834AAA">
              <w:rPr>
                <w:rFonts w:ascii="Calibri" w:eastAsia="Times New Roman" w:hAnsi="Calibri" w:cs="Times New Roman"/>
                <w:color w:val="000000"/>
                <w:sz w:val="16"/>
                <w:szCs w:val="14"/>
                <w:lang w:eastAsia="en-GB"/>
              </w:rPr>
              <w:t>0.05</w:t>
            </w:r>
            <w:r w:rsidR="00A96AF4">
              <w:rPr>
                <w:rFonts w:ascii="Calibri" w:eastAsia="Times New Roman" w:hAnsi="Calibri" w:cs="Times New Roman"/>
                <w:color w:val="000000"/>
                <w:sz w:val="16"/>
                <w:szCs w:val="14"/>
                <w:lang w:eastAsia="en-GB"/>
              </w:rPr>
              <w:t>7</w:t>
            </w:r>
          </w:p>
        </w:tc>
      </w:tr>
    </w:tbl>
    <w:p w14:paraId="4871229E" w14:textId="77777777" w:rsidR="009B23BE" w:rsidRPr="0091742C" w:rsidRDefault="009B23BE" w:rsidP="009B23BE">
      <w:pPr>
        <w:spacing w:after="200" w:line="276" w:lineRule="auto"/>
        <w:rPr>
          <w:rFonts w:ascii="Calibri" w:eastAsia="Times New Roman" w:hAnsi="Calibri" w:cs="Times New Roman"/>
          <w:sz w:val="20"/>
          <w:szCs w:val="20"/>
          <w:lang w:eastAsia="en-GB"/>
        </w:rPr>
      </w:pPr>
    </w:p>
    <w:p w14:paraId="5A84BCFA" w14:textId="77777777" w:rsidR="00ED367C" w:rsidRPr="00834AAA" w:rsidRDefault="00ED367C" w:rsidP="00542872">
      <w:pPr>
        <w:spacing w:after="200" w:line="276" w:lineRule="auto"/>
        <w:rPr>
          <w:rFonts w:ascii="Calibri" w:eastAsia="Times New Roman" w:hAnsi="Calibri" w:cs="Times New Roman"/>
          <w:lang w:eastAsia="en-GB"/>
        </w:rPr>
      </w:pPr>
    </w:p>
    <w:p w14:paraId="31529EE9" w14:textId="77777777" w:rsidR="00ED367C" w:rsidRPr="00834AAA" w:rsidRDefault="00ED367C" w:rsidP="00542872">
      <w:pPr>
        <w:spacing w:after="200" w:line="276" w:lineRule="auto"/>
        <w:rPr>
          <w:rFonts w:ascii="Calibri" w:eastAsia="Times New Roman" w:hAnsi="Calibri" w:cs="Times New Roman"/>
          <w:lang w:eastAsia="en-GB"/>
        </w:rPr>
      </w:pPr>
      <w:r w:rsidRPr="00834AAA">
        <w:rPr>
          <w:rFonts w:ascii="Calibri" w:eastAsia="Times New Roman" w:hAnsi="Calibri" w:cs="Times New Roman"/>
          <w:lang w:eastAsia="en-GB"/>
        </w:rPr>
        <w:br w:type="page"/>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160"/>
        <w:gridCol w:w="683"/>
        <w:gridCol w:w="1205"/>
        <w:gridCol w:w="638"/>
        <w:gridCol w:w="1275"/>
        <w:gridCol w:w="1175"/>
        <w:gridCol w:w="668"/>
        <w:gridCol w:w="1220"/>
        <w:gridCol w:w="638"/>
        <w:gridCol w:w="1261"/>
        <w:gridCol w:w="1189"/>
        <w:gridCol w:w="636"/>
        <w:gridCol w:w="1282"/>
        <w:gridCol w:w="634"/>
      </w:tblGrid>
      <w:tr w:rsidR="00ED367C" w:rsidRPr="00834AAA" w14:paraId="11BCF0A8" w14:textId="77777777" w:rsidTr="00187BA8">
        <w:trPr>
          <w:trHeight w:val="57"/>
        </w:trPr>
        <w:tc>
          <w:tcPr>
            <w:tcW w:w="1276" w:type="dxa"/>
            <w:tcBorders>
              <w:top w:val="nil"/>
              <w:left w:val="nil"/>
              <w:bottom w:val="nil"/>
              <w:right w:val="single" w:sz="4" w:space="0" w:color="auto"/>
            </w:tcBorders>
            <w:vAlign w:val="bottom"/>
          </w:tcPr>
          <w:p w14:paraId="49A70D30"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4962" w:type="dxa"/>
            <w:gridSpan w:val="5"/>
            <w:tcBorders>
              <w:top w:val="nil"/>
              <w:left w:val="single" w:sz="4" w:space="0" w:color="auto"/>
              <w:bottom w:val="nil"/>
              <w:right w:val="single" w:sz="4" w:space="0" w:color="auto"/>
            </w:tcBorders>
            <w:shd w:val="clear" w:color="auto" w:fill="auto"/>
            <w:noWrap/>
            <w:vAlign w:val="bottom"/>
            <w:hideMark/>
          </w:tcPr>
          <w:p w14:paraId="28B1BB49" w14:textId="2872254B" w:rsidR="00ED367C" w:rsidRPr="00834AAA" w:rsidRDefault="00080092" w:rsidP="00170F73">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Frequent alcohol use</w:t>
            </w:r>
            <w:r w:rsidR="00ED367C" w:rsidRPr="00834AAA">
              <w:rPr>
                <w:rFonts w:ascii="Calibri" w:eastAsia="Times New Roman" w:hAnsi="Calibri" w:cs="Times New Roman"/>
                <w:color w:val="000000"/>
                <w:sz w:val="14"/>
                <w:szCs w:val="14"/>
                <w:lang w:eastAsia="en-GB"/>
              </w:rPr>
              <w:t xml:space="preserve"> (missing 29)</w:t>
            </w:r>
          </w:p>
        </w:tc>
        <w:tc>
          <w:tcPr>
            <w:tcW w:w="4976" w:type="dxa"/>
            <w:gridSpan w:val="5"/>
            <w:tcBorders>
              <w:top w:val="nil"/>
              <w:left w:val="single" w:sz="4" w:space="0" w:color="auto"/>
              <w:bottom w:val="nil"/>
              <w:right w:val="single" w:sz="4" w:space="0" w:color="auto"/>
            </w:tcBorders>
            <w:shd w:val="clear" w:color="auto" w:fill="auto"/>
            <w:noWrap/>
            <w:vAlign w:val="bottom"/>
            <w:hideMark/>
          </w:tcPr>
          <w:p w14:paraId="456AB8FC" w14:textId="0D4FB338"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Smokes</w:t>
            </w:r>
            <w:r w:rsidR="00B60E2D">
              <w:rPr>
                <w:rFonts w:ascii="Calibri" w:eastAsia="Times New Roman" w:hAnsi="Calibri" w:cs="Times New Roman"/>
                <w:color w:val="000000"/>
                <w:sz w:val="14"/>
                <w:szCs w:val="14"/>
                <w:lang w:eastAsia="en-GB"/>
              </w:rPr>
              <w:t xml:space="preserve"> tobacco</w:t>
            </w:r>
            <w:r w:rsidRPr="00834AAA">
              <w:rPr>
                <w:rFonts w:ascii="Calibri" w:eastAsia="Times New Roman" w:hAnsi="Calibri" w:cs="Times New Roman"/>
                <w:color w:val="000000"/>
                <w:sz w:val="14"/>
                <w:szCs w:val="14"/>
                <w:lang w:eastAsia="en-GB"/>
              </w:rPr>
              <w:t xml:space="preserve"> (missing 44)</w:t>
            </w:r>
          </w:p>
        </w:tc>
        <w:tc>
          <w:tcPr>
            <w:tcW w:w="5002" w:type="dxa"/>
            <w:gridSpan w:val="5"/>
            <w:tcBorders>
              <w:top w:val="nil"/>
              <w:left w:val="single" w:sz="4" w:space="0" w:color="auto"/>
              <w:bottom w:val="nil"/>
              <w:right w:val="nil"/>
            </w:tcBorders>
            <w:shd w:val="clear" w:color="auto" w:fill="auto"/>
            <w:noWrap/>
            <w:vAlign w:val="bottom"/>
            <w:hideMark/>
          </w:tcPr>
          <w:p w14:paraId="2A4770BE"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Has taken Class A in last year (missing 44)</w:t>
            </w:r>
          </w:p>
        </w:tc>
      </w:tr>
      <w:tr w:rsidR="00331B4B" w:rsidRPr="00834AAA" w14:paraId="4179A57A" w14:textId="77777777" w:rsidTr="00885AD0">
        <w:trPr>
          <w:trHeight w:val="57"/>
        </w:trPr>
        <w:tc>
          <w:tcPr>
            <w:tcW w:w="1276" w:type="dxa"/>
            <w:tcBorders>
              <w:top w:val="nil"/>
              <w:left w:val="nil"/>
              <w:bottom w:val="nil"/>
              <w:right w:val="single" w:sz="4" w:space="0" w:color="auto"/>
            </w:tcBorders>
            <w:vAlign w:val="bottom"/>
          </w:tcPr>
          <w:p w14:paraId="18692963"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N</w:t>
            </w:r>
          </w:p>
        </w:tc>
        <w:tc>
          <w:tcPr>
            <w:tcW w:w="1276" w:type="dxa"/>
            <w:tcBorders>
              <w:top w:val="nil"/>
              <w:left w:val="single" w:sz="4" w:space="0" w:color="auto"/>
              <w:bottom w:val="nil"/>
              <w:right w:val="nil"/>
            </w:tcBorders>
            <w:shd w:val="clear" w:color="auto" w:fill="auto"/>
            <w:noWrap/>
            <w:vAlign w:val="bottom"/>
            <w:hideMark/>
          </w:tcPr>
          <w:p w14:paraId="156571F7"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2505/5770 (43.4)</w:t>
            </w:r>
          </w:p>
        </w:tc>
        <w:tc>
          <w:tcPr>
            <w:tcW w:w="1160" w:type="dxa"/>
            <w:tcBorders>
              <w:top w:val="nil"/>
              <w:left w:val="nil"/>
              <w:bottom w:val="nil"/>
              <w:right w:val="nil"/>
            </w:tcBorders>
            <w:shd w:val="clear" w:color="auto" w:fill="auto"/>
            <w:noWrap/>
            <w:vAlign w:val="bottom"/>
            <w:hideMark/>
          </w:tcPr>
          <w:p w14:paraId="6FD1D0A4"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83" w:type="dxa"/>
            <w:tcBorders>
              <w:top w:val="nil"/>
              <w:left w:val="nil"/>
              <w:bottom w:val="nil"/>
              <w:right w:val="nil"/>
            </w:tcBorders>
            <w:shd w:val="clear" w:color="auto" w:fill="auto"/>
            <w:noWrap/>
            <w:vAlign w:val="bottom"/>
            <w:hideMark/>
          </w:tcPr>
          <w:p w14:paraId="5F3E2175"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auto"/>
            <w:noWrap/>
            <w:vAlign w:val="bottom"/>
            <w:hideMark/>
          </w:tcPr>
          <w:p w14:paraId="6D966556"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auto"/>
            <w:noWrap/>
            <w:vAlign w:val="bottom"/>
            <w:hideMark/>
          </w:tcPr>
          <w:p w14:paraId="3DBA7A4C"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auto"/>
            <w:noWrap/>
            <w:vAlign w:val="bottom"/>
            <w:hideMark/>
          </w:tcPr>
          <w:p w14:paraId="35F2785F"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1469/5755 (25.5)</w:t>
            </w:r>
          </w:p>
        </w:tc>
        <w:tc>
          <w:tcPr>
            <w:tcW w:w="1175" w:type="dxa"/>
            <w:tcBorders>
              <w:top w:val="nil"/>
              <w:left w:val="nil"/>
              <w:bottom w:val="nil"/>
              <w:right w:val="nil"/>
            </w:tcBorders>
            <w:shd w:val="clear" w:color="auto" w:fill="auto"/>
            <w:noWrap/>
            <w:vAlign w:val="bottom"/>
            <w:hideMark/>
          </w:tcPr>
          <w:p w14:paraId="3200A848"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68" w:type="dxa"/>
            <w:tcBorders>
              <w:top w:val="nil"/>
              <w:left w:val="nil"/>
              <w:bottom w:val="nil"/>
              <w:right w:val="nil"/>
            </w:tcBorders>
            <w:shd w:val="clear" w:color="auto" w:fill="auto"/>
            <w:noWrap/>
            <w:vAlign w:val="bottom"/>
            <w:hideMark/>
          </w:tcPr>
          <w:p w14:paraId="5E44AED7"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auto"/>
            <w:noWrap/>
            <w:vAlign w:val="bottom"/>
            <w:hideMark/>
          </w:tcPr>
          <w:p w14:paraId="0BF46266"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auto"/>
            <w:noWrap/>
            <w:vAlign w:val="bottom"/>
            <w:hideMark/>
          </w:tcPr>
          <w:p w14:paraId="396F92EF"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2450" w:type="dxa"/>
            <w:gridSpan w:val="2"/>
            <w:tcBorders>
              <w:top w:val="nil"/>
              <w:left w:val="single" w:sz="4" w:space="0" w:color="auto"/>
              <w:bottom w:val="nil"/>
              <w:right w:val="nil"/>
            </w:tcBorders>
            <w:shd w:val="clear" w:color="auto" w:fill="auto"/>
            <w:noWrap/>
            <w:vAlign w:val="bottom"/>
            <w:hideMark/>
          </w:tcPr>
          <w:p w14:paraId="0864B74A"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1103/5755 (19.2)</w:t>
            </w:r>
          </w:p>
        </w:tc>
        <w:tc>
          <w:tcPr>
            <w:tcW w:w="636" w:type="dxa"/>
            <w:tcBorders>
              <w:top w:val="nil"/>
              <w:left w:val="nil"/>
              <w:bottom w:val="nil"/>
              <w:right w:val="nil"/>
            </w:tcBorders>
            <w:shd w:val="clear" w:color="auto" w:fill="auto"/>
            <w:noWrap/>
            <w:vAlign w:val="bottom"/>
            <w:hideMark/>
          </w:tcPr>
          <w:p w14:paraId="1AD84AE8"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auto"/>
            <w:noWrap/>
            <w:vAlign w:val="bottom"/>
            <w:hideMark/>
          </w:tcPr>
          <w:p w14:paraId="76BE6285"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4" w:type="dxa"/>
            <w:tcBorders>
              <w:top w:val="nil"/>
              <w:left w:val="nil"/>
              <w:bottom w:val="nil"/>
              <w:right w:val="nil"/>
            </w:tcBorders>
            <w:shd w:val="clear" w:color="auto" w:fill="auto"/>
            <w:noWrap/>
            <w:vAlign w:val="bottom"/>
            <w:hideMark/>
          </w:tcPr>
          <w:p w14:paraId="00D68A05"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r>
      <w:tr w:rsidR="00331B4B" w:rsidRPr="00834AAA" w14:paraId="2C55C99A" w14:textId="77777777" w:rsidTr="00885AD0">
        <w:trPr>
          <w:trHeight w:val="57"/>
        </w:trPr>
        <w:tc>
          <w:tcPr>
            <w:tcW w:w="1276" w:type="dxa"/>
            <w:tcBorders>
              <w:top w:val="nil"/>
              <w:left w:val="nil"/>
              <w:bottom w:val="single" w:sz="4" w:space="0" w:color="auto"/>
              <w:right w:val="single" w:sz="4" w:space="0" w:color="auto"/>
            </w:tcBorders>
            <w:vAlign w:val="bottom"/>
          </w:tcPr>
          <w:p w14:paraId="72CE13FB"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1276" w:type="dxa"/>
            <w:tcBorders>
              <w:top w:val="nil"/>
              <w:left w:val="single" w:sz="4" w:space="0" w:color="auto"/>
              <w:bottom w:val="single" w:sz="4" w:space="0" w:color="auto"/>
              <w:right w:val="nil"/>
            </w:tcBorders>
            <w:shd w:val="clear" w:color="auto" w:fill="auto"/>
            <w:noWrap/>
            <w:vAlign w:val="bottom"/>
            <w:hideMark/>
          </w:tcPr>
          <w:p w14:paraId="66E1879B"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roofErr w:type="gramStart"/>
            <w:r w:rsidRPr="00834AAA">
              <w:rPr>
                <w:rFonts w:ascii="Calibri" w:eastAsia="Times New Roman" w:hAnsi="Calibri" w:cs="Times New Roman"/>
                <w:color w:val="000000"/>
                <w:sz w:val="14"/>
                <w:szCs w:val="14"/>
                <w:lang w:eastAsia="en-GB"/>
              </w:rPr>
              <w:t>n/N</w:t>
            </w:r>
            <w:proofErr w:type="gramEnd"/>
            <w:r w:rsidRPr="00834AAA">
              <w:rPr>
                <w:rFonts w:ascii="Calibri" w:eastAsia="Times New Roman" w:hAnsi="Calibri" w:cs="Times New Roman"/>
                <w:color w:val="000000"/>
                <w:sz w:val="14"/>
                <w:szCs w:val="14"/>
                <w:lang w:eastAsia="en-GB"/>
              </w:rPr>
              <w:t xml:space="preserve"> (%)</w:t>
            </w:r>
          </w:p>
        </w:tc>
        <w:tc>
          <w:tcPr>
            <w:tcW w:w="1160" w:type="dxa"/>
            <w:tcBorders>
              <w:top w:val="nil"/>
              <w:left w:val="nil"/>
              <w:bottom w:val="single" w:sz="4" w:space="0" w:color="auto"/>
              <w:right w:val="nil"/>
            </w:tcBorders>
            <w:shd w:val="clear" w:color="auto" w:fill="auto"/>
            <w:noWrap/>
            <w:vAlign w:val="bottom"/>
            <w:hideMark/>
          </w:tcPr>
          <w:p w14:paraId="751C3639"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OR</w:t>
            </w:r>
          </w:p>
        </w:tc>
        <w:tc>
          <w:tcPr>
            <w:tcW w:w="683" w:type="dxa"/>
            <w:tcBorders>
              <w:top w:val="nil"/>
              <w:left w:val="nil"/>
              <w:bottom w:val="single" w:sz="4" w:space="0" w:color="auto"/>
              <w:right w:val="nil"/>
            </w:tcBorders>
            <w:shd w:val="clear" w:color="auto" w:fill="auto"/>
            <w:noWrap/>
            <w:vAlign w:val="bottom"/>
            <w:hideMark/>
          </w:tcPr>
          <w:p w14:paraId="56591EA5"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p-value</w:t>
            </w:r>
          </w:p>
        </w:tc>
        <w:tc>
          <w:tcPr>
            <w:tcW w:w="1205" w:type="dxa"/>
            <w:tcBorders>
              <w:top w:val="nil"/>
              <w:left w:val="nil"/>
              <w:bottom w:val="single" w:sz="4" w:space="0" w:color="auto"/>
              <w:right w:val="nil"/>
            </w:tcBorders>
            <w:shd w:val="clear" w:color="auto" w:fill="auto"/>
            <w:noWrap/>
            <w:vAlign w:val="bottom"/>
            <w:hideMark/>
          </w:tcPr>
          <w:p w14:paraId="33F9762F"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roofErr w:type="spellStart"/>
            <w:r w:rsidRPr="00834AAA">
              <w:rPr>
                <w:rFonts w:ascii="Calibri" w:eastAsia="Times New Roman" w:hAnsi="Calibri" w:cs="Times New Roman"/>
                <w:color w:val="000000"/>
                <w:sz w:val="14"/>
                <w:szCs w:val="14"/>
                <w:lang w:eastAsia="en-GB"/>
              </w:rPr>
              <w:t>aOR</w:t>
            </w:r>
            <w:proofErr w:type="spellEnd"/>
          </w:p>
        </w:tc>
        <w:tc>
          <w:tcPr>
            <w:tcW w:w="638" w:type="dxa"/>
            <w:tcBorders>
              <w:top w:val="nil"/>
              <w:left w:val="nil"/>
              <w:bottom w:val="single" w:sz="4" w:space="0" w:color="auto"/>
              <w:right w:val="single" w:sz="4" w:space="0" w:color="auto"/>
            </w:tcBorders>
            <w:shd w:val="clear" w:color="auto" w:fill="auto"/>
            <w:noWrap/>
            <w:vAlign w:val="bottom"/>
            <w:hideMark/>
          </w:tcPr>
          <w:p w14:paraId="0437C58A"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p-value</w:t>
            </w:r>
          </w:p>
        </w:tc>
        <w:tc>
          <w:tcPr>
            <w:tcW w:w="1275" w:type="dxa"/>
            <w:tcBorders>
              <w:top w:val="nil"/>
              <w:left w:val="single" w:sz="4" w:space="0" w:color="auto"/>
              <w:bottom w:val="single" w:sz="4" w:space="0" w:color="auto"/>
              <w:right w:val="nil"/>
            </w:tcBorders>
            <w:shd w:val="clear" w:color="auto" w:fill="auto"/>
            <w:noWrap/>
            <w:vAlign w:val="bottom"/>
            <w:hideMark/>
          </w:tcPr>
          <w:p w14:paraId="6AA1F827"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roofErr w:type="gramStart"/>
            <w:r w:rsidRPr="00834AAA">
              <w:rPr>
                <w:rFonts w:ascii="Calibri" w:eastAsia="Times New Roman" w:hAnsi="Calibri" w:cs="Times New Roman"/>
                <w:color w:val="000000"/>
                <w:sz w:val="14"/>
                <w:szCs w:val="14"/>
                <w:lang w:eastAsia="en-GB"/>
              </w:rPr>
              <w:t>n/N</w:t>
            </w:r>
            <w:proofErr w:type="gramEnd"/>
            <w:r w:rsidRPr="00834AAA">
              <w:rPr>
                <w:rFonts w:ascii="Calibri" w:eastAsia="Times New Roman" w:hAnsi="Calibri" w:cs="Times New Roman"/>
                <w:color w:val="000000"/>
                <w:sz w:val="14"/>
                <w:szCs w:val="14"/>
                <w:lang w:eastAsia="en-GB"/>
              </w:rPr>
              <w:t xml:space="preserve"> (%)</w:t>
            </w:r>
          </w:p>
        </w:tc>
        <w:tc>
          <w:tcPr>
            <w:tcW w:w="1175" w:type="dxa"/>
            <w:tcBorders>
              <w:top w:val="nil"/>
              <w:left w:val="nil"/>
              <w:bottom w:val="single" w:sz="4" w:space="0" w:color="auto"/>
              <w:right w:val="nil"/>
            </w:tcBorders>
            <w:shd w:val="clear" w:color="auto" w:fill="auto"/>
            <w:noWrap/>
            <w:vAlign w:val="bottom"/>
            <w:hideMark/>
          </w:tcPr>
          <w:p w14:paraId="62B9D2C6"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OR</w:t>
            </w:r>
          </w:p>
        </w:tc>
        <w:tc>
          <w:tcPr>
            <w:tcW w:w="668" w:type="dxa"/>
            <w:tcBorders>
              <w:top w:val="nil"/>
              <w:left w:val="nil"/>
              <w:bottom w:val="single" w:sz="4" w:space="0" w:color="auto"/>
              <w:right w:val="nil"/>
            </w:tcBorders>
            <w:shd w:val="clear" w:color="auto" w:fill="auto"/>
            <w:noWrap/>
            <w:vAlign w:val="bottom"/>
            <w:hideMark/>
          </w:tcPr>
          <w:p w14:paraId="0DD7D145"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p-value</w:t>
            </w:r>
          </w:p>
        </w:tc>
        <w:tc>
          <w:tcPr>
            <w:tcW w:w="1220" w:type="dxa"/>
            <w:tcBorders>
              <w:top w:val="nil"/>
              <w:left w:val="nil"/>
              <w:bottom w:val="single" w:sz="4" w:space="0" w:color="auto"/>
              <w:right w:val="nil"/>
            </w:tcBorders>
            <w:shd w:val="clear" w:color="auto" w:fill="auto"/>
            <w:noWrap/>
            <w:vAlign w:val="bottom"/>
            <w:hideMark/>
          </w:tcPr>
          <w:p w14:paraId="2B8407A7"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roofErr w:type="spellStart"/>
            <w:r w:rsidRPr="00834AAA">
              <w:rPr>
                <w:rFonts w:ascii="Calibri" w:eastAsia="Times New Roman" w:hAnsi="Calibri" w:cs="Times New Roman"/>
                <w:color w:val="000000"/>
                <w:sz w:val="14"/>
                <w:szCs w:val="14"/>
                <w:lang w:eastAsia="en-GB"/>
              </w:rPr>
              <w:t>aOR</w:t>
            </w:r>
            <w:proofErr w:type="spellEnd"/>
          </w:p>
        </w:tc>
        <w:tc>
          <w:tcPr>
            <w:tcW w:w="638" w:type="dxa"/>
            <w:tcBorders>
              <w:top w:val="nil"/>
              <w:left w:val="nil"/>
              <w:bottom w:val="single" w:sz="4" w:space="0" w:color="auto"/>
              <w:right w:val="single" w:sz="4" w:space="0" w:color="auto"/>
            </w:tcBorders>
            <w:shd w:val="clear" w:color="auto" w:fill="auto"/>
            <w:noWrap/>
            <w:vAlign w:val="bottom"/>
            <w:hideMark/>
          </w:tcPr>
          <w:p w14:paraId="0326655E"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p-value</w:t>
            </w:r>
          </w:p>
        </w:tc>
        <w:tc>
          <w:tcPr>
            <w:tcW w:w="1261" w:type="dxa"/>
            <w:tcBorders>
              <w:top w:val="nil"/>
              <w:left w:val="single" w:sz="4" w:space="0" w:color="auto"/>
              <w:bottom w:val="single" w:sz="4" w:space="0" w:color="auto"/>
              <w:right w:val="nil"/>
            </w:tcBorders>
            <w:shd w:val="clear" w:color="auto" w:fill="auto"/>
            <w:noWrap/>
            <w:vAlign w:val="bottom"/>
            <w:hideMark/>
          </w:tcPr>
          <w:p w14:paraId="730B7680"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roofErr w:type="gramStart"/>
            <w:r w:rsidRPr="00834AAA">
              <w:rPr>
                <w:rFonts w:ascii="Calibri" w:eastAsia="Times New Roman" w:hAnsi="Calibri" w:cs="Times New Roman"/>
                <w:color w:val="000000"/>
                <w:sz w:val="14"/>
                <w:szCs w:val="14"/>
                <w:lang w:eastAsia="en-GB"/>
              </w:rPr>
              <w:t>n/N</w:t>
            </w:r>
            <w:proofErr w:type="gramEnd"/>
            <w:r w:rsidRPr="00834AAA">
              <w:rPr>
                <w:rFonts w:ascii="Calibri" w:eastAsia="Times New Roman" w:hAnsi="Calibri" w:cs="Times New Roman"/>
                <w:color w:val="000000"/>
                <w:sz w:val="14"/>
                <w:szCs w:val="14"/>
                <w:lang w:eastAsia="en-GB"/>
              </w:rPr>
              <w:t xml:space="preserve"> (%)</w:t>
            </w:r>
          </w:p>
        </w:tc>
        <w:tc>
          <w:tcPr>
            <w:tcW w:w="1189" w:type="dxa"/>
            <w:tcBorders>
              <w:top w:val="nil"/>
              <w:left w:val="nil"/>
              <w:bottom w:val="single" w:sz="4" w:space="0" w:color="auto"/>
              <w:right w:val="nil"/>
            </w:tcBorders>
            <w:shd w:val="clear" w:color="auto" w:fill="auto"/>
            <w:noWrap/>
            <w:vAlign w:val="bottom"/>
            <w:hideMark/>
          </w:tcPr>
          <w:p w14:paraId="19CE04EA"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OR</w:t>
            </w:r>
          </w:p>
        </w:tc>
        <w:tc>
          <w:tcPr>
            <w:tcW w:w="636" w:type="dxa"/>
            <w:tcBorders>
              <w:top w:val="nil"/>
              <w:left w:val="nil"/>
              <w:bottom w:val="single" w:sz="4" w:space="0" w:color="auto"/>
              <w:right w:val="nil"/>
            </w:tcBorders>
            <w:shd w:val="clear" w:color="auto" w:fill="auto"/>
            <w:noWrap/>
            <w:vAlign w:val="bottom"/>
            <w:hideMark/>
          </w:tcPr>
          <w:p w14:paraId="0F9F4B85"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p-value</w:t>
            </w:r>
          </w:p>
        </w:tc>
        <w:tc>
          <w:tcPr>
            <w:tcW w:w="1282" w:type="dxa"/>
            <w:tcBorders>
              <w:top w:val="nil"/>
              <w:left w:val="nil"/>
              <w:bottom w:val="single" w:sz="4" w:space="0" w:color="auto"/>
              <w:right w:val="nil"/>
            </w:tcBorders>
            <w:shd w:val="clear" w:color="auto" w:fill="auto"/>
            <w:noWrap/>
            <w:vAlign w:val="bottom"/>
            <w:hideMark/>
          </w:tcPr>
          <w:p w14:paraId="6D20DDDE"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roofErr w:type="spellStart"/>
            <w:r w:rsidRPr="00834AAA">
              <w:rPr>
                <w:rFonts w:ascii="Calibri" w:eastAsia="Times New Roman" w:hAnsi="Calibri" w:cs="Times New Roman"/>
                <w:color w:val="000000"/>
                <w:sz w:val="14"/>
                <w:szCs w:val="14"/>
                <w:lang w:eastAsia="en-GB"/>
              </w:rPr>
              <w:t>aOR</w:t>
            </w:r>
            <w:proofErr w:type="spellEnd"/>
          </w:p>
        </w:tc>
        <w:tc>
          <w:tcPr>
            <w:tcW w:w="634" w:type="dxa"/>
            <w:tcBorders>
              <w:top w:val="nil"/>
              <w:left w:val="nil"/>
              <w:bottom w:val="single" w:sz="4" w:space="0" w:color="auto"/>
              <w:right w:val="nil"/>
            </w:tcBorders>
            <w:shd w:val="clear" w:color="auto" w:fill="auto"/>
            <w:noWrap/>
            <w:vAlign w:val="bottom"/>
            <w:hideMark/>
          </w:tcPr>
          <w:p w14:paraId="20EC8277"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p-value</w:t>
            </w:r>
          </w:p>
        </w:tc>
      </w:tr>
      <w:tr w:rsidR="00331B4B" w:rsidRPr="00834AAA" w14:paraId="7CA50E02" w14:textId="77777777" w:rsidTr="00885AD0">
        <w:trPr>
          <w:trHeight w:val="57"/>
        </w:trPr>
        <w:tc>
          <w:tcPr>
            <w:tcW w:w="1276" w:type="dxa"/>
            <w:tcBorders>
              <w:top w:val="single" w:sz="4" w:space="0" w:color="auto"/>
              <w:left w:val="nil"/>
              <w:bottom w:val="nil"/>
              <w:right w:val="single" w:sz="4" w:space="0" w:color="auto"/>
            </w:tcBorders>
            <w:shd w:val="clear" w:color="auto" w:fill="F2F2F2"/>
            <w:vAlign w:val="bottom"/>
          </w:tcPr>
          <w:p w14:paraId="7223DF86" w14:textId="77777777" w:rsidR="00ED367C" w:rsidRPr="00834AAA" w:rsidRDefault="00ED367C" w:rsidP="009B23BE">
            <w:pPr>
              <w:spacing w:before="0" w:after="0" w:line="240" w:lineRule="auto"/>
              <w:rPr>
                <w:rFonts w:ascii="Calibri" w:eastAsia="Times New Roman" w:hAnsi="Calibri" w:cs="Times New Roman"/>
                <w:b/>
                <w:color w:val="000000"/>
                <w:sz w:val="16"/>
                <w:szCs w:val="16"/>
                <w:lang w:eastAsia="en-GB"/>
              </w:rPr>
            </w:pPr>
            <w:r w:rsidRPr="00834AAA">
              <w:rPr>
                <w:rFonts w:ascii="Calibri" w:eastAsia="Times New Roman" w:hAnsi="Calibri" w:cs="Times New Roman"/>
                <w:b/>
                <w:color w:val="000000"/>
                <w:sz w:val="16"/>
                <w:szCs w:val="16"/>
                <w:lang w:eastAsia="en-GB"/>
              </w:rPr>
              <w:t xml:space="preserve">Age </w:t>
            </w:r>
          </w:p>
        </w:tc>
        <w:tc>
          <w:tcPr>
            <w:tcW w:w="1276" w:type="dxa"/>
            <w:tcBorders>
              <w:top w:val="single" w:sz="4" w:space="0" w:color="auto"/>
              <w:left w:val="single" w:sz="4" w:space="0" w:color="auto"/>
              <w:bottom w:val="nil"/>
              <w:right w:val="nil"/>
            </w:tcBorders>
            <w:shd w:val="clear" w:color="auto" w:fill="F2F2F2"/>
            <w:noWrap/>
            <w:vAlign w:val="bottom"/>
            <w:hideMark/>
          </w:tcPr>
          <w:p w14:paraId="65431BED"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1160" w:type="dxa"/>
            <w:tcBorders>
              <w:top w:val="single" w:sz="4" w:space="0" w:color="auto"/>
              <w:left w:val="nil"/>
              <w:bottom w:val="nil"/>
              <w:right w:val="nil"/>
            </w:tcBorders>
            <w:shd w:val="clear" w:color="auto" w:fill="F2F2F2"/>
            <w:noWrap/>
            <w:vAlign w:val="bottom"/>
            <w:hideMark/>
          </w:tcPr>
          <w:p w14:paraId="5A9343DD"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83" w:type="dxa"/>
            <w:tcBorders>
              <w:top w:val="single" w:sz="4" w:space="0" w:color="auto"/>
              <w:left w:val="nil"/>
              <w:bottom w:val="nil"/>
              <w:right w:val="nil"/>
            </w:tcBorders>
            <w:shd w:val="clear" w:color="auto" w:fill="F2F2F2"/>
            <w:noWrap/>
            <w:vAlign w:val="bottom"/>
            <w:hideMark/>
          </w:tcPr>
          <w:p w14:paraId="5E9F5D49"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1205" w:type="dxa"/>
            <w:tcBorders>
              <w:top w:val="single" w:sz="4" w:space="0" w:color="auto"/>
              <w:left w:val="nil"/>
              <w:bottom w:val="nil"/>
              <w:right w:val="nil"/>
            </w:tcBorders>
            <w:shd w:val="clear" w:color="auto" w:fill="F2F2F2"/>
            <w:noWrap/>
            <w:vAlign w:val="bottom"/>
            <w:hideMark/>
          </w:tcPr>
          <w:p w14:paraId="22CA97DB"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single" w:sz="4" w:space="0" w:color="auto"/>
              <w:left w:val="nil"/>
              <w:bottom w:val="nil"/>
              <w:right w:val="single" w:sz="4" w:space="0" w:color="auto"/>
            </w:tcBorders>
            <w:shd w:val="clear" w:color="auto" w:fill="F2F2F2"/>
            <w:noWrap/>
            <w:vAlign w:val="bottom"/>
            <w:hideMark/>
          </w:tcPr>
          <w:p w14:paraId="51307A55"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1275" w:type="dxa"/>
            <w:tcBorders>
              <w:top w:val="single" w:sz="4" w:space="0" w:color="auto"/>
              <w:left w:val="single" w:sz="4" w:space="0" w:color="auto"/>
              <w:bottom w:val="nil"/>
              <w:right w:val="nil"/>
            </w:tcBorders>
            <w:shd w:val="clear" w:color="auto" w:fill="F2F2F2"/>
            <w:noWrap/>
            <w:vAlign w:val="bottom"/>
            <w:hideMark/>
          </w:tcPr>
          <w:p w14:paraId="4BD1FD8C"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1175" w:type="dxa"/>
            <w:tcBorders>
              <w:top w:val="single" w:sz="4" w:space="0" w:color="auto"/>
              <w:left w:val="nil"/>
              <w:bottom w:val="nil"/>
              <w:right w:val="nil"/>
            </w:tcBorders>
            <w:shd w:val="clear" w:color="auto" w:fill="F2F2F2"/>
            <w:noWrap/>
            <w:vAlign w:val="bottom"/>
            <w:hideMark/>
          </w:tcPr>
          <w:p w14:paraId="51F8C890"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68" w:type="dxa"/>
            <w:tcBorders>
              <w:top w:val="single" w:sz="4" w:space="0" w:color="auto"/>
              <w:left w:val="nil"/>
              <w:bottom w:val="nil"/>
              <w:right w:val="nil"/>
            </w:tcBorders>
            <w:shd w:val="clear" w:color="auto" w:fill="F2F2F2"/>
            <w:noWrap/>
            <w:vAlign w:val="bottom"/>
            <w:hideMark/>
          </w:tcPr>
          <w:p w14:paraId="50331AF2"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1220" w:type="dxa"/>
            <w:tcBorders>
              <w:top w:val="single" w:sz="4" w:space="0" w:color="auto"/>
              <w:left w:val="nil"/>
              <w:bottom w:val="nil"/>
              <w:right w:val="nil"/>
            </w:tcBorders>
            <w:shd w:val="clear" w:color="auto" w:fill="F2F2F2"/>
            <w:noWrap/>
            <w:vAlign w:val="bottom"/>
            <w:hideMark/>
          </w:tcPr>
          <w:p w14:paraId="539D9F90"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single" w:sz="4" w:space="0" w:color="auto"/>
              <w:left w:val="nil"/>
              <w:bottom w:val="nil"/>
              <w:right w:val="single" w:sz="4" w:space="0" w:color="auto"/>
            </w:tcBorders>
            <w:shd w:val="clear" w:color="auto" w:fill="F2F2F2"/>
            <w:noWrap/>
            <w:vAlign w:val="bottom"/>
            <w:hideMark/>
          </w:tcPr>
          <w:p w14:paraId="60FF357F"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1261" w:type="dxa"/>
            <w:tcBorders>
              <w:top w:val="single" w:sz="4" w:space="0" w:color="auto"/>
              <w:left w:val="single" w:sz="4" w:space="0" w:color="auto"/>
              <w:bottom w:val="nil"/>
              <w:right w:val="nil"/>
            </w:tcBorders>
            <w:shd w:val="clear" w:color="auto" w:fill="F2F2F2"/>
            <w:noWrap/>
            <w:vAlign w:val="bottom"/>
            <w:hideMark/>
          </w:tcPr>
          <w:p w14:paraId="39B42F57"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1189" w:type="dxa"/>
            <w:tcBorders>
              <w:top w:val="single" w:sz="4" w:space="0" w:color="auto"/>
              <w:left w:val="nil"/>
              <w:bottom w:val="nil"/>
              <w:right w:val="nil"/>
            </w:tcBorders>
            <w:shd w:val="clear" w:color="auto" w:fill="F2F2F2"/>
            <w:noWrap/>
            <w:vAlign w:val="bottom"/>
            <w:hideMark/>
          </w:tcPr>
          <w:p w14:paraId="5088ED27"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6" w:type="dxa"/>
            <w:tcBorders>
              <w:top w:val="single" w:sz="4" w:space="0" w:color="auto"/>
              <w:left w:val="nil"/>
              <w:bottom w:val="nil"/>
              <w:right w:val="nil"/>
            </w:tcBorders>
            <w:shd w:val="clear" w:color="auto" w:fill="F2F2F2"/>
            <w:noWrap/>
            <w:vAlign w:val="bottom"/>
            <w:hideMark/>
          </w:tcPr>
          <w:p w14:paraId="2FFED520"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1282" w:type="dxa"/>
            <w:tcBorders>
              <w:top w:val="single" w:sz="4" w:space="0" w:color="auto"/>
              <w:left w:val="nil"/>
              <w:bottom w:val="nil"/>
              <w:right w:val="nil"/>
            </w:tcBorders>
            <w:shd w:val="clear" w:color="auto" w:fill="F2F2F2"/>
            <w:noWrap/>
            <w:vAlign w:val="bottom"/>
            <w:hideMark/>
          </w:tcPr>
          <w:p w14:paraId="5E42EBF0"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4" w:type="dxa"/>
            <w:tcBorders>
              <w:top w:val="single" w:sz="4" w:space="0" w:color="auto"/>
              <w:left w:val="nil"/>
              <w:bottom w:val="nil"/>
              <w:right w:val="nil"/>
            </w:tcBorders>
            <w:shd w:val="clear" w:color="auto" w:fill="F2F2F2"/>
            <w:noWrap/>
            <w:vAlign w:val="bottom"/>
            <w:hideMark/>
          </w:tcPr>
          <w:p w14:paraId="486242AF"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r>
      <w:tr w:rsidR="00331B4B" w:rsidRPr="00834AAA" w14:paraId="5D776AA3" w14:textId="77777777" w:rsidTr="00885AD0">
        <w:trPr>
          <w:trHeight w:val="57"/>
        </w:trPr>
        <w:tc>
          <w:tcPr>
            <w:tcW w:w="1276" w:type="dxa"/>
            <w:tcBorders>
              <w:top w:val="nil"/>
              <w:left w:val="nil"/>
              <w:bottom w:val="nil"/>
              <w:right w:val="single" w:sz="4" w:space="0" w:color="auto"/>
            </w:tcBorders>
            <w:shd w:val="clear" w:color="auto" w:fill="F2F2F2"/>
            <w:vAlign w:val="bottom"/>
          </w:tcPr>
          <w:p w14:paraId="63176C25" w14:textId="77777777" w:rsidR="00ED367C" w:rsidRPr="00834AAA" w:rsidRDefault="00ED367C" w:rsidP="009B23BE">
            <w:pPr>
              <w:spacing w:before="0" w:after="0" w:line="240" w:lineRule="auto"/>
              <w:jc w:val="right"/>
              <w:rPr>
                <w:rFonts w:ascii="Calibri" w:eastAsia="Times New Roman" w:hAnsi="Calibri" w:cs="Times New Roman"/>
                <w:color w:val="000000"/>
                <w:sz w:val="16"/>
                <w:szCs w:val="16"/>
                <w:lang w:eastAsia="en-GB"/>
              </w:rPr>
            </w:pPr>
            <w:r w:rsidRPr="00834AAA">
              <w:rPr>
                <w:rFonts w:ascii="Calibri" w:eastAsia="Times New Roman" w:hAnsi="Calibri" w:cs="Times New Roman"/>
                <w:color w:val="000000"/>
                <w:sz w:val="16"/>
                <w:szCs w:val="16"/>
                <w:lang w:eastAsia="en-GB"/>
              </w:rPr>
              <w:t>16-25</w:t>
            </w:r>
          </w:p>
        </w:tc>
        <w:tc>
          <w:tcPr>
            <w:tcW w:w="1276" w:type="dxa"/>
            <w:tcBorders>
              <w:top w:val="nil"/>
              <w:left w:val="single" w:sz="4" w:space="0" w:color="auto"/>
              <w:bottom w:val="nil"/>
              <w:right w:val="nil"/>
            </w:tcBorders>
            <w:shd w:val="clear" w:color="auto" w:fill="F2F2F2"/>
            <w:noWrap/>
            <w:vAlign w:val="bottom"/>
            <w:hideMark/>
          </w:tcPr>
          <w:p w14:paraId="149CA661" w14:textId="680E546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551/1531 (36</w:t>
            </w:r>
            <w:r w:rsidR="00B10017">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w:t>
            </w:r>
          </w:p>
        </w:tc>
        <w:tc>
          <w:tcPr>
            <w:tcW w:w="1160" w:type="dxa"/>
            <w:tcBorders>
              <w:top w:val="nil"/>
              <w:left w:val="nil"/>
              <w:bottom w:val="nil"/>
              <w:right w:val="nil"/>
            </w:tcBorders>
            <w:shd w:val="clear" w:color="auto" w:fill="F2F2F2"/>
            <w:noWrap/>
            <w:vAlign w:val="bottom"/>
            <w:hideMark/>
          </w:tcPr>
          <w:p w14:paraId="58A79008" w14:textId="3E0D7B93"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83" w:type="dxa"/>
            <w:tcBorders>
              <w:top w:val="nil"/>
              <w:left w:val="nil"/>
              <w:bottom w:val="nil"/>
              <w:right w:val="nil"/>
            </w:tcBorders>
            <w:shd w:val="clear" w:color="auto" w:fill="F2F2F2"/>
            <w:noWrap/>
            <w:vAlign w:val="bottom"/>
            <w:hideMark/>
          </w:tcPr>
          <w:p w14:paraId="2F4D76F9"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F2F2F2"/>
            <w:noWrap/>
            <w:vAlign w:val="bottom"/>
            <w:hideMark/>
          </w:tcPr>
          <w:p w14:paraId="49D9EFCB"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F2F2F2"/>
            <w:noWrap/>
            <w:vAlign w:val="bottom"/>
            <w:hideMark/>
          </w:tcPr>
          <w:p w14:paraId="48D12792"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F2F2F2"/>
            <w:noWrap/>
            <w:vAlign w:val="bottom"/>
            <w:hideMark/>
          </w:tcPr>
          <w:p w14:paraId="1AE7EA4D"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460/1528 (30.1)</w:t>
            </w:r>
          </w:p>
        </w:tc>
        <w:tc>
          <w:tcPr>
            <w:tcW w:w="1175" w:type="dxa"/>
            <w:tcBorders>
              <w:top w:val="nil"/>
              <w:left w:val="nil"/>
              <w:bottom w:val="nil"/>
              <w:right w:val="nil"/>
            </w:tcBorders>
            <w:shd w:val="clear" w:color="auto" w:fill="F2F2F2"/>
            <w:noWrap/>
            <w:vAlign w:val="bottom"/>
            <w:hideMark/>
          </w:tcPr>
          <w:p w14:paraId="4E1452C8" w14:textId="264A7B43"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68" w:type="dxa"/>
            <w:tcBorders>
              <w:top w:val="nil"/>
              <w:left w:val="nil"/>
              <w:bottom w:val="nil"/>
              <w:right w:val="nil"/>
            </w:tcBorders>
            <w:shd w:val="clear" w:color="auto" w:fill="F2F2F2"/>
            <w:noWrap/>
            <w:vAlign w:val="bottom"/>
            <w:hideMark/>
          </w:tcPr>
          <w:p w14:paraId="7CB88F14"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F2F2F2"/>
            <w:noWrap/>
            <w:vAlign w:val="bottom"/>
            <w:hideMark/>
          </w:tcPr>
          <w:p w14:paraId="4F55FCF5"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F2F2F2"/>
            <w:noWrap/>
            <w:vAlign w:val="bottom"/>
            <w:hideMark/>
          </w:tcPr>
          <w:p w14:paraId="30D6253C"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F2F2F2"/>
            <w:noWrap/>
            <w:vAlign w:val="bottom"/>
            <w:hideMark/>
          </w:tcPr>
          <w:p w14:paraId="225F4DA9"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239/1519 (15.7)</w:t>
            </w:r>
          </w:p>
        </w:tc>
        <w:tc>
          <w:tcPr>
            <w:tcW w:w="1189" w:type="dxa"/>
            <w:tcBorders>
              <w:top w:val="nil"/>
              <w:left w:val="nil"/>
              <w:bottom w:val="nil"/>
              <w:right w:val="nil"/>
            </w:tcBorders>
            <w:shd w:val="clear" w:color="auto" w:fill="F2F2F2"/>
            <w:noWrap/>
            <w:vAlign w:val="bottom"/>
            <w:hideMark/>
          </w:tcPr>
          <w:p w14:paraId="3D32FE39" w14:textId="12679069"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6" w:type="dxa"/>
            <w:tcBorders>
              <w:top w:val="nil"/>
              <w:left w:val="nil"/>
              <w:bottom w:val="nil"/>
              <w:right w:val="nil"/>
            </w:tcBorders>
            <w:shd w:val="clear" w:color="auto" w:fill="F2F2F2"/>
            <w:noWrap/>
            <w:vAlign w:val="bottom"/>
            <w:hideMark/>
          </w:tcPr>
          <w:p w14:paraId="684FA287"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F2F2F2"/>
            <w:noWrap/>
            <w:vAlign w:val="bottom"/>
            <w:hideMark/>
          </w:tcPr>
          <w:p w14:paraId="521AFC5E"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4" w:type="dxa"/>
            <w:tcBorders>
              <w:top w:val="nil"/>
              <w:left w:val="nil"/>
              <w:bottom w:val="nil"/>
              <w:right w:val="nil"/>
            </w:tcBorders>
            <w:shd w:val="clear" w:color="auto" w:fill="F2F2F2"/>
            <w:noWrap/>
            <w:vAlign w:val="bottom"/>
            <w:hideMark/>
          </w:tcPr>
          <w:p w14:paraId="70508E7E"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33449B56" w14:textId="77777777" w:rsidTr="00885AD0">
        <w:trPr>
          <w:trHeight w:val="57"/>
        </w:trPr>
        <w:tc>
          <w:tcPr>
            <w:tcW w:w="1276" w:type="dxa"/>
            <w:tcBorders>
              <w:top w:val="nil"/>
              <w:left w:val="nil"/>
              <w:bottom w:val="nil"/>
              <w:right w:val="single" w:sz="4" w:space="0" w:color="auto"/>
            </w:tcBorders>
            <w:shd w:val="clear" w:color="auto" w:fill="F2F2F2"/>
            <w:vAlign w:val="bottom"/>
          </w:tcPr>
          <w:p w14:paraId="4942DA96"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26-35</w:t>
            </w:r>
          </w:p>
        </w:tc>
        <w:tc>
          <w:tcPr>
            <w:tcW w:w="1276" w:type="dxa"/>
            <w:tcBorders>
              <w:top w:val="nil"/>
              <w:left w:val="single" w:sz="4" w:space="0" w:color="auto"/>
              <w:bottom w:val="nil"/>
              <w:right w:val="nil"/>
            </w:tcBorders>
            <w:shd w:val="clear" w:color="auto" w:fill="F2F2F2"/>
            <w:noWrap/>
            <w:vAlign w:val="bottom"/>
            <w:hideMark/>
          </w:tcPr>
          <w:p w14:paraId="24C8917F"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671/1656 (40.5)</w:t>
            </w:r>
          </w:p>
        </w:tc>
        <w:tc>
          <w:tcPr>
            <w:tcW w:w="1160" w:type="dxa"/>
            <w:tcBorders>
              <w:top w:val="nil"/>
              <w:left w:val="nil"/>
              <w:bottom w:val="nil"/>
              <w:right w:val="nil"/>
            </w:tcBorders>
            <w:shd w:val="clear" w:color="auto" w:fill="F2F2F2"/>
            <w:noWrap/>
            <w:vAlign w:val="bottom"/>
            <w:hideMark/>
          </w:tcPr>
          <w:p w14:paraId="3D828948" w14:textId="2A1BC22B"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1.21 (1.05</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1.4</w:t>
            </w:r>
            <w:r w:rsidR="001E14F8">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w:t>
            </w:r>
          </w:p>
        </w:tc>
        <w:tc>
          <w:tcPr>
            <w:tcW w:w="683" w:type="dxa"/>
            <w:tcBorders>
              <w:top w:val="nil"/>
              <w:left w:val="nil"/>
              <w:bottom w:val="nil"/>
              <w:right w:val="nil"/>
            </w:tcBorders>
            <w:shd w:val="clear" w:color="auto" w:fill="F2F2F2"/>
            <w:noWrap/>
            <w:vAlign w:val="bottom"/>
            <w:hideMark/>
          </w:tcPr>
          <w:p w14:paraId="53D96852"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F2F2F2"/>
            <w:noWrap/>
            <w:vAlign w:val="bottom"/>
            <w:hideMark/>
          </w:tcPr>
          <w:p w14:paraId="5683F179"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F2F2F2"/>
            <w:noWrap/>
            <w:vAlign w:val="bottom"/>
            <w:hideMark/>
          </w:tcPr>
          <w:p w14:paraId="1ED38713"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F2F2F2"/>
            <w:noWrap/>
            <w:vAlign w:val="bottom"/>
            <w:hideMark/>
          </w:tcPr>
          <w:p w14:paraId="33F1AEC2"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482/1653 (29.2)</w:t>
            </w:r>
          </w:p>
        </w:tc>
        <w:tc>
          <w:tcPr>
            <w:tcW w:w="1175" w:type="dxa"/>
            <w:tcBorders>
              <w:top w:val="nil"/>
              <w:left w:val="nil"/>
              <w:bottom w:val="nil"/>
              <w:right w:val="nil"/>
            </w:tcBorders>
            <w:shd w:val="clear" w:color="auto" w:fill="F2F2F2"/>
            <w:noWrap/>
            <w:vAlign w:val="bottom"/>
            <w:hideMark/>
          </w:tcPr>
          <w:p w14:paraId="59CA0D8F" w14:textId="05F4C40A"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0.96 (0.82</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1.11)</w:t>
            </w:r>
          </w:p>
        </w:tc>
        <w:tc>
          <w:tcPr>
            <w:tcW w:w="668" w:type="dxa"/>
            <w:tcBorders>
              <w:top w:val="nil"/>
              <w:left w:val="nil"/>
              <w:bottom w:val="nil"/>
              <w:right w:val="nil"/>
            </w:tcBorders>
            <w:shd w:val="clear" w:color="auto" w:fill="F2F2F2"/>
            <w:noWrap/>
            <w:vAlign w:val="bottom"/>
            <w:hideMark/>
          </w:tcPr>
          <w:p w14:paraId="377712EC"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F2F2F2"/>
            <w:noWrap/>
            <w:vAlign w:val="bottom"/>
            <w:hideMark/>
          </w:tcPr>
          <w:p w14:paraId="6E1DB7C1"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F2F2F2"/>
            <w:noWrap/>
            <w:vAlign w:val="bottom"/>
            <w:hideMark/>
          </w:tcPr>
          <w:p w14:paraId="051F6705"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F2F2F2"/>
            <w:noWrap/>
            <w:vAlign w:val="bottom"/>
            <w:hideMark/>
          </w:tcPr>
          <w:p w14:paraId="20BFE0B1"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443/1652 (26.8)</w:t>
            </w:r>
          </w:p>
        </w:tc>
        <w:tc>
          <w:tcPr>
            <w:tcW w:w="1189" w:type="dxa"/>
            <w:tcBorders>
              <w:top w:val="nil"/>
              <w:left w:val="nil"/>
              <w:bottom w:val="nil"/>
              <w:right w:val="nil"/>
            </w:tcBorders>
            <w:shd w:val="clear" w:color="auto" w:fill="F2F2F2"/>
            <w:noWrap/>
            <w:vAlign w:val="bottom"/>
            <w:hideMark/>
          </w:tcPr>
          <w:p w14:paraId="7C1BB0C7" w14:textId="1A117400"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1.96 (1.65</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2.34)</w:t>
            </w:r>
          </w:p>
        </w:tc>
        <w:tc>
          <w:tcPr>
            <w:tcW w:w="636" w:type="dxa"/>
            <w:tcBorders>
              <w:top w:val="nil"/>
              <w:left w:val="nil"/>
              <w:bottom w:val="nil"/>
              <w:right w:val="nil"/>
            </w:tcBorders>
            <w:shd w:val="clear" w:color="auto" w:fill="F2F2F2"/>
            <w:noWrap/>
            <w:vAlign w:val="bottom"/>
            <w:hideMark/>
          </w:tcPr>
          <w:p w14:paraId="4D59B143"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F2F2F2"/>
            <w:noWrap/>
            <w:vAlign w:val="bottom"/>
            <w:hideMark/>
          </w:tcPr>
          <w:p w14:paraId="04F231A2"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4" w:type="dxa"/>
            <w:tcBorders>
              <w:top w:val="nil"/>
              <w:left w:val="nil"/>
              <w:bottom w:val="nil"/>
              <w:right w:val="nil"/>
            </w:tcBorders>
            <w:shd w:val="clear" w:color="auto" w:fill="F2F2F2"/>
            <w:noWrap/>
            <w:vAlign w:val="bottom"/>
            <w:hideMark/>
          </w:tcPr>
          <w:p w14:paraId="5A66C29B"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6186848C" w14:textId="77777777" w:rsidTr="00885AD0">
        <w:trPr>
          <w:trHeight w:val="57"/>
        </w:trPr>
        <w:tc>
          <w:tcPr>
            <w:tcW w:w="1276" w:type="dxa"/>
            <w:tcBorders>
              <w:top w:val="nil"/>
              <w:left w:val="nil"/>
              <w:bottom w:val="nil"/>
              <w:right w:val="single" w:sz="4" w:space="0" w:color="auto"/>
            </w:tcBorders>
            <w:shd w:val="clear" w:color="auto" w:fill="F2F2F2"/>
            <w:vAlign w:val="bottom"/>
          </w:tcPr>
          <w:p w14:paraId="6A0802B7"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36-45</w:t>
            </w:r>
          </w:p>
        </w:tc>
        <w:tc>
          <w:tcPr>
            <w:tcW w:w="1276" w:type="dxa"/>
            <w:tcBorders>
              <w:top w:val="nil"/>
              <w:left w:val="single" w:sz="4" w:space="0" w:color="auto"/>
              <w:bottom w:val="nil"/>
              <w:right w:val="nil"/>
            </w:tcBorders>
            <w:shd w:val="clear" w:color="auto" w:fill="F2F2F2"/>
            <w:noWrap/>
            <w:vAlign w:val="bottom"/>
            <w:hideMark/>
          </w:tcPr>
          <w:p w14:paraId="505D0377" w14:textId="08C8D74D"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624/1329 (47</w:t>
            </w:r>
            <w:r w:rsidR="00B10017">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w:t>
            </w:r>
          </w:p>
        </w:tc>
        <w:tc>
          <w:tcPr>
            <w:tcW w:w="1160" w:type="dxa"/>
            <w:tcBorders>
              <w:top w:val="nil"/>
              <w:left w:val="nil"/>
              <w:bottom w:val="nil"/>
              <w:right w:val="nil"/>
            </w:tcBorders>
            <w:shd w:val="clear" w:color="auto" w:fill="F2F2F2"/>
            <w:noWrap/>
            <w:vAlign w:val="bottom"/>
            <w:hideMark/>
          </w:tcPr>
          <w:p w14:paraId="1B5AD608" w14:textId="2A9BD89A"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1.57 (1.35</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1.83)</w:t>
            </w:r>
          </w:p>
        </w:tc>
        <w:tc>
          <w:tcPr>
            <w:tcW w:w="683" w:type="dxa"/>
            <w:tcBorders>
              <w:top w:val="nil"/>
              <w:left w:val="nil"/>
              <w:bottom w:val="nil"/>
              <w:right w:val="nil"/>
            </w:tcBorders>
            <w:shd w:val="clear" w:color="auto" w:fill="F2F2F2"/>
            <w:noWrap/>
            <w:vAlign w:val="bottom"/>
            <w:hideMark/>
          </w:tcPr>
          <w:p w14:paraId="06D1B6AB"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F2F2F2"/>
            <w:noWrap/>
            <w:vAlign w:val="bottom"/>
            <w:hideMark/>
          </w:tcPr>
          <w:p w14:paraId="365975B8"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F2F2F2"/>
            <w:noWrap/>
            <w:vAlign w:val="bottom"/>
            <w:hideMark/>
          </w:tcPr>
          <w:p w14:paraId="2105E525"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F2F2F2"/>
            <w:noWrap/>
            <w:vAlign w:val="bottom"/>
            <w:hideMark/>
          </w:tcPr>
          <w:p w14:paraId="7A3472FC"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338/1324 (25.5)</w:t>
            </w:r>
          </w:p>
        </w:tc>
        <w:tc>
          <w:tcPr>
            <w:tcW w:w="1175" w:type="dxa"/>
            <w:tcBorders>
              <w:top w:val="nil"/>
              <w:left w:val="nil"/>
              <w:bottom w:val="nil"/>
              <w:right w:val="nil"/>
            </w:tcBorders>
            <w:shd w:val="clear" w:color="auto" w:fill="F2F2F2"/>
            <w:noWrap/>
            <w:vAlign w:val="bottom"/>
            <w:hideMark/>
          </w:tcPr>
          <w:p w14:paraId="492C36BE" w14:textId="37D1530E"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0.8</w:t>
            </w:r>
            <w:r w:rsidR="001E14F8">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 xml:space="preserve"> (0.67</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0.94)</w:t>
            </w:r>
          </w:p>
        </w:tc>
        <w:tc>
          <w:tcPr>
            <w:tcW w:w="668" w:type="dxa"/>
            <w:tcBorders>
              <w:top w:val="nil"/>
              <w:left w:val="nil"/>
              <w:bottom w:val="nil"/>
              <w:right w:val="nil"/>
            </w:tcBorders>
            <w:shd w:val="clear" w:color="auto" w:fill="F2F2F2"/>
            <w:noWrap/>
            <w:vAlign w:val="bottom"/>
            <w:hideMark/>
          </w:tcPr>
          <w:p w14:paraId="403CE0FA"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F2F2F2"/>
            <w:noWrap/>
            <w:vAlign w:val="bottom"/>
            <w:hideMark/>
          </w:tcPr>
          <w:p w14:paraId="7A8FBB5F"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F2F2F2"/>
            <w:noWrap/>
            <w:vAlign w:val="bottom"/>
            <w:hideMark/>
          </w:tcPr>
          <w:p w14:paraId="77142292"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F2F2F2"/>
            <w:noWrap/>
            <w:vAlign w:val="bottom"/>
            <w:hideMark/>
          </w:tcPr>
          <w:p w14:paraId="5A7F2D01"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288/1330 (21.7)</w:t>
            </w:r>
          </w:p>
        </w:tc>
        <w:tc>
          <w:tcPr>
            <w:tcW w:w="1189" w:type="dxa"/>
            <w:tcBorders>
              <w:top w:val="nil"/>
              <w:left w:val="nil"/>
              <w:bottom w:val="nil"/>
              <w:right w:val="nil"/>
            </w:tcBorders>
            <w:shd w:val="clear" w:color="auto" w:fill="F2F2F2"/>
            <w:noWrap/>
            <w:vAlign w:val="bottom"/>
            <w:hideMark/>
          </w:tcPr>
          <w:p w14:paraId="5BEE63D7" w14:textId="746C0205"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1.48 (1.22</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1.79)</w:t>
            </w:r>
          </w:p>
        </w:tc>
        <w:tc>
          <w:tcPr>
            <w:tcW w:w="636" w:type="dxa"/>
            <w:tcBorders>
              <w:top w:val="nil"/>
              <w:left w:val="nil"/>
              <w:bottom w:val="nil"/>
              <w:right w:val="nil"/>
            </w:tcBorders>
            <w:shd w:val="clear" w:color="auto" w:fill="F2F2F2"/>
            <w:noWrap/>
            <w:vAlign w:val="bottom"/>
            <w:hideMark/>
          </w:tcPr>
          <w:p w14:paraId="63791F32"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F2F2F2"/>
            <w:noWrap/>
            <w:vAlign w:val="bottom"/>
            <w:hideMark/>
          </w:tcPr>
          <w:p w14:paraId="38AEB72D"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4" w:type="dxa"/>
            <w:tcBorders>
              <w:top w:val="nil"/>
              <w:left w:val="nil"/>
              <w:bottom w:val="nil"/>
              <w:right w:val="nil"/>
            </w:tcBorders>
            <w:shd w:val="clear" w:color="auto" w:fill="F2F2F2"/>
            <w:noWrap/>
            <w:vAlign w:val="bottom"/>
            <w:hideMark/>
          </w:tcPr>
          <w:p w14:paraId="21B61669"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5028F002" w14:textId="77777777" w:rsidTr="00885AD0">
        <w:trPr>
          <w:trHeight w:val="57"/>
        </w:trPr>
        <w:tc>
          <w:tcPr>
            <w:tcW w:w="1276" w:type="dxa"/>
            <w:tcBorders>
              <w:top w:val="nil"/>
              <w:left w:val="nil"/>
              <w:bottom w:val="nil"/>
              <w:right w:val="single" w:sz="4" w:space="0" w:color="auto"/>
            </w:tcBorders>
            <w:shd w:val="clear" w:color="auto" w:fill="F2F2F2"/>
            <w:vAlign w:val="bottom"/>
          </w:tcPr>
          <w:p w14:paraId="0097D6DD"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&gt;45</w:t>
            </w:r>
          </w:p>
        </w:tc>
        <w:tc>
          <w:tcPr>
            <w:tcW w:w="1276" w:type="dxa"/>
            <w:tcBorders>
              <w:top w:val="nil"/>
              <w:left w:val="single" w:sz="4" w:space="0" w:color="auto"/>
              <w:bottom w:val="nil"/>
              <w:right w:val="nil"/>
            </w:tcBorders>
            <w:shd w:val="clear" w:color="auto" w:fill="F2F2F2"/>
            <w:noWrap/>
            <w:vAlign w:val="bottom"/>
            <w:hideMark/>
          </w:tcPr>
          <w:p w14:paraId="5C1A9441"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659/1254 (52.6)</w:t>
            </w:r>
          </w:p>
        </w:tc>
        <w:tc>
          <w:tcPr>
            <w:tcW w:w="1160" w:type="dxa"/>
            <w:tcBorders>
              <w:top w:val="nil"/>
              <w:left w:val="nil"/>
              <w:bottom w:val="nil"/>
              <w:right w:val="nil"/>
            </w:tcBorders>
            <w:shd w:val="clear" w:color="auto" w:fill="F2F2F2"/>
            <w:noWrap/>
            <w:vAlign w:val="bottom"/>
            <w:hideMark/>
          </w:tcPr>
          <w:p w14:paraId="02B675C2" w14:textId="6E967406"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1.97 (1.69</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2.29)</w:t>
            </w:r>
          </w:p>
        </w:tc>
        <w:tc>
          <w:tcPr>
            <w:tcW w:w="683" w:type="dxa"/>
            <w:tcBorders>
              <w:top w:val="nil"/>
              <w:left w:val="nil"/>
              <w:bottom w:val="nil"/>
              <w:right w:val="nil"/>
            </w:tcBorders>
            <w:shd w:val="clear" w:color="auto" w:fill="F2F2F2"/>
            <w:noWrap/>
            <w:vAlign w:val="bottom"/>
            <w:hideMark/>
          </w:tcPr>
          <w:p w14:paraId="2CD040E2"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&lt;0.001</w:t>
            </w:r>
          </w:p>
        </w:tc>
        <w:tc>
          <w:tcPr>
            <w:tcW w:w="1205" w:type="dxa"/>
            <w:tcBorders>
              <w:top w:val="nil"/>
              <w:left w:val="nil"/>
              <w:bottom w:val="nil"/>
              <w:right w:val="nil"/>
            </w:tcBorders>
            <w:shd w:val="clear" w:color="auto" w:fill="F2F2F2"/>
            <w:noWrap/>
            <w:vAlign w:val="bottom"/>
            <w:hideMark/>
          </w:tcPr>
          <w:p w14:paraId="4C55FACA"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F2F2F2"/>
            <w:noWrap/>
            <w:vAlign w:val="bottom"/>
            <w:hideMark/>
          </w:tcPr>
          <w:p w14:paraId="1982FC50"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F2F2F2"/>
            <w:noWrap/>
            <w:vAlign w:val="bottom"/>
            <w:hideMark/>
          </w:tcPr>
          <w:p w14:paraId="5116563D"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189/1250 (15.1)</w:t>
            </w:r>
          </w:p>
        </w:tc>
        <w:tc>
          <w:tcPr>
            <w:tcW w:w="1175" w:type="dxa"/>
            <w:tcBorders>
              <w:top w:val="nil"/>
              <w:left w:val="nil"/>
              <w:bottom w:val="nil"/>
              <w:right w:val="nil"/>
            </w:tcBorders>
            <w:shd w:val="clear" w:color="auto" w:fill="F2F2F2"/>
            <w:noWrap/>
            <w:vAlign w:val="bottom"/>
            <w:hideMark/>
          </w:tcPr>
          <w:p w14:paraId="60F73F72" w14:textId="1CEDEDE9"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0.41 (0.34</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0.5</w:t>
            </w:r>
            <w:r w:rsidR="001E14F8">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w:t>
            </w:r>
          </w:p>
        </w:tc>
        <w:tc>
          <w:tcPr>
            <w:tcW w:w="668" w:type="dxa"/>
            <w:tcBorders>
              <w:top w:val="nil"/>
              <w:left w:val="nil"/>
              <w:bottom w:val="nil"/>
              <w:right w:val="nil"/>
            </w:tcBorders>
            <w:shd w:val="clear" w:color="auto" w:fill="F2F2F2"/>
            <w:noWrap/>
            <w:vAlign w:val="bottom"/>
            <w:hideMark/>
          </w:tcPr>
          <w:p w14:paraId="0849D7BA"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&lt;0.001</w:t>
            </w:r>
          </w:p>
        </w:tc>
        <w:tc>
          <w:tcPr>
            <w:tcW w:w="1220" w:type="dxa"/>
            <w:tcBorders>
              <w:top w:val="nil"/>
              <w:left w:val="nil"/>
              <w:bottom w:val="nil"/>
              <w:right w:val="nil"/>
            </w:tcBorders>
            <w:shd w:val="clear" w:color="auto" w:fill="F2F2F2"/>
            <w:noWrap/>
            <w:vAlign w:val="bottom"/>
            <w:hideMark/>
          </w:tcPr>
          <w:p w14:paraId="13E5AFD9"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F2F2F2"/>
            <w:noWrap/>
            <w:vAlign w:val="bottom"/>
            <w:hideMark/>
          </w:tcPr>
          <w:p w14:paraId="6D97D0ED"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F2F2F2"/>
            <w:noWrap/>
            <w:vAlign w:val="bottom"/>
            <w:hideMark/>
          </w:tcPr>
          <w:p w14:paraId="7436FDAB"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133/1254 (10.6)</w:t>
            </w:r>
          </w:p>
        </w:tc>
        <w:tc>
          <w:tcPr>
            <w:tcW w:w="1189" w:type="dxa"/>
            <w:tcBorders>
              <w:top w:val="nil"/>
              <w:left w:val="nil"/>
              <w:bottom w:val="nil"/>
              <w:right w:val="nil"/>
            </w:tcBorders>
            <w:shd w:val="clear" w:color="auto" w:fill="F2F2F2"/>
            <w:noWrap/>
            <w:vAlign w:val="bottom"/>
            <w:hideMark/>
          </w:tcPr>
          <w:p w14:paraId="7CAE86C6" w14:textId="6ECCD47D"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0.64 (0.51</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0.8</w:t>
            </w:r>
            <w:r w:rsidR="001E14F8">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w:t>
            </w:r>
          </w:p>
        </w:tc>
        <w:tc>
          <w:tcPr>
            <w:tcW w:w="636" w:type="dxa"/>
            <w:tcBorders>
              <w:top w:val="nil"/>
              <w:left w:val="nil"/>
              <w:bottom w:val="nil"/>
              <w:right w:val="nil"/>
            </w:tcBorders>
            <w:shd w:val="clear" w:color="auto" w:fill="F2F2F2"/>
            <w:noWrap/>
            <w:vAlign w:val="bottom"/>
            <w:hideMark/>
          </w:tcPr>
          <w:p w14:paraId="4E754B4C"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&lt;0.001</w:t>
            </w:r>
          </w:p>
        </w:tc>
        <w:tc>
          <w:tcPr>
            <w:tcW w:w="1282" w:type="dxa"/>
            <w:tcBorders>
              <w:top w:val="nil"/>
              <w:left w:val="nil"/>
              <w:bottom w:val="nil"/>
              <w:right w:val="nil"/>
            </w:tcBorders>
            <w:shd w:val="clear" w:color="auto" w:fill="F2F2F2"/>
            <w:noWrap/>
            <w:vAlign w:val="bottom"/>
            <w:hideMark/>
          </w:tcPr>
          <w:p w14:paraId="04D675B5"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4" w:type="dxa"/>
            <w:tcBorders>
              <w:top w:val="nil"/>
              <w:left w:val="nil"/>
              <w:bottom w:val="nil"/>
              <w:right w:val="nil"/>
            </w:tcBorders>
            <w:shd w:val="clear" w:color="auto" w:fill="F2F2F2"/>
            <w:noWrap/>
            <w:vAlign w:val="bottom"/>
            <w:hideMark/>
          </w:tcPr>
          <w:p w14:paraId="326E6517"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0A2012AA" w14:textId="77777777" w:rsidTr="00885AD0">
        <w:trPr>
          <w:trHeight w:val="57"/>
        </w:trPr>
        <w:tc>
          <w:tcPr>
            <w:tcW w:w="1276" w:type="dxa"/>
            <w:tcBorders>
              <w:top w:val="nil"/>
              <w:left w:val="nil"/>
              <w:bottom w:val="nil"/>
              <w:right w:val="single" w:sz="4" w:space="0" w:color="auto"/>
            </w:tcBorders>
            <w:vAlign w:val="bottom"/>
          </w:tcPr>
          <w:p w14:paraId="4D8C4F99" w14:textId="77777777" w:rsidR="00ED367C" w:rsidRPr="00834AAA" w:rsidRDefault="00ED367C" w:rsidP="009B23BE">
            <w:pPr>
              <w:spacing w:before="0" w:after="0" w:line="240" w:lineRule="auto"/>
              <w:rPr>
                <w:rFonts w:ascii="Calibri" w:eastAsia="Times New Roman" w:hAnsi="Calibri" w:cs="Times New Roman"/>
                <w:b/>
                <w:color w:val="000000"/>
                <w:sz w:val="14"/>
                <w:szCs w:val="14"/>
                <w:lang w:eastAsia="en-GB"/>
              </w:rPr>
            </w:pPr>
            <w:r w:rsidRPr="00834AAA">
              <w:rPr>
                <w:rFonts w:ascii="Calibri" w:eastAsia="Times New Roman" w:hAnsi="Calibri" w:cs="Times New Roman"/>
                <w:b/>
                <w:color w:val="000000"/>
                <w:sz w:val="14"/>
                <w:szCs w:val="14"/>
                <w:lang w:eastAsia="en-GB"/>
              </w:rPr>
              <w:t>Ethnicity</w:t>
            </w:r>
          </w:p>
        </w:tc>
        <w:tc>
          <w:tcPr>
            <w:tcW w:w="1276" w:type="dxa"/>
            <w:tcBorders>
              <w:top w:val="nil"/>
              <w:left w:val="single" w:sz="4" w:space="0" w:color="auto"/>
              <w:bottom w:val="nil"/>
              <w:right w:val="nil"/>
            </w:tcBorders>
            <w:shd w:val="clear" w:color="auto" w:fill="auto"/>
            <w:noWrap/>
            <w:vAlign w:val="bottom"/>
            <w:hideMark/>
          </w:tcPr>
          <w:p w14:paraId="1AD67661"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60" w:type="dxa"/>
            <w:tcBorders>
              <w:top w:val="nil"/>
              <w:left w:val="nil"/>
              <w:bottom w:val="nil"/>
              <w:right w:val="nil"/>
            </w:tcBorders>
            <w:shd w:val="clear" w:color="auto" w:fill="auto"/>
            <w:noWrap/>
            <w:vAlign w:val="bottom"/>
            <w:hideMark/>
          </w:tcPr>
          <w:p w14:paraId="308819E4"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83" w:type="dxa"/>
            <w:tcBorders>
              <w:top w:val="nil"/>
              <w:left w:val="nil"/>
              <w:bottom w:val="nil"/>
              <w:right w:val="nil"/>
            </w:tcBorders>
            <w:shd w:val="clear" w:color="auto" w:fill="auto"/>
            <w:noWrap/>
            <w:vAlign w:val="bottom"/>
            <w:hideMark/>
          </w:tcPr>
          <w:p w14:paraId="70561193"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auto"/>
            <w:noWrap/>
            <w:vAlign w:val="bottom"/>
            <w:hideMark/>
          </w:tcPr>
          <w:p w14:paraId="30ED14C3"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auto"/>
            <w:noWrap/>
            <w:vAlign w:val="bottom"/>
            <w:hideMark/>
          </w:tcPr>
          <w:p w14:paraId="12424719"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auto"/>
            <w:noWrap/>
            <w:vAlign w:val="bottom"/>
            <w:hideMark/>
          </w:tcPr>
          <w:p w14:paraId="13AE3DC9"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75" w:type="dxa"/>
            <w:tcBorders>
              <w:top w:val="nil"/>
              <w:left w:val="nil"/>
              <w:bottom w:val="nil"/>
              <w:right w:val="nil"/>
            </w:tcBorders>
            <w:shd w:val="clear" w:color="auto" w:fill="auto"/>
            <w:noWrap/>
            <w:vAlign w:val="bottom"/>
            <w:hideMark/>
          </w:tcPr>
          <w:p w14:paraId="1E85083C"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68" w:type="dxa"/>
            <w:tcBorders>
              <w:top w:val="nil"/>
              <w:left w:val="nil"/>
              <w:bottom w:val="nil"/>
              <w:right w:val="nil"/>
            </w:tcBorders>
            <w:shd w:val="clear" w:color="auto" w:fill="auto"/>
            <w:noWrap/>
            <w:vAlign w:val="bottom"/>
            <w:hideMark/>
          </w:tcPr>
          <w:p w14:paraId="7099B2D2"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auto"/>
            <w:noWrap/>
            <w:vAlign w:val="bottom"/>
            <w:hideMark/>
          </w:tcPr>
          <w:p w14:paraId="536E1800"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auto"/>
            <w:noWrap/>
            <w:vAlign w:val="bottom"/>
            <w:hideMark/>
          </w:tcPr>
          <w:p w14:paraId="419B9FA0"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auto"/>
            <w:noWrap/>
            <w:vAlign w:val="bottom"/>
            <w:hideMark/>
          </w:tcPr>
          <w:p w14:paraId="0A479EFC"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89" w:type="dxa"/>
            <w:tcBorders>
              <w:top w:val="nil"/>
              <w:left w:val="nil"/>
              <w:bottom w:val="nil"/>
              <w:right w:val="nil"/>
            </w:tcBorders>
            <w:shd w:val="clear" w:color="auto" w:fill="auto"/>
            <w:noWrap/>
            <w:vAlign w:val="bottom"/>
            <w:hideMark/>
          </w:tcPr>
          <w:p w14:paraId="78AAE590"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6" w:type="dxa"/>
            <w:tcBorders>
              <w:top w:val="nil"/>
              <w:left w:val="nil"/>
              <w:bottom w:val="nil"/>
              <w:right w:val="nil"/>
            </w:tcBorders>
            <w:shd w:val="clear" w:color="auto" w:fill="auto"/>
            <w:noWrap/>
            <w:vAlign w:val="bottom"/>
            <w:hideMark/>
          </w:tcPr>
          <w:p w14:paraId="4F35B21C"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auto"/>
            <w:noWrap/>
            <w:vAlign w:val="bottom"/>
            <w:hideMark/>
          </w:tcPr>
          <w:p w14:paraId="59FEAC1E"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4" w:type="dxa"/>
            <w:tcBorders>
              <w:top w:val="nil"/>
              <w:left w:val="nil"/>
              <w:bottom w:val="nil"/>
              <w:right w:val="nil"/>
            </w:tcBorders>
            <w:shd w:val="clear" w:color="auto" w:fill="auto"/>
            <w:noWrap/>
            <w:vAlign w:val="bottom"/>
            <w:hideMark/>
          </w:tcPr>
          <w:p w14:paraId="1A1DF3D6"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1CAF92FE" w14:textId="77777777" w:rsidTr="00885AD0">
        <w:trPr>
          <w:trHeight w:val="57"/>
        </w:trPr>
        <w:tc>
          <w:tcPr>
            <w:tcW w:w="1276" w:type="dxa"/>
            <w:tcBorders>
              <w:top w:val="nil"/>
              <w:left w:val="nil"/>
              <w:bottom w:val="nil"/>
              <w:right w:val="single" w:sz="4" w:space="0" w:color="auto"/>
            </w:tcBorders>
            <w:vAlign w:val="bottom"/>
          </w:tcPr>
          <w:p w14:paraId="0B78C6E6" w14:textId="4300BF3D" w:rsidR="00ED367C" w:rsidRPr="00834AAA" w:rsidRDefault="00ED367C" w:rsidP="00AE10D2">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White</w:t>
            </w:r>
          </w:p>
        </w:tc>
        <w:tc>
          <w:tcPr>
            <w:tcW w:w="1276" w:type="dxa"/>
            <w:tcBorders>
              <w:top w:val="nil"/>
              <w:left w:val="single" w:sz="4" w:space="0" w:color="auto"/>
              <w:bottom w:val="nil"/>
              <w:right w:val="nil"/>
            </w:tcBorders>
            <w:shd w:val="clear" w:color="auto" w:fill="auto"/>
            <w:noWrap/>
            <w:vAlign w:val="bottom"/>
            <w:hideMark/>
          </w:tcPr>
          <w:p w14:paraId="33730F71"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2381/5448 (43.7)</w:t>
            </w:r>
          </w:p>
        </w:tc>
        <w:tc>
          <w:tcPr>
            <w:tcW w:w="1160" w:type="dxa"/>
            <w:tcBorders>
              <w:top w:val="nil"/>
              <w:left w:val="nil"/>
              <w:bottom w:val="nil"/>
              <w:right w:val="nil"/>
            </w:tcBorders>
            <w:shd w:val="clear" w:color="auto" w:fill="auto"/>
            <w:noWrap/>
            <w:vAlign w:val="bottom"/>
            <w:hideMark/>
          </w:tcPr>
          <w:p w14:paraId="60242A21" w14:textId="0EB55C82"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83" w:type="dxa"/>
            <w:tcBorders>
              <w:top w:val="nil"/>
              <w:left w:val="nil"/>
              <w:bottom w:val="nil"/>
              <w:right w:val="nil"/>
            </w:tcBorders>
            <w:shd w:val="clear" w:color="auto" w:fill="auto"/>
            <w:noWrap/>
            <w:vAlign w:val="bottom"/>
            <w:hideMark/>
          </w:tcPr>
          <w:p w14:paraId="66712A26"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auto"/>
            <w:noWrap/>
            <w:vAlign w:val="bottom"/>
            <w:hideMark/>
          </w:tcPr>
          <w:p w14:paraId="1E6ADECE" w14:textId="5EAA966E"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8" w:type="dxa"/>
            <w:tcBorders>
              <w:top w:val="nil"/>
              <w:left w:val="nil"/>
              <w:bottom w:val="nil"/>
              <w:right w:val="single" w:sz="4" w:space="0" w:color="auto"/>
            </w:tcBorders>
            <w:shd w:val="clear" w:color="auto" w:fill="auto"/>
            <w:noWrap/>
            <w:vAlign w:val="bottom"/>
            <w:hideMark/>
          </w:tcPr>
          <w:p w14:paraId="04F24700"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auto"/>
            <w:noWrap/>
            <w:vAlign w:val="bottom"/>
            <w:hideMark/>
          </w:tcPr>
          <w:p w14:paraId="5D9A8D63"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1381/5433 (25.4)</w:t>
            </w:r>
          </w:p>
        </w:tc>
        <w:tc>
          <w:tcPr>
            <w:tcW w:w="1175" w:type="dxa"/>
            <w:tcBorders>
              <w:top w:val="nil"/>
              <w:left w:val="nil"/>
              <w:bottom w:val="nil"/>
              <w:right w:val="nil"/>
            </w:tcBorders>
            <w:shd w:val="clear" w:color="auto" w:fill="auto"/>
            <w:noWrap/>
            <w:vAlign w:val="bottom"/>
            <w:hideMark/>
          </w:tcPr>
          <w:p w14:paraId="0D2EE642" w14:textId="5159E46F"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68" w:type="dxa"/>
            <w:tcBorders>
              <w:top w:val="nil"/>
              <w:left w:val="nil"/>
              <w:bottom w:val="nil"/>
              <w:right w:val="nil"/>
            </w:tcBorders>
            <w:shd w:val="clear" w:color="auto" w:fill="auto"/>
            <w:noWrap/>
            <w:vAlign w:val="bottom"/>
            <w:hideMark/>
          </w:tcPr>
          <w:p w14:paraId="5B443CE7"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auto"/>
            <w:noWrap/>
            <w:vAlign w:val="bottom"/>
            <w:hideMark/>
          </w:tcPr>
          <w:p w14:paraId="63E15C55" w14:textId="009D5470"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8" w:type="dxa"/>
            <w:tcBorders>
              <w:top w:val="nil"/>
              <w:left w:val="nil"/>
              <w:bottom w:val="nil"/>
              <w:right w:val="single" w:sz="4" w:space="0" w:color="auto"/>
            </w:tcBorders>
            <w:shd w:val="clear" w:color="auto" w:fill="auto"/>
            <w:noWrap/>
            <w:vAlign w:val="bottom"/>
            <w:hideMark/>
          </w:tcPr>
          <w:p w14:paraId="57A010BA"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auto"/>
            <w:noWrap/>
            <w:vAlign w:val="bottom"/>
            <w:hideMark/>
          </w:tcPr>
          <w:p w14:paraId="32AEA655"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1028/5436 (18.9)</w:t>
            </w:r>
          </w:p>
        </w:tc>
        <w:tc>
          <w:tcPr>
            <w:tcW w:w="1189" w:type="dxa"/>
            <w:tcBorders>
              <w:top w:val="nil"/>
              <w:left w:val="nil"/>
              <w:bottom w:val="nil"/>
              <w:right w:val="nil"/>
            </w:tcBorders>
            <w:shd w:val="clear" w:color="auto" w:fill="auto"/>
            <w:noWrap/>
            <w:vAlign w:val="bottom"/>
            <w:hideMark/>
          </w:tcPr>
          <w:p w14:paraId="712FE0E5" w14:textId="2EBD058F"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6" w:type="dxa"/>
            <w:tcBorders>
              <w:top w:val="nil"/>
              <w:left w:val="nil"/>
              <w:bottom w:val="nil"/>
              <w:right w:val="nil"/>
            </w:tcBorders>
            <w:shd w:val="clear" w:color="auto" w:fill="auto"/>
            <w:noWrap/>
            <w:vAlign w:val="bottom"/>
            <w:hideMark/>
          </w:tcPr>
          <w:p w14:paraId="54D39F1C"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auto"/>
            <w:noWrap/>
            <w:vAlign w:val="bottom"/>
            <w:hideMark/>
          </w:tcPr>
          <w:p w14:paraId="558BE0FE" w14:textId="248B139F"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4" w:type="dxa"/>
            <w:tcBorders>
              <w:top w:val="nil"/>
              <w:left w:val="nil"/>
              <w:bottom w:val="nil"/>
              <w:right w:val="nil"/>
            </w:tcBorders>
            <w:shd w:val="clear" w:color="auto" w:fill="auto"/>
            <w:noWrap/>
            <w:vAlign w:val="bottom"/>
            <w:hideMark/>
          </w:tcPr>
          <w:p w14:paraId="724358B9"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2AD2DE7F" w14:textId="77777777" w:rsidTr="00885AD0">
        <w:trPr>
          <w:trHeight w:val="57"/>
        </w:trPr>
        <w:tc>
          <w:tcPr>
            <w:tcW w:w="1276" w:type="dxa"/>
            <w:tcBorders>
              <w:top w:val="nil"/>
              <w:left w:val="nil"/>
              <w:bottom w:val="nil"/>
              <w:right w:val="single" w:sz="4" w:space="0" w:color="auto"/>
            </w:tcBorders>
            <w:vAlign w:val="bottom"/>
          </w:tcPr>
          <w:p w14:paraId="16A6CF67" w14:textId="067C837C"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Black</w:t>
            </w:r>
          </w:p>
        </w:tc>
        <w:tc>
          <w:tcPr>
            <w:tcW w:w="1276" w:type="dxa"/>
            <w:tcBorders>
              <w:top w:val="nil"/>
              <w:left w:val="single" w:sz="4" w:space="0" w:color="auto"/>
              <w:bottom w:val="nil"/>
              <w:right w:val="nil"/>
            </w:tcBorders>
            <w:shd w:val="clear" w:color="auto" w:fill="auto"/>
            <w:noWrap/>
            <w:vAlign w:val="bottom"/>
            <w:hideMark/>
          </w:tcPr>
          <w:p w14:paraId="186F4D94"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18/52 (34.6)</w:t>
            </w:r>
          </w:p>
        </w:tc>
        <w:tc>
          <w:tcPr>
            <w:tcW w:w="1160" w:type="dxa"/>
            <w:tcBorders>
              <w:top w:val="nil"/>
              <w:left w:val="nil"/>
              <w:bottom w:val="nil"/>
              <w:right w:val="nil"/>
            </w:tcBorders>
            <w:shd w:val="clear" w:color="auto" w:fill="auto"/>
            <w:noWrap/>
            <w:vAlign w:val="bottom"/>
            <w:hideMark/>
          </w:tcPr>
          <w:p w14:paraId="00FFF239" w14:textId="71CCD72A"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0.68 (0.38</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1.21)</w:t>
            </w:r>
          </w:p>
        </w:tc>
        <w:tc>
          <w:tcPr>
            <w:tcW w:w="683" w:type="dxa"/>
            <w:tcBorders>
              <w:top w:val="nil"/>
              <w:left w:val="nil"/>
              <w:bottom w:val="nil"/>
              <w:right w:val="nil"/>
            </w:tcBorders>
            <w:shd w:val="clear" w:color="auto" w:fill="auto"/>
            <w:noWrap/>
            <w:vAlign w:val="bottom"/>
            <w:hideMark/>
          </w:tcPr>
          <w:p w14:paraId="75FC24CF"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auto"/>
            <w:noWrap/>
            <w:vAlign w:val="bottom"/>
            <w:hideMark/>
          </w:tcPr>
          <w:p w14:paraId="651D0A91" w14:textId="5A6767C5"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0.66 (0.37</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1.18)</w:t>
            </w:r>
          </w:p>
        </w:tc>
        <w:tc>
          <w:tcPr>
            <w:tcW w:w="638" w:type="dxa"/>
            <w:tcBorders>
              <w:top w:val="nil"/>
              <w:left w:val="nil"/>
              <w:bottom w:val="nil"/>
              <w:right w:val="single" w:sz="4" w:space="0" w:color="auto"/>
            </w:tcBorders>
            <w:shd w:val="clear" w:color="auto" w:fill="auto"/>
            <w:noWrap/>
            <w:vAlign w:val="bottom"/>
            <w:hideMark/>
          </w:tcPr>
          <w:p w14:paraId="262B3B50"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auto"/>
            <w:noWrap/>
            <w:vAlign w:val="bottom"/>
            <w:hideMark/>
          </w:tcPr>
          <w:p w14:paraId="638F2F59"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17/52 (32.7)</w:t>
            </w:r>
          </w:p>
        </w:tc>
        <w:tc>
          <w:tcPr>
            <w:tcW w:w="1175" w:type="dxa"/>
            <w:tcBorders>
              <w:top w:val="nil"/>
              <w:left w:val="nil"/>
              <w:bottom w:val="nil"/>
              <w:right w:val="nil"/>
            </w:tcBorders>
            <w:shd w:val="clear" w:color="auto" w:fill="auto"/>
            <w:noWrap/>
            <w:vAlign w:val="bottom"/>
            <w:hideMark/>
          </w:tcPr>
          <w:p w14:paraId="07184785" w14:textId="4C04DC63"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1.43 (0.8</w:t>
            </w:r>
            <w:r w:rsidR="001E14F8">
              <w:rPr>
                <w:rFonts w:ascii="Calibri" w:eastAsia="Times New Roman" w:hAnsi="Calibri" w:cs="Times New Roman"/>
                <w:color w:val="000000"/>
                <w:sz w:val="14"/>
                <w:szCs w:val="14"/>
                <w:lang w:eastAsia="en-GB"/>
              </w:rPr>
              <w:t>0</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2.55)</w:t>
            </w:r>
          </w:p>
        </w:tc>
        <w:tc>
          <w:tcPr>
            <w:tcW w:w="668" w:type="dxa"/>
            <w:tcBorders>
              <w:top w:val="nil"/>
              <w:left w:val="nil"/>
              <w:bottom w:val="nil"/>
              <w:right w:val="nil"/>
            </w:tcBorders>
            <w:shd w:val="clear" w:color="auto" w:fill="auto"/>
            <w:noWrap/>
            <w:vAlign w:val="bottom"/>
            <w:hideMark/>
          </w:tcPr>
          <w:p w14:paraId="497C7928"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auto"/>
            <w:noWrap/>
            <w:vAlign w:val="bottom"/>
            <w:hideMark/>
          </w:tcPr>
          <w:p w14:paraId="4740C414" w14:textId="7187AA6A"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1.31 (0.73</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2.37)</w:t>
            </w:r>
          </w:p>
        </w:tc>
        <w:tc>
          <w:tcPr>
            <w:tcW w:w="638" w:type="dxa"/>
            <w:tcBorders>
              <w:top w:val="nil"/>
              <w:left w:val="nil"/>
              <w:bottom w:val="nil"/>
              <w:right w:val="single" w:sz="4" w:space="0" w:color="auto"/>
            </w:tcBorders>
            <w:shd w:val="clear" w:color="auto" w:fill="auto"/>
            <w:noWrap/>
            <w:vAlign w:val="bottom"/>
            <w:hideMark/>
          </w:tcPr>
          <w:p w14:paraId="1AAF1739"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auto"/>
            <w:noWrap/>
            <w:vAlign w:val="bottom"/>
            <w:hideMark/>
          </w:tcPr>
          <w:p w14:paraId="4A1AA505"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10/52 (19.2)</w:t>
            </w:r>
          </w:p>
        </w:tc>
        <w:tc>
          <w:tcPr>
            <w:tcW w:w="1189" w:type="dxa"/>
            <w:tcBorders>
              <w:top w:val="nil"/>
              <w:left w:val="nil"/>
              <w:bottom w:val="nil"/>
              <w:right w:val="nil"/>
            </w:tcBorders>
            <w:shd w:val="clear" w:color="auto" w:fill="auto"/>
            <w:noWrap/>
            <w:vAlign w:val="bottom"/>
            <w:hideMark/>
          </w:tcPr>
          <w:p w14:paraId="7B399D4F" w14:textId="7CA18649"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1.02 (0.51</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2.04)</w:t>
            </w:r>
          </w:p>
        </w:tc>
        <w:tc>
          <w:tcPr>
            <w:tcW w:w="636" w:type="dxa"/>
            <w:tcBorders>
              <w:top w:val="nil"/>
              <w:left w:val="nil"/>
              <w:bottom w:val="nil"/>
              <w:right w:val="nil"/>
            </w:tcBorders>
            <w:shd w:val="clear" w:color="auto" w:fill="auto"/>
            <w:noWrap/>
            <w:vAlign w:val="bottom"/>
            <w:hideMark/>
          </w:tcPr>
          <w:p w14:paraId="6C54E080"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auto"/>
            <w:noWrap/>
            <w:vAlign w:val="bottom"/>
            <w:hideMark/>
          </w:tcPr>
          <w:p w14:paraId="0F3571A2" w14:textId="157A2E1D" w:rsidR="00ED367C" w:rsidRPr="00834AAA" w:rsidRDefault="00ED367C" w:rsidP="00F50FA2">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0.69 (0.34</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1.4</w:t>
            </w:r>
            <w:r w:rsidR="001E14F8">
              <w:rPr>
                <w:rFonts w:ascii="Calibri" w:eastAsia="Times New Roman" w:hAnsi="Calibri" w:cs="Times New Roman"/>
                <w:color w:val="000000"/>
                <w:sz w:val="14"/>
                <w:szCs w:val="14"/>
                <w:lang w:eastAsia="en-GB"/>
              </w:rPr>
              <w:t>0</w:t>
            </w:r>
            <w:r w:rsidR="00885AD0">
              <w:rPr>
                <w:rFonts w:ascii="Calibri" w:eastAsia="Times New Roman" w:hAnsi="Calibri" w:cs="Times New Roman"/>
                <w:color w:val="000000"/>
                <w:sz w:val="14"/>
                <w:szCs w:val="14"/>
                <w:lang w:eastAsia="en-GB"/>
              </w:rPr>
              <w:t>)</w:t>
            </w:r>
          </w:p>
        </w:tc>
        <w:tc>
          <w:tcPr>
            <w:tcW w:w="634" w:type="dxa"/>
            <w:tcBorders>
              <w:top w:val="nil"/>
              <w:left w:val="nil"/>
              <w:bottom w:val="nil"/>
              <w:right w:val="nil"/>
            </w:tcBorders>
            <w:shd w:val="clear" w:color="auto" w:fill="auto"/>
            <w:noWrap/>
            <w:vAlign w:val="bottom"/>
            <w:hideMark/>
          </w:tcPr>
          <w:p w14:paraId="10551352"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28E30F59" w14:textId="77777777" w:rsidTr="00885AD0">
        <w:trPr>
          <w:trHeight w:val="57"/>
        </w:trPr>
        <w:tc>
          <w:tcPr>
            <w:tcW w:w="1276" w:type="dxa"/>
            <w:tcBorders>
              <w:top w:val="nil"/>
              <w:left w:val="nil"/>
              <w:bottom w:val="nil"/>
              <w:right w:val="single" w:sz="4" w:space="0" w:color="auto"/>
            </w:tcBorders>
            <w:vAlign w:val="bottom"/>
          </w:tcPr>
          <w:p w14:paraId="76AE8054" w14:textId="0B47BA99"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Asian</w:t>
            </w:r>
          </w:p>
        </w:tc>
        <w:tc>
          <w:tcPr>
            <w:tcW w:w="1276" w:type="dxa"/>
            <w:tcBorders>
              <w:top w:val="nil"/>
              <w:left w:val="single" w:sz="4" w:space="0" w:color="auto"/>
              <w:bottom w:val="nil"/>
              <w:right w:val="nil"/>
            </w:tcBorders>
            <w:shd w:val="clear" w:color="auto" w:fill="auto"/>
            <w:noWrap/>
            <w:vAlign w:val="bottom"/>
            <w:hideMark/>
          </w:tcPr>
          <w:p w14:paraId="1F7E20B0"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30/93 (32.3)</w:t>
            </w:r>
          </w:p>
        </w:tc>
        <w:tc>
          <w:tcPr>
            <w:tcW w:w="1160" w:type="dxa"/>
            <w:tcBorders>
              <w:top w:val="nil"/>
              <w:left w:val="nil"/>
              <w:bottom w:val="nil"/>
              <w:right w:val="nil"/>
            </w:tcBorders>
            <w:shd w:val="clear" w:color="auto" w:fill="auto"/>
            <w:noWrap/>
            <w:vAlign w:val="bottom"/>
            <w:hideMark/>
          </w:tcPr>
          <w:p w14:paraId="44B8B151" w14:textId="59CE2B90"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0.61 (0.4</w:t>
            </w:r>
            <w:r w:rsidR="001E14F8">
              <w:rPr>
                <w:rFonts w:ascii="Calibri" w:eastAsia="Times New Roman" w:hAnsi="Calibri" w:cs="Times New Roman"/>
                <w:color w:val="000000"/>
                <w:sz w:val="14"/>
                <w:szCs w:val="14"/>
                <w:lang w:eastAsia="en-GB"/>
              </w:rPr>
              <w:t>0</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0.95)</w:t>
            </w:r>
          </w:p>
        </w:tc>
        <w:tc>
          <w:tcPr>
            <w:tcW w:w="683" w:type="dxa"/>
            <w:tcBorders>
              <w:top w:val="nil"/>
              <w:left w:val="nil"/>
              <w:bottom w:val="nil"/>
              <w:right w:val="nil"/>
            </w:tcBorders>
            <w:shd w:val="clear" w:color="auto" w:fill="auto"/>
            <w:noWrap/>
            <w:vAlign w:val="bottom"/>
            <w:hideMark/>
          </w:tcPr>
          <w:p w14:paraId="7C773ECC"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auto"/>
            <w:noWrap/>
            <w:vAlign w:val="bottom"/>
            <w:hideMark/>
          </w:tcPr>
          <w:p w14:paraId="05B1182A" w14:textId="556A250D"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0.69 (0.44</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1.07)</w:t>
            </w:r>
          </w:p>
        </w:tc>
        <w:tc>
          <w:tcPr>
            <w:tcW w:w="638" w:type="dxa"/>
            <w:tcBorders>
              <w:top w:val="nil"/>
              <w:left w:val="nil"/>
              <w:bottom w:val="nil"/>
              <w:right w:val="single" w:sz="4" w:space="0" w:color="auto"/>
            </w:tcBorders>
            <w:shd w:val="clear" w:color="auto" w:fill="auto"/>
            <w:noWrap/>
            <w:vAlign w:val="bottom"/>
            <w:hideMark/>
          </w:tcPr>
          <w:p w14:paraId="75F8C711" w14:textId="4E8C398F"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auto"/>
            <w:noWrap/>
            <w:vAlign w:val="bottom"/>
            <w:hideMark/>
          </w:tcPr>
          <w:p w14:paraId="63F9BFC6"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17/93 (18.3)</w:t>
            </w:r>
          </w:p>
        </w:tc>
        <w:tc>
          <w:tcPr>
            <w:tcW w:w="1175" w:type="dxa"/>
            <w:tcBorders>
              <w:top w:val="nil"/>
              <w:left w:val="nil"/>
              <w:bottom w:val="nil"/>
              <w:right w:val="nil"/>
            </w:tcBorders>
            <w:shd w:val="clear" w:color="auto" w:fill="auto"/>
            <w:noWrap/>
            <w:vAlign w:val="bottom"/>
            <w:hideMark/>
          </w:tcPr>
          <w:p w14:paraId="7F3EFEA5" w14:textId="641C5995"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0.66 (0.39</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1.11)</w:t>
            </w:r>
          </w:p>
        </w:tc>
        <w:tc>
          <w:tcPr>
            <w:tcW w:w="668" w:type="dxa"/>
            <w:tcBorders>
              <w:top w:val="nil"/>
              <w:left w:val="nil"/>
              <w:bottom w:val="nil"/>
              <w:right w:val="nil"/>
            </w:tcBorders>
            <w:shd w:val="clear" w:color="auto" w:fill="auto"/>
            <w:noWrap/>
            <w:vAlign w:val="bottom"/>
            <w:hideMark/>
          </w:tcPr>
          <w:p w14:paraId="2EBBF97A"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auto"/>
            <w:noWrap/>
            <w:vAlign w:val="bottom"/>
            <w:hideMark/>
          </w:tcPr>
          <w:p w14:paraId="7C5E88C5" w14:textId="2EA59E9E"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0.57 (0.33</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0.97)</w:t>
            </w:r>
          </w:p>
        </w:tc>
        <w:tc>
          <w:tcPr>
            <w:tcW w:w="638" w:type="dxa"/>
            <w:tcBorders>
              <w:top w:val="nil"/>
              <w:left w:val="nil"/>
              <w:bottom w:val="nil"/>
              <w:right w:val="single" w:sz="4" w:space="0" w:color="auto"/>
            </w:tcBorders>
            <w:shd w:val="clear" w:color="auto" w:fill="auto"/>
            <w:noWrap/>
            <w:vAlign w:val="bottom"/>
            <w:hideMark/>
          </w:tcPr>
          <w:p w14:paraId="51B1EA65" w14:textId="36E322A4"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auto"/>
            <w:noWrap/>
            <w:vAlign w:val="bottom"/>
            <w:hideMark/>
          </w:tcPr>
          <w:p w14:paraId="317A1635"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13/91 (14.3)</w:t>
            </w:r>
          </w:p>
        </w:tc>
        <w:tc>
          <w:tcPr>
            <w:tcW w:w="1189" w:type="dxa"/>
            <w:tcBorders>
              <w:top w:val="nil"/>
              <w:left w:val="nil"/>
              <w:bottom w:val="nil"/>
              <w:right w:val="nil"/>
            </w:tcBorders>
            <w:shd w:val="clear" w:color="auto" w:fill="auto"/>
            <w:noWrap/>
            <w:vAlign w:val="bottom"/>
            <w:hideMark/>
          </w:tcPr>
          <w:p w14:paraId="33B2D036" w14:textId="22C2E60C"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0.71 (0.4</w:t>
            </w:r>
            <w:r w:rsidR="0061565A">
              <w:rPr>
                <w:rFonts w:ascii="Calibri" w:eastAsia="Times New Roman" w:hAnsi="Calibri" w:cs="Times New Roman"/>
                <w:color w:val="000000"/>
                <w:sz w:val="14"/>
                <w:szCs w:val="14"/>
                <w:lang w:eastAsia="en-GB"/>
              </w:rPr>
              <w:t>0</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1.29)</w:t>
            </w:r>
          </w:p>
        </w:tc>
        <w:tc>
          <w:tcPr>
            <w:tcW w:w="636" w:type="dxa"/>
            <w:tcBorders>
              <w:top w:val="nil"/>
              <w:left w:val="nil"/>
              <w:bottom w:val="nil"/>
              <w:right w:val="nil"/>
            </w:tcBorders>
            <w:shd w:val="clear" w:color="auto" w:fill="auto"/>
            <w:noWrap/>
            <w:vAlign w:val="bottom"/>
            <w:hideMark/>
          </w:tcPr>
          <w:p w14:paraId="6DEA831A"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auto"/>
            <w:noWrap/>
            <w:vAlign w:val="bottom"/>
            <w:hideMark/>
          </w:tcPr>
          <w:p w14:paraId="58B47454" w14:textId="2A001B40"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0.56 (0.31</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1.03)</w:t>
            </w:r>
          </w:p>
        </w:tc>
        <w:tc>
          <w:tcPr>
            <w:tcW w:w="634" w:type="dxa"/>
            <w:tcBorders>
              <w:top w:val="nil"/>
              <w:left w:val="nil"/>
              <w:bottom w:val="nil"/>
              <w:right w:val="nil"/>
            </w:tcBorders>
            <w:shd w:val="clear" w:color="auto" w:fill="auto"/>
            <w:noWrap/>
            <w:vAlign w:val="bottom"/>
            <w:hideMark/>
          </w:tcPr>
          <w:p w14:paraId="1DDFAC56" w14:textId="0EB4F6EC"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3090759A" w14:textId="77777777" w:rsidTr="00885AD0">
        <w:trPr>
          <w:trHeight w:val="57"/>
        </w:trPr>
        <w:tc>
          <w:tcPr>
            <w:tcW w:w="1276" w:type="dxa"/>
            <w:tcBorders>
              <w:top w:val="nil"/>
              <w:left w:val="nil"/>
              <w:bottom w:val="nil"/>
              <w:right w:val="single" w:sz="4" w:space="0" w:color="auto"/>
            </w:tcBorders>
            <w:vAlign w:val="bottom"/>
          </w:tcPr>
          <w:p w14:paraId="29D09456" w14:textId="77777777"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Mixed &amp; Other</w:t>
            </w:r>
          </w:p>
        </w:tc>
        <w:tc>
          <w:tcPr>
            <w:tcW w:w="1276" w:type="dxa"/>
            <w:tcBorders>
              <w:top w:val="nil"/>
              <w:left w:val="single" w:sz="4" w:space="0" w:color="auto"/>
              <w:bottom w:val="nil"/>
              <w:right w:val="nil"/>
            </w:tcBorders>
            <w:shd w:val="clear" w:color="auto" w:fill="auto"/>
            <w:noWrap/>
            <w:vAlign w:val="bottom"/>
            <w:hideMark/>
          </w:tcPr>
          <w:p w14:paraId="41D77A43"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74/170 (43.5)</w:t>
            </w:r>
          </w:p>
        </w:tc>
        <w:tc>
          <w:tcPr>
            <w:tcW w:w="1160" w:type="dxa"/>
            <w:tcBorders>
              <w:top w:val="nil"/>
              <w:left w:val="nil"/>
              <w:bottom w:val="nil"/>
              <w:right w:val="nil"/>
            </w:tcBorders>
            <w:shd w:val="clear" w:color="auto" w:fill="auto"/>
            <w:noWrap/>
            <w:vAlign w:val="bottom"/>
            <w:hideMark/>
          </w:tcPr>
          <w:p w14:paraId="027A4013" w14:textId="61222543"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0.99 (0.73</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1.35)</w:t>
            </w:r>
          </w:p>
        </w:tc>
        <w:tc>
          <w:tcPr>
            <w:tcW w:w="683" w:type="dxa"/>
            <w:tcBorders>
              <w:top w:val="nil"/>
              <w:left w:val="nil"/>
              <w:bottom w:val="nil"/>
              <w:right w:val="nil"/>
            </w:tcBorders>
            <w:shd w:val="clear" w:color="auto" w:fill="auto"/>
            <w:noWrap/>
            <w:vAlign w:val="bottom"/>
            <w:hideMark/>
          </w:tcPr>
          <w:p w14:paraId="26F8C350"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0.082</w:t>
            </w:r>
          </w:p>
        </w:tc>
        <w:tc>
          <w:tcPr>
            <w:tcW w:w="1205" w:type="dxa"/>
            <w:tcBorders>
              <w:top w:val="nil"/>
              <w:left w:val="nil"/>
              <w:bottom w:val="nil"/>
              <w:right w:val="nil"/>
            </w:tcBorders>
            <w:shd w:val="clear" w:color="auto" w:fill="auto"/>
            <w:noWrap/>
            <w:vAlign w:val="bottom"/>
            <w:hideMark/>
          </w:tcPr>
          <w:p w14:paraId="3069A690" w14:textId="75FC7253"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1.06 (0.77</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1.46)</w:t>
            </w:r>
          </w:p>
        </w:tc>
        <w:tc>
          <w:tcPr>
            <w:tcW w:w="638" w:type="dxa"/>
            <w:tcBorders>
              <w:top w:val="nil"/>
              <w:left w:val="nil"/>
              <w:bottom w:val="nil"/>
              <w:right w:val="single" w:sz="4" w:space="0" w:color="auto"/>
            </w:tcBorders>
            <w:shd w:val="clear" w:color="auto" w:fill="auto"/>
            <w:noWrap/>
            <w:vAlign w:val="bottom"/>
            <w:hideMark/>
          </w:tcPr>
          <w:p w14:paraId="6027AC44" w14:textId="74890F4B" w:rsidR="00ED367C" w:rsidRPr="00834AAA" w:rsidRDefault="006D6422"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0.17</w:t>
            </w:r>
            <w:r>
              <w:rPr>
                <w:rFonts w:ascii="Calibri" w:eastAsia="Times New Roman" w:hAnsi="Calibri" w:cs="Times New Roman"/>
                <w:color w:val="000000"/>
                <w:sz w:val="14"/>
                <w:szCs w:val="14"/>
                <w:lang w:eastAsia="en-GB"/>
              </w:rPr>
              <w:t>0</w:t>
            </w:r>
          </w:p>
        </w:tc>
        <w:tc>
          <w:tcPr>
            <w:tcW w:w="1275" w:type="dxa"/>
            <w:tcBorders>
              <w:top w:val="nil"/>
              <w:left w:val="single" w:sz="4" w:space="0" w:color="auto"/>
              <w:bottom w:val="nil"/>
              <w:right w:val="nil"/>
            </w:tcBorders>
            <w:shd w:val="clear" w:color="auto" w:fill="auto"/>
            <w:noWrap/>
            <w:vAlign w:val="bottom"/>
            <w:hideMark/>
          </w:tcPr>
          <w:p w14:paraId="6D089141"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52/170 (30.6)</w:t>
            </w:r>
          </w:p>
        </w:tc>
        <w:tc>
          <w:tcPr>
            <w:tcW w:w="1175" w:type="dxa"/>
            <w:tcBorders>
              <w:top w:val="nil"/>
              <w:left w:val="nil"/>
              <w:bottom w:val="nil"/>
              <w:right w:val="nil"/>
            </w:tcBorders>
            <w:shd w:val="clear" w:color="auto" w:fill="auto"/>
            <w:noWrap/>
            <w:vAlign w:val="bottom"/>
            <w:hideMark/>
          </w:tcPr>
          <w:p w14:paraId="7CB961AC" w14:textId="70BAC513"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1.29 (0.93</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1.8</w:t>
            </w:r>
            <w:r w:rsidR="001E14F8">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w:t>
            </w:r>
          </w:p>
        </w:tc>
        <w:tc>
          <w:tcPr>
            <w:tcW w:w="668" w:type="dxa"/>
            <w:tcBorders>
              <w:top w:val="nil"/>
              <w:left w:val="nil"/>
              <w:bottom w:val="nil"/>
              <w:right w:val="nil"/>
            </w:tcBorders>
            <w:shd w:val="clear" w:color="auto" w:fill="auto"/>
            <w:noWrap/>
            <w:vAlign w:val="bottom"/>
            <w:hideMark/>
          </w:tcPr>
          <w:p w14:paraId="6EE4F573"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0.097</w:t>
            </w:r>
          </w:p>
        </w:tc>
        <w:tc>
          <w:tcPr>
            <w:tcW w:w="1220" w:type="dxa"/>
            <w:tcBorders>
              <w:top w:val="nil"/>
              <w:left w:val="nil"/>
              <w:bottom w:val="nil"/>
              <w:right w:val="nil"/>
            </w:tcBorders>
            <w:shd w:val="clear" w:color="auto" w:fill="auto"/>
            <w:noWrap/>
            <w:vAlign w:val="bottom"/>
            <w:hideMark/>
          </w:tcPr>
          <w:p w14:paraId="60A92141" w14:textId="48274B89"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1.21 (0.86</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1.7</w:t>
            </w:r>
            <w:r w:rsidR="00885AD0">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w:t>
            </w:r>
          </w:p>
        </w:tc>
        <w:tc>
          <w:tcPr>
            <w:tcW w:w="638" w:type="dxa"/>
            <w:tcBorders>
              <w:top w:val="nil"/>
              <w:left w:val="nil"/>
              <w:bottom w:val="nil"/>
              <w:right w:val="single" w:sz="4" w:space="0" w:color="auto"/>
            </w:tcBorders>
            <w:shd w:val="clear" w:color="auto" w:fill="auto"/>
            <w:noWrap/>
            <w:vAlign w:val="bottom"/>
            <w:hideMark/>
          </w:tcPr>
          <w:p w14:paraId="536DAAC8" w14:textId="42B4D188" w:rsidR="00ED367C" w:rsidRPr="00834AAA" w:rsidRDefault="006D6422"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0.075</w:t>
            </w:r>
          </w:p>
        </w:tc>
        <w:tc>
          <w:tcPr>
            <w:tcW w:w="1261" w:type="dxa"/>
            <w:tcBorders>
              <w:top w:val="nil"/>
              <w:left w:val="single" w:sz="4" w:space="0" w:color="auto"/>
              <w:bottom w:val="nil"/>
              <w:right w:val="nil"/>
            </w:tcBorders>
            <w:shd w:val="clear" w:color="auto" w:fill="auto"/>
            <w:noWrap/>
            <w:vAlign w:val="bottom"/>
            <w:hideMark/>
          </w:tcPr>
          <w:p w14:paraId="313D9146"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51/169 (30.2)</w:t>
            </w:r>
          </w:p>
        </w:tc>
        <w:tc>
          <w:tcPr>
            <w:tcW w:w="1189" w:type="dxa"/>
            <w:tcBorders>
              <w:top w:val="nil"/>
              <w:left w:val="nil"/>
              <w:bottom w:val="nil"/>
              <w:right w:val="nil"/>
            </w:tcBorders>
            <w:shd w:val="clear" w:color="auto" w:fill="auto"/>
            <w:noWrap/>
            <w:vAlign w:val="bottom"/>
            <w:hideMark/>
          </w:tcPr>
          <w:p w14:paraId="21FB035F" w14:textId="26899452"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1.85 (1.33</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2.59)</w:t>
            </w:r>
          </w:p>
        </w:tc>
        <w:tc>
          <w:tcPr>
            <w:tcW w:w="636" w:type="dxa"/>
            <w:tcBorders>
              <w:top w:val="nil"/>
              <w:left w:val="nil"/>
              <w:bottom w:val="nil"/>
              <w:right w:val="nil"/>
            </w:tcBorders>
            <w:shd w:val="clear" w:color="auto" w:fill="auto"/>
            <w:noWrap/>
            <w:vAlign w:val="bottom"/>
            <w:hideMark/>
          </w:tcPr>
          <w:p w14:paraId="35BD1E4B"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0.004</w:t>
            </w:r>
          </w:p>
        </w:tc>
        <w:tc>
          <w:tcPr>
            <w:tcW w:w="1282" w:type="dxa"/>
            <w:tcBorders>
              <w:top w:val="nil"/>
              <w:left w:val="nil"/>
              <w:bottom w:val="nil"/>
              <w:right w:val="nil"/>
            </w:tcBorders>
            <w:shd w:val="clear" w:color="auto" w:fill="auto"/>
            <w:noWrap/>
            <w:vAlign w:val="bottom"/>
            <w:hideMark/>
          </w:tcPr>
          <w:p w14:paraId="333FE15D" w14:textId="070BE78F"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1.55 (1.08</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2.2</w:t>
            </w:r>
            <w:r w:rsidR="001E14F8">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w:t>
            </w:r>
          </w:p>
        </w:tc>
        <w:tc>
          <w:tcPr>
            <w:tcW w:w="634" w:type="dxa"/>
            <w:tcBorders>
              <w:top w:val="nil"/>
              <w:left w:val="nil"/>
              <w:bottom w:val="nil"/>
              <w:right w:val="nil"/>
            </w:tcBorders>
            <w:shd w:val="clear" w:color="auto" w:fill="auto"/>
            <w:noWrap/>
            <w:vAlign w:val="bottom"/>
            <w:hideMark/>
          </w:tcPr>
          <w:p w14:paraId="34B57684" w14:textId="4F7178A7" w:rsidR="00ED367C" w:rsidRPr="00834AAA" w:rsidRDefault="006D6422"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0.011</w:t>
            </w:r>
          </w:p>
        </w:tc>
      </w:tr>
      <w:tr w:rsidR="00331B4B" w:rsidRPr="00834AAA" w14:paraId="7813C7B4" w14:textId="77777777" w:rsidTr="00885AD0">
        <w:trPr>
          <w:trHeight w:val="57"/>
        </w:trPr>
        <w:tc>
          <w:tcPr>
            <w:tcW w:w="1276" w:type="dxa"/>
            <w:tcBorders>
              <w:top w:val="nil"/>
              <w:left w:val="nil"/>
              <w:bottom w:val="nil"/>
              <w:right w:val="single" w:sz="4" w:space="0" w:color="auto"/>
            </w:tcBorders>
            <w:vAlign w:val="bottom"/>
          </w:tcPr>
          <w:p w14:paraId="30FC7202" w14:textId="77777777"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Missing</w:t>
            </w:r>
          </w:p>
        </w:tc>
        <w:tc>
          <w:tcPr>
            <w:tcW w:w="1276" w:type="dxa"/>
            <w:tcBorders>
              <w:top w:val="nil"/>
              <w:left w:val="single" w:sz="4" w:space="0" w:color="auto"/>
              <w:bottom w:val="nil"/>
              <w:right w:val="nil"/>
            </w:tcBorders>
            <w:shd w:val="clear" w:color="auto" w:fill="auto"/>
            <w:noWrap/>
            <w:vAlign w:val="bottom"/>
            <w:hideMark/>
          </w:tcPr>
          <w:p w14:paraId="5FAE8121"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60" w:type="dxa"/>
            <w:tcBorders>
              <w:top w:val="nil"/>
              <w:left w:val="nil"/>
              <w:bottom w:val="nil"/>
              <w:right w:val="nil"/>
            </w:tcBorders>
            <w:shd w:val="clear" w:color="auto" w:fill="auto"/>
            <w:noWrap/>
            <w:vAlign w:val="bottom"/>
            <w:hideMark/>
          </w:tcPr>
          <w:p w14:paraId="449CB6FD"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83" w:type="dxa"/>
            <w:tcBorders>
              <w:top w:val="nil"/>
              <w:left w:val="nil"/>
              <w:bottom w:val="nil"/>
              <w:right w:val="nil"/>
            </w:tcBorders>
            <w:shd w:val="clear" w:color="auto" w:fill="auto"/>
            <w:noWrap/>
            <w:vAlign w:val="bottom"/>
            <w:hideMark/>
          </w:tcPr>
          <w:p w14:paraId="4B24E63F"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auto"/>
            <w:noWrap/>
            <w:vAlign w:val="bottom"/>
            <w:hideMark/>
          </w:tcPr>
          <w:p w14:paraId="61A1CCA9"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auto"/>
            <w:noWrap/>
            <w:vAlign w:val="bottom"/>
            <w:hideMark/>
          </w:tcPr>
          <w:p w14:paraId="17355E11"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auto"/>
            <w:noWrap/>
            <w:vAlign w:val="bottom"/>
            <w:hideMark/>
          </w:tcPr>
          <w:p w14:paraId="75667083"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75" w:type="dxa"/>
            <w:tcBorders>
              <w:top w:val="nil"/>
              <w:left w:val="nil"/>
              <w:bottom w:val="nil"/>
              <w:right w:val="nil"/>
            </w:tcBorders>
            <w:shd w:val="clear" w:color="auto" w:fill="auto"/>
            <w:noWrap/>
            <w:vAlign w:val="bottom"/>
            <w:hideMark/>
          </w:tcPr>
          <w:p w14:paraId="75F75696"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68" w:type="dxa"/>
            <w:tcBorders>
              <w:top w:val="nil"/>
              <w:left w:val="nil"/>
              <w:bottom w:val="nil"/>
              <w:right w:val="nil"/>
            </w:tcBorders>
            <w:shd w:val="clear" w:color="auto" w:fill="auto"/>
            <w:noWrap/>
            <w:vAlign w:val="bottom"/>
            <w:hideMark/>
          </w:tcPr>
          <w:p w14:paraId="2CC1A238"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auto"/>
            <w:noWrap/>
            <w:vAlign w:val="bottom"/>
            <w:hideMark/>
          </w:tcPr>
          <w:p w14:paraId="1B78FD36"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auto"/>
            <w:noWrap/>
            <w:vAlign w:val="bottom"/>
            <w:hideMark/>
          </w:tcPr>
          <w:p w14:paraId="0B96C34F"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auto"/>
            <w:noWrap/>
            <w:vAlign w:val="bottom"/>
            <w:hideMark/>
          </w:tcPr>
          <w:p w14:paraId="31CF5423"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89" w:type="dxa"/>
            <w:tcBorders>
              <w:top w:val="nil"/>
              <w:left w:val="nil"/>
              <w:bottom w:val="nil"/>
              <w:right w:val="nil"/>
            </w:tcBorders>
            <w:shd w:val="clear" w:color="auto" w:fill="auto"/>
            <w:noWrap/>
            <w:vAlign w:val="bottom"/>
            <w:hideMark/>
          </w:tcPr>
          <w:p w14:paraId="79DBA385"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6" w:type="dxa"/>
            <w:tcBorders>
              <w:top w:val="nil"/>
              <w:left w:val="nil"/>
              <w:bottom w:val="nil"/>
              <w:right w:val="nil"/>
            </w:tcBorders>
            <w:shd w:val="clear" w:color="auto" w:fill="auto"/>
            <w:noWrap/>
            <w:vAlign w:val="bottom"/>
            <w:hideMark/>
          </w:tcPr>
          <w:p w14:paraId="7A1D193A"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auto"/>
            <w:noWrap/>
            <w:vAlign w:val="bottom"/>
            <w:hideMark/>
          </w:tcPr>
          <w:p w14:paraId="495DC646"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4" w:type="dxa"/>
            <w:tcBorders>
              <w:top w:val="nil"/>
              <w:left w:val="nil"/>
              <w:bottom w:val="nil"/>
              <w:right w:val="nil"/>
            </w:tcBorders>
            <w:shd w:val="clear" w:color="auto" w:fill="auto"/>
            <w:noWrap/>
            <w:vAlign w:val="bottom"/>
            <w:hideMark/>
          </w:tcPr>
          <w:p w14:paraId="2D8C3D2E"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493AFFFA" w14:textId="77777777" w:rsidTr="00885AD0">
        <w:trPr>
          <w:trHeight w:val="57"/>
        </w:trPr>
        <w:tc>
          <w:tcPr>
            <w:tcW w:w="1276" w:type="dxa"/>
            <w:tcBorders>
              <w:top w:val="nil"/>
              <w:left w:val="nil"/>
              <w:bottom w:val="nil"/>
              <w:right w:val="single" w:sz="4" w:space="0" w:color="auto"/>
            </w:tcBorders>
            <w:shd w:val="clear" w:color="auto" w:fill="F2F2F2"/>
            <w:vAlign w:val="bottom"/>
          </w:tcPr>
          <w:p w14:paraId="29E134DC" w14:textId="77777777" w:rsidR="00ED367C" w:rsidRPr="00834AAA" w:rsidRDefault="00ED367C" w:rsidP="009B23BE">
            <w:pPr>
              <w:spacing w:before="0" w:after="0" w:line="240" w:lineRule="auto"/>
              <w:rPr>
                <w:rFonts w:ascii="Calibri" w:eastAsia="Times New Roman" w:hAnsi="Calibri" w:cs="Times New Roman"/>
                <w:b/>
                <w:color w:val="000000"/>
                <w:sz w:val="13"/>
                <w:szCs w:val="13"/>
                <w:lang w:eastAsia="en-GB"/>
              </w:rPr>
            </w:pPr>
            <w:r w:rsidRPr="00834AAA">
              <w:rPr>
                <w:rFonts w:ascii="Calibri" w:eastAsia="Times New Roman" w:hAnsi="Calibri" w:cs="Times New Roman"/>
                <w:b/>
                <w:color w:val="000000"/>
                <w:sz w:val="13"/>
                <w:szCs w:val="13"/>
                <w:lang w:eastAsia="en-GB"/>
              </w:rPr>
              <w:t>Education</w:t>
            </w:r>
          </w:p>
        </w:tc>
        <w:tc>
          <w:tcPr>
            <w:tcW w:w="1276" w:type="dxa"/>
            <w:tcBorders>
              <w:top w:val="nil"/>
              <w:left w:val="single" w:sz="4" w:space="0" w:color="auto"/>
              <w:bottom w:val="nil"/>
              <w:right w:val="nil"/>
            </w:tcBorders>
            <w:shd w:val="clear" w:color="auto" w:fill="F2F2F2"/>
            <w:noWrap/>
            <w:vAlign w:val="bottom"/>
            <w:hideMark/>
          </w:tcPr>
          <w:p w14:paraId="3FB5A820"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60" w:type="dxa"/>
            <w:tcBorders>
              <w:top w:val="nil"/>
              <w:left w:val="nil"/>
              <w:bottom w:val="nil"/>
              <w:right w:val="nil"/>
            </w:tcBorders>
            <w:shd w:val="clear" w:color="auto" w:fill="F2F2F2"/>
            <w:noWrap/>
            <w:vAlign w:val="bottom"/>
            <w:hideMark/>
          </w:tcPr>
          <w:p w14:paraId="36FFA30D"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83" w:type="dxa"/>
            <w:tcBorders>
              <w:top w:val="nil"/>
              <w:left w:val="nil"/>
              <w:bottom w:val="nil"/>
              <w:right w:val="nil"/>
            </w:tcBorders>
            <w:shd w:val="clear" w:color="auto" w:fill="F2F2F2"/>
            <w:noWrap/>
            <w:vAlign w:val="bottom"/>
            <w:hideMark/>
          </w:tcPr>
          <w:p w14:paraId="081EF1E2"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F2F2F2"/>
            <w:noWrap/>
            <w:vAlign w:val="bottom"/>
            <w:hideMark/>
          </w:tcPr>
          <w:p w14:paraId="26321B82"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F2F2F2"/>
            <w:noWrap/>
            <w:vAlign w:val="bottom"/>
            <w:hideMark/>
          </w:tcPr>
          <w:p w14:paraId="6B560ABD"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F2F2F2"/>
            <w:noWrap/>
            <w:vAlign w:val="bottom"/>
            <w:hideMark/>
          </w:tcPr>
          <w:p w14:paraId="5EE6DD8F"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75" w:type="dxa"/>
            <w:tcBorders>
              <w:top w:val="nil"/>
              <w:left w:val="nil"/>
              <w:bottom w:val="nil"/>
              <w:right w:val="nil"/>
            </w:tcBorders>
            <w:shd w:val="clear" w:color="auto" w:fill="F2F2F2"/>
            <w:noWrap/>
            <w:vAlign w:val="bottom"/>
            <w:hideMark/>
          </w:tcPr>
          <w:p w14:paraId="59CE9C2D"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68" w:type="dxa"/>
            <w:tcBorders>
              <w:top w:val="nil"/>
              <w:left w:val="nil"/>
              <w:bottom w:val="nil"/>
              <w:right w:val="nil"/>
            </w:tcBorders>
            <w:shd w:val="clear" w:color="auto" w:fill="F2F2F2"/>
            <w:noWrap/>
            <w:vAlign w:val="bottom"/>
            <w:hideMark/>
          </w:tcPr>
          <w:p w14:paraId="664A5365"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F2F2F2"/>
            <w:noWrap/>
            <w:vAlign w:val="bottom"/>
            <w:hideMark/>
          </w:tcPr>
          <w:p w14:paraId="4C6E3CDB"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F2F2F2"/>
            <w:noWrap/>
            <w:vAlign w:val="bottom"/>
            <w:hideMark/>
          </w:tcPr>
          <w:p w14:paraId="3C217E5E"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F2F2F2"/>
            <w:noWrap/>
            <w:vAlign w:val="bottom"/>
            <w:hideMark/>
          </w:tcPr>
          <w:p w14:paraId="6BF9A9B2"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89" w:type="dxa"/>
            <w:tcBorders>
              <w:top w:val="nil"/>
              <w:left w:val="nil"/>
              <w:bottom w:val="nil"/>
              <w:right w:val="nil"/>
            </w:tcBorders>
            <w:shd w:val="clear" w:color="auto" w:fill="F2F2F2"/>
            <w:noWrap/>
            <w:vAlign w:val="bottom"/>
            <w:hideMark/>
          </w:tcPr>
          <w:p w14:paraId="63F011CA"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6" w:type="dxa"/>
            <w:tcBorders>
              <w:top w:val="nil"/>
              <w:left w:val="nil"/>
              <w:bottom w:val="nil"/>
              <w:right w:val="nil"/>
            </w:tcBorders>
            <w:shd w:val="clear" w:color="auto" w:fill="F2F2F2"/>
            <w:noWrap/>
            <w:vAlign w:val="bottom"/>
            <w:hideMark/>
          </w:tcPr>
          <w:p w14:paraId="0BE7639A"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F2F2F2"/>
            <w:noWrap/>
            <w:vAlign w:val="bottom"/>
            <w:hideMark/>
          </w:tcPr>
          <w:p w14:paraId="46E4D007"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4" w:type="dxa"/>
            <w:tcBorders>
              <w:top w:val="nil"/>
              <w:left w:val="nil"/>
              <w:bottom w:val="nil"/>
              <w:right w:val="nil"/>
            </w:tcBorders>
            <w:shd w:val="clear" w:color="auto" w:fill="F2F2F2"/>
            <w:noWrap/>
            <w:vAlign w:val="bottom"/>
            <w:hideMark/>
          </w:tcPr>
          <w:p w14:paraId="530D8884"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2C285D0E" w14:textId="77777777" w:rsidTr="00885AD0">
        <w:trPr>
          <w:trHeight w:val="57"/>
        </w:trPr>
        <w:tc>
          <w:tcPr>
            <w:tcW w:w="1276" w:type="dxa"/>
            <w:tcBorders>
              <w:top w:val="nil"/>
              <w:left w:val="nil"/>
              <w:bottom w:val="nil"/>
              <w:right w:val="single" w:sz="4" w:space="0" w:color="auto"/>
            </w:tcBorders>
            <w:shd w:val="clear" w:color="auto" w:fill="F2F2F2"/>
            <w:vAlign w:val="bottom"/>
          </w:tcPr>
          <w:p w14:paraId="777AF35B" w14:textId="77777777"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No A-level</w:t>
            </w:r>
          </w:p>
        </w:tc>
        <w:tc>
          <w:tcPr>
            <w:tcW w:w="1276" w:type="dxa"/>
            <w:tcBorders>
              <w:top w:val="nil"/>
              <w:left w:val="single" w:sz="4" w:space="0" w:color="auto"/>
              <w:bottom w:val="nil"/>
              <w:right w:val="nil"/>
            </w:tcBorders>
            <w:shd w:val="clear" w:color="auto" w:fill="F2F2F2"/>
            <w:noWrap/>
            <w:vAlign w:val="bottom"/>
            <w:hideMark/>
          </w:tcPr>
          <w:p w14:paraId="42D6EC95"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438/944 (46.4)</w:t>
            </w:r>
          </w:p>
        </w:tc>
        <w:tc>
          <w:tcPr>
            <w:tcW w:w="1160" w:type="dxa"/>
            <w:tcBorders>
              <w:top w:val="nil"/>
              <w:left w:val="nil"/>
              <w:bottom w:val="nil"/>
              <w:right w:val="nil"/>
            </w:tcBorders>
            <w:shd w:val="clear" w:color="auto" w:fill="F2F2F2"/>
            <w:noWrap/>
            <w:vAlign w:val="bottom"/>
            <w:hideMark/>
          </w:tcPr>
          <w:p w14:paraId="4A3EFA27" w14:textId="6EBEFD49"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83" w:type="dxa"/>
            <w:tcBorders>
              <w:top w:val="nil"/>
              <w:left w:val="nil"/>
              <w:bottom w:val="nil"/>
              <w:right w:val="nil"/>
            </w:tcBorders>
            <w:shd w:val="clear" w:color="auto" w:fill="F2F2F2"/>
            <w:noWrap/>
            <w:vAlign w:val="bottom"/>
            <w:hideMark/>
          </w:tcPr>
          <w:p w14:paraId="6D0F84D4"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F2F2F2"/>
            <w:noWrap/>
            <w:vAlign w:val="bottom"/>
            <w:hideMark/>
          </w:tcPr>
          <w:p w14:paraId="0767B0FB" w14:textId="3007DD65"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8" w:type="dxa"/>
            <w:tcBorders>
              <w:top w:val="nil"/>
              <w:left w:val="nil"/>
              <w:bottom w:val="nil"/>
              <w:right w:val="single" w:sz="4" w:space="0" w:color="auto"/>
            </w:tcBorders>
            <w:shd w:val="clear" w:color="auto" w:fill="F2F2F2"/>
            <w:noWrap/>
            <w:vAlign w:val="bottom"/>
            <w:hideMark/>
          </w:tcPr>
          <w:p w14:paraId="2FFD3951"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F2F2F2"/>
            <w:noWrap/>
            <w:vAlign w:val="bottom"/>
            <w:hideMark/>
          </w:tcPr>
          <w:p w14:paraId="208CB1BE"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275/936 (29.4)</w:t>
            </w:r>
          </w:p>
        </w:tc>
        <w:tc>
          <w:tcPr>
            <w:tcW w:w="1175" w:type="dxa"/>
            <w:tcBorders>
              <w:top w:val="nil"/>
              <w:left w:val="nil"/>
              <w:bottom w:val="nil"/>
              <w:right w:val="nil"/>
            </w:tcBorders>
            <w:shd w:val="clear" w:color="auto" w:fill="F2F2F2"/>
            <w:noWrap/>
            <w:vAlign w:val="bottom"/>
            <w:hideMark/>
          </w:tcPr>
          <w:p w14:paraId="508B8D48" w14:textId="38C5398B"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68" w:type="dxa"/>
            <w:tcBorders>
              <w:top w:val="nil"/>
              <w:left w:val="nil"/>
              <w:bottom w:val="nil"/>
              <w:right w:val="nil"/>
            </w:tcBorders>
            <w:shd w:val="clear" w:color="auto" w:fill="F2F2F2"/>
            <w:noWrap/>
            <w:vAlign w:val="bottom"/>
            <w:hideMark/>
          </w:tcPr>
          <w:p w14:paraId="14B7D308"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F2F2F2"/>
            <w:noWrap/>
            <w:vAlign w:val="bottom"/>
            <w:hideMark/>
          </w:tcPr>
          <w:p w14:paraId="6B27A582" w14:textId="013D58C6"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8" w:type="dxa"/>
            <w:tcBorders>
              <w:top w:val="nil"/>
              <w:left w:val="nil"/>
              <w:bottom w:val="nil"/>
              <w:right w:val="single" w:sz="4" w:space="0" w:color="auto"/>
            </w:tcBorders>
            <w:shd w:val="clear" w:color="auto" w:fill="F2F2F2"/>
            <w:noWrap/>
            <w:vAlign w:val="bottom"/>
            <w:hideMark/>
          </w:tcPr>
          <w:p w14:paraId="6B0550A1"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F2F2F2"/>
            <w:noWrap/>
            <w:vAlign w:val="bottom"/>
            <w:hideMark/>
          </w:tcPr>
          <w:p w14:paraId="45F3199D"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137/941 (14.6)</w:t>
            </w:r>
          </w:p>
        </w:tc>
        <w:tc>
          <w:tcPr>
            <w:tcW w:w="1189" w:type="dxa"/>
            <w:tcBorders>
              <w:top w:val="nil"/>
              <w:left w:val="nil"/>
              <w:bottom w:val="nil"/>
              <w:right w:val="nil"/>
            </w:tcBorders>
            <w:shd w:val="clear" w:color="auto" w:fill="F2F2F2"/>
            <w:noWrap/>
            <w:vAlign w:val="bottom"/>
            <w:hideMark/>
          </w:tcPr>
          <w:p w14:paraId="1A2A6FE2" w14:textId="29835E27"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6" w:type="dxa"/>
            <w:tcBorders>
              <w:top w:val="nil"/>
              <w:left w:val="nil"/>
              <w:bottom w:val="nil"/>
              <w:right w:val="nil"/>
            </w:tcBorders>
            <w:shd w:val="clear" w:color="auto" w:fill="F2F2F2"/>
            <w:noWrap/>
            <w:vAlign w:val="bottom"/>
            <w:hideMark/>
          </w:tcPr>
          <w:p w14:paraId="6912EE64"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F2F2F2"/>
            <w:noWrap/>
            <w:vAlign w:val="bottom"/>
            <w:hideMark/>
          </w:tcPr>
          <w:p w14:paraId="16506280" w14:textId="2FBFB6D1"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4" w:type="dxa"/>
            <w:tcBorders>
              <w:top w:val="nil"/>
              <w:left w:val="nil"/>
              <w:bottom w:val="nil"/>
              <w:right w:val="nil"/>
            </w:tcBorders>
            <w:shd w:val="clear" w:color="auto" w:fill="F2F2F2"/>
            <w:noWrap/>
            <w:vAlign w:val="bottom"/>
            <w:hideMark/>
          </w:tcPr>
          <w:p w14:paraId="24DF78C1"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1BB2538C" w14:textId="77777777" w:rsidTr="00885AD0">
        <w:trPr>
          <w:trHeight w:val="57"/>
        </w:trPr>
        <w:tc>
          <w:tcPr>
            <w:tcW w:w="1276" w:type="dxa"/>
            <w:tcBorders>
              <w:top w:val="nil"/>
              <w:left w:val="nil"/>
              <w:bottom w:val="nil"/>
              <w:right w:val="single" w:sz="4" w:space="0" w:color="auto"/>
            </w:tcBorders>
            <w:shd w:val="clear" w:color="auto" w:fill="F2F2F2"/>
            <w:vAlign w:val="bottom"/>
          </w:tcPr>
          <w:p w14:paraId="2386ACDE" w14:textId="77777777"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 xml:space="preserve">A-level, </w:t>
            </w:r>
            <w:proofErr w:type="spellStart"/>
            <w:r w:rsidRPr="00834AAA">
              <w:rPr>
                <w:rFonts w:ascii="Calibri" w:eastAsia="Times New Roman" w:hAnsi="Calibri" w:cs="Times New Roman"/>
                <w:color w:val="000000"/>
                <w:sz w:val="13"/>
                <w:szCs w:val="13"/>
                <w:lang w:eastAsia="en-GB"/>
              </w:rPr>
              <w:t>etc</w:t>
            </w:r>
            <w:proofErr w:type="spellEnd"/>
          </w:p>
        </w:tc>
        <w:tc>
          <w:tcPr>
            <w:tcW w:w="1276" w:type="dxa"/>
            <w:tcBorders>
              <w:top w:val="nil"/>
              <w:left w:val="single" w:sz="4" w:space="0" w:color="auto"/>
              <w:bottom w:val="nil"/>
              <w:right w:val="nil"/>
            </w:tcBorders>
            <w:shd w:val="clear" w:color="auto" w:fill="F2F2F2"/>
            <w:noWrap/>
            <w:vAlign w:val="bottom"/>
            <w:hideMark/>
          </w:tcPr>
          <w:p w14:paraId="00A27EC5"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605/1449 (41.8)</w:t>
            </w:r>
          </w:p>
        </w:tc>
        <w:tc>
          <w:tcPr>
            <w:tcW w:w="1160" w:type="dxa"/>
            <w:tcBorders>
              <w:top w:val="nil"/>
              <w:left w:val="nil"/>
              <w:bottom w:val="nil"/>
              <w:right w:val="nil"/>
            </w:tcBorders>
            <w:shd w:val="clear" w:color="auto" w:fill="F2F2F2"/>
            <w:noWrap/>
            <w:vAlign w:val="bottom"/>
            <w:hideMark/>
          </w:tcPr>
          <w:p w14:paraId="74E5EEEE" w14:textId="68D53B30"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0.83 (0.7</w:t>
            </w:r>
            <w:r w:rsidR="001E14F8">
              <w:rPr>
                <w:rFonts w:ascii="Calibri" w:eastAsia="Times New Roman" w:hAnsi="Calibri" w:cs="Times New Roman"/>
                <w:color w:val="000000"/>
                <w:sz w:val="14"/>
                <w:szCs w:val="14"/>
                <w:lang w:eastAsia="en-GB"/>
              </w:rPr>
              <w:t>0</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0.98)</w:t>
            </w:r>
          </w:p>
        </w:tc>
        <w:tc>
          <w:tcPr>
            <w:tcW w:w="683" w:type="dxa"/>
            <w:tcBorders>
              <w:top w:val="nil"/>
              <w:left w:val="nil"/>
              <w:bottom w:val="nil"/>
              <w:right w:val="nil"/>
            </w:tcBorders>
            <w:shd w:val="clear" w:color="auto" w:fill="F2F2F2"/>
            <w:noWrap/>
            <w:vAlign w:val="bottom"/>
            <w:hideMark/>
          </w:tcPr>
          <w:p w14:paraId="340C167A"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F2F2F2"/>
            <w:noWrap/>
            <w:vAlign w:val="bottom"/>
            <w:hideMark/>
          </w:tcPr>
          <w:p w14:paraId="4EC708A2" w14:textId="574C9F0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0.89 (0.75</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1.06)</w:t>
            </w:r>
          </w:p>
        </w:tc>
        <w:tc>
          <w:tcPr>
            <w:tcW w:w="638" w:type="dxa"/>
            <w:tcBorders>
              <w:top w:val="nil"/>
              <w:left w:val="nil"/>
              <w:bottom w:val="nil"/>
              <w:right w:val="single" w:sz="4" w:space="0" w:color="auto"/>
            </w:tcBorders>
            <w:shd w:val="clear" w:color="auto" w:fill="F2F2F2"/>
            <w:noWrap/>
            <w:vAlign w:val="bottom"/>
            <w:hideMark/>
          </w:tcPr>
          <w:p w14:paraId="44A2FF2D" w14:textId="7054BC62"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F2F2F2"/>
            <w:noWrap/>
            <w:vAlign w:val="bottom"/>
            <w:hideMark/>
          </w:tcPr>
          <w:p w14:paraId="3C243066"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428/1453 (29.5)</w:t>
            </w:r>
          </w:p>
        </w:tc>
        <w:tc>
          <w:tcPr>
            <w:tcW w:w="1175" w:type="dxa"/>
            <w:tcBorders>
              <w:top w:val="nil"/>
              <w:left w:val="nil"/>
              <w:bottom w:val="nil"/>
              <w:right w:val="nil"/>
            </w:tcBorders>
            <w:shd w:val="clear" w:color="auto" w:fill="F2F2F2"/>
            <w:noWrap/>
            <w:vAlign w:val="bottom"/>
            <w:hideMark/>
          </w:tcPr>
          <w:p w14:paraId="536184BB" w14:textId="317DB7FF"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w:t>
            </w:r>
            <w:r w:rsidR="001E14F8">
              <w:rPr>
                <w:rFonts w:ascii="Calibri" w:eastAsia="Times New Roman" w:hAnsi="Calibri" w:cs="Times New Roman"/>
                <w:color w:val="000000"/>
                <w:sz w:val="14"/>
                <w:szCs w:val="14"/>
                <w:lang w:eastAsia="en-GB"/>
              </w:rPr>
              <w:t>.00</w:t>
            </w:r>
            <w:r w:rsidRPr="00834AAA">
              <w:rPr>
                <w:rFonts w:ascii="Calibri" w:eastAsia="Times New Roman" w:hAnsi="Calibri" w:cs="Times New Roman"/>
                <w:color w:val="000000"/>
                <w:sz w:val="14"/>
                <w:szCs w:val="14"/>
                <w:lang w:eastAsia="en-GB"/>
              </w:rPr>
              <w:t xml:space="preserve"> (0.84</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1.2</w:t>
            </w:r>
            <w:r w:rsidR="001E14F8">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w:t>
            </w:r>
          </w:p>
        </w:tc>
        <w:tc>
          <w:tcPr>
            <w:tcW w:w="668" w:type="dxa"/>
            <w:tcBorders>
              <w:top w:val="nil"/>
              <w:left w:val="nil"/>
              <w:bottom w:val="nil"/>
              <w:right w:val="nil"/>
            </w:tcBorders>
            <w:shd w:val="clear" w:color="auto" w:fill="F2F2F2"/>
            <w:noWrap/>
            <w:vAlign w:val="bottom"/>
            <w:hideMark/>
          </w:tcPr>
          <w:p w14:paraId="5F2DE54E"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F2F2F2"/>
            <w:noWrap/>
            <w:vAlign w:val="bottom"/>
            <w:hideMark/>
          </w:tcPr>
          <w:p w14:paraId="7EC2C656" w14:textId="3F086D0E"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0.91 (0.76</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1.09)</w:t>
            </w:r>
          </w:p>
        </w:tc>
        <w:tc>
          <w:tcPr>
            <w:tcW w:w="638" w:type="dxa"/>
            <w:tcBorders>
              <w:top w:val="nil"/>
              <w:left w:val="nil"/>
              <w:bottom w:val="nil"/>
              <w:right w:val="single" w:sz="4" w:space="0" w:color="auto"/>
            </w:tcBorders>
            <w:shd w:val="clear" w:color="auto" w:fill="F2F2F2"/>
            <w:noWrap/>
            <w:vAlign w:val="bottom"/>
            <w:hideMark/>
          </w:tcPr>
          <w:p w14:paraId="113FCBC1" w14:textId="43BF575C"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F2F2F2"/>
            <w:noWrap/>
            <w:vAlign w:val="bottom"/>
            <w:hideMark/>
          </w:tcPr>
          <w:p w14:paraId="57785DFD"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279/1446 (19.3)</w:t>
            </w:r>
          </w:p>
        </w:tc>
        <w:tc>
          <w:tcPr>
            <w:tcW w:w="1189" w:type="dxa"/>
            <w:tcBorders>
              <w:top w:val="nil"/>
              <w:left w:val="nil"/>
              <w:bottom w:val="nil"/>
              <w:right w:val="nil"/>
            </w:tcBorders>
            <w:shd w:val="clear" w:color="auto" w:fill="F2F2F2"/>
            <w:noWrap/>
            <w:vAlign w:val="bottom"/>
            <w:hideMark/>
          </w:tcPr>
          <w:p w14:paraId="3FBA9990" w14:textId="414C8D80"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1.4</w:t>
            </w:r>
            <w:r w:rsidR="001E14F8">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 xml:space="preserve"> (1.12</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1.75)</w:t>
            </w:r>
          </w:p>
        </w:tc>
        <w:tc>
          <w:tcPr>
            <w:tcW w:w="636" w:type="dxa"/>
            <w:tcBorders>
              <w:top w:val="nil"/>
              <w:left w:val="nil"/>
              <w:bottom w:val="nil"/>
              <w:right w:val="nil"/>
            </w:tcBorders>
            <w:shd w:val="clear" w:color="auto" w:fill="F2F2F2"/>
            <w:noWrap/>
            <w:vAlign w:val="bottom"/>
            <w:hideMark/>
          </w:tcPr>
          <w:p w14:paraId="74A1FD4E"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F2F2F2"/>
            <w:noWrap/>
            <w:vAlign w:val="bottom"/>
            <w:hideMark/>
          </w:tcPr>
          <w:p w14:paraId="057F8AEE" w14:textId="30DD320E"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1.29 (1.02</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1.62)</w:t>
            </w:r>
          </w:p>
        </w:tc>
        <w:tc>
          <w:tcPr>
            <w:tcW w:w="634" w:type="dxa"/>
            <w:tcBorders>
              <w:top w:val="nil"/>
              <w:left w:val="nil"/>
              <w:bottom w:val="nil"/>
              <w:right w:val="nil"/>
            </w:tcBorders>
            <w:shd w:val="clear" w:color="auto" w:fill="F2F2F2"/>
            <w:noWrap/>
            <w:vAlign w:val="bottom"/>
            <w:hideMark/>
          </w:tcPr>
          <w:p w14:paraId="09018E07" w14:textId="625FAE89"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13E58958" w14:textId="77777777" w:rsidTr="00885AD0">
        <w:trPr>
          <w:trHeight w:val="57"/>
        </w:trPr>
        <w:tc>
          <w:tcPr>
            <w:tcW w:w="1276" w:type="dxa"/>
            <w:tcBorders>
              <w:top w:val="nil"/>
              <w:left w:val="nil"/>
              <w:bottom w:val="nil"/>
              <w:right w:val="single" w:sz="4" w:space="0" w:color="auto"/>
            </w:tcBorders>
            <w:shd w:val="clear" w:color="auto" w:fill="F2F2F2"/>
            <w:vAlign w:val="bottom"/>
          </w:tcPr>
          <w:p w14:paraId="233BF3C2" w14:textId="77777777"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Degree level</w:t>
            </w:r>
          </w:p>
        </w:tc>
        <w:tc>
          <w:tcPr>
            <w:tcW w:w="1276" w:type="dxa"/>
            <w:tcBorders>
              <w:top w:val="nil"/>
              <w:left w:val="single" w:sz="4" w:space="0" w:color="auto"/>
              <w:bottom w:val="nil"/>
              <w:right w:val="nil"/>
            </w:tcBorders>
            <w:shd w:val="clear" w:color="auto" w:fill="F2F2F2"/>
            <w:noWrap/>
            <w:vAlign w:val="bottom"/>
            <w:hideMark/>
          </w:tcPr>
          <w:p w14:paraId="4E032168"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1454/3364 (43.2)</w:t>
            </w:r>
          </w:p>
        </w:tc>
        <w:tc>
          <w:tcPr>
            <w:tcW w:w="1160" w:type="dxa"/>
            <w:tcBorders>
              <w:top w:val="nil"/>
              <w:left w:val="nil"/>
              <w:bottom w:val="nil"/>
              <w:right w:val="nil"/>
            </w:tcBorders>
            <w:shd w:val="clear" w:color="auto" w:fill="F2F2F2"/>
            <w:noWrap/>
            <w:vAlign w:val="bottom"/>
            <w:hideMark/>
          </w:tcPr>
          <w:p w14:paraId="69257B01" w14:textId="30D612A9"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0.88 (0.76</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1.02)</w:t>
            </w:r>
          </w:p>
        </w:tc>
        <w:tc>
          <w:tcPr>
            <w:tcW w:w="683" w:type="dxa"/>
            <w:tcBorders>
              <w:top w:val="nil"/>
              <w:left w:val="nil"/>
              <w:bottom w:val="nil"/>
              <w:right w:val="nil"/>
            </w:tcBorders>
            <w:shd w:val="clear" w:color="auto" w:fill="F2F2F2"/>
            <w:noWrap/>
            <w:vAlign w:val="bottom"/>
            <w:hideMark/>
          </w:tcPr>
          <w:p w14:paraId="5DECC89A"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0.079</w:t>
            </w:r>
          </w:p>
        </w:tc>
        <w:tc>
          <w:tcPr>
            <w:tcW w:w="1205" w:type="dxa"/>
            <w:tcBorders>
              <w:top w:val="nil"/>
              <w:left w:val="nil"/>
              <w:bottom w:val="nil"/>
              <w:right w:val="nil"/>
            </w:tcBorders>
            <w:shd w:val="clear" w:color="auto" w:fill="F2F2F2"/>
            <w:noWrap/>
            <w:vAlign w:val="bottom"/>
            <w:hideMark/>
          </w:tcPr>
          <w:p w14:paraId="5FD8A3B8" w14:textId="1F96B37D"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0.85 (0.73</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0.98)</w:t>
            </w:r>
          </w:p>
        </w:tc>
        <w:tc>
          <w:tcPr>
            <w:tcW w:w="638" w:type="dxa"/>
            <w:tcBorders>
              <w:top w:val="nil"/>
              <w:left w:val="nil"/>
              <w:bottom w:val="nil"/>
              <w:right w:val="single" w:sz="4" w:space="0" w:color="auto"/>
            </w:tcBorders>
            <w:shd w:val="clear" w:color="auto" w:fill="F2F2F2"/>
            <w:noWrap/>
            <w:vAlign w:val="bottom"/>
            <w:hideMark/>
          </w:tcPr>
          <w:p w14:paraId="150DB9A4" w14:textId="7DCBFB80" w:rsidR="00ED367C" w:rsidRPr="00834AAA" w:rsidRDefault="006D6422"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0.088</w:t>
            </w:r>
          </w:p>
        </w:tc>
        <w:tc>
          <w:tcPr>
            <w:tcW w:w="1275" w:type="dxa"/>
            <w:tcBorders>
              <w:top w:val="nil"/>
              <w:left w:val="single" w:sz="4" w:space="0" w:color="auto"/>
              <w:bottom w:val="nil"/>
              <w:right w:val="nil"/>
            </w:tcBorders>
            <w:shd w:val="clear" w:color="auto" w:fill="F2F2F2"/>
            <w:noWrap/>
            <w:vAlign w:val="bottom"/>
            <w:hideMark/>
          </w:tcPr>
          <w:p w14:paraId="4A977C5A"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761/3353 (22.7)</w:t>
            </w:r>
          </w:p>
        </w:tc>
        <w:tc>
          <w:tcPr>
            <w:tcW w:w="1175" w:type="dxa"/>
            <w:tcBorders>
              <w:top w:val="nil"/>
              <w:left w:val="nil"/>
              <w:bottom w:val="nil"/>
              <w:right w:val="nil"/>
            </w:tcBorders>
            <w:shd w:val="clear" w:color="auto" w:fill="F2F2F2"/>
            <w:noWrap/>
            <w:vAlign w:val="bottom"/>
            <w:hideMark/>
          </w:tcPr>
          <w:p w14:paraId="308A763E" w14:textId="737090EF"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0.71 (0.6</w:t>
            </w:r>
            <w:r w:rsidR="001E14F8">
              <w:rPr>
                <w:rFonts w:ascii="Calibri" w:eastAsia="Times New Roman" w:hAnsi="Calibri" w:cs="Times New Roman"/>
                <w:color w:val="000000"/>
                <w:sz w:val="14"/>
                <w:szCs w:val="14"/>
                <w:lang w:eastAsia="en-GB"/>
              </w:rPr>
              <w:t>0</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0.83)</w:t>
            </w:r>
          </w:p>
        </w:tc>
        <w:tc>
          <w:tcPr>
            <w:tcW w:w="668" w:type="dxa"/>
            <w:tcBorders>
              <w:top w:val="nil"/>
              <w:left w:val="nil"/>
              <w:bottom w:val="nil"/>
              <w:right w:val="nil"/>
            </w:tcBorders>
            <w:shd w:val="clear" w:color="auto" w:fill="F2F2F2"/>
            <w:noWrap/>
            <w:vAlign w:val="bottom"/>
            <w:hideMark/>
          </w:tcPr>
          <w:p w14:paraId="4AE6F16E"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&lt;0.001</w:t>
            </w:r>
          </w:p>
        </w:tc>
        <w:tc>
          <w:tcPr>
            <w:tcW w:w="1220" w:type="dxa"/>
            <w:tcBorders>
              <w:top w:val="nil"/>
              <w:left w:val="nil"/>
              <w:bottom w:val="nil"/>
              <w:right w:val="nil"/>
            </w:tcBorders>
            <w:shd w:val="clear" w:color="auto" w:fill="F2F2F2"/>
            <w:noWrap/>
            <w:vAlign w:val="bottom"/>
            <w:hideMark/>
          </w:tcPr>
          <w:p w14:paraId="18C8D8B0" w14:textId="40750873"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0.66 (0.56</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0.78)</w:t>
            </w:r>
          </w:p>
        </w:tc>
        <w:tc>
          <w:tcPr>
            <w:tcW w:w="638" w:type="dxa"/>
            <w:tcBorders>
              <w:top w:val="nil"/>
              <w:left w:val="nil"/>
              <w:bottom w:val="nil"/>
              <w:right w:val="single" w:sz="4" w:space="0" w:color="auto"/>
            </w:tcBorders>
            <w:shd w:val="clear" w:color="auto" w:fill="F2F2F2"/>
            <w:noWrap/>
            <w:vAlign w:val="bottom"/>
            <w:hideMark/>
          </w:tcPr>
          <w:p w14:paraId="6C2D959A" w14:textId="1E8739C4" w:rsidR="00ED367C" w:rsidRPr="00834AAA" w:rsidRDefault="006D6422"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&lt;0.001</w:t>
            </w:r>
          </w:p>
        </w:tc>
        <w:tc>
          <w:tcPr>
            <w:tcW w:w="1261" w:type="dxa"/>
            <w:tcBorders>
              <w:top w:val="nil"/>
              <w:left w:val="single" w:sz="4" w:space="0" w:color="auto"/>
              <w:bottom w:val="nil"/>
              <w:right w:val="nil"/>
            </w:tcBorders>
            <w:shd w:val="clear" w:color="auto" w:fill="F2F2F2"/>
            <w:noWrap/>
            <w:vAlign w:val="bottom"/>
            <w:hideMark/>
          </w:tcPr>
          <w:p w14:paraId="2BD12198"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684/3355 (20.4)</w:t>
            </w:r>
          </w:p>
        </w:tc>
        <w:tc>
          <w:tcPr>
            <w:tcW w:w="1189" w:type="dxa"/>
            <w:tcBorders>
              <w:top w:val="nil"/>
              <w:left w:val="nil"/>
              <w:bottom w:val="nil"/>
              <w:right w:val="nil"/>
            </w:tcBorders>
            <w:shd w:val="clear" w:color="auto" w:fill="F2F2F2"/>
            <w:noWrap/>
            <w:vAlign w:val="bottom"/>
            <w:hideMark/>
          </w:tcPr>
          <w:p w14:paraId="11028662" w14:textId="64D205B5"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1.5</w:t>
            </w:r>
            <w:r w:rsidR="001E14F8">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 xml:space="preserve"> (1.23</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1.84)</w:t>
            </w:r>
          </w:p>
        </w:tc>
        <w:tc>
          <w:tcPr>
            <w:tcW w:w="636" w:type="dxa"/>
            <w:tcBorders>
              <w:top w:val="nil"/>
              <w:left w:val="nil"/>
              <w:bottom w:val="nil"/>
              <w:right w:val="nil"/>
            </w:tcBorders>
            <w:shd w:val="clear" w:color="auto" w:fill="F2F2F2"/>
            <w:noWrap/>
            <w:vAlign w:val="bottom"/>
            <w:hideMark/>
          </w:tcPr>
          <w:p w14:paraId="28EA1FFD"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&lt;0.001</w:t>
            </w:r>
          </w:p>
        </w:tc>
        <w:tc>
          <w:tcPr>
            <w:tcW w:w="1282" w:type="dxa"/>
            <w:tcBorders>
              <w:top w:val="nil"/>
              <w:left w:val="nil"/>
              <w:bottom w:val="nil"/>
              <w:right w:val="nil"/>
            </w:tcBorders>
            <w:shd w:val="clear" w:color="auto" w:fill="F2F2F2"/>
            <w:noWrap/>
            <w:vAlign w:val="bottom"/>
            <w:hideMark/>
          </w:tcPr>
          <w:p w14:paraId="38DA0434" w14:textId="6831DA1A"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1.13 (0.92</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1.39)</w:t>
            </w:r>
          </w:p>
        </w:tc>
        <w:tc>
          <w:tcPr>
            <w:tcW w:w="634" w:type="dxa"/>
            <w:tcBorders>
              <w:top w:val="nil"/>
              <w:left w:val="nil"/>
              <w:bottom w:val="nil"/>
              <w:right w:val="nil"/>
            </w:tcBorders>
            <w:shd w:val="clear" w:color="auto" w:fill="F2F2F2"/>
            <w:noWrap/>
            <w:vAlign w:val="bottom"/>
            <w:hideMark/>
          </w:tcPr>
          <w:p w14:paraId="1EE009D2" w14:textId="0BB7A6E6" w:rsidR="00ED367C" w:rsidRPr="00834AAA" w:rsidRDefault="006D6422"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0.083</w:t>
            </w:r>
          </w:p>
        </w:tc>
      </w:tr>
      <w:tr w:rsidR="00331B4B" w:rsidRPr="00834AAA" w14:paraId="7DB4962F" w14:textId="77777777" w:rsidTr="00885AD0">
        <w:trPr>
          <w:trHeight w:val="57"/>
        </w:trPr>
        <w:tc>
          <w:tcPr>
            <w:tcW w:w="1276" w:type="dxa"/>
            <w:tcBorders>
              <w:top w:val="nil"/>
              <w:left w:val="nil"/>
              <w:bottom w:val="nil"/>
              <w:right w:val="single" w:sz="4" w:space="0" w:color="auto"/>
            </w:tcBorders>
            <w:shd w:val="clear" w:color="auto" w:fill="F2F2F2"/>
            <w:vAlign w:val="bottom"/>
          </w:tcPr>
          <w:p w14:paraId="67D2B674" w14:textId="77777777"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Missing</w:t>
            </w:r>
          </w:p>
        </w:tc>
        <w:tc>
          <w:tcPr>
            <w:tcW w:w="1276" w:type="dxa"/>
            <w:tcBorders>
              <w:top w:val="nil"/>
              <w:left w:val="single" w:sz="4" w:space="0" w:color="auto"/>
              <w:bottom w:val="nil"/>
              <w:right w:val="nil"/>
            </w:tcBorders>
            <w:shd w:val="clear" w:color="auto" w:fill="F2F2F2"/>
            <w:noWrap/>
            <w:vAlign w:val="bottom"/>
            <w:hideMark/>
          </w:tcPr>
          <w:p w14:paraId="19AE76E8"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60" w:type="dxa"/>
            <w:tcBorders>
              <w:top w:val="nil"/>
              <w:left w:val="nil"/>
              <w:bottom w:val="nil"/>
              <w:right w:val="nil"/>
            </w:tcBorders>
            <w:shd w:val="clear" w:color="auto" w:fill="F2F2F2"/>
            <w:noWrap/>
            <w:vAlign w:val="bottom"/>
            <w:hideMark/>
          </w:tcPr>
          <w:p w14:paraId="551451EF"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83" w:type="dxa"/>
            <w:tcBorders>
              <w:top w:val="nil"/>
              <w:left w:val="nil"/>
              <w:bottom w:val="nil"/>
              <w:right w:val="nil"/>
            </w:tcBorders>
            <w:shd w:val="clear" w:color="auto" w:fill="F2F2F2"/>
            <w:noWrap/>
            <w:vAlign w:val="bottom"/>
            <w:hideMark/>
          </w:tcPr>
          <w:p w14:paraId="07982BBF"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F2F2F2"/>
            <w:noWrap/>
            <w:vAlign w:val="bottom"/>
            <w:hideMark/>
          </w:tcPr>
          <w:p w14:paraId="73D303C4"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F2F2F2"/>
            <w:noWrap/>
            <w:vAlign w:val="bottom"/>
            <w:hideMark/>
          </w:tcPr>
          <w:p w14:paraId="01447E0D"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F2F2F2"/>
            <w:noWrap/>
            <w:vAlign w:val="bottom"/>
            <w:hideMark/>
          </w:tcPr>
          <w:p w14:paraId="3BA47856"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75" w:type="dxa"/>
            <w:tcBorders>
              <w:top w:val="nil"/>
              <w:left w:val="nil"/>
              <w:bottom w:val="nil"/>
              <w:right w:val="nil"/>
            </w:tcBorders>
            <w:shd w:val="clear" w:color="auto" w:fill="F2F2F2"/>
            <w:noWrap/>
            <w:vAlign w:val="bottom"/>
            <w:hideMark/>
          </w:tcPr>
          <w:p w14:paraId="2FA95D40"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68" w:type="dxa"/>
            <w:tcBorders>
              <w:top w:val="nil"/>
              <w:left w:val="nil"/>
              <w:bottom w:val="nil"/>
              <w:right w:val="nil"/>
            </w:tcBorders>
            <w:shd w:val="clear" w:color="auto" w:fill="F2F2F2"/>
            <w:noWrap/>
            <w:vAlign w:val="bottom"/>
            <w:hideMark/>
          </w:tcPr>
          <w:p w14:paraId="0F6B35AC"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F2F2F2"/>
            <w:noWrap/>
            <w:vAlign w:val="bottom"/>
            <w:hideMark/>
          </w:tcPr>
          <w:p w14:paraId="1EF6BDA9"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F2F2F2"/>
            <w:noWrap/>
            <w:vAlign w:val="bottom"/>
            <w:hideMark/>
          </w:tcPr>
          <w:p w14:paraId="7AD6BC61"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F2F2F2"/>
            <w:noWrap/>
            <w:vAlign w:val="bottom"/>
            <w:hideMark/>
          </w:tcPr>
          <w:p w14:paraId="1B05DA17"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89" w:type="dxa"/>
            <w:tcBorders>
              <w:top w:val="nil"/>
              <w:left w:val="nil"/>
              <w:bottom w:val="nil"/>
              <w:right w:val="nil"/>
            </w:tcBorders>
            <w:shd w:val="clear" w:color="auto" w:fill="F2F2F2"/>
            <w:noWrap/>
            <w:vAlign w:val="bottom"/>
            <w:hideMark/>
          </w:tcPr>
          <w:p w14:paraId="4A8C59C7"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6" w:type="dxa"/>
            <w:tcBorders>
              <w:top w:val="nil"/>
              <w:left w:val="nil"/>
              <w:bottom w:val="nil"/>
              <w:right w:val="nil"/>
            </w:tcBorders>
            <w:shd w:val="clear" w:color="auto" w:fill="F2F2F2"/>
            <w:noWrap/>
            <w:vAlign w:val="bottom"/>
            <w:hideMark/>
          </w:tcPr>
          <w:p w14:paraId="055D14B1"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F2F2F2"/>
            <w:noWrap/>
            <w:vAlign w:val="bottom"/>
            <w:hideMark/>
          </w:tcPr>
          <w:p w14:paraId="5EEF8545"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4" w:type="dxa"/>
            <w:tcBorders>
              <w:top w:val="nil"/>
              <w:left w:val="nil"/>
              <w:bottom w:val="nil"/>
              <w:right w:val="nil"/>
            </w:tcBorders>
            <w:shd w:val="clear" w:color="auto" w:fill="F2F2F2"/>
            <w:noWrap/>
            <w:vAlign w:val="bottom"/>
            <w:hideMark/>
          </w:tcPr>
          <w:p w14:paraId="25D88009"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5180F694" w14:textId="77777777" w:rsidTr="00885AD0">
        <w:trPr>
          <w:trHeight w:val="57"/>
        </w:trPr>
        <w:tc>
          <w:tcPr>
            <w:tcW w:w="1276" w:type="dxa"/>
            <w:tcBorders>
              <w:top w:val="nil"/>
              <w:left w:val="nil"/>
              <w:bottom w:val="nil"/>
              <w:right w:val="single" w:sz="4" w:space="0" w:color="auto"/>
            </w:tcBorders>
            <w:vAlign w:val="bottom"/>
          </w:tcPr>
          <w:p w14:paraId="13F27CC4" w14:textId="77777777" w:rsidR="00ED367C" w:rsidRPr="00834AAA" w:rsidRDefault="00ED367C" w:rsidP="009B23BE">
            <w:pPr>
              <w:spacing w:before="0" w:after="0" w:line="240" w:lineRule="auto"/>
              <w:rPr>
                <w:rFonts w:ascii="Calibri" w:eastAsia="Times New Roman" w:hAnsi="Calibri" w:cs="Times New Roman"/>
                <w:b/>
                <w:color w:val="000000"/>
                <w:sz w:val="13"/>
                <w:szCs w:val="13"/>
                <w:lang w:eastAsia="en-GB"/>
              </w:rPr>
            </w:pPr>
            <w:r w:rsidRPr="00834AAA">
              <w:rPr>
                <w:rFonts w:ascii="Calibri" w:eastAsia="Times New Roman" w:hAnsi="Calibri" w:cs="Times New Roman"/>
                <w:b/>
                <w:color w:val="000000"/>
                <w:sz w:val="13"/>
                <w:szCs w:val="13"/>
                <w:lang w:eastAsia="en-GB"/>
              </w:rPr>
              <w:t>Migrant</w:t>
            </w:r>
          </w:p>
        </w:tc>
        <w:tc>
          <w:tcPr>
            <w:tcW w:w="1276" w:type="dxa"/>
            <w:tcBorders>
              <w:top w:val="nil"/>
              <w:left w:val="single" w:sz="4" w:space="0" w:color="auto"/>
              <w:bottom w:val="nil"/>
              <w:right w:val="nil"/>
            </w:tcBorders>
            <w:shd w:val="clear" w:color="auto" w:fill="auto"/>
            <w:noWrap/>
            <w:vAlign w:val="bottom"/>
            <w:hideMark/>
          </w:tcPr>
          <w:p w14:paraId="58A93010"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60" w:type="dxa"/>
            <w:tcBorders>
              <w:top w:val="nil"/>
              <w:left w:val="nil"/>
              <w:bottom w:val="nil"/>
              <w:right w:val="nil"/>
            </w:tcBorders>
            <w:shd w:val="clear" w:color="auto" w:fill="auto"/>
            <w:noWrap/>
            <w:vAlign w:val="bottom"/>
            <w:hideMark/>
          </w:tcPr>
          <w:p w14:paraId="6DA5ACE0"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83" w:type="dxa"/>
            <w:tcBorders>
              <w:top w:val="nil"/>
              <w:left w:val="nil"/>
              <w:bottom w:val="nil"/>
              <w:right w:val="nil"/>
            </w:tcBorders>
            <w:shd w:val="clear" w:color="auto" w:fill="auto"/>
            <w:noWrap/>
            <w:vAlign w:val="bottom"/>
            <w:hideMark/>
          </w:tcPr>
          <w:p w14:paraId="07E61021"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auto"/>
            <w:noWrap/>
            <w:vAlign w:val="bottom"/>
            <w:hideMark/>
          </w:tcPr>
          <w:p w14:paraId="2005741E"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auto"/>
            <w:noWrap/>
            <w:vAlign w:val="bottom"/>
            <w:hideMark/>
          </w:tcPr>
          <w:p w14:paraId="0C446A3C"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auto"/>
            <w:noWrap/>
            <w:vAlign w:val="bottom"/>
            <w:hideMark/>
          </w:tcPr>
          <w:p w14:paraId="37AC3047"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75" w:type="dxa"/>
            <w:tcBorders>
              <w:top w:val="nil"/>
              <w:left w:val="nil"/>
              <w:bottom w:val="nil"/>
              <w:right w:val="nil"/>
            </w:tcBorders>
            <w:shd w:val="clear" w:color="auto" w:fill="auto"/>
            <w:noWrap/>
            <w:vAlign w:val="bottom"/>
            <w:hideMark/>
          </w:tcPr>
          <w:p w14:paraId="63C4DB46"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68" w:type="dxa"/>
            <w:tcBorders>
              <w:top w:val="nil"/>
              <w:left w:val="nil"/>
              <w:bottom w:val="nil"/>
              <w:right w:val="nil"/>
            </w:tcBorders>
            <w:shd w:val="clear" w:color="auto" w:fill="auto"/>
            <w:noWrap/>
            <w:vAlign w:val="bottom"/>
            <w:hideMark/>
          </w:tcPr>
          <w:p w14:paraId="121CF136"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auto"/>
            <w:noWrap/>
            <w:vAlign w:val="bottom"/>
            <w:hideMark/>
          </w:tcPr>
          <w:p w14:paraId="7B5E63DA"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auto"/>
            <w:noWrap/>
            <w:vAlign w:val="bottom"/>
            <w:hideMark/>
          </w:tcPr>
          <w:p w14:paraId="6F29AE15"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auto"/>
            <w:noWrap/>
            <w:vAlign w:val="bottom"/>
            <w:hideMark/>
          </w:tcPr>
          <w:p w14:paraId="2D0860A1"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89" w:type="dxa"/>
            <w:tcBorders>
              <w:top w:val="nil"/>
              <w:left w:val="nil"/>
              <w:bottom w:val="nil"/>
              <w:right w:val="nil"/>
            </w:tcBorders>
            <w:shd w:val="clear" w:color="auto" w:fill="auto"/>
            <w:noWrap/>
            <w:vAlign w:val="bottom"/>
            <w:hideMark/>
          </w:tcPr>
          <w:p w14:paraId="356FC3DA"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6" w:type="dxa"/>
            <w:tcBorders>
              <w:top w:val="nil"/>
              <w:left w:val="nil"/>
              <w:bottom w:val="nil"/>
              <w:right w:val="nil"/>
            </w:tcBorders>
            <w:shd w:val="clear" w:color="auto" w:fill="auto"/>
            <w:noWrap/>
            <w:vAlign w:val="bottom"/>
            <w:hideMark/>
          </w:tcPr>
          <w:p w14:paraId="1BB940FD"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auto"/>
            <w:noWrap/>
            <w:vAlign w:val="bottom"/>
            <w:hideMark/>
          </w:tcPr>
          <w:p w14:paraId="2CFEE5A1"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4" w:type="dxa"/>
            <w:tcBorders>
              <w:top w:val="nil"/>
              <w:left w:val="nil"/>
              <w:bottom w:val="nil"/>
              <w:right w:val="nil"/>
            </w:tcBorders>
            <w:shd w:val="clear" w:color="auto" w:fill="auto"/>
            <w:noWrap/>
            <w:vAlign w:val="bottom"/>
            <w:hideMark/>
          </w:tcPr>
          <w:p w14:paraId="49BC2269"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55F0E44E" w14:textId="77777777" w:rsidTr="00885AD0">
        <w:trPr>
          <w:trHeight w:val="57"/>
        </w:trPr>
        <w:tc>
          <w:tcPr>
            <w:tcW w:w="1276" w:type="dxa"/>
            <w:tcBorders>
              <w:top w:val="nil"/>
              <w:left w:val="nil"/>
              <w:bottom w:val="nil"/>
              <w:right w:val="single" w:sz="4" w:space="0" w:color="auto"/>
            </w:tcBorders>
            <w:vAlign w:val="bottom"/>
          </w:tcPr>
          <w:p w14:paraId="5B805CD6" w14:textId="77777777"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No</w:t>
            </w:r>
          </w:p>
        </w:tc>
        <w:tc>
          <w:tcPr>
            <w:tcW w:w="1276" w:type="dxa"/>
            <w:tcBorders>
              <w:top w:val="nil"/>
              <w:left w:val="single" w:sz="4" w:space="0" w:color="auto"/>
              <w:bottom w:val="nil"/>
              <w:right w:val="nil"/>
            </w:tcBorders>
            <w:shd w:val="clear" w:color="auto" w:fill="auto"/>
            <w:noWrap/>
            <w:vAlign w:val="bottom"/>
            <w:hideMark/>
          </w:tcPr>
          <w:p w14:paraId="66766C1C"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2147/4935 (43.5)</w:t>
            </w:r>
          </w:p>
        </w:tc>
        <w:tc>
          <w:tcPr>
            <w:tcW w:w="1160" w:type="dxa"/>
            <w:tcBorders>
              <w:top w:val="nil"/>
              <w:left w:val="nil"/>
              <w:bottom w:val="nil"/>
              <w:right w:val="nil"/>
            </w:tcBorders>
            <w:shd w:val="clear" w:color="auto" w:fill="auto"/>
            <w:noWrap/>
            <w:vAlign w:val="bottom"/>
            <w:hideMark/>
          </w:tcPr>
          <w:p w14:paraId="681E5D5D" w14:textId="5B89001E"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83" w:type="dxa"/>
            <w:tcBorders>
              <w:top w:val="nil"/>
              <w:left w:val="nil"/>
              <w:bottom w:val="nil"/>
              <w:right w:val="nil"/>
            </w:tcBorders>
            <w:shd w:val="clear" w:color="auto" w:fill="auto"/>
            <w:noWrap/>
            <w:vAlign w:val="bottom"/>
            <w:hideMark/>
          </w:tcPr>
          <w:p w14:paraId="6FF0A7E7"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auto"/>
            <w:noWrap/>
            <w:vAlign w:val="bottom"/>
            <w:hideMark/>
          </w:tcPr>
          <w:p w14:paraId="7E663111" w14:textId="31D67596"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8" w:type="dxa"/>
            <w:tcBorders>
              <w:top w:val="nil"/>
              <w:left w:val="nil"/>
              <w:bottom w:val="nil"/>
              <w:right w:val="single" w:sz="4" w:space="0" w:color="auto"/>
            </w:tcBorders>
            <w:shd w:val="clear" w:color="auto" w:fill="auto"/>
            <w:noWrap/>
            <w:vAlign w:val="bottom"/>
            <w:hideMark/>
          </w:tcPr>
          <w:p w14:paraId="31754599" w14:textId="195F59B5"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auto"/>
            <w:noWrap/>
            <w:vAlign w:val="bottom"/>
            <w:hideMark/>
          </w:tcPr>
          <w:p w14:paraId="7AFBD220"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1258/4925 (25.5)</w:t>
            </w:r>
          </w:p>
        </w:tc>
        <w:tc>
          <w:tcPr>
            <w:tcW w:w="1175" w:type="dxa"/>
            <w:tcBorders>
              <w:top w:val="nil"/>
              <w:left w:val="nil"/>
              <w:bottom w:val="nil"/>
              <w:right w:val="nil"/>
            </w:tcBorders>
            <w:shd w:val="clear" w:color="auto" w:fill="auto"/>
            <w:noWrap/>
            <w:vAlign w:val="bottom"/>
            <w:hideMark/>
          </w:tcPr>
          <w:p w14:paraId="29B903C5" w14:textId="0B69CA8C"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68" w:type="dxa"/>
            <w:tcBorders>
              <w:top w:val="nil"/>
              <w:left w:val="nil"/>
              <w:bottom w:val="nil"/>
              <w:right w:val="nil"/>
            </w:tcBorders>
            <w:shd w:val="clear" w:color="auto" w:fill="auto"/>
            <w:noWrap/>
            <w:vAlign w:val="bottom"/>
            <w:hideMark/>
          </w:tcPr>
          <w:p w14:paraId="39D27701"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auto"/>
            <w:noWrap/>
            <w:vAlign w:val="bottom"/>
            <w:hideMark/>
          </w:tcPr>
          <w:p w14:paraId="5A2C446B" w14:textId="748C022C"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8" w:type="dxa"/>
            <w:tcBorders>
              <w:top w:val="nil"/>
              <w:left w:val="nil"/>
              <w:bottom w:val="nil"/>
              <w:right w:val="single" w:sz="4" w:space="0" w:color="auto"/>
            </w:tcBorders>
            <w:shd w:val="clear" w:color="auto" w:fill="auto"/>
            <w:noWrap/>
            <w:vAlign w:val="bottom"/>
            <w:hideMark/>
          </w:tcPr>
          <w:p w14:paraId="6F499BA7" w14:textId="37698D00"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auto"/>
            <w:noWrap/>
            <w:vAlign w:val="bottom"/>
            <w:hideMark/>
          </w:tcPr>
          <w:p w14:paraId="75E54D40"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921/4925 (18.7)</w:t>
            </w:r>
          </w:p>
        </w:tc>
        <w:tc>
          <w:tcPr>
            <w:tcW w:w="1189" w:type="dxa"/>
            <w:tcBorders>
              <w:top w:val="nil"/>
              <w:left w:val="nil"/>
              <w:bottom w:val="nil"/>
              <w:right w:val="nil"/>
            </w:tcBorders>
            <w:shd w:val="clear" w:color="auto" w:fill="auto"/>
            <w:noWrap/>
            <w:vAlign w:val="bottom"/>
            <w:hideMark/>
          </w:tcPr>
          <w:p w14:paraId="78D18C8E" w14:textId="3A3C3D5B"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6" w:type="dxa"/>
            <w:tcBorders>
              <w:top w:val="nil"/>
              <w:left w:val="nil"/>
              <w:bottom w:val="nil"/>
              <w:right w:val="nil"/>
            </w:tcBorders>
            <w:shd w:val="clear" w:color="auto" w:fill="auto"/>
            <w:noWrap/>
            <w:vAlign w:val="bottom"/>
            <w:hideMark/>
          </w:tcPr>
          <w:p w14:paraId="1A0A0A9D"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auto"/>
            <w:noWrap/>
            <w:vAlign w:val="bottom"/>
            <w:hideMark/>
          </w:tcPr>
          <w:p w14:paraId="0E45F996" w14:textId="340AB123"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4" w:type="dxa"/>
            <w:tcBorders>
              <w:top w:val="nil"/>
              <w:left w:val="nil"/>
              <w:bottom w:val="nil"/>
              <w:right w:val="nil"/>
            </w:tcBorders>
            <w:shd w:val="clear" w:color="auto" w:fill="auto"/>
            <w:noWrap/>
            <w:vAlign w:val="bottom"/>
            <w:hideMark/>
          </w:tcPr>
          <w:p w14:paraId="2D84AD16" w14:textId="6AD25DB1"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0FFF8FDF" w14:textId="77777777" w:rsidTr="00885AD0">
        <w:trPr>
          <w:trHeight w:val="57"/>
        </w:trPr>
        <w:tc>
          <w:tcPr>
            <w:tcW w:w="1276" w:type="dxa"/>
            <w:tcBorders>
              <w:top w:val="nil"/>
              <w:left w:val="nil"/>
              <w:bottom w:val="nil"/>
              <w:right w:val="single" w:sz="4" w:space="0" w:color="auto"/>
            </w:tcBorders>
            <w:vAlign w:val="bottom"/>
          </w:tcPr>
          <w:p w14:paraId="157370D6" w14:textId="77777777"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Yes</w:t>
            </w:r>
          </w:p>
        </w:tc>
        <w:tc>
          <w:tcPr>
            <w:tcW w:w="1276" w:type="dxa"/>
            <w:tcBorders>
              <w:top w:val="nil"/>
              <w:left w:val="single" w:sz="4" w:space="0" w:color="auto"/>
              <w:bottom w:val="nil"/>
              <w:right w:val="nil"/>
            </w:tcBorders>
            <w:shd w:val="clear" w:color="auto" w:fill="auto"/>
            <w:noWrap/>
            <w:vAlign w:val="bottom"/>
            <w:hideMark/>
          </w:tcPr>
          <w:p w14:paraId="08BC75D2"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335/778 (43.1)</w:t>
            </w:r>
          </w:p>
        </w:tc>
        <w:tc>
          <w:tcPr>
            <w:tcW w:w="1160" w:type="dxa"/>
            <w:tcBorders>
              <w:top w:val="nil"/>
              <w:left w:val="nil"/>
              <w:bottom w:val="nil"/>
              <w:right w:val="nil"/>
            </w:tcBorders>
            <w:shd w:val="clear" w:color="auto" w:fill="auto"/>
            <w:noWrap/>
            <w:vAlign w:val="bottom"/>
            <w:hideMark/>
          </w:tcPr>
          <w:p w14:paraId="4100B5FB" w14:textId="193A66D5"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0.98 (0.84</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1.14)</w:t>
            </w:r>
          </w:p>
        </w:tc>
        <w:tc>
          <w:tcPr>
            <w:tcW w:w="683" w:type="dxa"/>
            <w:tcBorders>
              <w:top w:val="nil"/>
              <w:left w:val="nil"/>
              <w:bottom w:val="nil"/>
              <w:right w:val="nil"/>
            </w:tcBorders>
            <w:shd w:val="clear" w:color="auto" w:fill="auto"/>
            <w:noWrap/>
            <w:vAlign w:val="bottom"/>
            <w:hideMark/>
          </w:tcPr>
          <w:p w14:paraId="53523CF8"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0.815</w:t>
            </w:r>
          </w:p>
        </w:tc>
        <w:tc>
          <w:tcPr>
            <w:tcW w:w="1205" w:type="dxa"/>
            <w:tcBorders>
              <w:top w:val="nil"/>
              <w:left w:val="nil"/>
              <w:bottom w:val="nil"/>
              <w:right w:val="nil"/>
            </w:tcBorders>
            <w:shd w:val="clear" w:color="auto" w:fill="auto"/>
            <w:noWrap/>
            <w:vAlign w:val="bottom"/>
            <w:hideMark/>
          </w:tcPr>
          <w:p w14:paraId="14F9C752" w14:textId="7087A80E"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0.95 (0.81</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1.11)</w:t>
            </w:r>
          </w:p>
        </w:tc>
        <w:tc>
          <w:tcPr>
            <w:tcW w:w="638" w:type="dxa"/>
            <w:tcBorders>
              <w:top w:val="nil"/>
              <w:left w:val="nil"/>
              <w:bottom w:val="nil"/>
              <w:right w:val="single" w:sz="4" w:space="0" w:color="auto"/>
            </w:tcBorders>
            <w:shd w:val="clear" w:color="auto" w:fill="auto"/>
            <w:noWrap/>
            <w:vAlign w:val="bottom"/>
            <w:hideMark/>
          </w:tcPr>
          <w:p w14:paraId="4D60445E" w14:textId="7A014081" w:rsidR="00ED367C" w:rsidRPr="00834AAA" w:rsidRDefault="006D6422"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0.505</w:t>
            </w:r>
          </w:p>
        </w:tc>
        <w:tc>
          <w:tcPr>
            <w:tcW w:w="1275" w:type="dxa"/>
            <w:tcBorders>
              <w:top w:val="nil"/>
              <w:left w:val="single" w:sz="4" w:space="0" w:color="auto"/>
              <w:bottom w:val="nil"/>
              <w:right w:val="nil"/>
            </w:tcBorders>
            <w:shd w:val="clear" w:color="auto" w:fill="auto"/>
            <w:noWrap/>
            <w:vAlign w:val="bottom"/>
            <w:hideMark/>
          </w:tcPr>
          <w:p w14:paraId="012BB11B"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196/775 (25.3)</w:t>
            </w:r>
          </w:p>
        </w:tc>
        <w:tc>
          <w:tcPr>
            <w:tcW w:w="1175" w:type="dxa"/>
            <w:tcBorders>
              <w:top w:val="nil"/>
              <w:left w:val="nil"/>
              <w:bottom w:val="nil"/>
              <w:right w:val="nil"/>
            </w:tcBorders>
            <w:shd w:val="clear" w:color="auto" w:fill="auto"/>
            <w:noWrap/>
            <w:vAlign w:val="bottom"/>
            <w:hideMark/>
          </w:tcPr>
          <w:p w14:paraId="0435FBF4" w14:textId="1F472782"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0.99 (0.83</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1.17)</w:t>
            </w:r>
          </w:p>
        </w:tc>
        <w:tc>
          <w:tcPr>
            <w:tcW w:w="668" w:type="dxa"/>
            <w:tcBorders>
              <w:top w:val="nil"/>
              <w:left w:val="nil"/>
              <w:bottom w:val="nil"/>
              <w:right w:val="nil"/>
            </w:tcBorders>
            <w:shd w:val="clear" w:color="auto" w:fill="auto"/>
            <w:noWrap/>
            <w:vAlign w:val="bottom"/>
            <w:hideMark/>
          </w:tcPr>
          <w:p w14:paraId="260F7A63"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0.881</w:t>
            </w:r>
          </w:p>
        </w:tc>
        <w:tc>
          <w:tcPr>
            <w:tcW w:w="1220" w:type="dxa"/>
            <w:tcBorders>
              <w:top w:val="nil"/>
              <w:left w:val="nil"/>
              <w:bottom w:val="nil"/>
              <w:right w:val="nil"/>
            </w:tcBorders>
            <w:shd w:val="clear" w:color="auto" w:fill="auto"/>
            <w:noWrap/>
            <w:vAlign w:val="bottom"/>
            <w:hideMark/>
          </w:tcPr>
          <w:p w14:paraId="3AD6F686" w14:textId="07C37AF9"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w:t>
            </w:r>
            <w:r w:rsidR="001E14F8">
              <w:rPr>
                <w:rFonts w:ascii="Calibri" w:eastAsia="Times New Roman" w:hAnsi="Calibri" w:cs="Times New Roman"/>
                <w:color w:val="000000"/>
                <w:sz w:val="14"/>
                <w:szCs w:val="14"/>
                <w:lang w:eastAsia="en-GB"/>
              </w:rPr>
              <w:t>.00</w:t>
            </w:r>
            <w:r w:rsidRPr="00834AAA">
              <w:rPr>
                <w:rFonts w:ascii="Calibri" w:eastAsia="Times New Roman" w:hAnsi="Calibri" w:cs="Times New Roman"/>
                <w:color w:val="000000"/>
                <w:sz w:val="14"/>
                <w:szCs w:val="14"/>
                <w:lang w:eastAsia="en-GB"/>
              </w:rPr>
              <w:t xml:space="preserve"> (0.83</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1.19)</w:t>
            </w:r>
          </w:p>
        </w:tc>
        <w:tc>
          <w:tcPr>
            <w:tcW w:w="638" w:type="dxa"/>
            <w:tcBorders>
              <w:top w:val="nil"/>
              <w:left w:val="nil"/>
              <w:bottom w:val="nil"/>
              <w:right w:val="single" w:sz="4" w:space="0" w:color="auto"/>
            </w:tcBorders>
            <w:shd w:val="clear" w:color="auto" w:fill="auto"/>
            <w:noWrap/>
            <w:vAlign w:val="bottom"/>
            <w:hideMark/>
          </w:tcPr>
          <w:p w14:paraId="63BC42F7" w14:textId="675300DB" w:rsidR="00ED367C" w:rsidRPr="00834AAA" w:rsidRDefault="006D6422"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0.965</w:t>
            </w:r>
          </w:p>
        </w:tc>
        <w:tc>
          <w:tcPr>
            <w:tcW w:w="1261" w:type="dxa"/>
            <w:tcBorders>
              <w:top w:val="nil"/>
              <w:left w:val="single" w:sz="4" w:space="0" w:color="auto"/>
              <w:bottom w:val="nil"/>
              <w:right w:val="nil"/>
            </w:tcBorders>
            <w:shd w:val="clear" w:color="auto" w:fill="auto"/>
            <w:noWrap/>
            <w:vAlign w:val="bottom"/>
            <w:hideMark/>
          </w:tcPr>
          <w:p w14:paraId="4861DC71"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171/773 (22.1)</w:t>
            </w:r>
          </w:p>
        </w:tc>
        <w:tc>
          <w:tcPr>
            <w:tcW w:w="1189" w:type="dxa"/>
            <w:tcBorders>
              <w:top w:val="nil"/>
              <w:left w:val="nil"/>
              <w:bottom w:val="nil"/>
              <w:right w:val="nil"/>
            </w:tcBorders>
            <w:shd w:val="clear" w:color="auto" w:fill="auto"/>
            <w:noWrap/>
            <w:vAlign w:val="bottom"/>
            <w:hideMark/>
          </w:tcPr>
          <w:p w14:paraId="6D52A54D" w14:textId="715166A4"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1.23 (1.03</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1.48)</w:t>
            </w:r>
          </w:p>
        </w:tc>
        <w:tc>
          <w:tcPr>
            <w:tcW w:w="636" w:type="dxa"/>
            <w:tcBorders>
              <w:top w:val="nil"/>
              <w:left w:val="nil"/>
              <w:bottom w:val="nil"/>
              <w:right w:val="nil"/>
            </w:tcBorders>
            <w:shd w:val="clear" w:color="auto" w:fill="auto"/>
            <w:noWrap/>
            <w:vAlign w:val="bottom"/>
            <w:hideMark/>
          </w:tcPr>
          <w:p w14:paraId="169C7B67"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0.027</w:t>
            </w:r>
          </w:p>
        </w:tc>
        <w:tc>
          <w:tcPr>
            <w:tcW w:w="1282" w:type="dxa"/>
            <w:tcBorders>
              <w:top w:val="nil"/>
              <w:left w:val="nil"/>
              <w:bottom w:val="nil"/>
              <w:right w:val="nil"/>
            </w:tcBorders>
            <w:shd w:val="clear" w:color="auto" w:fill="auto"/>
            <w:noWrap/>
            <w:vAlign w:val="bottom"/>
            <w:hideMark/>
          </w:tcPr>
          <w:p w14:paraId="0C36DEC9" w14:textId="5ADB86A8"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1.15 (0.95</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1.38)</w:t>
            </w:r>
          </w:p>
        </w:tc>
        <w:tc>
          <w:tcPr>
            <w:tcW w:w="634" w:type="dxa"/>
            <w:tcBorders>
              <w:top w:val="nil"/>
              <w:left w:val="nil"/>
              <w:bottom w:val="nil"/>
              <w:right w:val="nil"/>
            </w:tcBorders>
            <w:shd w:val="clear" w:color="auto" w:fill="auto"/>
            <w:noWrap/>
            <w:vAlign w:val="bottom"/>
            <w:hideMark/>
          </w:tcPr>
          <w:p w14:paraId="300D799F" w14:textId="23614EAE" w:rsidR="00ED367C" w:rsidRPr="00834AAA" w:rsidRDefault="006D6422"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0.161</w:t>
            </w:r>
          </w:p>
        </w:tc>
      </w:tr>
      <w:tr w:rsidR="00331B4B" w:rsidRPr="00834AAA" w14:paraId="627A76C0" w14:textId="77777777" w:rsidTr="00885AD0">
        <w:trPr>
          <w:trHeight w:val="57"/>
        </w:trPr>
        <w:tc>
          <w:tcPr>
            <w:tcW w:w="1276" w:type="dxa"/>
            <w:tcBorders>
              <w:top w:val="nil"/>
              <w:left w:val="nil"/>
              <w:bottom w:val="nil"/>
              <w:right w:val="single" w:sz="4" w:space="0" w:color="auto"/>
            </w:tcBorders>
            <w:vAlign w:val="bottom"/>
          </w:tcPr>
          <w:p w14:paraId="5A3F1FF3" w14:textId="77777777"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Missing</w:t>
            </w:r>
          </w:p>
        </w:tc>
        <w:tc>
          <w:tcPr>
            <w:tcW w:w="1276" w:type="dxa"/>
            <w:tcBorders>
              <w:top w:val="nil"/>
              <w:left w:val="single" w:sz="4" w:space="0" w:color="auto"/>
              <w:bottom w:val="nil"/>
              <w:right w:val="nil"/>
            </w:tcBorders>
            <w:shd w:val="clear" w:color="auto" w:fill="auto"/>
            <w:noWrap/>
            <w:vAlign w:val="bottom"/>
            <w:hideMark/>
          </w:tcPr>
          <w:p w14:paraId="42B9811F"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60" w:type="dxa"/>
            <w:tcBorders>
              <w:top w:val="nil"/>
              <w:left w:val="nil"/>
              <w:bottom w:val="nil"/>
              <w:right w:val="nil"/>
            </w:tcBorders>
            <w:shd w:val="clear" w:color="auto" w:fill="auto"/>
            <w:noWrap/>
            <w:vAlign w:val="bottom"/>
            <w:hideMark/>
          </w:tcPr>
          <w:p w14:paraId="619B65EA"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83" w:type="dxa"/>
            <w:tcBorders>
              <w:top w:val="nil"/>
              <w:left w:val="nil"/>
              <w:bottom w:val="nil"/>
              <w:right w:val="nil"/>
            </w:tcBorders>
            <w:shd w:val="clear" w:color="auto" w:fill="auto"/>
            <w:noWrap/>
            <w:vAlign w:val="bottom"/>
            <w:hideMark/>
          </w:tcPr>
          <w:p w14:paraId="21A1B22D"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auto"/>
            <w:noWrap/>
            <w:vAlign w:val="bottom"/>
            <w:hideMark/>
          </w:tcPr>
          <w:p w14:paraId="533D3EF7"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auto"/>
            <w:noWrap/>
            <w:vAlign w:val="bottom"/>
            <w:hideMark/>
          </w:tcPr>
          <w:p w14:paraId="6FA562AB"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auto"/>
            <w:noWrap/>
            <w:vAlign w:val="bottom"/>
            <w:hideMark/>
          </w:tcPr>
          <w:p w14:paraId="36C72B44"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75" w:type="dxa"/>
            <w:tcBorders>
              <w:top w:val="nil"/>
              <w:left w:val="nil"/>
              <w:bottom w:val="nil"/>
              <w:right w:val="nil"/>
            </w:tcBorders>
            <w:shd w:val="clear" w:color="auto" w:fill="auto"/>
            <w:noWrap/>
            <w:vAlign w:val="bottom"/>
            <w:hideMark/>
          </w:tcPr>
          <w:p w14:paraId="11D38DF9"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68" w:type="dxa"/>
            <w:tcBorders>
              <w:top w:val="nil"/>
              <w:left w:val="nil"/>
              <w:bottom w:val="nil"/>
              <w:right w:val="nil"/>
            </w:tcBorders>
            <w:shd w:val="clear" w:color="auto" w:fill="auto"/>
            <w:noWrap/>
            <w:vAlign w:val="bottom"/>
            <w:hideMark/>
          </w:tcPr>
          <w:p w14:paraId="7BFA3AC2"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auto"/>
            <w:noWrap/>
            <w:vAlign w:val="bottom"/>
            <w:hideMark/>
          </w:tcPr>
          <w:p w14:paraId="49AD123F"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auto"/>
            <w:noWrap/>
            <w:vAlign w:val="bottom"/>
            <w:hideMark/>
          </w:tcPr>
          <w:p w14:paraId="0FA1D8C6"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auto"/>
            <w:noWrap/>
            <w:vAlign w:val="bottom"/>
            <w:hideMark/>
          </w:tcPr>
          <w:p w14:paraId="4F05EE42"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89" w:type="dxa"/>
            <w:tcBorders>
              <w:top w:val="nil"/>
              <w:left w:val="nil"/>
              <w:bottom w:val="nil"/>
              <w:right w:val="nil"/>
            </w:tcBorders>
            <w:shd w:val="clear" w:color="auto" w:fill="auto"/>
            <w:noWrap/>
            <w:vAlign w:val="bottom"/>
            <w:hideMark/>
          </w:tcPr>
          <w:p w14:paraId="31923B03"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6" w:type="dxa"/>
            <w:tcBorders>
              <w:top w:val="nil"/>
              <w:left w:val="nil"/>
              <w:bottom w:val="nil"/>
              <w:right w:val="nil"/>
            </w:tcBorders>
            <w:shd w:val="clear" w:color="auto" w:fill="auto"/>
            <w:noWrap/>
            <w:vAlign w:val="bottom"/>
            <w:hideMark/>
          </w:tcPr>
          <w:p w14:paraId="51EE9E2E"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auto"/>
            <w:noWrap/>
            <w:vAlign w:val="bottom"/>
            <w:hideMark/>
          </w:tcPr>
          <w:p w14:paraId="4A373E7A"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4" w:type="dxa"/>
            <w:tcBorders>
              <w:top w:val="nil"/>
              <w:left w:val="nil"/>
              <w:bottom w:val="nil"/>
              <w:right w:val="nil"/>
            </w:tcBorders>
            <w:shd w:val="clear" w:color="auto" w:fill="auto"/>
            <w:noWrap/>
            <w:vAlign w:val="bottom"/>
            <w:hideMark/>
          </w:tcPr>
          <w:p w14:paraId="44649A26"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173DCAC7" w14:textId="77777777" w:rsidTr="00885AD0">
        <w:trPr>
          <w:trHeight w:val="57"/>
        </w:trPr>
        <w:tc>
          <w:tcPr>
            <w:tcW w:w="1276" w:type="dxa"/>
            <w:tcBorders>
              <w:top w:val="nil"/>
              <w:left w:val="nil"/>
              <w:bottom w:val="nil"/>
              <w:right w:val="single" w:sz="4" w:space="0" w:color="auto"/>
            </w:tcBorders>
            <w:shd w:val="clear" w:color="auto" w:fill="F2F2F2"/>
            <w:vAlign w:val="bottom"/>
          </w:tcPr>
          <w:p w14:paraId="0F2A8084" w14:textId="55EEEB0F" w:rsidR="00ED367C" w:rsidRPr="00834AAA" w:rsidRDefault="00ED367C" w:rsidP="009B23BE">
            <w:pPr>
              <w:spacing w:before="0" w:after="0" w:line="240" w:lineRule="auto"/>
              <w:rPr>
                <w:rFonts w:ascii="Calibri" w:eastAsia="Times New Roman" w:hAnsi="Calibri" w:cs="Times New Roman"/>
                <w:b/>
                <w:color w:val="000000"/>
                <w:sz w:val="13"/>
                <w:szCs w:val="13"/>
                <w:lang w:eastAsia="en-GB"/>
              </w:rPr>
            </w:pPr>
            <w:r w:rsidRPr="00834AAA">
              <w:rPr>
                <w:rFonts w:ascii="Calibri" w:eastAsia="Times New Roman" w:hAnsi="Calibri" w:cs="Times New Roman"/>
                <w:b/>
                <w:color w:val="000000"/>
                <w:sz w:val="13"/>
                <w:szCs w:val="13"/>
                <w:lang w:eastAsia="en-GB"/>
              </w:rPr>
              <w:t>Income</w:t>
            </w:r>
            <w:r w:rsidR="00885AD0">
              <w:rPr>
                <w:rFonts w:ascii="Calibri" w:eastAsia="Times New Roman" w:hAnsi="Calibri" w:cs="Times New Roman"/>
                <w:b/>
                <w:color w:val="000000"/>
                <w:sz w:val="13"/>
                <w:szCs w:val="13"/>
                <w:lang w:eastAsia="en-GB"/>
              </w:rPr>
              <w:t xml:space="preserve"> (£)</w:t>
            </w:r>
          </w:p>
        </w:tc>
        <w:tc>
          <w:tcPr>
            <w:tcW w:w="1276" w:type="dxa"/>
            <w:tcBorders>
              <w:top w:val="nil"/>
              <w:left w:val="single" w:sz="4" w:space="0" w:color="auto"/>
              <w:bottom w:val="nil"/>
              <w:right w:val="nil"/>
            </w:tcBorders>
            <w:shd w:val="clear" w:color="auto" w:fill="F2F2F2"/>
            <w:noWrap/>
            <w:vAlign w:val="bottom"/>
            <w:hideMark/>
          </w:tcPr>
          <w:p w14:paraId="6C90F67B"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60" w:type="dxa"/>
            <w:tcBorders>
              <w:top w:val="nil"/>
              <w:left w:val="nil"/>
              <w:bottom w:val="nil"/>
              <w:right w:val="nil"/>
            </w:tcBorders>
            <w:shd w:val="clear" w:color="auto" w:fill="F2F2F2"/>
            <w:noWrap/>
            <w:vAlign w:val="bottom"/>
            <w:hideMark/>
          </w:tcPr>
          <w:p w14:paraId="104CC52C"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83" w:type="dxa"/>
            <w:tcBorders>
              <w:top w:val="nil"/>
              <w:left w:val="nil"/>
              <w:bottom w:val="nil"/>
              <w:right w:val="nil"/>
            </w:tcBorders>
            <w:shd w:val="clear" w:color="auto" w:fill="F2F2F2"/>
            <w:noWrap/>
            <w:vAlign w:val="bottom"/>
            <w:hideMark/>
          </w:tcPr>
          <w:p w14:paraId="6C34DF74"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F2F2F2"/>
            <w:noWrap/>
            <w:vAlign w:val="bottom"/>
            <w:hideMark/>
          </w:tcPr>
          <w:p w14:paraId="436D675E"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F2F2F2"/>
            <w:noWrap/>
            <w:vAlign w:val="bottom"/>
            <w:hideMark/>
          </w:tcPr>
          <w:p w14:paraId="57234F4C"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F2F2F2"/>
            <w:noWrap/>
            <w:vAlign w:val="bottom"/>
            <w:hideMark/>
          </w:tcPr>
          <w:p w14:paraId="00A601C3"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75" w:type="dxa"/>
            <w:tcBorders>
              <w:top w:val="nil"/>
              <w:left w:val="nil"/>
              <w:bottom w:val="nil"/>
              <w:right w:val="nil"/>
            </w:tcBorders>
            <w:shd w:val="clear" w:color="auto" w:fill="F2F2F2"/>
            <w:noWrap/>
            <w:vAlign w:val="bottom"/>
            <w:hideMark/>
          </w:tcPr>
          <w:p w14:paraId="7B9E3F92"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68" w:type="dxa"/>
            <w:tcBorders>
              <w:top w:val="nil"/>
              <w:left w:val="nil"/>
              <w:bottom w:val="nil"/>
              <w:right w:val="nil"/>
            </w:tcBorders>
            <w:shd w:val="clear" w:color="auto" w:fill="F2F2F2"/>
            <w:noWrap/>
            <w:vAlign w:val="bottom"/>
            <w:hideMark/>
          </w:tcPr>
          <w:p w14:paraId="00F9CAEA"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F2F2F2"/>
            <w:noWrap/>
            <w:vAlign w:val="bottom"/>
            <w:hideMark/>
          </w:tcPr>
          <w:p w14:paraId="09EA303A"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F2F2F2"/>
            <w:noWrap/>
            <w:vAlign w:val="bottom"/>
            <w:hideMark/>
          </w:tcPr>
          <w:p w14:paraId="7848E3E8"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F2F2F2"/>
            <w:noWrap/>
            <w:vAlign w:val="bottom"/>
            <w:hideMark/>
          </w:tcPr>
          <w:p w14:paraId="1F5C2186"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89" w:type="dxa"/>
            <w:tcBorders>
              <w:top w:val="nil"/>
              <w:left w:val="nil"/>
              <w:bottom w:val="nil"/>
              <w:right w:val="nil"/>
            </w:tcBorders>
            <w:shd w:val="clear" w:color="auto" w:fill="F2F2F2"/>
            <w:noWrap/>
            <w:vAlign w:val="bottom"/>
            <w:hideMark/>
          </w:tcPr>
          <w:p w14:paraId="2C7ED2A5"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6" w:type="dxa"/>
            <w:tcBorders>
              <w:top w:val="nil"/>
              <w:left w:val="nil"/>
              <w:bottom w:val="nil"/>
              <w:right w:val="nil"/>
            </w:tcBorders>
            <w:shd w:val="clear" w:color="auto" w:fill="F2F2F2"/>
            <w:noWrap/>
            <w:vAlign w:val="bottom"/>
            <w:hideMark/>
          </w:tcPr>
          <w:p w14:paraId="1863C9ED"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F2F2F2"/>
            <w:noWrap/>
            <w:vAlign w:val="bottom"/>
            <w:hideMark/>
          </w:tcPr>
          <w:p w14:paraId="47465599"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4" w:type="dxa"/>
            <w:tcBorders>
              <w:top w:val="nil"/>
              <w:left w:val="nil"/>
              <w:bottom w:val="nil"/>
              <w:right w:val="nil"/>
            </w:tcBorders>
            <w:shd w:val="clear" w:color="auto" w:fill="F2F2F2"/>
            <w:noWrap/>
            <w:vAlign w:val="bottom"/>
            <w:hideMark/>
          </w:tcPr>
          <w:p w14:paraId="704EB9E0"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25B8048B" w14:textId="77777777" w:rsidTr="00885AD0">
        <w:trPr>
          <w:trHeight w:val="57"/>
        </w:trPr>
        <w:tc>
          <w:tcPr>
            <w:tcW w:w="1276" w:type="dxa"/>
            <w:tcBorders>
              <w:top w:val="nil"/>
              <w:left w:val="nil"/>
              <w:bottom w:val="nil"/>
              <w:right w:val="single" w:sz="4" w:space="0" w:color="auto"/>
            </w:tcBorders>
            <w:shd w:val="clear" w:color="auto" w:fill="F2F2F2"/>
            <w:vAlign w:val="bottom"/>
          </w:tcPr>
          <w:p w14:paraId="3898E645" w14:textId="77777777"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&lt;10,400</w:t>
            </w:r>
          </w:p>
        </w:tc>
        <w:tc>
          <w:tcPr>
            <w:tcW w:w="1276" w:type="dxa"/>
            <w:tcBorders>
              <w:top w:val="nil"/>
              <w:left w:val="single" w:sz="4" w:space="0" w:color="auto"/>
              <w:bottom w:val="nil"/>
              <w:right w:val="nil"/>
            </w:tcBorders>
            <w:shd w:val="clear" w:color="auto" w:fill="F2F2F2"/>
            <w:noWrap/>
            <w:vAlign w:val="bottom"/>
            <w:hideMark/>
          </w:tcPr>
          <w:p w14:paraId="5CC6C4D3"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493/1322 (37.3)</w:t>
            </w:r>
          </w:p>
        </w:tc>
        <w:tc>
          <w:tcPr>
            <w:tcW w:w="1160" w:type="dxa"/>
            <w:tcBorders>
              <w:top w:val="nil"/>
              <w:left w:val="nil"/>
              <w:bottom w:val="nil"/>
              <w:right w:val="nil"/>
            </w:tcBorders>
            <w:shd w:val="clear" w:color="auto" w:fill="F2F2F2"/>
            <w:noWrap/>
            <w:vAlign w:val="bottom"/>
            <w:hideMark/>
          </w:tcPr>
          <w:p w14:paraId="5079B1BC" w14:textId="32C9B638"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83" w:type="dxa"/>
            <w:tcBorders>
              <w:top w:val="nil"/>
              <w:left w:val="nil"/>
              <w:bottom w:val="nil"/>
              <w:right w:val="nil"/>
            </w:tcBorders>
            <w:shd w:val="clear" w:color="auto" w:fill="F2F2F2"/>
            <w:noWrap/>
            <w:vAlign w:val="bottom"/>
            <w:hideMark/>
          </w:tcPr>
          <w:p w14:paraId="67A46664"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F2F2F2"/>
            <w:noWrap/>
            <w:vAlign w:val="bottom"/>
            <w:hideMark/>
          </w:tcPr>
          <w:p w14:paraId="28F8F627" w14:textId="7F605E5A"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8" w:type="dxa"/>
            <w:tcBorders>
              <w:top w:val="nil"/>
              <w:left w:val="nil"/>
              <w:bottom w:val="nil"/>
              <w:right w:val="single" w:sz="4" w:space="0" w:color="auto"/>
            </w:tcBorders>
            <w:shd w:val="clear" w:color="auto" w:fill="F2F2F2"/>
            <w:noWrap/>
            <w:vAlign w:val="bottom"/>
            <w:hideMark/>
          </w:tcPr>
          <w:p w14:paraId="7207F841"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F2F2F2"/>
            <w:noWrap/>
            <w:vAlign w:val="bottom"/>
            <w:hideMark/>
          </w:tcPr>
          <w:p w14:paraId="36CBB765"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382/1314 (29.1)</w:t>
            </w:r>
          </w:p>
        </w:tc>
        <w:tc>
          <w:tcPr>
            <w:tcW w:w="1175" w:type="dxa"/>
            <w:tcBorders>
              <w:top w:val="nil"/>
              <w:left w:val="nil"/>
              <w:bottom w:val="nil"/>
              <w:right w:val="nil"/>
            </w:tcBorders>
            <w:shd w:val="clear" w:color="auto" w:fill="F2F2F2"/>
            <w:noWrap/>
            <w:vAlign w:val="bottom"/>
            <w:hideMark/>
          </w:tcPr>
          <w:p w14:paraId="4047792E" w14:textId="2F10A4FF"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68" w:type="dxa"/>
            <w:tcBorders>
              <w:top w:val="nil"/>
              <w:left w:val="nil"/>
              <w:bottom w:val="nil"/>
              <w:right w:val="nil"/>
            </w:tcBorders>
            <w:shd w:val="clear" w:color="auto" w:fill="F2F2F2"/>
            <w:noWrap/>
            <w:vAlign w:val="bottom"/>
            <w:hideMark/>
          </w:tcPr>
          <w:p w14:paraId="1100AB3C"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F2F2F2"/>
            <w:noWrap/>
            <w:vAlign w:val="bottom"/>
            <w:hideMark/>
          </w:tcPr>
          <w:p w14:paraId="61B5E83F" w14:textId="2C969FAF"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8" w:type="dxa"/>
            <w:tcBorders>
              <w:top w:val="nil"/>
              <w:left w:val="nil"/>
              <w:bottom w:val="nil"/>
              <w:right w:val="single" w:sz="4" w:space="0" w:color="auto"/>
            </w:tcBorders>
            <w:shd w:val="clear" w:color="auto" w:fill="F2F2F2"/>
            <w:noWrap/>
            <w:vAlign w:val="bottom"/>
            <w:hideMark/>
          </w:tcPr>
          <w:p w14:paraId="1A9BB5B8"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F2F2F2"/>
            <w:noWrap/>
            <w:vAlign w:val="bottom"/>
            <w:hideMark/>
          </w:tcPr>
          <w:p w14:paraId="62971ED8"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203/1315 (15.4)</w:t>
            </w:r>
          </w:p>
        </w:tc>
        <w:tc>
          <w:tcPr>
            <w:tcW w:w="1189" w:type="dxa"/>
            <w:tcBorders>
              <w:top w:val="nil"/>
              <w:left w:val="nil"/>
              <w:bottom w:val="nil"/>
              <w:right w:val="nil"/>
            </w:tcBorders>
            <w:shd w:val="clear" w:color="auto" w:fill="F2F2F2"/>
            <w:noWrap/>
            <w:vAlign w:val="bottom"/>
            <w:hideMark/>
          </w:tcPr>
          <w:p w14:paraId="5A873DDA" w14:textId="2978B645"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6" w:type="dxa"/>
            <w:tcBorders>
              <w:top w:val="nil"/>
              <w:left w:val="nil"/>
              <w:bottom w:val="nil"/>
              <w:right w:val="nil"/>
            </w:tcBorders>
            <w:shd w:val="clear" w:color="auto" w:fill="F2F2F2"/>
            <w:noWrap/>
            <w:vAlign w:val="bottom"/>
            <w:hideMark/>
          </w:tcPr>
          <w:p w14:paraId="115CB7EE"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F2F2F2"/>
            <w:noWrap/>
            <w:vAlign w:val="bottom"/>
            <w:hideMark/>
          </w:tcPr>
          <w:p w14:paraId="2D08CFDF" w14:textId="16F549AA"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4" w:type="dxa"/>
            <w:tcBorders>
              <w:top w:val="nil"/>
              <w:left w:val="nil"/>
              <w:bottom w:val="nil"/>
              <w:right w:val="nil"/>
            </w:tcBorders>
            <w:shd w:val="clear" w:color="auto" w:fill="F2F2F2"/>
            <w:noWrap/>
            <w:vAlign w:val="bottom"/>
            <w:hideMark/>
          </w:tcPr>
          <w:p w14:paraId="461B7082"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1CBEDFF4" w14:textId="77777777" w:rsidTr="00885AD0">
        <w:trPr>
          <w:trHeight w:val="57"/>
        </w:trPr>
        <w:tc>
          <w:tcPr>
            <w:tcW w:w="1276" w:type="dxa"/>
            <w:tcBorders>
              <w:top w:val="nil"/>
              <w:left w:val="nil"/>
              <w:bottom w:val="nil"/>
              <w:right w:val="single" w:sz="4" w:space="0" w:color="auto"/>
            </w:tcBorders>
            <w:shd w:val="clear" w:color="auto" w:fill="F2F2F2"/>
            <w:vAlign w:val="bottom"/>
          </w:tcPr>
          <w:p w14:paraId="1F930FC1" w14:textId="77777777"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10,400-18,199</w:t>
            </w:r>
          </w:p>
        </w:tc>
        <w:tc>
          <w:tcPr>
            <w:tcW w:w="1276" w:type="dxa"/>
            <w:tcBorders>
              <w:top w:val="nil"/>
              <w:left w:val="single" w:sz="4" w:space="0" w:color="auto"/>
              <w:bottom w:val="nil"/>
              <w:right w:val="nil"/>
            </w:tcBorders>
            <w:shd w:val="clear" w:color="auto" w:fill="F2F2F2"/>
            <w:noWrap/>
            <w:vAlign w:val="bottom"/>
            <w:hideMark/>
          </w:tcPr>
          <w:p w14:paraId="67D02EFC" w14:textId="2220DD0C"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396/922 (43</w:t>
            </w:r>
            <w:r w:rsidR="00B10017">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w:t>
            </w:r>
          </w:p>
        </w:tc>
        <w:tc>
          <w:tcPr>
            <w:tcW w:w="1160" w:type="dxa"/>
            <w:tcBorders>
              <w:top w:val="nil"/>
              <w:left w:val="nil"/>
              <w:bottom w:val="nil"/>
              <w:right w:val="nil"/>
            </w:tcBorders>
            <w:shd w:val="clear" w:color="auto" w:fill="F2F2F2"/>
            <w:noWrap/>
            <w:vAlign w:val="bottom"/>
            <w:hideMark/>
          </w:tcPr>
          <w:p w14:paraId="38A76B83" w14:textId="5B17B501"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1.27 (1.07</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1.5</w:t>
            </w:r>
            <w:r w:rsidR="001E14F8">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w:t>
            </w:r>
          </w:p>
        </w:tc>
        <w:tc>
          <w:tcPr>
            <w:tcW w:w="683" w:type="dxa"/>
            <w:tcBorders>
              <w:top w:val="nil"/>
              <w:left w:val="nil"/>
              <w:bottom w:val="nil"/>
              <w:right w:val="nil"/>
            </w:tcBorders>
            <w:shd w:val="clear" w:color="auto" w:fill="F2F2F2"/>
            <w:noWrap/>
            <w:vAlign w:val="bottom"/>
            <w:hideMark/>
          </w:tcPr>
          <w:p w14:paraId="09D464FF"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F2F2F2"/>
            <w:noWrap/>
            <w:vAlign w:val="bottom"/>
            <w:hideMark/>
          </w:tcPr>
          <w:p w14:paraId="34334D66" w14:textId="3787D4AF"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1.15 (0.96</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1.37)</w:t>
            </w:r>
          </w:p>
        </w:tc>
        <w:tc>
          <w:tcPr>
            <w:tcW w:w="638" w:type="dxa"/>
            <w:tcBorders>
              <w:top w:val="nil"/>
              <w:left w:val="nil"/>
              <w:bottom w:val="nil"/>
              <w:right w:val="single" w:sz="4" w:space="0" w:color="auto"/>
            </w:tcBorders>
            <w:shd w:val="clear" w:color="auto" w:fill="F2F2F2"/>
            <w:noWrap/>
            <w:vAlign w:val="bottom"/>
            <w:hideMark/>
          </w:tcPr>
          <w:p w14:paraId="2F2D15D3"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F2F2F2"/>
            <w:noWrap/>
            <w:vAlign w:val="bottom"/>
            <w:hideMark/>
          </w:tcPr>
          <w:p w14:paraId="6FAB1C56"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270/918 (29.4)</w:t>
            </w:r>
          </w:p>
        </w:tc>
        <w:tc>
          <w:tcPr>
            <w:tcW w:w="1175" w:type="dxa"/>
            <w:tcBorders>
              <w:top w:val="nil"/>
              <w:left w:val="nil"/>
              <w:bottom w:val="nil"/>
              <w:right w:val="nil"/>
            </w:tcBorders>
            <w:shd w:val="clear" w:color="auto" w:fill="F2F2F2"/>
            <w:noWrap/>
            <w:vAlign w:val="bottom"/>
            <w:hideMark/>
          </w:tcPr>
          <w:p w14:paraId="126B0389" w14:textId="70F717EF"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1.02 (0.84</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1.22)</w:t>
            </w:r>
          </w:p>
        </w:tc>
        <w:tc>
          <w:tcPr>
            <w:tcW w:w="668" w:type="dxa"/>
            <w:tcBorders>
              <w:top w:val="nil"/>
              <w:left w:val="nil"/>
              <w:bottom w:val="nil"/>
              <w:right w:val="nil"/>
            </w:tcBorders>
            <w:shd w:val="clear" w:color="auto" w:fill="F2F2F2"/>
            <w:noWrap/>
            <w:vAlign w:val="bottom"/>
            <w:hideMark/>
          </w:tcPr>
          <w:p w14:paraId="2E734EA6"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F2F2F2"/>
            <w:noWrap/>
            <w:vAlign w:val="bottom"/>
            <w:hideMark/>
          </w:tcPr>
          <w:p w14:paraId="189D12C5" w14:textId="525E2E46"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1.09 (0.89</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1.32)</w:t>
            </w:r>
          </w:p>
        </w:tc>
        <w:tc>
          <w:tcPr>
            <w:tcW w:w="638" w:type="dxa"/>
            <w:tcBorders>
              <w:top w:val="nil"/>
              <w:left w:val="nil"/>
              <w:bottom w:val="nil"/>
              <w:right w:val="single" w:sz="4" w:space="0" w:color="auto"/>
            </w:tcBorders>
            <w:shd w:val="clear" w:color="auto" w:fill="F2F2F2"/>
            <w:noWrap/>
            <w:vAlign w:val="bottom"/>
            <w:hideMark/>
          </w:tcPr>
          <w:p w14:paraId="5CE5C896"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F2F2F2"/>
            <w:noWrap/>
            <w:vAlign w:val="bottom"/>
            <w:hideMark/>
          </w:tcPr>
          <w:p w14:paraId="764D0518"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168/918 (18.3)</w:t>
            </w:r>
          </w:p>
        </w:tc>
        <w:tc>
          <w:tcPr>
            <w:tcW w:w="1189" w:type="dxa"/>
            <w:tcBorders>
              <w:top w:val="nil"/>
              <w:left w:val="nil"/>
              <w:bottom w:val="nil"/>
              <w:right w:val="nil"/>
            </w:tcBorders>
            <w:shd w:val="clear" w:color="auto" w:fill="F2F2F2"/>
            <w:noWrap/>
            <w:vAlign w:val="bottom"/>
            <w:hideMark/>
          </w:tcPr>
          <w:p w14:paraId="03C96B6C" w14:textId="0222166A"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1.23 (0.98</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1.54)</w:t>
            </w:r>
          </w:p>
        </w:tc>
        <w:tc>
          <w:tcPr>
            <w:tcW w:w="636" w:type="dxa"/>
            <w:tcBorders>
              <w:top w:val="nil"/>
              <w:left w:val="nil"/>
              <w:bottom w:val="nil"/>
              <w:right w:val="nil"/>
            </w:tcBorders>
            <w:shd w:val="clear" w:color="auto" w:fill="F2F2F2"/>
            <w:noWrap/>
            <w:vAlign w:val="bottom"/>
            <w:hideMark/>
          </w:tcPr>
          <w:p w14:paraId="612AD1E5"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F2F2F2"/>
            <w:noWrap/>
            <w:vAlign w:val="bottom"/>
            <w:hideMark/>
          </w:tcPr>
          <w:p w14:paraId="42C318DB" w14:textId="70C291F5"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1.22 (0.96</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1.55)</w:t>
            </w:r>
          </w:p>
        </w:tc>
        <w:tc>
          <w:tcPr>
            <w:tcW w:w="634" w:type="dxa"/>
            <w:tcBorders>
              <w:top w:val="nil"/>
              <w:left w:val="nil"/>
              <w:bottom w:val="nil"/>
              <w:right w:val="nil"/>
            </w:tcBorders>
            <w:shd w:val="clear" w:color="auto" w:fill="F2F2F2"/>
            <w:noWrap/>
            <w:vAlign w:val="bottom"/>
            <w:hideMark/>
          </w:tcPr>
          <w:p w14:paraId="519D5B28"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7D4AE565" w14:textId="77777777" w:rsidTr="00885AD0">
        <w:trPr>
          <w:trHeight w:val="57"/>
        </w:trPr>
        <w:tc>
          <w:tcPr>
            <w:tcW w:w="1276" w:type="dxa"/>
            <w:tcBorders>
              <w:top w:val="nil"/>
              <w:left w:val="nil"/>
              <w:bottom w:val="nil"/>
              <w:right w:val="single" w:sz="4" w:space="0" w:color="auto"/>
            </w:tcBorders>
            <w:shd w:val="clear" w:color="auto" w:fill="F2F2F2"/>
            <w:vAlign w:val="bottom"/>
          </w:tcPr>
          <w:p w14:paraId="61A265FC" w14:textId="77777777"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18,200-31,199</w:t>
            </w:r>
          </w:p>
        </w:tc>
        <w:tc>
          <w:tcPr>
            <w:tcW w:w="1276" w:type="dxa"/>
            <w:tcBorders>
              <w:top w:val="nil"/>
              <w:left w:val="single" w:sz="4" w:space="0" w:color="auto"/>
              <w:bottom w:val="nil"/>
              <w:right w:val="nil"/>
            </w:tcBorders>
            <w:shd w:val="clear" w:color="auto" w:fill="F2F2F2"/>
            <w:noWrap/>
            <w:vAlign w:val="bottom"/>
            <w:hideMark/>
          </w:tcPr>
          <w:p w14:paraId="2E2F664A"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642/1514 (42.4)</w:t>
            </w:r>
          </w:p>
        </w:tc>
        <w:tc>
          <w:tcPr>
            <w:tcW w:w="1160" w:type="dxa"/>
            <w:tcBorders>
              <w:top w:val="nil"/>
              <w:left w:val="nil"/>
              <w:bottom w:val="nil"/>
              <w:right w:val="nil"/>
            </w:tcBorders>
            <w:shd w:val="clear" w:color="auto" w:fill="F2F2F2"/>
            <w:noWrap/>
            <w:vAlign w:val="bottom"/>
            <w:hideMark/>
          </w:tcPr>
          <w:p w14:paraId="6B73F461" w14:textId="73665FB6"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1.24 (1.06</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1.44)</w:t>
            </w:r>
          </w:p>
        </w:tc>
        <w:tc>
          <w:tcPr>
            <w:tcW w:w="683" w:type="dxa"/>
            <w:tcBorders>
              <w:top w:val="nil"/>
              <w:left w:val="nil"/>
              <w:bottom w:val="nil"/>
              <w:right w:val="nil"/>
            </w:tcBorders>
            <w:shd w:val="clear" w:color="auto" w:fill="F2F2F2"/>
            <w:noWrap/>
            <w:vAlign w:val="bottom"/>
            <w:hideMark/>
          </w:tcPr>
          <w:p w14:paraId="5A7322B9"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F2F2F2"/>
            <w:noWrap/>
            <w:vAlign w:val="bottom"/>
            <w:hideMark/>
          </w:tcPr>
          <w:p w14:paraId="0E080C38" w14:textId="3972B5B0"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1.11 (0.94</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1.31)</w:t>
            </w:r>
          </w:p>
        </w:tc>
        <w:tc>
          <w:tcPr>
            <w:tcW w:w="638" w:type="dxa"/>
            <w:tcBorders>
              <w:top w:val="nil"/>
              <w:left w:val="nil"/>
              <w:bottom w:val="nil"/>
              <w:right w:val="single" w:sz="4" w:space="0" w:color="auto"/>
            </w:tcBorders>
            <w:shd w:val="clear" w:color="auto" w:fill="F2F2F2"/>
            <w:noWrap/>
            <w:vAlign w:val="bottom"/>
            <w:hideMark/>
          </w:tcPr>
          <w:p w14:paraId="65C9813B"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F2F2F2"/>
            <w:noWrap/>
            <w:vAlign w:val="bottom"/>
            <w:hideMark/>
          </w:tcPr>
          <w:p w14:paraId="7E6F99CF"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399/1511 (26.4)</w:t>
            </w:r>
          </w:p>
        </w:tc>
        <w:tc>
          <w:tcPr>
            <w:tcW w:w="1175" w:type="dxa"/>
            <w:tcBorders>
              <w:top w:val="nil"/>
              <w:left w:val="nil"/>
              <w:bottom w:val="nil"/>
              <w:right w:val="nil"/>
            </w:tcBorders>
            <w:shd w:val="clear" w:color="auto" w:fill="F2F2F2"/>
            <w:noWrap/>
            <w:vAlign w:val="bottom"/>
            <w:hideMark/>
          </w:tcPr>
          <w:p w14:paraId="1A6C9130" w14:textId="00B1026C"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0.88 (0.74</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1.03)</w:t>
            </w:r>
          </w:p>
        </w:tc>
        <w:tc>
          <w:tcPr>
            <w:tcW w:w="668" w:type="dxa"/>
            <w:tcBorders>
              <w:top w:val="nil"/>
              <w:left w:val="nil"/>
              <w:bottom w:val="nil"/>
              <w:right w:val="nil"/>
            </w:tcBorders>
            <w:shd w:val="clear" w:color="auto" w:fill="F2F2F2"/>
            <w:noWrap/>
            <w:vAlign w:val="bottom"/>
            <w:hideMark/>
          </w:tcPr>
          <w:p w14:paraId="520AA2FF"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F2F2F2"/>
            <w:noWrap/>
            <w:vAlign w:val="bottom"/>
            <w:hideMark/>
          </w:tcPr>
          <w:p w14:paraId="7D1BF231" w14:textId="21B6A8C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0.95 (0.79</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1.15)</w:t>
            </w:r>
          </w:p>
        </w:tc>
        <w:tc>
          <w:tcPr>
            <w:tcW w:w="638" w:type="dxa"/>
            <w:tcBorders>
              <w:top w:val="nil"/>
              <w:left w:val="nil"/>
              <w:bottom w:val="nil"/>
              <w:right w:val="single" w:sz="4" w:space="0" w:color="auto"/>
            </w:tcBorders>
            <w:shd w:val="clear" w:color="auto" w:fill="F2F2F2"/>
            <w:noWrap/>
            <w:vAlign w:val="bottom"/>
            <w:hideMark/>
          </w:tcPr>
          <w:p w14:paraId="34272EAC"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F2F2F2"/>
            <w:noWrap/>
            <w:vAlign w:val="bottom"/>
            <w:hideMark/>
          </w:tcPr>
          <w:p w14:paraId="5E365379" w14:textId="61CCC90F"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303/1513 (20</w:t>
            </w:r>
            <w:r w:rsidR="00B10017">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w:t>
            </w:r>
          </w:p>
        </w:tc>
        <w:tc>
          <w:tcPr>
            <w:tcW w:w="1189" w:type="dxa"/>
            <w:tcBorders>
              <w:top w:val="nil"/>
              <w:left w:val="nil"/>
              <w:bottom w:val="nil"/>
              <w:right w:val="nil"/>
            </w:tcBorders>
            <w:shd w:val="clear" w:color="auto" w:fill="F2F2F2"/>
            <w:noWrap/>
            <w:vAlign w:val="bottom"/>
            <w:hideMark/>
          </w:tcPr>
          <w:p w14:paraId="652D44BD" w14:textId="77758EF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1.37 (1.13</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1.67)</w:t>
            </w:r>
          </w:p>
        </w:tc>
        <w:tc>
          <w:tcPr>
            <w:tcW w:w="636" w:type="dxa"/>
            <w:tcBorders>
              <w:top w:val="nil"/>
              <w:left w:val="nil"/>
              <w:bottom w:val="nil"/>
              <w:right w:val="nil"/>
            </w:tcBorders>
            <w:shd w:val="clear" w:color="auto" w:fill="F2F2F2"/>
            <w:noWrap/>
            <w:vAlign w:val="bottom"/>
            <w:hideMark/>
          </w:tcPr>
          <w:p w14:paraId="14B2E333"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F2F2F2"/>
            <w:noWrap/>
            <w:vAlign w:val="bottom"/>
            <w:hideMark/>
          </w:tcPr>
          <w:p w14:paraId="2DC2DB84" w14:textId="73FA99AB"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1.15 (0.92</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1.44)</w:t>
            </w:r>
          </w:p>
        </w:tc>
        <w:tc>
          <w:tcPr>
            <w:tcW w:w="634" w:type="dxa"/>
            <w:tcBorders>
              <w:top w:val="nil"/>
              <w:left w:val="nil"/>
              <w:bottom w:val="nil"/>
              <w:right w:val="nil"/>
            </w:tcBorders>
            <w:shd w:val="clear" w:color="auto" w:fill="F2F2F2"/>
            <w:noWrap/>
            <w:vAlign w:val="bottom"/>
            <w:hideMark/>
          </w:tcPr>
          <w:p w14:paraId="276C3571"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64045F8D" w14:textId="77777777" w:rsidTr="00885AD0">
        <w:trPr>
          <w:trHeight w:val="57"/>
        </w:trPr>
        <w:tc>
          <w:tcPr>
            <w:tcW w:w="1276" w:type="dxa"/>
            <w:tcBorders>
              <w:top w:val="nil"/>
              <w:left w:val="nil"/>
              <w:bottom w:val="nil"/>
              <w:right w:val="single" w:sz="4" w:space="0" w:color="auto"/>
            </w:tcBorders>
            <w:shd w:val="clear" w:color="auto" w:fill="F2F2F2"/>
            <w:vAlign w:val="bottom"/>
          </w:tcPr>
          <w:p w14:paraId="3D4F607B" w14:textId="77777777"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31,200-46,799</w:t>
            </w:r>
          </w:p>
        </w:tc>
        <w:tc>
          <w:tcPr>
            <w:tcW w:w="1276" w:type="dxa"/>
            <w:tcBorders>
              <w:top w:val="nil"/>
              <w:left w:val="single" w:sz="4" w:space="0" w:color="auto"/>
              <w:bottom w:val="nil"/>
              <w:right w:val="nil"/>
            </w:tcBorders>
            <w:shd w:val="clear" w:color="auto" w:fill="F2F2F2"/>
            <w:noWrap/>
            <w:vAlign w:val="bottom"/>
            <w:hideMark/>
          </w:tcPr>
          <w:p w14:paraId="29353437"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454/963 (47.1)</w:t>
            </w:r>
          </w:p>
        </w:tc>
        <w:tc>
          <w:tcPr>
            <w:tcW w:w="1160" w:type="dxa"/>
            <w:tcBorders>
              <w:top w:val="nil"/>
              <w:left w:val="nil"/>
              <w:bottom w:val="nil"/>
              <w:right w:val="nil"/>
            </w:tcBorders>
            <w:shd w:val="clear" w:color="auto" w:fill="F2F2F2"/>
            <w:noWrap/>
            <w:vAlign w:val="bottom"/>
            <w:hideMark/>
          </w:tcPr>
          <w:p w14:paraId="7920DA2C" w14:textId="6FE627FC"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1.5</w:t>
            </w:r>
            <w:r w:rsidR="001E14F8">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 xml:space="preserve"> (1.27</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1.78)</w:t>
            </w:r>
          </w:p>
        </w:tc>
        <w:tc>
          <w:tcPr>
            <w:tcW w:w="683" w:type="dxa"/>
            <w:tcBorders>
              <w:top w:val="nil"/>
              <w:left w:val="nil"/>
              <w:bottom w:val="nil"/>
              <w:right w:val="nil"/>
            </w:tcBorders>
            <w:shd w:val="clear" w:color="auto" w:fill="F2F2F2"/>
            <w:noWrap/>
            <w:vAlign w:val="bottom"/>
            <w:hideMark/>
          </w:tcPr>
          <w:p w14:paraId="7C5ED306"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F2F2F2"/>
            <w:noWrap/>
            <w:vAlign w:val="bottom"/>
            <w:hideMark/>
          </w:tcPr>
          <w:p w14:paraId="5CD295EC" w14:textId="6B98D9EB"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1.26 (1.03</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1.53)</w:t>
            </w:r>
          </w:p>
        </w:tc>
        <w:tc>
          <w:tcPr>
            <w:tcW w:w="638" w:type="dxa"/>
            <w:tcBorders>
              <w:top w:val="nil"/>
              <w:left w:val="nil"/>
              <w:bottom w:val="nil"/>
              <w:right w:val="single" w:sz="4" w:space="0" w:color="auto"/>
            </w:tcBorders>
            <w:shd w:val="clear" w:color="auto" w:fill="F2F2F2"/>
            <w:noWrap/>
            <w:vAlign w:val="bottom"/>
            <w:hideMark/>
          </w:tcPr>
          <w:p w14:paraId="15CE6B9C" w14:textId="7047D8B2"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F2F2F2"/>
            <w:noWrap/>
            <w:vAlign w:val="bottom"/>
            <w:hideMark/>
          </w:tcPr>
          <w:p w14:paraId="2B02F03A"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230/962 (23.9)</w:t>
            </w:r>
          </w:p>
        </w:tc>
        <w:tc>
          <w:tcPr>
            <w:tcW w:w="1175" w:type="dxa"/>
            <w:tcBorders>
              <w:top w:val="nil"/>
              <w:left w:val="nil"/>
              <w:bottom w:val="nil"/>
              <w:right w:val="nil"/>
            </w:tcBorders>
            <w:shd w:val="clear" w:color="auto" w:fill="F2F2F2"/>
            <w:noWrap/>
            <w:vAlign w:val="bottom"/>
            <w:hideMark/>
          </w:tcPr>
          <w:p w14:paraId="2AC6AF86" w14:textId="61ECF173"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0.77 (0.63</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0.93)</w:t>
            </w:r>
          </w:p>
        </w:tc>
        <w:tc>
          <w:tcPr>
            <w:tcW w:w="668" w:type="dxa"/>
            <w:tcBorders>
              <w:top w:val="nil"/>
              <w:left w:val="nil"/>
              <w:bottom w:val="nil"/>
              <w:right w:val="nil"/>
            </w:tcBorders>
            <w:shd w:val="clear" w:color="auto" w:fill="F2F2F2"/>
            <w:noWrap/>
            <w:vAlign w:val="bottom"/>
            <w:hideMark/>
          </w:tcPr>
          <w:p w14:paraId="234861FA"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F2F2F2"/>
            <w:noWrap/>
            <w:vAlign w:val="bottom"/>
            <w:hideMark/>
          </w:tcPr>
          <w:p w14:paraId="2AE37370" w14:textId="59F7A3F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0.87 (0.7</w:t>
            </w:r>
            <w:r w:rsidR="001E14F8">
              <w:rPr>
                <w:rFonts w:ascii="Calibri" w:eastAsia="Times New Roman" w:hAnsi="Calibri" w:cs="Times New Roman"/>
                <w:color w:val="000000"/>
                <w:sz w:val="14"/>
                <w:szCs w:val="14"/>
                <w:lang w:eastAsia="en-GB"/>
              </w:rPr>
              <w:t>0</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1.09)</w:t>
            </w:r>
          </w:p>
        </w:tc>
        <w:tc>
          <w:tcPr>
            <w:tcW w:w="638" w:type="dxa"/>
            <w:tcBorders>
              <w:top w:val="nil"/>
              <w:left w:val="nil"/>
              <w:bottom w:val="nil"/>
              <w:right w:val="single" w:sz="4" w:space="0" w:color="auto"/>
            </w:tcBorders>
            <w:shd w:val="clear" w:color="auto" w:fill="F2F2F2"/>
            <w:noWrap/>
            <w:vAlign w:val="bottom"/>
            <w:hideMark/>
          </w:tcPr>
          <w:p w14:paraId="72D04B54" w14:textId="6ABD8AF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F2F2F2"/>
            <w:noWrap/>
            <w:vAlign w:val="bottom"/>
            <w:hideMark/>
          </w:tcPr>
          <w:p w14:paraId="3BE6C5D5"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212/961 (22.1)</w:t>
            </w:r>
          </w:p>
        </w:tc>
        <w:tc>
          <w:tcPr>
            <w:tcW w:w="1189" w:type="dxa"/>
            <w:tcBorders>
              <w:top w:val="nil"/>
              <w:left w:val="nil"/>
              <w:bottom w:val="nil"/>
              <w:right w:val="nil"/>
            </w:tcBorders>
            <w:shd w:val="clear" w:color="auto" w:fill="F2F2F2"/>
            <w:noWrap/>
            <w:vAlign w:val="bottom"/>
            <w:hideMark/>
          </w:tcPr>
          <w:p w14:paraId="1F406103" w14:textId="0C5A16BF"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1.55 (1.25</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1.92)</w:t>
            </w:r>
          </w:p>
        </w:tc>
        <w:tc>
          <w:tcPr>
            <w:tcW w:w="636" w:type="dxa"/>
            <w:tcBorders>
              <w:top w:val="nil"/>
              <w:left w:val="nil"/>
              <w:bottom w:val="nil"/>
              <w:right w:val="nil"/>
            </w:tcBorders>
            <w:shd w:val="clear" w:color="auto" w:fill="F2F2F2"/>
            <w:noWrap/>
            <w:vAlign w:val="bottom"/>
            <w:hideMark/>
          </w:tcPr>
          <w:p w14:paraId="03D66166"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F2F2F2"/>
            <w:noWrap/>
            <w:vAlign w:val="bottom"/>
            <w:hideMark/>
          </w:tcPr>
          <w:p w14:paraId="52632719" w14:textId="772752F5"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1.16 (0.9</w:t>
            </w:r>
            <w:r w:rsidR="001E14F8">
              <w:rPr>
                <w:rFonts w:ascii="Calibri" w:eastAsia="Times New Roman" w:hAnsi="Calibri" w:cs="Times New Roman"/>
                <w:color w:val="000000"/>
                <w:sz w:val="14"/>
                <w:szCs w:val="14"/>
                <w:lang w:eastAsia="en-GB"/>
              </w:rPr>
              <w:t>0</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1.5</w:t>
            </w:r>
            <w:r w:rsidR="001E14F8">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w:t>
            </w:r>
          </w:p>
        </w:tc>
        <w:tc>
          <w:tcPr>
            <w:tcW w:w="634" w:type="dxa"/>
            <w:tcBorders>
              <w:top w:val="nil"/>
              <w:left w:val="nil"/>
              <w:bottom w:val="nil"/>
              <w:right w:val="nil"/>
            </w:tcBorders>
            <w:shd w:val="clear" w:color="auto" w:fill="F2F2F2"/>
            <w:noWrap/>
            <w:vAlign w:val="bottom"/>
            <w:hideMark/>
          </w:tcPr>
          <w:p w14:paraId="40DFC7E4" w14:textId="4702570E"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13203094" w14:textId="77777777" w:rsidTr="00885AD0">
        <w:trPr>
          <w:trHeight w:val="57"/>
        </w:trPr>
        <w:tc>
          <w:tcPr>
            <w:tcW w:w="1276" w:type="dxa"/>
            <w:tcBorders>
              <w:top w:val="nil"/>
              <w:left w:val="nil"/>
              <w:bottom w:val="nil"/>
              <w:right w:val="single" w:sz="4" w:space="0" w:color="auto"/>
            </w:tcBorders>
            <w:shd w:val="clear" w:color="auto" w:fill="F2F2F2"/>
            <w:vAlign w:val="bottom"/>
          </w:tcPr>
          <w:p w14:paraId="16D28961" w14:textId="77777777"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46,800+</w:t>
            </w:r>
          </w:p>
        </w:tc>
        <w:tc>
          <w:tcPr>
            <w:tcW w:w="1276" w:type="dxa"/>
            <w:tcBorders>
              <w:top w:val="nil"/>
              <w:left w:val="single" w:sz="4" w:space="0" w:color="auto"/>
              <w:bottom w:val="nil"/>
              <w:right w:val="nil"/>
            </w:tcBorders>
            <w:shd w:val="clear" w:color="auto" w:fill="F2F2F2"/>
            <w:noWrap/>
            <w:vAlign w:val="bottom"/>
            <w:hideMark/>
          </w:tcPr>
          <w:p w14:paraId="25ED09F5"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484/963 (50.3)</w:t>
            </w:r>
          </w:p>
        </w:tc>
        <w:tc>
          <w:tcPr>
            <w:tcW w:w="1160" w:type="dxa"/>
            <w:tcBorders>
              <w:top w:val="nil"/>
              <w:left w:val="nil"/>
              <w:bottom w:val="nil"/>
              <w:right w:val="nil"/>
            </w:tcBorders>
            <w:shd w:val="clear" w:color="auto" w:fill="F2F2F2"/>
            <w:noWrap/>
            <w:vAlign w:val="bottom"/>
            <w:hideMark/>
          </w:tcPr>
          <w:p w14:paraId="11A3CCEE" w14:textId="3AA67C56"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1.7</w:t>
            </w:r>
            <w:r w:rsidR="001E14F8">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 xml:space="preserve"> (1.44</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2.01)</w:t>
            </w:r>
          </w:p>
        </w:tc>
        <w:tc>
          <w:tcPr>
            <w:tcW w:w="683" w:type="dxa"/>
            <w:tcBorders>
              <w:top w:val="nil"/>
              <w:left w:val="nil"/>
              <w:bottom w:val="nil"/>
              <w:right w:val="nil"/>
            </w:tcBorders>
            <w:shd w:val="clear" w:color="auto" w:fill="F2F2F2"/>
            <w:noWrap/>
            <w:vAlign w:val="bottom"/>
            <w:hideMark/>
          </w:tcPr>
          <w:p w14:paraId="53F98088"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&lt;0.001</w:t>
            </w:r>
          </w:p>
        </w:tc>
        <w:tc>
          <w:tcPr>
            <w:tcW w:w="1205" w:type="dxa"/>
            <w:tcBorders>
              <w:top w:val="nil"/>
              <w:left w:val="nil"/>
              <w:bottom w:val="nil"/>
              <w:right w:val="nil"/>
            </w:tcBorders>
            <w:shd w:val="clear" w:color="auto" w:fill="F2F2F2"/>
            <w:noWrap/>
            <w:vAlign w:val="bottom"/>
            <w:hideMark/>
          </w:tcPr>
          <w:p w14:paraId="25C4B27B" w14:textId="1FFCC87C"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1.36 (1.11</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1.66)</w:t>
            </w:r>
          </w:p>
        </w:tc>
        <w:tc>
          <w:tcPr>
            <w:tcW w:w="638" w:type="dxa"/>
            <w:tcBorders>
              <w:top w:val="nil"/>
              <w:left w:val="nil"/>
              <w:bottom w:val="nil"/>
              <w:right w:val="single" w:sz="4" w:space="0" w:color="auto"/>
            </w:tcBorders>
            <w:shd w:val="clear" w:color="auto" w:fill="F2F2F2"/>
            <w:noWrap/>
            <w:vAlign w:val="bottom"/>
            <w:hideMark/>
          </w:tcPr>
          <w:p w14:paraId="05FFE0B2" w14:textId="0F512000" w:rsidR="00ED367C" w:rsidRPr="00834AAA" w:rsidRDefault="006D6422"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0.032</w:t>
            </w:r>
          </w:p>
        </w:tc>
        <w:tc>
          <w:tcPr>
            <w:tcW w:w="1275" w:type="dxa"/>
            <w:tcBorders>
              <w:top w:val="nil"/>
              <w:left w:val="single" w:sz="4" w:space="0" w:color="auto"/>
              <w:bottom w:val="nil"/>
              <w:right w:val="nil"/>
            </w:tcBorders>
            <w:shd w:val="clear" w:color="auto" w:fill="F2F2F2"/>
            <w:noWrap/>
            <w:vAlign w:val="bottom"/>
            <w:hideMark/>
          </w:tcPr>
          <w:p w14:paraId="445BAF22"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165/963 (17.1)</w:t>
            </w:r>
          </w:p>
        </w:tc>
        <w:tc>
          <w:tcPr>
            <w:tcW w:w="1175" w:type="dxa"/>
            <w:tcBorders>
              <w:top w:val="nil"/>
              <w:left w:val="nil"/>
              <w:bottom w:val="nil"/>
              <w:right w:val="nil"/>
            </w:tcBorders>
            <w:shd w:val="clear" w:color="auto" w:fill="F2F2F2"/>
            <w:noWrap/>
            <w:vAlign w:val="bottom"/>
            <w:hideMark/>
          </w:tcPr>
          <w:p w14:paraId="0C5A741C" w14:textId="3FA3FD56"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0.5</w:t>
            </w:r>
            <w:r w:rsidR="001E14F8">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 xml:space="preserve"> (0.41</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0.62)</w:t>
            </w:r>
          </w:p>
        </w:tc>
        <w:tc>
          <w:tcPr>
            <w:tcW w:w="668" w:type="dxa"/>
            <w:tcBorders>
              <w:top w:val="nil"/>
              <w:left w:val="nil"/>
              <w:bottom w:val="nil"/>
              <w:right w:val="nil"/>
            </w:tcBorders>
            <w:shd w:val="clear" w:color="auto" w:fill="F2F2F2"/>
            <w:noWrap/>
            <w:vAlign w:val="bottom"/>
            <w:hideMark/>
          </w:tcPr>
          <w:p w14:paraId="052517F6"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&lt;0.001</w:t>
            </w:r>
          </w:p>
        </w:tc>
        <w:tc>
          <w:tcPr>
            <w:tcW w:w="1220" w:type="dxa"/>
            <w:tcBorders>
              <w:top w:val="nil"/>
              <w:left w:val="nil"/>
              <w:bottom w:val="nil"/>
              <w:right w:val="nil"/>
            </w:tcBorders>
            <w:shd w:val="clear" w:color="auto" w:fill="F2F2F2"/>
            <w:noWrap/>
            <w:vAlign w:val="bottom"/>
            <w:hideMark/>
          </w:tcPr>
          <w:p w14:paraId="7B14FE46" w14:textId="113AA03D"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0.61 (0.48</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0.77)</w:t>
            </w:r>
          </w:p>
        </w:tc>
        <w:tc>
          <w:tcPr>
            <w:tcW w:w="638" w:type="dxa"/>
            <w:tcBorders>
              <w:top w:val="nil"/>
              <w:left w:val="nil"/>
              <w:bottom w:val="nil"/>
              <w:right w:val="single" w:sz="4" w:space="0" w:color="auto"/>
            </w:tcBorders>
            <w:shd w:val="clear" w:color="auto" w:fill="F2F2F2"/>
            <w:noWrap/>
            <w:vAlign w:val="bottom"/>
            <w:hideMark/>
          </w:tcPr>
          <w:p w14:paraId="6F6BAF53" w14:textId="6E08C4AF" w:rsidR="00ED367C" w:rsidRPr="00834AAA" w:rsidRDefault="002A36F9"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&lt;0.001</w:t>
            </w:r>
          </w:p>
        </w:tc>
        <w:tc>
          <w:tcPr>
            <w:tcW w:w="1261" w:type="dxa"/>
            <w:tcBorders>
              <w:top w:val="nil"/>
              <w:left w:val="single" w:sz="4" w:space="0" w:color="auto"/>
              <w:bottom w:val="nil"/>
              <w:right w:val="nil"/>
            </w:tcBorders>
            <w:shd w:val="clear" w:color="auto" w:fill="F2F2F2"/>
            <w:noWrap/>
            <w:vAlign w:val="bottom"/>
            <w:hideMark/>
          </w:tcPr>
          <w:p w14:paraId="1131F293"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207/961 (21.5)</w:t>
            </w:r>
          </w:p>
        </w:tc>
        <w:tc>
          <w:tcPr>
            <w:tcW w:w="1189" w:type="dxa"/>
            <w:tcBorders>
              <w:top w:val="nil"/>
              <w:left w:val="nil"/>
              <w:bottom w:val="nil"/>
              <w:right w:val="nil"/>
            </w:tcBorders>
            <w:shd w:val="clear" w:color="auto" w:fill="F2F2F2"/>
            <w:noWrap/>
            <w:vAlign w:val="bottom"/>
            <w:hideMark/>
          </w:tcPr>
          <w:p w14:paraId="4433A8C6" w14:textId="11220F64"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1.5</w:t>
            </w:r>
            <w:r w:rsidR="001E14F8">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 xml:space="preserve"> (1.21</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1.86)</w:t>
            </w:r>
          </w:p>
        </w:tc>
        <w:tc>
          <w:tcPr>
            <w:tcW w:w="636" w:type="dxa"/>
            <w:tcBorders>
              <w:top w:val="nil"/>
              <w:left w:val="nil"/>
              <w:bottom w:val="nil"/>
              <w:right w:val="nil"/>
            </w:tcBorders>
            <w:shd w:val="clear" w:color="auto" w:fill="F2F2F2"/>
            <w:noWrap/>
            <w:vAlign w:val="bottom"/>
            <w:hideMark/>
          </w:tcPr>
          <w:p w14:paraId="0CDE96B0"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&lt;0.001</w:t>
            </w:r>
          </w:p>
        </w:tc>
        <w:tc>
          <w:tcPr>
            <w:tcW w:w="1282" w:type="dxa"/>
            <w:tcBorders>
              <w:top w:val="nil"/>
              <w:left w:val="nil"/>
              <w:bottom w:val="nil"/>
              <w:right w:val="nil"/>
            </w:tcBorders>
            <w:shd w:val="clear" w:color="auto" w:fill="F2F2F2"/>
            <w:noWrap/>
            <w:vAlign w:val="bottom"/>
            <w:hideMark/>
          </w:tcPr>
          <w:p w14:paraId="5247A0D9" w14:textId="62B530E3"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1.17 (0.9</w:t>
            </w:r>
            <w:r w:rsidR="001E14F8">
              <w:rPr>
                <w:rFonts w:ascii="Calibri" w:eastAsia="Times New Roman" w:hAnsi="Calibri" w:cs="Times New Roman"/>
                <w:color w:val="000000"/>
                <w:sz w:val="14"/>
                <w:szCs w:val="14"/>
                <w:lang w:eastAsia="en-GB"/>
              </w:rPr>
              <w:t>0</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1.52)</w:t>
            </w:r>
          </w:p>
        </w:tc>
        <w:tc>
          <w:tcPr>
            <w:tcW w:w="634" w:type="dxa"/>
            <w:tcBorders>
              <w:top w:val="nil"/>
              <w:left w:val="nil"/>
              <w:bottom w:val="nil"/>
              <w:right w:val="nil"/>
            </w:tcBorders>
            <w:shd w:val="clear" w:color="auto" w:fill="F2F2F2"/>
            <w:noWrap/>
            <w:vAlign w:val="bottom"/>
            <w:hideMark/>
          </w:tcPr>
          <w:p w14:paraId="20F2868A" w14:textId="3FD2836F" w:rsidR="00ED367C" w:rsidRPr="00834AAA" w:rsidRDefault="006D6422"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0.567</w:t>
            </w:r>
          </w:p>
        </w:tc>
      </w:tr>
      <w:tr w:rsidR="00331B4B" w:rsidRPr="00834AAA" w14:paraId="3496DB80" w14:textId="77777777" w:rsidTr="00885AD0">
        <w:trPr>
          <w:trHeight w:val="57"/>
        </w:trPr>
        <w:tc>
          <w:tcPr>
            <w:tcW w:w="1276" w:type="dxa"/>
            <w:tcBorders>
              <w:top w:val="nil"/>
              <w:left w:val="nil"/>
              <w:bottom w:val="nil"/>
              <w:right w:val="single" w:sz="4" w:space="0" w:color="auto"/>
            </w:tcBorders>
            <w:shd w:val="clear" w:color="auto" w:fill="F2F2F2"/>
            <w:vAlign w:val="bottom"/>
          </w:tcPr>
          <w:p w14:paraId="54F46C70" w14:textId="77777777"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Missing</w:t>
            </w:r>
          </w:p>
        </w:tc>
        <w:tc>
          <w:tcPr>
            <w:tcW w:w="1276" w:type="dxa"/>
            <w:tcBorders>
              <w:top w:val="nil"/>
              <w:left w:val="single" w:sz="4" w:space="0" w:color="auto"/>
              <w:bottom w:val="nil"/>
              <w:right w:val="nil"/>
            </w:tcBorders>
            <w:shd w:val="clear" w:color="auto" w:fill="F2F2F2"/>
            <w:noWrap/>
            <w:vAlign w:val="bottom"/>
            <w:hideMark/>
          </w:tcPr>
          <w:p w14:paraId="3FF0FA40"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60" w:type="dxa"/>
            <w:tcBorders>
              <w:top w:val="nil"/>
              <w:left w:val="nil"/>
              <w:bottom w:val="nil"/>
              <w:right w:val="nil"/>
            </w:tcBorders>
            <w:shd w:val="clear" w:color="auto" w:fill="F2F2F2"/>
            <w:noWrap/>
            <w:vAlign w:val="bottom"/>
            <w:hideMark/>
          </w:tcPr>
          <w:p w14:paraId="1ABD42DE"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83" w:type="dxa"/>
            <w:tcBorders>
              <w:top w:val="nil"/>
              <w:left w:val="nil"/>
              <w:bottom w:val="nil"/>
              <w:right w:val="nil"/>
            </w:tcBorders>
            <w:shd w:val="clear" w:color="auto" w:fill="F2F2F2"/>
            <w:noWrap/>
            <w:vAlign w:val="bottom"/>
            <w:hideMark/>
          </w:tcPr>
          <w:p w14:paraId="69BAFB6A"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F2F2F2"/>
            <w:noWrap/>
            <w:vAlign w:val="bottom"/>
            <w:hideMark/>
          </w:tcPr>
          <w:p w14:paraId="454BF743"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F2F2F2"/>
            <w:noWrap/>
            <w:vAlign w:val="bottom"/>
            <w:hideMark/>
          </w:tcPr>
          <w:p w14:paraId="0E599272"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F2F2F2"/>
            <w:noWrap/>
            <w:vAlign w:val="bottom"/>
            <w:hideMark/>
          </w:tcPr>
          <w:p w14:paraId="1D53CF5F"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75" w:type="dxa"/>
            <w:tcBorders>
              <w:top w:val="nil"/>
              <w:left w:val="nil"/>
              <w:bottom w:val="nil"/>
              <w:right w:val="nil"/>
            </w:tcBorders>
            <w:shd w:val="clear" w:color="auto" w:fill="F2F2F2"/>
            <w:noWrap/>
            <w:vAlign w:val="bottom"/>
            <w:hideMark/>
          </w:tcPr>
          <w:p w14:paraId="33472C94"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68" w:type="dxa"/>
            <w:tcBorders>
              <w:top w:val="nil"/>
              <w:left w:val="nil"/>
              <w:bottom w:val="nil"/>
              <w:right w:val="nil"/>
            </w:tcBorders>
            <w:shd w:val="clear" w:color="auto" w:fill="F2F2F2"/>
            <w:noWrap/>
            <w:vAlign w:val="bottom"/>
            <w:hideMark/>
          </w:tcPr>
          <w:p w14:paraId="4C860507"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F2F2F2"/>
            <w:noWrap/>
            <w:vAlign w:val="bottom"/>
            <w:hideMark/>
          </w:tcPr>
          <w:p w14:paraId="4C7BC086"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F2F2F2"/>
            <w:noWrap/>
            <w:vAlign w:val="bottom"/>
            <w:hideMark/>
          </w:tcPr>
          <w:p w14:paraId="4295AC7F"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F2F2F2"/>
            <w:noWrap/>
            <w:vAlign w:val="bottom"/>
            <w:hideMark/>
          </w:tcPr>
          <w:p w14:paraId="0307597C"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89" w:type="dxa"/>
            <w:tcBorders>
              <w:top w:val="nil"/>
              <w:left w:val="nil"/>
              <w:bottom w:val="nil"/>
              <w:right w:val="nil"/>
            </w:tcBorders>
            <w:shd w:val="clear" w:color="auto" w:fill="F2F2F2"/>
            <w:noWrap/>
            <w:vAlign w:val="bottom"/>
            <w:hideMark/>
          </w:tcPr>
          <w:p w14:paraId="4C009940"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6" w:type="dxa"/>
            <w:tcBorders>
              <w:top w:val="nil"/>
              <w:left w:val="nil"/>
              <w:bottom w:val="nil"/>
              <w:right w:val="nil"/>
            </w:tcBorders>
            <w:shd w:val="clear" w:color="auto" w:fill="F2F2F2"/>
            <w:noWrap/>
            <w:vAlign w:val="bottom"/>
            <w:hideMark/>
          </w:tcPr>
          <w:p w14:paraId="4E0416BA"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F2F2F2"/>
            <w:noWrap/>
            <w:vAlign w:val="bottom"/>
            <w:hideMark/>
          </w:tcPr>
          <w:p w14:paraId="0DE8AC53"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4" w:type="dxa"/>
            <w:tcBorders>
              <w:top w:val="nil"/>
              <w:left w:val="nil"/>
              <w:bottom w:val="nil"/>
              <w:right w:val="nil"/>
            </w:tcBorders>
            <w:shd w:val="clear" w:color="auto" w:fill="F2F2F2"/>
            <w:noWrap/>
            <w:vAlign w:val="bottom"/>
            <w:hideMark/>
          </w:tcPr>
          <w:p w14:paraId="32279BF5"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150F970B" w14:textId="77777777" w:rsidTr="00885AD0">
        <w:trPr>
          <w:trHeight w:val="57"/>
        </w:trPr>
        <w:tc>
          <w:tcPr>
            <w:tcW w:w="1276" w:type="dxa"/>
            <w:tcBorders>
              <w:top w:val="nil"/>
              <w:left w:val="nil"/>
              <w:bottom w:val="nil"/>
              <w:right w:val="single" w:sz="4" w:space="0" w:color="auto"/>
            </w:tcBorders>
            <w:vAlign w:val="bottom"/>
          </w:tcPr>
          <w:p w14:paraId="1A6F7AA5" w14:textId="5C217231" w:rsidR="00ED367C" w:rsidRPr="00834AAA" w:rsidRDefault="00ED367C" w:rsidP="00F50FA2">
            <w:pPr>
              <w:spacing w:before="0" w:after="0" w:line="240" w:lineRule="auto"/>
              <w:rPr>
                <w:rFonts w:ascii="Calibri" w:eastAsia="Times New Roman" w:hAnsi="Calibri" w:cs="Times New Roman"/>
                <w:b/>
                <w:color w:val="000000"/>
                <w:sz w:val="13"/>
                <w:szCs w:val="13"/>
                <w:lang w:eastAsia="en-GB"/>
              </w:rPr>
            </w:pPr>
            <w:r w:rsidRPr="00834AAA">
              <w:rPr>
                <w:rFonts w:ascii="Calibri" w:eastAsia="Times New Roman" w:hAnsi="Calibri" w:cs="Times New Roman"/>
                <w:b/>
                <w:color w:val="000000"/>
                <w:sz w:val="13"/>
                <w:szCs w:val="13"/>
                <w:lang w:eastAsia="en-GB"/>
              </w:rPr>
              <w:t xml:space="preserve">Household </w:t>
            </w:r>
          </w:p>
        </w:tc>
        <w:tc>
          <w:tcPr>
            <w:tcW w:w="1276" w:type="dxa"/>
            <w:tcBorders>
              <w:top w:val="nil"/>
              <w:left w:val="single" w:sz="4" w:space="0" w:color="auto"/>
              <w:bottom w:val="nil"/>
              <w:right w:val="nil"/>
            </w:tcBorders>
            <w:shd w:val="clear" w:color="auto" w:fill="auto"/>
            <w:noWrap/>
            <w:vAlign w:val="bottom"/>
            <w:hideMark/>
          </w:tcPr>
          <w:p w14:paraId="41C0C7CF"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60" w:type="dxa"/>
            <w:tcBorders>
              <w:top w:val="nil"/>
              <w:left w:val="nil"/>
              <w:bottom w:val="nil"/>
              <w:right w:val="nil"/>
            </w:tcBorders>
            <w:shd w:val="clear" w:color="auto" w:fill="auto"/>
            <w:noWrap/>
            <w:vAlign w:val="bottom"/>
            <w:hideMark/>
          </w:tcPr>
          <w:p w14:paraId="1BBE2F10"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83" w:type="dxa"/>
            <w:tcBorders>
              <w:top w:val="nil"/>
              <w:left w:val="nil"/>
              <w:bottom w:val="nil"/>
              <w:right w:val="nil"/>
            </w:tcBorders>
            <w:shd w:val="clear" w:color="auto" w:fill="auto"/>
            <w:noWrap/>
            <w:vAlign w:val="bottom"/>
            <w:hideMark/>
          </w:tcPr>
          <w:p w14:paraId="6A202AA3"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auto"/>
            <w:noWrap/>
            <w:vAlign w:val="bottom"/>
            <w:hideMark/>
          </w:tcPr>
          <w:p w14:paraId="6F10A766"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auto"/>
            <w:noWrap/>
            <w:vAlign w:val="bottom"/>
            <w:hideMark/>
          </w:tcPr>
          <w:p w14:paraId="6CF2DB61"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auto"/>
            <w:noWrap/>
            <w:vAlign w:val="bottom"/>
            <w:hideMark/>
          </w:tcPr>
          <w:p w14:paraId="3BD704A9"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75" w:type="dxa"/>
            <w:tcBorders>
              <w:top w:val="nil"/>
              <w:left w:val="nil"/>
              <w:bottom w:val="nil"/>
              <w:right w:val="nil"/>
            </w:tcBorders>
            <w:shd w:val="clear" w:color="auto" w:fill="auto"/>
            <w:noWrap/>
            <w:vAlign w:val="bottom"/>
            <w:hideMark/>
          </w:tcPr>
          <w:p w14:paraId="42DA9AF1"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68" w:type="dxa"/>
            <w:tcBorders>
              <w:top w:val="nil"/>
              <w:left w:val="nil"/>
              <w:bottom w:val="nil"/>
              <w:right w:val="nil"/>
            </w:tcBorders>
            <w:shd w:val="clear" w:color="auto" w:fill="auto"/>
            <w:noWrap/>
            <w:vAlign w:val="bottom"/>
            <w:hideMark/>
          </w:tcPr>
          <w:p w14:paraId="5776D755"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auto"/>
            <w:noWrap/>
            <w:vAlign w:val="bottom"/>
            <w:hideMark/>
          </w:tcPr>
          <w:p w14:paraId="052FB22C"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auto"/>
            <w:noWrap/>
            <w:vAlign w:val="bottom"/>
            <w:hideMark/>
          </w:tcPr>
          <w:p w14:paraId="11D2F0BE"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auto"/>
            <w:noWrap/>
            <w:vAlign w:val="bottom"/>
            <w:hideMark/>
          </w:tcPr>
          <w:p w14:paraId="646A69AF"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89" w:type="dxa"/>
            <w:tcBorders>
              <w:top w:val="nil"/>
              <w:left w:val="nil"/>
              <w:bottom w:val="nil"/>
              <w:right w:val="nil"/>
            </w:tcBorders>
            <w:shd w:val="clear" w:color="auto" w:fill="auto"/>
            <w:noWrap/>
            <w:vAlign w:val="bottom"/>
            <w:hideMark/>
          </w:tcPr>
          <w:p w14:paraId="61655569"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6" w:type="dxa"/>
            <w:tcBorders>
              <w:top w:val="nil"/>
              <w:left w:val="nil"/>
              <w:bottom w:val="nil"/>
              <w:right w:val="nil"/>
            </w:tcBorders>
            <w:shd w:val="clear" w:color="auto" w:fill="auto"/>
            <w:noWrap/>
            <w:vAlign w:val="bottom"/>
            <w:hideMark/>
          </w:tcPr>
          <w:p w14:paraId="078A7A22"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auto"/>
            <w:noWrap/>
            <w:vAlign w:val="bottom"/>
            <w:hideMark/>
          </w:tcPr>
          <w:p w14:paraId="667C2DC9"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4" w:type="dxa"/>
            <w:tcBorders>
              <w:top w:val="nil"/>
              <w:left w:val="nil"/>
              <w:bottom w:val="nil"/>
              <w:right w:val="nil"/>
            </w:tcBorders>
            <w:shd w:val="clear" w:color="auto" w:fill="auto"/>
            <w:noWrap/>
            <w:vAlign w:val="bottom"/>
            <w:hideMark/>
          </w:tcPr>
          <w:p w14:paraId="44F56424"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0628813F" w14:textId="77777777" w:rsidTr="00885AD0">
        <w:trPr>
          <w:trHeight w:val="57"/>
        </w:trPr>
        <w:tc>
          <w:tcPr>
            <w:tcW w:w="1276" w:type="dxa"/>
            <w:tcBorders>
              <w:top w:val="nil"/>
              <w:left w:val="nil"/>
              <w:bottom w:val="nil"/>
              <w:right w:val="single" w:sz="4" w:space="0" w:color="auto"/>
            </w:tcBorders>
            <w:vAlign w:val="bottom"/>
          </w:tcPr>
          <w:p w14:paraId="12222BEF" w14:textId="5FACF18D"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Live</w:t>
            </w:r>
            <w:r w:rsidR="00885AD0">
              <w:rPr>
                <w:rFonts w:ascii="Calibri" w:eastAsia="Times New Roman" w:hAnsi="Calibri" w:cs="Times New Roman"/>
                <w:color w:val="000000"/>
                <w:sz w:val="13"/>
                <w:szCs w:val="13"/>
                <w:lang w:eastAsia="en-GB"/>
              </w:rPr>
              <w:t>s</w:t>
            </w:r>
            <w:r w:rsidRPr="00834AAA">
              <w:rPr>
                <w:rFonts w:ascii="Calibri" w:eastAsia="Times New Roman" w:hAnsi="Calibri" w:cs="Times New Roman"/>
                <w:color w:val="000000"/>
                <w:sz w:val="13"/>
                <w:szCs w:val="13"/>
                <w:lang w:eastAsia="en-GB"/>
              </w:rPr>
              <w:t xml:space="preserve"> alone</w:t>
            </w:r>
          </w:p>
        </w:tc>
        <w:tc>
          <w:tcPr>
            <w:tcW w:w="1276" w:type="dxa"/>
            <w:tcBorders>
              <w:top w:val="nil"/>
              <w:left w:val="single" w:sz="4" w:space="0" w:color="auto"/>
              <w:bottom w:val="nil"/>
              <w:right w:val="nil"/>
            </w:tcBorders>
            <w:shd w:val="clear" w:color="auto" w:fill="auto"/>
            <w:noWrap/>
            <w:vAlign w:val="bottom"/>
            <w:hideMark/>
          </w:tcPr>
          <w:p w14:paraId="43FC265F"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649/1445 (44.9)</w:t>
            </w:r>
          </w:p>
        </w:tc>
        <w:tc>
          <w:tcPr>
            <w:tcW w:w="1160" w:type="dxa"/>
            <w:tcBorders>
              <w:top w:val="nil"/>
              <w:left w:val="nil"/>
              <w:bottom w:val="nil"/>
              <w:right w:val="nil"/>
            </w:tcBorders>
            <w:shd w:val="clear" w:color="auto" w:fill="auto"/>
            <w:noWrap/>
            <w:vAlign w:val="bottom"/>
            <w:hideMark/>
          </w:tcPr>
          <w:p w14:paraId="3B58ED58" w14:textId="0A26BA10"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83" w:type="dxa"/>
            <w:tcBorders>
              <w:top w:val="nil"/>
              <w:left w:val="nil"/>
              <w:bottom w:val="nil"/>
              <w:right w:val="nil"/>
            </w:tcBorders>
            <w:shd w:val="clear" w:color="auto" w:fill="auto"/>
            <w:noWrap/>
            <w:vAlign w:val="bottom"/>
            <w:hideMark/>
          </w:tcPr>
          <w:p w14:paraId="5D9612D9"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auto"/>
            <w:noWrap/>
            <w:vAlign w:val="bottom"/>
            <w:hideMark/>
          </w:tcPr>
          <w:p w14:paraId="615DEC6A" w14:textId="0ABCBFBF"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8" w:type="dxa"/>
            <w:tcBorders>
              <w:top w:val="nil"/>
              <w:left w:val="nil"/>
              <w:bottom w:val="nil"/>
              <w:right w:val="single" w:sz="4" w:space="0" w:color="auto"/>
            </w:tcBorders>
            <w:shd w:val="clear" w:color="auto" w:fill="auto"/>
            <w:noWrap/>
            <w:vAlign w:val="bottom"/>
            <w:hideMark/>
          </w:tcPr>
          <w:p w14:paraId="6B4399B0"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auto"/>
            <w:noWrap/>
            <w:vAlign w:val="bottom"/>
            <w:hideMark/>
          </w:tcPr>
          <w:p w14:paraId="1B6BE675"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359/1431 (25.1)</w:t>
            </w:r>
          </w:p>
        </w:tc>
        <w:tc>
          <w:tcPr>
            <w:tcW w:w="1175" w:type="dxa"/>
            <w:tcBorders>
              <w:top w:val="nil"/>
              <w:left w:val="nil"/>
              <w:bottom w:val="nil"/>
              <w:right w:val="nil"/>
            </w:tcBorders>
            <w:shd w:val="clear" w:color="auto" w:fill="auto"/>
            <w:noWrap/>
            <w:vAlign w:val="bottom"/>
            <w:hideMark/>
          </w:tcPr>
          <w:p w14:paraId="1574D12D" w14:textId="0614C441"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68" w:type="dxa"/>
            <w:tcBorders>
              <w:top w:val="nil"/>
              <w:left w:val="nil"/>
              <w:bottom w:val="nil"/>
              <w:right w:val="nil"/>
            </w:tcBorders>
            <w:shd w:val="clear" w:color="auto" w:fill="auto"/>
            <w:noWrap/>
            <w:vAlign w:val="bottom"/>
            <w:hideMark/>
          </w:tcPr>
          <w:p w14:paraId="3D896771"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auto"/>
            <w:noWrap/>
            <w:vAlign w:val="bottom"/>
            <w:hideMark/>
          </w:tcPr>
          <w:p w14:paraId="5B522773" w14:textId="65B99820"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8" w:type="dxa"/>
            <w:tcBorders>
              <w:top w:val="nil"/>
              <w:left w:val="nil"/>
              <w:bottom w:val="nil"/>
              <w:right w:val="single" w:sz="4" w:space="0" w:color="auto"/>
            </w:tcBorders>
            <w:shd w:val="clear" w:color="auto" w:fill="auto"/>
            <w:noWrap/>
            <w:vAlign w:val="bottom"/>
            <w:hideMark/>
          </w:tcPr>
          <w:p w14:paraId="79C058F7"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auto"/>
            <w:noWrap/>
            <w:vAlign w:val="bottom"/>
            <w:hideMark/>
          </w:tcPr>
          <w:p w14:paraId="6321F50A"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266/1439 (18.5)</w:t>
            </w:r>
          </w:p>
        </w:tc>
        <w:tc>
          <w:tcPr>
            <w:tcW w:w="1189" w:type="dxa"/>
            <w:tcBorders>
              <w:top w:val="nil"/>
              <w:left w:val="nil"/>
              <w:bottom w:val="nil"/>
              <w:right w:val="nil"/>
            </w:tcBorders>
            <w:shd w:val="clear" w:color="auto" w:fill="auto"/>
            <w:noWrap/>
            <w:vAlign w:val="bottom"/>
            <w:hideMark/>
          </w:tcPr>
          <w:p w14:paraId="28C25D79" w14:textId="1C0DEB67"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6" w:type="dxa"/>
            <w:tcBorders>
              <w:top w:val="nil"/>
              <w:left w:val="nil"/>
              <w:bottom w:val="nil"/>
              <w:right w:val="nil"/>
            </w:tcBorders>
            <w:shd w:val="clear" w:color="auto" w:fill="auto"/>
            <w:noWrap/>
            <w:vAlign w:val="bottom"/>
            <w:hideMark/>
          </w:tcPr>
          <w:p w14:paraId="4388A075"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auto"/>
            <w:noWrap/>
            <w:vAlign w:val="bottom"/>
            <w:hideMark/>
          </w:tcPr>
          <w:p w14:paraId="6B807680" w14:textId="5D0C97D9"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4" w:type="dxa"/>
            <w:tcBorders>
              <w:top w:val="nil"/>
              <w:left w:val="nil"/>
              <w:bottom w:val="nil"/>
              <w:right w:val="nil"/>
            </w:tcBorders>
            <w:shd w:val="clear" w:color="auto" w:fill="auto"/>
            <w:noWrap/>
            <w:vAlign w:val="bottom"/>
            <w:hideMark/>
          </w:tcPr>
          <w:p w14:paraId="3A4F1013"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530A123E" w14:textId="77777777" w:rsidTr="00885AD0">
        <w:trPr>
          <w:trHeight w:val="57"/>
        </w:trPr>
        <w:tc>
          <w:tcPr>
            <w:tcW w:w="1276" w:type="dxa"/>
            <w:tcBorders>
              <w:top w:val="nil"/>
              <w:left w:val="nil"/>
              <w:bottom w:val="nil"/>
              <w:right w:val="single" w:sz="4" w:space="0" w:color="auto"/>
            </w:tcBorders>
            <w:vAlign w:val="bottom"/>
          </w:tcPr>
          <w:p w14:paraId="5AF30748" w14:textId="46B9DFEA" w:rsidR="00ED367C" w:rsidRPr="00834AAA" w:rsidRDefault="00885AD0" w:rsidP="009B23BE">
            <w:pPr>
              <w:spacing w:before="0" w:after="0" w:line="240" w:lineRule="auto"/>
              <w:jc w:val="right"/>
              <w:rPr>
                <w:rFonts w:ascii="Calibri" w:eastAsia="Times New Roman" w:hAnsi="Calibri" w:cs="Times New Roman"/>
                <w:color w:val="000000"/>
                <w:sz w:val="13"/>
                <w:szCs w:val="13"/>
                <w:lang w:eastAsia="en-GB"/>
              </w:rPr>
            </w:pPr>
            <w:r>
              <w:rPr>
                <w:rFonts w:ascii="Calibri" w:eastAsia="Times New Roman" w:hAnsi="Calibri" w:cs="Times New Roman"/>
                <w:color w:val="000000"/>
                <w:sz w:val="13"/>
                <w:szCs w:val="13"/>
                <w:lang w:eastAsia="en-GB"/>
              </w:rPr>
              <w:t xml:space="preserve">With </w:t>
            </w:r>
            <w:r w:rsidR="00ED367C" w:rsidRPr="00834AAA">
              <w:rPr>
                <w:rFonts w:ascii="Calibri" w:eastAsia="Times New Roman" w:hAnsi="Calibri" w:cs="Times New Roman"/>
                <w:color w:val="000000"/>
                <w:sz w:val="13"/>
                <w:szCs w:val="13"/>
                <w:lang w:eastAsia="en-GB"/>
              </w:rPr>
              <w:t>male partner</w:t>
            </w:r>
          </w:p>
        </w:tc>
        <w:tc>
          <w:tcPr>
            <w:tcW w:w="1276" w:type="dxa"/>
            <w:tcBorders>
              <w:top w:val="nil"/>
              <w:left w:val="single" w:sz="4" w:space="0" w:color="auto"/>
              <w:bottom w:val="nil"/>
              <w:right w:val="nil"/>
            </w:tcBorders>
            <w:shd w:val="clear" w:color="auto" w:fill="auto"/>
            <w:noWrap/>
            <w:vAlign w:val="bottom"/>
            <w:hideMark/>
          </w:tcPr>
          <w:p w14:paraId="386B343E"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958/2054 (46.6)</w:t>
            </w:r>
          </w:p>
        </w:tc>
        <w:tc>
          <w:tcPr>
            <w:tcW w:w="1160" w:type="dxa"/>
            <w:tcBorders>
              <w:top w:val="nil"/>
              <w:left w:val="nil"/>
              <w:bottom w:val="nil"/>
              <w:right w:val="nil"/>
            </w:tcBorders>
            <w:shd w:val="clear" w:color="auto" w:fill="auto"/>
            <w:noWrap/>
            <w:vAlign w:val="bottom"/>
            <w:hideMark/>
          </w:tcPr>
          <w:p w14:paraId="03BFF542" w14:textId="472A39F8"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1.07 (0.94</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1.23)</w:t>
            </w:r>
          </w:p>
        </w:tc>
        <w:tc>
          <w:tcPr>
            <w:tcW w:w="683" w:type="dxa"/>
            <w:tcBorders>
              <w:top w:val="nil"/>
              <w:left w:val="nil"/>
              <w:bottom w:val="nil"/>
              <w:right w:val="nil"/>
            </w:tcBorders>
            <w:shd w:val="clear" w:color="auto" w:fill="auto"/>
            <w:noWrap/>
            <w:vAlign w:val="bottom"/>
            <w:hideMark/>
          </w:tcPr>
          <w:p w14:paraId="7630AA6F"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auto"/>
            <w:noWrap/>
            <w:vAlign w:val="bottom"/>
            <w:hideMark/>
          </w:tcPr>
          <w:p w14:paraId="44074CC6" w14:textId="39FECCA4"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1.11 (0.97</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1.28)</w:t>
            </w:r>
          </w:p>
        </w:tc>
        <w:tc>
          <w:tcPr>
            <w:tcW w:w="638" w:type="dxa"/>
            <w:tcBorders>
              <w:top w:val="nil"/>
              <w:left w:val="nil"/>
              <w:bottom w:val="nil"/>
              <w:right w:val="single" w:sz="4" w:space="0" w:color="auto"/>
            </w:tcBorders>
            <w:shd w:val="clear" w:color="auto" w:fill="auto"/>
            <w:noWrap/>
            <w:vAlign w:val="bottom"/>
            <w:hideMark/>
          </w:tcPr>
          <w:p w14:paraId="671929DC" w14:textId="49237123"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auto"/>
            <w:noWrap/>
            <w:vAlign w:val="bottom"/>
            <w:hideMark/>
          </w:tcPr>
          <w:p w14:paraId="4B67C645"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462/2057 (22.5)</w:t>
            </w:r>
          </w:p>
        </w:tc>
        <w:tc>
          <w:tcPr>
            <w:tcW w:w="1175" w:type="dxa"/>
            <w:tcBorders>
              <w:top w:val="nil"/>
              <w:left w:val="nil"/>
              <w:bottom w:val="nil"/>
              <w:right w:val="nil"/>
            </w:tcBorders>
            <w:shd w:val="clear" w:color="auto" w:fill="auto"/>
            <w:noWrap/>
            <w:vAlign w:val="bottom"/>
            <w:hideMark/>
          </w:tcPr>
          <w:p w14:paraId="672E2DBD" w14:textId="7EFD787B"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0.86 (0.74</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1.01)</w:t>
            </w:r>
          </w:p>
        </w:tc>
        <w:tc>
          <w:tcPr>
            <w:tcW w:w="668" w:type="dxa"/>
            <w:tcBorders>
              <w:top w:val="nil"/>
              <w:left w:val="nil"/>
              <w:bottom w:val="nil"/>
              <w:right w:val="nil"/>
            </w:tcBorders>
            <w:shd w:val="clear" w:color="auto" w:fill="auto"/>
            <w:noWrap/>
            <w:vAlign w:val="bottom"/>
            <w:hideMark/>
          </w:tcPr>
          <w:p w14:paraId="719DA258"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auto"/>
            <w:noWrap/>
            <w:vAlign w:val="bottom"/>
            <w:hideMark/>
          </w:tcPr>
          <w:p w14:paraId="4769FF62" w14:textId="5D03FCC5"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0.82 (0.7</w:t>
            </w:r>
            <w:r w:rsidR="001E14F8">
              <w:rPr>
                <w:rFonts w:ascii="Calibri" w:eastAsia="Times New Roman" w:hAnsi="Calibri" w:cs="Times New Roman"/>
                <w:color w:val="000000"/>
                <w:sz w:val="14"/>
                <w:szCs w:val="14"/>
                <w:lang w:eastAsia="en-GB"/>
              </w:rPr>
              <w:t>0</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0.97)</w:t>
            </w:r>
          </w:p>
        </w:tc>
        <w:tc>
          <w:tcPr>
            <w:tcW w:w="638" w:type="dxa"/>
            <w:tcBorders>
              <w:top w:val="nil"/>
              <w:left w:val="nil"/>
              <w:bottom w:val="nil"/>
              <w:right w:val="single" w:sz="4" w:space="0" w:color="auto"/>
            </w:tcBorders>
            <w:shd w:val="clear" w:color="auto" w:fill="auto"/>
            <w:noWrap/>
            <w:vAlign w:val="bottom"/>
            <w:hideMark/>
          </w:tcPr>
          <w:p w14:paraId="48771E5B" w14:textId="32AC2410"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auto"/>
            <w:noWrap/>
            <w:vAlign w:val="bottom"/>
            <w:hideMark/>
          </w:tcPr>
          <w:p w14:paraId="1CD4550A"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373/2056 (18.1)</w:t>
            </w:r>
          </w:p>
        </w:tc>
        <w:tc>
          <w:tcPr>
            <w:tcW w:w="1189" w:type="dxa"/>
            <w:tcBorders>
              <w:top w:val="nil"/>
              <w:left w:val="nil"/>
              <w:bottom w:val="nil"/>
              <w:right w:val="nil"/>
            </w:tcBorders>
            <w:shd w:val="clear" w:color="auto" w:fill="auto"/>
            <w:noWrap/>
            <w:vAlign w:val="bottom"/>
            <w:hideMark/>
          </w:tcPr>
          <w:p w14:paraId="18CF1B28" w14:textId="7D04F598"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0.98 (0.82</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1.16)</w:t>
            </w:r>
          </w:p>
        </w:tc>
        <w:tc>
          <w:tcPr>
            <w:tcW w:w="636" w:type="dxa"/>
            <w:tcBorders>
              <w:top w:val="nil"/>
              <w:left w:val="nil"/>
              <w:bottom w:val="nil"/>
              <w:right w:val="nil"/>
            </w:tcBorders>
            <w:shd w:val="clear" w:color="auto" w:fill="auto"/>
            <w:noWrap/>
            <w:vAlign w:val="bottom"/>
            <w:hideMark/>
          </w:tcPr>
          <w:p w14:paraId="5C517BB0"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auto"/>
            <w:noWrap/>
            <w:vAlign w:val="bottom"/>
            <w:hideMark/>
          </w:tcPr>
          <w:p w14:paraId="3D02E495" w14:textId="424EB4DD"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0.88 (0.73</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1.05)</w:t>
            </w:r>
          </w:p>
        </w:tc>
        <w:tc>
          <w:tcPr>
            <w:tcW w:w="634" w:type="dxa"/>
            <w:tcBorders>
              <w:top w:val="nil"/>
              <w:left w:val="nil"/>
              <w:bottom w:val="nil"/>
              <w:right w:val="nil"/>
            </w:tcBorders>
            <w:shd w:val="clear" w:color="auto" w:fill="auto"/>
            <w:noWrap/>
            <w:vAlign w:val="bottom"/>
            <w:hideMark/>
          </w:tcPr>
          <w:p w14:paraId="3307F335" w14:textId="727AEEF2"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2741BA49" w14:textId="77777777" w:rsidTr="00885AD0">
        <w:trPr>
          <w:trHeight w:val="57"/>
        </w:trPr>
        <w:tc>
          <w:tcPr>
            <w:tcW w:w="1276" w:type="dxa"/>
            <w:tcBorders>
              <w:top w:val="nil"/>
              <w:left w:val="nil"/>
              <w:bottom w:val="nil"/>
              <w:right w:val="single" w:sz="4" w:space="0" w:color="auto"/>
            </w:tcBorders>
            <w:vAlign w:val="bottom"/>
          </w:tcPr>
          <w:p w14:paraId="446AB422" w14:textId="165333E7"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Live</w:t>
            </w:r>
            <w:r w:rsidR="00885AD0">
              <w:rPr>
                <w:rFonts w:ascii="Calibri" w:eastAsia="Times New Roman" w:hAnsi="Calibri" w:cs="Times New Roman"/>
                <w:color w:val="000000"/>
                <w:sz w:val="13"/>
                <w:szCs w:val="13"/>
                <w:lang w:eastAsia="en-GB"/>
              </w:rPr>
              <w:t>s</w:t>
            </w:r>
            <w:r w:rsidRPr="00834AAA">
              <w:rPr>
                <w:rFonts w:ascii="Calibri" w:eastAsia="Times New Roman" w:hAnsi="Calibri" w:cs="Times New Roman"/>
                <w:color w:val="000000"/>
                <w:sz w:val="13"/>
                <w:szCs w:val="13"/>
                <w:lang w:eastAsia="en-GB"/>
              </w:rPr>
              <w:t xml:space="preserve"> with other</w:t>
            </w:r>
            <w:r w:rsidR="00885AD0">
              <w:rPr>
                <w:rFonts w:ascii="Calibri" w:eastAsia="Times New Roman" w:hAnsi="Calibri" w:cs="Times New Roman"/>
                <w:color w:val="000000"/>
                <w:sz w:val="13"/>
                <w:szCs w:val="13"/>
                <w:lang w:eastAsia="en-GB"/>
              </w:rPr>
              <w:t>s</w:t>
            </w:r>
          </w:p>
        </w:tc>
        <w:tc>
          <w:tcPr>
            <w:tcW w:w="1276" w:type="dxa"/>
            <w:tcBorders>
              <w:top w:val="nil"/>
              <w:left w:val="single" w:sz="4" w:space="0" w:color="auto"/>
              <w:bottom w:val="nil"/>
              <w:right w:val="nil"/>
            </w:tcBorders>
            <w:shd w:val="clear" w:color="auto" w:fill="auto"/>
            <w:noWrap/>
            <w:vAlign w:val="bottom"/>
            <w:hideMark/>
          </w:tcPr>
          <w:p w14:paraId="4C8D4D80"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891/2251 (39.6)</w:t>
            </w:r>
          </w:p>
        </w:tc>
        <w:tc>
          <w:tcPr>
            <w:tcW w:w="1160" w:type="dxa"/>
            <w:tcBorders>
              <w:top w:val="nil"/>
              <w:left w:val="nil"/>
              <w:bottom w:val="nil"/>
              <w:right w:val="nil"/>
            </w:tcBorders>
            <w:shd w:val="clear" w:color="auto" w:fill="auto"/>
            <w:noWrap/>
            <w:vAlign w:val="bottom"/>
            <w:hideMark/>
          </w:tcPr>
          <w:p w14:paraId="63E2F679" w14:textId="607D6ACF"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0.8</w:t>
            </w:r>
            <w:r w:rsidR="001E14F8">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 xml:space="preserve"> (0.7</w:t>
            </w:r>
            <w:r w:rsidR="001E14F8">
              <w:rPr>
                <w:rFonts w:ascii="Calibri" w:eastAsia="Times New Roman" w:hAnsi="Calibri" w:cs="Times New Roman"/>
                <w:color w:val="000000"/>
                <w:sz w:val="14"/>
                <w:szCs w:val="14"/>
                <w:lang w:eastAsia="en-GB"/>
              </w:rPr>
              <w:t>0</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0.92)</w:t>
            </w:r>
          </w:p>
        </w:tc>
        <w:tc>
          <w:tcPr>
            <w:tcW w:w="683" w:type="dxa"/>
            <w:tcBorders>
              <w:top w:val="nil"/>
              <w:left w:val="nil"/>
              <w:bottom w:val="nil"/>
              <w:right w:val="nil"/>
            </w:tcBorders>
            <w:shd w:val="clear" w:color="auto" w:fill="auto"/>
            <w:noWrap/>
            <w:vAlign w:val="bottom"/>
            <w:hideMark/>
          </w:tcPr>
          <w:p w14:paraId="15166B08"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&lt;0.001</w:t>
            </w:r>
          </w:p>
        </w:tc>
        <w:tc>
          <w:tcPr>
            <w:tcW w:w="1205" w:type="dxa"/>
            <w:tcBorders>
              <w:top w:val="nil"/>
              <w:left w:val="nil"/>
              <w:bottom w:val="nil"/>
              <w:right w:val="nil"/>
            </w:tcBorders>
            <w:shd w:val="clear" w:color="auto" w:fill="auto"/>
            <w:noWrap/>
            <w:vAlign w:val="bottom"/>
            <w:hideMark/>
          </w:tcPr>
          <w:p w14:paraId="1814DB0A" w14:textId="46776FF3"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1.03 (0.89</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1.2</w:t>
            </w:r>
            <w:r w:rsidR="001E14F8">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w:t>
            </w:r>
          </w:p>
        </w:tc>
        <w:tc>
          <w:tcPr>
            <w:tcW w:w="638" w:type="dxa"/>
            <w:tcBorders>
              <w:top w:val="nil"/>
              <w:left w:val="nil"/>
              <w:bottom w:val="nil"/>
              <w:right w:val="single" w:sz="4" w:space="0" w:color="auto"/>
            </w:tcBorders>
            <w:shd w:val="clear" w:color="auto" w:fill="auto"/>
            <w:noWrap/>
            <w:vAlign w:val="bottom"/>
            <w:hideMark/>
          </w:tcPr>
          <w:p w14:paraId="7323CCE5" w14:textId="6FB83656" w:rsidR="00ED367C" w:rsidRPr="00834AAA" w:rsidRDefault="006D6422"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0.265</w:t>
            </w:r>
          </w:p>
        </w:tc>
        <w:tc>
          <w:tcPr>
            <w:tcW w:w="1275" w:type="dxa"/>
            <w:tcBorders>
              <w:top w:val="nil"/>
              <w:left w:val="single" w:sz="4" w:space="0" w:color="auto"/>
              <w:bottom w:val="nil"/>
              <w:right w:val="nil"/>
            </w:tcBorders>
            <w:shd w:val="clear" w:color="auto" w:fill="auto"/>
            <w:noWrap/>
            <w:vAlign w:val="bottom"/>
            <w:hideMark/>
          </w:tcPr>
          <w:p w14:paraId="3F786B39"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643/2247 (28.6)</w:t>
            </w:r>
          </w:p>
        </w:tc>
        <w:tc>
          <w:tcPr>
            <w:tcW w:w="1175" w:type="dxa"/>
            <w:tcBorders>
              <w:top w:val="nil"/>
              <w:left w:val="nil"/>
              <w:bottom w:val="nil"/>
              <w:right w:val="nil"/>
            </w:tcBorders>
            <w:shd w:val="clear" w:color="auto" w:fill="auto"/>
            <w:noWrap/>
            <w:vAlign w:val="bottom"/>
            <w:hideMark/>
          </w:tcPr>
          <w:p w14:paraId="09B63144" w14:textId="6F0E9491"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1.2</w:t>
            </w:r>
            <w:r w:rsidR="001E14F8">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 xml:space="preserve"> (1.03</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1.39)</w:t>
            </w:r>
          </w:p>
        </w:tc>
        <w:tc>
          <w:tcPr>
            <w:tcW w:w="668" w:type="dxa"/>
            <w:tcBorders>
              <w:top w:val="nil"/>
              <w:left w:val="nil"/>
              <w:bottom w:val="nil"/>
              <w:right w:val="nil"/>
            </w:tcBorders>
            <w:shd w:val="clear" w:color="auto" w:fill="auto"/>
            <w:noWrap/>
            <w:vAlign w:val="bottom"/>
            <w:hideMark/>
          </w:tcPr>
          <w:p w14:paraId="2D8CC317"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&lt;0.001</w:t>
            </w:r>
          </w:p>
        </w:tc>
        <w:tc>
          <w:tcPr>
            <w:tcW w:w="1220" w:type="dxa"/>
            <w:tcBorders>
              <w:top w:val="nil"/>
              <w:left w:val="nil"/>
              <w:bottom w:val="nil"/>
              <w:right w:val="nil"/>
            </w:tcBorders>
            <w:shd w:val="clear" w:color="auto" w:fill="auto"/>
            <w:noWrap/>
            <w:vAlign w:val="bottom"/>
            <w:hideMark/>
          </w:tcPr>
          <w:p w14:paraId="0C25047A" w14:textId="1D666FF8"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0.91 (0.76</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1.08)</w:t>
            </w:r>
          </w:p>
        </w:tc>
        <w:tc>
          <w:tcPr>
            <w:tcW w:w="638" w:type="dxa"/>
            <w:tcBorders>
              <w:top w:val="nil"/>
              <w:left w:val="nil"/>
              <w:bottom w:val="nil"/>
              <w:right w:val="single" w:sz="4" w:space="0" w:color="auto"/>
            </w:tcBorders>
            <w:shd w:val="clear" w:color="auto" w:fill="auto"/>
            <w:noWrap/>
            <w:vAlign w:val="bottom"/>
            <w:hideMark/>
          </w:tcPr>
          <w:p w14:paraId="03297BDD" w14:textId="10F0372F" w:rsidR="00ED367C" w:rsidRPr="00834AAA" w:rsidRDefault="006D6422"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0.059</w:t>
            </w:r>
          </w:p>
        </w:tc>
        <w:tc>
          <w:tcPr>
            <w:tcW w:w="1261" w:type="dxa"/>
            <w:tcBorders>
              <w:top w:val="nil"/>
              <w:left w:val="single" w:sz="4" w:space="0" w:color="auto"/>
              <w:bottom w:val="nil"/>
              <w:right w:val="nil"/>
            </w:tcBorders>
            <w:shd w:val="clear" w:color="auto" w:fill="auto"/>
            <w:noWrap/>
            <w:vAlign w:val="bottom"/>
            <w:hideMark/>
          </w:tcPr>
          <w:p w14:paraId="698181F5"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461/2241 (20.6)</w:t>
            </w:r>
          </w:p>
        </w:tc>
        <w:tc>
          <w:tcPr>
            <w:tcW w:w="1189" w:type="dxa"/>
            <w:tcBorders>
              <w:top w:val="nil"/>
              <w:left w:val="nil"/>
              <w:bottom w:val="nil"/>
              <w:right w:val="nil"/>
            </w:tcBorders>
            <w:shd w:val="clear" w:color="auto" w:fill="auto"/>
            <w:noWrap/>
            <w:vAlign w:val="bottom"/>
            <w:hideMark/>
          </w:tcPr>
          <w:p w14:paraId="28638872" w14:textId="7DE24924"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1.14 (0.97</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1.35)</w:t>
            </w:r>
          </w:p>
        </w:tc>
        <w:tc>
          <w:tcPr>
            <w:tcW w:w="636" w:type="dxa"/>
            <w:tcBorders>
              <w:top w:val="nil"/>
              <w:left w:val="nil"/>
              <w:bottom w:val="nil"/>
              <w:right w:val="nil"/>
            </w:tcBorders>
            <w:shd w:val="clear" w:color="auto" w:fill="auto"/>
            <w:noWrap/>
            <w:vAlign w:val="bottom"/>
            <w:hideMark/>
          </w:tcPr>
          <w:p w14:paraId="0D76523C"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0.098</w:t>
            </w:r>
          </w:p>
        </w:tc>
        <w:tc>
          <w:tcPr>
            <w:tcW w:w="1282" w:type="dxa"/>
            <w:tcBorders>
              <w:top w:val="nil"/>
              <w:left w:val="nil"/>
              <w:bottom w:val="nil"/>
              <w:right w:val="nil"/>
            </w:tcBorders>
            <w:shd w:val="clear" w:color="auto" w:fill="auto"/>
            <w:noWrap/>
            <w:vAlign w:val="bottom"/>
            <w:hideMark/>
          </w:tcPr>
          <w:p w14:paraId="0F3D92F4" w14:textId="6D1CF84A"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1.13 (0.94</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1.37)</w:t>
            </w:r>
          </w:p>
        </w:tc>
        <w:tc>
          <w:tcPr>
            <w:tcW w:w="634" w:type="dxa"/>
            <w:tcBorders>
              <w:top w:val="nil"/>
              <w:left w:val="nil"/>
              <w:bottom w:val="nil"/>
              <w:right w:val="nil"/>
            </w:tcBorders>
            <w:shd w:val="clear" w:color="auto" w:fill="auto"/>
            <w:noWrap/>
            <w:vAlign w:val="bottom"/>
            <w:hideMark/>
          </w:tcPr>
          <w:p w14:paraId="483B553C" w14:textId="712DB192" w:rsidR="00ED367C" w:rsidRPr="00834AAA" w:rsidRDefault="006D6422"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0.014</w:t>
            </w:r>
          </w:p>
        </w:tc>
      </w:tr>
      <w:tr w:rsidR="00331B4B" w:rsidRPr="00834AAA" w14:paraId="231FDB17" w14:textId="77777777" w:rsidTr="00885AD0">
        <w:trPr>
          <w:trHeight w:val="57"/>
        </w:trPr>
        <w:tc>
          <w:tcPr>
            <w:tcW w:w="1276" w:type="dxa"/>
            <w:tcBorders>
              <w:top w:val="nil"/>
              <w:left w:val="nil"/>
              <w:bottom w:val="nil"/>
              <w:right w:val="single" w:sz="4" w:space="0" w:color="auto"/>
            </w:tcBorders>
            <w:vAlign w:val="bottom"/>
          </w:tcPr>
          <w:p w14:paraId="1F94540B" w14:textId="77777777"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Missing</w:t>
            </w:r>
          </w:p>
        </w:tc>
        <w:tc>
          <w:tcPr>
            <w:tcW w:w="1276" w:type="dxa"/>
            <w:tcBorders>
              <w:top w:val="nil"/>
              <w:left w:val="single" w:sz="4" w:space="0" w:color="auto"/>
              <w:bottom w:val="nil"/>
              <w:right w:val="nil"/>
            </w:tcBorders>
            <w:shd w:val="clear" w:color="auto" w:fill="auto"/>
            <w:noWrap/>
            <w:vAlign w:val="bottom"/>
            <w:hideMark/>
          </w:tcPr>
          <w:p w14:paraId="1868F574"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60" w:type="dxa"/>
            <w:tcBorders>
              <w:top w:val="nil"/>
              <w:left w:val="nil"/>
              <w:bottom w:val="nil"/>
              <w:right w:val="nil"/>
            </w:tcBorders>
            <w:shd w:val="clear" w:color="auto" w:fill="auto"/>
            <w:noWrap/>
            <w:vAlign w:val="bottom"/>
            <w:hideMark/>
          </w:tcPr>
          <w:p w14:paraId="0D9D133F"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83" w:type="dxa"/>
            <w:tcBorders>
              <w:top w:val="nil"/>
              <w:left w:val="nil"/>
              <w:bottom w:val="nil"/>
              <w:right w:val="nil"/>
            </w:tcBorders>
            <w:shd w:val="clear" w:color="auto" w:fill="auto"/>
            <w:noWrap/>
            <w:vAlign w:val="bottom"/>
            <w:hideMark/>
          </w:tcPr>
          <w:p w14:paraId="5DF822E3"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auto"/>
            <w:noWrap/>
            <w:vAlign w:val="bottom"/>
            <w:hideMark/>
          </w:tcPr>
          <w:p w14:paraId="135F57DA"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auto"/>
            <w:noWrap/>
            <w:vAlign w:val="bottom"/>
            <w:hideMark/>
          </w:tcPr>
          <w:p w14:paraId="4BBA0390"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auto"/>
            <w:noWrap/>
            <w:vAlign w:val="bottom"/>
            <w:hideMark/>
          </w:tcPr>
          <w:p w14:paraId="3A277C16"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75" w:type="dxa"/>
            <w:tcBorders>
              <w:top w:val="nil"/>
              <w:left w:val="nil"/>
              <w:bottom w:val="nil"/>
              <w:right w:val="nil"/>
            </w:tcBorders>
            <w:shd w:val="clear" w:color="auto" w:fill="auto"/>
            <w:noWrap/>
            <w:vAlign w:val="bottom"/>
            <w:hideMark/>
          </w:tcPr>
          <w:p w14:paraId="17D02A7E"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68" w:type="dxa"/>
            <w:tcBorders>
              <w:top w:val="nil"/>
              <w:left w:val="nil"/>
              <w:bottom w:val="nil"/>
              <w:right w:val="nil"/>
            </w:tcBorders>
            <w:shd w:val="clear" w:color="auto" w:fill="auto"/>
            <w:noWrap/>
            <w:vAlign w:val="bottom"/>
            <w:hideMark/>
          </w:tcPr>
          <w:p w14:paraId="27FAD6BA"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auto"/>
            <w:noWrap/>
            <w:vAlign w:val="bottom"/>
            <w:hideMark/>
          </w:tcPr>
          <w:p w14:paraId="5D0C64D3"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auto"/>
            <w:noWrap/>
            <w:vAlign w:val="bottom"/>
            <w:hideMark/>
          </w:tcPr>
          <w:p w14:paraId="3F84E8E4"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auto"/>
            <w:noWrap/>
            <w:vAlign w:val="bottom"/>
            <w:hideMark/>
          </w:tcPr>
          <w:p w14:paraId="68E73E6E"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89" w:type="dxa"/>
            <w:tcBorders>
              <w:top w:val="nil"/>
              <w:left w:val="nil"/>
              <w:bottom w:val="nil"/>
              <w:right w:val="nil"/>
            </w:tcBorders>
            <w:shd w:val="clear" w:color="auto" w:fill="auto"/>
            <w:noWrap/>
            <w:vAlign w:val="bottom"/>
            <w:hideMark/>
          </w:tcPr>
          <w:p w14:paraId="0A52E65E"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6" w:type="dxa"/>
            <w:tcBorders>
              <w:top w:val="nil"/>
              <w:left w:val="nil"/>
              <w:bottom w:val="nil"/>
              <w:right w:val="nil"/>
            </w:tcBorders>
            <w:shd w:val="clear" w:color="auto" w:fill="auto"/>
            <w:noWrap/>
            <w:vAlign w:val="bottom"/>
            <w:hideMark/>
          </w:tcPr>
          <w:p w14:paraId="295C66E9"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auto"/>
            <w:noWrap/>
            <w:vAlign w:val="bottom"/>
            <w:hideMark/>
          </w:tcPr>
          <w:p w14:paraId="58E4CC6A"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4" w:type="dxa"/>
            <w:tcBorders>
              <w:top w:val="nil"/>
              <w:left w:val="nil"/>
              <w:bottom w:val="nil"/>
              <w:right w:val="nil"/>
            </w:tcBorders>
            <w:shd w:val="clear" w:color="auto" w:fill="auto"/>
            <w:noWrap/>
            <w:vAlign w:val="bottom"/>
            <w:hideMark/>
          </w:tcPr>
          <w:p w14:paraId="5C82DB31"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7E68059F" w14:textId="77777777" w:rsidTr="00885AD0">
        <w:trPr>
          <w:trHeight w:val="57"/>
        </w:trPr>
        <w:tc>
          <w:tcPr>
            <w:tcW w:w="1276" w:type="dxa"/>
            <w:tcBorders>
              <w:top w:val="nil"/>
              <w:left w:val="nil"/>
              <w:bottom w:val="nil"/>
              <w:right w:val="single" w:sz="4" w:space="0" w:color="auto"/>
            </w:tcBorders>
            <w:shd w:val="clear" w:color="auto" w:fill="F2F2F2"/>
            <w:vAlign w:val="bottom"/>
          </w:tcPr>
          <w:p w14:paraId="1824D79A" w14:textId="77777777" w:rsidR="00ED367C" w:rsidRPr="00834AAA" w:rsidRDefault="00ED367C" w:rsidP="009B23BE">
            <w:pPr>
              <w:spacing w:before="0" w:after="0" w:line="240" w:lineRule="auto"/>
              <w:rPr>
                <w:rFonts w:ascii="Calibri" w:eastAsia="Times New Roman" w:hAnsi="Calibri" w:cs="Times New Roman"/>
                <w:b/>
                <w:color w:val="000000"/>
                <w:sz w:val="13"/>
                <w:szCs w:val="13"/>
                <w:lang w:eastAsia="en-GB"/>
              </w:rPr>
            </w:pPr>
            <w:r w:rsidRPr="00834AAA">
              <w:rPr>
                <w:rFonts w:ascii="Calibri" w:eastAsia="Times New Roman" w:hAnsi="Calibri" w:cs="Times New Roman"/>
                <w:b/>
                <w:color w:val="000000"/>
                <w:sz w:val="13"/>
                <w:szCs w:val="13"/>
                <w:lang w:eastAsia="en-GB"/>
              </w:rPr>
              <w:t>Lives in London</w:t>
            </w:r>
          </w:p>
        </w:tc>
        <w:tc>
          <w:tcPr>
            <w:tcW w:w="1276" w:type="dxa"/>
            <w:tcBorders>
              <w:top w:val="nil"/>
              <w:left w:val="single" w:sz="4" w:space="0" w:color="auto"/>
              <w:bottom w:val="nil"/>
              <w:right w:val="nil"/>
            </w:tcBorders>
            <w:shd w:val="clear" w:color="auto" w:fill="F2F2F2"/>
            <w:noWrap/>
            <w:vAlign w:val="bottom"/>
            <w:hideMark/>
          </w:tcPr>
          <w:p w14:paraId="586FE50B"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60" w:type="dxa"/>
            <w:tcBorders>
              <w:top w:val="nil"/>
              <w:left w:val="nil"/>
              <w:bottom w:val="nil"/>
              <w:right w:val="nil"/>
            </w:tcBorders>
            <w:shd w:val="clear" w:color="auto" w:fill="F2F2F2"/>
            <w:noWrap/>
            <w:vAlign w:val="bottom"/>
            <w:hideMark/>
          </w:tcPr>
          <w:p w14:paraId="57B2B661"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83" w:type="dxa"/>
            <w:tcBorders>
              <w:top w:val="nil"/>
              <w:left w:val="nil"/>
              <w:bottom w:val="nil"/>
              <w:right w:val="nil"/>
            </w:tcBorders>
            <w:shd w:val="clear" w:color="auto" w:fill="F2F2F2"/>
            <w:noWrap/>
            <w:vAlign w:val="bottom"/>
            <w:hideMark/>
          </w:tcPr>
          <w:p w14:paraId="7E0B89D7"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F2F2F2"/>
            <w:noWrap/>
            <w:vAlign w:val="bottom"/>
            <w:hideMark/>
          </w:tcPr>
          <w:p w14:paraId="1BB3FECF"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F2F2F2"/>
            <w:noWrap/>
            <w:vAlign w:val="bottom"/>
            <w:hideMark/>
          </w:tcPr>
          <w:p w14:paraId="63430EDC"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F2F2F2"/>
            <w:noWrap/>
            <w:vAlign w:val="bottom"/>
            <w:hideMark/>
          </w:tcPr>
          <w:p w14:paraId="1E9DE896"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75" w:type="dxa"/>
            <w:tcBorders>
              <w:top w:val="nil"/>
              <w:left w:val="nil"/>
              <w:bottom w:val="nil"/>
              <w:right w:val="nil"/>
            </w:tcBorders>
            <w:shd w:val="clear" w:color="auto" w:fill="F2F2F2"/>
            <w:noWrap/>
            <w:vAlign w:val="bottom"/>
            <w:hideMark/>
          </w:tcPr>
          <w:p w14:paraId="2AF09417"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68" w:type="dxa"/>
            <w:tcBorders>
              <w:top w:val="nil"/>
              <w:left w:val="nil"/>
              <w:bottom w:val="nil"/>
              <w:right w:val="nil"/>
            </w:tcBorders>
            <w:shd w:val="clear" w:color="auto" w:fill="F2F2F2"/>
            <w:noWrap/>
            <w:vAlign w:val="bottom"/>
            <w:hideMark/>
          </w:tcPr>
          <w:p w14:paraId="6A6E08C6"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F2F2F2"/>
            <w:noWrap/>
            <w:vAlign w:val="bottom"/>
            <w:hideMark/>
          </w:tcPr>
          <w:p w14:paraId="1A538CA4"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8" w:type="dxa"/>
            <w:tcBorders>
              <w:top w:val="nil"/>
              <w:left w:val="nil"/>
              <w:bottom w:val="nil"/>
              <w:right w:val="single" w:sz="4" w:space="0" w:color="auto"/>
            </w:tcBorders>
            <w:shd w:val="clear" w:color="auto" w:fill="F2F2F2"/>
            <w:noWrap/>
            <w:vAlign w:val="bottom"/>
            <w:hideMark/>
          </w:tcPr>
          <w:p w14:paraId="12473AF6"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F2F2F2"/>
            <w:noWrap/>
            <w:vAlign w:val="bottom"/>
            <w:hideMark/>
          </w:tcPr>
          <w:p w14:paraId="51AD9881"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p>
        </w:tc>
        <w:tc>
          <w:tcPr>
            <w:tcW w:w="1189" w:type="dxa"/>
            <w:tcBorders>
              <w:top w:val="nil"/>
              <w:left w:val="nil"/>
              <w:bottom w:val="nil"/>
              <w:right w:val="nil"/>
            </w:tcBorders>
            <w:shd w:val="clear" w:color="auto" w:fill="F2F2F2"/>
            <w:noWrap/>
            <w:vAlign w:val="bottom"/>
            <w:hideMark/>
          </w:tcPr>
          <w:p w14:paraId="0BC05BFE"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6" w:type="dxa"/>
            <w:tcBorders>
              <w:top w:val="nil"/>
              <w:left w:val="nil"/>
              <w:bottom w:val="nil"/>
              <w:right w:val="nil"/>
            </w:tcBorders>
            <w:shd w:val="clear" w:color="auto" w:fill="F2F2F2"/>
            <w:noWrap/>
            <w:vAlign w:val="bottom"/>
            <w:hideMark/>
          </w:tcPr>
          <w:p w14:paraId="6D95CB8E"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F2F2F2"/>
            <w:noWrap/>
            <w:vAlign w:val="bottom"/>
            <w:hideMark/>
          </w:tcPr>
          <w:p w14:paraId="26AEEDD7" w14:textId="77777777"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p>
        </w:tc>
        <w:tc>
          <w:tcPr>
            <w:tcW w:w="634" w:type="dxa"/>
            <w:tcBorders>
              <w:top w:val="nil"/>
              <w:left w:val="nil"/>
              <w:bottom w:val="nil"/>
              <w:right w:val="nil"/>
            </w:tcBorders>
            <w:shd w:val="clear" w:color="auto" w:fill="F2F2F2"/>
            <w:noWrap/>
            <w:vAlign w:val="bottom"/>
            <w:hideMark/>
          </w:tcPr>
          <w:p w14:paraId="1FE71046"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r w:rsidR="00331B4B" w:rsidRPr="00834AAA" w14:paraId="7298FF87" w14:textId="77777777" w:rsidTr="00885AD0">
        <w:trPr>
          <w:trHeight w:val="57"/>
        </w:trPr>
        <w:tc>
          <w:tcPr>
            <w:tcW w:w="1276" w:type="dxa"/>
            <w:tcBorders>
              <w:top w:val="nil"/>
              <w:left w:val="nil"/>
              <w:bottom w:val="nil"/>
              <w:right w:val="single" w:sz="4" w:space="0" w:color="auto"/>
            </w:tcBorders>
            <w:shd w:val="clear" w:color="auto" w:fill="F2F2F2"/>
            <w:vAlign w:val="bottom"/>
          </w:tcPr>
          <w:p w14:paraId="77ACADCD" w14:textId="77777777"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No</w:t>
            </w:r>
          </w:p>
        </w:tc>
        <w:tc>
          <w:tcPr>
            <w:tcW w:w="1276" w:type="dxa"/>
            <w:tcBorders>
              <w:top w:val="nil"/>
              <w:left w:val="single" w:sz="4" w:space="0" w:color="auto"/>
              <w:bottom w:val="nil"/>
              <w:right w:val="nil"/>
            </w:tcBorders>
            <w:shd w:val="clear" w:color="auto" w:fill="F2F2F2"/>
            <w:noWrap/>
            <w:vAlign w:val="bottom"/>
            <w:hideMark/>
          </w:tcPr>
          <w:p w14:paraId="36949A38"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1569/3783 (41.5)</w:t>
            </w:r>
          </w:p>
        </w:tc>
        <w:tc>
          <w:tcPr>
            <w:tcW w:w="1160" w:type="dxa"/>
            <w:tcBorders>
              <w:top w:val="nil"/>
              <w:left w:val="nil"/>
              <w:bottom w:val="nil"/>
              <w:right w:val="nil"/>
            </w:tcBorders>
            <w:shd w:val="clear" w:color="auto" w:fill="F2F2F2"/>
            <w:noWrap/>
            <w:vAlign w:val="bottom"/>
            <w:hideMark/>
          </w:tcPr>
          <w:p w14:paraId="7DED1CD9" w14:textId="0B6E25CC"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83" w:type="dxa"/>
            <w:tcBorders>
              <w:top w:val="nil"/>
              <w:left w:val="nil"/>
              <w:bottom w:val="nil"/>
              <w:right w:val="nil"/>
            </w:tcBorders>
            <w:shd w:val="clear" w:color="auto" w:fill="F2F2F2"/>
            <w:noWrap/>
            <w:vAlign w:val="bottom"/>
            <w:hideMark/>
          </w:tcPr>
          <w:p w14:paraId="0C78AE1E"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05" w:type="dxa"/>
            <w:tcBorders>
              <w:top w:val="nil"/>
              <w:left w:val="nil"/>
              <w:bottom w:val="nil"/>
              <w:right w:val="nil"/>
            </w:tcBorders>
            <w:shd w:val="clear" w:color="auto" w:fill="F2F2F2"/>
            <w:noWrap/>
            <w:vAlign w:val="bottom"/>
            <w:hideMark/>
          </w:tcPr>
          <w:p w14:paraId="0CBC5CFD" w14:textId="1BACC0C7"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8" w:type="dxa"/>
            <w:tcBorders>
              <w:top w:val="nil"/>
              <w:left w:val="nil"/>
              <w:bottom w:val="nil"/>
              <w:right w:val="single" w:sz="4" w:space="0" w:color="auto"/>
            </w:tcBorders>
            <w:shd w:val="clear" w:color="auto" w:fill="F2F2F2"/>
            <w:noWrap/>
            <w:vAlign w:val="bottom"/>
            <w:hideMark/>
          </w:tcPr>
          <w:p w14:paraId="31481035" w14:textId="0E7C8244"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75" w:type="dxa"/>
            <w:tcBorders>
              <w:top w:val="nil"/>
              <w:left w:val="single" w:sz="4" w:space="0" w:color="auto"/>
              <w:bottom w:val="nil"/>
              <w:right w:val="nil"/>
            </w:tcBorders>
            <w:shd w:val="clear" w:color="auto" w:fill="F2F2F2"/>
            <w:noWrap/>
            <w:vAlign w:val="bottom"/>
            <w:hideMark/>
          </w:tcPr>
          <w:p w14:paraId="34A280DE"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948/3765 (25.2)</w:t>
            </w:r>
          </w:p>
        </w:tc>
        <w:tc>
          <w:tcPr>
            <w:tcW w:w="1175" w:type="dxa"/>
            <w:tcBorders>
              <w:top w:val="nil"/>
              <w:left w:val="nil"/>
              <w:bottom w:val="nil"/>
              <w:right w:val="nil"/>
            </w:tcBorders>
            <w:shd w:val="clear" w:color="auto" w:fill="F2F2F2"/>
            <w:noWrap/>
            <w:vAlign w:val="bottom"/>
            <w:hideMark/>
          </w:tcPr>
          <w:p w14:paraId="5936A6A7" w14:textId="4D6C5893"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68" w:type="dxa"/>
            <w:tcBorders>
              <w:top w:val="nil"/>
              <w:left w:val="nil"/>
              <w:bottom w:val="nil"/>
              <w:right w:val="nil"/>
            </w:tcBorders>
            <w:shd w:val="clear" w:color="auto" w:fill="F2F2F2"/>
            <w:noWrap/>
            <w:vAlign w:val="bottom"/>
            <w:hideMark/>
          </w:tcPr>
          <w:p w14:paraId="20A444FD"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20" w:type="dxa"/>
            <w:tcBorders>
              <w:top w:val="nil"/>
              <w:left w:val="nil"/>
              <w:bottom w:val="nil"/>
              <w:right w:val="nil"/>
            </w:tcBorders>
            <w:shd w:val="clear" w:color="auto" w:fill="F2F2F2"/>
            <w:noWrap/>
            <w:vAlign w:val="bottom"/>
            <w:hideMark/>
          </w:tcPr>
          <w:p w14:paraId="58F75C19" w14:textId="508EE7C7"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8" w:type="dxa"/>
            <w:tcBorders>
              <w:top w:val="nil"/>
              <w:left w:val="nil"/>
              <w:bottom w:val="nil"/>
              <w:right w:val="single" w:sz="4" w:space="0" w:color="auto"/>
            </w:tcBorders>
            <w:shd w:val="clear" w:color="auto" w:fill="F2F2F2"/>
            <w:noWrap/>
            <w:vAlign w:val="bottom"/>
            <w:hideMark/>
          </w:tcPr>
          <w:p w14:paraId="24952225" w14:textId="1E71EABE"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61" w:type="dxa"/>
            <w:tcBorders>
              <w:top w:val="nil"/>
              <w:left w:val="single" w:sz="4" w:space="0" w:color="auto"/>
              <w:bottom w:val="nil"/>
              <w:right w:val="nil"/>
            </w:tcBorders>
            <w:shd w:val="clear" w:color="auto" w:fill="F2F2F2"/>
            <w:noWrap/>
            <w:vAlign w:val="bottom"/>
            <w:hideMark/>
          </w:tcPr>
          <w:p w14:paraId="084BB0F9"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525/3769 (13.9)</w:t>
            </w:r>
          </w:p>
        </w:tc>
        <w:tc>
          <w:tcPr>
            <w:tcW w:w="1189" w:type="dxa"/>
            <w:tcBorders>
              <w:top w:val="nil"/>
              <w:left w:val="nil"/>
              <w:bottom w:val="nil"/>
              <w:right w:val="nil"/>
            </w:tcBorders>
            <w:shd w:val="clear" w:color="auto" w:fill="F2F2F2"/>
            <w:noWrap/>
            <w:vAlign w:val="bottom"/>
            <w:hideMark/>
          </w:tcPr>
          <w:p w14:paraId="5AD0F787" w14:textId="155E981C"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6" w:type="dxa"/>
            <w:tcBorders>
              <w:top w:val="nil"/>
              <w:left w:val="nil"/>
              <w:bottom w:val="nil"/>
              <w:right w:val="nil"/>
            </w:tcBorders>
            <w:shd w:val="clear" w:color="auto" w:fill="F2F2F2"/>
            <w:noWrap/>
            <w:vAlign w:val="bottom"/>
            <w:hideMark/>
          </w:tcPr>
          <w:p w14:paraId="1DB4E34A"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c>
          <w:tcPr>
            <w:tcW w:w="1282" w:type="dxa"/>
            <w:tcBorders>
              <w:top w:val="nil"/>
              <w:left w:val="nil"/>
              <w:bottom w:val="nil"/>
              <w:right w:val="nil"/>
            </w:tcBorders>
            <w:shd w:val="clear" w:color="auto" w:fill="F2F2F2"/>
            <w:noWrap/>
            <w:vAlign w:val="bottom"/>
            <w:hideMark/>
          </w:tcPr>
          <w:p w14:paraId="3F806147" w14:textId="68FE2357" w:rsidR="00ED367C" w:rsidRPr="00834AAA" w:rsidRDefault="00885AD0" w:rsidP="009B23BE">
            <w:pPr>
              <w:spacing w:before="0" w:after="0" w:line="240" w:lineRule="auto"/>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1.00</w:t>
            </w:r>
          </w:p>
        </w:tc>
        <w:tc>
          <w:tcPr>
            <w:tcW w:w="634" w:type="dxa"/>
            <w:tcBorders>
              <w:top w:val="nil"/>
              <w:left w:val="nil"/>
              <w:bottom w:val="nil"/>
              <w:right w:val="nil"/>
            </w:tcBorders>
            <w:shd w:val="clear" w:color="auto" w:fill="F2F2F2"/>
            <w:noWrap/>
            <w:vAlign w:val="bottom"/>
            <w:hideMark/>
          </w:tcPr>
          <w:p w14:paraId="3B20C100"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&lt;0.001</w:t>
            </w:r>
          </w:p>
        </w:tc>
      </w:tr>
      <w:tr w:rsidR="00331B4B" w:rsidRPr="00834AAA" w14:paraId="140CA510" w14:textId="77777777" w:rsidTr="00885AD0">
        <w:trPr>
          <w:trHeight w:val="57"/>
        </w:trPr>
        <w:tc>
          <w:tcPr>
            <w:tcW w:w="1276" w:type="dxa"/>
            <w:tcBorders>
              <w:top w:val="nil"/>
              <w:left w:val="nil"/>
              <w:bottom w:val="nil"/>
              <w:right w:val="single" w:sz="4" w:space="0" w:color="auto"/>
            </w:tcBorders>
            <w:shd w:val="clear" w:color="auto" w:fill="F2F2F2"/>
            <w:vAlign w:val="bottom"/>
          </w:tcPr>
          <w:p w14:paraId="728FD8C6" w14:textId="77777777" w:rsidR="00ED367C" w:rsidRPr="00834AAA" w:rsidRDefault="00ED367C" w:rsidP="009B23BE">
            <w:pPr>
              <w:spacing w:before="0" w:after="0" w:line="240" w:lineRule="auto"/>
              <w:jc w:val="right"/>
              <w:rPr>
                <w:rFonts w:ascii="Calibri" w:eastAsia="Times New Roman" w:hAnsi="Calibri" w:cs="Times New Roman"/>
                <w:color w:val="000000"/>
                <w:sz w:val="13"/>
                <w:szCs w:val="13"/>
                <w:lang w:eastAsia="en-GB"/>
              </w:rPr>
            </w:pPr>
            <w:r w:rsidRPr="00834AAA">
              <w:rPr>
                <w:rFonts w:ascii="Calibri" w:eastAsia="Times New Roman" w:hAnsi="Calibri" w:cs="Times New Roman"/>
                <w:color w:val="000000"/>
                <w:sz w:val="13"/>
                <w:szCs w:val="13"/>
                <w:lang w:eastAsia="en-GB"/>
              </w:rPr>
              <w:t>Yes</w:t>
            </w:r>
          </w:p>
        </w:tc>
        <w:tc>
          <w:tcPr>
            <w:tcW w:w="1276" w:type="dxa"/>
            <w:tcBorders>
              <w:top w:val="nil"/>
              <w:left w:val="single" w:sz="4" w:space="0" w:color="auto"/>
              <w:bottom w:val="nil"/>
              <w:right w:val="nil"/>
            </w:tcBorders>
            <w:shd w:val="clear" w:color="auto" w:fill="F2F2F2"/>
            <w:noWrap/>
            <w:vAlign w:val="bottom"/>
            <w:hideMark/>
          </w:tcPr>
          <w:p w14:paraId="137C1227"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936/1987 (47.1)</w:t>
            </w:r>
          </w:p>
        </w:tc>
        <w:tc>
          <w:tcPr>
            <w:tcW w:w="1160" w:type="dxa"/>
            <w:tcBorders>
              <w:top w:val="nil"/>
              <w:left w:val="nil"/>
              <w:bottom w:val="nil"/>
              <w:right w:val="nil"/>
            </w:tcBorders>
            <w:shd w:val="clear" w:color="auto" w:fill="F2F2F2"/>
            <w:noWrap/>
            <w:vAlign w:val="bottom"/>
            <w:hideMark/>
          </w:tcPr>
          <w:p w14:paraId="19D11D24" w14:textId="789EB125"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1.26 (1.13</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1.4</w:t>
            </w:r>
            <w:r w:rsidR="00617E90">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w:t>
            </w:r>
          </w:p>
        </w:tc>
        <w:tc>
          <w:tcPr>
            <w:tcW w:w="683" w:type="dxa"/>
            <w:tcBorders>
              <w:top w:val="nil"/>
              <w:left w:val="nil"/>
              <w:bottom w:val="nil"/>
              <w:right w:val="nil"/>
            </w:tcBorders>
            <w:shd w:val="clear" w:color="auto" w:fill="F2F2F2"/>
            <w:noWrap/>
            <w:vAlign w:val="bottom"/>
            <w:hideMark/>
          </w:tcPr>
          <w:p w14:paraId="06579FAF"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&lt;0.001</w:t>
            </w:r>
          </w:p>
        </w:tc>
        <w:tc>
          <w:tcPr>
            <w:tcW w:w="1205" w:type="dxa"/>
            <w:tcBorders>
              <w:top w:val="nil"/>
              <w:left w:val="nil"/>
              <w:bottom w:val="nil"/>
              <w:right w:val="nil"/>
            </w:tcBorders>
            <w:shd w:val="clear" w:color="auto" w:fill="F2F2F2"/>
            <w:noWrap/>
            <w:vAlign w:val="bottom"/>
            <w:hideMark/>
          </w:tcPr>
          <w:p w14:paraId="6A95B97D" w14:textId="7AFED1E6"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1.24 (1.11</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1.39)</w:t>
            </w:r>
          </w:p>
        </w:tc>
        <w:tc>
          <w:tcPr>
            <w:tcW w:w="638" w:type="dxa"/>
            <w:tcBorders>
              <w:top w:val="nil"/>
              <w:left w:val="nil"/>
              <w:bottom w:val="nil"/>
              <w:right w:val="single" w:sz="4" w:space="0" w:color="auto"/>
            </w:tcBorders>
            <w:shd w:val="clear" w:color="auto" w:fill="F2F2F2"/>
            <w:noWrap/>
            <w:vAlign w:val="bottom"/>
            <w:hideMark/>
          </w:tcPr>
          <w:p w14:paraId="0CF9E41A" w14:textId="599E2166" w:rsidR="00ED367C" w:rsidRPr="00834AAA" w:rsidRDefault="006D6422"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&lt;0.001</w:t>
            </w:r>
          </w:p>
        </w:tc>
        <w:tc>
          <w:tcPr>
            <w:tcW w:w="1275" w:type="dxa"/>
            <w:tcBorders>
              <w:top w:val="nil"/>
              <w:left w:val="single" w:sz="4" w:space="0" w:color="auto"/>
              <w:bottom w:val="nil"/>
              <w:right w:val="nil"/>
            </w:tcBorders>
            <w:shd w:val="clear" w:color="auto" w:fill="F2F2F2"/>
            <w:noWrap/>
            <w:vAlign w:val="bottom"/>
            <w:hideMark/>
          </w:tcPr>
          <w:p w14:paraId="69B07E4D"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521/1990 (26.2)</w:t>
            </w:r>
          </w:p>
        </w:tc>
        <w:tc>
          <w:tcPr>
            <w:tcW w:w="1175" w:type="dxa"/>
            <w:tcBorders>
              <w:top w:val="nil"/>
              <w:left w:val="nil"/>
              <w:bottom w:val="nil"/>
              <w:right w:val="nil"/>
            </w:tcBorders>
            <w:shd w:val="clear" w:color="auto" w:fill="F2F2F2"/>
            <w:noWrap/>
            <w:vAlign w:val="bottom"/>
            <w:hideMark/>
          </w:tcPr>
          <w:p w14:paraId="32EA4D67" w14:textId="1CC74F54"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1.05 (0.93</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1.19)</w:t>
            </w:r>
          </w:p>
        </w:tc>
        <w:tc>
          <w:tcPr>
            <w:tcW w:w="668" w:type="dxa"/>
            <w:tcBorders>
              <w:top w:val="nil"/>
              <w:left w:val="nil"/>
              <w:bottom w:val="nil"/>
              <w:right w:val="nil"/>
            </w:tcBorders>
            <w:shd w:val="clear" w:color="auto" w:fill="F2F2F2"/>
            <w:noWrap/>
            <w:vAlign w:val="bottom"/>
            <w:hideMark/>
          </w:tcPr>
          <w:p w14:paraId="61A844CE"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0.408</w:t>
            </w:r>
          </w:p>
        </w:tc>
        <w:tc>
          <w:tcPr>
            <w:tcW w:w="1220" w:type="dxa"/>
            <w:tcBorders>
              <w:top w:val="nil"/>
              <w:left w:val="nil"/>
              <w:bottom w:val="nil"/>
              <w:right w:val="nil"/>
            </w:tcBorders>
            <w:shd w:val="clear" w:color="auto" w:fill="F2F2F2"/>
            <w:noWrap/>
            <w:vAlign w:val="bottom"/>
            <w:hideMark/>
          </w:tcPr>
          <w:p w14:paraId="0F646B41" w14:textId="253B1D36"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1.1</w:t>
            </w:r>
            <w:r w:rsidR="001E14F8">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 xml:space="preserve"> (0.96</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1.25)</w:t>
            </w:r>
          </w:p>
        </w:tc>
        <w:tc>
          <w:tcPr>
            <w:tcW w:w="638" w:type="dxa"/>
            <w:tcBorders>
              <w:top w:val="nil"/>
              <w:left w:val="nil"/>
              <w:bottom w:val="nil"/>
              <w:right w:val="single" w:sz="4" w:space="0" w:color="auto"/>
            </w:tcBorders>
            <w:shd w:val="clear" w:color="auto" w:fill="F2F2F2"/>
            <w:noWrap/>
            <w:vAlign w:val="bottom"/>
            <w:hideMark/>
          </w:tcPr>
          <w:p w14:paraId="1A735CFB" w14:textId="13474FFF" w:rsidR="00ED367C" w:rsidRPr="00834AAA" w:rsidRDefault="006D6422"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0.169</w:t>
            </w:r>
          </w:p>
        </w:tc>
        <w:tc>
          <w:tcPr>
            <w:tcW w:w="1261" w:type="dxa"/>
            <w:tcBorders>
              <w:top w:val="nil"/>
              <w:left w:val="single" w:sz="4" w:space="0" w:color="auto"/>
              <w:bottom w:val="nil"/>
              <w:right w:val="nil"/>
            </w:tcBorders>
            <w:shd w:val="clear" w:color="auto" w:fill="F2F2F2"/>
            <w:noWrap/>
            <w:vAlign w:val="bottom"/>
            <w:hideMark/>
          </w:tcPr>
          <w:p w14:paraId="56C2BDC8" w14:textId="77777777" w:rsidR="00ED367C" w:rsidRPr="00834AAA" w:rsidRDefault="00ED367C" w:rsidP="00187BA8">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578/1986 (29.1)</w:t>
            </w:r>
          </w:p>
        </w:tc>
        <w:tc>
          <w:tcPr>
            <w:tcW w:w="1189" w:type="dxa"/>
            <w:tcBorders>
              <w:top w:val="nil"/>
              <w:left w:val="nil"/>
              <w:bottom w:val="nil"/>
              <w:right w:val="nil"/>
            </w:tcBorders>
            <w:shd w:val="clear" w:color="auto" w:fill="F2F2F2"/>
            <w:noWrap/>
            <w:vAlign w:val="bottom"/>
            <w:hideMark/>
          </w:tcPr>
          <w:p w14:paraId="07F78F21" w14:textId="67DC7655"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2.54 (2.22</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2.9</w:t>
            </w:r>
            <w:r w:rsidR="00B10017">
              <w:rPr>
                <w:rFonts w:ascii="Calibri" w:eastAsia="Times New Roman" w:hAnsi="Calibri" w:cs="Times New Roman"/>
                <w:color w:val="000000"/>
                <w:sz w:val="14"/>
                <w:szCs w:val="14"/>
                <w:lang w:eastAsia="en-GB"/>
              </w:rPr>
              <w:t>0</w:t>
            </w:r>
            <w:r w:rsidRPr="00834AAA">
              <w:rPr>
                <w:rFonts w:ascii="Calibri" w:eastAsia="Times New Roman" w:hAnsi="Calibri" w:cs="Times New Roman"/>
                <w:color w:val="000000"/>
                <w:sz w:val="14"/>
                <w:szCs w:val="14"/>
                <w:lang w:eastAsia="en-GB"/>
              </w:rPr>
              <w:t>)</w:t>
            </w:r>
          </w:p>
        </w:tc>
        <w:tc>
          <w:tcPr>
            <w:tcW w:w="636" w:type="dxa"/>
            <w:tcBorders>
              <w:top w:val="nil"/>
              <w:left w:val="nil"/>
              <w:bottom w:val="nil"/>
              <w:right w:val="nil"/>
            </w:tcBorders>
            <w:shd w:val="clear" w:color="auto" w:fill="F2F2F2"/>
            <w:noWrap/>
            <w:vAlign w:val="bottom"/>
            <w:hideMark/>
          </w:tcPr>
          <w:p w14:paraId="3F3AA6ED"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&lt;0.001</w:t>
            </w:r>
          </w:p>
        </w:tc>
        <w:tc>
          <w:tcPr>
            <w:tcW w:w="1282" w:type="dxa"/>
            <w:tcBorders>
              <w:top w:val="nil"/>
              <w:left w:val="nil"/>
              <w:bottom w:val="nil"/>
              <w:right w:val="nil"/>
            </w:tcBorders>
            <w:shd w:val="clear" w:color="auto" w:fill="F2F2F2"/>
            <w:noWrap/>
            <w:vAlign w:val="bottom"/>
            <w:hideMark/>
          </w:tcPr>
          <w:p w14:paraId="4822A5F1" w14:textId="0FB4934B" w:rsidR="00ED367C" w:rsidRPr="00834AAA" w:rsidRDefault="00ED367C" w:rsidP="009B23BE">
            <w:pPr>
              <w:spacing w:before="0" w:after="0" w:line="240" w:lineRule="auto"/>
              <w:rPr>
                <w:rFonts w:ascii="Calibri" w:eastAsia="Times New Roman" w:hAnsi="Calibri" w:cs="Times New Roman"/>
                <w:color w:val="000000"/>
                <w:sz w:val="14"/>
                <w:szCs w:val="14"/>
                <w:lang w:eastAsia="en-GB"/>
              </w:rPr>
            </w:pPr>
            <w:r w:rsidRPr="00834AAA">
              <w:rPr>
                <w:rFonts w:ascii="Calibri" w:eastAsia="Times New Roman" w:hAnsi="Calibri" w:cs="Times New Roman"/>
                <w:color w:val="000000"/>
                <w:sz w:val="14"/>
                <w:szCs w:val="14"/>
                <w:lang w:eastAsia="en-GB"/>
              </w:rPr>
              <w:t>2.53 (2.19</w:t>
            </w:r>
            <w:r w:rsidR="00885AD0">
              <w:rPr>
                <w:rFonts w:ascii="Calibri" w:eastAsia="Times New Roman" w:hAnsi="Calibri" w:cs="Times New Roman"/>
                <w:color w:val="000000"/>
                <w:sz w:val="14"/>
                <w:szCs w:val="14"/>
                <w:lang w:eastAsia="en-GB"/>
              </w:rPr>
              <w:t>–</w:t>
            </w:r>
            <w:r w:rsidRPr="00834AAA">
              <w:rPr>
                <w:rFonts w:ascii="Calibri" w:eastAsia="Times New Roman" w:hAnsi="Calibri" w:cs="Times New Roman"/>
                <w:color w:val="000000"/>
                <w:sz w:val="14"/>
                <w:szCs w:val="14"/>
                <w:lang w:eastAsia="en-GB"/>
              </w:rPr>
              <w:t>2.91)</w:t>
            </w:r>
          </w:p>
        </w:tc>
        <w:tc>
          <w:tcPr>
            <w:tcW w:w="634" w:type="dxa"/>
            <w:tcBorders>
              <w:top w:val="nil"/>
              <w:left w:val="nil"/>
              <w:bottom w:val="nil"/>
              <w:right w:val="nil"/>
            </w:tcBorders>
            <w:shd w:val="clear" w:color="auto" w:fill="F2F2F2"/>
            <w:noWrap/>
            <w:vAlign w:val="bottom"/>
            <w:hideMark/>
          </w:tcPr>
          <w:p w14:paraId="7444F234" w14:textId="77777777" w:rsidR="00ED367C" w:rsidRPr="00834AAA" w:rsidRDefault="00ED367C" w:rsidP="009B23BE">
            <w:pPr>
              <w:spacing w:before="0" w:after="0" w:line="240" w:lineRule="auto"/>
              <w:jc w:val="right"/>
              <w:rPr>
                <w:rFonts w:ascii="Calibri" w:eastAsia="Times New Roman" w:hAnsi="Calibri" w:cs="Times New Roman"/>
                <w:color w:val="000000"/>
                <w:sz w:val="14"/>
                <w:szCs w:val="14"/>
                <w:lang w:eastAsia="en-GB"/>
              </w:rPr>
            </w:pPr>
          </w:p>
        </w:tc>
      </w:tr>
    </w:tbl>
    <w:p w14:paraId="44250724" w14:textId="77777777" w:rsidR="00ED367C" w:rsidRPr="0091742C" w:rsidRDefault="00ED367C" w:rsidP="00542872">
      <w:pPr>
        <w:spacing w:after="200" w:line="276" w:lineRule="auto"/>
        <w:rPr>
          <w:rFonts w:ascii="Calibri" w:eastAsia="Times New Roman" w:hAnsi="Calibri" w:cs="Times New Roman"/>
          <w:sz w:val="20"/>
          <w:szCs w:val="20"/>
          <w:lang w:eastAsia="en-GB"/>
        </w:rPr>
      </w:pPr>
    </w:p>
    <w:p w14:paraId="372AE392" w14:textId="4CCCE468" w:rsidR="00206AF7" w:rsidRDefault="00206AF7" w:rsidP="00ED367C">
      <w:pPr>
        <w:spacing w:after="0" w:line="240" w:lineRule="auto"/>
      </w:pPr>
    </w:p>
    <w:sectPr w:rsidR="00206AF7" w:rsidSect="00CC7D4F">
      <w:type w:val="continuous"/>
      <w:pgSz w:w="16839" w:h="11907"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A342E" w14:textId="77777777" w:rsidR="00331B4B" w:rsidRDefault="00331B4B">
      <w:pPr>
        <w:spacing w:after="0" w:line="240" w:lineRule="auto"/>
      </w:pPr>
      <w:r>
        <w:separator/>
      </w:r>
    </w:p>
  </w:endnote>
  <w:endnote w:type="continuationSeparator" w:id="0">
    <w:p w14:paraId="2D225ADD" w14:textId="77777777" w:rsidR="00331B4B" w:rsidRDefault="0033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400824"/>
      <w:docPartObj>
        <w:docPartGallery w:val="Page Numbers (Bottom of Page)"/>
        <w:docPartUnique/>
      </w:docPartObj>
    </w:sdtPr>
    <w:sdtEndPr>
      <w:rPr>
        <w:noProof/>
      </w:rPr>
    </w:sdtEndPr>
    <w:sdtContent>
      <w:p w14:paraId="69A26B0E" w14:textId="77777777" w:rsidR="00331B4B" w:rsidRDefault="00331B4B">
        <w:pPr>
          <w:pStyle w:val="Footer"/>
          <w:jc w:val="right"/>
        </w:pPr>
        <w:r>
          <w:fldChar w:fldCharType="begin"/>
        </w:r>
        <w:r>
          <w:instrText xml:space="preserve"> PAGE   \* MERGEFORMAT </w:instrText>
        </w:r>
        <w:r>
          <w:fldChar w:fldCharType="separate"/>
        </w:r>
        <w:r w:rsidR="0091643E">
          <w:rPr>
            <w:noProof/>
          </w:rPr>
          <w:t>16</w:t>
        </w:r>
        <w:r>
          <w:rPr>
            <w:noProof/>
          </w:rPr>
          <w:fldChar w:fldCharType="end"/>
        </w:r>
      </w:p>
    </w:sdtContent>
  </w:sdt>
  <w:p w14:paraId="16F1DED1" w14:textId="77777777" w:rsidR="00331B4B" w:rsidRDefault="00331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4D741" w14:textId="77777777" w:rsidR="00331B4B" w:rsidRDefault="00331B4B">
      <w:pPr>
        <w:spacing w:after="0" w:line="240" w:lineRule="auto"/>
      </w:pPr>
      <w:r>
        <w:separator/>
      </w:r>
    </w:p>
  </w:footnote>
  <w:footnote w:type="continuationSeparator" w:id="0">
    <w:p w14:paraId="5B3AF493" w14:textId="77777777" w:rsidR="00331B4B" w:rsidRDefault="00331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44F15"/>
    <w:multiLevelType w:val="multilevel"/>
    <w:tmpl w:val="52BA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47BB3"/>
    <w:multiLevelType w:val="multilevel"/>
    <w:tmpl w:val="9320C5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41273334"/>
    <w:multiLevelType w:val="multilevel"/>
    <w:tmpl w:val="22BAA6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4B8864DB"/>
    <w:multiLevelType w:val="multilevel"/>
    <w:tmpl w:val="7BF01E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7812E6A"/>
    <w:multiLevelType w:val="hybridMultilevel"/>
    <w:tmpl w:val="183C0F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rient Pharm Exp Me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s>
  <w:rsids>
    <w:rsidRoot w:val="002F5628"/>
    <w:rsid w:val="00005531"/>
    <w:rsid w:val="00006056"/>
    <w:rsid w:val="00007F04"/>
    <w:rsid w:val="00030E4A"/>
    <w:rsid w:val="00036B79"/>
    <w:rsid w:val="00050596"/>
    <w:rsid w:val="00080092"/>
    <w:rsid w:val="000948DA"/>
    <w:rsid w:val="000C3E1F"/>
    <w:rsid w:val="000D3A91"/>
    <w:rsid w:val="000F46DD"/>
    <w:rsid w:val="001133E3"/>
    <w:rsid w:val="00132DB4"/>
    <w:rsid w:val="001367EE"/>
    <w:rsid w:val="00137505"/>
    <w:rsid w:val="00141456"/>
    <w:rsid w:val="00155854"/>
    <w:rsid w:val="001610EC"/>
    <w:rsid w:val="001703EC"/>
    <w:rsid w:val="00170F73"/>
    <w:rsid w:val="00172B00"/>
    <w:rsid w:val="00180B1A"/>
    <w:rsid w:val="00180EC6"/>
    <w:rsid w:val="00187BA8"/>
    <w:rsid w:val="00192524"/>
    <w:rsid w:val="001A6F81"/>
    <w:rsid w:val="001B0DCD"/>
    <w:rsid w:val="001C4715"/>
    <w:rsid w:val="001D1A31"/>
    <w:rsid w:val="001E14F8"/>
    <w:rsid w:val="00206AF7"/>
    <w:rsid w:val="0021092A"/>
    <w:rsid w:val="002152F0"/>
    <w:rsid w:val="0023668E"/>
    <w:rsid w:val="00256183"/>
    <w:rsid w:val="00271D83"/>
    <w:rsid w:val="00271E52"/>
    <w:rsid w:val="00292369"/>
    <w:rsid w:val="002A36F9"/>
    <w:rsid w:val="002A6F00"/>
    <w:rsid w:val="002D21C0"/>
    <w:rsid w:val="002D26A5"/>
    <w:rsid w:val="002D7D95"/>
    <w:rsid w:val="002E714B"/>
    <w:rsid w:val="002F279D"/>
    <w:rsid w:val="002F2ACC"/>
    <w:rsid w:val="002F385B"/>
    <w:rsid w:val="002F5628"/>
    <w:rsid w:val="003008ED"/>
    <w:rsid w:val="00303644"/>
    <w:rsid w:val="003049E5"/>
    <w:rsid w:val="00331B4B"/>
    <w:rsid w:val="0033292C"/>
    <w:rsid w:val="00332960"/>
    <w:rsid w:val="003347FD"/>
    <w:rsid w:val="00337212"/>
    <w:rsid w:val="003409BA"/>
    <w:rsid w:val="00354C11"/>
    <w:rsid w:val="0037154D"/>
    <w:rsid w:val="00373D47"/>
    <w:rsid w:val="00376AC0"/>
    <w:rsid w:val="00376C51"/>
    <w:rsid w:val="0038420C"/>
    <w:rsid w:val="003A3CF4"/>
    <w:rsid w:val="003A78E9"/>
    <w:rsid w:val="003B5437"/>
    <w:rsid w:val="003E1E30"/>
    <w:rsid w:val="003E2D07"/>
    <w:rsid w:val="003E3B96"/>
    <w:rsid w:val="003E5E82"/>
    <w:rsid w:val="003E7C9B"/>
    <w:rsid w:val="003F0681"/>
    <w:rsid w:val="003F1589"/>
    <w:rsid w:val="003F1730"/>
    <w:rsid w:val="004210F6"/>
    <w:rsid w:val="00434711"/>
    <w:rsid w:val="004429B2"/>
    <w:rsid w:val="00443347"/>
    <w:rsid w:val="004435C2"/>
    <w:rsid w:val="00456C9D"/>
    <w:rsid w:val="00463C48"/>
    <w:rsid w:val="00464E2B"/>
    <w:rsid w:val="00473D65"/>
    <w:rsid w:val="0047760B"/>
    <w:rsid w:val="00487287"/>
    <w:rsid w:val="004A2B2F"/>
    <w:rsid w:val="004B4E2C"/>
    <w:rsid w:val="004C6F53"/>
    <w:rsid w:val="004D16B5"/>
    <w:rsid w:val="004D6AAF"/>
    <w:rsid w:val="004F7B3B"/>
    <w:rsid w:val="0050457B"/>
    <w:rsid w:val="00527961"/>
    <w:rsid w:val="00535115"/>
    <w:rsid w:val="00542872"/>
    <w:rsid w:val="00555AC4"/>
    <w:rsid w:val="00561B23"/>
    <w:rsid w:val="0056708F"/>
    <w:rsid w:val="00581002"/>
    <w:rsid w:val="00587C9E"/>
    <w:rsid w:val="005E53C6"/>
    <w:rsid w:val="006048D2"/>
    <w:rsid w:val="0061029A"/>
    <w:rsid w:val="0061565A"/>
    <w:rsid w:val="00617E90"/>
    <w:rsid w:val="00633675"/>
    <w:rsid w:val="00661D28"/>
    <w:rsid w:val="00666A16"/>
    <w:rsid w:val="00675528"/>
    <w:rsid w:val="0068111A"/>
    <w:rsid w:val="006A0787"/>
    <w:rsid w:val="006B1976"/>
    <w:rsid w:val="006D25B3"/>
    <w:rsid w:val="006D6164"/>
    <w:rsid w:val="006D6422"/>
    <w:rsid w:val="006E1B0B"/>
    <w:rsid w:val="006F348B"/>
    <w:rsid w:val="00711B67"/>
    <w:rsid w:val="00714B5F"/>
    <w:rsid w:val="00733A0F"/>
    <w:rsid w:val="0074394A"/>
    <w:rsid w:val="00743E42"/>
    <w:rsid w:val="007530B3"/>
    <w:rsid w:val="00755861"/>
    <w:rsid w:val="007654EB"/>
    <w:rsid w:val="007962A5"/>
    <w:rsid w:val="007A1B87"/>
    <w:rsid w:val="007A2074"/>
    <w:rsid w:val="007A5569"/>
    <w:rsid w:val="007A55D5"/>
    <w:rsid w:val="007A7129"/>
    <w:rsid w:val="007B177F"/>
    <w:rsid w:val="007B7007"/>
    <w:rsid w:val="007E091B"/>
    <w:rsid w:val="007E6EF7"/>
    <w:rsid w:val="007E7A58"/>
    <w:rsid w:val="008070D8"/>
    <w:rsid w:val="00812D3B"/>
    <w:rsid w:val="0081303F"/>
    <w:rsid w:val="00831DA1"/>
    <w:rsid w:val="008347A9"/>
    <w:rsid w:val="00865A8A"/>
    <w:rsid w:val="00867A00"/>
    <w:rsid w:val="0087558F"/>
    <w:rsid w:val="00876975"/>
    <w:rsid w:val="00881A1F"/>
    <w:rsid w:val="00882825"/>
    <w:rsid w:val="00885AD0"/>
    <w:rsid w:val="00896315"/>
    <w:rsid w:val="008968B6"/>
    <w:rsid w:val="008A54CA"/>
    <w:rsid w:val="008C44E0"/>
    <w:rsid w:val="008C5CED"/>
    <w:rsid w:val="008C6EC2"/>
    <w:rsid w:val="008D4FAF"/>
    <w:rsid w:val="008E4DDB"/>
    <w:rsid w:val="008F01B2"/>
    <w:rsid w:val="009032D7"/>
    <w:rsid w:val="00912E96"/>
    <w:rsid w:val="0091643E"/>
    <w:rsid w:val="0091742C"/>
    <w:rsid w:val="009220C1"/>
    <w:rsid w:val="00926B96"/>
    <w:rsid w:val="0093674E"/>
    <w:rsid w:val="009376D0"/>
    <w:rsid w:val="0094026D"/>
    <w:rsid w:val="00944FB0"/>
    <w:rsid w:val="00964F99"/>
    <w:rsid w:val="009669AF"/>
    <w:rsid w:val="00967D94"/>
    <w:rsid w:val="00997F13"/>
    <w:rsid w:val="009B23BE"/>
    <w:rsid w:val="009C0BF9"/>
    <w:rsid w:val="009C2DAD"/>
    <w:rsid w:val="009D1716"/>
    <w:rsid w:val="009E60EA"/>
    <w:rsid w:val="00A02C66"/>
    <w:rsid w:val="00A174D5"/>
    <w:rsid w:val="00A30EDD"/>
    <w:rsid w:val="00A47FF4"/>
    <w:rsid w:val="00A6381D"/>
    <w:rsid w:val="00A929C1"/>
    <w:rsid w:val="00A93D5A"/>
    <w:rsid w:val="00A959A4"/>
    <w:rsid w:val="00A96AF4"/>
    <w:rsid w:val="00A9797E"/>
    <w:rsid w:val="00AA0417"/>
    <w:rsid w:val="00AB5722"/>
    <w:rsid w:val="00AD6EC1"/>
    <w:rsid w:val="00AE10D2"/>
    <w:rsid w:val="00AF2583"/>
    <w:rsid w:val="00B00EBA"/>
    <w:rsid w:val="00B0200B"/>
    <w:rsid w:val="00B07970"/>
    <w:rsid w:val="00B10017"/>
    <w:rsid w:val="00B11D0F"/>
    <w:rsid w:val="00B15F3D"/>
    <w:rsid w:val="00B175CF"/>
    <w:rsid w:val="00B60E2D"/>
    <w:rsid w:val="00B615A1"/>
    <w:rsid w:val="00B74ED4"/>
    <w:rsid w:val="00B81750"/>
    <w:rsid w:val="00BA74E6"/>
    <w:rsid w:val="00BB4649"/>
    <w:rsid w:val="00BD0F8C"/>
    <w:rsid w:val="00BD70FA"/>
    <w:rsid w:val="00BE61E3"/>
    <w:rsid w:val="00C019E0"/>
    <w:rsid w:val="00C04D53"/>
    <w:rsid w:val="00C11164"/>
    <w:rsid w:val="00C21D58"/>
    <w:rsid w:val="00C304CC"/>
    <w:rsid w:val="00C37068"/>
    <w:rsid w:val="00C47CA8"/>
    <w:rsid w:val="00C573CD"/>
    <w:rsid w:val="00C62E7B"/>
    <w:rsid w:val="00C630BF"/>
    <w:rsid w:val="00C72CBF"/>
    <w:rsid w:val="00C80970"/>
    <w:rsid w:val="00C84812"/>
    <w:rsid w:val="00CB47E9"/>
    <w:rsid w:val="00CC7A05"/>
    <w:rsid w:val="00CC7D4F"/>
    <w:rsid w:val="00CD54B4"/>
    <w:rsid w:val="00D30520"/>
    <w:rsid w:val="00D42D4B"/>
    <w:rsid w:val="00D55A7A"/>
    <w:rsid w:val="00D562B5"/>
    <w:rsid w:val="00D760E7"/>
    <w:rsid w:val="00D936AE"/>
    <w:rsid w:val="00DC6617"/>
    <w:rsid w:val="00DC7071"/>
    <w:rsid w:val="00DD49F9"/>
    <w:rsid w:val="00E0474C"/>
    <w:rsid w:val="00E10276"/>
    <w:rsid w:val="00E107B7"/>
    <w:rsid w:val="00E12DB9"/>
    <w:rsid w:val="00E21217"/>
    <w:rsid w:val="00E21323"/>
    <w:rsid w:val="00E217BA"/>
    <w:rsid w:val="00E2689D"/>
    <w:rsid w:val="00E510F6"/>
    <w:rsid w:val="00E53EC5"/>
    <w:rsid w:val="00E56BAE"/>
    <w:rsid w:val="00E60399"/>
    <w:rsid w:val="00E62B4D"/>
    <w:rsid w:val="00E702EF"/>
    <w:rsid w:val="00E90D92"/>
    <w:rsid w:val="00EA068F"/>
    <w:rsid w:val="00EA38DC"/>
    <w:rsid w:val="00EB0AEA"/>
    <w:rsid w:val="00EB7DBC"/>
    <w:rsid w:val="00EC03A2"/>
    <w:rsid w:val="00EC0484"/>
    <w:rsid w:val="00EC6B6D"/>
    <w:rsid w:val="00ED367C"/>
    <w:rsid w:val="00ED619D"/>
    <w:rsid w:val="00EF7759"/>
    <w:rsid w:val="00F24E8C"/>
    <w:rsid w:val="00F319E6"/>
    <w:rsid w:val="00F50FA2"/>
    <w:rsid w:val="00F92DA6"/>
    <w:rsid w:val="00FB6165"/>
    <w:rsid w:val="00FC7B2C"/>
    <w:rsid w:val="00FD5549"/>
    <w:rsid w:val="00FF5F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67BFA8"/>
  <w15:docId w15:val="{F2EADBEC-D2F6-4901-A09F-CF5EDB79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9E0"/>
    <w:pPr>
      <w:spacing w:before="120" w:after="240" w:line="360" w:lineRule="auto"/>
    </w:pPr>
  </w:style>
  <w:style w:type="paragraph" w:styleId="Heading1">
    <w:name w:val="heading 1"/>
    <w:basedOn w:val="Normal1"/>
    <w:next w:val="Normal1"/>
    <w:link w:val="Heading1Char"/>
    <w:rsid w:val="002F5628"/>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link w:val="Heading2Char"/>
    <w:rsid w:val="002F5628"/>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link w:val="Heading3Char"/>
    <w:rsid w:val="002F5628"/>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link w:val="Heading4Char"/>
    <w:rsid w:val="002F5628"/>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2F5628"/>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2F5628"/>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5628"/>
    <w:rPr>
      <w:rFonts w:ascii="Trebuchet MS" w:eastAsia="Trebuchet MS" w:hAnsi="Trebuchet MS" w:cs="Trebuchet MS"/>
      <w:color w:val="000000"/>
      <w:sz w:val="32"/>
      <w:lang w:eastAsia="en-GB"/>
    </w:rPr>
  </w:style>
  <w:style w:type="character" w:customStyle="1" w:styleId="Heading2Char">
    <w:name w:val="Heading 2 Char"/>
    <w:basedOn w:val="DefaultParagraphFont"/>
    <w:link w:val="Heading2"/>
    <w:rsid w:val="002F5628"/>
    <w:rPr>
      <w:rFonts w:ascii="Trebuchet MS" w:eastAsia="Trebuchet MS" w:hAnsi="Trebuchet MS" w:cs="Trebuchet MS"/>
      <w:b/>
      <w:color w:val="000000"/>
      <w:sz w:val="26"/>
      <w:lang w:eastAsia="en-GB"/>
    </w:rPr>
  </w:style>
  <w:style w:type="character" w:customStyle="1" w:styleId="Heading3Char">
    <w:name w:val="Heading 3 Char"/>
    <w:basedOn w:val="DefaultParagraphFont"/>
    <w:link w:val="Heading3"/>
    <w:rsid w:val="002F5628"/>
    <w:rPr>
      <w:rFonts w:ascii="Trebuchet MS" w:eastAsia="Trebuchet MS" w:hAnsi="Trebuchet MS" w:cs="Trebuchet MS"/>
      <w:b/>
      <w:color w:val="666666"/>
      <w:sz w:val="24"/>
      <w:lang w:eastAsia="en-GB"/>
    </w:rPr>
  </w:style>
  <w:style w:type="character" w:customStyle="1" w:styleId="Heading4Char">
    <w:name w:val="Heading 4 Char"/>
    <w:basedOn w:val="DefaultParagraphFont"/>
    <w:link w:val="Heading4"/>
    <w:rsid w:val="002F5628"/>
    <w:rPr>
      <w:rFonts w:ascii="Trebuchet MS" w:eastAsia="Trebuchet MS" w:hAnsi="Trebuchet MS" w:cs="Trebuchet MS"/>
      <w:color w:val="666666"/>
      <w:u w:val="single"/>
      <w:lang w:eastAsia="en-GB"/>
    </w:rPr>
  </w:style>
  <w:style w:type="character" w:customStyle="1" w:styleId="Heading5Char">
    <w:name w:val="Heading 5 Char"/>
    <w:basedOn w:val="DefaultParagraphFont"/>
    <w:link w:val="Heading5"/>
    <w:rsid w:val="002F5628"/>
    <w:rPr>
      <w:rFonts w:ascii="Trebuchet MS" w:eastAsia="Trebuchet MS" w:hAnsi="Trebuchet MS" w:cs="Trebuchet MS"/>
      <w:color w:val="666666"/>
      <w:lang w:eastAsia="en-GB"/>
    </w:rPr>
  </w:style>
  <w:style w:type="character" w:customStyle="1" w:styleId="Heading6Char">
    <w:name w:val="Heading 6 Char"/>
    <w:basedOn w:val="DefaultParagraphFont"/>
    <w:link w:val="Heading6"/>
    <w:rsid w:val="002F5628"/>
    <w:rPr>
      <w:rFonts w:ascii="Trebuchet MS" w:eastAsia="Trebuchet MS" w:hAnsi="Trebuchet MS" w:cs="Trebuchet MS"/>
      <w:i/>
      <w:color w:val="666666"/>
      <w:lang w:eastAsia="en-GB"/>
    </w:rPr>
  </w:style>
  <w:style w:type="numbering" w:customStyle="1" w:styleId="NoList1">
    <w:name w:val="No List1"/>
    <w:next w:val="NoList"/>
    <w:uiPriority w:val="99"/>
    <w:semiHidden/>
    <w:unhideWhenUsed/>
    <w:rsid w:val="002F5628"/>
  </w:style>
  <w:style w:type="paragraph" w:customStyle="1" w:styleId="Normal1">
    <w:name w:val="Normal1"/>
    <w:rsid w:val="002F5628"/>
    <w:pPr>
      <w:spacing w:after="0" w:line="276" w:lineRule="auto"/>
    </w:pPr>
    <w:rPr>
      <w:rFonts w:ascii="Arial" w:eastAsia="Arial" w:hAnsi="Arial" w:cs="Arial"/>
      <w:color w:val="000000"/>
      <w:lang w:eastAsia="en-GB"/>
    </w:rPr>
  </w:style>
  <w:style w:type="paragraph" w:styleId="Title">
    <w:name w:val="Title"/>
    <w:basedOn w:val="Normal1"/>
    <w:next w:val="Normal1"/>
    <w:link w:val="TitleChar"/>
    <w:rsid w:val="002F5628"/>
    <w:pPr>
      <w:keepNext/>
      <w:keepLines/>
      <w:contextualSpacing/>
    </w:pPr>
    <w:rPr>
      <w:rFonts w:ascii="Trebuchet MS" w:eastAsia="Trebuchet MS" w:hAnsi="Trebuchet MS" w:cs="Trebuchet MS"/>
      <w:sz w:val="42"/>
    </w:rPr>
  </w:style>
  <w:style w:type="character" w:customStyle="1" w:styleId="TitleChar">
    <w:name w:val="Title Char"/>
    <w:basedOn w:val="DefaultParagraphFont"/>
    <w:link w:val="Title"/>
    <w:rsid w:val="002F5628"/>
    <w:rPr>
      <w:rFonts w:ascii="Trebuchet MS" w:eastAsia="Trebuchet MS" w:hAnsi="Trebuchet MS" w:cs="Trebuchet MS"/>
      <w:color w:val="000000"/>
      <w:sz w:val="42"/>
      <w:lang w:eastAsia="en-GB"/>
    </w:rPr>
  </w:style>
  <w:style w:type="paragraph" w:styleId="Subtitle">
    <w:name w:val="Subtitle"/>
    <w:basedOn w:val="Normal1"/>
    <w:next w:val="Normal1"/>
    <w:link w:val="SubtitleChar"/>
    <w:rsid w:val="002F5628"/>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2F5628"/>
    <w:rPr>
      <w:rFonts w:ascii="Trebuchet MS" w:eastAsia="Trebuchet MS" w:hAnsi="Trebuchet MS" w:cs="Trebuchet MS"/>
      <w:i/>
      <w:color w:val="666666"/>
      <w:sz w:val="26"/>
      <w:lang w:eastAsia="en-GB"/>
    </w:rPr>
  </w:style>
  <w:style w:type="paragraph" w:styleId="BalloonText">
    <w:name w:val="Balloon Text"/>
    <w:basedOn w:val="Normal"/>
    <w:link w:val="BalloonTextChar"/>
    <w:uiPriority w:val="99"/>
    <w:semiHidden/>
    <w:unhideWhenUsed/>
    <w:rsid w:val="002F5628"/>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2F5628"/>
    <w:rPr>
      <w:rFonts w:ascii="Tahoma" w:eastAsia="Times New Roman" w:hAnsi="Tahoma" w:cs="Tahoma"/>
      <w:sz w:val="16"/>
      <w:szCs w:val="16"/>
      <w:lang w:eastAsia="en-GB"/>
    </w:rPr>
  </w:style>
  <w:style w:type="paragraph" w:styleId="Header">
    <w:name w:val="header"/>
    <w:basedOn w:val="Normal"/>
    <w:link w:val="HeaderChar"/>
    <w:uiPriority w:val="99"/>
    <w:unhideWhenUsed/>
    <w:rsid w:val="002F5628"/>
    <w:pPr>
      <w:tabs>
        <w:tab w:val="center" w:pos="4513"/>
        <w:tab w:val="right" w:pos="9026"/>
      </w:tabs>
      <w:spacing w:after="0" w:line="240" w:lineRule="auto"/>
    </w:pPr>
    <w:rPr>
      <w:rFonts w:eastAsia="Times New Roman"/>
      <w:lang w:eastAsia="en-GB"/>
    </w:rPr>
  </w:style>
  <w:style w:type="character" w:customStyle="1" w:styleId="HeaderChar">
    <w:name w:val="Header Char"/>
    <w:basedOn w:val="DefaultParagraphFont"/>
    <w:link w:val="Header"/>
    <w:uiPriority w:val="99"/>
    <w:rsid w:val="002F5628"/>
    <w:rPr>
      <w:rFonts w:eastAsia="Times New Roman"/>
      <w:lang w:eastAsia="en-GB"/>
    </w:rPr>
  </w:style>
  <w:style w:type="paragraph" w:styleId="Footer">
    <w:name w:val="footer"/>
    <w:basedOn w:val="Normal"/>
    <w:link w:val="FooterChar"/>
    <w:uiPriority w:val="99"/>
    <w:unhideWhenUsed/>
    <w:rsid w:val="002F5628"/>
    <w:pPr>
      <w:tabs>
        <w:tab w:val="center" w:pos="4513"/>
        <w:tab w:val="right" w:pos="9026"/>
      </w:tabs>
      <w:spacing w:after="0" w:line="240" w:lineRule="auto"/>
    </w:pPr>
    <w:rPr>
      <w:rFonts w:eastAsia="Times New Roman"/>
      <w:lang w:eastAsia="en-GB"/>
    </w:rPr>
  </w:style>
  <w:style w:type="character" w:customStyle="1" w:styleId="FooterChar">
    <w:name w:val="Footer Char"/>
    <w:basedOn w:val="DefaultParagraphFont"/>
    <w:link w:val="Footer"/>
    <w:uiPriority w:val="99"/>
    <w:rsid w:val="002F5628"/>
    <w:rPr>
      <w:rFonts w:eastAsia="Times New Roman"/>
      <w:lang w:eastAsia="en-GB"/>
    </w:rPr>
  </w:style>
  <w:style w:type="table" w:styleId="TableGrid">
    <w:name w:val="Table Grid"/>
    <w:basedOn w:val="TableNormal"/>
    <w:uiPriority w:val="59"/>
    <w:rsid w:val="002F5628"/>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F5628"/>
    <w:pPr>
      <w:spacing w:after="0" w:line="240" w:lineRule="auto"/>
    </w:pPr>
    <w:rPr>
      <w:rFonts w:eastAsia="Times New Roman"/>
      <w:sz w:val="20"/>
      <w:szCs w:val="20"/>
      <w:lang w:eastAsia="en-GB"/>
    </w:rPr>
  </w:style>
  <w:style w:type="character" w:customStyle="1" w:styleId="FootnoteTextChar">
    <w:name w:val="Footnote Text Char"/>
    <w:basedOn w:val="DefaultParagraphFont"/>
    <w:link w:val="FootnoteText"/>
    <w:uiPriority w:val="99"/>
    <w:semiHidden/>
    <w:rsid w:val="002F5628"/>
    <w:rPr>
      <w:rFonts w:eastAsia="Times New Roman"/>
      <w:sz w:val="20"/>
      <w:szCs w:val="20"/>
      <w:lang w:eastAsia="en-GB"/>
    </w:rPr>
  </w:style>
  <w:style w:type="character" w:styleId="FootnoteReference">
    <w:name w:val="footnote reference"/>
    <w:basedOn w:val="DefaultParagraphFont"/>
    <w:uiPriority w:val="99"/>
    <w:semiHidden/>
    <w:unhideWhenUsed/>
    <w:rsid w:val="002F5628"/>
    <w:rPr>
      <w:vertAlign w:val="superscript"/>
    </w:rPr>
  </w:style>
  <w:style w:type="character" w:styleId="Strong">
    <w:name w:val="Strong"/>
    <w:basedOn w:val="DefaultParagraphFont"/>
    <w:uiPriority w:val="22"/>
    <w:qFormat/>
    <w:rsid w:val="002F5628"/>
    <w:rPr>
      <w:b/>
      <w:bCs/>
    </w:rPr>
  </w:style>
  <w:style w:type="character" w:customStyle="1" w:styleId="Hyperlink1">
    <w:name w:val="Hyperlink1"/>
    <w:basedOn w:val="DefaultParagraphFont"/>
    <w:uiPriority w:val="99"/>
    <w:unhideWhenUsed/>
    <w:rsid w:val="002F5628"/>
    <w:rPr>
      <w:color w:val="0000FF"/>
      <w:u w:val="single"/>
    </w:rPr>
  </w:style>
  <w:style w:type="paragraph" w:styleId="ListParagraph">
    <w:name w:val="List Paragraph"/>
    <w:basedOn w:val="Normal"/>
    <w:uiPriority w:val="34"/>
    <w:qFormat/>
    <w:rsid w:val="002F5628"/>
    <w:pPr>
      <w:spacing w:after="200"/>
      <w:ind w:left="720"/>
      <w:contextualSpacing/>
    </w:pPr>
    <w:rPr>
      <w:rFonts w:eastAsia="Times New Roman"/>
      <w:lang w:eastAsia="en-GB"/>
    </w:rPr>
  </w:style>
  <w:style w:type="character" w:styleId="CommentReference">
    <w:name w:val="annotation reference"/>
    <w:basedOn w:val="DefaultParagraphFont"/>
    <w:uiPriority w:val="99"/>
    <w:semiHidden/>
    <w:unhideWhenUsed/>
    <w:rsid w:val="002F5628"/>
    <w:rPr>
      <w:sz w:val="16"/>
      <w:szCs w:val="16"/>
    </w:rPr>
  </w:style>
  <w:style w:type="paragraph" w:styleId="CommentText">
    <w:name w:val="annotation text"/>
    <w:basedOn w:val="Normal"/>
    <w:link w:val="CommentTextChar"/>
    <w:uiPriority w:val="99"/>
    <w:unhideWhenUsed/>
    <w:rsid w:val="002F5628"/>
    <w:pPr>
      <w:spacing w:after="200" w:line="240" w:lineRule="auto"/>
    </w:pPr>
    <w:rPr>
      <w:rFonts w:eastAsia="Times New Roman"/>
      <w:sz w:val="20"/>
      <w:szCs w:val="20"/>
      <w:lang w:eastAsia="en-GB"/>
    </w:rPr>
  </w:style>
  <w:style w:type="character" w:customStyle="1" w:styleId="CommentTextChar">
    <w:name w:val="Comment Text Char"/>
    <w:basedOn w:val="DefaultParagraphFont"/>
    <w:link w:val="CommentText"/>
    <w:uiPriority w:val="99"/>
    <w:rsid w:val="002F5628"/>
    <w:rPr>
      <w:rFonts w:eastAsia="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F5628"/>
    <w:rPr>
      <w:b/>
      <w:bCs/>
    </w:rPr>
  </w:style>
  <w:style w:type="character" w:customStyle="1" w:styleId="CommentSubjectChar">
    <w:name w:val="Comment Subject Char"/>
    <w:basedOn w:val="CommentTextChar"/>
    <w:link w:val="CommentSubject"/>
    <w:uiPriority w:val="99"/>
    <w:semiHidden/>
    <w:rsid w:val="002F5628"/>
    <w:rPr>
      <w:rFonts w:eastAsia="Times New Roman"/>
      <w:b/>
      <w:bCs/>
      <w:sz w:val="20"/>
      <w:szCs w:val="20"/>
      <w:lang w:eastAsia="en-GB"/>
    </w:rPr>
  </w:style>
  <w:style w:type="paragraph" w:customStyle="1" w:styleId="Caption1">
    <w:name w:val="Caption1"/>
    <w:basedOn w:val="Normal"/>
    <w:next w:val="Normal"/>
    <w:uiPriority w:val="35"/>
    <w:unhideWhenUsed/>
    <w:qFormat/>
    <w:rsid w:val="002F5628"/>
    <w:pPr>
      <w:spacing w:after="200" w:line="240" w:lineRule="auto"/>
    </w:pPr>
    <w:rPr>
      <w:rFonts w:eastAsia="Times New Roman"/>
      <w:i/>
      <w:iCs/>
      <w:color w:val="1F497D"/>
      <w:sz w:val="18"/>
      <w:szCs w:val="18"/>
      <w:lang w:eastAsia="en-GB"/>
    </w:rPr>
  </w:style>
  <w:style w:type="character" w:styleId="Hyperlink">
    <w:name w:val="Hyperlink"/>
    <w:basedOn w:val="DefaultParagraphFont"/>
    <w:uiPriority w:val="99"/>
    <w:unhideWhenUsed/>
    <w:rsid w:val="002F5628"/>
    <w:rPr>
      <w:color w:val="0563C1" w:themeColor="hyperlink"/>
      <w:u w:val="single"/>
    </w:rPr>
  </w:style>
  <w:style w:type="numbering" w:customStyle="1" w:styleId="NoList2">
    <w:name w:val="No List2"/>
    <w:next w:val="NoList"/>
    <w:uiPriority w:val="99"/>
    <w:semiHidden/>
    <w:unhideWhenUsed/>
    <w:rsid w:val="00ED3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26418">
      <w:bodyDiv w:val="1"/>
      <w:marLeft w:val="0"/>
      <w:marRight w:val="0"/>
      <w:marTop w:val="0"/>
      <w:marBottom w:val="0"/>
      <w:divBdr>
        <w:top w:val="none" w:sz="0" w:space="0" w:color="auto"/>
        <w:left w:val="none" w:sz="0" w:space="0" w:color="auto"/>
        <w:bottom w:val="none" w:sz="0" w:space="0" w:color="auto"/>
        <w:right w:val="none" w:sz="0" w:space="0" w:color="auto"/>
      </w:divBdr>
      <w:divsChild>
        <w:div w:id="437725888">
          <w:marLeft w:val="0"/>
          <w:marRight w:val="0"/>
          <w:marTop w:val="0"/>
          <w:marBottom w:val="0"/>
          <w:divBdr>
            <w:top w:val="none" w:sz="0" w:space="0" w:color="auto"/>
            <w:left w:val="none" w:sz="0" w:space="0" w:color="auto"/>
            <w:bottom w:val="none" w:sz="0" w:space="0" w:color="auto"/>
            <w:right w:val="none" w:sz="0" w:space="0" w:color="auto"/>
          </w:divBdr>
        </w:div>
      </w:divsChild>
    </w:div>
    <w:div w:id="36688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d.hickson@lshtm.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dagitt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A3634-A013-4B83-91CE-11207A62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4942</Words>
  <Characters>28372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33248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Hickson</dc:creator>
  <cp:keywords/>
  <dc:description/>
  <cp:lastModifiedBy>Ford Hickson</cp:lastModifiedBy>
  <cp:revision>3</cp:revision>
  <cp:lastPrinted>2016-02-08T11:27:00Z</cp:lastPrinted>
  <dcterms:created xsi:type="dcterms:W3CDTF">2016-03-14T13:46:00Z</dcterms:created>
  <dcterms:modified xsi:type="dcterms:W3CDTF">2016-03-14T13:47:00Z</dcterms:modified>
</cp:coreProperties>
</file>