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1"/>
        <w:tblpPr w:leftFromText="180" w:rightFromText="180" w:vertAnchor="text" w:horzAnchor="margin" w:tblpXSpec="center" w:tblpY="624"/>
        <w:tblW w:w="15603" w:type="dxa"/>
        <w:tblLook w:val="04A0" w:firstRow="1" w:lastRow="0" w:firstColumn="1" w:lastColumn="0" w:noHBand="0" w:noVBand="1"/>
      </w:tblPr>
      <w:tblGrid>
        <w:gridCol w:w="2963"/>
        <w:gridCol w:w="3382"/>
        <w:gridCol w:w="6946"/>
        <w:gridCol w:w="2312"/>
      </w:tblGrid>
      <w:tr w:rsidR="00E60960" w:rsidRPr="00790DAF" w14:paraId="76836656" w14:textId="77777777" w:rsidTr="00E60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238695FF" w14:textId="77777777" w:rsidR="00E60960" w:rsidRPr="00790DAF" w:rsidRDefault="00E60960" w:rsidP="00E60960">
            <w:pPr>
              <w:spacing w:line="360" w:lineRule="auto"/>
              <w:jc w:val="both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Virus</w:t>
            </w:r>
          </w:p>
        </w:tc>
        <w:tc>
          <w:tcPr>
            <w:tcW w:w="3382" w:type="dxa"/>
          </w:tcPr>
          <w:p w14:paraId="7D350F4E" w14:textId="77777777" w:rsidR="00E60960" w:rsidRPr="00790DAF" w:rsidRDefault="00E60960" w:rsidP="00E609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Epidemiology</w:t>
            </w:r>
          </w:p>
        </w:tc>
        <w:tc>
          <w:tcPr>
            <w:tcW w:w="6946" w:type="dxa"/>
          </w:tcPr>
          <w:p w14:paraId="779921F6" w14:textId="77777777" w:rsidR="00E60960" w:rsidRPr="00790DAF" w:rsidRDefault="00E60960" w:rsidP="00E609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 xml:space="preserve">Common </w:t>
            </w:r>
            <w:r w:rsidRPr="00790DAF">
              <w:rPr>
                <w:rFonts w:ascii="Cambria" w:hAnsi="Cambria" w:cs="Times New Roman"/>
                <w:sz w:val="20"/>
                <w:szCs w:val="18"/>
              </w:rPr>
              <w:t>Clinical Features</w:t>
            </w:r>
          </w:p>
        </w:tc>
        <w:tc>
          <w:tcPr>
            <w:tcW w:w="2312" w:type="dxa"/>
          </w:tcPr>
          <w:p w14:paraId="48B8D9AC" w14:textId="77777777" w:rsidR="00E60960" w:rsidRPr="00790DAF" w:rsidRDefault="00E60960" w:rsidP="00E60960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Diagnostic Test</w:t>
            </w:r>
          </w:p>
        </w:tc>
      </w:tr>
      <w:tr w:rsidR="00E60960" w:rsidRPr="00790DAF" w14:paraId="67B450FA" w14:textId="77777777" w:rsidTr="00E6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29F9DCB1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Parvovirus B19</w:t>
            </w:r>
          </w:p>
        </w:tc>
        <w:tc>
          <w:tcPr>
            <w:tcW w:w="3382" w:type="dxa"/>
          </w:tcPr>
          <w:p w14:paraId="7194380E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Expos</w:t>
            </w:r>
            <w:r>
              <w:rPr>
                <w:rFonts w:ascii="Cambria" w:hAnsi="Cambria" w:cs="Times New Roman"/>
                <w:sz w:val="20"/>
                <w:szCs w:val="18"/>
              </w:rPr>
              <w:t xml:space="preserve">ure to young </w:t>
            </w:r>
            <w:r w:rsidRPr="00790DAF">
              <w:rPr>
                <w:rFonts w:ascii="Cambria" w:hAnsi="Cambria" w:cs="Times New Roman"/>
                <w:sz w:val="20"/>
                <w:szCs w:val="18"/>
              </w:rPr>
              <w:t>children</w:t>
            </w:r>
          </w:p>
          <w:p w14:paraId="5E377568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</w:p>
        </w:tc>
        <w:tc>
          <w:tcPr>
            <w:tcW w:w="6946" w:type="dxa"/>
          </w:tcPr>
          <w:p w14:paraId="10A00E98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 xml:space="preserve">Large joint </w:t>
            </w:r>
            <w:proofErr w:type="spellStart"/>
            <w:r>
              <w:rPr>
                <w:rFonts w:ascii="Cambria" w:hAnsi="Cambria" w:cs="Times New Roman"/>
                <w:sz w:val="20"/>
                <w:szCs w:val="18"/>
              </w:rPr>
              <w:t>oligo</w:t>
            </w:r>
            <w:proofErr w:type="spellEnd"/>
            <w:r>
              <w:rPr>
                <w:rFonts w:ascii="Cambria" w:hAnsi="Cambria" w:cs="Times New Roman"/>
                <w:sz w:val="20"/>
                <w:szCs w:val="18"/>
              </w:rPr>
              <w:t>-articular in children, RA-like pattern more common in adults.</w:t>
            </w:r>
          </w:p>
        </w:tc>
        <w:tc>
          <w:tcPr>
            <w:tcW w:w="2312" w:type="dxa"/>
          </w:tcPr>
          <w:p w14:paraId="675CA1B3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B19 </w:t>
            </w: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IgM</w:t>
            </w:r>
            <w:proofErr w:type="spellEnd"/>
          </w:p>
        </w:tc>
      </w:tr>
      <w:tr w:rsidR="00E60960" w:rsidRPr="00790DAF" w14:paraId="7F99B879" w14:textId="77777777" w:rsidTr="00E6096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0B9377D1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Hepatitis B</w:t>
            </w:r>
          </w:p>
        </w:tc>
        <w:tc>
          <w:tcPr>
            <w:tcW w:w="3382" w:type="dxa"/>
          </w:tcPr>
          <w:p w14:paraId="33683D1B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Congenital transmission in high-risk countries</w:t>
            </w:r>
          </w:p>
          <w:p w14:paraId="40FD06C8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MSM, IDU</w:t>
            </w:r>
          </w:p>
        </w:tc>
        <w:tc>
          <w:tcPr>
            <w:tcW w:w="6946" w:type="dxa"/>
          </w:tcPr>
          <w:p w14:paraId="45F9F58E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>RA-like pattern of arthritis lasting days to months with rash, malaise or myalgia. Joint symptoms often resolve with onset of jaundice.</w:t>
            </w:r>
          </w:p>
        </w:tc>
        <w:tc>
          <w:tcPr>
            <w:tcW w:w="2312" w:type="dxa"/>
          </w:tcPr>
          <w:p w14:paraId="214E2CB1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HBsAg</w:t>
            </w:r>
            <w:proofErr w:type="spellEnd"/>
            <w:r w:rsidRPr="00790DAF">
              <w:rPr>
                <w:rFonts w:ascii="Cambria" w:hAnsi="Cambria" w:cs="Times New Roman"/>
                <w:sz w:val="20"/>
                <w:szCs w:val="18"/>
              </w:rPr>
              <w:t>, Anti-</w:t>
            </w: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HBc</w:t>
            </w:r>
            <w:proofErr w:type="spellEnd"/>
          </w:p>
          <w:p w14:paraId="4F154F8D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HBV DNA</w:t>
            </w:r>
          </w:p>
        </w:tc>
      </w:tr>
      <w:tr w:rsidR="00E60960" w:rsidRPr="00790DAF" w14:paraId="60314BAD" w14:textId="77777777" w:rsidTr="00E6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746FB82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Hepatitis C</w:t>
            </w:r>
          </w:p>
        </w:tc>
        <w:tc>
          <w:tcPr>
            <w:tcW w:w="3382" w:type="dxa"/>
          </w:tcPr>
          <w:p w14:paraId="092B8651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Worldwide </w:t>
            </w:r>
          </w:p>
          <w:p w14:paraId="65CC8DF7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MSM, IDU, Blood Transfusions</w:t>
            </w:r>
          </w:p>
        </w:tc>
        <w:tc>
          <w:tcPr>
            <w:tcW w:w="6946" w:type="dxa"/>
          </w:tcPr>
          <w:p w14:paraId="736F33F0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 xml:space="preserve">Mild RA-like pattern of arthritis/ </w:t>
            </w:r>
            <w:proofErr w:type="spellStart"/>
            <w:r>
              <w:rPr>
                <w:rFonts w:ascii="Cambria" w:hAnsi="Cambria" w:cs="Times New Roman"/>
                <w:sz w:val="20"/>
                <w:szCs w:val="18"/>
              </w:rPr>
              <w:t>arthalgia</w:t>
            </w:r>
            <w:proofErr w:type="spellEnd"/>
          </w:p>
        </w:tc>
        <w:tc>
          <w:tcPr>
            <w:tcW w:w="2312" w:type="dxa"/>
          </w:tcPr>
          <w:p w14:paraId="0C287E05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Anti-HCV, HCV-RNA</w:t>
            </w:r>
          </w:p>
          <w:p w14:paraId="087734CD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</w:p>
        </w:tc>
      </w:tr>
      <w:tr w:rsidR="00E60960" w:rsidRPr="00790DAF" w14:paraId="0D1E874E" w14:textId="77777777" w:rsidTr="00E6096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5E311652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Hepatitis C associated cryoglobulinaemia</w:t>
            </w:r>
          </w:p>
        </w:tc>
        <w:tc>
          <w:tcPr>
            <w:tcW w:w="3382" w:type="dxa"/>
          </w:tcPr>
          <w:p w14:paraId="1C3225E7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As Above</w:t>
            </w:r>
          </w:p>
        </w:tc>
        <w:tc>
          <w:tcPr>
            <w:tcW w:w="6946" w:type="dxa"/>
          </w:tcPr>
          <w:p w14:paraId="4AE4C7CA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 xml:space="preserve">Large joint </w:t>
            </w:r>
            <w:proofErr w:type="spellStart"/>
            <w:r>
              <w:rPr>
                <w:rFonts w:ascii="Cambria" w:hAnsi="Cambria" w:cs="Times New Roman"/>
                <w:sz w:val="20"/>
                <w:szCs w:val="18"/>
              </w:rPr>
              <w:t>oligo</w:t>
            </w:r>
            <w:proofErr w:type="spellEnd"/>
            <w:r>
              <w:rPr>
                <w:rFonts w:ascii="Cambria" w:hAnsi="Cambria" w:cs="Times New Roman"/>
                <w:sz w:val="20"/>
                <w:szCs w:val="18"/>
              </w:rPr>
              <w:t>-articular non-erosive arthritis (often involving ankles)</w:t>
            </w:r>
          </w:p>
        </w:tc>
        <w:tc>
          <w:tcPr>
            <w:tcW w:w="2312" w:type="dxa"/>
          </w:tcPr>
          <w:p w14:paraId="45D1650D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Anti-HCV</w:t>
            </w:r>
            <w:r>
              <w:rPr>
                <w:rFonts w:ascii="Cambria" w:hAnsi="Cambria" w:cs="Times New Roman"/>
                <w:sz w:val="20"/>
                <w:szCs w:val="18"/>
              </w:rPr>
              <w:t xml:space="preserve">, </w:t>
            </w:r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HCV-RNA, </w:t>
            </w: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Cryoglobulins</w:t>
            </w:r>
            <w:proofErr w:type="spellEnd"/>
            <w:r w:rsidRPr="00790DAF">
              <w:rPr>
                <w:rFonts w:ascii="Cambria" w:hAnsi="Cambria" w:cs="Times New Roman"/>
                <w:sz w:val="20"/>
                <w:szCs w:val="18"/>
              </w:rPr>
              <w:t>, Low C4</w:t>
            </w:r>
          </w:p>
        </w:tc>
      </w:tr>
      <w:tr w:rsidR="00E60960" w:rsidRPr="00790DAF" w14:paraId="4C25BA39" w14:textId="77777777" w:rsidTr="00E6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67397E2B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HIV</w:t>
            </w:r>
          </w:p>
        </w:tc>
        <w:tc>
          <w:tcPr>
            <w:tcW w:w="3382" w:type="dxa"/>
          </w:tcPr>
          <w:p w14:paraId="23AA38B9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Worldwide – especially sub-Saharan Africa</w:t>
            </w:r>
          </w:p>
          <w:p w14:paraId="544EE9C5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Multiple sexual partners, MSM, IDU, Blood Transfusions</w:t>
            </w:r>
          </w:p>
        </w:tc>
        <w:tc>
          <w:tcPr>
            <w:tcW w:w="6946" w:type="dxa"/>
          </w:tcPr>
          <w:p w14:paraId="726B1F3A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>Variety of presentations reported. Joint symptoms as part of an immune-reconstitution syndrome also described with initiation of retro-viral therapy</w:t>
            </w:r>
          </w:p>
        </w:tc>
        <w:tc>
          <w:tcPr>
            <w:tcW w:w="2312" w:type="dxa"/>
          </w:tcPr>
          <w:p w14:paraId="1299ED28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Anti-HIV1/2</w:t>
            </w:r>
          </w:p>
          <w:p w14:paraId="362BDF63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HIV-RNA</w:t>
            </w:r>
          </w:p>
        </w:tc>
      </w:tr>
      <w:tr w:rsidR="00E60960" w:rsidRPr="00790DAF" w14:paraId="274549B1" w14:textId="77777777" w:rsidTr="00E6096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5E65EDB4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Alphaviruses</w:t>
            </w:r>
            <w:proofErr w:type="spellEnd"/>
          </w:p>
        </w:tc>
        <w:tc>
          <w:tcPr>
            <w:tcW w:w="3382" w:type="dxa"/>
          </w:tcPr>
          <w:p w14:paraId="075CF9CC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Specific geographical range for each virus - See Figure 1</w:t>
            </w:r>
          </w:p>
        </w:tc>
        <w:tc>
          <w:tcPr>
            <w:tcW w:w="6946" w:type="dxa"/>
          </w:tcPr>
          <w:p w14:paraId="14E7ADB3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 xml:space="preserve">Chronic arthritis/ arthralgia associated with </w:t>
            </w:r>
            <w:proofErr w:type="spellStart"/>
            <w:r>
              <w:rPr>
                <w:rFonts w:ascii="Cambria" w:hAnsi="Cambria" w:cs="Times New Roman"/>
                <w:sz w:val="20"/>
                <w:szCs w:val="18"/>
              </w:rPr>
              <w:t>chikungunya</w:t>
            </w:r>
            <w:proofErr w:type="spellEnd"/>
            <w:r>
              <w:rPr>
                <w:rFonts w:ascii="Cambria" w:hAnsi="Cambria" w:cs="Times New Roman"/>
                <w:sz w:val="20"/>
                <w:szCs w:val="18"/>
              </w:rPr>
              <w:t xml:space="preserve"> infection as well as tenosynovitis, carpal tunnel syndrome and new-onset Raynaud Phenomenon. Associated thrombocytopenia common.</w:t>
            </w:r>
          </w:p>
        </w:tc>
        <w:tc>
          <w:tcPr>
            <w:tcW w:w="2312" w:type="dxa"/>
          </w:tcPr>
          <w:p w14:paraId="16FF7469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Specific-viral </w:t>
            </w:r>
            <w:proofErr w:type="spellStart"/>
            <w:r w:rsidRPr="00790DAF">
              <w:rPr>
                <w:rFonts w:ascii="Cambria" w:hAnsi="Cambria" w:cs="Times New Roman"/>
                <w:sz w:val="20"/>
                <w:szCs w:val="18"/>
              </w:rPr>
              <w:t>IgM</w:t>
            </w:r>
            <w:proofErr w:type="spellEnd"/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 </w:t>
            </w:r>
          </w:p>
          <w:p w14:paraId="6121A574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Specific-viral RNA</w:t>
            </w:r>
          </w:p>
          <w:p w14:paraId="62D52DA7" w14:textId="77777777" w:rsidR="00E60960" w:rsidRPr="00790DAF" w:rsidRDefault="00E60960" w:rsidP="00E6096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</w:p>
        </w:tc>
      </w:tr>
      <w:tr w:rsidR="00E60960" w:rsidRPr="00790DAF" w14:paraId="125E472D" w14:textId="77777777" w:rsidTr="00E6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2828E5F7" w14:textId="77777777" w:rsidR="00E60960" w:rsidRPr="00790DAF" w:rsidRDefault="00E60960" w:rsidP="00E60960">
            <w:pPr>
              <w:spacing w:line="360" w:lineRule="auto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HTLV-1</w:t>
            </w:r>
          </w:p>
        </w:tc>
        <w:tc>
          <w:tcPr>
            <w:tcW w:w="3382" w:type="dxa"/>
          </w:tcPr>
          <w:p w14:paraId="440B0654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Japan, Caribbean</w:t>
            </w:r>
          </w:p>
        </w:tc>
        <w:tc>
          <w:tcPr>
            <w:tcW w:w="6946" w:type="dxa"/>
          </w:tcPr>
          <w:p w14:paraId="75FE96EF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>
              <w:rPr>
                <w:rFonts w:ascii="Cambria" w:hAnsi="Cambria" w:cs="Times New Roman"/>
                <w:sz w:val="20"/>
                <w:szCs w:val="18"/>
              </w:rPr>
              <w:t>Chronic large and medium joint oligoarthritis. Fever myalgia and skin lesions common at onset of joint symptoms. Associated inflammatory eye, skin and muscle disorders reported.</w:t>
            </w:r>
          </w:p>
        </w:tc>
        <w:tc>
          <w:tcPr>
            <w:tcW w:w="2312" w:type="dxa"/>
          </w:tcPr>
          <w:p w14:paraId="42F14789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>Anti-HTLV-1</w:t>
            </w:r>
          </w:p>
          <w:p w14:paraId="3D521E39" w14:textId="77777777" w:rsidR="00E60960" w:rsidRPr="00790DAF" w:rsidRDefault="00E60960" w:rsidP="00E6096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18"/>
              </w:rPr>
            </w:pPr>
            <w:r w:rsidRPr="00790DAF">
              <w:rPr>
                <w:rFonts w:ascii="Cambria" w:hAnsi="Cambria" w:cs="Times New Roman"/>
                <w:sz w:val="20"/>
                <w:szCs w:val="18"/>
              </w:rPr>
              <w:t xml:space="preserve">HTLV-1-DNA </w:t>
            </w:r>
          </w:p>
        </w:tc>
      </w:tr>
    </w:tbl>
    <w:p w14:paraId="45DD545A" w14:textId="77777777" w:rsidR="00E60960" w:rsidRPr="00E12709" w:rsidRDefault="00E60960" w:rsidP="00E60960">
      <w:pPr>
        <w:spacing w:after="0" w:line="480" w:lineRule="auto"/>
        <w:jc w:val="both"/>
        <w:rPr>
          <w:rFonts w:ascii="Cambria" w:eastAsia="MS Mincho" w:hAnsi="Cambria" w:cs="Times New Roman"/>
          <w:b/>
        </w:rPr>
      </w:pPr>
      <w:bookmarkStart w:id="0" w:name="_GoBack"/>
      <w:r w:rsidRPr="00E12709">
        <w:rPr>
          <w:rFonts w:ascii="Cambria" w:eastAsia="MS Mincho" w:hAnsi="Cambria" w:cs="Times New Roman"/>
          <w:b/>
        </w:rPr>
        <w:t xml:space="preserve">Table 1: Key features of major viral </w:t>
      </w:r>
      <w:proofErr w:type="spellStart"/>
      <w:r w:rsidRPr="00E12709">
        <w:rPr>
          <w:rFonts w:ascii="Cambria" w:eastAsia="MS Mincho" w:hAnsi="Cambria" w:cs="Times New Roman"/>
          <w:b/>
        </w:rPr>
        <w:t>arthritides</w:t>
      </w:r>
      <w:proofErr w:type="spellEnd"/>
    </w:p>
    <w:bookmarkEnd w:id="0"/>
    <w:p w14:paraId="56F9D3B7" w14:textId="77777777" w:rsidR="00B96E2B" w:rsidRDefault="00B96E2B"/>
    <w:sectPr w:rsidR="00B96E2B" w:rsidSect="00E609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0"/>
    <w:rsid w:val="00B96E2B"/>
    <w:rsid w:val="00E12709"/>
    <w:rsid w:val="00E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7A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E60960"/>
    <w:pPr>
      <w:spacing w:after="0" w:line="240" w:lineRule="auto"/>
    </w:pPr>
    <w:rPr>
      <w:rFonts w:eastAsia="MS Mincho"/>
      <w:color w:val="000000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E609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next w:val="LightShading"/>
    <w:uiPriority w:val="60"/>
    <w:rsid w:val="00E60960"/>
    <w:pPr>
      <w:spacing w:after="0" w:line="240" w:lineRule="auto"/>
    </w:pPr>
    <w:rPr>
      <w:rFonts w:eastAsia="MS Mincho"/>
      <w:color w:val="000000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E609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 Marks</dc:creator>
  <cp:lastModifiedBy>Michael Marks</cp:lastModifiedBy>
  <cp:revision>2</cp:revision>
  <cp:lastPrinted>2015-04-27T10:26:00Z</cp:lastPrinted>
  <dcterms:created xsi:type="dcterms:W3CDTF">2015-04-27T10:25:00Z</dcterms:created>
  <dcterms:modified xsi:type="dcterms:W3CDTF">2015-08-03T23:09:00Z</dcterms:modified>
</cp:coreProperties>
</file>