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6FF42" w14:textId="77777777" w:rsidR="007266F2" w:rsidRDefault="007266F2" w:rsidP="007266F2">
      <w:pPr>
        <w:spacing w:line="480" w:lineRule="auto"/>
        <w:jc w:val="center"/>
        <w:rPr>
          <w:rFonts w:cstheme="minorHAnsi"/>
          <w:b/>
          <w:sz w:val="24"/>
          <w:szCs w:val="24"/>
        </w:rPr>
      </w:pPr>
      <w:r>
        <w:rPr>
          <w:rFonts w:cstheme="minorHAnsi"/>
          <w:b/>
          <w:sz w:val="24"/>
          <w:szCs w:val="24"/>
        </w:rPr>
        <w:t>ARTICLE</w:t>
      </w:r>
    </w:p>
    <w:p w14:paraId="009B6D8F" w14:textId="77777777" w:rsidR="007266F2" w:rsidRDefault="007266F2" w:rsidP="007266F2">
      <w:pPr>
        <w:spacing w:line="480" w:lineRule="auto"/>
        <w:jc w:val="center"/>
        <w:rPr>
          <w:rFonts w:cstheme="minorHAnsi"/>
          <w:b/>
          <w:sz w:val="24"/>
          <w:szCs w:val="24"/>
        </w:rPr>
      </w:pPr>
      <w:r>
        <w:rPr>
          <w:rFonts w:cstheme="minorHAnsi"/>
          <w:b/>
          <w:sz w:val="24"/>
          <w:szCs w:val="24"/>
        </w:rPr>
        <w:t>The regulation of competition in the NHS – what difference has the Health and Social Care Act 2012 made?</w:t>
      </w:r>
    </w:p>
    <w:p w14:paraId="65C6ADAF" w14:textId="77777777" w:rsidR="007266F2" w:rsidRDefault="007266F2" w:rsidP="007266F2">
      <w:pPr>
        <w:spacing w:line="480" w:lineRule="auto"/>
        <w:jc w:val="center"/>
        <w:rPr>
          <w:rFonts w:cstheme="minorHAnsi"/>
          <w:sz w:val="24"/>
          <w:szCs w:val="24"/>
        </w:rPr>
      </w:pPr>
      <w:r>
        <w:rPr>
          <w:rFonts w:cstheme="minorHAnsi"/>
          <w:sz w:val="24"/>
          <w:szCs w:val="24"/>
        </w:rPr>
        <w:t>M. Sanderson*, P. Allen**, D.  Osipovic***</w:t>
      </w:r>
    </w:p>
    <w:p w14:paraId="12020F42" w14:textId="77777777" w:rsidR="007266F2" w:rsidRDefault="007266F2" w:rsidP="007266F2">
      <w:pPr>
        <w:pStyle w:val="FootnoteText"/>
      </w:pPr>
    </w:p>
    <w:p w14:paraId="74101F81" w14:textId="77777777" w:rsidR="007266F2" w:rsidRDefault="007266F2" w:rsidP="007266F2">
      <w:pPr>
        <w:pStyle w:val="FootnoteText"/>
      </w:pPr>
    </w:p>
    <w:p w14:paraId="29959179" w14:textId="77777777" w:rsidR="007266F2" w:rsidRDefault="007266F2" w:rsidP="007266F2">
      <w:pPr>
        <w:pStyle w:val="FootnoteText"/>
      </w:pPr>
      <w:r>
        <w:t>* Research Fellow, London School of Hygiene and Tropical Medicine. ** Reader, London School of Hygiene and Tropical Medicine. *** Research Fellow, London School of Hygiene and Tropical Medicine</w:t>
      </w:r>
    </w:p>
    <w:p w14:paraId="69FAA14D" w14:textId="77777777" w:rsidR="007266F2" w:rsidRDefault="007266F2" w:rsidP="007266F2">
      <w:pPr>
        <w:rPr>
          <w:rFonts w:cstheme="minorHAnsi"/>
          <w:b/>
          <w:sz w:val="24"/>
          <w:szCs w:val="24"/>
        </w:rPr>
      </w:pPr>
    </w:p>
    <w:p w14:paraId="5652933A" w14:textId="77777777" w:rsidR="00010C4B" w:rsidRPr="00010C4B" w:rsidRDefault="00010C4B" w:rsidP="00405448">
      <w:pPr>
        <w:rPr>
          <w:rFonts w:cstheme="minorHAnsi"/>
          <w:sz w:val="24"/>
          <w:szCs w:val="24"/>
        </w:rPr>
      </w:pPr>
    </w:p>
    <w:p w14:paraId="378CE627" w14:textId="09EA2320" w:rsidR="00405448" w:rsidRPr="00010C4B" w:rsidRDefault="00405448" w:rsidP="00405448">
      <w:pPr>
        <w:rPr>
          <w:rFonts w:ascii="Times New Roman" w:eastAsia="Times New Roman" w:hAnsi="Times New Roman" w:cs="Times New Roman"/>
          <w:i/>
          <w:sz w:val="20"/>
          <w:szCs w:val="20"/>
          <w:lang w:eastAsia="en-GB"/>
        </w:rPr>
      </w:pPr>
      <w:r w:rsidRPr="00010C4B">
        <w:rPr>
          <w:rFonts w:cstheme="minorHAnsi"/>
          <w:i/>
          <w:sz w:val="20"/>
          <w:szCs w:val="20"/>
        </w:rPr>
        <w:t xml:space="preserve">Note: This is a personal version </w:t>
      </w:r>
      <w:r w:rsidR="00FF7E85">
        <w:rPr>
          <w:rFonts w:cstheme="minorHAnsi"/>
          <w:i/>
          <w:sz w:val="20"/>
          <w:szCs w:val="20"/>
        </w:rPr>
        <w:t xml:space="preserve">created by Marie Sanderson </w:t>
      </w:r>
      <w:bookmarkStart w:id="0" w:name="_GoBack"/>
      <w:bookmarkEnd w:id="0"/>
      <w:r w:rsidRPr="00010C4B">
        <w:rPr>
          <w:rFonts w:cstheme="minorHAnsi"/>
          <w:i/>
          <w:sz w:val="20"/>
          <w:szCs w:val="20"/>
        </w:rPr>
        <w:t>of the text of the journal article which has been accepted for publication in the Journal of Health Economics, Policy and Law (date of acceptance 15/2/16)</w:t>
      </w:r>
      <w:r w:rsidR="00010C4B">
        <w:rPr>
          <w:rFonts w:cstheme="minorHAnsi"/>
          <w:i/>
          <w:sz w:val="20"/>
          <w:szCs w:val="20"/>
        </w:rPr>
        <w:t xml:space="preserve"> </w:t>
      </w:r>
      <w:r w:rsidR="00010C4B" w:rsidRPr="00010C4B">
        <w:rPr>
          <w:rFonts w:cstheme="minorHAnsi"/>
          <w:i/>
          <w:sz w:val="20"/>
          <w:szCs w:val="20"/>
        </w:rPr>
        <w:t>(</w:t>
      </w:r>
      <w:hyperlink r:id="rId8" w:history="1">
        <w:r w:rsidR="00010C4B" w:rsidRPr="00010C4B">
          <w:rPr>
            <w:rStyle w:val="Hyperlink"/>
            <w:rFonts w:eastAsia="Times New Roman" w:cstheme="minorHAnsi"/>
            <w:i/>
            <w:sz w:val="20"/>
            <w:szCs w:val="20"/>
            <w:lang w:eastAsia="en-GB"/>
          </w:rPr>
          <w:t>http://journals.cambridge.org/action/displayJournal?jid=HEP</w:t>
        </w:r>
      </w:hyperlink>
      <w:r w:rsidR="00010C4B" w:rsidRPr="00010C4B">
        <w:rPr>
          <w:rFonts w:eastAsia="Times New Roman" w:cstheme="minorHAnsi"/>
          <w:i/>
          <w:sz w:val="20"/>
          <w:szCs w:val="20"/>
          <w:lang w:eastAsia="en-GB"/>
        </w:rPr>
        <w:t>)</w:t>
      </w:r>
      <w:r w:rsidR="00010C4B" w:rsidRPr="00010C4B">
        <w:rPr>
          <w:rFonts w:eastAsia="Times New Roman" w:cstheme="minorHAnsi"/>
          <w:i/>
          <w:sz w:val="20"/>
          <w:szCs w:val="20"/>
          <w:lang w:eastAsia="en-GB"/>
        </w:rPr>
        <w:t xml:space="preserve">. </w:t>
      </w:r>
      <w:r w:rsidRPr="00010C4B">
        <w:rPr>
          <w:rFonts w:cstheme="minorHAnsi"/>
          <w:i/>
          <w:sz w:val="20"/>
          <w:szCs w:val="20"/>
        </w:rPr>
        <w:t>It reflects all the changes made following the peer review process, but will appear in a revised form subsequent to editorial input by Cambridge University Press and/or the journal’s proprietor</w:t>
      </w:r>
      <w:r w:rsidRPr="00010C4B">
        <w:rPr>
          <w:rFonts w:cstheme="minorHAnsi"/>
          <w:b/>
          <w:i/>
          <w:sz w:val="20"/>
          <w:szCs w:val="20"/>
        </w:rPr>
        <w:t xml:space="preserve">. </w:t>
      </w:r>
    </w:p>
    <w:p w14:paraId="634D0602" w14:textId="26B998DB" w:rsidR="00405448" w:rsidRPr="00010C4B" w:rsidRDefault="00405448" w:rsidP="00405448">
      <w:pPr>
        <w:rPr>
          <w:rFonts w:eastAsia="Times New Roman" w:cstheme="minorHAnsi"/>
          <w:i/>
          <w:sz w:val="20"/>
          <w:szCs w:val="20"/>
          <w:lang w:eastAsia="en-GB"/>
        </w:rPr>
      </w:pPr>
      <w:r w:rsidRPr="00010C4B">
        <w:rPr>
          <w:rFonts w:eastAsia="Times New Roman" w:cstheme="minorHAnsi"/>
          <w:i/>
          <w:sz w:val="20"/>
          <w:szCs w:val="20"/>
          <w:lang w:eastAsia="en-GB"/>
        </w:rPr>
        <w:t xml:space="preserve">Copyright </w:t>
      </w:r>
      <w:r w:rsidR="00010C4B">
        <w:rPr>
          <w:rFonts w:eastAsia="Times New Roman" w:cstheme="minorHAnsi"/>
          <w:i/>
          <w:sz w:val="20"/>
          <w:szCs w:val="20"/>
          <w:lang w:eastAsia="en-GB"/>
        </w:rPr>
        <w:t>©</w:t>
      </w:r>
      <w:r w:rsidR="00010C4B" w:rsidRPr="00010C4B">
        <w:rPr>
          <w:rFonts w:eastAsia="Times New Roman" w:cstheme="minorHAnsi"/>
          <w:i/>
          <w:sz w:val="20"/>
          <w:szCs w:val="20"/>
          <w:lang w:eastAsia="en-GB"/>
        </w:rPr>
        <w:t>and Moral Rights for this paper are retained by the individual authors and other copyright owners.</w:t>
      </w:r>
    </w:p>
    <w:p w14:paraId="4F0AF8B7" w14:textId="4A5E10DF" w:rsidR="007266F2" w:rsidRDefault="007266F2" w:rsidP="007266F2">
      <w:pPr>
        <w:rPr>
          <w:rFonts w:cstheme="minorHAnsi"/>
          <w:b/>
          <w:sz w:val="24"/>
          <w:szCs w:val="24"/>
        </w:rPr>
      </w:pPr>
    </w:p>
    <w:p w14:paraId="2246934F" w14:textId="77777777" w:rsidR="007266F2" w:rsidRDefault="007266F2" w:rsidP="007266F2">
      <w:pPr>
        <w:spacing w:after="0" w:line="240" w:lineRule="auto"/>
        <w:rPr>
          <w:rFonts w:cstheme="minorHAnsi"/>
          <w:sz w:val="24"/>
          <w:szCs w:val="24"/>
          <w:lang w:val="en-US"/>
        </w:rPr>
      </w:pPr>
      <w:r>
        <w:rPr>
          <w:rFonts w:eastAsia="Times New Roman" w:cstheme="minorHAnsi"/>
          <w:sz w:val="24"/>
          <w:szCs w:val="24"/>
          <w:lang w:eastAsia="en-GB"/>
        </w:rPr>
        <w:t xml:space="preserve">This report is independent research arising from a Doctoral Research Fellowship supported by the National Institute for Health Research.  </w:t>
      </w:r>
      <w:r>
        <w:rPr>
          <w:rFonts w:cstheme="minorHAnsi"/>
          <w:sz w:val="24"/>
          <w:szCs w:val="24"/>
          <w:lang w:val="en-US"/>
        </w:rPr>
        <w:t xml:space="preserve">Part of the study was funded by the Department of Health via its Policy Research Programme. It formed part of the work programme of the Policy Research Unit on Commissioning and the Healthcare System. </w:t>
      </w:r>
    </w:p>
    <w:p w14:paraId="088E1059" w14:textId="77777777" w:rsidR="007266F2" w:rsidRDefault="007266F2" w:rsidP="007266F2">
      <w:pPr>
        <w:spacing w:after="0" w:line="240" w:lineRule="auto"/>
        <w:rPr>
          <w:rFonts w:cstheme="minorHAnsi"/>
          <w:sz w:val="24"/>
          <w:szCs w:val="24"/>
          <w:lang w:val="en-US"/>
        </w:rPr>
      </w:pPr>
    </w:p>
    <w:p w14:paraId="4D15E738" w14:textId="4749C120" w:rsidR="007266F2" w:rsidRDefault="007266F2" w:rsidP="007266F2">
      <w:pPr>
        <w:spacing w:after="0" w:line="240" w:lineRule="auto"/>
        <w:rPr>
          <w:rFonts w:eastAsia="Times New Roman" w:cstheme="minorHAnsi"/>
          <w:sz w:val="24"/>
          <w:szCs w:val="24"/>
          <w:lang w:eastAsia="en-GB"/>
        </w:rPr>
      </w:pPr>
      <w:r>
        <w:rPr>
          <w:rFonts w:cstheme="minorHAnsi"/>
          <w:sz w:val="24"/>
          <w:szCs w:val="24"/>
          <w:lang w:val="en-US"/>
        </w:rPr>
        <w:t xml:space="preserve">The views expressed here are those of the researchers and do not reflect the position of </w:t>
      </w:r>
      <w:r>
        <w:rPr>
          <w:rFonts w:eastAsia="Times New Roman" w:cstheme="minorHAnsi"/>
          <w:sz w:val="24"/>
          <w:szCs w:val="24"/>
          <w:lang w:eastAsia="en-GB"/>
        </w:rPr>
        <w:t>the NHS, the National Institute for Health Research or the Department of Health.</w:t>
      </w:r>
    </w:p>
    <w:p w14:paraId="7382B067" w14:textId="77777777" w:rsidR="007266F2" w:rsidRDefault="007266F2">
      <w:pPr>
        <w:rPr>
          <w:rFonts w:eastAsia="Times New Roman" w:cstheme="minorHAnsi"/>
          <w:sz w:val="24"/>
          <w:szCs w:val="24"/>
          <w:lang w:eastAsia="en-GB"/>
        </w:rPr>
      </w:pPr>
      <w:r>
        <w:rPr>
          <w:rFonts w:eastAsia="Times New Roman" w:cstheme="minorHAnsi"/>
          <w:sz w:val="24"/>
          <w:szCs w:val="24"/>
          <w:lang w:eastAsia="en-GB"/>
        </w:rPr>
        <w:br w:type="page"/>
      </w:r>
    </w:p>
    <w:p w14:paraId="3A7C22A4" w14:textId="77777777" w:rsidR="007266F2" w:rsidRDefault="007266F2" w:rsidP="007266F2">
      <w:pPr>
        <w:spacing w:after="0" w:line="240" w:lineRule="auto"/>
        <w:rPr>
          <w:rFonts w:eastAsia="Times New Roman" w:cstheme="minorHAnsi"/>
          <w:sz w:val="24"/>
          <w:szCs w:val="24"/>
          <w:lang w:eastAsia="en-GB"/>
        </w:rPr>
      </w:pPr>
    </w:p>
    <w:p w14:paraId="5C5434B8" w14:textId="77777777" w:rsidR="007266F2" w:rsidRDefault="007266F2" w:rsidP="007266F2">
      <w:pPr>
        <w:rPr>
          <w:rFonts w:cstheme="minorHAnsi"/>
          <w:b/>
          <w:sz w:val="24"/>
          <w:szCs w:val="24"/>
        </w:rPr>
      </w:pPr>
    </w:p>
    <w:p w14:paraId="540327EF" w14:textId="5736CA9A" w:rsidR="00736D6D" w:rsidRDefault="00736D6D" w:rsidP="00736D6D">
      <w:pPr>
        <w:spacing w:line="480" w:lineRule="auto"/>
        <w:jc w:val="center"/>
        <w:rPr>
          <w:rFonts w:cstheme="minorHAnsi"/>
          <w:b/>
          <w:sz w:val="24"/>
          <w:szCs w:val="24"/>
        </w:rPr>
      </w:pPr>
      <w:r>
        <w:rPr>
          <w:rFonts w:cstheme="minorHAnsi"/>
          <w:b/>
          <w:sz w:val="24"/>
          <w:szCs w:val="24"/>
        </w:rPr>
        <w:t>The regulation of competition in the NHS – what difference has the Health and Social Care Act 2012 made?</w:t>
      </w:r>
    </w:p>
    <w:p w14:paraId="2B47E0F7" w14:textId="33AA3D7D" w:rsidR="00D62D24" w:rsidRDefault="00396028" w:rsidP="000E75BE">
      <w:pPr>
        <w:spacing w:line="480" w:lineRule="auto"/>
        <w:rPr>
          <w:rFonts w:cstheme="minorHAnsi"/>
          <w:sz w:val="24"/>
          <w:szCs w:val="24"/>
        </w:rPr>
      </w:pPr>
      <w:r>
        <w:rPr>
          <w:rFonts w:cstheme="minorHAnsi"/>
          <w:b/>
          <w:sz w:val="24"/>
          <w:szCs w:val="24"/>
        </w:rPr>
        <w:t>ABSTRACT</w:t>
      </w:r>
      <w:r w:rsidR="00D62D24" w:rsidRPr="00283045">
        <w:rPr>
          <w:rFonts w:cstheme="minorHAnsi"/>
          <w:sz w:val="24"/>
          <w:szCs w:val="24"/>
        </w:rPr>
        <w:t xml:space="preserve"> </w:t>
      </w:r>
    </w:p>
    <w:p w14:paraId="2505BA21" w14:textId="2B7679D0" w:rsidR="0001595F" w:rsidRPr="00283045" w:rsidRDefault="0001595F" w:rsidP="000E75BE">
      <w:pPr>
        <w:spacing w:line="480" w:lineRule="auto"/>
        <w:jc w:val="both"/>
        <w:rPr>
          <w:rFonts w:cstheme="minorHAnsi"/>
          <w:sz w:val="24"/>
          <w:szCs w:val="24"/>
        </w:rPr>
      </w:pPr>
      <w:r>
        <w:rPr>
          <w:rFonts w:cstheme="minorHAnsi"/>
          <w:sz w:val="24"/>
          <w:szCs w:val="24"/>
        </w:rPr>
        <w:t>This article examines the impact of the Health and Social Care Act 2012 on the regulation of competition in the English NHS</w:t>
      </w:r>
      <w:r w:rsidR="00D66894">
        <w:rPr>
          <w:rFonts w:cstheme="minorHAnsi"/>
          <w:sz w:val="24"/>
          <w:szCs w:val="24"/>
        </w:rPr>
        <w:t>, by focusing on the change it marked from a system of sector specific regulation to one which is clearly based in competition law</w:t>
      </w:r>
      <w:r>
        <w:rPr>
          <w:rFonts w:cstheme="minorHAnsi"/>
          <w:sz w:val="24"/>
          <w:szCs w:val="24"/>
        </w:rPr>
        <w:t xml:space="preserve">. It has been suggested that the Act and its associated reforms would significantly alter accountability in the NHS, </w:t>
      </w:r>
      <w:r w:rsidR="00B61A85">
        <w:rPr>
          <w:rFonts w:cstheme="minorHAnsi"/>
          <w:sz w:val="24"/>
          <w:szCs w:val="24"/>
        </w:rPr>
        <w:t xml:space="preserve">and would </w:t>
      </w:r>
      <w:r>
        <w:rPr>
          <w:rFonts w:cstheme="minorHAnsi"/>
          <w:sz w:val="24"/>
          <w:szCs w:val="24"/>
        </w:rPr>
        <w:t>chang</w:t>
      </w:r>
      <w:r w:rsidR="00B61A85">
        <w:rPr>
          <w:rFonts w:cstheme="minorHAnsi"/>
          <w:sz w:val="24"/>
          <w:szCs w:val="24"/>
        </w:rPr>
        <w:t>e</w:t>
      </w:r>
      <w:r>
        <w:rPr>
          <w:rFonts w:cstheme="minorHAnsi"/>
          <w:sz w:val="24"/>
          <w:szCs w:val="24"/>
        </w:rPr>
        <w:t xml:space="preserve"> decisions from the remit of public policy to that of the law. To assess the impact the Act has had in practice, the article compares the</w:t>
      </w:r>
      <w:r w:rsidR="00D66894">
        <w:rPr>
          <w:rFonts w:cstheme="minorHAnsi"/>
          <w:sz w:val="24"/>
          <w:szCs w:val="24"/>
        </w:rPr>
        <w:t xml:space="preserve"> interpretation of the rules regarding competition in the NHS by the regulators of competition</w:t>
      </w:r>
      <w:r>
        <w:rPr>
          <w:rFonts w:cstheme="minorHAnsi"/>
          <w:sz w:val="24"/>
          <w:szCs w:val="24"/>
        </w:rPr>
        <w:t xml:space="preserve"> immediately prior to, and following, the passing of the Act. It argues that, whilst the reforms have the potential significantly </w:t>
      </w:r>
      <w:r w:rsidR="004711CC">
        <w:rPr>
          <w:rFonts w:cstheme="minorHAnsi"/>
          <w:sz w:val="24"/>
          <w:szCs w:val="24"/>
        </w:rPr>
        <w:t xml:space="preserve">to </w:t>
      </w:r>
      <w:r>
        <w:rPr>
          <w:rFonts w:cstheme="minorHAnsi"/>
          <w:sz w:val="24"/>
          <w:szCs w:val="24"/>
        </w:rPr>
        <w:t>alter the way competition in the NHS is regulated, the impact of the reforms in this area is limited by the development of systems within the NHS to manage and resolve issues internally where possible</w:t>
      </w:r>
      <w:r w:rsidR="0026377B">
        <w:rPr>
          <w:rFonts w:cstheme="minorHAnsi"/>
          <w:sz w:val="24"/>
          <w:szCs w:val="24"/>
        </w:rPr>
        <w:t xml:space="preserve">. </w:t>
      </w:r>
    </w:p>
    <w:p w14:paraId="1A7514DD" w14:textId="77777777" w:rsidR="001C492A" w:rsidRDefault="001C492A">
      <w:pPr>
        <w:rPr>
          <w:rFonts w:cstheme="minorHAnsi"/>
          <w:b/>
          <w:sz w:val="24"/>
          <w:szCs w:val="24"/>
        </w:rPr>
      </w:pPr>
      <w:r>
        <w:rPr>
          <w:rFonts w:cstheme="minorHAnsi"/>
          <w:b/>
          <w:sz w:val="24"/>
          <w:szCs w:val="24"/>
        </w:rPr>
        <w:br w:type="page"/>
      </w:r>
    </w:p>
    <w:p w14:paraId="0C86F69D" w14:textId="5DF8522B" w:rsidR="006B2DCF" w:rsidRPr="00283045" w:rsidRDefault="00D62D24" w:rsidP="000E75BE">
      <w:pPr>
        <w:spacing w:line="480" w:lineRule="auto"/>
        <w:rPr>
          <w:rFonts w:cstheme="minorHAnsi"/>
          <w:b/>
          <w:sz w:val="24"/>
          <w:szCs w:val="24"/>
        </w:rPr>
      </w:pPr>
      <w:r w:rsidRPr="00283045">
        <w:rPr>
          <w:rFonts w:cstheme="minorHAnsi"/>
          <w:b/>
          <w:sz w:val="24"/>
          <w:szCs w:val="24"/>
        </w:rPr>
        <w:lastRenderedPageBreak/>
        <w:t>INTRODUCTION</w:t>
      </w:r>
    </w:p>
    <w:p w14:paraId="34E675B2" w14:textId="23E98E13" w:rsidR="008A098D" w:rsidRDefault="00B65875" w:rsidP="00EA74D2">
      <w:pPr>
        <w:spacing w:line="480" w:lineRule="auto"/>
        <w:jc w:val="both"/>
        <w:rPr>
          <w:rFonts w:cstheme="minorHAnsi"/>
          <w:sz w:val="24"/>
          <w:szCs w:val="24"/>
        </w:rPr>
      </w:pPr>
      <w:r>
        <w:rPr>
          <w:rFonts w:cstheme="minorHAnsi"/>
          <w:sz w:val="24"/>
          <w:szCs w:val="24"/>
        </w:rPr>
        <w:t xml:space="preserve">In common with many </w:t>
      </w:r>
      <w:r w:rsidRPr="001D202A">
        <w:rPr>
          <w:rFonts w:cstheme="minorHAnsi"/>
          <w:color w:val="000000" w:themeColor="text1"/>
          <w:sz w:val="24"/>
          <w:szCs w:val="24"/>
        </w:rPr>
        <w:t xml:space="preserve">OECD countries, </w:t>
      </w:r>
      <w:r>
        <w:rPr>
          <w:rFonts w:cstheme="minorHAnsi"/>
          <w:sz w:val="24"/>
          <w:szCs w:val="24"/>
        </w:rPr>
        <w:t xml:space="preserve">the National Health Service (NHS) in England has </w:t>
      </w:r>
      <w:r w:rsidR="00594E71">
        <w:rPr>
          <w:rFonts w:cstheme="minorHAnsi"/>
          <w:sz w:val="24"/>
          <w:szCs w:val="24"/>
        </w:rPr>
        <w:t>a long standing interest in the use of incentives for competition in the provision of services.</w:t>
      </w:r>
      <w:r w:rsidR="0043050E">
        <w:rPr>
          <w:rFonts w:cstheme="minorHAnsi"/>
          <w:sz w:val="24"/>
          <w:szCs w:val="24"/>
        </w:rPr>
        <w:t xml:space="preserve"> </w:t>
      </w:r>
      <w:r w:rsidR="00594E71">
        <w:rPr>
          <w:rFonts w:cstheme="minorHAnsi"/>
          <w:sz w:val="24"/>
          <w:szCs w:val="24"/>
        </w:rPr>
        <w:t xml:space="preserve">An important </w:t>
      </w:r>
      <w:r w:rsidR="00D83164">
        <w:rPr>
          <w:rFonts w:cstheme="minorHAnsi"/>
          <w:sz w:val="24"/>
          <w:szCs w:val="24"/>
        </w:rPr>
        <w:t xml:space="preserve">accompaniment to </w:t>
      </w:r>
      <w:r w:rsidR="00594E71">
        <w:rPr>
          <w:rFonts w:cstheme="minorHAnsi"/>
          <w:sz w:val="24"/>
          <w:szCs w:val="24"/>
        </w:rPr>
        <w:t xml:space="preserve">the development of competition is the </w:t>
      </w:r>
      <w:r w:rsidR="00B95545">
        <w:rPr>
          <w:rFonts w:cstheme="minorHAnsi"/>
          <w:sz w:val="24"/>
          <w:szCs w:val="24"/>
        </w:rPr>
        <w:t xml:space="preserve">development of </w:t>
      </w:r>
      <w:r w:rsidR="000D5C37">
        <w:rPr>
          <w:rFonts w:cstheme="minorHAnsi"/>
          <w:sz w:val="24"/>
          <w:szCs w:val="24"/>
        </w:rPr>
        <w:t>rules</w:t>
      </w:r>
      <w:r w:rsidR="00D83164">
        <w:rPr>
          <w:rFonts w:cstheme="minorHAnsi"/>
          <w:sz w:val="24"/>
          <w:szCs w:val="24"/>
        </w:rPr>
        <w:t xml:space="preserve"> to </w:t>
      </w:r>
      <w:r w:rsidR="000D5C37">
        <w:rPr>
          <w:rFonts w:cstheme="minorHAnsi"/>
          <w:sz w:val="24"/>
          <w:szCs w:val="24"/>
        </w:rPr>
        <w:t>govern behaviour</w:t>
      </w:r>
      <w:r w:rsidR="000C1384" w:rsidRPr="005E1D33">
        <w:rPr>
          <w:rFonts w:cstheme="minorHAnsi"/>
          <w:sz w:val="24"/>
          <w:szCs w:val="24"/>
        </w:rPr>
        <w:t>.</w:t>
      </w:r>
      <w:r w:rsidR="00C5641F" w:rsidRPr="005E1D33">
        <w:rPr>
          <w:rFonts w:cstheme="minorHAnsi"/>
          <w:sz w:val="24"/>
          <w:szCs w:val="24"/>
        </w:rPr>
        <w:t xml:space="preserve"> </w:t>
      </w:r>
      <w:r w:rsidR="000D5C37" w:rsidRPr="00193427">
        <w:rPr>
          <w:sz w:val="24"/>
          <w:szCs w:val="24"/>
        </w:rPr>
        <w:t>In the case of the English NHS these rules consist of both legislation (primary i.e. acts of parliament; and secondary i.e. statutory instruments) and policies issued by the Department of Health and NHS England.</w:t>
      </w:r>
      <w:r w:rsidR="00AF54DB">
        <w:t xml:space="preserve"> </w:t>
      </w:r>
      <w:r w:rsidR="00C43F98">
        <w:rPr>
          <w:rFonts w:cstheme="minorHAnsi"/>
          <w:sz w:val="24"/>
          <w:szCs w:val="24"/>
        </w:rPr>
        <w:t>A</w:t>
      </w:r>
      <w:r w:rsidR="00B95545">
        <w:rPr>
          <w:rFonts w:cstheme="minorHAnsi"/>
          <w:sz w:val="24"/>
          <w:szCs w:val="24"/>
        </w:rPr>
        <w:t xml:space="preserve"> </w:t>
      </w:r>
      <w:r w:rsidR="00D06C0D">
        <w:rPr>
          <w:rFonts w:cstheme="minorHAnsi"/>
          <w:sz w:val="24"/>
          <w:szCs w:val="24"/>
        </w:rPr>
        <w:t>significant change</w:t>
      </w:r>
      <w:r w:rsidR="00B95545">
        <w:rPr>
          <w:rFonts w:cstheme="minorHAnsi"/>
          <w:sz w:val="24"/>
          <w:szCs w:val="24"/>
        </w:rPr>
        <w:t xml:space="preserve"> in the regulation of competition in the English NHS </w:t>
      </w:r>
      <w:r w:rsidR="005E1D33">
        <w:rPr>
          <w:rFonts w:cstheme="minorHAnsi"/>
          <w:sz w:val="24"/>
          <w:szCs w:val="24"/>
        </w:rPr>
        <w:t xml:space="preserve">occurred when </w:t>
      </w:r>
      <w:r w:rsidR="00FD7FCA" w:rsidRPr="00283045">
        <w:rPr>
          <w:rFonts w:cstheme="minorHAnsi"/>
          <w:sz w:val="24"/>
          <w:szCs w:val="24"/>
        </w:rPr>
        <w:t>The Health and Social Care Act 2012</w:t>
      </w:r>
      <w:r w:rsidR="00606A06">
        <w:rPr>
          <w:rFonts w:cstheme="minorHAnsi"/>
          <w:sz w:val="24"/>
          <w:szCs w:val="24"/>
        </w:rPr>
        <w:t xml:space="preserve"> (HSCA 2012)</w:t>
      </w:r>
      <w:r w:rsidR="00FD7FCA" w:rsidRPr="00283045">
        <w:rPr>
          <w:rFonts w:cstheme="minorHAnsi"/>
          <w:sz w:val="24"/>
          <w:szCs w:val="24"/>
        </w:rPr>
        <w:t xml:space="preserve"> came into force </w:t>
      </w:r>
      <w:r w:rsidR="00E95585">
        <w:rPr>
          <w:rFonts w:cstheme="minorHAnsi"/>
          <w:sz w:val="24"/>
          <w:szCs w:val="24"/>
        </w:rPr>
        <w:t xml:space="preserve">on 1 </w:t>
      </w:r>
      <w:r w:rsidR="00FD7FCA" w:rsidRPr="00283045">
        <w:rPr>
          <w:rFonts w:cstheme="minorHAnsi"/>
          <w:sz w:val="24"/>
          <w:szCs w:val="24"/>
        </w:rPr>
        <w:t>April 2013</w:t>
      </w:r>
      <w:r w:rsidR="0059417F">
        <w:rPr>
          <w:rFonts w:cstheme="minorHAnsi"/>
          <w:sz w:val="24"/>
          <w:szCs w:val="24"/>
        </w:rPr>
        <w:t xml:space="preserve">. </w:t>
      </w:r>
      <w:r w:rsidR="004D12F2">
        <w:rPr>
          <w:rFonts w:cstheme="minorHAnsi"/>
          <w:sz w:val="24"/>
          <w:szCs w:val="24"/>
        </w:rPr>
        <w:t>Whilst t</w:t>
      </w:r>
      <w:r w:rsidR="009B2DBE">
        <w:rPr>
          <w:rFonts w:cstheme="minorHAnsi"/>
          <w:sz w:val="24"/>
          <w:szCs w:val="24"/>
        </w:rPr>
        <w:t>he</w:t>
      </w:r>
      <w:r w:rsidR="00054403">
        <w:rPr>
          <w:rFonts w:cstheme="minorHAnsi"/>
          <w:sz w:val="24"/>
          <w:szCs w:val="24"/>
        </w:rPr>
        <w:t xml:space="preserve"> reforms</w:t>
      </w:r>
      <w:r w:rsidR="004D12F2">
        <w:rPr>
          <w:rFonts w:cstheme="minorHAnsi"/>
          <w:sz w:val="24"/>
          <w:szCs w:val="24"/>
        </w:rPr>
        <w:t xml:space="preserve"> </w:t>
      </w:r>
      <w:r w:rsidR="005E1D33">
        <w:rPr>
          <w:rFonts w:cstheme="minorHAnsi"/>
          <w:sz w:val="24"/>
          <w:szCs w:val="24"/>
        </w:rPr>
        <w:t>of</w:t>
      </w:r>
      <w:r w:rsidR="004D12F2">
        <w:rPr>
          <w:rFonts w:cstheme="minorHAnsi"/>
          <w:sz w:val="24"/>
          <w:szCs w:val="24"/>
        </w:rPr>
        <w:t xml:space="preserve"> HSCA 2012</w:t>
      </w:r>
      <w:r w:rsidR="00054403">
        <w:rPr>
          <w:rFonts w:cstheme="minorHAnsi"/>
          <w:sz w:val="24"/>
          <w:szCs w:val="24"/>
        </w:rPr>
        <w:t xml:space="preserve"> in many ways continued the direction of travel</w:t>
      </w:r>
      <w:r w:rsidR="00E81D8C">
        <w:rPr>
          <w:rFonts w:cstheme="minorHAnsi"/>
          <w:sz w:val="24"/>
          <w:szCs w:val="24"/>
        </w:rPr>
        <w:t xml:space="preserve"> for the incentivisation of competition</w:t>
      </w:r>
      <w:r w:rsidR="000C1384">
        <w:rPr>
          <w:rFonts w:cstheme="minorHAnsi"/>
          <w:sz w:val="24"/>
          <w:szCs w:val="24"/>
        </w:rPr>
        <w:t xml:space="preserve"> in the English NHS</w:t>
      </w:r>
      <w:r w:rsidR="004D12F2">
        <w:rPr>
          <w:rFonts w:cstheme="minorHAnsi"/>
          <w:sz w:val="24"/>
          <w:szCs w:val="24"/>
        </w:rPr>
        <w:t xml:space="preserve">, </w:t>
      </w:r>
      <w:r w:rsidR="00D06C0D">
        <w:rPr>
          <w:rFonts w:cstheme="minorHAnsi"/>
          <w:sz w:val="24"/>
          <w:szCs w:val="24"/>
        </w:rPr>
        <w:t>the legislation</w:t>
      </w:r>
      <w:r w:rsidR="00C720A4">
        <w:rPr>
          <w:rFonts w:cstheme="minorHAnsi"/>
          <w:sz w:val="24"/>
          <w:szCs w:val="24"/>
        </w:rPr>
        <w:t xml:space="preserve"> </w:t>
      </w:r>
      <w:r w:rsidR="00054403">
        <w:rPr>
          <w:rFonts w:cstheme="minorHAnsi"/>
          <w:sz w:val="24"/>
          <w:szCs w:val="24"/>
        </w:rPr>
        <w:t>significant</w:t>
      </w:r>
      <w:r w:rsidR="00C720A4">
        <w:rPr>
          <w:rFonts w:cstheme="minorHAnsi"/>
          <w:sz w:val="24"/>
          <w:szCs w:val="24"/>
        </w:rPr>
        <w:t xml:space="preserve">ly altered </w:t>
      </w:r>
      <w:r w:rsidR="0091136C" w:rsidRPr="00283045">
        <w:rPr>
          <w:rFonts w:cstheme="minorHAnsi"/>
          <w:sz w:val="24"/>
          <w:szCs w:val="24"/>
        </w:rPr>
        <w:t>the regul</w:t>
      </w:r>
      <w:r w:rsidR="00C720A4">
        <w:rPr>
          <w:rFonts w:cstheme="minorHAnsi"/>
          <w:sz w:val="24"/>
          <w:szCs w:val="24"/>
        </w:rPr>
        <w:t xml:space="preserve">ation of competition through the </w:t>
      </w:r>
      <w:r w:rsidR="00054403">
        <w:rPr>
          <w:rFonts w:cstheme="minorHAnsi"/>
          <w:sz w:val="24"/>
          <w:szCs w:val="24"/>
        </w:rPr>
        <w:t>clear extension of competition law</w:t>
      </w:r>
      <w:r w:rsidR="00FE4EC5">
        <w:rPr>
          <w:rFonts w:cstheme="minorHAnsi"/>
          <w:sz w:val="24"/>
          <w:szCs w:val="24"/>
        </w:rPr>
        <w:t xml:space="preserve"> to apply to the planning and provision of NHS services</w:t>
      </w:r>
      <w:r w:rsidR="00054403">
        <w:rPr>
          <w:rFonts w:cstheme="minorHAnsi"/>
          <w:sz w:val="24"/>
          <w:szCs w:val="24"/>
        </w:rPr>
        <w:t>.</w:t>
      </w:r>
      <w:r w:rsidR="0091136C" w:rsidRPr="00283045">
        <w:rPr>
          <w:rFonts w:cstheme="minorHAnsi"/>
          <w:sz w:val="24"/>
          <w:szCs w:val="24"/>
        </w:rPr>
        <w:t xml:space="preserve"> </w:t>
      </w:r>
      <w:r w:rsidR="00AF3E49">
        <w:rPr>
          <w:rFonts w:cstheme="minorHAnsi"/>
          <w:sz w:val="24"/>
          <w:szCs w:val="24"/>
        </w:rPr>
        <w:t xml:space="preserve"> The implications of </w:t>
      </w:r>
      <w:r w:rsidR="00D83164">
        <w:rPr>
          <w:rFonts w:cstheme="minorHAnsi"/>
          <w:sz w:val="24"/>
          <w:szCs w:val="24"/>
        </w:rPr>
        <w:t>this</w:t>
      </w:r>
      <w:r w:rsidR="003E4868">
        <w:rPr>
          <w:rFonts w:cstheme="minorHAnsi"/>
          <w:sz w:val="24"/>
          <w:szCs w:val="24"/>
        </w:rPr>
        <w:t xml:space="preserve"> increased emphasis on the rule of law</w:t>
      </w:r>
      <w:r w:rsidR="00AF3E49">
        <w:rPr>
          <w:rFonts w:cstheme="minorHAnsi"/>
          <w:sz w:val="24"/>
          <w:szCs w:val="24"/>
        </w:rPr>
        <w:t xml:space="preserve"> in the regulation of </w:t>
      </w:r>
      <w:r w:rsidR="00A61F3D">
        <w:rPr>
          <w:rFonts w:cstheme="minorHAnsi"/>
          <w:sz w:val="24"/>
          <w:szCs w:val="24"/>
        </w:rPr>
        <w:t xml:space="preserve">NHS </w:t>
      </w:r>
      <w:r w:rsidR="00AF3E49">
        <w:rPr>
          <w:rFonts w:cstheme="minorHAnsi"/>
          <w:sz w:val="24"/>
          <w:szCs w:val="24"/>
        </w:rPr>
        <w:t xml:space="preserve">competition are </w:t>
      </w:r>
      <w:r w:rsidR="000C1384">
        <w:rPr>
          <w:rFonts w:cstheme="minorHAnsi"/>
          <w:sz w:val="24"/>
          <w:szCs w:val="24"/>
        </w:rPr>
        <w:t>the focus of</w:t>
      </w:r>
      <w:r w:rsidR="00AF3E49">
        <w:rPr>
          <w:rFonts w:cstheme="minorHAnsi"/>
          <w:sz w:val="24"/>
          <w:szCs w:val="24"/>
        </w:rPr>
        <w:t xml:space="preserve"> this paper.</w:t>
      </w:r>
      <w:r w:rsidR="001E7921">
        <w:rPr>
          <w:rFonts w:cstheme="minorHAnsi"/>
          <w:sz w:val="24"/>
          <w:szCs w:val="24"/>
        </w:rPr>
        <w:t xml:space="preserve"> </w:t>
      </w:r>
      <w:r w:rsidR="00DB42B3">
        <w:rPr>
          <w:rFonts w:cstheme="minorHAnsi"/>
          <w:sz w:val="24"/>
          <w:szCs w:val="24"/>
        </w:rPr>
        <w:t xml:space="preserve">As shall be explored in further detail below, prior to HSCA 2012, </w:t>
      </w:r>
      <w:r w:rsidR="00D83164">
        <w:rPr>
          <w:rFonts w:cstheme="minorHAnsi"/>
          <w:sz w:val="24"/>
          <w:szCs w:val="24"/>
        </w:rPr>
        <w:t>the connection between NHS competition and competition law was largely theoretical. C</w:t>
      </w:r>
      <w:r w:rsidR="00DB42B3">
        <w:rPr>
          <w:rFonts w:cstheme="minorHAnsi"/>
          <w:sz w:val="24"/>
          <w:szCs w:val="24"/>
        </w:rPr>
        <w:t xml:space="preserve">ompetition in the NHS was </w:t>
      </w:r>
      <w:r w:rsidR="00907885">
        <w:rPr>
          <w:rFonts w:cstheme="minorHAnsi"/>
          <w:sz w:val="24"/>
          <w:szCs w:val="24"/>
        </w:rPr>
        <w:t>regulated through</w:t>
      </w:r>
      <w:r w:rsidR="00DB42B3">
        <w:rPr>
          <w:rFonts w:cstheme="minorHAnsi"/>
          <w:sz w:val="24"/>
          <w:szCs w:val="24"/>
        </w:rPr>
        <w:t xml:space="preserve"> </w:t>
      </w:r>
      <w:r w:rsidR="00A61F3D">
        <w:rPr>
          <w:rFonts w:cstheme="minorHAnsi"/>
          <w:sz w:val="24"/>
          <w:szCs w:val="24"/>
        </w:rPr>
        <w:t>compliance with sector specific rules</w:t>
      </w:r>
      <w:r w:rsidR="00D83164">
        <w:rPr>
          <w:rFonts w:cstheme="minorHAnsi"/>
          <w:sz w:val="24"/>
          <w:szCs w:val="24"/>
        </w:rPr>
        <w:t xml:space="preserve"> monitored by bodies within the NHS hierarchy</w:t>
      </w:r>
      <w:r w:rsidR="00DB42B3">
        <w:rPr>
          <w:rFonts w:cstheme="minorHAnsi"/>
          <w:sz w:val="24"/>
          <w:szCs w:val="24"/>
        </w:rPr>
        <w:t>. HSCA 2012 altered this</w:t>
      </w:r>
      <w:r w:rsidR="00A61F3D">
        <w:rPr>
          <w:rFonts w:cstheme="minorHAnsi"/>
          <w:sz w:val="24"/>
          <w:szCs w:val="24"/>
        </w:rPr>
        <w:t xml:space="preserve"> internally focused arrangement</w:t>
      </w:r>
      <w:r w:rsidR="00DB42B3">
        <w:rPr>
          <w:rFonts w:cstheme="minorHAnsi"/>
          <w:sz w:val="24"/>
          <w:szCs w:val="24"/>
        </w:rPr>
        <w:t xml:space="preserve"> by </w:t>
      </w:r>
      <w:r w:rsidR="008B69F1">
        <w:rPr>
          <w:rFonts w:cstheme="minorHAnsi"/>
          <w:sz w:val="24"/>
          <w:szCs w:val="24"/>
        </w:rPr>
        <w:t xml:space="preserve">recasting the sector specific rules in a legal framework, </w:t>
      </w:r>
      <w:r w:rsidR="00DB42B3">
        <w:rPr>
          <w:rFonts w:cstheme="minorHAnsi"/>
          <w:sz w:val="24"/>
          <w:szCs w:val="24"/>
        </w:rPr>
        <w:t xml:space="preserve">making </w:t>
      </w:r>
      <w:r w:rsidR="00A61F3D">
        <w:rPr>
          <w:rFonts w:cstheme="minorHAnsi"/>
          <w:sz w:val="24"/>
          <w:szCs w:val="24"/>
        </w:rPr>
        <w:t>an explicit</w:t>
      </w:r>
      <w:r w:rsidR="00DB42B3">
        <w:rPr>
          <w:rFonts w:cstheme="minorHAnsi"/>
          <w:sz w:val="24"/>
          <w:szCs w:val="24"/>
        </w:rPr>
        <w:t xml:space="preserve"> connection </w:t>
      </w:r>
      <w:r w:rsidR="00A61F3D">
        <w:rPr>
          <w:rFonts w:cstheme="minorHAnsi"/>
          <w:sz w:val="24"/>
          <w:szCs w:val="24"/>
        </w:rPr>
        <w:t>between NHS competition and</w:t>
      </w:r>
      <w:r w:rsidR="00DB42B3">
        <w:rPr>
          <w:rFonts w:cstheme="minorHAnsi"/>
          <w:sz w:val="24"/>
          <w:szCs w:val="24"/>
        </w:rPr>
        <w:t xml:space="preserve"> </w:t>
      </w:r>
      <w:r w:rsidR="008B69F1">
        <w:rPr>
          <w:rFonts w:cstheme="minorHAnsi"/>
          <w:sz w:val="24"/>
          <w:szCs w:val="24"/>
        </w:rPr>
        <w:t xml:space="preserve">existing national </w:t>
      </w:r>
      <w:r w:rsidR="00DB42B3">
        <w:rPr>
          <w:rFonts w:cstheme="minorHAnsi"/>
          <w:sz w:val="24"/>
          <w:szCs w:val="24"/>
        </w:rPr>
        <w:t xml:space="preserve">competition </w:t>
      </w:r>
      <w:r w:rsidR="008B69F1">
        <w:rPr>
          <w:rFonts w:cstheme="minorHAnsi"/>
          <w:sz w:val="24"/>
          <w:szCs w:val="24"/>
        </w:rPr>
        <w:t>legislation</w:t>
      </w:r>
      <w:r w:rsidR="00DB42B3">
        <w:rPr>
          <w:rFonts w:cstheme="minorHAnsi"/>
          <w:sz w:val="24"/>
          <w:szCs w:val="24"/>
        </w:rPr>
        <w:t>,</w:t>
      </w:r>
      <w:r w:rsidR="003E4868">
        <w:rPr>
          <w:rFonts w:cstheme="minorHAnsi"/>
          <w:sz w:val="24"/>
          <w:szCs w:val="24"/>
        </w:rPr>
        <w:t xml:space="preserve"> and</w:t>
      </w:r>
      <w:r w:rsidR="008B69F1">
        <w:rPr>
          <w:rFonts w:cstheme="minorHAnsi"/>
          <w:sz w:val="24"/>
          <w:szCs w:val="24"/>
        </w:rPr>
        <w:t xml:space="preserve">, in doing so, </w:t>
      </w:r>
      <w:r w:rsidR="00A61F3D">
        <w:rPr>
          <w:rFonts w:cstheme="minorHAnsi"/>
          <w:sz w:val="24"/>
          <w:szCs w:val="24"/>
        </w:rPr>
        <w:t>clarifying and formalising the role of national competition authorities in the regulation of</w:t>
      </w:r>
      <w:r w:rsidR="00DB42B3">
        <w:rPr>
          <w:rFonts w:cstheme="minorHAnsi"/>
          <w:sz w:val="24"/>
          <w:szCs w:val="24"/>
        </w:rPr>
        <w:t xml:space="preserve"> competition</w:t>
      </w:r>
      <w:r w:rsidR="00A61F3D">
        <w:rPr>
          <w:rFonts w:cstheme="minorHAnsi"/>
          <w:sz w:val="24"/>
          <w:szCs w:val="24"/>
        </w:rPr>
        <w:t xml:space="preserve"> in the NHS</w:t>
      </w:r>
      <w:r w:rsidR="00DB42B3">
        <w:rPr>
          <w:rFonts w:cstheme="minorHAnsi"/>
          <w:sz w:val="24"/>
          <w:szCs w:val="24"/>
        </w:rPr>
        <w:t xml:space="preserve">. </w:t>
      </w:r>
      <w:r w:rsidR="003E4868">
        <w:rPr>
          <w:rFonts w:cstheme="minorHAnsi"/>
          <w:sz w:val="24"/>
          <w:szCs w:val="24"/>
        </w:rPr>
        <w:t xml:space="preserve"> </w:t>
      </w:r>
      <w:r w:rsidR="00112309">
        <w:rPr>
          <w:rFonts w:cstheme="minorHAnsi"/>
          <w:sz w:val="24"/>
          <w:szCs w:val="24"/>
        </w:rPr>
        <w:t xml:space="preserve"> </w:t>
      </w:r>
    </w:p>
    <w:p w14:paraId="083DF526" w14:textId="672281D0" w:rsidR="008A098D" w:rsidRDefault="008B69F1" w:rsidP="00283045">
      <w:pPr>
        <w:spacing w:line="480" w:lineRule="auto"/>
        <w:jc w:val="both"/>
        <w:rPr>
          <w:rFonts w:cstheme="minorHAnsi"/>
          <w:sz w:val="24"/>
          <w:szCs w:val="24"/>
        </w:rPr>
      </w:pPr>
      <w:r>
        <w:rPr>
          <w:rFonts w:cstheme="minorHAnsi"/>
          <w:sz w:val="24"/>
          <w:szCs w:val="24"/>
        </w:rPr>
        <w:lastRenderedPageBreak/>
        <w:t xml:space="preserve">Whilst </w:t>
      </w:r>
      <w:r w:rsidR="00907885">
        <w:rPr>
          <w:rFonts w:cstheme="minorHAnsi"/>
          <w:sz w:val="24"/>
          <w:szCs w:val="24"/>
        </w:rPr>
        <w:t xml:space="preserve">the introduction of </w:t>
      </w:r>
      <w:r>
        <w:rPr>
          <w:rFonts w:cstheme="minorHAnsi"/>
          <w:sz w:val="24"/>
          <w:szCs w:val="24"/>
        </w:rPr>
        <w:t>HSCA 2012 has caused a great deal o</w:t>
      </w:r>
      <w:r w:rsidR="00B659B3">
        <w:rPr>
          <w:rFonts w:cstheme="minorHAnsi"/>
          <w:sz w:val="24"/>
          <w:szCs w:val="24"/>
        </w:rPr>
        <w:t>f consternation and controversy</w:t>
      </w:r>
      <w:r w:rsidR="006E3CEC">
        <w:rPr>
          <w:rFonts w:cstheme="minorHAnsi"/>
          <w:sz w:val="24"/>
          <w:szCs w:val="24"/>
        </w:rPr>
        <w:t xml:space="preserve"> </w:t>
      </w:r>
      <w:r w:rsidR="001A2F4A">
        <w:rPr>
          <w:rFonts w:cstheme="minorHAnsi"/>
          <w:sz w:val="24"/>
          <w:szCs w:val="24"/>
        </w:rPr>
        <w:fldChar w:fldCharType="begin"/>
      </w:r>
      <w:r w:rsidR="001A2F4A">
        <w:rPr>
          <w:rFonts w:cstheme="minorHAnsi"/>
          <w:sz w:val="24"/>
          <w:szCs w:val="24"/>
        </w:rPr>
        <w:instrText xml:space="preserve"> ADDIN EN.CITE &lt;EndNote&gt;&lt;Cite&gt;&lt;Author&gt;Timmins&lt;/Author&gt;&lt;Year&gt;2012&lt;/Year&gt;&lt;RecNum&gt;388&lt;/RecNum&gt;&lt;DisplayText&gt;(Timmins, 2012)&lt;/DisplayText&gt;&lt;record&gt;&lt;rec-number&gt;388&lt;/rec-number&gt;&lt;foreign-keys&gt;&lt;key app="EN" db-id="za50fsw09wzvx0er2t2p0d0txzrw9x59d9a5"&gt;388&lt;/key&gt;&lt;/foreign-keys&gt;&lt;ref-type name="Report"&gt;27&lt;/ref-type&gt;&lt;contributors&gt;&lt;authors&gt;&lt;author&gt;Timmins, N.&lt;/author&gt;&lt;/authors&gt;&lt;/contributors&gt;&lt;titles&gt;&lt;title&gt;Never again? The story of the Health and Social Care Act 2012&lt;/title&gt;&lt;/titles&gt;&lt;dates&gt;&lt;year&gt;2012&lt;/year&gt;&lt;/dates&gt;&lt;pub-location&gt;London&lt;/pub-location&gt;&lt;publisher&gt;The King&amp;apos;s Fund and Institute for Government&lt;/publisher&gt;&lt;urls&gt;&lt;/urls&gt;&lt;/record&gt;&lt;/Cite&gt;&lt;/EndNote&gt;</w:instrText>
      </w:r>
      <w:r w:rsidR="001A2F4A">
        <w:rPr>
          <w:rFonts w:cstheme="minorHAnsi"/>
          <w:sz w:val="24"/>
          <w:szCs w:val="24"/>
        </w:rPr>
        <w:fldChar w:fldCharType="separate"/>
      </w:r>
      <w:r w:rsidR="001A2F4A">
        <w:rPr>
          <w:rFonts w:cstheme="minorHAnsi"/>
          <w:noProof/>
          <w:sz w:val="24"/>
          <w:szCs w:val="24"/>
        </w:rPr>
        <w:t>(</w:t>
      </w:r>
      <w:hyperlink w:anchor="_ENREF_42" w:tooltip="Timmins, 2012 #388" w:history="1">
        <w:r w:rsidR="00513FB0">
          <w:rPr>
            <w:rFonts w:cstheme="minorHAnsi"/>
            <w:noProof/>
            <w:sz w:val="24"/>
            <w:szCs w:val="24"/>
          </w:rPr>
          <w:t>Timmins, 2012</w:t>
        </w:r>
      </w:hyperlink>
      <w:r w:rsidR="001A2F4A">
        <w:rPr>
          <w:rFonts w:cstheme="minorHAnsi"/>
          <w:noProof/>
          <w:sz w:val="24"/>
          <w:szCs w:val="24"/>
        </w:rPr>
        <w:t>)</w:t>
      </w:r>
      <w:r w:rsidR="001A2F4A">
        <w:rPr>
          <w:rFonts w:cstheme="minorHAnsi"/>
          <w:sz w:val="24"/>
          <w:szCs w:val="24"/>
        </w:rPr>
        <w:fldChar w:fldCharType="end"/>
      </w:r>
      <w:r>
        <w:rPr>
          <w:rFonts w:cstheme="minorHAnsi"/>
          <w:sz w:val="24"/>
          <w:szCs w:val="24"/>
        </w:rPr>
        <w:t>, much of this has</w:t>
      </w:r>
      <w:r w:rsidR="00A61F3D">
        <w:rPr>
          <w:rFonts w:cstheme="minorHAnsi"/>
          <w:sz w:val="24"/>
          <w:szCs w:val="24"/>
        </w:rPr>
        <w:t xml:space="preserve"> centred on the perceived extension of the role of competition</w:t>
      </w:r>
      <w:r w:rsidR="00B659B3">
        <w:rPr>
          <w:rFonts w:cstheme="minorHAnsi"/>
          <w:sz w:val="24"/>
          <w:szCs w:val="24"/>
        </w:rPr>
        <w:t xml:space="preserve">, particularly with reference </w:t>
      </w:r>
      <w:r w:rsidR="00A61F3D">
        <w:rPr>
          <w:rFonts w:cstheme="minorHAnsi"/>
          <w:sz w:val="24"/>
          <w:szCs w:val="24"/>
        </w:rPr>
        <w:t xml:space="preserve"> </w:t>
      </w:r>
      <w:r w:rsidR="00B659B3">
        <w:t xml:space="preserve">to the secondary legislation of the  Procurement, </w:t>
      </w:r>
      <w:r w:rsidR="00AF54DB">
        <w:t xml:space="preserve">Patient </w:t>
      </w:r>
      <w:r w:rsidR="00B659B3">
        <w:t>Choice and Competition Regulations which indicate that competitive procurement is to be preferred. However,</w:t>
      </w:r>
      <w:r w:rsidR="00CD564B">
        <w:rPr>
          <w:rFonts w:cstheme="minorHAnsi"/>
          <w:sz w:val="24"/>
          <w:szCs w:val="24"/>
        </w:rPr>
        <w:t xml:space="preserve"> the move from</w:t>
      </w:r>
      <w:r w:rsidR="00A61F3D">
        <w:rPr>
          <w:rFonts w:cstheme="minorHAnsi"/>
          <w:sz w:val="24"/>
          <w:szCs w:val="24"/>
        </w:rPr>
        <w:t xml:space="preserve"> sector specifi</w:t>
      </w:r>
      <w:r w:rsidR="00B659B3">
        <w:rPr>
          <w:rFonts w:cstheme="minorHAnsi"/>
          <w:sz w:val="24"/>
          <w:szCs w:val="24"/>
        </w:rPr>
        <w:t>c regulation to competition law is also significant.</w:t>
      </w:r>
      <w:r w:rsidR="00911A6C">
        <w:rPr>
          <w:rFonts w:cstheme="minorHAnsi"/>
          <w:sz w:val="24"/>
          <w:szCs w:val="24"/>
        </w:rPr>
        <w:t xml:space="preserve"> </w:t>
      </w:r>
      <w:r w:rsidR="00F175D9">
        <w:rPr>
          <w:rFonts w:cstheme="minorHAnsi"/>
          <w:sz w:val="24"/>
          <w:szCs w:val="24"/>
        </w:rPr>
        <w:t xml:space="preserve">HSCA 2012 </w:t>
      </w:r>
      <w:r w:rsidR="00911A6C">
        <w:rPr>
          <w:rFonts w:cstheme="minorHAnsi"/>
          <w:sz w:val="24"/>
          <w:szCs w:val="24"/>
        </w:rPr>
        <w:t>marks a significant change in the status of the rules regarding competition concerning</w:t>
      </w:r>
      <w:r w:rsidR="00F175D9">
        <w:rPr>
          <w:rFonts w:cstheme="minorHAnsi"/>
          <w:sz w:val="24"/>
          <w:szCs w:val="24"/>
        </w:rPr>
        <w:t xml:space="preserve"> how and by whom those rules are to be interpreted and enforced. </w:t>
      </w:r>
      <w:r w:rsidR="00A61F3D">
        <w:rPr>
          <w:rFonts w:cstheme="minorHAnsi"/>
          <w:sz w:val="24"/>
          <w:szCs w:val="24"/>
        </w:rPr>
        <w:t xml:space="preserve"> </w:t>
      </w:r>
      <w:r w:rsidR="00D14174">
        <w:rPr>
          <w:rFonts w:cstheme="minorHAnsi"/>
          <w:sz w:val="24"/>
          <w:szCs w:val="24"/>
        </w:rPr>
        <w:t>There are fears that exposing the NHS to competition law will result in a loss of control over decision making, resulting in decisions</w:t>
      </w:r>
      <w:r w:rsidR="00392C7F">
        <w:rPr>
          <w:rFonts w:cstheme="minorHAnsi"/>
          <w:sz w:val="24"/>
          <w:szCs w:val="24"/>
        </w:rPr>
        <w:t xml:space="preserve"> that are by default ‘pro-competition’, and do not consider</w:t>
      </w:r>
      <w:r w:rsidR="00D14174">
        <w:rPr>
          <w:rFonts w:cstheme="minorHAnsi"/>
          <w:sz w:val="24"/>
          <w:szCs w:val="24"/>
        </w:rPr>
        <w:t xml:space="preserve"> the specifics of the NHS</w:t>
      </w:r>
      <w:r w:rsidR="00193427">
        <w:rPr>
          <w:rFonts w:cstheme="minorHAnsi"/>
          <w:sz w:val="24"/>
          <w:szCs w:val="24"/>
        </w:rPr>
        <w:t xml:space="preserve"> </w:t>
      </w:r>
      <w:r w:rsidR="00193427">
        <w:rPr>
          <w:rFonts w:cstheme="minorHAnsi"/>
          <w:sz w:val="24"/>
          <w:szCs w:val="24"/>
        </w:rPr>
        <w:fldChar w:fldCharType="begin"/>
      </w:r>
      <w:r w:rsidR="00193427">
        <w:rPr>
          <w:rFonts w:cstheme="minorHAnsi"/>
          <w:sz w:val="24"/>
          <w:szCs w:val="24"/>
        </w:rPr>
        <w:instrText xml:space="preserve"> ADDIN EN.CITE &lt;EndNote&gt;&lt;Cite&gt;&lt;Author&gt;Toynbee&lt;/Author&gt;&lt;Year&gt;2013&lt;/Year&gt;&lt;RecNum&gt;656&lt;/RecNum&gt;&lt;DisplayText&gt;(Toynbee, 2013, Hudson, 2013)&lt;/DisplayText&gt;&lt;record&gt;&lt;rec-number&gt;656&lt;/rec-number&gt;&lt;foreign-keys&gt;&lt;key app="EN" db-id="za50fsw09wzvx0er2t2p0d0txzrw9x59d9a5"&gt;656&lt;/key&gt;&lt;/foreign-keys&gt;&lt;ref-type name="Newspaper Article"&gt;23&lt;/ref-type&gt;&lt;contributors&gt;&lt;authors&gt;&lt;author&gt;Toynbee, P.&lt;/author&gt;&lt;/authors&gt;&lt;/contributors&gt;&lt;titles&gt;&lt;title&gt;Competition is killing the NHS, for no good reason but ideology&lt;/title&gt;&lt;secondary-title&gt;The Guardian&lt;/secondary-title&gt;&lt;/titles&gt;&lt;dates&gt;&lt;year&gt;2013&lt;/year&gt;&lt;/dates&gt;&lt;urls&gt;&lt;related-urls&gt;&lt;url&gt;http://www.theguardian.com/commentisfree/2013/nov/15/competition-killing-nhs-bournemouth-poole?CMP=share_btn_link&lt;/url&gt;&lt;/related-urls&gt;&lt;/urls&gt;&lt;access-date&gt;25/01/2016&lt;/access-date&gt;&lt;/record&gt;&lt;/Cite&gt;&lt;Cite&gt;&lt;Author&gt;Hudson&lt;/Author&gt;&lt;Year&gt;2013&lt;/Year&gt;&lt;RecNum&gt;429&lt;/RecNum&gt;&lt;record&gt;&lt;rec-number&gt;429&lt;/rec-number&gt;&lt;foreign-keys&gt;&lt;key app="EN" db-id="za50fsw09wzvx0er2t2p0d0txzrw9x59d9a5"&gt;429&lt;/key&gt;&lt;/foreign-keys&gt;&lt;ref-type name="Report"&gt;27&lt;/ref-type&gt;&lt;contributors&gt;&lt;authors&gt;&lt;author&gt;Hudson, B.&lt;/author&gt;&lt;/authors&gt;&lt;/contributors&gt;&lt;titles&gt;&lt;title&gt;Competition and Collaboration in the &amp;apos;new NHS&amp;apos;&lt;/title&gt;&lt;/titles&gt;&lt;dates&gt;&lt;year&gt;2013&lt;/year&gt;&lt;/dates&gt;&lt;publisher&gt;Centre for Health and the Public Interest&lt;/publisher&gt;&lt;urls&gt;&lt;/urls&gt;&lt;/record&gt;&lt;/Cite&gt;&lt;/EndNote&gt;</w:instrText>
      </w:r>
      <w:r w:rsidR="00193427">
        <w:rPr>
          <w:rFonts w:cstheme="minorHAnsi"/>
          <w:sz w:val="24"/>
          <w:szCs w:val="24"/>
        </w:rPr>
        <w:fldChar w:fldCharType="separate"/>
      </w:r>
      <w:r w:rsidR="00193427">
        <w:rPr>
          <w:rFonts w:cstheme="minorHAnsi"/>
          <w:noProof/>
          <w:sz w:val="24"/>
          <w:szCs w:val="24"/>
        </w:rPr>
        <w:t>(</w:t>
      </w:r>
      <w:hyperlink w:anchor="_ENREF_43" w:tooltip="Toynbee, 2013 #656" w:history="1">
        <w:r w:rsidR="00513FB0">
          <w:rPr>
            <w:rFonts w:cstheme="minorHAnsi"/>
            <w:noProof/>
            <w:sz w:val="24"/>
            <w:szCs w:val="24"/>
          </w:rPr>
          <w:t>Toynbee, 2013</w:t>
        </w:r>
      </w:hyperlink>
      <w:r w:rsidR="00193427">
        <w:rPr>
          <w:rFonts w:cstheme="minorHAnsi"/>
          <w:noProof/>
          <w:sz w:val="24"/>
          <w:szCs w:val="24"/>
        </w:rPr>
        <w:t xml:space="preserve">, </w:t>
      </w:r>
      <w:hyperlink w:anchor="_ENREF_24" w:tooltip="Hudson, 2013 #429" w:history="1">
        <w:r w:rsidR="00513FB0">
          <w:rPr>
            <w:rFonts w:cstheme="minorHAnsi"/>
            <w:noProof/>
            <w:sz w:val="24"/>
            <w:szCs w:val="24"/>
          </w:rPr>
          <w:t>Hudson, 2013</w:t>
        </w:r>
      </w:hyperlink>
      <w:r w:rsidR="00193427">
        <w:rPr>
          <w:rFonts w:cstheme="minorHAnsi"/>
          <w:noProof/>
          <w:sz w:val="24"/>
          <w:szCs w:val="24"/>
        </w:rPr>
        <w:t>)</w:t>
      </w:r>
      <w:r w:rsidR="00193427">
        <w:rPr>
          <w:rFonts w:cstheme="minorHAnsi"/>
          <w:sz w:val="24"/>
          <w:szCs w:val="24"/>
        </w:rPr>
        <w:fldChar w:fldCharType="end"/>
      </w:r>
      <w:r w:rsidR="00392C7F">
        <w:rPr>
          <w:rFonts w:cstheme="minorHAnsi"/>
          <w:sz w:val="24"/>
          <w:szCs w:val="24"/>
        </w:rPr>
        <w:t xml:space="preserve">. </w:t>
      </w:r>
      <w:r w:rsidR="001D0C90">
        <w:rPr>
          <w:rFonts w:cstheme="minorHAnsi"/>
          <w:sz w:val="24"/>
          <w:szCs w:val="24"/>
        </w:rPr>
        <w:t xml:space="preserve">One school of thought is </w:t>
      </w:r>
      <w:r w:rsidR="00985AD2">
        <w:rPr>
          <w:rFonts w:cstheme="minorHAnsi"/>
          <w:sz w:val="24"/>
          <w:szCs w:val="24"/>
        </w:rPr>
        <w:t>that the</w:t>
      </w:r>
      <w:r w:rsidR="00211E2F">
        <w:rPr>
          <w:rFonts w:cstheme="minorHAnsi"/>
          <w:sz w:val="24"/>
          <w:szCs w:val="24"/>
        </w:rPr>
        <w:t xml:space="preserve"> </w:t>
      </w:r>
      <w:r w:rsidR="00392C7F">
        <w:rPr>
          <w:rFonts w:cstheme="minorHAnsi"/>
          <w:sz w:val="24"/>
          <w:szCs w:val="24"/>
        </w:rPr>
        <w:t xml:space="preserve">clarified </w:t>
      </w:r>
      <w:r w:rsidR="001D0C90">
        <w:rPr>
          <w:rFonts w:cstheme="minorHAnsi"/>
          <w:sz w:val="24"/>
          <w:szCs w:val="24"/>
        </w:rPr>
        <w:t xml:space="preserve">legal framework </w:t>
      </w:r>
      <w:r w:rsidR="00392C7F">
        <w:rPr>
          <w:rFonts w:cstheme="minorHAnsi"/>
          <w:sz w:val="24"/>
          <w:szCs w:val="24"/>
        </w:rPr>
        <w:t xml:space="preserve">put in place by HSCA 2012 </w:t>
      </w:r>
      <w:r w:rsidR="001D0C90">
        <w:rPr>
          <w:rFonts w:cstheme="minorHAnsi"/>
          <w:sz w:val="24"/>
          <w:szCs w:val="24"/>
        </w:rPr>
        <w:t xml:space="preserve">may lead to the </w:t>
      </w:r>
      <w:r w:rsidR="00F175D9">
        <w:rPr>
          <w:rFonts w:cstheme="minorHAnsi"/>
          <w:sz w:val="24"/>
          <w:szCs w:val="24"/>
        </w:rPr>
        <w:t>‘</w:t>
      </w:r>
      <w:r w:rsidR="00211E2F">
        <w:rPr>
          <w:rFonts w:cstheme="minorHAnsi"/>
          <w:sz w:val="24"/>
          <w:szCs w:val="24"/>
        </w:rPr>
        <w:t>juridification</w:t>
      </w:r>
      <w:r w:rsidR="00F175D9">
        <w:rPr>
          <w:rFonts w:cstheme="minorHAnsi"/>
          <w:sz w:val="24"/>
          <w:szCs w:val="24"/>
        </w:rPr>
        <w:t>’</w:t>
      </w:r>
      <w:r w:rsidR="00211E2F">
        <w:rPr>
          <w:rFonts w:cstheme="minorHAnsi"/>
          <w:sz w:val="24"/>
          <w:szCs w:val="24"/>
        </w:rPr>
        <w:t xml:space="preserve"> of the NHS quasi-market </w:t>
      </w:r>
      <w:r w:rsidR="00A95B9F">
        <w:rPr>
          <w:rFonts w:cstheme="minorHAnsi"/>
          <w:sz w:val="24"/>
          <w:szCs w:val="24"/>
        </w:rPr>
        <w:t>, where</w:t>
      </w:r>
      <w:r w:rsidR="009C0AB1">
        <w:rPr>
          <w:rFonts w:cstheme="minorHAnsi"/>
          <w:sz w:val="24"/>
          <w:szCs w:val="24"/>
        </w:rPr>
        <w:t xml:space="preserve"> quasi judicial decisions replace ministerial and local discretion</w:t>
      </w:r>
      <w:r w:rsidR="0079346A">
        <w:rPr>
          <w:rFonts w:cstheme="minorHAnsi"/>
          <w:sz w:val="24"/>
          <w:szCs w:val="24"/>
        </w:rPr>
        <w:t xml:space="preserve">, </w:t>
      </w:r>
      <w:r w:rsidR="00EE3A59" w:rsidRPr="007D0122">
        <w:rPr>
          <w:rFonts w:cstheme="minorHAnsi"/>
          <w:sz w:val="24"/>
          <w:szCs w:val="24"/>
        </w:rPr>
        <w:t xml:space="preserve">as </w:t>
      </w:r>
      <w:r w:rsidR="00EE3A59">
        <w:rPr>
          <w:rFonts w:cstheme="minorHAnsi"/>
          <w:sz w:val="24"/>
          <w:szCs w:val="24"/>
        </w:rPr>
        <w:t xml:space="preserve">the </w:t>
      </w:r>
      <w:r w:rsidR="00EE3A59" w:rsidRPr="007D0122">
        <w:rPr>
          <w:rFonts w:cstheme="minorHAnsi"/>
          <w:sz w:val="24"/>
          <w:szCs w:val="24"/>
        </w:rPr>
        <w:t xml:space="preserve">logic of competition law </w:t>
      </w:r>
      <w:r w:rsidR="00B61A85">
        <w:rPr>
          <w:rFonts w:cstheme="minorHAnsi"/>
          <w:sz w:val="24"/>
          <w:szCs w:val="24"/>
        </w:rPr>
        <w:t>dictates</w:t>
      </w:r>
      <w:r w:rsidR="00EE3A59" w:rsidRPr="007D0122">
        <w:rPr>
          <w:rFonts w:cstheme="minorHAnsi"/>
          <w:sz w:val="24"/>
          <w:szCs w:val="24"/>
        </w:rPr>
        <w:t xml:space="preserve"> that </w:t>
      </w:r>
      <w:r w:rsidR="00EE3A59">
        <w:rPr>
          <w:rFonts w:cstheme="minorHAnsi"/>
          <w:sz w:val="24"/>
          <w:szCs w:val="24"/>
        </w:rPr>
        <w:t>parties</w:t>
      </w:r>
      <w:r w:rsidR="00EE3A59" w:rsidRPr="007D0122">
        <w:rPr>
          <w:rFonts w:cstheme="minorHAnsi"/>
          <w:sz w:val="24"/>
          <w:szCs w:val="24"/>
        </w:rPr>
        <w:t xml:space="preserve"> act independently in accordance with the </w:t>
      </w:r>
      <w:r w:rsidR="00EE3A59" w:rsidRPr="004C3C03">
        <w:rPr>
          <w:rFonts w:cstheme="minorHAnsi"/>
          <w:sz w:val="24"/>
          <w:szCs w:val="24"/>
        </w:rPr>
        <w:t>la</w:t>
      </w:r>
      <w:r w:rsidR="00EE3A59" w:rsidRPr="001D202A">
        <w:rPr>
          <w:rFonts w:cstheme="minorHAnsi"/>
          <w:sz w:val="24"/>
          <w:szCs w:val="24"/>
        </w:rPr>
        <w:t>w</w:t>
      </w:r>
      <w:r w:rsidR="00891DB3">
        <w:rPr>
          <w:rFonts w:cstheme="minorHAnsi"/>
          <w:sz w:val="24"/>
          <w:szCs w:val="24"/>
        </w:rPr>
        <w:t xml:space="preserve"> </w:t>
      </w:r>
      <w:r w:rsidR="00891DB3">
        <w:rPr>
          <w:rFonts w:cstheme="minorHAnsi"/>
          <w:sz w:val="24"/>
          <w:szCs w:val="24"/>
        </w:rPr>
        <w:fldChar w:fldCharType="begin"/>
      </w:r>
      <w:r w:rsidR="00891DB3">
        <w:rPr>
          <w:rFonts w:cstheme="minorHAnsi"/>
          <w:sz w:val="24"/>
          <w:szCs w:val="24"/>
        </w:rPr>
        <w:instrText xml:space="preserve"> ADDIN EN.CITE &lt;EndNote&gt;&lt;Cite&gt;&lt;Author&gt;Davies&lt;/Author&gt;&lt;Year&gt;2013&lt;/Year&gt;&lt;RecNum&gt;419&lt;/RecNum&gt;&lt;DisplayText&gt;(Davies, 2013)&lt;/DisplayText&gt;&lt;record&gt;&lt;rec-number&gt;419&lt;/rec-number&gt;&lt;foreign-keys&gt;&lt;key app="EN" db-id="za50fsw09wzvx0er2t2p0d0txzrw9x59d9a5"&gt;419&lt;/key&gt;&lt;/foreign-keys&gt;&lt;ref-type name="Journal Article"&gt;17&lt;/ref-type&gt;&lt;contributors&gt;&lt;authors&gt;&lt;author&gt;Davies, A.C.L.,&lt;/author&gt;&lt;/authors&gt;&lt;/contributors&gt;&lt;titles&gt;&lt;title&gt;This Time, it&amp;apos;s for Real: The Health and Social Care Act 2012&lt;/title&gt;&lt;secondary-title&gt;The Modern Law Review&lt;/secondary-title&gt;&lt;/titles&gt;&lt;periodical&gt;&lt;full-title&gt;The Modern Law Review&lt;/full-title&gt;&lt;/periodical&gt;&lt;pages&gt;564-588&lt;/pages&gt;&lt;volume&gt;76&lt;/volume&gt;&lt;number&gt;3&lt;/number&gt;&lt;dates&gt;&lt;year&gt;2013&lt;/year&gt;&lt;/dates&gt;&lt;urls&gt;&lt;/urls&gt;&lt;/record&gt;&lt;/Cite&gt;&lt;/EndNote&gt;</w:instrText>
      </w:r>
      <w:r w:rsidR="00891DB3">
        <w:rPr>
          <w:rFonts w:cstheme="minorHAnsi"/>
          <w:sz w:val="24"/>
          <w:szCs w:val="24"/>
        </w:rPr>
        <w:fldChar w:fldCharType="separate"/>
      </w:r>
      <w:r w:rsidR="00891DB3">
        <w:rPr>
          <w:rFonts w:cstheme="minorHAnsi"/>
          <w:noProof/>
          <w:sz w:val="24"/>
          <w:szCs w:val="24"/>
        </w:rPr>
        <w:t>(</w:t>
      </w:r>
      <w:hyperlink w:anchor="_ENREF_12" w:tooltip="Davies, 2013 #419" w:history="1">
        <w:r w:rsidR="00513FB0">
          <w:rPr>
            <w:rFonts w:cstheme="minorHAnsi"/>
            <w:noProof/>
            <w:sz w:val="24"/>
            <w:szCs w:val="24"/>
          </w:rPr>
          <w:t>Davies, 2013</w:t>
        </w:r>
      </w:hyperlink>
      <w:r w:rsidR="00891DB3">
        <w:rPr>
          <w:rFonts w:cstheme="minorHAnsi"/>
          <w:noProof/>
          <w:sz w:val="24"/>
          <w:szCs w:val="24"/>
        </w:rPr>
        <w:t>)</w:t>
      </w:r>
      <w:r w:rsidR="00891DB3">
        <w:rPr>
          <w:rFonts w:cstheme="minorHAnsi"/>
          <w:sz w:val="24"/>
          <w:szCs w:val="24"/>
        </w:rPr>
        <w:fldChar w:fldCharType="end"/>
      </w:r>
      <w:r w:rsidR="00EE3A59" w:rsidRPr="001D202A">
        <w:rPr>
          <w:rFonts w:cstheme="minorHAnsi"/>
          <w:sz w:val="24"/>
          <w:szCs w:val="24"/>
        </w:rPr>
        <w:t xml:space="preserve">. </w:t>
      </w:r>
      <w:r w:rsidR="00FD6E1A">
        <w:rPr>
          <w:rFonts w:cstheme="minorHAnsi"/>
          <w:sz w:val="24"/>
          <w:szCs w:val="24"/>
        </w:rPr>
        <w:t>H</w:t>
      </w:r>
      <w:r w:rsidR="009A0B63">
        <w:rPr>
          <w:rFonts w:cstheme="minorHAnsi"/>
          <w:sz w:val="24"/>
          <w:szCs w:val="24"/>
        </w:rPr>
        <w:t xml:space="preserve">owever, </w:t>
      </w:r>
      <w:r w:rsidR="00B93BD0">
        <w:rPr>
          <w:rFonts w:cstheme="minorHAnsi"/>
          <w:sz w:val="24"/>
          <w:szCs w:val="24"/>
        </w:rPr>
        <w:t xml:space="preserve">evidence </w:t>
      </w:r>
      <w:r w:rsidR="00392C7F">
        <w:rPr>
          <w:rFonts w:cstheme="minorHAnsi"/>
          <w:sz w:val="24"/>
          <w:szCs w:val="24"/>
        </w:rPr>
        <w:t>relating to</w:t>
      </w:r>
      <w:r w:rsidR="00B93BD0">
        <w:rPr>
          <w:rFonts w:cstheme="minorHAnsi"/>
          <w:sz w:val="24"/>
          <w:szCs w:val="24"/>
        </w:rPr>
        <w:t xml:space="preserve"> </w:t>
      </w:r>
      <w:r w:rsidR="0079346A">
        <w:rPr>
          <w:rFonts w:cstheme="minorHAnsi"/>
          <w:sz w:val="24"/>
          <w:szCs w:val="24"/>
        </w:rPr>
        <w:t xml:space="preserve">the introduction of competition legislation into areas previously subject to sector specific competition regulation suggests that the change in mode of regulation can have minimal effect on the ground. </w:t>
      </w:r>
      <w:r w:rsidR="009A0B63">
        <w:rPr>
          <w:rFonts w:cstheme="minorHAnsi"/>
          <w:sz w:val="24"/>
          <w:szCs w:val="24"/>
        </w:rPr>
        <w:t xml:space="preserve"> Broadbent and Laughlin </w:t>
      </w:r>
      <w:r w:rsidR="00891DB3">
        <w:rPr>
          <w:rFonts w:cstheme="minorHAnsi"/>
          <w:sz w:val="24"/>
          <w:szCs w:val="24"/>
        </w:rPr>
        <w:fldChar w:fldCharType="begin"/>
      </w:r>
      <w:r w:rsidR="00891DB3">
        <w:rPr>
          <w:rFonts w:cstheme="minorHAnsi"/>
          <w:sz w:val="24"/>
          <w:szCs w:val="24"/>
        </w:rPr>
        <w:instrText xml:space="preserve"> ADDIN EN.CITE &lt;EndNote&gt;&lt;Cite ExcludeAuth="1"&gt;&lt;Author&gt;Broadbent&lt;/Author&gt;&lt;Year&gt;1997 &lt;/Year&gt;&lt;RecNum&gt;592&lt;/RecNum&gt;&lt;DisplayText&gt;(1997)&lt;/DisplayText&gt;&lt;record&gt;&lt;rec-number&gt;592&lt;/rec-number&gt;&lt;foreign-keys&gt;&lt;key app="EN" db-id="za50fsw09wzvx0er2t2p0d0txzrw9x59d9a5"&gt;592&lt;/key&gt;&lt;/foreign-keys&gt;&lt;ref-type name="Book Section"&gt;5&lt;/ref-type&gt;&lt;contributors&gt;&lt;authors&gt;&lt;author&gt;Broadbent, J.&lt;/author&gt;&lt;author&gt;Laughlin, R.&lt;/author&gt;&lt;/authors&gt;&lt;secondary-authors&gt;&lt;author&gt;Deakin, S.&lt;/author&gt;&lt;author&gt;Michie, J.&lt;/author&gt;&lt;/secondary-authors&gt;&lt;/contributors&gt;&lt;titles&gt;&lt;title&gt;Contracts, Competition, and Accounting in Health and Education&lt;/title&gt;&lt;secondary-title&gt;Contracts, Co-operation, and Competition: Studies in Economics, Management and Law&lt;/secondary-title&gt;&lt;/titles&gt;&lt;dates&gt;&lt;year&gt;1997&lt;/year&gt;&lt;/dates&gt;&lt;pub-location&gt;Oxford&lt;/pub-location&gt;&lt;publisher&gt;Oxford University Press&lt;/publisher&gt;&lt;urls&gt;&lt;/urls&gt;&lt;/record&gt;&lt;/Cite&gt;&lt;/EndNote&gt;</w:instrText>
      </w:r>
      <w:r w:rsidR="00891DB3">
        <w:rPr>
          <w:rFonts w:cstheme="minorHAnsi"/>
          <w:sz w:val="24"/>
          <w:szCs w:val="24"/>
        </w:rPr>
        <w:fldChar w:fldCharType="separate"/>
      </w:r>
      <w:r w:rsidR="00891DB3">
        <w:rPr>
          <w:rFonts w:cstheme="minorHAnsi"/>
          <w:noProof/>
          <w:sz w:val="24"/>
          <w:szCs w:val="24"/>
        </w:rPr>
        <w:t>(</w:t>
      </w:r>
      <w:hyperlink w:anchor="_ENREF_6" w:tooltip="Broadbent, 1997 #592" w:history="1">
        <w:r w:rsidR="00513FB0">
          <w:rPr>
            <w:rFonts w:cstheme="minorHAnsi"/>
            <w:noProof/>
            <w:sz w:val="24"/>
            <w:szCs w:val="24"/>
          </w:rPr>
          <w:t>1997</w:t>
        </w:r>
      </w:hyperlink>
      <w:r w:rsidR="00891DB3">
        <w:rPr>
          <w:rFonts w:cstheme="minorHAnsi"/>
          <w:noProof/>
          <w:sz w:val="24"/>
          <w:szCs w:val="24"/>
        </w:rPr>
        <w:t>)</w:t>
      </w:r>
      <w:r w:rsidR="00891DB3">
        <w:rPr>
          <w:rFonts w:cstheme="minorHAnsi"/>
          <w:sz w:val="24"/>
          <w:szCs w:val="24"/>
        </w:rPr>
        <w:fldChar w:fldCharType="end"/>
      </w:r>
      <w:r w:rsidR="00891DB3">
        <w:rPr>
          <w:rFonts w:cstheme="minorHAnsi"/>
          <w:sz w:val="24"/>
          <w:szCs w:val="24"/>
        </w:rPr>
        <w:t xml:space="preserve"> </w:t>
      </w:r>
      <w:r w:rsidR="009A0B63">
        <w:rPr>
          <w:rFonts w:cstheme="minorHAnsi"/>
          <w:sz w:val="24"/>
          <w:szCs w:val="24"/>
        </w:rPr>
        <w:t>found that the changes</w:t>
      </w:r>
      <w:r w:rsidR="00641204">
        <w:rPr>
          <w:rFonts w:cstheme="minorHAnsi"/>
          <w:sz w:val="24"/>
          <w:szCs w:val="24"/>
        </w:rPr>
        <w:t xml:space="preserve"> resulting from the  </w:t>
      </w:r>
      <w:r w:rsidR="00A95B9F">
        <w:rPr>
          <w:rFonts w:cstheme="minorHAnsi"/>
          <w:sz w:val="24"/>
          <w:szCs w:val="24"/>
        </w:rPr>
        <w:t xml:space="preserve">introduction of the </w:t>
      </w:r>
      <w:r w:rsidR="00641204">
        <w:rPr>
          <w:rFonts w:cstheme="minorHAnsi"/>
          <w:sz w:val="24"/>
          <w:szCs w:val="24"/>
        </w:rPr>
        <w:t>National Health Services and Community Care Act of 1990</w:t>
      </w:r>
      <w:r w:rsidR="009A0B63">
        <w:rPr>
          <w:rFonts w:cstheme="minorHAnsi"/>
          <w:sz w:val="24"/>
          <w:szCs w:val="24"/>
        </w:rPr>
        <w:t xml:space="preserve"> were ‘absorbed’</w:t>
      </w:r>
      <w:r w:rsidR="00336AB0">
        <w:rPr>
          <w:rFonts w:cstheme="minorHAnsi"/>
          <w:sz w:val="24"/>
          <w:szCs w:val="24"/>
        </w:rPr>
        <w:t xml:space="preserve"> </w:t>
      </w:r>
      <w:r w:rsidR="00CD564B">
        <w:rPr>
          <w:rFonts w:cstheme="minorHAnsi"/>
          <w:sz w:val="24"/>
          <w:szCs w:val="24"/>
        </w:rPr>
        <w:t xml:space="preserve">into the NHS </w:t>
      </w:r>
      <w:r w:rsidR="00336AB0">
        <w:rPr>
          <w:rFonts w:cstheme="minorHAnsi"/>
          <w:sz w:val="24"/>
          <w:szCs w:val="24"/>
        </w:rPr>
        <w:t>without affect</w:t>
      </w:r>
      <w:r w:rsidR="00A95B9F">
        <w:rPr>
          <w:rFonts w:cstheme="minorHAnsi"/>
          <w:sz w:val="24"/>
          <w:szCs w:val="24"/>
        </w:rPr>
        <w:t>ing</w:t>
      </w:r>
      <w:r w:rsidR="00336AB0">
        <w:rPr>
          <w:rFonts w:cstheme="minorHAnsi"/>
          <w:sz w:val="24"/>
          <w:szCs w:val="24"/>
        </w:rPr>
        <w:t xml:space="preserve"> the operation of the system. Stirton </w:t>
      </w:r>
      <w:r w:rsidR="00336AB0">
        <w:rPr>
          <w:rFonts w:cstheme="minorHAnsi"/>
          <w:sz w:val="24"/>
          <w:szCs w:val="24"/>
        </w:rPr>
        <w:fldChar w:fldCharType="begin"/>
      </w:r>
      <w:r w:rsidR="00336AB0">
        <w:rPr>
          <w:rFonts w:cstheme="minorHAnsi"/>
          <w:sz w:val="24"/>
          <w:szCs w:val="24"/>
        </w:rPr>
        <w:instrText xml:space="preserve"> ADDIN EN.CITE &lt;EndNote&gt;&lt;Cite ExcludeAuth="1"&gt;&lt;Author&gt;Stirton&lt;/Author&gt;&lt;Year&gt;2014&lt;/Year&gt;&lt;RecNum&gt;537&lt;/RecNum&gt;&lt;DisplayText&gt;(2014)&lt;/DisplayText&gt;&lt;record&gt;&lt;rec-number&gt;537&lt;/rec-number&gt;&lt;foreign-keys&gt;&lt;key app="EN" db-id="za50fsw09wzvx0er2t2p0d0txzrw9x59d9a5"&gt;537&lt;/key&gt;&lt;/foreign-keys&gt;&lt;ref-type name="Journal Article"&gt;17&lt;/ref-type&gt;&lt;contributors&gt;&lt;authors&gt;&lt;author&gt;Stirton, L.&lt;/author&gt;&lt;/authors&gt;&lt;/contributors&gt;&lt;titles&gt;&lt;title&gt;Back to the Future? Lessons on the pro-competitive regulation of health services&lt;/title&gt;&lt;secondary-title&gt;Medical Law Review&lt;/secondary-title&gt;&lt;/titles&gt;&lt;periodical&gt;&lt;full-title&gt;Medical Law Review&lt;/full-title&gt;&lt;/periodical&gt;&lt;pages&gt;180-199&lt;/pages&gt;&lt;volume&gt;22&lt;/volume&gt;&lt;number&gt;2&lt;/number&gt;&lt;dates&gt;&lt;year&gt;2014&lt;/year&gt;&lt;/dates&gt;&lt;urls&gt;&lt;/urls&gt;&lt;/record&gt;&lt;/Cite&gt;&lt;/EndNote&gt;</w:instrText>
      </w:r>
      <w:r w:rsidR="00336AB0">
        <w:rPr>
          <w:rFonts w:cstheme="minorHAnsi"/>
          <w:sz w:val="24"/>
          <w:szCs w:val="24"/>
        </w:rPr>
        <w:fldChar w:fldCharType="separate"/>
      </w:r>
      <w:r w:rsidR="00336AB0">
        <w:rPr>
          <w:rFonts w:cstheme="minorHAnsi"/>
          <w:noProof/>
          <w:sz w:val="24"/>
          <w:szCs w:val="24"/>
        </w:rPr>
        <w:t>(</w:t>
      </w:r>
      <w:hyperlink w:anchor="_ENREF_41" w:tooltip="Stirton, 2014 #537" w:history="1">
        <w:r w:rsidR="00513FB0">
          <w:rPr>
            <w:rFonts w:cstheme="minorHAnsi"/>
            <w:noProof/>
            <w:sz w:val="24"/>
            <w:szCs w:val="24"/>
          </w:rPr>
          <w:t>2014</w:t>
        </w:r>
      </w:hyperlink>
      <w:r w:rsidR="00336AB0">
        <w:rPr>
          <w:rFonts w:cstheme="minorHAnsi"/>
          <w:noProof/>
          <w:sz w:val="24"/>
          <w:szCs w:val="24"/>
        </w:rPr>
        <w:t>)</w:t>
      </w:r>
      <w:r w:rsidR="00336AB0">
        <w:rPr>
          <w:rFonts w:cstheme="minorHAnsi"/>
          <w:sz w:val="24"/>
          <w:szCs w:val="24"/>
        </w:rPr>
        <w:fldChar w:fldCharType="end"/>
      </w:r>
      <w:r w:rsidR="00E0320A">
        <w:rPr>
          <w:rFonts w:cstheme="minorHAnsi"/>
          <w:sz w:val="24"/>
          <w:szCs w:val="24"/>
        </w:rPr>
        <w:t>, in exploring the transferable learning from the regulation of utilities in the UK to the implementation of HSCA 2012, suggest</w:t>
      </w:r>
      <w:r w:rsidR="00641204">
        <w:rPr>
          <w:rFonts w:cstheme="minorHAnsi"/>
          <w:sz w:val="24"/>
          <w:szCs w:val="24"/>
        </w:rPr>
        <w:t>ed</w:t>
      </w:r>
      <w:r w:rsidR="00E0320A">
        <w:rPr>
          <w:rFonts w:cstheme="minorHAnsi"/>
          <w:sz w:val="24"/>
          <w:szCs w:val="24"/>
        </w:rPr>
        <w:t xml:space="preserve"> that sectoral regulators may continue to rely on sectoral rules rather than general competition powers.</w:t>
      </w:r>
    </w:p>
    <w:p w14:paraId="235827ED" w14:textId="1EEBD578" w:rsidR="00494C45" w:rsidRDefault="00180AAB" w:rsidP="00487A35">
      <w:pPr>
        <w:spacing w:line="480" w:lineRule="auto"/>
        <w:jc w:val="both"/>
        <w:rPr>
          <w:rFonts w:cstheme="minorHAnsi"/>
          <w:sz w:val="24"/>
          <w:szCs w:val="24"/>
        </w:rPr>
      </w:pPr>
      <w:r>
        <w:rPr>
          <w:rFonts w:cstheme="minorHAnsi"/>
          <w:sz w:val="24"/>
          <w:szCs w:val="24"/>
        </w:rPr>
        <w:lastRenderedPageBreak/>
        <w:t xml:space="preserve">This paper </w:t>
      </w:r>
      <w:r w:rsidR="00D338B3">
        <w:rPr>
          <w:rFonts w:cstheme="minorHAnsi"/>
          <w:sz w:val="24"/>
          <w:szCs w:val="24"/>
        </w:rPr>
        <w:t>examines</w:t>
      </w:r>
      <w:r w:rsidR="00A61F3D">
        <w:rPr>
          <w:rFonts w:cstheme="minorHAnsi"/>
          <w:sz w:val="24"/>
          <w:szCs w:val="24"/>
        </w:rPr>
        <w:t xml:space="preserve"> </w:t>
      </w:r>
      <w:r w:rsidR="00762788">
        <w:rPr>
          <w:rFonts w:cstheme="minorHAnsi"/>
          <w:sz w:val="24"/>
          <w:szCs w:val="24"/>
        </w:rPr>
        <w:t xml:space="preserve">and compares </w:t>
      </w:r>
      <w:r w:rsidR="00D338B3">
        <w:rPr>
          <w:rFonts w:cstheme="minorHAnsi"/>
          <w:sz w:val="24"/>
          <w:szCs w:val="24"/>
        </w:rPr>
        <w:t>the</w:t>
      </w:r>
      <w:r>
        <w:rPr>
          <w:rFonts w:cstheme="minorHAnsi"/>
          <w:sz w:val="24"/>
          <w:szCs w:val="24"/>
        </w:rPr>
        <w:t xml:space="preserve"> regulatory decisions taken</w:t>
      </w:r>
      <w:r w:rsidR="00641204">
        <w:rPr>
          <w:rFonts w:cstheme="minorHAnsi"/>
          <w:sz w:val="24"/>
          <w:szCs w:val="24"/>
        </w:rPr>
        <w:t xml:space="preserve"> in the </w:t>
      </w:r>
      <w:r w:rsidR="000570AE">
        <w:rPr>
          <w:rFonts w:cstheme="minorHAnsi"/>
          <w:sz w:val="24"/>
          <w:szCs w:val="24"/>
        </w:rPr>
        <w:t xml:space="preserve">sector specific regulatory </w:t>
      </w:r>
      <w:r w:rsidR="00641204">
        <w:rPr>
          <w:rFonts w:cstheme="minorHAnsi"/>
          <w:sz w:val="24"/>
          <w:szCs w:val="24"/>
        </w:rPr>
        <w:t xml:space="preserve">regime preceding HSCA 2012 </w:t>
      </w:r>
      <w:r w:rsidR="00762788">
        <w:rPr>
          <w:rFonts w:cstheme="minorHAnsi"/>
          <w:sz w:val="24"/>
          <w:szCs w:val="24"/>
        </w:rPr>
        <w:t>(</w:t>
      </w:r>
      <w:r w:rsidR="00762536">
        <w:rPr>
          <w:rFonts w:cstheme="minorHAnsi"/>
          <w:sz w:val="24"/>
          <w:szCs w:val="24"/>
        </w:rPr>
        <w:t xml:space="preserve">January </w:t>
      </w:r>
      <w:r w:rsidR="00762788">
        <w:rPr>
          <w:rFonts w:cstheme="minorHAnsi"/>
          <w:sz w:val="24"/>
          <w:szCs w:val="24"/>
        </w:rPr>
        <w:t xml:space="preserve">2009 – March 2013) </w:t>
      </w:r>
      <w:r w:rsidR="00641204">
        <w:rPr>
          <w:rFonts w:cstheme="minorHAnsi"/>
          <w:sz w:val="24"/>
          <w:szCs w:val="24"/>
        </w:rPr>
        <w:t>and those decisions made in the period following the enactment of HSCA 2012</w:t>
      </w:r>
      <w:r w:rsidR="00762788">
        <w:rPr>
          <w:rFonts w:cstheme="minorHAnsi"/>
          <w:sz w:val="24"/>
          <w:szCs w:val="24"/>
        </w:rPr>
        <w:t xml:space="preserve"> (April 2013 – August 2015)</w:t>
      </w:r>
      <w:r>
        <w:rPr>
          <w:rFonts w:cstheme="minorHAnsi"/>
          <w:sz w:val="24"/>
          <w:szCs w:val="24"/>
        </w:rPr>
        <w:t>.</w:t>
      </w:r>
      <w:r w:rsidR="00641204">
        <w:rPr>
          <w:rFonts w:cstheme="minorHAnsi"/>
          <w:sz w:val="24"/>
          <w:szCs w:val="24"/>
        </w:rPr>
        <w:t xml:space="preserve"> </w:t>
      </w:r>
      <w:r w:rsidR="007C72D8">
        <w:rPr>
          <w:rFonts w:cstheme="minorHAnsi"/>
          <w:sz w:val="24"/>
          <w:szCs w:val="24"/>
        </w:rPr>
        <w:t xml:space="preserve">The analysis </w:t>
      </w:r>
      <w:r w:rsidR="00641204">
        <w:rPr>
          <w:rFonts w:cstheme="minorHAnsi"/>
          <w:sz w:val="24"/>
          <w:szCs w:val="24"/>
        </w:rPr>
        <w:t xml:space="preserve">is based on </w:t>
      </w:r>
      <w:r w:rsidR="00A95B9F">
        <w:rPr>
          <w:rFonts w:cstheme="minorHAnsi"/>
          <w:sz w:val="24"/>
          <w:szCs w:val="24"/>
        </w:rPr>
        <w:t xml:space="preserve">an examination </w:t>
      </w:r>
      <w:r w:rsidR="00641204">
        <w:rPr>
          <w:rFonts w:cstheme="minorHAnsi"/>
          <w:sz w:val="24"/>
          <w:szCs w:val="24"/>
        </w:rPr>
        <w:t xml:space="preserve">all the investigations conducted by the </w:t>
      </w:r>
      <w:r w:rsidR="007C72D8">
        <w:rPr>
          <w:rFonts w:cstheme="minorHAnsi"/>
          <w:sz w:val="24"/>
          <w:szCs w:val="24"/>
        </w:rPr>
        <w:t xml:space="preserve">relevant </w:t>
      </w:r>
      <w:r w:rsidR="00641204">
        <w:rPr>
          <w:rFonts w:cstheme="minorHAnsi"/>
          <w:sz w:val="24"/>
          <w:szCs w:val="24"/>
        </w:rPr>
        <w:t>regulatory bodies in response to potential infring</w:t>
      </w:r>
      <w:r w:rsidR="007C72D8">
        <w:rPr>
          <w:rFonts w:cstheme="minorHAnsi"/>
          <w:sz w:val="24"/>
          <w:szCs w:val="24"/>
        </w:rPr>
        <w:t>ements of the competition rules</w:t>
      </w:r>
      <w:r w:rsidR="00A95B9F">
        <w:rPr>
          <w:rFonts w:cstheme="minorHAnsi"/>
          <w:sz w:val="24"/>
          <w:szCs w:val="24"/>
        </w:rPr>
        <w:t xml:space="preserve"> and highlights decisions where the rules were found to have been infringed</w:t>
      </w:r>
      <w:r w:rsidR="007C72D8">
        <w:rPr>
          <w:rFonts w:cstheme="minorHAnsi"/>
          <w:sz w:val="24"/>
          <w:szCs w:val="24"/>
        </w:rPr>
        <w:t xml:space="preserve">. The aim of the analysis is to identify </w:t>
      </w:r>
      <w:r w:rsidR="00A95B9F">
        <w:rPr>
          <w:rFonts w:cstheme="minorHAnsi"/>
          <w:sz w:val="24"/>
          <w:szCs w:val="24"/>
        </w:rPr>
        <w:t xml:space="preserve">how </w:t>
      </w:r>
      <w:r w:rsidR="002C73FC">
        <w:rPr>
          <w:rFonts w:cstheme="minorHAnsi"/>
          <w:sz w:val="24"/>
          <w:szCs w:val="24"/>
        </w:rPr>
        <w:t xml:space="preserve">the decisions </w:t>
      </w:r>
      <w:r w:rsidR="00A95B9F">
        <w:rPr>
          <w:rFonts w:cstheme="minorHAnsi"/>
          <w:sz w:val="24"/>
          <w:szCs w:val="24"/>
        </w:rPr>
        <w:t>were</w:t>
      </w:r>
      <w:r w:rsidR="007C72D8">
        <w:rPr>
          <w:rFonts w:cstheme="minorHAnsi"/>
          <w:sz w:val="24"/>
          <w:szCs w:val="24"/>
        </w:rPr>
        <w:t xml:space="preserve"> reached:</w:t>
      </w:r>
      <w:r w:rsidR="002C73FC">
        <w:rPr>
          <w:rFonts w:cstheme="minorHAnsi"/>
          <w:sz w:val="24"/>
          <w:szCs w:val="24"/>
        </w:rPr>
        <w:t xml:space="preserve"> </w:t>
      </w:r>
      <w:r w:rsidR="00392C7F">
        <w:rPr>
          <w:rFonts w:cstheme="minorHAnsi"/>
          <w:sz w:val="24"/>
          <w:szCs w:val="24"/>
        </w:rPr>
        <w:t>t</w:t>
      </w:r>
      <w:r w:rsidR="008D1543">
        <w:rPr>
          <w:rFonts w:cstheme="minorHAnsi"/>
          <w:sz w:val="24"/>
          <w:szCs w:val="24"/>
        </w:rPr>
        <w:t xml:space="preserve">he approach taken to weighing competition against other concerns, the influence of </w:t>
      </w:r>
      <w:r w:rsidR="00392C7F">
        <w:rPr>
          <w:rFonts w:cstheme="minorHAnsi"/>
          <w:sz w:val="24"/>
          <w:szCs w:val="24"/>
        </w:rPr>
        <w:t>interested parties on decisions</w:t>
      </w:r>
      <w:r w:rsidR="008D1543">
        <w:rPr>
          <w:rFonts w:cstheme="minorHAnsi"/>
          <w:sz w:val="24"/>
          <w:szCs w:val="24"/>
        </w:rPr>
        <w:t xml:space="preserve">, the types of solutions </w:t>
      </w:r>
      <w:r w:rsidR="00392C7F">
        <w:rPr>
          <w:rFonts w:cstheme="minorHAnsi"/>
          <w:sz w:val="24"/>
          <w:szCs w:val="24"/>
        </w:rPr>
        <w:t>which were deemed appropriate</w:t>
      </w:r>
      <w:r w:rsidR="008D1543">
        <w:rPr>
          <w:rFonts w:cstheme="minorHAnsi"/>
          <w:sz w:val="24"/>
          <w:szCs w:val="24"/>
        </w:rPr>
        <w:t xml:space="preserve">, </w:t>
      </w:r>
      <w:r w:rsidR="00392C7F">
        <w:rPr>
          <w:rFonts w:cstheme="minorHAnsi"/>
          <w:sz w:val="24"/>
          <w:szCs w:val="24"/>
        </w:rPr>
        <w:t xml:space="preserve">and </w:t>
      </w:r>
      <w:r w:rsidR="008D1543">
        <w:rPr>
          <w:rFonts w:cstheme="minorHAnsi"/>
          <w:sz w:val="24"/>
          <w:szCs w:val="24"/>
        </w:rPr>
        <w:t xml:space="preserve">the </w:t>
      </w:r>
      <w:r w:rsidR="00FB6F29">
        <w:rPr>
          <w:rFonts w:cstheme="minorHAnsi"/>
          <w:sz w:val="24"/>
          <w:szCs w:val="24"/>
        </w:rPr>
        <w:t xml:space="preserve">level of </w:t>
      </w:r>
      <w:r w:rsidR="00762536">
        <w:rPr>
          <w:rFonts w:cstheme="minorHAnsi"/>
          <w:sz w:val="24"/>
          <w:szCs w:val="24"/>
        </w:rPr>
        <w:t>evidence</w:t>
      </w:r>
      <w:r w:rsidR="008D1543">
        <w:rPr>
          <w:rFonts w:cstheme="minorHAnsi"/>
          <w:sz w:val="24"/>
          <w:szCs w:val="24"/>
        </w:rPr>
        <w:t xml:space="preserve"> required</w:t>
      </w:r>
      <w:r w:rsidR="00FB6F29">
        <w:rPr>
          <w:rFonts w:cstheme="minorHAnsi"/>
          <w:sz w:val="24"/>
          <w:szCs w:val="24"/>
        </w:rPr>
        <w:t xml:space="preserve"> </w:t>
      </w:r>
      <w:r w:rsidR="00762536">
        <w:rPr>
          <w:rFonts w:cstheme="minorHAnsi"/>
          <w:sz w:val="24"/>
          <w:szCs w:val="24"/>
        </w:rPr>
        <w:t xml:space="preserve">to satisfy </w:t>
      </w:r>
      <w:r w:rsidR="00FB6F29">
        <w:rPr>
          <w:rFonts w:cstheme="minorHAnsi"/>
          <w:sz w:val="24"/>
          <w:szCs w:val="24"/>
        </w:rPr>
        <w:t xml:space="preserve">the </w:t>
      </w:r>
      <w:r w:rsidR="00A95B9F">
        <w:rPr>
          <w:rFonts w:cstheme="minorHAnsi"/>
          <w:sz w:val="24"/>
          <w:szCs w:val="24"/>
        </w:rPr>
        <w:t>decision making</w:t>
      </w:r>
      <w:r w:rsidR="00FB6F29">
        <w:rPr>
          <w:rFonts w:cstheme="minorHAnsi"/>
          <w:sz w:val="24"/>
          <w:szCs w:val="24"/>
        </w:rPr>
        <w:t xml:space="preserve"> bodies</w:t>
      </w:r>
      <w:r w:rsidR="008D1543">
        <w:rPr>
          <w:rFonts w:cstheme="minorHAnsi"/>
          <w:sz w:val="24"/>
          <w:szCs w:val="24"/>
        </w:rPr>
        <w:t xml:space="preserve">. </w:t>
      </w:r>
      <w:r w:rsidR="00E5639B">
        <w:rPr>
          <w:rFonts w:cstheme="minorHAnsi"/>
          <w:sz w:val="24"/>
          <w:szCs w:val="24"/>
        </w:rPr>
        <w:t>Clearly</w:t>
      </w:r>
      <w:r w:rsidR="000570AE">
        <w:rPr>
          <w:rFonts w:cstheme="minorHAnsi"/>
          <w:sz w:val="24"/>
          <w:szCs w:val="24"/>
        </w:rPr>
        <w:t xml:space="preserve"> there are many factors</w:t>
      </w:r>
      <w:r w:rsidR="00E5639B">
        <w:rPr>
          <w:rFonts w:cstheme="minorHAnsi"/>
          <w:sz w:val="24"/>
          <w:szCs w:val="24"/>
        </w:rPr>
        <w:t xml:space="preserve"> in addition to the regulation of competition </w:t>
      </w:r>
      <w:r w:rsidR="000570AE">
        <w:rPr>
          <w:rFonts w:cstheme="minorHAnsi"/>
          <w:sz w:val="24"/>
          <w:szCs w:val="24"/>
        </w:rPr>
        <w:t xml:space="preserve">that </w:t>
      </w:r>
      <w:r w:rsidR="00E5639B">
        <w:rPr>
          <w:rFonts w:cstheme="minorHAnsi"/>
          <w:sz w:val="24"/>
          <w:szCs w:val="24"/>
        </w:rPr>
        <w:t xml:space="preserve">have </w:t>
      </w:r>
      <w:r w:rsidR="000570AE">
        <w:rPr>
          <w:rFonts w:cstheme="minorHAnsi"/>
          <w:sz w:val="24"/>
          <w:szCs w:val="24"/>
        </w:rPr>
        <w:t>change</w:t>
      </w:r>
      <w:r w:rsidR="00E5639B">
        <w:rPr>
          <w:rFonts w:cstheme="minorHAnsi"/>
          <w:sz w:val="24"/>
          <w:szCs w:val="24"/>
        </w:rPr>
        <w:t>d</w:t>
      </w:r>
      <w:r w:rsidR="000570AE">
        <w:rPr>
          <w:rFonts w:cstheme="minorHAnsi"/>
          <w:sz w:val="24"/>
          <w:szCs w:val="24"/>
        </w:rPr>
        <w:t xml:space="preserve"> between the two periods</w:t>
      </w:r>
      <w:r w:rsidR="00E5639B">
        <w:rPr>
          <w:rFonts w:cstheme="minorHAnsi"/>
          <w:sz w:val="24"/>
          <w:szCs w:val="24"/>
        </w:rPr>
        <w:t xml:space="preserve"> </w:t>
      </w:r>
      <w:r w:rsidR="00E54017">
        <w:rPr>
          <w:rFonts w:cstheme="minorHAnsi"/>
          <w:sz w:val="24"/>
          <w:szCs w:val="24"/>
        </w:rPr>
        <w:t xml:space="preserve">being examined </w:t>
      </w:r>
      <w:r w:rsidR="00762536">
        <w:rPr>
          <w:rFonts w:cstheme="minorHAnsi"/>
          <w:sz w:val="24"/>
          <w:szCs w:val="24"/>
        </w:rPr>
        <w:t>such as the</w:t>
      </w:r>
      <w:r w:rsidR="00E5639B">
        <w:rPr>
          <w:rFonts w:cstheme="minorHAnsi"/>
          <w:sz w:val="24"/>
          <w:szCs w:val="24"/>
        </w:rPr>
        <w:t xml:space="preserve"> landscape of organisations planning and providing services</w:t>
      </w:r>
      <w:r w:rsidR="000570AE">
        <w:rPr>
          <w:rFonts w:cstheme="minorHAnsi"/>
          <w:sz w:val="24"/>
          <w:szCs w:val="24"/>
        </w:rPr>
        <w:t xml:space="preserve">, </w:t>
      </w:r>
      <w:r w:rsidR="00E5639B">
        <w:rPr>
          <w:rFonts w:cstheme="minorHAnsi"/>
          <w:sz w:val="24"/>
          <w:szCs w:val="24"/>
        </w:rPr>
        <w:t xml:space="preserve">however </w:t>
      </w:r>
      <w:r w:rsidR="000570AE">
        <w:rPr>
          <w:rFonts w:cstheme="minorHAnsi"/>
          <w:sz w:val="24"/>
          <w:szCs w:val="24"/>
        </w:rPr>
        <w:t xml:space="preserve">this </w:t>
      </w:r>
      <w:r w:rsidR="00762536">
        <w:rPr>
          <w:rFonts w:cstheme="minorHAnsi"/>
          <w:sz w:val="24"/>
          <w:szCs w:val="24"/>
        </w:rPr>
        <w:t>paper focuses solely on the differences which can be related to the change from sector specific regulation to a legislative framework</w:t>
      </w:r>
      <w:r w:rsidR="000570AE">
        <w:rPr>
          <w:rFonts w:cstheme="minorHAnsi"/>
          <w:sz w:val="24"/>
          <w:szCs w:val="24"/>
        </w:rPr>
        <w:t xml:space="preserve">. </w:t>
      </w:r>
      <w:r w:rsidR="002C73FC">
        <w:rPr>
          <w:rFonts w:cstheme="minorHAnsi"/>
          <w:sz w:val="24"/>
          <w:szCs w:val="24"/>
        </w:rPr>
        <w:t xml:space="preserve">The paper does not discuss the interpretations of actors  </w:t>
      </w:r>
      <w:r w:rsidR="008C5510">
        <w:rPr>
          <w:rFonts w:cstheme="minorHAnsi"/>
          <w:sz w:val="24"/>
          <w:szCs w:val="24"/>
        </w:rPr>
        <w:t>of the HSCA 2012</w:t>
      </w:r>
      <w:r w:rsidR="00995B37">
        <w:rPr>
          <w:rFonts w:cstheme="minorHAnsi"/>
          <w:sz w:val="24"/>
          <w:szCs w:val="24"/>
        </w:rPr>
        <w:t>, altho</w:t>
      </w:r>
      <w:r w:rsidR="00EB5C97">
        <w:rPr>
          <w:rFonts w:cstheme="minorHAnsi"/>
          <w:sz w:val="24"/>
          <w:szCs w:val="24"/>
        </w:rPr>
        <w:t>ugh this is an important aspect</w:t>
      </w:r>
      <w:r w:rsidR="00995B37">
        <w:rPr>
          <w:rFonts w:cstheme="minorHAnsi"/>
          <w:sz w:val="24"/>
          <w:szCs w:val="24"/>
        </w:rPr>
        <w:t xml:space="preserve"> of how </w:t>
      </w:r>
      <w:r w:rsidR="00762536">
        <w:rPr>
          <w:rFonts w:cstheme="minorHAnsi"/>
          <w:sz w:val="24"/>
          <w:szCs w:val="24"/>
        </w:rPr>
        <w:t>the impact of HSCA 2012</w:t>
      </w:r>
      <w:r w:rsidR="008C5510">
        <w:rPr>
          <w:rFonts w:cstheme="minorHAnsi"/>
          <w:sz w:val="24"/>
          <w:szCs w:val="24"/>
        </w:rPr>
        <w:t xml:space="preserve"> (see </w:t>
      </w:r>
      <w:r w:rsidR="001A2F4A">
        <w:rPr>
          <w:rFonts w:cstheme="minorHAnsi"/>
          <w:sz w:val="24"/>
          <w:szCs w:val="24"/>
        </w:rPr>
        <w:fldChar w:fldCharType="begin"/>
      </w:r>
      <w:r w:rsidR="001A2F4A">
        <w:rPr>
          <w:rFonts w:cstheme="minorHAnsi"/>
          <w:sz w:val="24"/>
          <w:szCs w:val="24"/>
        </w:rPr>
        <w:instrText xml:space="preserve"> ADDIN EN.CITE &lt;EndNote&gt;&lt;Cite&gt;&lt;Author&gt;Allen&lt;/Author&gt;&lt;Year&gt;2015&lt;/Year&gt;&lt;RecNum&gt;650&lt;/RecNum&gt;&lt;DisplayText&gt;(Allen et al., 2015)&lt;/DisplayText&gt;&lt;record&gt;&lt;rec-number&gt;650&lt;/rec-number&gt;&lt;foreign-keys&gt;&lt;key app="EN" db-id="za50fsw09wzvx0er2t2p0d0txzrw9x59d9a5"&gt;650&lt;/key&gt;&lt;/foreign-keys&gt;&lt;ref-type name="Report"&gt;27&lt;/ref-type&gt;&lt;contributors&gt;&lt;authors&gt;&lt;author&gt;Allen, P.&lt;/author&gt;&lt;author&gt;Osipovic, D.&lt;/author&gt;&lt;author&gt;Shepherd, E.&lt;/author&gt;&lt;author&gt;Coleman, A.&lt;/author&gt;&lt;author&gt;Perkins, N.&lt;/author&gt;&lt;author&gt;Garnett, E.&lt;/author&gt;&lt;/authors&gt;&lt;/contributors&gt;&lt;titles&gt;&lt;title&gt;Commissioning through Competition and Cooperation. Final Report to the Department of Health.&lt;/title&gt;&lt;/titles&gt;&lt;dates&gt;&lt;year&gt;2015&lt;/year&gt;&lt;/dates&gt;&lt;pub-location&gt;London&lt;/pub-location&gt;&lt;publisher&gt;PRUComm&lt;/publisher&gt;&lt;urls&gt;&lt;/urls&gt;&lt;/record&gt;&lt;/Cite&gt;&lt;/EndNote&gt;</w:instrText>
      </w:r>
      <w:r w:rsidR="001A2F4A">
        <w:rPr>
          <w:rFonts w:cstheme="minorHAnsi"/>
          <w:sz w:val="24"/>
          <w:szCs w:val="24"/>
        </w:rPr>
        <w:fldChar w:fldCharType="separate"/>
      </w:r>
      <w:r w:rsidR="001A2F4A">
        <w:rPr>
          <w:rFonts w:cstheme="minorHAnsi"/>
          <w:noProof/>
          <w:sz w:val="24"/>
          <w:szCs w:val="24"/>
        </w:rPr>
        <w:t>(</w:t>
      </w:r>
      <w:hyperlink w:anchor="_ENREF_2" w:tooltip="Allen, 2015 #650" w:history="1">
        <w:r w:rsidR="00513FB0">
          <w:rPr>
            <w:rFonts w:cstheme="minorHAnsi"/>
            <w:noProof/>
            <w:sz w:val="24"/>
            <w:szCs w:val="24"/>
          </w:rPr>
          <w:t>Allen et al., 2015</w:t>
        </w:r>
      </w:hyperlink>
      <w:r w:rsidR="001A2F4A">
        <w:rPr>
          <w:rFonts w:cstheme="minorHAnsi"/>
          <w:noProof/>
          <w:sz w:val="24"/>
          <w:szCs w:val="24"/>
        </w:rPr>
        <w:t>)</w:t>
      </w:r>
      <w:r w:rsidR="001A2F4A">
        <w:rPr>
          <w:rFonts w:cstheme="minorHAnsi"/>
          <w:sz w:val="24"/>
          <w:szCs w:val="24"/>
        </w:rPr>
        <w:fldChar w:fldCharType="end"/>
      </w:r>
      <w:r w:rsidR="00A95B9F">
        <w:rPr>
          <w:rFonts w:cstheme="minorHAnsi"/>
          <w:sz w:val="24"/>
          <w:szCs w:val="24"/>
        </w:rPr>
        <w:t>)</w:t>
      </w:r>
      <w:r w:rsidR="008C5510">
        <w:rPr>
          <w:rFonts w:cstheme="minorHAnsi"/>
          <w:sz w:val="24"/>
          <w:szCs w:val="24"/>
        </w:rPr>
        <w:t xml:space="preserve">. </w:t>
      </w:r>
      <w:r w:rsidR="00AD603A">
        <w:rPr>
          <w:rFonts w:cstheme="minorHAnsi"/>
          <w:sz w:val="24"/>
          <w:szCs w:val="24"/>
        </w:rPr>
        <w:t xml:space="preserve">The paper </w:t>
      </w:r>
      <w:r w:rsidR="0045702D">
        <w:rPr>
          <w:rFonts w:cstheme="minorHAnsi"/>
          <w:sz w:val="24"/>
          <w:szCs w:val="24"/>
        </w:rPr>
        <w:t xml:space="preserve">argues that the regulation of competition </w:t>
      </w:r>
      <w:r w:rsidR="00762536">
        <w:rPr>
          <w:rFonts w:cstheme="minorHAnsi"/>
          <w:sz w:val="24"/>
          <w:szCs w:val="24"/>
        </w:rPr>
        <w:t xml:space="preserve">has remained </w:t>
      </w:r>
      <w:r w:rsidR="007C72D8">
        <w:rPr>
          <w:rFonts w:cstheme="minorHAnsi"/>
          <w:sz w:val="24"/>
          <w:szCs w:val="24"/>
        </w:rPr>
        <w:t xml:space="preserve">largely </w:t>
      </w:r>
      <w:r w:rsidR="0045702D">
        <w:rPr>
          <w:rFonts w:cstheme="minorHAnsi"/>
          <w:sz w:val="24"/>
          <w:szCs w:val="24"/>
        </w:rPr>
        <w:t>an internal matter for the NHS despite the increasing emphasis on the role of competition law and external regulators.</w:t>
      </w:r>
      <w:r w:rsidR="002C73FC">
        <w:rPr>
          <w:rFonts w:cstheme="minorHAnsi"/>
          <w:sz w:val="24"/>
          <w:szCs w:val="24"/>
        </w:rPr>
        <w:t xml:space="preserve"> </w:t>
      </w:r>
    </w:p>
    <w:p w14:paraId="00B1B08D" w14:textId="1C1A6DFB" w:rsidR="0045702D" w:rsidRPr="00283045" w:rsidRDefault="0045702D" w:rsidP="00487A35">
      <w:pPr>
        <w:spacing w:line="480" w:lineRule="auto"/>
        <w:jc w:val="both"/>
        <w:rPr>
          <w:rFonts w:cstheme="minorHAnsi"/>
          <w:sz w:val="24"/>
          <w:szCs w:val="24"/>
        </w:rPr>
      </w:pPr>
      <w:r>
        <w:rPr>
          <w:rFonts w:cstheme="minorHAnsi"/>
          <w:sz w:val="24"/>
          <w:szCs w:val="24"/>
        </w:rPr>
        <w:t xml:space="preserve">The paper firstly describes the rationale behind the introduction of competition regulation to the NHS and the development of the regulatory structures governing NHS competition. The second section of the paper details the decisions regarding the regulation of competition made by the Co-operation and Competition Panel </w:t>
      </w:r>
      <w:r w:rsidR="00A24FB7">
        <w:rPr>
          <w:rFonts w:cstheme="minorHAnsi"/>
          <w:sz w:val="24"/>
          <w:szCs w:val="24"/>
        </w:rPr>
        <w:t xml:space="preserve">for NHS funded services </w:t>
      </w:r>
      <w:r w:rsidR="001C492A">
        <w:rPr>
          <w:rFonts w:cstheme="minorHAnsi"/>
          <w:sz w:val="24"/>
          <w:szCs w:val="24"/>
        </w:rPr>
        <w:t xml:space="preserve"> </w:t>
      </w:r>
      <w:r>
        <w:rPr>
          <w:rFonts w:cstheme="minorHAnsi"/>
          <w:sz w:val="24"/>
          <w:szCs w:val="24"/>
        </w:rPr>
        <w:t xml:space="preserve">before HSCA 2012 was introduced, and decisions made after HSCA </w:t>
      </w:r>
      <w:r>
        <w:rPr>
          <w:rFonts w:cstheme="minorHAnsi"/>
          <w:sz w:val="24"/>
          <w:szCs w:val="24"/>
        </w:rPr>
        <w:lastRenderedPageBreak/>
        <w:t xml:space="preserve">2012 by Monitor and </w:t>
      </w:r>
      <w:r w:rsidR="007C72D8">
        <w:rPr>
          <w:rFonts w:cstheme="minorHAnsi"/>
          <w:sz w:val="24"/>
          <w:szCs w:val="24"/>
        </w:rPr>
        <w:t>national competition authorities</w:t>
      </w:r>
      <w:r>
        <w:rPr>
          <w:rFonts w:cstheme="minorHAnsi"/>
          <w:sz w:val="24"/>
          <w:szCs w:val="24"/>
        </w:rPr>
        <w:t>. The paper then compares the decisions taken under the two regimes to assess the extent to which the decisions differ.</w:t>
      </w:r>
    </w:p>
    <w:p w14:paraId="0800710A" w14:textId="3CF9F93F" w:rsidR="006B2DCF" w:rsidRPr="00283045" w:rsidRDefault="00105DCF" w:rsidP="000E75BE">
      <w:pPr>
        <w:spacing w:line="480" w:lineRule="auto"/>
        <w:rPr>
          <w:rFonts w:cstheme="minorHAnsi"/>
          <w:b/>
          <w:sz w:val="24"/>
          <w:szCs w:val="24"/>
        </w:rPr>
      </w:pPr>
      <w:r>
        <w:rPr>
          <w:rFonts w:cstheme="minorHAnsi"/>
          <w:b/>
          <w:sz w:val="24"/>
          <w:szCs w:val="24"/>
        </w:rPr>
        <w:t>THE REGULATION OF NHS COMPETITION</w:t>
      </w:r>
    </w:p>
    <w:p w14:paraId="57A4487F" w14:textId="3D30EFAE" w:rsidR="006345FC" w:rsidRDefault="00105DCF" w:rsidP="00283045">
      <w:pPr>
        <w:spacing w:line="480" w:lineRule="auto"/>
        <w:jc w:val="both"/>
        <w:rPr>
          <w:rFonts w:cstheme="minorHAnsi"/>
          <w:sz w:val="24"/>
          <w:szCs w:val="24"/>
        </w:rPr>
      </w:pPr>
      <w:r>
        <w:rPr>
          <w:rFonts w:cstheme="minorHAnsi"/>
          <w:sz w:val="24"/>
          <w:szCs w:val="24"/>
        </w:rPr>
        <w:t xml:space="preserve">Whilst </w:t>
      </w:r>
      <w:r w:rsidR="00EB5C97">
        <w:rPr>
          <w:rFonts w:cstheme="minorHAnsi"/>
          <w:sz w:val="24"/>
          <w:szCs w:val="24"/>
        </w:rPr>
        <w:t xml:space="preserve">it is the regulation of </w:t>
      </w:r>
      <w:r>
        <w:rPr>
          <w:rFonts w:cstheme="minorHAnsi"/>
          <w:sz w:val="24"/>
          <w:szCs w:val="24"/>
        </w:rPr>
        <w:t xml:space="preserve">competition </w:t>
      </w:r>
      <w:r w:rsidR="00EB5C97">
        <w:rPr>
          <w:rFonts w:cstheme="minorHAnsi"/>
          <w:sz w:val="24"/>
          <w:szCs w:val="24"/>
        </w:rPr>
        <w:t xml:space="preserve">rather than competition </w:t>
      </w:r>
      <w:r>
        <w:rPr>
          <w:rFonts w:cstheme="minorHAnsi"/>
          <w:sz w:val="24"/>
          <w:szCs w:val="24"/>
        </w:rPr>
        <w:t xml:space="preserve">itself </w:t>
      </w:r>
      <w:r w:rsidR="00EB5C97">
        <w:rPr>
          <w:rFonts w:cstheme="minorHAnsi"/>
          <w:sz w:val="24"/>
          <w:szCs w:val="24"/>
        </w:rPr>
        <w:t>that is</w:t>
      </w:r>
      <w:r>
        <w:rPr>
          <w:rFonts w:cstheme="minorHAnsi"/>
          <w:sz w:val="24"/>
          <w:szCs w:val="24"/>
        </w:rPr>
        <w:t xml:space="preserve"> the subject of this paper, </w:t>
      </w:r>
      <w:r w:rsidR="003A2D08">
        <w:rPr>
          <w:rFonts w:cstheme="minorHAnsi"/>
          <w:sz w:val="24"/>
          <w:szCs w:val="24"/>
        </w:rPr>
        <w:t xml:space="preserve">in order to understand the significance of the move from </w:t>
      </w:r>
      <w:r w:rsidR="00EB5C97">
        <w:rPr>
          <w:rFonts w:cstheme="minorHAnsi"/>
          <w:sz w:val="24"/>
          <w:szCs w:val="24"/>
        </w:rPr>
        <w:t>sector specific</w:t>
      </w:r>
      <w:r w:rsidR="007C72D8">
        <w:rPr>
          <w:rFonts w:cstheme="minorHAnsi"/>
          <w:sz w:val="24"/>
          <w:szCs w:val="24"/>
        </w:rPr>
        <w:t xml:space="preserve"> regulation</w:t>
      </w:r>
      <w:r w:rsidR="003A2D08">
        <w:rPr>
          <w:rFonts w:cstheme="minorHAnsi"/>
          <w:sz w:val="24"/>
          <w:szCs w:val="24"/>
        </w:rPr>
        <w:t xml:space="preserve"> to</w:t>
      </w:r>
      <w:r w:rsidR="00EB5C97">
        <w:rPr>
          <w:rFonts w:cstheme="minorHAnsi"/>
          <w:sz w:val="24"/>
          <w:szCs w:val="24"/>
        </w:rPr>
        <w:t xml:space="preserve"> </w:t>
      </w:r>
      <w:r w:rsidR="007C72D8">
        <w:rPr>
          <w:rFonts w:cstheme="minorHAnsi"/>
          <w:sz w:val="24"/>
          <w:szCs w:val="24"/>
        </w:rPr>
        <w:t xml:space="preserve">a </w:t>
      </w:r>
      <w:r w:rsidR="00EB5C97">
        <w:rPr>
          <w:rFonts w:cstheme="minorHAnsi"/>
          <w:sz w:val="24"/>
          <w:szCs w:val="24"/>
        </w:rPr>
        <w:t>legislative</w:t>
      </w:r>
      <w:r w:rsidR="003A2D08">
        <w:rPr>
          <w:rFonts w:cstheme="minorHAnsi"/>
          <w:sz w:val="24"/>
          <w:szCs w:val="24"/>
        </w:rPr>
        <w:t xml:space="preserve"> </w:t>
      </w:r>
      <w:r w:rsidR="007C72D8">
        <w:rPr>
          <w:rFonts w:cstheme="minorHAnsi"/>
          <w:sz w:val="24"/>
          <w:szCs w:val="24"/>
        </w:rPr>
        <w:t>approach</w:t>
      </w:r>
      <w:r w:rsidR="003A2D08">
        <w:rPr>
          <w:rFonts w:cstheme="minorHAnsi"/>
          <w:sz w:val="24"/>
          <w:szCs w:val="24"/>
        </w:rPr>
        <w:t xml:space="preserve"> </w:t>
      </w:r>
      <w:r>
        <w:rPr>
          <w:rFonts w:cstheme="minorHAnsi"/>
          <w:sz w:val="24"/>
          <w:szCs w:val="24"/>
        </w:rPr>
        <w:t xml:space="preserve">it is necessary to provide some </w:t>
      </w:r>
      <w:r w:rsidR="003A2D08">
        <w:rPr>
          <w:rFonts w:cstheme="minorHAnsi"/>
          <w:sz w:val="24"/>
          <w:szCs w:val="24"/>
        </w:rPr>
        <w:t>contextual information regarding the nature of the market in relation to health services generally and the English NHS specifically.</w:t>
      </w:r>
      <w:r>
        <w:rPr>
          <w:rFonts w:cstheme="minorHAnsi"/>
          <w:sz w:val="24"/>
          <w:szCs w:val="24"/>
        </w:rPr>
        <w:t xml:space="preserve"> </w:t>
      </w:r>
      <w:r w:rsidR="0045702D">
        <w:rPr>
          <w:rFonts w:cstheme="minorHAnsi"/>
          <w:sz w:val="24"/>
          <w:szCs w:val="24"/>
        </w:rPr>
        <w:t xml:space="preserve">The </w:t>
      </w:r>
      <w:r w:rsidR="00A9509E">
        <w:rPr>
          <w:rFonts w:cstheme="minorHAnsi"/>
          <w:sz w:val="24"/>
          <w:szCs w:val="24"/>
        </w:rPr>
        <w:t xml:space="preserve">premise </w:t>
      </w:r>
      <w:r w:rsidR="0045702D">
        <w:rPr>
          <w:rFonts w:cstheme="minorHAnsi"/>
          <w:sz w:val="24"/>
          <w:szCs w:val="24"/>
        </w:rPr>
        <w:t xml:space="preserve">that competition would benefit the NHS has </w:t>
      </w:r>
      <w:r w:rsidR="00A9509E">
        <w:rPr>
          <w:rFonts w:cstheme="minorHAnsi"/>
          <w:sz w:val="24"/>
          <w:szCs w:val="24"/>
        </w:rPr>
        <w:t xml:space="preserve">remained an important element of health policy in the English NHS since </w:t>
      </w:r>
      <w:r w:rsidR="0045702D">
        <w:rPr>
          <w:rFonts w:cstheme="minorHAnsi"/>
          <w:sz w:val="24"/>
          <w:szCs w:val="24"/>
        </w:rPr>
        <w:t xml:space="preserve">the early 1990’s, and </w:t>
      </w:r>
      <w:r w:rsidR="00A9509E">
        <w:rPr>
          <w:rFonts w:cstheme="minorHAnsi"/>
          <w:sz w:val="24"/>
          <w:szCs w:val="24"/>
        </w:rPr>
        <w:t xml:space="preserve">competition </w:t>
      </w:r>
      <w:r w:rsidR="0045702D">
        <w:rPr>
          <w:rFonts w:cstheme="minorHAnsi"/>
          <w:sz w:val="24"/>
          <w:szCs w:val="24"/>
        </w:rPr>
        <w:t>is thought to lead to improvements in efficiency, quality and responsiveness to consumers</w:t>
      </w:r>
      <w:r w:rsidR="00AD603A">
        <w:rPr>
          <w:rFonts w:cstheme="minorHAnsi"/>
          <w:sz w:val="24"/>
          <w:szCs w:val="24"/>
        </w:rPr>
        <w:t xml:space="preserve"> </w:t>
      </w:r>
      <w:r w:rsidR="00AD603A">
        <w:rPr>
          <w:rFonts w:cstheme="minorHAnsi"/>
          <w:sz w:val="24"/>
          <w:szCs w:val="24"/>
        </w:rPr>
        <w:fldChar w:fldCharType="begin"/>
      </w:r>
      <w:r w:rsidR="00910153">
        <w:rPr>
          <w:rFonts w:cstheme="minorHAnsi"/>
          <w:sz w:val="24"/>
          <w:szCs w:val="24"/>
        </w:rPr>
        <w:instrText xml:space="preserve"> ADDIN EN.CITE &lt;EndNote&gt;&lt;Cite&gt;&lt;Author&gt;Jones&lt;/Author&gt;&lt;Year&gt;2009&lt;/Year&gt;&lt;RecNum&gt;134&lt;/RecNum&gt;&lt;DisplayText&gt;(Jones and Mays, 2009, Department of Health, 2010a)&lt;/DisplayText&gt;&lt;record&gt;&lt;rec-number&gt;134&lt;/rec-number&gt;&lt;foreign-keys&gt;&lt;key app="EN" db-id="za50fsw09wzvx0er2t2p0d0txzrw9x59d9a5"&gt;134&lt;/key&gt;&lt;/foreign-keys&gt;&lt;ref-type name="Report"&gt;27&lt;/ref-type&gt;&lt;contributors&gt;&lt;authors&gt;&lt;author&gt;Jones, L.&lt;/author&gt;&lt;author&gt;Mays, N.&lt;/author&gt;&lt;/authors&gt;&lt;/contributors&gt;&lt;titles&gt;&lt;title&gt;Systematic review of the impact of patient choice of provider in the English NHS&lt;/title&gt;&lt;/titles&gt;&lt;dates&gt;&lt;year&gt;2009&lt;/year&gt;&lt;/dates&gt;&lt;pub-location&gt;London&lt;/pub-location&gt;&lt;publisher&gt;London School of Hygiene and Tropical Medicine&lt;/publisher&gt;&lt;urls&gt;&lt;/urls&gt;&lt;/record&gt;&lt;/Cite&gt;&lt;Cite&gt;&lt;Author&gt;Department of Health&lt;/Author&gt;&lt;Year&gt;2010a&lt;/Year&gt;&lt;RecNum&gt;136&lt;/RecNum&gt;&lt;record&gt;&lt;rec-number&gt;136&lt;/rec-number&gt;&lt;foreign-keys&gt;&lt;key app="EN" db-id="za50fsw09wzvx0er2t2p0d0txzrw9x59d9a5"&gt;136&lt;/key&gt;&lt;/foreign-keys&gt;&lt;ref-type name="Government Document"&gt;46&lt;/ref-type&gt;&lt;contributors&gt;&lt;authors&gt;&lt;author&gt;Department of Health,&lt;/author&gt;&lt;/authors&gt;&lt;/contributors&gt;&lt;titles&gt;&lt;title&gt;Equity and Excellence: Liberating the NHS&lt;/title&gt;&lt;/titles&gt;&lt;edition&gt;White Paper&lt;/edition&gt;&lt;dates&gt;&lt;year&gt;2010&lt;/year&gt;&lt;/dates&gt;&lt;pub-location&gt;London&lt;/pub-location&gt;&lt;publisher&gt;Department of Health&lt;/publisher&gt;&lt;urls&gt;&lt;/urls&gt;&lt;research-notes&gt;NHS Policy. Hard copy at home.&lt;/research-notes&gt;&lt;/record&gt;&lt;/Cite&gt;&lt;/EndNote&gt;</w:instrText>
      </w:r>
      <w:r w:rsidR="00AD603A">
        <w:rPr>
          <w:rFonts w:cstheme="minorHAnsi"/>
          <w:sz w:val="24"/>
          <w:szCs w:val="24"/>
        </w:rPr>
        <w:fldChar w:fldCharType="separate"/>
      </w:r>
      <w:r w:rsidR="00AD603A">
        <w:rPr>
          <w:rFonts w:cstheme="minorHAnsi"/>
          <w:noProof/>
          <w:sz w:val="24"/>
          <w:szCs w:val="24"/>
        </w:rPr>
        <w:t>(</w:t>
      </w:r>
      <w:hyperlink w:anchor="_ENREF_25" w:tooltip="Jones, 2009 #134" w:history="1">
        <w:r w:rsidR="00513FB0">
          <w:rPr>
            <w:rFonts w:cstheme="minorHAnsi"/>
            <w:noProof/>
            <w:sz w:val="24"/>
            <w:szCs w:val="24"/>
          </w:rPr>
          <w:t>Jones and Mays, 2009</w:t>
        </w:r>
      </w:hyperlink>
      <w:r w:rsidR="00AD603A">
        <w:rPr>
          <w:rFonts w:cstheme="minorHAnsi"/>
          <w:noProof/>
          <w:sz w:val="24"/>
          <w:szCs w:val="24"/>
        </w:rPr>
        <w:t xml:space="preserve">, </w:t>
      </w:r>
      <w:hyperlink w:anchor="_ENREF_17" w:tooltip="Department of Health, 2010 #136" w:history="1">
        <w:r w:rsidR="00513FB0">
          <w:rPr>
            <w:rFonts w:cstheme="minorHAnsi"/>
            <w:noProof/>
            <w:sz w:val="24"/>
            <w:szCs w:val="24"/>
          </w:rPr>
          <w:t>Department of Health, 2010a</w:t>
        </w:r>
      </w:hyperlink>
      <w:r w:rsidR="00AD603A">
        <w:rPr>
          <w:rFonts w:cstheme="minorHAnsi"/>
          <w:noProof/>
          <w:sz w:val="24"/>
          <w:szCs w:val="24"/>
        </w:rPr>
        <w:t>)</w:t>
      </w:r>
      <w:r w:rsidR="00AD603A">
        <w:rPr>
          <w:rFonts w:cstheme="minorHAnsi"/>
          <w:sz w:val="24"/>
          <w:szCs w:val="24"/>
        </w:rPr>
        <w:fldChar w:fldCharType="end"/>
      </w:r>
      <w:r w:rsidR="00CE464A">
        <w:rPr>
          <w:rFonts w:cstheme="minorHAnsi"/>
          <w:sz w:val="24"/>
          <w:szCs w:val="24"/>
        </w:rPr>
        <w:t>.</w:t>
      </w:r>
      <w:r w:rsidR="00B146BA">
        <w:rPr>
          <w:rFonts w:cstheme="minorHAnsi"/>
          <w:sz w:val="24"/>
          <w:szCs w:val="24"/>
        </w:rPr>
        <w:t xml:space="preserve"> </w:t>
      </w:r>
      <w:r w:rsidR="00070FD9">
        <w:rPr>
          <w:rFonts w:cstheme="minorHAnsi"/>
          <w:sz w:val="24"/>
          <w:szCs w:val="24"/>
        </w:rPr>
        <w:t>However,</w:t>
      </w:r>
      <w:r w:rsidR="00C2608C">
        <w:rPr>
          <w:rFonts w:cstheme="minorHAnsi"/>
          <w:sz w:val="24"/>
          <w:szCs w:val="24"/>
        </w:rPr>
        <w:t xml:space="preserve"> the </w:t>
      </w:r>
      <w:r w:rsidR="001C1C6D">
        <w:rPr>
          <w:rFonts w:cstheme="minorHAnsi"/>
          <w:sz w:val="24"/>
          <w:szCs w:val="24"/>
        </w:rPr>
        <w:t>effect</w:t>
      </w:r>
      <w:r w:rsidR="00C2608C">
        <w:rPr>
          <w:rFonts w:cstheme="minorHAnsi"/>
          <w:sz w:val="24"/>
          <w:szCs w:val="24"/>
        </w:rPr>
        <w:t xml:space="preserve"> of competition in the NHS has remained controversial</w:t>
      </w:r>
      <w:r w:rsidR="00DE7695">
        <w:rPr>
          <w:rFonts w:cstheme="minorHAnsi"/>
          <w:sz w:val="24"/>
          <w:szCs w:val="24"/>
        </w:rPr>
        <w:t xml:space="preserve"> </w:t>
      </w:r>
      <w:r w:rsidR="00DE7695" w:rsidRPr="001D202A">
        <w:rPr>
          <w:sz w:val="24"/>
          <w:szCs w:val="24"/>
        </w:rPr>
        <w:fldChar w:fldCharType="begin"/>
      </w:r>
      <w:r w:rsidR="001A2F4A">
        <w:rPr>
          <w:sz w:val="24"/>
          <w:szCs w:val="24"/>
        </w:rPr>
        <w:instrText xml:space="preserve"> ADDIN EN.CITE &lt;EndNote&gt;&lt;Cite&gt;&lt;Author&gt;Office of Fair Trading&lt;/Author&gt;&lt;Year&gt;2014&lt;/Year&gt;&lt;RecNum&gt;489&lt;/RecNum&gt;&lt;DisplayText&gt;(Office of Fair Trading, 2014, Bevan, 2011)&lt;/DisplayText&gt;&lt;record&gt;&lt;rec-number&gt;489&lt;/rec-number&gt;&lt;foreign-keys&gt;&lt;key app="EN" db-id="za50fsw09wzvx0er2t2p0d0txzrw9x59d9a5"&gt;489&lt;/key&gt;&lt;/foreign-keys&gt;&lt;ref-type name="Report"&gt;27&lt;/ref-type&gt;&lt;contributors&gt;&lt;authors&gt;&lt;author&gt;Office of Fair Trading,&lt;/author&gt;&lt;/authors&gt;&lt;/contributors&gt;&lt;titles&gt;&lt;title&gt;Competing on quality - literature review&lt;/title&gt;&lt;/titles&gt;&lt;volume&gt;OFT1531 &lt;/volume&gt;&lt;dates&gt;&lt;year&gt;2014&lt;/year&gt;&lt;/dates&gt;&lt;pub-location&gt;London&lt;/pub-location&gt;&lt;publisher&gt;Office of Fair Trading&lt;/publisher&gt;&lt;urls&gt;&lt;/urls&gt;&lt;/record&gt;&lt;/Cite&gt;&lt;Cite&gt;&lt;Author&gt;Bevan&lt;/Author&gt;&lt;Year&gt;2011&lt;/Year&gt;&lt;RecNum&gt;470&lt;/RecNum&gt;&lt;record&gt;&lt;rec-number&gt;470&lt;/rec-number&gt;&lt;foreign-keys&gt;&lt;key app="EN" db-id="za50fsw09wzvx0er2t2p0d0txzrw9x59d9a5"&gt;470&lt;/key&gt;&lt;/foreign-keys&gt;&lt;ref-type name="Journal Article"&gt;17&lt;/ref-type&gt;&lt;contributors&gt;&lt;authors&gt;&lt;author&gt;Bevan, G , Skellern, M. &lt;/author&gt;&lt;/authors&gt;&lt;/contributors&gt;&lt;titles&gt;&lt;title&gt;Does competition between hospitals improve clinical quality? A review of evidence from two eras of competition in the English NHS.&lt;/title&gt;&lt;secondary-title&gt;British Medical Journal&lt;/secondary-title&gt;&lt;/titles&gt;&lt;periodical&gt;&lt;full-title&gt;British Medical Journal&lt;/full-title&gt;&lt;/periodical&gt;&lt;volume&gt;343&lt;/volume&gt;&lt;dates&gt;&lt;year&gt;2011&lt;/year&gt;&lt;/dates&gt;&lt;urls&gt;&lt;/urls&gt;&lt;/record&gt;&lt;/Cite&gt;&lt;/EndNote&gt;</w:instrText>
      </w:r>
      <w:r w:rsidR="00DE7695" w:rsidRPr="001D202A">
        <w:rPr>
          <w:sz w:val="24"/>
          <w:szCs w:val="24"/>
        </w:rPr>
        <w:fldChar w:fldCharType="separate"/>
      </w:r>
      <w:r w:rsidR="001A2F4A">
        <w:rPr>
          <w:noProof/>
          <w:sz w:val="24"/>
          <w:szCs w:val="24"/>
        </w:rPr>
        <w:t>(</w:t>
      </w:r>
      <w:hyperlink w:anchor="_ENREF_36" w:tooltip="Office of Fair Trading, 2014 #489" w:history="1">
        <w:r w:rsidR="00513FB0">
          <w:rPr>
            <w:noProof/>
            <w:sz w:val="24"/>
            <w:szCs w:val="24"/>
          </w:rPr>
          <w:t>Office of Fair Trading, 2014</w:t>
        </w:r>
      </w:hyperlink>
      <w:r w:rsidR="001A2F4A">
        <w:rPr>
          <w:noProof/>
          <w:sz w:val="24"/>
          <w:szCs w:val="24"/>
        </w:rPr>
        <w:t xml:space="preserve">, </w:t>
      </w:r>
      <w:hyperlink w:anchor="_ENREF_4" w:tooltip="Bevan, 2011 #470" w:history="1">
        <w:r w:rsidR="00513FB0">
          <w:rPr>
            <w:noProof/>
            <w:sz w:val="24"/>
            <w:szCs w:val="24"/>
          </w:rPr>
          <w:t>Bevan, 2011</w:t>
        </w:r>
      </w:hyperlink>
      <w:r w:rsidR="001A2F4A">
        <w:rPr>
          <w:noProof/>
          <w:sz w:val="24"/>
          <w:szCs w:val="24"/>
        </w:rPr>
        <w:t>)</w:t>
      </w:r>
      <w:r w:rsidR="00DE7695" w:rsidRPr="001D202A">
        <w:rPr>
          <w:sz w:val="24"/>
          <w:szCs w:val="24"/>
        </w:rPr>
        <w:fldChar w:fldCharType="end"/>
      </w:r>
      <w:r w:rsidR="00C2608C">
        <w:rPr>
          <w:rFonts w:cstheme="minorHAnsi"/>
          <w:sz w:val="24"/>
          <w:szCs w:val="24"/>
        </w:rPr>
        <w:t>.</w:t>
      </w:r>
      <w:r w:rsidR="00070FD9">
        <w:rPr>
          <w:rFonts w:cstheme="minorHAnsi"/>
          <w:sz w:val="24"/>
          <w:szCs w:val="24"/>
        </w:rPr>
        <w:t xml:space="preserve"> </w:t>
      </w:r>
      <w:r w:rsidR="00C2608C">
        <w:rPr>
          <w:rFonts w:cstheme="minorHAnsi"/>
          <w:sz w:val="24"/>
          <w:szCs w:val="24"/>
        </w:rPr>
        <w:t>D</w:t>
      </w:r>
      <w:r w:rsidR="00070FD9">
        <w:rPr>
          <w:rFonts w:cstheme="minorHAnsi"/>
          <w:sz w:val="24"/>
          <w:szCs w:val="24"/>
        </w:rPr>
        <w:t xml:space="preserve">ue to the nature of healthcare </w:t>
      </w:r>
      <w:r w:rsidR="00C2608C">
        <w:rPr>
          <w:rFonts w:cstheme="minorHAnsi"/>
          <w:sz w:val="24"/>
          <w:szCs w:val="24"/>
        </w:rPr>
        <w:t xml:space="preserve">services, such as asymmetry of information, specialist services, high entry costs and the need (in the UK) to ensure the fair delivery of services across the population,  </w:t>
      </w:r>
      <w:r w:rsidR="00070FD9" w:rsidRPr="00B53BF9">
        <w:rPr>
          <w:rFonts w:cstheme="minorHAnsi"/>
          <w:sz w:val="24"/>
          <w:szCs w:val="24"/>
        </w:rPr>
        <w:t xml:space="preserve">the market is acknowledged to be ‘almost completely imperfect’ </w:t>
      </w:r>
      <w:r w:rsidR="00070FD9" w:rsidRPr="00B53BF9">
        <w:rPr>
          <w:rFonts w:cstheme="minorHAnsi"/>
          <w:sz w:val="24"/>
          <w:szCs w:val="24"/>
        </w:rPr>
        <w:fldChar w:fldCharType="begin"/>
      </w:r>
      <w:r w:rsidR="00070FD9" w:rsidRPr="00B53BF9">
        <w:rPr>
          <w:rFonts w:cstheme="minorHAnsi"/>
          <w:sz w:val="24"/>
          <w:szCs w:val="24"/>
        </w:rPr>
        <w:instrText xml:space="preserve"> ADDIN EN.CITE &lt;EndNote&gt;&lt;Cite&gt;&lt;Author&gt;Olsen&lt;/Author&gt;&lt;Year&gt;2009&lt;/Year&gt;&lt;RecNum&gt;558&lt;/RecNum&gt;&lt;DisplayText&gt;(Olsen, 2009)&lt;/DisplayText&gt;&lt;record&gt;&lt;rec-number&gt;558&lt;/rec-number&gt;&lt;foreign-keys&gt;&lt;key app="EN" db-id="za50fsw09wzvx0er2t2p0d0txzrw9x59d9a5"&gt;558&lt;/key&gt;&lt;/foreign-keys&gt;&lt;ref-type name="Book"&gt;6&lt;/ref-type&gt;&lt;contributors&gt;&lt;authors&gt;&lt;author&gt;Olsen, J.A.&lt;/author&gt;&lt;/authors&gt;&lt;/contributors&gt;&lt;titles&gt;&lt;title&gt;Principles in Health Economics and Policy&lt;/title&gt;&lt;/titles&gt;&lt;dates&gt;&lt;year&gt;2009&lt;/year&gt;&lt;/dates&gt;&lt;pub-location&gt;Oxford&lt;/pub-location&gt;&lt;publisher&gt;Oxford University Press&lt;/publisher&gt;&lt;urls&gt;&lt;/urls&gt;&lt;/record&gt;&lt;/Cite&gt;&lt;/EndNote&gt;</w:instrText>
      </w:r>
      <w:r w:rsidR="00070FD9" w:rsidRPr="00B53BF9">
        <w:rPr>
          <w:rFonts w:cstheme="minorHAnsi"/>
          <w:sz w:val="24"/>
          <w:szCs w:val="24"/>
        </w:rPr>
        <w:fldChar w:fldCharType="separate"/>
      </w:r>
      <w:r w:rsidR="00070FD9" w:rsidRPr="00B53BF9">
        <w:rPr>
          <w:rFonts w:cstheme="minorHAnsi"/>
          <w:noProof/>
          <w:sz w:val="24"/>
          <w:szCs w:val="24"/>
        </w:rPr>
        <w:t>(</w:t>
      </w:r>
      <w:hyperlink w:anchor="_ENREF_37" w:tooltip="Olsen, 2009 #558" w:history="1">
        <w:r w:rsidR="00513FB0" w:rsidRPr="00B53BF9">
          <w:rPr>
            <w:rFonts w:cstheme="minorHAnsi"/>
            <w:noProof/>
            <w:sz w:val="24"/>
            <w:szCs w:val="24"/>
          </w:rPr>
          <w:t>Olsen, 2009</w:t>
        </w:r>
      </w:hyperlink>
      <w:r w:rsidR="00070FD9" w:rsidRPr="00B53BF9">
        <w:rPr>
          <w:rFonts w:cstheme="minorHAnsi"/>
          <w:noProof/>
          <w:sz w:val="24"/>
          <w:szCs w:val="24"/>
        </w:rPr>
        <w:t>)</w:t>
      </w:r>
      <w:r w:rsidR="00070FD9" w:rsidRPr="00B53BF9">
        <w:rPr>
          <w:rFonts w:cstheme="minorHAnsi"/>
          <w:sz w:val="24"/>
          <w:szCs w:val="24"/>
        </w:rPr>
        <w:fldChar w:fldCharType="end"/>
      </w:r>
      <w:r w:rsidR="00C2608C" w:rsidRPr="00B53BF9">
        <w:rPr>
          <w:rFonts w:cstheme="minorHAnsi"/>
          <w:sz w:val="24"/>
          <w:szCs w:val="24"/>
        </w:rPr>
        <w:t xml:space="preserve">, and consequently </w:t>
      </w:r>
      <w:r w:rsidR="00435C72" w:rsidRPr="00B53BF9">
        <w:rPr>
          <w:rFonts w:cstheme="minorHAnsi"/>
          <w:sz w:val="24"/>
          <w:szCs w:val="24"/>
        </w:rPr>
        <w:t xml:space="preserve">the English NHS is subject to a quasi-market, in which the advantages of competition </w:t>
      </w:r>
      <w:r w:rsidR="003A2D08" w:rsidRPr="00B53BF9">
        <w:rPr>
          <w:rFonts w:cstheme="minorHAnsi"/>
          <w:sz w:val="24"/>
          <w:szCs w:val="24"/>
        </w:rPr>
        <w:t>a</w:t>
      </w:r>
      <w:r w:rsidR="003A2D08">
        <w:rPr>
          <w:rFonts w:cstheme="minorHAnsi"/>
          <w:sz w:val="24"/>
          <w:szCs w:val="24"/>
        </w:rPr>
        <w:t>re</w:t>
      </w:r>
      <w:r w:rsidR="003A2D08" w:rsidRPr="00B53BF9">
        <w:rPr>
          <w:rFonts w:cstheme="minorHAnsi"/>
          <w:sz w:val="24"/>
          <w:szCs w:val="24"/>
        </w:rPr>
        <w:t xml:space="preserve"> </w:t>
      </w:r>
      <w:r w:rsidR="00435C72" w:rsidRPr="00B53BF9">
        <w:rPr>
          <w:rFonts w:cstheme="minorHAnsi"/>
          <w:sz w:val="24"/>
          <w:szCs w:val="24"/>
        </w:rPr>
        <w:t>combined with the retention of public funding</w:t>
      </w:r>
      <w:r w:rsidR="00C2608C" w:rsidRPr="00B53BF9">
        <w:rPr>
          <w:rFonts w:cstheme="minorHAnsi"/>
          <w:sz w:val="24"/>
          <w:szCs w:val="24"/>
        </w:rPr>
        <w:t xml:space="preserve">. </w:t>
      </w:r>
    </w:p>
    <w:p w14:paraId="7B77B88E" w14:textId="0B2977BE" w:rsidR="0028346F" w:rsidRDefault="003A2D08" w:rsidP="0032588F">
      <w:pPr>
        <w:spacing w:line="480" w:lineRule="auto"/>
        <w:jc w:val="both"/>
        <w:rPr>
          <w:rFonts w:cstheme="minorHAnsi"/>
          <w:sz w:val="24"/>
          <w:szCs w:val="24"/>
        </w:rPr>
      </w:pPr>
      <w:r w:rsidRPr="00B53BF9">
        <w:rPr>
          <w:rFonts w:cstheme="minorHAnsi"/>
          <w:sz w:val="24"/>
          <w:szCs w:val="24"/>
        </w:rPr>
        <w:t xml:space="preserve">The development of the quasi-market in the English NHS in 1991 introduced a split between the purchasers of health services and the providers, where </w:t>
      </w:r>
      <w:r w:rsidR="00EB5C97">
        <w:rPr>
          <w:rFonts w:cstheme="minorHAnsi"/>
          <w:sz w:val="24"/>
          <w:szCs w:val="24"/>
        </w:rPr>
        <w:t xml:space="preserve">demand for services is managed by third party commissioning bodies (currently CCGs), situated within the NHS hierarchy, acting on behalf of patients, and competition is used </w:t>
      </w:r>
      <w:r w:rsidRPr="00B53BF9">
        <w:rPr>
          <w:rFonts w:cstheme="minorHAnsi"/>
          <w:sz w:val="24"/>
          <w:szCs w:val="24"/>
        </w:rPr>
        <w:t xml:space="preserve">to </w:t>
      </w:r>
      <w:r w:rsidRPr="00B53BF9">
        <w:rPr>
          <w:rFonts w:cstheme="minorHAnsi"/>
          <w:sz w:val="24"/>
          <w:szCs w:val="24"/>
        </w:rPr>
        <w:lastRenderedPageBreak/>
        <w:t>allocate resources to the providers of services.</w:t>
      </w:r>
      <w:r>
        <w:rPr>
          <w:rFonts w:cstheme="minorHAnsi"/>
          <w:sz w:val="24"/>
          <w:szCs w:val="24"/>
        </w:rPr>
        <w:t xml:space="preserve"> </w:t>
      </w:r>
      <w:r w:rsidR="0028346F">
        <w:rPr>
          <w:rFonts w:cstheme="minorHAnsi"/>
          <w:sz w:val="24"/>
          <w:szCs w:val="24"/>
        </w:rPr>
        <w:t>There is not direct payment for services, and d</w:t>
      </w:r>
      <w:r w:rsidR="002700BE">
        <w:rPr>
          <w:rFonts w:cstheme="minorHAnsi"/>
          <w:sz w:val="24"/>
          <w:szCs w:val="24"/>
        </w:rPr>
        <w:t xml:space="preserve">ecisions about the allocation of resources are based on </w:t>
      </w:r>
      <w:r w:rsidR="00D4307B">
        <w:rPr>
          <w:rFonts w:cstheme="minorHAnsi"/>
          <w:sz w:val="24"/>
          <w:szCs w:val="24"/>
        </w:rPr>
        <w:t>the</w:t>
      </w:r>
      <w:r w:rsidR="004254A8">
        <w:rPr>
          <w:rFonts w:cstheme="minorHAnsi"/>
          <w:sz w:val="24"/>
          <w:szCs w:val="24"/>
        </w:rPr>
        <w:t xml:space="preserve"> consideration</w:t>
      </w:r>
      <w:r w:rsidR="002700BE">
        <w:rPr>
          <w:rFonts w:cstheme="minorHAnsi"/>
          <w:sz w:val="24"/>
          <w:szCs w:val="24"/>
        </w:rPr>
        <w:t xml:space="preserve"> of the </w:t>
      </w:r>
      <w:r w:rsidR="00CA6558">
        <w:rPr>
          <w:rFonts w:cstheme="minorHAnsi"/>
          <w:sz w:val="24"/>
          <w:szCs w:val="24"/>
        </w:rPr>
        <w:t xml:space="preserve">rights and </w:t>
      </w:r>
      <w:r w:rsidR="002700BE">
        <w:rPr>
          <w:rFonts w:cstheme="minorHAnsi"/>
          <w:sz w:val="24"/>
          <w:szCs w:val="24"/>
        </w:rPr>
        <w:t xml:space="preserve">needs of the collective, </w:t>
      </w:r>
      <w:r w:rsidR="004254A8">
        <w:rPr>
          <w:rFonts w:cstheme="minorHAnsi"/>
          <w:sz w:val="24"/>
          <w:szCs w:val="24"/>
        </w:rPr>
        <w:t xml:space="preserve">as well as those of </w:t>
      </w:r>
      <w:r w:rsidR="002700BE">
        <w:rPr>
          <w:rFonts w:cstheme="minorHAnsi"/>
          <w:sz w:val="24"/>
          <w:szCs w:val="24"/>
        </w:rPr>
        <w:t xml:space="preserve">the individual. </w:t>
      </w:r>
      <w:r w:rsidR="00E47866">
        <w:rPr>
          <w:rFonts w:cstheme="minorHAnsi"/>
          <w:sz w:val="24"/>
          <w:szCs w:val="24"/>
        </w:rPr>
        <w:t>There is a wide range of evidence</w:t>
      </w:r>
      <w:r w:rsidR="004254A8">
        <w:rPr>
          <w:rFonts w:cstheme="minorHAnsi"/>
          <w:sz w:val="24"/>
          <w:szCs w:val="24"/>
        </w:rPr>
        <w:t xml:space="preserve"> demonstrating the hierarchical aspect of the NHS extend</w:t>
      </w:r>
      <w:r w:rsidR="001C492A">
        <w:rPr>
          <w:rFonts w:cstheme="minorHAnsi"/>
          <w:sz w:val="24"/>
          <w:szCs w:val="24"/>
        </w:rPr>
        <w:t>s</w:t>
      </w:r>
      <w:r w:rsidR="004254A8">
        <w:rPr>
          <w:rFonts w:cstheme="minorHAnsi"/>
          <w:sz w:val="24"/>
          <w:szCs w:val="24"/>
        </w:rPr>
        <w:t xml:space="preserve"> to the suppl</w:t>
      </w:r>
      <w:r w:rsidR="00CD4207">
        <w:rPr>
          <w:rFonts w:cstheme="minorHAnsi"/>
          <w:sz w:val="24"/>
          <w:szCs w:val="24"/>
        </w:rPr>
        <w:t>y side despite incentives</w:t>
      </w:r>
      <w:r w:rsidR="00B146BA">
        <w:rPr>
          <w:rFonts w:cstheme="minorHAnsi"/>
          <w:sz w:val="24"/>
          <w:szCs w:val="24"/>
        </w:rPr>
        <w:t xml:space="preserve"> </w:t>
      </w:r>
      <w:r w:rsidR="00B61A85">
        <w:rPr>
          <w:rFonts w:cstheme="minorHAnsi"/>
          <w:sz w:val="24"/>
          <w:szCs w:val="24"/>
        </w:rPr>
        <w:t xml:space="preserve">for competition </w:t>
      </w:r>
      <w:r w:rsidR="00B146BA">
        <w:rPr>
          <w:rFonts w:cstheme="minorHAnsi"/>
          <w:sz w:val="24"/>
          <w:szCs w:val="24"/>
        </w:rPr>
        <w:t xml:space="preserve">(see </w:t>
      </w:r>
      <w:r w:rsidR="00B146BA">
        <w:rPr>
          <w:rFonts w:cstheme="minorHAnsi"/>
          <w:sz w:val="24"/>
          <w:szCs w:val="24"/>
        </w:rPr>
        <w:fldChar w:fldCharType="begin"/>
      </w:r>
      <w:r w:rsidR="00910153">
        <w:rPr>
          <w:rFonts w:cstheme="minorHAnsi"/>
          <w:sz w:val="24"/>
          <w:szCs w:val="24"/>
        </w:rPr>
        <w:instrText xml:space="preserve"> ADDIN EN.CITE &lt;EndNote&gt;&lt;Cite&gt;&lt;Author&gt;Allen&lt;/Author&gt;&lt;Year&gt;2013&lt;/Year&gt;&lt;RecNum&gt;595&lt;/RecNum&gt;&lt;DisplayText&gt;(Allen, 2013)&lt;/DisplayText&gt;&lt;record&gt;&lt;rec-number&gt;595&lt;/rec-number&gt;&lt;foreign-keys&gt;&lt;key app="EN" db-id="za50fsw09wzvx0er2t2p0d0txzrw9x59d9a5"&gt;595&lt;/key&gt;&lt;/foreign-keys&gt;&lt;ref-type name="Journal Article"&gt;17&lt;/ref-type&gt;&lt;contributors&gt;&lt;authors&gt;&lt;author&gt;Allen, P.&lt;/author&gt;&lt;/authors&gt;&lt;/contributors&gt;&lt;titles&gt;&lt;title&gt;An economic analysis of the limits of market based reforms in the English NHS&lt;/title&gt;&lt;secondary-title&gt;BMC Health Services Research&lt;/secondary-title&gt;&lt;/titles&gt;&lt;periodical&gt;&lt;full-title&gt;BMC Health Services Research&lt;/full-title&gt;&lt;/periodical&gt;&lt;volume&gt;13 Supplement 1&lt;/volume&gt;&lt;number&gt;S1&lt;/number&gt;&lt;dates&gt;&lt;year&gt;2013&lt;/year&gt;&lt;/dates&gt;&lt;urls&gt;&lt;/urls&gt;&lt;/record&gt;&lt;/Cite&gt;&lt;/EndNote&gt;</w:instrText>
      </w:r>
      <w:r w:rsidR="00B146BA">
        <w:rPr>
          <w:rFonts w:cstheme="minorHAnsi"/>
          <w:sz w:val="24"/>
          <w:szCs w:val="24"/>
        </w:rPr>
        <w:fldChar w:fldCharType="separate"/>
      </w:r>
      <w:r w:rsidR="00B146BA">
        <w:rPr>
          <w:rFonts w:cstheme="minorHAnsi"/>
          <w:noProof/>
          <w:sz w:val="24"/>
          <w:szCs w:val="24"/>
        </w:rPr>
        <w:t>(</w:t>
      </w:r>
      <w:hyperlink w:anchor="_ENREF_1" w:tooltip="Allen, 2013 #595" w:history="1">
        <w:r w:rsidR="00513FB0">
          <w:rPr>
            <w:rFonts w:cstheme="minorHAnsi"/>
            <w:noProof/>
            <w:sz w:val="24"/>
            <w:szCs w:val="24"/>
          </w:rPr>
          <w:t>Allen, 2013</w:t>
        </w:r>
      </w:hyperlink>
      <w:r w:rsidR="00B146BA">
        <w:rPr>
          <w:rFonts w:cstheme="minorHAnsi"/>
          <w:noProof/>
          <w:sz w:val="24"/>
          <w:szCs w:val="24"/>
        </w:rPr>
        <w:t>)</w:t>
      </w:r>
      <w:r w:rsidR="00B146BA">
        <w:rPr>
          <w:rFonts w:cstheme="minorHAnsi"/>
          <w:sz w:val="24"/>
          <w:szCs w:val="24"/>
        </w:rPr>
        <w:fldChar w:fldCharType="end"/>
      </w:r>
      <w:r w:rsidR="00B146BA">
        <w:rPr>
          <w:rFonts w:cstheme="minorHAnsi"/>
          <w:sz w:val="24"/>
          <w:szCs w:val="24"/>
        </w:rPr>
        <w:t>).</w:t>
      </w:r>
    </w:p>
    <w:p w14:paraId="56B2CAEB" w14:textId="5FB41C76" w:rsidR="001A44E7" w:rsidRPr="00111A8E" w:rsidRDefault="00A4224E" w:rsidP="00E54017">
      <w:pPr>
        <w:spacing w:line="480" w:lineRule="auto"/>
        <w:jc w:val="both"/>
        <w:rPr>
          <w:rFonts w:cstheme="minorHAnsi"/>
          <w:sz w:val="24"/>
          <w:szCs w:val="24"/>
        </w:rPr>
      </w:pPr>
      <w:r>
        <w:rPr>
          <w:rFonts w:cstheme="minorHAnsi"/>
          <w:sz w:val="24"/>
          <w:szCs w:val="24"/>
        </w:rPr>
        <w:t>These</w:t>
      </w:r>
      <w:r w:rsidR="00CA0D92">
        <w:rPr>
          <w:rFonts w:cstheme="minorHAnsi"/>
          <w:sz w:val="24"/>
          <w:szCs w:val="24"/>
        </w:rPr>
        <w:t xml:space="preserve"> factors are important </w:t>
      </w:r>
      <w:r w:rsidR="00EB5C97">
        <w:rPr>
          <w:rFonts w:cstheme="minorHAnsi"/>
          <w:sz w:val="24"/>
          <w:szCs w:val="24"/>
        </w:rPr>
        <w:t xml:space="preserve">to a discussion of competition regulation </w:t>
      </w:r>
      <w:r>
        <w:rPr>
          <w:rFonts w:cstheme="minorHAnsi"/>
          <w:sz w:val="24"/>
          <w:szCs w:val="24"/>
        </w:rPr>
        <w:t>because</w:t>
      </w:r>
      <w:r w:rsidR="00CA0D92">
        <w:rPr>
          <w:rFonts w:cstheme="minorHAnsi"/>
          <w:sz w:val="24"/>
          <w:szCs w:val="24"/>
        </w:rPr>
        <w:t xml:space="preserve"> </w:t>
      </w:r>
      <w:r>
        <w:rPr>
          <w:rFonts w:cstheme="minorHAnsi"/>
          <w:sz w:val="24"/>
          <w:szCs w:val="24"/>
        </w:rPr>
        <w:t>of</w:t>
      </w:r>
      <w:r w:rsidR="00CA0D92">
        <w:rPr>
          <w:rFonts w:cstheme="minorHAnsi"/>
          <w:sz w:val="24"/>
          <w:szCs w:val="24"/>
        </w:rPr>
        <w:t xml:space="preserve"> the argument that the NHS requires sector specific regulation of competition </w:t>
      </w:r>
      <w:r>
        <w:rPr>
          <w:rFonts w:cstheme="minorHAnsi"/>
          <w:sz w:val="24"/>
          <w:szCs w:val="24"/>
        </w:rPr>
        <w:t>due to</w:t>
      </w:r>
      <w:r w:rsidR="00CA0D92">
        <w:rPr>
          <w:rFonts w:cstheme="minorHAnsi"/>
          <w:sz w:val="24"/>
          <w:szCs w:val="24"/>
        </w:rPr>
        <w:t xml:space="preserve"> the ‘special’ nature of the market in relation to health care, </w:t>
      </w:r>
      <w:r w:rsidR="00345B85">
        <w:rPr>
          <w:rFonts w:cstheme="minorHAnsi"/>
          <w:sz w:val="24"/>
          <w:szCs w:val="24"/>
        </w:rPr>
        <w:t xml:space="preserve">which also necessitates the creation of a ‘quasi’ rather than full market. </w:t>
      </w:r>
      <w:r w:rsidR="00A91302">
        <w:rPr>
          <w:rFonts w:cstheme="minorHAnsi"/>
          <w:sz w:val="24"/>
          <w:szCs w:val="24"/>
        </w:rPr>
        <w:t xml:space="preserve"> Whilst the main objective of competition law is the maximisation of consumer welfare, sector </w:t>
      </w:r>
      <w:r w:rsidR="00DA7B1A">
        <w:rPr>
          <w:rFonts w:cstheme="minorHAnsi"/>
          <w:sz w:val="24"/>
          <w:szCs w:val="24"/>
        </w:rPr>
        <w:t xml:space="preserve">specific </w:t>
      </w:r>
      <w:r w:rsidR="00A91302">
        <w:rPr>
          <w:rFonts w:cstheme="minorHAnsi"/>
          <w:sz w:val="24"/>
          <w:szCs w:val="24"/>
        </w:rPr>
        <w:t>regulation may have other objectives</w:t>
      </w:r>
      <w:r w:rsidR="00345B85">
        <w:rPr>
          <w:rFonts w:cstheme="minorHAnsi"/>
          <w:sz w:val="24"/>
          <w:szCs w:val="24"/>
        </w:rPr>
        <w:t xml:space="preserve"> which are balanced against the need to uphold and protect competition,</w:t>
      </w:r>
      <w:r w:rsidR="001C371C">
        <w:rPr>
          <w:rFonts w:cstheme="minorHAnsi"/>
          <w:sz w:val="24"/>
          <w:szCs w:val="24"/>
        </w:rPr>
        <w:t xml:space="preserve"> </w:t>
      </w:r>
      <w:r w:rsidR="00A91302">
        <w:rPr>
          <w:rFonts w:cstheme="minorHAnsi"/>
          <w:sz w:val="24"/>
          <w:szCs w:val="24"/>
        </w:rPr>
        <w:t>such as the achievement of wider social goals</w:t>
      </w:r>
      <w:r w:rsidR="003B4A3B">
        <w:rPr>
          <w:rFonts w:cstheme="minorHAnsi"/>
          <w:sz w:val="24"/>
          <w:szCs w:val="24"/>
        </w:rPr>
        <w:t xml:space="preserve">. The introduction of </w:t>
      </w:r>
      <w:r w:rsidR="00EB5C97">
        <w:rPr>
          <w:rFonts w:cstheme="minorHAnsi"/>
          <w:sz w:val="24"/>
          <w:szCs w:val="24"/>
        </w:rPr>
        <w:t>legislation</w:t>
      </w:r>
      <w:r w:rsidR="00DA7B1A">
        <w:rPr>
          <w:rFonts w:cstheme="minorHAnsi"/>
          <w:sz w:val="24"/>
          <w:szCs w:val="24"/>
        </w:rPr>
        <w:t xml:space="preserve"> into such systems</w:t>
      </w:r>
      <w:r w:rsidR="003B4A3B">
        <w:rPr>
          <w:rFonts w:cstheme="minorHAnsi"/>
          <w:sz w:val="24"/>
          <w:szCs w:val="24"/>
        </w:rPr>
        <w:t xml:space="preserve"> </w:t>
      </w:r>
      <w:r w:rsidR="00345B85">
        <w:rPr>
          <w:rFonts w:cstheme="minorHAnsi"/>
          <w:sz w:val="24"/>
          <w:szCs w:val="24"/>
        </w:rPr>
        <w:t xml:space="preserve">is thought to </w:t>
      </w:r>
      <w:r w:rsidR="00C2545B">
        <w:rPr>
          <w:rFonts w:cstheme="minorHAnsi"/>
          <w:sz w:val="24"/>
          <w:szCs w:val="24"/>
        </w:rPr>
        <w:t>prevent, or reduce the influence of,</w:t>
      </w:r>
      <w:r w:rsidR="003B4A3B">
        <w:rPr>
          <w:rFonts w:cstheme="minorHAnsi"/>
          <w:sz w:val="24"/>
          <w:szCs w:val="24"/>
        </w:rPr>
        <w:t xml:space="preserve"> </w:t>
      </w:r>
      <w:r w:rsidR="00C2545B">
        <w:rPr>
          <w:rFonts w:cstheme="minorHAnsi"/>
          <w:sz w:val="24"/>
          <w:szCs w:val="24"/>
        </w:rPr>
        <w:t xml:space="preserve">the </w:t>
      </w:r>
      <w:r w:rsidR="003B4A3B">
        <w:rPr>
          <w:rFonts w:cstheme="minorHAnsi"/>
          <w:sz w:val="24"/>
          <w:szCs w:val="24"/>
        </w:rPr>
        <w:t>discretion</w:t>
      </w:r>
      <w:r>
        <w:rPr>
          <w:rFonts w:cstheme="minorHAnsi"/>
          <w:sz w:val="24"/>
          <w:szCs w:val="24"/>
        </w:rPr>
        <w:t xml:space="preserve">ary decisions </w:t>
      </w:r>
      <w:r w:rsidR="00C2545B">
        <w:rPr>
          <w:rFonts w:cstheme="minorHAnsi"/>
          <w:sz w:val="24"/>
          <w:szCs w:val="24"/>
        </w:rPr>
        <w:t xml:space="preserve">of policy makers and sector specific experts which balance competition against other concerns </w:t>
      </w:r>
      <w:r w:rsidR="00345B85">
        <w:rPr>
          <w:rFonts w:cstheme="minorHAnsi"/>
          <w:sz w:val="24"/>
          <w:szCs w:val="24"/>
        </w:rPr>
        <w:t>,</w:t>
      </w:r>
      <w:r w:rsidR="003B4A3B">
        <w:rPr>
          <w:rFonts w:cstheme="minorHAnsi"/>
          <w:sz w:val="24"/>
          <w:szCs w:val="24"/>
        </w:rPr>
        <w:t xml:space="preserve"> in favour of the ‘rule of law’</w:t>
      </w:r>
      <w:r>
        <w:rPr>
          <w:rFonts w:cstheme="minorHAnsi"/>
          <w:sz w:val="24"/>
          <w:szCs w:val="24"/>
        </w:rPr>
        <w:t xml:space="preserve"> through the courts</w:t>
      </w:r>
      <w:r w:rsidR="00356E51">
        <w:rPr>
          <w:rFonts w:cstheme="minorHAnsi"/>
          <w:sz w:val="24"/>
          <w:szCs w:val="24"/>
        </w:rPr>
        <w:t xml:space="preserve"> </w:t>
      </w:r>
      <w:r w:rsidR="00356E51">
        <w:rPr>
          <w:rFonts w:cstheme="minorHAnsi"/>
          <w:sz w:val="24"/>
          <w:szCs w:val="24"/>
        </w:rPr>
        <w:fldChar w:fldCharType="begin"/>
      </w:r>
      <w:r w:rsidR="00356E51">
        <w:rPr>
          <w:rFonts w:cstheme="minorHAnsi"/>
          <w:sz w:val="24"/>
          <w:szCs w:val="24"/>
        </w:rPr>
        <w:instrText xml:space="preserve"> ADDIN EN.CITE &lt;EndNote&gt;&lt;Cite&gt;&lt;Author&gt;Baldwin&lt;/Author&gt;&lt;Year&gt;1999&lt;/Year&gt;&lt;RecNum&gt;658&lt;/RecNum&gt;&lt;DisplayText&gt;(Baldwin and Cave, 1999)&lt;/DisplayText&gt;&lt;record&gt;&lt;rec-number&gt;658&lt;/rec-number&gt;&lt;foreign-keys&gt;&lt;key app="EN" db-id="za50fsw09wzvx0er2t2p0d0txzrw9x59d9a5"&gt;658&lt;/key&gt;&lt;/foreign-keys&gt;&lt;ref-type name="Book"&gt;6&lt;/ref-type&gt;&lt;contributors&gt;&lt;authors&gt;&lt;author&gt;Baldwin, R.&lt;/author&gt;&lt;author&gt;Cave, M.&lt;/author&gt;&lt;/authors&gt;&lt;/contributors&gt;&lt;titles&gt;&lt;title&gt;Understanding Regulation&lt;/title&gt;&lt;/titles&gt;&lt;dates&gt;&lt;year&gt;1999&lt;/year&gt;&lt;/dates&gt;&lt;pub-location&gt;Oxford&lt;/pub-location&gt;&lt;publisher&gt;Oxford University Press&lt;/publisher&gt;&lt;urls&gt;&lt;/urls&gt;&lt;/record&gt;&lt;/Cite&gt;&lt;/EndNote&gt;</w:instrText>
      </w:r>
      <w:r w:rsidR="00356E51">
        <w:rPr>
          <w:rFonts w:cstheme="minorHAnsi"/>
          <w:sz w:val="24"/>
          <w:szCs w:val="24"/>
        </w:rPr>
        <w:fldChar w:fldCharType="separate"/>
      </w:r>
      <w:r w:rsidR="00356E51">
        <w:rPr>
          <w:rFonts w:cstheme="minorHAnsi"/>
          <w:noProof/>
          <w:sz w:val="24"/>
          <w:szCs w:val="24"/>
        </w:rPr>
        <w:t>(</w:t>
      </w:r>
      <w:hyperlink w:anchor="_ENREF_3" w:tooltip="Baldwin, 1999 #658" w:history="1">
        <w:r w:rsidR="00513FB0">
          <w:rPr>
            <w:rFonts w:cstheme="minorHAnsi"/>
            <w:noProof/>
            <w:sz w:val="24"/>
            <w:szCs w:val="24"/>
          </w:rPr>
          <w:t>Baldwin and Cave, 1999</w:t>
        </w:r>
      </w:hyperlink>
      <w:r w:rsidR="00356E51">
        <w:rPr>
          <w:rFonts w:cstheme="minorHAnsi"/>
          <w:noProof/>
          <w:sz w:val="24"/>
          <w:szCs w:val="24"/>
        </w:rPr>
        <w:t>)</w:t>
      </w:r>
      <w:r w:rsidR="00356E51">
        <w:rPr>
          <w:rFonts w:cstheme="minorHAnsi"/>
          <w:sz w:val="24"/>
          <w:szCs w:val="24"/>
        </w:rPr>
        <w:fldChar w:fldCharType="end"/>
      </w:r>
      <w:r>
        <w:rPr>
          <w:rFonts w:cstheme="minorHAnsi"/>
          <w:sz w:val="24"/>
          <w:szCs w:val="24"/>
        </w:rPr>
        <w:t>.</w:t>
      </w:r>
      <w:r w:rsidR="003B4A3B">
        <w:rPr>
          <w:rFonts w:cstheme="minorHAnsi"/>
          <w:sz w:val="24"/>
          <w:szCs w:val="24"/>
        </w:rPr>
        <w:t xml:space="preserve"> </w:t>
      </w:r>
      <w:r w:rsidR="003363E4">
        <w:t xml:space="preserve">Additionally, </w:t>
      </w:r>
      <w:r w:rsidR="003363E4">
        <w:rPr>
          <w:rFonts w:cstheme="minorHAnsi"/>
          <w:sz w:val="24"/>
          <w:szCs w:val="24"/>
        </w:rPr>
        <w:t xml:space="preserve">competition law tends to intervene when behaviour infringes the general principles, whereas sector specific regulation takes a more prescriptive approach to expected behaviour (ibid.), and </w:t>
      </w:r>
      <w:r w:rsidR="00A91302">
        <w:rPr>
          <w:rFonts w:cstheme="minorHAnsi"/>
          <w:sz w:val="24"/>
          <w:szCs w:val="24"/>
        </w:rPr>
        <w:t xml:space="preserve"> </w:t>
      </w:r>
      <w:r w:rsidR="00356E51">
        <w:rPr>
          <w:rFonts w:cstheme="minorHAnsi"/>
          <w:sz w:val="24"/>
          <w:szCs w:val="24"/>
        </w:rPr>
        <w:t>t</w:t>
      </w:r>
      <w:r w:rsidR="001C371C">
        <w:rPr>
          <w:rFonts w:cstheme="minorHAnsi"/>
          <w:sz w:val="24"/>
          <w:szCs w:val="24"/>
        </w:rPr>
        <w:t xml:space="preserve">here may be differences </w:t>
      </w:r>
      <w:r w:rsidR="003363E4">
        <w:rPr>
          <w:rFonts w:cstheme="minorHAnsi"/>
          <w:sz w:val="24"/>
          <w:szCs w:val="24"/>
        </w:rPr>
        <w:t xml:space="preserve">between sector specific regulation and legislation </w:t>
      </w:r>
      <w:r w:rsidR="001C371C">
        <w:rPr>
          <w:rFonts w:cstheme="minorHAnsi"/>
          <w:sz w:val="24"/>
          <w:szCs w:val="24"/>
        </w:rPr>
        <w:t xml:space="preserve">in the types of ‘remedies’ </w:t>
      </w:r>
      <w:r w:rsidR="003B26C0">
        <w:rPr>
          <w:rFonts w:cstheme="minorHAnsi"/>
          <w:sz w:val="24"/>
          <w:szCs w:val="24"/>
        </w:rPr>
        <w:t>deemed acceptable to address</w:t>
      </w:r>
      <w:r w:rsidR="001C371C">
        <w:rPr>
          <w:rFonts w:cstheme="minorHAnsi"/>
          <w:sz w:val="24"/>
          <w:szCs w:val="24"/>
        </w:rPr>
        <w:t xml:space="preserve"> breaches of competition rules </w:t>
      </w:r>
      <w:r w:rsidR="00C47FB5">
        <w:rPr>
          <w:rFonts w:cstheme="minorHAnsi"/>
          <w:sz w:val="24"/>
          <w:szCs w:val="24"/>
        </w:rPr>
        <w:fldChar w:fldCharType="begin"/>
      </w:r>
      <w:r w:rsidR="00C47FB5">
        <w:rPr>
          <w:rFonts w:cstheme="minorHAnsi"/>
          <w:sz w:val="24"/>
          <w:szCs w:val="24"/>
        </w:rPr>
        <w:instrText xml:space="preserve"> ADDIN EN.CITE &lt;EndNote&gt;&lt;Cite&gt;&lt;Author&gt;Buiges&lt;/Author&gt;&lt;Year&gt;2006&lt;/Year&gt;&lt;RecNum&gt;659&lt;/RecNum&gt;&lt;DisplayText&gt;(Buiges, 2006)&lt;/DisplayText&gt;&lt;record&gt;&lt;rec-number&gt;659&lt;/rec-number&gt;&lt;foreign-keys&gt;&lt;key app="EN" db-id="za50fsw09wzvx0er2t2p0d0txzrw9x59d9a5"&gt;659&lt;/key&gt;&lt;/foreign-keys&gt;&lt;ref-type name="Conference Paper"&gt;47&lt;/ref-type&gt;&lt;contributors&gt;&lt;authors&gt;&lt;author&gt;Buiges, P.A.&lt;/author&gt;&lt;/authors&gt;&lt;/contributors&gt;&lt;titles&gt;&lt;title&gt;Competition policy versus sector-specific regulation in network industries - the EU experience&lt;/title&gt;&lt;secondary-title&gt;UNCTAD&amp;apos;s Seventh Session of the Intergovernmental Group of Experts on Competition Law and Policy&lt;/secondary-title&gt;&lt;/titles&gt;&lt;dates&gt;&lt;year&gt;2006&lt;/year&gt;&lt;/dates&gt;&lt;pub-location&gt;Geneva&lt;/pub-location&gt;&lt;urls&gt;&lt;/urls&gt;&lt;/record&gt;&lt;/Cite&gt;&lt;/EndNote&gt;</w:instrText>
      </w:r>
      <w:r w:rsidR="00C47FB5">
        <w:rPr>
          <w:rFonts w:cstheme="minorHAnsi"/>
          <w:sz w:val="24"/>
          <w:szCs w:val="24"/>
        </w:rPr>
        <w:fldChar w:fldCharType="separate"/>
      </w:r>
      <w:r w:rsidR="00C47FB5">
        <w:rPr>
          <w:rFonts w:cstheme="minorHAnsi"/>
          <w:noProof/>
          <w:sz w:val="24"/>
          <w:szCs w:val="24"/>
        </w:rPr>
        <w:t>(</w:t>
      </w:r>
      <w:hyperlink w:anchor="_ENREF_7" w:tooltip="Buiges, 2006 #659" w:history="1">
        <w:r w:rsidR="00513FB0">
          <w:rPr>
            <w:rFonts w:cstheme="minorHAnsi"/>
            <w:noProof/>
            <w:sz w:val="24"/>
            <w:szCs w:val="24"/>
          </w:rPr>
          <w:t>Buiges, 2006</w:t>
        </w:r>
      </w:hyperlink>
      <w:r w:rsidR="00C47FB5">
        <w:rPr>
          <w:rFonts w:cstheme="minorHAnsi"/>
          <w:noProof/>
          <w:sz w:val="24"/>
          <w:szCs w:val="24"/>
        </w:rPr>
        <w:t>)</w:t>
      </w:r>
      <w:r w:rsidR="00C47FB5">
        <w:rPr>
          <w:rFonts w:cstheme="minorHAnsi"/>
          <w:sz w:val="24"/>
          <w:szCs w:val="24"/>
        </w:rPr>
        <w:fldChar w:fldCharType="end"/>
      </w:r>
      <w:r w:rsidR="001C371C">
        <w:rPr>
          <w:rFonts w:cstheme="minorHAnsi"/>
          <w:sz w:val="24"/>
          <w:szCs w:val="24"/>
        </w:rPr>
        <w:t>.</w:t>
      </w:r>
      <w:r w:rsidR="00111A8E" w:rsidRPr="00111A8E">
        <w:t xml:space="preserve"> </w:t>
      </w:r>
    </w:p>
    <w:p w14:paraId="31DC85DB" w14:textId="4573820A" w:rsidR="00E54017" w:rsidRDefault="00E54017" w:rsidP="00E54017">
      <w:pPr>
        <w:spacing w:line="480" w:lineRule="auto"/>
        <w:jc w:val="both"/>
        <w:rPr>
          <w:rFonts w:cstheme="minorHAnsi"/>
          <w:sz w:val="24"/>
          <w:szCs w:val="24"/>
        </w:rPr>
      </w:pPr>
      <w:r>
        <w:rPr>
          <w:rFonts w:cstheme="minorHAnsi"/>
          <w:sz w:val="24"/>
          <w:szCs w:val="24"/>
        </w:rPr>
        <w:lastRenderedPageBreak/>
        <w:t xml:space="preserve">The rules affecting </w:t>
      </w:r>
      <w:r w:rsidR="003363E4">
        <w:rPr>
          <w:rFonts w:cstheme="minorHAnsi"/>
          <w:sz w:val="24"/>
          <w:szCs w:val="24"/>
        </w:rPr>
        <w:t>NHS competition and the arrangements for their enforcement are</w:t>
      </w:r>
      <w:r>
        <w:rPr>
          <w:rFonts w:cstheme="minorHAnsi"/>
          <w:sz w:val="24"/>
          <w:szCs w:val="24"/>
        </w:rPr>
        <w:t xml:space="preserve"> complex. The following provides an overview of the rules and </w:t>
      </w:r>
      <w:r w:rsidR="003363E4">
        <w:rPr>
          <w:rFonts w:cstheme="minorHAnsi"/>
          <w:sz w:val="24"/>
          <w:szCs w:val="24"/>
        </w:rPr>
        <w:t>enforcement authorities in place in the period in question</w:t>
      </w:r>
      <w:r>
        <w:rPr>
          <w:rFonts w:cstheme="minorHAnsi"/>
          <w:sz w:val="24"/>
          <w:szCs w:val="24"/>
        </w:rPr>
        <w:t xml:space="preserve">, and </w:t>
      </w:r>
      <w:r w:rsidR="003363E4">
        <w:rPr>
          <w:rFonts w:cstheme="minorHAnsi"/>
          <w:sz w:val="24"/>
          <w:szCs w:val="24"/>
        </w:rPr>
        <w:t xml:space="preserve">an overview of </w:t>
      </w:r>
      <w:r>
        <w:rPr>
          <w:rFonts w:cstheme="minorHAnsi"/>
          <w:sz w:val="24"/>
          <w:szCs w:val="24"/>
        </w:rPr>
        <w:t xml:space="preserve">the arrangements </w:t>
      </w:r>
      <w:r w:rsidR="003363E4">
        <w:rPr>
          <w:rFonts w:cstheme="minorHAnsi"/>
          <w:sz w:val="24"/>
          <w:szCs w:val="24"/>
        </w:rPr>
        <w:t>can also be found</w:t>
      </w:r>
      <w:r>
        <w:rPr>
          <w:rFonts w:cstheme="minorHAnsi"/>
          <w:sz w:val="24"/>
          <w:szCs w:val="24"/>
        </w:rPr>
        <w:t xml:space="preserve"> in Table  1 below.</w:t>
      </w:r>
    </w:p>
    <w:p w14:paraId="1DA3D985" w14:textId="08916DDC" w:rsidR="00E54017" w:rsidRPr="00283045" w:rsidRDefault="00E54017" w:rsidP="0044145F">
      <w:pPr>
        <w:spacing w:line="480" w:lineRule="auto"/>
        <w:jc w:val="both"/>
        <w:rPr>
          <w:rFonts w:cstheme="minorHAnsi"/>
          <w:sz w:val="24"/>
          <w:szCs w:val="24"/>
        </w:rPr>
      </w:pPr>
      <w:r>
        <w:rPr>
          <w:rFonts w:cstheme="minorHAnsi"/>
          <w:sz w:val="24"/>
          <w:szCs w:val="24"/>
        </w:rPr>
        <w:t>TABLE 1 ABOUT HERE.</w:t>
      </w:r>
    </w:p>
    <w:p w14:paraId="4BF05F0D" w14:textId="6F7FBE4E" w:rsidR="0008665C" w:rsidRDefault="00CA0D92" w:rsidP="00B53BF9">
      <w:pPr>
        <w:spacing w:line="480" w:lineRule="auto"/>
        <w:jc w:val="both"/>
        <w:rPr>
          <w:rFonts w:cstheme="minorHAnsi"/>
          <w:sz w:val="24"/>
          <w:szCs w:val="24"/>
        </w:rPr>
      </w:pPr>
      <w:r>
        <w:rPr>
          <w:rFonts w:cstheme="minorHAnsi"/>
          <w:sz w:val="24"/>
          <w:szCs w:val="24"/>
        </w:rPr>
        <w:t>The</w:t>
      </w:r>
      <w:r w:rsidR="001C1C6D" w:rsidRPr="00B53BF9">
        <w:rPr>
          <w:rFonts w:cstheme="minorHAnsi"/>
          <w:sz w:val="24"/>
          <w:szCs w:val="24"/>
        </w:rPr>
        <w:t xml:space="preserve"> quasi-market</w:t>
      </w:r>
      <w:r w:rsidR="003363E4">
        <w:rPr>
          <w:rFonts w:cstheme="minorHAnsi"/>
          <w:sz w:val="24"/>
          <w:szCs w:val="24"/>
        </w:rPr>
        <w:t xml:space="preserve"> and accompanying regulatory mechanisms </w:t>
      </w:r>
      <w:r w:rsidR="001C1C6D" w:rsidRPr="00B53BF9">
        <w:rPr>
          <w:rFonts w:cstheme="minorHAnsi"/>
          <w:sz w:val="24"/>
          <w:szCs w:val="24"/>
        </w:rPr>
        <w:t>w</w:t>
      </w:r>
      <w:r w:rsidR="003363E4">
        <w:rPr>
          <w:rFonts w:cstheme="minorHAnsi"/>
          <w:sz w:val="24"/>
          <w:szCs w:val="24"/>
        </w:rPr>
        <w:t>ere</w:t>
      </w:r>
      <w:r w:rsidR="001C1C6D" w:rsidRPr="00B53BF9">
        <w:rPr>
          <w:rFonts w:cstheme="minorHAnsi"/>
          <w:sz w:val="24"/>
          <w:szCs w:val="24"/>
        </w:rPr>
        <w:t xml:space="preserve"> first introduced </w:t>
      </w:r>
      <w:r>
        <w:rPr>
          <w:rFonts w:cstheme="minorHAnsi"/>
          <w:sz w:val="24"/>
          <w:szCs w:val="24"/>
        </w:rPr>
        <w:t xml:space="preserve">to the English NHS </w:t>
      </w:r>
      <w:r w:rsidR="001C1C6D" w:rsidRPr="00B53BF9">
        <w:rPr>
          <w:rFonts w:cstheme="minorHAnsi"/>
          <w:sz w:val="24"/>
          <w:szCs w:val="24"/>
        </w:rPr>
        <w:t>in 1991,</w:t>
      </w:r>
      <w:r w:rsidR="00334F20" w:rsidRPr="00B53BF9">
        <w:rPr>
          <w:rFonts w:cstheme="minorHAnsi"/>
          <w:sz w:val="24"/>
          <w:szCs w:val="24"/>
        </w:rPr>
        <w:t xml:space="preserve"> </w:t>
      </w:r>
      <w:r>
        <w:rPr>
          <w:rFonts w:cstheme="minorHAnsi"/>
          <w:sz w:val="24"/>
          <w:szCs w:val="24"/>
        </w:rPr>
        <w:t xml:space="preserve"> with</w:t>
      </w:r>
      <w:r w:rsidR="001C1C6D" w:rsidRPr="00B53BF9">
        <w:rPr>
          <w:rFonts w:cstheme="minorHAnsi"/>
          <w:sz w:val="24"/>
          <w:szCs w:val="24"/>
        </w:rPr>
        <w:t xml:space="preserve"> the clear expectation that, regardless of the existing</w:t>
      </w:r>
      <w:r w:rsidR="00DE7695">
        <w:rPr>
          <w:rFonts w:cstheme="minorHAnsi"/>
          <w:sz w:val="24"/>
          <w:szCs w:val="24"/>
        </w:rPr>
        <w:t xml:space="preserve"> national and European</w:t>
      </w:r>
      <w:r w:rsidR="001C1C6D" w:rsidRPr="00B53BF9">
        <w:rPr>
          <w:rFonts w:cstheme="minorHAnsi"/>
          <w:sz w:val="24"/>
          <w:szCs w:val="24"/>
        </w:rPr>
        <w:t xml:space="preserve"> laws regarding monopoly and anti-competitive behaviour, all matters would be managed internally by the Department of Health</w:t>
      </w:r>
      <w:r>
        <w:rPr>
          <w:rFonts w:cstheme="minorHAnsi"/>
          <w:sz w:val="24"/>
          <w:szCs w:val="24"/>
        </w:rPr>
        <w:t xml:space="preserve"> </w:t>
      </w:r>
      <w:r>
        <w:rPr>
          <w:rFonts w:cstheme="minorHAnsi"/>
          <w:sz w:val="24"/>
          <w:szCs w:val="24"/>
        </w:rPr>
        <w:fldChar w:fldCharType="begin"/>
      </w:r>
      <w:r>
        <w:rPr>
          <w:rFonts w:cstheme="minorHAnsi"/>
          <w:sz w:val="24"/>
          <w:szCs w:val="24"/>
        </w:rPr>
        <w:instrText xml:space="preserve"> ADDIN EN.CITE &lt;EndNote&gt;&lt;Cite&gt;&lt;Author&gt;Department of Health&lt;/Author&gt;&lt;Year&gt;1994&lt;/Year&gt;&lt;RecNum&gt;596&lt;/RecNum&gt;&lt;DisplayText&gt;(Department of Health, 1994)&lt;/DisplayText&gt;&lt;record&gt;&lt;rec-number&gt;596&lt;/rec-number&gt;&lt;foreign-keys&gt;&lt;key app="EN" db-id="za50fsw09wzvx0er2t2p0d0txzrw9x59d9a5"&gt;596&lt;/key&gt;&lt;/foreign-keys&gt;&lt;ref-type name="Report"&gt;27&lt;/ref-type&gt;&lt;contributors&gt;&lt;authors&gt;&lt;author&gt;Department of Health,&lt;/author&gt;&lt;/authors&gt;&lt;/contributors&gt;&lt;titles&gt;&lt;title&gt;A Guide to the Operation of the NHS Internal Market&lt;/title&gt;&lt;/titles&gt;&lt;dates&gt;&lt;year&gt;1994&lt;/year&gt;&lt;/dates&gt;&lt;urls&gt;&lt;/urls&gt;&lt;/record&gt;&lt;/Cite&gt;&lt;/EndNote&gt;</w:instrText>
      </w:r>
      <w:r>
        <w:rPr>
          <w:rFonts w:cstheme="minorHAnsi"/>
          <w:sz w:val="24"/>
          <w:szCs w:val="24"/>
        </w:rPr>
        <w:fldChar w:fldCharType="separate"/>
      </w:r>
      <w:r>
        <w:rPr>
          <w:rFonts w:cstheme="minorHAnsi"/>
          <w:noProof/>
          <w:sz w:val="24"/>
          <w:szCs w:val="24"/>
        </w:rPr>
        <w:t>(</w:t>
      </w:r>
      <w:hyperlink w:anchor="_ENREF_15" w:tooltip="Department of Health, 1994 #596" w:history="1">
        <w:r w:rsidR="00513FB0">
          <w:rPr>
            <w:rFonts w:cstheme="minorHAnsi"/>
            <w:noProof/>
            <w:sz w:val="24"/>
            <w:szCs w:val="24"/>
          </w:rPr>
          <w:t>Department of Health, 1994</w:t>
        </w:r>
      </w:hyperlink>
      <w:r>
        <w:rPr>
          <w:rFonts w:cstheme="minorHAnsi"/>
          <w:noProof/>
          <w:sz w:val="24"/>
          <w:szCs w:val="24"/>
        </w:rPr>
        <w:t>)</w:t>
      </w:r>
      <w:r>
        <w:rPr>
          <w:rFonts w:cstheme="minorHAnsi"/>
          <w:sz w:val="24"/>
          <w:szCs w:val="24"/>
        </w:rPr>
        <w:fldChar w:fldCharType="end"/>
      </w:r>
      <w:r w:rsidR="001C1C6D" w:rsidRPr="00B53BF9">
        <w:rPr>
          <w:rFonts w:cstheme="minorHAnsi"/>
          <w:sz w:val="24"/>
          <w:szCs w:val="24"/>
        </w:rPr>
        <w:t xml:space="preserve"> </w:t>
      </w:r>
      <w:r w:rsidR="00DE7695" w:rsidRPr="0060660C">
        <w:rPr>
          <w:rFonts w:cstheme="minorHAnsi"/>
          <w:sz w:val="24"/>
          <w:szCs w:val="24"/>
        </w:rPr>
        <w:fldChar w:fldCharType="begin"/>
      </w:r>
      <w:r w:rsidR="00DE7695" w:rsidRPr="0060660C">
        <w:rPr>
          <w:rFonts w:cstheme="minorHAnsi"/>
          <w:sz w:val="24"/>
          <w:szCs w:val="24"/>
        </w:rPr>
        <w:instrText xml:space="preserve"> ADDIN EN.CITE &lt;EndNote&gt;&lt;Cite&gt;&lt;Author&gt;Dawson&lt;/Author&gt;&lt;Year&gt;1995&lt;/Year&gt;&lt;RecNum&gt;597&lt;/RecNum&gt;&lt;DisplayText&gt;(Dawson, 1995)&lt;/DisplayText&gt;&lt;record&gt;&lt;rec-number&gt;597&lt;/rec-number&gt;&lt;foreign-keys&gt;&lt;key app="EN" db-id="za50fsw09wzvx0er2t2p0d0txzrw9x59d9a5"&gt;597&lt;/key&gt;&lt;/foreign-keys&gt;&lt;ref-type name="Report"&gt;27&lt;/ref-type&gt;&lt;contributors&gt;&lt;authors&gt;&lt;author&gt;Dawson, D.&lt;/author&gt;&lt;/authors&gt;&lt;/contributors&gt;&lt;titles&gt;&lt;title&gt;Regulating Competition in the NHS: The Department of Health Guide in Mergers and Anti-Competitive Behaviour&lt;/title&gt;&lt;/titles&gt;&lt;volume&gt;4&lt;/volume&gt;&lt;dates&gt;&lt;year&gt;1995&lt;/year&gt;&lt;/dates&gt;&lt;publisher&gt;University of York&lt;/publisher&gt;&lt;urls&gt;&lt;/urls&gt;&lt;/record&gt;&lt;/Cite&gt;&lt;/EndNote&gt;</w:instrText>
      </w:r>
      <w:r w:rsidR="00DE7695" w:rsidRPr="0060660C">
        <w:rPr>
          <w:rFonts w:cstheme="minorHAnsi"/>
          <w:sz w:val="24"/>
          <w:szCs w:val="24"/>
        </w:rPr>
        <w:fldChar w:fldCharType="separate"/>
      </w:r>
      <w:r w:rsidR="00DE7695" w:rsidRPr="0060660C">
        <w:rPr>
          <w:rFonts w:cstheme="minorHAnsi"/>
          <w:noProof/>
          <w:sz w:val="24"/>
          <w:szCs w:val="24"/>
        </w:rPr>
        <w:t>(</w:t>
      </w:r>
      <w:hyperlink w:anchor="_ENREF_13" w:tooltip="Dawson, 1995 #597" w:history="1">
        <w:r w:rsidR="00513FB0" w:rsidRPr="0060660C">
          <w:rPr>
            <w:rFonts w:cstheme="minorHAnsi"/>
            <w:noProof/>
            <w:sz w:val="24"/>
            <w:szCs w:val="24"/>
          </w:rPr>
          <w:t>Dawson, 1995</w:t>
        </w:r>
      </w:hyperlink>
      <w:r w:rsidR="00DE7695" w:rsidRPr="0060660C">
        <w:rPr>
          <w:rFonts w:cstheme="minorHAnsi"/>
          <w:noProof/>
          <w:sz w:val="24"/>
          <w:szCs w:val="24"/>
        </w:rPr>
        <w:t>)</w:t>
      </w:r>
      <w:r w:rsidR="00DE7695" w:rsidRPr="0060660C">
        <w:rPr>
          <w:rFonts w:cstheme="minorHAnsi"/>
          <w:sz w:val="24"/>
          <w:szCs w:val="24"/>
        </w:rPr>
        <w:fldChar w:fldCharType="end"/>
      </w:r>
      <w:r w:rsidR="00DE7695">
        <w:rPr>
          <w:rFonts w:cstheme="minorHAnsi"/>
          <w:sz w:val="24"/>
          <w:szCs w:val="24"/>
        </w:rPr>
        <w:t>.</w:t>
      </w:r>
      <w:r w:rsidR="008F7B0D" w:rsidRPr="008F7B0D">
        <w:t xml:space="preserve"> </w:t>
      </w:r>
      <w:r w:rsidR="008F7B0D" w:rsidRPr="008C49AD">
        <w:rPr>
          <w:sz w:val="24"/>
          <w:szCs w:val="24"/>
        </w:rPr>
        <w:t>Despite a softening of the rhetoric about competition and markets, the New Labour government elected in 1997 continued with the purchaser/provider split (Allen, 2002), and</w:t>
      </w:r>
      <w:r w:rsidR="00FA79C4" w:rsidRPr="00283045">
        <w:rPr>
          <w:rFonts w:cstheme="minorHAnsi"/>
          <w:sz w:val="24"/>
          <w:szCs w:val="24"/>
        </w:rPr>
        <w:t xml:space="preserve"> from around 2002 onwards</w:t>
      </w:r>
      <w:r w:rsidR="002F41D7">
        <w:rPr>
          <w:rFonts w:cstheme="minorHAnsi"/>
          <w:sz w:val="24"/>
          <w:szCs w:val="24"/>
        </w:rPr>
        <w:t xml:space="preserve"> in a ‘gradual, pragmatic’ process </w:t>
      </w:r>
      <w:r w:rsidR="002F41D7">
        <w:rPr>
          <w:rFonts w:cstheme="minorHAnsi"/>
          <w:sz w:val="24"/>
          <w:szCs w:val="24"/>
        </w:rPr>
        <w:fldChar w:fldCharType="begin"/>
      </w:r>
      <w:r w:rsidR="002F41D7">
        <w:rPr>
          <w:rFonts w:cstheme="minorHAnsi"/>
          <w:sz w:val="24"/>
          <w:szCs w:val="24"/>
        </w:rPr>
        <w:instrText xml:space="preserve"> ADDIN EN.CITE &lt;EndNote&gt;&lt;Cite&gt;&lt;Author&gt;Mays&lt;/Author&gt;&lt;Year&gt;2011&lt;/Year&gt;&lt;RecNum&gt;655&lt;/RecNum&gt;&lt;DisplayText&gt;(Mays et al., 2011)&lt;/DisplayText&gt;&lt;record&gt;&lt;rec-number&gt;655&lt;/rec-number&gt;&lt;foreign-keys&gt;&lt;key app="EN" db-id="za50fsw09wzvx0er2t2p0d0txzrw9x59d9a5"&gt;655&lt;/key&gt;&lt;/foreign-keys&gt;&lt;ref-type name="Edited Book"&gt;28&lt;/ref-type&gt;&lt;contributors&gt;&lt;authors&gt;&lt;author&gt;Mays, N.&lt;/author&gt;&lt;author&gt;Dixon, A.&lt;/author&gt;&lt;author&gt;Jones, L.&lt;/author&gt;&lt;/authors&gt;&lt;/contributors&gt;&lt;titles&gt;&lt;title&gt;Understanding New Labour&amp;apos;s market reforms of the English NHS&lt;/title&gt;&lt;/titles&gt;&lt;dates&gt;&lt;year&gt;2011&lt;/year&gt;&lt;/dates&gt;&lt;pub-location&gt;London&lt;/pub-location&gt;&lt;publisher&gt;The King&amp;apos;s Fund&lt;/publisher&gt;&lt;urls&gt;&lt;/urls&gt;&lt;/record&gt;&lt;/Cite&gt;&lt;/EndNote&gt;</w:instrText>
      </w:r>
      <w:r w:rsidR="002F41D7">
        <w:rPr>
          <w:rFonts w:cstheme="minorHAnsi"/>
          <w:sz w:val="24"/>
          <w:szCs w:val="24"/>
        </w:rPr>
        <w:fldChar w:fldCharType="separate"/>
      </w:r>
      <w:r w:rsidR="002F41D7">
        <w:rPr>
          <w:rFonts w:cstheme="minorHAnsi"/>
          <w:noProof/>
          <w:sz w:val="24"/>
          <w:szCs w:val="24"/>
        </w:rPr>
        <w:t>(</w:t>
      </w:r>
      <w:hyperlink w:anchor="_ENREF_27" w:tooltip="Mays, 2011 #655" w:history="1">
        <w:r w:rsidR="00513FB0">
          <w:rPr>
            <w:rFonts w:cstheme="minorHAnsi"/>
            <w:noProof/>
            <w:sz w:val="24"/>
            <w:szCs w:val="24"/>
          </w:rPr>
          <w:t>Mays et al., 2011</w:t>
        </w:r>
      </w:hyperlink>
      <w:r w:rsidR="002F41D7">
        <w:rPr>
          <w:rFonts w:cstheme="minorHAnsi"/>
          <w:noProof/>
          <w:sz w:val="24"/>
          <w:szCs w:val="24"/>
        </w:rPr>
        <w:t>)</w:t>
      </w:r>
      <w:r w:rsidR="002F41D7">
        <w:rPr>
          <w:rFonts w:cstheme="minorHAnsi"/>
          <w:sz w:val="24"/>
          <w:szCs w:val="24"/>
        </w:rPr>
        <w:fldChar w:fldCharType="end"/>
      </w:r>
      <w:r w:rsidR="00FA79C4" w:rsidRPr="00283045">
        <w:rPr>
          <w:rFonts w:cstheme="minorHAnsi"/>
          <w:sz w:val="24"/>
          <w:szCs w:val="24"/>
        </w:rPr>
        <w:t>,</w:t>
      </w:r>
      <w:r w:rsidR="00522849" w:rsidRPr="00283045">
        <w:rPr>
          <w:rFonts w:cstheme="minorHAnsi"/>
          <w:sz w:val="24"/>
          <w:szCs w:val="24"/>
        </w:rPr>
        <w:t xml:space="preserve"> stimulated supply side competition through an increase in the diversity of providers of care and the freedom they had to act innovatively</w:t>
      </w:r>
      <w:r w:rsidR="00D479E6">
        <w:rPr>
          <w:rFonts w:cstheme="minorHAnsi"/>
          <w:sz w:val="24"/>
          <w:szCs w:val="24"/>
        </w:rPr>
        <w:t xml:space="preserve"> </w:t>
      </w:r>
      <w:r w:rsidR="00D479E6">
        <w:rPr>
          <w:rFonts w:cstheme="minorHAnsi"/>
          <w:sz w:val="24"/>
          <w:szCs w:val="24"/>
        </w:rPr>
        <w:fldChar w:fldCharType="begin"/>
      </w:r>
      <w:r w:rsidR="00CE0A11">
        <w:rPr>
          <w:rFonts w:cstheme="minorHAnsi"/>
          <w:sz w:val="24"/>
          <w:szCs w:val="24"/>
        </w:rPr>
        <w:instrText xml:space="preserve"> ADDIN EN.CITE &lt;EndNote&gt;&lt;Cite ExcludeYear="1"&gt;&lt;Author&gt;Department of Health&lt;/Author&gt;&lt;Year&gt;2002a&lt;/Year&gt;&lt;RecNum&gt;106&lt;/RecNum&gt;&lt;Suffix&gt;`, 2002&lt;/Suffix&gt;&lt;DisplayText&gt;(Department of Health, 2002)&lt;/DisplayText&gt;&lt;record&gt;&lt;rec-number&gt;106&lt;/rec-number&gt;&lt;foreign-keys&gt;&lt;key app="EN" db-id="za50fsw09wzvx0er2t2p0d0txzrw9x59d9a5"&gt;106&lt;/key&gt;&lt;/foreign-keys&gt;&lt;ref-type name="Government Document"&gt;46&lt;/ref-type&gt;&lt;contributors&gt;&lt;authors&gt;&lt;author&gt;Department of Health,&lt;/author&gt;&lt;/authors&gt;&lt;/contributors&gt;&lt;titles&gt;&lt;title&gt;Delivering the NHS Plan: Next Steps on Investment, Next Steps on Reform&lt;/title&gt;&lt;/titles&gt;&lt;dates&gt;&lt;year&gt;2002a&lt;/year&gt;&lt;/dates&gt;&lt;pub-location&gt;London&lt;/pub-location&gt;&lt;publisher&gt;Department of Health&lt;/publisher&gt;&lt;urls&gt;&lt;/urls&gt;&lt;/record&gt;&lt;/Cite&gt;&lt;/EndNote&gt;</w:instrText>
      </w:r>
      <w:r w:rsidR="00D479E6">
        <w:rPr>
          <w:rFonts w:cstheme="minorHAnsi"/>
          <w:sz w:val="24"/>
          <w:szCs w:val="24"/>
        </w:rPr>
        <w:fldChar w:fldCharType="separate"/>
      </w:r>
      <w:r w:rsidR="00CE0A11">
        <w:rPr>
          <w:rFonts w:cstheme="minorHAnsi"/>
          <w:noProof/>
          <w:sz w:val="24"/>
          <w:szCs w:val="24"/>
        </w:rPr>
        <w:t>(</w:t>
      </w:r>
      <w:hyperlink w:anchor="_ENREF_16" w:tooltip="Department of Health, 2002a #106" w:history="1">
        <w:r w:rsidR="00513FB0">
          <w:rPr>
            <w:rFonts w:cstheme="minorHAnsi"/>
            <w:noProof/>
            <w:sz w:val="24"/>
            <w:szCs w:val="24"/>
          </w:rPr>
          <w:t>Department of Health, 2002</w:t>
        </w:r>
      </w:hyperlink>
      <w:r w:rsidR="00CE0A11">
        <w:rPr>
          <w:rFonts w:cstheme="minorHAnsi"/>
          <w:noProof/>
          <w:sz w:val="24"/>
          <w:szCs w:val="24"/>
        </w:rPr>
        <w:t>)</w:t>
      </w:r>
      <w:r w:rsidR="00D479E6">
        <w:rPr>
          <w:rFonts w:cstheme="minorHAnsi"/>
          <w:sz w:val="24"/>
          <w:szCs w:val="24"/>
        </w:rPr>
        <w:fldChar w:fldCharType="end"/>
      </w:r>
      <w:r w:rsidR="000F36F3">
        <w:rPr>
          <w:rFonts w:cstheme="minorHAnsi"/>
          <w:sz w:val="24"/>
          <w:szCs w:val="24"/>
        </w:rPr>
        <w:t>.</w:t>
      </w:r>
      <w:r w:rsidR="002D7042">
        <w:rPr>
          <w:rFonts w:cstheme="minorHAnsi"/>
          <w:sz w:val="24"/>
          <w:szCs w:val="24"/>
        </w:rPr>
        <w:t xml:space="preserve"> The provision of NHS services was </w:t>
      </w:r>
      <w:r w:rsidR="00DA7B1A">
        <w:rPr>
          <w:rFonts w:cstheme="minorHAnsi"/>
          <w:sz w:val="24"/>
          <w:szCs w:val="24"/>
        </w:rPr>
        <w:t xml:space="preserve">gradually </w:t>
      </w:r>
      <w:r w:rsidR="002D7042">
        <w:rPr>
          <w:rFonts w:cstheme="minorHAnsi"/>
          <w:sz w:val="24"/>
          <w:szCs w:val="24"/>
        </w:rPr>
        <w:t>opened up to a variety of accredited providers including both publicly owned and independent providers</w:t>
      </w:r>
      <w:r w:rsidR="001B16AC">
        <w:rPr>
          <w:rFonts w:cstheme="minorHAnsi"/>
          <w:sz w:val="24"/>
          <w:szCs w:val="24"/>
        </w:rPr>
        <w:t xml:space="preserve">: </w:t>
      </w:r>
      <w:r w:rsidR="00910153">
        <w:rPr>
          <w:rFonts w:cstheme="minorHAnsi"/>
          <w:sz w:val="24"/>
          <w:szCs w:val="24"/>
        </w:rPr>
        <w:t xml:space="preserve">most prominent was the establishment of </w:t>
      </w:r>
      <w:r w:rsidR="002D7042">
        <w:rPr>
          <w:rFonts w:cstheme="minorHAnsi"/>
          <w:sz w:val="24"/>
          <w:szCs w:val="24"/>
        </w:rPr>
        <w:t>Foundation Trusts</w:t>
      </w:r>
      <w:r w:rsidR="00E70C18">
        <w:rPr>
          <w:rFonts w:cstheme="minorHAnsi"/>
          <w:sz w:val="24"/>
          <w:szCs w:val="24"/>
        </w:rPr>
        <w:t>,</w:t>
      </w:r>
      <w:r w:rsidR="00DA7B1A">
        <w:rPr>
          <w:rFonts w:cstheme="minorHAnsi"/>
          <w:sz w:val="24"/>
          <w:szCs w:val="24"/>
        </w:rPr>
        <w:t xml:space="preserve"> (</w:t>
      </w:r>
      <w:r w:rsidR="00D31D6B" w:rsidRPr="001D202A">
        <w:rPr>
          <w:sz w:val="24"/>
          <w:szCs w:val="24"/>
        </w:rPr>
        <w:t>NHS bodies with a greater degree of autonomy, established under the Health and Social Care Act 2003</w:t>
      </w:r>
      <w:r w:rsidR="00DA7B1A">
        <w:rPr>
          <w:sz w:val="24"/>
          <w:szCs w:val="24"/>
        </w:rPr>
        <w:t>)</w:t>
      </w:r>
      <w:r w:rsidR="00D31D6B">
        <w:rPr>
          <w:sz w:val="24"/>
          <w:szCs w:val="24"/>
        </w:rPr>
        <w:t xml:space="preserve">, </w:t>
      </w:r>
      <w:r w:rsidR="00910153">
        <w:rPr>
          <w:rFonts w:cstheme="minorHAnsi"/>
          <w:sz w:val="24"/>
          <w:szCs w:val="24"/>
        </w:rPr>
        <w:t>and the establishment in 2003 of</w:t>
      </w:r>
      <w:r w:rsidR="009B3A2A" w:rsidRPr="009B3A2A">
        <w:rPr>
          <w:rFonts w:cstheme="minorHAnsi"/>
          <w:sz w:val="24"/>
          <w:szCs w:val="24"/>
        </w:rPr>
        <w:t xml:space="preserve"> </w:t>
      </w:r>
      <w:r w:rsidR="00910153">
        <w:rPr>
          <w:rFonts w:cstheme="minorHAnsi"/>
          <w:sz w:val="24"/>
          <w:szCs w:val="24"/>
        </w:rPr>
        <w:t>i</w:t>
      </w:r>
      <w:r w:rsidR="009B3A2A">
        <w:rPr>
          <w:rFonts w:cstheme="minorHAnsi"/>
          <w:sz w:val="24"/>
          <w:szCs w:val="24"/>
        </w:rPr>
        <w:t>ndependent</w:t>
      </w:r>
      <w:r w:rsidR="00910153">
        <w:rPr>
          <w:rFonts w:cstheme="minorHAnsi"/>
          <w:sz w:val="24"/>
          <w:szCs w:val="24"/>
        </w:rPr>
        <w:t>-sector treatment c</w:t>
      </w:r>
      <w:r w:rsidR="009B3A2A">
        <w:rPr>
          <w:rFonts w:cstheme="minorHAnsi"/>
          <w:sz w:val="24"/>
          <w:szCs w:val="24"/>
        </w:rPr>
        <w:t xml:space="preserve">entres </w:t>
      </w:r>
      <w:r w:rsidR="00910153">
        <w:rPr>
          <w:rFonts w:cstheme="minorHAnsi"/>
          <w:sz w:val="24"/>
          <w:szCs w:val="24"/>
        </w:rPr>
        <w:t>to provide high volume, low risk surgery</w:t>
      </w:r>
      <w:r w:rsidR="00E70C18">
        <w:rPr>
          <w:rFonts w:cstheme="minorHAnsi"/>
          <w:sz w:val="24"/>
          <w:szCs w:val="24"/>
        </w:rPr>
        <w:t xml:space="preserve"> to NHS patients</w:t>
      </w:r>
      <w:r w:rsidR="009B3A2A">
        <w:rPr>
          <w:rFonts w:cstheme="minorHAnsi"/>
          <w:sz w:val="24"/>
          <w:szCs w:val="24"/>
        </w:rPr>
        <w:t xml:space="preserve">. Patients were also offered choice between providers for their treatment, </w:t>
      </w:r>
      <w:r w:rsidR="0067370A">
        <w:rPr>
          <w:rFonts w:cstheme="minorHAnsi"/>
          <w:sz w:val="24"/>
          <w:szCs w:val="24"/>
        </w:rPr>
        <w:t xml:space="preserve">beginning </w:t>
      </w:r>
      <w:r w:rsidR="009B3A2A">
        <w:rPr>
          <w:rFonts w:cstheme="minorHAnsi"/>
          <w:sz w:val="24"/>
          <w:szCs w:val="24"/>
        </w:rPr>
        <w:t xml:space="preserve">with pilots of choice for cardiac surgery introduced in 2002 and </w:t>
      </w:r>
      <w:r w:rsidR="0067370A">
        <w:rPr>
          <w:rFonts w:cstheme="minorHAnsi"/>
          <w:sz w:val="24"/>
          <w:szCs w:val="24"/>
        </w:rPr>
        <w:t xml:space="preserve">culminating in </w:t>
      </w:r>
      <w:r w:rsidR="009B3A2A">
        <w:rPr>
          <w:rFonts w:cstheme="minorHAnsi"/>
          <w:sz w:val="24"/>
          <w:szCs w:val="24"/>
        </w:rPr>
        <w:t xml:space="preserve">the introduction of ‘free’ choice of any eligible provider at referral in </w:t>
      </w:r>
      <w:r w:rsidR="009B3A2A">
        <w:rPr>
          <w:rFonts w:cstheme="minorHAnsi"/>
          <w:sz w:val="24"/>
          <w:szCs w:val="24"/>
        </w:rPr>
        <w:lastRenderedPageBreak/>
        <w:t xml:space="preserve">2008.  </w:t>
      </w:r>
      <w:r w:rsidR="00522849" w:rsidRPr="00283045">
        <w:rPr>
          <w:rFonts w:cstheme="minorHAnsi"/>
          <w:sz w:val="24"/>
          <w:szCs w:val="24"/>
        </w:rPr>
        <w:t xml:space="preserve"> </w:t>
      </w:r>
      <w:r w:rsidR="00010AFE">
        <w:rPr>
          <w:rFonts w:cstheme="minorHAnsi"/>
          <w:sz w:val="24"/>
          <w:szCs w:val="24"/>
        </w:rPr>
        <w:t>N</w:t>
      </w:r>
      <w:r w:rsidR="00C47DFB">
        <w:rPr>
          <w:rFonts w:cstheme="minorHAnsi"/>
          <w:sz w:val="24"/>
          <w:szCs w:val="24"/>
        </w:rPr>
        <w:t>ew</w:t>
      </w:r>
      <w:r w:rsidR="00522849" w:rsidRPr="00283045">
        <w:rPr>
          <w:rFonts w:cstheme="minorHAnsi"/>
          <w:sz w:val="24"/>
          <w:szCs w:val="24"/>
        </w:rPr>
        <w:t xml:space="preserve"> mechanism</w:t>
      </w:r>
      <w:r w:rsidR="00B61A85">
        <w:rPr>
          <w:rFonts w:cstheme="minorHAnsi"/>
          <w:sz w:val="24"/>
          <w:szCs w:val="24"/>
        </w:rPr>
        <w:t>s</w:t>
      </w:r>
      <w:r w:rsidR="00522849" w:rsidRPr="00283045">
        <w:rPr>
          <w:rFonts w:cstheme="minorHAnsi"/>
          <w:sz w:val="24"/>
          <w:szCs w:val="24"/>
        </w:rPr>
        <w:t xml:space="preserve"> to regulate competition </w:t>
      </w:r>
      <w:r w:rsidR="001C492A">
        <w:rPr>
          <w:rFonts w:cstheme="minorHAnsi"/>
          <w:sz w:val="24"/>
          <w:szCs w:val="24"/>
        </w:rPr>
        <w:t>w</w:t>
      </w:r>
      <w:r w:rsidR="00B61A85">
        <w:rPr>
          <w:rFonts w:cstheme="minorHAnsi"/>
          <w:sz w:val="24"/>
          <w:szCs w:val="24"/>
        </w:rPr>
        <w:t>ere</w:t>
      </w:r>
      <w:r w:rsidR="001C492A">
        <w:rPr>
          <w:rFonts w:cstheme="minorHAnsi"/>
          <w:sz w:val="24"/>
          <w:szCs w:val="24"/>
        </w:rPr>
        <w:t xml:space="preserve"> not developed until 2007</w:t>
      </w:r>
      <w:r w:rsidR="008E6DA3" w:rsidRPr="00283045">
        <w:rPr>
          <w:rFonts w:cstheme="minorHAnsi"/>
          <w:sz w:val="24"/>
          <w:szCs w:val="24"/>
        </w:rPr>
        <w:t xml:space="preserve"> </w:t>
      </w:r>
      <w:r w:rsidR="00C47DFB" w:rsidRPr="00283045">
        <w:rPr>
          <w:rFonts w:cstheme="minorHAnsi"/>
          <w:sz w:val="24"/>
          <w:szCs w:val="24"/>
        </w:rPr>
        <w:t>w</w:t>
      </w:r>
      <w:r w:rsidR="00C47DFB">
        <w:rPr>
          <w:rFonts w:cstheme="minorHAnsi"/>
          <w:sz w:val="24"/>
          <w:szCs w:val="24"/>
        </w:rPr>
        <w:t>hen</w:t>
      </w:r>
      <w:r w:rsidR="00C47DFB" w:rsidRPr="00283045">
        <w:rPr>
          <w:rFonts w:cstheme="minorHAnsi"/>
          <w:sz w:val="24"/>
          <w:szCs w:val="24"/>
        </w:rPr>
        <w:t xml:space="preserve"> </w:t>
      </w:r>
      <w:r w:rsidR="00522849" w:rsidRPr="00283045">
        <w:rPr>
          <w:rFonts w:cstheme="minorHAnsi"/>
          <w:sz w:val="24"/>
          <w:szCs w:val="24"/>
        </w:rPr>
        <w:t>the Principles and Rule</w:t>
      </w:r>
      <w:r w:rsidR="00D35844">
        <w:rPr>
          <w:rFonts w:cstheme="minorHAnsi"/>
          <w:sz w:val="24"/>
          <w:szCs w:val="24"/>
        </w:rPr>
        <w:t>s</w:t>
      </w:r>
      <w:r w:rsidR="00522849" w:rsidRPr="00283045">
        <w:rPr>
          <w:rFonts w:cstheme="minorHAnsi"/>
          <w:sz w:val="24"/>
          <w:szCs w:val="24"/>
        </w:rPr>
        <w:t xml:space="preserve"> for Cooperation and Competition </w:t>
      </w:r>
      <w:r w:rsidR="00CF6E88" w:rsidRPr="00283045">
        <w:rPr>
          <w:rFonts w:cstheme="minorHAnsi"/>
          <w:sz w:val="24"/>
          <w:szCs w:val="24"/>
        </w:rPr>
        <w:t>(</w:t>
      </w:r>
      <w:r w:rsidR="00D31D6B">
        <w:rPr>
          <w:rFonts w:cstheme="minorHAnsi"/>
          <w:sz w:val="24"/>
          <w:szCs w:val="24"/>
        </w:rPr>
        <w:t>’Principles and Rules’</w:t>
      </w:r>
      <w:r w:rsidR="00CF6E88" w:rsidRPr="00283045">
        <w:rPr>
          <w:rFonts w:cstheme="minorHAnsi"/>
          <w:sz w:val="24"/>
          <w:szCs w:val="24"/>
        </w:rPr>
        <w:t xml:space="preserve">) </w:t>
      </w:r>
      <w:r w:rsidR="00C47DFB">
        <w:rPr>
          <w:rFonts w:cstheme="minorHAnsi"/>
          <w:sz w:val="24"/>
          <w:szCs w:val="24"/>
        </w:rPr>
        <w:t xml:space="preserve">were launched, </w:t>
      </w:r>
      <w:r w:rsidR="00522849" w:rsidRPr="00283045">
        <w:rPr>
          <w:rFonts w:cstheme="minorHAnsi"/>
          <w:sz w:val="24"/>
          <w:szCs w:val="24"/>
        </w:rPr>
        <w:t xml:space="preserve">administered </w:t>
      </w:r>
      <w:r w:rsidR="00D5106A">
        <w:rPr>
          <w:rFonts w:cstheme="minorHAnsi"/>
          <w:sz w:val="24"/>
          <w:szCs w:val="24"/>
        </w:rPr>
        <w:t xml:space="preserve">from January 2009 </w:t>
      </w:r>
      <w:r w:rsidR="00522849" w:rsidRPr="00283045">
        <w:rPr>
          <w:rFonts w:cstheme="minorHAnsi"/>
          <w:sz w:val="24"/>
          <w:szCs w:val="24"/>
        </w:rPr>
        <w:t>by the Cooperation and Competition Panel for NHS funded services</w:t>
      </w:r>
      <w:r w:rsidR="00A42529" w:rsidRPr="00283045">
        <w:rPr>
          <w:rFonts w:cstheme="minorHAnsi"/>
          <w:sz w:val="24"/>
          <w:szCs w:val="24"/>
        </w:rPr>
        <w:t xml:space="preserve"> </w:t>
      </w:r>
      <w:r w:rsidR="00B61A85">
        <w:rPr>
          <w:rFonts w:cstheme="minorHAnsi"/>
          <w:sz w:val="24"/>
          <w:szCs w:val="24"/>
        </w:rPr>
        <w:t>,</w:t>
      </w:r>
      <w:r w:rsidR="000D6DFA" w:rsidRPr="00283045">
        <w:rPr>
          <w:rFonts w:cstheme="minorHAnsi"/>
          <w:sz w:val="24"/>
          <w:szCs w:val="24"/>
        </w:rPr>
        <w:t xml:space="preserve"> a </w:t>
      </w:r>
      <w:r>
        <w:rPr>
          <w:rFonts w:cstheme="minorHAnsi"/>
          <w:sz w:val="24"/>
          <w:szCs w:val="24"/>
        </w:rPr>
        <w:t xml:space="preserve">newly established </w:t>
      </w:r>
      <w:r w:rsidR="008E6DA3" w:rsidRPr="00283045">
        <w:rPr>
          <w:rFonts w:cstheme="minorHAnsi"/>
          <w:sz w:val="24"/>
          <w:szCs w:val="24"/>
        </w:rPr>
        <w:t xml:space="preserve">body </w:t>
      </w:r>
      <w:r w:rsidR="000D6DFA" w:rsidRPr="00283045">
        <w:rPr>
          <w:rFonts w:cstheme="minorHAnsi"/>
          <w:sz w:val="24"/>
          <w:szCs w:val="24"/>
        </w:rPr>
        <w:t xml:space="preserve">operating </w:t>
      </w:r>
      <w:r w:rsidR="008E6DA3" w:rsidRPr="00283045">
        <w:rPr>
          <w:rFonts w:cstheme="minorHAnsi"/>
          <w:sz w:val="24"/>
          <w:szCs w:val="24"/>
        </w:rPr>
        <w:t>at arm’s length from the Department of Health</w:t>
      </w:r>
      <w:r w:rsidR="00522849" w:rsidRPr="00283045">
        <w:rPr>
          <w:rFonts w:cstheme="minorHAnsi"/>
          <w:sz w:val="24"/>
          <w:szCs w:val="24"/>
        </w:rPr>
        <w:t>.</w:t>
      </w:r>
      <w:r w:rsidR="00105DCF">
        <w:rPr>
          <w:rFonts w:cstheme="minorHAnsi"/>
          <w:sz w:val="24"/>
          <w:szCs w:val="24"/>
        </w:rPr>
        <w:t xml:space="preserve"> It is </w:t>
      </w:r>
      <w:r w:rsidR="006C12E8">
        <w:rPr>
          <w:rFonts w:cstheme="minorHAnsi"/>
          <w:sz w:val="24"/>
          <w:szCs w:val="24"/>
        </w:rPr>
        <w:t>notable</w:t>
      </w:r>
      <w:r w:rsidR="00105DCF">
        <w:rPr>
          <w:rFonts w:cstheme="minorHAnsi"/>
          <w:sz w:val="24"/>
          <w:szCs w:val="24"/>
        </w:rPr>
        <w:t xml:space="preserve"> that there was a significant lag between the Labour administration</w:t>
      </w:r>
      <w:r w:rsidR="00E70C18">
        <w:rPr>
          <w:rFonts w:cstheme="minorHAnsi"/>
          <w:sz w:val="24"/>
          <w:szCs w:val="24"/>
        </w:rPr>
        <w:t>’</w:t>
      </w:r>
      <w:r w:rsidR="00105DCF">
        <w:rPr>
          <w:rFonts w:cstheme="minorHAnsi"/>
          <w:sz w:val="24"/>
          <w:szCs w:val="24"/>
        </w:rPr>
        <w:t>s stimulation of competition and the development of an accompanying regulatory framework</w:t>
      </w:r>
      <w:r w:rsidR="00EB5C97">
        <w:rPr>
          <w:rFonts w:cstheme="minorHAnsi"/>
          <w:sz w:val="24"/>
          <w:szCs w:val="24"/>
        </w:rPr>
        <w:t>, due perhaps to</w:t>
      </w:r>
      <w:r w:rsidR="0008665C">
        <w:rPr>
          <w:rFonts w:cstheme="minorHAnsi"/>
          <w:sz w:val="24"/>
          <w:szCs w:val="24"/>
        </w:rPr>
        <w:t xml:space="preserve"> </w:t>
      </w:r>
      <w:r w:rsidR="009B3A2A">
        <w:rPr>
          <w:rFonts w:cstheme="minorHAnsi"/>
          <w:sz w:val="24"/>
          <w:szCs w:val="24"/>
        </w:rPr>
        <w:t>the gradual development of the market.</w:t>
      </w:r>
      <w:r w:rsidR="00522849" w:rsidRPr="00283045">
        <w:rPr>
          <w:rFonts w:cstheme="minorHAnsi"/>
          <w:sz w:val="24"/>
          <w:szCs w:val="24"/>
        </w:rPr>
        <w:t xml:space="preserve"> </w:t>
      </w:r>
    </w:p>
    <w:p w14:paraId="468770E2" w14:textId="51682319" w:rsidR="00D826E0" w:rsidRPr="00283045" w:rsidRDefault="00831195" w:rsidP="00B53BF9">
      <w:pPr>
        <w:spacing w:line="480" w:lineRule="auto"/>
        <w:jc w:val="both"/>
        <w:rPr>
          <w:rFonts w:cstheme="minorHAnsi"/>
          <w:sz w:val="24"/>
          <w:szCs w:val="24"/>
        </w:rPr>
      </w:pPr>
      <w:r>
        <w:rPr>
          <w:rFonts w:cstheme="minorHAnsi"/>
          <w:sz w:val="24"/>
          <w:szCs w:val="24"/>
        </w:rPr>
        <w:t xml:space="preserve">The </w:t>
      </w:r>
      <w:r w:rsidR="009153D6" w:rsidRPr="00283045">
        <w:rPr>
          <w:rFonts w:cstheme="minorHAnsi"/>
          <w:sz w:val="24"/>
          <w:szCs w:val="24"/>
        </w:rPr>
        <w:t xml:space="preserve"> </w:t>
      </w:r>
      <w:r w:rsidR="00D31D6B">
        <w:rPr>
          <w:rFonts w:cstheme="minorHAnsi"/>
          <w:sz w:val="24"/>
          <w:szCs w:val="24"/>
        </w:rPr>
        <w:t>Principles and Rules</w:t>
      </w:r>
      <w:r w:rsidR="00D31D6B" w:rsidRPr="00283045">
        <w:rPr>
          <w:rFonts w:cstheme="minorHAnsi"/>
          <w:sz w:val="24"/>
          <w:szCs w:val="24"/>
        </w:rPr>
        <w:t xml:space="preserve"> </w:t>
      </w:r>
      <w:r>
        <w:rPr>
          <w:rFonts w:cstheme="minorHAnsi"/>
          <w:sz w:val="24"/>
          <w:szCs w:val="24"/>
        </w:rPr>
        <w:t>were based on the premise that</w:t>
      </w:r>
      <w:r w:rsidR="009153D6" w:rsidRPr="00283045">
        <w:rPr>
          <w:rFonts w:cstheme="minorHAnsi"/>
          <w:sz w:val="24"/>
          <w:szCs w:val="24"/>
        </w:rPr>
        <w:t xml:space="preserve"> both competition and co-operation were desirable</w:t>
      </w:r>
      <w:r w:rsidR="00A42529" w:rsidRPr="00283045">
        <w:rPr>
          <w:rFonts w:cstheme="minorHAnsi"/>
          <w:sz w:val="24"/>
          <w:szCs w:val="24"/>
        </w:rPr>
        <w:t xml:space="preserve">, and </w:t>
      </w:r>
      <w:r w:rsidR="00D042CD">
        <w:rPr>
          <w:rFonts w:cstheme="minorHAnsi"/>
          <w:sz w:val="24"/>
          <w:szCs w:val="24"/>
        </w:rPr>
        <w:t xml:space="preserve">they </w:t>
      </w:r>
      <w:r w:rsidR="00A42529" w:rsidRPr="00283045">
        <w:rPr>
          <w:rFonts w:cstheme="minorHAnsi"/>
          <w:sz w:val="24"/>
          <w:szCs w:val="24"/>
        </w:rPr>
        <w:t>took other concerns into account in addition to competition</w:t>
      </w:r>
      <w:r w:rsidR="009153D6" w:rsidRPr="00283045">
        <w:rPr>
          <w:rFonts w:cstheme="minorHAnsi"/>
          <w:sz w:val="24"/>
          <w:szCs w:val="24"/>
        </w:rPr>
        <w:t>.</w:t>
      </w:r>
      <w:r w:rsidR="000D6DFA" w:rsidRPr="00283045">
        <w:rPr>
          <w:rFonts w:cstheme="minorHAnsi"/>
          <w:sz w:val="24"/>
          <w:szCs w:val="24"/>
        </w:rPr>
        <w:t xml:space="preserve"> </w:t>
      </w:r>
      <w:r w:rsidR="00865A5D" w:rsidRPr="00283045">
        <w:rPr>
          <w:rFonts w:cstheme="minorHAnsi"/>
          <w:sz w:val="24"/>
          <w:szCs w:val="24"/>
        </w:rPr>
        <w:t xml:space="preserve">For example, decisions regarding mergers were not to be considered solely in relation to the protection of competition, but also in the light of patients’ and taxpayers’ interests in </w:t>
      </w:r>
      <w:r w:rsidR="0035730F">
        <w:rPr>
          <w:rFonts w:cstheme="minorHAnsi"/>
          <w:sz w:val="24"/>
          <w:szCs w:val="24"/>
        </w:rPr>
        <w:t>re</w:t>
      </w:r>
      <w:r w:rsidR="00FF065C">
        <w:rPr>
          <w:rFonts w:cstheme="minorHAnsi"/>
          <w:sz w:val="24"/>
          <w:szCs w:val="24"/>
        </w:rPr>
        <w:t>s</w:t>
      </w:r>
      <w:r w:rsidR="0035730F">
        <w:rPr>
          <w:rFonts w:cstheme="minorHAnsi"/>
          <w:sz w:val="24"/>
          <w:szCs w:val="24"/>
        </w:rPr>
        <w:t>pect of matters</w:t>
      </w:r>
      <w:r w:rsidR="00865A5D" w:rsidRPr="00283045">
        <w:rPr>
          <w:rFonts w:cstheme="minorHAnsi"/>
          <w:sz w:val="24"/>
          <w:szCs w:val="24"/>
        </w:rPr>
        <w:t xml:space="preserve"> such as whether the changes could ‘deliver significant improvement in the quality of care’</w:t>
      </w:r>
      <w:r w:rsidR="00D479E6">
        <w:rPr>
          <w:rFonts w:cstheme="minorHAnsi"/>
          <w:sz w:val="24"/>
          <w:szCs w:val="24"/>
        </w:rPr>
        <w:t xml:space="preserve"> </w:t>
      </w:r>
      <w:r w:rsidR="00D479E6">
        <w:rPr>
          <w:rFonts w:cstheme="minorHAnsi"/>
          <w:sz w:val="24"/>
          <w:szCs w:val="24"/>
        </w:rPr>
        <w:fldChar w:fldCharType="begin"/>
      </w:r>
      <w:r w:rsidR="00910153">
        <w:rPr>
          <w:rFonts w:cstheme="minorHAnsi"/>
          <w:sz w:val="24"/>
          <w:szCs w:val="24"/>
        </w:rPr>
        <w:instrText xml:space="preserve"> ADDIN EN.CITE &lt;EndNote&gt;&lt;Cite&gt;&lt;Author&gt;Department of Health&lt;/Author&gt;&lt;Year&gt;2010f&lt;/Year&gt;&lt;RecNum&gt;246&lt;/RecNum&gt;&lt;DisplayText&gt;(Department of Health, 2010b)&lt;/DisplayText&gt;&lt;record&gt;&lt;rec-number&gt;246&lt;/rec-number&gt;&lt;foreign-keys&gt;&lt;key app="EN" db-id="za50fsw09wzvx0er2t2p0d0txzrw9x59d9a5"&gt;246&lt;/key&gt;&lt;/foreign-keys&gt;&lt;ref-type name="Government Document"&gt;46&lt;/ref-type&gt;&lt;contributors&gt;&lt;authors&gt;&lt;author&gt;Department of Health,&lt;/author&gt;&lt;/authors&gt;&lt;/contributors&gt;&lt;titles&gt;&lt;title&gt;Principles and rules for cooperation and competition (July 2010)&lt;/title&gt;&lt;/titles&gt;&lt;dates&gt;&lt;year&gt;2010&lt;/year&gt;&lt;/dates&gt;&lt;pub-location&gt;London&lt;/pub-location&gt;&lt;urls&gt;&lt;/urls&gt;&lt;research-notes&gt;NHS Policy. Hard copy at work.&lt;/research-notes&gt;&lt;/record&gt;&lt;/Cite&gt;&lt;/EndNote&gt;</w:instrText>
      </w:r>
      <w:r w:rsidR="00D479E6">
        <w:rPr>
          <w:rFonts w:cstheme="minorHAnsi"/>
          <w:sz w:val="24"/>
          <w:szCs w:val="24"/>
        </w:rPr>
        <w:fldChar w:fldCharType="separate"/>
      </w:r>
      <w:r w:rsidR="00910153">
        <w:rPr>
          <w:rFonts w:cstheme="minorHAnsi"/>
          <w:noProof/>
          <w:sz w:val="24"/>
          <w:szCs w:val="24"/>
        </w:rPr>
        <w:t>(</w:t>
      </w:r>
      <w:hyperlink w:anchor="_ENREF_18" w:tooltip="Department of Health, 2010 #246" w:history="1">
        <w:r w:rsidR="00513FB0">
          <w:rPr>
            <w:rFonts w:cstheme="minorHAnsi"/>
            <w:noProof/>
            <w:sz w:val="24"/>
            <w:szCs w:val="24"/>
          </w:rPr>
          <w:t>Department of Health, 2010b</w:t>
        </w:r>
      </w:hyperlink>
      <w:r w:rsidR="00910153">
        <w:rPr>
          <w:rFonts w:cstheme="minorHAnsi"/>
          <w:noProof/>
          <w:sz w:val="24"/>
          <w:szCs w:val="24"/>
        </w:rPr>
        <w:t>)</w:t>
      </w:r>
      <w:r w:rsidR="00D479E6">
        <w:rPr>
          <w:rFonts w:cstheme="minorHAnsi"/>
          <w:sz w:val="24"/>
          <w:szCs w:val="24"/>
        </w:rPr>
        <w:fldChar w:fldCharType="end"/>
      </w:r>
      <w:r w:rsidR="000F36F3">
        <w:rPr>
          <w:rFonts w:cstheme="minorHAnsi"/>
          <w:sz w:val="24"/>
          <w:szCs w:val="24"/>
        </w:rPr>
        <w:t>.</w:t>
      </w:r>
      <w:r w:rsidR="00A77427">
        <w:rPr>
          <w:rFonts w:cstheme="minorHAnsi"/>
          <w:sz w:val="24"/>
          <w:szCs w:val="24"/>
        </w:rPr>
        <w:t xml:space="preserve"> </w:t>
      </w:r>
      <w:r w:rsidR="000D6DFA" w:rsidRPr="00283045">
        <w:rPr>
          <w:rFonts w:cstheme="minorHAnsi"/>
          <w:sz w:val="24"/>
          <w:szCs w:val="24"/>
        </w:rPr>
        <w:t xml:space="preserve">The </w:t>
      </w:r>
      <w:r w:rsidR="00A24FB7">
        <w:rPr>
          <w:rFonts w:cstheme="minorHAnsi"/>
          <w:sz w:val="24"/>
          <w:szCs w:val="24"/>
        </w:rPr>
        <w:t>Co-operation and Competition Panel</w:t>
      </w:r>
      <w:r w:rsidR="00A83A24" w:rsidRPr="00283045">
        <w:rPr>
          <w:rFonts w:cstheme="minorHAnsi"/>
          <w:sz w:val="24"/>
          <w:szCs w:val="24"/>
        </w:rPr>
        <w:t xml:space="preserve"> had no enforcement power.</w:t>
      </w:r>
      <w:r w:rsidR="00523F8D" w:rsidRPr="00523F8D">
        <w:rPr>
          <w:rFonts w:cstheme="minorHAnsi"/>
          <w:sz w:val="24"/>
          <w:szCs w:val="24"/>
        </w:rPr>
        <w:t xml:space="preserve"> </w:t>
      </w:r>
      <w:r w:rsidR="00010AFE">
        <w:rPr>
          <w:rFonts w:cstheme="minorHAnsi"/>
          <w:sz w:val="24"/>
          <w:szCs w:val="24"/>
        </w:rPr>
        <w:t xml:space="preserve">Its advice </w:t>
      </w:r>
      <w:r w:rsidR="00523F8D">
        <w:rPr>
          <w:rFonts w:cstheme="minorHAnsi"/>
          <w:sz w:val="24"/>
          <w:szCs w:val="24"/>
        </w:rPr>
        <w:t xml:space="preserve">did not have any statutory basis and was not legally binding </w:t>
      </w:r>
      <w:r w:rsidR="00523F8D">
        <w:rPr>
          <w:rFonts w:cstheme="minorHAnsi"/>
          <w:sz w:val="24"/>
          <w:szCs w:val="24"/>
        </w:rPr>
        <w:fldChar w:fldCharType="begin"/>
      </w:r>
      <w:r w:rsidR="00600D02">
        <w:rPr>
          <w:rFonts w:cstheme="minorHAnsi"/>
          <w:sz w:val="24"/>
          <w:szCs w:val="24"/>
        </w:rPr>
        <w:instrText xml:space="preserve"> ADDIN EN.CITE &lt;EndNote&gt;&lt;Cite ExcludeAuth="1"&gt;&lt;Author&gt;Cooperation &amp;amp; Competition Panel for NHS-funded services&lt;/Author&gt;&lt;Year&gt;2009&lt;/Year&gt;&lt;RecNum&gt;599&lt;/RecNum&gt;&lt;Prefix&gt;CCP&lt;/Prefix&gt;&lt;DisplayText&gt;(CCP, 2009)&lt;/DisplayText&gt;&lt;record&gt;&lt;rec-number&gt;599&lt;/rec-number&gt;&lt;foreign-keys&gt;&lt;key app="EN" db-id="za50fsw09wzvx0er2t2p0d0txzrw9x59d9a5"&gt;599&lt;/key&gt;&lt;/foreign-keys&gt;&lt;ref-type name="Report"&gt;27&lt;/ref-type&gt;&lt;contributors&gt;&lt;authors&gt;&lt;author&gt;Cooperation &amp;amp; Competition Panel for NHS-funded services,&lt;/author&gt;&lt;/authors&gt;&lt;/contributors&gt;&lt;titles&gt;&lt;title&gt;Memorandum of understanding between the DH/Monitor and the Cooperation and Competition Panel&lt;/title&gt;&lt;/titles&gt;&lt;dates&gt;&lt;year&gt;2009&lt;/year&gt;&lt;pub-dates&gt;&lt;date&gt;January 2009&lt;/date&gt;&lt;/pub-dates&gt;&lt;/dates&gt;&lt;urls&gt;&lt;/urls&gt;&lt;/record&gt;&lt;/Cite&gt;&lt;/EndNote&gt;</w:instrText>
      </w:r>
      <w:r w:rsidR="00523F8D">
        <w:rPr>
          <w:rFonts w:cstheme="minorHAnsi"/>
          <w:sz w:val="24"/>
          <w:szCs w:val="24"/>
        </w:rPr>
        <w:fldChar w:fldCharType="separate"/>
      </w:r>
      <w:r w:rsidR="00600D02">
        <w:rPr>
          <w:rFonts w:cstheme="minorHAnsi"/>
          <w:noProof/>
          <w:sz w:val="24"/>
          <w:szCs w:val="24"/>
        </w:rPr>
        <w:t>(</w:t>
      </w:r>
      <w:hyperlink w:anchor="_ENREF_10" w:tooltip="Cooperation &amp; Competition Panel for NHS-funded services, 2009 #599" w:history="1">
        <w:r w:rsidR="00513FB0">
          <w:rPr>
            <w:rFonts w:cstheme="minorHAnsi"/>
            <w:noProof/>
            <w:sz w:val="24"/>
            <w:szCs w:val="24"/>
          </w:rPr>
          <w:t>CCP, 2009</w:t>
        </w:r>
      </w:hyperlink>
      <w:r w:rsidR="00600D02">
        <w:rPr>
          <w:rFonts w:cstheme="minorHAnsi"/>
          <w:noProof/>
          <w:sz w:val="24"/>
          <w:szCs w:val="24"/>
        </w:rPr>
        <w:t>)</w:t>
      </w:r>
      <w:r w:rsidR="00523F8D">
        <w:rPr>
          <w:rFonts w:cstheme="minorHAnsi"/>
          <w:sz w:val="24"/>
          <w:szCs w:val="24"/>
        </w:rPr>
        <w:fldChar w:fldCharType="end"/>
      </w:r>
      <w:r w:rsidR="00523F8D">
        <w:rPr>
          <w:rFonts w:cstheme="minorHAnsi"/>
          <w:sz w:val="24"/>
          <w:szCs w:val="24"/>
        </w:rPr>
        <w:t xml:space="preserve">. </w:t>
      </w:r>
      <w:r w:rsidR="00A83A24" w:rsidRPr="00283045">
        <w:rPr>
          <w:rFonts w:cstheme="minorHAnsi"/>
          <w:sz w:val="24"/>
          <w:szCs w:val="24"/>
        </w:rPr>
        <w:t xml:space="preserve"> It had a duty to investigate cases which might infringe the </w:t>
      </w:r>
      <w:r w:rsidR="00D31D6B">
        <w:rPr>
          <w:rFonts w:cstheme="minorHAnsi"/>
          <w:sz w:val="24"/>
          <w:szCs w:val="24"/>
        </w:rPr>
        <w:t>Principles and Rules</w:t>
      </w:r>
      <w:r w:rsidR="00D31D6B" w:rsidRPr="00283045">
        <w:rPr>
          <w:rFonts w:cstheme="minorHAnsi"/>
          <w:sz w:val="24"/>
          <w:szCs w:val="24"/>
        </w:rPr>
        <w:t xml:space="preserve"> </w:t>
      </w:r>
      <w:r w:rsidR="00A83A24" w:rsidRPr="00283045">
        <w:rPr>
          <w:rFonts w:cstheme="minorHAnsi"/>
          <w:sz w:val="24"/>
          <w:szCs w:val="24"/>
        </w:rPr>
        <w:t xml:space="preserve">and to </w:t>
      </w:r>
      <w:r w:rsidR="000D6DFA" w:rsidRPr="00283045">
        <w:rPr>
          <w:rFonts w:cstheme="minorHAnsi"/>
          <w:sz w:val="24"/>
          <w:szCs w:val="24"/>
        </w:rPr>
        <w:t>mak</w:t>
      </w:r>
      <w:r w:rsidR="00A83A24" w:rsidRPr="00283045">
        <w:rPr>
          <w:rFonts w:cstheme="minorHAnsi"/>
          <w:sz w:val="24"/>
          <w:szCs w:val="24"/>
        </w:rPr>
        <w:t>e</w:t>
      </w:r>
      <w:r w:rsidR="000D6DFA" w:rsidRPr="00283045">
        <w:rPr>
          <w:rFonts w:cstheme="minorHAnsi"/>
          <w:sz w:val="24"/>
          <w:szCs w:val="24"/>
        </w:rPr>
        <w:t xml:space="preserve"> recommendations to</w:t>
      </w:r>
      <w:r w:rsidR="00A83A24" w:rsidRPr="00283045">
        <w:rPr>
          <w:rFonts w:cstheme="minorHAnsi"/>
          <w:sz w:val="24"/>
          <w:szCs w:val="24"/>
        </w:rPr>
        <w:t xml:space="preserve"> the S</w:t>
      </w:r>
      <w:r w:rsidR="000D6DFA" w:rsidRPr="00283045">
        <w:rPr>
          <w:rFonts w:cstheme="minorHAnsi"/>
          <w:sz w:val="24"/>
          <w:szCs w:val="24"/>
        </w:rPr>
        <w:t xml:space="preserve">ecretary </w:t>
      </w:r>
      <w:r w:rsidR="00A83A24" w:rsidRPr="00283045">
        <w:rPr>
          <w:rFonts w:cstheme="minorHAnsi"/>
          <w:sz w:val="24"/>
          <w:szCs w:val="24"/>
        </w:rPr>
        <w:t>o</w:t>
      </w:r>
      <w:r w:rsidR="000D6DFA" w:rsidRPr="00283045">
        <w:rPr>
          <w:rFonts w:cstheme="minorHAnsi"/>
          <w:sz w:val="24"/>
          <w:szCs w:val="24"/>
        </w:rPr>
        <w:t xml:space="preserve">f </w:t>
      </w:r>
      <w:r w:rsidR="00A83A24" w:rsidRPr="00283045">
        <w:rPr>
          <w:rFonts w:cstheme="minorHAnsi"/>
          <w:sz w:val="24"/>
          <w:szCs w:val="24"/>
        </w:rPr>
        <w:t>S</w:t>
      </w:r>
      <w:r w:rsidR="000D6DFA" w:rsidRPr="00283045">
        <w:rPr>
          <w:rFonts w:cstheme="minorHAnsi"/>
          <w:sz w:val="24"/>
          <w:szCs w:val="24"/>
        </w:rPr>
        <w:t>tate</w:t>
      </w:r>
      <w:r w:rsidR="00A83A24" w:rsidRPr="00283045">
        <w:rPr>
          <w:rFonts w:cstheme="minorHAnsi"/>
          <w:sz w:val="24"/>
          <w:szCs w:val="24"/>
        </w:rPr>
        <w:t xml:space="preserve"> for Health and Monitor</w:t>
      </w:r>
      <w:r w:rsidR="000D3DB0" w:rsidRPr="00283045">
        <w:rPr>
          <w:rFonts w:cstheme="minorHAnsi"/>
          <w:sz w:val="24"/>
          <w:szCs w:val="24"/>
        </w:rPr>
        <w:t xml:space="preserve"> (at this stage the </w:t>
      </w:r>
      <w:r w:rsidR="00D826E0" w:rsidRPr="00283045">
        <w:rPr>
          <w:rFonts w:cstheme="minorHAnsi"/>
          <w:sz w:val="24"/>
          <w:szCs w:val="24"/>
        </w:rPr>
        <w:t>independent r</w:t>
      </w:r>
      <w:r w:rsidR="000D3DB0" w:rsidRPr="00283045">
        <w:rPr>
          <w:rFonts w:cstheme="minorHAnsi"/>
          <w:sz w:val="24"/>
          <w:szCs w:val="24"/>
        </w:rPr>
        <w:t>egulator of Foundation Trusts)</w:t>
      </w:r>
      <w:r w:rsidR="00A83A24" w:rsidRPr="00283045">
        <w:rPr>
          <w:rFonts w:cstheme="minorHAnsi"/>
          <w:sz w:val="24"/>
          <w:szCs w:val="24"/>
        </w:rPr>
        <w:t xml:space="preserve"> </w:t>
      </w:r>
      <w:r w:rsidR="0003273D">
        <w:rPr>
          <w:rFonts w:cstheme="minorHAnsi"/>
          <w:sz w:val="24"/>
          <w:szCs w:val="24"/>
        </w:rPr>
        <w:t xml:space="preserve">in </w:t>
      </w:r>
      <w:r w:rsidR="000D3DB0" w:rsidRPr="00283045">
        <w:rPr>
          <w:rFonts w:cstheme="minorHAnsi"/>
          <w:sz w:val="24"/>
          <w:szCs w:val="24"/>
        </w:rPr>
        <w:t>r</w:t>
      </w:r>
      <w:r w:rsidR="0003273D">
        <w:rPr>
          <w:rFonts w:cstheme="minorHAnsi"/>
          <w:sz w:val="24"/>
          <w:szCs w:val="24"/>
        </w:rPr>
        <w:t>espect of</w:t>
      </w:r>
      <w:r w:rsidR="000D3DB0" w:rsidRPr="00283045">
        <w:rPr>
          <w:rFonts w:cstheme="minorHAnsi"/>
          <w:sz w:val="24"/>
          <w:szCs w:val="24"/>
        </w:rPr>
        <w:t xml:space="preserve"> Foundation Trusts</w:t>
      </w:r>
      <w:r w:rsidR="00B61A85">
        <w:rPr>
          <w:sz w:val="24"/>
          <w:szCs w:val="24"/>
        </w:rPr>
        <w:t>,</w:t>
      </w:r>
      <w:r w:rsidR="00A83A24" w:rsidRPr="00A51966">
        <w:rPr>
          <w:rFonts w:cstheme="minorHAnsi"/>
          <w:sz w:val="24"/>
          <w:szCs w:val="24"/>
        </w:rPr>
        <w:t xml:space="preserve"> </w:t>
      </w:r>
      <w:r w:rsidR="00A83A24" w:rsidRPr="00283045">
        <w:rPr>
          <w:rFonts w:cstheme="minorHAnsi"/>
          <w:sz w:val="24"/>
          <w:szCs w:val="24"/>
        </w:rPr>
        <w:t xml:space="preserve">and </w:t>
      </w:r>
      <w:r w:rsidR="000D3DB0" w:rsidRPr="00283045">
        <w:rPr>
          <w:rFonts w:cstheme="minorHAnsi"/>
          <w:sz w:val="24"/>
          <w:szCs w:val="24"/>
        </w:rPr>
        <w:t xml:space="preserve">the local Strategic Health Authority </w:t>
      </w:r>
      <w:r w:rsidR="0003273D">
        <w:rPr>
          <w:rFonts w:cstheme="minorHAnsi"/>
          <w:sz w:val="24"/>
          <w:szCs w:val="24"/>
        </w:rPr>
        <w:t>in respect of</w:t>
      </w:r>
      <w:r w:rsidR="0003273D" w:rsidRPr="00283045">
        <w:rPr>
          <w:rFonts w:cstheme="minorHAnsi"/>
          <w:sz w:val="24"/>
          <w:szCs w:val="24"/>
        </w:rPr>
        <w:t xml:space="preserve"> </w:t>
      </w:r>
      <w:r w:rsidR="00A83A24" w:rsidRPr="00283045">
        <w:rPr>
          <w:rFonts w:cstheme="minorHAnsi"/>
          <w:sz w:val="24"/>
          <w:szCs w:val="24"/>
        </w:rPr>
        <w:t>NH</w:t>
      </w:r>
      <w:r w:rsidR="00930ECB" w:rsidRPr="00283045">
        <w:rPr>
          <w:rFonts w:cstheme="minorHAnsi"/>
          <w:sz w:val="24"/>
          <w:szCs w:val="24"/>
        </w:rPr>
        <w:t>S</w:t>
      </w:r>
      <w:r w:rsidR="00A83A24" w:rsidRPr="00283045">
        <w:rPr>
          <w:rFonts w:cstheme="minorHAnsi"/>
          <w:sz w:val="24"/>
          <w:szCs w:val="24"/>
        </w:rPr>
        <w:t xml:space="preserve"> Trusts</w:t>
      </w:r>
      <w:r w:rsidR="00A77427">
        <w:rPr>
          <w:rFonts w:cstheme="minorHAnsi"/>
          <w:sz w:val="24"/>
          <w:szCs w:val="24"/>
        </w:rPr>
        <w:t>,</w:t>
      </w:r>
      <w:r w:rsidR="00CF6E88" w:rsidRPr="00283045">
        <w:rPr>
          <w:rFonts w:cstheme="minorHAnsi"/>
          <w:sz w:val="24"/>
          <w:szCs w:val="24"/>
        </w:rPr>
        <w:t xml:space="preserve"> who would then decide what action would be taken.</w:t>
      </w:r>
    </w:p>
    <w:p w14:paraId="51A396AD" w14:textId="11038813" w:rsidR="008672F5" w:rsidRDefault="00BF4431" w:rsidP="00C541CF">
      <w:pPr>
        <w:spacing w:line="480" w:lineRule="auto"/>
        <w:jc w:val="both"/>
        <w:rPr>
          <w:rFonts w:cstheme="minorHAnsi"/>
          <w:sz w:val="24"/>
          <w:szCs w:val="24"/>
        </w:rPr>
      </w:pPr>
      <w:r>
        <w:rPr>
          <w:rFonts w:cstheme="minorHAnsi"/>
          <w:sz w:val="24"/>
          <w:szCs w:val="24"/>
        </w:rPr>
        <w:t>This</w:t>
      </w:r>
      <w:r w:rsidR="00BE409D">
        <w:rPr>
          <w:rFonts w:cstheme="minorHAnsi"/>
          <w:sz w:val="24"/>
          <w:szCs w:val="24"/>
        </w:rPr>
        <w:t xml:space="preserve"> </w:t>
      </w:r>
      <w:r w:rsidR="00D576B8">
        <w:rPr>
          <w:rFonts w:cstheme="minorHAnsi"/>
          <w:sz w:val="24"/>
          <w:szCs w:val="24"/>
        </w:rPr>
        <w:t xml:space="preserve">sector specific </w:t>
      </w:r>
      <w:r w:rsidR="00276635">
        <w:rPr>
          <w:rFonts w:cstheme="minorHAnsi"/>
          <w:sz w:val="24"/>
          <w:szCs w:val="24"/>
        </w:rPr>
        <w:t xml:space="preserve">competition regulation </w:t>
      </w:r>
      <w:r>
        <w:rPr>
          <w:rFonts w:cstheme="minorHAnsi"/>
          <w:sz w:val="24"/>
          <w:szCs w:val="24"/>
        </w:rPr>
        <w:t>operated within the shadow of</w:t>
      </w:r>
      <w:r w:rsidR="00BE409D">
        <w:rPr>
          <w:rFonts w:cstheme="minorHAnsi"/>
          <w:sz w:val="24"/>
          <w:szCs w:val="24"/>
        </w:rPr>
        <w:t xml:space="preserve"> EU and UK competition law</w:t>
      </w:r>
      <w:r w:rsidR="001350EC">
        <w:rPr>
          <w:rFonts w:cstheme="minorHAnsi"/>
          <w:sz w:val="24"/>
          <w:szCs w:val="24"/>
        </w:rPr>
        <w:t xml:space="preserve">. The guidance concerning the role of the </w:t>
      </w:r>
      <w:r w:rsidR="00A24FB7">
        <w:rPr>
          <w:rFonts w:cstheme="minorHAnsi"/>
          <w:sz w:val="24"/>
          <w:szCs w:val="24"/>
        </w:rPr>
        <w:t xml:space="preserve">Cooperation and </w:t>
      </w:r>
      <w:r w:rsidR="00A24FB7">
        <w:rPr>
          <w:rFonts w:cstheme="minorHAnsi"/>
          <w:sz w:val="24"/>
          <w:szCs w:val="24"/>
        </w:rPr>
        <w:lastRenderedPageBreak/>
        <w:t xml:space="preserve">Competition Panel </w:t>
      </w:r>
      <w:r w:rsidR="001350EC">
        <w:rPr>
          <w:rFonts w:cstheme="minorHAnsi"/>
          <w:sz w:val="24"/>
          <w:szCs w:val="24"/>
        </w:rPr>
        <w:t xml:space="preserve">acknowledged that the body did not replace the role and work of the </w:t>
      </w:r>
      <w:r w:rsidR="00A95B9F">
        <w:rPr>
          <w:rFonts w:cstheme="minorHAnsi"/>
          <w:sz w:val="24"/>
          <w:szCs w:val="24"/>
        </w:rPr>
        <w:t>national and European competition authorities</w:t>
      </w:r>
      <w:r w:rsidR="001350EC">
        <w:rPr>
          <w:rFonts w:cstheme="minorHAnsi"/>
          <w:sz w:val="24"/>
          <w:szCs w:val="24"/>
        </w:rPr>
        <w:t xml:space="preserve"> </w:t>
      </w:r>
      <w:r w:rsidR="001350EC">
        <w:rPr>
          <w:rFonts w:cstheme="minorHAnsi"/>
          <w:sz w:val="24"/>
          <w:szCs w:val="24"/>
        </w:rPr>
        <w:fldChar w:fldCharType="begin"/>
      </w:r>
      <w:r w:rsidR="001350EC">
        <w:rPr>
          <w:rFonts w:cstheme="minorHAnsi"/>
          <w:sz w:val="24"/>
          <w:szCs w:val="24"/>
        </w:rPr>
        <w:instrText xml:space="preserve"> ADDIN EN.CITE &lt;EndNote&gt;&lt;Cite ExcludeAuth="1"&gt;&lt;Author&gt;Cooperation &amp;amp; Competition Panel for NHS-funded services&lt;/Author&gt;&lt;Year&gt;2009&lt;/Year&gt;&lt;RecNum&gt;599&lt;/RecNum&gt;&lt;Prefix&gt;CCP&lt;/Prefix&gt;&lt;DisplayText&gt;(CCP, 2009)&lt;/DisplayText&gt;&lt;record&gt;&lt;rec-number&gt;599&lt;/rec-number&gt;&lt;foreign-keys&gt;&lt;key app="EN" db-id="za50fsw09wzvx0er2t2p0d0txzrw9x59d9a5"&gt;599&lt;/key&gt;&lt;/foreign-keys&gt;&lt;ref-type name="Report"&gt;27&lt;/ref-type&gt;&lt;contributors&gt;&lt;authors&gt;&lt;author&gt;Cooperation &amp;amp; Competition Panel for NHS-funded services,&lt;/author&gt;&lt;/authors&gt;&lt;/contributors&gt;&lt;titles&gt;&lt;title&gt;Memorandum of understanding between the DH/Monitor and the Cooperation and Competition Panel&lt;/title&gt;&lt;/titles&gt;&lt;dates&gt;&lt;year&gt;2009&lt;/year&gt;&lt;pub-dates&gt;&lt;date&gt;January 2009&lt;/date&gt;&lt;/pub-dates&gt;&lt;/dates&gt;&lt;urls&gt;&lt;/urls&gt;&lt;/record&gt;&lt;/Cite&gt;&lt;/EndNote&gt;</w:instrText>
      </w:r>
      <w:r w:rsidR="001350EC">
        <w:rPr>
          <w:rFonts w:cstheme="minorHAnsi"/>
          <w:sz w:val="24"/>
          <w:szCs w:val="24"/>
        </w:rPr>
        <w:fldChar w:fldCharType="separate"/>
      </w:r>
      <w:r w:rsidR="001350EC">
        <w:rPr>
          <w:rFonts w:cstheme="minorHAnsi"/>
          <w:noProof/>
          <w:sz w:val="24"/>
          <w:szCs w:val="24"/>
        </w:rPr>
        <w:t>(</w:t>
      </w:r>
      <w:hyperlink w:anchor="_ENREF_10" w:tooltip="Cooperation &amp; Competition Panel for NHS-funded services, 2009 #599" w:history="1">
        <w:r w:rsidR="00513FB0">
          <w:rPr>
            <w:rFonts w:cstheme="minorHAnsi"/>
            <w:noProof/>
            <w:sz w:val="24"/>
            <w:szCs w:val="24"/>
          </w:rPr>
          <w:t>CCP, 2009</w:t>
        </w:r>
      </w:hyperlink>
      <w:r w:rsidR="001350EC">
        <w:rPr>
          <w:rFonts w:cstheme="minorHAnsi"/>
          <w:noProof/>
          <w:sz w:val="24"/>
          <w:szCs w:val="24"/>
        </w:rPr>
        <w:t>)</w:t>
      </w:r>
      <w:r w:rsidR="001350EC">
        <w:rPr>
          <w:rFonts w:cstheme="minorHAnsi"/>
          <w:sz w:val="24"/>
          <w:szCs w:val="24"/>
        </w:rPr>
        <w:fldChar w:fldCharType="end"/>
      </w:r>
      <w:r w:rsidR="001350EC">
        <w:rPr>
          <w:rFonts w:cstheme="minorHAnsi"/>
          <w:sz w:val="24"/>
          <w:szCs w:val="24"/>
        </w:rPr>
        <w:t xml:space="preserve">, and that some of the conduct it investigated might also be subject to EU and UK competition law </w:t>
      </w:r>
      <w:r w:rsidR="001350EC">
        <w:rPr>
          <w:rFonts w:cstheme="minorHAnsi"/>
          <w:sz w:val="24"/>
          <w:szCs w:val="24"/>
        </w:rPr>
        <w:fldChar w:fldCharType="begin"/>
      </w:r>
      <w:r w:rsidR="00633B0F">
        <w:rPr>
          <w:rFonts w:cstheme="minorHAnsi"/>
          <w:sz w:val="24"/>
          <w:szCs w:val="24"/>
        </w:rPr>
        <w:instrText xml:space="preserve"> ADDIN EN.CITE &lt;EndNote&gt;&lt;Cite ExcludeAuth="1"&gt;&lt;Author&gt;Cooperation &amp;amp; Competition Panel for NHS-funded services&lt;/Author&gt;&lt;Year&gt;2010&lt;/Year&gt;&lt;RecNum&gt;404&lt;/RecNum&gt;&lt;Prefix&gt;CCP&lt;/Prefix&gt;&lt;DisplayText&gt;(CCP, 2010)&lt;/DisplayText&gt;&lt;record&gt;&lt;rec-number&gt;404&lt;/rec-number&gt;&lt;foreign-keys&gt;&lt;key app="EN" db-id="za50fsw09wzvx0er2t2p0d0txzrw9x59d9a5"&gt;404&lt;/key&gt;&lt;/foreign-keys&gt;&lt;ref-type name="Report"&gt;27&lt;/ref-type&gt;&lt;contributors&gt;&lt;authors&gt;&lt;author&gt;Cooperation &amp;amp; Competition Panel for NHS-funded services,&lt;/author&gt;&lt;/authors&gt;&lt;/contributors&gt;&lt;titles&gt;&lt;title&gt;Conduct Guidelines&lt;/title&gt;&lt;/titles&gt;&lt;dates&gt;&lt;year&gt;2010&lt;/year&gt;&lt;/dates&gt;&lt;pub-location&gt;London&lt;/pub-location&gt;&lt;publisher&gt;Cooperation and Competition Panel&lt;/publisher&gt;&lt;urls&gt;&lt;/urls&gt;&lt;/record&gt;&lt;/Cite&gt;&lt;/EndNote&gt;</w:instrText>
      </w:r>
      <w:r w:rsidR="001350EC">
        <w:rPr>
          <w:rFonts w:cstheme="minorHAnsi"/>
          <w:sz w:val="24"/>
          <w:szCs w:val="24"/>
        </w:rPr>
        <w:fldChar w:fldCharType="separate"/>
      </w:r>
      <w:r w:rsidR="00633B0F">
        <w:rPr>
          <w:rFonts w:cstheme="minorHAnsi"/>
          <w:noProof/>
          <w:sz w:val="24"/>
          <w:szCs w:val="24"/>
        </w:rPr>
        <w:t>(</w:t>
      </w:r>
      <w:hyperlink w:anchor="_ENREF_11" w:tooltip="Cooperation &amp; Competition Panel for NHS-funded services, 2010 #404" w:history="1">
        <w:r w:rsidR="00513FB0">
          <w:rPr>
            <w:rFonts w:cstheme="minorHAnsi"/>
            <w:noProof/>
            <w:sz w:val="24"/>
            <w:szCs w:val="24"/>
          </w:rPr>
          <w:t>CCP, 2010</w:t>
        </w:r>
      </w:hyperlink>
      <w:r w:rsidR="00633B0F">
        <w:rPr>
          <w:rFonts w:cstheme="minorHAnsi"/>
          <w:noProof/>
          <w:sz w:val="24"/>
          <w:szCs w:val="24"/>
        </w:rPr>
        <w:t>)</w:t>
      </w:r>
      <w:r w:rsidR="001350EC">
        <w:rPr>
          <w:rFonts w:cstheme="minorHAnsi"/>
          <w:sz w:val="24"/>
          <w:szCs w:val="24"/>
        </w:rPr>
        <w:fldChar w:fldCharType="end"/>
      </w:r>
      <w:r w:rsidR="00BA61B3">
        <w:rPr>
          <w:rFonts w:cstheme="minorHAnsi"/>
          <w:sz w:val="24"/>
          <w:szCs w:val="24"/>
        </w:rPr>
        <w:t xml:space="preserve">. </w:t>
      </w:r>
      <w:r w:rsidR="00BE409D">
        <w:rPr>
          <w:rFonts w:cstheme="minorHAnsi"/>
          <w:sz w:val="24"/>
          <w:szCs w:val="24"/>
        </w:rPr>
        <w:t>The behaviour of any entity in the UK when engaging in economic activity is governed by The Competition Act 1998</w:t>
      </w:r>
      <w:r w:rsidR="00D576B8">
        <w:rPr>
          <w:rFonts w:cstheme="minorHAnsi"/>
          <w:sz w:val="24"/>
          <w:szCs w:val="24"/>
        </w:rPr>
        <w:t>.</w:t>
      </w:r>
      <w:r w:rsidR="00A95B9F">
        <w:rPr>
          <w:rFonts w:cstheme="minorHAnsi"/>
          <w:sz w:val="24"/>
          <w:szCs w:val="24"/>
        </w:rPr>
        <w:t xml:space="preserve"> </w:t>
      </w:r>
      <w:r w:rsidR="00BE409D">
        <w:rPr>
          <w:rFonts w:cstheme="minorHAnsi"/>
          <w:sz w:val="24"/>
          <w:szCs w:val="24"/>
        </w:rPr>
        <w:t xml:space="preserve">When economic activity extends to the EU the behaviour is governed by Article 101 and 102 of the Treaty on the Functioning of the European Union (TFEU) (as amended by the Treaty of Lisbon 2007). This legislation regulates two aspects of behaviour to ensure that competition is not impaired. Firstly it prohibits anti-competitive behaviour, and </w:t>
      </w:r>
      <w:r w:rsidR="000B4F91">
        <w:rPr>
          <w:rFonts w:cstheme="minorHAnsi"/>
          <w:sz w:val="24"/>
          <w:szCs w:val="24"/>
        </w:rPr>
        <w:t>secondly it prohibits abuse of dominant market position. In the UK in the period in question competition law was enforced by</w:t>
      </w:r>
      <w:r w:rsidR="00D042CD">
        <w:rPr>
          <w:rFonts w:cstheme="minorHAnsi"/>
          <w:sz w:val="24"/>
          <w:szCs w:val="24"/>
        </w:rPr>
        <w:t xml:space="preserve"> the relevant national competition authorities: </w:t>
      </w:r>
      <w:r w:rsidR="000B4F91">
        <w:rPr>
          <w:rFonts w:cstheme="minorHAnsi"/>
          <w:sz w:val="24"/>
          <w:szCs w:val="24"/>
        </w:rPr>
        <w:t>the Office of Fair Trading and the Competition Commission (</w:t>
      </w:r>
      <w:r w:rsidR="00B05FF5">
        <w:rPr>
          <w:rFonts w:cstheme="minorHAnsi"/>
          <w:sz w:val="24"/>
          <w:szCs w:val="24"/>
        </w:rPr>
        <w:t>until March 2014</w:t>
      </w:r>
      <w:r w:rsidR="000B4F91">
        <w:rPr>
          <w:rFonts w:cstheme="minorHAnsi"/>
          <w:sz w:val="24"/>
          <w:szCs w:val="24"/>
        </w:rPr>
        <w:t>)</w:t>
      </w:r>
      <w:r w:rsidR="0008665C">
        <w:rPr>
          <w:rFonts w:cstheme="minorHAnsi"/>
          <w:sz w:val="24"/>
          <w:szCs w:val="24"/>
        </w:rPr>
        <w:t>, and the Competition and Markets Authority (from April 2014)</w:t>
      </w:r>
      <w:r w:rsidR="00D576B8">
        <w:rPr>
          <w:rFonts w:cstheme="minorHAnsi"/>
          <w:sz w:val="24"/>
          <w:szCs w:val="24"/>
        </w:rPr>
        <w:t>.</w:t>
      </w:r>
      <w:r w:rsidR="000B4F91">
        <w:rPr>
          <w:rFonts w:cstheme="minorHAnsi"/>
          <w:sz w:val="24"/>
          <w:szCs w:val="24"/>
        </w:rPr>
        <w:t xml:space="preserve"> </w:t>
      </w:r>
      <w:r w:rsidR="00D576B8">
        <w:rPr>
          <w:rFonts w:cstheme="minorHAnsi"/>
          <w:sz w:val="24"/>
          <w:szCs w:val="24"/>
        </w:rPr>
        <w:t>T</w:t>
      </w:r>
      <w:r w:rsidR="008672F5">
        <w:rPr>
          <w:rFonts w:cstheme="minorHAnsi"/>
          <w:sz w:val="24"/>
          <w:szCs w:val="24"/>
        </w:rPr>
        <w:t xml:space="preserve">he Office of Fair Trading had responsibility for investigating suspected breaches of and enforcing </w:t>
      </w:r>
      <w:r w:rsidR="00A95B9F">
        <w:rPr>
          <w:rFonts w:cstheme="minorHAnsi"/>
          <w:sz w:val="24"/>
          <w:szCs w:val="24"/>
        </w:rPr>
        <w:t>T</w:t>
      </w:r>
      <w:r w:rsidR="008672F5">
        <w:rPr>
          <w:rFonts w:cstheme="minorHAnsi"/>
          <w:sz w:val="24"/>
          <w:szCs w:val="24"/>
        </w:rPr>
        <w:t xml:space="preserve">he Competition Act in the UK. </w:t>
      </w:r>
      <w:r w:rsidR="00D576B8">
        <w:rPr>
          <w:rFonts w:cstheme="minorHAnsi"/>
          <w:sz w:val="24"/>
          <w:szCs w:val="24"/>
        </w:rPr>
        <w:t xml:space="preserve">A further piece of legislation, </w:t>
      </w:r>
      <w:r w:rsidR="005F219F">
        <w:rPr>
          <w:rFonts w:cstheme="minorHAnsi"/>
          <w:sz w:val="24"/>
          <w:szCs w:val="24"/>
        </w:rPr>
        <w:t>The Enterprise Act 2002</w:t>
      </w:r>
      <w:r w:rsidR="00D576B8">
        <w:rPr>
          <w:rFonts w:cstheme="minorHAnsi"/>
          <w:sz w:val="24"/>
          <w:szCs w:val="24"/>
        </w:rPr>
        <w:t>,</w:t>
      </w:r>
      <w:r w:rsidR="005F219F">
        <w:rPr>
          <w:rFonts w:cstheme="minorHAnsi"/>
          <w:sz w:val="24"/>
          <w:szCs w:val="24"/>
        </w:rPr>
        <w:t xml:space="preserve"> specified </w:t>
      </w:r>
      <w:r w:rsidR="00D042CD">
        <w:rPr>
          <w:rFonts w:cstheme="minorHAnsi"/>
          <w:sz w:val="24"/>
          <w:szCs w:val="24"/>
        </w:rPr>
        <w:t>that</w:t>
      </w:r>
      <w:r w:rsidR="005F219F">
        <w:rPr>
          <w:rFonts w:cstheme="minorHAnsi"/>
          <w:sz w:val="24"/>
          <w:szCs w:val="24"/>
        </w:rPr>
        <w:t xml:space="preserve"> the Office of Fair Trading should refer </w:t>
      </w:r>
      <w:r w:rsidR="00C541CF">
        <w:rPr>
          <w:rFonts w:cstheme="minorHAnsi"/>
          <w:sz w:val="24"/>
          <w:szCs w:val="24"/>
        </w:rPr>
        <w:t xml:space="preserve">merger </w:t>
      </w:r>
      <w:r w:rsidR="005F219F">
        <w:rPr>
          <w:rFonts w:cstheme="minorHAnsi"/>
          <w:sz w:val="24"/>
          <w:szCs w:val="24"/>
        </w:rPr>
        <w:t xml:space="preserve">investigations </w:t>
      </w:r>
      <w:r w:rsidR="00D042CD">
        <w:rPr>
          <w:rFonts w:cstheme="minorHAnsi"/>
          <w:sz w:val="24"/>
          <w:szCs w:val="24"/>
        </w:rPr>
        <w:t xml:space="preserve">for a more detailed </w:t>
      </w:r>
      <w:r w:rsidR="00A95B9F">
        <w:rPr>
          <w:rFonts w:cstheme="minorHAnsi"/>
          <w:sz w:val="24"/>
          <w:szCs w:val="24"/>
        </w:rPr>
        <w:t>Phase II review to the Competition Commission</w:t>
      </w:r>
      <w:r w:rsidR="00D042CD">
        <w:rPr>
          <w:rFonts w:cstheme="minorHAnsi"/>
          <w:sz w:val="24"/>
          <w:szCs w:val="24"/>
        </w:rPr>
        <w:t xml:space="preserve"> where </w:t>
      </w:r>
      <w:r w:rsidR="00A95B9F">
        <w:rPr>
          <w:rFonts w:cstheme="minorHAnsi"/>
          <w:sz w:val="24"/>
          <w:szCs w:val="24"/>
        </w:rPr>
        <w:t>their initial investigations gave reason to believe</w:t>
      </w:r>
      <w:r w:rsidR="00D042CD">
        <w:rPr>
          <w:rFonts w:cstheme="minorHAnsi"/>
          <w:sz w:val="24"/>
          <w:szCs w:val="24"/>
        </w:rPr>
        <w:t xml:space="preserve"> that the merger may result in a substantial lessening of competition</w:t>
      </w:r>
      <w:r w:rsidR="00A95B9F">
        <w:rPr>
          <w:rFonts w:cstheme="minorHAnsi"/>
          <w:sz w:val="24"/>
          <w:szCs w:val="24"/>
        </w:rPr>
        <w:t>.</w:t>
      </w:r>
      <w:r w:rsidR="00D042CD">
        <w:rPr>
          <w:rFonts w:cstheme="minorHAnsi"/>
          <w:sz w:val="24"/>
          <w:szCs w:val="24"/>
        </w:rPr>
        <w:t xml:space="preserve"> </w:t>
      </w:r>
      <w:r w:rsidR="00A95B9F">
        <w:rPr>
          <w:rFonts w:cstheme="minorHAnsi"/>
          <w:sz w:val="24"/>
          <w:szCs w:val="24"/>
        </w:rPr>
        <w:t>The</w:t>
      </w:r>
      <w:r w:rsidR="005F219F">
        <w:rPr>
          <w:rFonts w:cstheme="minorHAnsi"/>
          <w:sz w:val="24"/>
          <w:szCs w:val="24"/>
        </w:rPr>
        <w:t xml:space="preserve"> Competition Commission was responsible for ensuring health</w:t>
      </w:r>
      <w:r w:rsidR="00D576B8">
        <w:rPr>
          <w:rFonts w:cstheme="minorHAnsi"/>
          <w:sz w:val="24"/>
          <w:szCs w:val="24"/>
        </w:rPr>
        <w:t>y</w:t>
      </w:r>
      <w:r w:rsidR="005F219F">
        <w:rPr>
          <w:rFonts w:cstheme="minorHAnsi"/>
          <w:sz w:val="24"/>
          <w:szCs w:val="24"/>
        </w:rPr>
        <w:t xml:space="preserve"> competition between businesses in the UK. </w:t>
      </w:r>
      <w:r w:rsidR="008672F5">
        <w:rPr>
          <w:rFonts w:cstheme="minorHAnsi"/>
          <w:sz w:val="24"/>
          <w:szCs w:val="24"/>
        </w:rPr>
        <w:t>From April 2014, both these functions were undertaken by the Co</w:t>
      </w:r>
      <w:r w:rsidR="00E86D88">
        <w:rPr>
          <w:rFonts w:cstheme="minorHAnsi"/>
          <w:sz w:val="24"/>
          <w:szCs w:val="24"/>
        </w:rPr>
        <w:t>mpetition and Markets Authority</w:t>
      </w:r>
      <w:r w:rsidR="00A95B9F">
        <w:rPr>
          <w:rFonts w:cstheme="minorHAnsi"/>
          <w:sz w:val="24"/>
          <w:szCs w:val="24"/>
        </w:rPr>
        <w:t xml:space="preserve"> (see Table 1)</w:t>
      </w:r>
      <w:r w:rsidR="00E86D88">
        <w:rPr>
          <w:rFonts w:cstheme="minorHAnsi"/>
          <w:sz w:val="24"/>
          <w:szCs w:val="24"/>
        </w:rPr>
        <w:t>.</w:t>
      </w:r>
    </w:p>
    <w:p w14:paraId="20998712" w14:textId="7A38FD9F" w:rsidR="000A12B3" w:rsidRPr="00283045" w:rsidRDefault="005F219F" w:rsidP="009E41C2">
      <w:pPr>
        <w:spacing w:line="480" w:lineRule="auto"/>
        <w:jc w:val="both"/>
        <w:rPr>
          <w:rFonts w:cstheme="minorHAnsi"/>
          <w:sz w:val="24"/>
          <w:szCs w:val="24"/>
        </w:rPr>
      </w:pPr>
      <w:r>
        <w:rPr>
          <w:rFonts w:cstheme="minorHAnsi"/>
          <w:sz w:val="24"/>
          <w:szCs w:val="24"/>
        </w:rPr>
        <w:t>The appli</w:t>
      </w:r>
      <w:r w:rsidR="000130C6">
        <w:rPr>
          <w:rFonts w:cstheme="minorHAnsi"/>
          <w:sz w:val="24"/>
          <w:szCs w:val="24"/>
        </w:rPr>
        <w:t xml:space="preserve">cability of </w:t>
      </w:r>
      <w:r w:rsidR="001C665B">
        <w:rPr>
          <w:rFonts w:cstheme="minorHAnsi"/>
          <w:sz w:val="24"/>
          <w:szCs w:val="24"/>
        </w:rPr>
        <w:t xml:space="preserve">national </w:t>
      </w:r>
      <w:r w:rsidR="00A95B9F">
        <w:rPr>
          <w:rFonts w:cstheme="minorHAnsi"/>
          <w:sz w:val="24"/>
          <w:szCs w:val="24"/>
        </w:rPr>
        <w:t xml:space="preserve">and European </w:t>
      </w:r>
      <w:r w:rsidR="001C665B">
        <w:rPr>
          <w:rFonts w:cstheme="minorHAnsi"/>
          <w:sz w:val="24"/>
          <w:szCs w:val="24"/>
        </w:rPr>
        <w:t>competition legislation</w:t>
      </w:r>
      <w:r w:rsidR="000130C6">
        <w:rPr>
          <w:rFonts w:cstheme="minorHAnsi"/>
          <w:sz w:val="24"/>
          <w:szCs w:val="24"/>
        </w:rPr>
        <w:t xml:space="preserve"> to NHS activity</w:t>
      </w:r>
      <w:r w:rsidR="002E591D">
        <w:rPr>
          <w:rFonts w:cstheme="minorHAnsi"/>
          <w:sz w:val="24"/>
          <w:szCs w:val="24"/>
        </w:rPr>
        <w:t xml:space="preserve"> prior to HSCA 2012</w:t>
      </w:r>
      <w:r w:rsidR="000130C6">
        <w:rPr>
          <w:rFonts w:cstheme="minorHAnsi"/>
          <w:sz w:val="24"/>
          <w:szCs w:val="24"/>
        </w:rPr>
        <w:t xml:space="preserve"> was </w:t>
      </w:r>
      <w:r w:rsidR="001350EC">
        <w:rPr>
          <w:rFonts w:cstheme="minorHAnsi"/>
          <w:sz w:val="24"/>
          <w:szCs w:val="24"/>
        </w:rPr>
        <w:t xml:space="preserve">an untested point </w:t>
      </w:r>
      <w:r w:rsidR="001350EC">
        <w:rPr>
          <w:rFonts w:cstheme="minorHAnsi"/>
          <w:sz w:val="24"/>
          <w:szCs w:val="24"/>
        </w:rPr>
        <w:fldChar w:fldCharType="begin"/>
      </w:r>
      <w:r w:rsidR="00DB08E0">
        <w:rPr>
          <w:rFonts w:cstheme="minorHAnsi"/>
          <w:sz w:val="24"/>
          <w:szCs w:val="24"/>
        </w:rPr>
        <w:instrText xml:space="preserve"> ADDIN EN.CITE &lt;EndNote&gt;&lt;Cite&gt;&lt;Author&gt;Odudu&lt;/Author&gt;&lt;Year&gt;2011&lt;/Year&gt;&lt;RecNum&gt;395&lt;/RecNum&gt;&lt;Prefix&gt;see &lt;/Prefix&gt;&lt;DisplayText&gt;(see Odudu, 2011, Lear et al., 2010)&lt;/DisplayText&gt;&lt;record&gt;&lt;rec-number&gt;395&lt;/rec-number&gt;&lt;foreign-keys&gt;&lt;key app="EN" db-id="za50fsw09wzvx0er2t2p0d0txzrw9x59d9a5"&gt;395&lt;/key&gt;&lt;/foreign-keys&gt;&lt;ref-type name="Journal Article"&gt;17&lt;/ref-type&gt;&lt;contributors&gt;&lt;authors&gt;&lt;author&gt;Odudu, O.&lt;/author&gt;&lt;/authors&gt;&lt;/contributors&gt;&lt;titles&gt;&lt;title&gt;Are state-owned health-care providers undertakings subject to competition law?&lt;/title&gt;&lt;secondary-title&gt;ECLR&lt;/secondary-title&gt;&lt;/titles&gt;&lt;periodical&gt;&lt;full-title&gt;ECLR&lt;/full-title&gt;&lt;/periodical&gt;&lt;pages&gt;231-241&lt;/pages&gt;&lt;volume&gt;32&lt;/volume&gt;&lt;number&gt;5&lt;/number&gt;&lt;dates&gt;&lt;year&gt;2011&lt;/year&gt;&lt;/dates&gt;&lt;urls&gt;&lt;/urls&gt;&lt;/record&gt;&lt;/Cite&gt;&lt;Cite&gt;&lt;Author&gt;Lear&lt;/Author&gt;&lt;Year&gt;2010&lt;/Year&gt;&lt;RecNum&gt;396&lt;/RecNum&gt;&lt;record&gt;&lt;rec-number&gt;396&lt;/rec-number&gt;&lt;foreign-keys&gt;&lt;key app="EN" db-id="za50fsw09wzvx0er2t2p0d0txzrw9x59d9a5"&gt;396&lt;/key&gt;&lt;/foreign-keys&gt;&lt;ref-type name="Book Section"&gt;5&lt;/ref-type&gt;&lt;contributors&gt;&lt;authors&gt;&lt;author&gt;Lear, J.&lt;/author&gt;&lt;author&gt;Mossialos, E.&lt;/author&gt;&lt;author&gt;Karl, B.&lt;/author&gt;&lt;/authors&gt;&lt;secondary-authors&gt;&lt;author&gt;Mossialos, E.&lt;/author&gt;&lt;author&gt;Permanand, G.&lt;/author&gt;&lt;author&gt;Baeten, R.&lt;/author&gt;&lt;author&gt;Hervey, T.&lt;/author&gt;&lt;/secondary-authors&gt;&lt;/contributors&gt;&lt;titles&gt;&lt;title&gt;EU competition law and health policy&lt;/title&gt;&lt;secondary-title&gt;Health Systems Governance in Europe: The Role of European Union Law and Policy&lt;/secondary-title&gt;&lt;/titles&gt;&lt;dates&gt;&lt;year&gt;2010&lt;/year&gt;&lt;/dates&gt;&lt;pub-location&gt;Cambridge&lt;/pub-location&gt;&lt;publisher&gt;Cambridge University Press&lt;/publisher&gt;&lt;urls&gt;&lt;/urls&gt;&lt;/record&gt;&lt;/Cite&gt;&lt;/EndNote&gt;</w:instrText>
      </w:r>
      <w:r w:rsidR="001350EC">
        <w:rPr>
          <w:rFonts w:cstheme="minorHAnsi"/>
          <w:sz w:val="24"/>
          <w:szCs w:val="24"/>
        </w:rPr>
        <w:fldChar w:fldCharType="separate"/>
      </w:r>
      <w:r w:rsidR="00DB08E0">
        <w:rPr>
          <w:rFonts w:cstheme="minorHAnsi"/>
          <w:noProof/>
          <w:sz w:val="24"/>
          <w:szCs w:val="24"/>
        </w:rPr>
        <w:t xml:space="preserve">(see </w:t>
      </w:r>
      <w:hyperlink w:anchor="_ENREF_34" w:tooltip="Odudu, 2011 #395" w:history="1">
        <w:r w:rsidR="00513FB0">
          <w:rPr>
            <w:rFonts w:cstheme="minorHAnsi"/>
            <w:noProof/>
            <w:sz w:val="24"/>
            <w:szCs w:val="24"/>
          </w:rPr>
          <w:t>Odudu, 2011</w:t>
        </w:r>
      </w:hyperlink>
      <w:r w:rsidR="00DB08E0">
        <w:rPr>
          <w:rFonts w:cstheme="minorHAnsi"/>
          <w:noProof/>
          <w:sz w:val="24"/>
          <w:szCs w:val="24"/>
        </w:rPr>
        <w:t xml:space="preserve">, </w:t>
      </w:r>
      <w:hyperlink w:anchor="_ENREF_26" w:tooltip="Lear, 2010 #396" w:history="1">
        <w:r w:rsidR="00513FB0">
          <w:rPr>
            <w:rFonts w:cstheme="minorHAnsi"/>
            <w:noProof/>
            <w:sz w:val="24"/>
            <w:szCs w:val="24"/>
          </w:rPr>
          <w:t>Lear et al., 2010</w:t>
        </w:r>
      </w:hyperlink>
      <w:r w:rsidR="00DB08E0">
        <w:rPr>
          <w:rFonts w:cstheme="minorHAnsi"/>
          <w:noProof/>
          <w:sz w:val="24"/>
          <w:szCs w:val="24"/>
        </w:rPr>
        <w:t>)</w:t>
      </w:r>
      <w:r w:rsidR="001350EC">
        <w:rPr>
          <w:rFonts w:cstheme="minorHAnsi"/>
          <w:sz w:val="24"/>
          <w:szCs w:val="24"/>
        </w:rPr>
        <w:fldChar w:fldCharType="end"/>
      </w:r>
      <w:r w:rsidR="001350EC">
        <w:rPr>
          <w:rFonts w:cstheme="minorHAnsi"/>
          <w:sz w:val="24"/>
          <w:szCs w:val="24"/>
        </w:rPr>
        <w:t>.</w:t>
      </w:r>
      <w:r w:rsidR="000130C6">
        <w:rPr>
          <w:rFonts w:cstheme="minorHAnsi"/>
          <w:sz w:val="24"/>
          <w:szCs w:val="24"/>
        </w:rPr>
        <w:t xml:space="preserve"> This is</w:t>
      </w:r>
      <w:r w:rsidR="00864C20">
        <w:rPr>
          <w:rFonts w:cstheme="minorHAnsi"/>
          <w:sz w:val="24"/>
          <w:szCs w:val="24"/>
        </w:rPr>
        <w:t>,</w:t>
      </w:r>
      <w:r w:rsidR="000130C6">
        <w:rPr>
          <w:rFonts w:cstheme="minorHAnsi"/>
          <w:sz w:val="24"/>
          <w:szCs w:val="24"/>
        </w:rPr>
        <w:t xml:space="preserve"> at least partly</w:t>
      </w:r>
      <w:r w:rsidR="00864C20">
        <w:rPr>
          <w:rFonts w:cstheme="minorHAnsi"/>
          <w:sz w:val="24"/>
          <w:szCs w:val="24"/>
        </w:rPr>
        <w:t>,</w:t>
      </w:r>
      <w:r w:rsidR="000130C6">
        <w:rPr>
          <w:rFonts w:cstheme="minorHAnsi"/>
          <w:sz w:val="24"/>
          <w:szCs w:val="24"/>
        </w:rPr>
        <w:t xml:space="preserve"> because the applicability of competition law hinges on the </w:t>
      </w:r>
      <w:r w:rsidR="000130C6">
        <w:rPr>
          <w:rFonts w:cstheme="minorHAnsi"/>
          <w:sz w:val="24"/>
          <w:szCs w:val="24"/>
        </w:rPr>
        <w:lastRenderedPageBreak/>
        <w:t>definition of an ‘undertaking</w:t>
      </w:r>
      <w:r w:rsidR="00E928F3">
        <w:rPr>
          <w:rFonts w:cstheme="minorHAnsi"/>
          <w:sz w:val="24"/>
          <w:szCs w:val="24"/>
        </w:rPr>
        <w:t xml:space="preserve">’ </w:t>
      </w:r>
      <w:r w:rsidR="002D3FB2">
        <w:rPr>
          <w:rFonts w:cstheme="minorHAnsi"/>
          <w:sz w:val="24"/>
          <w:szCs w:val="24"/>
        </w:rPr>
        <w:t>which is carrying out economic activity in a market</w:t>
      </w:r>
      <w:r w:rsidR="00E928F3">
        <w:rPr>
          <w:rFonts w:cstheme="minorHAnsi"/>
          <w:sz w:val="24"/>
          <w:szCs w:val="24"/>
        </w:rPr>
        <w:t xml:space="preserve"> </w:t>
      </w:r>
      <w:r w:rsidR="00E928F3">
        <w:rPr>
          <w:rFonts w:cstheme="minorHAnsi"/>
          <w:sz w:val="24"/>
          <w:szCs w:val="24"/>
        </w:rPr>
        <w:fldChar w:fldCharType="begin"/>
      </w:r>
      <w:r w:rsidR="00E928F3">
        <w:rPr>
          <w:rFonts w:cstheme="minorHAnsi"/>
          <w:sz w:val="24"/>
          <w:szCs w:val="24"/>
        </w:rPr>
        <w:instrText xml:space="preserve"> ADDIN EN.CITE &lt;EndNote&gt;&lt;Cite&gt;&lt;Author&gt;Office of Fair Trading&lt;/Author&gt;&lt;Year&gt;2011&lt;/Year&gt;&lt;RecNum&gt;363&lt;/RecNum&gt;&lt;DisplayText&gt;(Office of Fair Trading, 2011)&lt;/DisplayText&gt;&lt;record&gt;&lt;rec-number&gt;363&lt;/rec-number&gt;&lt;foreign-keys&gt;&lt;key app="EN" db-id="za50fsw09wzvx0er2t2p0d0txzrw9x59d9a5"&gt;363&lt;/key&gt;&lt;/foreign-keys&gt;&lt;ref-type name="Report"&gt;27&lt;/ref-type&gt;&lt;contributors&gt;&lt;authors&gt;&lt;author&gt;Office of Fair Trading,&lt;/author&gt;&lt;/authors&gt;&lt;/contributors&gt;&lt;titles&gt;&lt;title&gt;Public bodies and competition law - a guide to the application of the Competition Act 1998&lt;/title&gt;&lt;/titles&gt;&lt;dates&gt;&lt;year&gt;2011&lt;/year&gt;&lt;/dates&gt;&lt;pub-location&gt;London&lt;/pub-location&gt;&lt;urls&gt;&lt;/urls&gt;&lt;/record&gt;&lt;/Cite&gt;&lt;/EndNote&gt;</w:instrText>
      </w:r>
      <w:r w:rsidR="00E928F3">
        <w:rPr>
          <w:rFonts w:cstheme="minorHAnsi"/>
          <w:sz w:val="24"/>
          <w:szCs w:val="24"/>
        </w:rPr>
        <w:fldChar w:fldCharType="separate"/>
      </w:r>
      <w:r w:rsidR="00E928F3">
        <w:rPr>
          <w:rFonts w:cstheme="minorHAnsi"/>
          <w:noProof/>
          <w:sz w:val="24"/>
          <w:szCs w:val="24"/>
        </w:rPr>
        <w:t>(</w:t>
      </w:r>
      <w:hyperlink w:anchor="_ENREF_35" w:tooltip="Office of Fair Trading, 2011 #363" w:history="1">
        <w:r w:rsidR="00513FB0">
          <w:rPr>
            <w:rFonts w:cstheme="minorHAnsi"/>
            <w:noProof/>
            <w:sz w:val="24"/>
            <w:szCs w:val="24"/>
          </w:rPr>
          <w:t>Office of Fair Trading, 2011</w:t>
        </w:r>
      </w:hyperlink>
      <w:r w:rsidR="00E928F3">
        <w:rPr>
          <w:rFonts w:cstheme="minorHAnsi"/>
          <w:noProof/>
          <w:sz w:val="24"/>
          <w:szCs w:val="24"/>
        </w:rPr>
        <w:t>)</w:t>
      </w:r>
      <w:r w:rsidR="00E928F3">
        <w:rPr>
          <w:rFonts w:cstheme="minorHAnsi"/>
          <w:sz w:val="24"/>
          <w:szCs w:val="24"/>
        </w:rPr>
        <w:fldChar w:fldCharType="end"/>
      </w:r>
      <w:r w:rsidR="00E928F3">
        <w:rPr>
          <w:rFonts w:cstheme="minorHAnsi"/>
          <w:sz w:val="24"/>
          <w:szCs w:val="24"/>
        </w:rPr>
        <w:t xml:space="preserve">.  </w:t>
      </w:r>
      <w:r w:rsidR="001350EC">
        <w:rPr>
          <w:rFonts w:cstheme="minorHAnsi"/>
          <w:sz w:val="24"/>
          <w:szCs w:val="24"/>
        </w:rPr>
        <w:t>H</w:t>
      </w:r>
      <w:r w:rsidR="008D2971">
        <w:rPr>
          <w:rFonts w:cstheme="minorHAnsi"/>
          <w:sz w:val="24"/>
          <w:szCs w:val="24"/>
        </w:rPr>
        <w:t xml:space="preserve">ealth services </w:t>
      </w:r>
      <w:r w:rsidR="001350EC">
        <w:rPr>
          <w:rFonts w:cstheme="minorHAnsi"/>
          <w:sz w:val="24"/>
          <w:szCs w:val="24"/>
        </w:rPr>
        <w:t>may be</w:t>
      </w:r>
      <w:r w:rsidR="008D2971">
        <w:rPr>
          <w:rFonts w:cstheme="minorHAnsi"/>
          <w:sz w:val="24"/>
          <w:szCs w:val="24"/>
        </w:rPr>
        <w:t xml:space="preserve"> exempt from competition law, but this depends largely on definitions of solidarity and public service obligations. </w:t>
      </w:r>
      <w:r w:rsidR="002E591D">
        <w:rPr>
          <w:rFonts w:cstheme="minorHAnsi"/>
          <w:sz w:val="24"/>
          <w:szCs w:val="24"/>
        </w:rPr>
        <w:t>A</w:t>
      </w:r>
      <w:r w:rsidR="00864C20">
        <w:rPr>
          <w:rFonts w:cstheme="minorHAnsi"/>
          <w:sz w:val="24"/>
          <w:szCs w:val="24"/>
        </w:rPr>
        <w:t>s the market in the NHS has developed</w:t>
      </w:r>
      <w:r w:rsidR="002E591D">
        <w:rPr>
          <w:rFonts w:cstheme="minorHAnsi"/>
          <w:sz w:val="24"/>
          <w:szCs w:val="24"/>
        </w:rPr>
        <w:t xml:space="preserve">, the applicability of national and European competition law has been </w:t>
      </w:r>
      <w:r w:rsidR="001350EC">
        <w:rPr>
          <w:rFonts w:cstheme="minorHAnsi"/>
          <w:sz w:val="24"/>
          <w:szCs w:val="24"/>
        </w:rPr>
        <w:t xml:space="preserve">increasingly </w:t>
      </w:r>
      <w:r w:rsidR="002E591D">
        <w:rPr>
          <w:rFonts w:cstheme="minorHAnsi"/>
          <w:sz w:val="24"/>
          <w:szCs w:val="24"/>
        </w:rPr>
        <w:t>called into question</w:t>
      </w:r>
      <w:r w:rsidR="00864C20">
        <w:rPr>
          <w:rFonts w:cstheme="minorHAnsi"/>
          <w:sz w:val="24"/>
          <w:szCs w:val="24"/>
        </w:rPr>
        <w:t xml:space="preserve">. </w:t>
      </w:r>
      <w:r w:rsidR="00D42197">
        <w:rPr>
          <w:rFonts w:cstheme="minorHAnsi"/>
          <w:sz w:val="24"/>
          <w:szCs w:val="24"/>
        </w:rPr>
        <w:t>However, i</w:t>
      </w:r>
      <w:r w:rsidR="009008BB">
        <w:rPr>
          <w:rFonts w:cstheme="minorHAnsi"/>
          <w:sz w:val="24"/>
          <w:szCs w:val="24"/>
        </w:rPr>
        <w:t>mportantly, i</w:t>
      </w:r>
      <w:r w:rsidR="00E62090" w:rsidRPr="00283045">
        <w:rPr>
          <w:rFonts w:cstheme="minorHAnsi"/>
          <w:sz w:val="24"/>
          <w:szCs w:val="24"/>
        </w:rPr>
        <w:t xml:space="preserve">n practice, until the changes of </w:t>
      </w:r>
      <w:r w:rsidR="00606A06">
        <w:rPr>
          <w:rFonts w:cstheme="minorHAnsi"/>
          <w:sz w:val="24"/>
          <w:szCs w:val="24"/>
        </w:rPr>
        <w:t>HSCA 2012</w:t>
      </w:r>
      <w:r w:rsidR="00E62090" w:rsidRPr="00283045">
        <w:rPr>
          <w:rFonts w:cstheme="minorHAnsi"/>
          <w:sz w:val="24"/>
          <w:szCs w:val="24"/>
        </w:rPr>
        <w:t xml:space="preserve">, issues of competitive behaviour were dealt with </w:t>
      </w:r>
      <w:r w:rsidR="00010AFE">
        <w:rPr>
          <w:rFonts w:cstheme="minorHAnsi"/>
          <w:sz w:val="24"/>
          <w:szCs w:val="24"/>
        </w:rPr>
        <w:t xml:space="preserve">internally </w:t>
      </w:r>
      <w:r w:rsidR="00E62090" w:rsidRPr="00283045">
        <w:rPr>
          <w:rFonts w:cstheme="minorHAnsi"/>
          <w:sz w:val="24"/>
          <w:szCs w:val="24"/>
        </w:rPr>
        <w:t>by means of Department of Health rules and guidance</w:t>
      </w:r>
      <w:r w:rsidR="005747E6">
        <w:rPr>
          <w:rFonts w:cstheme="minorHAnsi"/>
          <w:sz w:val="24"/>
          <w:szCs w:val="24"/>
        </w:rPr>
        <w:t>.</w:t>
      </w:r>
      <w:r w:rsidR="00FF5ACC">
        <w:rPr>
          <w:rFonts w:cstheme="minorHAnsi"/>
          <w:sz w:val="24"/>
          <w:szCs w:val="24"/>
        </w:rPr>
        <w:t xml:space="preserve"> </w:t>
      </w:r>
    </w:p>
    <w:p w14:paraId="0DFC18C3" w14:textId="321320A0" w:rsidR="007C0C8F" w:rsidRDefault="00BA61B3" w:rsidP="009E41C2">
      <w:pPr>
        <w:spacing w:line="480" w:lineRule="auto"/>
        <w:jc w:val="both"/>
        <w:rPr>
          <w:rFonts w:cstheme="minorHAnsi"/>
          <w:sz w:val="24"/>
          <w:szCs w:val="24"/>
        </w:rPr>
      </w:pPr>
      <w:r>
        <w:rPr>
          <w:rFonts w:cstheme="minorHAnsi"/>
          <w:sz w:val="24"/>
          <w:szCs w:val="24"/>
        </w:rPr>
        <w:t>HSCA 2012, which came into force in April 2013, made a direct correlation between c</w:t>
      </w:r>
      <w:r w:rsidRPr="00283045">
        <w:rPr>
          <w:rFonts w:cstheme="minorHAnsi"/>
          <w:sz w:val="24"/>
          <w:szCs w:val="24"/>
        </w:rPr>
        <w:t xml:space="preserve">ompetitive behaviour in the NHS </w:t>
      </w:r>
      <w:r>
        <w:rPr>
          <w:rFonts w:cstheme="minorHAnsi"/>
          <w:sz w:val="24"/>
          <w:szCs w:val="24"/>
        </w:rPr>
        <w:t xml:space="preserve">and competition law </w:t>
      </w:r>
      <w:r>
        <w:rPr>
          <w:rFonts w:cstheme="minorHAnsi"/>
          <w:sz w:val="24"/>
          <w:szCs w:val="24"/>
        </w:rPr>
        <w:fldChar w:fldCharType="begin"/>
      </w:r>
      <w:r>
        <w:rPr>
          <w:rFonts w:cstheme="minorHAnsi"/>
          <w:sz w:val="24"/>
          <w:szCs w:val="24"/>
        </w:rPr>
        <w:instrText xml:space="preserve"> ADDIN EN.CITE &lt;EndNote&gt;&lt;Cite&gt;&lt;Author&gt;Den Exter&lt;/Author&gt;&lt;Year&gt;2014&lt;/Year&gt;&lt;RecNum&gt;601&lt;/RecNum&gt;&lt;DisplayText&gt;(Den Exter and Guy, 2014)&lt;/DisplayText&gt;&lt;record&gt;&lt;rec-number&gt;601&lt;/rec-number&gt;&lt;foreign-keys&gt;&lt;key app="EN" db-id="za50fsw09wzvx0er2t2p0d0txzrw9x59d9a5"&gt;601&lt;/key&gt;&lt;/foreign-keys&gt;&lt;ref-type name="Journal Article"&gt;17&lt;/ref-type&gt;&lt;contributors&gt;&lt;authors&gt;&lt;author&gt;Den Exter, A.P.&lt;/author&gt;&lt;author&gt;Guy,M.&lt;/author&gt;&lt;/authors&gt;&lt;/contributors&gt;&lt;titles&gt;&lt;title&gt;Market competition in Health Care Markets in the Netherlands: some lessons for England?&lt;/title&gt;&lt;secondary-title&gt;Medical Law Review&lt;/secondary-title&gt;&lt;/titles&gt;&lt;periodical&gt;&lt;full-title&gt;Medical Law Review&lt;/full-title&gt;&lt;/periodical&gt;&lt;pages&gt;255-273&lt;/pages&gt;&lt;volume&gt;22&lt;/volume&gt;&lt;number&gt;2&lt;/number&gt;&lt;dates&gt;&lt;year&gt;2014&lt;/year&gt;&lt;/dates&gt;&lt;urls&gt;&lt;/urls&gt;&lt;/record&gt;&lt;/Cite&gt;&lt;/EndNote&gt;</w:instrText>
      </w:r>
      <w:r>
        <w:rPr>
          <w:rFonts w:cstheme="minorHAnsi"/>
          <w:sz w:val="24"/>
          <w:szCs w:val="24"/>
        </w:rPr>
        <w:fldChar w:fldCharType="separate"/>
      </w:r>
      <w:r>
        <w:rPr>
          <w:rFonts w:cstheme="minorHAnsi"/>
          <w:noProof/>
          <w:sz w:val="24"/>
          <w:szCs w:val="24"/>
        </w:rPr>
        <w:t>(</w:t>
      </w:r>
      <w:hyperlink w:anchor="_ENREF_14" w:tooltip="Den Exter, 2014 #601" w:history="1">
        <w:r w:rsidR="00513FB0">
          <w:rPr>
            <w:rFonts w:cstheme="minorHAnsi"/>
            <w:noProof/>
            <w:sz w:val="24"/>
            <w:szCs w:val="24"/>
          </w:rPr>
          <w:t>Den Exter and Guy, 2014</w:t>
        </w:r>
      </w:hyperlink>
      <w:r>
        <w:rPr>
          <w:rFonts w:cstheme="minorHAnsi"/>
          <w:noProof/>
          <w:sz w:val="24"/>
          <w:szCs w:val="24"/>
        </w:rPr>
        <w:t>)</w:t>
      </w:r>
      <w:r>
        <w:rPr>
          <w:rFonts w:cstheme="minorHAnsi"/>
          <w:sz w:val="24"/>
          <w:szCs w:val="24"/>
        </w:rPr>
        <w:fldChar w:fldCharType="end"/>
      </w:r>
      <w:r w:rsidR="000A12B3">
        <w:rPr>
          <w:rFonts w:cstheme="minorHAnsi"/>
          <w:sz w:val="24"/>
          <w:szCs w:val="24"/>
        </w:rPr>
        <w:t>, and has been seen as clarifying</w:t>
      </w:r>
      <w:r w:rsidR="001A2F4A">
        <w:rPr>
          <w:rFonts w:cstheme="minorHAnsi"/>
          <w:sz w:val="24"/>
          <w:szCs w:val="24"/>
        </w:rPr>
        <w:t xml:space="preserve"> the </w:t>
      </w:r>
      <w:r w:rsidR="00365BDE">
        <w:rPr>
          <w:rFonts w:cstheme="minorHAnsi"/>
          <w:sz w:val="24"/>
          <w:szCs w:val="24"/>
        </w:rPr>
        <w:t xml:space="preserve">previously unclear </w:t>
      </w:r>
      <w:r w:rsidR="001A2F4A">
        <w:rPr>
          <w:rFonts w:cstheme="minorHAnsi"/>
          <w:sz w:val="24"/>
          <w:szCs w:val="24"/>
        </w:rPr>
        <w:t xml:space="preserve">legal position, particularly with reference to merger control, rather than establishing a new system </w:t>
      </w:r>
      <w:r w:rsidR="001A2F4A">
        <w:rPr>
          <w:rFonts w:cstheme="minorHAnsi"/>
          <w:sz w:val="24"/>
          <w:szCs w:val="24"/>
        </w:rPr>
        <w:fldChar w:fldCharType="begin"/>
      </w:r>
      <w:r w:rsidR="001A2F4A">
        <w:rPr>
          <w:rFonts w:cstheme="minorHAnsi"/>
          <w:sz w:val="24"/>
          <w:szCs w:val="24"/>
        </w:rPr>
        <w:instrText xml:space="preserve"> ADDIN EN.CITE &lt;EndNote&gt;&lt;Cite&gt;&lt;Author&gt;Spencelayh&lt;/Author&gt;&lt;Year&gt;2014&lt;/Year&gt;&lt;RecNum&gt;657&lt;/RecNum&gt;&lt;DisplayText&gt;(Spencelayh and Dixon, 2014)&lt;/DisplayText&gt;&lt;record&gt;&lt;rec-number&gt;657&lt;/rec-number&gt;&lt;foreign-keys&gt;&lt;key app="EN" db-id="za50fsw09wzvx0er2t2p0d0txzrw9x59d9a5"&gt;657&lt;/key&gt;&lt;/foreign-keys&gt;&lt;ref-type name="Report"&gt;27&lt;/ref-type&gt;&lt;contributors&gt;&lt;authors&gt;&lt;author&gt;Spencelayh, E.&lt;/author&gt;&lt;author&gt;Dixon, J.&lt;/author&gt;&lt;/authors&gt;&lt;/contributors&gt;&lt;titles&gt;&lt;title&gt;Mergers in the NHS: lessons from the decision to block the propsed merger of hospitals in Bournemouth and Poole&lt;/title&gt;&lt;/titles&gt;&lt;dates&gt;&lt;year&gt;2014&lt;/year&gt;&lt;/dates&gt;&lt;pub-location&gt;London&lt;/pub-location&gt;&lt;publisher&gt;The Health Foundation&lt;/publisher&gt;&lt;urls&gt;&lt;/urls&gt;&lt;/record&gt;&lt;/Cite&gt;&lt;/EndNote&gt;</w:instrText>
      </w:r>
      <w:r w:rsidR="001A2F4A">
        <w:rPr>
          <w:rFonts w:cstheme="minorHAnsi"/>
          <w:sz w:val="24"/>
          <w:szCs w:val="24"/>
        </w:rPr>
        <w:fldChar w:fldCharType="separate"/>
      </w:r>
      <w:r w:rsidR="001A2F4A">
        <w:rPr>
          <w:rFonts w:cstheme="minorHAnsi"/>
          <w:noProof/>
          <w:sz w:val="24"/>
          <w:szCs w:val="24"/>
        </w:rPr>
        <w:t>(</w:t>
      </w:r>
      <w:hyperlink w:anchor="_ENREF_40" w:tooltip="Spencelayh, 2014 #657" w:history="1">
        <w:r w:rsidR="00513FB0">
          <w:rPr>
            <w:rFonts w:cstheme="minorHAnsi"/>
            <w:noProof/>
            <w:sz w:val="24"/>
            <w:szCs w:val="24"/>
          </w:rPr>
          <w:t>Spencelayh and Dixon, 2014</w:t>
        </w:r>
      </w:hyperlink>
      <w:r w:rsidR="001A2F4A">
        <w:rPr>
          <w:rFonts w:cstheme="minorHAnsi"/>
          <w:noProof/>
          <w:sz w:val="24"/>
          <w:szCs w:val="24"/>
        </w:rPr>
        <w:t>)</w:t>
      </w:r>
      <w:r w:rsidR="001A2F4A">
        <w:rPr>
          <w:rFonts w:cstheme="minorHAnsi"/>
          <w:sz w:val="24"/>
          <w:szCs w:val="24"/>
        </w:rPr>
        <w:fldChar w:fldCharType="end"/>
      </w:r>
      <w:r>
        <w:rPr>
          <w:rFonts w:cstheme="minorHAnsi"/>
          <w:sz w:val="24"/>
          <w:szCs w:val="24"/>
        </w:rPr>
        <w:t xml:space="preserve">. The ‘Principles and Rules’ were subsumed and expressed as ‘conditions’ in the newly established ‘provider licenses’ and through secondary legislation (the Procurement, Patient Choice and Competition Regulations No. 2 (2013)). </w:t>
      </w:r>
      <w:r w:rsidR="000434E9">
        <w:t>Under the HSCA 2012, Monitor (as the new economic regulator for the whole of the NHS, not only F</w:t>
      </w:r>
      <w:r>
        <w:t xml:space="preserve">oundation </w:t>
      </w:r>
      <w:r w:rsidR="000434E9">
        <w:t>T</w:t>
      </w:r>
      <w:r>
        <w:t>rust</w:t>
      </w:r>
      <w:r w:rsidR="000434E9">
        <w:t>s) took over some of the functions of the former C</w:t>
      </w:r>
      <w:r w:rsidR="00A24FB7">
        <w:t xml:space="preserve">ooperation and </w:t>
      </w:r>
      <w:r w:rsidR="000434E9">
        <w:t>C</w:t>
      </w:r>
      <w:r w:rsidR="00A24FB7">
        <w:t xml:space="preserve">ompetition </w:t>
      </w:r>
      <w:r w:rsidR="000434E9">
        <w:t>P</w:t>
      </w:r>
      <w:r w:rsidR="00A24FB7">
        <w:t>anel</w:t>
      </w:r>
      <w:r w:rsidR="000434E9">
        <w:t xml:space="preserve"> and, along with the national competition authorities (</w:t>
      </w:r>
      <w:r w:rsidR="00057389">
        <w:t xml:space="preserve">i.e. the </w:t>
      </w:r>
      <w:r w:rsidR="000434E9">
        <w:t>Competition</w:t>
      </w:r>
      <w:r>
        <w:t xml:space="preserve"> and Markets Authority, </w:t>
      </w:r>
      <w:r w:rsidR="000434E9">
        <w:t>and prior to that, T</w:t>
      </w:r>
      <w:r>
        <w:t>he Office of Fair Trading</w:t>
      </w:r>
      <w:r w:rsidR="000434E9">
        <w:t>, and</w:t>
      </w:r>
      <w:r>
        <w:t xml:space="preserve"> the Competition Commission)</w:t>
      </w:r>
      <w:r w:rsidR="000434E9">
        <w:t xml:space="preserve">, has powers to enforce competition law to prevent anti-competitive behaviour. </w:t>
      </w:r>
      <w:r w:rsidR="001A2F4A">
        <w:rPr>
          <w:rFonts w:cstheme="minorHAnsi"/>
          <w:sz w:val="24"/>
          <w:szCs w:val="24"/>
        </w:rPr>
        <w:t>Whereas the C</w:t>
      </w:r>
      <w:r w:rsidR="00A24FB7">
        <w:rPr>
          <w:rFonts w:cstheme="minorHAnsi"/>
          <w:sz w:val="24"/>
          <w:szCs w:val="24"/>
        </w:rPr>
        <w:t xml:space="preserve">ooperation and </w:t>
      </w:r>
      <w:r w:rsidR="001A2F4A">
        <w:rPr>
          <w:rFonts w:cstheme="minorHAnsi"/>
          <w:sz w:val="24"/>
          <w:szCs w:val="24"/>
        </w:rPr>
        <w:t>C</w:t>
      </w:r>
      <w:r w:rsidR="00A24FB7">
        <w:rPr>
          <w:rFonts w:cstheme="minorHAnsi"/>
          <w:sz w:val="24"/>
          <w:szCs w:val="24"/>
        </w:rPr>
        <w:t xml:space="preserve">ompetition </w:t>
      </w:r>
      <w:r w:rsidR="001A2F4A">
        <w:rPr>
          <w:rFonts w:cstheme="minorHAnsi"/>
          <w:sz w:val="24"/>
          <w:szCs w:val="24"/>
        </w:rPr>
        <w:t>P</w:t>
      </w:r>
      <w:r w:rsidR="00A24FB7">
        <w:rPr>
          <w:rFonts w:cstheme="minorHAnsi"/>
          <w:sz w:val="24"/>
          <w:szCs w:val="24"/>
        </w:rPr>
        <w:t>anel</w:t>
      </w:r>
      <w:r w:rsidR="001A2F4A">
        <w:rPr>
          <w:rFonts w:cstheme="minorHAnsi"/>
          <w:sz w:val="24"/>
          <w:szCs w:val="24"/>
        </w:rPr>
        <w:t xml:space="preserve"> </w:t>
      </w:r>
      <w:r w:rsidR="00057389">
        <w:rPr>
          <w:rFonts w:cstheme="minorHAnsi"/>
          <w:sz w:val="24"/>
          <w:szCs w:val="24"/>
        </w:rPr>
        <w:t>was</w:t>
      </w:r>
      <w:r w:rsidR="001A2F4A">
        <w:rPr>
          <w:rFonts w:cstheme="minorHAnsi"/>
          <w:sz w:val="24"/>
          <w:szCs w:val="24"/>
        </w:rPr>
        <w:t xml:space="preserve"> a non statutory body, Monitor was given </w:t>
      </w:r>
      <w:r w:rsidR="001A2F4A" w:rsidRPr="007D0122">
        <w:rPr>
          <w:rFonts w:cstheme="minorHAnsi"/>
          <w:sz w:val="24"/>
          <w:szCs w:val="24"/>
        </w:rPr>
        <w:t xml:space="preserve">a statutory responsibility to </w:t>
      </w:r>
      <w:r w:rsidR="001A2F4A">
        <w:rPr>
          <w:rFonts w:cstheme="minorHAnsi"/>
          <w:sz w:val="24"/>
          <w:szCs w:val="24"/>
        </w:rPr>
        <w:t xml:space="preserve">prevent anti-competitive behaviour which was against the interests of service users (HSCA 2012 s62 (3)), alongside duties to enable services to be integrated where this would improve quality, reduce inequality of access and reduce inequality of outcome, and not to cause a variation in the provision </w:t>
      </w:r>
      <w:r w:rsidR="001A2F4A">
        <w:rPr>
          <w:rFonts w:cstheme="minorHAnsi"/>
          <w:sz w:val="24"/>
          <w:szCs w:val="24"/>
        </w:rPr>
        <w:lastRenderedPageBreak/>
        <w:t xml:space="preserve">of services based on whether providers are public or private. Its responsibilities were clearly aligned with national competition authorities. </w:t>
      </w:r>
      <w:r w:rsidR="000D5C37" w:rsidRPr="000D5C37">
        <w:t>Monitor has concurrent responsibilities with the C</w:t>
      </w:r>
      <w:r w:rsidR="00057389">
        <w:t>ompetition and Markets Authority</w:t>
      </w:r>
      <w:r w:rsidR="000D5C37" w:rsidRPr="000D5C37">
        <w:t xml:space="preserve"> in relation to anti-competitive agreements and abuse of dominant position (HSCA s 72).</w:t>
      </w:r>
      <w:r w:rsidR="001A2F4A">
        <w:t xml:space="preserve"> HSCA 2012 clarified that m</w:t>
      </w:r>
      <w:r w:rsidR="000D5C37" w:rsidRPr="000D5C37">
        <w:t>ergers involving one or more FTs are subject to the Enterprise Act 2002 (HSCA s 79) and should be reviewed by the C</w:t>
      </w:r>
      <w:r w:rsidR="00915BDF">
        <w:t xml:space="preserve">ompetition and </w:t>
      </w:r>
      <w:r w:rsidR="000D5C37" w:rsidRPr="000D5C37">
        <w:t>M</w:t>
      </w:r>
      <w:r w:rsidR="00915BDF">
        <w:t xml:space="preserve">arkets </w:t>
      </w:r>
      <w:r w:rsidR="000D5C37" w:rsidRPr="000D5C37">
        <w:t>A</w:t>
      </w:r>
      <w:r w:rsidR="00915BDF">
        <w:t>uthority</w:t>
      </w:r>
      <w:r w:rsidR="000D5C37" w:rsidRPr="000D5C37">
        <w:t xml:space="preserve"> (formerly the O</w:t>
      </w:r>
      <w:r w:rsidR="00915BDF">
        <w:t xml:space="preserve">ffice of </w:t>
      </w:r>
      <w:r w:rsidR="000D5C37" w:rsidRPr="000D5C37">
        <w:t>F</w:t>
      </w:r>
      <w:r w:rsidR="00915BDF">
        <w:t xml:space="preserve">air </w:t>
      </w:r>
      <w:r w:rsidR="000D5C37" w:rsidRPr="000D5C37">
        <w:t>T</w:t>
      </w:r>
      <w:r w:rsidR="00915BDF">
        <w:t>rading</w:t>
      </w:r>
      <w:r w:rsidR="000D5C37" w:rsidRPr="000D5C37">
        <w:t>) with Monitor taking an advisory role in relation to the benefits of the merger for patients.</w:t>
      </w:r>
      <w:r w:rsidR="001A2F4A" w:rsidRPr="001A2F4A">
        <w:rPr>
          <w:rFonts w:cstheme="minorHAnsi"/>
          <w:sz w:val="24"/>
          <w:szCs w:val="24"/>
        </w:rPr>
        <w:t xml:space="preserve"> </w:t>
      </w:r>
      <w:r w:rsidR="001A2F4A">
        <w:rPr>
          <w:rFonts w:cstheme="minorHAnsi"/>
          <w:sz w:val="24"/>
          <w:szCs w:val="24"/>
        </w:rPr>
        <w:t xml:space="preserve">Furthermore, the national competition authorities were also enabled to review all transactions involving a ‘change of control’ if turnover exceeds £70 million, such as joint ventures and acquisitions. </w:t>
      </w:r>
      <w:r w:rsidR="000D5C37" w:rsidRPr="000D5C37">
        <w:t xml:space="preserve"> Monitor on the other hand has sole responsibility for the examination of mergers between NHS Trusts. </w:t>
      </w:r>
    </w:p>
    <w:p w14:paraId="5CA57133" w14:textId="0DB97B93" w:rsidR="005F43E6" w:rsidRDefault="00F94D2E" w:rsidP="005F43E6">
      <w:pPr>
        <w:spacing w:line="480" w:lineRule="auto"/>
        <w:jc w:val="both"/>
        <w:rPr>
          <w:rFonts w:cstheme="minorHAnsi"/>
          <w:sz w:val="24"/>
          <w:szCs w:val="24"/>
        </w:rPr>
      </w:pPr>
      <w:r>
        <w:rPr>
          <w:rFonts w:cstheme="minorHAnsi"/>
          <w:sz w:val="24"/>
          <w:szCs w:val="24"/>
        </w:rPr>
        <w:t xml:space="preserve"> </w:t>
      </w:r>
      <w:r w:rsidR="005F43E6" w:rsidRPr="007D0122">
        <w:rPr>
          <w:rFonts w:cstheme="minorHAnsi"/>
          <w:sz w:val="24"/>
          <w:szCs w:val="24"/>
        </w:rPr>
        <w:t xml:space="preserve">A key mechanism in Monitor’s regulatory responsibility </w:t>
      </w:r>
      <w:r w:rsidR="005F43E6">
        <w:rPr>
          <w:rFonts w:cstheme="minorHAnsi"/>
          <w:sz w:val="24"/>
          <w:szCs w:val="24"/>
        </w:rPr>
        <w:t>under the</w:t>
      </w:r>
      <w:r w:rsidR="005F43E6" w:rsidRPr="007D0122">
        <w:rPr>
          <w:rFonts w:cstheme="minorHAnsi"/>
          <w:sz w:val="24"/>
          <w:szCs w:val="24"/>
        </w:rPr>
        <w:t xml:space="preserve"> </w:t>
      </w:r>
      <w:r w:rsidR="005F43E6">
        <w:rPr>
          <w:rFonts w:cstheme="minorHAnsi"/>
          <w:sz w:val="24"/>
          <w:szCs w:val="24"/>
        </w:rPr>
        <w:t>HSCA 2012</w:t>
      </w:r>
      <w:r w:rsidR="005F43E6" w:rsidRPr="007D0122">
        <w:rPr>
          <w:rFonts w:cstheme="minorHAnsi"/>
          <w:sz w:val="24"/>
          <w:szCs w:val="24"/>
        </w:rPr>
        <w:t xml:space="preserve"> </w:t>
      </w:r>
      <w:r w:rsidR="005F43E6">
        <w:rPr>
          <w:rFonts w:cstheme="minorHAnsi"/>
          <w:sz w:val="24"/>
          <w:szCs w:val="24"/>
        </w:rPr>
        <w:t>was</w:t>
      </w:r>
      <w:r w:rsidR="005F43E6" w:rsidRPr="007D0122">
        <w:rPr>
          <w:rFonts w:cstheme="minorHAnsi"/>
          <w:sz w:val="24"/>
          <w:szCs w:val="24"/>
        </w:rPr>
        <w:t xml:space="preserve"> the provider license</w:t>
      </w:r>
      <w:r w:rsidR="005F43E6">
        <w:rPr>
          <w:rFonts w:cstheme="minorHAnsi"/>
          <w:sz w:val="24"/>
          <w:szCs w:val="24"/>
        </w:rPr>
        <w:t xml:space="preserve">, which Monitor is responsible for issuing to all providers of NHS funded services and which all providers require in order to provide NHS services (HSCA 2012 ss81-110). </w:t>
      </w:r>
      <w:r w:rsidR="005F43E6" w:rsidRPr="00283045">
        <w:rPr>
          <w:rFonts w:cstheme="minorHAnsi"/>
          <w:sz w:val="24"/>
          <w:szCs w:val="24"/>
        </w:rPr>
        <w:t xml:space="preserve">Conditions in the license </w:t>
      </w:r>
      <w:r w:rsidR="005F43E6">
        <w:rPr>
          <w:rFonts w:cstheme="minorHAnsi"/>
          <w:sz w:val="24"/>
          <w:szCs w:val="24"/>
        </w:rPr>
        <w:t xml:space="preserve">relating to anti-competitive behaviour were intended to mirror the requirements of the Competition Act 1998 </w:t>
      </w:r>
      <w:r w:rsidR="005F43E6">
        <w:rPr>
          <w:rFonts w:cstheme="minorHAnsi"/>
          <w:sz w:val="24"/>
          <w:szCs w:val="24"/>
        </w:rPr>
        <w:fldChar w:fldCharType="begin"/>
      </w:r>
      <w:r w:rsidR="005F43E6">
        <w:rPr>
          <w:rFonts w:cstheme="minorHAnsi"/>
          <w:sz w:val="24"/>
          <w:szCs w:val="24"/>
        </w:rPr>
        <w:instrText xml:space="preserve"> ADDIN EN.CITE &lt;EndNote&gt;&lt;Cite&gt;&lt;Author&gt;Monitor&lt;/Author&gt;&lt;Year&gt;2013&lt;/Year&gt;&lt;RecNum&gt;380&lt;/RecNum&gt;&lt;DisplayText&gt;(Monitor, 2013)&lt;/DisplayText&gt;&lt;record&gt;&lt;rec-number&gt;380&lt;/rec-number&gt;&lt;foreign-keys&gt;&lt;key app="EN" db-id="za50fsw09wzvx0er2t2p0d0txzrw9x59d9a5"&gt;380&lt;/key&gt;&lt;/foreign-keys&gt;&lt;ref-type name="Report"&gt;27&lt;/ref-type&gt;&lt;contributors&gt;&lt;authors&gt;&lt;author&gt;Monitor&lt;/author&gt;&lt;/authors&gt;&lt;/contributors&gt;&lt;titles&gt;&lt;title&gt;The New NHS Provider Licence&lt;/title&gt;&lt;/titles&gt;&lt;dates&gt;&lt;year&gt;2013&lt;/year&gt;&lt;/dates&gt;&lt;pub-location&gt;London&lt;/pub-location&gt;&lt;urls&gt;&lt;/urls&gt;&lt;/record&gt;&lt;/Cite&gt;&lt;/EndNote&gt;</w:instrText>
      </w:r>
      <w:r w:rsidR="005F43E6">
        <w:rPr>
          <w:rFonts w:cstheme="minorHAnsi"/>
          <w:sz w:val="24"/>
          <w:szCs w:val="24"/>
        </w:rPr>
        <w:fldChar w:fldCharType="separate"/>
      </w:r>
      <w:r w:rsidR="005F43E6">
        <w:rPr>
          <w:rFonts w:cstheme="minorHAnsi"/>
          <w:noProof/>
          <w:sz w:val="24"/>
          <w:szCs w:val="24"/>
        </w:rPr>
        <w:t>(</w:t>
      </w:r>
      <w:hyperlink w:anchor="_ENREF_29" w:tooltip="Monitor, 2013 #380" w:history="1">
        <w:r w:rsidR="00513FB0">
          <w:rPr>
            <w:rFonts w:cstheme="minorHAnsi"/>
            <w:noProof/>
            <w:sz w:val="24"/>
            <w:szCs w:val="24"/>
          </w:rPr>
          <w:t>Monitor, 2013</w:t>
        </w:r>
      </w:hyperlink>
      <w:r w:rsidR="005F43E6">
        <w:rPr>
          <w:rFonts w:cstheme="minorHAnsi"/>
          <w:noProof/>
          <w:sz w:val="24"/>
          <w:szCs w:val="24"/>
        </w:rPr>
        <w:t>)</w:t>
      </w:r>
      <w:r w:rsidR="005F43E6">
        <w:rPr>
          <w:rFonts w:cstheme="minorHAnsi"/>
          <w:sz w:val="24"/>
          <w:szCs w:val="24"/>
        </w:rPr>
        <w:fldChar w:fldCharType="end"/>
      </w:r>
      <w:r w:rsidR="005F43E6">
        <w:rPr>
          <w:rFonts w:cstheme="minorHAnsi"/>
          <w:sz w:val="24"/>
          <w:szCs w:val="24"/>
        </w:rPr>
        <w:t xml:space="preserve">. </w:t>
      </w:r>
    </w:p>
    <w:p w14:paraId="0D3E2712" w14:textId="7761DF8D" w:rsidR="00316774" w:rsidRDefault="000A12B3" w:rsidP="00316774">
      <w:pPr>
        <w:spacing w:line="480" w:lineRule="auto"/>
        <w:jc w:val="both"/>
        <w:rPr>
          <w:rFonts w:cstheme="minorHAnsi"/>
          <w:sz w:val="24"/>
          <w:szCs w:val="24"/>
        </w:rPr>
      </w:pPr>
      <w:r>
        <w:rPr>
          <w:rFonts w:cstheme="minorHAnsi"/>
          <w:sz w:val="24"/>
          <w:szCs w:val="24"/>
        </w:rPr>
        <w:t>Whilst HSCA 2012 made an</w:t>
      </w:r>
      <w:r w:rsidR="00DF3181" w:rsidRPr="00B53BF9">
        <w:rPr>
          <w:rFonts w:cstheme="minorHAnsi"/>
          <w:sz w:val="24"/>
          <w:szCs w:val="24"/>
        </w:rPr>
        <w:t xml:space="preserve"> explicit connection</w:t>
      </w:r>
      <w:r w:rsidR="00535289" w:rsidRPr="00B53BF9">
        <w:rPr>
          <w:rFonts w:cstheme="minorHAnsi"/>
          <w:sz w:val="24"/>
          <w:szCs w:val="24"/>
        </w:rPr>
        <w:t xml:space="preserve"> between the regulation of competition </w:t>
      </w:r>
      <w:r w:rsidR="000B6E7A" w:rsidRPr="00B53BF9">
        <w:rPr>
          <w:rFonts w:cstheme="minorHAnsi"/>
          <w:sz w:val="24"/>
          <w:szCs w:val="24"/>
        </w:rPr>
        <w:t>with</w:t>
      </w:r>
      <w:r w:rsidR="00535289" w:rsidRPr="00B53BF9">
        <w:rPr>
          <w:rFonts w:cstheme="minorHAnsi"/>
          <w:sz w:val="24"/>
          <w:szCs w:val="24"/>
        </w:rPr>
        <w:t>in the NHS and competition law</w:t>
      </w:r>
      <w:r>
        <w:rPr>
          <w:rFonts w:cstheme="minorHAnsi"/>
          <w:sz w:val="24"/>
          <w:szCs w:val="24"/>
        </w:rPr>
        <w:t>,</w:t>
      </w:r>
      <w:r w:rsidR="00535289">
        <w:rPr>
          <w:rFonts w:cstheme="minorHAnsi"/>
          <w:sz w:val="24"/>
          <w:szCs w:val="24"/>
        </w:rPr>
        <w:t xml:space="preserve"> </w:t>
      </w:r>
      <w:r>
        <w:rPr>
          <w:rFonts w:cstheme="minorHAnsi"/>
          <w:sz w:val="24"/>
          <w:szCs w:val="24"/>
        </w:rPr>
        <w:t>i</w:t>
      </w:r>
      <w:r w:rsidR="00A64FDF">
        <w:rPr>
          <w:rFonts w:cstheme="minorHAnsi"/>
          <w:sz w:val="24"/>
          <w:szCs w:val="24"/>
        </w:rPr>
        <w:t>nterestingly, the</w:t>
      </w:r>
      <w:r>
        <w:rPr>
          <w:rFonts w:cstheme="minorHAnsi"/>
          <w:sz w:val="24"/>
          <w:szCs w:val="24"/>
        </w:rPr>
        <w:t xml:space="preserve"> preceding</w:t>
      </w:r>
      <w:r w:rsidR="00A64FDF">
        <w:rPr>
          <w:rFonts w:cstheme="minorHAnsi"/>
          <w:sz w:val="24"/>
          <w:szCs w:val="24"/>
        </w:rPr>
        <w:t xml:space="preserve"> sector specific regulation through the enforcement of the </w:t>
      </w:r>
      <w:r w:rsidR="00DB08E0">
        <w:rPr>
          <w:rFonts w:cstheme="minorHAnsi"/>
          <w:sz w:val="24"/>
          <w:szCs w:val="24"/>
        </w:rPr>
        <w:t>‘</w:t>
      </w:r>
      <w:r w:rsidR="00A64FDF">
        <w:rPr>
          <w:rFonts w:cstheme="minorHAnsi"/>
          <w:sz w:val="24"/>
          <w:szCs w:val="24"/>
        </w:rPr>
        <w:t>Principles and Rules</w:t>
      </w:r>
      <w:r w:rsidR="00DB08E0">
        <w:rPr>
          <w:rFonts w:cstheme="minorHAnsi"/>
          <w:sz w:val="24"/>
          <w:szCs w:val="24"/>
        </w:rPr>
        <w:t>’</w:t>
      </w:r>
      <w:r w:rsidR="00A64FDF">
        <w:rPr>
          <w:rFonts w:cstheme="minorHAnsi"/>
          <w:sz w:val="24"/>
          <w:szCs w:val="24"/>
        </w:rPr>
        <w:t xml:space="preserve"> sought to mirror the methods of evaluation used by the national competition authorities wherever </w:t>
      </w:r>
      <w:r w:rsidR="002A26C6">
        <w:rPr>
          <w:rFonts w:cstheme="minorHAnsi"/>
          <w:sz w:val="24"/>
          <w:szCs w:val="24"/>
        </w:rPr>
        <w:t>possible</w:t>
      </w:r>
      <w:r w:rsidR="00A64FDF">
        <w:rPr>
          <w:rFonts w:cstheme="minorHAnsi"/>
          <w:sz w:val="24"/>
          <w:szCs w:val="24"/>
        </w:rPr>
        <w:t>. A recurring concept used by both the sector specific regulator and the national competition authorities in relation to the evaluation of mergers is that of ‘s</w:t>
      </w:r>
      <w:r w:rsidR="00316774">
        <w:rPr>
          <w:rFonts w:cstheme="minorHAnsi"/>
          <w:sz w:val="24"/>
          <w:szCs w:val="24"/>
        </w:rPr>
        <w:t>ubstantial lessening of competition</w:t>
      </w:r>
      <w:r w:rsidR="00A64FDF">
        <w:rPr>
          <w:rFonts w:cstheme="minorHAnsi"/>
          <w:sz w:val="24"/>
          <w:szCs w:val="24"/>
        </w:rPr>
        <w:t>’</w:t>
      </w:r>
      <w:r w:rsidR="001C665B">
        <w:rPr>
          <w:rFonts w:cstheme="minorHAnsi"/>
          <w:sz w:val="24"/>
          <w:szCs w:val="24"/>
        </w:rPr>
        <w:t xml:space="preserve">, </w:t>
      </w:r>
      <w:r w:rsidR="00316774">
        <w:rPr>
          <w:rFonts w:cstheme="minorHAnsi"/>
          <w:sz w:val="24"/>
          <w:szCs w:val="24"/>
        </w:rPr>
        <w:t xml:space="preserve">a term used in relation to </w:t>
      </w:r>
      <w:r w:rsidR="00DB08E0">
        <w:rPr>
          <w:rFonts w:cstheme="minorHAnsi"/>
          <w:sz w:val="24"/>
          <w:szCs w:val="24"/>
        </w:rPr>
        <w:t>a</w:t>
      </w:r>
      <w:r w:rsidR="00316774">
        <w:rPr>
          <w:rFonts w:cstheme="minorHAnsi"/>
          <w:sz w:val="24"/>
          <w:szCs w:val="24"/>
        </w:rPr>
        <w:t xml:space="preserve"> loss of rivalry </w:t>
      </w:r>
      <w:r w:rsidR="00316774">
        <w:rPr>
          <w:rFonts w:cstheme="minorHAnsi"/>
          <w:sz w:val="24"/>
          <w:szCs w:val="24"/>
        </w:rPr>
        <w:lastRenderedPageBreak/>
        <w:t>between competing firms, which reduces competitive incentives to the likely detriment of customers. A substantial lessening of competition is one which is deemed to have a significant effect on rivalry over time, thereby reducing competitive pressure on firms. A key element of assessing mergers is therefore to establish the</w:t>
      </w:r>
      <w:r w:rsidR="00316774" w:rsidRPr="00007283">
        <w:t xml:space="preserve"> </w:t>
      </w:r>
      <w:r w:rsidR="00316774">
        <w:rPr>
          <w:rFonts w:cstheme="minorHAnsi"/>
          <w:sz w:val="24"/>
          <w:szCs w:val="24"/>
        </w:rPr>
        <w:t>e</w:t>
      </w:r>
      <w:r w:rsidR="00316774" w:rsidRPr="00007283">
        <w:rPr>
          <w:rFonts w:cstheme="minorHAnsi"/>
          <w:sz w:val="24"/>
          <w:szCs w:val="24"/>
        </w:rPr>
        <w:t>vi</w:t>
      </w:r>
      <w:r w:rsidR="00316774">
        <w:rPr>
          <w:rFonts w:cstheme="minorHAnsi"/>
          <w:sz w:val="24"/>
          <w:szCs w:val="24"/>
        </w:rPr>
        <w:t>dence on likely adverse effects</w:t>
      </w:r>
      <w:r w:rsidR="002A26C6">
        <w:rPr>
          <w:rFonts w:cstheme="minorHAnsi"/>
          <w:sz w:val="24"/>
          <w:szCs w:val="24"/>
        </w:rPr>
        <w:t>.</w:t>
      </w:r>
    </w:p>
    <w:p w14:paraId="246DA8B2" w14:textId="647D7432" w:rsidR="00316774" w:rsidRDefault="00316774" w:rsidP="00316774">
      <w:pPr>
        <w:spacing w:line="480" w:lineRule="auto"/>
        <w:jc w:val="both"/>
        <w:rPr>
          <w:rFonts w:cstheme="minorHAnsi"/>
          <w:sz w:val="24"/>
          <w:szCs w:val="24"/>
        </w:rPr>
      </w:pPr>
      <w:r>
        <w:rPr>
          <w:rFonts w:cstheme="minorHAnsi"/>
          <w:sz w:val="24"/>
          <w:szCs w:val="24"/>
        </w:rPr>
        <w:t xml:space="preserve">The second concept of importance </w:t>
      </w:r>
      <w:r w:rsidR="001C665B">
        <w:rPr>
          <w:rFonts w:cstheme="minorHAnsi"/>
          <w:sz w:val="24"/>
          <w:szCs w:val="24"/>
        </w:rPr>
        <w:t xml:space="preserve">to both sector specific competition regulation and competition law is the notion of remedies, </w:t>
      </w:r>
      <w:r w:rsidR="000E1EEB">
        <w:rPr>
          <w:rFonts w:cstheme="minorHAnsi"/>
          <w:sz w:val="24"/>
          <w:szCs w:val="24"/>
        </w:rPr>
        <w:t>remedial action</w:t>
      </w:r>
      <w:r>
        <w:rPr>
          <w:rFonts w:cstheme="minorHAnsi"/>
          <w:sz w:val="24"/>
          <w:szCs w:val="24"/>
        </w:rPr>
        <w:t xml:space="preserve"> </w:t>
      </w:r>
      <w:r w:rsidR="001C665B">
        <w:rPr>
          <w:rFonts w:cstheme="minorHAnsi"/>
          <w:sz w:val="24"/>
          <w:szCs w:val="24"/>
        </w:rPr>
        <w:t>to address a</w:t>
      </w:r>
      <w:r>
        <w:rPr>
          <w:rFonts w:cstheme="minorHAnsi"/>
          <w:sz w:val="24"/>
          <w:szCs w:val="24"/>
        </w:rPr>
        <w:t xml:space="preserve"> loss of competition and its effects. The aim of remedies in the view of the bodies interpreting competition law, is to restore the rivalry between firms, ideally by addressing the adverse effect at source. It is preferable to find a structural remedy which restores competition, rather than employ measures to regulate ongoing behaviour</w:t>
      </w:r>
      <w:r w:rsidR="002A26C6">
        <w:rPr>
          <w:rFonts w:cstheme="minorHAnsi"/>
          <w:sz w:val="24"/>
          <w:szCs w:val="24"/>
        </w:rPr>
        <w:t xml:space="preserve"> </w:t>
      </w:r>
      <w:r w:rsidR="002A26C6">
        <w:rPr>
          <w:rFonts w:cstheme="minorHAnsi"/>
          <w:sz w:val="24"/>
          <w:szCs w:val="24"/>
        </w:rPr>
        <w:fldChar w:fldCharType="begin"/>
      </w:r>
      <w:r w:rsidR="002A26C6">
        <w:rPr>
          <w:rFonts w:cstheme="minorHAnsi"/>
          <w:sz w:val="24"/>
          <w:szCs w:val="24"/>
        </w:rPr>
        <w:instrText xml:space="preserve"> ADDIN EN.CITE &lt;EndNote&gt;&lt;Cite&gt;&lt;Author&gt;Competition Commission&lt;/Author&gt;&lt;Year&gt;2008&lt;/Year&gt;&lt;RecNum&gt;603&lt;/RecNum&gt;&lt;DisplayText&gt;(Competition Commission, 2008)&lt;/DisplayText&gt;&lt;record&gt;&lt;rec-number&gt;603&lt;/rec-number&gt;&lt;foreign-keys&gt;&lt;key app="EN" db-id="za50fsw09wzvx0er2t2p0d0txzrw9x59d9a5"&gt;603&lt;/key&gt;&lt;/foreign-keys&gt;&lt;ref-type name="Report"&gt;27&lt;/ref-type&gt;&lt;contributors&gt;&lt;authors&gt;&lt;author&gt;Competition Commission,&lt;/author&gt;&lt;/authors&gt;&lt;/contributors&gt;&lt;titles&gt;&lt;title&gt;Merger remedies. Competition Commission Guidelines&lt;/title&gt;&lt;/titles&gt;&lt;dates&gt;&lt;year&gt;2008&lt;/year&gt;&lt;/dates&gt;&lt;urls&gt;&lt;/urls&gt;&lt;/record&gt;&lt;/Cite&gt;&lt;/EndNote&gt;</w:instrText>
      </w:r>
      <w:r w:rsidR="002A26C6">
        <w:rPr>
          <w:rFonts w:cstheme="minorHAnsi"/>
          <w:sz w:val="24"/>
          <w:szCs w:val="24"/>
        </w:rPr>
        <w:fldChar w:fldCharType="separate"/>
      </w:r>
      <w:r w:rsidR="002A26C6">
        <w:rPr>
          <w:rFonts w:cstheme="minorHAnsi"/>
          <w:noProof/>
          <w:sz w:val="24"/>
          <w:szCs w:val="24"/>
        </w:rPr>
        <w:t>(</w:t>
      </w:r>
      <w:hyperlink w:anchor="_ENREF_8" w:tooltip="Competition Commission, 2008 #603" w:history="1">
        <w:r w:rsidR="00513FB0">
          <w:rPr>
            <w:rFonts w:cstheme="minorHAnsi"/>
            <w:noProof/>
            <w:sz w:val="24"/>
            <w:szCs w:val="24"/>
          </w:rPr>
          <w:t>Competition Commission, 2008</w:t>
        </w:r>
      </w:hyperlink>
      <w:r w:rsidR="002A26C6">
        <w:rPr>
          <w:rFonts w:cstheme="minorHAnsi"/>
          <w:noProof/>
          <w:sz w:val="24"/>
          <w:szCs w:val="24"/>
        </w:rPr>
        <w:t>)</w:t>
      </w:r>
      <w:r w:rsidR="002A26C6">
        <w:rPr>
          <w:rFonts w:cstheme="minorHAnsi"/>
          <w:sz w:val="24"/>
          <w:szCs w:val="24"/>
        </w:rPr>
        <w:fldChar w:fldCharType="end"/>
      </w:r>
      <w:r w:rsidR="002A26C6">
        <w:rPr>
          <w:rFonts w:cstheme="minorHAnsi"/>
          <w:sz w:val="24"/>
          <w:szCs w:val="24"/>
        </w:rPr>
        <w:t>.</w:t>
      </w:r>
    </w:p>
    <w:p w14:paraId="0235ADBD" w14:textId="0475AF92" w:rsidR="00710306" w:rsidRDefault="004439AF">
      <w:pPr>
        <w:spacing w:line="480" w:lineRule="auto"/>
        <w:jc w:val="both"/>
        <w:rPr>
          <w:rFonts w:cstheme="minorHAnsi"/>
          <w:sz w:val="24"/>
          <w:szCs w:val="24"/>
        </w:rPr>
      </w:pPr>
      <w:r>
        <w:rPr>
          <w:rFonts w:cstheme="minorHAnsi"/>
          <w:sz w:val="24"/>
          <w:szCs w:val="24"/>
        </w:rPr>
        <w:t>Now that some time has elapsed since HSCA 2012</w:t>
      </w:r>
      <w:r w:rsidR="00944F2E">
        <w:rPr>
          <w:rFonts w:cstheme="minorHAnsi"/>
          <w:sz w:val="24"/>
          <w:szCs w:val="24"/>
        </w:rPr>
        <w:t xml:space="preserve"> came into force</w:t>
      </w:r>
      <w:r>
        <w:rPr>
          <w:rFonts w:cstheme="minorHAnsi"/>
          <w:sz w:val="24"/>
          <w:szCs w:val="24"/>
        </w:rPr>
        <w:t xml:space="preserve"> in April 2013,</w:t>
      </w:r>
      <w:r w:rsidR="00710306">
        <w:rPr>
          <w:rFonts w:cstheme="minorHAnsi"/>
          <w:sz w:val="24"/>
          <w:szCs w:val="24"/>
        </w:rPr>
        <w:t xml:space="preserve"> </w:t>
      </w:r>
      <w:r>
        <w:rPr>
          <w:rFonts w:cstheme="minorHAnsi"/>
          <w:sz w:val="24"/>
          <w:szCs w:val="24"/>
        </w:rPr>
        <w:t>i</w:t>
      </w:r>
      <w:r w:rsidR="00710306">
        <w:rPr>
          <w:rFonts w:cstheme="minorHAnsi"/>
          <w:sz w:val="24"/>
          <w:szCs w:val="24"/>
        </w:rPr>
        <w:t xml:space="preserve">t is possible to examine the decisions which have been </w:t>
      </w:r>
      <w:r w:rsidR="000B6E7A">
        <w:rPr>
          <w:rFonts w:cstheme="minorHAnsi"/>
          <w:sz w:val="24"/>
          <w:szCs w:val="24"/>
        </w:rPr>
        <w:t xml:space="preserve">made </w:t>
      </w:r>
      <w:r w:rsidR="00710306">
        <w:rPr>
          <w:rFonts w:cstheme="minorHAnsi"/>
          <w:sz w:val="24"/>
          <w:szCs w:val="24"/>
        </w:rPr>
        <w:t xml:space="preserve">in regard to the regulation of competition under the new regime in order to assess what, if any, material difference </w:t>
      </w:r>
      <w:r w:rsidR="00E44B1D">
        <w:rPr>
          <w:rFonts w:cstheme="minorHAnsi"/>
          <w:sz w:val="24"/>
          <w:szCs w:val="24"/>
        </w:rPr>
        <w:t>HSCA 2012</w:t>
      </w:r>
      <w:r w:rsidR="00710306">
        <w:rPr>
          <w:rFonts w:cstheme="minorHAnsi"/>
          <w:sz w:val="24"/>
          <w:szCs w:val="24"/>
        </w:rPr>
        <w:t xml:space="preserve"> </w:t>
      </w:r>
      <w:r w:rsidR="001C665B">
        <w:rPr>
          <w:rFonts w:cstheme="minorHAnsi"/>
          <w:sz w:val="24"/>
          <w:szCs w:val="24"/>
        </w:rPr>
        <w:t xml:space="preserve">has made to the decisions being made about the regulation of competition. </w:t>
      </w:r>
    </w:p>
    <w:p w14:paraId="1941861C" w14:textId="67932818" w:rsidR="000A3BFE" w:rsidRDefault="000A3BFE" w:rsidP="000E75BE">
      <w:pPr>
        <w:spacing w:line="480" w:lineRule="auto"/>
        <w:rPr>
          <w:rFonts w:cstheme="minorHAnsi"/>
          <w:b/>
          <w:sz w:val="24"/>
          <w:szCs w:val="24"/>
        </w:rPr>
      </w:pPr>
      <w:r w:rsidRPr="00283045">
        <w:rPr>
          <w:rFonts w:cstheme="minorHAnsi"/>
          <w:b/>
          <w:sz w:val="24"/>
          <w:szCs w:val="24"/>
        </w:rPr>
        <w:t>ANALYSIS OF</w:t>
      </w:r>
      <w:r>
        <w:rPr>
          <w:rFonts w:cstheme="minorHAnsi"/>
          <w:sz w:val="24"/>
          <w:szCs w:val="24"/>
        </w:rPr>
        <w:t xml:space="preserve"> </w:t>
      </w:r>
      <w:r>
        <w:rPr>
          <w:rFonts w:cstheme="minorHAnsi"/>
          <w:b/>
          <w:sz w:val="24"/>
          <w:szCs w:val="24"/>
        </w:rPr>
        <w:t>DECISIONS MADE REGARDING COMPETITION REGULATION</w:t>
      </w:r>
    </w:p>
    <w:p w14:paraId="10B618AF" w14:textId="75E533DF" w:rsidR="00924645" w:rsidRPr="00283045" w:rsidRDefault="000A3BFE" w:rsidP="00283045">
      <w:pPr>
        <w:spacing w:line="480" w:lineRule="auto"/>
        <w:rPr>
          <w:rFonts w:cstheme="minorHAnsi"/>
          <w:i/>
          <w:sz w:val="24"/>
          <w:szCs w:val="24"/>
        </w:rPr>
      </w:pPr>
      <w:r>
        <w:rPr>
          <w:rFonts w:cstheme="minorHAnsi"/>
          <w:b/>
          <w:sz w:val="24"/>
          <w:szCs w:val="24"/>
        </w:rPr>
        <w:t>Decisions taken by the</w:t>
      </w:r>
      <w:r w:rsidR="004E65B9" w:rsidRPr="00283045">
        <w:rPr>
          <w:rFonts w:cstheme="minorHAnsi"/>
          <w:b/>
          <w:sz w:val="24"/>
          <w:szCs w:val="24"/>
        </w:rPr>
        <w:t xml:space="preserve"> </w:t>
      </w:r>
      <w:r w:rsidR="004D781C" w:rsidRPr="00283045">
        <w:rPr>
          <w:rFonts w:cstheme="minorHAnsi"/>
          <w:b/>
          <w:sz w:val="24"/>
          <w:szCs w:val="24"/>
        </w:rPr>
        <w:t>Co-operation and Competition Panel</w:t>
      </w:r>
      <w:r w:rsidR="00E55D12" w:rsidRPr="00283045">
        <w:rPr>
          <w:rFonts w:cstheme="minorHAnsi"/>
          <w:b/>
          <w:sz w:val="24"/>
          <w:szCs w:val="24"/>
        </w:rPr>
        <w:t xml:space="preserve"> (2009 – 201</w:t>
      </w:r>
      <w:r w:rsidR="002E3B19" w:rsidRPr="00283045">
        <w:rPr>
          <w:rFonts w:cstheme="minorHAnsi"/>
          <w:b/>
          <w:sz w:val="24"/>
          <w:szCs w:val="24"/>
        </w:rPr>
        <w:t>3</w:t>
      </w:r>
      <w:r w:rsidR="00E55D12" w:rsidRPr="00283045">
        <w:rPr>
          <w:rFonts w:cstheme="minorHAnsi"/>
          <w:b/>
          <w:sz w:val="24"/>
          <w:szCs w:val="24"/>
        </w:rPr>
        <w:t>)</w:t>
      </w:r>
      <w:r w:rsidR="005D0D23" w:rsidRPr="00283045">
        <w:rPr>
          <w:rFonts w:cstheme="minorHAnsi"/>
          <w:b/>
          <w:sz w:val="24"/>
          <w:szCs w:val="24"/>
        </w:rPr>
        <w:t xml:space="preserve"> </w:t>
      </w:r>
    </w:p>
    <w:p w14:paraId="072D2597" w14:textId="4F31EC2A" w:rsidR="00A97289" w:rsidRDefault="00E54C96" w:rsidP="00283045">
      <w:pPr>
        <w:spacing w:line="480" w:lineRule="auto"/>
        <w:jc w:val="both"/>
        <w:rPr>
          <w:rFonts w:cstheme="minorHAnsi"/>
          <w:sz w:val="24"/>
          <w:szCs w:val="24"/>
        </w:rPr>
      </w:pPr>
      <w:r w:rsidRPr="00283045">
        <w:rPr>
          <w:rFonts w:cstheme="minorHAnsi"/>
          <w:sz w:val="24"/>
          <w:szCs w:val="24"/>
        </w:rPr>
        <w:lastRenderedPageBreak/>
        <w:t xml:space="preserve">The </w:t>
      </w:r>
      <w:r w:rsidR="000B6E7A">
        <w:rPr>
          <w:rFonts w:cstheme="minorHAnsi"/>
          <w:sz w:val="24"/>
          <w:szCs w:val="24"/>
        </w:rPr>
        <w:t>C</w:t>
      </w:r>
      <w:r w:rsidR="00A24FB7">
        <w:rPr>
          <w:rFonts w:cstheme="minorHAnsi"/>
          <w:sz w:val="24"/>
          <w:szCs w:val="24"/>
        </w:rPr>
        <w:t xml:space="preserve">ooperation and </w:t>
      </w:r>
      <w:r w:rsidR="000B6E7A">
        <w:rPr>
          <w:rFonts w:cstheme="minorHAnsi"/>
          <w:sz w:val="24"/>
          <w:szCs w:val="24"/>
        </w:rPr>
        <w:t>C</w:t>
      </w:r>
      <w:r w:rsidR="00A24FB7">
        <w:rPr>
          <w:rFonts w:cstheme="minorHAnsi"/>
          <w:sz w:val="24"/>
          <w:szCs w:val="24"/>
        </w:rPr>
        <w:t xml:space="preserve">ompetition </w:t>
      </w:r>
      <w:r w:rsidR="000B6E7A">
        <w:rPr>
          <w:rFonts w:cstheme="minorHAnsi"/>
          <w:sz w:val="24"/>
          <w:szCs w:val="24"/>
        </w:rPr>
        <w:t>P</w:t>
      </w:r>
      <w:r w:rsidR="00A24FB7">
        <w:rPr>
          <w:rFonts w:cstheme="minorHAnsi"/>
          <w:sz w:val="24"/>
          <w:szCs w:val="24"/>
        </w:rPr>
        <w:t>anel</w:t>
      </w:r>
      <w:r w:rsidRPr="00283045">
        <w:rPr>
          <w:rFonts w:cstheme="minorHAnsi"/>
          <w:sz w:val="24"/>
          <w:szCs w:val="24"/>
        </w:rPr>
        <w:t xml:space="preserve"> </w:t>
      </w:r>
      <w:r w:rsidR="00A90B0A">
        <w:rPr>
          <w:rFonts w:cstheme="minorHAnsi"/>
          <w:sz w:val="24"/>
          <w:szCs w:val="24"/>
        </w:rPr>
        <w:t>conducted investigations</w:t>
      </w:r>
      <w:r w:rsidR="002E3B19" w:rsidRPr="00283045">
        <w:rPr>
          <w:rFonts w:cstheme="minorHAnsi"/>
          <w:sz w:val="24"/>
          <w:szCs w:val="24"/>
        </w:rPr>
        <w:t xml:space="preserve"> in relation to four areas: mergers, procurement cases, conduct cases and advertising disputes</w:t>
      </w:r>
      <w:r w:rsidR="004D4BD3">
        <w:rPr>
          <w:rStyle w:val="FootnoteReference"/>
          <w:rFonts w:cstheme="minorHAnsi"/>
          <w:sz w:val="24"/>
          <w:szCs w:val="24"/>
        </w:rPr>
        <w:footnoteReference w:id="1"/>
      </w:r>
      <w:r w:rsidR="002E3B19" w:rsidRPr="00283045">
        <w:rPr>
          <w:rFonts w:cstheme="minorHAnsi"/>
          <w:sz w:val="24"/>
          <w:szCs w:val="24"/>
        </w:rPr>
        <w:t>.</w:t>
      </w:r>
      <w:r w:rsidR="00A97289">
        <w:rPr>
          <w:rFonts w:cstheme="minorHAnsi"/>
          <w:sz w:val="24"/>
          <w:szCs w:val="24"/>
        </w:rPr>
        <w:t xml:space="preserve"> </w:t>
      </w:r>
      <w:r w:rsidR="00A90B0A">
        <w:rPr>
          <w:rFonts w:cstheme="minorHAnsi"/>
          <w:sz w:val="24"/>
          <w:szCs w:val="24"/>
        </w:rPr>
        <w:t>Cases were assessed agains</w:t>
      </w:r>
      <w:r w:rsidR="00D6179D">
        <w:rPr>
          <w:rFonts w:cstheme="minorHAnsi"/>
          <w:sz w:val="24"/>
          <w:szCs w:val="24"/>
        </w:rPr>
        <w:t xml:space="preserve">t the </w:t>
      </w:r>
      <w:r w:rsidR="00DB08E0">
        <w:rPr>
          <w:rFonts w:cstheme="minorHAnsi"/>
          <w:sz w:val="24"/>
          <w:szCs w:val="24"/>
        </w:rPr>
        <w:t>‘</w:t>
      </w:r>
      <w:r w:rsidR="00D6179D">
        <w:rPr>
          <w:rFonts w:cstheme="minorHAnsi"/>
          <w:sz w:val="24"/>
          <w:szCs w:val="24"/>
        </w:rPr>
        <w:t>Principles and Rules</w:t>
      </w:r>
      <w:r w:rsidR="00DB08E0">
        <w:rPr>
          <w:rFonts w:cstheme="minorHAnsi"/>
          <w:sz w:val="24"/>
          <w:szCs w:val="24"/>
        </w:rPr>
        <w:t>’</w:t>
      </w:r>
      <w:r w:rsidR="00D6179D">
        <w:rPr>
          <w:rFonts w:cstheme="minorHAnsi"/>
          <w:sz w:val="24"/>
          <w:szCs w:val="24"/>
        </w:rPr>
        <w:t xml:space="preserve">. </w:t>
      </w:r>
      <w:r w:rsidR="00A97289">
        <w:rPr>
          <w:rFonts w:cstheme="minorHAnsi"/>
          <w:sz w:val="24"/>
          <w:szCs w:val="24"/>
        </w:rPr>
        <w:t>The reviews conducted by the C</w:t>
      </w:r>
      <w:r w:rsidR="00CD0F8C">
        <w:rPr>
          <w:rFonts w:cstheme="minorHAnsi"/>
          <w:sz w:val="24"/>
          <w:szCs w:val="24"/>
        </w:rPr>
        <w:t xml:space="preserve">ooperation and </w:t>
      </w:r>
      <w:r w:rsidR="00A97289">
        <w:rPr>
          <w:rFonts w:cstheme="minorHAnsi"/>
          <w:sz w:val="24"/>
          <w:szCs w:val="24"/>
        </w:rPr>
        <w:t>C</w:t>
      </w:r>
      <w:r w:rsidR="00CD0F8C">
        <w:rPr>
          <w:rFonts w:cstheme="minorHAnsi"/>
          <w:sz w:val="24"/>
          <w:szCs w:val="24"/>
        </w:rPr>
        <w:t xml:space="preserve">ompetition </w:t>
      </w:r>
      <w:r w:rsidR="00A97289">
        <w:rPr>
          <w:rFonts w:cstheme="minorHAnsi"/>
          <w:sz w:val="24"/>
          <w:szCs w:val="24"/>
        </w:rPr>
        <w:t>P</w:t>
      </w:r>
      <w:r w:rsidR="00CD0F8C">
        <w:rPr>
          <w:rFonts w:cstheme="minorHAnsi"/>
          <w:sz w:val="24"/>
          <w:szCs w:val="24"/>
        </w:rPr>
        <w:t>anel</w:t>
      </w:r>
      <w:r w:rsidR="00A97289">
        <w:rPr>
          <w:rFonts w:cstheme="minorHAnsi"/>
          <w:sz w:val="24"/>
          <w:szCs w:val="24"/>
        </w:rPr>
        <w:t xml:space="preserve"> in its lifetime are summarised in Table</w:t>
      </w:r>
      <w:r w:rsidR="00DB08E0">
        <w:rPr>
          <w:rFonts w:cstheme="minorHAnsi"/>
          <w:sz w:val="24"/>
          <w:szCs w:val="24"/>
        </w:rPr>
        <w:t xml:space="preserve"> </w:t>
      </w:r>
      <w:r w:rsidR="00A90B0A">
        <w:rPr>
          <w:rFonts w:cstheme="minorHAnsi"/>
          <w:sz w:val="24"/>
          <w:szCs w:val="24"/>
        </w:rPr>
        <w:t>2</w:t>
      </w:r>
      <w:r w:rsidR="00A97289">
        <w:rPr>
          <w:rFonts w:cstheme="minorHAnsi"/>
          <w:sz w:val="24"/>
          <w:szCs w:val="24"/>
        </w:rPr>
        <w:t xml:space="preserve"> below.</w:t>
      </w:r>
      <w:r w:rsidR="002E3B19" w:rsidRPr="00283045">
        <w:rPr>
          <w:rFonts w:cstheme="minorHAnsi"/>
          <w:sz w:val="24"/>
          <w:szCs w:val="24"/>
        </w:rPr>
        <w:t xml:space="preserve"> </w:t>
      </w:r>
    </w:p>
    <w:p w14:paraId="69B170A8" w14:textId="493DD7CE" w:rsidR="00E54C96" w:rsidRPr="00283045" w:rsidRDefault="00A97289" w:rsidP="00283045">
      <w:pPr>
        <w:spacing w:line="480" w:lineRule="auto"/>
        <w:jc w:val="both"/>
        <w:rPr>
          <w:rFonts w:cstheme="minorHAnsi"/>
          <w:b/>
          <w:sz w:val="24"/>
          <w:szCs w:val="24"/>
        </w:rPr>
      </w:pPr>
      <w:r>
        <w:rPr>
          <w:rFonts w:cstheme="minorHAnsi"/>
          <w:sz w:val="24"/>
          <w:szCs w:val="24"/>
        </w:rPr>
        <w:t xml:space="preserve">TABLE </w:t>
      </w:r>
      <w:r w:rsidR="001A44E7">
        <w:rPr>
          <w:rFonts w:cstheme="minorHAnsi"/>
          <w:sz w:val="24"/>
          <w:szCs w:val="24"/>
        </w:rPr>
        <w:t>2</w:t>
      </w:r>
      <w:r>
        <w:rPr>
          <w:rFonts w:cstheme="minorHAnsi"/>
          <w:sz w:val="24"/>
          <w:szCs w:val="24"/>
        </w:rPr>
        <w:t xml:space="preserve"> </w:t>
      </w:r>
      <w:r w:rsidR="00A9527D">
        <w:rPr>
          <w:rFonts w:cstheme="minorHAnsi"/>
          <w:sz w:val="24"/>
          <w:szCs w:val="24"/>
        </w:rPr>
        <w:t xml:space="preserve">ABOUT </w:t>
      </w:r>
      <w:r>
        <w:rPr>
          <w:rFonts w:cstheme="minorHAnsi"/>
          <w:sz w:val="24"/>
          <w:szCs w:val="24"/>
        </w:rPr>
        <w:t>HERE</w:t>
      </w:r>
    </w:p>
    <w:p w14:paraId="118AA870" w14:textId="77777777" w:rsidR="004D781C" w:rsidRPr="00283045" w:rsidRDefault="004D781C" w:rsidP="00283045">
      <w:pPr>
        <w:spacing w:line="480" w:lineRule="auto"/>
        <w:jc w:val="both"/>
        <w:rPr>
          <w:rFonts w:cstheme="minorHAnsi"/>
          <w:i/>
          <w:sz w:val="24"/>
          <w:szCs w:val="24"/>
        </w:rPr>
      </w:pPr>
      <w:r w:rsidRPr="00283045">
        <w:rPr>
          <w:rFonts w:cstheme="minorHAnsi"/>
          <w:i/>
          <w:sz w:val="24"/>
          <w:szCs w:val="24"/>
        </w:rPr>
        <w:t xml:space="preserve">Merger decisions </w:t>
      </w:r>
    </w:p>
    <w:p w14:paraId="2FE254AB" w14:textId="12A9F7AB" w:rsidR="00656ED1" w:rsidRPr="00283045" w:rsidRDefault="00D87471" w:rsidP="00283045">
      <w:pPr>
        <w:spacing w:line="480" w:lineRule="auto"/>
        <w:jc w:val="both"/>
        <w:rPr>
          <w:rFonts w:cstheme="minorHAnsi"/>
          <w:b/>
          <w:sz w:val="24"/>
          <w:szCs w:val="24"/>
        </w:rPr>
      </w:pPr>
      <w:r w:rsidRPr="00283045">
        <w:rPr>
          <w:rFonts w:cstheme="minorHAnsi"/>
          <w:sz w:val="24"/>
          <w:szCs w:val="24"/>
        </w:rPr>
        <w:t>The majority of merger</w:t>
      </w:r>
      <w:r w:rsidR="004E65B9" w:rsidRPr="00283045">
        <w:rPr>
          <w:rFonts w:cstheme="minorHAnsi"/>
          <w:sz w:val="24"/>
          <w:szCs w:val="24"/>
        </w:rPr>
        <w:t xml:space="preserve"> reviews focused on </w:t>
      </w:r>
      <w:r w:rsidRPr="00283045">
        <w:rPr>
          <w:rFonts w:cstheme="minorHAnsi"/>
          <w:sz w:val="24"/>
          <w:szCs w:val="24"/>
        </w:rPr>
        <w:t xml:space="preserve">compliance with </w:t>
      </w:r>
      <w:r w:rsidR="004E65B9" w:rsidRPr="00283045">
        <w:rPr>
          <w:rFonts w:cstheme="minorHAnsi"/>
          <w:sz w:val="24"/>
          <w:szCs w:val="24"/>
        </w:rPr>
        <w:t xml:space="preserve">Principle 5 </w:t>
      </w:r>
      <w:r w:rsidRPr="00283045">
        <w:rPr>
          <w:rFonts w:cstheme="minorHAnsi"/>
          <w:sz w:val="24"/>
          <w:szCs w:val="24"/>
        </w:rPr>
        <w:t xml:space="preserve">of the </w:t>
      </w:r>
      <w:r w:rsidR="00DB08E0">
        <w:rPr>
          <w:rFonts w:cstheme="minorHAnsi"/>
          <w:sz w:val="24"/>
          <w:szCs w:val="24"/>
        </w:rPr>
        <w:t>‘</w:t>
      </w:r>
      <w:r w:rsidRPr="00283045">
        <w:rPr>
          <w:rFonts w:cstheme="minorHAnsi"/>
          <w:sz w:val="24"/>
          <w:szCs w:val="24"/>
        </w:rPr>
        <w:t>P</w:t>
      </w:r>
      <w:r w:rsidR="00A90B0A">
        <w:rPr>
          <w:rFonts w:cstheme="minorHAnsi"/>
          <w:sz w:val="24"/>
          <w:szCs w:val="24"/>
        </w:rPr>
        <w:t xml:space="preserve">rinciples and </w:t>
      </w:r>
      <w:r w:rsidRPr="00283045">
        <w:rPr>
          <w:rFonts w:cstheme="minorHAnsi"/>
          <w:sz w:val="24"/>
          <w:szCs w:val="24"/>
        </w:rPr>
        <w:t>R</w:t>
      </w:r>
      <w:r w:rsidR="00A90B0A">
        <w:rPr>
          <w:rFonts w:cstheme="minorHAnsi"/>
          <w:sz w:val="24"/>
          <w:szCs w:val="24"/>
        </w:rPr>
        <w:t>ules</w:t>
      </w:r>
      <w:r w:rsidR="00DB08E0">
        <w:rPr>
          <w:rFonts w:cstheme="minorHAnsi"/>
          <w:sz w:val="24"/>
          <w:szCs w:val="24"/>
        </w:rPr>
        <w:t>’</w:t>
      </w:r>
      <w:r w:rsidR="00A90B0A">
        <w:rPr>
          <w:rFonts w:cstheme="minorHAnsi"/>
          <w:sz w:val="24"/>
          <w:szCs w:val="24"/>
        </w:rPr>
        <w:t xml:space="preserve"> </w:t>
      </w:r>
      <w:r w:rsidRPr="00283045">
        <w:rPr>
          <w:rFonts w:cstheme="minorHAnsi"/>
          <w:sz w:val="24"/>
          <w:szCs w:val="24"/>
        </w:rPr>
        <w:t xml:space="preserve"> which related to the </w:t>
      </w:r>
      <w:r w:rsidR="004E65B9" w:rsidRPr="00283045">
        <w:rPr>
          <w:rFonts w:cstheme="minorHAnsi"/>
          <w:sz w:val="24"/>
          <w:szCs w:val="24"/>
        </w:rPr>
        <w:t>promotion of patient choice</w:t>
      </w:r>
      <w:r w:rsidR="000A3BFE">
        <w:rPr>
          <w:rFonts w:cstheme="minorHAnsi"/>
          <w:sz w:val="24"/>
          <w:szCs w:val="24"/>
        </w:rPr>
        <w:t xml:space="preserve"> of provider, and P</w:t>
      </w:r>
      <w:r w:rsidR="00656ED1" w:rsidRPr="00283045">
        <w:rPr>
          <w:rFonts w:cstheme="minorHAnsi"/>
          <w:sz w:val="24"/>
          <w:szCs w:val="24"/>
        </w:rPr>
        <w:t>rinciple 10 which related to</w:t>
      </w:r>
      <w:r w:rsidR="000A3BFE">
        <w:rPr>
          <w:rFonts w:cstheme="minorHAnsi"/>
          <w:sz w:val="24"/>
          <w:szCs w:val="24"/>
        </w:rPr>
        <w:t xml:space="preserve"> the need to ensure that mergers were only permitted if there remained sufficient choice and competition or ‘where they are otherwise in patients</w:t>
      </w:r>
      <w:r w:rsidR="004A5894">
        <w:rPr>
          <w:rFonts w:cstheme="minorHAnsi"/>
          <w:sz w:val="24"/>
          <w:szCs w:val="24"/>
        </w:rPr>
        <w:t>’</w:t>
      </w:r>
      <w:r w:rsidR="000A3BFE">
        <w:rPr>
          <w:rFonts w:cstheme="minorHAnsi"/>
          <w:sz w:val="24"/>
          <w:szCs w:val="24"/>
        </w:rPr>
        <w:t xml:space="preserve"> and taxpayers’ interest’</w:t>
      </w:r>
      <w:r w:rsidR="00EA5744">
        <w:rPr>
          <w:rFonts w:cstheme="minorHAnsi"/>
          <w:sz w:val="24"/>
          <w:szCs w:val="24"/>
        </w:rPr>
        <w:fldChar w:fldCharType="begin"/>
      </w:r>
      <w:r w:rsidR="00910153">
        <w:rPr>
          <w:rFonts w:cstheme="minorHAnsi"/>
          <w:sz w:val="24"/>
          <w:szCs w:val="24"/>
        </w:rPr>
        <w:instrText xml:space="preserve"> ADDIN EN.CITE &lt;EndNote&gt;&lt;Cite&gt;&lt;Author&gt;Department of Health&lt;/Author&gt;&lt;Year&gt;2010&lt;/Year&gt;&lt;RecNum&gt;246&lt;/RecNum&gt;&lt;DisplayText&gt;(Department of Health, 2010b)&lt;/DisplayText&gt;&lt;record&gt;&lt;rec-number&gt;246&lt;/rec-number&gt;&lt;foreign-keys&gt;&lt;key app="EN" db-id="za50fsw09wzvx0er2t2p0d0txzrw9x59d9a5"&gt;246&lt;/key&gt;&lt;/foreign-keys&gt;&lt;ref-type name="Government Document"&gt;46&lt;/ref-type&gt;&lt;contributors&gt;&lt;authors&gt;&lt;author&gt;Department of Health,&lt;/author&gt;&lt;/authors&gt;&lt;/contributors&gt;&lt;titles&gt;&lt;title&gt;Principles and rules for cooperation and competition (July 2010)&lt;/title&gt;&lt;/titles&gt;&lt;dates&gt;&lt;year&gt;2010&lt;/year&gt;&lt;/dates&gt;&lt;pub-location&gt;London&lt;/pub-location&gt;&lt;urls&gt;&lt;/urls&gt;&lt;research-notes&gt;NHS Policy. Hard copy at work.&lt;/research-notes&gt;&lt;/record&gt;&lt;/Cite&gt;&lt;/EndNote&gt;</w:instrText>
      </w:r>
      <w:r w:rsidR="00EA5744">
        <w:rPr>
          <w:rFonts w:cstheme="minorHAnsi"/>
          <w:sz w:val="24"/>
          <w:szCs w:val="24"/>
        </w:rPr>
        <w:fldChar w:fldCharType="separate"/>
      </w:r>
      <w:r w:rsidR="00910153">
        <w:rPr>
          <w:rFonts w:cstheme="minorHAnsi"/>
          <w:noProof/>
          <w:sz w:val="24"/>
          <w:szCs w:val="24"/>
        </w:rPr>
        <w:t>(</w:t>
      </w:r>
      <w:hyperlink w:anchor="_ENREF_18" w:tooltip="Department of Health, 2010 #246" w:history="1">
        <w:r w:rsidR="00513FB0">
          <w:rPr>
            <w:rFonts w:cstheme="minorHAnsi"/>
            <w:noProof/>
            <w:sz w:val="24"/>
            <w:szCs w:val="24"/>
          </w:rPr>
          <w:t>Department of Health, 2010b</w:t>
        </w:r>
      </w:hyperlink>
      <w:r w:rsidR="00910153">
        <w:rPr>
          <w:rFonts w:cstheme="minorHAnsi"/>
          <w:noProof/>
          <w:sz w:val="24"/>
          <w:szCs w:val="24"/>
        </w:rPr>
        <w:t>)</w:t>
      </w:r>
      <w:r w:rsidR="00EA5744">
        <w:rPr>
          <w:rFonts w:cstheme="minorHAnsi"/>
          <w:sz w:val="24"/>
          <w:szCs w:val="24"/>
        </w:rPr>
        <w:fldChar w:fldCharType="end"/>
      </w:r>
      <w:r w:rsidR="001E63BB">
        <w:rPr>
          <w:rFonts w:cstheme="minorHAnsi"/>
          <w:sz w:val="24"/>
          <w:szCs w:val="24"/>
        </w:rPr>
        <w:t>.</w:t>
      </w:r>
      <w:r w:rsidR="001C492A">
        <w:rPr>
          <w:rFonts w:cstheme="minorHAnsi"/>
          <w:sz w:val="24"/>
          <w:szCs w:val="24"/>
        </w:rPr>
        <w:t xml:space="preserve"> </w:t>
      </w:r>
    </w:p>
    <w:p w14:paraId="386DAC86" w14:textId="3D6909E4" w:rsidR="00444898" w:rsidRDefault="00444898" w:rsidP="001D202A">
      <w:pPr>
        <w:pStyle w:val="Default"/>
        <w:spacing w:line="480" w:lineRule="auto"/>
        <w:jc w:val="both"/>
        <w:rPr>
          <w:rFonts w:cstheme="minorHAnsi"/>
        </w:rPr>
      </w:pPr>
      <w:r w:rsidRPr="00283045">
        <w:rPr>
          <w:rFonts w:asciiTheme="minorHAnsi" w:hAnsiTheme="minorHAnsi" w:cstheme="minorHAnsi"/>
        </w:rPr>
        <w:t xml:space="preserve">In the vast majority of </w:t>
      </w:r>
      <w:r w:rsidR="008F7F33">
        <w:rPr>
          <w:rFonts w:asciiTheme="minorHAnsi" w:hAnsiTheme="minorHAnsi" w:cstheme="minorHAnsi"/>
        </w:rPr>
        <w:t xml:space="preserve">merger </w:t>
      </w:r>
      <w:r w:rsidRPr="00283045">
        <w:rPr>
          <w:rFonts w:asciiTheme="minorHAnsi" w:hAnsiTheme="minorHAnsi" w:cstheme="minorHAnsi"/>
        </w:rPr>
        <w:t>cases that were found to be inconsistent with the</w:t>
      </w:r>
      <w:r w:rsidR="00C2545B">
        <w:rPr>
          <w:rFonts w:asciiTheme="minorHAnsi" w:hAnsiTheme="minorHAnsi" w:cstheme="minorHAnsi"/>
        </w:rPr>
        <w:t xml:space="preserve"> </w:t>
      </w:r>
      <w:r w:rsidR="00DB08E0">
        <w:rPr>
          <w:rFonts w:asciiTheme="minorHAnsi" w:hAnsiTheme="minorHAnsi" w:cstheme="minorHAnsi"/>
        </w:rPr>
        <w:t>‘</w:t>
      </w:r>
      <w:r w:rsidR="00C2545B">
        <w:rPr>
          <w:rFonts w:asciiTheme="minorHAnsi" w:hAnsiTheme="minorHAnsi" w:cstheme="minorHAnsi"/>
        </w:rPr>
        <w:t>Principles and Rules</w:t>
      </w:r>
      <w:r w:rsidR="00DB08E0">
        <w:rPr>
          <w:rFonts w:asciiTheme="minorHAnsi" w:hAnsiTheme="minorHAnsi" w:cstheme="minorHAnsi"/>
        </w:rPr>
        <w:t xml:space="preserve">’ </w:t>
      </w:r>
      <w:r w:rsidRPr="00283045">
        <w:rPr>
          <w:rFonts w:asciiTheme="minorHAnsi" w:hAnsiTheme="minorHAnsi" w:cstheme="minorHAnsi"/>
        </w:rPr>
        <w:t>the mergers were eventually approved</w:t>
      </w:r>
      <w:r w:rsidR="00A7157A">
        <w:rPr>
          <w:rFonts w:asciiTheme="minorHAnsi" w:hAnsiTheme="minorHAnsi" w:cstheme="minorHAnsi"/>
        </w:rPr>
        <w:t>, through</w:t>
      </w:r>
      <w:r w:rsidRPr="00283045">
        <w:rPr>
          <w:rFonts w:asciiTheme="minorHAnsi" w:hAnsiTheme="minorHAnsi" w:cstheme="minorHAnsi"/>
        </w:rPr>
        <w:t xml:space="preserve"> </w:t>
      </w:r>
      <w:r w:rsidR="00174D7F" w:rsidRPr="00283045">
        <w:rPr>
          <w:rFonts w:asciiTheme="minorHAnsi" w:hAnsiTheme="minorHAnsi" w:cstheme="minorHAnsi"/>
        </w:rPr>
        <w:t xml:space="preserve">the identification and agreement of </w:t>
      </w:r>
      <w:r w:rsidR="00BA6941" w:rsidRPr="00283045">
        <w:rPr>
          <w:rFonts w:asciiTheme="minorHAnsi" w:hAnsiTheme="minorHAnsi" w:cstheme="minorHAnsi"/>
        </w:rPr>
        <w:t>‘</w:t>
      </w:r>
      <w:r w:rsidR="00174D7F" w:rsidRPr="00283045">
        <w:rPr>
          <w:rFonts w:asciiTheme="minorHAnsi" w:hAnsiTheme="minorHAnsi" w:cstheme="minorHAnsi"/>
        </w:rPr>
        <w:t>r</w:t>
      </w:r>
      <w:r w:rsidRPr="00283045">
        <w:rPr>
          <w:rFonts w:asciiTheme="minorHAnsi" w:hAnsiTheme="minorHAnsi" w:cstheme="minorHAnsi"/>
        </w:rPr>
        <w:t>emedies’</w:t>
      </w:r>
      <w:r w:rsidR="00174D7F" w:rsidRPr="00283045">
        <w:rPr>
          <w:rFonts w:asciiTheme="minorHAnsi" w:hAnsiTheme="minorHAnsi" w:cstheme="minorHAnsi"/>
        </w:rPr>
        <w:t xml:space="preserve">. </w:t>
      </w:r>
      <w:r w:rsidR="007C0FA7" w:rsidRPr="001D202A">
        <w:rPr>
          <w:rFonts w:asciiTheme="minorHAnsi" w:hAnsiTheme="minorHAnsi" w:cstheme="minorHAnsi"/>
        </w:rPr>
        <w:t>Remedies</w:t>
      </w:r>
      <w:r w:rsidRPr="001D202A">
        <w:rPr>
          <w:rFonts w:asciiTheme="minorHAnsi" w:hAnsiTheme="minorHAnsi" w:cstheme="minorHAnsi"/>
        </w:rPr>
        <w:t xml:space="preserve"> were proposed by the C</w:t>
      </w:r>
      <w:r w:rsidR="00CD0F8C">
        <w:rPr>
          <w:rFonts w:asciiTheme="minorHAnsi" w:hAnsiTheme="minorHAnsi" w:cstheme="minorHAnsi"/>
        </w:rPr>
        <w:t xml:space="preserve">ooperation and </w:t>
      </w:r>
      <w:r w:rsidR="00CD0F8C" w:rsidRPr="001D202A">
        <w:rPr>
          <w:rFonts w:asciiTheme="minorHAnsi" w:hAnsiTheme="minorHAnsi" w:cstheme="minorHAnsi"/>
        </w:rPr>
        <w:t>C</w:t>
      </w:r>
      <w:r w:rsidR="00CD0F8C">
        <w:rPr>
          <w:rFonts w:asciiTheme="minorHAnsi" w:hAnsiTheme="minorHAnsi" w:cstheme="minorHAnsi"/>
        </w:rPr>
        <w:t xml:space="preserve">ompetition </w:t>
      </w:r>
      <w:r w:rsidRPr="001D202A">
        <w:rPr>
          <w:rFonts w:asciiTheme="minorHAnsi" w:hAnsiTheme="minorHAnsi" w:cstheme="minorHAnsi"/>
        </w:rPr>
        <w:t>P</w:t>
      </w:r>
      <w:r w:rsidR="00CD0F8C">
        <w:rPr>
          <w:rFonts w:asciiTheme="minorHAnsi" w:hAnsiTheme="minorHAnsi" w:cstheme="minorHAnsi"/>
        </w:rPr>
        <w:t>anel</w:t>
      </w:r>
      <w:r w:rsidRPr="001D202A">
        <w:rPr>
          <w:rFonts w:asciiTheme="minorHAnsi" w:hAnsiTheme="minorHAnsi" w:cstheme="minorHAnsi"/>
        </w:rPr>
        <w:t xml:space="preserve"> after consultation with the merger parties</w:t>
      </w:r>
      <w:r w:rsidR="00A03FB9" w:rsidRPr="001D202A">
        <w:rPr>
          <w:rFonts w:asciiTheme="minorHAnsi" w:hAnsiTheme="minorHAnsi" w:cstheme="minorHAnsi"/>
        </w:rPr>
        <w:t xml:space="preserve">, </w:t>
      </w:r>
      <w:r w:rsidRPr="001D202A">
        <w:rPr>
          <w:rFonts w:asciiTheme="minorHAnsi" w:hAnsiTheme="minorHAnsi" w:cstheme="minorHAnsi"/>
        </w:rPr>
        <w:t xml:space="preserve">the commissioners, and </w:t>
      </w:r>
      <w:r w:rsidR="00A03FB9" w:rsidRPr="001D202A">
        <w:rPr>
          <w:rFonts w:asciiTheme="minorHAnsi" w:hAnsiTheme="minorHAnsi" w:cstheme="minorHAnsi"/>
        </w:rPr>
        <w:t>other</w:t>
      </w:r>
      <w:r w:rsidRPr="001D202A">
        <w:rPr>
          <w:rFonts w:asciiTheme="minorHAnsi" w:hAnsiTheme="minorHAnsi" w:cstheme="minorHAnsi"/>
        </w:rPr>
        <w:t xml:space="preserve"> local stakeholders</w:t>
      </w:r>
      <w:r w:rsidR="00A03FB9" w:rsidRPr="001D202A">
        <w:rPr>
          <w:rFonts w:asciiTheme="minorHAnsi" w:hAnsiTheme="minorHAnsi" w:cstheme="minorHAnsi"/>
        </w:rPr>
        <w:t xml:space="preserve">, and </w:t>
      </w:r>
      <w:r w:rsidRPr="001D202A">
        <w:rPr>
          <w:rFonts w:asciiTheme="minorHAnsi" w:hAnsiTheme="minorHAnsi" w:cstheme="minorHAnsi"/>
        </w:rPr>
        <w:t>put forward to the Secretary of State and/or NHS Trust Development Authority for agreement.</w:t>
      </w:r>
    </w:p>
    <w:p w14:paraId="41DF6918" w14:textId="77777777" w:rsidR="00A03FB9" w:rsidRPr="004C3C03" w:rsidRDefault="00A03FB9" w:rsidP="001D202A">
      <w:pPr>
        <w:pStyle w:val="Default"/>
        <w:spacing w:line="480" w:lineRule="auto"/>
        <w:jc w:val="both"/>
        <w:rPr>
          <w:rFonts w:cstheme="minorHAnsi"/>
        </w:rPr>
      </w:pPr>
    </w:p>
    <w:p w14:paraId="250E8CDA" w14:textId="17256549" w:rsidR="00444898" w:rsidRPr="00283045" w:rsidRDefault="00444898" w:rsidP="00283045">
      <w:pPr>
        <w:spacing w:line="480" w:lineRule="auto"/>
        <w:rPr>
          <w:rFonts w:cstheme="minorHAnsi"/>
          <w:sz w:val="24"/>
          <w:szCs w:val="24"/>
        </w:rPr>
      </w:pPr>
      <w:r w:rsidRPr="00283045">
        <w:rPr>
          <w:rFonts w:cstheme="minorHAnsi"/>
          <w:sz w:val="24"/>
          <w:szCs w:val="24"/>
        </w:rPr>
        <w:t>A number of merger cases are particularly noteworthy</w:t>
      </w:r>
      <w:r w:rsidR="009C16FB">
        <w:rPr>
          <w:rFonts w:cstheme="minorHAnsi"/>
          <w:sz w:val="24"/>
          <w:szCs w:val="24"/>
        </w:rPr>
        <w:t>.</w:t>
      </w:r>
    </w:p>
    <w:p w14:paraId="0B568117" w14:textId="432059C8" w:rsidR="00507E32" w:rsidRDefault="00507E32" w:rsidP="00283045">
      <w:pPr>
        <w:spacing w:line="480" w:lineRule="auto"/>
        <w:jc w:val="both"/>
        <w:rPr>
          <w:rFonts w:cstheme="minorHAnsi"/>
          <w:sz w:val="24"/>
          <w:szCs w:val="24"/>
        </w:rPr>
      </w:pPr>
      <w:r>
        <w:rPr>
          <w:rFonts w:cstheme="minorHAnsi"/>
          <w:sz w:val="24"/>
          <w:szCs w:val="24"/>
        </w:rPr>
        <w:lastRenderedPageBreak/>
        <w:t xml:space="preserve">In one case, that of the proposed merger between the Nuffield Orthopaedic Centre NHS Trust and Oxford Radcliffe Hospitals NHS Trust, </w:t>
      </w:r>
      <w:r w:rsidR="008F7F33">
        <w:rPr>
          <w:rFonts w:cstheme="minorHAnsi"/>
          <w:sz w:val="24"/>
          <w:szCs w:val="24"/>
        </w:rPr>
        <w:t>the C</w:t>
      </w:r>
      <w:r w:rsidR="00CD0F8C">
        <w:rPr>
          <w:rFonts w:cstheme="minorHAnsi"/>
          <w:sz w:val="24"/>
          <w:szCs w:val="24"/>
        </w:rPr>
        <w:t xml:space="preserve">ooperation and </w:t>
      </w:r>
      <w:r w:rsidR="008F7F33">
        <w:rPr>
          <w:rFonts w:cstheme="minorHAnsi"/>
          <w:sz w:val="24"/>
          <w:szCs w:val="24"/>
        </w:rPr>
        <w:t>C</w:t>
      </w:r>
      <w:r w:rsidR="00CD0F8C">
        <w:rPr>
          <w:rFonts w:cstheme="minorHAnsi"/>
          <w:sz w:val="24"/>
          <w:szCs w:val="24"/>
        </w:rPr>
        <w:t xml:space="preserve">ompetition </w:t>
      </w:r>
      <w:r w:rsidR="008F7F33">
        <w:rPr>
          <w:rFonts w:cstheme="minorHAnsi"/>
          <w:sz w:val="24"/>
          <w:szCs w:val="24"/>
        </w:rPr>
        <w:t>P</w:t>
      </w:r>
      <w:r w:rsidR="00CD0F8C">
        <w:rPr>
          <w:rFonts w:cstheme="minorHAnsi"/>
          <w:sz w:val="24"/>
          <w:szCs w:val="24"/>
        </w:rPr>
        <w:t>anel</w:t>
      </w:r>
      <w:r w:rsidR="008F7F33">
        <w:rPr>
          <w:rFonts w:cstheme="minorHAnsi"/>
          <w:sz w:val="24"/>
          <w:szCs w:val="24"/>
        </w:rPr>
        <w:t xml:space="preserve"> approved the case even though the merger </w:t>
      </w:r>
      <w:r w:rsidR="00010AFE">
        <w:rPr>
          <w:rFonts w:cstheme="minorHAnsi"/>
          <w:sz w:val="24"/>
          <w:szCs w:val="24"/>
        </w:rPr>
        <w:t>would result in</w:t>
      </w:r>
      <w:r>
        <w:rPr>
          <w:rFonts w:cstheme="minorHAnsi"/>
          <w:sz w:val="24"/>
          <w:szCs w:val="24"/>
        </w:rPr>
        <w:t xml:space="preserve"> the loss of commissioner choice and competition in relation to routine elective orthopaedic services, as the benefits </w:t>
      </w:r>
      <w:r w:rsidR="00010AFE">
        <w:rPr>
          <w:rFonts w:cstheme="minorHAnsi"/>
          <w:sz w:val="24"/>
          <w:szCs w:val="24"/>
        </w:rPr>
        <w:t xml:space="preserve">(including better services, PFI (Private Finance Initiative) costs savings and the optimisation of estate) </w:t>
      </w:r>
      <w:r>
        <w:rPr>
          <w:rFonts w:cstheme="minorHAnsi"/>
          <w:sz w:val="24"/>
          <w:szCs w:val="24"/>
        </w:rPr>
        <w:t>were thought to outweigh the costs of the loss of competition</w:t>
      </w:r>
      <w:r w:rsidR="000F36F3">
        <w:rPr>
          <w:rFonts w:cstheme="minorHAnsi"/>
          <w:sz w:val="24"/>
          <w:szCs w:val="24"/>
        </w:rPr>
        <w:t>.</w:t>
      </w:r>
      <w:r>
        <w:rPr>
          <w:rFonts w:cstheme="minorHAnsi"/>
          <w:sz w:val="24"/>
          <w:szCs w:val="24"/>
        </w:rPr>
        <w:t xml:space="preserve"> This is the only case in which a merger which was found to be detrimental to choice and competition was recommended for approval without the identification of remedies.</w:t>
      </w:r>
    </w:p>
    <w:p w14:paraId="34C1CD56" w14:textId="7E94A657" w:rsidR="00C64E06" w:rsidRDefault="00507E32" w:rsidP="00283045">
      <w:pPr>
        <w:spacing w:line="480" w:lineRule="auto"/>
        <w:jc w:val="both"/>
        <w:rPr>
          <w:rFonts w:cstheme="minorHAnsi"/>
          <w:sz w:val="24"/>
          <w:szCs w:val="24"/>
        </w:rPr>
      </w:pPr>
      <w:r>
        <w:rPr>
          <w:rFonts w:cstheme="minorHAnsi"/>
          <w:sz w:val="24"/>
          <w:szCs w:val="24"/>
        </w:rPr>
        <w:t xml:space="preserve">In other cases suitable remedies were identified. </w:t>
      </w:r>
      <w:r w:rsidR="00C64E06">
        <w:rPr>
          <w:rFonts w:cstheme="minorHAnsi"/>
          <w:sz w:val="24"/>
          <w:szCs w:val="24"/>
        </w:rPr>
        <w:t>Some of these were structural. In the case of the proposed merger of Outer North East London Community Services and North East London NHS Foundation Trust</w:t>
      </w:r>
      <w:r w:rsidR="009573A5">
        <w:rPr>
          <w:rFonts w:cstheme="minorHAnsi"/>
          <w:sz w:val="24"/>
          <w:szCs w:val="24"/>
        </w:rPr>
        <w:t>,</w:t>
      </w:r>
      <w:r w:rsidR="00C64E06">
        <w:rPr>
          <w:rFonts w:cstheme="minorHAnsi"/>
          <w:sz w:val="24"/>
          <w:szCs w:val="24"/>
        </w:rPr>
        <w:t xml:space="preserve"> the C</w:t>
      </w:r>
      <w:r w:rsidR="00CD0F8C">
        <w:rPr>
          <w:rFonts w:cstheme="minorHAnsi"/>
          <w:sz w:val="24"/>
          <w:szCs w:val="24"/>
        </w:rPr>
        <w:t xml:space="preserve">ooperation and </w:t>
      </w:r>
      <w:r w:rsidR="00C64E06">
        <w:rPr>
          <w:rFonts w:cstheme="minorHAnsi"/>
          <w:sz w:val="24"/>
          <w:szCs w:val="24"/>
        </w:rPr>
        <w:t>C</w:t>
      </w:r>
      <w:r w:rsidR="00CD0F8C">
        <w:rPr>
          <w:rFonts w:cstheme="minorHAnsi"/>
          <w:sz w:val="24"/>
          <w:szCs w:val="24"/>
        </w:rPr>
        <w:t xml:space="preserve">ompetition </w:t>
      </w:r>
      <w:r w:rsidR="00C64E06">
        <w:rPr>
          <w:rFonts w:cstheme="minorHAnsi"/>
          <w:sz w:val="24"/>
          <w:szCs w:val="24"/>
        </w:rPr>
        <w:t>P</w:t>
      </w:r>
      <w:r w:rsidR="00CD0F8C">
        <w:rPr>
          <w:rFonts w:cstheme="minorHAnsi"/>
          <w:sz w:val="24"/>
          <w:szCs w:val="24"/>
        </w:rPr>
        <w:t>anel</w:t>
      </w:r>
      <w:r w:rsidR="00C64E06">
        <w:rPr>
          <w:rFonts w:cstheme="minorHAnsi"/>
          <w:sz w:val="24"/>
          <w:szCs w:val="24"/>
        </w:rPr>
        <w:t xml:space="preserve"> recommended the transfer of a particular service to the local Council in order to avoid a loss of competition in a particular service area</w:t>
      </w:r>
      <w:r w:rsidR="000F36F3">
        <w:rPr>
          <w:rFonts w:cstheme="minorHAnsi"/>
          <w:sz w:val="24"/>
          <w:szCs w:val="24"/>
        </w:rPr>
        <w:t>.</w:t>
      </w:r>
      <w:r w:rsidR="00C64E06">
        <w:rPr>
          <w:rFonts w:cstheme="minorHAnsi"/>
          <w:sz w:val="24"/>
          <w:szCs w:val="24"/>
        </w:rPr>
        <w:t xml:space="preserve"> In the case of the merger of two mental health trusts in March 2011 (Norfolk and Wavene</w:t>
      </w:r>
      <w:r w:rsidR="00920D1B">
        <w:rPr>
          <w:rFonts w:cstheme="minorHAnsi"/>
          <w:sz w:val="24"/>
          <w:szCs w:val="24"/>
        </w:rPr>
        <w:t>y Mental Health NHS Foundation T</w:t>
      </w:r>
      <w:r w:rsidR="00C64E06">
        <w:rPr>
          <w:rFonts w:cstheme="minorHAnsi"/>
          <w:sz w:val="24"/>
          <w:szCs w:val="24"/>
        </w:rPr>
        <w:t>rust and Suffolk Mental Health NHS Partnership Trust)</w:t>
      </w:r>
      <w:r w:rsidR="00662B38">
        <w:rPr>
          <w:rFonts w:cstheme="minorHAnsi"/>
          <w:sz w:val="24"/>
          <w:szCs w:val="24"/>
        </w:rPr>
        <w:t xml:space="preserve"> </w:t>
      </w:r>
      <w:r w:rsidR="00C64E06">
        <w:rPr>
          <w:rFonts w:cstheme="minorHAnsi"/>
          <w:sz w:val="24"/>
          <w:szCs w:val="24"/>
        </w:rPr>
        <w:t>a package of remedies w</w:t>
      </w:r>
      <w:r w:rsidR="00970BFE">
        <w:rPr>
          <w:rFonts w:cstheme="minorHAnsi"/>
          <w:sz w:val="24"/>
          <w:szCs w:val="24"/>
        </w:rPr>
        <w:t>as</w:t>
      </w:r>
      <w:r w:rsidR="00C64E06">
        <w:rPr>
          <w:rFonts w:cstheme="minorHAnsi"/>
          <w:sz w:val="24"/>
          <w:szCs w:val="24"/>
        </w:rPr>
        <w:t xml:space="preserve"> agreed including the retendering of a proportion of contracts.</w:t>
      </w:r>
    </w:p>
    <w:p w14:paraId="292A6FE3" w14:textId="143E3D3F" w:rsidR="00BA6941" w:rsidRPr="00283045" w:rsidRDefault="00C64E06" w:rsidP="00B53BF9">
      <w:pPr>
        <w:spacing w:line="480" w:lineRule="auto"/>
        <w:jc w:val="both"/>
        <w:rPr>
          <w:rFonts w:cstheme="minorHAnsi"/>
          <w:sz w:val="24"/>
          <w:szCs w:val="24"/>
        </w:rPr>
      </w:pPr>
      <w:r>
        <w:rPr>
          <w:rFonts w:cstheme="minorHAnsi"/>
          <w:sz w:val="24"/>
          <w:szCs w:val="24"/>
        </w:rPr>
        <w:t>In other cases, behavioural remedies</w:t>
      </w:r>
      <w:r w:rsidR="004654AE">
        <w:rPr>
          <w:rFonts w:cstheme="minorHAnsi"/>
          <w:sz w:val="24"/>
          <w:szCs w:val="24"/>
        </w:rPr>
        <w:t xml:space="preserve"> which regulated behaviour rather than addressed the inhibition of competition, were deemed acceptable.</w:t>
      </w:r>
    </w:p>
    <w:p w14:paraId="5E4F8B19" w14:textId="081E0F1B" w:rsidR="00177D3B" w:rsidRDefault="00BA6941" w:rsidP="00283045">
      <w:pPr>
        <w:spacing w:line="480" w:lineRule="auto"/>
        <w:jc w:val="both"/>
        <w:rPr>
          <w:rFonts w:cstheme="minorHAnsi"/>
          <w:sz w:val="24"/>
          <w:szCs w:val="24"/>
        </w:rPr>
      </w:pPr>
      <w:r w:rsidRPr="00283045">
        <w:rPr>
          <w:rFonts w:cstheme="minorHAnsi"/>
          <w:sz w:val="24"/>
          <w:szCs w:val="24"/>
        </w:rPr>
        <w:t>Firstly, in the case of the merger of Barts and the London</w:t>
      </w:r>
      <w:r w:rsidR="00457BEB">
        <w:rPr>
          <w:rFonts w:cstheme="minorHAnsi"/>
          <w:sz w:val="24"/>
          <w:szCs w:val="24"/>
        </w:rPr>
        <w:t xml:space="preserve"> School of Medicine and Dentistry</w:t>
      </w:r>
      <w:r w:rsidRPr="00283045">
        <w:rPr>
          <w:rFonts w:cstheme="minorHAnsi"/>
          <w:sz w:val="24"/>
          <w:szCs w:val="24"/>
        </w:rPr>
        <w:t>, Newham University Hospital NHS Trust and Whipps Cross Hospital NHS Trust</w:t>
      </w:r>
      <w:r w:rsidR="009573A5">
        <w:rPr>
          <w:rFonts w:cstheme="minorHAnsi"/>
          <w:sz w:val="24"/>
          <w:szCs w:val="24"/>
        </w:rPr>
        <w:t>,</w:t>
      </w:r>
      <w:r w:rsidRPr="00283045">
        <w:rPr>
          <w:rFonts w:cstheme="minorHAnsi"/>
          <w:sz w:val="24"/>
          <w:szCs w:val="24"/>
        </w:rPr>
        <w:t xml:space="preserve"> the C</w:t>
      </w:r>
      <w:r w:rsidR="00CD0F8C">
        <w:rPr>
          <w:rFonts w:cstheme="minorHAnsi"/>
          <w:sz w:val="24"/>
          <w:szCs w:val="24"/>
        </w:rPr>
        <w:t xml:space="preserve">ooperation and </w:t>
      </w:r>
      <w:r w:rsidRPr="00283045">
        <w:rPr>
          <w:rFonts w:cstheme="minorHAnsi"/>
          <w:sz w:val="24"/>
          <w:szCs w:val="24"/>
        </w:rPr>
        <w:t>C</w:t>
      </w:r>
      <w:r w:rsidR="00CD0F8C">
        <w:rPr>
          <w:rFonts w:cstheme="minorHAnsi"/>
          <w:sz w:val="24"/>
          <w:szCs w:val="24"/>
        </w:rPr>
        <w:t xml:space="preserve">ompetition </w:t>
      </w:r>
      <w:r w:rsidRPr="00283045">
        <w:rPr>
          <w:rFonts w:cstheme="minorHAnsi"/>
          <w:sz w:val="24"/>
          <w:szCs w:val="24"/>
        </w:rPr>
        <w:t>P</w:t>
      </w:r>
      <w:r w:rsidR="00CD0F8C">
        <w:rPr>
          <w:rFonts w:cstheme="minorHAnsi"/>
          <w:sz w:val="24"/>
          <w:szCs w:val="24"/>
        </w:rPr>
        <w:t>anel</w:t>
      </w:r>
      <w:r w:rsidRPr="00283045">
        <w:rPr>
          <w:rFonts w:cstheme="minorHAnsi"/>
          <w:sz w:val="24"/>
          <w:szCs w:val="24"/>
        </w:rPr>
        <w:t xml:space="preserve"> found the merger was likely to incur a loss of patient choice and competition</w:t>
      </w:r>
      <w:r w:rsidR="00A848F3">
        <w:rPr>
          <w:rFonts w:cstheme="minorHAnsi"/>
          <w:sz w:val="24"/>
          <w:szCs w:val="24"/>
        </w:rPr>
        <w:t xml:space="preserve">, but </w:t>
      </w:r>
      <w:r w:rsidRPr="00283045">
        <w:rPr>
          <w:rFonts w:cstheme="minorHAnsi"/>
          <w:sz w:val="24"/>
          <w:szCs w:val="24"/>
        </w:rPr>
        <w:t xml:space="preserve">noted the presence of factors which took </w:t>
      </w:r>
      <w:r w:rsidRPr="00283045">
        <w:rPr>
          <w:rFonts w:cstheme="minorHAnsi"/>
          <w:sz w:val="24"/>
          <w:szCs w:val="24"/>
        </w:rPr>
        <w:lastRenderedPageBreak/>
        <w:t xml:space="preserve">precedence over the need to ensure that choice and competition were preserved. These were that the commissioners were in favour of the merger, and that a ‘hostile’ takeover by another party would not be practical. </w:t>
      </w:r>
      <w:r w:rsidR="004654AE">
        <w:rPr>
          <w:rFonts w:cstheme="minorHAnsi"/>
          <w:sz w:val="24"/>
          <w:szCs w:val="24"/>
        </w:rPr>
        <w:t>A</w:t>
      </w:r>
      <w:r w:rsidR="00177D3B">
        <w:rPr>
          <w:rFonts w:cstheme="minorHAnsi"/>
          <w:sz w:val="24"/>
          <w:szCs w:val="24"/>
        </w:rPr>
        <w:t xml:space="preserve"> set of behavioural remedies were </w:t>
      </w:r>
      <w:r w:rsidR="004654AE">
        <w:rPr>
          <w:rFonts w:cstheme="minorHAnsi"/>
          <w:sz w:val="24"/>
          <w:szCs w:val="24"/>
        </w:rPr>
        <w:t>agreed</w:t>
      </w:r>
      <w:r w:rsidR="00A848F3">
        <w:rPr>
          <w:rFonts w:cstheme="minorHAnsi"/>
          <w:sz w:val="24"/>
          <w:szCs w:val="24"/>
        </w:rPr>
        <w:t>,</w:t>
      </w:r>
      <w:r w:rsidR="00177D3B">
        <w:rPr>
          <w:rFonts w:cstheme="minorHAnsi"/>
          <w:sz w:val="24"/>
          <w:szCs w:val="24"/>
        </w:rPr>
        <w:t xml:space="preserve"> includ</w:t>
      </w:r>
      <w:r w:rsidR="00A848F3">
        <w:rPr>
          <w:rFonts w:cstheme="minorHAnsi"/>
          <w:sz w:val="24"/>
          <w:szCs w:val="24"/>
        </w:rPr>
        <w:t>ing</w:t>
      </w:r>
      <w:r w:rsidR="00177D3B">
        <w:rPr>
          <w:rFonts w:cstheme="minorHAnsi"/>
          <w:sz w:val="24"/>
          <w:szCs w:val="24"/>
        </w:rPr>
        <w:t xml:space="preserve"> a requirement that the merger parties agree a set of quality indicators</w:t>
      </w:r>
      <w:r w:rsidR="00613BB6">
        <w:rPr>
          <w:rFonts w:cstheme="minorHAnsi"/>
          <w:sz w:val="24"/>
          <w:szCs w:val="24"/>
        </w:rPr>
        <w:t xml:space="preserve"> (such as quality visits by the commissioners, and commitment to achieving the claimed benefits of the merger)</w:t>
      </w:r>
      <w:r w:rsidR="00177D3B">
        <w:rPr>
          <w:rFonts w:cstheme="minorHAnsi"/>
          <w:sz w:val="24"/>
          <w:szCs w:val="24"/>
        </w:rPr>
        <w:t>, reflecting a higher quality than would be expected without the merger</w:t>
      </w:r>
      <w:r w:rsidR="00613BB6">
        <w:rPr>
          <w:rFonts w:cstheme="minorHAnsi"/>
          <w:sz w:val="24"/>
          <w:szCs w:val="24"/>
        </w:rPr>
        <w:t xml:space="preserve">. </w:t>
      </w:r>
    </w:p>
    <w:p w14:paraId="2C982543" w14:textId="01AD37D7" w:rsidR="00177D3B" w:rsidRPr="00283045" w:rsidRDefault="00CB5AC7" w:rsidP="00283045">
      <w:pPr>
        <w:spacing w:line="480" w:lineRule="auto"/>
        <w:jc w:val="both"/>
        <w:rPr>
          <w:rFonts w:cstheme="minorHAnsi"/>
          <w:sz w:val="24"/>
          <w:szCs w:val="24"/>
        </w:rPr>
      </w:pPr>
      <w:r>
        <w:rPr>
          <w:rFonts w:cstheme="minorHAnsi"/>
          <w:sz w:val="24"/>
          <w:szCs w:val="24"/>
        </w:rPr>
        <w:t>Three</w:t>
      </w:r>
      <w:r w:rsidR="00177D3B">
        <w:rPr>
          <w:rFonts w:cstheme="minorHAnsi"/>
          <w:sz w:val="24"/>
          <w:szCs w:val="24"/>
        </w:rPr>
        <w:t xml:space="preserve"> further mergers were also approved by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177D3B">
        <w:rPr>
          <w:rFonts w:cstheme="minorHAnsi"/>
          <w:sz w:val="24"/>
          <w:szCs w:val="24"/>
        </w:rPr>
        <w:t xml:space="preserve"> subject to behavioural remedies</w:t>
      </w:r>
      <w:r w:rsidR="00926D6C">
        <w:rPr>
          <w:rFonts w:cstheme="minorHAnsi"/>
          <w:sz w:val="24"/>
          <w:szCs w:val="24"/>
        </w:rPr>
        <w:t xml:space="preserve"> (Lewisham Hospital NHS Trust with Lewisham PCT provider services arm, South Birmingham PCT, Heart of Birmingham PCT and Birmingham East and North PCT, Dartford and Gravesend NHS Trust and Medway NHS Foundation Trust)</w:t>
      </w:r>
      <w:r w:rsidR="004654AE">
        <w:rPr>
          <w:rFonts w:cstheme="minorHAnsi"/>
          <w:sz w:val="24"/>
          <w:szCs w:val="24"/>
        </w:rPr>
        <w:t>, including</w:t>
      </w:r>
      <w:r w:rsidR="00804A60">
        <w:rPr>
          <w:rFonts w:cstheme="minorHAnsi"/>
          <w:sz w:val="24"/>
          <w:szCs w:val="24"/>
        </w:rPr>
        <w:t xml:space="preserve">: </w:t>
      </w:r>
      <w:r w:rsidR="00FD5594">
        <w:rPr>
          <w:rFonts w:cstheme="minorHAnsi"/>
          <w:sz w:val="24"/>
          <w:szCs w:val="24"/>
        </w:rPr>
        <w:t>the monitoring of the provision of choice of provider to patients by the merged organisation and the investigation of any lapses</w:t>
      </w:r>
      <w:r w:rsidR="00A62F62">
        <w:rPr>
          <w:rFonts w:cstheme="minorHAnsi"/>
          <w:sz w:val="24"/>
          <w:szCs w:val="24"/>
        </w:rPr>
        <w:t>;</w:t>
      </w:r>
      <w:r w:rsidR="00FD5594">
        <w:rPr>
          <w:rFonts w:cstheme="minorHAnsi"/>
          <w:sz w:val="24"/>
          <w:szCs w:val="24"/>
        </w:rPr>
        <w:t xml:space="preserve"> compliance with the rules specifying how choice of provider should be offered to patients and the collection of evidence of this compliance</w:t>
      </w:r>
      <w:r w:rsidR="00804A60">
        <w:rPr>
          <w:rFonts w:cstheme="minorHAnsi"/>
          <w:sz w:val="24"/>
          <w:szCs w:val="24"/>
        </w:rPr>
        <w:t>;</w:t>
      </w:r>
      <w:r>
        <w:rPr>
          <w:rFonts w:cstheme="minorHAnsi"/>
          <w:sz w:val="24"/>
          <w:szCs w:val="24"/>
        </w:rPr>
        <w:t xml:space="preserve"> </w:t>
      </w:r>
      <w:r w:rsidR="00A62F62">
        <w:rPr>
          <w:rFonts w:cstheme="minorHAnsi"/>
          <w:sz w:val="24"/>
          <w:szCs w:val="24"/>
        </w:rPr>
        <w:t xml:space="preserve">and </w:t>
      </w:r>
      <w:r w:rsidR="001714EE">
        <w:rPr>
          <w:rFonts w:cstheme="minorHAnsi"/>
          <w:sz w:val="24"/>
          <w:szCs w:val="24"/>
        </w:rPr>
        <w:t>the promotion of patient choice by commissioners and the measurement of service quality indicators with action to address decline, including retendering if necessary</w:t>
      </w:r>
      <w:r w:rsidR="000F36F3">
        <w:rPr>
          <w:rFonts w:cstheme="minorHAnsi"/>
          <w:sz w:val="24"/>
          <w:szCs w:val="24"/>
        </w:rPr>
        <w:t>.</w:t>
      </w:r>
      <w:r w:rsidR="001714EE">
        <w:rPr>
          <w:rFonts w:cstheme="minorHAnsi"/>
          <w:sz w:val="24"/>
          <w:szCs w:val="24"/>
        </w:rPr>
        <w:t xml:space="preserve"> </w:t>
      </w:r>
    </w:p>
    <w:p w14:paraId="61B92315" w14:textId="2BB33B32" w:rsidR="0019123D" w:rsidRPr="00283045" w:rsidRDefault="000C263E" w:rsidP="00283045">
      <w:pPr>
        <w:spacing w:line="480" w:lineRule="auto"/>
        <w:jc w:val="both"/>
        <w:rPr>
          <w:rFonts w:cstheme="minorHAnsi"/>
          <w:sz w:val="24"/>
          <w:szCs w:val="24"/>
        </w:rPr>
      </w:pPr>
      <w:r w:rsidRPr="001C492A">
        <w:rPr>
          <w:rFonts w:cstheme="minorHAnsi"/>
          <w:sz w:val="24"/>
          <w:szCs w:val="24"/>
        </w:rPr>
        <w:t xml:space="preserve">It appears that in the vast majority of cases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Pr="001C492A">
        <w:rPr>
          <w:rFonts w:cstheme="minorHAnsi"/>
          <w:sz w:val="24"/>
          <w:szCs w:val="24"/>
        </w:rPr>
        <w:t xml:space="preserve"> </w:t>
      </w:r>
      <w:r w:rsidR="004C7929">
        <w:rPr>
          <w:rFonts w:cstheme="minorHAnsi"/>
          <w:sz w:val="24"/>
          <w:szCs w:val="24"/>
        </w:rPr>
        <w:t xml:space="preserve">merger </w:t>
      </w:r>
      <w:r w:rsidR="00CA5A31" w:rsidRPr="001C492A">
        <w:rPr>
          <w:rFonts w:cstheme="minorHAnsi"/>
          <w:sz w:val="24"/>
          <w:szCs w:val="24"/>
        </w:rPr>
        <w:t xml:space="preserve">recommendations </w:t>
      </w:r>
      <w:r w:rsidRPr="001C492A">
        <w:rPr>
          <w:rFonts w:cstheme="minorHAnsi"/>
          <w:sz w:val="24"/>
          <w:szCs w:val="24"/>
        </w:rPr>
        <w:t>were accepted</w:t>
      </w:r>
      <w:r w:rsidR="008F7F33">
        <w:rPr>
          <w:rFonts w:cstheme="minorHAnsi"/>
          <w:sz w:val="24"/>
          <w:szCs w:val="24"/>
        </w:rPr>
        <w:t>. However, there were</w:t>
      </w:r>
      <w:r w:rsidRPr="001C492A">
        <w:rPr>
          <w:rFonts w:cstheme="minorHAnsi"/>
          <w:sz w:val="24"/>
          <w:szCs w:val="24"/>
        </w:rPr>
        <w:t xml:space="preserve"> two occasions where the Secretary of State intervened: once </w:t>
      </w:r>
      <w:r w:rsidR="004C7929">
        <w:rPr>
          <w:rFonts w:cstheme="minorHAnsi"/>
          <w:sz w:val="24"/>
          <w:szCs w:val="24"/>
        </w:rPr>
        <w:t>(</w:t>
      </w:r>
      <w:r w:rsidR="000535BE">
        <w:rPr>
          <w:rFonts w:cstheme="minorHAnsi"/>
          <w:sz w:val="24"/>
          <w:szCs w:val="24"/>
        </w:rPr>
        <w:t xml:space="preserve">the proposed merger of </w:t>
      </w:r>
      <w:r w:rsidR="004C7929">
        <w:rPr>
          <w:rFonts w:cstheme="minorHAnsi"/>
          <w:sz w:val="24"/>
          <w:szCs w:val="24"/>
        </w:rPr>
        <w:t>Outer North East London Community Services and North East London NHS Foundation Trust)</w:t>
      </w:r>
      <w:r w:rsidR="00BA6941" w:rsidRPr="00283045">
        <w:rPr>
          <w:rFonts w:cstheme="minorHAnsi"/>
          <w:sz w:val="24"/>
          <w:szCs w:val="24"/>
        </w:rPr>
        <w:t xml:space="preserve">, </w:t>
      </w:r>
      <w:r w:rsidR="009573A5">
        <w:rPr>
          <w:rFonts w:cstheme="minorHAnsi"/>
          <w:sz w:val="24"/>
          <w:szCs w:val="24"/>
        </w:rPr>
        <w:t xml:space="preserve">where the Secretary of State </w:t>
      </w:r>
      <w:r w:rsidR="00BA6941" w:rsidRPr="00283045">
        <w:rPr>
          <w:rFonts w:cstheme="minorHAnsi"/>
          <w:sz w:val="24"/>
          <w:szCs w:val="24"/>
        </w:rPr>
        <w:t>ask</w:t>
      </w:r>
      <w:r w:rsidR="009573A5">
        <w:rPr>
          <w:rFonts w:cstheme="minorHAnsi"/>
          <w:sz w:val="24"/>
          <w:szCs w:val="24"/>
        </w:rPr>
        <w:t>ed</w:t>
      </w:r>
      <w:r w:rsidR="00BA6941" w:rsidRPr="00283045">
        <w:rPr>
          <w:rFonts w:cstheme="minorHAnsi"/>
          <w:sz w:val="24"/>
          <w:szCs w:val="24"/>
        </w:rPr>
        <w:t xml:space="preserve"> the merging parties to provide reassurance regarding the management of potential conflicts of interest</w:t>
      </w:r>
      <w:r w:rsidR="00834CB2" w:rsidRPr="00283045">
        <w:rPr>
          <w:rFonts w:cstheme="minorHAnsi"/>
          <w:sz w:val="24"/>
          <w:szCs w:val="24"/>
        </w:rPr>
        <w:t xml:space="preserve"> occurring due to the GPs’ </w:t>
      </w:r>
      <w:r w:rsidR="00834CB2" w:rsidRPr="00283045">
        <w:rPr>
          <w:rFonts w:cstheme="minorHAnsi"/>
          <w:sz w:val="24"/>
          <w:szCs w:val="24"/>
        </w:rPr>
        <w:lastRenderedPageBreak/>
        <w:t>role as both the provider and commissioner of services</w:t>
      </w:r>
      <w:r w:rsidR="000F36F3">
        <w:rPr>
          <w:rFonts w:cstheme="minorHAnsi"/>
          <w:sz w:val="24"/>
          <w:szCs w:val="24"/>
        </w:rPr>
        <w:t>,</w:t>
      </w:r>
      <w:r>
        <w:rPr>
          <w:rFonts w:cstheme="minorHAnsi"/>
          <w:sz w:val="24"/>
          <w:szCs w:val="24"/>
        </w:rPr>
        <w:t xml:space="preserve"> and once in relation to the merger involving Barts</w:t>
      </w:r>
      <w:r w:rsidR="0000042B">
        <w:rPr>
          <w:rFonts w:cstheme="minorHAnsi"/>
          <w:sz w:val="24"/>
          <w:szCs w:val="24"/>
        </w:rPr>
        <w:t xml:space="preserve"> </w:t>
      </w:r>
      <w:r w:rsidR="00424D6F">
        <w:rPr>
          <w:rFonts w:cstheme="minorHAnsi"/>
          <w:sz w:val="24"/>
          <w:szCs w:val="24"/>
        </w:rPr>
        <w:t>(referred to above)</w:t>
      </w:r>
      <w:r w:rsidR="009573A5">
        <w:rPr>
          <w:rFonts w:cstheme="minorHAnsi"/>
          <w:sz w:val="24"/>
          <w:szCs w:val="24"/>
        </w:rPr>
        <w:t xml:space="preserve">, where the Secretary of State </w:t>
      </w:r>
      <w:r w:rsidR="0000042B">
        <w:rPr>
          <w:rFonts w:cstheme="minorHAnsi"/>
          <w:sz w:val="24"/>
          <w:szCs w:val="24"/>
        </w:rPr>
        <w:t>alter</w:t>
      </w:r>
      <w:r w:rsidR="009573A5">
        <w:rPr>
          <w:rFonts w:cstheme="minorHAnsi"/>
          <w:sz w:val="24"/>
          <w:szCs w:val="24"/>
        </w:rPr>
        <w:t>ed</w:t>
      </w:r>
      <w:r w:rsidR="0000042B">
        <w:rPr>
          <w:rFonts w:cstheme="minorHAnsi"/>
          <w:sz w:val="24"/>
          <w:szCs w:val="24"/>
        </w:rPr>
        <w:t xml:space="preserve"> one of the proposed remedies</w:t>
      </w:r>
      <w:r w:rsidR="00A62F62">
        <w:rPr>
          <w:rFonts w:cstheme="minorHAnsi"/>
          <w:sz w:val="24"/>
          <w:szCs w:val="24"/>
        </w:rPr>
        <w:t xml:space="preserve"> </w:t>
      </w:r>
      <w:r w:rsidR="00A62F62">
        <w:rPr>
          <w:rFonts w:cstheme="minorHAnsi"/>
          <w:sz w:val="24"/>
          <w:szCs w:val="24"/>
        </w:rPr>
        <w:fldChar w:fldCharType="begin"/>
      </w:r>
      <w:r w:rsidR="00910153">
        <w:rPr>
          <w:rFonts w:cstheme="minorHAnsi"/>
          <w:sz w:val="24"/>
          <w:szCs w:val="24"/>
        </w:rPr>
        <w:instrText xml:space="preserve"> ADDIN EN.CITE &lt;EndNote&gt;&lt;Cite&gt;&lt;Author&gt;Secretary of State for Health&lt;/Author&gt;&lt;Year&gt;March 2012&lt;/Year&gt;&lt;RecNum&gt;570&lt;/RecNum&gt;&lt;DisplayText&gt;(Secretary of State for Health, March 2012)&lt;/DisplayText&gt;&lt;record&gt;&lt;rec-number&gt;570&lt;/rec-number&gt;&lt;foreign-keys&gt;&lt;key app="EN" db-id="za50fsw09wzvx0er2t2p0d0txzrw9x59d9a5"&gt;570&lt;/key&gt;&lt;/foreign-keys&gt;&lt;ref-type name="Generic"&gt;13&lt;/ref-type&gt;&lt;contributors&gt;&lt;authors&gt;&lt;author&gt;Secretary of State for Health,&lt;/author&gt;&lt;/authors&gt;&lt;/contributors&gt;&lt;titles&gt;&lt;title&gt;Letter from Secretary of State for Health to Professor M Spyer, Chair of NHS London&lt;/title&gt;&lt;/titles&gt;&lt;dates&gt;&lt;year&gt;March 2012&lt;/year&gt;&lt;/dates&gt;&lt;urls&gt;&lt;/urls&gt;&lt;/record&gt;&lt;/Cite&gt;&lt;/EndNote&gt;</w:instrText>
      </w:r>
      <w:r w:rsidR="00A62F62">
        <w:rPr>
          <w:rFonts w:cstheme="minorHAnsi"/>
          <w:sz w:val="24"/>
          <w:szCs w:val="24"/>
        </w:rPr>
        <w:fldChar w:fldCharType="separate"/>
      </w:r>
      <w:r w:rsidR="00A62F62">
        <w:rPr>
          <w:rFonts w:cstheme="minorHAnsi"/>
          <w:noProof/>
          <w:sz w:val="24"/>
          <w:szCs w:val="24"/>
        </w:rPr>
        <w:t>(</w:t>
      </w:r>
      <w:hyperlink w:anchor="_ENREF_39" w:tooltip="Secretary of State for Health, March 2012 #570" w:history="1">
        <w:r w:rsidR="00513FB0">
          <w:rPr>
            <w:rFonts w:cstheme="minorHAnsi"/>
            <w:noProof/>
            <w:sz w:val="24"/>
            <w:szCs w:val="24"/>
          </w:rPr>
          <w:t>Secretary of State for Health, March 2012</w:t>
        </w:r>
      </w:hyperlink>
      <w:r w:rsidR="00A62F62">
        <w:rPr>
          <w:rFonts w:cstheme="minorHAnsi"/>
          <w:noProof/>
          <w:sz w:val="24"/>
          <w:szCs w:val="24"/>
        </w:rPr>
        <w:t>)</w:t>
      </w:r>
      <w:r w:rsidR="00A62F62">
        <w:rPr>
          <w:rFonts w:cstheme="minorHAnsi"/>
          <w:sz w:val="24"/>
          <w:szCs w:val="24"/>
        </w:rPr>
        <w:fldChar w:fldCharType="end"/>
      </w:r>
      <w:r w:rsidR="000F36F3">
        <w:rPr>
          <w:rFonts w:cstheme="minorHAnsi"/>
          <w:sz w:val="24"/>
          <w:szCs w:val="24"/>
        </w:rPr>
        <w:t>.</w:t>
      </w:r>
    </w:p>
    <w:p w14:paraId="59C902C5" w14:textId="1DEE798A" w:rsidR="006D7BF3" w:rsidRPr="00283045" w:rsidRDefault="006C69E9" w:rsidP="00283045">
      <w:pPr>
        <w:spacing w:line="480" w:lineRule="auto"/>
        <w:jc w:val="both"/>
        <w:rPr>
          <w:rFonts w:cstheme="minorHAnsi"/>
          <w:sz w:val="24"/>
          <w:szCs w:val="24"/>
        </w:rPr>
      </w:pPr>
      <w:r w:rsidRPr="00283045">
        <w:rPr>
          <w:rFonts w:cstheme="minorHAnsi"/>
          <w:sz w:val="24"/>
          <w:szCs w:val="24"/>
        </w:rPr>
        <w:t xml:space="preserve">There was a single case where Monitor intervened after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Pr="00283045">
        <w:rPr>
          <w:rFonts w:cstheme="minorHAnsi"/>
          <w:sz w:val="24"/>
          <w:szCs w:val="24"/>
        </w:rPr>
        <w:t xml:space="preserve"> recommendation. </w:t>
      </w:r>
      <w:r w:rsidR="00A16271" w:rsidRPr="00283045">
        <w:rPr>
          <w:rFonts w:cstheme="minorHAnsi"/>
          <w:sz w:val="24"/>
          <w:szCs w:val="24"/>
        </w:rPr>
        <w:t xml:space="preserve">In </w:t>
      </w:r>
      <w:r w:rsidRPr="00283045">
        <w:rPr>
          <w:rFonts w:cstheme="minorHAnsi"/>
          <w:sz w:val="24"/>
          <w:szCs w:val="24"/>
        </w:rPr>
        <w:t>relation to</w:t>
      </w:r>
      <w:r w:rsidR="00A16271" w:rsidRPr="00283045">
        <w:rPr>
          <w:rFonts w:cstheme="minorHAnsi"/>
          <w:sz w:val="24"/>
          <w:szCs w:val="24"/>
        </w:rPr>
        <w:t xml:space="preserve"> the proposed merger of two mental health trusts (Norfolk and Waveney Mental Health NHS Foundation Trust and Suffolk Mental Health NHS Partnership Trust</w:t>
      </w:r>
      <w:r w:rsidR="00DB08E0">
        <w:rPr>
          <w:rFonts w:cstheme="minorHAnsi"/>
          <w:sz w:val="24"/>
          <w:szCs w:val="24"/>
        </w:rPr>
        <w:t xml:space="preserve"> (referred to above)</w:t>
      </w:r>
      <w:r w:rsidR="00A16271" w:rsidRPr="00283045">
        <w:rPr>
          <w:rFonts w:cstheme="minorHAnsi"/>
          <w:sz w:val="24"/>
          <w:szCs w:val="24"/>
        </w:rPr>
        <w:t xml:space="preserve">)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A16271" w:rsidRPr="00283045">
        <w:rPr>
          <w:rFonts w:cstheme="minorHAnsi"/>
          <w:sz w:val="24"/>
          <w:szCs w:val="24"/>
        </w:rPr>
        <w:t xml:space="preserve"> was unable to identify any remedies </w:t>
      </w:r>
      <w:r w:rsidR="000535BE">
        <w:rPr>
          <w:rFonts w:cstheme="minorHAnsi"/>
          <w:sz w:val="24"/>
          <w:szCs w:val="24"/>
        </w:rPr>
        <w:t>to</w:t>
      </w:r>
      <w:r w:rsidR="00A16271" w:rsidRPr="00283045">
        <w:rPr>
          <w:rFonts w:cstheme="minorHAnsi"/>
          <w:sz w:val="24"/>
          <w:szCs w:val="24"/>
        </w:rPr>
        <w:t xml:space="preserve"> mitigate the adverse effects of the proposed merger </w:t>
      </w:r>
      <w:r w:rsidR="0000042B">
        <w:rPr>
          <w:rFonts w:cstheme="minorHAnsi"/>
          <w:sz w:val="24"/>
          <w:szCs w:val="24"/>
        </w:rPr>
        <w:t xml:space="preserve">and </w:t>
      </w:r>
      <w:r w:rsidR="00A16271" w:rsidRPr="00283045">
        <w:rPr>
          <w:rFonts w:cstheme="minorHAnsi"/>
          <w:sz w:val="24"/>
          <w:szCs w:val="24"/>
        </w:rPr>
        <w:t>recommended that the merger should not occu</w:t>
      </w:r>
      <w:r w:rsidR="009C16FB">
        <w:rPr>
          <w:rFonts w:cstheme="minorHAnsi"/>
          <w:sz w:val="24"/>
          <w:szCs w:val="24"/>
        </w:rPr>
        <w:t>r</w:t>
      </w:r>
      <w:r w:rsidR="000F36F3">
        <w:rPr>
          <w:rFonts w:cstheme="minorHAnsi"/>
          <w:sz w:val="24"/>
          <w:szCs w:val="24"/>
        </w:rPr>
        <w:t>.</w:t>
      </w:r>
      <w:r w:rsidR="00A16271" w:rsidRPr="00283045">
        <w:rPr>
          <w:rFonts w:cstheme="minorHAnsi"/>
          <w:sz w:val="24"/>
          <w:szCs w:val="24"/>
        </w:rPr>
        <w:t xml:space="preserve"> However Monitor, upon presentation of new evidence regarding the benefits of the merger not considered by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A16271" w:rsidRPr="00283045">
        <w:rPr>
          <w:rFonts w:cstheme="minorHAnsi"/>
          <w:sz w:val="24"/>
          <w:szCs w:val="24"/>
        </w:rPr>
        <w:t xml:space="preserve">, </w:t>
      </w:r>
      <w:r w:rsidR="00434AE6" w:rsidRPr="00283045">
        <w:rPr>
          <w:rFonts w:cstheme="minorHAnsi"/>
          <w:sz w:val="24"/>
          <w:szCs w:val="24"/>
        </w:rPr>
        <w:t>decided that the merger should go ahead, on the ground</w:t>
      </w:r>
      <w:r w:rsidR="0000042B">
        <w:rPr>
          <w:rFonts w:cstheme="minorHAnsi"/>
          <w:sz w:val="24"/>
          <w:szCs w:val="24"/>
        </w:rPr>
        <w:t>s</w:t>
      </w:r>
      <w:r w:rsidR="00434AE6" w:rsidRPr="00283045">
        <w:rPr>
          <w:rFonts w:cstheme="minorHAnsi"/>
          <w:sz w:val="24"/>
          <w:szCs w:val="24"/>
        </w:rPr>
        <w:t xml:space="preserve"> that it would be in patients</w:t>
      </w:r>
      <w:r w:rsidR="00E703A4">
        <w:rPr>
          <w:rFonts w:cstheme="minorHAnsi"/>
          <w:sz w:val="24"/>
          <w:szCs w:val="24"/>
        </w:rPr>
        <w:t>’</w:t>
      </w:r>
      <w:r w:rsidR="00434AE6" w:rsidRPr="00283045">
        <w:rPr>
          <w:rFonts w:cstheme="minorHAnsi"/>
          <w:sz w:val="24"/>
          <w:szCs w:val="24"/>
        </w:rPr>
        <w:t xml:space="preserve"> interests in </w:t>
      </w:r>
      <w:r w:rsidR="007C0FA7" w:rsidRPr="00452DF3">
        <w:rPr>
          <w:rFonts w:cstheme="minorHAnsi"/>
          <w:sz w:val="24"/>
          <w:szCs w:val="24"/>
        </w:rPr>
        <w:t>relation</w:t>
      </w:r>
      <w:r w:rsidR="00434AE6" w:rsidRPr="00283045">
        <w:rPr>
          <w:rFonts w:cstheme="minorHAnsi"/>
          <w:sz w:val="24"/>
          <w:szCs w:val="24"/>
        </w:rPr>
        <w:t xml:space="preserve"> to quality and safety and that remedies could be put in place to mitigate the loss of choice and competition</w:t>
      </w:r>
      <w:r w:rsidR="00A62F62">
        <w:rPr>
          <w:rFonts w:cstheme="minorHAnsi"/>
          <w:sz w:val="24"/>
          <w:szCs w:val="24"/>
        </w:rPr>
        <w:t xml:space="preserve"> </w:t>
      </w:r>
      <w:r w:rsidR="00A62F62">
        <w:rPr>
          <w:rFonts w:cstheme="minorHAnsi"/>
          <w:sz w:val="24"/>
          <w:szCs w:val="24"/>
        </w:rPr>
        <w:fldChar w:fldCharType="begin"/>
      </w:r>
      <w:r w:rsidR="00A62F62">
        <w:rPr>
          <w:rFonts w:cstheme="minorHAnsi"/>
          <w:sz w:val="24"/>
          <w:szCs w:val="24"/>
        </w:rPr>
        <w:instrText xml:space="preserve"> ADDIN EN.CITE &lt;EndNote&gt;&lt;Cite&gt;&lt;Author&gt;Monitor&lt;/Author&gt;&lt;Year&gt;2011&lt;/Year&gt;&lt;RecNum&gt;572&lt;/RecNum&gt;&lt;DisplayText&gt;(Monitor, 2011)&lt;/DisplayText&gt;&lt;record&gt;&lt;rec-number&gt;572&lt;/rec-number&gt;&lt;foreign-keys&gt;&lt;key app="EN" db-id="za50fsw09wzvx0er2t2p0d0txzrw9x59d9a5"&gt;572&lt;/key&gt;&lt;/foreign-keys&gt;&lt;ref-type name="Report"&gt;27&lt;/ref-type&gt;&lt;contributors&gt;&lt;authors&gt;&lt;author&gt;Monitor&lt;/author&gt;&lt;/authors&gt;&lt;/contributors&gt;&lt;titles&gt;&lt;title&gt;Minutes of a Special Meeting of the Monitor Board (11 October 2011)&lt;/title&gt;&lt;/titles&gt;&lt;dates&gt;&lt;year&gt;2011&lt;/year&gt;&lt;/dates&gt;&lt;urls&gt;&lt;/urls&gt;&lt;/record&gt;&lt;/Cite&gt;&lt;/EndNote&gt;</w:instrText>
      </w:r>
      <w:r w:rsidR="00A62F62">
        <w:rPr>
          <w:rFonts w:cstheme="minorHAnsi"/>
          <w:sz w:val="24"/>
          <w:szCs w:val="24"/>
        </w:rPr>
        <w:fldChar w:fldCharType="separate"/>
      </w:r>
      <w:r w:rsidR="00A62F62">
        <w:rPr>
          <w:rFonts w:cstheme="minorHAnsi"/>
          <w:noProof/>
          <w:sz w:val="24"/>
          <w:szCs w:val="24"/>
        </w:rPr>
        <w:t>(</w:t>
      </w:r>
      <w:hyperlink w:anchor="_ENREF_28" w:tooltip="Monitor, 2011 #572" w:history="1">
        <w:r w:rsidR="00513FB0">
          <w:rPr>
            <w:rFonts w:cstheme="minorHAnsi"/>
            <w:noProof/>
            <w:sz w:val="24"/>
            <w:szCs w:val="24"/>
          </w:rPr>
          <w:t>Monitor, 2011</w:t>
        </w:r>
      </w:hyperlink>
      <w:r w:rsidR="00A62F62">
        <w:rPr>
          <w:rFonts w:cstheme="minorHAnsi"/>
          <w:noProof/>
          <w:sz w:val="24"/>
          <w:szCs w:val="24"/>
        </w:rPr>
        <w:t>)</w:t>
      </w:r>
      <w:r w:rsidR="00A62F62">
        <w:rPr>
          <w:rFonts w:cstheme="minorHAnsi"/>
          <w:sz w:val="24"/>
          <w:szCs w:val="24"/>
        </w:rPr>
        <w:fldChar w:fldCharType="end"/>
      </w:r>
      <w:r w:rsidR="000F36F3">
        <w:rPr>
          <w:rFonts w:cstheme="minorHAnsi"/>
          <w:sz w:val="24"/>
          <w:szCs w:val="24"/>
        </w:rPr>
        <w:t>.</w:t>
      </w:r>
    </w:p>
    <w:p w14:paraId="37610A56" w14:textId="77777777" w:rsidR="00DB08E0" w:rsidRDefault="00DB08E0" w:rsidP="00283045">
      <w:pPr>
        <w:spacing w:line="480" w:lineRule="auto"/>
        <w:jc w:val="both"/>
        <w:rPr>
          <w:rFonts w:cstheme="minorHAnsi"/>
          <w:sz w:val="24"/>
          <w:szCs w:val="24"/>
        </w:rPr>
      </w:pPr>
      <w:r>
        <w:rPr>
          <w:rFonts w:cstheme="minorHAnsi"/>
          <w:sz w:val="24"/>
          <w:szCs w:val="24"/>
        </w:rPr>
        <w:t>Two mergers were considered by Monitor under the ‘Principles and Rules’ as they commenced prior to HSCA 2012. One of these (the merger of parts of University Hospital Bristol NHS Foundation Trust and North Bristol NHS Trust) was found to be inconsistent with the ‘Principles and Rules’, but no action was taken as the merger had already taken place.</w:t>
      </w:r>
    </w:p>
    <w:p w14:paraId="384D4ABD" w14:textId="5C500DFF" w:rsidR="00773FEC" w:rsidRDefault="00DB08E0" w:rsidP="00283045">
      <w:pPr>
        <w:spacing w:line="480" w:lineRule="auto"/>
        <w:jc w:val="both"/>
        <w:rPr>
          <w:rFonts w:cstheme="minorHAnsi"/>
          <w:sz w:val="24"/>
          <w:szCs w:val="24"/>
        </w:rPr>
      </w:pPr>
      <w:r>
        <w:rPr>
          <w:rFonts w:cstheme="minorHAnsi"/>
          <w:sz w:val="24"/>
          <w:szCs w:val="24"/>
        </w:rPr>
        <w:t xml:space="preserve"> </w:t>
      </w:r>
      <w:r w:rsidR="00E423F7" w:rsidRPr="00283045">
        <w:rPr>
          <w:rFonts w:cstheme="minorHAnsi"/>
          <w:sz w:val="24"/>
          <w:szCs w:val="24"/>
        </w:rPr>
        <w:t>The</w:t>
      </w:r>
      <w:r w:rsidR="00590B99">
        <w:rPr>
          <w:rFonts w:cstheme="minorHAnsi"/>
          <w:sz w:val="24"/>
          <w:szCs w:val="24"/>
        </w:rPr>
        <w:t xml:space="preserve"> analysis of these</w:t>
      </w:r>
      <w:r w:rsidR="00E423F7" w:rsidRPr="00283045">
        <w:rPr>
          <w:rFonts w:cstheme="minorHAnsi"/>
          <w:sz w:val="24"/>
          <w:szCs w:val="24"/>
        </w:rPr>
        <w:t xml:space="preserve"> decisions reveal </w:t>
      </w:r>
      <w:r>
        <w:rPr>
          <w:rFonts w:cstheme="minorHAnsi"/>
          <w:sz w:val="24"/>
          <w:szCs w:val="24"/>
        </w:rPr>
        <w:t>some important</w:t>
      </w:r>
      <w:r w:rsidR="00590B99">
        <w:rPr>
          <w:rFonts w:cstheme="minorHAnsi"/>
          <w:sz w:val="24"/>
          <w:szCs w:val="24"/>
        </w:rPr>
        <w:t xml:space="preserve"> characteristics. Firstly, other factors</w:t>
      </w:r>
      <w:r w:rsidR="00E423F7" w:rsidRPr="00283045">
        <w:rPr>
          <w:rFonts w:cstheme="minorHAnsi"/>
          <w:sz w:val="24"/>
          <w:szCs w:val="24"/>
        </w:rPr>
        <w:t xml:space="preserve"> were considered in </w:t>
      </w:r>
      <w:r w:rsidR="00CA29DA" w:rsidRPr="00283045">
        <w:rPr>
          <w:rFonts w:cstheme="minorHAnsi"/>
          <w:sz w:val="24"/>
          <w:szCs w:val="24"/>
        </w:rPr>
        <w:t xml:space="preserve">addition to the protection competition </w:t>
      </w:r>
      <w:r w:rsidR="0000042B">
        <w:rPr>
          <w:rFonts w:cstheme="minorHAnsi"/>
          <w:sz w:val="24"/>
          <w:szCs w:val="24"/>
        </w:rPr>
        <w:t>such as the</w:t>
      </w:r>
      <w:r w:rsidR="00CA29DA" w:rsidRPr="00283045">
        <w:rPr>
          <w:rFonts w:cstheme="minorHAnsi"/>
          <w:sz w:val="24"/>
          <w:szCs w:val="24"/>
        </w:rPr>
        <w:t xml:space="preserve"> benefits of mergers to services, financial issues in area and local support for proposals</w:t>
      </w:r>
      <w:r w:rsidR="00443D27">
        <w:rPr>
          <w:rFonts w:cstheme="minorHAnsi"/>
          <w:sz w:val="24"/>
          <w:szCs w:val="24"/>
        </w:rPr>
        <w:t>.</w:t>
      </w:r>
      <w:r w:rsidR="00590B99">
        <w:rPr>
          <w:rFonts w:cstheme="minorHAnsi"/>
          <w:sz w:val="24"/>
          <w:szCs w:val="24"/>
        </w:rPr>
        <w:t xml:space="preserve"> Secondly, the </w:t>
      </w:r>
      <w:r w:rsidR="008F7F33">
        <w:rPr>
          <w:rFonts w:cstheme="minorHAnsi"/>
          <w:sz w:val="24"/>
          <w:szCs w:val="24"/>
        </w:rPr>
        <w:t xml:space="preserve">ability of the Secretary of State for Health and Monitor to </w:t>
      </w:r>
      <w:r w:rsidR="008F7F33">
        <w:rPr>
          <w:rFonts w:cstheme="minorHAnsi"/>
          <w:sz w:val="24"/>
          <w:szCs w:val="24"/>
        </w:rPr>
        <w:lastRenderedPageBreak/>
        <w:t>intervene in the judgements</w:t>
      </w:r>
      <w:r w:rsidR="00590B99">
        <w:rPr>
          <w:rFonts w:cstheme="minorHAnsi"/>
          <w:sz w:val="24"/>
          <w:szCs w:val="24"/>
        </w:rPr>
        <w:t>. Thirdly, the use of both behavioural and structural remedies</w:t>
      </w:r>
      <w:r w:rsidR="00133077">
        <w:rPr>
          <w:rFonts w:cstheme="minorHAnsi"/>
          <w:sz w:val="24"/>
          <w:szCs w:val="24"/>
        </w:rPr>
        <w:t xml:space="preserve"> to mitigate for the loss of competition.</w:t>
      </w:r>
      <w:r w:rsidR="00443D27">
        <w:rPr>
          <w:rFonts w:cstheme="minorHAnsi"/>
          <w:sz w:val="24"/>
          <w:szCs w:val="24"/>
        </w:rPr>
        <w:t xml:space="preserve"> </w:t>
      </w:r>
      <w:r w:rsidR="0000042B">
        <w:rPr>
          <w:rFonts w:cstheme="minorHAnsi"/>
          <w:sz w:val="24"/>
          <w:szCs w:val="24"/>
        </w:rPr>
        <w:t>It is</w:t>
      </w:r>
      <w:r w:rsidR="002D2AF9">
        <w:rPr>
          <w:rFonts w:cstheme="minorHAnsi"/>
          <w:sz w:val="24"/>
          <w:szCs w:val="24"/>
        </w:rPr>
        <w:t xml:space="preserve"> also</w:t>
      </w:r>
      <w:r w:rsidR="0000042B">
        <w:rPr>
          <w:rFonts w:cstheme="minorHAnsi"/>
          <w:sz w:val="24"/>
          <w:szCs w:val="24"/>
        </w:rPr>
        <w:t xml:space="preserve"> noteworthy that all proposed mergers </w:t>
      </w:r>
      <w:r w:rsidR="00EE43DB">
        <w:rPr>
          <w:rFonts w:cstheme="minorHAnsi"/>
          <w:sz w:val="24"/>
          <w:szCs w:val="24"/>
        </w:rPr>
        <w:t>proceeded</w:t>
      </w:r>
      <w:r w:rsidR="0000042B">
        <w:rPr>
          <w:rFonts w:cstheme="minorHAnsi"/>
          <w:sz w:val="24"/>
          <w:szCs w:val="24"/>
        </w:rPr>
        <w:t xml:space="preserve">. </w:t>
      </w:r>
    </w:p>
    <w:p w14:paraId="2EE55F1F" w14:textId="77777777" w:rsidR="004D781C" w:rsidRPr="00283045" w:rsidRDefault="004D781C" w:rsidP="00283045">
      <w:pPr>
        <w:spacing w:line="480" w:lineRule="auto"/>
        <w:jc w:val="both"/>
        <w:rPr>
          <w:rFonts w:cstheme="minorHAnsi"/>
          <w:i/>
          <w:sz w:val="24"/>
          <w:szCs w:val="24"/>
        </w:rPr>
      </w:pPr>
      <w:r w:rsidRPr="00283045">
        <w:rPr>
          <w:rFonts w:cstheme="minorHAnsi"/>
          <w:i/>
          <w:sz w:val="24"/>
          <w:szCs w:val="24"/>
        </w:rPr>
        <w:t>Procurement cases</w:t>
      </w:r>
    </w:p>
    <w:p w14:paraId="0F5BC0D7" w14:textId="024B2F12" w:rsidR="004D781C" w:rsidRPr="00283045" w:rsidRDefault="00E423F7" w:rsidP="00283045">
      <w:pPr>
        <w:spacing w:line="480" w:lineRule="auto"/>
        <w:jc w:val="both"/>
        <w:rPr>
          <w:rFonts w:cstheme="minorHAnsi"/>
          <w:sz w:val="24"/>
          <w:szCs w:val="24"/>
        </w:rPr>
      </w:pPr>
      <w:r w:rsidRPr="00283045">
        <w:rPr>
          <w:rFonts w:cstheme="minorHAnsi"/>
          <w:sz w:val="24"/>
          <w:szCs w:val="24"/>
        </w:rPr>
        <w:t xml:space="preserve">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Pr="00283045">
        <w:rPr>
          <w:rFonts w:cstheme="minorHAnsi"/>
          <w:sz w:val="24"/>
          <w:szCs w:val="24"/>
        </w:rPr>
        <w:t xml:space="preserve"> reviewed four procurement cases in response to complaints received. These r</w:t>
      </w:r>
      <w:r w:rsidR="004D781C" w:rsidRPr="00283045">
        <w:rPr>
          <w:rFonts w:cstheme="minorHAnsi"/>
          <w:sz w:val="24"/>
          <w:szCs w:val="24"/>
        </w:rPr>
        <w:t>elated to</w:t>
      </w:r>
      <w:r w:rsidR="00FD5594">
        <w:rPr>
          <w:rFonts w:cstheme="minorHAnsi"/>
          <w:sz w:val="24"/>
          <w:szCs w:val="24"/>
        </w:rPr>
        <w:t xml:space="preserve"> </w:t>
      </w:r>
      <w:r w:rsidR="004D781C" w:rsidRPr="00283045">
        <w:rPr>
          <w:rFonts w:cstheme="minorHAnsi"/>
          <w:sz w:val="24"/>
          <w:szCs w:val="24"/>
        </w:rPr>
        <w:t xml:space="preserve">procurement </w:t>
      </w:r>
      <w:r w:rsidR="00FD5594">
        <w:rPr>
          <w:rFonts w:cstheme="minorHAnsi"/>
          <w:sz w:val="24"/>
          <w:szCs w:val="24"/>
        </w:rPr>
        <w:t>exercises conducted by</w:t>
      </w:r>
      <w:r w:rsidR="00FD5594" w:rsidRPr="00283045">
        <w:rPr>
          <w:rFonts w:cstheme="minorHAnsi"/>
          <w:sz w:val="24"/>
          <w:szCs w:val="24"/>
        </w:rPr>
        <w:t xml:space="preserve"> </w:t>
      </w:r>
      <w:r w:rsidR="00DB08E0">
        <w:rPr>
          <w:rFonts w:cstheme="minorHAnsi"/>
          <w:sz w:val="24"/>
          <w:szCs w:val="24"/>
        </w:rPr>
        <w:t>NHS organisations</w:t>
      </w:r>
      <w:r w:rsidR="004D781C" w:rsidRPr="00283045">
        <w:rPr>
          <w:rFonts w:cstheme="minorHAnsi"/>
          <w:sz w:val="24"/>
          <w:szCs w:val="24"/>
        </w:rPr>
        <w:t xml:space="preserve">, and </w:t>
      </w:r>
      <w:r w:rsidRPr="00283045">
        <w:rPr>
          <w:rFonts w:cstheme="minorHAnsi"/>
          <w:sz w:val="24"/>
          <w:szCs w:val="24"/>
        </w:rPr>
        <w:t xml:space="preserve">were </w:t>
      </w:r>
      <w:r w:rsidR="004D781C" w:rsidRPr="00283045">
        <w:rPr>
          <w:rFonts w:cstheme="minorHAnsi"/>
          <w:sz w:val="24"/>
          <w:szCs w:val="24"/>
        </w:rPr>
        <w:t>raised by independent sector</w:t>
      </w:r>
      <w:r w:rsidR="002D2AF9">
        <w:rPr>
          <w:rFonts w:cstheme="minorHAnsi"/>
          <w:sz w:val="24"/>
          <w:szCs w:val="24"/>
        </w:rPr>
        <w:t xml:space="preserve"> organisations</w:t>
      </w:r>
      <w:r w:rsidR="0005404B">
        <w:rPr>
          <w:rFonts w:cstheme="minorHAnsi"/>
          <w:sz w:val="24"/>
          <w:szCs w:val="24"/>
        </w:rPr>
        <w:t xml:space="preserve"> (NHS North of Tyne procurement appeal, Kings College Hospital Foundation Trust procurement appeal, Ashford and St Peters Hospitals NHS Foundation Trust procurement appeal, and Nottingham University Hospitals NHS Trust procurement appeal)</w:t>
      </w:r>
      <w:r w:rsidR="002D2AF9">
        <w:rPr>
          <w:rFonts w:cstheme="minorHAnsi"/>
          <w:sz w:val="24"/>
          <w:szCs w:val="24"/>
        </w:rPr>
        <w:t>.</w:t>
      </w:r>
      <w:r w:rsidR="002D2AF9" w:rsidRPr="00283045">
        <w:rPr>
          <w:rFonts w:cstheme="minorHAnsi"/>
          <w:sz w:val="24"/>
          <w:szCs w:val="24"/>
        </w:rPr>
        <w:t xml:space="preserve"> </w:t>
      </w:r>
      <w:r w:rsidRPr="00283045">
        <w:rPr>
          <w:rFonts w:cstheme="minorHAnsi"/>
          <w:sz w:val="24"/>
          <w:szCs w:val="24"/>
        </w:rPr>
        <w:t>All complaints related to a</w:t>
      </w:r>
      <w:r w:rsidR="004D781C" w:rsidRPr="00283045">
        <w:rPr>
          <w:rFonts w:cstheme="minorHAnsi"/>
          <w:sz w:val="24"/>
          <w:szCs w:val="24"/>
        </w:rPr>
        <w:t>lleged breaches of Principle 1</w:t>
      </w:r>
      <w:r w:rsidRPr="00283045">
        <w:rPr>
          <w:rFonts w:cstheme="minorHAnsi"/>
          <w:sz w:val="24"/>
          <w:szCs w:val="24"/>
        </w:rPr>
        <w:t>, that commissioners must commission services from the providers best placed to deliver the need of their patients and populations</w:t>
      </w:r>
      <w:r w:rsidR="004D781C" w:rsidRPr="00283045">
        <w:rPr>
          <w:rFonts w:cstheme="minorHAnsi"/>
          <w:sz w:val="24"/>
          <w:szCs w:val="24"/>
        </w:rPr>
        <w:t xml:space="preserve"> and Principle 2</w:t>
      </w:r>
      <w:r w:rsidRPr="00283045">
        <w:rPr>
          <w:rFonts w:cstheme="minorHAnsi"/>
          <w:sz w:val="24"/>
          <w:szCs w:val="24"/>
        </w:rPr>
        <w:t>, that commissioning and procurement must be transparent and non-discriminatory.</w:t>
      </w:r>
      <w:r w:rsidR="00CA5A31">
        <w:rPr>
          <w:rFonts w:cstheme="minorHAnsi"/>
          <w:sz w:val="24"/>
          <w:szCs w:val="24"/>
        </w:rPr>
        <w:t xml:space="preserve"> </w:t>
      </w:r>
      <w:r w:rsidRPr="00283045">
        <w:rPr>
          <w:rFonts w:cstheme="minorHAnsi"/>
          <w:sz w:val="24"/>
          <w:szCs w:val="24"/>
        </w:rPr>
        <w:t xml:space="preserve">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4D781C" w:rsidRPr="00283045">
        <w:rPr>
          <w:rFonts w:cstheme="minorHAnsi"/>
          <w:sz w:val="24"/>
          <w:szCs w:val="24"/>
        </w:rPr>
        <w:t xml:space="preserve"> decided that all</w:t>
      </w:r>
      <w:r w:rsidRPr="00283045">
        <w:rPr>
          <w:rFonts w:cstheme="minorHAnsi"/>
          <w:sz w:val="24"/>
          <w:szCs w:val="24"/>
        </w:rPr>
        <w:t xml:space="preserve"> </w:t>
      </w:r>
      <w:r w:rsidR="008F7F33">
        <w:rPr>
          <w:rFonts w:cstheme="minorHAnsi"/>
          <w:sz w:val="24"/>
          <w:szCs w:val="24"/>
        </w:rPr>
        <w:t>four</w:t>
      </w:r>
      <w:r w:rsidRPr="00283045">
        <w:rPr>
          <w:rFonts w:cstheme="minorHAnsi"/>
          <w:sz w:val="24"/>
          <w:szCs w:val="24"/>
        </w:rPr>
        <w:t xml:space="preserve"> cases</w:t>
      </w:r>
      <w:r w:rsidR="004D781C" w:rsidRPr="00283045">
        <w:rPr>
          <w:rFonts w:cstheme="minorHAnsi"/>
          <w:sz w:val="24"/>
          <w:szCs w:val="24"/>
        </w:rPr>
        <w:t xml:space="preserve"> were within the range of reasonable decisions which could have been taken, </w:t>
      </w:r>
      <w:r w:rsidRPr="00283045">
        <w:rPr>
          <w:rFonts w:cstheme="minorHAnsi"/>
          <w:sz w:val="24"/>
          <w:szCs w:val="24"/>
        </w:rPr>
        <w:t xml:space="preserve">and did not breach the </w:t>
      </w:r>
      <w:r w:rsidR="00DB08E0">
        <w:rPr>
          <w:rFonts w:cstheme="minorHAnsi"/>
          <w:sz w:val="24"/>
          <w:szCs w:val="24"/>
        </w:rPr>
        <w:t>’</w:t>
      </w:r>
      <w:r w:rsidR="00C2545B">
        <w:rPr>
          <w:rFonts w:cstheme="minorHAnsi"/>
          <w:sz w:val="24"/>
          <w:szCs w:val="24"/>
        </w:rPr>
        <w:t>Principles and Rules</w:t>
      </w:r>
      <w:r w:rsidR="00DB08E0">
        <w:rPr>
          <w:rFonts w:cstheme="minorHAnsi"/>
          <w:sz w:val="24"/>
          <w:szCs w:val="24"/>
        </w:rPr>
        <w:t>’</w:t>
      </w:r>
      <w:r w:rsidRPr="00283045">
        <w:rPr>
          <w:rFonts w:cstheme="minorHAnsi"/>
          <w:sz w:val="24"/>
          <w:szCs w:val="24"/>
        </w:rPr>
        <w:t xml:space="preserve">. However they </w:t>
      </w:r>
      <w:r w:rsidR="004D781C" w:rsidRPr="00283045">
        <w:rPr>
          <w:rFonts w:cstheme="minorHAnsi"/>
          <w:sz w:val="24"/>
          <w:szCs w:val="24"/>
        </w:rPr>
        <w:t xml:space="preserve"> noted that there were aspects of procurement</w:t>
      </w:r>
      <w:r w:rsidR="00F66719">
        <w:rPr>
          <w:rFonts w:cstheme="minorHAnsi"/>
          <w:sz w:val="24"/>
          <w:szCs w:val="24"/>
        </w:rPr>
        <w:t>s</w:t>
      </w:r>
      <w:r w:rsidR="004D781C" w:rsidRPr="00283045">
        <w:rPr>
          <w:rFonts w:cstheme="minorHAnsi"/>
          <w:sz w:val="24"/>
          <w:szCs w:val="24"/>
        </w:rPr>
        <w:t xml:space="preserve"> which could have been improved</w:t>
      </w:r>
      <w:r w:rsidRPr="00283045">
        <w:rPr>
          <w:rFonts w:cstheme="minorHAnsi"/>
          <w:sz w:val="24"/>
          <w:szCs w:val="24"/>
        </w:rPr>
        <w:t>, whilst not constituting a breach.</w:t>
      </w:r>
    </w:p>
    <w:p w14:paraId="4E01C3A2" w14:textId="5E0CD8D1" w:rsidR="004D781C" w:rsidRPr="00283045" w:rsidRDefault="00E423F7" w:rsidP="00283045">
      <w:pPr>
        <w:spacing w:line="480" w:lineRule="auto"/>
        <w:jc w:val="both"/>
        <w:rPr>
          <w:rFonts w:cstheme="minorHAnsi"/>
          <w:sz w:val="24"/>
          <w:szCs w:val="24"/>
        </w:rPr>
      </w:pPr>
      <w:r w:rsidRPr="00283045">
        <w:rPr>
          <w:rFonts w:cstheme="minorHAnsi"/>
          <w:sz w:val="24"/>
          <w:szCs w:val="24"/>
        </w:rPr>
        <w:t xml:space="preserve">Two elements are of </w:t>
      </w:r>
      <w:r w:rsidR="00773FEC">
        <w:rPr>
          <w:rFonts w:cstheme="minorHAnsi"/>
          <w:sz w:val="24"/>
          <w:szCs w:val="24"/>
        </w:rPr>
        <w:t xml:space="preserve">particular </w:t>
      </w:r>
      <w:r w:rsidRPr="00283045">
        <w:rPr>
          <w:rFonts w:cstheme="minorHAnsi"/>
          <w:sz w:val="24"/>
          <w:szCs w:val="24"/>
        </w:rPr>
        <w:t xml:space="preserve">interest in relation to the </w:t>
      </w:r>
      <w:r w:rsidR="00F66719">
        <w:rPr>
          <w:rFonts w:cstheme="minorHAnsi"/>
          <w:sz w:val="24"/>
          <w:szCs w:val="24"/>
        </w:rPr>
        <w:t>p</w:t>
      </w:r>
      <w:r w:rsidRPr="00283045">
        <w:rPr>
          <w:rFonts w:cstheme="minorHAnsi"/>
          <w:sz w:val="24"/>
          <w:szCs w:val="24"/>
        </w:rPr>
        <w:t xml:space="preserve">rocurement </w:t>
      </w:r>
      <w:r w:rsidR="00F66719">
        <w:rPr>
          <w:rFonts w:cstheme="minorHAnsi"/>
          <w:sz w:val="24"/>
          <w:szCs w:val="24"/>
        </w:rPr>
        <w:t>c</w:t>
      </w:r>
      <w:r w:rsidRPr="00283045">
        <w:rPr>
          <w:rFonts w:cstheme="minorHAnsi"/>
          <w:sz w:val="24"/>
          <w:szCs w:val="24"/>
        </w:rPr>
        <w:t>ases. Firstly, the r</w:t>
      </w:r>
      <w:r w:rsidR="004D781C" w:rsidRPr="00283045">
        <w:rPr>
          <w:rFonts w:cstheme="minorHAnsi"/>
          <w:sz w:val="24"/>
          <w:szCs w:val="24"/>
        </w:rPr>
        <w:t xml:space="preserve">elatively small number of cases </w:t>
      </w:r>
      <w:r w:rsidRPr="00283045">
        <w:rPr>
          <w:rFonts w:cstheme="minorHAnsi"/>
          <w:sz w:val="24"/>
          <w:szCs w:val="24"/>
        </w:rPr>
        <w:t>suggests</w:t>
      </w:r>
      <w:r w:rsidR="004D781C" w:rsidRPr="00283045">
        <w:rPr>
          <w:rFonts w:cstheme="minorHAnsi"/>
          <w:sz w:val="24"/>
          <w:szCs w:val="24"/>
        </w:rPr>
        <w:t xml:space="preserve"> either </w:t>
      </w:r>
      <w:r w:rsidRPr="00283045">
        <w:rPr>
          <w:rFonts w:cstheme="minorHAnsi"/>
          <w:sz w:val="24"/>
          <w:szCs w:val="24"/>
        </w:rPr>
        <w:t xml:space="preserve">that </w:t>
      </w:r>
      <w:r w:rsidR="004D781C" w:rsidRPr="00283045">
        <w:rPr>
          <w:rFonts w:cstheme="minorHAnsi"/>
          <w:sz w:val="24"/>
          <w:szCs w:val="24"/>
        </w:rPr>
        <w:t>procurement processes</w:t>
      </w:r>
      <w:r w:rsidRPr="00283045">
        <w:rPr>
          <w:rFonts w:cstheme="minorHAnsi"/>
          <w:sz w:val="24"/>
          <w:szCs w:val="24"/>
        </w:rPr>
        <w:t xml:space="preserve"> were</w:t>
      </w:r>
      <w:r w:rsidR="004D781C" w:rsidRPr="00283045">
        <w:rPr>
          <w:rFonts w:cstheme="minorHAnsi"/>
          <w:sz w:val="24"/>
          <w:szCs w:val="24"/>
        </w:rPr>
        <w:t xml:space="preserve"> understood and enacted v</w:t>
      </w:r>
      <w:r w:rsidRPr="00283045">
        <w:rPr>
          <w:rFonts w:cstheme="minorHAnsi"/>
          <w:sz w:val="24"/>
          <w:szCs w:val="24"/>
        </w:rPr>
        <w:t>ery</w:t>
      </w:r>
      <w:r w:rsidR="004D781C" w:rsidRPr="00283045">
        <w:rPr>
          <w:rFonts w:cstheme="minorHAnsi"/>
          <w:sz w:val="24"/>
          <w:szCs w:val="24"/>
        </w:rPr>
        <w:t xml:space="preserve"> clearly, </w:t>
      </w:r>
      <w:r w:rsidRPr="00283045">
        <w:rPr>
          <w:rFonts w:cstheme="minorHAnsi"/>
          <w:sz w:val="24"/>
          <w:szCs w:val="24"/>
        </w:rPr>
        <w:t xml:space="preserve">that </w:t>
      </w:r>
      <w:r w:rsidR="004D781C" w:rsidRPr="00283045">
        <w:rPr>
          <w:rFonts w:cstheme="minorHAnsi"/>
          <w:sz w:val="24"/>
          <w:szCs w:val="24"/>
        </w:rPr>
        <w:t xml:space="preserve">issues were resolved locally, or </w:t>
      </w:r>
      <w:r w:rsidRPr="00283045">
        <w:rPr>
          <w:rFonts w:cstheme="minorHAnsi"/>
          <w:sz w:val="24"/>
          <w:szCs w:val="24"/>
        </w:rPr>
        <w:t xml:space="preserve">that organisations had </w:t>
      </w:r>
      <w:r w:rsidR="004D781C" w:rsidRPr="00283045">
        <w:rPr>
          <w:rFonts w:cstheme="minorHAnsi"/>
          <w:sz w:val="24"/>
          <w:szCs w:val="24"/>
        </w:rPr>
        <w:t>insufficient motivation to raise issues.</w:t>
      </w:r>
      <w:r w:rsidRPr="00283045">
        <w:rPr>
          <w:rFonts w:cstheme="minorHAnsi"/>
          <w:sz w:val="24"/>
          <w:szCs w:val="24"/>
        </w:rPr>
        <w:t xml:space="preserve"> </w:t>
      </w:r>
      <w:r w:rsidR="004654AE">
        <w:rPr>
          <w:rFonts w:cstheme="minorHAnsi"/>
          <w:sz w:val="24"/>
          <w:szCs w:val="24"/>
        </w:rPr>
        <w:t>Secondly, i</w:t>
      </w:r>
      <w:r w:rsidRPr="00283045">
        <w:rPr>
          <w:rFonts w:cstheme="minorHAnsi"/>
          <w:sz w:val="24"/>
          <w:szCs w:val="24"/>
        </w:rPr>
        <w:t xml:space="preserve">t is also noteworthy that all the complaints came from independent sector organisations. </w:t>
      </w:r>
    </w:p>
    <w:p w14:paraId="34BAFB4A" w14:textId="77777777" w:rsidR="004D781C" w:rsidRPr="00283045" w:rsidRDefault="004D781C" w:rsidP="00283045">
      <w:pPr>
        <w:spacing w:line="480" w:lineRule="auto"/>
        <w:rPr>
          <w:rFonts w:cstheme="minorHAnsi"/>
          <w:i/>
          <w:sz w:val="24"/>
          <w:szCs w:val="24"/>
        </w:rPr>
      </w:pPr>
      <w:r w:rsidRPr="00283045">
        <w:rPr>
          <w:rFonts w:cstheme="minorHAnsi"/>
          <w:i/>
          <w:sz w:val="24"/>
          <w:szCs w:val="24"/>
        </w:rPr>
        <w:lastRenderedPageBreak/>
        <w:t>Conduct cases</w:t>
      </w:r>
    </w:p>
    <w:p w14:paraId="21070E67" w14:textId="59B1A5E4" w:rsidR="00EF5B63" w:rsidRPr="00283045" w:rsidRDefault="00C82484" w:rsidP="00283045">
      <w:pPr>
        <w:spacing w:line="480" w:lineRule="auto"/>
        <w:jc w:val="both"/>
        <w:rPr>
          <w:rFonts w:cstheme="minorHAnsi"/>
          <w:sz w:val="24"/>
          <w:szCs w:val="24"/>
        </w:rPr>
      </w:pPr>
      <w:r>
        <w:rPr>
          <w:rFonts w:cstheme="minorHAnsi"/>
          <w:sz w:val="24"/>
          <w:szCs w:val="24"/>
        </w:rPr>
        <w:t>Eleven</w:t>
      </w:r>
      <w:r w:rsidRPr="00283045">
        <w:rPr>
          <w:rFonts w:cstheme="minorHAnsi"/>
          <w:sz w:val="24"/>
          <w:szCs w:val="24"/>
        </w:rPr>
        <w:t xml:space="preserve"> </w:t>
      </w:r>
      <w:r w:rsidR="00960321" w:rsidRPr="00283045">
        <w:rPr>
          <w:rFonts w:cstheme="minorHAnsi"/>
          <w:sz w:val="24"/>
          <w:szCs w:val="24"/>
        </w:rPr>
        <w:t xml:space="preserve">conduct </w:t>
      </w:r>
      <w:r w:rsidR="004D781C" w:rsidRPr="00283045">
        <w:rPr>
          <w:rFonts w:cstheme="minorHAnsi"/>
          <w:sz w:val="24"/>
          <w:szCs w:val="24"/>
        </w:rPr>
        <w:t>cases were investigated</w:t>
      </w:r>
      <w:r w:rsidR="00960321" w:rsidRPr="00283045">
        <w:rPr>
          <w:rFonts w:cstheme="minorHAnsi"/>
          <w:sz w:val="24"/>
          <w:szCs w:val="24"/>
        </w:rPr>
        <w:t>,</w:t>
      </w:r>
      <w:r w:rsidR="004D781C" w:rsidRPr="00283045">
        <w:rPr>
          <w:rFonts w:cstheme="minorHAnsi"/>
          <w:sz w:val="24"/>
          <w:szCs w:val="24"/>
        </w:rPr>
        <w:t xml:space="preserve"> </w:t>
      </w:r>
      <w:r w:rsidR="009E1245">
        <w:rPr>
          <w:rFonts w:cstheme="minorHAnsi"/>
          <w:sz w:val="24"/>
          <w:szCs w:val="24"/>
        </w:rPr>
        <w:t>four</w:t>
      </w:r>
      <w:r w:rsidR="009E1245" w:rsidRPr="00283045">
        <w:rPr>
          <w:rFonts w:cstheme="minorHAnsi"/>
          <w:sz w:val="24"/>
          <w:szCs w:val="24"/>
        </w:rPr>
        <w:t xml:space="preserve"> </w:t>
      </w:r>
      <w:r w:rsidR="00960321" w:rsidRPr="00283045">
        <w:rPr>
          <w:rFonts w:cstheme="minorHAnsi"/>
          <w:sz w:val="24"/>
          <w:szCs w:val="24"/>
        </w:rPr>
        <w:t xml:space="preserve">of which were </w:t>
      </w:r>
      <w:r w:rsidR="004D781C" w:rsidRPr="00283045">
        <w:rPr>
          <w:rFonts w:cstheme="minorHAnsi"/>
          <w:sz w:val="24"/>
          <w:szCs w:val="24"/>
        </w:rPr>
        <w:t>joint conduct</w:t>
      </w:r>
      <w:r w:rsidR="00960321" w:rsidRPr="00283045">
        <w:rPr>
          <w:rFonts w:cstheme="minorHAnsi"/>
          <w:sz w:val="24"/>
          <w:szCs w:val="24"/>
        </w:rPr>
        <w:t xml:space="preserve"> and </w:t>
      </w:r>
      <w:r w:rsidR="004D781C" w:rsidRPr="00283045">
        <w:rPr>
          <w:rFonts w:cstheme="minorHAnsi"/>
          <w:sz w:val="24"/>
          <w:szCs w:val="24"/>
        </w:rPr>
        <w:t xml:space="preserve">procurement cases. </w:t>
      </w:r>
      <w:r w:rsidR="009E1245">
        <w:rPr>
          <w:rFonts w:cstheme="minorHAnsi"/>
          <w:sz w:val="24"/>
          <w:szCs w:val="24"/>
        </w:rPr>
        <w:t xml:space="preserve">All complaints were made by independent sector organisations regarding the conduct of NHS organisations. </w:t>
      </w:r>
      <w:r w:rsidR="00594481">
        <w:rPr>
          <w:rFonts w:cstheme="minorHAnsi"/>
          <w:sz w:val="24"/>
          <w:szCs w:val="24"/>
        </w:rPr>
        <w:t>The conduct provisions concerned the need for commissioners to act transparently, fairly and in a non-discriminatory manner, and for commissioners and providers to promote equality and ensure choice was not restricted against patients</w:t>
      </w:r>
      <w:r w:rsidR="002A26C6">
        <w:rPr>
          <w:rFonts w:cstheme="minorHAnsi"/>
          <w:sz w:val="24"/>
          <w:szCs w:val="24"/>
        </w:rPr>
        <w:t>’</w:t>
      </w:r>
      <w:r w:rsidR="00594481">
        <w:rPr>
          <w:rFonts w:cstheme="minorHAnsi"/>
          <w:sz w:val="24"/>
          <w:szCs w:val="24"/>
        </w:rPr>
        <w:t xml:space="preserve"> interests. </w:t>
      </w:r>
      <w:r w:rsidR="00AE20D8" w:rsidRPr="00283045">
        <w:rPr>
          <w:rFonts w:cstheme="minorHAnsi"/>
          <w:sz w:val="24"/>
          <w:szCs w:val="24"/>
        </w:rPr>
        <w:t xml:space="preserve">Conduct complaints </w:t>
      </w:r>
      <w:r w:rsidR="00BB11B0">
        <w:rPr>
          <w:rFonts w:cstheme="minorHAnsi"/>
          <w:sz w:val="24"/>
          <w:szCs w:val="24"/>
        </w:rPr>
        <w:t>were considered in relation</w:t>
      </w:r>
      <w:r w:rsidR="00773FEC">
        <w:rPr>
          <w:rFonts w:cstheme="minorHAnsi"/>
          <w:sz w:val="24"/>
          <w:szCs w:val="24"/>
        </w:rPr>
        <w:t xml:space="preserve"> to </w:t>
      </w:r>
      <w:r w:rsidR="001C492A">
        <w:rPr>
          <w:rFonts w:cstheme="minorHAnsi"/>
          <w:sz w:val="24"/>
          <w:szCs w:val="24"/>
        </w:rPr>
        <w:t>six</w:t>
      </w:r>
      <w:r w:rsidR="00AE20D8" w:rsidRPr="00283045">
        <w:rPr>
          <w:rFonts w:cstheme="minorHAnsi"/>
          <w:sz w:val="24"/>
          <w:szCs w:val="24"/>
        </w:rPr>
        <w:t xml:space="preserve"> principles</w:t>
      </w:r>
      <w:r w:rsidR="00773FEC">
        <w:rPr>
          <w:rFonts w:cstheme="minorHAnsi"/>
          <w:sz w:val="24"/>
          <w:szCs w:val="24"/>
        </w:rPr>
        <w:t xml:space="preserve"> within the </w:t>
      </w:r>
      <w:r w:rsidR="00C2545B">
        <w:rPr>
          <w:rFonts w:cstheme="minorHAnsi"/>
          <w:sz w:val="24"/>
          <w:szCs w:val="24"/>
        </w:rPr>
        <w:t xml:space="preserve">Principles and Rules </w:t>
      </w:r>
      <w:r w:rsidR="00E07DFD">
        <w:rPr>
          <w:rFonts w:cstheme="minorHAnsi"/>
          <w:sz w:val="24"/>
          <w:szCs w:val="24"/>
        </w:rPr>
        <w:fldChar w:fldCharType="begin"/>
      </w:r>
      <w:r w:rsidR="00910153">
        <w:rPr>
          <w:rFonts w:cstheme="minorHAnsi"/>
          <w:sz w:val="24"/>
          <w:szCs w:val="24"/>
        </w:rPr>
        <w:instrText xml:space="preserve"> ADDIN EN.CITE &lt;EndNote&gt;&lt;Cite&gt;&lt;Author&gt;Department of Health&lt;/Author&gt;&lt;Year&gt;2010&lt;/Year&gt;&lt;RecNum&gt;246&lt;/RecNum&gt;&lt;Suffix&gt;`, Principles 1`,2`,3`,5`,6 and 8&lt;/Suffix&gt;&lt;DisplayText&gt;(Department of Health, 2010b, Principles 1,2,3,5,6 and 8)&lt;/DisplayText&gt;&lt;record&gt;&lt;rec-number&gt;246&lt;/rec-number&gt;&lt;foreign-keys&gt;&lt;key app="EN" db-id="za50fsw09wzvx0er2t2p0d0txzrw9x59d9a5"&gt;246&lt;/key&gt;&lt;/foreign-keys&gt;&lt;ref-type name="Government Document"&gt;46&lt;/ref-type&gt;&lt;contributors&gt;&lt;authors&gt;&lt;author&gt;Department of Health,&lt;/author&gt;&lt;/authors&gt;&lt;/contributors&gt;&lt;titles&gt;&lt;title&gt;Principles and rules for cooperation and competition (July 2010)&lt;/title&gt;&lt;/titles&gt;&lt;dates&gt;&lt;year&gt;2010&lt;/year&gt;&lt;/dates&gt;&lt;pub-location&gt;London&lt;/pub-location&gt;&lt;urls&gt;&lt;/urls&gt;&lt;research-notes&gt;NHS Policy. Hard copy at work.&lt;/research-notes&gt;&lt;/record&gt;&lt;/Cite&gt;&lt;/EndNote&gt;</w:instrText>
      </w:r>
      <w:r w:rsidR="00E07DFD">
        <w:rPr>
          <w:rFonts w:cstheme="minorHAnsi"/>
          <w:sz w:val="24"/>
          <w:szCs w:val="24"/>
        </w:rPr>
        <w:fldChar w:fldCharType="separate"/>
      </w:r>
      <w:r w:rsidR="00910153">
        <w:rPr>
          <w:rFonts w:cstheme="minorHAnsi"/>
          <w:noProof/>
          <w:sz w:val="24"/>
          <w:szCs w:val="24"/>
        </w:rPr>
        <w:t>(</w:t>
      </w:r>
      <w:hyperlink w:anchor="_ENREF_18" w:tooltip="Department of Health, 2010 #246" w:history="1">
        <w:r w:rsidR="00513FB0">
          <w:rPr>
            <w:rFonts w:cstheme="minorHAnsi"/>
            <w:noProof/>
            <w:sz w:val="24"/>
            <w:szCs w:val="24"/>
          </w:rPr>
          <w:t>Department of Health, 2010b, Principles 1,2,3,5,6 and 8</w:t>
        </w:r>
      </w:hyperlink>
      <w:r w:rsidR="00910153">
        <w:rPr>
          <w:rFonts w:cstheme="minorHAnsi"/>
          <w:noProof/>
          <w:sz w:val="24"/>
          <w:szCs w:val="24"/>
        </w:rPr>
        <w:t>)</w:t>
      </w:r>
      <w:r w:rsidR="00E07DFD">
        <w:rPr>
          <w:rFonts w:cstheme="minorHAnsi"/>
          <w:sz w:val="24"/>
          <w:szCs w:val="24"/>
        </w:rPr>
        <w:fldChar w:fldCharType="end"/>
      </w:r>
      <w:r w:rsidR="00AE20D8" w:rsidRPr="00283045">
        <w:rPr>
          <w:rFonts w:cstheme="minorHAnsi"/>
          <w:sz w:val="24"/>
          <w:szCs w:val="24"/>
        </w:rPr>
        <w:t xml:space="preserve">. </w:t>
      </w:r>
      <w:r w:rsidR="00960321" w:rsidRPr="00283045">
        <w:rPr>
          <w:rFonts w:cstheme="minorHAnsi"/>
          <w:sz w:val="24"/>
          <w:szCs w:val="24"/>
        </w:rPr>
        <w:t>Five conduct complaints were</w:t>
      </w:r>
      <w:r w:rsidR="009E1245">
        <w:rPr>
          <w:rFonts w:cstheme="minorHAnsi"/>
          <w:sz w:val="24"/>
          <w:szCs w:val="24"/>
        </w:rPr>
        <w:t xml:space="preserve"> at least partially</w:t>
      </w:r>
      <w:r w:rsidR="00960321" w:rsidRPr="00283045">
        <w:rPr>
          <w:rFonts w:cstheme="minorHAnsi"/>
          <w:sz w:val="24"/>
          <w:szCs w:val="24"/>
        </w:rPr>
        <w:t xml:space="preserve"> upheld.</w:t>
      </w:r>
      <w:r w:rsidR="00EF5B63" w:rsidRPr="00283045">
        <w:rPr>
          <w:rFonts w:cstheme="minorHAnsi"/>
          <w:sz w:val="24"/>
          <w:szCs w:val="24"/>
        </w:rPr>
        <w:t xml:space="preserve"> </w:t>
      </w:r>
    </w:p>
    <w:p w14:paraId="0B691EEB" w14:textId="378E3E4E" w:rsidR="004D781C" w:rsidRPr="00283045" w:rsidRDefault="004D781C" w:rsidP="00283045">
      <w:pPr>
        <w:spacing w:line="480" w:lineRule="auto"/>
        <w:jc w:val="both"/>
        <w:rPr>
          <w:rFonts w:cstheme="minorHAnsi"/>
          <w:sz w:val="24"/>
          <w:szCs w:val="24"/>
        </w:rPr>
      </w:pPr>
      <w:r w:rsidRPr="00283045">
        <w:rPr>
          <w:rFonts w:cstheme="minorHAnsi"/>
          <w:sz w:val="24"/>
          <w:szCs w:val="24"/>
        </w:rPr>
        <w:t>In one</w:t>
      </w:r>
      <w:r w:rsidR="00EF5B63" w:rsidRPr="00283045">
        <w:rPr>
          <w:rFonts w:cstheme="minorHAnsi"/>
          <w:sz w:val="24"/>
          <w:szCs w:val="24"/>
        </w:rPr>
        <w:t xml:space="preserve"> of these,</w:t>
      </w:r>
      <w:r w:rsidRPr="00283045">
        <w:rPr>
          <w:rFonts w:cstheme="minorHAnsi"/>
          <w:sz w:val="24"/>
          <w:szCs w:val="24"/>
        </w:rPr>
        <w:t xml:space="preserve"> </w:t>
      </w:r>
      <w:r w:rsidR="00823591">
        <w:rPr>
          <w:rFonts w:cstheme="minorHAnsi"/>
          <w:sz w:val="24"/>
          <w:szCs w:val="24"/>
        </w:rPr>
        <w:t xml:space="preserve">the Department of Health intervened in relation to the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823591">
        <w:rPr>
          <w:rFonts w:cstheme="minorHAnsi"/>
          <w:sz w:val="24"/>
          <w:szCs w:val="24"/>
        </w:rPr>
        <w:t xml:space="preserve"> judgement. T</w:t>
      </w:r>
      <w:r w:rsidR="00EF5B63" w:rsidRPr="00283045">
        <w:rPr>
          <w:rFonts w:cstheme="minorHAnsi"/>
          <w:sz w:val="24"/>
          <w:szCs w:val="24"/>
        </w:rPr>
        <w:t xml:space="preserve">he </w:t>
      </w:r>
      <w:r w:rsidR="00CD0F8C" w:rsidRPr="00283045">
        <w:rPr>
          <w:rFonts w:cstheme="minorHAnsi"/>
          <w:sz w:val="24"/>
          <w:szCs w:val="24"/>
        </w:rPr>
        <w:t>C</w:t>
      </w:r>
      <w:r w:rsidR="00CD0F8C">
        <w:rPr>
          <w:rFonts w:cstheme="minorHAnsi"/>
          <w:sz w:val="24"/>
          <w:szCs w:val="24"/>
        </w:rPr>
        <w:t xml:space="preserve">ooperation and </w:t>
      </w:r>
      <w:r w:rsidR="00CD0F8C" w:rsidRPr="00283045">
        <w:rPr>
          <w:rFonts w:cstheme="minorHAnsi"/>
          <w:sz w:val="24"/>
          <w:szCs w:val="24"/>
        </w:rPr>
        <w:t>C</w:t>
      </w:r>
      <w:r w:rsidR="00CD0F8C">
        <w:rPr>
          <w:rFonts w:cstheme="minorHAnsi"/>
          <w:sz w:val="24"/>
          <w:szCs w:val="24"/>
        </w:rPr>
        <w:t xml:space="preserve">ompetition </w:t>
      </w:r>
      <w:r w:rsidR="00CD0F8C" w:rsidRPr="00283045">
        <w:rPr>
          <w:rFonts w:cstheme="minorHAnsi"/>
          <w:sz w:val="24"/>
          <w:szCs w:val="24"/>
        </w:rPr>
        <w:t>P</w:t>
      </w:r>
      <w:r w:rsidR="00CD0F8C">
        <w:rPr>
          <w:rFonts w:cstheme="minorHAnsi"/>
          <w:sz w:val="24"/>
          <w:szCs w:val="24"/>
        </w:rPr>
        <w:t>anel</w:t>
      </w:r>
      <w:r w:rsidR="00EF5B63" w:rsidRPr="00283045">
        <w:rPr>
          <w:rFonts w:cstheme="minorHAnsi"/>
          <w:sz w:val="24"/>
          <w:szCs w:val="24"/>
        </w:rPr>
        <w:t xml:space="preserve"> found </w:t>
      </w:r>
      <w:r w:rsidR="00BB11B0">
        <w:rPr>
          <w:rFonts w:cstheme="minorHAnsi"/>
          <w:sz w:val="24"/>
          <w:szCs w:val="24"/>
        </w:rPr>
        <w:t xml:space="preserve">in 2009 </w:t>
      </w:r>
      <w:r w:rsidR="00EF5B63" w:rsidRPr="00283045">
        <w:rPr>
          <w:rFonts w:cstheme="minorHAnsi"/>
          <w:sz w:val="24"/>
          <w:szCs w:val="24"/>
        </w:rPr>
        <w:t>that NHS Kingston</w:t>
      </w:r>
      <w:r w:rsidR="00EE43DB">
        <w:rPr>
          <w:rFonts w:cstheme="minorHAnsi"/>
          <w:sz w:val="24"/>
          <w:szCs w:val="24"/>
        </w:rPr>
        <w:t xml:space="preserve"> (the PCT)</w:t>
      </w:r>
      <w:r w:rsidR="00EF5B63" w:rsidRPr="00283045">
        <w:rPr>
          <w:rFonts w:cstheme="minorHAnsi"/>
          <w:sz w:val="24"/>
          <w:szCs w:val="24"/>
        </w:rPr>
        <w:t xml:space="preserve"> had breache</w:t>
      </w:r>
      <w:r w:rsidR="00773FEC">
        <w:rPr>
          <w:rFonts w:cstheme="minorHAnsi"/>
          <w:sz w:val="24"/>
          <w:szCs w:val="24"/>
        </w:rPr>
        <w:t>d</w:t>
      </w:r>
      <w:r w:rsidR="00EF5B63" w:rsidRPr="00283045">
        <w:rPr>
          <w:rFonts w:cstheme="minorHAnsi"/>
          <w:sz w:val="24"/>
          <w:szCs w:val="24"/>
        </w:rPr>
        <w:t xml:space="preserve"> Principle 4 Rule 2 of the </w:t>
      </w:r>
      <w:r w:rsidR="00594481">
        <w:rPr>
          <w:rFonts w:cstheme="minorHAnsi"/>
          <w:sz w:val="24"/>
          <w:szCs w:val="24"/>
        </w:rPr>
        <w:t xml:space="preserve">Principles and Rules </w:t>
      </w:r>
      <w:r w:rsidR="00E07DFD">
        <w:rPr>
          <w:rFonts w:cstheme="minorHAnsi"/>
          <w:sz w:val="24"/>
          <w:szCs w:val="24"/>
        </w:rPr>
        <w:t>(December 2007 edition)</w:t>
      </w:r>
      <w:r w:rsidR="00EF5B63" w:rsidRPr="00283045">
        <w:rPr>
          <w:rFonts w:cstheme="minorHAnsi"/>
          <w:sz w:val="24"/>
          <w:szCs w:val="24"/>
        </w:rPr>
        <w:t xml:space="preserve"> (</w:t>
      </w:r>
      <w:r w:rsidR="00BB11B0">
        <w:rPr>
          <w:rFonts w:cstheme="minorHAnsi"/>
          <w:sz w:val="24"/>
          <w:szCs w:val="24"/>
        </w:rPr>
        <w:t xml:space="preserve">that </w:t>
      </w:r>
      <w:r w:rsidR="00EF5B63" w:rsidRPr="00283045">
        <w:rPr>
          <w:rFonts w:cstheme="minorHAnsi"/>
          <w:sz w:val="24"/>
          <w:szCs w:val="24"/>
        </w:rPr>
        <w:t>the providers, referrers to and commissioners of NHS services must not restrict choice via collusive behaviour or any other action)</w:t>
      </w:r>
      <w:r w:rsidR="00BB11B0">
        <w:rPr>
          <w:rFonts w:cstheme="minorHAnsi"/>
          <w:sz w:val="24"/>
          <w:szCs w:val="24"/>
        </w:rPr>
        <w:t xml:space="preserve"> </w:t>
      </w:r>
      <w:r w:rsidR="007D2E38">
        <w:rPr>
          <w:rFonts w:cstheme="minorHAnsi"/>
          <w:sz w:val="24"/>
          <w:szCs w:val="24"/>
        </w:rPr>
        <w:t xml:space="preserve">when deciding </w:t>
      </w:r>
      <w:r w:rsidR="00BB11B0">
        <w:rPr>
          <w:rFonts w:cstheme="minorHAnsi"/>
          <w:sz w:val="24"/>
          <w:szCs w:val="24"/>
        </w:rPr>
        <w:t xml:space="preserve">not </w:t>
      </w:r>
      <w:r w:rsidR="007D2E38">
        <w:rPr>
          <w:rFonts w:cstheme="minorHAnsi"/>
          <w:sz w:val="24"/>
          <w:szCs w:val="24"/>
        </w:rPr>
        <w:t>to</w:t>
      </w:r>
      <w:r w:rsidR="00BB11B0">
        <w:rPr>
          <w:rFonts w:cstheme="minorHAnsi"/>
          <w:sz w:val="24"/>
          <w:szCs w:val="24"/>
        </w:rPr>
        <w:t xml:space="preserve"> let</w:t>
      </w:r>
      <w:r w:rsidR="001408B3">
        <w:rPr>
          <w:rFonts w:cstheme="minorHAnsi"/>
          <w:sz w:val="24"/>
          <w:szCs w:val="24"/>
        </w:rPr>
        <w:t xml:space="preserve"> Chur</w:t>
      </w:r>
      <w:r w:rsidR="00CF185B">
        <w:rPr>
          <w:rFonts w:cstheme="minorHAnsi"/>
          <w:sz w:val="24"/>
          <w:szCs w:val="24"/>
        </w:rPr>
        <w:t>chill Medical Centre</w:t>
      </w:r>
      <w:r w:rsidR="00BB11B0">
        <w:rPr>
          <w:rFonts w:cstheme="minorHAnsi"/>
          <w:sz w:val="24"/>
          <w:szCs w:val="24"/>
        </w:rPr>
        <w:t xml:space="preserve"> </w:t>
      </w:r>
      <w:r w:rsidR="00CF185B">
        <w:rPr>
          <w:rFonts w:cstheme="minorHAnsi"/>
          <w:sz w:val="24"/>
          <w:szCs w:val="24"/>
        </w:rPr>
        <w:t>(</w:t>
      </w:r>
      <w:r w:rsidR="00BB11B0">
        <w:rPr>
          <w:rFonts w:cstheme="minorHAnsi"/>
          <w:sz w:val="24"/>
          <w:szCs w:val="24"/>
        </w:rPr>
        <w:t xml:space="preserve">a </w:t>
      </w:r>
      <w:r w:rsidR="00862C1D">
        <w:rPr>
          <w:rFonts w:cstheme="minorHAnsi"/>
          <w:sz w:val="24"/>
          <w:szCs w:val="24"/>
        </w:rPr>
        <w:t xml:space="preserve">GP </w:t>
      </w:r>
      <w:r w:rsidR="00BB11B0">
        <w:rPr>
          <w:rFonts w:cstheme="minorHAnsi"/>
          <w:sz w:val="24"/>
          <w:szCs w:val="24"/>
        </w:rPr>
        <w:t>Medical Centre</w:t>
      </w:r>
      <w:r w:rsidR="00CF185B">
        <w:rPr>
          <w:rFonts w:cstheme="minorHAnsi"/>
          <w:sz w:val="24"/>
          <w:szCs w:val="24"/>
        </w:rPr>
        <w:t>)</w:t>
      </w:r>
      <w:r w:rsidR="00BB11B0">
        <w:rPr>
          <w:rFonts w:cstheme="minorHAnsi"/>
          <w:sz w:val="24"/>
          <w:szCs w:val="24"/>
        </w:rPr>
        <w:t xml:space="preserve"> provide NHS services from a new branch surgery, and recommended a structural remedy</w:t>
      </w:r>
      <w:r w:rsidR="000F36F3">
        <w:rPr>
          <w:rFonts w:cstheme="minorHAnsi"/>
          <w:sz w:val="24"/>
          <w:szCs w:val="24"/>
        </w:rPr>
        <w:t>.</w:t>
      </w:r>
      <w:r w:rsidR="00455635" w:rsidRPr="00283045">
        <w:rPr>
          <w:rFonts w:cstheme="minorHAnsi"/>
          <w:sz w:val="24"/>
          <w:szCs w:val="24"/>
        </w:rPr>
        <w:t xml:space="preserve"> </w:t>
      </w:r>
      <w:r w:rsidR="007D2E38">
        <w:rPr>
          <w:rFonts w:cstheme="minorHAnsi"/>
          <w:sz w:val="24"/>
          <w:szCs w:val="24"/>
        </w:rPr>
        <w:t>I</w:t>
      </w:r>
      <w:r w:rsidR="00455635" w:rsidRPr="00283045">
        <w:rPr>
          <w:rFonts w:cstheme="minorHAnsi"/>
          <w:sz w:val="24"/>
          <w:szCs w:val="24"/>
        </w:rPr>
        <w:t>t was reported that the</w:t>
      </w:r>
      <w:r w:rsidR="00EF5B63" w:rsidRPr="00283045">
        <w:rPr>
          <w:rFonts w:cstheme="minorHAnsi"/>
          <w:sz w:val="24"/>
          <w:szCs w:val="24"/>
        </w:rPr>
        <w:t xml:space="preserve"> </w:t>
      </w:r>
      <w:r w:rsidRPr="00283045">
        <w:rPr>
          <w:rFonts w:cstheme="minorHAnsi"/>
          <w:sz w:val="24"/>
          <w:szCs w:val="24"/>
        </w:rPr>
        <w:t>D</w:t>
      </w:r>
      <w:r w:rsidR="00455635" w:rsidRPr="00283045">
        <w:rPr>
          <w:rFonts w:cstheme="minorHAnsi"/>
          <w:sz w:val="24"/>
          <w:szCs w:val="24"/>
        </w:rPr>
        <w:t xml:space="preserve">epartment of </w:t>
      </w:r>
      <w:r w:rsidRPr="00283045">
        <w:rPr>
          <w:rFonts w:cstheme="minorHAnsi"/>
          <w:sz w:val="24"/>
          <w:szCs w:val="24"/>
        </w:rPr>
        <w:t>H</w:t>
      </w:r>
      <w:r w:rsidR="00455635" w:rsidRPr="00283045">
        <w:rPr>
          <w:rFonts w:cstheme="minorHAnsi"/>
          <w:sz w:val="24"/>
          <w:szCs w:val="24"/>
        </w:rPr>
        <w:t>ealth</w:t>
      </w:r>
      <w:r w:rsidRPr="00283045">
        <w:rPr>
          <w:rFonts w:cstheme="minorHAnsi"/>
          <w:sz w:val="24"/>
          <w:szCs w:val="24"/>
        </w:rPr>
        <w:t xml:space="preserve"> also carried out</w:t>
      </w:r>
      <w:r w:rsidR="00EE43DB">
        <w:rPr>
          <w:rFonts w:cstheme="minorHAnsi"/>
          <w:sz w:val="24"/>
          <w:szCs w:val="24"/>
        </w:rPr>
        <w:t xml:space="preserve"> its</w:t>
      </w:r>
      <w:r w:rsidRPr="00283045">
        <w:rPr>
          <w:rFonts w:cstheme="minorHAnsi"/>
          <w:sz w:val="24"/>
          <w:szCs w:val="24"/>
        </w:rPr>
        <w:t xml:space="preserve"> own investigation</w:t>
      </w:r>
      <w:r w:rsidR="00EE43DB">
        <w:rPr>
          <w:rFonts w:cstheme="minorHAnsi"/>
          <w:sz w:val="24"/>
          <w:szCs w:val="24"/>
        </w:rPr>
        <w:t xml:space="preserve"> before allowing the surgery to open</w:t>
      </w:r>
      <w:r w:rsidR="00933780">
        <w:rPr>
          <w:rFonts w:cstheme="minorHAnsi"/>
          <w:sz w:val="24"/>
          <w:szCs w:val="24"/>
        </w:rPr>
        <w:t xml:space="preserve"> </w:t>
      </w:r>
      <w:r w:rsidR="00933780">
        <w:rPr>
          <w:rFonts w:cstheme="minorHAnsi"/>
          <w:sz w:val="24"/>
          <w:szCs w:val="24"/>
        </w:rPr>
        <w:fldChar w:fldCharType="begin"/>
      </w:r>
      <w:r w:rsidR="00933780">
        <w:rPr>
          <w:rFonts w:cstheme="minorHAnsi"/>
          <w:sz w:val="24"/>
          <w:szCs w:val="24"/>
        </w:rPr>
        <w:instrText xml:space="preserve"> ADDIN EN.CITE &lt;EndNote&gt;&lt;Cite&gt;&lt;Author&gt;Health Service Journal&lt;/Author&gt;&lt;Year&gt;2010&lt;/Year&gt;&lt;RecNum&gt;604&lt;/RecNum&gt;&lt;DisplayText&gt;(Health Service Journal, 2010)&lt;/DisplayText&gt;&lt;record&gt;&lt;rec-number&gt;604&lt;/rec-number&gt;&lt;foreign-keys&gt;&lt;key app="EN" db-id="za50fsw09wzvx0er2t2p0d0txzrw9x59d9a5"&gt;604&lt;/key&gt;&lt;/foreign-keys&gt;&lt;ref-type name="Web Page"&gt;12&lt;/ref-type&gt;&lt;contributors&gt;&lt;authors&gt;&lt;author&gt;Health Service Journal,&lt;/author&gt;&lt;/authors&gt;&lt;/contributors&gt;&lt;titles&gt;&lt;title&gt;www.hsj.co.uk/disputed-branch-surgery-gets-go-ahead-from-government/5013396.article.&lt;/title&gt;&lt;/titles&gt;&lt;volume&gt;2015&lt;/volume&gt;&lt;number&gt;27/08/15&lt;/number&gt;&lt;dates&gt;&lt;year&gt;2010&lt;/year&gt;&lt;/dates&gt;&lt;urls&gt;&lt;/urls&gt;&lt;/record&gt;&lt;/Cite&gt;&lt;/EndNote&gt;</w:instrText>
      </w:r>
      <w:r w:rsidR="00933780">
        <w:rPr>
          <w:rFonts w:cstheme="minorHAnsi"/>
          <w:sz w:val="24"/>
          <w:szCs w:val="24"/>
        </w:rPr>
        <w:fldChar w:fldCharType="separate"/>
      </w:r>
      <w:r w:rsidR="00933780">
        <w:rPr>
          <w:rFonts w:cstheme="minorHAnsi"/>
          <w:noProof/>
          <w:sz w:val="24"/>
          <w:szCs w:val="24"/>
        </w:rPr>
        <w:t>(</w:t>
      </w:r>
      <w:hyperlink w:anchor="_ENREF_19" w:tooltip="Health Service Journal, 2010 #604" w:history="1">
        <w:r w:rsidR="00513FB0">
          <w:rPr>
            <w:rFonts w:cstheme="minorHAnsi"/>
            <w:noProof/>
            <w:sz w:val="24"/>
            <w:szCs w:val="24"/>
          </w:rPr>
          <w:t>Health Service Journal, 2010</w:t>
        </w:r>
      </w:hyperlink>
      <w:r w:rsidR="00933780">
        <w:rPr>
          <w:rFonts w:cstheme="minorHAnsi"/>
          <w:noProof/>
          <w:sz w:val="24"/>
          <w:szCs w:val="24"/>
        </w:rPr>
        <w:t>)</w:t>
      </w:r>
      <w:r w:rsidR="00933780">
        <w:rPr>
          <w:rFonts w:cstheme="minorHAnsi"/>
          <w:sz w:val="24"/>
          <w:szCs w:val="24"/>
        </w:rPr>
        <w:fldChar w:fldCharType="end"/>
      </w:r>
      <w:r w:rsidR="000F36F3">
        <w:rPr>
          <w:rFonts w:cstheme="minorHAnsi"/>
          <w:sz w:val="24"/>
          <w:szCs w:val="24"/>
        </w:rPr>
        <w:t>.</w:t>
      </w:r>
      <w:r w:rsidR="00823591">
        <w:rPr>
          <w:rFonts w:cstheme="minorHAnsi"/>
          <w:sz w:val="24"/>
          <w:szCs w:val="24"/>
        </w:rPr>
        <w:t xml:space="preserve"> </w:t>
      </w:r>
    </w:p>
    <w:p w14:paraId="37FCB920" w14:textId="1F1984EF" w:rsidR="008E0515" w:rsidRPr="00283045" w:rsidRDefault="00E8613F" w:rsidP="00283045">
      <w:pPr>
        <w:spacing w:line="480" w:lineRule="auto"/>
        <w:jc w:val="both"/>
        <w:rPr>
          <w:rFonts w:cstheme="minorHAnsi"/>
          <w:sz w:val="24"/>
          <w:szCs w:val="24"/>
        </w:rPr>
      </w:pPr>
      <w:r w:rsidRPr="00283045">
        <w:rPr>
          <w:rFonts w:cstheme="minorHAnsi"/>
          <w:sz w:val="24"/>
          <w:szCs w:val="24"/>
        </w:rPr>
        <w:t xml:space="preserve">In two cases the </w:t>
      </w:r>
      <w:r w:rsidR="00AA172A" w:rsidRPr="00283045">
        <w:rPr>
          <w:rFonts w:cstheme="minorHAnsi"/>
          <w:sz w:val="24"/>
          <w:szCs w:val="24"/>
        </w:rPr>
        <w:t>C</w:t>
      </w:r>
      <w:r w:rsidR="00AA172A">
        <w:rPr>
          <w:rFonts w:cstheme="minorHAnsi"/>
          <w:sz w:val="24"/>
          <w:szCs w:val="24"/>
        </w:rPr>
        <w:t xml:space="preserve">ooperation and </w:t>
      </w:r>
      <w:r w:rsidR="00AA172A" w:rsidRPr="00283045">
        <w:rPr>
          <w:rFonts w:cstheme="minorHAnsi"/>
          <w:sz w:val="24"/>
          <w:szCs w:val="24"/>
        </w:rPr>
        <w:t>C</w:t>
      </w:r>
      <w:r w:rsidR="00AA172A">
        <w:rPr>
          <w:rFonts w:cstheme="minorHAnsi"/>
          <w:sz w:val="24"/>
          <w:szCs w:val="24"/>
        </w:rPr>
        <w:t xml:space="preserve">ompetition </w:t>
      </w:r>
      <w:r w:rsidR="00AA172A" w:rsidRPr="00283045">
        <w:rPr>
          <w:rFonts w:cstheme="minorHAnsi"/>
          <w:sz w:val="24"/>
          <w:szCs w:val="24"/>
        </w:rPr>
        <w:t>P</w:t>
      </w:r>
      <w:r w:rsidR="00AA172A">
        <w:rPr>
          <w:rFonts w:cstheme="minorHAnsi"/>
          <w:sz w:val="24"/>
          <w:szCs w:val="24"/>
        </w:rPr>
        <w:t>anel</w:t>
      </w:r>
      <w:r w:rsidRPr="00283045">
        <w:rPr>
          <w:rFonts w:cstheme="minorHAnsi"/>
          <w:sz w:val="24"/>
          <w:szCs w:val="24"/>
        </w:rPr>
        <w:t xml:space="preserve"> </w:t>
      </w:r>
      <w:r w:rsidR="00933780">
        <w:rPr>
          <w:rFonts w:cstheme="minorHAnsi"/>
          <w:sz w:val="24"/>
          <w:szCs w:val="24"/>
        </w:rPr>
        <w:t>recommended</w:t>
      </w:r>
      <w:r w:rsidR="00902944" w:rsidRPr="00283045">
        <w:rPr>
          <w:rFonts w:cstheme="minorHAnsi"/>
          <w:sz w:val="24"/>
          <w:szCs w:val="24"/>
        </w:rPr>
        <w:t xml:space="preserve"> </w:t>
      </w:r>
      <w:r w:rsidR="007F1550">
        <w:rPr>
          <w:rFonts w:cstheme="minorHAnsi"/>
          <w:sz w:val="24"/>
          <w:szCs w:val="24"/>
        </w:rPr>
        <w:t>behavioural remedies</w:t>
      </w:r>
      <w:r w:rsidR="00902944" w:rsidRPr="00283045">
        <w:rPr>
          <w:rFonts w:cstheme="minorHAnsi"/>
          <w:sz w:val="24"/>
          <w:szCs w:val="24"/>
        </w:rPr>
        <w:t xml:space="preserve"> to be put in place to correct the</w:t>
      </w:r>
      <w:r w:rsidRPr="00283045">
        <w:rPr>
          <w:rFonts w:cstheme="minorHAnsi"/>
          <w:sz w:val="24"/>
          <w:szCs w:val="24"/>
        </w:rPr>
        <w:t xml:space="preserve"> future behaviour of </w:t>
      </w:r>
      <w:r w:rsidR="00902944" w:rsidRPr="00283045">
        <w:rPr>
          <w:rFonts w:cstheme="minorHAnsi"/>
          <w:sz w:val="24"/>
          <w:szCs w:val="24"/>
        </w:rPr>
        <w:t>organisations</w:t>
      </w:r>
      <w:r w:rsidRPr="00283045">
        <w:rPr>
          <w:rFonts w:cstheme="minorHAnsi"/>
          <w:sz w:val="24"/>
          <w:szCs w:val="24"/>
        </w:rPr>
        <w:t xml:space="preserve">. In </w:t>
      </w:r>
      <w:r w:rsidR="00823591">
        <w:rPr>
          <w:rFonts w:cstheme="minorHAnsi"/>
          <w:sz w:val="24"/>
          <w:szCs w:val="24"/>
        </w:rPr>
        <w:t xml:space="preserve">the first case, that of </w:t>
      </w:r>
      <w:r w:rsidRPr="00283045">
        <w:rPr>
          <w:rFonts w:cstheme="minorHAnsi"/>
          <w:sz w:val="24"/>
          <w:szCs w:val="24"/>
        </w:rPr>
        <w:t xml:space="preserve">a complaint from </w:t>
      </w:r>
      <w:r w:rsidR="008E0515" w:rsidRPr="00283045">
        <w:rPr>
          <w:rFonts w:cstheme="minorHAnsi"/>
          <w:sz w:val="24"/>
          <w:szCs w:val="24"/>
        </w:rPr>
        <w:t xml:space="preserve">Hanover Healthcare Ltd regarding </w:t>
      </w:r>
      <w:r w:rsidRPr="00283045">
        <w:rPr>
          <w:rFonts w:cstheme="minorHAnsi"/>
          <w:sz w:val="24"/>
          <w:szCs w:val="24"/>
        </w:rPr>
        <w:t>commissioning practices by North W</w:t>
      </w:r>
      <w:r w:rsidR="008E0515" w:rsidRPr="00283045">
        <w:rPr>
          <w:rFonts w:cstheme="minorHAnsi"/>
          <w:sz w:val="24"/>
          <w:szCs w:val="24"/>
        </w:rPr>
        <w:t>est Specialised Commissioning Group</w:t>
      </w:r>
      <w:r w:rsidR="007F1550">
        <w:rPr>
          <w:rFonts w:cstheme="minorHAnsi"/>
          <w:sz w:val="24"/>
          <w:szCs w:val="24"/>
        </w:rPr>
        <w:t xml:space="preserve">, </w:t>
      </w:r>
      <w:r w:rsidR="00823591">
        <w:rPr>
          <w:rFonts w:cstheme="minorHAnsi"/>
          <w:sz w:val="24"/>
          <w:szCs w:val="24"/>
        </w:rPr>
        <w:t>t</w:t>
      </w:r>
      <w:r w:rsidR="00141FBC">
        <w:rPr>
          <w:rFonts w:cstheme="minorHAnsi"/>
          <w:sz w:val="24"/>
          <w:szCs w:val="24"/>
        </w:rPr>
        <w:t>he r</w:t>
      </w:r>
      <w:r w:rsidR="00902944" w:rsidRPr="00283045">
        <w:rPr>
          <w:rFonts w:cstheme="minorHAnsi"/>
          <w:sz w:val="24"/>
          <w:szCs w:val="24"/>
        </w:rPr>
        <w:t xml:space="preserve">emedies </w:t>
      </w:r>
      <w:r w:rsidR="00141FBC">
        <w:rPr>
          <w:rFonts w:cstheme="minorHAnsi"/>
          <w:sz w:val="24"/>
          <w:szCs w:val="24"/>
        </w:rPr>
        <w:t xml:space="preserve">proposed </w:t>
      </w:r>
      <w:r w:rsidR="00141FBC">
        <w:rPr>
          <w:rFonts w:cstheme="minorHAnsi"/>
          <w:sz w:val="24"/>
          <w:szCs w:val="24"/>
        </w:rPr>
        <w:lastRenderedPageBreak/>
        <w:t xml:space="preserve">by the </w:t>
      </w:r>
      <w:r w:rsidR="00AA172A" w:rsidRPr="00283045">
        <w:rPr>
          <w:rFonts w:cstheme="minorHAnsi"/>
          <w:sz w:val="24"/>
          <w:szCs w:val="24"/>
        </w:rPr>
        <w:t>C</w:t>
      </w:r>
      <w:r w:rsidR="00AA172A">
        <w:rPr>
          <w:rFonts w:cstheme="minorHAnsi"/>
          <w:sz w:val="24"/>
          <w:szCs w:val="24"/>
        </w:rPr>
        <w:t xml:space="preserve">ooperation and </w:t>
      </w:r>
      <w:r w:rsidR="00AA172A" w:rsidRPr="00283045">
        <w:rPr>
          <w:rFonts w:cstheme="minorHAnsi"/>
          <w:sz w:val="24"/>
          <w:szCs w:val="24"/>
        </w:rPr>
        <w:t>C</w:t>
      </w:r>
      <w:r w:rsidR="00AA172A">
        <w:rPr>
          <w:rFonts w:cstheme="minorHAnsi"/>
          <w:sz w:val="24"/>
          <w:szCs w:val="24"/>
        </w:rPr>
        <w:t xml:space="preserve">ompetition </w:t>
      </w:r>
      <w:r w:rsidR="00AA172A" w:rsidRPr="00283045">
        <w:rPr>
          <w:rFonts w:cstheme="minorHAnsi"/>
          <w:sz w:val="24"/>
          <w:szCs w:val="24"/>
        </w:rPr>
        <w:t>P</w:t>
      </w:r>
      <w:r w:rsidR="00AA172A">
        <w:rPr>
          <w:rFonts w:cstheme="minorHAnsi"/>
          <w:sz w:val="24"/>
          <w:szCs w:val="24"/>
        </w:rPr>
        <w:t>anel</w:t>
      </w:r>
      <w:r w:rsidR="00141FBC">
        <w:rPr>
          <w:rFonts w:cstheme="minorHAnsi"/>
          <w:sz w:val="24"/>
          <w:szCs w:val="24"/>
        </w:rPr>
        <w:t xml:space="preserve"> were </w:t>
      </w:r>
      <w:r w:rsidR="00902944" w:rsidRPr="00283045">
        <w:rPr>
          <w:rFonts w:cstheme="minorHAnsi"/>
          <w:sz w:val="24"/>
          <w:szCs w:val="24"/>
        </w:rPr>
        <w:t>to ensure</w:t>
      </w:r>
      <w:r w:rsidR="008E0515" w:rsidRPr="00283045">
        <w:rPr>
          <w:rFonts w:cstheme="minorHAnsi"/>
          <w:sz w:val="24"/>
          <w:szCs w:val="24"/>
        </w:rPr>
        <w:t xml:space="preserve"> future </w:t>
      </w:r>
      <w:r w:rsidR="00902944" w:rsidRPr="00283045">
        <w:rPr>
          <w:rFonts w:cstheme="minorHAnsi"/>
          <w:sz w:val="24"/>
          <w:szCs w:val="24"/>
        </w:rPr>
        <w:t>commissioning</w:t>
      </w:r>
      <w:r w:rsidR="008E0515" w:rsidRPr="00283045">
        <w:rPr>
          <w:rFonts w:cstheme="minorHAnsi"/>
          <w:sz w:val="24"/>
          <w:szCs w:val="24"/>
        </w:rPr>
        <w:t xml:space="preserve"> </w:t>
      </w:r>
      <w:r w:rsidR="00902944" w:rsidRPr="00283045">
        <w:rPr>
          <w:rFonts w:cstheme="minorHAnsi"/>
          <w:sz w:val="24"/>
          <w:szCs w:val="24"/>
        </w:rPr>
        <w:t xml:space="preserve">practices gave equality of opportunity </w:t>
      </w:r>
      <w:r w:rsidR="00141FBC">
        <w:rPr>
          <w:rFonts w:cstheme="minorHAnsi"/>
          <w:sz w:val="24"/>
          <w:szCs w:val="24"/>
        </w:rPr>
        <w:t xml:space="preserve">and to publish on its website the details of the contracts the </w:t>
      </w:r>
      <w:r w:rsidR="00862C1D" w:rsidRPr="00283045">
        <w:rPr>
          <w:rFonts w:cstheme="minorHAnsi"/>
          <w:sz w:val="24"/>
          <w:szCs w:val="24"/>
        </w:rPr>
        <w:t>Specialised Commissioning Group</w:t>
      </w:r>
      <w:r w:rsidR="00141FBC">
        <w:rPr>
          <w:rFonts w:cstheme="minorHAnsi"/>
          <w:sz w:val="24"/>
          <w:szCs w:val="24"/>
        </w:rPr>
        <w:t xml:space="preserve"> had entered into</w:t>
      </w:r>
      <w:r w:rsidR="00933780">
        <w:rPr>
          <w:rFonts w:cstheme="minorHAnsi"/>
          <w:sz w:val="24"/>
          <w:szCs w:val="24"/>
        </w:rPr>
        <w:t>.</w:t>
      </w:r>
      <w:r w:rsidR="00141FBC">
        <w:rPr>
          <w:rFonts w:cstheme="minorHAnsi"/>
          <w:sz w:val="24"/>
          <w:szCs w:val="24"/>
        </w:rPr>
        <w:t xml:space="preserve"> </w:t>
      </w:r>
      <w:r w:rsidR="008E0515" w:rsidRPr="00283045">
        <w:rPr>
          <w:rFonts w:cstheme="minorHAnsi"/>
          <w:sz w:val="24"/>
          <w:szCs w:val="24"/>
        </w:rPr>
        <w:t xml:space="preserve">A second </w:t>
      </w:r>
      <w:r w:rsidR="00823591">
        <w:rPr>
          <w:rFonts w:cstheme="minorHAnsi"/>
          <w:sz w:val="24"/>
          <w:szCs w:val="24"/>
        </w:rPr>
        <w:t>investigation into</w:t>
      </w:r>
      <w:r w:rsidR="008E0515" w:rsidRPr="00283045">
        <w:rPr>
          <w:rFonts w:cstheme="minorHAnsi"/>
          <w:sz w:val="24"/>
          <w:szCs w:val="24"/>
        </w:rPr>
        <w:t xml:space="preserve"> predatory</w:t>
      </w:r>
      <w:r w:rsidRPr="00283045">
        <w:rPr>
          <w:rFonts w:cstheme="minorHAnsi"/>
          <w:sz w:val="24"/>
          <w:szCs w:val="24"/>
        </w:rPr>
        <w:t xml:space="preserve"> pricing against York Hospitals NHS Trust and York PCT </w:t>
      </w:r>
      <w:r w:rsidR="00823591">
        <w:rPr>
          <w:rFonts w:cstheme="minorHAnsi"/>
          <w:sz w:val="24"/>
          <w:szCs w:val="24"/>
        </w:rPr>
        <w:t>following a complaint by</w:t>
      </w:r>
      <w:r w:rsidR="00823591" w:rsidRPr="00283045">
        <w:rPr>
          <w:rFonts w:cstheme="minorHAnsi"/>
          <w:sz w:val="24"/>
          <w:szCs w:val="24"/>
        </w:rPr>
        <w:t xml:space="preserve"> </w:t>
      </w:r>
      <w:r w:rsidRPr="00283045">
        <w:rPr>
          <w:rFonts w:cstheme="minorHAnsi"/>
          <w:sz w:val="24"/>
          <w:szCs w:val="24"/>
        </w:rPr>
        <w:t>Assura East Riding LLP</w:t>
      </w:r>
      <w:r w:rsidR="00823591">
        <w:rPr>
          <w:rFonts w:cstheme="minorHAnsi"/>
          <w:sz w:val="24"/>
          <w:szCs w:val="24"/>
        </w:rPr>
        <w:t xml:space="preserve"> led to the finding that </w:t>
      </w:r>
      <w:r w:rsidRPr="00283045">
        <w:rPr>
          <w:rFonts w:cstheme="minorHAnsi"/>
          <w:sz w:val="24"/>
          <w:szCs w:val="24"/>
        </w:rPr>
        <w:t xml:space="preserve">the PCT had acted </w:t>
      </w:r>
      <w:r w:rsidR="00902944" w:rsidRPr="00283045">
        <w:rPr>
          <w:rFonts w:cstheme="minorHAnsi"/>
          <w:sz w:val="24"/>
          <w:szCs w:val="24"/>
        </w:rPr>
        <w:t>inconsistently</w:t>
      </w:r>
      <w:r w:rsidRPr="00283045">
        <w:rPr>
          <w:rFonts w:cstheme="minorHAnsi"/>
          <w:sz w:val="24"/>
          <w:szCs w:val="24"/>
        </w:rPr>
        <w:t xml:space="preserve"> in relation to </w:t>
      </w:r>
      <w:r w:rsidR="00902944" w:rsidRPr="00283045">
        <w:rPr>
          <w:rFonts w:cstheme="minorHAnsi"/>
          <w:sz w:val="24"/>
          <w:szCs w:val="24"/>
        </w:rPr>
        <w:t>Principle</w:t>
      </w:r>
      <w:r w:rsidRPr="00283045">
        <w:rPr>
          <w:rFonts w:cstheme="minorHAnsi"/>
          <w:sz w:val="24"/>
          <w:szCs w:val="24"/>
        </w:rPr>
        <w:t xml:space="preserve"> 5 of the </w:t>
      </w:r>
      <w:r w:rsidR="00594481">
        <w:rPr>
          <w:rFonts w:cstheme="minorHAnsi"/>
          <w:sz w:val="24"/>
          <w:szCs w:val="24"/>
        </w:rPr>
        <w:t>Principles and Rules, that commissioners and providers should encourage patient choice and ensure that patients have accurate and reliable information to exercise choice over health care. A</w:t>
      </w:r>
      <w:r w:rsidR="00823591">
        <w:rPr>
          <w:rFonts w:cstheme="minorHAnsi"/>
          <w:sz w:val="24"/>
          <w:szCs w:val="24"/>
        </w:rPr>
        <w:t xml:space="preserve"> </w:t>
      </w:r>
      <w:r w:rsidR="00141FBC">
        <w:rPr>
          <w:rFonts w:cstheme="minorHAnsi"/>
          <w:sz w:val="24"/>
          <w:szCs w:val="24"/>
        </w:rPr>
        <w:t>behavioural remed</w:t>
      </w:r>
      <w:r w:rsidR="00823591">
        <w:rPr>
          <w:rFonts w:cstheme="minorHAnsi"/>
          <w:sz w:val="24"/>
          <w:szCs w:val="24"/>
        </w:rPr>
        <w:t>y</w:t>
      </w:r>
      <w:r w:rsidR="00141FBC">
        <w:rPr>
          <w:rFonts w:cstheme="minorHAnsi"/>
          <w:sz w:val="24"/>
          <w:szCs w:val="24"/>
        </w:rPr>
        <w:t xml:space="preserve"> </w:t>
      </w:r>
      <w:r w:rsidR="00594481">
        <w:rPr>
          <w:rFonts w:cstheme="minorHAnsi"/>
          <w:sz w:val="24"/>
          <w:szCs w:val="24"/>
        </w:rPr>
        <w:t xml:space="preserve">was proposed </w:t>
      </w:r>
      <w:r w:rsidR="00AE0643">
        <w:rPr>
          <w:rFonts w:cstheme="minorHAnsi"/>
          <w:sz w:val="24"/>
          <w:szCs w:val="24"/>
        </w:rPr>
        <w:t xml:space="preserve">consisting </w:t>
      </w:r>
      <w:r w:rsidR="00141FBC">
        <w:rPr>
          <w:rFonts w:cstheme="minorHAnsi"/>
          <w:sz w:val="24"/>
          <w:szCs w:val="24"/>
        </w:rPr>
        <w:t>of either the employment of an independent health care adviser to advise patients about choice, or that GPs make a record of patient choices</w:t>
      </w:r>
      <w:r w:rsidR="00933780">
        <w:rPr>
          <w:rFonts w:cstheme="minorHAnsi"/>
          <w:sz w:val="24"/>
          <w:szCs w:val="24"/>
        </w:rPr>
        <w:t>.</w:t>
      </w:r>
      <w:r w:rsidR="00141FBC">
        <w:rPr>
          <w:rFonts w:cstheme="minorHAnsi"/>
          <w:sz w:val="24"/>
          <w:szCs w:val="24"/>
        </w:rPr>
        <w:t xml:space="preserve"> </w:t>
      </w:r>
    </w:p>
    <w:p w14:paraId="0C991FEF" w14:textId="7C4E8564" w:rsidR="00902944" w:rsidRPr="00283045" w:rsidRDefault="00141FBC" w:rsidP="00283045">
      <w:pPr>
        <w:spacing w:line="480" w:lineRule="auto"/>
        <w:jc w:val="both"/>
        <w:rPr>
          <w:rFonts w:cstheme="minorHAnsi"/>
          <w:sz w:val="24"/>
          <w:szCs w:val="24"/>
        </w:rPr>
      </w:pPr>
      <w:r>
        <w:rPr>
          <w:rFonts w:cstheme="minorHAnsi"/>
          <w:sz w:val="24"/>
          <w:szCs w:val="24"/>
        </w:rPr>
        <w:t>In two further cases</w:t>
      </w:r>
      <w:r w:rsidR="00C83209">
        <w:rPr>
          <w:rFonts w:cstheme="minorHAnsi"/>
          <w:sz w:val="24"/>
          <w:szCs w:val="24"/>
        </w:rPr>
        <w:t>, that of Circle Health Ltd against Wiltshire PCT, and 3well Medical against Peterborough PCT,</w:t>
      </w:r>
      <w:r>
        <w:rPr>
          <w:rFonts w:cstheme="minorHAnsi"/>
          <w:sz w:val="24"/>
          <w:szCs w:val="24"/>
        </w:rPr>
        <w:t xml:space="preserve"> the </w:t>
      </w:r>
      <w:r w:rsidR="00AA172A" w:rsidRPr="00283045">
        <w:rPr>
          <w:rFonts w:cstheme="minorHAnsi"/>
          <w:sz w:val="24"/>
          <w:szCs w:val="24"/>
        </w:rPr>
        <w:t>C</w:t>
      </w:r>
      <w:r w:rsidR="00AA172A">
        <w:rPr>
          <w:rFonts w:cstheme="minorHAnsi"/>
          <w:sz w:val="24"/>
          <w:szCs w:val="24"/>
        </w:rPr>
        <w:t xml:space="preserve">ooperation and </w:t>
      </w:r>
      <w:r w:rsidR="00AA172A" w:rsidRPr="00283045">
        <w:rPr>
          <w:rFonts w:cstheme="minorHAnsi"/>
          <w:sz w:val="24"/>
          <w:szCs w:val="24"/>
        </w:rPr>
        <w:t>C</w:t>
      </w:r>
      <w:r w:rsidR="00AA172A">
        <w:rPr>
          <w:rFonts w:cstheme="minorHAnsi"/>
          <w:sz w:val="24"/>
          <w:szCs w:val="24"/>
        </w:rPr>
        <w:t xml:space="preserve">ompetition </w:t>
      </w:r>
      <w:r w:rsidR="00AA172A" w:rsidRPr="00283045">
        <w:rPr>
          <w:rFonts w:cstheme="minorHAnsi"/>
          <w:sz w:val="24"/>
          <w:szCs w:val="24"/>
        </w:rPr>
        <w:t>P</w:t>
      </w:r>
      <w:r w:rsidR="00AA172A">
        <w:rPr>
          <w:rFonts w:cstheme="minorHAnsi"/>
          <w:sz w:val="24"/>
          <w:szCs w:val="24"/>
        </w:rPr>
        <w:t>anel</w:t>
      </w:r>
      <w:r>
        <w:rPr>
          <w:rFonts w:cstheme="minorHAnsi"/>
          <w:sz w:val="24"/>
          <w:szCs w:val="24"/>
        </w:rPr>
        <w:t xml:space="preserve"> made recommendations of structural remedies</w:t>
      </w:r>
      <w:r w:rsidR="00C83209">
        <w:rPr>
          <w:rFonts w:cstheme="minorHAnsi"/>
          <w:sz w:val="24"/>
          <w:szCs w:val="24"/>
        </w:rPr>
        <w:t xml:space="preserve"> which would ensure that the commissioners changed their future commissioning practices and took steps to reverse their past mistakes</w:t>
      </w:r>
      <w:r>
        <w:rPr>
          <w:rFonts w:cstheme="minorHAnsi"/>
          <w:sz w:val="24"/>
          <w:szCs w:val="24"/>
        </w:rPr>
        <w:t xml:space="preserve">. </w:t>
      </w:r>
      <w:r w:rsidR="00C83209">
        <w:rPr>
          <w:rFonts w:cstheme="minorHAnsi"/>
          <w:sz w:val="24"/>
          <w:szCs w:val="24"/>
        </w:rPr>
        <w:t>The</w:t>
      </w:r>
      <w:r w:rsidR="00902944" w:rsidRPr="00283045">
        <w:rPr>
          <w:rFonts w:cstheme="minorHAnsi"/>
          <w:sz w:val="24"/>
          <w:szCs w:val="24"/>
        </w:rPr>
        <w:t xml:space="preserve"> complaint</w:t>
      </w:r>
      <w:r w:rsidR="00E10A51">
        <w:rPr>
          <w:rFonts w:cstheme="minorHAnsi"/>
          <w:sz w:val="24"/>
          <w:szCs w:val="24"/>
        </w:rPr>
        <w:t xml:space="preserve"> by </w:t>
      </w:r>
      <w:r w:rsidR="00902944" w:rsidRPr="00283045">
        <w:rPr>
          <w:rFonts w:cstheme="minorHAnsi"/>
          <w:sz w:val="24"/>
          <w:szCs w:val="24"/>
        </w:rPr>
        <w:t xml:space="preserve">3well Medical against Peterborough PCT was </w:t>
      </w:r>
      <w:r w:rsidR="00C83209">
        <w:rPr>
          <w:rFonts w:cstheme="minorHAnsi"/>
          <w:sz w:val="24"/>
          <w:szCs w:val="24"/>
        </w:rPr>
        <w:t>particularly interesting as a further example of the intervention of Ministers in the regulatory decisions. The complaint related</w:t>
      </w:r>
      <w:r w:rsidR="00902944" w:rsidRPr="00283045">
        <w:rPr>
          <w:rFonts w:cstheme="minorHAnsi"/>
          <w:sz w:val="24"/>
          <w:szCs w:val="24"/>
        </w:rPr>
        <w:t xml:space="preserve"> to</w:t>
      </w:r>
      <w:r w:rsidR="00C83209">
        <w:rPr>
          <w:rFonts w:cstheme="minorHAnsi"/>
          <w:sz w:val="24"/>
          <w:szCs w:val="24"/>
        </w:rPr>
        <w:t xml:space="preserve"> a</w:t>
      </w:r>
      <w:r w:rsidR="00902944" w:rsidRPr="00283045">
        <w:rPr>
          <w:rFonts w:cstheme="minorHAnsi"/>
          <w:sz w:val="24"/>
          <w:szCs w:val="24"/>
        </w:rPr>
        <w:t xml:space="preserve"> conflict of interest regarding the clinicians involved in decision making regarding </w:t>
      </w:r>
      <w:r w:rsidR="00594481">
        <w:rPr>
          <w:rFonts w:cstheme="minorHAnsi"/>
          <w:sz w:val="24"/>
          <w:szCs w:val="24"/>
        </w:rPr>
        <w:t>the</w:t>
      </w:r>
      <w:r w:rsidR="00594481" w:rsidRPr="00283045">
        <w:rPr>
          <w:rFonts w:cstheme="minorHAnsi"/>
          <w:sz w:val="24"/>
          <w:szCs w:val="24"/>
        </w:rPr>
        <w:t xml:space="preserve"> </w:t>
      </w:r>
      <w:r w:rsidR="00902944" w:rsidRPr="00283045">
        <w:rPr>
          <w:rFonts w:cstheme="minorHAnsi"/>
          <w:sz w:val="24"/>
          <w:szCs w:val="24"/>
        </w:rPr>
        <w:t>reconfiguration</w:t>
      </w:r>
      <w:r w:rsidR="00386BBD">
        <w:rPr>
          <w:rFonts w:cstheme="minorHAnsi"/>
          <w:sz w:val="24"/>
          <w:szCs w:val="24"/>
        </w:rPr>
        <w:t xml:space="preserve"> of primary and urgent care services in the Peterborough areas</w:t>
      </w:r>
      <w:r w:rsidR="00933780">
        <w:rPr>
          <w:rFonts w:cstheme="minorHAnsi"/>
          <w:sz w:val="24"/>
          <w:szCs w:val="24"/>
        </w:rPr>
        <w:t>.</w:t>
      </w:r>
      <w:r w:rsidR="00902944" w:rsidRPr="00283045">
        <w:rPr>
          <w:rFonts w:cstheme="minorHAnsi"/>
          <w:sz w:val="24"/>
          <w:szCs w:val="24"/>
        </w:rPr>
        <w:t xml:space="preserve"> </w:t>
      </w:r>
      <w:r w:rsidR="00E10A51">
        <w:rPr>
          <w:rFonts w:cstheme="minorHAnsi"/>
          <w:sz w:val="24"/>
          <w:szCs w:val="24"/>
        </w:rPr>
        <w:t xml:space="preserve">The </w:t>
      </w:r>
      <w:r w:rsidR="00AA172A" w:rsidRPr="00283045">
        <w:rPr>
          <w:rFonts w:cstheme="minorHAnsi"/>
          <w:sz w:val="24"/>
          <w:szCs w:val="24"/>
        </w:rPr>
        <w:t>C</w:t>
      </w:r>
      <w:r w:rsidR="00AA172A">
        <w:rPr>
          <w:rFonts w:cstheme="minorHAnsi"/>
          <w:sz w:val="24"/>
          <w:szCs w:val="24"/>
        </w:rPr>
        <w:t xml:space="preserve">ooperation and </w:t>
      </w:r>
      <w:r w:rsidR="00AA172A" w:rsidRPr="00283045">
        <w:rPr>
          <w:rFonts w:cstheme="minorHAnsi"/>
          <w:sz w:val="24"/>
          <w:szCs w:val="24"/>
        </w:rPr>
        <w:t>C</w:t>
      </w:r>
      <w:r w:rsidR="00AA172A">
        <w:rPr>
          <w:rFonts w:cstheme="minorHAnsi"/>
          <w:sz w:val="24"/>
          <w:szCs w:val="24"/>
        </w:rPr>
        <w:t xml:space="preserve">ompetition </w:t>
      </w:r>
      <w:r w:rsidR="00AA172A" w:rsidRPr="00283045">
        <w:rPr>
          <w:rFonts w:cstheme="minorHAnsi"/>
          <w:sz w:val="24"/>
          <w:szCs w:val="24"/>
        </w:rPr>
        <w:t>P</w:t>
      </w:r>
      <w:r w:rsidR="00AA172A">
        <w:rPr>
          <w:rFonts w:cstheme="minorHAnsi"/>
          <w:sz w:val="24"/>
          <w:szCs w:val="24"/>
        </w:rPr>
        <w:t>anel</w:t>
      </w:r>
      <w:r w:rsidR="00AA172A" w:rsidRPr="00283045">
        <w:rPr>
          <w:rFonts w:cstheme="minorHAnsi"/>
          <w:sz w:val="24"/>
          <w:szCs w:val="24"/>
        </w:rPr>
        <w:t xml:space="preserve"> </w:t>
      </w:r>
      <w:r w:rsidR="00E10A51">
        <w:rPr>
          <w:rFonts w:cstheme="minorHAnsi"/>
          <w:sz w:val="24"/>
          <w:szCs w:val="24"/>
        </w:rPr>
        <w:t>recommended that an independent panel of clinicians review the case and that the PCT should put in place appropriate arrangements for the future management of conflicts of interest</w:t>
      </w:r>
      <w:r w:rsidR="00933780">
        <w:rPr>
          <w:rFonts w:cstheme="minorHAnsi"/>
          <w:sz w:val="24"/>
          <w:szCs w:val="24"/>
        </w:rPr>
        <w:t>.</w:t>
      </w:r>
      <w:r w:rsidR="00902944" w:rsidRPr="00283045">
        <w:rPr>
          <w:rFonts w:cstheme="minorHAnsi"/>
          <w:sz w:val="24"/>
          <w:szCs w:val="24"/>
        </w:rPr>
        <w:t xml:space="preserve"> Earl Howe, Parliamentary Under Secretary of State for Quality</w:t>
      </w:r>
      <w:r w:rsidR="00E01645">
        <w:rPr>
          <w:rFonts w:cstheme="minorHAnsi"/>
          <w:sz w:val="24"/>
          <w:szCs w:val="24"/>
        </w:rPr>
        <w:t xml:space="preserve"> (Department of Health)</w:t>
      </w:r>
      <w:r w:rsidR="00902944" w:rsidRPr="00283045">
        <w:rPr>
          <w:rFonts w:cstheme="minorHAnsi"/>
          <w:sz w:val="24"/>
          <w:szCs w:val="24"/>
        </w:rPr>
        <w:t xml:space="preserve">, </w:t>
      </w:r>
      <w:r w:rsidR="00AE20D8" w:rsidRPr="00283045">
        <w:rPr>
          <w:rFonts w:cstheme="minorHAnsi"/>
          <w:sz w:val="24"/>
          <w:szCs w:val="24"/>
        </w:rPr>
        <w:t xml:space="preserve">intervened to disagree with the </w:t>
      </w:r>
      <w:r w:rsidR="00AE20D8" w:rsidRPr="00283045">
        <w:rPr>
          <w:rFonts w:cstheme="minorHAnsi"/>
          <w:sz w:val="24"/>
          <w:szCs w:val="24"/>
        </w:rPr>
        <w:lastRenderedPageBreak/>
        <w:t>recommendation that the PCT seek advice from an independent panel of clinicians on the basis that this was n</w:t>
      </w:r>
      <w:r w:rsidR="001C492A">
        <w:rPr>
          <w:rFonts w:cstheme="minorHAnsi"/>
          <w:sz w:val="24"/>
          <w:szCs w:val="24"/>
        </w:rPr>
        <w:t>ot</w:t>
      </w:r>
      <w:r w:rsidR="00AE20D8" w:rsidRPr="00283045">
        <w:rPr>
          <w:rFonts w:cstheme="minorHAnsi"/>
          <w:sz w:val="24"/>
          <w:szCs w:val="24"/>
        </w:rPr>
        <w:t xml:space="preserve"> ‘necessary o</w:t>
      </w:r>
      <w:r w:rsidR="00862C1D">
        <w:rPr>
          <w:rFonts w:cstheme="minorHAnsi"/>
          <w:sz w:val="24"/>
          <w:szCs w:val="24"/>
        </w:rPr>
        <w:t>r</w:t>
      </w:r>
      <w:r w:rsidR="00AE20D8" w:rsidRPr="00283045">
        <w:rPr>
          <w:rFonts w:cstheme="minorHAnsi"/>
          <w:sz w:val="24"/>
          <w:szCs w:val="24"/>
        </w:rPr>
        <w:t xml:space="preserve"> likely to materially affect the outcome’</w:t>
      </w:r>
      <w:r w:rsidR="00933780">
        <w:rPr>
          <w:rFonts w:cstheme="minorHAnsi"/>
          <w:sz w:val="24"/>
          <w:szCs w:val="24"/>
        </w:rPr>
        <w:t xml:space="preserve"> </w:t>
      </w:r>
      <w:r w:rsidR="00933780">
        <w:rPr>
          <w:rFonts w:cstheme="minorHAnsi"/>
          <w:sz w:val="24"/>
          <w:szCs w:val="24"/>
        </w:rPr>
        <w:fldChar w:fldCharType="begin"/>
      </w:r>
      <w:r w:rsidR="00933780">
        <w:rPr>
          <w:rFonts w:cstheme="minorHAnsi"/>
          <w:sz w:val="24"/>
          <w:szCs w:val="24"/>
        </w:rPr>
        <w:instrText xml:space="preserve"> ADDIN EN.CITE &lt;EndNote&gt;&lt;Cite&gt;&lt;Author&gt;Howe&lt;/Author&gt;&lt;Year&gt;2012&lt;/Year&gt;&lt;RecNum&gt;579&lt;/RecNum&gt;&lt;DisplayText&gt;(Howe, 2012)&lt;/DisplayText&gt;&lt;record&gt;&lt;rec-number&gt;579&lt;/rec-number&gt;&lt;foreign-keys&gt;&lt;key app="EN" db-id="za50fsw09wzvx0er2t2p0d0txzrw9x59d9a5"&gt;579&lt;/key&gt;&lt;/foreign-keys&gt;&lt;ref-type name="Personal Communication"&gt;26&lt;/ref-type&gt;&lt;contributors&gt;&lt;authors&gt;&lt;author&gt;Earl Howe&lt;/author&gt;&lt;/authors&gt;&lt;secondary-authors&gt;&lt;author&gt;NHS Cambridgeshire and Peterborough&lt;/author&gt;&lt;/secondary-authors&gt;&lt;/contributors&gt;&lt;titles&gt;&lt;title&gt;Letter from Earl Howe to Maureen Donnelly MArch 2012&lt;/title&gt;&lt;/titles&gt;&lt;dates&gt;&lt;year&gt;2012&lt;/year&gt;&lt;/dates&gt;&lt;urls&gt;&lt;/urls&gt;&lt;/record&gt;&lt;/Cite&gt;&lt;/EndNote&gt;</w:instrText>
      </w:r>
      <w:r w:rsidR="00933780">
        <w:rPr>
          <w:rFonts w:cstheme="minorHAnsi"/>
          <w:sz w:val="24"/>
          <w:szCs w:val="24"/>
        </w:rPr>
        <w:fldChar w:fldCharType="separate"/>
      </w:r>
      <w:r w:rsidR="00933780">
        <w:rPr>
          <w:rFonts w:cstheme="minorHAnsi"/>
          <w:noProof/>
          <w:sz w:val="24"/>
          <w:szCs w:val="24"/>
        </w:rPr>
        <w:t>(</w:t>
      </w:r>
      <w:hyperlink w:anchor="_ENREF_23" w:tooltip="Howe, 2012 #579" w:history="1">
        <w:r w:rsidR="00513FB0">
          <w:rPr>
            <w:rFonts w:cstheme="minorHAnsi"/>
            <w:noProof/>
            <w:sz w:val="24"/>
            <w:szCs w:val="24"/>
          </w:rPr>
          <w:t>Howe, 2012</w:t>
        </w:r>
      </w:hyperlink>
      <w:r w:rsidR="00933780">
        <w:rPr>
          <w:rFonts w:cstheme="minorHAnsi"/>
          <w:noProof/>
          <w:sz w:val="24"/>
          <w:szCs w:val="24"/>
        </w:rPr>
        <w:t>)</w:t>
      </w:r>
      <w:r w:rsidR="00933780">
        <w:rPr>
          <w:rFonts w:cstheme="minorHAnsi"/>
          <w:sz w:val="24"/>
          <w:szCs w:val="24"/>
        </w:rPr>
        <w:fldChar w:fldCharType="end"/>
      </w:r>
      <w:r w:rsidR="00933780">
        <w:rPr>
          <w:rFonts w:cstheme="minorHAnsi"/>
          <w:sz w:val="24"/>
          <w:szCs w:val="24"/>
        </w:rPr>
        <w:t>.</w:t>
      </w:r>
    </w:p>
    <w:p w14:paraId="118A2BC2" w14:textId="506CF292" w:rsidR="001E76A9" w:rsidRPr="001D202A" w:rsidRDefault="00C83209" w:rsidP="00283045">
      <w:pPr>
        <w:spacing w:line="480" w:lineRule="auto"/>
        <w:jc w:val="both"/>
        <w:rPr>
          <w:rFonts w:cstheme="minorHAnsi"/>
          <w:b/>
          <w:color w:val="FF0000"/>
          <w:sz w:val="24"/>
          <w:szCs w:val="24"/>
        </w:rPr>
      </w:pPr>
      <w:r>
        <w:rPr>
          <w:rFonts w:cstheme="minorHAnsi"/>
          <w:color w:val="000000" w:themeColor="text1"/>
          <w:sz w:val="24"/>
          <w:szCs w:val="24"/>
        </w:rPr>
        <w:t xml:space="preserve">The decisions in relation to conduct cases are indicative of the trends in relation to the </w:t>
      </w:r>
      <w:r w:rsidR="00AA172A" w:rsidRPr="00283045">
        <w:rPr>
          <w:rFonts w:cstheme="minorHAnsi"/>
          <w:sz w:val="24"/>
          <w:szCs w:val="24"/>
        </w:rPr>
        <w:t>C</w:t>
      </w:r>
      <w:r w:rsidR="00AA172A">
        <w:rPr>
          <w:rFonts w:cstheme="minorHAnsi"/>
          <w:sz w:val="24"/>
          <w:szCs w:val="24"/>
        </w:rPr>
        <w:t xml:space="preserve">ooperation and </w:t>
      </w:r>
      <w:r w:rsidR="00AA172A" w:rsidRPr="00283045">
        <w:rPr>
          <w:rFonts w:cstheme="minorHAnsi"/>
          <w:sz w:val="24"/>
          <w:szCs w:val="24"/>
        </w:rPr>
        <w:t>C</w:t>
      </w:r>
      <w:r w:rsidR="00AA172A">
        <w:rPr>
          <w:rFonts w:cstheme="minorHAnsi"/>
          <w:sz w:val="24"/>
          <w:szCs w:val="24"/>
        </w:rPr>
        <w:t xml:space="preserve">ompetition </w:t>
      </w:r>
      <w:r w:rsidR="00AA172A" w:rsidRPr="00283045">
        <w:rPr>
          <w:rFonts w:cstheme="minorHAnsi"/>
          <w:sz w:val="24"/>
          <w:szCs w:val="24"/>
        </w:rPr>
        <w:t>P</w:t>
      </w:r>
      <w:r w:rsidR="00AA172A">
        <w:rPr>
          <w:rFonts w:cstheme="minorHAnsi"/>
          <w:sz w:val="24"/>
          <w:szCs w:val="24"/>
        </w:rPr>
        <w:t>anel</w:t>
      </w:r>
      <w:r>
        <w:rPr>
          <w:rFonts w:cstheme="minorHAnsi"/>
          <w:color w:val="000000" w:themeColor="text1"/>
          <w:sz w:val="24"/>
          <w:szCs w:val="24"/>
        </w:rPr>
        <w:t xml:space="preserve"> decisions in other areas. </w:t>
      </w:r>
      <w:r w:rsidR="00386BBD">
        <w:rPr>
          <w:rFonts w:cstheme="minorHAnsi"/>
          <w:color w:val="000000" w:themeColor="text1"/>
          <w:sz w:val="24"/>
          <w:szCs w:val="24"/>
        </w:rPr>
        <w:t xml:space="preserve">The independent sector </w:t>
      </w:r>
      <w:r w:rsidR="002A26C6">
        <w:rPr>
          <w:rFonts w:cstheme="minorHAnsi"/>
          <w:color w:val="000000" w:themeColor="text1"/>
          <w:sz w:val="24"/>
          <w:szCs w:val="24"/>
        </w:rPr>
        <w:t>was</w:t>
      </w:r>
      <w:r w:rsidR="00386BBD">
        <w:rPr>
          <w:rFonts w:cstheme="minorHAnsi"/>
          <w:color w:val="000000" w:themeColor="text1"/>
          <w:sz w:val="24"/>
          <w:szCs w:val="24"/>
        </w:rPr>
        <w:t xml:space="preserve"> the instigator of</w:t>
      </w:r>
      <w:r w:rsidR="002A26C6">
        <w:rPr>
          <w:rFonts w:cstheme="minorHAnsi"/>
          <w:color w:val="000000" w:themeColor="text1"/>
          <w:sz w:val="24"/>
          <w:szCs w:val="24"/>
        </w:rPr>
        <w:t xml:space="preserve"> all</w:t>
      </w:r>
      <w:r w:rsidR="00386BBD">
        <w:rPr>
          <w:rFonts w:cstheme="minorHAnsi"/>
          <w:color w:val="000000" w:themeColor="text1"/>
          <w:sz w:val="24"/>
          <w:szCs w:val="24"/>
        </w:rPr>
        <w:t xml:space="preserve"> complaints. This indicates that there is a degree of disquiet about the ‘level playing field’ between independent and NHS providers. </w:t>
      </w:r>
      <w:r w:rsidR="002A26C6">
        <w:rPr>
          <w:rFonts w:cstheme="minorHAnsi"/>
          <w:color w:val="000000" w:themeColor="text1"/>
          <w:sz w:val="24"/>
          <w:szCs w:val="24"/>
        </w:rPr>
        <w:t>There was a</w:t>
      </w:r>
      <w:r>
        <w:rPr>
          <w:rFonts w:cstheme="minorHAnsi"/>
          <w:color w:val="000000" w:themeColor="text1"/>
          <w:sz w:val="24"/>
          <w:szCs w:val="24"/>
        </w:rPr>
        <w:t xml:space="preserve"> widespread use of remedies to mitigate for a loss of competition, and o</w:t>
      </w:r>
      <w:r w:rsidR="004654AE">
        <w:rPr>
          <w:rFonts w:cstheme="minorHAnsi"/>
          <w:color w:val="000000" w:themeColor="text1"/>
          <w:sz w:val="24"/>
          <w:szCs w:val="24"/>
        </w:rPr>
        <w:t>f</w:t>
      </w:r>
      <w:r>
        <w:rPr>
          <w:rFonts w:cstheme="minorHAnsi"/>
          <w:color w:val="000000" w:themeColor="text1"/>
          <w:sz w:val="24"/>
          <w:szCs w:val="24"/>
        </w:rPr>
        <w:t xml:space="preserve"> particular note is the acceptance of behavioural remedies, which are thought weak in relation to competition law. Also of note is the continued intervention of Ministers, and the relatively small number of complaints which were considered.  </w:t>
      </w:r>
    </w:p>
    <w:p w14:paraId="14CBE731" w14:textId="35DB3C9C" w:rsidR="004D781C" w:rsidRPr="00283045" w:rsidRDefault="00457BEB" w:rsidP="00D33810">
      <w:pPr>
        <w:spacing w:line="480" w:lineRule="auto"/>
        <w:jc w:val="both"/>
        <w:rPr>
          <w:rFonts w:cstheme="minorHAnsi"/>
          <w:b/>
          <w:sz w:val="24"/>
          <w:szCs w:val="24"/>
        </w:rPr>
      </w:pPr>
      <w:r>
        <w:rPr>
          <w:rFonts w:cstheme="minorHAnsi"/>
          <w:b/>
          <w:sz w:val="24"/>
          <w:szCs w:val="24"/>
        </w:rPr>
        <w:t>Competition regulation d</w:t>
      </w:r>
      <w:r w:rsidR="00FD0282" w:rsidRPr="00283045">
        <w:rPr>
          <w:rFonts w:cstheme="minorHAnsi"/>
          <w:b/>
          <w:sz w:val="24"/>
          <w:szCs w:val="24"/>
        </w:rPr>
        <w:t xml:space="preserve">ecisions </w:t>
      </w:r>
      <w:r>
        <w:rPr>
          <w:rFonts w:cstheme="minorHAnsi"/>
          <w:b/>
          <w:sz w:val="24"/>
          <w:szCs w:val="24"/>
        </w:rPr>
        <w:t>made after April 2013</w:t>
      </w:r>
      <w:r w:rsidR="00FD0282" w:rsidRPr="00283045">
        <w:rPr>
          <w:rFonts w:cstheme="minorHAnsi"/>
          <w:b/>
          <w:sz w:val="24"/>
          <w:szCs w:val="24"/>
        </w:rPr>
        <w:t xml:space="preserve"> </w:t>
      </w:r>
    </w:p>
    <w:p w14:paraId="5B7AF29E" w14:textId="15664C87" w:rsidR="00252D4B" w:rsidRDefault="00252D4B" w:rsidP="00D33810">
      <w:pPr>
        <w:spacing w:line="480" w:lineRule="auto"/>
        <w:jc w:val="both"/>
        <w:rPr>
          <w:rFonts w:cstheme="minorHAnsi"/>
          <w:color w:val="FF0000"/>
          <w:sz w:val="24"/>
          <w:szCs w:val="24"/>
        </w:rPr>
      </w:pPr>
      <w:r>
        <w:rPr>
          <w:rFonts w:cstheme="minorHAnsi"/>
          <w:sz w:val="24"/>
          <w:szCs w:val="24"/>
        </w:rPr>
        <w:t xml:space="preserve">The following </w:t>
      </w:r>
      <w:r w:rsidR="004255A6">
        <w:rPr>
          <w:rFonts w:cstheme="minorHAnsi"/>
          <w:sz w:val="24"/>
          <w:szCs w:val="24"/>
        </w:rPr>
        <w:t xml:space="preserve">section </w:t>
      </w:r>
      <w:r>
        <w:rPr>
          <w:rFonts w:cstheme="minorHAnsi"/>
          <w:sz w:val="24"/>
          <w:szCs w:val="24"/>
        </w:rPr>
        <w:t>details the competition regulation decisions which have been made under the new regime</w:t>
      </w:r>
      <w:r w:rsidR="001E76A9">
        <w:rPr>
          <w:rFonts w:cstheme="minorHAnsi"/>
          <w:sz w:val="24"/>
          <w:szCs w:val="24"/>
        </w:rPr>
        <w:t xml:space="preserve"> in the period April 2013 </w:t>
      </w:r>
      <w:r w:rsidR="00A227CE">
        <w:rPr>
          <w:rFonts w:cstheme="minorHAnsi"/>
          <w:sz w:val="24"/>
          <w:szCs w:val="24"/>
        </w:rPr>
        <w:t>to August 2015</w:t>
      </w:r>
      <w:r w:rsidR="004D4BD3">
        <w:rPr>
          <w:rStyle w:val="FootnoteReference"/>
          <w:rFonts w:cstheme="minorHAnsi"/>
          <w:sz w:val="24"/>
          <w:szCs w:val="24"/>
        </w:rPr>
        <w:footnoteReference w:id="2"/>
      </w:r>
      <w:r w:rsidR="000F36F3">
        <w:rPr>
          <w:rFonts w:cstheme="minorHAnsi"/>
          <w:sz w:val="24"/>
          <w:szCs w:val="24"/>
        </w:rPr>
        <w:t>.</w:t>
      </w:r>
      <w:r w:rsidR="004255A6">
        <w:rPr>
          <w:rFonts w:cstheme="minorHAnsi"/>
          <w:sz w:val="24"/>
          <w:szCs w:val="24"/>
        </w:rPr>
        <w:t xml:space="preserve"> While fewer cases have been reviewed under the new arrangements</w:t>
      </w:r>
      <w:r w:rsidR="005F43E6">
        <w:rPr>
          <w:rFonts w:cstheme="minorHAnsi"/>
          <w:sz w:val="24"/>
          <w:szCs w:val="24"/>
        </w:rPr>
        <w:t xml:space="preserve">, which take place within a </w:t>
      </w:r>
      <w:r w:rsidR="00F66719">
        <w:rPr>
          <w:rFonts w:cstheme="minorHAnsi"/>
          <w:sz w:val="24"/>
          <w:szCs w:val="24"/>
        </w:rPr>
        <w:t xml:space="preserve">much </w:t>
      </w:r>
      <w:r w:rsidR="005F43E6">
        <w:rPr>
          <w:rFonts w:cstheme="minorHAnsi"/>
          <w:sz w:val="24"/>
          <w:szCs w:val="24"/>
        </w:rPr>
        <w:t>shorter timeframe</w:t>
      </w:r>
      <w:r w:rsidR="004255A6">
        <w:rPr>
          <w:rFonts w:cstheme="minorHAnsi"/>
          <w:sz w:val="24"/>
          <w:szCs w:val="24"/>
        </w:rPr>
        <w:t xml:space="preserve">, </w:t>
      </w:r>
      <w:r w:rsidR="00F6693E">
        <w:rPr>
          <w:rFonts w:cstheme="minorHAnsi"/>
          <w:color w:val="000000" w:themeColor="text1"/>
          <w:sz w:val="24"/>
          <w:szCs w:val="24"/>
        </w:rPr>
        <w:t xml:space="preserve">these decisions show a </w:t>
      </w:r>
      <w:r w:rsidR="00386BBD">
        <w:rPr>
          <w:rFonts w:cstheme="minorHAnsi"/>
          <w:color w:val="000000" w:themeColor="text1"/>
          <w:sz w:val="24"/>
          <w:szCs w:val="24"/>
        </w:rPr>
        <w:t>decline</w:t>
      </w:r>
      <w:r w:rsidR="00F6693E">
        <w:rPr>
          <w:rFonts w:cstheme="minorHAnsi"/>
          <w:color w:val="000000" w:themeColor="text1"/>
          <w:sz w:val="24"/>
          <w:szCs w:val="24"/>
        </w:rPr>
        <w:t xml:space="preserve"> in the </w:t>
      </w:r>
      <w:r w:rsidR="00A227CE">
        <w:rPr>
          <w:rFonts w:cstheme="minorHAnsi"/>
          <w:color w:val="000000" w:themeColor="text1"/>
          <w:sz w:val="24"/>
          <w:szCs w:val="24"/>
        </w:rPr>
        <w:t>acceptability</w:t>
      </w:r>
      <w:r w:rsidR="00F6693E">
        <w:rPr>
          <w:rFonts w:cstheme="minorHAnsi"/>
          <w:color w:val="000000" w:themeColor="text1"/>
          <w:sz w:val="24"/>
          <w:szCs w:val="24"/>
        </w:rPr>
        <w:t xml:space="preserve"> of remedies</w:t>
      </w:r>
      <w:r w:rsidR="0077357A">
        <w:rPr>
          <w:rFonts w:cstheme="minorHAnsi"/>
          <w:color w:val="000000" w:themeColor="text1"/>
          <w:sz w:val="24"/>
          <w:szCs w:val="24"/>
        </w:rPr>
        <w:t xml:space="preserve"> as compensation for the loss of competition</w:t>
      </w:r>
      <w:r w:rsidR="00F6693E">
        <w:rPr>
          <w:rFonts w:cstheme="minorHAnsi"/>
          <w:color w:val="000000" w:themeColor="text1"/>
          <w:sz w:val="24"/>
          <w:szCs w:val="24"/>
        </w:rPr>
        <w:t>,</w:t>
      </w:r>
      <w:r w:rsidR="00A227CE">
        <w:rPr>
          <w:rFonts w:cstheme="minorHAnsi"/>
          <w:color w:val="000000" w:themeColor="text1"/>
          <w:sz w:val="24"/>
          <w:szCs w:val="24"/>
        </w:rPr>
        <w:t xml:space="preserve"> </w:t>
      </w:r>
      <w:r w:rsidR="00CC405C">
        <w:rPr>
          <w:rFonts w:cstheme="minorHAnsi"/>
          <w:color w:val="000000" w:themeColor="text1"/>
          <w:sz w:val="24"/>
          <w:szCs w:val="24"/>
        </w:rPr>
        <w:t xml:space="preserve">and </w:t>
      </w:r>
      <w:r w:rsidR="0077357A">
        <w:rPr>
          <w:rFonts w:cstheme="minorHAnsi"/>
          <w:color w:val="000000" w:themeColor="text1"/>
          <w:sz w:val="24"/>
          <w:szCs w:val="24"/>
        </w:rPr>
        <w:t xml:space="preserve">a higher threshold for the evidence base required for </w:t>
      </w:r>
      <w:r w:rsidR="00A227CE">
        <w:rPr>
          <w:rFonts w:cstheme="minorHAnsi"/>
          <w:color w:val="000000" w:themeColor="text1"/>
          <w:sz w:val="24"/>
          <w:szCs w:val="24"/>
        </w:rPr>
        <w:t>the acceptance of claimed benefits of transactions</w:t>
      </w:r>
      <w:r w:rsidR="0077357A">
        <w:rPr>
          <w:rFonts w:cstheme="minorHAnsi"/>
          <w:color w:val="000000" w:themeColor="text1"/>
          <w:sz w:val="24"/>
          <w:szCs w:val="24"/>
        </w:rPr>
        <w:t>. There was also a decline in</w:t>
      </w:r>
      <w:r w:rsidR="00F6693E">
        <w:rPr>
          <w:rFonts w:cstheme="minorHAnsi"/>
          <w:color w:val="000000" w:themeColor="text1"/>
          <w:sz w:val="24"/>
          <w:szCs w:val="24"/>
        </w:rPr>
        <w:t xml:space="preserve"> the ability of parties other than the regulatory body itself to affect decisions. </w:t>
      </w:r>
      <w:r w:rsidR="001E76A9" w:rsidRPr="001D202A">
        <w:rPr>
          <w:rFonts w:cstheme="minorHAnsi"/>
          <w:color w:val="000000" w:themeColor="text1"/>
          <w:sz w:val="24"/>
          <w:szCs w:val="24"/>
        </w:rPr>
        <w:t xml:space="preserve">The regulatory decisions taken during this period are detailed in Table </w:t>
      </w:r>
      <w:r w:rsidR="0077357A">
        <w:rPr>
          <w:rFonts w:cstheme="minorHAnsi"/>
          <w:color w:val="000000" w:themeColor="text1"/>
          <w:sz w:val="24"/>
          <w:szCs w:val="24"/>
        </w:rPr>
        <w:t>3</w:t>
      </w:r>
      <w:r w:rsidR="001E76A9" w:rsidRPr="001D202A">
        <w:rPr>
          <w:rFonts w:cstheme="minorHAnsi"/>
          <w:color w:val="000000" w:themeColor="text1"/>
          <w:sz w:val="24"/>
          <w:szCs w:val="24"/>
        </w:rPr>
        <w:t xml:space="preserve"> below.</w:t>
      </w:r>
    </w:p>
    <w:p w14:paraId="6451A38B" w14:textId="1092844E" w:rsidR="001E76A9" w:rsidRPr="001D202A" w:rsidRDefault="001E76A9" w:rsidP="00D33810">
      <w:pPr>
        <w:spacing w:line="480" w:lineRule="auto"/>
        <w:jc w:val="both"/>
        <w:rPr>
          <w:rFonts w:cstheme="minorHAnsi"/>
          <w:color w:val="000000" w:themeColor="text1"/>
          <w:sz w:val="24"/>
          <w:szCs w:val="24"/>
        </w:rPr>
      </w:pPr>
      <w:r w:rsidRPr="001D202A">
        <w:rPr>
          <w:rFonts w:cstheme="minorHAnsi"/>
          <w:color w:val="000000" w:themeColor="text1"/>
          <w:sz w:val="24"/>
          <w:szCs w:val="24"/>
        </w:rPr>
        <w:lastRenderedPageBreak/>
        <w:t xml:space="preserve">TABLE </w:t>
      </w:r>
      <w:r w:rsidR="0077357A">
        <w:rPr>
          <w:rFonts w:cstheme="minorHAnsi"/>
          <w:color w:val="000000" w:themeColor="text1"/>
          <w:sz w:val="24"/>
          <w:szCs w:val="24"/>
        </w:rPr>
        <w:t>3</w:t>
      </w:r>
      <w:r w:rsidR="0077357A" w:rsidRPr="001D202A">
        <w:rPr>
          <w:rFonts w:cstheme="minorHAnsi"/>
          <w:color w:val="000000" w:themeColor="text1"/>
          <w:sz w:val="24"/>
          <w:szCs w:val="24"/>
        </w:rPr>
        <w:t xml:space="preserve"> </w:t>
      </w:r>
      <w:r w:rsidR="00C846E1">
        <w:rPr>
          <w:rFonts w:cstheme="minorHAnsi"/>
          <w:color w:val="000000" w:themeColor="text1"/>
          <w:sz w:val="24"/>
          <w:szCs w:val="24"/>
        </w:rPr>
        <w:t xml:space="preserve">ABOUT </w:t>
      </w:r>
      <w:r w:rsidRPr="001D202A">
        <w:rPr>
          <w:rFonts w:cstheme="minorHAnsi"/>
          <w:color w:val="000000" w:themeColor="text1"/>
          <w:sz w:val="24"/>
          <w:szCs w:val="24"/>
        </w:rPr>
        <w:t>HERE</w:t>
      </w:r>
    </w:p>
    <w:p w14:paraId="6D7100FD" w14:textId="0B03E1C6" w:rsidR="00FD0282" w:rsidRPr="00283045" w:rsidRDefault="001A76BC" w:rsidP="00283045">
      <w:pPr>
        <w:spacing w:line="480" w:lineRule="auto"/>
        <w:rPr>
          <w:rFonts w:cstheme="minorHAnsi"/>
          <w:i/>
          <w:sz w:val="24"/>
          <w:szCs w:val="24"/>
        </w:rPr>
      </w:pPr>
      <w:r>
        <w:rPr>
          <w:rFonts w:cstheme="minorHAnsi"/>
          <w:i/>
          <w:sz w:val="24"/>
          <w:szCs w:val="24"/>
        </w:rPr>
        <w:t>Transactions (mergers, acquisitions, joint ventures)</w:t>
      </w:r>
    </w:p>
    <w:p w14:paraId="0379C890" w14:textId="5DEE5F31" w:rsidR="00156E39" w:rsidRPr="00283045" w:rsidRDefault="00343B62" w:rsidP="00283045">
      <w:pPr>
        <w:spacing w:line="480" w:lineRule="auto"/>
        <w:jc w:val="both"/>
        <w:rPr>
          <w:rFonts w:cstheme="minorHAnsi"/>
          <w:sz w:val="24"/>
          <w:szCs w:val="24"/>
        </w:rPr>
      </w:pPr>
      <w:r w:rsidRPr="00283045">
        <w:rPr>
          <w:rFonts w:cstheme="minorHAnsi"/>
          <w:sz w:val="24"/>
          <w:szCs w:val="24"/>
        </w:rPr>
        <w:t xml:space="preserve">In the </w:t>
      </w:r>
      <w:r w:rsidR="001A76BC">
        <w:rPr>
          <w:rFonts w:cstheme="minorHAnsi"/>
          <w:sz w:val="24"/>
          <w:szCs w:val="24"/>
        </w:rPr>
        <w:t xml:space="preserve">29 month </w:t>
      </w:r>
      <w:r w:rsidRPr="00283045">
        <w:rPr>
          <w:rFonts w:cstheme="minorHAnsi"/>
          <w:sz w:val="24"/>
          <w:szCs w:val="24"/>
        </w:rPr>
        <w:t xml:space="preserve">period </w:t>
      </w:r>
      <w:r w:rsidR="005D0D23" w:rsidRPr="00283045">
        <w:rPr>
          <w:rFonts w:cstheme="minorHAnsi"/>
          <w:sz w:val="24"/>
          <w:szCs w:val="24"/>
        </w:rPr>
        <w:t xml:space="preserve">between </w:t>
      </w:r>
      <w:r w:rsidR="00405E6F">
        <w:rPr>
          <w:rFonts w:cstheme="minorHAnsi"/>
          <w:sz w:val="24"/>
          <w:szCs w:val="24"/>
        </w:rPr>
        <w:t>April</w:t>
      </w:r>
      <w:r w:rsidR="005D0D23" w:rsidRPr="00283045">
        <w:rPr>
          <w:rFonts w:cstheme="minorHAnsi"/>
          <w:sz w:val="24"/>
          <w:szCs w:val="24"/>
        </w:rPr>
        <w:t xml:space="preserve"> 2013 and </w:t>
      </w:r>
      <w:r w:rsidR="001A76BC">
        <w:rPr>
          <w:rFonts w:cstheme="minorHAnsi"/>
          <w:sz w:val="24"/>
          <w:szCs w:val="24"/>
        </w:rPr>
        <w:t>August 2015</w:t>
      </w:r>
      <w:r w:rsidRPr="00283045">
        <w:rPr>
          <w:rFonts w:cstheme="minorHAnsi"/>
          <w:sz w:val="24"/>
          <w:szCs w:val="24"/>
        </w:rPr>
        <w:t xml:space="preserve"> </w:t>
      </w:r>
      <w:r w:rsidR="00F66719">
        <w:rPr>
          <w:rFonts w:cstheme="minorHAnsi"/>
          <w:sz w:val="24"/>
          <w:szCs w:val="24"/>
        </w:rPr>
        <w:t xml:space="preserve">9 </w:t>
      </w:r>
      <w:r w:rsidR="001A76BC">
        <w:rPr>
          <w:rFonts w:cstheme="minorHAnsi"/>
          <w:sz w:val="24"/>
          <w:szCs w:val="24"/>
        </w:rPr>
        <w:t xml:space="preserve">transactions </w:t>
      </w:r>
      <w:r w:rsidR="00457BEB">
        <w:rPr>
          <w:rFonts w:cstheme="minorHAnsi"/>
          <w:sz w:val="24"/>
          <w:szCs w:val="24"/>
        </w:rPr>
        <w:t>were</w:t>
      </w:r>
      <w:r w:rsidRPr="00283045">
        <w:rPr>
          <w:rFonts w:cstheme="minorHAnsi"/>
          <w:sz w:val="24"/>
          <w:szCs w:val="24"/>
        </w:rPr>
        <w:t xml:space="preserve"> subject to scrutiny</w:t>
      </w:r>
      <w:r w:rsidR="001A76BC">
        <w:rPr>
          <w:rFonts w:cstheme="minorHAnsi"/>
          <w:sz w:val="24"/>
          <w:szCs w:val="24"/>
        </w:rPr>
        <w:t xml:space="preserve"> (</w:t>
      </w:r>
      <w:r w:rsidR="00B3472B">
        <w:rPr>
          <w:rFonts w:cstheme="minorHAnsi"/>
          <w:sz w:val="24"/>
          <w:szCs w:val="24"/>
        </w:rPr>
        <w:t>five</w:t>
      </w:r>
      <w:r w:rsidR="001A76BC">
        <w:rPr>
          <w:rFonts w:cstheme="minorHAnsi"/>
          <w:sz w:val="24"/>
          <w:szCs w:val="24"/>
        </w:rPr>
        <w:t xml:space="preserve"> mergers, </w:t>
      </w:r>
      <w:r w:rsidR="00B3472B">
        <w:rPr>
          <w:rFonts w:cstheme="minorHAnsi"/>
          <w:sz w:val="24"/>
          <w:szCs w:val="24"/>
        </w:rPr>
        <w:t xml:space="preserve">four </w:t>
      </w:r>
      <w:r w:rsidR="001A76BC">
        <w:rPr>
          <w:rFonts w:cstheme="minorHAnsi"/>
          <w:sz w:val="24"/>
          <w:szCs w:val="24"/>
        </w:rPr>
        <w:t>acquisitions and two joint ventures).</w:t>
      </w:r>
      <w:r w:rsidR="003F6786" w:rsidRPr="00283045">
        <w:rPr>
          <w:rFonts w:cstheme="minorHAnsi"/>
          <w:sz w:val="24"/>
          <w:szCs w:val="24"/>
        </w:rPr>
        <w:t xml:space="preserve">The first </w:t>
      </w:r>
      <w:r w:rsidR="00E41396" w:rsidRPr="00283045">
        <w:rPr>
          <w:rFonts w:cstheme="minorHAnsi"/>
          <w:sz w:val="24"/>
          <w:szCs w:val="24"/>
        </w:rPr>
        <w:t xml:space="preserve">merger </w:t>
      </w:r>
      <w:r w:rsidR="003F6786" w:rsidRPr="00283045">
        <w:rPr>
          <w:rFonts w:cstheme="minorHAnsi"/>
          <w:sz w:val="24"/>
          <w:szCs w:val="24"/>
        </w:rPr>
        <w:t xml:space="preserve">to be considered was the proposed merger of </w:t>
      </w:r>
      <w:r w:rsidR="002A66AE" w:rsidRPr="00283045">
        <w:rPr>
          <w:rFonts w:cstheme="minorHAnsi"/>
          <w:sz w:val="24"/>
          <w:szCs w:val="24"/>
        </w:rPr>
        <w:t xml:space="preserve">The </w:t>
      </w:r>
      <w:r w:rsidR="003F6786" w:rsidRPr="00283045">
        <w:rPr>
          <w:rFonts w:cstheme="minorHAnsi"/>
          <w:sz w:val="24"/>
          <w:szCs w:val="24"/>
        </w:rPr>
        <w:t xml:space="preserve">Royal Bournemouth and Christchurch NHS </w:t>
      </w:r>
      <w:r w:rsidR="002A66AE" w:rsidRPr="00283045">
        <w:rPr>
          <w:rFonts w:cstheme="minorHAnsi"/>
          <w:sz w:val="24"/>
          <w:szCs w:val="24"/>
        </w:rPr>
        <w:t xml:space="preserve">Hospitals </w:t>
      </w:r>
      <w:r w:rsidR="003F6786" w:rsidRPr="00283045">
        <w:rPr>
          <w:rFonts w:cstheme="minorHAnsi"/>
          <w:sz w:val="24"/>
          <w:szCs w:val="24"/>
        </w:rPr>
        <w:t>F</w:t>
      </w:r>
      <w:r w:rsidR="00543E63" w:rsidRPr="00283045">
        <w:rPr>
          <w:rFonts w:cstheme="minorHAnsi"/>
          <w:sz w:val="24"/>
          <w:szCs w:val="24"/>
        </w:rPr>
        <w:t xml:space="preserve">oundation </w:t>
      </w:r>
      <w:r w:rsidR="003F6786" w:rsidRPr="00283045">
        <w:rPr>
          <w:rFonts w:cstheme="minorHAnsi"/>
          <w:sz w:val="24"/>
          <w:szCs w:val="24"/>
        </w:rPr>
        <w:t>T</w:t>
      </w:r>
      <w:r w:rsidR="00543E63" w:rsidRPr="00283045">
        <w:rPr>
          <w:rFonts w:cstheme="minorHAnsi"/>
          <w:sz w:val="24"/>
          <w:szCs w:val="24"/>
        </w:rPr>
        <w:t>rust</w:t>
      </w:r>
      <w:r w:rsidR="003F6786" w:rsidRPr="00283045">
        <w:rPr>
          <w:rFonts w:cstheme="minorHAnsi"/>
          <w:sz w:val="24"/>
          <w:szCs w:val="24"/>
        </w:rPr>
        <w:t xml:space="preserve"> with Poole Hospitals NHS F</w:t>
      </w:r>
      <w:r w:rsidR="00543E63" w:rsidRPr="00283045">
        <w:rPr>
          <w:rFonts w:cstheme="minorHAnsi"/>
          <w:sz w:val="24"/>
          <w:szCs w:val="24"/>
        </w:rPr>
        <w:t xml:space="preserve">oundation </w:t>
      </w:r>
      <w:r w:rsidR="003F6786" w:rsidRPr="00283045">
        <w:rPr>
          <w:rFonts w:cstheme="minorHAnsi"/>
          <w:sz w:val="24"/>
          <w:szCs w:val="24"/>
        </w:rPr>
        <w:t>T</w:t>
      </w:r>
      <w:r w:rsidR="00543E63" w:rsidRPr="00283045">
        <w:rPr>
          <w:rFonts w:cstheme="minorHAnsi"/>
          <w:sz w:val="24"/>
          <w:szCs w:val="24"/>
        </w:rPr>
        <w:t>rust</w:t>
      </w:r>
      <w:r w:rsidR="003F6786" w:rsidRPr="00283045">
        <w:rPr>
          <w:rFonts w:cstheme="minorHAnsi"/>
          <w:sz w:val="24"/>
          <w:szCs w:val="24"/>
        </w:rPr>
        <w:t xml:space="preserve">. </w:t>
      </w:r>
      <w:r w:rsidR="005F43E6">
        <w:rPr>
          <w:rFonts w:cstheme="minorHAnsi"/>
          <w:sz w:val="24"/>
          <w:szCs w:val="24"/>
        </w:rPr>
        <w:t>In accordance with its responsibilities under HSCA 2012, Monitor reviewed the merger and advised</w:t>
      </w:r>
      <w:r w:rsidR="003F6786" w:rsidRPr="00283045">
        <w:rPr>
          <w:rFonts w:cstheme="minorHAnsi"/>
          <w:sz w:val="24"/>
          <w:szCs w:val="24"/>
        </w:rPr>
        <w:t xml:space="preserve"> </w:t>
      </w:r>
      <w:r w:rsidR="002A66AE" w:rsidRPr="00283045">
        <w:rPr>
          <w:rFonts w:cstheme="minorHAnsi"/>
          <w:sz w:val="24"/>
          <w:szCs w:val="24"/>
        </w:rPr>
        <w:t xml:space="preserve">the </w:t>
      </w:r>
      <w:r w:rsidR="0050648A">
        <w:rPr>
          <w:rFonts w:cstheme="minorHAnsi"/>
          <w:sz w:val="24"/>
          <w:szCs w:val="24"/>
        </w:rPr>
        <w:t>O</w:t>
      </w:r>
      <w:r w:rsidR="005F43E6">
        <w:rPr>
          <w:rFonts w:cstheme="minorHAnsi"/>
          <w:sz w:val="24"/>
          <w:szCs w:val="24"/>
        </w:rPr>
        <w:t xml:space="preserve">ffice of </w:t>
      </w:r>
      <w:r w:rsidR="0050648A">
        <w:rPr>
          <w:rFonts w:cstheme="minorHAnsi"/>
          <w:sz w:val="24"/>
          <w:szCs w:val="24"/>
        </w:rPr>
        <w:t>F</w:t>
      </w:r>
      <w:r w:rsidR="005F43E6">
        <w:rPr>
          <w:rFonts w:cstheme="minorHAnsi"/>
          <w:sz w:val="24"/>
          <w:szCs w:val="24"/>
        </w:rPr>
        <w:t xml:space="preserve">air </w:t>
      </w:r>
      <w:r w:rsidR="0050648A">
        <w:rPr>
          <w:rFonts w:cstheme="minorHAnsi"/>
          <w:sz w:val="24"/>
          <w:szCs w:val="24"/>
        </w:rPr>
        <w:t>T</w:t>
      </w:r>
      <w:r w:rsidR="005F43E6">
        <w:rPr>
          <w:rFonts w:cstheme="minorHAnsi"/>
          <w:sz w:val="24"/>
          <w:szCs w:val="24"/>
        </w:rPr>
        <w:t>rading</w:t>
      </w:r>
      <w:r w:rsidR="0050648A">
        <w:rPr>
          <w:rFonts w:cstheme="minorHAnsi"/>
          <w:sz w:val="24"/>
          <w:szCs w:val="24"/>
        </w:rPr>
        <w:t xml:space="preserve"> </w:t>
      </w:r>
      <w:r w:rsidR="002A66AE" w:rsidRPr="00283045">
        <w:rPr>
          <w:rFonts w:cstheme="minorHAnsi"/>
          <w:sz w:val="24"/>
          <w:szCs w:val="24"/>
        </w:rPr>
        <w:t xml:space="preserve">in February 2013 </w:t>
      </w:r>
      <w:r w:rsidR="003F6786" w:rsidRPr="00283045">
        <w:rPr>
          <w:rFonts w:cstheme="minorHAnsi"/>
          <w:sz w:val="24"/>
          <w:szCs w:val="24"/>
        </w:rPr>
        <w:t xml:space="preserve">that it was not satisfied that the benefits </w:t>
      </w:r>
      <w:r w:rsidR="002A66AE" w:rsidRPr="00283045">
        <w:rPr>
          <w:rFonts w:cstheme="minorHAnsi"/>
          <w:sz w:val="24"/>
          <w:szCs w:val="24"/>
        </w:rPr>
        <w:t xml:space="preserve">of the merger </w:t>
      </w:r>
      <w:r w:rsidR="003F6786" w:rsidRPr="00283045">
        <w:rPr>
          <w:rFonts w:cstheme="minorHAnsi"/>
          <w:sz w:val="24"/>
          <w:szCs w:val="24"/>
        </w:rPr>
        <w:t>outweighed the loss of competition</w:t>
      </w:r>
      <w:r w:rsidR="00CE2827">
        <w:rPr>
          <w:rFonts w:cstheme="minorHAnsi"/>
          <w:sz w:val="24"/>
          <w:szCs w:val="24"/>
        </w:rPr>
        <w:t>.</w:t>
      </w:r>
      <w:r w:rsidR="003F6786" w:rsidRPr="00283045">
        <w:rPr>
          <w:rFonts w:cstheme="minorHAnsi"/>
          <w:sz w:val="24"/>
          <w:szCs w:val="24"/>
        </w:rPr>
        <w:t xml:space="preserve"> </w:t>
      </w:r>
      <w:r w:rsidR="002A66AE" w:rsidRPr="00283045">
        <w:rPr>
          <w:rFonts w:cstheme="minorHAnsi"/>
          <w:sz w:val="24"/>
          <w:szCs w:val="24"/>
        </w:rPr>
        <w:t xml:space="preserve">The </w:t>
      </w:r>
      <w:r w:rsidR="0050648A">
        <w:rPr>
          <w:rFonts w:cstheme="minorHAnsi"/>
          <w:sz w:val="24"/>
          <w:szCs w:val="24"/>
        </w:rPr>
        <w:t>O</w:t>
      </w:r>
      <w:r w:rsidR="007B6017">
        <w:rPr>
          <w:rFonts w:cstheme="minorHAnsi"/>
          <w:sz w:val="24"/>
          <w:szCs w:val="24"/>
        </w:rPr>
        <w:t xml:space="preserve">ffice of </w:t>
      </w:r>
      <w:r w:rsidR="0050648A">
        <w:rPr>
          <w:rFonts w:cstheme="minorHAnsi"/>
          <w:sz w:val="24"/>
          <w:szCs w:val="24"/>
        </w:rPr>
        <w:t>F</w:t>
      </w:r>
      <w:r w:rsidR="007B6017">
        <w:rPr>
          <w:rFonts w:cstheme="minorHAnsi"/>
          <w:sz w:val="24"/>
          <w:szCs w:val="24"/>
        </w:rPr>
        <w:t xml:space="preserve">air </w:t>
      </w:r>
      <w:r w:rsidR="0050648A">
        <w:rPr>
          <w:rFonts w:cstheme="minorHAnsi"/>
          <w:sz w:val="24"/>
          <w:szCs w:val="24"/>
        </w:rPr>
        <w:t>T</w:t>
      </w:r>
      <w:r w:rsidR="007B6017">
        <w:rPr>
          <w:rFonts w:cstheme="minorHAnsi"/>
          <w:sz w:val="24"/>
          <w:szCs w:val="24"/>
        </w:rPr>
        <w:t>rading</w:t>
      </w:r>
      <w:r w:rsidR="003F6786" w:rsidRPr="00283045">
        <w:rPr>
          <w:rFonts w:cstheme="minorHAnsi"/>
          <w:sz w:val="24"/>
          <w:szCs w:val="24"/>
        </w:rPr>
        <w:t xml:space="preserve"> referred the case to the </w:t>
      </w:r>
      <w:r w:rsidR="0050648A">
        <w:rPr>
          <w:rFonts w:cstheme="minorHAnsi"/>
          <w:sz w:val="24"/>
          <w:szCs w:val="24"/>
        </w:rPr>
        <w:t>C</w:t>
      </w:r>
      <w:r w:rsidR="007B6017">
        <w:rPr>
          <w:rFonts w:cstheme="minorHAnsi"/>
          <w:sz w:val="24"/>
          <w:szCs w:val="24"/>
        </w:rPr>
        <w:t xml:space="preserve">ompetition </w:t>
      </w:r>
      <w:r w:rsidR="0050648A">
        <w:rPr>
          <w:rFonts w:cstheme="minorHAnsi"/>
          <w:sz w:val="24"/>
          <w:szCs w:val="24"/>
        </w:rPr>
        <w:t>C</w:t>
      </w:r>
      <w:r w:rsidR="007B6017">
        <w:rPr>
          <w:rFonts w:cstheme="minorHAnsi"/>
          <w:sz w:val="24"/>
          <w:szCs w:val="24"/>
        </w:rPr>
        <w:t>ommission</w:t>
      </w:r>
      <w:r w:rsidR="002A66AE" w:rsidRPr="00283045">
        <w:rPr>
          <w:rFonts w:cstheme="minorHAnsi"/>
          <w:sz w:val="24"/>
          <w:szCs w:val="24"/>
        </w:rPr>
        <w:t xml:space="preserve"> in January 2013</w:t>
      </w:r>
      <w:r w:rsidR="00F66719">
        <w:rPr>
          <w:rFonts w:cstheme="minorHAnsi"/>
          <w:sz w:val="24"/>
          <w:szCs w:val="24"/>
        </w:rPr>
        <w:t xml:space="preserve"> for a more detailed Phase II review</w:t>
      </w:r>
      <w:r w:rsidR="003F6786" w:rsidRPr="00283045">
        <w:rPr>
          <w:rFonts w:cstheme="minorHAnsi"/>
          <w:sz w:val="24"/>
          <w:szCs w:val="24"/>
        </w:rPr>
        <w:t>. In Oct</w:t>
      </w:r>
      <w:r w:rsidR="002A66AE" w:rsidRPr="00283045">
        <w:rPr>
          <w:rFonts w:cstheme="minorHAnsi"/>
          <w:sz w:val="24"/>
          <w:szCs w:val="24"/>
        </w:rPr>
        <w:t>ober</w:t>
      </w:r>
      <w:r w:rsidR="003F6786" w:rsidRPr="00283045">
        <w:rPr>
          <w:rFonts w:cstheme="minorHAnsi"/>
          <w:sz w:val="24"/>
          <w:szCs w:val="24"/>
        </w:rPr>
        <w:t xml:space="preserve"> 2013 the merger was rejected by the </w:t>
      </w:r>
      <w:r w:rsidR="0050648A">
        <w:rPr>
          <w:rFonts w:cstheme="minorHAnsi"/>
          <w:sz w:val="24"/>
          <w:szCs w:val="24"/>
        </w:rPr>
        <w:t>C</w:t>
      </w:r>
      <w:r w:rsidR="007B6017">
        <w:rPr>
          <w:rFonts w:cstheme="minorHAnsi"/>
          <w:sz w:val="24"/>
          <w:szCs w:val="24"/>
        </w:rPr>
        <w:t xml:space="preserve">ompetition </w:t>
      </w:r>
      <w:r w:rsidR="0050648A">
        <w:rPr>
          <w:rFonts w:cstheme="minorHAnsi"/>
          <w:sz w:val="24"/>
          <w:szCs w:val="24"/>
        </w:rPr>
        <w:t>C</w:t>
      </w:r>
      <w:r w:rsidR="007B6017">
        <w:rPr>
          <w:rFonts w:cstheme="minorHAnsi"/>
          <w:sz w:val="24"/>
          <w:szCs w:val="24"/>
        </w:rPr>
        <w:t>ommission</w:t>
      </w:r>
      <w:r w:rsidR="003F6786" w:rsidRPr="00283045">
        <w:rPr>
          <w:rFonts w:cstheme="minorHAnsi"/>
          <w:sz w:val="24"/>
          <w:szCs w:val="24"/>
        </w:rPr>
        <w:t xml:space="preserve"> </w:t>
      </w:r>
      <w:r w:rsidR="00457BEB">
        <w:rPr>
          <w:rFonts w:cstheme="minorHAnsi"/>
          <w:sz w:val="24"/>
          <w:szCs w:val="24"/>
        </w:rPr>
        <w:t>on the basis that it would reduce</w:t>
      </w:r>
      <w:r w:rsidR="003F6786" w:rsidRPr="00283045">
        <w:rPr>
          <w:rFonts w:cstheme="minorHAnsi"/>
          <w:sz w:val="24"/>
          <w:szCs w:val="24"/>
        </w:rPr>
        <w:t xml:space="preserve"> competition in the market</w:t>
      </w:r>
      <w:r w:rsidR="00CE2827">
        <w:rPr>
          <w:rFonts w:cstheme="minorHAnsi"/>
          <w:sz w:val="24"/>
          <w:szCs w:val="24"/>
        </w:rPr>
        <w:t>.</w:t>
      </w:r>
    </w:p>
    <w:p w14:paraId="7BA86D5F" w14:textId="6F56EAF7" w:rsidR="00BA4FEF" w:rsidRPr="00283045" w:rsidRDefault="00457BEB" w:rsidP="00283045">
      <w:pPr>
        <w:spacing w:line="480" w:lineRule="auto"/>
        <w:jc w:val="both"/>
        <w:rPr>
          <w:rFonts w:cstheme="minorHAnsi"/>
          <w:sz w:val="24"/>
          <w:szCs w:val="24"/>
        </w:rPr>
      </w:pPr>
      <w:r>
        <w:rPr>
          <w:rFonts w:cstheme="minorHAnsi"/>
          <w:sz w:val="24"/>
          <w:szCs w:val="24"/>
        </w:rPr>
        <w:t>The C</w:t>
      </w:r>
      <w:r w:rsidR="007B6017">
        <w:rPr>
          <w:rFonts w:cstheme="minorHAnsi"/>
          <w:sz w:val="24"/>
          <w:szCs w:val="24"/>
        </w:rPr>
        <w:t xml:space="preserve">ompetition </w:t>
      </w:r>
      <w:r>
        <w:rPr>
          <w:rFonts w:cstheme="minorHAnsi"/>
          <w:sz w:val="24"/>
          <w:szCs w:val="24"/>
        </w:rPr>
        <w:t>C</w:t>
      </w:r>
      <w:r w:rsidR="007B6017">
        <w:rPr>
          <w:rFonts w:cstheme="minorHAnsi"/>
          <w:sz w:val="24"/>
          <w:szCs w:val="24"/>
        </w:rPr>
        <w:t>ommission</w:t>
      </w:r>
      <w:r w:rsidR="00E41396" w:rsidRPr="00283045">
        <w:rPr>
          <w:rFonts w:cstheme="minorHAnsi"/>
          <w:sz w:val="24"/>
          <w:szCs w:val="24"/>
        </w:rPr>
        <w:t xml:space="preserve"> found that the </w:t>
      </w:r>
      <w:r>
        <w:rPr>
          <w:rFonts w:cstheme="minorHAnsi"/>
          <w:sz w:val="24"/>
          <w:szCs w:val="24"/>
        </w:rPr>
        <w:t xml:space="preserve">proposed </w:t>
      </w:r>
      <w:r w:rsidR="00E41396" w:rsidRPr="00283045">
        <w:rPr>
          <w:rFonts w:cstheme="minorHAnsi"/>
          <w:sz w:val="24"/>
          <w:szCs w:val="24"/>
        </w:rPr>
        <w:t>merger was likely to result in a</w:t>
      </w:r>
      <w:r w:rsidR="00C12F27">
        <w:rPr>
          <w:rFonts w:cstheme="minorHAnsi"/>
          <w:sz w:val="24"/>
          <w:szCs w:val="24"/>
        </w:rPr>
        <w:t xml:space="preserve"> significant lessening of competition</w:t>
      </w:r>
      <w:r w:rsidR="001C492A">
        <w:rPr>
          <w:rFonts w:cstheme="minorHAnsi"/>
          <w:sz w:val="24"/>
          <w:szCs w:val="24"/>
        </w:rPr>
        <w:t xml:space="preserve"> </w:t>
      </w:r>
      <w:r w:rsidR="00E41396" w:rsidRPr="00283045">
        <w:rPr>
          <w:rFonts w:cstheme="minorHAnsi"/>
          <w:sz w:val="24"/>
          <w:szCs w:val="24"/>
        </w:rPr>
        <w:t>in 55 clinical service areas</w:t>
      </w:r>
      <w:r w:rsidR="00727879">
        <w:rPr>
          <w:rFonts w:cstheme="minorHAnsi"/>
          <w:sz w:val="24"/>
          <w:szCs w:val="24"/>
        </w:rPr>
        <w:t>, and</w:t>
      </w:r>
      <w:r w:rsidR="00A21FCB" w:rsidRPr="00283045">
        <w:rPr>
          <w:rFonts w:cstheme="minorHAnsi"/>
          <w:sz w:val="24"/>
          <w:szCs w:val="24"/>
        </w:rPr>
        <w:t xml:space="preserve"> </w:t>
      </w:r>
      <w:r w:rsidR="00E41396" w:rsidRPr="00283045">
        <w:rPr>
          <w:rFonts w:cstheme="minorHAnsi"/>
          <w:sz w:val="24"/>
          <w:szCs w:val="24"/>
        </w:rPr>
        <w:t>rejected the merger parties</w:t>
      </w:r>
      <w:r w:rsidR="00EF5E2A" w:rsidRPr="00283045">
        <w:rPr>
          <w:rFonts w:cstheme="minorHAnsi"/>
          <w:sz w:val="24"/>
          <w:szCs w:val="24"/>
        </w:rPr>
        <w:t>’</w:t>
      </w:r>
      <w:r w:rsidR="00E41396" w:rsidRPr="00283045">
        <w:rPr>
          <w:rFonts w:cstheme="minorHAnsi"/>
          <w:sz w:val="24"/>
          <w:szCs w:val="24"/>
        </w:rPr>
        <w:t xml:space="preserve"> arguments that the merger would result in</w:t>
      </w:r>
      <w:r w:rsidR="00EF5E2A" w:rsidRPr="00283045">
        <w:rPr>
          <w:rFonts w:cstheme="minorHAnsi"/>
          <w:sz w:val="24"/>
          <w:szCs w:val="24"/>
        </w:rPr>
        <w:t xml:space="preserve"> customer benefits</w:t>
      </w:r>
      <w:r w:rsidR="007B6017">
        <w:rPr>
          <w:rFonts w:cstheme="minorHAnsi"/>
          <w:sz w:val="24"/>
          <w:szCs w:val="24"/>
        </w:rPr>
        <w:t xml:space="preserve"> </w:t>
      </w:r>
      <w:r w:rsidR="00EF5E2A" w:rsidRPr="00283045">
        <w:rPr>
          <w:rFonts w:cstheme="minorHAnsi"/>
          <w:sz w:val="24"/>
          <w:szCs w:val="24"/>
        </w:rPr>
        <w:t xml:space="preserve">which would outweigh the </w:t>
      </w:r>
      <w:r w:rsidR="00C12F27">
        <w:rPr>
          <w:rFonts w:cstheme="minorHAnsi"/>
          <w:sz w:val="24"/>
          <w:szCs w:val="24"/>
        </w:rPr>
        <w:t>loss of competition</w:t>
      </w:r>
      <w:r w:rsidR="00CE2827">
        <w:rPr>
          <w:rFonts w:cstheme="minorHAnsi"/>
          <w:sz w:val="24"/>
          <w:szCs w:val="24"/>
        </w:rPr>
        <w:t>, such as lower prices, higher quality or greater choice of services, or greater innovation</w:t>
      </w:r>
      <w:r w:rsidR="00EF5E2A" w:rsidRPr="00283045">
        <w:rPr>
          <w:rFonts w:cstheme="minorHAnsi"/>
          <w:sz w:val="24"/>
          <w:szCs w:val="24"/>
        </w:rPr>
        <w:t xml:space="preserve">. The reasons for the rejection of the suggested </w:t>
      </w:r>
      <w:r w:rsidR="0046534C">
        <w:rPr>
          <w:rFonts w:cstheme="minorHAnsi"/>
          <w:sz w:val="24"/>
          <w:szCs w:val="24"/>
        </w:rPr>
        <w:t>customer benefits</w:t>
      </w:r>
      <w:r w:rsidR="0046534C" w:rsidRPr="00283045">
        <w:rPr>
          <w:rFonts w:cstheme="minorHAnsi"/>
          <w:sz w:val="24"/>
          <w:szCs w:val="24"/>
        </w:rPr>
        <w:t xml:space="preserve"> </w:t>
      </w:r>
      <w:r w:rsidR="00EF5E2A" w:rsidRPr="00283045">
        <w:rPr>
          <w:rFonts w:cstheme="minorHAnsi"/>
          <w:sz w:val="24"/>
          <w:szCs w:val="24"/>
        </w:rPr>
        <w:t xml:space="preserve">included lack of detailed plans to support the claims, lack of commissioner support, lack of evidence that </w:t>
      </w:r>
      <w:r w:rsidR="00727879">
        <w:rPr>
          <w:rFonts w:cstheme="minorHAnsi"/>
          <w:sz w:val="24"/>
          <w:szCs w:val="24"/>
        </w:rPr>
        <w:t xml:space="preserve">a) </w:t>
      </w:r>
      <w:r w:rsidR="00EF5E2A" w:rsidRPr="00283045">
        <w:rPr>
          <w:rFonts w:cstheme="minorHAnsi"/>
          <w:sz w:val="24"/>
          <w:szCs w:val="24"/>
        </w:rPr>
        <w:t>the benefit</w:t>
      </w:r>
      <w:r w:rsidR="00727879">
        <w:rPr>
          <w:rFonts w:cstheme="minorHAnsi"/>
          <w:sz w:val="24"/>
          <w:szCs w:val="24"/>
        </w:rPr>
        <w:t>s and savings</w:t>
      </w:r>
      <w:r w:rsidR="00EF5E2A" w:rsidRPr="00283045">
        <w:rPr>
          <w:rFonts w:cstheme="minorHAnsi"/>
          <w:sz w:val="24"/>
          <w:szCs w:val="24"/>
        </w:rPr>
        <w:t xml:space="preserve"> would not occur </w:t>
      </w:r>
      <w:r w:rsidR="00BA4FEF" w:rsidRPr="00283045">
        <w:rPr>
          <w:rFonts w:cstheme="minorHAnsi"/>
          <w:sz w:val="24"/>
          <w:szCs w:val="24"/>
        </w:rPr>
        <w:t>irrespective of the merger</w:t>
      </w:r>
      <w:r w:rsidR="00727879">
        <w:rPr>
          <w:rFonts w:cstheme="minorHAnsi"/>
          <w:sz w:val="24"/>
          <w:szCs w:val="24"/>
        </w:rPr>
        <w:t xml:space="preserve"> and</w:t>
      </w:r>
      <w:r w:rsidR="00BA4FEF" w:rsidRPr="00283045">
        <w:rPr>
          <w:rFonts w:cstheme="minorHAnsi"/>
          <w:sz w:val="24"/>
          <w:szCs w:val="24"/>
        </w:rPr>
        <w:t xml:space="preserve"> </w:t>
      </w:r>
      <w:r w:rsidR="00727879">
        <w:rPr>
          <w:rFonts w:cstheme="minorHAnsi"/>
          <w:sz w:val="24"/>
          <w:szCs w:val="24"/>
        </w:rPr>
        <w:t>b)</w:t>
      </w:r>
      <w:r w:rsidR="00BA4FEF" w:rsidRPr="00283045">
        <w:rPr>
          <w:rFonts w:cstheme="minorHAnsi"/>
          <w:sz w:val="24"/>
          <w:szCs w:val="24"/>
        </w:rPr>
        <w:t xml:space="preserve"> the form some savings would take and lack of detailed implementation plans</w:t>
      </w:r>
      <w:r w:rsidR="00727879">
        <w:rPr>
          <w:rFonts w:cstheme="minorHAnsi"/>
          <w:sz w:val="24"/>
          <w:szCs w:val="24"/>
        </w:rPr>
        <w:t>.</w:t>
      </w:r>
    </w:p>
    <w:p w14:paraId="449ED015" w14:textId="53B66AA4" w:rsidR="00E41396" w:rsidRDefault="00924645" w:rsidP="00283045">
      <w:pPr>
        <w:spacing w:line="480" w:lineRule="auto"/>
        <w:jc w:val="both"/>
        <w:rPr>
          <w:rFonts w:cstheme="minorHAnsi"/>
          <w:color w:val="000000"/>
          <w:sz w:val="24"/>
          <w:szCs w:val="24"/>
        </w:rPr>
      </w:pPr>
      <w:r w:rsidRPr="00283045">
        <w:rPr>
          <w:rFonts w:cstheme="minorHAnsi"/>
          <w:sz w:val="24"/>
          <w:szCs w:val="24"/>
        </w:rPr>
        <w:lastRenderedPageBreak/>
        <w:t xml:space="preserve">The only remedy the </w:t>
      </w:r>
      <w:r w:rsidR="00A21FCB">
        <w:rPr>
          <w:rFonts w:cstheme="minorHAnsi"/>
          <w:sz w:val="24"/>
          <w:szCs w:val="24"/>
        </w:rPr>
        <w:t>C</w:t>
      </w:r>
      <w:r w:rsidR="007B6017">
        <w:rPr>
          <w:rFonts w:cstheme="minorHAnsi"/>
          <w:sz w:val="24"/>
          <w:szCs w:val="24"/>
        </w:rPr>
        <w:t xml:space="preserve">ompetition </w:t>
      </w:r>
      <w:r w:rsidR="00A21FCB">
        <w:rPr>
          <w:rFonts w:cstheme="minorHAnsi"/>
          <w:sz w:val="24"/>
          <w:szCs w:val="24"/>
        </w:rPr>
        <w:t>C</w:t>
      </w:r>
      <w:r w:rsidR="007B6017">
        <w:rPr>
          <w:rFonts w:cstheme="minorHAnsi"/>
          <w:sz w:val="24"/>
          <w:szCs w:val="24"/>
        </w:rPr>
        <w:t>ommission</w:t>
      </w:r>
      <w:r w:rsidRPr="00283045">
        <w:rPr>
          <w:rFonts w:cstheme="minorHAnsi"/>
          <w:sz w:val="24"/>
          <w:szCs w:val="24"/>
        </w:rPr>
        <w:t xml:space="preserve"> put forward was the prohibition of the merger. Interestingly, the merger parties cited earlier CCP recommendations regarding behavioural remedies</w:t>
      </w:r>
      <w:r w:rsidR="00597D0E">
        <w:rPr>
          <w:rFonts w:cstheme="minorHAnsi"/>
          <w:sz w:val="24"/>
          <w:szCs w:val="24"/>
        </w:rPr>
        <w:t xml:space="preserve"> in relation to mergers</w:t>
      </w:r>
      <w:r w:rsidRPr="00283045">
        <w:rPr>
          <w:rFonts w:cstheme="minorHAnsi"/>
          <w:sz w:val="24"/>
          <w:szCs w:val="24"/>
        </w:rPr>
        <w:t xml:space="preserve"> </w:t>
      </w:r>
      <w:r w:rsidR="00597D0E">
        <w:rPr>
          <w:rFonts w:cstheme="minorHAnsi"/>
          <w:sz w:val="24"/>
          <w:szCs w:val="24"/>
        </w:rPr>
        <w:t xml:space="preserve">(as described </w:t>
      </w:r>
      <w:r w:rsidR="00316A5D" w:rsidRPr="00283045">
        <w:rPr>
          <w:rFonts w:cstheme="minorHAnsi"/>
          <w:sz w:val="24"/>
          <w:szCs w:val="24"/>
        </w:rPr>
        <w:t xml:space="preserve">above) </w:t>
      </w:r>
      <w:r w:rsidRPr="00283045">
        <w:rPr>
          <w:rFonts w:cstheme="minorHAnsi"/>
          <w:sz w:val="24"/>
          <w:szCs w:val="24"/>
        </w:rPr>
        <w:t>and suggested a behavioural remedy</w:t>
      </w:r>
      <w:r w:rsidR="007B6017">
        <w:rPr>
          <w:rFonts w:cstheme="minorHAnsi"/>
          <w:sz w:val="24"/>
          <w:szCs w:val="24"/>
        </w:rPr>
        <w:t xml:space="preserve"> </w:t>
      </w:r>
      <w:r w:rsidR="0046534C">
        <w:rPr>
          <w:rFonts w:cstheme="minorHAnsi"/>
          <w:sz w:val="24"/>
          <w:szCs w:val="24"/>
        </w:rPr>
        <w:t>(</w:t>
      </w:r>
      <w:r w:rsidR="00316A5D" w:rsidRPr="00283045">
        <w:rPr>
          <w:rFonts w:cstheme="minorHAnsi"/>
          <w:sz w:val="24"/>
          <w:szCs w:val="24"/>
        </w:rPr>
        <w:t>based on the NHS Friends and Family test</w:t>
      </w:r>
      <w:r w:rsidR="0046534C">
        <w:rPr>
          <w:rFonts w:cstheme="minorHAnsi"/>
          <w:sz w:val="24"/>
          <w:szCs w:val="24"/>
        </w:rPr>
        <w:t>)</w:t>
      </w:r>
      <w:r w:rsidR="00316A5D" w:rsidRPr="00283045">
        <w:rPr>
          <w:rFonts w:cstheme="minorHAnsi"/>
          <w:sz w:val="24"/>
          <w:szCs w:val="24"/>
        </w:rPr>
        <w:t xml:space="preserve"> should be put in place</w:t>
      </w:r>
      <w:r w:rsidR="007608F4" w:rsidRPr="00283045">
        <w:rPr>
          <w:rFonts w:cstheme="minorHAnsi"/>
          <w:sz w:val="24"/>
          <w:szCs w:val="24"/>
        </w:rPr>
        <w:t>, bolstered w</w:t>
      </w:r>
      <w:r w:rsidR="00597D0E">
        <w:rPr>
          <w:rFonts w:cstheme="minorHAnsi"/>
          <w:sz w:val="24"/>
          <w:szCs w:val="24"/>
        </w:rPr>
        <w:t>ith</w:t>
      </w:r>
      <w:r w:rsidR="007608F4" w:rsidRPr="00283045">
        <w:rPr>
          <w:rFonts w:cstheme="minorHAnsi"/>
          <w:sz w:val="24"/>
          <w:szCs w:val="24"/>
        </w:rPr>
        <w:t xml:space="preserve"> retendering of contract</w:t>
      </w:r>
      <w:r w:rsidR="00597D0E">
        <w:rPr>
          <w:rFonts w:cstheme="minorHAnsi"/>
          <w:sz w:val="24"/>
          <w:szCs w:val="24"/>
        </w:rPr>
        <w:t>s</w:t>
      </w:r>
      <w:r w:rsidR="007608F4" w:rsidRPr="00283045">
        <w:rPr>
          <w:rFonts w:cstheme="minorHAnsi"/>
          <w:sz w:val="24"/>
          <w:szCs w:val="24"/>
        </w:rPr>
        <w:t xml:space="preserve"> </w:t>
      </w:r>
      <w:r w:rsidR="00252D4B">
        <w:rPr>
          <w:rFonts w:cstheme="minorHAnsi"/>
          <w:sz w:val="24"/>
          <w:szCs w:val="24"/>
        </w:rPr>
        <w:t>in the event of a drop in</w:t>
      </w:r>
      <w:r w:rsidR="00597D0E">
        <w:rPr>
          <w:rFonts w:cstheme="minorHAnsi"/>
          <w:sz w:val="24"/>
          <w:szCs w:val="24"/>
        </w:rPr>
        <w:t xml:space="preserve"> </w:t>
      </w:r>
      <w:r w:rsidR="007608F4" w:rsidRPr="00283045">
        <w:rPr>
          <w:rFonts w:cstheme="minorHAnsi"/>
          <w:sz w:val="24"/>
          <w:szCs w:val="24"/>
        </w:rPr>
        <w:t xml:space="preserve">service </w:t>
      </w:r>
      <w:r w:rsidR="00597D0E">
        <w:rPr>
          <w:rFonts w:cstheme="minorHAnsi"/>
          <w:sz w:val="24"/>
          <w:szCs w:val="24"/>
        </w:rPr>
        <w:t>quality</w:t>
      </w:r>
      <w:r w:rsidRPr="00283045">
        <w:rPr>
          <w:rFonts w:cstheme="minorHAnsi"/>
          <w:sz w:val="24"/>
          <w:szCs w:val="24"/>
        </w:rPr>
        <w:t xml:space="preserve">. </w:t>
      </w:r>
      <w:r w:rsidR="00316A5D" w:rsidRPr="00283045">
        <w:rPr>
          <w:rFonts w:cstheme="minorHAnsi"/>
          <w:sz w:val="24"/>
          <w:szCs w:val="24"/>
        </w:rPr>
        <w:t xml:space="preserve">This </w:t>
      </w:r>
      <w:r w:rsidR="00597D0E">
        <w:rPr>
          <w:rFonts w:cstheme="minorHAnsi"/>
          <w:sz w:val="24"/>
          <w:szCs w:val="24"/>
        </w:rPr>
        <w:t xml:space="preserve">proposed remedy </w:t>
      </w:r>
      <w:r w:rsidR="00316A5D" w:rsidRPr="00283045">
        <w:rPr>
          <w:rFonts w:cstheme="minorHAnsi"/>
          <w:sz w:val="24"/>
          <w:szCs w:val="24"/>
        </w:rPr>
        <w:t>was r</w:t>
      </w:r>
      <w:r w:rsidRPr="00283045">
        <w:rPr>
          <w:rFonts w:cstheme="minorHAnsi"/>
          <w:sz w:val="24"/>
          <w:szCs w:val="24"/>
        </w:rPr>
        <w:t xml:space="preserve">ejected </w:t>
      </w:r>
      <w:r w:rsidR="00316A5D" w:rsidRPr="00283045">
        <w:rPr>
          <w:rFonts w:cstheme="minorHAnsi"/>
          <w:sz w:val="24"/>
          <w:szCs w:val="24"/>
        </w:rPr>
        <w:t>by the C</w:t>
      </w:r>
      <w:r w:rsidR="007B6017">
        <w:rPr>
          <w:rFonts w:cstheme="minorHAnsi"/>
          <w:sz w:val="24"/>
          <w:szCs w:val="24"/>
        </w:rPr>
        <w:t xml:space="preserve">ompetition </w:t>
      </w:r>
      <w:r w:rsidR="00316A5D" w:rsidRPr="00283045">
        <w:rPr>
          <w:rFonts w:cstheme="minorHAnsi"/>
          <w:sz w:val="24"/>
          <w:szCs w:val="24"/>
        </w:rPr>
        <w:t>C</w:t>
      </w:r>
      <w:r w:rsidR="007B6017">
        <w:rPr>
          <w:rFonts w:cstheme="minorHAnsi"/>
          <w:sz w:val="24"/>
          <w:szCs w:val="24"/>
        </w:rPr>
        <w:t>ommission, who cited</w:t>
      </w:r>
      <w:r w:rsidR="00736673" w:rsidRPr="00283045">
        <w:rPr>
          <w:rFonts w:cstheme="minorHAnsi"/>
          <w:sz w:val="24"/>
          <w:szCs w:val="24"/>
        </w:rPr>
        <w:t xml:space="preserve"> </w:t>
      </w:r>
      <w:r w:rsidR="00E00B62">
        <w:rPr>
          <w:rFonts w:cstheme="minorHAnsi"/>
          <w:sz w:val="24"/>
          <w:szCs w:val="24"/>
        </w:rPr>
        <w:t xml:space="preserve">not only problems with </w:t>
      </w:r>
      <w:r w:rsidR="00F66719">
        <w:rPr>
          <w:rFonts w:cstheme="minorHAnsi"/>
          <w:sz w:val="24"/>
          <w:szCs w:val="24"/>
        </w:rPr>
        <w:t>its</w:t>
      </w:r>
      <w:r w:rsidR="00E00B62">
        <w:rPr>
          <w:rFonts w:cstheme="minorHAnsi"/>
          <w:sz w:val="24"/>
          <w:szCs w:val="24"/>
        </w:rPr>
        <w:t xml:space="preserve"> effectiveness and appropriateness, but also </w:t>
      </w:r>
      <w:r w:rsidR="00F66719">
        <w:rPr>
          <w:rFonts w:cstheme="minorHAnsi"/>
          <w:sz w:val="24"/>
          <w:szCs w:val="24"/>
        </w:rPr>
        <w:t xml:space="preserve">expressed </w:t>
      </w:r>
      <w:r w:rsidR="00E00B62">
        <w:rPr>
          <w:rFonts w:cstheme="minorHAnsi"/>
          <w:sz w:val="24"/>
          <w:szCs w:val="24"/>
        </w:rPr>
        <w:t>a lack of confidence</w:t>
      </w:r>
      <w:r w:rsidR="00C5641F">
        <w:rPr>
          <w:rFonts w:cstheme="minorHAnsi"/>
          <w:sz w:val="24"/>
          <w:szCs w:val="24"/>
        </w:rPr>
        <w:t xml:space="preserve"> </w:t>
      </w:r>
      <w:r w:rsidR="00E00B62">
        <w:rPr>
          <w:rFonts w:cstheme="minorHAnsi"/>
          <w:sz w:val="24"/>
          <w:szCs w:val="24"/>
        </w:rPr>
        <w:t xml:space="preserve">in the </w:t>
      </w:r>
      <w:r w:rsidR="00C5641F">
        <w:rPr>
          <w:rFonts w:cstheme="minorHAnsi"/>
          <w:sz w:val="24"/>
          <w:szCs w:val="24"/>
        </w:rPr>
        <w:t>capacity</w:t>
      </w:r>
      <w:r w:rsidR="00E00B62">
        <w:rPr>
          <w:rFonts w:cstheme="minorHAnsi"/>
          <w:sz w:val="24"/>
          <w:szCs w:val="24"/>
        </w:rPr>
        <w:t xml:space="preserve"> of a behav</w:t>
      </w:r>
      <w:r w:rsidR="00C5641F">
        <w:rPr>
          <w:rFonts w:cstheme="minorHAnsi"/>
          <w:sz w:val="24"/>
          <w:szCs w:val="24"/>
        </w:rPr>
        <w:t>ioural remedy to address such a</w:t>
      </w:r>
      <w:r w:rsidR="00E00B62">
        <w:rPr>
          <w:rFonts w:cstheme="minorHAnsi"/>
          <w:sz w:val="24"/>
          <w:szCs w:val="24"/>
        </w:rPr>
        <w:t xml:space="preserve"> wide ranging lessening of competition, and </w:t>
      </w:r>
      <w:r w:rsidR="00C5641F">
        <w:rPr>
          <w:rFonts w:cstheme="minorHAnsi"/>
          <w:sz w:val="24"/>
          <w:szCs w:val="24"/>
        </w:rPr>
        <w:t xml:space="preserve">indeed </w:t>
      </w:r>
      <w:r w:rsidR="00E00B62">
        <w:rPr>
          <w:rFonts w:cstheme="minorHAnsi"/>
          <w:sz w:val="24"/>
          <w:szCs w:val="24"/>
        </w:rPr>
        <w:t xml:space="preserve">in the suitability of behavioural remedies at all. </w:t>
      </w:r>
    </w:p>
    <w:p w14:paraId="45F6FB63" w14:textId="7ACFD809" w:rsidR="00252D4B" w:rsidRPr="00283045" w:rsidRDefault="0035467E" w:rsidP="00283045">
      <w:pPr>
        <w:spacing w:line="480" w:lineRule="auto"/>
        <w:jc w:val="both"/>
        <w:rPr>
          <w:rFonts w:cstheme="minorHAnsi"/>
          <w:sz w:val="24"/>
          <w:szCs w:val="24"/>
        </w:rPr>
      </w:pPr>
      <w:r>
        <w:rPr>
          <w:rFonts w:cstheme="minorHAnsi"/>
          <w:sz w:val="24"/>
          <w:szCs w:val="24"/>
        </w:rPr>
        <w:t>F</w:t>
      </w:r>
      <w:r w:rsidR="00252D4B">
        <w:rPr>
          <w:rFonts w:cstheme="minorHAnsi"/>
          <w:sz w:val="24"/>
          <w:szCs w:val="24"/>
        </w:rPr>
        <w:t>ollowing the rejection of the proposed merger by the C</w:t>
      </w:r>
      <w:r w:rsidR="007B6017">
        <w:rPr>
          <w:rFonts w:cstheme="minorHAnsi"/>
          <w:sz w:val="24"/>
          <w:szCs w:val="24"/>
        </w:rPr>
        <w:t xml:space="preserve">ompetition </w:t>
      </w:r>
      <w:r w:rsidR="00252D4B">
        <w:rPr>
          <w:rFonts w:cstheme="minorHAnsi"/>
          <w:sz w:val="24"/>
          <w:szCs w:val="24"/>
        </w:rPr>
        <w:t>C</w:t>
      </w:r>
      <w:r w:rsidR="007B6017">
        <w:rPr>
          <w:rFonts w:cstheme="minorHAnsi"/>
          <w:sz w:val="24"/>
          <w:szCs w:val="24"/>
        </w:rPr>
        <w:t>ommission</w:t>
      </w:r>
      <w:r w:rsidR="00252D4B">
        <w:rPr>
          <w:rFonts w:cstheme="minorHAnsi"/>
          <w:sz w:val="24"/>
          <w:szCs w:val="24"/>
        </w:rPr>
        <w:t xml:space="preserve">, there appeared to be a </w:t>
      </w:r>
      <w:r w:rsidR="00727879">
        <w:rPr>
          <w:rFonts w:cstheme="minorHAnsi"/>
          <w:sz w:val="24"/>
          <w:szCs w:val="24"/>
        </w:rPr>
        <w:t>move to avoid</w:t>
      </w:r>
      <w:r w:rsidR="00252D4B">
        <w:rPr>
          <w:rFonts w:cstheme="minorHAnsi"/>
          <w:sz w:val="24"/>
          <w:szCs w:val="24"/>
        </w:rPr>
        <w:t xml:space="preserve"> </w:t>
      </w:r>
      <w:r w:rsidR="00727879">
        <w:rPr>
          <w:rFonts w:cstheme="minorHAnsi"/>
          <w:sz w:val="24"/>
          <w:szCs w:val="24"/>
        </w:rPr>
        <w:t>the</w:t>
      </w:r>
      <w:r w:rsidR="00252D4B" w:rsidRPr="00283045">
        <w:rPr>
          <w:rFonts w:cstheme="minorHAnsi"/>
          <w:sz w:val="24"/>
          <w:szCs w:val="24"/>
        </w:rPr>
        <w:t xml:space="preserve"> escalation</w:t>
      </w:r>
      <w:r w:rsidR="00252D4B">
        <w:rPr>
          <w:rFonts w:cstheme="minorHAnsi"/>
          <w:sz w:val="24"/>
          <w:szCs w:val="24"/>
        </w:rPr>
        <w:t xml:space="preserve"> of merger proposals</w:t>
      </w:r>
      <w:r w:rsidR="00252D4B" w:rsidRPr="00283045">
        <w:rPr>
          <w:rFonts w:cstheme="minorHAnsi"/>
          <w:sz w:val="24"/>
          <w:szCs w:val="24"/>
        </w:rPr>
        <w:t xml:space="preserve"> to </w:t>
      </w:r>
      <w:r w:rsidR="00252D4B">
        <w:rPr>
          <w:rFonts w:cstheme="minorHAnsi"/>
          <w:sz w:val="24"/>
          <w:szCs w:val="24"/>
        </w:rPr>
        <w:t xml:space="preserve">the </w:t>
      </w:r>
      <w:r w:rsidR="00727879">
        <w:rPr>
          <w:rFonts w:cstheme="minorHAnsi"/>
          <w:sz w:val="24"/>
          <w:szCs w:val="24"/>
        </w:rPr>
        <w:t xml:space="preserve">national </w:t>
      </w:r>
      <w:r w:rsidR="00252D4B" w:rsidRPr="00283045">
        <w:rPr>
          <w:rFonts w:cstheme="minorHAnsi"/>
          <w:sz w:val="24"/>
          <w:szCs w:val="24"/>
        </w:rPr>
        <w:t xml:space="preserve">competition </w:t>
      </w:r>
      <w:r w:rsidR="00252D4B">
        <w:rPr>
          <w:rFonts w:cstheme="minorHAnsi"/>
          <w:sz w:val="24"/>
          <w:szCs w:val="24"/>
        </w:rPr>
        <w:t xml:space="preserve">regulators wherever possible. </w:t>
      </w:r>
      <w:r w:rsidR="00252D4B" w:rsidRPr="00283045">
        <w:rPr>
          <w:rFonts w:cstheme="minorHAnsi"/>
          <w:sz w:val="24"/>
          <w:szCs w:val="24"/>
        </w:rPr>
        <w:t xml:space="preserve"> Monitor</w:t>
      </w:r>
      <w:r w:rsidR="00252D4B">
        <w:rPr>
          <w:rFonts w:cstheme="minorHAnsi"/>
          <w:sz w:val="24"/>
          <w:szCs w:val="24"/>
        </w:rPr>
        <w:t xml:space="preserve">, </w:t>
      </w:r>
      <w:r w:rsidR="00130A8D">
        <w:rPr>
          <w:rFonts w:cstheme="minorHAnsi"/>
          <w:sz w:val="24"/>
          <w:szCs w:val="24"/>
        </w:rPr>
        <w:t xml:space="preserve">the </w:t>
      </w:r>
      <w:r w:rsidR="00252D4B" w:rsidRPr="00283045">
        <w:rPr>
          <w:rFonts w:cstheme="minorHAnsi"/>
          <w:sz w:val="24"/>
          <w:szCs w:val="24"/>
        </w:rPr>
        <w:t>O</w:t>
      </w:r>
      <w:r w:rsidR="007B6017">
        <w:rPr>
          <w:rFonts w:cstheme="minorHAnsi"/>
          <w:sz w:val="24"/>
          <w:szCs w:val="24"/>
        </w:rPr>
        <w:t xml:space="preserve">ffice of </w:t>
      </w:r>
      <w:r w:rsidR="00252D4B" w:rsidRPr="00283045">
        <w:rPr>
          <w:rFonts w:cstheme="minorHAnsi"/>
          <w:sz w:val="24"/>
          <w:szCs w:val="24"/>
        </w:rPr>
        <w:t>F</w:t>
      </w:r>
      <w:r w:rsidR="007B6017">
        <w:rPr>
          <w:rFonts w:cstheme="minorHAnsi"/>
          <w:sz w:val="24"/>
          <w:szCs w:val="24"/>
        </w:rPr>
        <w:t xml:space="preserve">air </w:t>
      </w:r>
      <w:r w:rsidR="00252D4B" w:rsidRPr="00283045">
        <w:rPr>
          <w:rFonts w:cstheme="minorHAnsi"/>
          <w:sz w:val="24"/>
          <w:szCs w:val="24"/>
        </w:rPr>
        <w:t>T</w:t>
      </w:r>
      <w:r w:rsidR="007B6017">
        <w:rPr>
          <w:rFonts w:cstheme="minorHAnsi"/>
          <w:sz w:val="24"/>
          <w:szCs w:val="24"/>
        </w:rPr>
        <w:t>rading</w:t>
      </w:r>
      <w:r w:rsidR="00252D4B">
        <w:rPr>
          <w:rFonts w:cstheme="minorHAnsi"/>
          <w:sz w:val="24"/>
          <w:szCs w:val="24"/>
        </w:rPr>
        <w:t xml:space="preserve"> and the </w:t>
      </w:r>
      <w:r w:rsidR="00252D4B" w:rsidRPr="00283045">
        <w:rPr>
          <w:rFonts w:cstheme="minorHAnsi"/>
          <w:sz w:val="24"/>
          <w:szCs w:val="24"/>
        </w:rPr>
        <w:t>C</w:t>
      </w:r>
      <w:r w:rsidR="007B6017">
        <w:rPr>
          <w:rFonts w:cstheme="minorHAnsi"/>
          <w:sz w:val="24"/>
          <w:szCs w:val="24"/>
        </w:rPr>
        <w:t xml:space="preserve">ompetition </w:t>
      </w:r>
      <w:r w:rsidR="00252D4B" w:rsidRPr="00283045">
        <w:rPr>
          <w:rFonts w:cstheme="minorHAnsi"/>
          <w:sz w:val="24"/>
          <w:szCs w:val="24"/>
        </w:rPr>
        <w:t>C</w:t>
      </w:r>
      <w:r w:rsidR="007B6017">
        <w:rPr>
          <w:rFonts w:cstheme="minorHAnsi"/>
          <w:sz w:val="24"/>
          <w:szCs w:val="24"/>
        </w:rPr>
        <w:t>ommission</w:t>
      </w:r>
      <w:r w:rsidR="00252D4B" w:rsidRPr="00283045">
        <w:rPr>
          <w:rFonts w:cstheme="minorHAnsi"/>
          <w:sz w:val="24"/>
          <w:szCs w:val="24"/>
        </w:rPr>
        <w:t xml:space="preserve"> issued </w:t>
      </w:r>
      <w:r w:rsidR="00252D4B">
        <w:rPr>
          <w:rFonts w:cstheme="minorHAnsi"/>
          <w:sz w:val="24"/>
          <w:szCs w:val="24"/>
        </w:rPr>
        <w:t xml:space="preserve">a </w:t>
      </w:r>
      <w:r w:rsidR="00252D4B" w:rsidRPr="00283045">
        <w:rPr>
          <w:rFonts w:cstheme="minorHAnsi"/>
          <w:sz w:val="24"/>
          <w:szCs w:val="24"/>
        </w:rPr>
        <w:t>joint statement</w:t>
      </w:r>
      <w:r w:rsidR="00252D4B">
        <w:rPr>
          <w:rFonts w:cstheme="minorHAnsi"/>
          <w:sz w:val="24"/>
          <w:szCs w:val="24"/>
        </w:rPr>
        <w:t xml:space="preserve"> </w:t>
      </w:r>
      <w:r w:rsidR="00252D4B" w:rsidRPr="00283045">
        <w:rPr>
          <w:rFonts w:cstheme="minorHAnsi"/>
          <w:sz w:val="24"/>
          <w:szCs w:val="24"/>
        </w:rPr>
        <w:t>outlining work</w:t>
      </w:r>
      <w:r w:rsidR="00130A8D">
        <w:rPr>
          <w:rFonts w:cstheme="minorHAnsi"/>
          <w:sz w:val="24"/>
          <w:szCs w:val="24"/>
        </w:rPr>
        <w:t xml:space="preserve"> they would be undertaking</w:t>
      </w:r>
      <w:r w:rsidR="00252D4B" w:rsidRPr="00283045">
        <w:rPr>
          <w:rFonts w:cstheme="minorHAnsi"/>
          <w:sz w:val="24"/>
          <w:szCs w:val="24"/>
        </w:rPr>
        <w:t xml:space="preserve"> to reduce number of mergers proceeding to formal review stage </w:t>
      </w:r>
      <w:r w:rsidR="00C34131">
        <w:rPr>
          <w:rFonts w:eastAsia="Times New Roman" w:cstheme="minorHAnsi"/>
          <w:sz w:val="24"/>
          <w:szCs w:val="24"/>
          <w:lang w:eastAsia="en-GB"/>
        </w:rPr>
        <w:fldChar w:fldCharType="begin"/>
      </w:r>
      <w:r w:rsidR="00C34131">
        <w:rPr>
          <w:rFonts w:eastAsia="Times New Roman" w:cstheme="minorHAnsi"/>
          <w:sz w:val="24"/>
          <w:szCs w:val="24"/>
          <w:lang w:eastAsia="en-GB"/>
        </w:rPr>
        <w:instrText xml:space="preserve"> ADDIN EN.CITE &lt;EndNote&gt;&lt;Cite&gt;&lt;Author&gt;Competition Commission&lt;/Author&gt;&lt;Year&gt;2014&lt;/Year&gt;&lt;RecNum&gt;585&lt;/RecNum&gt;&lt;DisplayText&gt;(Competition Commission et al., 2014)&lt;/DisplayText&gt;&lt;record&gt;&lt;rec-number&gt;585&lt;/rec-number&gt;&lt;foreign-keys&gt;&lt;key app="EN" db-id="za50fsw09wzvx0er2t2p0d0txzrw9x59d9a5"&gt;585&lt;/key&gt;&lt;/foreign-keys&gt;&lt;ref-type name="Report"&gt;27&lt;/ref-type&gt;&lt;contributors&gt;&lt;authors&gt;&lt;author&gt;Competition Commission,&lt;/author&gt;&lt;author&gt;Office of Fair Trading,&lt;/author&gt;&lt;author&gt;Monitor,&lt;/author&gt;&lt;/authors&gt;&lt;/contributors&gt;&lt;titles&gt;&lt;title&gt;Ensuring that patients&amp;apos; interests are at the heast of assessing public hospital mergers. Joint statement  17 October 2013&lt;/title&gt;&lt;/titles&gt;&lt;dates&gt;&lt;year&gt;2014&lt;/year&gt;&lt;/dates&gt;&lt;urls&gt;&lt;/urls&gt;&lt;/record&gt;&lt;/Cite&gt;&lt;/EndNote&gt;</w:instrText>
      </w:r>
      <w:r w:rsidR="00C34131">
        <w:rPr>
          <w:rFonts w:eastAsia="Times New Roman" w:cstheme="minorHAnsi"/>
          <w:sz w:val="24"/>
          <w:szCs w:val="24"/>
          <w:lang w:eastAsia="en-GB"/>
        </w:rPr>
        <w:fldChar w:fldCharType="separate"/>
      </w:r>
      <w:r w:rsidR="00C34131">
        <w:rPr>
          <w:rFonts w:eastAsia="Times New Roman" w:cstheme="minorHAnsi"/>
          <w:noProof/>
          <w:sz w:val="24"/>
          <w:szCs w:val="24"/>
          <w:lang w:eastAsia="en-GB"/>
        </w:rPr>
        <w:t>(</w:t>
      </w:r>
      <w:hyperlink w:anchor="_ENREF_9" w:tooltip="Competition Commission, 2014 #585" w:history="1">
        <w:r w:rsidR="00513FB0">
          <w:rPr>
            <w:rFonts w:eastAsia="Times New Roman" w:cstheme="minorHAnsi"/>
            <w:noProof/>
            <w:sz w:val="24"/>
            <w:szCs w:val="24"/>
            <w:lang w:eastAsia="en-GB"/>
          </w:rPr>
          <w:t>Competition Commission et al., 2014</w:t>
        </w:r>
      </w:hyperlink>
      <w:r w:rsidR="00C34131">
        <w:rPr>
          <w:rFonts w:eastAsia="Times New Roman" w:cstheme="minorHAnsi"/>
          <w:noProof/>
          <w:sz w:val="24"/>
          <w:szCs w:val="24"/>
          <w:lang w:eastAsia="en-GB"/>
        </w:rPr>
        <w:t>)</w:t>
      </w:r>
      <w:r w:rsidR="00C34131">
        <w:rPr>
          <w:rFonts w:eastAsia="Times New Roman" w:cstheme="minorHAnsi"/>
          <w:sz w:val="24"/>
          <w:szCs w:val="24"/>
          <w:lang w:eastAsia="en-GB"/>
        </w:rPr>
        <w:fldChar w:fldCharType="end"/>
      </w:r>
      <w:r w:rsidR="00727879">
        <w:rPr>
          <w:rFonts w:cstheme="minorHAnsi"/>
          <w:sz w:val="24"/>
          <w:szCs w:val="24"/>
        </w:rPr>
        <w:t>, and Monitor contacted</w:t>
      </w:r>
      <w:r w:rsidR="00252D4B">
        <w:rPr>
          <w:rFonts w:cstheme="minorHAnsi"/>
          <w:sz w:val="24"/>
          <w:szCs w:val="24"/>
        </w:rPr>
        <w:t xml:space="preserve"> NHS Trusts  outlining </w:t>
      </w:r>
      <w:r w:rsidR="00727879">
        <w:rPr>
          <w:rFonts w:cstheme="minorHAnsi"/>
          <w:sz w:val="24"/>
          <w:szCs w:val="24"/>
        </w:rPr>
        <w:t>the</w:t>
      </w:r>
      <w:r w:rsidR="00252D4B">
        <w:rPr>
          <w:rFonts w:cstheme="minorHAnsi"/>
          <w:sz w:val="24"/>
          <w:szCs w:val="24"/>
        </w:rPr>
        <w:t xml:space="preserve"> aid </w:t>
      </w:r>
      <w:r w:rsidR="00727879">
        <w:rPr>
          <w:rFonts w:cstheme="minorHAnsi"/>
          <w:sz w:val="24"/>
          <w:szCs w:val="24"/>
        </w:rPr>
        <w:t xml:space="preserve">they could offer to </w:t>
      </w:r>
      <w:r w:rsidR="00252D4B">
        <w:rPr>
          <w:rFonts w:cstheme="minorHAnsi"/>
          <w:sz w:val="24"/>
          <w:szCs w:val="24"/>
        </w:rPr>
        <w:t xml:space="preserve">merger proposals </w:t>
      </w:r>
      <w:r w:rsidR="00A50339">
        <w:rPr>
          <w:rFonts w:cstheme="minorHAnsi"/>
          <w:sz w:val="24"/>
          <w:szCs w:val="24"/>
        </w:rPr>
        <w:t xml:space="preserve">to reduce the likelihood of Phase II review </w:t>
      </w:r>
      <w:r w:rsidR="00C34131">
        <w:rPr>
          <w:rFonts w:cstheme="minorHAnsi"/>
          <w:sz w:val="24"/>
          <w:szCs w:val="24"/>
        </w:rPr>
        <w:fldChar w:fldCharType="begin"/>
      </w:r>
      <w:r w:rsidR="00513FB0">
        <w:rPr>
          <w:rFonts w:cstheme="minorHAnsi"/>
          <w:sz w:val="24"/>
          <w:szCs w:val="24"/>
        </w:rPr>
        <w:instrText xml:space="preserve"> ADDIN EN.CITE &lt;EndNote&gt;&lt;Cite&gt;&lt;Author&gt;Monitor&lt;/Author&gt;&lt;Year&gt;2014&lt;/Year&gt;&lt;RecNum&gt;606&lt;/RecNum&gt;&lt;DisplayText&gt;(Monitor, 2014a)&lt;/DisplayText&gt;&lt;record&gt;&lt;rec-number&gt;606&lt;/rec-number&gt;&lt;foreign-keys&gt;&lt;key app="EN" db-id="za50fsw09wzvx0er2t2p0d0txzrw9x59d9a5"&gt;606&lt;/key&gt;&lt;/foreign-keys&gt;&lt;ref-type name="Web Page"&gt;12&lt;/ref-type&gt;&lt;contributors&gt;&lt;authors&gt;&lt;author&gt;Monitor&lt;/author&gt;&lt;/authors&gt;&lt;/contributors&gt;&lt;titles&gt;&lt;title&gt;Letter from Monitor to all NHS Trusts and Foundation Trusts: Arrangements to support NHS foundation trusts contemplating mergers. 24 January 2014&lt;/title&gt;&lt;/titles&gt;&lt;dates&gt;&lt;year&gt;2014&lt;/year&gt;&lt;/dates&gt;&lt;urls&gt;&lt;related-urls&gt;&lt;url&gt;https://www.gov.uk/government/uploads/system/uploads/attachment_data/file/288918/Letter_from_David_Bennett_on_mergers_24_January_2014.pdf &lt;/url&gt;&lt;/related-urls&gt;&lt;/urls&gt;&lt;access-date&gt;27/08/15&lt;/access-date&gt;&lt;/record&gt;&lt;/Cite&gt;&lt;/EndNote&gt;</w:instrText>
      </w:r>
      <w:r w:rsidR="00C34131">
        <w:rPr>
          <w:rFonts w:cstheme="minorHAnsi"/>
          <w:sz w:val="24"/>
          <w:szCs w:val="24"/>
        </w:rPr>
        <w:fldChar w:fldCharType="separate"/>
      </w:r>
      <w:r w:rsidR="00A75418">
        <w:rPr>
          <w:rFonts w:cstheme="minorHAnsi"/>
          <w:noProof/>
          <w:sz w:val="24"/>
          <w:szCs w:val="24"/>
        </w:rPr>
        <w:t>(</w:t>
      </w:r>
      <w:hyperlink w:anchor="_ENREF_30" w:tooltip="Monitor, 2014 #606" w:history="1">
        <w:r w:rsidR="00513FB0">
          <w:rPr>
            <w:rFonts w:cstheme="minorHAnsi"/>
            <w:noProof/>
            <w:sz w:val="24"/>
            <w:szCs w:val="24"/>
          </w:rPr>
          <w:t>Monitor, 2014a</w:t>
        </w:r>
      </w:hyperlink>
      <w:r w:rsidR="00A75418">
        <w:rPr>
          <w:rFonts w:cstheme="minorHAnsi"/>
          <w:noProof/>
          <w:sz w:val="24"/>
          <w:szCs w:val="24"/>
        </w:rPr>
        <w:t>)</w:t>
      </w:r>
      <w:r w:rsidR="00C34131">
        <w:rPr>
          <w:rFonts w:cstheme="minorHAnsi"/>
          <w:sz w:val="24"/>
          <w:szCs w:val="24"/>
        </w:rPr>
        <w:fldChar w:fldCharType="end"/>
      </w:r>
      <w:r w:rsidR="00C34131">
        <w:rPr>
          <w:rFonts w:cstheme="minorHAnsi"/>
          <w:sz w:val="24"/>
          <w:szCs w:val="24"/>
        </w:rPr>
        <w:t>.</w:t>
      </w:r>
      <w:r w:rsidR="00252D4B">
        <w:rPr>
          <w:rFonts w:cstheme="minorHAnsi"/>
          <w:sz w:val="24"/>
          <w:szCs w:val="24"/>
        </w:rPr>
        <w:t xml:space="preserve"> </w:t>
      </w:r>
      <w:r w:rsidR="006E2A09">
        <w:rPr>
          <w:rFonts w:cstheme="minorHAnsi"/>
          <w:sz w:val="24"/>
          <w:szCs w:val="24"/>
        </w:rPr>
        <w:t xml:space="preserve">Subsequently Monitor published revised guidance regarding how it would engage with FTs at an early stage in the merger process </w:t>
      </w:r>
      <w:r w:rsidR="00C34131">
        <w:rPr>
          <w:rFonts w:cstheme="minorHAnsi"/>
          <w:sz w:val="24"/>
          <w:szCs w:val="24"/>
        </w:rPr>
        <w:fldChar w:fldCharType="begin"/>
      </w:r>
      <w:r w:rsidR="00A75418">
        <w:rPr>
          <w:rFonts w:cstheme="minorHAnsi"/>
          <w:sz w:val="24"/>
          <w:szCs w:val="24"/>
        </w:rPr>
        <w:instrText xml:space="preserve"> ADDIN EN.CITE &lt;EndNote&gt;&lt;Cite&gt;&lt;Author&gt;Monitor&lt;/Author&gt;&lt;Year&gt;2014&lt;/Year&gt;&lt;RecNum&gt;607&lt;/RecNum&gt;&lt;DisplayText&gt;(Monitor, 2014b)&lt;/DisplayText&gt;&lt;record&gt;&lt;rec-number&gt;607&lt;/rec-number&gt;&lt;foreign-keys&gt;&lt;key app="EN" db-id="za50fsw09wzvx0er2t2p0d0txzrw9x59d9a5"&gt;607&lt;/key&gt;&lt;/foreign-keys&gt;&lt;ref-type name="Report"&gt;27&lt;/ref-type&gt;&lt;contributors&gt;&lt;authors&gt;&lt;author&gt;Monitor&lt;/author&gt;&lt;/authors&gt;&lt;/contributors&gt;&lt;titles&gt;&lt;title&gt;Our new approach to transactions: consultation responses and next steps&lt;/title&gt;&lt;/titles&gt;&lt;dates&gt;&lt;year&gt;2014&lt;/year&gt;&lt;/dates&gt;&lt;urls&gt;&lt;/urls&gt;&lt;/record&gt;&lt;/Cite&gt;&lt;/EndNote&gt;</w:instrText>
      </w:r>
      <w:r w:rsidR="00C34131">
        <w:rPr>
          <w:rFonts w:cstheme="minorHAnsi"/>
          <w:sz w:val="24"/>
          <w:szCs w:val="24"/>
        </w:rPr>
        <w:fldChar w:fldCharType="separate"/>
      </w:r>
      <w:r w:rsidR="00A75418">
        <w:rPr>
          <w:rFonts w:cstheme="minorHAnsi"/>
          <w:noProof/>
          <w:sz w:val="24"/>
          <w:szCs w:val="24"/>
        </w:rPr>
        <w:t>(</w:t>
      </w:r>
      <w:hyperlink w:anchor="_ENREF_31" w:tooltip="Monitor, 2014 #607" w:history="1">
        <w:r w:rsidR="00513FB0">
          <w:rPr>
            <w:rFonts w:cstheme="minorHAnsi"/>
            <w:noProof/>
            <w:sz w:val="24"/>
            <w:szCs w:val="24"/>
          </w:rPr>
          <w:t>Monitor, 2014b</w:t>
        </w:r>
      </w:hyperlink>
      <w:r w:rsidR="00A75418">
        <w:rPr>
          <w:rFonts w:cstheme="minorHAnsi"/>
          <w:noProof/>
          <w:sz w:val="24"/>
          <w:szCs w:val="24"/>
        </w:rPr>
        <w:t>)</w:t>
      </w:r>
      <w:r w:rsidR="00C34131">
        <w:rPr>
          <w:rFonts w:cstheme="minorHAnsi"/>
          <w:sz w:val="24"/>
          <w:szCs w:val="24"/>
        </w:rPr>
        <w:fldChar w:fldCharType="end"/>
      </w:r>
      <w:r w:rsidR="00F92563">
        <w:rPr>
          <w:rFonts w:cstheme="minorHAnsi"/>
          <w:sz w:val="24"/>
          <w:szCs w:val="24"/>
        </w:rPr>
        <w:t xml:space="preserve">, and how it would help FTs navigate any transactions with implications for the operation of competition </w:t>
      </w:r>
      <w:r w:rsidR="00F92563">
        <w:rPr>
          <w:rFonts w:cstheme="minorHAnsi"/>
          <w:sz w:val="24"/>
          <w:szCs w:val="24"/>
        </w:rPr>
        <w:fldChar w:fldCharType="begin"/>
      </w:r>
      <w:r w:rsidR="00F92563">
        <w:rPr>
          <w:rFonts w:cstheme="minorHAnsi"/>
          <w:sz w:val="24"/>
          <w:szCs w:val="24"/>
        </w:rPr>
        <w:instrText xml:space="preserve"> ADDIN EN.CITE &lt;EndNote&gt;&lt;Cite&gt;&lt;Author&gt;Monitor&lt;/Author&gt;&lt;Year&gt;2015&lt;/Year&gt;&lt;RecNum&gt;618&lt;/RecNum&gt;&lt;DisplayText&gt;(Monitor and Competition and Markets Authority, 2015)&lt;/DisplayText&gt;&lt;record&gt;&lt;rec-number&gt;618&lt;/rec-number&gt;&lt;foreign-keys&gt;&lt;key app="EN" db-id="za50fsw09wzvx0er2t2p0d0txzrw9x59d9a5"&gt;618&lt;/key&gt;&lt;/foreign-keys&gt;&lt;ref-type name="Report"&gt;27&lt;/ref-type&gt;&lt;contributors&gt;&lt;authors&gt;&lt;author&gt;Monitor, &lt;/author&gt;&lt;author&gt;Competition and Markets Authority,&lt;/author&gt;&lt;/authors&gt;&lt;/contributors&gt;&lt;titles&gt;&lt;title&gt;Competition review of NHS mergers. A short guide for managers of NHS providers&lt;/title&gt;&lt;/titles&gt;&lt;dates&gt;&lt;year&gt;2015&lt;/year&gt;&lt;/dates&gt;&lt;pub-location&gt;London&lt;/pub-location&gt;&lt;publisher&gt;Monitor&lt;/publisher&gt;&lt;urls&gt;&lt;/urls&gt;&lt;/record&gt;&lt;/Cite&gt;&lt;/EndNote&gt;</w:instrText>
      </w:r>
      <w:r w:rsidR="00F92563">
        <w:rPr>
          <w:rFonts w:cstheme="minorHAnsi"/>
          <w:sz w:val="24"/>
          <w:szCs w:val="24"/>
        </w:rPr>
        <w:fldChar w:fldCharType="separate"/>
      </w:r>
      <w:r w:rsidR="00F92563">
        <w:rPr>
          <w:rFonts w:cstheme="minorHAnsi"/>
          <w:noProof/>
          <w:sz w:val="24"/>
          <w:szCs w:val="24"/>
        </w:rPr>
        <w:t>(</w:t>
      </w:r>
      <w:hyperlink w:anchor="_ENREF_32" w:tooltip="Monitor, 2015 #618" w:history="1">
        <w:r w:rsidR="00513FB0">
          <w:rPr>
            <w:rFonts w:cstheme="minorHAnsi"/>
            <w:noProof/>
            <w:sz w:val="24"/>
            <w:szCs w:val="24"/>
          </w:rPr>
          <w:t>Monitor and Competition and Markets Authority, 2015</w:t>
        </w:r>
      </w:hyperlink>
      <w:r w:rsidR="00F92563">
        <w:rPr>
          <w:rFonts w:cstheme="minorHAnsi"/>
          <w:noProof/>
          <w:sz w:val="24"/>
          <w:szCs w:val="24"/>
        </w:rPr>
        <w:t>)</w:t>
      </w:r>
      <w:r w:rsidR="00F92563">
        <w:rPr>
          <w:rFonts w:cstheme="minorHAnsi"/>
          <w:sz w:val="24"/>
          <w:szCs w:val="24"/>
        </w:rPr>
        <w:fldChar w:fldCharType="end"/>
      </w:r>
      <w:r w:rsidR="00A50339">
        <w:rPr>
          <w:rFonts w:cstheme="minorHAnsi"/>
          <w:sz w:val="24"/>
          <w:szCs w:val="24"/>
        </w:rPr>
        <w:t>.</w:t>
      </w:r>
    </w:p>
    <w:p w14:paraId="6089AC52" w14:textId="1E2984BF" w:rsidR="00C41187" w:rsidRPr="00283045" w:rsidRDefault="00B3472B">
      <w:pPr>
        <w:spacing w:line="480" w:lineRule="auto"/>
        <w:jc w:val="both"/>
        <w:rPr>
          <w:rFonts w:cstheme="minorHAnsi"/>
          <w:sz w:val="24"/>
          <w:szCs w:val="24"/>
        </w:rPr>
      </w:pPr>
      <w:r>
        <w:rPr>
          <w:rFonts w:cstheme="minorHAnsi"/>
          <w:sz w:val="24"/>
          <w:szCs w:val="24"/>
        </w:rPr>
        <w:lastRenderedPageBreak/>
        <w:t>Since this time, all mergers considered under the new regulations have been approved</w:t>
      </w:r>
      <w:r w:rsidR="007B6017">
        <w:rPr>
          <w:rFonts w:cstheme="minorHAnsi"/>
          <w:sz w:val="24"/>
          <w:szCs w:val="24"/>
        </w:rPr>
        <w:t>,</w:t>
      </w:r>
      <w:r w:rsidR="00EA3EBF">
        <w:rPr>
          <w:rFonts w:cstheme="minorHAnsi"/>
          <w:sz w:val="24"/>
          <w:szCs w:val="24"/>
        </w:rPr>
        <w:t xml:space="preserve"> </w:t>
      </w:r>
      <w:r w:rsidR="007B6017">
        <w:rPr>
          <w:rFonts w:cstheme="minorHAnsi"/>
          <w:sz w:val="24"/>
          <w:szCs w:val="24"/>
        </w:rPr>
        <w:t>together with f</w:t>
      </w:r>
      <w:r w:rsidR="00EA3EBF">
        <w:rPr>
          <w:rFonts w:cstheme="minorHAnsi"/>
          <w:sz w:val="24"/>
          <w:szCs w:val="24"/>
        </w:rPr>
        <w:t>our</w:t>
      </w:r>
      <w:r w:rsidR="00C84595">
        <w:rPr>
          <w:rFonts w:cstheme="minorHAnsi"/>
          <w:sz w:val="24"/>
          <w:szCs w:val="24"/>
        </w:rPr>
        <w:t xml:space="preserve"> acquisitions involving NHS organisations, </w:t>
      </w:r>
      <w:r w:rsidR="009C0465">
        <w:rPr>
          <w:rFonts w:cstheme="minorHAnsi"/>
          <w:sz w:val="24"/>
          <w:szCs w:val="24"/>
        </w:rPr>
        <w:t>and</w:t>
      </w:r>
      <w:r w:rsidR="006C4E79" w:rsidRPr="00283045">
        <w:rPr>
          <w:rFonts w:cstheme="minorHAnsi"/>
          <w:sz w:val="24"/>
          <w:szCs w:val="24"/>
        </w:rPr>
        <w:t xml:space="preserve"> </w:t>
      </w:r>
      <w:r w:rsidR="009C778E">
        <w:rPr>
          <w:rFonts w:cstheme="minorHAnsi"/>
          <w:sz w:val="24"/>
          <w:szCs w:val="24"/>
        </w:rPr>
        <w:t>two</w:t>
      </w:r>
      <w:r w:rsidR="00E24EAA" w:rsidRPr="00283045">
        <w:rPr>
          <w:rFonts w:cstheme="minorHAnsi"/>
          <w:sz w:val="24"/>
          <w:szCs w:val="24"/>
        </w:rPr>
        <w:t xml:space="preserve"> joint ventures</w:t>
      </w:r>
      <w:r w:rsidR="0085280A">
        <w:rPr>
          <w:rFonts w:cstheme="minorHAnsi"/>
          <w:sz w:val="24"/>
          <w:szCs w:val="24"/>
        </w:rPr>
        <w:t xml:space="preserve"> </w:t>
      </w:r>
      <w:r w:rsidR="009419B3">
        <w:rPr>
          <w:rFonts w:cstheme="minorHAnsi"/>
          <w:sz w:val="24"/>
          <w:szCs w:val="24"/>
        </w:rPr>
        <w:t xml:space="preserve">both </w:t>
      </w:r>
      <w:r w:rsidR="0085280A">
        <w:rPr>
          <w:rFonts w:cstheme="minorHAnsi"/>
          <w:sz w:val="24"/>
          <w:szCs w:val="24"/>
        </w:rPr>
        <w:t>involving the merging of pathology services</w:t>
      </w:r>
      <w:r w:rsidR="007B6017">
        <w:rPr>
          <w:rFonts w:cstheme="minorHAnsi"/>
          <w:sz w:val="24"/>
          <w:szCs w:val="24"/>
        </w:rPr>
        <w:t>.</w:t>
      </w:r>
    </w:p>
    <w:p w14:paraId="1CA4A241" w14:textId="77777777" w:rsidR="007E211F" w:rsidRPr="00283045" w:rsidRDefault="007E211F" w:rsidP="00283045">
      <w:pPr>
        <w:spacing w:line="480" w:lineRule="auto"/>
        <w:jc w:val="both"/>
        <w:rPr>
          <w:rFonts w:cstheme="minorHAnsi"/>
          <w:i/>
          <w:sz w:val="24"/>
          <w:szCs w:val="24"/>
        </w:rPr>
      </w:pPr>
      <w:r w:rsidRPr="00283045">
        <w:rPr>
          <w:rFonts w:cstheme="minorHAnsi"/>
          <w:i/>
          <w:sz w:val="24"/>
          <w:szCs w:val="24"/>
        </w:rPr>
        <w:t>Commissioning complaints</w:t>
      </w:r>
    </w:p>
    <w:p w14:paraId="0F98E91F" w14:textId="02E7C39B" w:rsidR="003B0FA2" w:rsidRPr="000E75BE" w:rsidRDefault="00043FCD" w:rsidP="000E75BE">
      <w:pPr>
        <w:autoSpaceDE w:val="0"/>
        <w:autoSpaceDN w:val="0"/>
        <w:adjustRightInd w:val="0"/>
        <w:spacing w:after="0" w:line="480" w:lineRule="auto"/>
        <w:jc w:val="both"/>
        <w:rPr>
          <w:rFonts w:cstheme="minorHAnsi"/>
          <w:sz w:val="24"/>
          <w:szCs w:val="24"/>
        </w:rPr>
      </w:pPr>
      <w:r w:rsidRPr="00470161">
        <w:rPr>
          <w:rFonts w:cstheme="minorHAnsi"/>
          <w:sz w:val="24"/>
          <w:szCs w:val="24"/>
        </w:rPr>
        <w:t xml:space="preserve">In </w:t>
      </w:r>
      <w:r w:rsidR="003D7979" w:rsidRPr="00470161">
        <w:rPr>
          <w:rFonts w:cstheme="minorHAnsi"/>
          <w:sz w:val="24"/>
          <w:szCs w:val="24"/>
        </w:rPr>
        <w:t>addition to the consideration of mergers, Monitor has responsibility for investigating complaints raised by anyone who thinks that a commissioner may breach, or has already breached, the Procurement, Patient Choice and Competition Regulations No</w:t>
      </w:r>
      <w:r w:rsidR="00F15007">
        <w:rPr>
          <w:rFonts w:cstheme="minorHAnsi"/>
          <w:sz w:val="24"/>
          <w:szCs w:val="24"/>
        </w:rPr>
        <w:t>.</w:t>
      </w:r>
      <w:r w:rsidR="003D7979" w:rsidRPr="00470161">
        <w:rPr>
          <w:rFonts w:cstheme="minorHAnsi"/>
          <w:sz w:val="24"/>
          <w:szCs w:val="24"/>
        </w:rPr>
        <w:t>2 2013</w:t>
      </w:r>
      <w:r w:rsidR="00F15007">
        <w:rPr>
          <w:rFonts w:cstheme="minorHAnsi"/>
          <w:sz w:val="24"/>
          <w:szCs w:val="24"/>
        </w:rPr>
        <w:t>,</w:t>
      </w:r>
      <w:r w:rsidR="003D7979" w:rsidRPr="00470161">
        <w:rPr>
          <w:rFonts w:cstheme="minorHAnsi"/>
          <w:sz w:val="24"/>
          <w:szCs w:val="24"/>
        </w:rPr>
        <w:t xml:space="preserve">  </w:t>
      </w:r>
      <w:r w:rsidR="003D7979" w:rsidRPr="00DD522C">
        <w:rPr>
          <w:rFonts w:cstheme="minorHAnsi"/>
          <w:sz w:val="24"/>
          <w:szCs w:val="24"/>
        </w:rPr>
        <w:t>the choice and competition elements of</w:t>
      </w:r>
      <w:r w:rsidR="00470161" w:rsidRPr="00DD522C">
        <w:rPr>
          <w:rFonts w:cstheme="minorHAnsi"/>
          <w:sz w:val="24"/>
          <w:szCs w:val="24"/>
        </w:rPr>
        <w:t xml:space="preserve"> the </w:t>
      </w:r>
      <w:r w:rsidR="00470161" w:rsidRPr="00C649D4">
        <w:rPr>
          <w:rFonts w:cstheme="minorHAnsi"/>
          <w:sz w:val="24"/>
          <w:szCs w:val="24"/>
        </w:rPr>
        <w:t>NHS provider licence</w:t>
      </w:r>
      <w:r w:rsidR="004B1BE4">
        <w:rPr>
          <w:rFonts w:cstheme="minorHAnsi"/>
          <w:sz w:val="24"/>
          <w:szCs w:val="24"/>
        </w:rPr>
        <w:t>.</w:t>
      </w:r>
      <w:r w:rsidR="00470161" w:rsidRPr="00486793">
        <w:rPr>
          <w:rFonts w:cstheme="minorHAnsi"/>
          <w:sz w:val="24"/>
          <w:szCs w:val="24"/>
        </w:rPr>
        <w:t xml:space="preserve"> </w:t>
      </w:r>
      <w:r w:rsidR="00AD7380">
        <w:rPr>
          <w:rFonts w:cstheme="minorHAnsi"/>
          <w:sz w:val="24"/>
          <w:szCs w:val="24"/>
        </w:rPr>
        <w:t>o</w:t>
      </w:r>
      <w:r w:rsidR="00F764E0">
        <w:rPr>
          <w:rFonts w:cstheme="minorHAnsi"/>
          <w:sz w:val="24"/>
          <w:szCs w:val="24"/>
        </w:rPr>
        <w:t>r</w:t>
      </w:r>
      <w:r w:rsidR="00AD7380">
        <w:rPr>
          <w:rFonts w:cstheme="minorHAnsi"/>
          <w:sz w:val="24"/>
          <w:szCs w:val="24"/>
        </w:rPr>
        <w:t xml:space="preserve"> the relevant elements of</w:t>
      </w:r>
      <w:r w:rsidR="00470161" w:rsidRPr="000E75BE">
        <w:rPr>
          <w:rFonts w:cstheme="minorHAnsi"/>
          <w:sz w:val="24"/>
          <w:szCs w:val="24"/>
        </w:rPr>
        <w:t xml:space="preserve"> </w:t>
      </w:r>
      <w:r w:rsidR="00AD7380">
        <w:rPr>
          <w:rFonts w:cstheme="minorHAnsi"/>
          <w:sz w:val="24"/>
          <w:szCs w:val="24"/>
        </w:rPr>
        <w:t>UK or EU competition law.</w:t>
      </w:r>
    </w:p>
    <w:p w14:paraId="1DAD7F6A" w14:textId="77777777" w:rsidR="006E2A09" w:rsidRDefault="006E2A09" w:rsidP="001D202A">
      <w:pPr>
        <w:autoSpaceDE w:val="0"/>
        <w:autoSpaceDN w:val="0"/>
        <w:adjustRightInd w:val="0"/>
        <w:spacing w:after="0" w:line="480" w:lineRule="auto"/>
        <w:jc w:val="both"/>
        <w:rPr>
          <w:rFonts w:cstheme="minorHAnsi"/>
          <w:sz w:val="24"/>
          <w:szCs w:val="24"/>
        </w:rPr>
      </w:pPr>
    </w:p>
    <w:p w14:paraId="72F150A2" w14:textId="0C944BDB" w:rsidR="007E211F" w:rsidRDefault="006A114D" w:rsidP="00470161">
      <w:pPr>
        <w:spacing w:line="480" w:lineRule="auto"/>
        <w:jc w:val="both"/>
        <w:rPr>
          <w:rFonts w:cstheme="minorHAnsi"/>
          <w:sz w:val="24"/>
          <w:szCs w:val="24"/>
        </w:rPr>
      </w:pPr>
      <w:r>
        <w:rPr>
          <w:rFonts w:cstheme="minorHAnsi"/>
          <w:sz w:val="24"/>
          <w:szCs w:val="24"/>
        </w:rPr>
        <w:t xml:space="preserve">Two </w:t>
      </w:r>
      <w:r w:rsidR="00F5508D">
        <w:rPr>
          <w:rFonts w:cstheme="minorHAnsi"/>
          <w:sz w:val="24"/>
          <w:szCs w:val="24"/>
        </w:rPr>
        <w:t>cases have been considered to date</w:t>
      </w:r>
      <w:r w:rsidR="003B0FA2">
        <w:rPr>
          <w:rFonts w:cstheme="minorHAnsi"/>
          <w:sz w:val="24"/>
          <w:szCs w:val="24"/>
        </w:rPr>
        <w:t>, one of which has been found to be inconsistent with the regulations</w:t>
      </w:r>
      <w:r w:rsidR="00F5508D">
        <w:rPr>
          <w:rFonts w:cstheme="minorHAnsi"/>
          <w:sz w:val="24"/>
          <w:szCs w:val="24"/>
        </w:rPr>
        <w:t xml:space="preserve">. In </w:t>
      </w:r>
      <w:r w:rsidR="003B0FA2">
        <w:rPr>
          <w:rFonts w:cstheme="minorHAnsi"/>
          <w:sz w:val="24"/>
          <w:szCs w:val="24"/>
        </w:rPr>
        <w:t>the case</w:t>
      </w:r>
      <w:r w:rsidR="00F5508D">
        <w:rPr>
          <w:rFonts w:cstheme="minorHAnsi"/>
          <w:sz w:val="24"/>
          <w:szCs w:val="24"/>
        </w:rPr>
        <w:t xml:space="preserve"> </w:t>
      </w:r>
      <w:r w:rsidR="006C7A22">
        <w:rPr>
          <w:rFonts w:cstheme="minorHAnsi"/>
          <w:sz w:val="24"/>
          <w:szCs w:val="24"/>
        </w:rPr>
        <w:t>of</w:t>
      </w:r>
      <w:r w:rsidR="003B0FA2">
        <w:rPr>
          <w:rFonts w:cstheme="minorHAnsi"/>
          <w:sz w:val="24"/>
          <w:szCs w:val="24"/>
        </w:rPr>
        <w:t xml:space="preserve"> a complaint of</w:t>
      </w:r>
      <w:r w:rsidR="00F5508D" w:rsidRPr="00283045">
        <w:rPr>
          <w:rFonts w:cstheme="minorHAnsi"/>
          <w:sz w:val="24"/>
          <w:szCs w:val="24"/>
        </w:rPr>
        <w:t xml:space="preserve"> alleged anti-competitive </w:t>
      </w:r>
      <w:r w:rsidR="00F5508D">
        <w:rPr>
          <w:rFonts w:cstheme="minorHAnsi"/>
          <w:sz w:val="24"/>
          <w:szCs w:val="24"/>
        </w:rPr>
        <w:t xml:space="preserve">commissioner </w:t>
      </w:r>
      <w:r w:rsidR="00F5508D" w:rsidRPr="00283045">
        <w:rPr>
          <w:rFonts w:cstheme="minorHAnsi"/>
          <w:sz w:val="24"/>
          <w:szCs w:val="24"/>
        </w:rPr>
        <w:t>behaviour</w:t>
      </w:r>
      <w:r w:rsidR="006C7A22">
        <w:rPr>
          <w:rFonts w:cstheme="minorHAnsi"/>
          <w:sz w:val="24"/>
          <w:szCs w:val="24"/>
        </w:rPr>
        <w:t xml:space="preserve"> made by an independent sector provider, Spire Healthcare Group plc,</w:t>
      </w:r>
      <w:r w:rsidR="00F5508D" w:rsidRPr="00283045">
        <w:rPr>
          <w:rFonts w:cstheme="minorHAnsi"/>
          <w:sz w:val="24"/>
          <w:szCs w:val="24"/>
        </w:rPr>
        <w:t xml:space="preserve"> </w:t>
      </w:r>
      <w:r w:rsidR="00F5508D">
        <w:rPr>
          <w:rFonts w:cstheme="minorHAnsi"/>
          <w:sz w:val="24"/>
          <w:szCs w:val="24"/>
        </w:rPr>
        <w:t xml:space="preserve">in relation </w:t>
      </w:r>
      <w:r w:rsidR="00F5508D" w:rsidRPr="00283045">
        <w:rPr>
          <w:rFonts w:cstheme="minorHAnsi"/>
          <w:sz w:val="24"/>
          <w:szCs w:val="24"/>
        </w:rPr>
        <w:t>to the commissioning of elective services by Blackpool CCG and Fylde and Wyre CC</w:t>
      </w:r>
      <w:r w:rsidR="006C7A22">
        <w:rPr>
          <w:rFonts w:cstheme="minorHAnsi"/>
          <w:sz w:val="24"/>
          <w:szCs w:val="24"/>
        </w:rPr>
        <w:t>G,</w:t>
      </w:r>
      <w:r w:rsidR="00F5508D">
        <w:rPr>
          <w:rFonts w:cstheme="minorHAnsi"/>
          <w:sz w:val="24"/>
          <w:szCs w:val="24"/>
        </w:rPr>
        <w:t xml:space="preserve"> the complaint </w:t>
      </w:r>
      <w:r w:rsidR="00606D3E">
        <w:rPr>
          <w:rFonts w:cstheme="minorHAnsi"/>
          <w:sz w:val="24"/>
          <w:szCs w:val="24"/>
        </w:rPr>
        <w:t>was</w:t>
      </w:r>
      <w:r w:rsidR="00F5508D">
        <w:rPr>
          <w:rFonts w:cstheme="minorHAnsi"/>
          <w:sz w:val="24"/>
          <w:szCs w:val="24"/>
        </w:rPr>
        <w:t xml:space="preserve"> partially upheld. </w:t>
      </w:r>
      <w:r w:rsidR="00606D3E">
        <w:rPr>
          <w:rFonts w:cstheme="minorHAnsi"/>
          <w:sz w:val="24"/>
          <w:szCs w:val="24"/>
        </w:rPr>
        <w:t>The complaint was</w:t>
      </w:r>
      <w:r w:rsidR="00A53B0C" w:rsidRPr="00283045">
        <w:rPr>
          <w:rFonts w:cstheme="minorHAnsi"/>
          <w:sz w:val="24"/>
          <w:szCs w:val="24"/>
        </w:rPr>
        <w:t xml:space="preserve"> that the </w:t>
      </w:r>
      <w:r w:rsidR="009079D9">
        <w:rPr>
          <w:rFonts w:cstheme="minorHAnsi"/>
          <w:sz w:val="24"/>
          <w:szCs w:val="24"/>
        </w:rPr>
        <w:t xml:space="preserve">actions of the </w:t>
      </w:r>
      <w:r w:rsidR="00A53B0C" w:rsidRPr="00283045">
        <w:rPr>
          <w:rFonts w:cstheme="minorHAnsi"/>
          <w:sz w:val="24"/>
          <w:szCs w:val="24"/>
        </w:rPr>
        <w:t xml:space="preserve">CCGs had led to patients being directed away from Spire Fylde Coast Hospital and towards Blackpool Teaching Hospitals NHS Foundation Trust. Monitor </w:t>
      </w:r>
      <w:r w:rsidR="00683D20" w:rsidRPr="00283045">
        <w:rPr>
          <w:rFonts w:cstheme="minorHAnsi"/>
          <w:sz w:val="24"/>
          <w:szCs w:val="24"/>
        </w:rPr>
        <w:t xml:space="preserve">rejected the claim that the commissioners were </w:t>
      </w:r>
      <w:r w:rsidR="006C4E79">
        <w:rPr>
          <w:rFonts w:cstheme="minorHAnsi"/>
          <w:sz w:val="24"/>
          <w:szCs w:val="24"/>
        </w:rPr>
        <w:t>re</w:t>
      </w:r>
      <w:r w:rsidR="00683D20" w:rsidRPr="00283045">
        <w:rPr>
          <w:rFonts w:cstheme="minorHAnsi"/>
          <w:sz w:val="24"/>
          <w:szCs w:val="24"/>
        </w:rPr>
        <w:t xml:space="preserve">directing patients </w:t>
      </w:r>
      <w:r w:rsidR="006C4E79">
        <w:rPr>
          <w:rFonts w:cstheme="minorHAnsi"/>
          <w:sz w:val="24"/>
          <w:szCs w:val="24"/>
        </w:rPr>
        <w:t>but</w:t>
      </w:r>
      <w:r w:rsidR="00683D20" w:rsidRPr="00283045">
        <w:rPr>
          <w:rFonts w:cstheme="minorHAnsi"/>
          <w:sz w:val="24"/>
          <w:szCs w:val="24"/>
        </w:rPr>
        <w:t xml:space="preserve"> did find that the CCGs had breached Standing Rule 39 (that the CCG should make arrangements to ensure that patients needing elective referral were given a choice of any clinically appropriate provider for the first outpatient appointment) and Standing Rule 42 (that CCGs should ensure the availability of choices was publicised and promoted to patients)</w:t>
      </w:r>
      <w:r w:rsidR="002B6180">
        <w:rPr>
          <w:rFonts w:cstheme="minorHAnsi"/>
          <w:sz w:val="24"/>
          <w:szCs w:val="24"/>
        </w:rPr>
        <w:t>.</w:t>
      </w:r>
      <w:r w:rsidR="00683D20" w:rsidRPr="00283045">
        <w:rPr>
          <w:rFonts w:cstheme="minorHAnsi"/>
          <w:sz w:val="24"/>
          <w:szCs w:val="24"/>
        </w:rPr>
        <w:t xml:space="preserve"> </w:t>
      </w:r>
      <w:r w:rsidR="00DB318D">
        <w:rPr>
          <w:rFonts w:cstheme="minorHAnsi"/>
          <w:sz w:val="24"/>
          <w:szCs w:val="24"/>
        </w:rPr>
        <w:t xml:space="preserve">Monitor accepted undertakings </w:t>
      </w:r>
      <w:r w:rsidR="00DB318D">
        <w:rPr>
          <w:rFonts w:cstheme="minorHAnsi"/>
          <w:sz w:val="24"/>
          <w:szCs w:val="24"/>
        </w:rPr>
        <w:lastRenderedPageBreak/>
        <w:t>from the CCGs to give support to GPs in offering choice of provider to patients, and to check choices had been offered to patients.</w:t>
      </w:r>
      <w:r w:rsidR="00683D20" w:rsidRPr="00283045">
        <w:rPr>
          <w:rFonts w:cstheme="minorHAnsi"/>
          <w:sz w:val="24"/>
          <w:szCs w:val="24"/>
        </w:rPr>
        <w:t xml:space="preserve"> </w:t>
      </w:r>
    </w:p>
    <w:p w14:paraId="19C76754" w14:textId="3206FD7E" w:rsidR="006172BA" w:rsidRDefault="00DB318D" w:rsidP="001D202A">
      <w:pPr>
        <w:pStyle w:val="Default"/>
        <w:spacing w:line="480" w:lineRule="auto"/>
        <w:jc w:val="both"/>
        <w:rPr>
          <w:rFonts w:cstheme="minorHAnsi"/>
        </w:rPr>
      </w:pPr>
      <w:r w:rsidRPr="001D202A">
        <w:rPr>
          <w:rFonts w:asciiTheme="minorHAnsi" w:hAnsiTheme="minorHAnsi" w:cstheme="minorHAnsi"/>
        </w:rPr>
        <w:t>A further commissioning complaint which was considered</w:t>
      </w:r>
      <w:r w:rsidR="003B0FA2">
        <w:rPr>
          <w:rFonts w:asciiTheme="minorHAnsi" w:hAnsiTheme="minorHAnsi" w:cstheme="minorHAnsi"/>
        </w:rPr>
        <w:t xml:space="preserve"> and rejected</w:t>
      </w:r>
      <w:r w:rsidRPr="001D202A">
        <w:rPr>
          <w:rFonts w:asciiTheme="minorHAnsi" w:hAnsiTheme="minorHAnsi" w:cstheme="minorHAnsi"/>
        </w:rPr>
        <w:t xml:space="preserve"> by Monitor was particularly interesting </w:t>
      </w:r>
      <w:r w:rsidR="006B3AE1">
        <w:rPr>
          <w:rFonts w:asciiTheme="minorHAnsi" w:hAnsiTheme="minorHAnsi" w:cstheme="minorHAnsi"/>
        </w:rPr>
        <w:t>as it</w:t>
      </w:r>
      <w:r w:rsidR="006F50CC" w:rsidRPr="001D202A">
        <w:rPr>
          <w:rFonts w:asciiTheme="minorHAnsi" w:hAnsiTheme="minorHAnsi" w:cstheme="minorHAnsi"/>
        </w:rPr>
        <w:t xml:space="preserve"> </w:t>
      </w:r>
      <w:r w:rsidR="00660B54" w:rsidRPr="001D202A">
        <w:rPr>
          <w:rFonts w:asciiTheme="minorHAnsi" w:hAnsiTheme="minorHAnsi" w:cstheme="minorHAnsi"/>
        </w:rPr>
        <w:t>r</w:t>
      </w:r>
      <w:r w:rsidR="00630F83" w:rsidRPr="001D202A">
        <w:rPr>
          <w:rFonts w:asciiTheme="minorHAnsi" w:hAnsiTheme="minorHAnsi" w:cstheme="minorHAnsi"/>
        </w:rPr>
        <w:t>elated</w:t>
      </w:r>
      <w:r w:rsidR="00660B54" w:rsidRPr="001D202A">
        <w:rPr>
          <w:rFonts w:asciiTheme="minorHAnsi" w:hAnsiTheme="minorHAnsi" w:cstheme="minorHAnsi"/>
        </w:rPr>
        <w:t xml:space="preserve"> to the interaction </w:t>
      </w:r>
      <w:r w:rsidR="00F764E0">
        <w:rPr>
          <w:rFonts w:asciiTheme="minorHAnsi" w:hAnsiTheme="minorHAnsi" w:cstheme="minorHAnsi"/>
        </w:rPr>
        <w:t xml:space="preserve">of </w:t>
      </w:r>
      <w:r w:rsidR="00660B54" w:rsidRPr="001D202A">
        <w:rPr>
          <w:rFonts w:asciiTheme="minorHAnsi" w:hAnsiTheme="minorHAnsi" w:cstheme="minorHAnsi"/>
        </w:rPr>
        <w:t xml:space="preserve">competition, </w:t>
      </w:r>
      <w:r w:rsidR="00F764E0">
        <w:rPr>
          <w:rFonts w:asciiTheme="minorHAnsi" w:hAnsiTheme="minorHAnsi" w:cstheme="minorHAnsi"/>
        </w:rPr>
        <w:t>with</w:t>
      </w:r>
      <w:r w:rsidR="00F764E0" w:rsidRPr="001D202A">
        <w:rPr>
          <w:rFonts w:asciiTheme="minorHAnsi" w:hAnsiTheme="minorHAnsi" w:cstheme="minorHAnsi"/>
        </w:rPr>
        <w:t xml:space="preserve"> </w:t>
      </w:r>
      <w:r w:rsidR="00660B54" w:rsidRPr="001D202A">
        <w:rPr>
          <w:rFonts w:asciiTheme="minorHAnsi" w:hAnsiTheme="minorHAnsi" w:cstheme="minorHAnsi"/>
        </w:rPr>
        <w:t>the objective of increasing the integration of NHS services.</w:t>
      </w:r>
      <w:r w:rsidR="00630F83" w:rsidRPr="001D202A">
        <w:rPr>
          <w:rFonts w:asciiTheme="minorHAnsi" w:hAnsiTheme="minorHAnsi" w:cstheme="minorHAnsi"/>
        </w:rPr>
        <w:t xml:space="preserve"> The complainant, North Devon Healthcare NHS Trust, alleged that Northern, Eastern and Western Devon CCG had breached its regulatory obligations when it selected the Royal Devon and Exeter NHS Foundation Trust as the provider of complex adult services for the eastern part of the CCG area</w:t>
      </w:r>
      <w:r w:rsidR="003B0FA2">
        <w:rPr>
          <w:rFonts w:asciiTheme="minorHAnsi" w:hAnsiTheme="minorHAnsi" w:cstheme="minorHAnsi"/>
        </w:rPr>
        <w:t xml:space="preserve"> as it had not undergone a rigorous competitive procurement process, choosing instead to select a preferred provider and work with them to develop a detailed service proposal</w:t>
      </w:r>
      <w:r w:rsidR="00630F83" w:rsidRPr="001D202A">
        <w:rPr>
          <w:rFonts w:asciiTheme="minorHAnsi" w:hAnsiTheme="minorHAnsi" w:cstheme="minorHAnsi"/>
        </w:rPr>
        <w:t>.</w:t>
      </w:r>
      <w:r w:rsidR="00332EBC" w:rsidRPr="001D202A">
        <w:rPr>
          <w:rFonts w:asciiTheme="minorHAnsi" w:hAnsiTheme="minorHAnsi" w:cstheme="minorHAnsi"/>
        </w:rPr>
        <w:t xml:space="preserve"> </w:t>
      </w:r>
      <w:r w:rsidR="0086358D" w:rsidRPr="001D202A">
        <w:rPr>
          <w:rFonts w:asciiTheme="minorHAnsi" w:hAnsiTheme="minorHAnsi" w:cstheme="minorHAnsi"/>
        </w:rPr>
        <w:t>The</w:t>
      </w:r>
      <w:r w:rsidR="00332EBC" w:rsidRPr="001D202A">
        <w:rPr>
          <w:rFonts w:asciiTheme="minorHAnsi" w:hAnsiTheme="minorHAnsi" w:cstheme="minorHAnsi"/>
        </w:rPr>
        <w:t xml:space="preserve"> commissioner argued it had awarded </w:t>
      </w:r>
      <w:r w:rsidR="003B0FA2">
        <w:rPr>
          <w:rFonts w:asciiTheme="minorHAnsi" w:hAnsiTheme="minorHAnsi" w:cstheme="minorHAnsi"/>
        </w:rPr>
        <w:t>the</w:t>
      </w:r>
      <w:r w:rsidR="00332EBC" w:rsidRPr="001D202A">
        <w:rPr>
          <w:rFonts w:asciiTheme="minorHAnsi" w:hAnsiTheme="minorHAnsi" w:cstheme="minorHAnsi"/>
        </w:rPr>
        <w:t xml:space="preserve"> preferred provider status as the use of competitive processes would undermine the objective of increasing integration. In June 2015, Monitor made the provisional finding that the CCG did not breach the </w:t>
      </w:r>
      <w:r w:rsidR="00754715" w:rsidRPr="001D202A">
        <w:rPr>
          <w:rFonts w:asciiTheme="minorHAnsi" w:hAnsiTheme="minorHAnsi" w:cstheme="minorHAnsi"/>
        </w:rPr>
        <w:t>Procurement, Patient Choice and Competition Regulations by</w:t>
      </w:r>
      <w:r w:rsidR="00332EBC" w:rsidRPr="001D202A">
        <w:rPr>
          <w:rFonts w:asciiTheme="minorHAnsi" w:hAnsiTheme="minorHAnsi" w:cstheme="minorHAnsi"/>
        </w:rPr>
        <w:t xml:space="preserve"> taking the preferred provider approach.</w:t>
      </w:r>
      <w:r w:rsidR="00754715" w:rsidRPr="001D202A">
        <w:rPr>
          <w:rFonts w:asciiTheme="minorHAnsi" w:hAnsiTheme="minorHAnsi" w:cstheme="minorHAnsi"/>
        </w:rPr>
        <w:t xml:space="preserve"> </w:t>
      </w:r>
      <w:r w:rsidR="009079D9">
        <w:rPr>
          <w:rFonts w:asciiTheme="minorHAnsi" w:hAnsiTheme="minorHAnsi" w:cstheme="minorHAnsi"/>
        </w:rPr>
        <w:t>However</w:t>
      </w:r>
      <w:r w:rsidR="006172BA">
        <w:rPr>
          <w:rFonts w:asciiTheme="minorHAnsi" w:hAnsiTheme="minorHAnsi" w:cstheme="minorHAnsi"/>
        </w:rPr>
        <w:t xml:space="preserve"> Monitor made it clear that they would consider a further complaint if the CCG did not undergo a rigorous due diligence process to ensure that the selected provider would provide value for money.</w:t>
      </w:r>
    </w:p>
    <w:p w14:paraId="03BECFD6" w14:textId="77777777" w:rsidR="006172BA" w:rsidRDefault="006172BA" w:rsidP="001D202A">
      <w:pPr>
        <w:pStyle w:val="Default"/>
        <w:spacing w:line="480" w:lineRule="auto"/>
        <w:jc w:val="both"/>
        <w:rPr>
          <w:rFonts w:cstheme="minorHAnsi"/>
        </w:rPr>
      </w:pPr>
    </w:p>
    <w:p w14:paraId="34EA2DD9" w14:textId="6E9631A9" w:rsidR="006B3AE1" w:rsidRPr="001D202A" w:rsidRDefault="006B3AE1" w:rsidP="001D202A">
      <w:pPr>
        <w:pStyle w:val="Default"/>
        <w:spacing w:line="480" w:lineRule="auto"/>
        <w:jc w:val="both"/>
        <w:rPr>
          <w:rFonts w:cstheme="minorHAnsi"/>
        </w:rPr>
      </w:pPr>
    </w:p>
    <w:p w14:paraId="0391DA0F" w14:textId="5986D7FF" w:rsidR="007E211F" w:rsidRPr="00283045" w:rsidRDefault="00C649D4" w:rsidP="00283045">
      <w:pPr>
        <w:spacing w:line="480" w:lineRule="auto"/>
        <w:jc w:val="both"/>
        <w:rPr>
          <w:rFonts w:cstheme="minorHAnsi"/>
          <w:i/>
          <w:sz w:val="24"/>
          <w:szCs w:val="24"/>
        </w:rPr>
      </w:pPr>
      <w:r>
        <w:rPr>
          <w:rFonts w:cstheme="minorHAnsi"/>
          <w:i/>
          <w:sz w:val="24"/>
          <w:szCs w:val="24"/>
        </w:rPr>
        <w:t>Challenges not involving regulators</w:t>
      </w:r>
    </w:p>
    <w:p w14:paraId="0D671EC9" w14:textId="25980393" w:rsidR="007E211F" w:rsidRPr="00C54622" w:rsidRDefault="00683D20">
      <w:pPr>
        <w:spacing w:line="480" w:lineRule="auto"/>
        <w:jc w:val="both"/>
        <w:rPr>
          <w:rFonts w:cstheme="minorHAnsi"/>
          <w:sz w:val="24"/>
          <w:szCs w:val="24"/>
        </w:rPr>
      </w:pPr>
      <w:r w:rsidRPr="00C54622">
        <w:rPr>
          <w:rFonts w:cstheme="minorHAnsi"/>
          <w:sz w:val="24"/>
          <w:szCs w:val="24"/>
        </w:rPr>
        <w:lastRenderedPageBreak/>
        <w:t xml:space="preserve">Evidence of </w:t>
      </w:r>
      <w:r w:rsidR="00C649D4">
        <w:rPr>
          <w:rFonts w:cstheme="minorHAnsi"/>
          <w:sz w:val="24"/>
          <w:szCs w:val="24"/>
        </w:rPr>
        <w:t xml:space="preserve">the threat of legal proceedings has been found in </w:t>
      </w:r>
      <w:r w:rsidRPr="00C54622">
        <w:rPr>
          <w:rFonts w:cstheme="minorHAnsi"/>
          <w:sz w:val="24"/>
          <w:szCs w:val="24"/>
        </w:rPr>
        <w:t xml:space="preserve">three </w:t>
      </w:r>
      <w:r w:rsidR="00C649D4">
        <w:rPr>
          <w:rFonts w:cstheme="minorHAnsi"/>
          <w:sz w:val="24"/>
          <w:szCs w:val="24"/>
        </w:rPr>
        <w:t>instances</w:t>
      </w:r>
      <w:r w:rsidRPr="00C54622">
        <w:rPr>
          <w:rFonts w:cstheme="minorHAnsi"/>
          <w:sz w:val="24"/>
          <w:szCs w:val="24"/>
        </w:rPr>
        <w:t xml:space="preserve"> </w:t>
      </w:r>
      <w:r w:rsidR="007F35EB" w:rsidRPr="00C54622">
        <w:rPr>
          <w:rFonts w:cstheme="minorHAnsi"/>
          <w:sz w:val="24"/>
          <w:szCs w:val="24"/>
        </w:rPr>
        <w:t>since April 2013</w:t>
      </w:r>
      <w:r w:rsidR="002B6180">
        <w:rPr>
          <w:rFonts w:cstheme="minorHAnsi"/>
          <w:sz w:val="24"/>
          <w:szCs w:val="24"/>
        </w:rPr>
        <w:t xml:space="preserve"> </w:t>
      </w:r>
      <w:r w:rsidR="002B6180">
        <w:rPr>
          <w:rFonts w:cstheme="minorHAnsi"/>
          <w:sz w:val="24"/>
          <w:szCs w:val="24"/>
        </w:rPr>
        <w:fldChar w:fldCharType="begin"/>
      </w:r>
      <w:r w:rsidR="00633B0F">
        <w:rPr>
          <w:rFonts w:cstheme="minorHAnsi"/>
          <w:sz w:val="24"/>
          <w:szCs w:val="24"/>
        </w:rPr>
        <w:instrText xml:space="preserve"> ADDIN EN.CITE &lt;EndNote&gt;&lt;Cite&gt;&lt;Author&gt;Health Service Journal&lt;/Author&gt;&lt;Year&gt;2014&lt;/Year&gt;&lt;RecNum&gt;611&lt;/RecNum&gt;&lt;DisplayText&gt;(Health Service Journal, 2014)&lt;/DisplayText&gt;&lt;record&gt;&lt;rec-number&gt;611&lt;/rec-number&gt;&lt;foreign-keys&gt;&lt;key app="EN" db-id="za50fsw09wzvx0er2t2p0d0txzrw9x59d9a5"&gt;611&lt;/key&gt;&lt;/foreign-keys&gt;&lt;ref-type name="Web Page"&gt;12&lt;/ref-type&gt;&lt;contributors&gt;&lt;authors&gt;&lt;author&gt;Health Service Journal,&lt;/author&gt;&lt;/authors&gt;&lt;/contributors&gt;&lt;titles&gt;&lt;title&gt;Analysis: Increase in procurement and competition challenges&lt;/title&gt;&lt;/titles&gt;&lt;volume&gt;2015&lt;/volume&gt;&lt;number&gt;27/08/15&lt;/number&gt;&lt;dates&gt;&lt;year&gt;2014&lt;/year&gt;&lt;/dates&gt;&lt;urls&gt;&lt;related-urls&gt;&lt;url&gt;www.hsj.co.uk/commissioning/analysis-increase-in-procurement-and-competition-challenges/5068560.article&lt;/url&gt;&lt;/related-urls&gt;&lt;/urls&gt;&lt;/record&gt;&lt;/Cite&gt;&lt;/EndNote&gt;</w:instrText>
      </w:r>
      <w:r w:rsidR="002B6180">
        <w:rPr>
          <w:rFonts w:cstheme="minorHAnsi"/>
          <w:sz w:val="24"/>
          <w:szCs w:val="24"/>
        </w:rPr>
        <w:fldChar w:fldCharType="separate"/>
      </w:r>
      <w:r w:rsidR="00633B0F">
        <w:rPr>
          <w:rFonts w:cstheme="minorHAnsi"/>
          <w:noProof/>
          <w:sz w:val="24"/>
          <w:szCs w:val="24"/>
        </w:rPr>
        <w:t>(</w:t>
      </w:r>
      <w:hyperlink w:anchor="_ENREF_21" w:tooltip="Health Service Journal, 2014 #611" w:history="1">
        <w:r w:rsidR="00513FB0">
          <w:rPr>
            <w:rFonts w:cstheme="minorHAnsi"/>
            <w:noProof/>
            <w:sz w:val="24"/>
            <w:szCs w:val="24"/>
          </w:rPr>
          <w:t>Health Service Journal, 2014</w:t>
        </w:r>
      </w:hyperlink>
      <w:r w:rsidR="00633B0F">
        <w:rPr>
          <w:rFonts w:cstheme="minorHAnsi"/>
          <w:noProof/>
          <w:sz w:val="24"/>
          <w:szCs w:val="24"/>
        </w:rPr>
        <w:t>)</w:t>
      </w:r>
      <w:r w:rsidR="002B6180">
        <w:rPr>
          <w:rFonts w:cstheme="minorHAnsi"/>
          <w:sz w:val="24"/>
          <w:szCs w:val="24"/>
        </w:rPr>
        <w:fldChar w:fldCharType="end"/>
      </w:r>
      <w:r w:rsidR="002B6180">
        <w:rPr>
          <w:rFonts w:cstheme="minorHAnsi"/>
          <w:sz w:val="24"/>
          <w:szCs w:val="24"/>
        </w:rPr>
        <w:t>.</w:t>
      </w:r>
      <w:r w:rsidR="00036D8C" w:rsidRPr="00C54622">
        <w:rPr>
          <w:rFonts w:cstheme="minorHAnsi"/>
          <w:sz w:val="24"/>
          <w:szCs w:val="24"/>
        </w:rPr>
        <w:t xml:space="preserve"> </w:t>
      </w:r>
      <w:r w:rsidR="006C4E79">
        <w:rPr>
          <w:sz w:val="24"/>
          <w:szCs w:val="24"/>
        </w:rPr>
        <w:t>All three challenges have since been discontinued.</w:t>
      </w:r>
      <w:r w:rsidRPr="00C54622">
        <w:rPr>
          <w:rFonts w:cstheme="minorHAnsi"/>
          <w:sz w:val="24"/>
          <w:szCs w:val="24"/>
        </w:rPr>
        <w:t xml:space="preserve"> </w:t>
      </w:r>
    </w:p>
    <w:p w14:paraId="2AEF6B9B" w14:textId="7D72B89D" w:rsidR="007D31B2" w:rsidRPr="00C47FB5" w:rsidRDefault="00A274B5" w:rsidP="004D1EF2">
      <w:pPr>
        <w:spacing w:line="480" w:lineRule="auto"/>
        <w:jc w:val="both"/>
        <w:rPr>
          <w:rFonts w:cstheme="minorHAnsi"/>
          <w:b/>
          <w:sz w:val="24"/>
          <w:szCs w:val="24"/>
        </w:rPr>
      </w:pPr>
      <w:r w:rsidRPr="004D1EF2">
        <w:rPr>
          <w:rFonts w:cstheme="minorHAnsi"/>
          <w:b/>
          <w:sz w:val="24"/>
          <w:szCs w:val="24"/>
        </w:rPr>
        <w:t>DISCUSSION</w:t>
      </w:r>
    </w:p>
    <w:p w14:paraId="377425D3" w14:textId="5AE3284D" w:rsidR="004D1EF2" w:rsidRPr="00C47FB5" w:rsidRDefault="004D1EF2" w:rsidP="00C47FB5">
      <w:pPr>
        <w:spacing w:after="200" w:line="480" w:lineRule="auto"/>
        <w:jc w:val="both"/>
        <w:rPr>
          <w:rFonts w:eastAsia="Times New Roman" w:cs="Times New Roman"/>
          <w:sz w:val="24"/>
          <w:szCs w:val="24"/>
        </w:rPr>
      </w:pPr>
      <w:r w:rsidRPr="00C47FB5">
        <w:rPr>
          <w:rFonts w:eastAsia="Times New Roman" w:cs="Times New Roman"/>
          <w:sz w:val="24"/>
          <w:szCs w:val="24"/>
        </w:rPr>
        <w:t xml:space="preserve">The foregoing analysis indicates HSCA 2012 has had </w:t>
      </w:r>
      <w:r w:rsidR="00F764E0">
        <w:rPr>
          <w:rFonts w:eastAsia="Times New Roman" w:cs="Times New Roman"/>
          <w:sz w:val="24"/>
          <w:szCs w:val="24"/>
        </w:rPr>
        <w:t xml:space="preserve">a very mixed impact </w:t>
      </w:r>
      <w:r w:rsidRPr="00C47FB5">
        <w:rPr>
          <w:rFonts w:eastAsia="Times New Roman" w:cs="Times New Roman"/>
          <w:sz w:val="24"/>
          <w:szCs w:val="24"/>
        </w:rPr>
        <w:t>on the decisions being made regarding the operation of competition in the English NHS.</w:t>
      </w:r>
    </w:p>
    <w:p w14:paraId="7DDBF327" w14:textId="1248787F" w:rsidR="004D1EF2" w:rsidRPr="00C47FB5" w:rsidRDefault="004D1EF2" w:rsidP="00C47FB5">
      <w:pPr>
        <w:spacing w:after="200" w:line="480" w:lineRule="auto"/>
        <w:jc w:val="both"/>
        <w:rPr>
          <w:rFonts w:eastAsia="Times New Roman" w:cs="Times New Roman"/>
          <w:sz w:val="24"/>
          <w:szCs w:val="24"/>
        </w:rPr>
      </w:pPr>
      <w:r w:rsidRPr="00C47FB5">
        <w:rPr>
          <w:rFonts w:eastAsia="Times New Roman" w:cs="Times New Roman"/>
          <w:sz w:val="24"/>
          <w:szCs w:val="24"/>
        </w:rPr>
        <w:t xml:space="preserve">On one hand there is a clear difference in the type of decisions made by the sector specific regime of the </w:t>
      </w:r>
      <w:r w:rsidR="00F764E0">
        <w:rPr>
          <w:rFonts w:eastAsia="Times New Roman" w:cs="Times New Roman"/>
          <w:sz w:val="24"/>
          <w:szCs w:val="24"/>
        </w:rPr>
        <w:t>Cooperation and Competition Panel</w:t>
      </w:r>
      <w:r w:rsidRPr="00C47FB5">
        <w:rPr>
          <w:rFonts w:eastAsia="Times New Roman" w:cs="Times New Roman"/>
          <w:sz w:val="24"/>
          <w:szCs w:val="24"/>
        </w:rPr>
        <w:t xml:space="preserve"> and the </w:t>
      </w:r>
      <w:r w:rsidR="00F764E0">
        <w:rPr>
          <w:rFonts w:eastAsia="Times New Roman" w:cs="Times New Roman"/>
          <w:sz w:val="24"/>
          <w:szCs w:val="24"/>
        </w:rPr>
        <w:t>‘</w:t>
      </w:r>
      <w:r w:rsidRPr="00C47FB5">
        <w:rPr>
          <w:rFonts w:eastAsia="Times New Roman" w:cs="Times New Roman"/>
          <w:sz w:val="24"/>
          <w:szCs w:val="24"/>
        </w:rPr>
        <w:t>Principles and Rules</w:t>
      </w:r>
      <w:r w:rsidR="00F764E0">
        <w:rPr>
          <w:rFonts w:eastAsia="Times New Roman" w:cs="Times New Roman"/>
          <w:sz w:val="24"/>
          <w:szCs w:val="24"/>
        </w:rPr>
        <w:t>’</w:t>
      </w:r>
      <w:r w:rsidRPr="00C47FB5">
        <w:rPr>
          <w:rFonts w:eastAsia="Times New Roman" w:cs="Times New Roman"/>
          <w:sz w:val="24"/>
          <w:szCs w:val="24"/>
        </w:rPr>
        <w:t xml:space="preserve">, and the regime of Monitor and the national competition authorities following HSCA 2012. Whilst the two regimes were tasked with upholding similar rules regarding competition, and indeed followed similar frameworks and processes when making their decisions, there was a difference in the regulatory bodies’ interpretation of the rules, and of the standards they employed when evaluating the cases brought before them. As the sector specific regulator, the CCP’s decisions indicate a desire to weigh the impact of a loss of competition and the need to promote competition against other concerns relevant to the provision of health services, such as the need to achieve good quality services and value for money. Indeed the acceptance of the CCP of a wide range of remedies to compensate for a loss of competition, and a willingness to weigh other factors above the </w:t>
      </w:r>
      <w:r w:rsidR="00F764E0">
        <w:rPr>
          <w:rFonts w:eastAsia="Times New Roman" w:cs="Times New Roman"/>
          <w:sz w:val="24"/>
          <w:szCs w:val="24"/>
        </w:rPr>
        <w:t>need</w:t>
      </w:r>
      <w:r w:rsidRPr="00C47FB5">
        <w:rPr>
          <w:rFonts w:eastAsia="Times New Roman" w:cs="Times New Roman"/>
          <w:sz w:val="24"/>
          <w:szCs w:val="24"/>
        </w:rPr>
        <w:t xml:space="preserve"> </w:t>
      </w:r>
      <w:r w:rsidR="00F764E0">
        <w:rPr>
          <w:rFonts w:eastAsia="Times New Roman" w:cs="Times New Roman"/>
          <w:sz w:val="24"/>
          <w:szCs w:val="24"/>
        </w:rPr>
        <w:t>for</w:t>
      </w:r>
      <w:r w:rsidRPr="00C47FB5">
        <w:rPr>
          <w:rFonts w:eastAsia="Times New Roman" w:cs="Times New Roman"/>
          <w:sz w:val="24"/>
          <w:szCs w:val="24"/>
        </w:rPr>
        <w:t xml:space="preserve"> competition, reflects a belief that at times, patients’ interests are best served in arrangements other than competition. Meanwhile, the case of the failed Bournemouth/Poole merger shows the impact of competition law and national competition authorities on the decision making process, reflected by the need, under </w:t>
      </w:r>
      <w:r w:rsidRPr="00C47FB5">
        <w:rPr>
          <w:rFonts w:eastAsia="Times New Roman" w:cs="Times New Roman"/>
          <w:sz w:val="24"/>
          <w:szCs w:val="24"/>
        </w:rPr>
        <w:lastRenderedPageBreak/>
        <w:t>competition law, to value and promote competition above all other concerns. Indeed, whilst Monitor, the Secretary of State for Health</w:t>
      </w:r>
      <w:r w:rsidRPr="004D1EF2">
        <w:rPr>
          <w:rFonts w:cstheme="minorHAnsi"/>
          <w:sz w:val="24"/>
          <w:szCs w:val="24"/>
        </w:rPr>
        <w:t xml:space="preserve"> </w:t>
      </w:r>
      <w:r w:rsidRPr="00C47FB5">
        <w:rPr>
          <w:rFonts w:cstheme="minorHAnsi"/>
          <w:sz w:val="24"/>
          <w:szCs w:val="24"/>
        </w:rPr>
        <w:fldChar w:fldCharType="begin"/>
      </w:r>
      <w:r w:rsidRPr="00C47FB5">
        <w:rPr>
          <w:rFonts w:cstheme="minorHAnsi"/>
          <w:sz w:val="24"/>
          <w:szCs w:val="24"/>
        </w:rPr>
        <w:instrText xml:space="preserve"> ADDIN EN.CITE &lt;EndNote&gt;&lt;Cite&gt;&lt;Author&gt;BMJ&lt;/Author&gt;&lt;Year&gt;2014&lt;/Year&gt;&lt;RecNum&gt;612&lt;/RecNum&gt;&lt;DisplayText&gt;(BMJ, 2014)&lt;/DisplayText&gt;&lt;record&gt;&lt;rec-number&gt;612&lt;/rec-number&gt;&lt;foreign-keys&gt;&lt;key app="EN" db-id="za50fsw09wzvx0er2t2p0d0txzrw9x59d9a5"&gt;612&lt;/key&gt;&lt;/foreign-keys&gt;&lt;ref-type name="Electronic Article"&gt;43&lt;/ref-type&gt;&lt;contributors&gt;&lt;authors&gt;&lt;author&gt;BMJ&lt;/author&gt;&lt;/authors&gt;&lt;/contributors&gt;&lt;titles&gt;&lt;title&gt;Competition rules may need to be applied differently to healthcare, says Hunt&lt;/title&gt;&lt;/titles&gt;&lt;volume&gt;348&lt;/volume&gt;&lt;num-vols&gt;g2082&lt;/num-vols&gt;&lt;dates&gt;&lt;year&gt;2014&lt;/year&gt;&lt;/dates&gt;&lt;urls&gt;&lt;/urls&gt;&lt;/record&gt;&lt;/Cite&gt;&lt;/EndNote&gt;</w:instrText>
      </w:r>
      <w:r w:rsidRPr="00C47FB5">
        <w:rPr>
          <w:rFonts w:cstheme="minorHAnsi"/>
          <w:sz w:val="24"/>
          <w:szCs w:val="24"/>
        </w:rPr>
        <w:fldChar w:fldCharType="separate"/>
      </w:r>
      <w:r w:rsidRPr="00C47FB5">
        <w:rPr>
          <w:rFonts w:cstheme="minorHAnsi"/>
          <w:noProof/>
          <w:sz w:val="24"/>
          <w:szCs w:val="24"/>
        </w:rPr>
        <w:t>(</w:t>
      </w:r>
      <w:hyperlink w:anchor="_ENREF_5" w:tooltip="BMJ, 2014 #612" w:history="1">
        <w:r w:rsidR="00513FB0" w:rsidRPr="00C47FB5">
          <w:rPr>
            <w:rFonts w:cstheme="minorHAnsi"/>
            <w:noProof/>
            <w:sz w:val="24"/>
            <w:szCs w:val="24"/>
          </w:rPr>
          <w:t>BMJ, 2014</w:t>
        </w:r>
      </w:hyperlink>
      <w:r w:rsidRPr="00C47FB5">
        <w:rPr>
          <w:rFonts w:cstheme="minorHAnsi"/>
          <w:noProof/>
          <w:sz w:val="24"/>
          <w:szCs w:val="24"/>
        </w:rPr>
        <w:t>)</w:t>
      </w:r>
      <w:r w:rsidRPr="00C47FB5">
        <w:rPr>
          <w:rFonts w:cstheme="minorHAnsi"/>
          <w:sz w:val="24"/>
          <w:szCs w:val="24"/>
        </w:rPr>
        <w:fldChar w:fldCharType="end"/>
      </w:r>
      <w:r w:rsidRPr="00C47FB5">
        <w:rPr>
          <w:rFonts w:eastAsia="Times New Roman" w:cs="Times New Roman"/>
          <w:sz w:val="24"/>
          <w:szCs w:val="24"/>
        </w:rPr>
        <w:t xml:space="preserve"> and the House of Commons Select Committee </w:t>
      </w:r>
      <w:r w:rsidRPr="00C47FB5">
        <w:rPr>
          <w:rFonts w:cstheme="minorHAnsi"/>
          <w:sz w:val="24"/>
          <w:szCs w:val="24"/>
        </w:rPr>
        <w:fldChar w:fldCharType="begin"/>
      </w:r>
      <w:r w:rsidRPr="00C47FB5">
        <w:rPr>
          <w:rFonts w:cstheme="minorHAnsi"/>
          <w:sz w:val="24"/>
          <w:szCs w:val="24"/>
        </w:rPr>
        <w:instrText xml:space="preserve"> ADDIN EN.CITE &lt;EndNote&gt;&lt;Cite&gt;&lt;Author&gt;House of Commons Health Committee&lt;/Author&gt;&lt;Year&gt;2014&lt;/Year&gt;&lt;RecNum&gt;613&lt;/RecNum&gt;&lt;Suffix&gt;`, para 93&lt;/Suffix&gt;&lt;DisplayText&gt;(House of Commons Health Committee, 2014, para 93)&lt;/DisplayText&gt;&lt;record&gt;&lt;rec-number&gt;613&lt;/rec-number&gt;&lt;foreign-keys&gt;&lt;key app="EN" db-id="za50fsw09wzvx0er2t2p0d0txzrw9x59d9a5"&gt;613&lt;/key&gt;&lt;/foreign-keys&gt;&lt;ref-type name="Report"&gt;27&lt;/ref-type&gt;&lt;contributors&gt;&lt;authors&gt;&lt;author&gt;House of Commons Health Committee,&lt;/author&gt;&lt;/authors&gt;&lt;/contributors&gt;&lt;titles&gt;&lt;title&gt;Public Expenditure on Health and Social Care&lt;/title&gt;&lt;/titles&gt;&lt;number&gt;HC793&lt;/number&gt;&lt;num-vols&gt;seventh report&lt;/num-vols&gt;&lt;dates&gt;&lt;year&gt;2014&lt;/year&gt;&lt;/dates&gt;&lt;urls&gt;&lt;/urls&gt;&lt;/record&gt;&lt;/Cite&gt;&lt;/EndNote&gt;</w:instrText>
      </w:r>
      <w:r w:rsidRPr="00C47FB5">
        <w:rPr>
          <w:rFonts w:cstheme="minorHAnsi"/>
          <w:sz w:val="24"/>
          <w:szCs w:val="24"/>
        </w:rPr>
        <w:fldChar w:fldCharType="separate"/>
      </w:r>
      <w:r w:rsidRPr="00C47FB5">
        <w:rPr>
          <w:rFonts w:cstheme="minorHAnsi"/>
          <w:noProof/>
          <w:sz w:val="24"/>
          <w:szCs w:val="24"/>
        </w:rPr>
        <w:t>(</w:t>
      </w:r>
      <w:hyperlink w:anchor="_ENREF_22" w:tooltip="House of Commons Health Committee, 2014 #613" w:history="1">
        <w:r w:rsidR="00513FB0" w:rsidRPr="00C47FB5">
          <w:rPr>
            <w:rFonts w:cstheme="minorHAnsi"/>
            <w:noProof/>
            <w:sz w:val="24"/>
            <w:szCs w:val="24"/>
          </w:rPr>
          <w:t>House of Commons Health Committee, 2014, para 93</w:t>
        </w:r>
      </w:hyperlink>
      <w:r w:rsidRPr="00C47FB5">
        <w:rPr>
          <w:rFonts w:cstheme="minorHAnsi"/>
          <w:noProof/>
          <w:sz w:val="24"/>
          <w:szCs w:val="24"/>
        </w:rPr>
        <w:t>)</w:t>
      </w:r>
      <w:r w:rsidRPr="00C47FB5">
        <w:rPr>
          <w:rFonts w:cstheme="minorHAnsi"/>
          <w:sz w:val="24"/>
          <w:szCs w:val="24"/>
        </w:rPr>
        <w:fldChar w:fldCharType="end"/>
      </w:r>
      <w:r w:rsidRPr="004D1EF2">
        <w:rPr>
          <w:rFonts w:cstheme="minorHAnsi"/>
          <w:sz w:val="24"/>
          <w:szCs w:val="24"/>
        </w:rPr>
        <w:t xml:space="preserve"> </w:t>
      </w:r>
      <w:r w:rsidRPr="00C47FB5">
        <w:rPr>
          <w:rFonts w:eastAsia="Times New Roman" w:cs="Times New Roman"/>
          <w:sz w:val="24"/>
          <w:szCs w:val="24"/>
        </w:rPr>
        <w:t xml:space="preserve">all suggested that the decision to prevent the merger was not in the interest of the NHS overall, they were powerless to exert any influence over the decision made. The risks of this process are that firstly, the decisions being made do not recognise the variety of aims of NHS services, not all of which can be addressed by market mechanisms, and also </w:t>
      </w:r>
      <w:r w:rsidR="00A76FEB">
        <w:rPr>
          <w:rFonts w:eastAsia="Times New Roman" w:cs="Times New Roman"/>
          <w:sz w:val="24"/>
          <w:szCs w:val="24"/>
        </w:rPr>
        <w:t xml:space="preserve">that </w:t>
      </w:r>
      <w:r w:rsidRPr="00C47FB5">
        <w:rPr>
          <w:rFonts w:eastAsia="Times New Roman" w:cs="Times New Roman"/>
          <w:sz w:val="24"/>
          <w:szCs w:val="24"/>
        </w:rPr>
        <w:t>secondly, the cost to the NHS of meeting the increased requirements for the provision of evidence to satisfy the requirements of the national competition bodies may be exorbitant.</w:t>
      </w:r>
      <w:r w:rsidR="00A76FEB" w:rsidRPr="00A76FEB">
        <w:rPr>
          <w:rFonts w:eastAsia="Times New Roman" w:cs="Times New Roman"/>
          <w:sz w:val="24"/>
          <w:szCs w:val="24"/>
        </w:rPr>
        <w:t xml:space="preserve"> </w:t>
      </w:r>
      <w:r w:rsidR="00A76FEB">
        <w:rPr>
          <w:rFonts w:eastAsia="Times New Roman" w:cs="Times New Roman"/>
          <w:sz w:val="24"/>
          <w:szCs w:val="24"/>
        </w:rPr>
        <w:t xml:space="preserve">This situation reflects the concerns voiced by Davies (2013), that the process of juridification caused by HSCA 2012 would result in a situation in which judicial decisions would replace ministerial and local discretion, culminating, she suggests, in a lack of accountability. </w:t>
      </w:r>
      <w:r w:rsidR="00A76FEB">
        <w:rPr>
          <w:rFonts w:eastAsia="Times New Roman" w:cs="Times New Roman"/>
          <w:sz w:val="24"/>
          <w:szCs w:val="24"/>
        </w:rPr>
        <w:fldChar w:fldCharType="begin"/>
      </w:r>
      <w:r w:rsidR="00A76FEB">
        <w:rPr>
          <w:rFonts w:eastAsia="Times New Roman" w:cs="Times New Roman"/>
          <w:sz w:val="24"/>
          <w:szCs w:val="24"/>
        </w:rPr>
        <w:instrText xml:space="preserve"> ADDIN EN.CITE &lt;EndNote&gt;&lt;Cite ExcludeAuth="1" ExcludeYear="1" Hidden="1"&gt;&lt;Author&gt;Davies&lt;/Author&gt;&lt;Year&gt;2013&lt;/Year&gt;&lt;RecNum&gt;419&lt;/RecNum&gt;&lt;record&gt;&lt;rec-number&gt;419&lt;/rec-number&gt;&lt;foreign-keys&gt;&lt;key app="EN" db-id="za50fsw09wzvx0er2t2p0d0txzrw9x59d9a5"&gt;419&lt;/key&gt;&lt;/foreign-keys&gt;&lt;ref-type name="Journal Article"&gt;17&lt;/ref-type&gt;&lt;contributors&gt;&lt;authors&gt;&lt;author&gt;Davies, A.C.L.,&lt;/author&gt;&lt;/authors&gt;&lt;/contributors&gt;&lt;titles&gt;&lt;title&gt;This Time, it&amp;apos;s for Real: The Health and Social Care Act 2012&lt;/title&gt;&lt;secondary-title&gt;The Modern Law Review&lt;/secondary-title&gt;&lt;/titles&gt;&lt;periodical&gt;&lt;full-title&gt;The Modern Law Review&lt;/full-title&gt;&lt;/periodical&gt;&lt;pages&gt;564-588&lt;/pages&gt;&lt;volume&gt;76&lt;/volume&gt;&lt;number&gt;3&lt;/number&gt;&lt;dates&gt;&lt;year&gt;2013&lt;/year&gt;&lt;/dates&gt;&lt;urls&gt;&lt;/urls&gt;&lt;/record&gt;&lt;/Cite&gt;&lt;Cite&gt;&lt;Author&gt;Davies&lt;/Author&gt;&lt;Year&gt;2013&lt;/Year&gt;&lt;RecNum&gt;419&lt;/RecNum&gt;&lt;record&gt;&lt;rec-number&gt;419&lt;/rec-number&gt;&lt;foreign-keys&gt;&lt;key app="EN" db-id="za50fsw09wzvx0er2t2p0d0txzrw9x59d9a5"&gt;419&lt;/key&gt;&lt;/foreign-keys&gt;&lt;ref-type name="Journal Article"&gt;17&lt;/ref-type&gt;&lt;contributors&gt;&lt;authors&gt;&lt;author&gt;Davies, A.C.L.,&lt;/author&gt;&lt;/authors&gt;&lt;/contributors&gt;&lt;titles&gt;&lt;title&gt;This Time, it&amp;apos;s for Real: The Health and Social Care Act 2012&lt;/title&gt;&lt;secondary-title&gt;The Modern Law Review&lt;/secondary-title&gt;&lt;/titles&gt;&lt;periodical&gt;&lt;full-title&gt;The Modern Law Review&lt;/full-title&gt;&lt;/periodical&gt;&lt;pages&gt;564-588&lt;/pages&gt;&lt;volume&gt;76&lt;/volume&gt;&lt;number&gt;3&lt;/number&gt;&lt;dates&gt;&lt;year&gt;2013&lt;/year&gt;&lt;/dates&gt;&lt;urls&gt;&lt;/urls&gt;&lt;/record&gt;&lt;/Cite&gt;&lt;/EndNote&gt;</w:instrText>
      </w:r>
      <w:r w:rsidR="00A76FEB">
        <w:rPr>
          <w:rFonts w:eastAsia="Times New Roman" w:cs="Times New Roman"/>
          <w:sz w:val="24"/>
          <w:szCs w:val="24"/>
        </w:rPr>
        <w:fldChar w:fldCharType="end"/>
      </w:r>
    </w:p>
    <w:p w14:paraId="7A0C27C2" w14:textId="710EBC18" w:rsidR="004D1EF2" w:rsidRPr="00C47FB5" w:rsidRDefault="004D1EF2" w:rsidP="00C47FB5">
      <w:pPr>
        <w:spacing w:after="200" w:line="480" w:lineRule="auto"/>
        <w:jc w:val="both"/>
        <w:rPr>
          <w:rFonts w:eastAsia="Times New Roman" w:cs="Times New Roman"/>
          <w:sz w:val="24"/>
          <w:szCs w:val="24"/>
        </w:rPr>
      </w:pPr>
      <w:r w:rsidRPr="00C47FB5">
        <w:rPr>
          <w:rFonts w:eastAsia="Times New Roman" w:cs="Times New Roman"/>
          <w:sz w:val="24"/>
          <w:szCs w:val="24"/>
        </w:rPr>
        <w:t>On the other hand however, the other cases considered under the regime after HSCA 2012 suggest that, following the failed Bournemouth/Poole merger, the NHS is avoiding  entanglement with competition law.</w:t>
      </w:r>
      <w:r w:rsidR="00A76FEB">
        <w:rPr>
          <w:rFonts w:eastAsia="Times New Roman" w:cs="Times New Roman"/>
          <w:sz w:val="24"/>
          <w:szCs w:val="24"/>
        </w:rPr>
        <w:t xml:space="preserve"> This has</w:t>
      </w:r>
      <w:r w:rsidR="008E7E38">
        <w:rPr>
          <w:rFonts w:eastAsia="Times New Roman" w:cs="Times New Roman"/>
          <w:sz w:val="24"/>
          <w:szCs w:val="24"/>
        </w:rPr>
        <w:t xml:space="preserve"> resonance with the experience reported from other sectors and previous NHS reform, </w:t>
      </w:r>
      <w:r w:rsidR="00DA5559">
        <w:rPr>
          <w:rFonts w:eastAsia="Times New Roman" w:cs="Times New Roman"/>
          <w:sz w:val="24"/>
          <w:szCs w:val="24"/>
        </w:rPr>
        <w:t xml:space="preserve">which suggests </w:t>
      </w:r>
      <w:r w:rsidR="008E7E38">
        <w:rPr>
          <w:rFonts w:eastAsia="Times New Roman" w:cs="Times New Roman"/>
          <w:sz w:val="24"/>
          <w:szCs w:val="24"/>
        </w:rPr>
        <w:t>that whilst there is certainly the potential, as in the case of Bournemouth and Poole, for a loss of ministerial and local discretion, sector regulators continue to rely on sectoral rules</w:t>
      </w:r>
      <w:r w:rsidRPr="00C47FB5">
        <w:rPr>
          <w:rFonts w:eastAsia="Times New Roman" w:cs="Times New Roman"/>
          <w:sz w:val="24"/>
          <w:szCs w:val="24"/>
        </w:rPr>
        <w:t xml:space="preserve"> </w:t>
      </w:r>
      <w:r w:rsidR="008E7E38">
        <w:rPr>
          <w:rFonts w:eastAsia="Times New Roman" w:cs="Times New Roman"/>
          <w:sz w:val="24"/>
          <w:szCs w:val="24"/>
        </w:rPr>
        <w:t xml:space="preserve"> despite the clear remit of competition law </w:t>
      </w:r>
      <w:r w:rsidR="008E7E38">
        <w:rPr>
          <w:rFonts w:eastAsia="Times New Roman" w:cs="Times New Roman"/>
          <w:sz w:val="24"/>
          <w:szCs w:val="24"/>
        </w:rPr>
        <w:fldChar w:fldCharType="begin"/>
      </w:r>
      <w:r w:rsidR="008E7E38">
        <w:rPr>
          <w:rFonts w:eastAsia="Times New Roman" w:cs="Times New Roman"/>
          <w:sz w:val="24"/>
          <w:szCs w:val="24"/>
        </w:rPr>
        <w:instrText xml:space="preserve"> ADDIN EN.CITE &lt;EndNote&gt;&lt;Cite&gt;&lt;Author&gt;Broadbent&lt;/Author&gt;&lt;Year&gt;1997&lt;/Year&gt;&lt;RecNum&gt;592&lt;/RecNum&gt;&lt;DisplayText&gt;(Broadbent and Laughlin, 1997, Stirton, 2014)&lt;/DisplayText&gt;&lt;record&gt;&lt;rec-number&gt;592&lt;/rec-number&gt;&lt;foreign-keys&gt;&lt;key app="EN" db-id="za50fsw09wzvx0er2t2p0d0txzrw9x59d9a5"&gt;592&lt;/key&gt;&lt;/foreign-keys&gt;&lt;ref-type name="Book Section"&gt;5&lt;/ref-type&gt;&lt;contributors&gt;&lt;authors&gt;&lt;author&gt;Broadbent, J.&lt;/author&gt;&lt;author&gt;Laughlin, R.&lt;/author&gt;&lt;/authors&gt;&lt;secondary-authors&gt;&lt;author&gt;Deakin, S.&lt;/author&gt;&lt;author&gt;Michie, J.&lt;/author&gt;&lt;/secondary-authors&gt;&lt;/contributors&gt;&lt;titles&gt;&lt;title&gt;Contracts, Competition, and Accounting in Health and Education&lt;/title&gt;&lt;secondary-title&gt;Contracts, Co-operation, and Competition: Studies in Economics, Management and Law&lt;/secondary-title&gt;&lt;/titles&gt;&lt;dates&gt;&lt;year&gt;1997&lt;/year&gt;&lt;/dates&gt;&lt;pub-location&gt;Oxford&lt;/pub-location&gt;&lt;publisher&gt;Oxford University Press&lt;/publisher&gt;&lt;urls&gt;&lt;/urls&gt;&lt;/record&gt;&lt;/Cite&gt;&lt;Cite&gt;&lt;Author&gt;Stirton&lt;/Author&gt;&lt;Year&gt;2014&lt;/Year&gt;&lt;RecNum&gt;537&lt;/RecNum&gt;&lt;record&gt;&lt;rec-number&gt;537&lt;/rec-number&gt;&lt;foreign-keys&gt;&lt;key app="EN" db-id="za50fsw09wzvx0er2t2p0d0txzrw9x59d9a5"&gt;537&lt;/key&gt;&lt;/foreign-keys&gt;&lt;ref-type name="Journal Article"&gt;17&lt;/ref-type&gt;&lt;contributors&gt;&lt;authors&gt;&lt;author&gt;Stirton, L.&lt;/author&gt;&lt;/authors&gt;&lt;/contributors&gt;&lt;titles&gt;&lt;title&gt;Back to the Future? Lessons on the pro-competitive regulation of health services&lt;/title&gt;&lt;secondary-title&gt;Medical Law Review&lt;/secondary-title&gt;&lt;/titles&gt;&lt;periodical&gt;&lt;full-title&gt;Medical Law Review&lt;/full-title&gt;&lt;/periodical&gt;&lt;pages&gt;180-199&lt;/pages&gt;&lt;volume&gt;22&lt;/volume&gt;&lt;number&gt;2&lt;/number&gt;&lt;dates&gt;&lt;year&gt;2014&lt;/year&gt;&lt;/dates&gt;&lt;urls&gt;&lt;/urls&gt;&lt;/record&gt;&lt;/Cite&gt;&lt;/EndNote&gt;</w:instrText>
      </w:r>
      <w:r w:rsidR="008E7E38">
        <w:rPr>
          <w:rFonts w:eastAsia="Times New Roman" w:cs="Times New Roman"/>
          <w:sz w:val="24"/>
          <w:szCs w:val="24"/>
        </w:rPr>
        <w:fldChar w:fldCharType="separate"/>
      </w:r>
      <w:r w:rsidR="008E7E38">
        <w:rPr>
          <w:rFonts w:eastAsia="Times New Roman" w:cs="Times New Roman"/>
          <w:noProof/>
          <w:sz w:val="24"/>
          <w:szCs w:val="24"/>
        </w:rPr>
        <w:t>(</w:t>
      </w:r>
      <w:hyperlink w:anchor="_ENREF_6" w:tooltip="Broadbent, 1997 #592" w:history="1">
        <w:r w:rsidR="00513FB0">
          <w:rPr>
            <w:rFonts w:eastAsia="Times New Roman" w:cs="Times New Roman"/>
            <w:noProof/>
            <w:sz w:val="24"/>
            <w:szCs w:val="24"/>
          </w:rPr>
          <w:t>Broadbent and Laughlin, 1997</w:t>
        </w:r>
      </w:hyperlink>
      <w:r w:rsidR="008E7E38">
        <w:rPr>
          <w:rFonts w:eastAsia="Times New Roman" w:cs="Times New Roman"/>
          <w:noProof/>
          <w:sz w:val="24"/>
          <w:szCs w:val="24"/>
        </w:rPr>
        <w:t xml:space="preserve">, </w:t>
      </w:r>
      <w:hyperlink w:anchor="_ENREF_41" w:tooltip="Stirton, 2014 #537" w:history="1">
        <w:r w:rsidR="00513FB0">
          <w:rPr>
            <w:rFonts w:eastAsia="Times New Roman" w:cs="Times New Roman"/>
            <w:noProof/>
            <w:sz w:val="24"/>
            <w:szCs w:val="24"/>
          </w:rPr>
          <w:t>Stirton, 2014</w:t>
        </w:r>
      </w:hyperlink>
      <w:r w:rsidR="008E7E38">
        <w:rPr>
          <w:rFonts w:eastAsia="Times New Roman" w:cs="Times New Roman"/>
          <w:noProof/>
          <w:sz w:val="24"/>
          <w:szCs w:val="24"/>
        </w:rPr>
        <w:t>)</w:t>
      </w:r>
      <w:r w:rsidR="008E7E38">
        <w:rPr>
          <w:rFonts w:eastAsia="Times New Roman" w:cs="Times New Roman"/>
          <w:sz w:val="24"/>
          <w:szCs w:val="24"/>
        </w:rPr>
        <w:fldChar w:fldCharType="end"/>
      </w:r>
      <w:r w:rsidR="008E7E38">
        <w:rPr>
          <w:rFonts w:eastAsia="Times New Roman" w:cs="Times New Roman"/>
          <w:sz w:val="24"/>
          <w:szCs w:val="24"/>
        </w:rPr>
        <w:t xml:space="preserve">. </w:t>
      </w:r>
      <w:r w:rsidRPr="00C47FB5">
        <w:rPr>
          <w:rFonts w:eastAsia="Times New Roman" w:cs="Times New Roman"/>
          <w:sz w:val="24"/>
          <w:szCs w:val="24"/>
        </w:rPr>
        <w:t xml:space="preserve">Monitor </w:t>
      </w:r>
      <w:r w:rsidR="00F764E0">
        <w:rPr>
          <w:rFonts w:eastAsia="Times New Roman" w:cs="Times New Roman"/>
          <w:sz w:val="24"/>
          <w:szCs w:val="24"/>
        </w:rPr>
        <w:t>has</w:t>
      </w:r>
      <w:r w:rsidRPr="00C47FB5">
        <w:rPr>
          <w:rFonts w:eastAsia="Times New Roman" w:cs="Times New Roman"/>
          <w:sz w:val="24"/>
          <w:szCs w:val="24"/>
        </w:rPr>
        <w:t xml:space="preserve"> adopted the role of a ‘translator’ between the NHS and competition authorities in relation to mergers, to allow mergers to progress ‘without falling foul of the competition authorities’ </w:t>
      </w:r>
      <w:r w:rsidRPr="004D1EF2">
        <w:rPr>
          <w:rFonts w:cstheme="minorHAnsi"/>
          <w:noProof/>
          <w:sz w:val="24"/>
          <w:szCs w:val="24"/>
        </w:rPr>
        <w:t>(</w:t>
      </w:r>
      <w:hyperlink w:anchor="_ENREF_25" w:tooltip="Health Service Journal, 2014 #615" w:history="1">
        <w:r w:rsidRPr="004D1EF2">
          <w:rPr>
            <w:rFonts w:cstheme="minorHAnsi"/>
            <w:noProof/>
            <w:sz w:val="24"/>
            <w:szCs w:val="24"/>
          </w:rPr>
          <w:t>Health Service Journal, 2014b</w:t>
        </w:r>
      </w:hyperlink>
      <w:r w:rsidRPr="004D1EF2">
        <w:rPr>
          <w:rFonts w:cstheme="minorHAnsi"/>
          <w:noProof/>
          <w:sz w:val="24"/>
          <w:szCs w:val="24"/>
        </w:rPr>
        <w:t>)</w:t>
      </w:r>
      <w:r w:rsidRPr="00C47FB5">
        <w:rPr>
          <w:rFonts w:eastAsia="Times New Roman" w:cs="Times New Roman"/>
          <w:sz w:val="24"/>
          <w:szCs w:val="24"/>
        </w:rPr>
        <w:t xml:space="preserve">. </w:t>
      </w:r>
      <w:r w:rsidRPr="00C47FB5">
        <w:rPr>
          <w:rFonts w:eastAsia="Times New Roman" w:cs="Times New Roman"/>
          <w:sz w:val="24"/>
          <w:szCs w:val="24"/>
        </w:rPr>
        <w:lastRenderedPageBreak/>
        <w:t>The small number of commissioning and procurement cases considered under both regimes, suggests that there may be a long standing practice to resolve matters informally where possible</w:t>
      </w:r>
      <w:r w:rsidR="00F764E0">
        <w:rPr>
          <w:rFonts w:eastAsia="Times New Roman" w:cs="Times New Roman"/>
          <w:sz w:val="24"/>
          <w:szCs w:val="24"/>
        </w:rPr>
        <w:t xml:space="preserve"> (even avoiding sector specific regulation)</w:t>
      </w:r>
      <w:r w:rsidRPr="00C47FB5">
        <w:rPr>
          <w:rFonts w:eastAsia="Times New Roman" w:cs="Times New Roman"/>
          <w:sz w:val="24"/>
          <w:szCs w:val="24"/>
        </w:rPr>
        <w:t xml:space="preserve">. Monitor reports having received 166 enquiries about the regulations from April 2013 to March 2014 </w:t>
      </w:r>
      <w:r w:rsidRPr="004D1EF2">
        <w:rPr>
          <w:rFonts w:cstheme="minorHAnsi"/>
          <w:sz w:val="24"/>
          <w:szCs w:val="24"/>
        </w:rPr>
        <w:fldChar w:fldCharType="begin"/>
      </w:r>
      <w:r w:rsidR="00633B0F">
        <w:rPr>
          <w:rFonts w:cstheme="minorHAnsi"/>
          <w:sz w:val="24"/>
          <w:szCs w:val="24"/>
        </w:rPr>
        <w:instrText xml:space="preserve"> ADDIN EN.CITE &lt;EndNote&gt;&lt;Cite&gt;&lt;Author&gt;Health Service Journal&lt;/Author&gt;&lt;Year&gt;2014&lt;/Year&gt;&lt;RecNum&gt;611&lt;/RecNum&gt;&lt;DisplayText&gt;(Health Service Journal, 2014)&lt;/DisplayText&gt;&lt;record&gt;&lt;rec-number&gt;611&lt;/rec-number&gt;&lt;foreign-keys&gt;&lt;key app="EN" db-id="za50fsw09wzvx0er2t2p0d0txzrw9x59d9a5"&gt;611&lt;/key&gt;&lt;/foreign-keys&gt;&lt;ref-type name="Web Page"&gt;12&lt;/ref-type&gt;&lt;contributors&gt;&lt;authors&gt;&lt;author&gt;Health Service Journal,&lt;/author&gt;&lt;/authors&gt;&lt;/contributors&gt;&lt;titles&gt;&lt;title&gt;Analysis: Increase in procurement and competition challenges&lt;/title&gt;&lt;/titles&gt;&lt;volume&gt;2015&lt;/volume&gt;&lt;number&gt;27/08/15&lt;/number&gt;&lt;dates&gt;&lt;year&gt;2014&lt;/year&gt;&lt;/dates&gt;&lt;urls&gt;&lt;related-urls&gt;&lt;url&gt;www.hsj.co.uk/commissioning/analysis-increase-in-procurement-and-competition-challenges/5068560.article&lt;/url&gt;&lt;/related-urls&gt;&lt;/urls&gt;&lt;/record&gt;&lt;/Cite&gt;&lt;/EndNote&gt;</w:instrText>
      </w:r>
      <w:r w:rsidRPr="004D1EF2">
        <w:rPr>
          <w:rFonts w:cstheme="minorHAnsi"/>
          <w:sz w:val="24"/>
          <w:szCs w:val="24"/>
        </w:rPr>
        <w:fldChar w:fldCharType="separate"/>
      </w:r>
      <w:r w:rsidR="00633B0F">
        <w:rPr>
          <w:rFonts w:cstheme="minorHAnsi"/>
          <w:noProof/>
          <w:sz w:val="24"/>
          <w:szCs w:val="24"/>
        </w:rPr>
        <w:t>(</w:t>
      </w:r>
      <w:hyperlink w:anchor="_ENREF_21" w:tooltip="Health Service Journal, 2014 #611" w:history="1">
        <w:r w:rsidR="00513FB0">
          <w:rPr>
            <w:rFonts w:cstheme="minorHAnsi"/>
            <w:noProof/>
            <w:sz w:val="24"/>
            <w:szCs w:val="24"/>
          </w:rPr>
          <w:t>Health Service Journal, 2014</w:t>
        </w:r>
      </w:hyperlink>
      <w:r w:rsidR="00633B0F">
        <w:rPr>
          <w:rFonts w:cstheme="minorHAnsi"/>
          <w:noProof/>
          <w:sz w:val="24"/>
          <w:szCs w:val="24"/>
        </w:rPr>
        <w:t>)</w:t>
      </w:r>
      <w:r w:rsidRPr="004D1EF2">
        <w:rPr>
          <w:rFonts w:cstheme="minorHAnsi"/>
          <w:sz w:val="24"/>
          <w:szCs w:val="24"/>
        </w:rPr>
        <w:fldChar w:fldCharType="end"/>
      </w:r>
      <w:r w:rsidRPr="004D1EF2">
        <w:rPr>
          <w:rFonts w:cstheme="minorHAnsi"/>
          <w:sz w:val="24"/>
          <w:szCs w:val="24"/>
        </w:rPr>
        <w:t xml:space="preserve">, </w:t>
      </w:r>
      <w:r w:rsidRPr="00C47FB5">
        <w:rPr>
          <w:rFonts w:eastAsia="Times New Roman" w:cs="Times New Roman"/>
          <w:sz w:val="24"/>
          <w:szCs w:val="24"/>
        </w:rPr>
        <w:t xml:space="preserve">the vast majority of which have been resolved without a formal investigation or using enforcement powers. </w:t>
      </w:r>
      <w:r w:rsidR="00F764E0">
        <w:rPr>
          <w:rFonts w:eastAsia="Times New Roman" w:cs="Times New Roman"/>
          <w:sz w:val="24"/>
          <w:szCs w:val="24"/>
        </w:rPr>
        <w:t>Worryingly it has been</w:t>
      </w:r>
      <w:r w:rsidRPr="00C47FB5">
        <w:rPr>
          <w:rFonts w:eastAsia="Times New Roman" w:cs="Times New Roman"/>
          <w:sz w:val="24"/>
          <w:szCs w:val="24"/>
        </w:rPr>
        <w:t xml:space="preserve"> </w:t>
      </w:r>
      <w:r w:rsidR="00622A8C">
        <w:rPr>
          <w:rFonts w:eastAsia="Times New Roman" w:cs="Times New Roman"/>
          <w:sz w:val="24"/>
          <w:szCs w:val="24"/>
        </w:rPr>
        <w:t xml:space="preserve">suggested </w:t>
      </w:r>
      <w:r w:rsidRPr="00C47FB5">
        <w:rPr>
          <w:rFonts w:eastAsia="Times New Roman" w:cs="Times New Roman"/>
          <w:sz w:val="24"/>
          <w:szCs w:val="24"/>
        </w:rPr>
        <w:t xml:space="preserve">that merger proposals are being entirely abandoned due to concerns about the assessment process </w:t>
      </w:r>
      <w:r w:rsidRPr="004D1EF2">
        <w:rPr>
          <w:rFonts w:cstheme="minorHAnsi"/>
          <w:sz w:val="24"/>
          <w:szCs w:val="24"/>
        </w:rPr>
        <w:t xml:space="preserve"> </w:t>
      </w:r>
      <w:r w:rsidRPr="004D1EF2">
        <w:rPr>
          <w:rFonts w:cstheme="minorHAnsi"/>
          <w:sz w:val="24"/>
          <w:szCs w:val="24"/>
        </w:rPr>
        <w:fldChar w:fldCharType="begin"/>
      </w:r>
      <w:r w:rsidRPr="00C47FB5">
        <w:rPr>
          <w:rFonts w:cstheme="minorHAnsi"/>
          <w:sz w:val="24"/>
          <w:szCs w:val="24"/>
        </w:rPr>
        <w:instrText xml:space="preserve"> ADDIN EN.CITE &lt;EndNote&gt;&lt;Cite&gt;&lt;Author&gt;Health Service Journal&lt;/Author&gt;&lt;Year&gt;2013&lt;/Year&gt;&lt;RecNum&gt;614&lt;/RecNum&gt;&lt;DisplayText&gt;(Health Service Journal, 2013)&lt;/DisplayText&gt;&lt;record&gt;&lt;rec-number&gt;614&lt;/rec-number&gt;&lt;foreign-keys&gt;&lt;key app="EN" db-id="za50fsw09wzvx0er2t2p0d0txzrw9x59d9a5"&gt;614&lt;/key&gt;&lt;/foreign-keys&gt;&lt;ref-type name="Web Page"&gt;12&lt;/ref-type&gt;&lt;contributors&gt;&lt;authors&gt;&lt;author&gt;Health Service Journal,&lt;/author&gt;&lt;/authors&gt;&lt;/contributors&gt;&lt;titles&gt;&lt;title&gt;Trust super merger shelved&lt;/title&gt;&lt;/titles&gt;&lt;volume&gt;2015&lt;/volume&gt;&lt;number&gt;27/08/15&lt;/number&gt;&lt;dates&gt;&lt;year&gt;2013&lt;/year&gt;&lt;/dates&gt;&lt;urls&gt;&lt;related-urls&gt;&lt;url&gt;http://www.hsj.co.uk/acute-care/trust-super-merger-shelved/5066110.article&lt;/url&gt;&lt;/related-urls&gt;&lt;/urls&gt;&lt;/record&gt;&lt;/Cite&gt;&lt;/EndNote&gt;</w:instrText>
      </w:r>
      <w:r w:rsidRPr="004D1EF2">
        <w:rPr>
          <w:rFonts w:cstheme="minorHAnsi"/>
          <w:sz w:val="24"/>
          <w:szCs w:val="24"/>
        </w:rPr>
        <w:fldChar w:fldCharType="separate"/>
      </w:r>
      <w:r w:rsidRPr="004D1EF2">
        <w:rPr>
          <w:rFonts w:cstheme="minorHAnsi"/>
          <w:noProof/>
          <w:sz w:val="24"/>
          <w:szCs w:val="24"/>
        </w:rPr>
        <w:t>(</w:t>
      </w:r>
      <w:hyperlink w:anchor="_ENREF_20" w:tooltip="Health Service Journal, 2013 #614" w:history="1">
        <w:r w:rsidR="00513FB0" w:rsidRPr="00C47FB5">
          <w:rPr>
            <w:rFonts w:cstheme="minorHAnsi"/>
            <w:noProof/>
            <w:sz w:val="24"/>
            <w:szCs w:val="24"/>
          </w:rPr>
          <w:t>Health Service Journal, 2013</w:t>
        </w:r>
      </w:hyperlink>
      <w:r w:rsidRPr="004D1EF2">
        <w:rPr>
          <w:rFonts w:cstheme="minorHAnsi"/>
          <w:noProof/>
          <w:sz w:val="24"/>
          <w:szCs w:val="24"/>
        </w:rPr>
        <w:t>)</w:t>
      </w:r>
      <w:r w:rsidRPr="004D1EF2">
        <w:rPr>
          <w:rFonts w:cstheme="minorHAnsi"/>
          <w:sz w:val="24"/>
          <w:szCs w:val="24"/>
        </w:rPr>
        <w:fldChar w:fldCharType="end"/>
      </w:r>
      <w:r w:rsidRPr="004D1EF2">
        <w:rPr>
          <w:rFonts w:cstheme="minorHAnsi"/>
          <w:sz w:val="24"/>
          <w:szCs w:val="24"/>
        </w:rPr>
        <w:t>.</w:t>
      </w:r>
    </w:p>
    <w:p w14:paraId="3F5E42C6" w14:textId="0143666C" w:rsidR="004D1EF2" w:rsidRPr="00C47FB5" w:rsidRDefault="004D1EF2" w:rsidP="00C47FB5">
      <w:pPr>
        <w:spacing w:after="200" w:line="480" w:lineRule="auto"/>
        <w:jc w:val="both"/>
        <w:rPr>
          <w:rFonts w:eastAsia="Times New Roman" w:cs="Times New Roman"/>
          <w:sz w:val="24"/>
          <w:szCs w:val="24"/>
        </w:rPr>
      </w:pPr>
      <w:r w:rsidRPr="00C47FB5">
        <w:rPr>
          <w:rFonts w:eastAsia="Times New Roman" w:cs="Times New Roman"/>
          <w:sz w:val="24"/>
          <w:szCs w:val="24"/>
        </w:rPr>
        <w:t xml:space="preserve">The sustainability of this retreat from the new regulatory regime is questionable though. It is notable that the independent sector </w:t>
      </w:r>
      <w:r w:rsidR="00DA5559" w:rsidRPr="00C47FB5">
        <w:rPr>
          <w:rFonts w:eastAsia="Times New Roman" w:cs="Times New Roman"/>
          <w:sz w:val="24"/>
          <w:szCs w:val="24"/>
        </w:rPr>
        <w:t>w</w:t>
      </w:r>
      <w:r w:rsidR="00DA5559">
        <w:rPr>
          <w:rFonts w:eastAsia="Times New Roman" w:cs="Times New Roman"/>
          <w:sz w:val="24"/>
          <w:szCs w:val="24"/>
        </w:rPr>
        <w:t>as</w:t>
      </w:r>
      <w:r w:rsidR="00DA5559" w:rsidRPr="00C47FB5">
        <w:rPr>
          <w:rFonts w:eastAsia="Times New Roman" w:cs="Times New Roman"/>
          <w:sz w:val="24"/>
          <w:szCs w:val="24"/>
        </w:rPr>
        <w:t xml:space="preserve"> </w:t>
      </w:r>
      <w:r w:rsidRPr="00C47FB5">
        <w:rPr>
          <w:rFonts w:eastAsia="Times New Roman" w:cs="Times New Roman"/>
          <w:sz w:val="24"/>
          <w:szCs w:val="24"/>
        </w:rPr>
        <w:t>commonly the instigators of complaints regarding competitive practices, and they are</w:t>
      </w:r>
      <w:r w:rsidR="00622A8C">
        <w:rPr>
          <w:rFonts w:eastAsia="Times New Roman" w:cs="Times New Roman"/>
          <w:sz w:val="24"/>
          <w:szCs w:val="24"/>
        </w:rPr>
        <w:t>,</w:t>
      </w:r>
      <w:r w:rsidRPr="00C47FB5">
        <w:rPr>
          <w:rFonts w:eastAsia="Times New Roman" w:cs="Times New Roman"/>
          <w:sz w:val="24"/>
          <w:szCs w:val="24"/>
        </w:rPr>
        <w:t xml:space="preserve"> of course, unlikely to be dissuaded from this course of action </w:t>
      </w:r>
      <w:r w:rsidR="00F764E0">
        <w:rPr>
          <w:rFonts w:eastAsia="Times New Roman" w:cs="Times New Roman"/>
          <w:sz w:val="24"/>
          <w:szCs w:val="24"/>
        </w:rPr>
        <w:t xml:space="preserve">in the future </w:t>
      </w:r>
      <w:r w:rsidR="00944F2E">
        <w:rPr>
          <w:rFonts w:eastAsia="Times New Roman" w:cs="Times New Roman"/>
          <w:sz w:val="24"/>
          <w:szCs w:val="24"/>
        </w:rPr>
        <w:t xml:space="preserve">by concerns regarding </w:t>
      </w:r>
      <w:r w:rsidRPr="00C47FB5">
        <w:rPr>
          <w:rFonts w:eastAsia="Times New Roman" w:cs="Times New Roman"/>
          <w:sz w:val="24"/>
          <w:szCs w:val="24"/>
        </w:rPr>
        <w:t xml:space="preserve">the implications of competition law for the NHS. Whilst the vision of the most recent NHS strategy document ‘Five Year Forward View’ is notable because of the lack of any mention of competition or the market </w:t>
      </w:r>
      <w:r>
        <w:rPr>
          <w:rFonts w:cstheme="minorHAnsi"/>
          <w:sz w:val="24"/>
          <w:szCs w:val="24"/>
        </w:rPr>
        <w:fldChar w:fldCharType="begin"/>
      </w:r>
      <w:r>
        <w:rPr>
          <w:rFonts w:cstheme="minorHAnsi"/>
          <w:sz w:val="24"/>
          <w:szCs w:val="24"/>
        </w:rPr>
        <w:instrText xml:space="preserve"> ADDIN EN.CITE &lt;EndNote&gt;&lt;Cite&gt;&lt;Author&gt;NHS England&lt;/Author&gt;&lt;Year&gt;2014&lt;/Year&gt;&lt;RecNum&gt;538&lt;/RecNum&gt;&lt;DisplayText&gt;(NHS England, 2014)&lt;/DisplayText&gt;&lt;record&gt;&lt;rec-number&gt;538&lt;/rec-number&gt;&lt;foreign-keys&gt;&lt;key app="EN" db-id="za50fsw09wzvx0er2t2p0d0txzrw9x59d9a5"&gt;538&lt;/key&gt;&lt;/foreign-keys&gt;&lt;ref-type name="Report"&gt;27&lt;/ref-type&gt;&lt;contributors&gt;&lt;authors&gt;&lt;author&gt;NHS England,&lt;/author&gt;&lt;/authors&gt;&lt;/contributors&gt;&lt;titles&gt;&lt;title&gt;Five Year Forward View&lt;/title&gt;&lt;/titles&gt;&lt;dates&gt;&lt;year&gt;2014&lt;/year&gt;&lt;/dates&gt;&lt;pub-location&gt;London&lt;/pub-location&gt;&lt;publisher&gt;NHS England&lt;/publisher&gt;&lt;urls&gt;&lt;/urls&gt;&lt;/record&gt;&lt;/Cite&gt;&lt;/EndNote&gt;</w:instrText>
      </w:r>
      <w:r>
        <w:rPr>
          <w:rFonts w:cstheme="minorHAnsi"/>
          <w:sz w:val="24"/>
          <w:szCs w:val="24"/>
        </w:rPr>
        <w:fldChar w:fldCharType="separate"/>
      </w:r>
      <w:r>
        <w:rPr>
          <w:rFonts w:cstheme="minorHAnsi"/>
          <w:noProof/>
          <w:sz w:val="24"/>
          <w:szCs w:val="24"/>
        </w:rPr>
        <w:t>(</w:t>
      </w:r>
      <w:hyperlink w:anchor="_ENREF_33" w:tooltip="NHS England, 2014 #538" w:history="1">
        <w:r w:rsidR="00513FB0">
          <w:rPr>
            <w:rFonts w:cstheme="minorHAnsi"/>
            <w:noProof/>
            <w:sz w:val="24"/>
            <w:szCs w:val="24"/>
          </w:rPr>
          <w:t>NHS England, 2014</w:t>
        </w:r>
      </w:hyperlink>
      <w:r>
        <w:rPr>
          <w:rFonts w:cstheme="minorHAnsi"/>
          <w:noProof/>
          <w:sz w:val="24"/>
          <w:szCs w:val="24"/>
        </w:rPr>
        <w:t>)</w:t>
      </w:r>
      <w:r>
        <w:rPr>
          <w:rFonts w:cstheme="minorHAnsi"/>
          <w:sz w:val="24"/>
          <w:szCs w:val="24"/>
        </w:rPr>
        <w:fldChar w:fldCharType="end"/>
      </w:r>
      <w:r w:rsidRPr="00C47FB5">
        <w:rPr>
          <w:rFonts w:eastAsia="Times New Roman" w:cs="Times New Roman"/>
          <w:sz w:val="24"/>
          <w:szCs w:val="24"/>
        </w:rPr>
        <w:t>, the regime introduced by HSCA 2012 cannot easily be re</w:t>
      </w:r>
      <w:r w:rsidR="00944F2E">
        <w:rPr>
          <w:rFonts w:eastAsia="Times New Roman" w:cs="Times New Roman"/>
          <w:sz w:val="24"/>
          <w:szCs w:val="24"/>
        </w:rPr>
        <w:t>versed</w:t>
      </w:r>
      <w:r w:rsidRPr="00C47FB5">
        <w:rPr>
          <w:rFonts w:eastAsia="Times New Roman" w:cs="Times New Roman"/>
          <w:sz w:val="24"/>
          <w:szCs w:val="24"/>
        </w:rPr>
        <w:t xml:space="preserve">. </w:t>
      </w:r>
      <w:r w:rsidR="00F764E0">
        <w:rPr>
          <w:rFonts w:eastAsia="Times New Roman" w:cs="Times New Roman"/>
          <w:sz w:val="24"/>
          <w:szCs w:val="24"/>
        </w:rPr>
        <w:t>The</w:t>
      </w:r>
      <w:r w:rsidRPr="00C47FB5">
        <w:rPr>
          <w:rFonts w:eastAsia="Times New Roman" w:cs="Times New Roman"/>
          <w:sz w:val="24"/>
          <w:szCs w:val="24"/>
        </w:rPr>
        <w:t xml:space="preserve"> discrepancy between the need to protect competition upheld by HSCA 2012, and the emphasis in emerging strategy on the need for local health economies to collaborate and indeed merge seems to open the door for further complaints from the independent sector, should they so wish. A further potentially interesting development, and the subject of much speculation</w:t>
      </w:r>
      <w:r w:rsidR="00E62B85">
        <w:rPr>
          <w:rFonts w:eastAsia="Times New Roman" w:cs="Times New Roman"/>
          <w:sz w:val="24"/>
          <w:szCs w:val="24"/>
        </w:rPr>
        <w:t xml:space="preserve"> </w:t>
      </w:r>
      <w:r w:rsidR="00E62B85">
        <w:rPr>
          <w:rFonts w:eastAsia="Times New Roman" w:cs="Times New Roman"/>
          <w:sz w:val="24"/>
          <w:szCs w:val="24"/>
        </w:rPr>
        <w:fldChar w:fldCharType="begin"/>
      </w:r>
      <w:r w:rsidR="00E62B85">
        <w:rPr>
          <w:rFonts w:eastAsia="Times New Roman" w:cs="Times New Roman"/>
          <w:sz w:val="24"/>
          <w:szCs w:val="24"/>
        </w:rPr>
        <w:instrText xml:space="preserve"> ADDIN EN.CITE &lt;EndNote&gt;&lt;Cite&gt;&lt;Author&gt;Reynolds&lt;/Author&gt;&lt;Year&gt;2015&lt;/Year&gt;&lt;RecNum&gt;660&lt;/RecNum&gt;&lt;DisplayText&gt;(Reynolds and McKee, 2015)&lt;/DisplayText&gt;&lt;record&gt;&lt;rec-number&gt;660&lt;/rec-number&gt;&lt;foreign-keys&gt;&lt;key app="EN" db-id="za50fsw09wzvx0er2t2p0d0txzrw9x59d9a5"&gt;660&lt;/key&gt;&lt;/foreign-keys&gt;&lt;ref-type name="Journal Article"&gt;17&lt;/ref-type&gt;&lt;contributors&gt;&lt;authors&gt;&lt;author&gt;Reynolds, L.&lt;/author&gt;&lt;author&gt;McKee, M.&lt;/author&gt;&lt;/authors&gt;&lt;/contributors&gt;&lt;titles&gt;&lt;title&gt;Is the NHS really safe from international trade agreements&lt;/title&gt;&lt;secondary-title&gt;BMJ&lt;/secondary-title&gt;&lt;/titles&gt;&lt;periodical&gt;&lt;full-title&gt;BMJ&lt;/full-title&gt;&lt;/periodical&gt;&lt;volume&gt;350&lt;/volume&gt;&lt;number&gt;h2179&lt;/number&gt;&lt;dates&gt;&lt;year&gt;2015&lt;/year&gt;&lt;/dates&gt;&lt;urls&gt;&lt;/urls&gt;&lt;/record&gt;&lt;/Cite&gt;&lt;/EndNote&gt;</w:instrText>
      </w:r>
      <w:r w:rsidR="00E62B85">
        <w:rPr>
          <w:rFonts w:eastAsia="Times New Roman" w:cs="Times New Roman"/>
          <w:sz w:val="24"/>
          <w:szCs w:val="24"/>
        </w:rPr>
        <w:fldChar w:fldCharType="separate"/>
      </w:r>
      <w:r w:rsidR="00E62B85">
        <w:rPr>
          <w:rFonts w:eastAsia="Times New Roman" w:cs="Times New Roman"/>
          <w:noProof/>
          <w:sz w:val="24"/>
          <w:szCs w:val="24"/>
        </w:rPr>
        <w:t>(</w:t>
      </w:r>
      <w:hyperlink w:anchor="_ENREF_38" w:tooltip="Reynolds, 2015 #660" w:history="1">
        <w:r w:rsidR="00513FB0">
          <w:rPr>
            <w:rFonts w:eastAsia="Times New Roman" w:cs="Times New Roman"/>
            <w:noProof/>
            <w:sz w:val="24"/>
            <w:szCs w:val="24"/>
          </w:rPr>
          <w:t>Reynolds and McKee, 2015</w:t>
        </w:r>
      </w:hyperlink>
      <w:r w:rsidR="00E62B85">
        <w:rPr>
          <w:rFonts w:eastAsia="Times New Roman" w:cs="Times New Roman"/>
          <w:noProof/>
          <w:sz w:val="24"/>
          <w:szCs w:val="24"/>
        </w:rPr>
        <w:t>)</w:t>
      </w:r>
      <w:r w:rsidR="00E62B85">
        <w:rPr>
          <w:rFonts w:eastAsia="Times New Roman" w:cs="Times New Roman"/>
          <w:sz w:val="24"/>
          <w:szCs w:val="24"/>
        </w:rPr>
        <w:fldChar w:fldCharType="end"/>
      </w:r>
      <w:r w:rsidRPr="00C47FB5">
        <w:rPr>
          <w:rFonts w:eastAsia="Times New Roman" w:cs="Times New Roman"/>
          <w:sz w:val="24"/>
          <w:szCs w:val="24"/>
        </w:rPr>
        <w:t xml:space="preserve">, is the development of the Transatlantic Trade and Investment Partnership (TTIP) which is a planned trade pact between the EU and the USA. Whilst the wording of the pact has not yet been agreed, and </w:t>
      </w:r>
      <w:r w:rsidRPr="00C47FB5">
        <w:rPr>
          <w:rFonts w:eastAsia="Times New Roman" w:cs="Times New Roman"/>
          <w:sz w:val="24"/>
          <w:szCs w:val="24"/>
        </w:rPr>
        <w:lastRenderedPageBreak/>
        <w:t xml:space="preserve">therefore its impact on NHS healthcare is not known, it is possible that the agreement will open up the NHS market to American companies, further increasing the likelihood that the NHS will be exposed to assessment in relation to competition law in the future. </w:t>
      </w:r>
    </w:p>
    <w:p w14:paraId="6DB0F6E9" w14:textId="3C3D16CE" w:rsidR="00782511" w:rsidRPr="00283045" w:rsidRDefault="00782511" w:rsidP="00283045">
      <w:pPr>
        <w:pStyle w:val="Default"/>
        <w:spacing w:line="480" w:lineRule="auto"/>
        <w:jc w:val="both"/>
        <w:rPr>
          <w:rFonts w:asciiTheme="minorHAnsi" w:hAnsiTheme="minorHAnsi" w:cstheme="minorHAnsi"/>
        </w:rPr>
      </w:pPr>
    </w:p>
    <w:p w14:paraId="27A3C6B1" w14:textId="77777777" w:rsidR="006E650B" w:rsidRPr="00283045" w:rsidRDefault="006E650B" w:rsidP="00283045">
      <w:pPr>
        <w:pStyle w:val="Default"/>
        <w:spacing w:line="480" w:lineRule="auto"/>
        <w:jc w:val="both"/>
        <w:rPr>
          <w:rFonts w:asciiTheme="minorHAnsi" w:hAnsiTheme="minorHAnsi" w:cstheme="minorHAnsi"/>
        </w:rPr>
      </w:pPr>
    </w:p>
    <w:p w14:paraId="63465CF6" w14:textId="73E0560F" w:rsidR="00FD74AA" w:rsidRPr="006E2A09" w:rsidRDefault="00FD74AA" w:rsidP="00283045">
      <w:pPr>
        <w:spacing w:line="480" w:lineRule="auto"/>
        <w:jc w:val="both"/>
        <w:rPr>
          <w:rFonts w:cstheme="minorHAnsi"/>
          <w:sz w:val="24"/>
          <w:szCs w:val="24"/>
        </w:rPr>
      </w:pPr>
    </w:p>
    <w:p w14:paraId="3DFFD2EE" w14:textId="0CBBFEBE" w:rsidR="00EB072E" w:rsidRDefault="00EB072E" w:rsidP="00283045">
      <w:pPr>
        <w:spacing w:line="480" w:lineRule="auto"/>
        <w:jc w:val="both"/>
        <w:rPr>
          <w:rFonts w:cstheme="minorHAnsi"/>
          <w:sz w:val="24"/>
          <w:szCs w:val="24"/>
        </w:rPr>
      </w:pPr>
    </w:p>
    <w:p w14:paraId="55CEE0E8" w14:textId="77777777" w:rsidR="00EF5E2A" w:rsidRPr="00283045" w:rsidRDefault="00EF5E2A" w:rsidP="00283045">
      <w:pPr>
        <w:spacing w:line="480" w:lineRule="auto"/>
        <w:jc w:val="both"/>
        <w:rPr>
          <w:rFonts w:cstheme="minorHAnsi"/>
          <w:sz w:val="24"/>
          <w:szCs w:val="24"/>
        </w:rPr>
      </w:pPr>
    </w:p>
    <w:p w14:paraId="15937D43" w14:textId="77777777" w:rsidR="00513FB0" w:rsidRPr="00513FB0" w:rsidRDefault="00F1257E" w:rsidP="00513FB0">
      <w:pPr>
        <w:pStyle w:val="EndNoteBibliography"/>
        <w:spacing w:after="0"/>
        <w:ind w:left="720" w:hanging="720"/>
      </w:pPr>
      <w:r>
        <w:rPr>
          <w:rFonts w:cstheme="minorHAnsi"/>
          <w:sz w:val="24"/>
          <w:szCs w:val="24"/>
        </w:rPr>
        <w:fldChar w:fldCharType="begin"/>
      </w:r>
      <w:r>
        <w:rPr>
          <w:rFonts w:cstheme="minorHAnsi"/>
          <w:sz w:val="24"/>
          <w:szCs w:val="24"/>
        </w:rPr>
        <w:instrText xml:space="preserve"> ADDIN EN.REFLIST </w:instrText>
      </w:r>
      <w:r>
        <w:rPr>
          <w:rFonts w:cstheme="minorHAnsi"/>
          <w:sz w:val="24"/>
          <w:szCs w:val="24"/>
        </w:rPr>
        <w:fldChar w:fldCharType="separate"/>
      </w:r>
      <w:bookmarkStart w:id="1" w:name="_ENREF_1"/>
      <w:r w:rsidR="00513FB0" w:rsidRPr="00513FB0">
        <w:t xml:space="preserve">ALLEN, P. 2013. An economic analysis of the limits of market based reforms in the English NHS. </w:t>
      </w:r>
      <w:r w:rsidR="00513FB0" w:rsidRPr="00513FB0">
        <w:rPr>
          <w:i/>
        </w:rPr>
        <w:t>BMC Health Services Research,</w:t>
      </w:r>
      <w:r w:rsidR="00513FB0" w:rsidRPr="00513FB0">
        <w:t xml:space="preserve"> 13 Supplement 1.</w:t>
      </w:r>
      <w:bookmarkEnd w:id="1"/>
    </w:p>
    <w:p w14:paraId="39466A0E" w14:textId="77777777" w:rsidR="00513FB0" w:rsidRPr="00513FB0" w:rsidRDefault="00513FB0" w:rsidP="00513FB0">
      <w:pPr>
        <w:pStyle w:val="EndNoteBibliography"/>
        <w:spacing w:after="0"/>
        <w:ind w:left="720" w:hanging="720"/>
      </w:pPr>
      <w:bookmarkStart w:id="2" w:name="_ENREF_2"/>
      <w:r w:rsidRPr="00513FB0">
        <w:t>ALLEN, P., OSIPOVIC, D., SHEPHERD, E., COLEMAN, A., PERKINS, N. &amp; GARNETT, E. 2015. Commissioning through Competition and Cooperation. Final Report to the Department of Health. London: PRUComm.</w:t>
      </w:r>
      <w:bookmarkEnd w:id="2"/>
    </w:p>
    <w:p w14:paraId="30BC894A" w14:textId="77777777" w:rsidR="00513FB0" w:rsidRPr="00513FB0" w:rsidRDefault="00513FB0" w:rsidP="00513FB0">
      <w:pPr>
        <w:pStyle w:val="EndNoteBibliography"/>
        <w:spacing w:after="0"/>
        <w:ind w:left="720" w:hanging="720"/>
      </w:pPr>
      <w:bookmarkStart w:id="3" w:name="_ENREF_3"/>
      <w:r w:rsidRPr="00513FB0">
        <w:t xml:space="preserve">BALDWIN, R. &amp; CAVE, M. 1999. </w:t>
      </w:r>
      <w:r w:rsidRPr="00513FB0">
        <w:rPr>
          <w:i/>
        </w:rPr>
        <w:t xml:space="preserve">Understanding Regulation, </w:t>
      </w:r>
      <w:r w:rsidRPr="00513FB0">
        <w:t>Oxford, Oxford University Press.</w:t>
      </w:r>
      <w:bookmarkEnd w:id="3"/>
    </w:p>
    <w:p w14:paraId="74092AE7" w14:textId="77777777" w:rsidR="00513FB0" w:rsidRPr="00513FB0" w:rsidRDefault="00513FB0" w:rsidP="00513FB0">
      <w:pPr>
        <w:pStyle w:val="EndNoteBibliography"/>
        <w:spacing w:after="0"/>
        <w:ind w:left="720" w:hanging="720"/>
      </w:pPr>
      <w:bookmarkStart w:id="4" w:name="_ENREF_4"/>
      <w:r w:rsidRPr="00513FB0">
        <w:t xml:space="preserve">BEVAN, G., SKELLERN, M. 2011. Does competition between hospitals improve clinical quality? A review of evidence from two eras of competition in the English NHS. </w:t>
      </w:r>
      <w:r w:rsidRPr="00513FB0">
        <w:rPr>
          <w:i/>
        </w:rPr>
        <w:t>British Medical Journal,</w:t>
      </w:r>
      <w:r w:rsidRPr="00513FB0">
        <w:t xml:space="preserve"> 343.</w:t>
      </w:r>
      <w:bookmarkEnd w:id="4"/>
    </w:p>
    <w:p w14:paraId="428CF101" w14:textId="77777777" w:rsidR="00513FB0" w:rsidRPr="00513FB0" w:rsidRDefault="00513FB0" w:rsidP="00513FB0">
      <w:pPr>
        <w:pStyle w:val="EndNoteBibliography"/>
        <w:spacing w:after="0"/>
        <w:ind w:left="720" w:hanging="720"/>
      </w:pPr>
      <w:bookmarkStart w:id="5" w:name="_ENREF_5"/>
      <w:r w:rsidRPr="00513FB0">
        <w:t>BMJ. 2014. Competition rules may need to be applied differently to healthcare, says Hunt. 348.</w:t>
      </w:r>
      <w:bookmarkEnd w:id="5"/>
    </w:p>
    <w:p w14:paraId="27A6EBC2" w14:textId="77777777" w:rsidR="00513FB0" w:rsidRPr="00513FB0" w:rsidRDefault="00513FB0" w:rsidP="00513FB0">
      <w:pPr>
        <w:pStyle w:val="EndNoteBibliography"/>
        <w:spacing w:after="0"/>
        <w:ind w:left="720" w:hanging="720"/>
      </w:pPr>
      <w:bookmarkStart w:id="6" w:name="_ENREF_6"/>
      <w:r w:rsidRPr="00513FB0">
        <w:t xml:space="preserve">BROADBENT, J. &amp; LAUGHLIN, R. 1997. Contracts, Competition, and Accounting in Health and Education. </w:t>
      </w:r>
      <w:r w:rsidRPr="00513FB0">
        <w:rPr>
          <w:i/>
        </w:rPr>
        <w:t>In:</w:t>
      </w:r>
      <w:r w:rsidRPr="00513FB0">
        <w:t xml:space="preserve"> DEAKIN, S. &amp; MICHIE, J. (eds.) </w:t>
      </w:r>
      <w:r w:rsidRPr="00513FB0">
        <w:rPr>
          <w:i/>
        </w:rPr>
        <w:t>Contracts, Co-operation, and Competition: Studies in Economics, Management and Law.</w:t>
      </w:r>
      <w:r w:rsidRPr="00513FB0">
        <w:t xml:space="preserve"> Oxford: Oxford University Press.</w:t>
      </w:r>
      <w:bookmarkEnd w:id="6"/>
    </w:p>
    <w:p w14:paraId="5A6160A4" w14:textId="77777777" w:rsidR="00513FB0" w:rsidRPr="00513FB0" w:rsidRDefault="00513FB0" w:rsidP="00513FB0">
      <w:pPr>
        <w:pStyle w:val="EndNoteBibliography"/>
        <w:spacing w:after="0"/>
        <w:ind w:left="720" w:hanging="720"/>
      </w:pPr>
      <w:bookmarkStart w:id="7" w:name="_ENREF_7"/>
      <w:r w:rsidRPr="00513FB0">
        <w:t xml:space="preserve">BUIGES, P. A. 2006. Competition policy versus sector-specific regulation in network industries - the EU experience. </w:t>
      </w:r>
      <w:r w:rsidRPr="00513FB0">
        <w:rPr>
          <w:i/>
        </w:rPr>
        <w:t>UNCTAD's Seventh Session of the Intergovernmental Group of Experts on Competition Law and Policy.</w:t>
      </w:r>
      <w:r w:rsidRPr="00513FB0">
        <w:t xml:space="preserve"> Geneva.</w:t>
      </w:r>
      <w:bookmarkEnd w:id="7"/>
    </w:p>
    <w:p w14:paraId="048A81C2" w14:textId="77777777" w:rsidR="00513FB0" w:rsidRPr="00513FB0" w:rsidRDefault="00513FB0" w:rsidP="00513FB0">
      <w:pPr>
        <w:pStyle w:val="EndNoteBibliography"/>
        <w:spacing w:after="0"/>
        <w:ind w:left="720" w:hanging="720"/>
      </w:pPr>
      <w:bookmarkStart w:id="8" w:name="_ENREF_8"/>
      <w:r w:rsidRPr="00513FB0">
        <w:t>COMPETITION COMMISSION 2008. Merger remedies. Competition Commission Guidelines.</w:t>
      </w:r>
      <w:bookmarkEnd w:id="8"/>
    </w:p>
    <w:p w14:paraId="2A52751E" w14:textId="77777777" w:rsidR="00513FB0" w:rsidRPr="00513FB0" w:rsidRDefault="00513FB0" w:rsidP="00513FB0">
      <w:pPr>
        <w:pStyle w:val="EndNoteBibliography"/>
        <w:spacing w:after="0"/>
        <w:ind w:left="720" w:hanging="720"/>
      </w:pPr>
      <w:bookmarkStart w:id="9" w:name="_ENREF_9"/>
      <w:r w:rsidRPr="00513FB0">
        <w:t>COMPETITION COMMISSION, OFFICE OF FAIR TRADING &amp; MONITOR 2014. Ensuring that patients' interests are at the heast of assessing public hospital mergers. Joint statement  17 October 2013.</w:t>
      </w:r>
      <w:bookmarkEnd w:id="9"/>
    </w:p>
    <w:p w14:paraId="3C169B94" w14:textId="77777777" w:rsidR="00513FB0" w:rsidRPr="00513FB0" w:rsidRDefault="00513FB0" w:rsidP="00513FB0">
      <w:pPr>
        <w:pStyle w:val="EndNoteBibliography"/>
        <w:spacing w:after="0"/>
        <w:ind w:left="720" w:hanging="720"/>
      </w:pPr>
      <w:bookmarkStart w:id="10" w:name="_ENREF_10"/>
      <w:r w:rsidRPr="00513FB0">
        <w:t>COOPERATION &amp; COMPETITION PANEL FOR NHS-FUNDED SERVICES 2009. Memorandum of understanding between the DH/Monitor and the Cooperation and Competition Panel.</w:t>
      </w:r>
      <w:bookmarkEnd w:id="10"/>
    </w:p>
    <w:p w14:paraId="2CD42CF5" w14:textId="77777777" w:rsidR="00513FB0" w:rsidRPr="00513FB0" w:rsidRDefault="00513FB0" w:rsidP="00513FB0">
      <w:pPr>
        <w:pStyle w:val="EndNoteBibliography"/>
        <w:spacing w:after="0"/>
        <w:ind w:left="720" w:hanging="720"/>
      </w:pPr>
      <w:bookmarkStart w:id="11" w:name="_ENREF_11"/>
      <w:r w:rsidRPr="00513FB0">
        <w:t>COOPERATION &amp; COMPETITION PANEL FOR NHS-FUNDED SERVICES 2010. Conduct Guidelines. London: Cooperation and Competition Panel.</w:t>
      </w:r>
      <w:bookmarkEnd w:id="11"/>
    </w:p>
    <w:p w14:paraId="252B06C1" w14:textId="77777777" w:rsidR="00513FB0" w:rsidRPr="00513FB0" w:rsidRDefault="00513FB0" w:rsidP="00513FB0">
      <w:pPr>
        <w:pStyle w:val="EndNoteBibliography"/>
        <w:spacing w:after="0"/>
        <w:ind w:left="720" w:hanging="720"/>
      </w:pPr>
      <w:bookmarkStart w:id="12" w:name="_ENREF_12"/>
      <w:r w:rsidRPr="00513FB0">
        <w:t xml:space="preserve">DAVIES, A. C. L. 2013. This Time, it's for Real: The Health and Social Care Act 2012. </w:t>
      </w:r>
      <w:r w:rsidRPr="00513FB0">
        <w:rPr>
          <w:i/>
        </w:rPr>
        <w:t>The Modern Law Review,</w:t>
      </w:r>
      <w:r w:rsidRPr="00513FB0">
        <w:t xml:space="preserve"> 76</w:t>
      </w:r>
      <w:r w:rsidRPr="00513FB0">
        <w:rPr>
          <w:b/>
        </w:rPr>
        <w:t>,</w:t>
      </w:r>
      <w:r w:rsidRPr="00513FB0">
        <w:t xml:space="preserve"> 564-588.</w:t>
      </w:r>
      <w:bookmarkEnd w:id="12"/>
    </w:p>
    <w:p w14:paraId="18C629D5" w14:textId="77777777" w:rsidR="00513FB0" w:rsidRPr="00513FB0" w:rsidRDefault="00513FB0" w:rsidP="00513FB0">
      <w:pPr>
        <w:pStyle w:val="EndNoteBibliography"/>
        <w:spacing w:after="0"/>
        <w:ind w:left="720" w:hanging="720"/>
      </w:pPr>
      <w:bookmarkStart w:id="13" w:name="_ENREF_13"/>
      <w:r w:rsidRPr="00513FB0">
        <w:lastRenderedPageBreak/>
        <w:t>DAWSON, D. 1995. Regulating Competition in the NHS: The Department of Health Guide in Mergers and Anti-Competitive Behaviour. University of York.</w:t>
      </w:r>
      <w:bookmarkEnd w:id="13"/>
    </w:p>
    <w:p w14:paraId="0BDA1B36" w14:textId="77777777" w:rsidR="00513FB0" w:rsidRPr="00513FB0" w:rsidRDefault="00513FB0" w:rsidP="00513FB0">
      <w:pPr>
        <w:pStyle w:val="EndNoteBibliography"/>
        <w:spacing w:after="0"/>
        <w:ind w:left="720" w:hanging="720"/>
      </w:pPr>
      <w:bookmarkStart w:id="14" w:name="_ENREF_14"/>
      <w:r w:rsidRPr="00513FB0">
        <w:t xml:space="preserve">DEN EXTER, A. P. &amp; GUY, M. 2014. Market competition in Health Care Markets in the Netherlands: some lessons for England? </w:t>
      </w:r>
      <w:r w:rsidRPr="00513FB0">
        <w:rPr>
          <w:i/>
        </w:rPr>
        <w:t>Medical Law Review,</w:t>
      </w:r>
      <w:r w:rsidRPr="00513FB0">
        <w:t xml:space="preserve"> 22</w:t>
      </w:r>
      <w:r w:rsidRPr="00513FB0">
        <w:rPr>
          <w:b/>
        </w:rPr>
        <w:t>,</w:t>
      </w:r>
      <w:r w:rsidRPr="00513FB0">
        <w:t xml:space="preserve"> 255-273.</w:t>
      </w:r>
      <w:bookmarkEnd w:id="14"/>
    </w:p>
    <w:p w14:paraId="7FD4A910" w14:textId="77777777" w:rsidR="00513FB0" w:rsidRPr="00513FB0" w:rsidRDefault="00513FB0" w:rsidP="00513FB0">
      <w:pPr>
        <w:pStyle w:val="EndNoteBibliography"/>
        <w:spacing w:after="0"/>
        <w:ind w:left="720" w:hanging="720"/>
      </w:pPr>
      <w:bookmarkStart w:id="15" w:name="_ENREF_15"/>
      <w:r w:rsidRPr="00513FB0">
        <w:t>DEPARTMENT OF HEALTH 1994. A Guide to the Operation of the NHS Internal Market.</w:t>
      </w:r>
      <w:bookmarkEnd w:id="15"/>
    </w:p>
    <w:p w14:paraId="3E343200" w14:textId="77777777" w:rsidR="00513FB0" w:rsidRPr="00513FB0" w:rsidRDefault="00513FB0" w:rsidP="00513FB0">
      <w:pPr>
        <w:pStyle w:val="EndNoteBibliography"/>
        <w:spacing w:after="0"/>
        <w:ind w:left="720" w:hanging="720"/>
      </w:pPr>
      <w:bookmarkStart w:id="16" w:name="_ENREF_16"/>
      <w:r w:rsidRPr="00513FB0">
        <w:t>DEPARTMENT OF HEALTH 2002a. Delivering the NHS Plan: Next Steps on Investment, Next Steps on Reform. London: Department of Health.</w:t>
      </w:r>
      <w:bookmarkEnd w:id="16"/>
    </w:p>
    <w:p w14:paraId="05EA55A9" w14:textId="77777777" w:rsidR="00513FB0" w:rsidRPr="00513FB0" w:rsidRDefault="00513FB0" w:rsidP="00513FB0">
      <w:pPr>
        <w:pStyle w:val="EndNoteBibliography"/>
        <w:spacing w:after="0"/>
        <w:ind w:left="720" w:hanging="720"/>
      </w:pPr>
      <w:bookmarkStart w:id="17" w:name="_ENREF_17"/>
      <w:r w:rsidRPr="00513FB0">
        <w:t>DEPARTMENT OF HEALTH 2010a. Equity and Excellence: Liberating the NHS. White Paper ed. London: Department of Health.</w:t>
      </w:r>
      <w:bookmarkEnd w:id="17"/>
    </w:p>
    <w:p w14:paraId="50EA4BF5" w14:textId="77777777" w:rsidR="00513FB0" w:rsidRPr="00513FB0" w:rsidRDefault="00513FB0" w:rsidP="00513FB0">
      <w:pPr>
        <w:pStyle w:val="EndNoteBibliography"/>
        <w:spacing w:after="0"/>
        <w:ind w:left="720" w:hanging="720"/>
      </w:pPr>
      <w:bookmarkStart w:id="18" w:name="_ENREF_18"/>
      <w:r w:rsidRPr="00513FB0">
        <w:t>DEPARTMENT OF HEALTH 2010b. Principles and rules for cooperation and competition (July 2010). London.</w:t>
      </w:r>
      <w:bookmarkEnd w:id="18"/>
    </w:p>
    <w:p w14:paraId="5074A586" w14:textId="6BFF5FE5" w:rsidR="00513FB0" w:rsidRPr="00513FB0" w:rsidRDefault="00513FB0" w:rsidP="00513FB0">
      <w:pPr>
        <w:pStyle w:val="EndNoteBibliography"/>
        <w:spacing w:after="0"/>
        <w:ind w:left="720" w:hanging="720"/>
      </w:pPr>
      <w:bookmarkStart w:id="19" w:name="_ENREF_19"/>
      <w:r w:rsidRPr="00513FB0">
        <w:t xml:space="preserve">HEALTH SERVICE JOURNAL. 2010. </w:t>
      </w:r>
      <w:hyperlink r:id="rId9" w:history="1">
        <w:r w:rsidRPr="00513FB0">
          <w:rPr>
            <w:rStyle w:val="Hyperlink"/>
            <w:i/>
          </w:rPr>
          <w:t>www.hsj.co.uk/disputed-branch-surgery-gets-go-ahead-from-government/5013396.article</w:t>
        </w:r>
      </w:hyperlink>
      <w:r w:rsidRPr="00513FB0">
        <w:rPr>
          <w:i/>
        </w:rPr>
        <w:t xml:space="preserve">. </w:t>
      </w:r>
      <w:r w:rsidRPr="00513FB0">
        <w:t>[Online].  [Accessed 27/08/15 2015].</w:t>
      </w:r>
      <w:bookmarkEnd w:id="19"/>
    </w:p>
    <w:p w14:paraId="6BEE8D8A" w14:textId="11BCFF40" w:rsidR="00513FB0" w:rsidRPr="00513FB0" w:rsidRDefault="00513FB0" w:rsidP="00513FB0">
      <w:pPr>
        <w:pStyle w:val="EndNoteBibliography"/>
        <w:spacing w:after="0"/>
        <w:ind w:left="720" w:hanging="720"/>
      </w:pPr>
      <w:bookmarkStart w:id="20" w:name="_ENREF_20"/>
      <w:r w:rsidRPr="00513FB0">
        <w:t xml:space="preserve">HEALTH SERVICE JOURNAL. 2013. </w:t>
      </w:r>
      <w:r w:rsidRPr="00513FB0">
        <w:rPr>
          <w:i/>
        </w:rPr>
        <w:t xml:space="preserve">Trust super merger shelved </w:t>
      </w:r>
      <w:r w:rsidRPr="00513FB0">
        <w:t xml:space="preserve">[Online]. Available: </w:t>
      </w:r>
      <w:hyperlink r:id="rId10" w:history="1">
        <w:r w:rsidRPr="00513FB0">
          <w:rPr>
            <w:rStyle w:val="Hyperlink"/>
          </w:rPr>
          <w:t>http://www.hsj.co.uk/acute-care/trust-super-merger-shelved/5066110.article</w:t>
        </w:r>
      </w:hyperlink>
      <w:r w:rsidRPr="00513FB0">
        <w:t xml:space="preserve"> [Accessed 27/08/15].</w:t>
      </w:r>
      <w:bookmarkEnd w:id="20"/>
    </w:p>
    <w:p w14:paraId="2F5D7163" w14:textId="1A98EEB4" w:rsidR="00513FB0" w:rsidRPr="00513FB0" w:rsidRDefault="00513FB0" w:rsidP="00513FB0">
      <w:pPr>
        <w:pStyle w:val="EndNoteBibliography"/>
        <w:spacing w:after="0"/>
        <w:ind w:left="720" w:hanging="720"/>
      </w:pPr>
      <w:bookmarkStart w:id="21" w:name="_ENREF_21"/>
      <w:r w:rsidRPr="00513FB0">
        <w:t xml:space="preserve">HEALTH SERVICE JOURNAL. 2014. </w:t>
      </w:r>
      <w:r w:rsidRPr="00513FB0">
        <w:rPr>
          <w:i/>
        </w:rPr>
        <w:t xml:space="preserve">Analysis: Increase in procurement and competition challenges </w:t>
      </w:r>
      <w:r w:rsidRPr="00513FB0">
        <w:t xml:space="preserve">[Online]. Available: </w:t>
      </w:r>
      <w:hyperlink r:id="rId11" w:history="1">
        <w:r w:rsidRPr="00513FB0">
          <w:rPr>
            <w:rStyle w:val="Hyperlink"/>
          </w:rPr>
          <w:t>www.hsj.co.uk/commissioning/analysis-increase-in-procurement-and-competition-challenges/5068560.article</w:t>
        </w:r>
      </w:hyperlink>
      <w:r w:rsidRPr="00513FB0">
        <w:t xml:space="preserve"> [Accessed 27/08/15 ].</w:t>
      </w:r>
      <w:bookmarkEnd w:id="21"/>
    </w:p>
    <w:p w14:paraId="0ACE4A38" w14:textId="77777777" w:rsidR="00513FB0" w:rsidRPr="00513FB0" w:rsidRDefault="00513FB0" w:rsidP="00513FB0">
      <w:pPr>
        <w:pStyle w:val="EndNoteBibliography"/>
        <w:spacing w:after="0"/>
        <w:ind w:left="720" w:hanging="720"/>
      </w:pPr>
      <w:bookmarkStart w:id="22" w:name="_ENREF_22"/>
      <w:r w:rsidRPr="00513FB0">
        <w:t>HOUSE OF COMMONS HEALTH COMMITTEE 2014. Public Expenditure on Health and Social Care.</w:t>
      </w:r>
      <w:bookmarkEnd w:id="22"/>
    </w:p>
    <w:p w14:paraId="1E4F27C4" w14:textId="77777777" w:rsidR="00513FB0" w:rsidRPr="00513FB0" w:rsidRDefault="00513FB0" w:rsidP="00513FB0">
      <w:pPr>
        <w:pStyle w:val="EndNoteBibliography"/>
        <w:spacing w:after="0"/>
        <w:ind w:left="720" w:hanging="720"/>
      </w:pPr>
      <w:bookmarkStart w:id="23" w:name="_ENREF_23"/>
      <w:r w:rsidRPr="00513FB0">
        <w:t xml:space="preserve">HOWE, E. 2012. </w:t>
      </w:r>
      <w:r w:rsidRPr="00513FB0">
        <w:rPr>
          <w:i/>
        </w:rPr>
        <w:t>RE: Letter from Earl Howe to Maureen Donnelly MArch 2012.</w:t>
      </w:r>
      <w:r w:rsidRPr="00513FB0">
        <w:t xml:space="preserve"> Type to PETERBOROUGH, N. C. A.</w:t>
      </w:r>
      <w:bookmarkEnd w:id="23"/>
    </w:p>
    <w:p w14:paraId="105647FE" w14:textId="77777777" w:rsidR="00513FB0" w:rsidRPr="00513FB0" w:rsidRDefault="00513FB0" w:rsidP="00513FB0">
      <w:pPr>
        <w:pStyle w:val="EndNoteBibliography"/>
        <w:spacing w:after="0"/>
        <w:ind w:left="720" w:hanging="720"/>
      </w:pPr>
      <w:bookmarkStart w:id="24" w:name="_ENREF_24"/>
      <w:r w:rsidRPr="00513FB0">
        <w:t>HUDSON, B. 2013. Competition and Collaboration in the 'new NHS'. Centre for Health and the Public Interest.</w:t>
      </w:r>
      <w:bookmarkEnd w:id="24"/>
    </w:p>
    <w:p w14:paraId="7FF32ADD" w14:textId="77777777" w:rsidR="00513FB0" w:rsidRPr="00513FB0" w:rsidRDefault="00513FB0" w:rsidP="00513FB0">
      <w:pPr>
        <w:pStyle w:val="EndNoteBibliography"/>
        <w:spacing w:after="0"/>
        <w:ind w:left="720" w:hanging="720"/>
      </w:pPr>
      <w:bookmarkStart w:id="25" w:name="_ENREF_25"/>
      <w:r w:rsidRPr="00513FB0">
        <w:t>JONES, L. &amp; MAYS, N. 2009. Systematic review of the impact of patient choice of provider in the English NHS. London: London School of Hygiene and Tropical Medicine.</w:t>
      </w:r>
      <w:bookmarkEnd w:id="25"/>
    </w:p>
    <w:p w14:paraId="15CAB906" w14:textId="77777777" w:rsidR="00513FB0" w:rsidRPr="00513FB0" w:rsidRDefault="00513FB0" w:rsidP="00513FB0">
      <w:pPr>
        <w:pStyle w:val="EndNoteBibliography"/>
        <w:spacing w:after="0"/>
        <w:ind w:left="720" w:hanging="720"/>
      </w:pPr>
      <w:bookmarkStart w:id="26" w:name="_ENREF_26"/>
      <w:r w:rsidRPr="00513FB0">
        <w:t xml:space="preserve">LEAR, J., MOSSIALOS, E. &amp; KARL, B. 2010. EU competition law and health policy. </w:t>
      </w:r>
      <w:r w:rsidRPr="00513FB0">
        <w:rPr>
          <w:i/>
        </w:rPr>
        <w:t>In:</w:t>
      </w:r>
      <w:r w:rsidRPr="00513FB0">
        <w:t xml:space="preserve"> MOSSIALOS, E., PERMANAND, G., BAETEN, R. &amp; HERVEY, T. (eds.) </w:t>
      </w:r>
      <w:r w:rsidRPr="00513FB0">
        <w:rPr>
          <w:i/>
        </w:rPr>
        <w:t>Health Systems Governance in Europe: The Role of European Union Law and Policy.</w:t>
      </w:r>
      <w:r w:rsidRPr="00513FB0">
        <w:t xml:space="preserve"> Cambridge: Cambridge University Press.</w:t>
      </w:r>
      <w:bookmarkEnd w:id="26"/>
    </w:p>
    <w:p w14:paraId="41141A23" w14:textId="77777777" w:rsidR="00513FB0" w:rsidRPr="00513FB0" w:rsidRDefault="00513FB0" w:rsidP="00513FB0">
      <w:pPr>
        <w:pStyle w:val="EndNoteBibliography"/>
        <w:spacing w:after="0"/>
        <w:ind w:left="720" w:hanging="720"/>
      </w:pPr>
      <w:bookmarkStart w:id="27" w:name="_ENREF_27"/>
      <w:r w:rsidRPr="00513FB0">
        <w:t xml:space="preserve">MAYS, N., DIXON, A. &amp; JONES, L. (eds.) 2011. </w:t>
      </w:r>
      <w:r w:rsidRPr="00513FB0">
        <w:rPr>
          <w:i/>
        </w:rPr>
        <w:t xml:space="preserve">Understanding New Labour's market reforms of the English NHS, </w:t>
      </w:r>
      <w:r w:rsidRPr="00513FB0">
        <w:t>London: The King's Fund.</w:t>
      </w:r>
      <w:bookmarkEnd w:id="27"/>
    </w:p>
    <w:p w14:paraId="2C67485C" w14:textId="77777777" w:rsidR="00513FB0" w:rsidRPr="00513FB0" w:rsidRDefault="00513FB0" w:rsidP="00513FB0">
      <w:pPr>
        <w:pStyle w:val="EndNoteBibliography"/>
        <w:spacing w:after="0"/>
        <w:ind w:left="720" w:hanging="720"/>
      </w:pPr>
      <w:bookmarkStart w:id="28" w:name="_ENREF_28"/>
      <w:r w:rsidRPr="00513FB0">
        <w:t>MONITOR 2011. Minutes of a Special Meeting of the Monitor Board (11 October 2011).</w:t>
      </w:r>
      <w:bookmarkEnd w:id="28"/>
    </w:p>
    <w:p w14:paraId="389B1009" w14:textId="77777777" w:rsidR="00513FB0" w:rsidRPr="00513FB0" w:rsidRDefault="00513FB0" w:rsidP="00513FB0">
      <w:pPr>
        <w:pStyle w:val="EndNoteBibliography"/>
        <w:spacing w:after="0"/>
        <w:ind w:left="720" w:hanging="720"/>
      </w:pPr>
      <w:bookmarkStart w:id="29" w:name="_ENREF_29"/>
      <w:r w:rsidRPr="00513FB0">
        <w:t>MONITOR 2013. The New NHS Provider Licence. London.</w:t>
      </w:r>
      <w:bookmarkEnd w:id="29"/>
    </w:p>
    <w:p w14:paraId="1188481D" w14:textId="7A2FC5C9" w:rsidR="00513FB0" w:rsidRPr="00513FB0" w:rsidRDefault="00513FB0" w:rsidP="00513FB0">
      <w:pPr>
        <w:pStyle w:val="EndNoteBibliography"/>
        <w:spacing w:after="0"/>
        <w:ind w:left="720" w:hanging="720"/>
        <w:jc w:val="left"/>
      </w:pPr>
      <w:bookmarkStart w:id="30" w:name="_ENREF_30"/>
      <w:r w:rsidRPr="00513FB0">
        <w:t xml:space="preserve">MONITOR. 2014a. </w:t>
      </w:r>
      <w:r w:rsidRPr="00513FB0">
        <w:rPr>
          <w:i/>
        </w:rPr>
        <w:t xml:space="preserve">Letter from Monitor to all NHS Trusts and Foundation Trusts: Arrangements to support NHS foundation trusts contemplating mergers. 24 January 2014 </w:t>
      </w:r>
      <w:r w:rsidRPr="00513FB0">
        <w:t>[Online]. Available: https://</w:t>
      </w:r>
      <w:hyperlink r:id="rId12" w:history="1">
        <w:r w:rsidRPr="00513FB0">
          <w:rPr>
            <w:rStyle w:val="Hyperlink"/>
          </w:rPr>
          <w:t>www.gov.uk/government/uploads/system/uploads/attachment_data/file/288918/Letter_from_David_Bennett_on_mergers_24_January_2014.pdf</w:t>
        </w:r>
      </w:hyperlink>
      <w:r w:rsidRPr="00513FB0">
        <w:t xml:space="preserve"> </w:t>
      </w:r>
      <w:bookmarkEnd w:id="30"/>
      <w:r>
        <w:t>.</w:t>
      </w:r>
      <w:r w:rsidRPr="00513FB0">
        <w:t xml:space="preserve"> </w:t>
      </w:r>
      <w:r>
        <w:t>[Accessed 27/08/15</w:t>
      </w:r>
      <w:r w:rsidRPr="00513FB0">
        <w:t>]</w:t>
      </w:r>
    </w:p>
    <w:p w14:paraId="10579277" w14:textId="77777777" w:rsidR="00513FB0" w:rsidRPr="00513FB0" w:rsidRDefault="00513FB0" w:rsidP="00513FB0">
      <w:pPr>
        <w:pStyle w:val="EndNoteBibliography"/>
        <w:spacing w:after="0"/>
        <w:ind w:left="720" w:hanging="720"/>
      </w:pPr>
      <w:bookmarkStart w:id="31" w:name="_ENREF_31"/>
      <w:r w:rsidRPr="00513FB0">
        <w:t>MONITOR 2014b. Our new approach to transactions: consultation responses and next steps.</w:t>
      </w:r>
      <w:bookmarkEnd w:id="31"/>
    </w:p>
    <w:p w14:paraId="2DDFE179" w14:textId="77777777" w:rsidR="00513FB0" w:rsidRPr="00513FB0" w:rsidRDefault="00513FB0" w:rsidP="00513FB0">
      <w:pPr>
        <w:pStyle w:val="EndNoteBibliography"/>
        <w:spacing w:after="0"/>
        <w:ind w:left="720" w:hanging="720"/>
      </w:pPr>
      <w:bookmarkStart w:id="32" w:name="_ENREF_32"/>
      <w:r w:rsidRPr="00513FB0">
        <w:t>MONITOR &amp; COMPETITION AND MARKETS AUTHORITY 2015. Competition review of NHS mergers. A short guide for managers of NHS providers. London: Monitor.</w:t>
      </w:r>
      <w:bookmarkEnd w:id="32"/>
    </w:p>
    <w:p w14:paraId="3B2040F4" w14:textId="77777777" w:rsidR="00513FB0" w:rsidRPr="00513FB0" w:rsidRDefault="00513FB0" w:rsidP="00513FB0">
      <w:pPr>
        <w:pStyle w:val="EndNoteBibliography"/>
        <w:spacing w:after="0"/>
        <w:ind w:left="720" w:hanging="720"/>
      </w:pPr>
      <w:bookmarkStart w:id="33" w:name="_ENREF_33"/>
      <w:r w:rsidRPr="00513FB0">
        <w:t>NHS ENGLAND 2014. Five Year Forward View. London: NHS England.</w:t>
      </w:r>
      <w:bookmarkEnd w:id="33"/>
    </w:p>
    <w:p w14:paraId="038466B4" w14:textId="77777777" w:rsidR="00513FB0" w:rsidRPr="00513FB0" w:rsidRDefault="00513FB0" w:rsidP="00513FB0">
      <w:pPr>
        <w:pStyle w:val="EndNoteBibliography"/>
        <w:spacing w:after="0"/>
        <w:ind w:left="720" w:hanging="720"/>
      </w:pPr>
      <w:bookmarkStart w:id="34" w:name="_ENREF_34"/>
      <w:r w:rsidRPr="00513FB0">
        <w:t xml:space="preserve">ODUDU, O. 2011. Are state-owned health-care providers undertakings subject to competition law? </w:t>
      </w:r>
      <w:r w:rsidRPr="00513FB0">
        <w:rPr>
          <w:i/>
        </w:rPr>
        <w:t>ECLR,</w:t>
      </w:r>
      <w:r w:rsidRPr="00513FB0">
        <w:t xml:space="preserve"> 32</w:t>
      </w:r>
      <w:r w:rsidRPr="00513FB0">
        <w:rPr>
          <w:b/>
        </w:rPr>
        <w:t>,</w:t>
      </w:r>
      <w:r w:rsidRPr="00513FB0">
        <w:t xml:space="preserve"> 231-241.</w:t>
      </w:r>
      <w:bookmarkEnd w:id="34"/>
    </w:p>
    <w:p w14:paraId="7695BD02" w14:textId="77777777" w:rsidR="00513FB0" w:rsidRPr="00513FB0" w:rsidRDefault="00513FB0" w:rsidP="00513FB0">
      <w:pPr>
        <w:pStyle w:val="EndNoteBibliography"/>
        <w:spacing w:after="0"/>
        <w:ind w:left="720" w:hanging="720"/>
      </w:pPr>
      <w:bookmarkStart w:id="35" w:name="_ENREF_35"/>
      <w:r w:rsidRPr="00513FB0">
        <w:t>OFFICE OF FAIR TRADING 2011. Public bodies and competition law - a guide to the application of the Competition Act 1998. London.</w:t>
      </w:r>
      <w:bookmarkEnd w:id="35"/>
    </w:p>
    <w:p w14:paraId="48FC74C5" w14:textId="77777777" w:rsidR="00513FB0" w:rsidRPr="00513FB0" w:rsidRDefault="00513FB0" w:rsidP="00513FB0">
      <w:pPr>
        <w:pStyle w:val="EndNoteBibliography"/>
        <w:spacing w:after="0"/>
        <w:ind w:left="720" w:hanging="720"/>
      </w:pPr>
      <w:bookmarkStart w:id="36" w:name="_ENREF_36"/>
      <w:r w:rsidRPr="00513FB0">
        <w:t>OFFICE OF FAIR TRADING 2014. Competing on quality - literature review. London: Office of Fair Trading.</w:t>
      </w:r>
      <w:bookmarkEnd w:id="36"/>
    </w:p>
    <w:p w14:paraId="0227DF6B" w14:textId="77777777" w:rsidR="00513FB0" w:rsidRPr="00513FB0" w:rsidRDefault="00513FB0" w:rsidP="00513FB0">
      <w:pPr>
        <w:pStyle w:val="EndNoteBibliography"/>
        <w:spacing w:after="0"/>
        <w:ind w:left="720" w:hanging="720"/>
      </w:pPr>
      <w:bookmarkStart w:id="37" w:name="_ENREF_37"/>
      <w:r w:rsidRPr="00513FB0">
        <w:lastRenderedPageBreak/>
        <w:t xml:space="preserve">OLSEN, J. A. 2009. </w:t>
      </w:r>
      <w:r w:rsidRPr="00513FB0">
        <w:rPr>
          <w:i/>
        </w:rPr>
        <w:t xml:space="preserve">Principles in Health Economics and Policy, </w:t>
      </w:r>
      <w:r w:rsidRPr="00513FB0">
        <w:t>Oxford, Oxford University Press.</w:t>
      </w:r>
      <w:bookmarkEnd w:id="37"/>
    </w:p>
    <w:p w14:paraId="3B943D4C" w14:textId="77777777" w:rsidR="00513FB0" w:rsidRPr="00513FB0" w:rsidRDefault="00513FB0" w:rsidP="00513FB0">
      <w:pPr>
        <w:pStyle w:val="EndNoteBibliography"/>
        <w:spacing w:after="0"/>
        <w:ind w:left="720" w:hanging="720"/>
      </w:pPr>
      <w:bookmarkStart w:id="38" w:name="_ENREF_38"/>
      <w:r w:rsidRPr="00513FB0">
        <w:t xml:space="preserve">REYNOLDS, L. &amp; MCKEE, M. 2015. Is the NHS really safe from international trade agreements. </w:t>
      </w:r>
      <w:r w:rsidRPr="00513FB0">
        <w:rPr>
          <w:i/>
        </w:rPr>
        <w:t>BMJ,</w:t>
      </w:r>
      <w:r w:rsidRPr="00513FB0">
        <w:t xml:space="preserve"> 350.</w:t>
      </w:r>
      <w:bookmarkEnd w:id="38"/>
    </w:p>
    <w:p w14:paraId="37E97EE8" w14:textId="77777777" w:rsidR="00513FB0" w:rsidRPr="00513FB0" w:rsidRDefault="00513FB0" w:rsidP="00513FB0">
      <w:pPr>
        <w:pStyle w:val="EndNoteBibliography"/>
        <w:spacing w:after="0"/>
        <w:ind w:left="720" w:hanging="720"/>
      </w:pPr>
      <w:bookmarkStart w:id="39" w:name="_ENREF_39"/>
      <w:r w:rsidRPr="00513FB0">
        <w:t>SECRETARY OF STATE FOR HEALTH March 2012. Letter from Secretary of State for Health to Professor M Spyer, Chair of NHS London.</w:t>
      </w:r>
      <w:bookmarkEnd w:id="39"/>
    </w:p>
    <w:p w14:paraId="4C462CD5" w14:textId="77777777" w:rsidR="00513FB0" w:rsidRPr="00513FB0" w:rsidRDefault="00513FB0" w:rsidP="00513FB0">
      <w:pPr>
        <w:pStyle w:val="EndNoteBibliography"/>
        <w:spacing w:after="0"/>
        <w:ind w:left="720" w:hanging="720"/>
      </w:pPr>
      <w:bookmarkStart w:id="40" w:name="_ENREF_40"/>
      <w:r w:rsidRPr="00513FB0">
        <w:t>SPENCELAYH, E. &amp; DIXON, J. 2014. Mergers in the NHS: lessons from the decision to block the propsed merger of hospitals in Bournemouth and Poole. London: The Health Foundation.</w:t>
      </w:r>
      <w:bookmarkEnd w:id="40"/>
    </w:p>
    <w:p w14:paraId="2664A4EC" w14:textId="77777777" w:rsidR="00513FB0" w:rsidRPr="00513FB0" w:rsidRDefault="00513FB0" w:rsidP="00513FB0">
      <w:pPr>
        <w:pStyle w:val="EndNoteBibliography"/>
        <w:spacing w:after="0"/>
        <w:ind w:left="720" w:hanging="720"/>
      </w:pPr>
      <w:bookmarkStart w:id="41" w:name="_ENREF_41"/>
      <w:r w:rsidRPr="00513FB0">
        <w:t xml:space="preserve">STIRTON, L. 2014. Back to the Future? Lessons on the pro-competitive regulation of health services. </w:t>
      </w:r>
      <w:r w:rsidRPr="00513FB0">
        <w:rPr>
          <w:i/>
        </w:rPr>
        <w:t>Medical Law Review,</w:t>
      </w:r>
      <w:r w:rsidRPr="00513FB0">
        <w:t xml:space="preserve"> 22</w:t>
      </w:r>
      <w:r w:rsidRPr="00513FB0">
        <w:rPr>
          <w:b/>
        </w:rPr>
        <w:t>,</w:t>
      </w:r>
      <w:r w:rsidRPr="00513FB0">
        <w:t xml:space="preserve"> 180-199.</w:t>
      </w:r>
      <w:bookmarkEnd w:id="41"/>
    </w:p>
    <w:p w14:paraId="35FD48B7" w14:textId="77777777" w:rsidR="00513FB0" w:rsidRPr="00513FB0" w:rsidRDefault="00513FB0" w:rsidP="00513FB0">
      <w:pPr>
        <w:pStyle w:val="EndNoteBibliography"/>
        <w:spacing w:after="0"/>
        <w:ind w:left="720" w:hanging="720"/>
      </w:pPr>
      <w:bookmarkStart w:id="42" w:name="_ENREF_42"/>
      <w:r w:rsidRPr="00513FB0">
        <w:t>TIMMINS, N. 2012. Never again? The story of the Health and Social Care Act 2012. London: The King's Fund and Institute for Government.</w:t>
      </w:r>
      <w:bookmarkEnd w:id="42"/>
    </w:p>
    <w:p w14:paraId="08FC8151" w14:textId="77777777" w:rsidR="00513FB0" w:rsidRPr="00513FB0" w:rsidRDefault="00513FB0" w:rsidP="00513FB0">
      <w:pPr>
        <w:pStyle w:val="EndNoteBibliography"/>
        <w:ind w:left="720" w:hanging="720"/>
      </w:pPr>
      <w:bookmarkStart w:id="43" w:name="_ENREF_43"/>
      <w:r w:rsidRPr="00513FB0">
        <w:t xml:space="preserve">TOYNBEE, P. 2013. Competition is killing the NHS, for no good reason but ideology. </w:t>
      </w:r>
      <w:r w:rsidRPr="00513FB0">
        <w:rPr>
          <w:i/>
        </w:rPr>
        <w:t>The Guardian</w:t>
      </w:r>
      <w:r w:rsidRPr="00513FB0">
        <w:t>.</w:t>
      </w:r>
      <w:bookmarkEnd w:id="43"/>
    </w:p>
    <w:p w14:paraId="472FA1FA" w14:textId="50DB5298" w:rsidR="00EF5E2A" w:rsidRDefault="00F1257E" w:rsidP="00283045">
      <w:pPr>
        <w:spacing w:line="480" w:lineRule="auto"/>
        <w:jc w:val="both"/>
        <w:rPr>
          <w:rFonts w:cstheme="minorHAnsi"/>
          <w:sz w:val="24"/>
          <w:szCs w:val="24"/>
        </w:rPr>
      </w:pPr>
      <w:r>
        <w:rPr>
          <w:rFonts w:cstheme="minorHAnsi"/>
          <w:sz w:val="24"/>
          <w:szCs w:val="24"/>
        </w:rPr>
        <w:fldChar w:fldCharType="end"/>
      </w:r>
    </w:p>
    <w:p w14:paraId="76059C36" w14:textId="77777777" w:rsidR="00A97289" w:rsidRDefault="00A97289" w:rsidP="00283045">
      <w:pPr>
        <w:spacing w:line="480" w:lineRule="auto"/>
        <w:jc w:val="both"/>
        <w:rPr>
          <w:rFonts w:cstheme="minorHAnsi"/>
          <w:sz w:val="24"/>
          <w:szCs w:val="24"/>
        </w:rPr>
      </w:pPr>
    </w:p>
    <w:p w14:paraId="73DC533C" w14:textId="77777777" w:rsidR="007266F2" w:rsidRDefault="00A97289" w:rsidP="007266F2">
      <w:pPr>
        <w:rPr>
          <w:sz w:val="20"/>
          <w:szCs w:val="20"/>
        </w:rPr>
      </w:pPr>
      <w:r>
        <w:rPr>
          <w:rFonts w:cstheme="minorHAnsi"/>
          <w:sz w:val="24"/>
          <w:szCs w:val="24"/>
        </w:rPr>
        <w:br w:type="page"/>
      </w:r>
      <w:r w:rsidR="007266F2">
        <w:rPr>
          <w:sz w:val="20"/>
          <w:szCs w:val="20"/>
        </w:rPr>
        <w:lastRenderedPageBreak/>
        <w:t>TABLE 1</w:t>
      </w:r>
    </w:p>
    <w:p w14:paraId="66722AEB" w14:textId="77777777" w:rsidR="007266F2" w:rsidRDefault="007266F2" w:rsidP="007266F2">
      <w:pPr>
        <w:rPr>
          <w:sz w:val="20"/>
          <w:szCs w:val="20"/>
        </w:rPr>
      </w:pPr>
      <w:r>
        <w:rPr>
          <w:sz w:val="20"/>
          <w:szCs w:val="20"/>
        </w:rPr>
        <w:t>Competition rules and enforcing bodies (January 2009 – August 2015)</w:t>
      </w:r>
    </w:p>
    <w:tbl>
      <w:tblPr>
        <w:tblStyle w:val="TableGrid"/>
        <w:tblW w:w="9776" w:type="dxa"/>
        <w:tblLook w:val="04A0" w:firstRow="1" w:lastRow="0" w:firstColumn="1" w:lastColumn="0" w:noHBand="0" w:noVBand="1"/>
      </w:tblPr>
      <w:tblGrid>
        <w:gridCol w:w="1658"/>
        <w:gridCol w:w="1337"/>
        <w:gridCol w:w="1571"/>
        <w:gridCol w:w="625"/>
        <w:gridCol w:w="756"/>
        <w:gridCol w:w="622"/>
        <w:gridCol w:w="735"/>
        <w:gridCol w:w="346"/>
        <w:gridCol w:w="476"/>
        <w:gridCol w:w="233"/>
        <w:gridCol w:w="389"/>
        <w:gridCol w:w="1028"/>
      </w:tblGrid>
      <w:tr w:rsidR="007266F2" w14:paraId="303C7743" w14:textId="77777777" w:rsidTr="007266F2">
        <w:tc>
          <w:tcPr>
            <w:tcW w:w="1658" w:type="dxa"/>
            <w:vMerge w:val="restart"/>
            <w:tcBorders>
              <w:top w:val="single" w:sz="4" w:space="0" w:color="auto"/>
              <w:left w:val="single" w:sz="4" w:space="0" w:color="auto"/>
              <w:bottom w:val="single" w:sz="4" w:space="0" w:color="auto"/>
              <w:right w:val="single" w:sz="4" w:space="0" w:color="auto"/>
            </w:tcBorders>
            <w:hideMark/>
          </w:tcPr>
          <w:p w14:paraId="44E5589B" w14:textId="77777777" w:rsidR="007266F2" w:rsidRDefault="007266F2">
            <w:pPr>
              <w:rPr>
                <w:b/>
                <w:sz w:val="20"/>
                <w:szCs w:val="20"/>
              </w:rPr>
            </w:pPr>
            <w:r>
              <w:rPr>
                <w:b/>
                <w:sz w:val="20"/>
                <w:szCs w:val="20"/>
              </w:rPr>
              <w:t>Rules</w:t>
            </w:r>
          </w:p>
        </w:tc>
        <w:tc>
          <w:tcPr>
            <w:tcW w:w="1337" w:type="dxa"/>
            <w:vMerge w:val="restart"/>
            <w:tcBorders>
              <w:top w:val="single" w:sz="4" w:space="0" w:color="auto"/>
              <w:left w:val="single" w:sz="4" w:space="0" w:color="auto"/>
              <w:bottom w:val="single" w:sz="4" w:space="0" w:color="auto"/>
              <w:right w:val="single" w:sz="4" w:space="0" w:color="auto"/>
            </w:tcBorders>
            <w:hideMark/>
          </w:tcPr>
          <w:p w14:paraId="2D8506FB" w14:textId="77777777" w:rsidR="007266F2" w:rsidRDefault="007266F2">
            <w:pPr>
              <w:rPr>
                <w:b/>
                <w:sz w:val="20"/>
                <w:szCs w:val="20"/>
              </w:rPr>
            </w:pPr>
            <w:r>
              <w:rPr>
                <w:b/>
                <w:sz w:val="20"/>
                <w:szCs w:val="20"/>
              </w:rPr>
              <w:t>Status</w:t>
            </w:r>
          </w:p>
        </w:tc>
        <w:tc>
          <w:tcPr>
            <w:tcW w:w="1571" w:type="dxa"/>
            <w:vMerge w:val="restart"/>
            <w:tcBorders>
              <w:top w:val="single" w:sz="4" w:space="0" w:color="auto"/>
              <w:left w:val="single" w:sz="4" w:space="0" w:color="auto"/>
              <w:bottom w:val="single" w:sz="4" w:space="0" w:color="auto"/>
              <w:right w:val="single" w:sz="4" w:space="0" w:color="auto"/>
            </w:tcBorders>
            <w:hideMark/>
          </w:tcPr>
          <w:p w14:paraId="63698866" w14:textId="77777777" w:rsidR="007266F2" w:rsidRDefault="007266F2">
            <w:pPr>
              <w:rPr>
                <w:b/>
                <w:sz w:val="20"/>
                <w:szCs w:val="20"/>
              </w:rPr>
            </w:pPr>
            <w:r>
              <w:rPr>
                <w:b/>
                <w:sz w:val="20"/>
                <w:szCs w:val="20"/>
              </w:rPr>
              <w:t>Applicability</w:t>
            </w:r>
          </w:p>
        </w:tc>
        <w:tc>
          <w:tcPr>
            <w:tcW w:w="5210" w:type="dxa"/>
            <w:gridSpan w:val="9"/>
            <w:tcBorders>
              <w:top w:val="single" w:sz="4" w:space="0" w:color="auto"/>
              <w:left w:val="single" w:sz="4" w:space="0" w:color="auto"/>
              <w:bottom w:val="single" w:sz="4" w:space="0" w:color="auto"/>
              <w:right w:val="single" w:sz="4" w:space="0" w:color="auto"/>
            </w:tcBorders>
          </w:tcPr>
          <w:p w14:paraId="62A29A41" w14:textId="77777777" w:rsidR="007266F2" w:rsidRDefault="007266F2">
            <w:pPr>
              <w:rPr>
                <w:b/>
                <w:sz w:val="20"/>
                <w:szCs w:val="20"/>
              </w:rPr>
            </w:pPr>
            <w:r>
              <w:rPr>
                <w:b/>
                <w:sz w:val="20"/>
                <w:szCs w:val="20"/>
              </w:rPr>
              <w:t>Enforcing body</w:t>
            </w:r>
          </w:p>
          <w:p w14:paraId="13048A5B" w14:textId="77777777" w:rsidR="007266F2" w:rsidRDefault="007266F2">
            <w:pPr>
              <w:rPr>
                <w:b/>
                <w:sz w:val="20"/>
                <w:szCs w:val="20"/>
              </w:rPr>
            </w:pPr>
          </w:p>
        </w:tc>
      </w:tr>
      <w:tr w:rsidR="007266F2" w14:paraId="682D33C1" w14:textId="77777777" w:rsidTr="007266F2">
        <w:tc>
          <w:tcPr>
            <w:tcW w:w="0" w:type="auto"/>
            <w:vMerge/>
            <w:tcBorders>
              <w:top w:val="single" w:sz="4" w:space="0" w:color="auto"/>
              <w:left w:val="single" w:sz="4" w:space="0" w:color="auto"/>
              <w:bottom w:val="single" w:sz="4" w:space="0" w:color="auto"/>
              <w:right w:val="single" w:sz="4" w:space="0" w:color="auto"/>
            </w:tcBorders>
            <w:vAlign w:val="center"/>
            <w:hideMark/>
          </w:tcPr>
          <w:p w14:paraId="1AB813A4" w14:textId="77777777" w:rsidR="007266F2" w:rsidRDefault="007266F2">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64D4D" w14:textId="77777777" w:rsidR="007266F2" w:rsidRDefault="007266F2">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04AD5" w14:textId="77777777" w:rsidR="007266F2" w:rsidRDefault="007266F2">
            <w:pPr>
              <w:rPr>
                <w:b/>
                <w:sz w:val="20"/>
                <w:szCs w:val="20"/>
              </w:rPr>
            </w:pPr>
          </w:p>
        </w:tc>
        <w:tc>
          <w:tcPr>
            <w:tcW w:w="625" w:type="dxa"/>
            <w:tcBorders>
              <w:top w:val="single" w:sz="4" w:space="0" w:color="auto"/>
              <w:left w:val="single" w:sz="4" w:space="0" w:color="auto"/>
              <w:bottom w:val="single" w:sz="4" w:space="0" w:color="auto"/>
              <w:right w:val="single" w:sz="4" w:space="0" w:color="auto"/>
            </w:tcBorders>
            <w:hideMark/>
          </w:tcPr>
          <w:p w14:paraId="13238847" w14:textId="77777777" w:rsidR="007266F2" w:rsidRDefault="007266F2">
            <w:pPr>
              <w:rPr>
                <w:b/>
                <w:sz w:val="20"/>
                <w:szCs w:val="20"/>
              </w:rPr>
            </w:pPr>
            <w:r>
              <w:rPr>
                <w:b/>
                <w:sz w:val="20"/>
                <w:szCs w:val="20"/>
              </w:rPr>
              <w:t>2009</w:t>
            </w:r>
          </w:p>
        </w:tc>
        <w:tc>
          <w:tcPr>
            <w:tcW w:w="756" w:type="dxa"/>
            <w:tcBorders>
              <w:top w:val="single" w:sz="4" w:space="0" w:color="auto"/>
              <w:left w:val="single" w:sz="4" w:space="0" w:color="auto"/>
              <w:bottom w:val="single" w:sz="4" w:space="0" w:color="auto"/>
              <w:right w:val="single" w:sz="4" w:space="0" w:color="auto"/>
            </w:tcBorders>
            <w:hideMark/>
          </w:tcPr>
          <w:p w14:paraId="552FB66D" w14:textId="77777777" w:rsidR="007266F2" w:rsidRDefault="007266F2">
            <w:pPr>
              <w:rPr>
                <w:b/>
                <w:sz w:val="20"/>
                <w:szCs w:val="20"/>
              </w:rPr>
            </w:pPr>
            <w:r>
              <w:rPr>
                <w:b/>
                <w:sz w:val="20"/>
                <w:szCs w:val="20"/>
              </w:rPr>
              <w:t>2010</w:t>
            </w:r>
          </w:p>
        </w:tc>
        <w:tc>
          <w:tcPr>
            <w:tcW w:w="622" w:type="dxa"/>
            <w:tcBorders>
              <w:top w:val="single" w:sz="4" w:space="0" w:color="auto"/>
              <w:left w:val="single" w:sz="4" w:space="0" w:color="auto"/>
              <w:bottom w:val="single" w:sz="4" w:space="0" w:color="auto"/>
              <w:right w:val="single" w:sz="4" w:space="0" w:color="auto"/>
            </w:tcBorders>
            <w:hideMark/>
          </w:tcPr>
          <w:p w14:paraId="22765B00" w14:textId="77777777" w:rsidR="007266F2" w:rsidRDefault="007266F2">
            <w:pPr>
              <w:rPr>
                <w:b/>
                <w:sz w:val="20"/>
                <w:szCs w:val="20"/>
              </w:rPr>
            </w:pPr>
            <w:r>
              <w:rPr>
                <w:b/>
                <w:sz w:val="20"/>
                <w:szCs w:val="20"/>
              </w:rPr>
              <w:t>2011</w:t>
            </w:r>
          </w:p>
        </w:tc>
        <w:tc>
          <w:tcPr>
            <w:tcW w:w="735" w:type="dxa"/>
            <w:tcBorders>
              <w:top w:val="single" w:sz="4" w:space="0" w:color="auto"/>
              <w:left w:val="single" w:sz="4" w:space="0" w:color="auto"/>
              <w:bottom w:val="single" w:sz="4" w:space="0" w:color="auto"/>
              <w:right w:val="single" w:sz="4" w:space="0" w:color="auto"/>
            </w:tcBorders>
            <w:hideMark/>
          </w:tcPr>
          <w:p w14:paraId="318DDBF4" w14:textId="77777777" w:rsidR="007266F2" w:rsidRDefault="007266F2">
            <w:pPr>
              <w:rPr>
                <w:b/>
                <w:sz w:val="20"/>
                <w:szCs w:val="20"/>
              </w:rPr>
            </w:pPr>
            <w:r>
              <w:rPr>
                <w:b/>
                <w:sz w:val="20"/>
                <w:szCs w:val="20"/>
              </w:rPr>
              <w:t>2012</w:t>
            </w:r>
          </w:p>
        </w:tc>
        <w:tc>
          <w:tcPr>
            <w:tcW w:w="822" w:type="dxa"/>
            <w:gridSpan w:val="2"/>
            <w:tcBorders>
              <w:top w:val="single" w:sz="4" w:space="0" w:color="auto"/>
              <w:left w:val="single" w:sz="4" w:space="0" w:color="auto"/>
              <w:bottom w:val="single" w:sz="4" w:space="0" w:color="auto"/>
              <w:right w:val="single" w:sz="4" w:space="0" w:color="auto"/>
            </w:tcBorders>
            <w:hideMark/>
          </w:tcPr>
          <w:p w14:paraId="2A3BE806" w14:textId="77777777" w:rsidR="007266F2" w:rsidRDefault="007266F2">
            <w:pPr>
              <w:rPr>
                <w:b/>
                <w:sz w:val="20"/>
                <w:szCs w:val="20"/>
              </w:rPr>
            </w:pPr>
            <w:r>
              <w:rPr>
                <w:b/>
                <w:sz w:val="20"/>
                <w:szCs w:val="20"/>
              </w:rPr>
              <w:t>2013</w:t>
            </w:r>
          </w:p>
        </w:tc>
        <w:tc>
          <w:tcPr>
            <w:tcW w:w="622" w:type="dxa"/>
            <w:gridSpan w:val="2"/>
            <w:tcBorders>
              <w:top w:val="single" w:sz="4" w:space="0" w:color="auto"/>
              <w:left w:val="single" w:sz="4" w:space="0" w:color="auto"/>
              <w:bottom w:val="single" w:sz="4" w:space="0" w:color="auto"/>
              <w:right w:val="single" w:sz="4" w:space="0" w:color="auto"/>
            </w:tcBorders>
            <w:hideMark/>
          </w:tcPr>
          <w:p w14:paraId="5740F37D" w14:textId="77777777" w:rsidR="007266F2" w:rsidRDefault="007266F2">
            <w:pPr>
              <w:rPr>
                <w:b/>
                <w:sz w:val="20"/>
                <w:szCs w:val="20"/>
              </w:rPr>
            </w:pPr>
            <w:r>
              <w:rPr>
                <w:b/>
                <w:sz w:val="20"/>
                <w:szCs w:val="20"/>
              </w:rPr>
              <w:t>2014</w:t>
            </w:r>
          </w:p>
        </w:tc>
        <w:tc>
          <w:tcPr>
            <w:tcW w:w="1028" w:type="dxa"/>
            <w:tcBorders>
              <w:top w:val="single" w:sz="4" w:space="0" w:color="auto"/>
              <w:left w:val="single" w:sz="4" w:space="0" w:color="auto"/>
              <w:bottom w:val="single" w:sz="4" w:space="0" w:color="auto"/>
              <w:right w:val="single" w:sz="4" w:space="0" w:color="auto"/>
            </w:tcBorders>
            <w:hideMark/>
          </w:tcPr>
          <w:p w14:paraId="71C9DCEC" w14:textId="77777777" w:rsidR="007266F2" w:rsidRDefault="007266F2">
            <w:pPr>
              <w:rPr>
                <w:b/>
                <w:sz w:val="20"/>
                <w:szCs w:val="20"/>
              </w:rPr>
            </w:pPr>
            <w:r>
              <w:rPr>
                <w:b/>
                <w:sz w:val="20"/>
                <w:szCs w:val="20"/>
              </w:rPr>
              <w:t>2015</w:t>
            </w:r>
          </w:p>
        </w:tc>
      </w:tr>
      <w:tr w:rsidR="007266F2" w14:paraId="786FFCE0" w14:textId="77777777" w:rsidTr="007266F2">
        <w:trPr>
          <w:trHeight w:val="803"/>
        </w:trPr>
        <w:tc>
          <w:tcPr>
            <w:tcW w:w="1658" w:type="dxa"/>
            <w:vMerge w:val="restart"/>
            <w:tcBorders>
              <w:top w:val="single" w:sz="4" w:space="0" w:color="auto"/>
              <w:left w:val="single" w:sz="4" w:space="0" w:color="auto"/>
              <w:bottom w:val="single" w:sz="4" w:space="0" w:color="auto"/>
              <w:right w:val="single" w:sz="4" w:space="0" w:color="auto"/>
            </w:tcBorders>
            <w:hideMark/>
          </w:tcPr>
          <w:p w14:paraId="29277437" w14:textId="77777777" w:rsidR="007266F2" w:rsidRDefault="007266F2">
            <w:pPr>
              <w:rPr>
                <w:sz w:val="20"/>
                <w:szCs w:val="20"/>
              </w:rPr>
            </w:pPr>
            <w:r>
              <w:rPr>
                <w:sz w:val="20"/>
                <w:szCs w:val="20"/>
              </w:rPr>
              <w:t>UK and EU Competition Law</w:t>
            </w:r>
          </w:p>
        </w:tc>
        <w:tc>
          <w:tcPr>
            <w:tcW w:w="1337" w:type="dxa"/>
            <w:vMerge w:val="restart"/>
            <w:tcBorders>
              <w:top w:val="single" w:sz="4" w:space="0" w:color="auto"/>
              <w:left w:val="single" w:sz="4" w:space="0" w:color="auto"/>
              <w:bottom w:val="single" w:sz="4" w:space="0" w:color="auto"/>
              <w:right w:val="single" w:sz="4" w:space="0" w:color="auto"/>
            </w:tcBorders>
            <w:hideMark/>
          </w:tcPr>
          <w:p w14:paraId="69A23A8B" w14:textId="77777777" w:rsidR="007266F2" w:rsidRDefault="007266F2">
            <w:pPr>
              <w:rPr>
                <w:sz w:val="20"/>
                <w:szCs w:val="20"/>
              </w:rPr>
            </w:pPr>
            <w:r>
              <w:rPr>
                <w:sz w:val="20"/>
                <w:szCs w:val="20"/>
              </w:rPr>
              <w:t>Law</w:t>
            </w:r>
          </w:p>
        </w:tc>
        <w:tc>
          <w:tcPr>
            <w:tcW w:w="1571" w:type="dxa"/>
            <w:vMerge w:val="restart"/>
            <w:tcBorders>
              <w:top w:val="single" w:sz="4" w:space="0" w:color="auto"/>
              <w:left w:val="single" w:sz="4" w:space="0" w:color="auto"/>
              <w:bottom w:val="single" w:sz="4" w:space="0" w:color="auto"/>
              <w:right w:val="single" w:sz="4" w:space="0" w:color="auto"/>
            </w:tcBorders>
            <w:hideMark/>
          </w:tcPr>
          <w:p w14:paraId="0FACDB2A" w14:textId="77777777" w:rsidR="007266F2" w:rsidRDefault="007266F2">
            <w:pPr>
              <w:rPr>
                <w:sz w:val="20"/>
                <w:szCs w:val="20"/>
              </w:rPr>
            </w:pPr>
            <w:r>
              <w:rPr>
                <w:sz w:val="20"/>
                <w:szCs w:val="20"/>
              </w:rPr>
              <w:t>All ‘undertakings’</w:t>
            </w:r>
          </w:p>
        </w:tc>
        <w:tc>
          <w:tcPr>
            <w:tcW w:w="3793" w:type="dxa"/>
            <w:gridSpan w:val="7"/>
            <w:tcBorders>
              <w:top w:val="single" w:sz="4" w:space="0" w:color="auto"/>
              <w:left w:val="single" w:sz="4" w:space="0" w:color="auto"/>
              <w:bottom w:val="single" w:sz="4" w:space="0" w:color="auto"/>
              <w:right w:val="single" w:sz="4" w:space="0" w:color="auto"/>
            </w:tcBorders>
            <w:hideMark/>
          </w:tcPr>
          <w:p w14:paraId="7560869D" w14:textId="77777777" w:rsidR="007266F2" w:rsidRDefault="007266F2">
            <w:pPr>
              <w:rPr>
                <w:sz w:val="20"/>
                <w:szCs w:val="20"/>
              </w:rPr>
            </w:pPr>
            <w:r>
              <w:rPr>
                <w:sz w:val="20"/>
                <w:szCs w:val="20"/>
              </w:rPr>
              <w:t xml:space="preserve">The Office of Fair Trading </w:t>
            </w:r>
          </w:p>
          <w:p w14:paraId="13192342" w14:textId="77777777" w:rsidR="007266F2" w:rsidRDefault="007266F2">
            <w:pPr>
              <w:rPr>
                <w:sz w:val="20"/>
                <w:szCs w:val="20"/>
              </w:rPr>
            </w:pPr>
            <w:r>
              <w:rPr>
                <w:sz w:val="20"/>
                <w:szCs w:val="20"/>
              </w:rPr>
              <w:t xml:space="preserve">The Competition Commission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66A55F2" w14:textId="77777777" w:rsidR="007266F2" w:rsidRDefault="007266F2">
            <w:pPr>
              <w:rPr>
                <w:sz w:val="20"/>
                <w:szCs w:val="20"/>
              </w:rPr>
            </w:pPr>
          </w:p>
        </w:tc>
      </w:tr>
      <w:tr w:rsidR="007266F2" w14:paraId="18EB1CCE" w14:textId="77777777" w:rsidTr="007266F2">
        <w:trPr>
          <w:trHeight w:val="8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52704" w14:textId="77777777" w:rsidR="007266F2" w:rsidRDefault="007266F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6B838" w14:textId="77777777" w:rsidR="007266F2" w:rsidRDefault="007266F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6083F" w14:textId="77777777" w:rsidR="007266F2" w:rsidRDefault="007266F2">
            <w:pPr>
              <w:rPr>
                <w:sz w:val="20"/>
                <w:szCs w:val="20"/>
              </w:rPr>
            </w:pPr>
          </w:p>
        </w:tc>
        <w:tc>
          <w:tcPr>
            <w:tcW w:w="3793"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C7732CE" w14:textId="77777777" w:rsidR="007266F2" w:rsidRDefault="007266F2">
            <w:pPr>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23E4BB1D" w14:textId="77777777" w:rsidR="007266F2" w:rsidRDefault="007266F2">
            <w:pPr>
              <w:rPr>
                <w:sz w:val="20"/>
                <w:szCs w:val="20"/>
              </w:rPr>
            </w:pPr>
            <w:r>
              <w:rPr>
                <w:sz w:val="20"/>
                <w:szCs w:val="20"/>
              </w:rPr>
              <w:t>The Competition and Markets Authority</w:t>
            </w:r>
          </w:p>
        </w:tc>
      </w:tr>
      <w:tr w:rsidR="007266F2" w14:paraId="171BEB18" w14:textId="77777777" w:rsidTr="007266F2">
        <w:tc>
          <w:tcPr>
            <w:tcW w:w="1658" w:type="dxa"/>
            <w:tcBorders>
              <w:top w:val="single" w:sz="4" w:space="0" w:color="auto"/>
              <w:left w:val="single" w:sz="4" w:space="0" w:color="auto"/>
              <w:bottom w:val="single" w:sz="4" w:space="0" w:color="auto"/>
              <w:right w:val="single" w:sz="4" w:space="0" w:color="auto"/>
            </w:tcBorders>
            <w:hideMark/>
          </w:tcPr>
          <w:p w14:paraId="0EBCD970" w14:textId="77777777" w:rsidR="007266F2" w:rsidRDefault="007266F2">
            <w:pPr>
              <w:rPr>
                <w:sz w:val="20"/>
                <w:szCs w:val="20"/>
              </w:rPr>
            </w:pPr>
            <w:r>
              <w:rPr>
                <w:sz w:val="20"/>
                <w:szCs w:val="20"/>
              </w:rPr>
              <w:t>The Principles and Rules for Competition and Co-operation</w:t>
            </w:r>
          </w:p>
        </w:tc>
        <w:tc>
          <w:tcPr>
            <w:tcW w:w="1337" w:type="dxa"/>
            <w:tcBorders>
              <w:top w:val="single" w:sz="4" w:space="0" w:color="auto"/>
              <w:left w:val="single" w:sz="4" w:space="0" w:color="auto"/>
              <w:bottom w:val="single" w:sz="4" w:space="0" w:color="auto"/>
              <w:right w:val="single" w:sz="4" w:space="0" w:color="auto"/>
            </w:tcBorders>
            <w:hideMark/>
          </w:tcPr>
          <w:p w14:paraId="7DEE65EA" w14:textId="77777777" w:rsidR="007266F2" w:rsidRDefault="007266F2">
            <w:pPr>
              <w:rPr>
                <w:sz w:val="20"/>
                <w:szCs w:val="20"/>
              </w:rPr>
            </w:pPr>
            <w:r>
              <w:rPr>
                <w:sz w:val="20"/>
                <w:szCs w:val="20"/>
              </w:rPr>
              <w:t xml:space="preserve">Non statutory NHS specific regulation </w:t>
            </w:r>
          </w:p>
        </w:tc>
        <w:tc>
          <w:tcPr>
            <w:tcW w:w="1571" w:type="dxa"/>
            <w:tcBorders>
              <w:top w:val="single" w:sz="4" w:space="0" w:color="auto"/>
              <w:left w:val="single" w:sz="4" w:space="0" w:color="auto"/>
              <w:bottom w:val="single" w:sz="4" w:space="0" w:color="auto"/>
              <w:right w:val="single" w:sz="4" w:space="0" w:color="auto"/>
            </w:tcBorders>
            <w:hideMark/>
          </w:tcPr>
          <w:p w14:paraId="3DC8C61B" w14:textId="77777777" w:rsidR="007266F2" w:rsidRDefault="007266F2">
            <w:pPr>
              <w:rPr>
                <w:sz w:val="20"/>
                <w:szCs w:val="20"/>
              </w:rPr>
            </w:pPr>
            <w:r>
              <w:rPr>
                <w:sz w:val="20"/>
                <w:szCs w:val="20"/>
              </w:rPr>
              <w:t>Commissioners and providers of NHS services in England.</w:t>
            </w:r>
          </w:p>
        </w:tc>
        <w:tc>
          <w:tcPr>
            <w:tcW w:w="3084" w:type="dxa"/>
            <w:gridSpan w:val="5"/>
            <w:tcBorders>
              <w:top w:val="single" w:sz="4" w:space="0" w:color="auto"/>
              <w:left w:val="single" w:sz="4" w:space="0" w:color="auto"/>
              <w:bottom w:val="single" w:sz="4" w:space="0" w:color="auto"/>
              <w:right w:val="single" w:sz="4" w:space="0" w:color="auto"/>
            </w:tcBorders>
            <w:hideMark/>
          </w:tcPr>
          <w:p w14:paraId="5A64DCA3" w14:textId="77777777" w:rsidR="007266F2" w:rsidRDefault="007266F2">
            <w:pPr>
              <w:rPr>
                <w:sz w:val="20"/>
                <w:szCs w:val="20"/>
              </w:rPr>
            </w:pPr>
            <w:r>
              <w:rPr>
                <w:sz w:val="20"/>
                <w:szCs w:val="20"/>
              </w:rPr>
              <w:t>The Co-operation and Competition Panel for NHS funded services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A714975" w14:textId="77777777" w:rsidR="007266F2" w:rsidRDefault="007266F2">
            <w:pPr>
              <w:rPr>
                <w:sz w:val="20"/>
                <w:szCs w:val="20"/>
              </w:rPr>
            </w:pPr>
          </w:p>
        </w:tc>
      </w:tr>
      <w:tr w:rsidR="007266F2" w14:paraId="50D67B58" w14:textId="77777777" w:rsidTr="007266F2">
        <w:tc>
          <w:tcPr>
            <w:tcW w:w="1658" w:type="dxa"/>
            <w:tcBorders>
              <w:top w:val="single" w:sz="4" w:space="0" w:color="auto"/>
              <w:left w:val="single" w:sz="4" w:space="0" w:color="auto"/>
              <w:bottom w:val="single" w:sz="4" w:space="0" w:color="auto"/>
              <w:right w:val="single" w:sz="4" w:space="0" w:color="auto"/>
            </w:tcBorders>
            <w:hideMark/>
          </w:tcPr>
          <w:p w14:paraId="2516A62D" w14:textId="77777777" w:rsidR="007266F2" w:rsidRDefault="007266F2">
            <w:pPr>
              <w:rPr>
                <w:sz w:val="20"/>
                <w:szCs w:val="20"/>
              </w:rPr>
            </w:pPr>
            <w:r>
              <w:rPr>
                <w:sz w:val="20"/>
                <w:szCs w:val="20"/>
              </w:rPr>
              <w:t>Health and Social Care Act 2012 and secondary legislation</w:t>
            </w:r>
          </w:p>
        </w:tc>
        <w:tc>
          <w:tcPr>
            <w:tcW w:w="1337" w:type="dxa"/>
            <w:tcBorders>
              <w:top w:val="single" w:sz="4" w:space="0" w:color="auto"/>
              <w:left w:val="single" w:sz="4" w:space="0" w:color="auto"/>
              <w:bottom w:val="single" w:sz="4" w:space="0" w:color="auto"/>
              <w:right w:val="single" w:sz="4" w:space="0" w:color="auto"/>
            </w:tcBorders>
            <w:hideMark/>
          </w:tcPr>
          <w:p w14:paraId="70F1D780" w14:textId="77777777" w:rsidR="007266F2" w:rsidRDefault="007266F2">
            <w:pPr>
              <w:rPr>
                <w:sz w:val="20"/>
                <w:szCs w:val="20"/>
              </w:rPr>
            </w:pPr>
            <w:r>
              <w:rPr>
                <w:sz w:val="20"/>
                <w:szCs w:val="20"/>
              </w:rPr>
              <w:t>Law</w:t>
            </w:r>
          </w:p>
        </w:tc>
        <w:tc>
          <w:tcPr>
            <w:tcW w:w="1571" w:type="dxa"/>
            <w:tcBorders>
              <w:top w:val="single" w:sz="4" w:space="0" w:color="auto"/>
              <w:left w:val="single" w:sz="4" w:space="0" w:color="auto"/>
              <w:bottom w:val="single" w:sz="4" w:space="0" w:color="auto"/>
              <w:right w:val="single" w:sz="4" w:space="0" w:color="auto"/>
            </w:tcBorders>
            <w:hideMark/>
          </w:tcPr>
          <w:p w14:paraId="08E52A76" w14:textId="77777777" w:rsidR="007266F2" w:rsidRDefault="007266F2">
            <w:pPr>
              <w:rPr>
                <w:sz w:val="20"/>
                <w:szCs w:val="20"/>
              </w:rPr>
            </w:pPr>
            <w:r>
              <w:rPr>
                <w:sz w:val="20"/>
                <w:szCs w:val="20"/>
              </w:rPr>
              <w:t>Commissioners and providers of NHS services in England.</w:t>
            </w:r>
          </w:p>
        </w:tc>
        <w:tc>
          <w:tcPr>
            <w:tcW w:w="308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A9AA624" w14:textId="77777777" w:rsidR="007266F2" w:rsidRDefault="007266F2">
            <w:pPr>
              <w:rPr>
                <w:sz w:val="20"/>
                <w:szCs w:val="20"/>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79E49289" w14:textId="77777777" w:rsidR="007266F2" w:rsidRDefault="007266F2">
            <w:pPr>
              <w:rPr>
                <w:sz w:val="20"/>
                <w:szCs w:val="20"/>
              </w:rPr>
            </w:pPr>
            <w:r>
              <w:rPr>
                <w:sz w:val="20"/>
                <w:szCs w:val="20"/>
              </w:rPr>
              <w:t>Monitor (concurrent responsibilities with bodies enforcing competition law – see box above)</w:t>
            </w:r>
          </w:p>
        </w:tc>
      </w:tr>
    </w:tbl>
    <w:p w14:paraId="4F46B642" w14:textId="77777777" w:rsidR="007266F2" w:rsidRDefault="007266F2" w:rsidP="007266F2">
      <w:pPr>
        <w:rPr>
          <w:sz w:val="20"/>
          <w:szCs w:val="20"/>
        </w:rPr>
      </w:pPr>
    </w:p>
    <w:p w14:paraId="7E124E00" w14:textId="66CAF344" w:rsidR="007266F2" w:rsidRDefault="007266F2">
      <w:pPr>
        <w:rPr>
          <w:rFonts w:cstheme="minorHAnsi"/>
          <w:sz w:val="24"/>
          <w:szCs w:val="24"/>
        </w:rPr>
      </w:pPr>
      <w:r>
        <w:rPr>
          <w:rFonts w:cstheme="minorHAnsi"/>
          <w:sz w:val="24"/>
          <w:szCs w:val="24"/>
        </w:rPr>
        <w:br w:type="page"/>
      </w:r>
    </w:p>
    <w:p w14:paraId="5ABCE392" w14:textId="77777777" w:rsidR="007266F2" w:rsidRDefault="007266F2" w:rsidP="007266F2">
      <w:pPr>
        <w:spacing w:line="480" w:lineRule="auto"/>
        <w:jc w:val="both"/>
        <w:rPr>
          <w:rFonts w:cstheme="minorHAnsi"/>
          <w:sz w:val="24"/>
          <w:szCs w:val="24"/>
        </w:rPr>
      </w:pPr>
      <w:r>
        <w:rPr>
          <w:rFonts w:cstheme="minorHAnsi"/>
          <w:sz w:val="24"/>
          <w:szCs w:val="24"/>
        </w:rPr>
        <w:lastRenderedPageBreak/>
        <w:t>TABLE 2</w:t>
      </w:r>
    </w:p>
    <w:p w14:paraId="1B734F7A" w14:textId="77777777" w:rsidR="007266F2" w:rsidRDefault="007266F2" w:rsidP="007266F2">
      <w:pPr>
        <w:spacing w:line="360" w:lineRule="auto"/>
        <w:jc w:val="both"/>
        <w:rPr>
          <w:rFonts w:cstheme="minorHAnsi"/>
          <w:sz w:val="24"/>
          <w:szCs w:val="24"/>
        </w:rPr>
      </w:pPr>
      <w:r>
        <w:rPr>
          <w:rFonts w:cstheme="minorHAnsi"/>
          <w:sz w:val="24"/>
          <w:szCs w:val="24"/>
        </w:rPr>
        <w:t>Summary of reviews completed by CCP January 2009 – March 2013</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29"/>
        <w:gridCol w:w="2729"/>
        <w:gridCol w:w="2730"/>
      </w:tblGrid>
      <w:tr w:rsidR="007266F2" w14:paraId="613DDD24" w14:textId="77777777" w:rsidTr="007266F2">
        <w:tc>
          <w:tcPr>
            <w:tcW w:w="2729" w:type="dxa"/>
            <w:tcBorders>
              <w:top w:val="single" w:sz="4" w:space="0" w:color="auto"/>
              <w:left w:val="single" w:sz="4" w:space="0" w:color="auto"/>
              <w:bottom w:val="single" w:sz="4" w:space="0" w:color="auto"/>
              <w:right w:val="nil"/>
            </w:tcBorders>
            <w:hideMark/>
          </w:tcPr>
          <w:p w14:paraId="31BCC354" w14:textId="77777777" w:rsidR="007266F2" w:rsidRDefault="007266F2">
            <w:pPr>
              <w:spacing w:line="276" w:lineRule="auto"/>
              <w:jc w:val="both"/>
              <w:rPr>
                <w:rFonts w:cstheme="minorHAnsi"/>
                <w:b/>
              </w:rPr>
            </w:pPr>
            <w:r>
              <w:rPr>
                <w:rFonts w:cstheme="minorHAnsi"/>
                <w:b/>
              </w:rPr>
              <w:t>Case area</w:t>
            </w:r>
          </w:p>
        </w:tc>
        <w:tc>
          <w:tcPr>
            <w:tcW w:w="2729" w:type="dxa"/>
            <w:tcBorders>
              <w:top w:val="single" w:sz="4" w:space="0" w:color="auto"/>
              <w:left w:val="nil"/>
              <w:bottom w:val="single" w:sz="4" w:space="0" w:color="auto"/>
              <w:right w:val="nil"/>
            </w:tcBorders>
            <w:hideMark/>
          </w:tcPr>
          <w:p w14:paraId="319E3659" w14:textId="77777777" w:rsidR="007266F2" w:rsidRDefault="007266F2">
            <w:pPr>
              <w:spacing w:line="276" w:lineRule="auto"/>
              <w:jc w:val="both"/>
              <w:rPr>
                <w:rFonts w:cstheme="minorHAnsi"/>
                <w:b/>
              </w:rPr>
            </w:pPr>
            <w:r>
              <w:rPr>
                <w:rFonts w:cstheme="minorHAnsi"/>
                <w:b/>
              </w:rPr>
              <w:t>No. of cases investigated</w:t>
            </w:r>
          </w:p>
        </w:tc>
        <w:tc>
          <w:tcPr>
            <w:tcW w:w="2730" w:type="dxa"/>
            <w:tcBorders>
              <w:top w:val="single" w:sz="4" w:space="0" w:color="auto"/>
              <w:left w:val="nil"/>
              <w:bottom w:val="single" w:sz="4" w:space="0" w:color="auto"/>
              <w:right w:val="single" w:sz="4" w:space="0" w:color="auto"/>
            </w:tcBorders>
            <w:hideMark/>
          </w:tcPr>
          <w:p w14:paraId="1D97BD17" w14:textId="77777777" w:rsidR="007266F2" w:rsidRDefault="007266F2">
            <w:pPr>
              <w:spacing w:line="276" w:lineRule="auto"/>
              <w:jc w:val="both"/>
              <w:rPr>
                <w:rFonts w:cstheme="minorHAnsi"/>
                <w:b/>
              </w:rPr>
            </w:pPr>
            <w:r>
              <w:rPr>
                <w:rFonts w:cstheme="minorHAnsi"/>
                <w:b/>
              </w:rPr>
              <w:t>No. found to be inconsistent with PRCC</w:t>
            </w:r>
          </w:p>
        </w:tc>
      </w:tr>
      <w:tr w:rsidR="007266F2" w14:paraId="11228D13" w14:textId="77777777" w:rsidTr="007266F2">
        <w:tc>
          <w:tcPr>
            <w:tcW w:w="2729" w:type="dxa"/>
            <w:tcBorders>
              <w:top w:val="single" w:sz="4" w:space="0" w:color="auto"/>
              <w:left w:val="single" w:sz="4" w:space="0" w:color="auto"/>
              <w:bottom w:val="nil"/>
              <w:right w:val="nil"/>
            </w:tcBorders>
            <w:hideMark/>
          </w:tcPr>
          <w:p w14:paraId="1D599A5A" w14:textId="77777777" w:rsidR="007266F2" w:rsidRDefault="007266F2">
            <w:pPr>
              <w:spacing w:line="276" w:lineRule="auto"/>
              <w:jc w:val="both"/>
              <w:rPr>
                <w:rFonts w:cstheme="minorHAnsi"/>
                <w:b/>
              </w:rPr>
            </w:pPr>
            <w:r>
              <w:rPr>
                <w:rFonts w:cstheme="minorHAnsi"/>
                <w:b/>
              </w:rPr>
              <w:t>Mergers</w:t>
            </w:r>
          </w:p>
        </w:tc>
        <w:tc>
          <w:tcPr>
            <w:tcW w:w="2729" w:type="dxa"/>
            <w:tcBorders>
              <w:top w:val="single" w:sz="4" w:space="0" w:color="auto"/>
              <w:left w:val="nil"/>
              <w:bottom w:val="nil"/>
              <w:right w:val="nil"/>
            </w:tcBorders>
            <w:hideMark/>
          </w:tcPr>
          <w:p w14:paraId="1183343B" w14:textId="77777777" w:rsidR="007266F2" w:rsidRDefault="007266F2">
            <w:pPr>
              <w:spacing w:line="276" w:lineRule="auto"/>
              <w:jc w:val="both"/>
              <w:rPr>
                <w:rFonts w:cstheme="minorHAnsi"/>
              </w:rPr>
            </w:pPr>
            <w:r>
              <w:rPr>
                <w:rFonts w:cstheme="minorHAnsi"/>
              </w:rPr>
              <w:t>54</w:t>
            </w:r>
          </w:p>
        </w:tc>
        <w:tc>
          <w:tcPr>
            <w:tcW w:w="2730" w:type="dxa"/>
            <w:tcBorders>
              <w:top w:val="single" w:sz="4" w:space="0" w:color="auto"/>
              <w:left w:val="nil"/>
              <w:bottom w:val="nil"/>
              <w:right w:val="single" w:sz="4" w:space="0" w:color="auto"/>
            </w:tcBorders>
            <w:hideMark/>
          </w:tcPr>
          <w:p w14:paraId="7177847C" w14:textId="77777777" w:rsidR="007266F2" w:rsidRDefault="007266F2">
            <w:pPr>
              <w:spacing w:line="276" w:lineRule="auto"/>
              <w:jc w:val="both"/>
              <w:rPr>
                <w:rFonts w:cstheme="minorHAnsi"/>
              </w:rPr>
            </w:pPr>
            <w:r>
              <w:rPr>
                <w:rFonts w:cstheme="minorHAnsi"/>
              </w:rPr>
              <w:t>7</w:t>
            </w:r>
          </w:p>
        </w:tc>
      </w:tr>
      <w:tr w:rsidR="007266F2" w14:paraId="236863EA" w14:textId="77777777" w:rsidTr="007266F2">
        <w:tc>
          <w:tcPr>
            <w:tcW w:w="2729" w:type="dxa"/>
            <w:tcBorders>
              <w:top w:val="nil"/>
              <w:left w:val="single" w:sz="4" w:space="0" w:color="auto"/>
              <w:bottom w:val="nil"/>
              <w:right w:val="nil"/>
            </w:tcBorders>
            <w:hideMark/>
          </w:tcPr>
          <w:p w14:paraId="758AC779" w14:textId="77777777" w:rsidR="007266F2" w:rsidRDefault="007266F2">
            <w:pPr>
              <w:spacing w:line="276" w:lineRule="auto"/>
              <w:jc w:val="both"/>
              <w:rPr>
                <w:rFonts w:cstheme="minorHAnsi"/>
                <w:b/>
              </w:rPr>
            </w:pPr>
            <w:r>
              <w:rPr>
                <w:rFonts w:cstheme="minorHAnsi"/>
                <w:b/>
              </w:rPr>
              <w:t>Procurement</w:t>
            </w:r>
          </w:p>
        </w:tc>
        <w:tc>
          <w:tcPr>
            <w:tcW w:w="2729" w:type="dxa"/>
            <w:tcBorders>
              <w:top w:val="nil"/>
              <w:left w:val="nil"/>
              <w:bottom w:val="nil"/>
              <w:right w:val="nil"/>
            </w:tcBorders>
            <w:hideMark/>
          </w:tcPr>
          <w:p w14:paraId="68136849" w14:textId="77777777" w:rsidR="007266F2" w:rsidRDefault="007266F2">
            <w:pPr>
              <w:spacing w:line="276" w:lineRule="auto"/>
              <w:jc w:val="both"/>
              <w:rPr>
                <w:rFonts w:cstheme="minorHAnsi"/>
              </w:rPr>
            </w:pPr>
            <w:r>
              <w:rPr>
                <w:rFonts w:cstheme="minorHAnsi"/>
              </w:rPr>
              <w:t>4</w:t>
            </w:r>
          </w:p>
        </w:tc>
        <w:tc>
          <w:tcPr>
            <w:tcW w:w="2730" w:type="dxa"/>
            <w:tcBorders>
              <w:top w:val="nil"/>
              <w:left w:val="nil"/>
              <w:bottom w:val="nil"/>
              <w:right w:val="single" w:sz="4" w:space="0" w:color="auto"/>
            </w:tcBorders>
            <w:hideMark/>
          </w:tcPr>
          <w:p w14:paraId="4B94B81F" w14:textId="77777777" w:rsidR="007266F2" w:rsidRDefault="007266F2">
            <w:pPr>
              <w:spacing w:line="276" w:lineRule="auto"/>
              <w:jc w:val="both"/>
              <w:rPr>
                <w:rFonts w:cstheme="minorHAnsi"/>
              </w:rPr>
            </w:pPr>
            <w:r>
              <w:rPr>
                <w:rFonts w:cstheme="minorHAnsi"/>
              </w:rPr>
              <w:t>0</w:t>
            </w:r>
          </w:p>
        </w:tc>
      </w:tr>
      <w:tr w:rsidR="007266F2" w14:paraId="513EBD06" w14:textId="77777777" w:rsidTr="007266F2">
        <w:tc>
          <w:tcPr>
            <w:tcW w:w="2729" w:type="dxa"/>
            <w:tcBorders>
              <w:top w:val="nil"/>
              <w:left w:val="single" w:sz="4" w:space="0" w:color="auto"/>
              <w:bottom w:val="nil"/>
              <w:right w:val="nil"/>
            </w:tcBorders>
            <w:hideMark/>
          </w:tcPr>
          <w:p w14:paraId="76CDDC00" w14:textId="77777777" w:rsidR="007266F2" w:rsidRDefault="007266F2">
            <w:pPr>
              <w:spacing w:line="276" w:lineRule="auto"/>
              <w:jc w:val="both"/>
              <w:rPr>
                <w:rFonts w:cstheme="minorHAnsi"/>
                <w:b/>
              </w:rPr>
            </w:pPr>
            <w:r>
              <w:rPr>
                <w:rFonts w:cstheme="minorHAnsi"/>
                <w:b/>
              </w:rPr>
              <w:t>Conduct</w:t>
            </w:r>
          </w:p>
        </w:tc>
        <w:tc>
          <w:tcPr>
            <w:tcW w:w="2729" w:type="dxa"/>
            <w:tcBorders>
              <w:top w:val="nil"/>
              <w:left w:val="nil"/>
              <w:bottom w:val="nil"/>
              <w:right w:val="nil"/>
            </w:tcBorders>
            <w:hideMark/>
          </w:tcPr>
          <w:p w14:paraId="527DDD97" w14:textId="77777777" w:rsidR="007266F2" w:rsidRDefault="007266F2">
            <w:pPr>
              <w:spacing w:line="276" w:lineRule="auto"/>
              <w:jc w:val="both"/>
              <w:rPr>
                <w:rFonts w:cstheme="minorHAnsi"/>
              </w:rPr>
            </w:pPr>
            <w:r>
              <w:rPr>
                <w:rFonts w:cstheme="minorHAnsi"/>
              </w:rPr>
              <w:t>11</w:t>
            </w:r>
          </w:p>
        </w:tc>
        <w:tc>
          <w:tcPr>
            <w:tcW w:w="2730" w:type="dxa"/>
            <w:tcBorders>
              <w:top w:val="nil"/>
              <w:left w:val="nil"/>
              <w:bottom w:val="nil"/>
              <w:right w:val="single" w:sz="4" w:space="0" w:color="auto"/>
            </w:tcBorders>
            <w:hideMark/>
          </w:tcPr>
          <w:p w14:paraId="41AAD1C8" w14:textId="77777777" w:rsidR="007266F2" w:rsidRDefault="007266F2">
            <w:pPr>
              <w:spacing w:line="276" w:lineRule="auto"/>
              <w:jc w:val="both"/>
              <w:rPr>
                <w:rFonts w:cstheme="minorHAnsi"/>
              </w:rPr>
            </w:pPr>
            <w:r>
              <w:rPr>
                <w:rFonts w:cstheme="minorHAnsi"/>
              </w:rPr>
              <w:t>5</w:t>
            </w:r>
          </w:p>
        </w:tc>
      </w:tr>
      <w:tr w:rsidR="007266F2" w14:paraId="703EFB34" w14:textId="77777777" w:rsidTr="007266F2">
        <w:tc>
          <w:tcPr>
            <w:tcW w:w="2729" w:type="dxa"/>
            <w:tcBorders>
              <w:top w:val="nil"/>
              <w:left w:val="single" w:sz="4" w:space="0" w:color="auto"/>
              <w:bottom w:val="single" w:sz="4" w:space="0" w:color="auto"/>
              <w:right w:val="nil"/>
            </w:tcBorders>
            <w:hideMark/>
          </w:tcPr>
          <w:p w14:paraId="6EE66113" w14:textId="77777777" w:rsidR="007266F2" w:rsidRDefault="007266F2">
            <w:pPr>
              <w:spacing w:line="276" w:lineRule="auto"/>
              <w:jc w:val="both"/>
              <w:rPr>
                <w:rFonts w:cstheme="minorHAnsi"/>
                <w:b/>
              </w:rPr>
            </w:pPr>
            <w:r>
              <w:rPr>
                <w:rFonts w:cstheme="minorHAnsi"/>
                <w:b/>
              </w:rPr>
              <w:t>Advertising</w:t>
            </w:r>
          </w:p>
        </w:tc>
        <w:tc>
          <w:tcPr>
            <w:tcW w:w="2729" w:type="dxa"/>
            <w:tcBorders>
              <w:top w:val="nil"/>
              <w:left w:val="nil"/>
              <w:bottom w:val="single" w:sz="4" w:space="0" w:color="auto"/>
              <w:right w:val="nil"/>
            </w:tcBorders>
            <w:hideMark/>
          </w:tcPr>
          <w:p w14:paraId="17270433" w14:textId="77777777" w:rsidR="007266F2" w:rsidRDefault="007266F2">
            <w:pPr>
              <w:spacing w:line="276" w:lineRule="auto"/>
              <w:jc w:val="both"/>
              <w:rPr>
                <w:rFonts w:cstheme="minorHAnsi"/>
              </w:rPr>
            </w:pPr>
            <w:r>
              <w:rPr>
                <w:rFonts w:cstheme="minorHAnsi"/>
              </w:rPr>
              <w:t>0</w:t>
            </w:r>
          </w:p>
        </w:tc>
        <w:tc>
          <w:tcPr>
            <w:tcW w:w="2730" w:type="dxa"/>
            <w:tcBorders>
              <w:top w:val="nil"/>
              <w:left w:val="nil"/>
              <w:bottom w:val="single" w:sz="4" w:space="0" w:color="auto"/>
              <w:right w:val="single" w:sz="4" w:space="0" w:color="auto"/>
            </w:tcBorders>
            <w:hideMark/>
          </w:tcPr>
          <w:p w14:paraId="4ED8DA64" w14:textId="77777777" w:rsidR="007266F2" w:rsidRDefault="007266F2">
            <w:pPr>
              <w:spacing w:line="276" w:lineRule="auto"/>
              <w:jc w:val="both"/>
              <w:rPr>
                <w:rFonts w:cstheme="minorHAnsi"/>
              </w:rPr>
            </w:pPr>
            <w:r>
              <w:rPr>
                <w:rFonts w:cstheme="minorHAnsi"/>
              </w:rPr>
              <w:t>0</w:t>
            </w:r>
          </w:p>
        </w:tc>
      </w:tr>
    </w:tbl>
    <w:p w14:paraId="3B37E1AB" w14:textId="77777777" w:rsidR="007266F2" w:rsidRDefault="007266F2" w:rsidP="007266F2">
      <w:pPr>
        <w:spacing w:line="480" w:lineRule="auto"/>
        <w:jc w:val="both"/>
        <w:rPr>
          <w:rFonts w:cstheme="minorHAnsi"/>
          <w:sz w:val="24"/>
          <w:szCs w:val="24"/>
        </w:rPr>
      </w:pPr>
    </w:p>
    <w:p w14:paraId="12E36A1F" w14:textId="69D926A0" w:rsidR="007266F2" w:rsidRDefault="007266F2">
      <w:pPr>
        <w:rPr>
          <w:rFonts w:cstheme="minorHAnsi"/>
          <w:sz w:val="24"/>
          <w:szCs w:val="24"/>
        </w:rPr>
      </w:pPr>
      <w:r>
        <w:rPr>
          <w:rFonts w:cstheme="minorHAnsi"/>
          <w:sz w:val="24"/>
          <w:szCs w:val="24"/>
        </w:rPr>
        <w:br w:type="page"/>
      </w:r>
    </w:p>
    <w:p w14:paraId="14E17581" w14:textId="77777777" w:rsidR="007266F2" w:rsidRDefault="007266F2" w:rsidP="007266F2">
      <w:pPr>
        <w:spacing w:line="480" w:lineRule="auto"/>
        <w:jc w:val="both"/>
        <w:rPr>
          <w:rFonts w:cstheme="minorHAnsi"/>
          <w:sz w:val="24"/>
          <w:szCs w:val="24"/>
        </w:rPr>
      </w:pPr>
      <w:r>
        <w:rPr>
          <w:rFonts w:cstheme="minorHAnsi"/>
          <w:sz w:val="24"/>
          <w:szCs w:val="24"/>
        </w:rPr>
        <w:lastRenderedPageBreak/>
        <w:t>TABLE 3</w:t>
      </w:r>
    </w:p>
    <w:p w14:paraId="28659F85" w14:textId="77777777" w:rsidR="007266F2" w:rsidRDefault="007266F2" w:rsidP="007266F2">
      <w:pPr>
        <w:spacing w:line="480" w:lineRule="auto"/>
        <w:jc w:val="both"/>
        <w:rPr>
          <w:rFonts w:cstheme="minorHAnsi"/>
          <w:sz w:val="24"/>
          <w:szCs w:val="24"/>
        </w:rPr>
      </w:pPr>
      <w:r>
        <w:rPr>
          <w:rFonts w:cstheme="minorHAnsi"/>
          <w:sz w:val="24"/>
          <w:szCs w:val="24"/>
        </w:rPr>
        <w:t>Summary of reviews completed by regulatory bodies April 2013 – August 2015</w:t>
      </w:r>
    </w:p>
    <w:tbl>
      <w:tblPr>
        <w:tblStyle w:val="TableGrid"/>
        <w:tblW w:w="7928" w:type="dxa"/>
        <w:tblBorders>
          <w:insideH w:val="none" w:sz="0" w:space="0" w:color="auto"/>
          <w:insideV w:val="none" w:sz="0" w:space="0" w:color="auto"/>
        </w:tblBorders>
        <w:tblLook w:val="04A0" w:firstRow="1" w:lastRow="0" w:firstColumn="1" w:lastColumn="0" w:noHBand="0" w:noVBand="1"/>
      </w:tblPr>
      <w:tblGrid>
        <w:gridCol w:w="2263"/>
        <w:gridCol w:w="2263"/>
        <w:gridCol w:w="1701"/>
        <w:gridCol w:w="1701"/>
      </w:tblGrid>
      <w:tr w:rsidR="007266F2" w14:paraId="7A975ADA" w14:textId="77777777" w:rsidTr="007266F2">
        <w:tc>
          <w:tcPr>
            <w:tcW w:w="2263" w:type="dxa"/>
            <w:tcBorders>
              <w:top w:val="single" w:sz="4" w:space="0" w:color="auto"/>
              <w:left w:val="single" w:sz="4" w:space="0" w:color="auto"/>
              <w:bottom w:val="single" w:sz="4" w:space="0" w:color="auto"/>
              <w:right w:val="nil"/>
            </w:tcBorders>
            <w:hideMark/>
          </w:tcPr>
          <w:p w14:paraId="5DA579FF" w14:textId="77777777" w:rsidR="007266F2" w:rsidRDefault="007266F2">
            <w:pPr>
              <w:spacing w:line="276" w:lineRule="auto"/>
              <w:rPr>
                <w:rFonts w:cstheme="minorHAnsi"/>
                <w:b/>
              </w:rPr>
            </w:pPr>
            <w:r>
              <w:rPr>
                <w:rFonts w:cstheme="minorHAnsi"/>
                <w:b/>
              </w:rPr>
              <w:t>Case area</w:t>
            </w:r>
          </w:p>
        </w:tc>
        <w:tc>
          <w:tcPr>
            <w:tcW w:w="2263" w:type="dxa"/>
            <w:tcBorders>
              <w:top w:val="single" w:sz="4" w:space="0" w:color="auto"/>
              <w:left w:val="nil"/>
              <w:bottom w:val="single" w:sz="4" w:space="0" w:color="auto"/>
              <w:right w:val="nil"/>
            </w:tcBorders>
            <w:hideMark/>
          </w:tcPr>
          <w:p w14:paraId="30460CD2" w14:textId="77777777" w:rsidR="007266F2" w:rsidRDefault="007266F2">
            <w:pPr>
              <w:spacing w:line="276" w:lineRule="auto"/>
              <w:rPr>
                <w:rFonts w:cstheme="minorHAnsi"/>
                <w:b/>
              </w:rPr>
            </w:pPr>
            <w:r>
              <w:rPr>
                <w:rFonts w:cstheme="minorHAnsi"/>
                <w:b/>
              </w:rPr>
              <w:t>Decision making body</w:t>
            </w:r>
          </w:p>
        </w:tc>
        <w:tc>
          <w:tcPr>
            <w:tcW w:w="1701" w:type="dxa"/>
            <w:tcBorders>
              <w:top w:val="single" w:sz="4" w:space="0" w:color="auto"/>
              <w:left w:val="nil"/>
              <w:bottom w:val="single" w:sz="4" w:space="0" w:color="auto"/>
              <w:right w:val="nil"/>
            </w:tcBorders>
            <w:hideMark/>
          </w:tcPr>
          <w:p w14:paraId="0A669E52" w14:textId="77777777" w:rsidR="007266F2" w:rsidRDefault="007266F2">
            <w:pPr>
              <w:spacing w:line="276" w:lineRule="auto"/>
              <w:rPr>
                <w:rFonts w:cstheme="minorHAnsi"/>
                <w:b/>
              </w:rPr>
            </w:pPr>
            <w:r>
              <w:rPr>
                <w:rFonts w:cstheme="minorHAnsi"/>
                <w:b/>
              </w:rPr>
              <w:t>No. of cases investigated</w:t>
            </w:r>
          </w:p>
        </w:tc>
        <w:tc>
          <w:tcPr>
            <w:tcW w:w="1701" w:type="dxa"/>
            <w:tcBorders>
              <w:top w:val="single" w:sz="4" w:space="0" w:color="auto"/>
              <w:left w:val="nil"/>
              <w:bottom w:val="single" w:sz="4" w:space="0" w:color="auto"/>
              <w:right w:val="single" w:sz="4" w:space="0" w:color="auto"/>
            </w:tcBorders>
            <w:hideMark/>
          </w:tcPr>
          <w:p w14:paraId="1DD474F3" w14:textId="77777777" w:rsidR="007266F2" w:rsidRDefault="007266F2">
            <w:pPr>
              <w:spacing w:line="276" w:lineRule="auto"/>
              <w:rPr>
                <w:rFonts w:cstheme="minorHAnsi"/>
                <w:b/>
              </w:rPr>
            </w:pPr>
            <w:r>
              <w:rPr>
                <w:rFonts w:cstheme="minorHAnsi"/>
                <w:b/>
              </w:rPr>
              <w:t>No. inconsistent with rules</w:t>
            </w:r>
          </w:p>
        </w:tc>
      </w:tr>
      <w:tr w:rsidR="007266F2" w14:paraId="62F96E9D" w14:textId="77777777" w:rsidTr="007266F2">
        <w:tc>
          <w:tcPr>
            <w:tcW w:w="2263" w:type="dxa"/>
            <w:tcBorders>
              <w:top w:val="single" w:sz="4" w:space="0" w:color="auto"/>
              <w:left w:val="single" w:sz="4" w:space="0" w:color="auto"/>
              <w:bottom w:val="nil"/>
              <w:right w:val="nil"/>
            </w:tcBorders>
            <w:hideMark/>
          </w:tcPr>
          <w:p w14:paraId="1B854F77" w14:textId="77777777" w:rsidR="007266F2" w:rsidRDefault="007266F2">
            <w:pPr>
              <w:spacing w:line="276" w:lineRule="auto"/>
              <w:rPr>
                <w:rFonts w:cstheme="minorHAnsi"/>
                <w:b/>
              </w:rPr>
            </w:pPr>
            <w:r>
              <w:rPr>
                <w:rFonts w:cstheme="minorHAnsi"/>
                <w:b/>
              </w:rPr>
              <w:t>Transactions</w:t>
            </w:r>
          </w:p>
        </w:tc>
        <w:tc>
          <w:tcPr>
            <w:tcW w:w="2263" w:type="dxa"/>
            <w:tcBorders>
              <w:top w:val="single" w:sz="4" w:space="0" w:color="auto"/>
              <w:left w:val="nil"/>
              <w:bottom w:val="nil"/>
              <w:right w:val="nil"/>
            </w:tcBorders>
          </w:tcPr>
          <w:p w14:paraId="64463BDB" w14:textId="77777777" w:rsidR="007266F2" w:rsidRDefault="007266F2">
            <w:pPr>
              <w:spacing w:line="276" w:lineRule="auto"/>
              <w:rPr>
                <w:rFonts w:cstheme="minorHAnsi"/>
                <w:b/>
              </w:rPr>
            </w:pPr>
          </w:p>
        </w:tc>
        <w:tc>
          <w:tcPr>
            <w:tcW w:w="1701" w:type="dxa"/>
            <w:tcBorders>
              <w:top w:val="single" w:sz="4" w:space="0" w:color="auto"/>
              <w:left w:val="nil"/>
              <w:bottom w:val="nil"/>
              <w:right w:val="nil"/>
            </w:tcBorders>
          </w:tcPr>
          <w:p w14:paraId="7573202A" w14:textId="77777777" w:rsidR="007266F2" w:rsidRDefault="007266F2">
            <w:pPr>
              <w:spacing w:line="276" w:lineRule="auto"/>
              <w:jc w:val="both"/>
              <w:rPr>
                <w:rFonts w:cstheme="minorHAnsi"/>
              </w:rPr>
            </w:pPr>
          </w:p>
        </w:tc>
        <w:tc>
          <w:tcPr>
            <w:tcW w:w="1701" w:type="dxa"/>
            <w:tcBorders>
              <w:top w:val="single" w:sz="4" w:space="0" w:color="auto"/>
              <w:left w:val="nil"/>
              <w:bottom w:val="nil"/>
              <w:right w:val="single" w:sz="4" w:space="0" w:color="auto"/>
            </w:tcBorders>
          </w:tcPr>
          <w:p w14:paraId="5CA5E2C4" w14:textId="77777777" w:rsidR="007266F2" w:rsidRDefault="007266F2">
            <w:pPr>
              <w:spacing w:line="276" w:lineRule="auto"/>
              <w:jc w:val="both"/>
              <w:rPr>
                <w:rFonts w:cstheme="minorHAnsi"/>
              </w:rPr>
            </w:pPr>
          </w:p>
        </w:tc>
      </w:tr>
      <w:tr w:rsidR="007266F2" w14:paraId="66A417C2" w14:textId="77777777" w:rsidTr="007266F2">
        <w:tc>
          <w:tcPr>
            <w:tcW w:w="2263" w:type="dxa"/>
            <w:tcBorders>
              <w:top w:val="nil"/>
              <w:left w:val="single" w:sz="4" w:space="0" w:color="auto"/>
              <w:bottom w:val="nil"/>
              <w:right w:val="nil"/>
            </w:tcBorders>
            <w:hideMark/>
          </w:tcPr>
          <w:p w14:paraId="16156F14" w14:textId="77777777" w:rsidR="007266F2" w:rsidRDefault="007266F2">
            <w:pPr>
              <w:spacing w:line="276" w:lineRule="auto"/>
              <w:rPr>
                <w:rFonts w:cstheme="minorHAnsi"/>
                <w:b/>
              </w:rPr>
            </w:pPr>
            <w:r>
              <w:rPr>
                <w:rFonts w:cstheme="minorHAnsi"/>
                <w:b/>
              </w:rPr>
              <w:tab/>
              <w:t>Mergers</w:t>
            </w:r>
          </w:p>
        </w:tc>
        <w:tc>
          <w:tcPr>
            <w:tcW w:w="2263" w:type="dxa"/>
            <w:tcBorders>
              <w:top w:val="nil"/>
              <w:left w:val="nil"/>
              <w:bottom w:val="nil"/>
              <w:right w:val="nil"/>
            </w:tcBorders>
            <w:hideMark/>
          </w:tcPr>
          <w:p w14:paraId="4F531746" w14:textId="77777777" w:rsidR="007266F2" w:rsidRDefault="007266F2">
            <w:pPr>
              <w:spacing w:line="276" w:lineRule="auto"/>
              <w:rPr>
                <w:rFonts w:cstheme="minorHAnsi"/>
                <w:b/>
              </w:rPr>
            </w:pPr>
            <w:r>
              <w:rPr>
                <w:rFonts w:cstheme="minorHAnsi"/>
                <w:b/>
              </w:rPr>
              <w:t>Monitor (using PRCC)</w:t>
            </w:r>
          </w:p>
        </w:tc>
        <w:tc>
          <w:tcPr>
            <w:tcW w:w="1701" w:type="dxa"/>
            <w:tcBorders>
              <w:top w:val="nil"/>
              <w:left w:val="nil"/>
              <w:bottom w:val="nil"/>
              <w:right w:val="nil"/>
            </w:tcBorders>
            <w:hideMark/>
          </w:tcPr>
          <w:p w14:paraId="41B0BD6F" w14:textId="77777777" w:rsidR="007266F2" w:rsidRDefault="007266F2">
            <w:pPr>
              <w:spacing w:line="276" w:lineRule="auto"/>
              <w:jc w:val="both"/>
              <w:rPr>
                <w:rFonts w:cstheme="minorHAnsi"/>
              </w:rPr>
            </w:pPr>
            <w:r>
              <w:rPr>
                <w:rFonts w:cstheme="minorHAnsi"/>
              </w:rPr>
              <w:t>2</w:t>
            </w:r>
          </w:p>
        </w:tc>
        <w:tc>
          <w:tcPr>
            <w:tcW w:w="1701" w:type="dxa"/>
            <w:tcBorders>
              <w:top w:val="nil"/>
              <w:left w:val="nil"/>
              <w:bottom w:val="nil"/>
              <w:right w:val="single" w:sz="4" w:space="0" w:color="auto"/>
            </w:tcBorders>
            <w:hideMark/>
          </w:tcPr>
          <w:p w14:paraId="34601F78" w14:textId="77777777" w:rsidR="007266F2" w:rsidRDefault="007266F2">
            <w:pPr>
              <w:spacing w:line="276" w:lineRule="auto"/>
              <w:jc w:val="both"/>
              <w:rPr>
                <w:rFonts w:cstheme="minorHAnsi"/>
              </w:rPr>
            </w:pPr>
            <w:r>
              <w:rPr>
                <w:rFonts w:cstheme="minorHAnsi"/>
              </w:rPr>
              <w:t>1</w:t>
            </w:r>
          </w:p>
        </w:tc>
      </w:tr>
      <w:tr w:rsidR="007266F2" w14:paraId="2411BD9C" w14:textId="77777777" w:rsidTr="007266F2">
        <w:tc>
          <w:tcPr>
            <w:tcW w:w="2263" w:type="dxa"/>
            <w:tcBorders>
              <w:top w:val="nil"/>
              <w:left w:val="single" w:sz="4" w:space="0" w:color="auto"/>
              <w:bottom w:val="nil"/>
              <w:right w:val="nil"/>
            </w:tcBorders>
          </w:tcPr>
          <w:p w14:paraId="40304D29"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180CF603" w14:textId="77777777" w:rsidR="007266F2" w:rsidRDefault="007266F2">
            <w:pPr>
              <w:spacing w:line="276" w:lineRule="auto"/>
              <w:jc w:val="both"/>
              <w:rPr>
                <w:rFonts w:cstheme="minorHAnsi"/>
                <w:b/>
              </w:rPr>
            </w:pPr>
            <w:r>
              <w:rPr>
                <w:rFonts w:cstheme="minorHAnsi"/>
                <w:b/>
              </w:rPr>
              <w:t>Monitor</w:t>
            </w:r>
          </w:p>
        </w:tc>
        <w:tc>
          <w:tcPr>
            <w:tcW w:w="1701" w:type="dxa"/>
            <w:tcBorders>
              <w:top w:val="nil"/>
              <w:left w:val="nil"/>
              <w:bottom w:val="nil"/>
              <w:right w:val="nil"/>
            </w:tcBorders>
            <w:hideMark/>
          </w:tcPr>
          <w:p w14:paraId="44469BF1"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63D957FF" w14:textId="77777777" w:rsidR="007266F2" w:rsidRDefault="007266F2">
            <w:pPr>
              <w:spacing w:line="276" w:lineRule="auto"/>
              <w:jc w:val="both"/>
              <w:rPr>
                <w:rFonts w:cstheme="minorHAnsi"/>
              </w:rPr>
            </w:pPr>
            <w:r>
              <w:rPr>
                <w:rFonts w:cstheme="minorHAnsi"/>
              </w:rPr>
              <w:t>0</w:t>
            </w:r>
          </w:p>
        </w:tc>
      </w:tr>
      <w:tr w:rsidR="007266F2" w14:paraId="333C8C4F" w14:textId="77777777" w:rsidTr="007266F2">
        <w:tc>
          <w:tcPr>
            <w:tcW w:w="2263" w:type="dxa"/>
            <w:tcBorders>
              <w:top w:val="nil"/>
              <w:left w:val="single" w:sz="4" w:space="0" w:color="auto"/>
              <w:bottom w:val="nil"/>
              <w:right w:val="nil"/>
            </w:tcBorders>
          </w:tcPr>
          <w:p w14:paraId="57A3D9B2"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43E35B34" w14:textId="77777777" w:rsidR="007266F2" w:rsidRDefault="007266F2">
            <w:pPr>
              <w:spacing w:line="276" w:lineRule="auto"/>
              <w:jc w:val="both"/>
              <w:rPr>
                <w:rFonts w:cstheme="minorHAnsi"/>
                <w:b/>
              </w:rPr>
            </w:pPr>
            <w:r>
              <w:rPr>
                <w:rFonts w:cstheme="minorHAnsi"/>
                <w:b/>
              </w:rPr>
              <w:t>CC</w:t>
            </w:r>
          </w:p>
        </w:tc>
        <w:tc>
          <w:tcPr>
            <w:tcW w:w="1701" w:type="dxa"/>
            <w:tcBorders>
              <w:top w:val="nil"/>
              <w:left w:val="nil"/>
              <w:bottom w:val="nil"/>
              <w:right w:val="nil"/>
            </w:tcBorders>
            <w:hideMark/>
          </w:tcPr>
          <w:p w14:paraId="042EB60E"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0F0AFA9A" w14:textId="77777777" w:rsidR="007266F2" w:rsidRDefault="007266F2">
            <w:pPr>
              <w:spacing w:line="276" w:lineRule="auto"/>
              <w:jc w:val="both"/>
              <w:rPr>
                <w:rFonts w:cstheme="minorHAnsi"/>
              </w:rPr>
            </w:pPr>
            <w:r>
              <w:rPr>
                <w:rFonts w:cstheme="minorHAnsi"/>
              </w:rPr>
              <w:t>1</w:t>
            </w:r>
          </w:p>
        </w:tc>
      </w:tr>
      <w:tr w:rsidR="007266F2" w14:paraId="02A47150" w14:textId="77777777" w:rsidTr="007266F2">
        <w:tc>
          <w:tcPr>
            <w:tcW w:w="2263" w:type="dxa"/>
            <w:tcBorders>
              <w:top w:val="nil"/>
              <w:left w:val="single" w:sz="4" w:space="0" w:color="auto"/>
              <w:bottom w:val="nil"/>
              <w:right w:val="nil"/>
            </w:tcBorders>
          </w:tcPr>
          <w:p w14:paraId="34DF8C8A"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7F1F5BCD" w14:textId="77777777" w:rsidR="007266F2" w:rsidRDefault="007266F2">
            <w:pPr>
              <w:spacing w:line="276" w:lineRule="auto"/>
              <w:jc w:val="both"/>
              <w:rPr>
                <w:rFonts w:cstheme="minorHAnsi"/>
                <w:b/>
              </w:rPr>
            </w:pPr>
            <w:r>
              <w:rPr>
                <w:rFonts w:cstheme="minorHAnsi"/>
                <w:b/>
              </w:rPr>
              <w:t>CMA</w:t>
            </w:r>
          </w:p>
        </w:tc>
        <w:tc>
          <w:tcPr>
            <w:tcW w:w="1701" w:type="dxa"/>
            <w:tcBorders>
              <w:top w:val="nil"/>
              <w:left w:val="nil"/>
              <w:bottom w:val="nil"/>
              <w:right w:val="nil"/>
            </w:tcBorders>
            <w:hideMark/>
          </w:tcPr>
          <w:p w14:paraId="7111C739"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5214CA5F" w14:textId="77777777" w:rsidR="007266F2" w:rsidRDefault="007266F2">
            <w:pPr>
              <w:spacing w:line="276" w:lineRule="auto"/>
              <w:jc w:val="both"/>
              <w:rPr>
                <w:rFonts w:cstheme="minorHAnsi"/>
              </w:rPr>
            </w:pPr>
            <w:r>
              <w:rPr>
                <w:rFonts w:cstheme="minorHAnsi"/>
              </w:rPr>
              <w:t>0</w:t>
            </w:r>
          </w:p>
        </w:tc>
      </w:tr>
      <w:tr w:rsidR="007266F2" w14:paraId="6811E38D" w14:textId="77777777" w:rsidTr="007266F2">
        <w:tc>
          <w:tcPr>
            <w:tcW w:w="2263" w:type="dxa"/>
            <w:tcBorders>
              <w:top w:val="nil"/>
              <w:left w:val="single" w:sz="4" w:space="0" w:color="auto"/>
              <w:bottom w:val="nil"/>
              <w:right w:val="nil"/>
            </w:tcBorders>
            <w:hideMark/>
          </w:tcPr>
          <w:p w14:paraId="799BB285" w14:textId="77777777" w:rsidR="007266F2" w:rsidRDefault="007266F2">
            <w:pPr>
              <w:spacing w:line="276" w:lineRule="auto"/>
              <w:rPr>
                <w:rFonts w:cstheme="minorHAnsi"/>
                <w:b/>
              </w:rPr>
            </w:pPr>
            <w:r>
              <w:rPr>
                <w:rFonts w:cstheme="minorHAnsi"/>
                <w:b/>
              </w:rPr>
              <w:tab/>
              <w:t>Acquisitions</w:t>
            </w:r>
          </w:p>
        </w:tc>
        <w:tc>
          <w:tcPr>
            <w:tcW w:w="2263" w:type="dxa"/>
            <w:tcBorders>
              <w:top w:val="nil"/>
              <w:left w:val="nil"/>
              <w:bottom w:val="nil"/>
              <w:right w:val="nil"/>
            </w:tcBorders>
            <w:hideMark/>
          </w:tcPr>
          <w:p w14:paraId="651C9BD1" w14:textId="77777777" w:rsidR="007266F2" w:rsidRDefault="007266F2">
            <w:pPr>
              <w:spacing w:line="276" w:lineRule="auto"/>
              <w:jc w:val="both"/>
              <w:rPr>
                <w:rFonts w:cstheme="minorHAnsi"/>
                <w:b/>
              </w:rPr>
            </w:pPr>
            <w:r>
              <w:rPr>
                <w:rFonts w:cstheme="minorHAnsi"/>
                <w:b/>
              </w:rPr>
              <w:t>Monitor</w:t>
            </w:r>
          </w:p>
        </w:tc>
        <w:tc>
          <w:tcPr>
            <w:tcW w:w="1701" w:type="dxa"/>
            <w:tcBorders>
              <w:top w:val="nil"/>
              <w:left w:val="nil"/>
              <w:bottom w:val="nil"/>
              <w:right w:val="nil"/>
            </w:tcBorders>
            <w:hideMark/>
          </w:tcPr>
          <w:p w14:paraId="1592894E"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31AA29C9" w14:textId="77777777" w:rsidR="007266F2" w:rsidRDefault="007266F2">
            <w:pPr>
              <w:spacing w:line="276" w:lineRule="auto"/>
              <w:jc w:val="both"/>
              <w:rPr>
                <w:rFonts w:cstheme="minorHAnsi"/>
              </w:rPr>
            </w:pPr>
            <w:r>
              <w:rPr>
                <w:rFonts w:cstheme="minorHAnsi"/>
              </w:rPr>
              <w:t>0</w:t>
            </w:r>
          </w:p>
        </w:tc>
      </w:tr>
      <w:tr w:rsidR="007266F2" w14:paraId="7AB7C6A3" w14:textId="77777777" w:rsidTr="007266F2">
        <w:tc>
          <w:tcPr>
            <w:tcW w:w="2263" w:type="dxa"/>
            <w:tcBorders>
              <w:top w:val="nil"/>
              <w:left w:val="single" w:sz="4" w:space="0" w:color="auto"/>
              <w:bottom w:val="nil"/>
              <w:right w:val="nil"/>
            </w:tcBorders>
          </w:tcPr>
          <w:p w14:paraId="115388C5"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4CB29A4C" w14:textId="77777777" w:rsidR="007266F2" w:rsidRDefault="007266F2">
            <w:pPr>
              <w:spacing w:line="276" w:lineRule="auto"/>
              <w:jc w:val="both"/>
              <w:rPr>
                <w:rFonts w:cstheme="minorHAnsi"/>
                <w:b/>
              </w:rPr>
            </w:pPr>
            <w:r>
              <w:rPr>
                <w:rFonts w:cstheme="minorHAnsi"/>
                <w:b/>
              </w:rPr>
              <w:t>OFT</w:t>
            </w:r>
          </w:p>
        </w:tc>
        <w:tc>
          <w:tcPr>
            <w:tcW w:w="1701" w:type="dxa"/>
            <w:tcBorders>
              <w:top w:val="nil"/>
              <w:left w:val="nil"/>
              <w:bottom w:val="nil"/>
              <w:right w:val="nil"/>
            </w:tcBorders>
            <w:hideMark/>
          </w:tcPr>
          <w:p w14:paraId="7AD6404E"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086DE35B" w14:textId="77777777" w:rsidR="007266F2" w:rsidRDefault="007266F2">
            <w:pPr>
              <w:spacing w:line="276" w:lineRule="auto"/>
              <w:jc w:val="both"/>
              <w:rPr>
                <w:rFonts w:cstheme="minorHAnsi"/>
              </w:rPr>
            </w:pPr>
            <w:r>
              <w:rPr>
                <w:rFonts w:cstheme="minorHAnsi"/>
              </w:rPr>
              <w:t>0</w:t>
            </w:r>
          </w:p>
        </w:tc>
      </w:tr>
      <w:tr w:rsidR="007266F2" w14:paraId="60B2D7E3" w14:textId="77777777" w:rsidTr="007266F2">
        <w:tc>
          <w:tcPr>
            <w:tcW w:w="2263" w:type="dxa"/>
            <w:tcBorders>
              <w:top w:val="nil"/>
              <w:left w:val="single" w:sz="4" w:space="0" w:color="auto"/>
              <w:bottom w:val="nil"/>
              <w:right w:val="nil"/>
            </w:tcBorders>
          </w:tcPr>
          <w:p w14:paraId="774C5E56"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47CC04A6" w14:textId="77777777" w:rsidR="007266F2" w:rsidRDefault="007266F2">
            <w:pPr>
              <w:spacing w:line="276" w:lineRule="auto"/>
              <w:jc w:val="both"/>
              <w:rPr>
                <w:rFonts w:cstheme="minorHAnsi"/>
                <w:b/>
              </w:rPr>
            </w:pPr>
            <w:r>
              <w:rPr>
                <w:rFonts w:cstheme="minorHAnsi"/>
                <w:b/>
              </w:rPr>
              <w:t>CMA</w:t>
            </w:r>
          </w:p>
        </w:tc>
        <w:tc>
          <w:tcPr>
            <w:tcW w:w="1701" w:type="dxa"/>
            <w:tcBorders>
              <w:top w:val="nil"/>
              <w:left w:val="nil"/>
              <w:bottom w:val="nil"/>
              <w:right w:val="nil"/>
            </w:tcBorders>
            <w:hideMark/>
          </w:tcPr>
          <w:p w14:paraId="78DB346F" w14:textId="77777777" w:rsidR="007266F2" w:rsidRDefault="007266F2">
            <w:pPr>
              <w:spacing w:line="276" w:lineRule="auto"/>
              <w:jc w:val="both"/>
              <w:rPr>
                <w:rFonts w:cstheme="minorHAnsi"/>
              </w:rPr>
            </w:pPr>
            <w:r>
              <w:rPr>
                <w:rFonts w:cstheme="minorHAnsi"/>
              </w:rPr>
              <w:t>2</w:t>
            </w:r>
          </w:p>
        </w:tc>
        <w:tc>
          <w:tcPr>
            <w:tcW w:w="1701" w:type="dxa"/>
            <w:tcBorders>
              <w:top w:val="nil"/>
              <w:left w:val="nil"/>
              <w:bottom w:val="nil"/>
              <w:right w:val="single" w:sz="4" w:space="0" w:color="auto"/>
            </w:tcBorders>
            <w:hideMark/>
          </w:tcPr>
          <w:p w14:paraId="0C778841" w14:textId="77777777" w:rsidR="007266F2" w:rsidRDefault="007266F2">
            <w:pPr>
              <w:spacing w:line="276" w:lineRule="auto"/>
              <w:jc w:val="both"/>
              <w:rPr>
                <w:rFonts w:cstheme="minorHAnsi"/>
              </w:rPr>
            </w:pPr>
            <w:r>
              <w:rPr>
                <w:rFonts w:cstheme="minorHAnsi"/>
              </w:rPr>
              <w:t>0</w:t>
            </w:r>
          </w:p>
        </w:tc>
      </w:tr>
      <w:tr w:rsidR="007266F2" w14:paraId="1899A4CC" w14:textId="77777777" w:rsidTr="007266F2">
        <w:tc>
          <w:tcPr>
            <w:tcW w:w="2263" w:type="dxa"/>
            <w:tcBorders>
              <w:top w:val="nil"/>
              <w:left w:val="single" w:sz="4" w:space="0" w:color="auto"/>
              <w:bottom w:val="nil"/>
              <w:right w:val="nil"/>
            </w:tcBorders>
            <w:hideMark/>
          </w:tcPr>
          <w:p w14:paraId="48111B19" w14:textId="77777777" w:rsidR="007266F2" w:rsidRDefault="007266F2">
            <w:pPr>
              <w:spacing w:line="276" w:lineRule="auto"/>
              <w:jc w:val="both"/>
              <w:rPr>
                <w:rFonts w:cstheme="minorHAnsi"/>
                <w:b/>
              </w:rPr>
            </w:pPr>
            <w:r>
              <w:rPr>
                <w:rFonts w:cstheme="minorHAnsi"/>
                <w:b/>
              </w:rPr>
              <w:tab/>
              <w:t>Joint Ventures</w:t>
            </w:r>
          </w:p>
        </w:tc>
        <w:tc>
          <w:tcPr>
            <w:tcW w:w="2263" w:type="dxa"/>
            <w:tcBorders>
              <w:top w:val="nil"/>
              <w:left w:val="nil"/>
              <w:bottom w:val="nil"/>
              <w:right w:val="nil"/>
            </w:tcBorders>
            <w:hideMark/>
          </w:tcPr>
          <w:p w14:paraId="53495CAE" w14:textId="77777777" w:rsidR="007266F2" w:rsidRDefault="007266F2">
            <w:pPr>
              <w:spacing w:line="276" w:lineRule="auto"/>
              <w:jc w:val="both"/>
              <w:rPr>
                <w:rFonts w:cstheme="minorHAnsi"/>
                <w:b/>
              </w:rPr>
            </w:pPr>
            <w:r>
              <w:rPr>
                <w:rFonts w:cstheme="minorHAnsi"/>
                <w:b/>
              </w:rPr>
              <w:t>OFT</w:t>
            </w:r>
          </w:p>
        </w:tc>
        <w:tc>
          <w:tcPr>
            <w:tcW w:w="1701" w:type="dxa"/>
            <w:tcBorders>
              <w:top w:val="nil"/>
              <w:left w:val="nil"/>
              <w:bottom w:val="nil"/>
              <w:right w:val="nil"/>
            </w:tcBorders>
            <w:hideMark/>
          </w:tcPr>
          <w:p w14:paraId="40756DCE"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74025592" w14:textId="77777777" w:rsidR="007266F2" w:rsidRDefault="007266F2">
            <w:pPr>
              <w:spacing w:line="276" w:lineRule="auto"/>
              <w:jc w:val="both"/>
              <w:rPr>
                <w:rFonts w:cstheme="minorHAnsi"/>
              </w:rPr>
            </w:pPr>
            <w:r>
              <w:rPr>
                <w:rFonts w:cstheme="minorHAnsi"/>
              </w:rPr>
              <w:t>0</w:t>
            </w:r>
          </w:p>
        </w:tc>
      </w:tr>
      <w:tr w:rsidR="007266F2" w14:paraId="3AC35FEA" w14:textId="77777777" w:rsidTr="007266F2">
        <w:tc>
          <w:tcPr>
            <w:tcW w:w="2263" w:type="dxa"/>
            <w:tcBorders>
              <w:top w:val="nil"/>
              <w:left w:val="single" w:sz="4" w:space="0" w:color="auto"/>
              <w:bottom w:val="nil"/>
              <w:right w:val="nil"/>
            </w:tcBorders>
          </w:tcPr>
          <w:p w14:paraId="5953E92B" w14:textId="77777777" w:rsidR="007266F2" w:rsidRDefault="007266F2">
            <w:pPr>
              <w:spacing w:line="276" w:lineRule="auto"/>
              <w:jc w:val="both"/>
              <w:rPr>
                <w:rFonts w:cstheme="minorHAnsi"/>
                <w:b/>
              </w:rPr>
            </w:pPr>
          </w:p>
        </w:tc>
        <w:tc>
          <w:tcPr>
            <w:tcW w:w="2263" w:type="dxa"/>
            <w:tcBorders>
              <w:top w:val="nil"/>
              <w:left w:val="nil"/>
              <w:bottom w:val="nil"/>
              <w:right w:val="nil"/>
            </w:tcBorders>
            <w:hideMark/>
          </w:tcPr>
          <w:p w14:paraId="03250645" w14:textId="77777777" w:rsidR="007266F2" w:rsidRDefault="007266F2">
            <w:pPr>
              <w:spacing w:line="276" w:lineRule="auto"/>
              <w:jc w:val="both"/>
              <w:rPr>
                <w:rFonts w:cstheme="minorHAnsi"/>
                <w:b/>
              </w:rPr>
            </w:pPr>
            <w:r>
              <w:rPr>
                <w:rFonts w:cstheme="minorHAnsi"/>
                <w:b/>
              </w:rPr>
              <w:t>CMA</w:t>
            </w:r>
          </w:p>
        </w:tc>
        <w:tc>
          <w:tcPr>
            <w:tcW w:w="1701" w:type="dxa"/>
            <w:tcBorders>
              <w:top w:val="nil"/>
              <w:left w:val="nil"/>
              <w:bottom w:val="nil"/>
              <w:right w:val="nil"/>
            </w:tcBorders>
            <w:hideMark/>
          </w:tcPr>
          <w:p w14:paraId="3E6E2AE8" w14:textId="77777777" w:rsidR="007266F2" w:rsidRDefault="007266F2">
            <w:pPr>
              <w:spacing w:line="276" w:lineRule="auto"/>
              <w:jc w:val="both"/>
              <w:rPr>
                <w:rFonts w:cstheme="minorHAnsi"/>
              </w:rPr>
            </w:pPr>
            <w:r>
              <w:rPr>
                <w:rFonts w:cstheme="minorHAnsi"/>
              </w:rPr>
              <w:t>1</w:t>
            </w:r>
          </w:p>
        </w:tc>
        <w:tc>
          <w:tcPr>
            <w:tcW w:w="1701" w:type="dxa"/>
            <w:tcBorders>
              <w:top w:val="nil"/>
              <w:left w:val="nil"/>
              <w:bottom w:val="nil"/>
              <w:right w:val="single" w:sz="4" w:space="0" w:color="auto"/>
            </w:tcBorders>
            <w:hideMark/>
          </w:tcPr>
          <w:p w14:paraId="2370D5B6" w14:textId="77777777" w:rsidR="007266F2" w:rsidRDefault="007266F2">
            <w:pPr>
              <w:spacing w:line="276" w:lineRule="auto"/>
              <w:jc w:val="both"/>
              <w:rPr>
                <w:rFonts w:cstheme="minorHAnsi"/>
              </w:rPr>
            </w:pPr>
            <w:r>
              <w:rPr>
                <w:rFonts w:cstheme="minorHAnsi"/>
              </w:rPr>
              <w:t>0</w:t>
            </w:r>
          </w:p>
        </w:tc>
      </w:tr>
      <w:tr w:rsidR="007266F2" w14:paraId="7A6B0214" w14:textId="77777777" w:rsidTr="007266F2">
        <w:tc>
          <w:tcPr>
            <w:tcW w:w="2263" w:type="dxa"/>
            <w:tcBorders>
              <w:top w:val="nil"/>
              <w:left w:val="single" w:sz="4" w:space="0" w:color="auto"/>
              <w:bottom w:val="single" w:sz="4" w:space="0" w:color="auto"/>
              <w:right w:val="nil"/>
            </w:tcBorders>
            <w:hideMark/>
          </w:tcPr>
          <w:p w14:paraId="744361B5" w14:textId="77777777" w:rsidR="007266F2" w:rsidRDefault="007266F2">
            <w:pPr>
              <w:spacing w:line="276" w:lineRule="auto"/>
              <w:jc w:val="both"/>
              <w:rPr>
                <w:rFonts w:cstheme="minorHAnsi"/>
                <w:b/>
              </w:rPr>
            </w:pPr>
            <w:r>
              <w:rPr>
                <w:rFonts w:cstheme="minorHAnsi"/>
                <w:b/>
              </w:rPr>
              <w:t>Commissioning</w:t>
            </w:r>
          </w:p>
        </w:tc>
        <w:tc>
          <w:tcPr>
            <w:tcW w:w="2263" w:type="dxa"/>
            <w:tcBorders>
              <w:top w:val="nil"/>
              <w:left w:val="nil"/>
              <w:bottom w:val="single" w:sz="4" w:space="0" w:color="auto"/>
              <w:right w:val="nil"/>
            </w:tcBorders>
            <w:hideMark/>
          </w:tcPr>
          <w:p w14:paraId="58084474" w14:textId="77777777" w:rsidR="007266F2" w:rsidRDefault="007266F2">
            <w:pPr>
              <w:spacing w:line="276" w:lineRule="auto"/>
              <w:jc w:val="both"/>
              <w:rPr>
                <w:rFonts w:cstheme="minorHAnsi"/>
                <w:b/>
              </w:rPr>
            </w:pPr>
            <w:r>
              <w:rPr>
                <w:rFonts w:cstheme="minorHAnsi"/>
                <w:b/>
              </w:rPr>
              <w:t>Monitor</w:t>
            </w:r>
          </w:p>
        </w:tc>
        <w:tc>
          <w:tcPr>
            <w:tcW w:w="1701" w:type="dxa"/>
            <w:tcBorders>
              <w:top w:val="nil"/>
              <w:left w:val="nil"/>
              <w:bottom w:val="single" w:sz="4" w:space="0" w:color="auto"/>
              <w:right w:val="nil"/>
            </w:tcBorders>
            <w:hideMark/>
          </w:tcPr>
          <w:p w14:paraId="5036FEF7" w14:textId="77777777" w:rsidR="007266F2" w:rsidRDefault="007266F2">
            <w:pPr>
              <w:spacing w:line="276" w:lineRule="auto"/>
              <w:jc w:val="both"/>
              <w:rPr>
                <w:rFonts w:cstheme="minorHAnsi"/>
              </w:rPr>
            </w:pPr>
            <w:r>
              <w:rPr>
                <w:rFonts w:cstheme="minorHAnsi"/>
              </w:rPr>
              <w:t>3</w:t>
            </w:r>
          </w:p>
        </w:tc>
        <w:tc>
          <w:tcPr>
            <w:tcW w:w="1701" w:type="dxa"/>
            <w:tcBorders>
              <w:top w:val="nil"/>
              <w:left w:val="nil"/>
              <w:bottom w:val="single" w:sz="4" w:space="0" w:color="auto"/>
              <w:right w:val="single" w:sz="4" w:space="0" w:color="auto"/>
            </w:tcBorders>
            <w:hideMark/>
          </w:tcPr>
          <w:p w14:paraId="68E027FD" w14:textId="77777777" w:rsidR="007266F2" w:rsidRDefault="007266F2">
            <w:pPr>
              <w:spacing w:line="276" w:lineRule="auto"/>
              <w:jc w:val="both"/>
              <w:rPr>
                <w:rFonts w:cstheme="minorHAnsi"/>
              </w:rPr>
            </w:pPr>
            <w:r>
              <w:rPr>
                <w:rFonts w:cstheme="minorHAnsi"/>
              </w:rPr>
              <w:t>1 (1 case ongoing)</w:t>
            </w:r>
          </w:p>
        </w:tc>
      </w:tr>
    </w:tbl>
    <w:p w14:paraId="4AABA93B" w14:textId="3819A1B9" w:rsidR="00A97289" w:rsidRPr="001E76A9" w:rsidRDefault="00A97289" w:rsidP="00B64465">
      <w:pPr>
        <w:rPr>
          <w:rFonts w:cstheme="minorHAnsi"/>
          <w:sz w:val="24"/>
          <w:szCs w:val="24"/>
        </w:rPr>
      </w:pPr>
    </w:p>
    <w:sectPr w:rsidR="00A97289" w:rsidRPr="001E76A9" w:rsidSect="00F1257E">
      <w:footerReference w:type="default" r:id="rId13"/>
      <w:pgSz w:w="11906" w:h="16838"/>
      <w:pgMar w:top="1440" w:right="226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D3A8D" w14:textId="77777777" w:rsidR="00405448" w:rsidRDefault="00405448" w:rsidP="00FD74AA">
      <w:pPr>
        <w:spacing w:after="0" w:line="240" w:lineRule="auto"/>
      </w:pPr>
      <w:r>
        <w:separator/>
      </w:r>
    </w:p>
  </w:endnote>
  <w:endnote w:type="continuationSeparator" w:id="0">
    <w:p w14:paraId="77FB6CA7" w14:textId="77777777" w:rsidR="00405448" w:rsidRDefault="00405448" w:rsidP="00FD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072B" w14:textId="77777777" w:rsidR="00405448" w:rsidRDefault="0040544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F7E85">
      <w:rPr>
        <w:caps/>
        <w:noProof/>
        <w:color w:val="5B9BD5" w:themeColor="accent1"/>
      </w:rPr>
      <w:t>1</w:t>
    </w:r>
    <w:r>
      <w:rPr>
        <w:caps/>
        <w:noProof/>
        <w:color w:val="5B9BD5" w:themeColor="accent1"/>
      </w:rPr>
      <w:fldChar w:fldCharType="end"/>
    </w:r>
  </w:p>
  <w:p w14:paraId="3499116C" w14:textId="77777777" w:rsidR="00405448" w:rsidRDefault="00405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6B637" w14:textId="77777777" w:rsidR="00405448" w:rsidRDefault="00405448" w:rsidP="00FD74AA">
      <w:pPr>
        <w:spacing w:after="0" w:line="240" w:lineRule="auto"/>
      </w:pPr>
      <w:r>
        <w:separator/>
      </w:r>
    </w:p>
  </w:footnote>
  <w:footnote w:type="continuationSeparator" w:id="0">
    <w:p w14:paraId="0B9846D3" w14:textId="77777777" w:rsidR="00405448" w:rsidRDefault="00405448" w:rsidP="00FD74AA">
      <w:pPr>
        <w:spacing w:after="0" w:line="240" w:lineRule="auto"/>
      </w:pPr>
      <w:r>
        <w:continuationSeparator/>
      </w:r>
    </w:p>
  </w:footnote>
  <w:footnote w:id="1">
    <w:p w14:paraId="1E183D05" w14:textId="1AD12047" w:rsidR="00405448" w:rsidRDefault="00405448">
      <w:pPr>
        <w:pStyle w:val="FootnoteText"/>
      </w:pPr>
      <w:r>
        <w:rPr>
          <w:rStyle w:val="FootnoteReference"/>
        </w:rPr>
        <w:footnoteRef/>
      </w:r>
      <w:r>
        <w:t xml:space="preserve"> Documents relating to all CCP decisions can be found at the National Archives website (</w:t>
      </w:r>
      <w:r w:rsidRPr="004D4BD3">
        <w:t>http://webarchive.nationalarchives.gov.uk/20140507021214/http://www.monitor.gov.uk/regulating-health-care-providers-commissioners/cooperation-and-competition/archive-co-operation-and--5</w:t>
      </w:r>
      <w:r>
        <w:t>)</w:t>
      </w:r>
    </w:p>
  </w:footnote>
  <w:footnote w:id="2">
    <w:p w14:paraId="3C2B654A" w14:textId="5F15D331" w:rsidR="00405448" w:rsidRDefault="00405448">
      <w:pPr>
        <w:pStyle w:val="FootnoteText"/>
      </w:pPr>
      <w:r>
        <w:rPr>
          <w:rStyle w:val="FootnoteReference"/>
        </w:rPr>
        <w:footnoteRef/>
      </w:r>
      <w:r>
        <w:t xml:space="preserve"> Documents detailing Monitor’s decisions can be found at the UK Government website </w:t>
      </w:r>
      <w:hyperlink r:id="rId1" w:history="1">
        <w:r w:rsidRPr="009C6412">
          <w:rPr>
            <w:rStyle w:val="Hyperlink"/>
          </w:rPr>
          <w:t>www.gov.uk</w:t>
        </w:r>
      </w:hyperlink>
      <w:r>
        <w:t xml:space="preserve"> (</w:t>
      </w:r>
      <w:r w:rsidRPr="004D4BD3">
        <w:t>https://www.gov.uk/government/organisations/monitor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07B"/>
    <w:multiLevelType w:val="hybridMultilevel"/>
    <w:tmpl w:val="00FC2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4E4F53"/>
    <w:multiLevelType w:val="hybridMultilevel"/>
    <w:tmpl w:val="DD50D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3EE0AF7"/>
    <w:multiLevelType w:val="hybridMultilevel"/>
    <w:tmpl w:val="B0C4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F55EAE"/>
    <w:multiLevelType w:val="hybridMultilevel"/>
    <w:tmpl w:val="693C87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E03218"/>
    <w:multiLevelType w:val="hybridMultilevel"/>
    <w:tmpl w:val="EAA8D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50fsw09wzvx0er2t2p0d0txzrw9x59d9a5&quot;&gt;PhD library&lt;record-ids&gt;&lt;item&gt;106&lt;/item&gt;&lt;item&gt;134&lt;/item&gt;&lt;item&gt;136&lt;/item&gt;&lt;item&gt;246&lt;/item&gt;&lt;item&gt;363&lt;/item&gt;&lt;item&gt;380&lt;/item&gt;&lt;item&gt;388&lt;/item&gt;&lt;item&gt;395&lt;/item&gt;&lt;item&gt;396&lt;/item&gt;&lt;item&gt;404&lt;/item&gt;&lt;item&gt;419&lt;/item&gt;&lt;item&gt;429&lt;/item&gt;&lt;item&gt;470&lt;/item&gt;&lt;item&gt;489&lt;/item&gt;&lt;item&gt;537&lt;/item&gt;&lt;item&gt;538&lt;/item&gt;&lt;item&gt;558&lt;/item&gt;&lt;item&gt;570&lt;/item&gt;&lt;item&gt;572&lt;/item&gt;&lt;item&gt;579&lt;/item&gt;&lt;item&gt;585&lt;/item&gt;&lt;item&gt;592&lt;/item&gt;&lt;item&gt;595&lt;/item&gt;&lt;item&gt;596&lt;/item&gt;&lt;item&gt;597&lt;/item&gt;&lt;item&gt;599&lt;/item&gt;&lt;item&gt;601&lt;/item&gt;&lt;item&gt;603&lt;/item&gt;&lt;item&gt;604&lt;/item&gt;&lt;item&gt;606&lt;/item&gt;&lt;item&gt;607&lt;/item&gt;&lt;item&gt;611&lt;/item&gt;&lt;item&gt;612&lt;/item&gt;&lt;item&gt;613&lt;/item&gt;&lt;item&gt;614&lt;/item&gt;&lt;item&gt;618&lt;/item&gt;&lt;item&gt;650&lt;/item&gt;&lt;item&gt;655&lt;/item&gt;&lt;item&gt;656&lt;/item&gt;&lt;item&gt;657&lt;/item&gt;&lt;item&gt;658&lt;/item&gt;&lt;item&gt;659&lt;/item&gt;&lt;item&gt;660&lt;/item&gt;&lt;/record-ids&gt;&lt;/item&gt;&lt;/Libraries&gt;"/>
  </w:docVars>
  <w:rsids>
    <w:rsidRoot w:val="00494C45"/>
    <w:rsid w:val="0000042B"/>
    <w:rsid w:val="00002D6A"/>
    <w:rsid w:val="00004FD9"/>
    <w:rsid w:val="00007283"/>
    <w:rsid w:val="00010AFE"/>
    <w:rsid w:val="00010C4B"/>
    <w:rsid w:val="000130C6"/>
    <w:rsid w:val="0001595F"/>
    <w:rsid w:val="00020383"/>
    <w:rsid w:val="00021401"/>
    <w:rsid w:val="00024F96"/>
    <w:rsid w:val="0003273D"/>
    <w:rsid w:val="00036D8C"/>
    <w:rsid w:val="0004102A"/>
    <w:rsid w:val="000434E9"/>
    <w:rsid w:val="00043FCD"/>
    <w:rsid w:val="000535BE"/>
    <w:rsid w:val="0005404B"/>
    <w:rsid w:val="00054403"/>
    <w:rsid w:val="000546FC"/>
    <w:rsid w:val="00056B0A"/>
    <w:rsid w:val="000570AE"/>
    <w:rsid w:val="00057389"/>
    <w:rsid w:val="000629BA"/>
    <w:rsid w:val="000634AF"/>
    <w:rsid w:val="00070FD9"/>
    <w:rsid w:val="00073B17"/>
    <w:rsid w:val="00082786"/>
    <w:rsid w:val="0008665C"/>
    <w:rsid w:val="00090E04"/>
    <w:rsid w:val="00094C97"/>
    <w:rsid w:val="000A04F4"/>
    <w:rsid w:val="000A12B3"/>
    <w:rsid w:val="000A3BFE"/>
    <w:rsid w:val="000A3C5D"/>
    <w:rsid w:val="000A47BD"/>
    <w:rsid w:val="000A4800"/>
    <w:rsid w:val="000B4F91"/>
    <w:rsid w:val="000B6E7A"/>
    <w:rsid w:val="000C04B7"/>
    <w:rsid w:val="000C1384"/>
    <w:rsid w:val="000C2291"/>
    <w:rsid w:val="000C263E"/>
    <w:rsid w:val="000D0B7B"/>
    <w:rsid w:val="000D2810"/>
    <w:rsid w:val="000D3DB0"/>
    <w:rsid w:val="000D5C37"/>
    <w:rsid w:val="000D61A7"/>
    <w:rsid w:val="000D6DFA"/>
    <w:rsid w:val="000E1EEB"/>
    <w:rsid w:val="000E75BE"/>
    <w:rsid w:val="000F36F3"/>
    <w:rsid w:val="00105DCF"/>
    <w:rsid w:val="00107312"/>
    <w:rsid w:val="00111A8E"/>
    <w:rsid w:val="00112309"/>
    <w:rsid w:val="00114DDA"/>
    <w:rsid w:val="00115927"/>
    <w:rsid w:val="00122CA4"/>
    <w:rsid w:val="00126DBE"/>
    <w:rsid w:val="001307AA"/>
    <w:rsid w:val="00130A8D"/>
    <w:rsid w:val="00133077"/>
    <w:rsid w:val="001350EC"/>
    <w:rsid w:val="001408B3"/>
    <w:rsid w:val="00141FBC"/>
    <w:rsid w:val="00154F41"/>
    <w:rsid w:val="00156E39"/>
    <w:rsid w:val="00163238"/>
    <w:rsid w:val="00167193"/>
    <w:rsid w:val="00171420"/>
    <w:rsid w:val="001714EE"/>
    <w:rsid w:val="00174B17"/>
    <w:rsid w:val="00174D7F"/>
    <w:rsid w:val="00177D3B"/>
    <w:rsid w:val="00180AAB"/>
    <w:rsid w:val="00181FFC"/>
    <w:rsid w:val="001837D2"/>
    <w:rsid w:val="0019123D"/>
    <w:rsid w:val="00193427"/>
    <w:rsid w:val="00195C72"/>
    <w:rsid w:val="00196EBE"/>
    <w:rsid w:val="00197019"/>
    <w:rsid w:val="00197192"/>
    <w:rsid w:val="001A2F4A"/>
    <w:rsid w:val="001A44E7"/>
    <w:rsid w:val="001A76BC"/>
    <w:rsid w:val="001B16AC"/>
    <w:rsid w:val="001B297B"/>
    <w:rsid w:val="001C049C"/>
    <w:rsid w:val="001C17E0"/>
    <w:rsid w:val="001C1C6D"/>
    <w:rsid w:val="001C25D1"/>
    <w:rsid w:val="001C371C"/>
    <w:rsid w:val="001C492A"/>
    <w:rsid w:val="001C53F1"/>
    <w:rsid w:val="001C665B"/>
    <w:rsid w:val="001D0C90"/>
    <w:rsid w:val="001D202A"/>
    <w:rsid w:val="001D7ACA"/>
    <w:rsid w:val="001E07E3"/>
    <w:rsid w:val="001E2D52"/>
    <w:rsid w:val="001E63BB"/>
    <w:rsid w:val="001E76A9"/>
    <w:rsid w:val="001E7921"/>
    <w:rsid w:val="001F01DA"/>
    <w:rsid w:val="001F483F"/>
    <w:rsid w:val="001F5486"/>
    <w:rsid w:val="001F5C7F"/>
    <w:rsid w:val="001F5E68"/>
    <w:rsid w:val="0020211B"/>
    <w:rsid w:val="0020444F"/>
    <w:rsid w:val="00206B29"/>
    <w:rsid w:val="002101CF"/>
    <w:rsid w:val="00211E2F"/>
    <w:rsid w:val="00214E6C"/>
    <w:rsid w:val="00217DDA"/>
    <w:rsid w:val="00226051"/>
    <w:rsid w:val="00231873"/>
    <w:rsid w:val="0024251B"/>
    <w:rsid w:val="00243841"/>
    <w:rsid w:val="00245FD1"/>
    <w:rsid w:val="0025003D"/>
    <w:rsid w:val="0025155A"/>
    <w:rsid w:val="00252D4B"/>
    <w:rsid w:val="002551D1"/>
    <w:rsid w:val="0025585A"/>
    <w:rsid w:val="00256C2B"/>
    <w:rsid w:val="00257154"/>
    <w:rsid w:val="0026377B"/>
    <w:rsid w:val="002700BE"/>
    <w:rsid w:val="00276635"/>
    <w:rsid w:val="002776B3"/>
    <w:rsid w:val="00283045"/>
    <w:rsid w:val="0028346F"/>
    <w:rsid w:val="00284EA4"/>
    <w:rsid w:val="00290415"/>
    <w:rsid w:val="00294E1B"/>
    <w:rsid w:val="002A26C6"/>
    <w:rsid w:val="002A66AE"/>
    <w:rsid w:val="002A776C"/>
    <w:rsid w:val="002B6180"/>
    <w:rsid w:val="002C11C5"/>
    <w:rsid w:val="002C4FAF"/>
    <w:rsid w:val="002C73FC"/>
    <w:rsid w:val="002D1368"/>
    <w:rsid w:val="002D2095"/>
    <w:rsid w:val="002D2AF9"/>
    <w:rsid w:val="002D3514"/>
    <w:rsid w:val="002D3FB2"/>
    <w:rsid w:val="002D7042"/>
    <w:rsid w:val="002D7C80"/>
    <w:rsid w:val="002E3B19"/>
    <w:rsid w:val="002E5627"/>
    <w:rsid w:val="002E591D"/>
    <w:rsid w:val="002F0603"/>
    <w:rsid w:val="002F28A8"/>
    <w:rsid w:val="002F41D7"/>
    <w:rsid w:val="002F5F00"/>
    <w:rsid w:val="0031341E"/>
    <w:rsid w:val="00313773"/>
    <w:rsid w:val="00314A9B"/>
    <w:rsid w:val="0031596A"/>
    <w:rsid w:val="00316774"/>
    <w:rsid w:val="00316A5D"/>
    <w:rsid w:val="0032588F"/>
    <w:rsid w:val="003270F2"/>
    <w:rsid w:val="00330C1E"/>
    <w:rsid w:val="00330ECA"/>
    <w:rsid w:val="00332EBC"/>
    <w:rsid w:val="00334A79"/>
    <w:rsid w:val="00334B81"/>
    <w:rsid w:val="00334F20"/>
    <w:rsid w:val="003363E4"/>
    <w:rsid w:val="003367C2"/>
    <w:rsid w:val="00336AB0"/>
    <w:rsid w:val="00337E13"/>
    <w:rsid w:val="00340C69"/>
    <w:rsid w:val="00342AA4"/>
    <w:rsid w:val="00342C43"/>
    <w:rsid w:val="003434BD"/>
    <w:rsid w:val="00343B62"/>
    <w:rsid w:val="003450DB"/>
    <w:rsid w:val="00345B85"/>
    <w:rsid w:val="003509EC"/>
    <w:rsid w:val="00351D5F"/>
    <w:rsid w:val="0035467E"/>
    <w:rsid w:val="00356E51"/>
    <w:rsid w:val="0035730F"/>
    <w:rsid w:val="00357C00"/>
    <w:rsid w:val="00361652"/>
    <w:rsid w:val="0036216F"/>
    <w:rsid w:val="00365BDE"/>
    <w:rsid w:val="0037431B"/>
    <w:rsid w:val="003762F6"/>
    <w:rsid w:val="00380075"/>
    <w:rsid w:val="00386BBD"/>
    <w:rsid w:val="00390586"/>
    <w:rsid w:val="00390CAF"/>
    <w:rsid w:val="00391300"/>
    <w:rsid w:val="00392C7F"/>
    <w:rsid w:val="00396028"/>
    <w:rsid w:val="003A16B7"/>
    <w:rsid w:val="003A2D08"/>
    <w:rsid w:val="003B0FA2"/>
    <w:rsid w:val="003B26C0"/>
    <w:rsid w:val="003B4A3B"/>
    <w:rsid w:val="003B5347"/>
    <w:rsid w:val="003B5688"/>
    <w:rsid w:val="003B73EC"/>
    <w:rsid w:val="003C7C32"/>
    <w:rsid w:val="003D4724"/>
    <w:rsid w:val="003D7979"/>
    <w:rsid w:val="003E4868"/>
    <w:rsid w:val="003E7D76"/>
    <w:rsid w:val="003F572B"/>
    <w:rsid w:val="003F64EE"/>
    <w:rsid w:val="003F6786"/>
    <w:rsid w:val="00401B8D"/>
    <w:rsid w:val="0040305F"/>
    <w:rsid w:val="00404D0E"/>
    <w:rsid w:val="00405335"/>
    <w:rsid w:val="00405448"/>
    <w:rsid w:val="00405E6F"/>
    <w:rsid w:val="004138D2"/>
    <w:rsid w:val="00415DE4"/>
    <w:rsid w:val="0042103F"/>
    <w:rsid w:val="00421281"/>
    <w:rsid w:val="00424D6F"/>
    <w:rsid w:val="004254A8"/>
    <w:rsid w:val="004255A6"/>
    <w:rsid w:val="00426B15"/>
    <w:rsid w:val="0043050E"/>
    <w:rsid w:val="00434528"/>
    <w:rsid w:val="00434AE6"/>
    <w:rsid w:val="00435B61"/>
    <w:rsid w:val="00435C72"/>
    <w:rsid w:val="0044145F"/>
    <w:rsid w:val="004439AF"/>
    <w:rsid w:val="00443D27"/>
    <w:rsid w:val="00444898"/>
    <w:rsid w:val="004474EC"/>
    <w:rsid w:val="00450E39"/>
    <w:rsid w:val="00452DF3"/>
    <w:rsid w:val="00453980"/>
    <w:rsid w:val="00453CD9"/>
    <w:rsid w:val="00455635"/>
    <w:rsid w:val="0045702D"/>
    <w:rsid w:val="00457BEB"/>
    <w:rsid w:val="004605B1"/>
    <w:rsid w:val="0046534C"/>
    <w:rsid w:val="0046536C"/>
    <w:rsid w:val="004654AE"/>
    <w:rsid w:val="00465F47"/>
    <w:rsid w:val="00470161"/>
    <w:rsid w:val="004711CC"/>
    <w:rsid w:val="0047646C"/>
    <w:rsid w:val="00476593"/>
    <w:rsid w:val="00483B74"/>
    <w:rsid w:val="00486793"/>
    <w:rsid w:val="00487289"/>
    <w:rsid w:val="00487A35"/>
    <w:rsid w:val="00487B3E"/>
    <w:rsid w:val="0049295A"/>
    <w:rsid w:val="004931BF"/>
    <w:rsid w:val="00493F54"/>
    <w:rsid w:val="00494C45"/>
    <w:rsid w:val="00495017"/>
    <w:rsid w:val="00497C71"/>
    <w:rsid w:val="004A3834"/>
    <w:rsid w:val="004A4D59"/>
    <w:rsid w:val="004A5894"/>
    <w:rsid w:val="004B0E8B"/>
    <w:rsid w:val="004B1BE4"/>
    <w:rsid w:val="004B2C15"/>
    <w:rsid w:val="004C133D"/>
    <w:rsid w:val="004C3C03"/>
    <w:rsid w:val="004C72C4"/>
    <w:rsid w:val="004C7929"/>
    <w:rsid w:val="004D12F2"/>
    <w:rsid w:val="004D1EF2"/>
    <w:rsid w:val="004D4629"/>
    <w:rsid w:val="004D4BD3"/>
    <w:rsid w:val="004D5BB9"/>
    <w:rsid w:val="004D6F04"/>
    <w:rsid w:val="004D781C"/>
    <w:rsid w:val="004E0ACD"/>
    <w:rsid w:val="004E65B9"/>
    <w:rsid w:val="004F10F4"/>
    <w:rsid w:val="004F15D9"/>
    <w:rsid w:val="004F21D4"/>
    <w:rsid w:val="004F36FB"/>
    <w:rsid w:val="004F48B9"/>
    <w:rsid w:val="004F644E"/>
    <w:rsid w:val="004F7D89"/>
    <w:rsid w:val="0050093A"/>
    <w:rsid w:val="005021AF"/>
    <w:rsid w:val="00504559"/>
    <w:rsid w:val="005059AC"/>
    <w:rsid w:val="0050648A"/>
    <w:rsid w:val="00507E32"/>
    <w:rsid w:val="00510A66"/>
    <w:rsid w:val="00513FB0"/>
    <w:rsid w:val="00521DC8"/>
    <w:rsid w:val="00522193"/>
    <w:rsid w:val="00522849"/>
    <w:rsid w:val="00523F8D"/>
    <w:rsid w:val="005256FF"/>
    <w:rsid w:val="00527CCE"/>
    <w:rsid w:val="0053473B"/>
    <w:rsid w:val="00535289"/>
    <w:rsid w:val="00543E63"/>
    <w:rsid w:val="00550943"/>
    <w:rsid w:val="005511F0"/>
    <w:rsid w:val="005540D9"/>
    <w:rsid w:val="005543C9"/>
    <w:rsid w:val="00571105"/>
    <w:rsid w:val="005747E6"/>
    <w:rsid w:val="0057558D"/>
    <w:rsid w:val="00580B54"/>
    <w:rsid w:val="00582359"/>
    <w:rsid w:val="00590B99"/>
    <w:rsid w:val="0059185D"/>
    <w:rsid w:val="0059417F"/>
    <w:rsid w:val="00594481"/>
    <w:rsid w:val="00594E71"/>
    <w:rsid w:val="00597D0E"/>
    <w:rsid w:val="005A076A"/>
    <w:rsid w:val="005D0D23"/>
    <w:rsid w:val="005D71DE"/>
    <w:rsid w:val="005D7EEF"/>
    <w:rsid w:val="005E1D33"/>
    <w:rsid w:val="005F14BD"/>
    <w:rsid w:val="005F219F"/>
    <w:rsid w:val="005F2407"/>
    <w:rsid w:val="005F43D4"/>
    <w:rsid w:val="005F43E6"/>
    <w:rsid w:val="00600D02"/>
    <w:rsid w:val="0060181F"/>
    <w:rsid w:val="00606A06"/>
    <w:rsid w:val="00606D3E"/>
    <w:rsid w:val="006123A3"/>
    <w:rsid w:val="00612CC2"/>
    <w:rsid w:val="00613BB6"/>
    <w:rsid w:val="006172BA"/>
    <w:rsid w:val="00622A8C"/>
    <w:rsid w:val="006246D3"/>
    <w:rsid w:val="00624BFA"/>
    <w:rsid w:val="00625861"/>
    <w:rsid w:val="00630F83"/>
    <w:rsid w:val="00631881"/>
    <w:rsid w:val="006321E4"/>
    <w:rsid w:val="00632A4F"/>
    <w:rsid w:val="00633B0F"/>
    <w:rsid w:val="006345FC"/>
    <w:rsid w:val="006400F9"/>
    <w:rsid w:val="00641204"/>
    <w:rsid w:val="006420D4"/>
    <w:rsid w:val="00642ADB"/>
    <w:rsid w:val="006452FE"/>
    <w:rsid w:val="00656ED1"/>
    <w:rsid w:val="006571B0"/>
    <w:rsid w:val="00660B54"/>
    <w:rsid w:val="00662B38"/>
    <w:rsid w:val="0066688D"/>
    <w:rsid w:val="0067069C"/>
    <w:rsid w:val="0067370A"/>
    <w:rsid w:val="00675C3F"/>
    <w:rsid w:val="00676632"/>
    <w:rsid w:val="006818D3"/>
    <w:rsid w:val="00683D20"/>
    <w:rsid w:val="0068679E"/>
    <w:rsid w:val="006A114D"/>
    <w:rsid w:val="006A76C4"/>
    <w:rsid w:val="006A7E22"/>
    <w:rsid w:val="006B2DCF"/>
    <w:rsid w:val="006B3AE1"/>
    <w:rsid w:val="006C044B"/>
    <w:rsid w:val="006C12E8"/>
    <w:rsid w:val="006C4931"/>
    <w:rsid w:val="006C4E79"/>
    <w:rsid w:val="006C5F16"/>
    <w:rsid w:val="006C69E9"/>
    <w:rsid w:val="006C7A22"/>
    <w:rsid w:val="006D2F4C"/>
    <w:rsid w:val="006D4FD9"/>
    <w:rsid w:val="006D7BF3"/>
    <w:rsid w:val="006E2A09"/>
    <w:rsid w:val="006E3CEC"/>
    <w:rsid w:val="006E54B8"/>
    <w:rsid w:val="006E650B"/>
    <w:rsid w:val="006F4618"/>
    <w:rsid w:val="006F50CC"/>
    <w:rsid w:val="00710306"/>
    <w:rsid w:val="007127E9"/>
    <w:rsid w:val="007218EC"/>
    <w:rsid w:val="007225A0"/>
    <w:rsid w:val="007266F2"/>
    <w:rsid w:val="00727879"/>
    <w:rsid w:val="0073073B"/>
    <w:rsid w:val="007358EC"/>
    <w:rsid w:val="00736673"/>
    <w:rsid w:val="00736D6D"/>
    <w:rsid w:val="007425E5"/>
    <w:rsid w:val="00742B2F"/>
    <w:rsid w:val="00745F02"/>
    <w:rsid w:val="0074763D"/>
    <w:rsid w:val="00750048"/>
    <w:rsid w:val="00754715"/>
    <w:rsid w:val="00757C92"/>
    <w:rsid w:val="007608F4"/>
    <w:rsid w:val="00762536"/>
    <w:rsid w:val="00762788"/>
    <w:rsid w:val="00763570"/>
    <w:rsid w:val="007659C8"/>
    <w:rsid w:val="00765C95"/>
    <w:rsid w:val="007660F7"/>
    <w:rsid w:val="007670A8"/>
    <w:rsid w:val="0077357A"/>
    <w:rsid w:val="00773FEC"/>
    <w:rsid w:val="00777DB8"/>
    <w:rsid w:val="007804E5"/>
    <w:rsid w:val="00782511"/>
    <w:rsid w:val="00782815"/>
    <w:rsid w:val="007842E1"/>
    <w:rsid w:val="00784FE1"/>
    <w:rsid w:val="007906D1"/>
    <w:rsid w:val="00793109"/>
    <w:rsid w:val="0079346A"/>
    <w:rsid w:val="007941D9"/>
    <w:rsid w:val="007A4B00"/>
    <w:rsid w:val="007B095E"/>
    <w:rsid w:val="007B6017"/>
    <w:rsid w:val="007B7365"/>
    <w:rsid w:val="007B79C2"/>
    <w:rsid w:val="007C09C2"/>
    <w:rsid w:val="007C0C8F"/>
    <w:rsid w:val="007C0FA7"/>
    <w:rsid w:val="007C33B2"/>
    <w:rsid w:val="007C48C6"/>
    <w:rsid w:val="007C538C"/>
    <w:rsid w:val="007C72D8"/>
    <w:rsid w:val="007D2E38"/>
    <w:rsid w:val="007D31B2"/>
    <w:rsid w:val="007D645B"/>
    <w:rsid w:val="007D6671"/>
    <w:rsid w:val="007D7688"/>
    <w:rsid w:val="007E211F"/>
    <w:rsid w:val="007E477A"/>
    <w:rsid w:val="007E558A"/>
    <w:rsid w:val="007F0278"/>
    <w:rsid w:val="007F1550"/>
    <w:rsid w:val="007F1B6B"/>
    <w:rsid w:val="007F35EB"/>
    <w:rsid w:val="007F6734"/>
    <w:rsid w:val="007F6C39"/>
    <w:rsid w:val="008012B2"/>
    <w:rsid w:val="00803392"/>
    <w:rsid w:val="00804A60"/>
    <w:rsid w:val="00805A3B"/>
    <w:rsid w:val="008154C9"/>
    <w:rsid w:val="008204E4"/>
    <w:rsid w:val="00820B57"/>
    <w:rsid w:val="00823591"/>
    <w:rsid w:val="008274A4"/>
    <w:rsid w:val="00830080"/>
    <w:rsid w:val="00831195"/>
    <w:rsid w:val="00834CB2"/>
    <w:rsid w:val="00836B66"/>
    <w:rsid w:val="00836EEB"/>
    <w:rsid w:val="00851E58"/>
    <w:rsid w:val="0085280A"/>
    <w:rsid w:val="00862C1D"/>
    <w:rsid w:val="0086358D"/>
    <w:rsid w:val="008640B7"/>
    <w:rsid w:val="00864C20"/>
    <w:rsid w:val="00865A5D"/>
    <w:rsid w:val="00866974"/>
    <w:rsid w:val="008672F5"/>
    <w:rsid w:val="00870EB1"/>
    <w:rsid w:val="0088234E"/>
    <w:rsid w:val="00883F5D"/>
    <w:rsid w:val="00885E70"/>
    <w:rsid w:val="008866E2"/>
    <w:rsid w:val="008869E0"/>
    <w:rsid w:val="00887201"/>
    <w:rsid w:val="00887E6A"/>
    <w:rsid w:val="00891B94"/>
    <w:rsid w:val="00891DB3"/>
    <w:rsid w:val="008A07B4"/>
    <w:rsid w:val="008A098D"/>
    <w:rsid w:val="008A5D15"/>
    <w:rsid w:val="008A6353"/>
    <w:rsid w:val="008A7DB2"/>
    <w:rsid w:val="008B69F1"/>
    <w:rsid w:val="008C388A"/>
    <w:rsid w:val="008C4079"/>
    <w:rsid w:val="008C49AD"/>
    <w:rsid w:val="008C4CA5"/>
    <w:rsid w:val="008C5510"/>
    <w:rsid w:val="008D1543"/>
    <w:rsid w:val="008D2971"/>
    <w:rsid w:val="008E0195"/>
    <w:rsid w:val="008E0515"/>
    <w:rsid w:val="008E6DA3"/>
    <w:rsid w:val="008E7E38"/>
    <w:rsid w:val="008F4503"/>
    <w:rsid w:val="008F58A0"/>
    <w:rsid w:val="008F5B91"/>
    <w:rsid w:val="008F7B0D"/>
    <w:rsid w:val="008F7F33"/>
    <w:rsid w:val="009008BB"/>
    <w:rsid w:val="00902944"/>
    <w:rsid w:val="00907885"/>
    <w:rsid w:val="009079D9"/>
    <w:rsid w:val="00910153"/>
    <w:rsid w:val="0091136C"/>
    <w:rsid w:val="00911A6C"/>
    <w:rsid w:val="009120BB"/>
    <w:rsid w:val="009153D6"/>
    <w:rsid w:val="00915BDF"/>
    <w:rsid w:val="00917B43"/>
    <w:rsid w:val="009206A5"/>
    <w:rsid w:val="00920D1B"/>
    <w:rsid w:val="00921150"/>
    <w:rsid w:val="00924645"/>
    <w:rsid w:val="00926D6C"/>
    <w:rsid w:val="00930601"/>
    <w:rsid w:val="00930ECB"/>
    <w:rsid w:val="00933780"/>
    <w:rsid w:val="009364EF"/>
    <w:rsid w:val="00937DE7"/>
    <w:rsid w:val="009419B3"/>
    <w:rsid w:val="00942299"/>
    <w:rsid w:val="00943386"/>
    <w:rsid w:val="00944F2E"/>
    <w:rsid w:val="00946402"/>
    <w:rsid w:val="00947A1F"/>
    <w:rsid w:val="00947CE3"/>
    <w:rsid w:val="0095371B"/>
    <w:rsid w:val="009550A6"/>
    <w:rsid w:val="009573A5"/>
    <w:rsid w:val="0095788D"/>
    <w:rsid w:val="00960321"/>
    <w:rsid w:val="00970602"/>
    <w:rsid w:val="00970BFE"/>
    <w:rsid w:val="00971DDE"/>
    <w:rsid w:val="0097369D"/>
    <w:rsid w:val="00975C5A"/>
    <w:rsid w:val="009847CF"/>
    <w:rsid w:val="00984FD6"/>
    <w:rsid w:val="00985AD2"/>
    <w:rsid w:val="00992063"/>
    <w:rsid w:val="00995B37"/>
    <w:rsid w:val="009A0B63"/>
    <w:rsid w:val="009B2DBE"/>
    <w:rsid w:val="009B3A2A"/>
    <w:rsid w:val="009B47D9"/>
    <w:rsid w:val="009C0465"/>
    <w:rsid w:val="009C0AB1"/>
    <w:rsid w:val="009C16FB"/>
    <w:rsid w:val="009C186C"/>
    <w:rsid w:val="009C3069"/>
    <w:rsid w:val="009C4C14"/>
    <w:rsid w:val="009C662D"/>
    <w:rsid w:val="009C778E"/>
    <w:rsid w:val="009D0BBB"/>
    <w:rsid w:val="009D132D"/>
    <w:rsid w:val="009D207F"/>
    <w:rsid w:val="009D5AE6"/>
    <w:rsid w:val="009D7923"/>
    <w:rsid w:val="009E1245"/>
    <w:rsid w:val="009E41C2"/>
    <w:rsid w:val="009E6649"/>
    <w:rsid w:val="009E73A4"/>
    <w:rsid w:val="00A03FB9"/>
    <w:rsid w:val="00A16059"/>
    <w:rsid w:val="00A160B3"/>
    <w:rsid w:val="00A16271"/>
    <w:rsid w:val="00A20B97"/>
    <w:rsid w:val="00A21FCB"/>
    <w:rsid w:val="00A227CE"/>
    <w:rsid w:val="00A24ECB"/>
    <w:rsid w:val="00A24FB7"/>
    <w:rsid w:val="00A274B5"/>
    <w:rsid w:val="00A329DB"/>
    <w:rsid w:val="00A40DAF"/>
    <w:rsid w:val="00A4224E"/>
    <w:rsid w:val="00A42529"/>
    <w:rsid w:val="00A4294F"/>
    <w:rsid w:val="00A4438B"/>
    <w:rsid w:val="00A50339"/>
    <w:rsid w:val="00A51966"/>
    <w:rsid w:val="00A53B0C"/>
    <w:rsid w:val="00A5692E"/>
    <w:rsid w:val="00A613AC"/>
    <w:rsid w:val="00A61F3D"/>
    <w:rsid w:val="00A62F62"/>
    <w:rsid w:val="00A64FDF"/>
    <w:rsid w:val="00A7157A"/>
    <w:rsid w:val="00A75418"/>
    <w:rsid w:val="00A76FEB"/>
    <w:rsid w:val="00A77427"/>
    <w:rsid w:val="00A77F57"/>
    <w:rsid w:val="00A83A24"/>
    <w:rsid w:val="00A848F3"/>
    <w:rsid w:val="00A90B0A"/>
    <w:rsid w:val="00A91302"/>
    <w:rsid w:val="00A9509E"/>
    <w:rsid w:val="00A9527D"/>
    <w:rsid w:val="00A95B9F"/>
    <w:rsid w:val="00A97289"/>
    <w:rsid w:val="00AA06B6"/>
    <w:rsid w:val="00AA172A"/>
    <w:rsid w:val="00AA55A3"/>
    <w:rsid w:val="00AC3118"/>
    <w:rsid w:val="00AC5CB6"/>
    <w:rsid w:val="00AC5E14"/>
    <w:rsid w:val="00AC5EAE"/>
    <w:rsid w:val="00AD2541"/>
    <w:rsid w:val="00AD603A"/>
    <w:rsid w:val="00AD7380"/>
    <w:rsid w:val="00AE0643"/>
    <w:rsid w:val="00AE20D8"/>
    <w:rsid w:val="00AE4345"/>
    <w:rsid w:val="00AE78CE"/>
    <w:rsid w:val="00AF38BC"/>
    <w:rsid w:val="00AF3E49"/>
    <w:rsid w:val="00AF54DB"/>
    <w:rsid w:val="00AF7804"/>
    <w:rsid w:val="00B015DA"/>
    <w:rsid w:val="00B05FF5"/>
    <w:rsid w:val="00B11A93"/>
    <w:rsid w:val="00B146BA"/>
    <w:rsid w:val="00B27847"/>
    <w:rsid w:val="00B33BF8"/>
    <w:rsid w:val="00B3472B"/>
    <w:rsid w:val="00B42AFF"/>
    <w:rsid w:val="00B46743"/>
    <w:rsid w:val="00B51FB2"/>
    <w:rsid w:val="00B53BF9"/>
    <w:rsid w:val="00B551E3"/>
    <w:rsid w:val="00B56F85"/>
    <w:rsid w:val="00B605A4"/>
    <w:rsid w:val="00B61A85"/>
    <w:rsid w:val="00B64465"/>
    <w:rsid w:val="00B6458F"/>
    <w:rsid w:val="00B65875"/>
    <w:rsid w:val="00B659B3"/>
    <w:rsid w:val="00B83DF2"/>
    <w:rsid w:val="00B850E6"/>
    <w:rsid w:val="00B87346"/>
    <w:rsid w:val="00B93BD0"/>
    <w:rsid w:val="00B93E15"/>
    <w:rsid w:val="00B95545"/>
    <w:rsid w:val="00BA132B"/>
    <w:rsid w:val="00BA3D3C"/>
    <w:rsid w:val="00BA4FEF"/>
    <w:rsid w:val="00BA61B3"/>
    <w:rsid w:val="00BA6941"/>
    <w:rsid w:val="00BA6CC6"/>
    <w:rsid w:val="00BA6D50"/>
    <w:rsid w:val="00BB09ED"/>
    <w:rsid w:val="00BB11B0"/>
    <w:rsid w:val="00BB1C1C"/>
    <w:rsid w:val="00BB3104"/>
    <w:rsid w:val="00BB36D7"/>
    <w:rsid w:val="00BC180D"/>
    <w:rsid w:val="00BC340F"/>
    <w:rsid w:val="00BD176B"/>
    <w:rsid w:val="00BD5E92"/>
    <w:rsid w:val="00BE409D"/>
    <w:rsid w:val="00BF1198"/>
    <w:rsid w:val="00BF37B4"/>
    <w:rsid w:val="00BF4431"/>
    <w:rsid w:val="00BF6F78"/>
    <w:rsid w:val="00C00FEB"/>
    <w:rsid w:val="00C02623"/>
    <w:rsid w:val="00C12F27"/>
    <w:rsid w:val="00C22C4C"/>
    <w:rsid w:val="00C23A8F"/>
    <w:rsid w:val="00C2545B"/>
    <w:rsid w:val="00C2608C"/>
    <w:rsid w:val="00C34131"/>
    <w:rsid w:val="00C36D59"/>
    <w:rsid w:val="00C41187"/>
    <w:rsid w:val="00C43F98"/>
    <w:rsid w:val="00C47DFB"/>
    <w:rsid w:val="00C47FB5"/>
    <w:rsid w:val="00C51577"/>
    <w:rsid w:val="00C541CF"/>
    <w:rsid w:val="00C54622"/>
    <w:rsid w:val="00C5594A"/>
    <w:rsid w:val="00C5641F"/>
    <w:rsid w:val="00C6191D"/>
    <w:rsid w:val="00C627AD"/>
    <w:rsid w:val="00C649D4"/>
    <w:rsid w:val="00C64E06"/>
    <w:rsid w:val="00C66839"/>
    <w:rsid w:val="00C7195C"/>
    <w:rsid w:val="00C720A4"/>
    <w:rsid w:val="00C76877"/>
    <w:rsid w:val="00C82484"/>
    <w:rsid w:val="00C82BCF"/>
    <w:rsid w:val="00C83209"/>
    <w:rsid w:val="00C84595"/>
    <w:rsid w:val="00C846E1"/>
    <w:rsid w:val="00C92E16"/>
    <w:rsid w:val="00C95592"/>
    <w:rsid w:val="00CA0D92"/>
    <w:rsid w:val="00CA29DA"/>
    <w:rsid w:val="00CA3405"/>
    <w:rsid w:val="00CA5A31"/>
    <w:rsid w:val="00CA6558"/>
    <w:rsid w:val="00CA7FC7"/>
    <w:rsid w:val="00CB4CC2"/>
    <w:rsid w:val="00CB5AC7"/>
    <w:rsid w:val="00CB7CAE"/>
    <w:rsid w:val="00CC405C"/>
    <w:rsid w:val="00CC715F"/>
    <w:rsid w:val="00CD0F8C"/>
    <w:rsid w:val="00CD24B5"/>
    <w:rsid w:val="00CD3572"/>
    <w:rsid w:val="00CD4207"/>
    <w:rsid w:val="00CD564B"/>
    <w:rsid w:val="00CE0A11"/>
    <w:rsid w:val="00CE2827"/>
    <w:rsid w:val="00CE2D4C"/>
    <w:rsid w:val="00CE464A"/>
    <w:rsid w:val="00CE4F58"/>
    <w:rsid w:val="00CF0766"/>
    <w:rsid w:val="00CF185B"/>
    <w:rsid w:val="00CF3F67"/>
    <w:rsid w:val="00CF6E88"/>
    <w:rsid w:val="00D00EE2"/>
    <w:rsid w:val="00D042CD"/>
    <w:rsid w:val="00D0698D"/>
    <w:rsid w:val="00D06C0D"/>
    <w:rsid w:val="00D113FE"/>
    <w:rsid w:val="00D13B81"/>
    <w:rsid w:val="00D14174"/>
    <w:rsid w:val="00D15520"/>
    <w:rsid w:val="00D231DD"/>
    <w:rsid w:val="00D258E9"/>
    <w:rsid w:val="00D26B3C"/>
    <w:rsid w:val="00D31D6B"/>
    <w:rsid w:val="00D33810"/>
    <w:rsid w:val="00D338B3"/>
    <w:rsid w:val="00D35844"/>
    <w:rsid w:val="00D36EA0"/>
    <w:rsid w:val="00D42197"/>
    <w:rsid w:val="00D42D29"/>
    <w:rsid w:val="00D4307B"/>
    <w:rsid w:val="00D479E6"/>
    <w:rsid w:val="00D5106A"/>
    <w:rsid w:val="00D524F2"/>
    <w:rsid w:val="00D576B8"/>
    <w:rsid w:val="00D60629"/>
    <w:rsid w:val="00D6179D"/>
    <w:rsid w:val="00D62D24"/>
    <w:rsid w:val="00D66894"/>
    <w:rsid w:val="00D67482"/>
    <w:rsid w:val="00D82222"/>
    <w:rsid w:val="00D826E0"/>
    <w:rsid w:val="00D82CE4"/>
    <w:rsid w:val="00D83164"/>
    <w:rsid w:val="00D87471"/>
    <w:rsid w:val="00D878E1"/>
    <w:rsid w:val="00D90F71"/>
    <w:rsid w:val="00D95818"/>
    <w:rsid w:val="00D96A53"/>
    <w:rsid w:val="00D974D8"/>
    <w:rsid w:val="00DA5559"/>
    <w:rsid w:val="00DA7B1A"/>
    <w:rsid w:val="00DB08E0"/>
    <w:rsid w:val="00DB318D"/>
    <w:rsid w:val="00DB3A68"/>
    <w:rsid w:val="00DB42B3"/>
    <w:rsid w:val="00DC3C85"/>
    <w:rsid w:val="00DD2313"/>
    <w:rsid w:val="00DD2F46"/>
    <w:rsid w:val="00DD522C"/>
    <w:rsid w:val="00DE1FA7"/>
    <w:rsid w:val="00DE4CBE"/>
    <w:rsid w:val="00DE7695"/>
    <w:rsid w:val="00DF2D81"/>
    <w:rsid w:val="00DF3181"/>
    <w:rsid w:val="00E00B62"/>
    <w:rsid w:val="00E01645"/>
    <w:rsid w:val="00E02DA5"/>
    <w:rsid w:val="00E0320A"/>
    <w:rsid w:val="00E047CA"/>
    <w:rsid w:val="00E0703A"/>
    <w:rsid w:val="00E07DFD"/>
    <w:rsid w:val="00E10A51"/>
    <w:rsid w:val="00E14725"/>
    <w:rsid w:val="00E170D8"/>
    <w:rsid w:val="00E17265"/>
    <w:rsid w:val="00E232B5"/>
    <w:rsid w:val="00E24EAA"/>
    <w:rsid w:val="00E24F4B"/>
    <w:rsid w:val="00E25AA4"/>
    <w:rsid w:val="00E270FC"/>
    <w:rsid w:val="00E40AA9"/>
    <w:rsid w:val="00E41396"/>
    <w:rsid w:val="00E423F7"/>
    <w:rsid w:val="00E44B1D"/>
    <w:rsid w:val="00E4594C"/>
    <w:rsid w:val="00E47866"/>
    <w:rsid w:val="00E5144E"/>
    <w:rsid w:val="00E53B60"/>
    <w:rsid w:val="00E54017"/>
    <w:rsid w:val="00E54C96"/>
    <w:rsid w:val="00E55D12"/>
    <w:rsid w:val="00E5639B"/>
    <w:rsid w:val="00E62090"/>
    <w:rsid w:val="00E62B85"/>
    <w:rsid w:val="00E6473F"/>
    <w:rsid w:val="00E655A0"/>
    <w:rsid w:val="00E703A4"/>
    <w:rsid w:val="00E705F0"/>
    <w:rsid w:val="00E70C18"/>
    <w:rsid w:val="00E71CF2"/>
    <w:rsid w:val="00E774FE"/>
    <w:rsid w:val="00E815CF"/>
    <w:rsid w:val="00E81D8C"/>
    <w:rsid w:val="00E85C9E"/>
    <w:rsid w:val="00E8613F"/>
    <w:rsid w:val="00E86D88"/>
    <w:rsid w:val="00E901F3"/>
    <w:rsid w:val="00E928F3"/>
    <w:rsid w:val="00E95585"/>
    <w:rsid w:val="00E9588A"/>
    <w:rsid w:val="00EA00A3"/>
    <w:rsid w:val="00EA32F7"/>
    <w:rsid w:val="00EA3EBF"/>
    <w:rsid w:val="00EA45EC"/>
    <w:rsid w:val="00EA4F63"/>
    <w:rsid w:val="00EA5744"/>
    <w:rsid w:val="00EA74D2"/>
    <w:rsid w:val="00EB072E"/>
    <w:rsid w:val="00EB2D37"/>
    <w:rsid w:val="00EB2EA1"/>
    <w:rsid w:val="00EB2F0F"/>
    <w:rsid w:val="00EB5C97"/>
    <w:rsid w:val="00EB7C15"/>
    <w:rsid w:val="00EC04F4"/>
    <w:rsid w:val="00EC0BC2"/>
    <w:rsid w:val="00EC2655"/>
    <w:rsid w:val="00EC36BF"/>
    <w:rsid w:val="00EC37B0"/>
    <w:rsid w:val="00EC5292"/>
    <w:rsid w:val="00EC70A3"/>
    <w:rsid w:val="00EC7D08"/>
    <w:rsid w:val="00ED0D41"/>
    <w:rsid w:val="00ED1193"/>
    <w:rsid w:val="00ED1E85"/>
    <w:rsid w:val="00ED4852"/>
    <w:rsid w:val="00ED4D28"/>
    <w:rsid w:val="00ED5F94"/>
    <w:rsid w:val="00ED7B28"/>
    <w:rsid w:val="00EE3A59"/>
    <w:rsid w:val="00EE43DB"/>
    <w:rsid w:val="00EE709A"/>
    <w:rsid w:val="00EF0892"/>
    <w:rsid w:val="00EF139A"/>
    <w:rsid w:val="00EF2946"/>
    <w:rsid w:val="00EF53E9"/>
    <w:rsid w:val="00EF5B63"/>
    <w:rsid w:val="00EF5E2A"/>
    <w:rsid w:val="00EF6DCE"/>
    <w:rsid w:val="00F02483"/>
    <w:rsid w:val="00F07084"/>
    <w:rsid w:val="00F11ADE"/>
    <w:rsid w:val="00F1257E"/>
    <w:rsid w:val="00F15007"/>
    <w:rsid w:val="00F175D9"/>
    <w:rsid w:val="00F21311"/>
    <w:rsid w:val="00F2652E"/>
    <w:rsid w:val="00F26E64"/>
    <w:rsid w:val="00F3768F"/>
    <w:rsid w:val="00F40BF5"/>
    <w:rsid w:val="00F429F4"/>
    <w:rsid w:val="00F46696"/>
    <w:rsid w:val="00F47391"/>
    <w:rsid w:val="00F477A9"/>
    <w:rsid w:val="00F52388"/>
    <w:rsid w:val="00F5508D"/>
    <w:rsid w:val="00F6102C"/>
    <w:rsid w:val="00F615F5"/>
    <w:rsid w:val="00F6319E"/>
    <w:rsid w:val="00F653D0"/>
    <w:rsid w:val="00F66719"/>
    <w:rsid w:val="00F6693E"/>
    <w:rsid w:val="00F764E0"/>
    <w:rsid w:val="00F8718F"/>
    <w:rsid w:val="00F87B09"/>
    <w:rsid w:val="00F90623"/>
    <w:rsid w:val="00F90A9F"/>
    <w:rsid w:val="00F92563"/>
    <w:rsid w:val="00F94D2E"/>
    <w:rsid w:val="00F952D5"/>
    <w:rsid w:val="00F9754F"/>
    <w:rsid w:val="00FA79C4"/>
    <w:rsid w:val="00FA7A0F"/>
    <w:rsid w:val="00FB1B0B"/>
    <w:rsid w:val="00FB6F29"/>
    <w:rsid w:val="00FC0621"/>
    <w:rsid w:val="00FC0A1B"/>
    <w:rsid w:val="00FC71D4"/>
    <w:rsid w:val="00FD0282"/>
    <w:rsid w:val="00FD029D"/>
    <w:rsid w:val="00FD5594"/>
    <w:rsid w:val="00FD6E1A"/>
    <w:rsid w:val="00FD6FE0"/>
    <w:rsid w:val="00FD7333"/>
    <w:rsid w:val="00FD74AA"/>
    <w:rsid w:val="00FD77FE"/>
    <w:rsid w:val="00FD7FCA"/>
    <w:rsid w:val="00FE2541"/>
    <w:rsid w:val="00FE2E54"/>
    <w:rsid w:val="00FE4EC5"/>
    <w:rsid w:val="00FF065C"/>
    <w:rsid w:val="00FF5ACC"/>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9C5ED82"/>
  <w15:docId w15:val="{929DA534-F4AF-4183-94C5-C5905303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C2B"/>
    <w:pPr>
      <w:ind w:left="720"/>
      <w:contextualSpacing/>
    </w:pPr>
  </w:style>
  <w:style w:type="character" w:styleId="CommentReference">
    <w:name w:val="annotation reference"/>
    <w:basedOn w:val="DefaultParagraphFont"/>
    <w:uiPriority w:val="99"/>
    <w:semiHidden/>
    <w:unhideWhenUsed/>
    <w:rsid w:val="001F5C7F"/>
    <w:rPr>
      <w:sz w:val="16"/>
      <w:szCs w:val="16"/>
    </w:rPr>
  </w:style>
  <w:style w:type="paragraph" w:styleId="CommentText">
    <w:name w:val="annotation text"/>
    <w:basedOn w:val="Normal"/>
    <w:link w:val="CommentTextChar"/>
    <w:uiPriority w:val="99"/>
    <w:unhideWhenUsed/>
    <w:rsid w:val="001F5C7F"/>
    <w:pPr>
      <w:spacing w:line="240" w:lineRule="auto"/>
    </w:pPr>
    <w:rPr>
      <w:sz w:val="20"/>
      <w:szCs w:val="20"/>
    </w:rPr>
  </w:style>
  <w:style w:type="character" w:customStyle="1" w:styleId="CommentTextChar">
    <w:name w:val="Comment Text Char"/>
    <w:basedOn w:val="DefaultParagraphFont"/>
    <w:link w:val="CommentText"/>
    <w:uiPriority w:val="99"/>
    <w:rsid w:val="001F5C7F"/>
    <w:rPr>
      <w:sz w:val="20"/>
      <w:szCs w:val="20"/>
    </w:rPr>
  </w:style>
  <w:style w:type="paragraph" w:styleId="CommentSubject">
    <w:name w:val="annotation subject"/>
    <w:basedOn w:val="CommentText"/>
    <w:next w:val="CommentText"/>
    <w:link w:val="CommentSubjectChar"/>
    <w:uiPriority w:val="99"/>
    <w:semiHidden/>
    <w:unhideWhenUsed/>
    <w:rsid w:val="001F5C7F"/>
    <w:rPr>
      <w:b/>
      <w:bCs/>
    </w:rPr>
  </w:style>
  <w:style w:type="character" w:customStyle="1" w:styleId="CommentSubjectChar">
    <w:name w:val="Comment Subject Char"/>
    <w:basedOn w:val="CommentTextChar"/>
    <w:link w:val="CommentSubject"/>
    <w:uiPriority w:val="99"/>
    <w:semiHidden/>
    <w:rsid w:val="001F5C7F"/>
    <w:rPr>
      <w:b/>
      <w:bCs/>
      <w:sz w:val="20"/>
      <w:szCs w:val="20"/>
    </w:rPr>
  </w:style>
  <w:style w:type="paragraph" w:styleId="BalloonText">
    <w:name w:val="Balloon Text"/>
    <w:basedOn w:val="Normal"/>
    <w:link w:val="BalloonTextChar"/>
    <w:uiPriority w:val="99"/>
    <w:semiHidden/>
    <w:unhideWhenUsed/>
    <w:rsid w:val="001F5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C7F"/>
    <w:rPr>
      <w:rFonts w:ascii="Tahoma" w:hAnsi="Tahoma" w:cs="Tahoma"/>
      <w:sz w:val="16"/>
      <w:szCs w:val="16"/>
    </w:rPr>
  </w:style>
  <w:style w:type="character" w:styleId="Strong">
    <w:name w:val="Strong"/>
    <w:basedOn w:val="DefaultParagraphFont"/>
    <w:uiPriority w:val="22"/>
    <w:qFormat/>
    <w:rsid w:val="009D132D"/>
    <w:rPr>
      <w:b/>
      <w:bCs/>
    </w:rPr>
  </w:style>
  <w:style w:type="character" w:styleId="Emphasis">
    <w:name w:val="Emphasis"/>
    <w:basedOn w:val="DefaultParagraphFont"/>
    <w:uiPriority w:val="20"/>
    <w:qFormat/>
    <w:rsid w:val="009D132D"/>
    <w:rPr>
      <w:i/>
      <w:iCs/>
    </w:rPr>
  </w:style>
  <w:style w:type="paragraph" w:customStyle="1" w:styleId="Default">
    <w:name w:val="Default"/>
    <w:rsid w:val="00E4139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D7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4AA"/>
    <w:rPr>
      <w:sz w:val="20"/>
      <w:szCs w:val="20"/>
    </w:rPr>
  </w:style>
  <w:style w:type="character" w:styleId="FootnoteReference">
    <w:name w:val="footnote reference"/>
    <w:basedOn w:val="DefaultParagraphFont"/>
    <w:uiPriority w:val="99"/>
    <w:semiHidden/>
    <w:unhideWhenUsed/>
    <w:rsid w:val="00FD74AA"/>
    <w:rPr>
      <w:vertAlign w:val="superscript"/>
    </w:rPr>
  </w:style>
  <w:style w:type="paragraph" w:styleId="Header">
    <w:name w:val="header"/>
    <w:basedOn w:val="Normal"/>
    <w:link w:val="HeaderChar"/>
    <w:uiPriority w:val="99"/>
    <w:unhideWhenUsed/>
    <w:rsid w:val="00E95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88A"/>
  </w:style>
  <w:style w:type="paragraph" w:styleId="Footer">
    <w:name w:val="footer"/>
    <w:basedOn w:val="Normal"/>
    <w:link w:val="FooterChar"/>
    <w:uiPriority w:val="99"/>
    <w:unhideWhenUsed/>
    <w:rsid w:val="00E95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88A"/>
  </w:style>
  <w:style w:type="paragraph" w:styleId="EndnoteText">
    <w:name w:val="endnote text"/>
    <w:basedOn w:val="Normal"/>
    <w:link w:val="EndnoteTextChar"/>
    <w:uiPriority w:val="99"/>
    <w:semiHidden/>
    <w:unhideWhenUsed/>
    <w:rsid w:val="00973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69D"/>
    <w:rPr>
      <w:sz w:val="20"/>
      <w:szCs w:val="20"/>
    </w:rPr>
  </w:style>
  <w:style w:type="character" w:styleId="EndnoteReference">
    <w:name w:val="endnote reference"/>
    <w:basedOn w:val="DefaultParagraphFont"/>
    <w:uiPriority w:val="99"/>
    <w:semiHidden/>
    <w:unhideWhenUsed/>
    <w:rsid w:val="0097369D"/>
    <w:rPr>
      <w:vertAlign w:val="superscript"/>
    </w:rPr>
  </w:style>
  <w:style w:type="character" w:styleId="Hyperlink">
    <w:name w:val="Hyperlink"/>
    <w:basedOn w:val="DefaultParagraphFont"/>
    <w:uiPriority w:val="99"/>
    <w:unhideWhenUsed/>
    <w:rsid w:val="00217DDA"/>
    <w:rPr>
      <w:color w:val="0000FF"/>
      <w:u w:val="single"/>
    </w:rPr>
  </w:style>
  <w:style w:type="paragraph" w:customStyle="1" w:styleId="EndNoteBibliographyTitle">
    <w:name w:val="EndNote Bibliography Title"/>
    <w:basedOn w:val="Normal"/>
    <w:link w:val="EndNoteBibliographyTitleChar"/>
    <w:rsid w:val="00F1257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1257E"/>
    <w:rPr>
      <w:rFonts w:ascii="Calibri" w:hAnsi="Calibri" w:cs="Calibri"/>
      <w:noProof/>
      <w:lang w:val="en-US"/>
    </w:rPr>
  </w:style>
  <w:style w:type="paragraph" w:customStyle="1" w:styleId="EndNoteBibliography">
    <w:name w:val="EndNote Bibliography"/>
    <w:basedOn w:val="Normal"/>
    <w:link w:val="EndNoteBibliographyChar"/>
    <w:rsid w:val="00F1257E"/>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1257E"/>
    <w:rPr>
      <w:rFonts w:ascii="Calibri" w:hAnsi="Calibri" w:cs="Calibri"/>
      <w:noProof/>
      <w:lang w:val="en-US"/>
    </w:rPr>
  </w:style>
  <w:style w:type="paragraph" w:styleId="NormalWeb">
    <w:name w:val="Normal (Web)"/>
    <w:basedOn w:val="Normal"/>
    <w:uiPriority w:val="99"/>
    <w:semiHidden/>
    <w:unhideWhenUsed/>
    <w:rsid w:val="00A9728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9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2696">
      <w:bodyDiv w:val="1"/>
      <w:marLeft w:val="0"/>
      <w:marRight w:val="0"/>
      <w:marTop w:val="0"/>
      <w:marBottom w:val="0"/>
      <w:divBdr>
        <w:top w:val="none" w:sz="0" w:space="0" w:color="auto"/>
        <w:left w:val="none" w:sz="0" w:space="0" w:color="auto"/>
        <w:bottom w:val="none" w:sz="0" w:space="0" w:color="auto"/>
        <w:right w:val="none" w:sz="0" w:space="0" w:color="auto"/>
      </w:divBdr>
    </w:div>
    <w:div w:id="403769355">
      <w:bodyDiv w:val="1"/>
      <w:marLeft w:val="0"/>
      <w:marRight w:val="0"/>
      <w:marTop w:val="0"/>
      <w:marBottom w:val="0"/>
      <w:divBdr>
        <w:top w:val="none" w:sz="0" w:space="0" w:color="auto"/>
        <w:left w:val="none" w:sz="0" w:space="0" w:color="auto"/>
        <w:bottom w:val="none" w:sz="0" w:space="0" w:color="auto"/>
        <w:right w:val="none" w:sz="0" w:space="0" w:color="auto"/>
      </w:divBdr>
      <w:divsChild>
        <w:div w:id="1061244760">
          <w:marLeft w:val="0"/>
          <w:marRight w:val="0"/>
          <w:marTop w:val="0"/>
          <w:marBottom w:val="0"/>
          <w:divBdr>
            <w:top w:val="none" w:sz="0" w:space="0" w:color="auto"/>
            <w:left w:val="none" w:sz="0" w:space="0" w:color="auto"/>
            <w:bottom w:val="none" w:sz="0" w:space="0" w:color="auto"/>
            <w:right w:val="none" w:sz="0" w:space="0" w:color="auto"/>
          </w:divBdr>
        </w:div>
        <w:div w:id="134225623">
          <w:marLeft w:val="0"/>
          <w:marRight w:val="0"/>
          <w:marTop w:val="0"/>
          <w:marBottom w:val="0"/>
          <w:divBdr>
            <w:top w:val="none" w:sz="0" w:space="0" w:color="auto"/>
            <w:left w:val="none" w:sz="0" w:space="0" w:color="auto"/>
            <w:bottom w:val="none" w:sz="0" w:space="0" w:color="auto"/>
            <w:right w:val="none" w:sz="0" w:space="0" w:color="auto"/>
          </w:divBdr>
        </w:div>
        <w:div w:id="762342913">
          <w:marLeft w:val="0"/>
          <w:marRight w:val="0"/>
          <w:marTop w:val="0"/>
          <w:marBottom w:val="0"/>
          <w:divBdr>
            <w:top w:val="none" w:sz="0" w:space="0" w:color="auto"/>
            <w:left w:val="none" w:sz="0" w:space="0" w:color="auto"/>
            <w:bottom w:val="none" w:sz="0" w:space="0" w:color="auto"/>
            <w:right w:val="none" w:sz="0" w:space="0" w:color="auto"/>
          </w:divBdr>
        </w:div>
        <w:div w:id="1175655627">
          <w:marLeft w:val="0"/>
          <w:marRight w:val="0"/>
          <w:marTop w:val="0"/>
          <w:marBottom w:val="0"/>
          <w:divBdr>
            <w:top w:val="none" w:sz="0" w:space="0" w:color="auto"/>
            <w:left w:val="none" w:sz="0" w:space="0" w:color="auto"/>
            <w:bottom w:val="none" w:sz="0" w:space="0" w:color="auto"/>
            <w:right w:val="none" w:sz="0" w:space="0" w:color="auto"/>
          </w:divBdr>
        </w:div>
        <w:div w:id="878666639">
          <w:marLeft w:val="0"/>
          <w:marRight w:val="0"/>
          <w:marTop w:val="0"/>
          <w:marBottom w:val="0"/>
          <w:divBdr>
            <w:top w:val="none" w:sz="0" w:space="0" w:color="auto"/>
            <w:left w:val="none" w:sz="0" w:space="0" w:color="auto"/>
            <w:bottom w:val="none" w:sz="0" w:space="0" w:color="auto"/>
            <w:right w:val="none" w:sz="0" w:space="0" w:color="auto"/>
          </w:divBdr>
        </w:div>
      </w:divsChild>
    </w:div>
    <w:div w:id="461466092">
      <w:bodyDiv w:val="1"/>
      <w:marLeft w:val="0"/>
      <w:marRight w:val="0"/>
      <w:marTop w:val="0"/>
      <w:marBottom w:val="0"/>
      <w:divBdr>
        <w:top w:val="none" w:sz="0" w:space="0" w:color="auto"/>
        <w:left w:val="none" w:sz="0" w:space="0" w:color="auto"/>
        <w:bottom w:val="none" w:sz="0" w:space="0" w:color="auto"/>
        <w:right w:val="none" w:sz="0" w:space="0" w:color="auto"/>
      </w:divBdr>
    </w:div>
    <w:div w:id="540362153">
      <w:bodyDiv w:val="1"/>
      <w:marLeft w:val="0"/>
      <w:marRight w:val="0"/>
      <w:marTop w:val="0"/>
      <w:marBottom w:val="0"/>
      <w:divBdr>
        <w:top w:val="none" w:sz="0" w:space="0" w:color="auto"/>
        <w:left w:val="none" w:sz="0" w:space="0" w:color="auto"/>
        <w:bottom w:val="none" w:sz="0" w:space="0" w:color="auto"/>
        <w:right w:val="none" w:sz="0" w:space="0" w:color="auto"/>
      </w:divBdr>
    </w:div>
    <w:div w:id="911699608">
      <w:bodyDiv w:val="1"/>
      <w:marLeft w:val="0"/>
      <w:marRight w:val="0"/>
      <w:marTop w:val="0"/>
      <w:marBottom w:val="0"/>
      <w:divBdr>
        <w:top w:val="none" w:sz="0" w:space="0" w:color="auto"/>
        <w:left w:val="none" w:sz="0" w:space="0" w:color="auto"/>
        <w:bottom w:val="none" w:sz="0" w:space="0" w:color="auto"/>
        <w:right w:val="none" w:sz="0" w:space="0" w:color="auto"/>
      </w:divBdr>
      <w:divsChild>
        <w:div w:id="1522863149">
          <w:marLeft w:val="0"/>
          <w:marRight w:val="0"/>
          <w:marTop w:val="0"/>
          <w:marBottom w:val="0"/>
          <w:divBdr>
            <w:top w:val="none" w:sz="0" w:space="0" w:color="auto"/>
            <w:left w:val="none" w:sz="0" w:space="0" w:color="auto"/>
            <w:bottom w:val="none" w:sz="0" w:space="0" w:color="auto"/>
            <w:right w:val="none" w:sz="0" w:space="0" w:color="auto"/>
          </w:divBdr>
        </w:div>
        <w:div w:id="642196711">
          <w:marLeft w:val="0"/>
          <w:marRight w:val="0"/>
          <w:marTop w:val="0"/>
          <w:marBottom w:val="0"/>
          <w:divBdr>
            <w:top w:val="none" w:sz="0" w:space="0" w:color="auto"/>
            <w:left w:val="none" w:sz="0" w:space="0" w:color="auto"/>
            <w:bottom w:val="none" w:sz="0" w:space="0" w:color="auto"/>
            <w:right w:val="none" w:sz="0" w:space="0" w:color="auto"/>
          </w:divBdr>
        </w:div>
        <w:div w:id="1200124104">
          <w:marLeft w:val="0"/>
          <w:marRight w:val="0"/>
          <w:marTop w:val="0"/>
          <w:marBottom w:val="0"/>
          <w:divBdr>
            <w:top w:val="none" w:sz="0" w:space="0" w:color="auto"/>
            <w:left w:val="none" w:sz="0" w:space="0" w:color="auto"/>
            <w:bottom w:val="none" w:sz="0" w:space="0" w:color="auto"/>
            <w:right w:val="none" w:sz="0" w:space="0" w:color="auto"/>
          </w:divBdr>
        </w:div>
        <w:div w:id="1193231870">
          <w:marLeft w:val="0"/>
          <w:marRight w:val="0"/>
          <w:marTop w:val="0"/>
          <w:marBottom w:val="0"/>
          <w:divBdr>
            <w:top w:val="none" w:sz="0" w:space="0" w:color="auto"/>
            <w:left w:val="none" w:sz="0" w:space="0" w:color="auto"/>
            <w:bottom w:val="none" w:sz="0" w:space="0" w:color="auto"/>
            <w:right w:val="none" w:sz="0" w:space="0" w:color="auto"/>
          </w:divBdr>
        </w:div>
        <w:div w:id="981927546">
          <w:marLeft w:val="0"/>
          <w:marRight w:val="0"/>
          <w:marTop w:val="0"/>
          <w:marBottom w:val="0"/>
          <w:divBdr>
            <w:top w:val="none" w:sz="0" w:space="0" w:color="auto"/>
            <w:left w:val="none" w:sz="0" w:space="0" w:color="auto"/>
            <w:bottom w:val="none" w:sz="0" w:space="0" w:color="auto"/>
            <w:right w:val="none" w:sz="0" w:space="0" w:color="auto"/>
          </w:divBdr>
        </w:div>
        <w:div w:id="181212871">
          <w:marLeft w:val="0"/>
          <w:marRight w:val="0"/>
          <w:marTop w:val="0"/>
          <w:marBottom w:val="0"/>
          <w:divBdr>
            <w:top w:val="none" w:sz="0" w:space="0" w:color="auto"/>
            <w:left w:val="none" w:sz="0" w:space="0" w:color="auto"/>
            <w:bottom w:val="none" w:sz="0" w:space="0" w:color="auto"/>
            <w:right w:val="none" w:sz="0" w:space="0" w:color="auto"/>
          </w:divBdr>
        </w:div>
        <w:div w:id="1553692213">
          <w:marLeft w:val="0"/>
          <w:marRight w:val="0"/>
          <w:marTop w:val="0"/>
          <w:marBottom w:val="0"/>
          <w:divBdr>
            <w:top w:val="none" w:sz="0" w:space="0" w:color="auto"/>
            <w:left w:val="none" w:sz="0" w:space="0" w:color="auto"/>
            <w:bottom w:val="none" w:sz="0" w:space="0" w:color="auto"/>
            <w:right w:val="none" w:sz="0" w:space="0" w:color="auto"/>
          </w:divBdr>
        </w:div>
        <w:div w:id="2131245916">
          <w:marLeft w:val="0"/>
          <w:marRight w:val="0"/>
          <w:marTop w:val="0"/>
          <w:marBottom w:val="0"/>
          <w:divBdr>
            <w:top w:val="none" w:sz="0" w:space="0" w:color="auto"/>
            <w:left w:val="none" w:sz="0" w:space="0" w:color="auto"/>
            <w:bottom w:val="none" w:sz="0" w:space="0" w:color="auto"/>
            <w:right w:val="none" w:sz="0" w:space="0" w:color="auto"/>
          </w:divBdr>
        </w:div>
        <w:div w:id="1406344375">
          <w:marLeft w:val="0"/>
          <w:marRight w:val="0"/>
          <w:marTop w:val="0"/>
          <w:marBottom w:val="0"/>
          <w:divBdr>
            <w:top w:val="none" w:sz="0" w:space="0" w:color="auto"/>
            <w:left w:val="none" w:sz="0" w:space="0" w:color="auto"/>
            <w:bottom w:val="none" w:sz="0" w:space="0" w:color="auto"/>
            <w:right w:val="none" w:sz="0" w:space="0" w:color="auto"/>
          </w:divBdr>
        </w:div>
      </w:divsChild>
    </w:div>
    <w:div w:id="933243595">
      <w:bodyDiv w:val="1"/>
      <w:marLeft w:val="0"/>
      <w:marRight w:val="0"/>
      <w:marTop w:val="0"/>
      <w:marBottom w:val="0"/>
      <w:divBdr>
        <w:top w:val="none" w:sz="0" w:space="0" w:color="auto"/>
        <w:left w:val="none" w:sz="0" w:space="0" w:color="auto"/>
        <w:bottom w:val="none" w:sz="0" w:space="0" w:color="auto"/>
        <w:right w:val="none" w:sz="0" w:space="0" w:color="auto"/>
      </w:divBdr>
    </w:div>
    <w:div w:id="934244468">
      <w:bodyDiv w:val="1"/>
      <w:marLeft w:val="0"/>
      <w:marRight w:val="0"/>
      <w:marTop w:val="0"/>
      <w:marBottom w:val="0"/>
      <w:divBdr>
        <w:top w:val="none" w:sz="0" w:space="0" w:color="auto"/>
        <w:left w:val="none" w:sz="0" w:space="0" w:color="auto"/>
        <w:bottom w:val="none" w:sz="0" w:space="0" w:color="auto"/>
        <w:right w:val="none" w:sz="0" w:space="0" w:color="auto"/>
      </w:divBdr>
    </w:div>
    <w:div w:id="1303849906">
      <w:bodyDiv w:val="1"/>
      <w:marLeft w:val="0"/>
      <w:marRight w:val="0"/>
      <w:marTop w:val="0"/>
      <w:marBottom w:val="0"/>
      <w:divBdr>
        <w:top w:val="none" w:sz="0" w:space="0" w:color="auto"/>
        <w:left w:val="none" w:sz="0" w:space="0" w:color="auto"/>
        <w:bottom w:val="none" w:sz="0" w:space="0" w:color="auto"/>
        <w:right w:val="none" w:sz="0" w:space="0" w:color="auto"/>
      </w:divBdr>
      <w:divsChild>
        <w:div w:id="1871599908">
          <w:marLeft w:val="0"/>
          <w:marRight w:val="0"/>
          <w:marTop w:val="0"/>
          <w:marBottom w:val="0"/>
          <w:divBdr>
            <w:top w:val="none" w:sz="0" w:space="0" w:color="auto"/>
            <w:left w:val="none" w:sz="0" w:space="0" w:color="auto"/>
            <w:bottom w:val="none" w:sz="0" w:space="0" w:color="auto"/>
            <w:right w:val="none" w:sz="0" w:space="0" w:color="auto"/>
          </w:divBdr>
          <w:divsChild>
            <w:div w:id="2106608477">
              <w:marLeft w:val="0"/>
              <w:marRight w:val="0"/>
              <w:marTop w:val="0"/>
              <w:marBottom w:val="0"/>
              <w:divBdr>
                <w:top w:val="none" w:sz="0" w:space="0" w:color="auto"/>
                <w:left w:val="none" w:sz="0" w:space="0" w:color="auto"/>
                <w:bottom w:val="none" w:sz="0" w:space="0" w:color="auto"/>
                <w:right w:val="none" w:sz="0" w:space="0" w:color="auto"/>
              </w:divBdr>
            </w:div>
            <w:div w:id="1334526770">
              <w:marLeft w:val="0"/>
              <w:marRight w:val="0"/>
              <w:marTop w:val="0"/>
              <w:marBottom w:val="0"/>
              <w:divBdr>
                <w:top w:val="none" w:sz="0" w:space="0" w:color="auto"/>
                <w:left w:val="none" w:sz="0" w:space="0" w:color="auto"/>
                <w:bottom w:val="none" w:sz="0" w:space="0" w:color="auto"/>
                <w:right w:val="none" w:sz="0" w:space="0" w:color="auto"/>
              </w:divBdr>
            </w:div>
            <w:div w:id="1699116059">
              <w:marLeft w:val="0"/>
              <w:marRight w:val="0"/>
              <w:marTop w:val="0"/>
              <w:marBottom w:val="0"/>
              <w:divBdr>
                <w:top w:val="none" w:sz="0" w:space="0" w:color="auto"/>
                <w:left w:val="none" w:sz="0" w:space="0" w:color="auto"/>
                <w:bottom w:val="none" w:sz="0" w:space="0" w:color="auto"/>
                <w:right w:val="none" w:sz="0" w:space="0" w:color="auto"/>
              </w:divBdr>
            </w:div>
            <w:div w:id="1389762093">
              <w:marLeft w:val="0"/>
              <w:marRight w:val="0"/>
              <w:marTop w:val="0"/>
              <w:marBottom w:val="0"/>
              <w:divBdr>
                <w:top w:val="none" w:sz="0" w:space="0" w:color="auto"/>
                <w:left w:val="none" w:sz="0" w:space="0" w:color="auto"/>
                <w:bottom w:val="none" w:sz="0" w:space="0" w:color="auto"/>
                <w:right w:val="none" w:sz="0" w:space="0" w:color="auto"/>
              </w:divBdr>
            </w:div>
            <w:div w:id="11244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1719">
      <w:bodyDiv w:val="1"/>
      <w:marLeft w:val="0"/>
      <w:marRight w:val="0"/>
      <w:marTop w:val="0"/>
      <w:marBottom w:val="0"/>
      <w:divBdr>
        <w:top w:val="none" w:sz="0" w:space="0" w:color="auto"/>
        <w:left w:val="none" w:sz="0" w:space="0" w:color="auto"/>
        <w:bottom w:val="none" w:sz="0" w:space="0" w:color="auto"/>
        <w:right w:val="none" w:sz="0" w:space="0" w:color="auto"/>
      </w:divBdr>
    </w:div>
    <w:div w:id="1596129482">
      <w:bodyDiv w:val="1"/>
      <w:marLeft w:val="0"/>
      <w:marRight w:val="0"/>
      <w:marTop w:val="0"/>
      <w:marBottom w:val="0"/>
      <w:divBdr>
        <w:top w:val="none" w:sz="0" w:space="0" w:color="auto"/>
        <w:left w:val="none" w:sz="0" w:space="0" w:color="auto"/>
        <w:bottom w:val="none" w:sz="0" w:space="0" w:color="auto"/>
        <w:right w:val="none" w:sz="0" w:space="0" w:color="auto"/>
      </w:divBdr>
    </w:div>
    <w:div w:id="1764261587">
      <w:bodyDiv w:val="1"/>
      <w:marLeft w:val="0"/>
      <w:marRight w:val="0"/>
      <w:marTop w:val="0"/>
      <w:marBottom w:val="0"/>
      <w:divBdr>
        <w:top w:val="none" w:sz="0" w:space="0" w:color="auto"/>
        <w:left w:val="none" w:sz="0" w:space="0" w:color="auto"/>
        <w:bottom w:val="none" w:sz="0" w:space="0" w:color="auto"/>
        <w:right w:val="none" w:sz="0" w:space="0" w:color="auto"/>
      </w:divBdr>
    </w:div>
    <w:div w:id="2084793201">
      <w:bodyDiv w:val="1"/>
      <w:marLeft w:val="0"/>
      <w:marRight w:val="0"/>
      <w:marTop w:val="0"/>
      <w:marBottom w:val="0"/>
      <w:divBdr>
        <w:top w:val="none" w:sz="0" w:space="0" w:color="auto"/>
        <w:left w:val="none" w:sz="0" w:space="0" w:color="auto"/>
        <w:bottom w:val="none" w:sz="0" w:space="0" w:color="auto"/>
        <w:right w:val="none" w:sz="0" w:space="0" w:color="auto"/>
      </w:divBdr>
      <w:divsChild>
        <w:div w:id="135539034">
          <w:marLeft w:val="0"/>
          <w:marRight w:val="0"/>
          <w:marTop w:val="0"/>
          <w:marBottom w:val="0"/>
          <w:divBdr>
            <w:top w:val="none" w:sz="0" w:space="0" w:color="auto"/>
            <w:left w:val="none" w:sz="0" w:space="0" w:color="auto"/>
            <w:bottom w:val="none" w:sz="0" w:space="0" w:color="auto"/>
            <w:right w:val="none" w:sz="0" w:space="0" w:color="auto"/>
          </w:divBdr>
          <w:divsChild>
            <w:div w:id="144207760">
              <w:marLeft w:val="0"/>
              <w:marRight w:val="0"/>
              <w:marTop w:val="0"/>
              <w:marBottom w:val="0"/>
              <w:divBdr>
                <w:top w:val="none" w:sz="0" w:space="0" w:color="auto"/>
                <w:left w:val="none" w:sz="0" w:space="0" w:color="auto"/>
                <w:bottom w:val="none" w:sz="0" w:space="0" w:color="auto"/>
                <w:right w:val="none" w:sz="0" w:space="0" w:color="auto"/>
              </w:divBdr>
            </w:div>
            <w:div w:id="327101521">
              <w:marLeft w:val="0"/>
              <w:marRight w:val="0"/>
              <w:marTop w:val="0"/>
              <w:marBottom w:val="0"/>
              <w:divBdr>
                <w:top w:val="none" w:sz="0" w:space="0" w:color="auto"/>
                <w:left w:val="none" w:sz="0" w:space="0" w:color="auto"/>
                <w:bottom w:val="none" w:sz="0" w:space="0" w:color="auto"/>
                <w:right w:val="none" w:sz="0" w:space="0" w:color="auto"/>
              </w:divBdr>
            </w:div>
            <w:div w:id="1053237092">
              <w:marLeft w:val="0"/>
              <w:marRight w:val="0"/>
              <w:marTop w:val="0"/>
              <w:marBottom w:val="0"/>
              <w:divBdr>
                <w:top w:val="none" w:sz="0" w:space="0" w:color="auto"/>
                <w:left w:val="none" w:sz="0" w:space="0" w:color="auto"/>
                <w:bottom w:val="none" w:sz="0" w:space="0" w:color="auto"/>
                <w:right w:val="none" w:sz="0" w:space="0" w:color="auto"/>
              </w:divBdr>
            </w:div>
            <w:div w:id="1313756291">
              <w:marLeft w:val="0"/>
              <w:marRight w:val="0"/>
              <w:marTop w:val="0"/>
              <w:marBottom w:val="0"/>
              <w:divBdr>
                <w:top w:val="none" w:sz="0" w:space="0" w:color="auto"/>
                <w:left w:val="none" w:sz="0" w:space="0" w:color="auto"/>
                <w:bottom w:val="none" w:sz="0" w:space="0" w:color="auto"/>
                <w:right w:val="none" w:sz="0" w:space="0" w:color="auto"/>
              </w:divBdr>
            </w:div>
            <w:div w:id="1399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ambridge.org/action/displayJournal?jid=H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uploads/system/uploads/attachment_data/file/288918/Letter_from_David_Bennett_on_mergers_24_January_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j.co.uk/commissioning/analysis-increase-in-procurement-and-competition-challenges/5068560.artic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j.co.uk/acute-care/trust-super-merger-shelved/5066110.article" TargetMode="External"/><Relationship Id="rId4" Type="http://schemas.openxmlformats.org/officeDocument/2006/relationships/settings" Target="settings.xml"/><Relationship Id="rId9" Type="http://schemas.openxmlformats.org/officeDocument/2006/relationships/hyperlink" Target="http://www.hsj.co.uk/disputed-branch-surgery-gets-go-ahead-from-government/5013396.articl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623A-2E95-448C-92D5-7EF14DD8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14117</Words>
  <Characters>80470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94399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Sanderson</dc:creator>
  <cp:lastModifiedBy>Marie Sanderson</cp:lastModifiedBy>
  <cp:revision>3</cp:revision>
  <cp:lastPrinted>2015-10-05T14:21:00Z</cp:lastPrinted>
  <dcterms:created xsi:type="dcterms:W3CDTF">2016-02-16T13:22:00Z</dcterms:created>
  <dcterms:modified xsi:type="dcterms:W3CDTF">2016-02-16T13:23:00Z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2128497666</vt:i4>
  </property>
</Properties>
</file>