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EACCC" w14:textId="2CED9E28" w:rsidR="0094624B" w:rsidRPr="0029445E" w:rsidRDefault="0094624B" w:rsidP="001F5621">
      <w:pPr>
        <w:spacing w:after="0" w:line="240" w:lineRule="auto"/>
        <w:rPr>
          <w:rFonts w:cs="Times New Roman"/>
          <w:b/>
          <w:sz w:val="28"/>
          <w:szCs w:val="28"/>
        </w:rPr>
      </w:pPr>
      <w:r w:rsidRPr="0029445E">
        <w:rPr>
          <w:rFonts w:cs="Times New Roman"/>
          <w:b/>
          <w:sz w:val="28"/>
          <w:szCs w:val="28"/>
        </w:rPr>
        <w:t>ORIGINAL ARTICLE</w:t>
      </w:r>
    </w:p>
    <w:p w14:paraId="2C17ED0C" w14:textId="77777777" w:rsidR="0094624B" w:rsidRPr="0029445E" w:rsidRDefault="0094624B" w:rsidP="001F5621">
      <w:pPr>
        <w:spacing w:after="0" w:line="240" w:lineRule="auto"/>
        <w:rPr>
          <w:rFonts w:cs="Times New Roman"/>
          <w:b/>
          <w:sz w:val="28"/>
          <w:szCs w:val="28"/>
        </w:rPr>
      </w:pPr>
    </w:p>
    <w:p w14:paraId="37DE7DAA" w14:textId="2A765A87" w:rsidR="001F5621" w:rsidRPr="0029445E" w:rsidRDefault="0082798D" w:rsidP="001F5621">
      <w:pPr>
        <w:spacing w:after="0" w:line="240" w:lineRule="auto"/>
        <w:rPr>
          <w:rFonts w:cs="Times New Roman"/>
          <w:b/>
          <w:sz w:val="28"/>
          <w:szCs w:val="28"/>
        </w:rPr>
      </w:pPr>
      <w:r w:rsidRPr="0029445E">
        <w:rPr>
          <w:rFonts w:cs="Times New Roman"/>
          <w:b/>
          <w:sz w:val="28"/>
          <w:szCs w:val="28"/>
        </w:rPr>
        <w:t xml:space="preserve">The incidence and importance </w:t>
      </w:r>
      <w:r w:rsidR="001F5621" w:rsidRPr="0029445E">
        <w:rPr>
          <w:rFonts w:cs="Times New Roman"/>
          <w:b/>
          <w:sz w:val="28"/>
          <w:szCs w:val="28"/>
        </w:rPr>
        <w:t xml:space="preserve">of anaemia </w:t>
      </w:r>
      <w:r w:rsidRPr="0029445E">
        <w:rPr>
          <w:rFonts w:cs="Times New Roman"/>
          <w:b/>
          <w:sz w:val="28"/>
          <w:szCs w:val="28"/>
        </w:rPr>
        <w:t>in</w:t>
      </w:r>
      <w:r w:rsidR="001F5621" w:rsidRPr="0029445E">
        <w:rPr>
          <w:rFonts w:cs="Times New Roman"/>
          <w:b/>
          <w:sz w:val="28"/>
          <w:szCs w:val="28"/>
        </w:rPr>
        <w:t xml:space="preserve"> </w:t>
      </w:r>
      <w:r w:rsidR="007B53A4" w:rsidRPr="0029445E">
        <w:rPr>
          <w:rFonts w:cs="Times New Roman"/>
          <w:b/>
          <w:sz w:val="28"/>
          <w:szCs w:val="28"/>
        </w:rPr>
        <w:t>patient</w:t>
      </w:r>
      <w:r w:rsidRPr="0029445E">
        <w:rPr>
          <w:rFonts w:cs="Times New Roman"/>
          <w:b/>
          <w:sz w:val="28"/>
          <w:szCs w:val="28"/>
        </w:rPr>
        <w:t>s</w:t>
      </w:r>
      <w:r w:rsidR="007B53A4" w:rsidRPr="0029445E">
        <w:rPr>
          <w:rFonts w:cs="Times New Roman"/>
          <w:b/>
          <w:sz w:val="28"/>
          <w:szCs w:val="28"/>
        </w:rPr>
        <w:t xml:space="preserve"> </w:t>
      </w:r>
      <w:r w:rsidRPr="0029445E">
        <w:rPr>
          <w:rFonts w:cs="Times New Roman"/>
          <w:b/>
          <w:sz w:val="28"/>
          <w:szCs w:val="28"/>
        </w:rPr>
        <w:t>undergoing</w:t>
      </w:r>
      <w:r w:rsidR="001F5621" w:rsidRPr="0029445E">
        <w:rPr>
          <w:rFonts w:cs="Times New Roman"/>
          <w:b/>
          <w:sz w:val="28"/>
          <w:szCs w:val="28"/>
        </w:rPr>
        <w:t xml:space="preserve"> cardiac surgery</w:t>
      </w:r>
      <w:r w:rsidR="00237479" w:rsidRPr="0029445E">
        <w:rPr>
          <w:rFonts w:cs="Times New Roman"/>
          <w:b/>
          <w:sz w:val="28"/>
          <w:szCs w:val="28"/>
        </w:rPr>
        <w:t xml:space="preserve"> in the UK – the first Association of Cardiothoracic Anaesthetists</w:t>
      </w:r>
      <w:r w:rsidR="001F5621" w:rsidRPr="0029445E">
        <w:rPr>
          <w:rFonts w:cs="Times New Roman"/>
          <w:b/>
          <w:sz w:val="28"/>
          <w:szCs w:val="28"/>
        </w:rPr>
        <w:t xml:space="preserve"> </w:t>
      </w:r>
      <w:r w:rsidR="00935509" w:rsidRPr="0029445E">
        <w:rPr>
          <w:rFonts w:cs="Times New Roman"/>
          <w:b/>
          <w:sz w:val="28"/>
          <w:szCs w:val="28"/>
        </w:rPr>
        <w:t>national</w:t>
      </w:r>
      <w:r w:rsidR="00237479" w:rsidRPr="0029445E">
        <w:rPr>
          <w:rFonts w:cs="Times New Roman"/>
          <w:b/>
          <w:sz w:val="28"/>
          <w:szCs w:val="28"/>
        </w:rPr>
        <w:t xml:space="preserve"> audit</w:t>
      </w:r>
      <w:r w:rsidR="00145600" w:rsidRPr="0029445E">
        <w:rPr>
          <w:rFonts w:cs="Times New Roman"/>
          <w:b/>
          <w:sz w:val="28"/>
          <w:szCs w:val="28"/>
        </w:rPr>
        <w:t>*</w:t>
      </w:r>
    </w:p>
    <w:p w14:paraId="6D87AB36" w14:textId="77777777" w:rsidR="001F5621" w:rsidRPr="0029445E" w:rsidRDefault="001F5621" w:rsidP="001F5621">
      <w:pPr>
        <w:spacing w:after="0" w:line="240" w:lineRule="auto"/>
        <w:rPr>
          <w:rFonts w:cs="Times New Roman"/>
          <w:sz w:val="28"/>
          <w:szCs w:val="28"/>
        </w:rPr>
      </w:pPr>
    </w:p>
    <w:p w14:paraId="08C02943" w14:textId="73012660" w:rsidR="001F5621" w:rsidRPr="0029445E" w:rsidRDefault="0082798D" w:rsidP="001F5621">
      <w:pPr>
        <w:spacing w:after="0" w:line="240" w:lineRule="auto"/>
        <w:rPr>
          <w:rFonts w:cs="Times New Roman"/>
          <w:b/>
          <w:i/>
        </w:rPr>
      </w:pPr>
      <w:r w:rsidRPr="0029445E">
        <w:rPr>
          <w:rFonts w:cs="Times New Roman"/>
          <w:b/>
          <w:i/>
        </w:rPr>
        <w:t>A. A. Klein</w:t>
      </w:r>
      <w:r w:rsidRPr="0029445E">
        <w:rPr>
          <w:rFonts w:cs="Times New Roman"/>
          <w:b/>
          <w:i/>
          <w:vertAlign w:val="superscript"/>
        </w:rPr>
        <w:t>1</w:t>
      </w:r>
      <w:r w:rsidRPr="0029445E">
        <w:rPr>
          <w:rFonts w:cs="Times New Roman"/>
          <w:b/>
          <w:i/>
        </w:rPr>
        <w:t>, T. J. Collier</w:t>
      </w:r>
      <w:r w:rsidRPr="0029445E">
        <w:rPr>
          <w:rFonts w:cs="Times New Roman"/>
          <w:b/>
          <w:i/>
          <w:vertAlign w:val="superscript"/>
        </w:rPr>
        <w:t>2</w:t>
      </w:r>
      <w:r w:rsidRPr="0029445E">
        <w:rPr>
          <w:rFonts w:cs="Times New Roman"/>
          <w:b/>
          <w:i/>
        </w:rPr>
        <w:t xml:space="preserve">, </w:t>
      </w:r>
      <w:r w:rsidR="00145600" w:rsidRPr="0029445E">
        <w:rPr>
          <w:rFonts w:cs="Times New Roman"/>
          <w:b/>
          <w:i/>
        </w:rPr>
        <w:t>M. S. Brar</w:t>
      </w:r>
      <w:r w:rsidRPr="0029445E">
        <w:rPr>
          <w:rFonts w:cs="Times New Roman"/>
          <w:b/>
          <w:i/>
          <w:vertAlign w:val="superscript"/>
        </w:rPr>
        <w:t>3</w:t>
      </w:r>
      <w:r w:rsidR="00331D74" w:rsidRPr="0029445E">
        <w:rPr>
          <w:rFonts w:cs="Times New Roman"/>
          <w:b/>
          <w:i/>
        </w:rPr>
        <w:t>,</w:t>
      </w:r>
      <w:r w:rsidR="00996354" w:rsidRPr="0029445E">
        <w:rPr>
          <w:rFonts w:cs="Times New Roman"/>
          <w:b/>
          <w:i/>
          <w:vertAlign w:val="superscript"/>
        </w:rPr>
        <w:t xml:space="preserve"> </w:t>
      </w:r>
      <w:r w:rsidR="0002798E" w:rsidRPr="0029445E">
        <w:rPr>
          <w:rFonts w:cs="Times New Roman"/>
          <w:b/>
          <w:i/>
        </w:rPr>
        <w:t>C. Evans</w:t>
      </w:r>
      <w:r w:rsidR="0002798E" w:rsidRPr="0029445E">
        <w:rPr>
          <w:rFonts w:cs="Times New Roman"/>
          <w:b/>
          <w:i/>
          <w:vertAlign w:val="superscript"/>
        </w:rPr>
        <w:t>4</w:t>
      </w:r>
      <w:r w:rsidR="0002798E" w:rsidRPr="0029445E">
        <w:rPr>
          <w:rFonts w:cs="Times New Roman"/>
          <w:b/>
          <w:i/>
        </w:rPr>
        <w:t>,</w:t>
      </w:r>
      <w:r w:rsidR="00506923" w:rsidRPr="0029445E">
        <w:rPr>
          <w:rFonts w:cs="Times New Roman"/>
          <w:b/>
          <w:i/>
        </w:rPr>
        <w:t xml:space="preserve"> G. Hallward</w:t>
      </w:r>
      <w:r w:rsidR="00506923" w:rsidRPr="0029445E">
        <w:rPr>
          <w:rFonts w:cs="Times New Roman"/>
          <w:b/>
          <w:i/>
          <w:vertAlign w:val="superscript"/>
        </w:rPr>
        <w:t>5</w:t>
      </w:r>
      <w:r w:rsidR="00506923" w:rsidRPr="0029445E">
        <w:rPr>
          <w:rFonts w:cs="Times New Roman"/>
          <w:b/>
          <w:i/>
        </w:rPr>
        <w:t>,</w:t>
      </w:r>
      <w:r w:rsidRPr="0029445E">
        <w:rPr>
          <w:rFonts w:cs="Times New Roman"/>
          <w:b/>
          <w:i/>
        </w:rPr>
        <w:t xml:space="preserve"> S. N. Fletcher</w:t>
      </w:r>
      <w:r w:rsidR="00506923" w:rsidRPr="0029445E">
        <w:rPr>
          <w:rFonts w:cs="Times New Roman"/>
          <w:b/>
          <w:i/>
          <w:vertAlign w:val="superscript"/>
        </w:rPr>
        <w:t>6</w:t>
      </w:r>
      <w:r w:rsidR="001B32C8" w:rsidRPr="0029445E">
        <w:rPr>
          <w:rFonts w:cs="Times New Roman"/>
          <w:b/>
          <w:i/>
        </w:rPr>
        <w:t xml:space="preserve"> and T. Richards</w:t>
      </w:r>
      <w:r w:rsidR="00506923" w:rsidRPr="0029445E">
        <w:rPr>
          <w:rFonts w:cs="Times New Roman"/>
          <w:b/>
          <w:i/>
          <w:vertAlign w:val="superscript"/>
        </w:rPr>
        <w:t>7</w:t>
      </w:r>
      <w:r w:rsidR="001F5621" w:rsidRPr="0029445E">
        <w:rPr>
          <w:rFonts w:cs="Times New Roman"/>
          <w:b/>
          <w:i/>
        </w:rPr>
        <w:t xml:space="preserve"> on behalf of the Association of Cardiothoracic Anaesthetists (ACTA)</w:t>
      </w:r>
    </w:p>
    <w:p w14:paraId="4EFB9F85" w14:textId="77777777" w:rsidR="001F5621" w:rsidRPr="0029445E" w:rsidRDefault="001F5621" w:rsidP="001F5621">
      <w:pPr>
        <w:spacing w:after="0" w:line="240" w:lineRule="auto"/>
        <w:rPr>
          <w:rFonts w:cs="Times New Roman"/>
        </w:rPr>
      </w:pPr>
    </w:p>
    <w:p w14:paraId="03CEF125" w14:textId="21A61510" w:rsidR="00A77379" w:rsidRPr="0029445E" w:rsidRDefault="00A77379" w:rsidP="001F5621">
      <w:pPr>
        <w:spacing w:after="0" w:line="240" w:lineRule="auto"/>
        <w:rPr>
          <w:rStyle w:val="Hyperlink"/>
          <w:rFonts w:ascii="Arial" w:hAnsi="Arial" w:cs="Arial"/>
          <w:color w:val="auto"/>
          <w:szCs w:val="24"/>
        </w:rPr>
      </w:pPr>
      <w:r w:rsidRPr="0029445E">
        <w:rPr>
          <w:rFonts w:ascii="Arial" w:hAnsi="Arial" w:cs="Arial"/>
          <w:szCs w:val="24"/>
        </w:rPr>
        <w:t xml:space="preserve">Note to typesetters: the 11 collaborators listed in Appendix 1 should be tagged so that they are listed on PubMed under ‘Collaborators’, as for e.g. this article: </w:t>
      </w:r>
      <w:hyperlink r:id="rId7" w:history="1">
        <w:r w:rsidRPr="0029445E">
          <w:rPr>
            <w:rStyle w:val="Hyperlink"/>
            <w:rFonts w:ascii="Arial" w:hAnsi="Arial" w:cs="Arial"/>
            <w:color w:val="auto"/>
            <w:szCs w:val="24"/>
          </w:rPr>
          <w:t>http://www.ncbi.nlm.nih.gov/pubmed/25407168</w:t>
        </w:r>
      </w:hyperlink>
    </w:p>
    <w:p w14:paraId="3AC8C3E8" w14:textId="77777777" w:rsidR="00A77379" w:rsidRPr="0029445E" w:rsidRDefault="00A77379" w:rsidP="001F5621">
      <w:pPr>
        <w:spacing w:after="0" w:line="240" w:lineRule="auto"/>
        <w:rPr>
          <w:rFonts w:cs="Times New Roman"/>
        </w:rPr>
      </w:pPr>
    </w:p>
    <w:p w14:paraId="11414E18" w14:textId="77777777" w:rsidR="00145600" w:rsidRPr="0029445E" w:rsidRDefault="00145600" w:rsidP="001F5621">
      <w:pPr>
        <w:spacing w:after="0" w:line="240" w:lineRule="auto"/>
        <w:rPr>
          <w:rFonts w:cs="Times New Roman"/>
        </w:rPr>
      </w:pPr>
    </w:p>
    <w:p w14:paraId="115DAC9D" w14:textId="77777777" w:rsidR="0082798D" w:rsidRPr="0029445E" w:rsidRDefault="0082798D" w:rsidP="0082798D">
      <w:pPr>
        <w:rPr>
          <w:rFonts w:cs="Times New Roman"/>
        </w:rPr>
      </w:pPr>
      <w:r w:rsidRPr="0029445E">
        <w:rPr>
          <w:rFonts w:cs="Times New Roman"/>
        </w:rPr>
        <w:t>1 Consultant, Department of Anaesthesia and Intensive Care, Papworth Hospital, Cambridge, UK</w:t>
      </w:r>
    </w:p>
    <w:p w14:paraId="51B3B7DC" w14:textId="77777777" w:rsidR="0082798D" w:rsidRPr="0029445E" w:rsidRDefault="0082798D" w:rsidP="0082798D">
      <w:pPr>
        <w:rPr>
          <w:rFonts w:cs="Times New Roman"/>
          <w:lang w:val="en-US"/>
        </w:rPr>
      </w:pPr>
      <w:r w:rsidRPr="0029445E">
        <w:rPr>
          <w:rFonts w:cs="Times New Roman"/>
        </w:rPr>
        <w:t xml:space="preserve">2 Senior Lecturer, </w:t>
      </w:r>
      <w:r w:rsidRPr="0029445E">
        <w:rPr>
          <w:rFonts w:cs="Times New Roman"/>
          <w:lang w:val="en-US"/>
        </w:rPr>
        <w:t>Department of Medical Statistics, London School of Hygiene and Tropical Medicine, London, UK</w:t>
      </w:r>
    </w:p>
    <w:p w14:paraId="76A14EEE" w14:textId="0AFE048E" w:rsidR="00145600" w:rsidRPr="0029445E" w:rsidRDefault="0082798D">
      <w:pPr>
        <w:rPr>
          <w:rFonts w:cs="Times New Roman"/>
        </w:rPr>
      </w:pPr>
      <w:r w:rsidRPr="0029445E">
        <w:rPr>
          <w:rFonts w:cs="Times New Roman"/>
        </w:rPr>
        <w:t>3</w:t>
      </w:r>
      <w:r w:rsidR="00145600" w:rsidRPr="0029445E">
        <w:rPr>
          <w:rFonts w:cs="Times New Roman"/>
        </w:rPr>
        <w:t xml:space="preserve"> </w:t>
      </w:r>
      <w:r w:rsidR="00874621" w:rsidRPr="0029445E">
        <w:rPr>
          <w:rFonts w:cs="Times New Roman"/>
          <w:lang w:val="en-US"/>
        </w:rPr>
        <w:t>Clinical Assistant Professor, Department of Surgery, Cumming School of Medicine, University of Calgary, Canada.</w:t>
      </w:r>
    </w:p>
    <w:p w14:paraId="17CED4BA" w14:textId="0D6705F8" w:rsidR="00331D74" w:rsidRPr="0029445E" w:rsidRDefault="00506923">
      <w:pPr>
        <w:rPr>
          <w:rFonts w:cs="Times New Roman"/>
        </w:rPr>
      </w:pPr>
      <w:r w:rsidRPr="0029445E">
        <w:rPr>
          <w:rFonts w:cs="Times New Roman"/>
        </w:rPr>
        <w:t xml:space="preserve">4 </w:t>
      </w:r>
      <w:r w:rsidR="00331D74" w:rsidRPr="0029445E">
        <w:rPr>
          <w:rFonts w:cs="Times New Roman"/>
        </w:rPr>
        <w:t>Consultant, Department of Anaesthesia, University Hospital of Wales, Cardiff, UK</w:t>
      </w:r>
    </w:p>
    <w:p w14:paraId="4FF66549" w14:textId="445CA461" w:rsidR="00506923" w:rsidRPr="0029445E" w:rsidRDefault="00331D74">
      <w:pPr>
        <w:rPr>
          <w:rFonts w:cs="Times New Roman"/>
        </w:rPr>
      </w:pPr>
      <w:r w:rsidRPr="0029445E">
        <w:rPr>
          <w:rFonts w:cs="Times New Roman"/>
        </w:rPr>
        <w:t xml:space="preserve">5 </w:t>
      </w:r>
      <w:r w:rsidR="00506923" w:rsidRPr="0029445E">
        <w:rPr>
          <w:rFonts w:cs="Times New Roman"/>
        </w:rPr>
        <w:t xml:space="preserve">Consultant, Department of Anaesthesia, </w:t>
      </w:r>
      <w:r w:rsidR="00874621" w:rsidRPr="0029445E">
        <w:rPr>
          <w:rFonts w:cs="Times New Roman"/>
        </w:rPr>
        <w:t xml:space="preserve">Guys and </w:t>
      </w:r>
      <w:r w:rsidR="00506923" w:rsidRPr="0029445E">
        <w:rPr>
          <w:rFonts w:cs="Times New Roman"/>
        </w:rPr>
        <w:t>St Thomas’ Hospital</w:t>
      </w:r>
      <w:r w:rsidR="00874621" w:rsidRPr="0029445E">
        <w:rPr>
          <w:rFonts w:cs="Times New Roman"/>
        </w:rPr>
        <w:t>s</w:t>
      </w:r>
      <w:r w:rsidR="00506923" w:rsidRPr="0029445E">
        <w:rPr>
          <w:rFonts w:cs="Times New Roman"/>
        </w:rPr>
        <w:t>, London, UK</w:t>
      </w:r>
    </w:p>
    <w:p w14:paraId="518A8C13" w14:textId="7D045630" w:rsidR="001B32C8" w:rsidRPr="0029445E" w:rsidRDefault="00506923" w:rsidP="001B32C8">
      <w:pPr>
        <w:rPr>
          <w:rFonts w:cs="Times New Roman"/>
        </w:rPr>
      </w:pPr>
      <w:r w:rsidRPr="0029445E">
        <w:rPr>
          <w:rFonts w:cs="Times New Roman"/>
        </w:rPr>
        <w:t>6</w:t>
      </w:r>
      <w:r w:rsidR="001B32C8" w:rsidRPr="0029445E">
        <w:rPr>
          <w:rFonts w:cs="Times New Roman"/>
        </w:rPr>
        <w:t xml:space="preserve"> Consultant, Department of Anaesthesia and Critical Care, St George’s Hospital, London, UK.</w:t>
      </w:r>
    </w:p>
    <w:p w14:paraId="255E02C3" w14:textId="7464F264" w:rsidR="00145600" w:rsidRPr="0029445E" w:rsidRDefault="00506923">
      <w:pPr>
        <w:rPr>
          <w:rFonts w:cs="Times New Roman"/>
        </w:rPr>
      </w:pPr>
      <w:r w:rsidRPr="0029445E">
        <w:rPr>
          <w:rFonts w:cs="Times New Roman"/>
        </w:rPr>
        <w:t>7</w:t>
      </w:r>
      <w:r w:rsidR="0082798D" w:rsidRPr="0029445E">
        <w:rPr>
          <w:rFonts w:cs="Times New Roman"/>
        </w:rPr>
        <w:t xml:space="preserve"> Professor, Division of S</w:t>
      </w:r>
      <w:r w:rsidR="00145600" w:rsidRPr="0029445E">
        <w:rPr>
          <w:rFonts w:cs="Times New Roman"/>
        </w:rPr>
        <w:t>urgery</w:t>
      </w:r>
      <w:r w:rsidR="0082798D" w:rsidRPr="0029445E">
        <w:rPr>
          <w:rFonts w:cs="Times New Roman"/>
        </w:rPr>
        <w:t xml:space="preserve"> and Interventional Science</w:t>
      </w:r>
      <w:r w:rsidR="00145600" w:rsidRPr="0029445E">
        <w:rPr>
          <w:rFonts w:cs="Times New Roman"/>
        </w:rPr>
        <w:t>, University College Hospital, London, UK</w:t>
      </w:r>
    </w:p>
    <w:p w14:paraId="73AD0928" w14:textId="77777777" w:rsidR="00145600" w:rsidRPr="0029445E" w:rsidRDefault="00145600">
      <w:pPr>
        <w:rPr>
          <w:rFonts w:cs="Times New Roman"/>
        </w:rPr>
      </w:pPr>
    </w:p>
    <w:p w14:paraId="50453E7D" w14:textId="77777777" w:rsidR="00145600" w:rsidRPr="0029445E" w:rsidRDefault="00145600">
      <w:pPr>
        <w:rPr>
          <w:rFonts w:cs="Times New Roman"/>
        </w:rPr>
      </w:pPr>
      <w:r w:rsidRPr="0029445E">
        <w:rPr>
          <w:rFonts w:cs="Times New Roman"/>
        </w:rPr>
        <w:t>*Presented in part at the</w:t>
      </w:r>
      <w:r w:rsidR="0082798D" w:rsidRPr="0029445E">
        <w:rPr>
          <w:rFonts w:cs="Times New Roman"/>
        </w:rPr>
        <w:t xml:space="preserve"> joint</w:t>
      </w:r>
      <w:r w:rsidRPr="0029445E">
        <w:rPr>
          <w:rFonts w:cs="Times New Roman"/>
        </w:rPr>
        <w:t xml:space="preserve"> Annual Scientific Meeting of the Association of Cardiothoracic Anaesthetisits</w:t>
      </w:r>
      <w:r w:rsidR="0082798D" w:rsidRPr="0029445E">
        <w:rPr>
          <w:rFonts w:cs="Times New Roman"/>
        </w:rPr>
        <w:t xml:space="preserve"> and the Society of Cardiothoracic Surgeons</w:t>
      </w:r>
      <w:r w:rsidRPr="0029445E">
        <w:rPr>
          <w:rFonts w:cs="Times New Roman"/>
        </w:rPr>
        <w:t>, Manchester,</w:t>
      </w:r>
      <w:r w:rsidR="0082798D" w:rsidRPr="0029445E">
        <w:rPr>
          <w:rFonts w:cs="Times New Roman"/>
        </w:rPr>
        <w:t xml:space="preserve"> UK,</w:t>
      </w:r>
      <w:r w:rsidRPr="0029445E">
        <w:rPr>
          <w:rFonts w:cs="Times New Roman"/>
        </w:rPr>
        <w:t xml:space="preserve"> March 2015</w:t>
      </w:r>
    </w:p>
    <w:p w14:paraId="0B7B1E1A" w14:textId="77777777" w:rsidR="00145600" w:rsidRPr="0029445E" w:rsidRDefault="00145600">
      <w:pPr>
        <w:rPr>
          <w:rFonts w:cs="Times New Roman"/>
        </w:rPr>
      </w:pPr>
    </w:p>
    <w:p w14:paraId="0D3E7303" w14:textId="77777777" w:rsidR="00145600" w:rsidRPr="0029445E" w:rsidRDefault="00145600">
      <w:pPr>
        <w:rPr>
          <w:rFonts w:cs="Times New Roman"/>
        </w:rPr>
      </w:pPr>
      <w:r w:rsidRPr="0029445E">
        <w:rPr>
          <w:rFonts w:cs="Times New Roman"/>
        </w:rPr>
        <w:t>Corresponding author: Dr A. Klein</w:t>
      </w:r>
    </w:p>
    <w:p w14:paraId="2FCEE9F8" w14:textId="77777777" w:rsidR="00145600" w:rsidRPr="0029445E" w:rsidRDefault="0082798D">
      <w:pPr>
        <w:rPr>
          <w:rFonts w:cs="Times New Roman"/>
        </w:rPr>
      </w:pPr>
      <w:r w:rsidRPr="0029445E">
        <w:t xml:space="preserve">Email: </w:t>
      </w:r>
      <w:hyperlink r:id="rId8" w:history="1">
        <w:r w:rsidR="00145600" w:rsidRPr="0029445E">
          <w:rPr>
            <w:rStyle w:val="Hyperlink"/>
            <w:rFonts w:cs="Times New Roman"/>
            <w:color w:val="auto"/>
          </w:rPr>
          <w:t>Andrew.klein@nhs.net</w:t>
        </w:r>
      </w:hyperlink>
    </w:p>
    <w:p w14:paraId="2FF2AB8E" w14:textId="77777777" w:rsidR="00145600" w:rsidRPr="0029445E" w:rsidRDefault="00145600">
      <w:pPr>
        <w:rPr>
          <w:rFonts w:cs="Times New Roman"/>
        </w:rPr>
      </w:pPr>
    </w:p>
    <w:p w14:paraId="0BAC45F9" w14:textId="77777777" w:rsidR="00145600" w:rsidRPr="0029445E" w:rsidRDefault="00145600">
      <w:pPr>
        <w:rPr>
          <w:rFonts w:cs="Times New Roman"/>
          <w:b/>
        </w:rPr>
      </w:pPr>
      <w:r w:rsidRPr="0029445E">
        <w:rPr>
          <w:rFonts w:cs="Times New Roman"/>
        </w:rPr>
        <w:t>Running title: Impact of anaemia in cardiac surgery</w:t>
      </w:r>
      <w:r w:rsidRPr="0029445E">
        <w:rPr>
          <w:rFonts w:cs="Times New Roman"/>
          <w:b/>
        </w:rPr>
        <w:br w:type="page"/>
      </w:r>
    </w:p>
    <w:p w14:paraId="6B051DB2" w14:textId="77777777" w:rsidR="00145600" w:rsidRPr="0029445E" w:rsidRDefault="00145600" w:rsidP="00D32F32">
      <w:pPr>
        <w:spacing w:after="0" w:line="480" w:lineRule="auto"/>
        <w:rPr>
          <w:rFonts w:cs="Times New Roman"/>
          <w:b/>
        </w:rPr>
      </w:pPr>
      <w:r w:rsidRPr="0029445E">
        <w:rPr>
          <w:rFonts w:cs="Times New Roman"/>
          <w:b/>
        </w:rPr>
        <w:lastRenderedPageBreak/>
        <w:t>Abstract</w:t>
      </w:r>
    </w:p>
    <w:p w14:paraId="74562C29" w14:textId="7B35327B" w:rsidR="00CE6F5D" w:rsidRPr="0029445E" w:rsidRDefault="00C93603" w:rsidP="00D32F32">
      <w:pPr>
        <w:spacing w:line="480" w:lineRule="auto"/>
        <w:rPr>
          <w:rFonts w:cs="Times New Roman"/>
          <w:b/>
        </w:rPr>
      </w:pPr>
      <w:r w:rsidRPr="0029445E">
        <w:rPr>
          <w:rFonts w:cs="Times New Roman"/>
        </w:rPr>
        <w:t xml:space="preserve">The importance and variability of </w:t>
      </w:r>
      <w:r w:rsidR="00730A90" w:rsidRPr="0029445E">
        <w:rPr>
          <w:rFonts w:cs="Times New Roman"/>
        </w:rPr>
        <w:t>pre</w:t>
      </w:r>
      <w:r w:rsidR="0046217E" w:rsidRPr="0029445E">
        <w:rPr>
          <w:rFonts w:cs="Times New Roman"/>
        </w:rPr>
        <w:t>-</w:t>
      </w:r>
      <w:r w:rsidR="00730A90" w:rsidRPr="0029445E">
        <w:rPr>
          <w:rFonts w:cs="Times New Roman"/>
        </w:rPr>
        <w:t xml:space="preserve">operative </w:t>
      </w:r>
      <w:r w:rsidRPr="0029445E">
        <w:rPr>
          <w:rFonts w:cs="Times New Roman"/>
        </w:rPr>
        <w:t xml:space="preserve">anaemia </w:t>
      </w:r>
      <w:r w:rsidR="00730A90" w:rsidRPr="0029445E">
        <w:rPr>
          <w:rFonts w:cs="Times New Roman"/>
        </w:rPr>
        <w:t xml:space="preserve">in </w:t>
      </w:r>
      <w:r w:rsidR="0046217E" w:rsidRPr="0029445E">
        <w:rPr>
          <w:rFonts w:cs="Times New Roman"/>
        </w:rPr>
        <w:t>c</w:t>
      </w:r>
      <w:r w:rsidR="00730A90" w:rsidRPr="0029445E">
        <w:rPr>
          <w:rFonts w:cs="Times New Roman"/>
        </w:rPr>
        <w:t xml:space="preserve">ardiac </w:t>
      </w:r>
      <w:r w:rsidR="0046217E" w:rsidRPr="0029445E">
        <w:rPr>
          <w:rFonts w:cs="Times New Roman"/>
        </w:rPr>
        <w:t>s</w:t>
      </w:r>
      <w:r w:rsidR="00251006" w:rsidRPr="0029445E">
        <w:rPr>
          <w:rFonts w:cs="Times New Roman"/>
        </w:rPr>
        <w:t>urgical patients</w:t>
      </w:r>
      <w:r w:rsidR="00730A90" w:rsidRPr="0029445E">
        <w:rPr>
          <w:rFonts w:cs="Times New Roman"/>
        </w:rPr>
        <w:t xml:space="preserve"> </w:t>
      </w:r>
      <w:r w:rsidRPr="0029445E">
        <w:rPr>
          <w:rFonts w:cs="Times New Roman"/>
        </w:rPr>
        <w:t xml:space="preserve">across the UK is not known, and there is debate about its </w:t>
      </w:r>
      <w:r w:rsidR="00730A90" w:rsidRPr="0029445E">
        <w:rPr>
          <w:rFonts w:cs="Times New Roman"/>
        </w:rPr>
        <w:t>association with</w:t>
      </w:r>
      <w:r w:rsidRPr="0029445E">
        <w:rPr>
          <w:rFonts w:cs="Times New Roman"/>
        </w:rPr>
        <w:t xml:space="preserve"> patient outcomes. The Association of </w:t>
      </w:r>
      <w:r w:rsidR="00502716" w:rsidRPr="0029445E">
        <w:rPr>
          <w:rFonts w:cs="Times New Roman"/>
        </w:rPr>
        <w:t>C</w:t>
      </w:r>
      <w:r w:rsidRPr="0029445E">
        <w:rPr>
          <w:rFonts w:cs="Times New Roman"/>
        </w:rPr>
        <w:t>ardio</w:t>
      </w:r>
      <w:r w:rsidR="00A47789" w:rsidRPr="0029445E">
        <w:rPr>
          <w:rFonts w:cs="Times New Roman"/>
        </w:rPr>
        <w:t>t</w:t>
      </w:r>
      <w:r w:rsidRPr="0029445E">
        <w:rPr>
          <w:rFonts w:cs="Times New Roman"/>
        </w:rPr>
        <w:t xml:space="preserve">horacic Anaesthetists carried out its </w:t>
      </w:r>
      <w:r w:rsidR="0046217E" w:rsidRPr="0029445E">
        <w:rPr>
          <w:rFonts w:cs="Times New Roman"/>
        </w:rPr>
        <w:t xml:space="preserve">first </w:t>
      </w:r>
      <w:r w:rsidRPr="0029445E">
        <w:rPr>
          <w:rFonts w:cs="Times New Roman"/>
        </w:rPr>
        <w:t xml:space="preserve">national audit on anaemia and transfusion, and </w:t>
      </w:r>
      <w:r w:rsidR="004C4B67" w:rsidRPr="0029445E">
        <w:rPr>
          <w:rFonts w:cs="Times New Roman"/>
        </w:rPr>
        <w:t>analysed data from 19 033</w:t>
      </w:r>
      <w:r w:rsidRPr="0029445E">
        <w:rPr>
          <w:rFonts w:cs="Times New Roman"/>
        </w:rPr>
        <w:t xml:space="preserve"> patients operated on in 12</w:t>
      </w:r>
      <w:r w:rsidR="00E06880" w:rsidRPr="0029445E">
        <w:rPr>
          <w:rFonts w:cs="Times New Roman"/>
        </w:rPr>
        <w:t xml:space="preserve"> cardiac surgical</w:t>
      </w:r>
      <w:r w:rsidRPr="0029445E">
        <w:rPr>
          <w:rFonts w:cs="Times New Roman"/>
        </w:rPr>
        <w:t xml:space="preserve"> centres between 2010 and 2012</w:t>
      </w:r>
      <w:r w:rsidR="004C4B67" w:rsidRPr="0029445E">
        <w:rPr>
          <w:rFonts w:cs="Times New Roman"/>
        </w:rPr>
        <w:t xml:space="preserve">; </w:t>
      </w:r>
      <w:r w:rsidR="0086083F" w:rsidRPr="0029445E">
        <w:rPr>
          <w:rFonts w:cs="Times New Roman"/>
        </w:rPr>
        <w:t>5895 (31%) had pre-operative anaemia. Centre-specific prevalence of anaemia varied from 23% to 45%</w:t>
      </w:r>
      <w:r w:rsidR="004C4B67" w:rsidRPr="0029445E">
        <w:rPr>
          <w:rFonts w:cs="Times New Roman"/>
        </w:rPr>
        <w:t xml:space="preserve">; </w:t>
      </w:r>
      <w:r w:rsidR="004C4B67" w:rsidRPr="0029445E">
        <w:t>anaemia was associated with older patients, diabetes and surgical risk</w:t>
      </w:r>
      <w:r w:rsidR="00251006" w:rsidRPr="0029445E">
        <w:t xml:space="preserve"> (EuroSCORE)</w:t>
      </w:r>
      <w:r w:rsidR="004C4B67" w:rsidRPr="0029445E">
        <w:t>. Nevertheless, controllin</w:t>
      </w:r>
      <w:r w:rsidR="00251006" w:rsidRPr="0029445E">
        <w:t>g for these factors,</w:t>
      </w:r>
      <w:r w:rsidR="004C4B67" w:rsidRPr="0029445E">
        <w:t xml:space="preserve"> regional variation re</w:t>
      </w:r>
      <w:r w:rsidR="00251006" w:rsidRPr="0029445E">
        <w:t>mained as an independent effect (p&lt;0.001)</w:t>
      </w:r>
      <w:r w:rsidR="0086083F" w:rsidRPr="0029445E">
        <w:rPr>
          <w:rFonts w:cs="Times New Roman"/>
        </w:rPr>
        <w:t>. Multivaria</w:t>
      </w:r>
      <w:r w:rsidR="00C23639" w:rsidRPr="0029445E">
        <w:rPr>
          <w:rFonts w:cs="Times New Roman"/>
        </w:rPr>
        <w:t>ble</w:t>
      </w:r>
      <w:r w:rsidR="0086083F" w:rsidRPr="0029445E">
        <w:rPr>
          <w:rFonts w:cs="Times New Roman"/>
        </w:rPr>
        <w:t xml:space="preserve"> analysis demonstrated an independent association </w:t>
      </w:r>
      <w:r w:rsidR="00502716" w:rsidRPr="0029445E">
        <w:rPr>
          <w:rFonts w:cs="Times New Roman"/>
        </w:rPr>
        <w:t xml:space="preserve">of </w:t>
      </w:r>
      <w:r w:rsidR="0086083F" w:rsidRPr="0029445E">
        <w:rPr>
          <w:rFonts w:cs="Times New Roman"/>
        </w:rPr>
        <w:t>anaemia</w:t>
      </w:r>
      <w:r w:rsidR="00502716" w:rsidRPr="0029445E">
        <w:rPr>
          <w:rFonts w:cs="Times New Roman"/>
        </w:rPr>
        <w:t xml:space="preserve"> with</w:t>
      </w:r>
      <w:r w:rsidR="0046217E" w:rsidRPr="0029445E">
        <w:rPr>
          <w:rFonts w:cs="Times New Roman"/>
        </w:rPr>
        <w:t xml:space="preserve"> </w:t>
      </w:r>
      <w:r w:rsidR="0086083F" w:rsidRPr="0029445E">
        <w:rPr>
          <w:rFonts w:cs="Times New Roman"/>
        </w:rPr>
        <w:t xml:space="preserve">transfusion </w:t>
      </w:r>
      <w:r w:rsidR="00CE6F5D" w:rsidRPr="0029445E">
        <w:rPr>
          <w:rFonts w:cs="Times New Roman"/>
        </w:rPr>
        <w:t>(</w:t>
      </w:r>
      <w:r w:rsidR="0086083F" w:rsidRPr="0029445E">
        <w:rPr>
          <w:rFonts w:cs="Times New Roman"/>
        </w:rPr>
        <w:t xml:space="preserve">OR (95%CI) </w:t>
      </w:r>
      <w:r w:rsidR="0086083F" w:rsidRPr="0029445E">
        <w:rPr>
          <w:rFonts w:cs="Times New Roman"/>
          <w:lang w:val="en-US"/>
        </w:rPr>
        <w:t>2.75 (2.55-2.95), p&lt;0.001</w:t>
      </w:r>
      <w:r w:rsidR="00CE6F5D" w:rsidRPr="0029445E">
        <w:rPr>
          <w:rFonts w:cs="Times New Roman"/>
          <w:lang w:val="en-US"/>
        </w:rPr>
        <w:t>)</w:t>
      </w:r>
      <w:r w:rsidR="0086083F" w:rsidRPr="0029445E">
        <w:rPr>
          <w:rFonts w:cs="Times New Roman"/>
        </w:rPr>
        <w:t xml:space="preserve">, mortality </w:t>
      </w:r>
      <w:r w:rsidR="00E06880" w:rsidRPr="0029445E">
        <w:rPr>
          <w:rFonts w:cs="Times New Roman"/>
        </w:rPr>
        <w:t>(</w:t>
      </w:r>
      <w:r w:rsidR="0086083F" w:rsidRPr="0029445E">
        <w:rPr>
          <w:rFonts w:cs="Times New Roman"/>
          <w:lang w:val="en-US"/>
        </w:rPr>
        <w:t>1.42 (1.18-1.71), p&lt;0.001</w:t>
      </w:r>
      <w:r w:rsidR="00CE6F5D" w:rsidRPr="0029445E">
        <w:rPr>
          <w:rFonts w:cs="Times New Roman"/>
          <w:lang w:val="en-US"/>
        </w:rPr>
        <w:t>)</w:t>
      </w:r>
      <w:r w:rsidR="0086083F" w:rsidRPr="0029445E">
        <w:rPr>
          <w:rFonts w:cs="Times New Roman"/>
          <w:lang w:val="en-US"/>
        </w:rPr>
        <w:t xml:space="preserve">, and </w:t>
      </w:r>
      <w:r w:rsidR="0086083F" w:rsidRPr="0029445E">
        <w:rPr>
          <w:rFonts w:cs="Times New Roman"/>
        </w:rPr>
        <w:t xml:space="preserve">hospital stay </w:t>
      </w:r>
      <w:r w:rsidR="00CE6F5D" w:rsidRPr="0029445E">
        <w:rPr>
          <w:rFonts w:cs="Times New Roman"/>
        </w:rPr>
        <w:t>(</w:t>
      </w:r>
      <w:r w:rsidR="0086083F" w:rsidRPr="0029445E">
        <w:rPr>
          <w:rFonts w:cs="Times New Roman"/>
        </w:rPr>
        <w:t>geometric</w:t>
      </w:r>
      <w:r w:rsidR="00CE6F5D" w:rsidRPr="0029445E">
        <w:rPr>
          <w:rFonts w:cs="Times New Roman"/>
        </w:rPr>
        <w:t xml:space="preserve"> mean ratio (95% CI) </w:t>
      </w:r>
      <w:r w:rsidR="00CE6F5D" w:rsidRPr="0029445E">
        <w:rPr>
          <w:rFonts w:cs="Times New Roman"/>
          <w:lang w:val="en-US"/>
        </w:rPr>
        <w:t>1.15 (1.13-1.17), p&lt;0.001).</w:t>
      </w:r>
      <w:r w:rsidR="0086083F" w:rsidRPr="0029445E">
        <w:rPr>
          <w:rFonts w:cs="Times New Roman"/>
        </w:rPr>
        <w:t xml:space="preserve"> Haemoglobin concentration per se was also independently associated with worse outcomes</w:t>
      </w:r>
      <w:r w:rsidR="00C23639" w:rsidRPr="0029445E">
        <w:rPr>
          <w:rFonts w:cs="Times New Roman"/>
        </w:rPr>
        <w:t xml:space="preserve">; a </w:t>
      </w:r>
      <w:r w:rsidR="0086083F" w:rsidRPr="0029445E">
        <w:rPr>
          <w:rFonts w:cs="Times New Roman"/>
        </w:rPr>
        <w:t>10 g.l</w:t>
      </w:r>
      <w:r w:rsidR="0086083F" w:rsidRPr="0029445E">
        <w:rPr>
          <w:rFonts w:cs="Times New Roman"/>
          <w:vertAlign w:val="superscript"/>
        </w:rPr>
        <w:t xml:space="preserve">-1 </w:t>
      </w:r>
      <w:r w:rsidR="0086083F" w:rsidRPr="0029445E">
        <w:rPr>
          <w:rFonts w:cs="Times New Roman"/>
        </w:rPr>
        <w:t>decrease</w:t>
      </w:r>
      <w:r w:rsidR="00C23639" w:rsidRPr="0029445E">
        <w:rPr>
          <w:rFonts w:cs="Times New Roman"/>
        </w:rPr>
        <w:t xml:space="preserve"> in haemoglobin</w:t>
      </w:r>
      <w:r w:rsidR="0086083F" w:rsidRPr="0029445E">
        <w:rPr>
          <w:rFonts w:cs="Times New Roman"/>
        </w:rPr>
        <w:t xml:space="preserve"> </w:t>
      </w:r>
      <w:r w:rsidR="00CE6F5D" w:rsidRPr="0029445E">
        <w:rPr>
          <w:rFonts w:cs="Times New Roman"/>
        </w:rPr>
        <w:t xml:space="preserve">was associated with a 43% increase </w:t>
      </w:r>
      <w:r w:rsidR="00C23639" w:rsidRPr="0029445E">
        <w:rPr>
          <w:rFonts w:cs="Times New Roman"/>
        </w:rPr>
        <w:t>(95% CI 40</w:t>
      </w:r>
      <w:r w:rsidR="002C4DAE" w:rsidRPr="0029445E">
        <w:rPr>
          <w:rFonts w:cs="Times New Roman"/>
        </w:rPr>
        <w:t>%</w:t>
      </w:r>
      <w:r w:rsidR="00C23639" w:rsidRPr="0029445E">
        <w:rPr>
          <w:rFonts w:cs="Times New Roman"/>
        </w:rPr>
        <w:t xml:space="preserve">-46%) </w:t>
      </w:r>
      <w:r w:rsidR="0046217E" w:rsidRPr="0029445E">
        <w:rPr>
          <w:rFonts w:cs="Times New Roman"/>
        </w:rPr>
        <w:t xml:space="preserve">in the odds of </w:t>
      </w:r>
      <w:r w:rsidR="00CE6F5D" w:rsidRPr="0029445E">
        <w:rPr>
          <w:rFonts w:cs="Times New Roman"/>
        </w:rPr>
        <w:t xml:space="preserve">transfusion and a 16% increase </w:t>
      </w:r>
      <w:r w:rsidR="00C23639" w:rsidRPr="0029445E">
        <w:rPr>
          <w:rFonts w:cs="Times New Roman"/>
        </w:rPr>
        <w:t>(95% CI</w:t>
      </w:r>
      <w:r w:rsidR="002C4DAE" w:rsidRPr="0029445E">
        <w:rPr>
          <w:rFonts w:cs="Times New Roman"/>
        </w:rPr>
        <w:t xml:space="preserve"> </w:t>
      </w:r>
      <w:r w:rsidR="00C23639" w:rsidRPr="0029445E">
        <w:rPr>
          <w:rFonts w:cs="Times New Roman"/>
        </w:rPr>
        <w:t>10%-</w:t>
      </w:r>
      <w:r w:rsidR="002C4DAE" w:rsidRPr="0029445E">
        <w:rPr>
          <w:rFonts w:cs="Times New Roman"/>
        </w:rPr>
        <w:t>22%)</w:t>
      </w:r>
      <w:r w:rsidR="00C23639" w:rsidRPr="0029445E">
        <w:rPr>
          <w:rFonts w:cs="Times New Roman"/>
        </w:rPr>
        <w:t xml:space="preserve"> </w:t>
      </w:r>
      <w:r w:rsidR="00CE6F5D" w:rsidRPr="0029445E">
        <w:rPr>
          <w:rFonts w:cs="Times New Roman"/>
        </w:rPr>
        <w:t xml:space="preserve">in </w:t>
      </w:r>
      <w:r w:rsidR="0046217E" w:rsidRPr="0029445E">
        <w:rPr>
          <w:rFonts w:cs="Times New Roman"/>
        </w:rPr>
        <w:t xml:space="preserve">the odds of </w:t>
      </w:r>
      <w:r w:rsidR="00CE6F5D" w:rsidRPr="0029445E">
        <w:rPr>
          <w:rFonts w:cs="Times New Roman"/>
        </w:rPr>
        <w:t>morta</w:t>
      </w:r>
      <w:r w:rsidR="00251006" w:rsidRPr="0029445E">
        <w:rPr>
          <w:rFonts w:cs="Times New Roman"/>
        </w:rPr>
        <w:t>lity (both p&lt;0.001). This large</w:t>
      </w:r>
      <w:r w:rsidR="00CE6F5D" w:rsidRPr="0029445E">
        <w:rPr>
          <w:rFonts w:cs="Times New Roman"/>
        </w:rPr>
        <w:t xml:space="preserve"> UK-wide audit has demonstrated marked regional variation in both anaemia and transfusion, but a consistently high incidence of both. The independent association between pre-operative anaemia</w:t>
      </w:r>
      <w:r w:rsidR="00874621" w:rsidRPr="0029445E">
        <w:rPr>
          <w:rFonts w:cs="Times New Roman"/>
        </w:rPr>
        <w:t xml:space="preserve"> and worse outcomes</w:t>
      </w:r>
      <w:r w:rsidR="00CE6F5D" w:rsidRPr="0029445E">
        <w:rPr>
          <w:rFonts w:cs="Times New Roman"/>
        </w:rPr>
        <w:t xml:space="preserve"> in UK practice has also been confirmed, and robust prospective study of anaemia treatment before cardiac surgery is required; these data will assist in designing such trials.</w:t>
      </w:r>
    </w:p>
    <w:p w14:paraId="3E51375E" w14:textId="6B6A9EAC" w:rsidR="00145600" w:rsidRPr="0029445E" w:rsidRDefault="00145600" w:rsidP="00D32F32">
      <w:pPr>
        <w:spacing w:line="480" w:lineRule="auto"/>
        <w:rPr>
          <w:rFonts w:cs="Times New Roman"/>
        </w:rPr>
      </w:pPr>
      <w:r w:rsidRPr="0029445E">
        <w:rPr>
          <w:rFonts w:cs="Times New Roman"/>
          <w:b/>
        </w:rPr>
        <w:br w:type="page"/>
      </w:r>
    </w:p>
    <w:p w14:paraId="4CC5D4CF" w14:textId="77777777" w:rsidR="001F5621" w:rsidRPr="0029445E" w:rsidRDefault="001F5621" w:rsidP="00D32F32">
      <w:pPr>
        <w:spacing w:after="0" w:line="480" w:lineRule="auto"/>
        <w:rPr>
          <w:rFonts w:cs="Times New Roman"/>
          <w:b/>
        </w:rPr>
      </w:pPr>
      <w:r w:rsidRPr="0029445E">
        <w:rPr>
          <w:rFonts w:cs="Times New Roman"/>
          <w:b/>
        </w:rPr>
        <w:t>Introduction</w:t>
      </w:r>
    </w:p>
    <w:p w14:paraId="5C81E3DC" w14:textId="60054A6F" w:rsidR="00145600" w:rsidRPr="0029445E" w:rsidRDefault="00145600" w:rsidP="00F903EF">
      <w:pPr>
        <w:widowControl w:val="0"/>
        <w:tabs>
          <w:tab w:val="left" w:pos="220"/>
          <w:tab w:val="left" w:pos="720"/>
        </w:tabs>
        <w:autoSpaceDE w:val="0"/>
        <w:autoSpaceDN w:val="0"/>
        <w:adjustRightInd w:val="0"/>
        <w:spacing w:after="0" w:line="480" w:lineRule="auto"/>
        <w:jc w:val="both"/>
        <w:rPr>
          <w:rFonts w:cs="Times New Roman"/>
        </w:rPr>
      </w:pPr>
      <w:r w:rsidRPr="0029445E">
        <w:rPr>
          <w:rFonts w:cs="Times New Roman"/>
        </w:rPr>
        <w:t>Anaemia is defined as a haemoglobin concentration (Hb) &lt; 120 g.l</w:t>
      </w:r>
      <w:r w:rsidRPr="0029445E">
        <w:rPr>
          <w:rFonts w:cs="Times New Roman"/>
          <w:vertAlign w:val="superscript"/>
        </w:rPr>
        <w:t>-1</w:t>
      </w:r>
      <w:r w:rsidRPr="0029445E">
        <w:rPr>
          <w:rFonts w:cs="Times New Roman"/>
        </w:rPr>
        <w:t xml:space="preserve"> for non-pregnant adult women or &lt; 130 g.l</w:t>
      </w:r>
      <w:r w:rsidRPr="0029445E">
        <w:rPr>
          <w:rFonts w:cs="Times New Roman"/>
          <w:vertAlign w:val="superscript"/>
        </w:rPr>
        <w:t>-1</w:t>
      </w:r>
      <w:r w:rsidRPr="0029445E">
        <w:rPr>
          <w:rFonts w:cs="Times New Roman"/>
        </w:rPr>
        <w:t xml:space="preserve"> for men, with an estimated prevalence of 19% in women and </w:t>
      </w:r>
      <w:r w:rsidR="0082798D" w:rsidRPr="0029445E">
        <w:rPr>
          <w:rFonts w:cs="Times New Roman"/>
        </w:rPr>
        <w:t>14% in men in Europe</w:t>
      </w:r>
      <w:r w:rsidR="00023861" w:rsidRPr="0029445E">
        <w:rPr>
          <w:rFonts w:cs="Times New Roman"/>
        </w:rPr>
        <w:t xml:space="preserve"> </w:t>
      </w:r>
      <w:r w:rsidR="00023861" w:rsidRPr="0029445E">
        <w:rPr>
          <w:lang w:val="en-US"/>
        </w:rPr>
        <w:t>[1]</w:t>
      </w:r>
      <w:r w:rsidRPr="0029445E">
        <w:rPr>
          <w:rFonts w:cs="Times New Roman"/>
        </w:rPr>
        <w:t>. There is considerable evidence that pre-operative anaemia is associated with poor surgical outcomes</w:t>
      </w:r>
      <w:r w:rsidR="002E11D2" w:rsidRPr="0029445E">
        <w:rPr>
          <w:rFonts w:cs="Times New Roman"/>
        </w:rPr>
        <w:t xml:space="preserve"> </w:t>
      </w:r>
      <w:r w:rsidR="00023861" w:rsidRPr="0029445E">
        <w:rPr>
          <w:lang w:val="en-US"/>
        </w:rPr>
        <w:t>[2, 3]</w:t>
      </w:r>
      <w:r w:rsidRPr="0029445E">
        <w:rPr>
          <w:rFonts w:cs="Times New Roman"/>
        </w:rPr>
        <w:t xml:space="preserve"> in non-cardiac surgery, but the evidence in cardiac surgical patients is more limited</w:t>
      </w:r>
      <w:r w:rsidR="00023861" w:rsidRPr="0029445E">
        <w:rPr>
          <w:rFonts w:cs="Times New Roman"/>
        </w:rPr>
        <w:t xml:space="preserve"> </w:t>
      </w:r>
      <w:r w:rsidR="00023861" w:rsidRPr="0029445E">
        <w:rPr>
          <w:lang w:val="en-US"/>
        </w:rPr>
        <w:t>[4-9]</w:t>
      </w:r>
      <w:r w:rsidR="006C515E" w:rsidRPr="0029445E">
        <w:rPr>
          <w:rFonts w:cs="Times New Roman"/>
        </w:rPr>
        <w:t>. Previous cardiac surgical studies</w:t>
      </w:r>
      <w:r w:rsidR="00237479" w:rsidRPr="0029445E">
        <w:rPr>
          <w:rFonts w:cs="Times New Roman"/>
        </w:rPr>
        <w:t xml:space="preserve"> have shown anaemia to be much more prevalent than </w:t>
      </w:r>
      <w:r w:rsidR="00E21FB2" w:rsidRPr="0029445E">
        <w:rPr>
          <w:rFonts w:cs="Times New Roman"/>
        </w:rPr>
        <w:t>in the general population</w:t>
      </w:r>
      <w:r w:rsidR="00023861" w:rsidRPr="0029445E">
        <w:rPr>
          <w:rFonts w:cs="Times New Roman"/>
        </w:rPr>
        <w:t xml:space="preserve"> </w:t>
      </w:r>
      <w:r w:rsidR="00023861" w:rsidRPr="0029445E">
        <w:rPr>
          <w:lang w:val="en-US"/>
        </w:rPr>
        <w:t>[9]</w:t>
      </w:r>
      <w:r w:rsidR="00D32F32" w:rsidRPr="0029445E">
        <w:rPr>
          <w:rFonts w:cs="Times New Roman"/>
        </w:rPr>
        <w:t>, and also showed a strong association with inc</w:t>
      </w:r>
      <w:r w:rsidR="002E11D2" w:rsidRPr="0029445E">
        <w:rPr>
          <w:rFonts w:cs="Times New Roman"/>
        </w:rPr>
        <w:t>r</w:t>
      </w:r>
      <w:r w:rsidR="00D32F32" w:rsidRPr="0029445E">
        <w:rPr>
          <w:rFonts w:cs="Times New Roman"/>
        </w:rPr>
        <w:t>eased morbidity and mortality, as well as increased costs associated with surgery.</w:t>
      </w:r>
      <w:r w:rsidR="002E11D2" w:rsidRPr="0029445E">
        <w:rPr>
          <w:rFonts w:cs="Times New Roman"/>
        </w:rPr>
        <w:t xml:space="preserve"> There is </w:t>
      </w:r>
      <w:r w:rsidR="00DB146A" w:rsidRPr="0029445E">
        <w:rPr>
          <w:rFonts w:cs="Times New Roman"/>
        </w:rPr>
        <w:t>uncertainty</w:t>
      </w:r>
      <w:r w:rsidR="002E11D2" w:rsidRPr="0029445E">
        <w:rPr>
          <w:rFonts w:cs="Times New Roman"/>
        </w:rPr>
        <w:t xml:space="preserve"> as to the prevalence of anaemia in </w:t>
      </w:r>
      <w:r w:rsidR="00DB146A" w:rsidRPr="0029445E">
        <w:rPr>
          <w:rFonts w:cs="Times New Roman"/>
        </w:rPr>
        <w:t xml:space="preserve">differing regional </w:t>
      </w:r>
      <w:r w:rsidR="002E11D2" w:rsidRPr="0029445E">
        <w:rPr>
          <w:rFonts w:cs="Times New Roman"/>
        </w:rPr>
        <w:t>population</w:t>
      </w:r>
      <w:r w:rsidR="00DB146A" w:rsidRPr="0029445E">
        <w:rPr>
          <w:rFonts w:cs="Times New Roman"/>
        </w:rPr>
        <w:t>s</w:t>
      </w:r>
      <w:r w:rsidR="002E11D2" w:rsidRPr="0029445E">
        <w:rPr>
          <w:rFonts w:cs="Times New Roman"/>
        </w:rPr>
        <w:t xml:space="preserve"> now presenting for cardiac surgery, </w:t>
      </w:r>
      <w:r w:rsidR="00DB146A" w:rsidRPr="0029445E">
        <w:rPr>
          <w:rFonts w:cs="Times New Roman"/>
        </w:rPr>
        <w:t xml:space="preserve">and how this relates </w:t>
      </w:r>
      <w:r w:rsidR="00B76247" w:rsidRPr="0029445E">
        <w:rPr>
          <w:rFonts w:cs="Times New Roman"/>
        </w:rPr>
        <w:t>to differing</w:t>
      </w:r>
      <w:r w:rsidR="0046217E" w:rsidRPr="0029445E">
        <w:rPr>
          <w:rFonts w:cs="Times New Roman"/>
        </w:rPr>
        <w:t xml:space="preserve"> </w:t>
      </w:r>
      <w:r w:rsidR="00DB146A" w:rsidRPr="0029445E">
        <w:rPr>
          <w:rFonts w:cs="Times New Roman"/>
        </w:rPr>
        <w:t>ages</w:t>
      </w:r>
      <w:r w:rsidR="00251006" w:rsidRPr="0029445E">
        <w:rPr>
          <w:rFonts w:cs="Times New Roman"/>
        </w:rPr>
        <w:t>, sex</w:t>
      </w:r>
      <w:r w:rsidR="00DB146A" w:rsidRPr="0029445E">
        <w:rPr>
          <w:rFonts w:cs="Times New Roman"/>
        </w:rPr>
        <w:t xml:space="preserve"> </w:t>
      </w:r>
      <w:r w:rsidR="002E11D2" w:rsidRPr="0029445E">
        <w:rPr>
          <w:rFonts w:cs="Times New Roman"/>
        </w:rPr>
        <w:t xml:space="preserve">and </w:t>
      </w:r>
      <w:r w:rsidR="0046217E" w:rsidRPr="0029445E">
        <w:rPr>
          <w:rFonts w:cs="Times New Roman"/>
        </w:rPr>
        <w:t>co</w:t>
      </w:r>
      <w:r w:rsidR="00F903EF" w:rsidRPr="0029445E">
        <w:rPr>
          <w:rFonts w:cs="Times New Roman"/>
        </w:rPr>
        <w:t>morbidities</w:t>
      </w:r>
      <w:r w:rsidR="0060050A" w:rsidRPr="0029445E">
        <w:rPr>
          <w:rFonts w:cs="Times New Roman"/>
        </w:rPr>
        <w:t xml:space="preserve"> </w:t>
      </w:r>
      <w:r w:rsidR="0060050A" w:rsidRPr="0029445E">
        <w:rPr>
          <w:lang w:val="en-US"/>
        </w:rPr>
        <w:t>[10]</w:t>
      </w:r>
      <w:r w:rsidR="00B76247" w:rsidRPr="0029445E">
        <w:t>.</w:t>
      </w:r>
      <w:r w:rsidR="002E11D2" w:rsidRPr="0029445E">
        <w:t xml:space="preserve"> In data from the United States National Health and Nutri</w:t>
      </w:r>
      <w:r w:rsidR="00F903EF" w:rsidRPr="0029445E">
        <w:t>tion Examination Survey</w:t>
      </w:r>
      <w:r w:rsidR="002E11D2" w:rsidRPr="0029445E">
        <w:t>, the prevalenc</w:t>
      </w:r>
      <w:r w:rsidR="00F903EF" w:rsidRPr="0029445E">
        <w:t>e of anaemia was lowest in men</w:t>
      </w:r>
      <w:r w:rsidR="002E11D2" w:rsidRPr="0029445E">
        <w:t xml:space="preserve"> aged 17-49, at 1.5%</w:t>
      </w:r>
      <w:r w:rsidR="00F903EF" w:rsidRPr="0029445E">
        <w:t xml:space="preserve">, but was 12.2% in women </w:t>
      </w:r>
      <w:r w:rsidR="002E11D2" w:rsidRPr="0029445E">
        <w:t xml:space="preserve">of that age. In the elderly, anaemia was more common; affecting 11% of males and 10.2% of females aged &gt;65 years, rising to 26.1% and 20.1% respectively in those &gt;85 years old </w:t>
      </w:r>
      <w:r w:rsidR="002E11D2" w:rsidRPr="0029445E">
        <w:fldChar w:fldCharType="begin"/>
      </w:r>
      <w:r w:rsidR="002E11D2" w:rsidRPr="0029445E">
        <w:instrText xml:space="preserve"> ADDIN PAPERS2_CITATIONS &lt;citation&gt;&lt;uuid&gt;F10FC2D4-ABE5-4DC8-BFAE-8E4674B83A98&lt;/uuid&gt;&lt;priority&gt;7&lt;/priority&gt;&lt;publications&gt;&lt;publication&gt;&lt;volume&gt;104&lt;/volume&gt;&lt;publication_date&gt;99200406291200000000222000&lt;/publication_date&gt;&lt;number&gt;8&lt;/number&gt;&lt;doi&gt;10.1182/blood-2004-05-1812&lt;/doi&gt;&lt;startpage&gt;2263&lt;/startpage&gt;&lt;title&gt;Prevalence of anemia in persons 65 years and older in the United States: evidence for a high rate of unexplained anemia&lt;/title&gt;&lt;uuid&gt;419E2784-41CD-4FAD-B89D-79B823070F12&lt;/uuid&gt;&lt;subtype&gt;400&lt;/subtype&gt;&lt;endpage&gt;2268&lt;/endpage&gt;&lt;type&gt;400&lt;/type&gt;&lt;url&gt;http://www.bloodjournal.org/cgi/doi/10.1182/blood-2004-05-1812&lt;/url&gt;&lt;bundle&gt;&lt;publication&gt;&lt;title&gt;Blood&lt;/title&gt;&lt;type&gt;-100&lt;/type&gt;&lt;subtype&gt;-100&lt;/subtype&gt;&lt;uuid&gt;7519C290-29C0-474D-9379-9DBE3EAF78E8&lt;/uuid&gt;&lt;/publication&gt;&lt;/bundle&gt;&lt;authors&gt;&lt;author&gt;&lt;firstName&gt;J&lt;/firstName&gt;&lt;middleNames&gt;M&lt;/middleNames&gt;&lt;lastName&gt;Guralnik&lt;/lastName&gt;&lt;/author&gt;&lt;/authors&gt;&lt;/publication&gt;&lt;/publications&gt;&lt;cites&gt;&lt;/cites&gt;&lt;/citation&gt;</w:instrText>
      </w:r>
      <w:r w:rsidR="002E11D2" w:rsidRPr="0029445E">
        <w:fldChar w:fldCharType="separate"/>
      </w:r>
      <w:r w:rsidR="0060050A" w:rsidRPr="0029445E">
        <w:rPr>
          <w:lang w:val="en-US"/>
        </w:rPr>
        <w:t>[11</w:t>
      </w:r>
      <w:r w:rsidR="002E11D2" w:rsidRPr="0029445E">
        <w:rPr>
          <w:lang w:val="en-US"/>
        </w:rPr>
        <w:t>].</w:t>
      </w:r>
      <w:r w:rsidR="002E11D2" w:rsidRPr="0029445E">
        <w:fldChar w:fldCharType="end"/>
      </w:r>
      <w:r w:rsidR="002E11D2" w:rsidRPr="0029445E">
        <w:t xml:space="preserve"> </w:t>
      </w:r>
      <w:r w:rsidR="00251006" w:rsidRPr="0029445E">
        <w:t>Although</w:t>
      </w:r>
      <w:r w:rsidR="00B76247" w:rsidRPr="0029445E">
        <w:t xml:space="preserve"> </w:t>
      </w:r>
      <w:r w:rsidR="00251006" w:rsidRPr="0029445E">
        <w:t>a</w:t>
      </w:r>
      <w:r w:rsidR="00B76247" w:rsidRPr="0029445E">
        <w:t xml:space="preserve">naemia appears to </w:t>
      </w:r>
      <w:r w:rsidR="00251006" w:rsidRPr="0029445E">
        <w:t>be equally prevalent in</w:t>
      </w:r>
      <w:r w:rsidR="00B76247" w:rsidRPr="0029445E">
        <w:t xml:space="preserve"> post</w:t>
      </w:r>
      <w:r w:rsidR="00251006" w:rsidRPr="0029445E">
        <w:t>-</w:t>
      </w:r>
      <w:r w:rsidR="00B76247" w:rsidRPr="0029445E">
        <w:t xml:space="preserve">menopausal </w:t>
      </w:r>
      <w:r w:rsidR="00251006" w:rsidRPr="0029445E">
        <w:t xml:space="preserve">women </w:t>
      </w:r>
      <w:r w:rsidR="00B76247" w:rsidRPr="0029445E">
        <w:t xml:space="preserve">and </w:t>
      </w:r>
      <w:r w:rsidR="00251006" w:rsidRPr="0029445E">
        <w:t xml:space="preserve">men, </w:t>
      </w:r>
      <w:r w:rsidR="00B76247" w:rsidRPr="0029445E">
        <w:t>the definition of an</w:t>
      </w:r>
      <w:r w:rsidR="00251006" w:rsidRPr="0029445E">
        <w:t>a</w:t>
      </w:r>
      <w:r w:rsidR="00B76247" w:rsidRPr="0029445E">
        <w:t>emia is</w:t>
      </w:r>
      <w:r w:rsidR="00251006" w:rsidRPr="0029445E">
        <w:t xml:space="preserve"> 10</w:t>
      </w:r>
      <w:r w:rsidR="00B76247" w:rsidRPr="0029445E">
        <w:t xml:space="preserve"> </w:t>
      </w:r>
      <w:r w:rsidR="00251006" w:rsidRPr="0029445E">
        <w:rPr>
          <w:rFonts w:cs="Times New Roman"/>
        </w:rPr>
        <w:t>g.l</w:t>
      </w:r>
      <w:r w:rsidR="00251006" w:rsidRPr="0029445E">
        <w:rPr>
          <w:rFonts w:cs="Times New Roman"/>
          <w:vertAlign w:val="superscript"/>
        </w:rPr>
        <w:t>-1</w:t>
      </w:r>
      <w:r w:rsidR="00251006" w:rsidRPr="0029445E">
        <w:rPr>
          <w:rFonts w:cs="Times New Roman"/>
        </w:rPr>
        <w:t xml:space="preserve"> </w:t>
      </w:r>
      <w:r w:rsidR="00F961C1" w:rsidRPr="0029445E">
        <w:t>apart between the genders</w:t>
      </w:r>
      <w:r w:rsidR="00B76247" w:rsidRPr="0029445E">
        <w:t>.</w:t>
      </w:r>
      <w:r w:rsidR="00251006" w:rsidRPr="0029445E">
        <w:t xml:space="preserve"> This is important</w:t>
      </w:r>
      <w:r w:rsidR="0060050A" w:rsidRPr="0029445E">
        <w:t>,</w:t>
      </w:r>
      <w:r w:rsidR="00251006" w:rsidRPr="0029445E">
        <w:t xml:space="preserve"> as women have a higher mortality after cardiac surgery</w:t>
      </w:r>
      <w:r w:rsidR="0060050A" w:rsidRPr="0029445E">
        <w:t xml:space="preserve"> </w:t>
      </w:r>
      <w:r w:rsidR="0060050A" w:rsidRPr="0029445E">
        <w:fldChar w:fldCharType="begin"/>
      </w:r>
      <w:r w:rsidR="0060050A" w:rsidRPr="0029445E">
        <w:instrText xml:space="preserve"> ADDIN PAPERS2_CITATIONS &lt;citation&gt;&lt;uuid&gt;24A08AE6-68C0-4E82-B394-19F463FD43A7&lt;/uuid&gt;&lt;priority&gt;8&lt;/priority&gt;&lt;publications&gt;&lt;publication&gt;&lt;volume&gt;7&lt;/volume&gt;&lt;publication_date&gt;99201208021200000000222000&lt;/publication_date&gt;&lt;number&gt;8&lt;/number&gt;&lt;doi&gt;10.1371/journal.pone.0041875.s007&lt;/doi&gt;&lt;startpage&gt;e41875&lt;/startpage&gt;&lt;title&gt;Anaemia, Haemoglobin Level and Cause-Specific Mortality in People with and without Diabetes&lt;/title&gt;&lt;uuid&gt;321C862F-EBC6-46B9-B598-30A88D93F422&lt;/uuid&gt;&lt;subtype&gt;400&lt;/subtype&gt;&lt;type&gt;400&lt;/type&gt;&lt;url&gt;http://dx.plos.org/10.1371/journal.pone.0041875.s007&lt;/url&gt;&lt;bundle&gt;&lt;publication&gt;&lt;url&gt;http://www.plosone.org/&lt;/url&gt;&lt;title&gt;PLoS ONE&lt;/title&gt;&lt;type&gt;-100&lt;/type&gt;&lt;subtype&gt;-100&lt;/subtype&gt;&lt;uuid&gt;6A7A6AFF-38D3-4028-B824-C3B71F08AFD5&lt;/uuid&gt;&lt;/publication&gt;&lt;/bundle&gt;&lt;authors&gt;&lt;author&gt;&lt;firstName&gt;Andre&lt;/firstName&gt;&lt;middleNames&gt;Pascal&lt;/middleNames&gt;&lt;lastName&gt;Kengne&lt;/lastName&gt;&lt;/author&gt;&lt;author&gt;&lt;firstName&gt;Sébastien&lt;/firstName&gt;&lt;lastName&gt;Czernichow&lt;/lastName&gt;&lt;/author&gt;&lt;author&gt;&lt;firstName&gt;Mark&lt;/firstName&gt;&lt;lastName&gt;Hamer&lt;/lastName&gt;&lt;/author&gt;&lt;author&gt;&lt;firstName&gt;G&lt;/firstName&gt;&lt;middleNames&gt;David&lt;/middleNames&gt;&lt;lastName&gt;Batty&lt;/lastName&gt;&lt;/author&gt;&lt;author&gt;&lt;firstName&gt;Emmanuel&lt;/firstName&gt;&lt;lastName&gt;Stamatakis&lt;/lastName&gt;&lt;/author&gt;&lt;/authors&gt;&lt;editors&gt;&lt;author&gt;&lt;firstName&gt;Stefan&lt;/firstName&gt;&lt;lastName&gt;Kiechl&lt;/lastName&gt;&lt;/author&gt;&lt;/editors&gt;&lt;/publication&gt;&lt;publication&gt;&lt;uuid&gt;E73DF913-0499-43E9-8C90-B3246E7A92CE&lt;/uuid&gt;&lt;volume&gt;106&lt;/volume&gt;&lt;doi&gt;10.1177/0141076813479580&lt;/doi&gt;&lt;startpage&gt;269&lt;/startpage&gt;&lt;publication_date&gt;99201307001200000000220000&lt;/publication_date&gt;&lt;url&gt;http://eutils.ncbi.nlm.nih.gov/entrez/eutils/elink.fcgi?dbfrom=pubmed&amp;amp;id=23759887&amp;amp;retmode=ref&amp;amp;cmd=prlinks&lt;/url&gt;&lt;type&gt;400&lt;/type&gt;&lt;title&gt;Anaemia in the older surgical patient: a review of prevalence, causes, implications and management.&lt;/title&gt;&lt;location&gt;&amp;lt;html&amp;gt;&amp;lt;head&amp;gt;&amp;lt;meta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Home&amp;lt;/a&amp;gt;&amp;lt;/div&amp;gt;&amp;lt;/body&amp;gt;&amp;lt;/html&amp;gt;&lt;/location&gt;&lt;institution&gt;Kings College London, London SW1 3QD, UK. judith.partridge@gstt.nhs.uk&lt;/institution&gt;&lt;number&gt;7&lt;/number&gt;&lt;subtype&gt;400&lt;/subtype&gt;&lt;endpage&gt;277&lt;/endpage&gt;&lt;bundle&gt;&lt;publication&gt;&lt;title&gt;Journal of the Royal Society of Medicine&lt;/title&gt;&lt;type&gt;-100&lt;/type&gt;&lt;subtype&gt;-100&lt;/subtype&gt;&lt;uuid&gt;8DFD80F2-7A0A-410F-B7FD-8F901EE5B409&lt;/uuid&gt;&lt;/publication&gt;&lt;/bundle&gt;&lt;authors&gt;&lt;author&gt;&lt;firstName&gt;Judith&lt;/firstName&gt;&lt;lastName&gt;Partridge&lt;/lastName&gt;&lt;/author&gt;&lt;author&gt;&lt;firstName&gt;Danielle&lt;/firstName&gt;&lt;lastName&gt;Harari&lt;/lastName&gt;&lt;/author&gt;&lt;author&gt;&lt;firstName&gt;Jessica&lt;/firstName&gt;&lt;lastName&gt;Gossage&lt;/lastName&gt;&lt;/author&gt;&lt;author&gt;&lt;firstName&gt;Jugdeep&lt;/firstName&gt;&lt;lastName&gt;Dhesi&lt;/lastName&gt;&lt;/author&gt;&lt;/authors&gt;&lt;/publication&gt;&lt;/publications&gt;&lt;cites&gt;&lt;/cites&gt;&lt;/citation&gt;</w:instrText>
      </w:r>
      <w:r w:rsidR="0060050A" w:rsidRPr="0029445E">
        <w:fldChar w:fldCharType="separate"/>
      </w:r>
      <w:r w:rsidR="0060050A" w:rsidRPr="0029445E">
        <w:rPr>
          <w:lang w:val="en-US"/>
        </w:rPr>
        <w:t>[12].</w:t>
      </w:r>
      <w:r w:rsidR="0060050A" w:rsidRPr="0029445E">
        <w:fldChar w:fldCharType="end"/>
      </w:r>
      <w:r w:rsidR="00251006" w:rsidRPr="0029445E">
        <w:t xml:space="preserve"> </w:t>
      </w:r>
      <w:r w:rsidR="00F903EF" w:rsidRPr="0029445E">
        <w:t>A</w:t>
      </w:r>
      <w:r w:rsidR="002E11D2" w:rsidRPr="0029445E">
        <w:t>naemia is</w:t>
      </w:r>
      <w:r w:rsidR="00F903EF" w:rsidRPr="0029445E">
        <w:t xml:space="preserve"> also</w:t>
      </w:r>
      <w:r w:rsidR="002E11D2" w:rsidRPr="0029445E">
        <w:t xml:space="preserve"> more common with increasing frailty, and its prevalence has been reported to be as high as 40% in nursing home residents </w:t>
      </w:r>
      <w:r w:rsidR="002E11D2" w:rsidRPr="0029445E">
        <w:fldChar w:fldCharType="begin"/>
      </w:r>
      <w:r w:rsidR="002E11D2" w:rsidRPr="0029445E">
        <w:instrText xml:space="preserve"> ADDIN PAPERS2_CITATIONS &lt;citation&gt;&lt;uuid&gt;24A08AE6-68C0-4E82-B394-19F463FD43A7&lt;/uuid&gt;&lt;priority&gt;8&lt;/priority&gt;&lt;publications&gt;&lt;publication&gt;&lt;volume&gt;7&lt;/volume&gt;&lt;publication_date&gt;99201208021200000000222000&lt;/publication_date&gt;&lt;number&gt;8&lt;/number&gt;&lt;doi&gt;10.1371/journal.pone.0041875.s007&lt;/doi&gt;&lt;startpage&gt;e41875&lt;/startpage&gt;&lt;title&gt;Anaemia, Haemoglobin Level and Cause-Specific Mortality in People with and without Diabetes&lt;/title&gt;&lt;uuid&gt;321C862F-EBC6-46B9-B598-30A88D93F422&lt;/uuid&gt;&lt;subtype&gt;400&lt;/subtype&gt;&lt;type&gt;400&lt;/type&gt;&lt;url&gt;http://dx.plos.org/10.1371/journal.pone.0041875.s007&lt;/url&gt;&lt;bundle&gt;&lt;publication&gt;&lt;url&gt;http://www.plosone.org/&lt;/url&gt;&lt;title&gt;PLoS ONE&lt;/title&gt;&lt;type&gt;-100&lt;/type&gt;&lt;subtype&gt;-100&lt;/subtype&gt;&lt;uuid&gt;6A7A6AFF-38D3-4028-B824-C3B71F08AFD5&lt;/uuid&gt;&lt;/publication&gt;&lt;/bundle&gt;&lt;authors&gt;&lt;author&gt;&lt;firstName&gt;Andre&lt;/firstName&gt;&lt;middleNames&gt;Pascal&lt;/middleNames&gt;&lt;lastName&gt;Kengne&lt;/lastName&gt;&lt;/author&gt;&lt;author&gt;&lt;firstName&gt;Sébastien&lt;/firstName&gt;&lt;lastName&gt;Czernichow&lt;/lastName&gt;&lt;/author&gt;&lt;author&gt;&lt;firstName&gt;Mark&lt;/firstName&gt;&lt;lastName&gt;Hamer&lt;/lastName&gt;&lt;/author&gt;&lt;author&gt;&lt;firstName&gt;G&lt;/firstName&gt;&lt;middleNames&gt;David&lt;/middleNames&gt;&lt;lastName&gt;Batty&lt;/lastName&gt;&lt;/author&gt;&lt;author&gt;&lt;firstName&gt;Emmanuel&lt;/firstName&gt;&lt;lastName&gt;Stamatakis&lt;/lastName&gt;&lt;/author&gt;&lt;/authors&gt;&lt;editors&gt;&lt;author&gt;&lt;firstName&gt;Stefan&lt;/firstName&gt;&lt;lastName&gt;Kiechl&lt;/lastName&gt;&lt;/author&gt;&lt;/editors&gt;&lt;/publication&gt;&lt;publication&gt;&lt;uuid&gt;E73DF913-0499-43E9-8C90-B3246E7A92CE&lt;/uuid&gt;&lt;volume&gt;106&lt;/volume&gt;&lt;doi&gt;10.1177/0141076813479580&lt;/doi&gt;&lt;startpage&gt;269&lt;/startpage&gt;&lt;publication_date&gt;99201307001200000000220000&lt;/publication_date&gt;&lt;url&gt;http://eutils.ncbi.nlm.nih.gov/entrez/eutils/elink.fcgi?dbfrom=pubmed&amp;amp;id=23759887&amp;amp;retmode=ref&amp;amp;cmd=prlinks&lt;/url&gt;&lt;type&gt;400&lt;/type&gt;&lt;title&gt;Anaemia in the older surgical patient: a review of prevalence, causes, implications and management.&lt;/title&gt;&lt;location&gt;&amp;lt;html&amp;gt;&amp;lt;head&amp;gt;&amp;lt;meta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Home&amp;lt;/a&amp;gt;&amp;lt;/div&amp;gt;&amp;lt;/body&amp;gt;&amp;lt;/html&amp;gt;&lt;/location&gt;&lt;institution&gt;Kings College London, London SW1 3QD, UK. judith.partridge@gstt.nhs.uk&lt;/institution&gt;&lt;number&gt;7&lt;/number&gt;&lt;subtype&gt;400&lt;/subtype&gt;&lt;endpage&gt;277&lt;/endpage&gt;&lt;bundle&gt;&lt;publication&gt;&lt;title&gt;Journal of the Royal Society of Medicine&lt;/title&gt;&lt;type&gt;-100&lt;/type&gt;&lt;subtype&gt;-100&lt;/subtype&gt;&lt;uuid&gt;8DFD80F2-7A0A-410F-B7FD-8F901EE5B409&lt;/uuid&gt;&lt;/publication&gt;&lt;/bundle&gt;&lt;authors&gt;&lt;author&gt;&lt;firstName&gt;Judith&lt;/firstName&gt;&lt;lastName&gt;Partridge&lt;/lastName&gt;&lt;/author&gt;&lt;author&gt;&lt;firstName&gt;Danielle&lt;/firstName&gt;&lt;lastName&gt;Harari&lt;/lastName&gt;&lt;/author&gt;&lt;author&gt;&lt;firstName&gt;Jessica&lt;/firstName&gt;&lt;lastName&gt;Gossage&lt;/lastName&gt;&lt;/author&gt;&lt;author&gt;&lt;firstName&gt;Jugdeep&lt;/firstName&gt;&lt;lastName&gt;Dhesi&lt;/lastName&gt;&lt;/author&gt;&lt;/authors&gt;&lt;/publication&gt;&lt;/publications&gt;&lt;cites&gt;&lt;/cites&gt;&lt;/citation&gt;</w:instrText>
      </w:r>
      <w:r w:rsidR="002E11D2" w:rsidRPr="0029445E">
        <w:fldChar w:fldCharType="separate"/>
      </w:r>
      <w:r w:rsidR="00E21FB2" w:rsidRPr="0029445E">
        <w:rPr>
          <w:lang w:val="en-US"/>
        </w:rPr>
        <w:t>[</w:t>
      </w:r>
      <w:r w:rsidR="002E11D2" w:rsidRPr="0029445E">
        <w:rPr>
          <w:lang w:val="en-US"/>
        </w:rPr>
        <w:t>1</w:t>
      </w:r>
      <w:r w:rsidR="0060050A" w:rsidRPr="0029445E">
        <w:rPr>
          <w:lang w:val="en-US"/>
        </w:rPr>
        <w:t>3</w:t>
      </w:r>
      <w:r w:rsidR="002E11D2" w:rsidRPr="0029445E">
        <w:rPr>
          <w:lang w:val="en-US"/>
        </w:rPr>
        <w:t>].</w:t>
      </w:r>
      <w:r w:rsidR="002E11D2" w:rsidRPr="0029445E">
        <w:fldChar w:fldCharType="end"/>
      </w:r>
      <w:r w:rsidR="002E11D2" w:rsidRPr="0029445E">
        <w:t xml:space="preserve"> Population studies in the UK have sh</w:t>
      </w:r>
      <w:r w:rsidR="00F903EF" w:rsidRPr="0029445E">
        <w:t>own anaemia to be more common</w:t>
      </w:r>
      <w:r w:rsidR="002E11D2" w:rsidRPr="0029445E">
        <w:t xml:space="preserve"> than diabetes, with a similar incidence to cardiovascular disease </w:t>
      </w:r>
      <w:r w:rsidR="002E11D2" w:rsidRPr="0029445E">
        <w:fldChar w:fldCharType="begin"/>
      </w:r>
      <w:r w:rsidR="002E11D2" w:rsidRPr="0029445E">
        <w:instrText xml:space="preserve"> ADDIN PAPERS2_CITATIONS &lt;citation&gt;&lt;uuid&gt;D97E42DB-EB27-4C44-83B9-8BE0AF72C9E3&lt;/uuid&gt;&lt;priority&gt;9&lt;/priority&gt;&lt;publications&gt;&lt;publication&gt;&lt;volume&gt;7&lt;/volume&gt;&lt;publication_date&gt;99201208021200000000222000&lt;/publication_date&gt;&lt;number&gt;8&lt;/number&gt;&lt;doi&gt;10.1371/journal.pone.0041875.s007&lt;/doi&gt;&lt;startpage&gt;e41875&lt;/startpage&gt;&lt;title&gt;Anaemia, Haemoglobin Level and Cause-Specific Mortality in People with and without Diabetes&lt;/title&gt;&lt;uuid&gt;321C862F-EBC6-46B9-B598-30A88D93F422&lt;/uuid&gt;&lt;subtype&gt;400&lt;/subtype&gt;&lt;type&gt;400&lt;/type&gt;&lt;url&gt;http://dx.plos.org/10.1371/journal.pone.0041875.s007&lt;/url&gt;&lt;bundle&gt;&lt;publication&gt;&lt;url&gt;http://www.plosone.org/&lt;/url&gt;&lt;title&gt;PLoS ONE&lt;/title&gt;&lt;type&gt;-100&lt;/type&gt;&lt;subtype&gt;-100&lt;/subtype&gt;&lt;uuid&gt;6A7A6AFF-38D3-4028-B824-C3B71F08AFD5&lt;/uuid&gt;&lt;/publication&gt;&lt;/bundle&gt;&lt;authors&gt;&lt;author&gt;&lt;firstName&gt;Andre&lt;/firstName&gt;&lt;middleNames&gt;Pascal&lt;/middleNames&gt;&lt;lastName&gt;Kengne&lt;/lastName&gt;&lt;/author&gt;&lt;author&gt;&lt;firstName&gt;Sébastien&lt;/firstName&gt;&lt;lastName&gt;Czernichow&lt;/lastName&gt;&lt;/author&gt;&lt;author&gt;&lt;firstName&gt;Mark&lt;/firstName&gt;&lt;lastName&gt;Hamer&lt;/lastName&gt;&lt;/author&gt;&lt;author&gt;&lt;firstName&gt;G&lt;/firstName&gt;&lt;middleNames&gt;David&lt;/middleNames&gt;&lt;lastName&gt;Batty&lt;/lastName&gt;&lt;/author&gt;&lt;author&gt;&lt;firstName&gt;Emmanuel&lt;/firstName&gt;&lt;lastName&gt;Stamatakis&lt;/lastName&gt;&lt;/author&gt;&lt;/authors&gt;&lt;editors&gt;&lt;author&gt;&lt;firstName&gt;Stefan&lt;/firstName&gt;&lt;lastName&gt;Kiechl&lt;/lastName&gt;&lt;/author&gt;&lt;/editors&gt;&lt;/publication&gt;&lt;/publications&gt;&lt;cites&gt;&lt;/cites&gt;&lt;/citation&gt;</w:instrText>
      </w:r>
      <w:r w:rsidR="002E11D2" w:rsidRPr="0029445E">
        <w:fldChar w:fldCharType="separate"/>
      </w:r>
      <w:r w:rsidR="0060050A" w:rsidRPr="0029445E">
        <w:rPr>
          <w:lang w:val="en-US"/>
        </w:rPr>
        <w:t>[14</w:t>
      </w:r>
      <w:r w:rsidR="002E11D2" w:rsidRPr="0029445E">
        <w:rPr>
          <w:lang w:val="en-US"/>
        </w:rPr>
        <w:t>].</w:t>
      </w:r>
      <w:r w:rsidR="002E11D2" w:rsidRPr="0029445E">
        <w:fldChar w:fldCharType="end"/>
      </w:r>
      <w:r w:rsidR="002E11D2" w:rsidRPr="0029445E">
        <w:t xml:space="preserve"> </w:t>
      </w:r>
      <w:r w:rsidR="00F903EF" w:rsidRPr="0029445E">
        <w:t xml:space="preserve">However, with respect to surgical patients, </w:t>
      </w:r>
      <w:r w:rsidR="002E11D2" w:rsidRPr="0029445E">
        <w:t>the United States’ National Surgery Quality Impro</w:t>
      </w:r>
      <w:r w:rsidR="00F903EF" w:rsidRPr="0029445E">
        <w:t>vement Program (NSQIP) database s</w:t>
      </w:r>
      <w:r w:rsidR="00AE2922" w:rsidRPr="0029445E">
        <w:t>h</w:t>
      </w:r>
      <w:r w:rsidR="00F903EF" w:rsidRPr="0029445E">
        <w:t>owed</w:t>
      </w:r>
      <w:r w:rsidR="002E11D2" w:rsidRPr="0029445E">
        <w:t xml:space="preserve"> the prevalence of anaemia in all patients undergoing surgery</w:t>
      </w:r>
      <w:r w:rsidR="00F903EF" w:rsidRPr="0029445E">
        <w:t xml:space="preserve"> to be</w:t>
      </w:r>
      <w:r w:rsidR="00767754" w:rsidRPr="0029445E">
        <w:t xml:space="preserve"> 30</w:t>
      </w:r>
      <w:r w:rsidR="002E11D2" w:rsidRPr="0029445E">
        <w:t xml:space="preserve">% </w:t>
      </w:r>
      <w:r w:rsidR="002E11D2" w:rsidRPr="0029445E">
        <w:fldChar w:fldCharType="begin"/>
      </w:r>
      <w:r w:rsidR="002E11D2" w:rsidRPr="0029445E">
        <w:instrText xml:space="preserve"> ADDIN PAPERS2_CITATIONS &lt;citation&gt;&lt;uuid&gt;B8A57CA3-5973-4226-9942-AB7CE79473C6&lt;/uuid&gt;&lt;priority&gt;12&lt;/priority&gt;&lt;publications&gt;&lt;publication&gt;&lt;uuid&gt;160E3845-9D36-4D77-B8FE-8DBF4920AB3F&lt;/uuid&gt;&lt;volume&gt;378&lt;/volume&gt;&lt;doi&gt;10.1016/S0140-6736(11)61381-0&lt;/doi&gt;&lt;startpage&gt;1396&lt;/startpage&gt;&lt;publication_date&gt;99201110151200000000222000&lt;/publication_date&gt;&lt;url&gt;http://dx.doi.org/10.1016/S0140-6736(11)61381-0&lt;/url&gt;&lt;type&gt;400&lt;/type&gt;&lt;title&gt;Preoperative anaemia and postoperative outcomes in non-cardiac surgery: a retrospective cohort study&lt;/title&gt;&lt;publisher&gt;Elsevier Ltd&lt;/publisher&gt;&lt;number&gt;9800&lt;/number&gt;&lt;subtype&gt;400&lt;/subtype&gt;&lt;endpage&gt;1407&lt;/endpage&gt;&lt;bundle&gt;&lt;publication&gt;&lt;publisher&gt;Elsevier Ltd&lt;/publisher&gt;&lt;url&gt;http://www.thelancet.com/&lt;/url&gt;&lt;title&gt;The Lancet&lt;/title&gt;&lt;type&gt;-100&lt;/type&gt;&lt;subtype&gt;-100&lt;/subtype&gt;&lt;uuid&gt;8EFCF93E-D399-4C29-B0E4-517B8F9B26D3&lt;/uuid&gt;&lt;/publication&gt;&lt;/bundle&gt;&lt;authors&gt;&lt;author&gt;&lt;firstName&gt;Khaled&lt;/firstName&gt;&lt;middleNames&gt;M&lt;/middleNames&gt;&lt;lastName&gt;Musallam&lt;/lastName&gt;&lt;/author&gt;&lt;author&gt;&lt;firstName&gt;Hani&lt;/firstName&gt;&lt;middleNames&gt;M Tamim&lt;/middleNames&gt;&lt;lastName&gt;PhD&lt;/lastName&gt;&lt;/author&gt;&lt;author&gt;&lt;firstName&gt;Toby&lt;/firstName&gt;&lt;middleNames&gt;Richards&lt;/middleNames&gt;&lt;lastName&gt;MD&lt;/lastName&gt;&lt;/author&gt;&lt;author&gt;&lt;firstName&gt;Prof&lt;/firstName&gt;&lt;middleNames&gt;Donat R Spahn&lt;/middleNames&gt;&lt;lastName&gt;MD&lt;/lastName&gt;&lt;/author&gt;&lt;author&gt;&lt;firstName&gt;Prof&lt;/firstName&gt;&lt;middleNames&gt;Frits R Rosendaal&lt;/middleNames&gt;&lt;lastName&gt;MD&lt;/lastName&gt;&lt;/author&gt;&lt;author&gt;&lt;firstName&gt;Aida&lt;/firstName&gt;&lt;middleNames&gt;Habbal&lt;/middleNames&gt;&lt;lastName&gt;BSN&lt;/lastName&gt;&lt;/author&gt;&lt;author&gt;&lt;firstName&gt;Mohammad&lt;/firstName&gt;&lt;middleNames&gt;Khreiss&lt;/middleNames&gt;&lt;lastName&gt;MD&lt;/lastName&gt;&lt;/author&gt;&lt;author&gt;&lt;firstName&gt;Fadi&lt;/firstName&gt;&lt;middleNames&gt;S Dahdaleh&lt;/middleNames&gt;&lt;lastName&gt;MD&lt;/lastName&gt;&lt;/author&gt;&lt;author&gt;&lt;firstName&gt;Kaivan&lt;/firstName&gt;&lt;middleNames&gt;Khavandi&lt;/middleNames&gt;&lt;lastName&gt;MD&lt;/lastName&gt;&lt;/author&gt;&lt;author&gt;&lt;firstName&gt;Pierre&lt;/firstName&gt;&lt;middleNames&gt;M Sfeir&lt;/middleNames&gt;&lt;lastName&gt;MD&lt;/lastName&gt;&lt;/author&gt;&lt;author&gt;&lt;firstName&gt;Assaad&lt;/firstName&gt;&lt;middleNames&gt;Soweid&lt;/middleNames&gt;&lt;lastName&gt;MD&lt;/lastName&gt;&lt;/author&gt;&lt;author&gt;&lt;firstName&gt;Prof&lt;/firstName&gt;&lt;middleNames&gt;Jamal J Hoballah&lt;/middleNames&gt;&lt;lastName&gt;MD&lt;/lastName&gt;&lt;/author&gt;&lt;author&gt;&lt;firstName&gt;Prof&lt;/firstName&gt;&lt;middleNames&gt;Ali T Taher&lt;/middleNames&gt;&lt;lastName&gt;MD&lt;/lastName&gt;&lt;/author&gt;&lt;author&gt;&lt;firstName&gt;Dr&lt;/firstName&gt;&lt;middleNames&gt;Faek R Jamali&lt;/middleNames&gt;&lt;lastName&gt;MD&lt;/lastName&gt;&lt;/author&gt;&lt;/authors&gt;&lt;/publication&gt;&lt;/publications&gt;&lt;cites&gt;&lt;/cites&gt;&lt;/citation&gt;</w:instrText>
      </w:r>
      <w:r w:rsidR="002E11D2" w:rsidRPr="0029445E">
        <w:fldChar w:fldCharType="separate"/>
      </w:r>
      <w:r w:rsidR="002E11D2" w:rsidRPr="0029445E">
        <w:rPr>
          <w:lang w:val="en-US"/>
        </w:rPr>
        <w:t>[2],</w:t>
      </w:r>
      <w:r w:rsidR="002E11D2" w:rsidRPr="0029445E">
        <w:fldChar w:fldCharType="end"/>
      </w:r>
      <w:r w:rsidR="002E11D2" w:rsidRPr="0029445E">
        <w:t xml:space="preserve">  w</w:t>
      </w:r>
      <w:r w:rsidR="00E7054B" w:rsidRPr="0029445E">
        <w:t>ith a 29</w:t>
      </w:r>
      <w:r w:rsidR="00F903EF" w:rsidRPr="0029445E">
        <w:t>% prevalence reported from a European study</w:t>
      </w:r>
      <w:r w:rsidR="002E11D2" w:rsidRPr="0029445E">
        <w:t xml:space="preserve"> </w:t>
      </w:r>
      <w:r w:rsidR="002E11D2" w:rsidRPr="0029445E">
        <w:fldChar w:fldCharType="begin"/>
      </w:r>
      <w:r w:rsidR="002E11D2" w:rsidRPr="0029445E">
        <w:instrText xml:space="preserve"> ADDIN PAPERS2_CITATIONS &lt;citation&gt;&lt;uuid&gt;A350E147-017B-4E36-9A91-72F5376A323D&lt;/uuid&gt;&lt;priority&gt;13&lt;/priority&gt;&lt;publications&gt;&lt;publication&gt;&lt;location&gt;&amp;lt;html&amp;gt;&amp;lt;head&amp;gt;&amp;lt;meta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Home&amp;lt;/a&amp;gt;&amp;lt;/div&amp;gt;&amp;lt;/body&amp;gt;&amp;lt;/html&amp;gt;&lt;/location&gt;&lt;publication_date&gt;99201405141200000000222000&lt;/publication_date&gt;&lt;doi&gt;10.1093/bja/aeu098&lt;/doi&gt;&lt;institution&gt;Department of Anaesthesia, General Intensive Care and Pain Management, Medical University of Vienna, Vienna, Austria.&lt;/institution&gt;&lt;title&gt;Preoperative anaemia is associated with poor clinical outcome in non-cardiac surgery patients.&lt;/title&gt;&lt;uuid&gt;34FC5CE4-74BC-48E0-887C-35C4888F318E&lt;/uuid&gt;&lt;subtype&gt;400&lt;/subtype&gt;&lt;type&gt;400&lt;/type&gt;&lt;url&gt;http://eutils.ncbi.nlm.nih.gov/entrez/eutils/elink.fcgi?dbfrom=pubmed&amp;amp;id=24829444&amp;amp;retmode=ref&amp;amp;cmd=prlinks&lt;/url&gt;&lt;bundle&gt;&lt;publication&gt;&lt;url&gt;http://bja.oxfordjournals.org&lt;/url&gt;&lt;title&gt;British journal of anaesthesia&lt;/title&gt;&lt;type&gt;-100&lt;/type&gt;&lt;subtype&gt;-100&lt;/subtype&gt;&lt;uuid&gt;81284D6A-6003-42CD-AC15-771AB8B8C1A2&lt;/uuid&gt;&lt;/publication&gt;&lt;/bundle&gt;&lt;authors&gt;&lt;author&gt;&lt;firstName&gt;D&lt;/firstName&gt;&lt;middleNames&gt;M&lt;/middleNames&gt;&lt;lastName&gt;Baron&lt;/lastName&gt;&lt;/author&gt;&lt;author&gt;&lt;firstName&gt;H&lt;/firstName&gt;&lt;lastName&gt;Hochrieser&lt;/lastName&gt;&lt;/author&gt;&lt;author&gt;&lt;firstName&gt;M&lt;/firstName&gt;&lt;lastName&gt;Posch&lt;/lastName&gt;&lt;/author&gt;&lt;author&gt;&lt;firstName&gt;B&lt;/firstName&gt;&lt;lastName&gt;Metnitz&lt;/lastName&gt;&lt;/author&gt;&lt;author&gt;&lt;firstName&gt;A&lt;/firstName&gt;&lt;lastName&gt;Rhodes&lt;/lastName&gt;&lt;/author&gt;&lt;author&gt;&lt;firstName&gt;R&lt;/firstName&gt;&lt;middleNames&gt;P&lt;/middleNames&gt;&lt;lastName&gt;Moreno&lt;/lastName&gt;&lt;/author&gt;&lt;author&gt;&lt;firstName&gt;R&lt;/firstName&gt;&lt;middleNames&gt;M&lt;/middleNames&gt;&lt;lastName&gt;Pearse&lt;/lastName&gt;&lt;/author&gt;&lt;author&gt;&lt;firstName&gt;P&lt;/firstName&gt;&lt;lastName&gt;Metnitz&lt;/lastName&gt;&lt;/author&gt;&lt;author&gt;&lt;lastName&gt;for the European Surgical Outcomes Study (EuSOS) group for the Trials Groups of the European Society of Intensive Care Medicine and the European Society of Anaesthesiology&lt;/lastName&gt;&lt;/author&gt;&lt;/authors&gt;&lt;/publication&gt;&lt;/publications&gt;&lt;cites&gt;&lt;/cites&gt;&lt;/citation&gt;</w:instrText>
      </w:r>
      <w:r w:rsidR="002E11D2" w:rsidRPr="0029445E">
        <w:fldChar w:fldCharType="separate"/>
      </w:r>
      <w:r w:rsidR="0060050A" w:rsidRPr="0029445E">
        <w:rPr>
          <w:lang w:val="en-US"/>
        </w:rPr>
        <w:t>[15</w:t>
      </w:r>
      <w:r w:rsidR="002E11D2" w:rsidRPr="0029445E">
        <w:rPr>
          <w:lang w:val="en-US"/>
        </w:rPr>
        <w:t>].</w:t>
      </w:r>
      <w:r w:rsidR="002E11D2" w:rsidRPr="0029445E">
        <w:fldChar w:fldCharType="end"/>
      </w:r>
    </w:p>
    <w:p w14:paraId="2FEABE86" w14:textId="67CE57E7" w:rsidR="00145600" w:rsidRPr="0029445E" w:rsidRDefault="00145600" w:rsidP="005E6847">
      <w:pPr>
        <w:spacing w:after="0" w:line="480" w:lineRule="auto"/>
        <w:ind w:firstLine="720"/>
        <w:rPr>
          <w:rFonts w:cs="Times New Roman"/>
          <w:lang w:val="en-US"/>
        </w:rPr>
      </w:pPr>
      <w:r w:rsidRPr="0029445E">
        <w:rPr>
          <w:rFonts w:cs="Times New Roman"/>
        </w:rPr>
        <w:t>Patients undergoing cardiac surgery may be particularly susceptible to the consequences of pre-operative anaemia due to their underlying poor cardiac reserve and the high volume of blood loss</w:t>
      </w:r>
      <w:r w:rsidR="00D32F32" w:rsidRPr="0029445E">
        <w:rPr>
          <w:rFonts w:cs="Times New Roman"/>
        </w:rPr>
        <w:t xml:space="preserve"> and haemodilution</w:t>
      </w:r>
      <w:r w:rsidRPr="0029445E">
        <w:rPr>
          <w:rFonts w:cs="Times New Roman"/>
        </w:rPr>
        <w:t xml:space="preserve"> associated with cardiopulmo</w:t>
      </w:r>
      <w:r w:rsidR="00D32F32" w:rsidRPr="0029445E">
        <w:rPr>
          <w:rFonts w:cs="Times New Roman"/>
        </w:rPr>
        <w:t xml:space="preserve">nary bypass and cardiac surgery </w:t>
      </w:r>
      <w:r w:rsidR="00E7054B" w:rsidRPr="0029445E">
        <w:rPr>
          <w:lang w:val="en-US"/>
        </w:rPr>
        <w:t>[4]</w:t>
      </w:r>
      <w:r w:rsidR="00D32F32" w:rsidRPr="0029445E">
        <w:rPr>
          <w:rFonts w:cs="Times New Roman"/>
        </w:rPr>
        <w:t>.</w:t>
      </w:r>
      <w:r w:rsidRPr="0029445E">
        <w:rPr>
          <w:rFonts w:cs="Times New Roman"/>
        </w:rPr>
        <w:t xml:space="preserve"> However, anaemia is associated with an increased risk of blood transfusion</w:t>
      </w:r>
      <w:r w:rsidR="00767754" w:rsidRPr="0029445E">
        <w:rPr>
          <w:rFonts w:cs="Times New Roman"/>
        </w:rPr>
        <w:t>,</w:t>
      </w:r>
      <w:r w:rsidRPr="0029445E">
        <w:rPr>
          <w:rFonts w:cs="Times New Roman"/>
        </w:rPr>
        <w:t xml:space="preserve"> which may itself increase morbidity and </w:t>
      </w:r>
      <w:r w:rsidR="005E6847" w:rsidRPr="0029445E">
        <w:rPr>
          <w:rFonts w:cs="Times New Roman"/>
        </w:rPr>
        <w:t>mortality after cardiac surgery</w:t>
      </w:r>
      <w:r w:rsidR="00E7054B" w:rsidRPr="0029445E">
        <w:rPr>
          <w:rFonts w:cs="Times New Roman"/>
        </w:rPr>
        <w:t xml:space="preserve"> </w:t>
      </w:r>
      <w:r w:rsidR="0060050A" w:rsidRPr="0029445E">
        <w:rPr>
          <w:lang w:val="en-US"/>
        </w:rPr>
        <w:t>[16</w:t>
      </w:r>
      <w:r w:rsidR="00E7054B" w:rsidRPr="0029445E">
        <w:rPr>
          <w:lang w:val="en-US"/>
        </w:rPr>
        <w:t>].</w:t>
      </w:r>
      <w:r w:rsidR="00E7054B" w:rsidRPr="0029445E">
        <w:rPr>
          <w:rFonts w:cs="Times New Roman"/>
        </w:rPr>
        <w:t xml:space="preserve"> </w:t>
      </w:r>
      <w:r w:rsidRPr="0029445E">
        <w:rPr>
          <w:rFonts w:cs="Times New Roman"/>
        </w:rPr>
        <w:t>Moreover, an interaction between anaemia and blood transfusions has been demonstrated, with increased morbidity and mortality in patients who are both anaemic and receive transfusions greater than additive effects of each exposu</w:t>
      </w:r>
      <w:r w:rsidR="00D32F32" w:rsidRPr="0029445E">
        <w:rPr>
          <w:rFonts w:cs="Times New Roman"/>
        </w:rPr>
        <w:t>re individually</w:t>
      </w:r>
      <w:r w:rsidR="00880003" w:rsidRPr="0029445E">
        <w:rPr>
          <w:rFonts w:cs="Times New Roman"/>
        </w:rPr>
        <w:t xml:space="preserve"> </w:t>
      </w:r>
      <w:r w:rsidR="0060050A" w:rsidRPr="0029445E">
        <w:rPr>
          <w:lang w:val="en-US"/>
        </w:rPr>
        <w:t>[17</w:t>
      </w:r>
      <w:r w:rsidR="00880003" w:rsidRPr="0029445E">
        <w:rPr>
          <w:lang w:val="en-US"/>
        </w:rPr>
        <w:t>]</w:t>
      </w:r>
      <w:r w:rsidR="00D32F32" w:rsidRPr="0029445E">
        <w:rPr>
          <w:rFonts w:cs="Times New Roman"/>
        </w:rPr>
        <w:t>.</w:t>
      </w:r>
    </w:p>
    <w:p w14:paraId="5B9BED06" w14:textId="77777777" w:rsidR="00D32F32" w:rsidRPr="0029445E" w:rsidRDefault="00145600" w:rsidP="00D32F32">
      <w:pPr>
        <w:spacing w:after="0" w:line="480" w:lineRule="auto"/>
        <w:ind w:firstLine="720"/>
        <w:rPr>
          <w:rFonts w:cs="Times New Roman"/>
        </w:rPr>
      </w:pPr>
      <w:r w:rsidRPr="0029445E">
        <w:rPr>
          <w:rFonts w:cs="Times New Roman"/>
        </w:rPr>
        <w:t>To date</w:t>
      </w:r>
      <w:r w:rsidR="0082798D" w:rsidRPr="0029445E">
        <w:rPr>
          <w:rFonts w:cs="Times New Roman"/>
        </w:rPr>
        <w:t>,</w:t>
      </w:r>
      <w:r w:rsidRPr="0029445E">
        <w:rPr>
          <w:rFonts w:cs="Times New Roman"/>
        </w:rPr>
        <w:t xml:space="preserve"> no multicentre review of the prevalence and consequences of pre-operative anaemia among UK cardiac surger</w:t>
      </w:r>
      <w:r w:rsidR="00D32F32" w:rsidRPr="0029445E">
        <w:rPr>
          <w:rFonts w:cs="Times New Roman"/>
        </w:rPr>
        <w:t>y patients has been undertaken. The Association of Cardiothoracic Anaesthetists (ACTA) therefore decided to form a collaborative group to describe the prevalence of pre-operative anaemia amo</w:t>
      </w:r>
      <w:r w:rsidR="009F1596" w:rsidRPr="0029445E">
        <w:rPr>
          <w:rFonts w:cs="Times New Roman"/>
        </w:rPr>
        <w:t>ng UK cardiac surgery patients</w:t>
      </w:r>
      <w:r w:rsidR="00D32F32" w:rsidRPr="0029445E">
        <w:rPr>
          <w:rFonts w:cs="Times New Roman"/>
        </w:rPr>
        <w:t xml:space="preserve"> and evaluate the effect of anaemia on outcomes in UK cardiac surgery centres.</w:t>
      </w:r>
    </w:p>
    <w:p w14:paraId="07E0F0ED" w14:textId="77777777" w:rsidR="00D32F32" w:rsidRPr="0029445E" w:rsidRDefault="00D32F32" w:rsidP="00D32F32">
      <w:pPr>
        <w:spacing w:line="480" w:lineRule="auto"/>
        <w:rPr>
          <w:rFonts w:cs="Times New Roman"/>
        </w:rPr>
      </w:pPr>
      <w:r w:rsidRPr="0029445E">
        <w:rPr>
          <w:rFonts w:cs="Times New Roman"/>
        </w:rPr>
        <w:br w:type="page"/>
      </w:r>
    </w:p>
    <w:p w14:paraId="5B875D3B" w14:textId="77777777" w:rsidR="00145600" w:rsidRPr="0029445E" w:rsidRDefault="00D32F32" w:rsidP="009F1596">
      <w:pPr>
        <w:spacing w:after="0" w:line="480" w:lineRule="auto"/>
        <w:rPr>
          <w:rFonts w:cs="Times New Roman"/>
          <w:b/>
        </w:rPr>
      </w:pPr>
      <w:r w:rsidRPr="0029445E">
        <w:rPr>
          <w:rFonts w:cs="Times New Roman"/>
          <w:b/>
        </w:rPr>
        <w:t>Methods</w:t>
      </w:r>
    </w:p>
    <w:p w14:paraId="731095EB" w14:textId="5B96C71D" w:rsidR="009F1596" w:rsidRPr="0029445E" w:rsidRDefault="009F1596" w:rsidP="009F1596">
      <w:pPr>
        <w:spacing w:after="0" w:line="480" w:lineRule="auto"/>
        <w:rPr>
          <w:lang w:val="en-US"/>
        </w:rPr>
      </w:pPr>
      <w:r w:rsidRPr="0029445E">
        <w:rPr>
          <w:rFonts w:cs="Times New Roman"/>
        </w:rPr>
        <w:t xml:space="preserve">This study comprises a national service audit of NHS cardiac surgery centres accredited by </w:t>
      </w:r>
      <w:r w:rsidR="0082798D" w:rsidRPr="0029445E">
        <w:rPr>
          <w:rFonts w:cs="Times New Roman"/>
        </w:rPr>
        <w:t>ACTA</w:t>
      </w:r>
      <w:r w:rsidRPr="0029445E">
        <w:rPr>
          <w:rFonts w:cs="Times New Roman"/>
        </w:rPr>
        <w:t xml:space="preserve"> </w:t>
      </w:r>
      <w:r w:rsidR="0082798D" w:rsidRPr="0029445E">
        <w:rPr>
          <w:rFonts w:cs="Times New Roman"/>
        </w:rPr>
        <w:t>that collected relevant patient data as part of routine institutional practice</w:t>
      </w:r>
      <w:r w:rsidRPr="0029445E">
        <w:rPr>
          <w:rFonts w:cs="Times New Roman"/>
        </w:rPr>
        <w:t>.</w:t>
      </w:r>
      <w:r w:rsidR="00EE2A95" w:rsidRPr="0029445E">
        <w:rPr>
          <w:rFonts w:cs="Times New Roman"/>
        </w:rPr>
        <w:t xml:space="preserve"> The </w:t>
      </w:r>
      <w:r w:rsidR="00023861" w:rsidRPr="0029445E">
        <w:rPr>
          <w:rFonts w:cs="Times New Roman"/>
        </w:rPr>
        <w:t>Research and Ethics Committee of the London School of Hygiene and Tropical Medicine approved the study</w:t>
      </w:r>
      <w:r w:rsidR="00EE2A95" w:rsidRPr="0029445E">
        <w:rPr>
          <w:rFonts w:cs="Times New Roman"/>
        </w:rPr>
        <w:t xml:space="preserve">, and individual patient consent was not required. </w:t>
      </w:r>
      <w:r w:rsidRPr="0029445E">
        <w:rPr>
          <w:rFonts w:cs="Times New Roman"/>
        </w:rPr>
        <w:t xml:space="preserve">  A</w:t>
      </w:r>
      <w:r w:rsidR="00EE2A95" w:rsidRPr="0029445E">
        <w:rPr>
          <w:rFonts w:cs="Times New Roman"/>
        </w:rPr>
        <w:t xml:space="preserve">ll </w:t>
      </w:r>
      <w:r w:rsidR="00F961C1" w:rsidRPr="0029445E">
        <w:rPr>
          <w:rFonts w:cs="Times New Roman"/>
        </w:rPr>
        <w:t xml:space="preserve">35 </w:t>
      </w:r>
      <w:r w:rsidR="00EE2A95" w:rsidRPr="0029445E">
        <w:rPr>
          <w:rFonts w:cs="Times New Roman"/>
        </w:rPr>
        <w:t>UK</w:t>
      </w:r>
      <w:r w:rsidR="00023861" w:rsidRPr="0029445E">
        <w:rPr>
          <w:rFonts w:cs="Times New Roman"/>
        </w:rPr>
        <w:t xml:space="preserve"> cardiac surgery</w:t>
      </w:r>
      <w:r w:rsidR="00EE2A95" w:rsidRPr="0029445E">
        <w:rPr>
          <w:rFonts w:cs="Times New Roman"/>
        </w:rPr>
        <w:t xml:space="preserve"> centres were invited </w:t>
      </w:r>
      <w:r w:rsidR="00023861" w:rsidRPr="0029445E">
        <w:rPr>
          <w:rFonts w:cs="Times New Roman"/>
        </w:rPr>
        <w:t xml:space="preserve">to take part in the study; </w:t>
      </w:r>
      <w:r w:rsidR="00F961C1" w:rsidRPr="0029445E">
        <w:rPr>
          <w:rFonts w:cs="Times New Roman"/>
        </w:rPr>
        <w:t>of these,</w:t>
      </w:r>
      <w:r w:rsidR="00023861" w:rsidRPr="0029445E">
        <w:rPr>
          <w:rFonts w:cs="Times New Roman"/>
        </w:rPr>
        <w:t>18</w:t>
      </w:r>
      <w:r w:rsidR="00F961C1" w:rsidRPr="0029445E">
        <w:rPr>
          <w:rFonts w:cs="Times New Roman"/>
        </w:rPr>
        <w:t xml:space="preserve"> routinely collected the data required and</w:t>
      </w:r>
      <w:r w:rsidR="00EE2A95" w:rsidRPr="0029445E">
        <w:rPr>
          <w:rFonts w:cs="Times New Roman"/>
        </w:rPr>
        <w:t xml:space="preserve"> </w:t>
      </w:r>
      <w:r w:rsidRPr="0029445E">
        <w:rPr>
          <w:rFonts w:cs="Times New Roman"/>
        </w:rPr>
        <w:t>agr</w:t>
      </w:r>
      <w:r w:rsidR="00EE2A95" w:rsidRPr="0029445E">
        <w:rPr>
          <w:rFonts w:cs="Times New Roman"/>
        </w:rPr>
        <w:t>eed to participate</w:t>
      </w:r>
      <w:r w:rsidR="00F961C1" w:rsidRPr="0029445E">
        <w:rPr>
          <w:rFonts w:cs="Times New Roman"/>
        </w:rPr>
        <w:t>,</w:t>
      </w:r>
      <w:r w:rsidR="006A3B32" w:rsidRPr="0029445E">
        <w:rPr>
          <w:rFonts w:cs="Times New Roman"/>
        </w:rPr>
        <w:t xml:space="preserve"> and</w:t>
      </w:r>
      <w:r w:rsidR="0046217E" w:rsidRPr="0029445E">
        <w:rPr>
          <w:rFonts w:cs="Times New Roman"/>
        </w:rPr>
        <w:t xml:space="preserve"> </w:t>
      </w:r>
      <w:r w:rsidRPr="0029445E">
        <w:rPr>
          <w:rFonts w:cs="Times New Roman"/>
        </w:rPr>
        <w:t>12 centres ultimately provided</w:t>
      </w:r>
      <w:r w:rsidR="00EE2A95" w:rsidRPr="0029445E">
        <w:rPr>
          <w:rFonts w:cs="Times New Roman"/>
        </w:rPr>
        <w:t xml:space="preserve"> data</w:t>
      </w:r>
      <w:r w:rsidR="00F961C1" w:rsidRPr="0029445E">
        <w:rPr>
          <w:rFonts w:cs="Times New Roman"/>
        </w:rPr>
        <w:t xml:space="preserve"> (six centres were unable to provide data due to lack of local resources)</w:t>
      </w:r>
      <w:r w:rsidR="00EE2A95" w:rsidRPr="0029445E">
        <w:rPr>
          <w:rFonts w:cs="Times New Roman"/>
        </w:rPr>
        <w:t>. We collected</w:t>
      </w:r>
      <w:r w:rsidRPr="0029445E">
        <w:rPr>
          <w:rFonts w:cs="Times New Roman"/>
        </w:rPr>
        <w:t xml:space="preserve"> anonymised routinely collected data on all adult (&gt;</w:t>
      </w:r>
      <w:r w:rsidR="00023861" w:rsidRPr="0029445E">
        <w:rPr>
          <w:rFonts w:cs="Times New Roman"/>
        </w:rPr>
        <w:t>/</w:t>
      </w:r>
      <w:r w:rsidRPr="0029445E">
        <w:rPr>
          <w:rFonts w:cs="Times New Roman"/>
        </w:rPr>
        <w:t>= 18 years) cardiac surgery patients</w:t>
      </w:r>
      <w:r w:rsidR="0063080C" w:rsidRPr="0029445E">
        <w:rPr>
          <w:rFonts w:cs="Times New Roman"/>
        </w:rPr>
        <w:t xml:space="preserve"> (including elective, urgent and emergency surgery)</w:t>
      </w:r>
      <w:r w:rsidRPr="0029445E">
        <w:rPr>
          <w:rFonts w:cs="Times New Roman"/>
        </w:rPr>
        <w:t xml:space="preserve"> from 2010 through 2012, inclusive.  Data elements collected included patient demographics (age, gender, height, weight), comorbid disease (diabetes, hypertension), pre-operative blood tests (Hb, creatinine), operative details (centre, type of surgery, time on cardiopulmonary bypass), and postoperative outcomes (postoperative Hb, number of units of red cells transfused, ICU length of stay,</w:t>
      </w:r>
      <w:r w:rsidR="0063080C" w:rsidRPr="0029445E">
        <w:rPr>
          <w:rFonts w:cs="Times New Roman"/>
        </w:rPr>
        <w:t xml:space="preserve"> duration of hospital stay (calculated from day of surgery to day of discharge from hospital),</w:t>
      </w:r>
      <w:r w:rsidRPr="0029445E">
        <w:rPr>
          <w:rFonts w:cs="Times New Roman"/>
        </w:rPr>
        <w:t xml:space="preserve"> and in-hospital death).  In addition, the logistic EuroSCORE, a validated predictive score for operative morality in cardiac surgery</w:t>
      </w:r>
      <w:r w:rsidR="00023861" w:rsidRPr="0029445E">
        <w:rPr>
          <w:rFonts w:cs="Times New Roman"/>
        </w:rPr>
        <w:t xml:space="preserve"> </w:t>
      </w:r>
      <w:r w:rsidR="00023861" w:rsidRPr="0029445E">
        <w:rPr>
          <w:lang w:val="en-US"/>
        </w:rPr>
        <w:t>[18]</w:t>
      </w:r>
      <w:r w:rsidRPr="0029445E">
        <w:rPr>
          <w:rFonts w:cs="Times New Roman"/>
        </w:rPr>
        <w:t xml:space="preserve"> was collected. </w:t>
      </w:r>
    </w:p>
    <w:p w14:paraId="6810C5F7" w14:textId="674E5782" w:rsidR="00160CAA" w:rsidRPr="0029445E" w:rsidRDefault="009F1596" w:rsidP="00531A31">
      <w:pPr>
        <w:spacing w:after="0" w:line="480" w:lineRule="auto"/>
        <w:ind w:firstLine="720"/>
        <w:rPr>
          <w:rFonts w:cs="Times New Roman"/>
        </w:rPr>
      </w:pPr>
      <w:r w:rsidRPr="0029445E">
        <w:rPr>
          <w:rFonts w:cs="Times New Roman"/>
        </w:rPr>
        <w:t xml:space="preserve">Patients without a pre-operative Hb measurement were excluded. </w:t>
      </w:r>
      <w:r w:rsidR="00160CAA" w:rsidRPr="0029445E">
        <w:rPr>
          <w:rFonts w:cs="Times New Roman"/>
        </w:rPr>
        <w:t>The association between anaemia and other pre</w:t>
      </w:r>
      <w:r w:rsidR="00BB0256" w:rsidRPr="0029445E">
        <w:rPr>
          <w:rFonts w:cs="Times New Roman"/>
        </w:rPr>
        <w:t>-</w:t>
      </w:r>
      <w:r w:rsidR="00160CAA" w:rsidRPr="0029445E">
        <w:rPr>
          <w:rFonts w:cs="Times New Roman"/>
        </w:rPr>
        <w:t>operative v</w:t>
      </w:r>
      <w:r w:rsidRPr="0029445E">
        <w:rPr>
          <w:rFonts w:cs="Times New Roman"/>
        </w:rPr>
        <w:t xml:space="preserve">ariables </w:t>
      </w:r>
      <w:r w:rsidR="00160CAA" w:rsidRPr="0029445E">
        <w:rPr>
          <w:rFonts w:cs="Times New Roman"/>
        </w:rPr>
        <w:t xml:space="preserve">was </w:t>
      </w:r>
      <w:r w:rsidR="00B76247" w:rsidRPr="0029445E">
        <w:rPr>
          <w:rFonts w:cs="Times New Roman"/>
        </w:rPr>
        <w:t>assessed using</w:t>
      </w:r>
      <w:r w:rsidRPr="0029445E">
        <w:rPr>
          <w:rFonts w:cs="Times New Roman"/>
        </w:rPr>
        <w:t xml:space="preserve"> the Chi-squared test for categorical data, and the t-test for continuous variables. Differences between centres for the prevalence of anaemia were assessed using the Chi-squared test. </w:t>
      </w:r>
      <w:r w:rsidR="00160CAA" w:rsidRPr="0029445E">
        <w:rPr>
          <w:rFonts w:cs="Times New Roman"/>
        </w:rPr>
        <w:t xml:space="preserve">The association between anaemia and the outcomes of </w:t>
      </w:r>
      <w:r w:rsidR="00B76247" w:rsidRPr="0029445E">
        <w:rPr>
          <w:rFonts w:cs="Times New Roman"/>
        </w:rPr>
        <w:t>transfusion at</w:t>
      </w:r>
      <w:r w:rsidR="0046217E" w:rsidRPr="0029445E">
        <w:rPr>
          <w:rFonts w:cs="Times New Roman"/>
        </w:rPr>
        <w:t xml:space="preserve"> any poi</w:t>
      </w:r>
      <w:r w:rsidR="00820D66" w:rsidRPr="0029445E">
        <w:rPr>
          <w:rFonts w:cs="Times New Roman"/>
        </w:rPr>
        <w:t>nt in the peri-operative period</w:t>
      </w:r>
      <w:r w:rsidR="00251006" w:rsidRPr="0029445E">
        <w:rPr>
          <w:rFonts w:cs="Times New Roman"/>
        </w:rPr>
        <w:t xml:space="preserve">, </w:t>
      </w:r>
      <w:r w:rsidR="007B6BDD" w:rsidRPr="0029445E">
        <w:rPr>
          <w:rFonts w:cs="Times New Roman"/>
        </w:rPr>
        <w:t>ICU and hospital length of stay</w:t>
      </w:r>
      <w:r w:rsidR="00820D66" w:rsidRPr="0029445E">
        <w:rPr>
          <w:rFonts w:cs="Times New Roman"/>
        </w:rPr>
        <w:t xml:space="preserve"> </w:t>
      </w:r>
      <w:r w:rsidR="00160CAA" w:rsidRPr="0029445E">
        <w:rPr>
          <w:rFonts w:cs="Times New Roman"/>
        </w:rPr>
        <w:t>and</w:t>
      </w:r>
      <w:r w:rsidR="00820D66" w:rsidRPr="0029445E">
        <w:rPr>
          <w:rFonts w:cs="Times New Roman"/>
        </w:rPr>
        <w:t xml:space="preserve"> 30-day</w:t>
      </w:r>
      <w:r w:rsidR="007B6BDD" w:rsidRPr="0029445E">
        <w:rPr>
          <w:rFonts w:cs="Times New Roman"/>
        </w:rPr>
        <w:t xml:space="preserve"> mortality were</w:t>
      </w:r>
      <w:r w:rsidR="00160CAA" w:rsidRPr="0029445E">
        <w:rPr>
          <w:rFonts w:cs="Times New Roman"/>
        </w:rPr>
        <w:t xml:space="preserve"> analysed using mu</w:t>
      </w:r>
      <w:r w:rsidR="007B6BDD" w:rsidRPr="0029445E">
        <w:rPr>
          <w:rFonts w:cs="Times New Roman"/>
        </w:rPr>
        <w:t>ltivariable logistic regression</w:t>
      </w:r>
      <w:r w:rsidR="00160CAA" w:rsidRPr="0029445E">
        <w:rPr>
          <w:rFonts w:cs="Times New Roman"/>
        </w:rPr>
        <w:t xml:space="preserve">. </w:t>
      </w:r>
      <w:r w:rsidR="00BB0256" w:rsidRPr="0029445E">
        <w:rPr>
          <w:rFonts w:cs="Times New Roman"/>
        </w:rPr>
        <w:t>Crude estimates of the effect of anaemia on outcomes are reported alongside</w:t>
      </w:r>
      <w:r w:rsidR="00F961C1" w:rsidRPr="0029445E">
        <w:rPr>
          <w:rFonts w:cs="Times New Roman"/>
        </w:rPr>
        <w:t xml:space="preserve"> estimates adjusted for age, gender</w:t>
      </w:r>
      <w:r w:rsidR="00BB0256" w:rsidRPr="0029445E">
        <w:rPr>
          <w:rFonts w:cs="Times New Roman"/>
        </w:rPr>
        <w:t>, logistic EuroSCORE, centre, operation type, previous cardiac surgery</w:t>
      </w:r>
      <w:r w:rsidR="003976D1" w:rsidRPr="0029445E">
        <w:rPr>
          <w:rFonts w:cs="Times New Roman"/>
        </w:rPr>
        <w:t>,</w:t>
      </w:r>
      <w:r w:rsidR="00331D74" w:rsidRPr="0029445E">
        <w:rPr>
          <w:rFonts w:cs="Times New Roman"/>
        </w:rPr>
        <w:t xml:space="preserve"> diabetes,</w:t>
      </w:r>
      <w:r w:rsidR="003976D1" w:rsidRPr="0029445E">
        <w:rPr>
          <w:rFonts w:cs="Times New Roman"/>
        </w:rPr>
        <w:t xml:space="preserve"> </w:t>
      </w:r>
      <w:r w:rsidR="00BB0256" w:rsidRPr="0029445E">
        <w:rPr>
          <w:rFonts w:cs="Times New Roman"/>
        </w:rPr>
        <w:t>body surface area</w:t>
      </w:r>
      <w:r w:rsidR="003976D1" w:rsidRPr="0029445E">
        <w:rPr>
          <w:rFonts w:cs="Times New Roman"/>
        </w:rPr>
        <w:t xml:space="preserve"> and hypertension</w:t>
      </w:r>
      <w:r w:rsidR="00BB0256" w:rsidRPr="0029445E">
        <w:rPr>
          <w:rFonts w:cs="Times New Roman"/>
        </w:rPr>
        <w:t xml:space="preserve">. </w:t>
      </w:r>
      <w:r w:rsidR="00160CAA" w:rsidRPr="0029445E">
        <w:rPr>
          <w:rFonts w:cs="Times New Roman"/>
        </w:rPr>
        <w:t xml:space="preserve">As length </w:t>
      </w:r>
      <w:r w:rsidR="00BB0256" w:rsidRPr="0029445E">
        <w:rPr>
          <w:rFonts w:cs="Times New Roman"/>
        </w:rPr>
        <w:t xml:space="preserve">of stay was not normally distributed a </w:t>
      </w:r>
      <w:r w:rsidR="003976D1" w:rsidRPr="0029445E">
        <w:rPr>
          <w:rFonts w:cs="Times New Roman"/>
        </w:rPr>
        <w:t xml:space="preserve">natural </w:t>
      </w:r>
      <w:r w:rsidR="00BB0256" w:rsidRPr="0029445E">
        <w:rPr>
          <w:rFonts w:cs="Times New Roman"/>
        </w:rPr>
        <w:t>log</w:t>
      </w:r>
      <w:r w:rsidR="003976D1" w:rsidRPr="0029445E">
        <w:rPr>
          <w:rFonts w:cs="Times New Roman"/>
        </w:rPr>
        <w:t xml:space="preserve">arithm </w:t>
      </w:r>
      <w:r w:rsidR="00BB0256" w:rsidRPr="0029445E">
        <w:rPr>
          <w:rFonts w:cs="Times New Roman"/>
        </w:rPr>
        <w:t>transformation was carried out</w:t>
      </w:r>
      <w:r w:rsidR="00837CF9" w:rsidRPr="0029445E">
        <w:rPr>
          <w:rFonts w:cs="Times New Roman"/>
        </w:rPr>
        <w:t xml:space="preserve"> and therefore </w:t>
      </w:r>
      <w:r w:rsidR="00BB0256" w:rsidRPr="0029445E">
        <w:rPr>
          <w:rFonts w:cs="Times New Roman"/>
        </w:rPr>
        <w:t xml:space="preserve">estimates of association </w:t>
      </w:r>
      <w:r w:rsidR="00837CF9" w:rsidRPr="0029445E">
        <w:rPr>
          <w:rFonts w:cs="Times New Roman"/>
        </w:rPr>
        <w:t>a</w:t>
      </w:r>
      <w:r w:rsidR="00BB0256" w:rsidRPr="0029445E">
        <w:rPr>
          <w:rFonts w:cs="Times New Roman"/>
        </w:rPr>
        <w:t>re reported as geometric mean ratios. The analysis of length of stay was restricted to pat</w:t>
      </w:r>
      <w:r w:rsidR="00531A31" w:rsidRPr="0029445E">
        <w:rPr>
          <w:rFonts w:cs="Times New Roman"/>
        </w:rPr>
        <w:t>ients who were discharged alive</w:t>
      </w:r>
      <w:r w:rsidR="00BB0256" w:rsidRPr="0029445E">
        <w:rPr>
          <w:rFonts w:cs="Times New Roman"/>
        </w:rPr>
        <w:t xml:space="preserve">. Two centres did not report date of discharge and therefore patients from these centres were not included in the analysis of length of stay. </w:t>
      </w:r>
      <w:r w:rsidR="003976D1" w:rsidRPr="0029445E">
        <w:rPr>
          <w:rFonts w:cs="Times New Roman"/>
        </w:rPr>
        <w:t xml:space="preserve">Data was complete for transfusions and mortality but there was some missing data for logistic EuroSCORE (1.7%), hypertension (1.7%) and body surface area (3.7%). Multiple imputation using chained equations </w:t>
      </w:r>
      <w:r w:rsidR="00182002" w:rsidRPr="0029445E">
        <w:rPr>
          <w:rFonts w:cs="Times New Roman"/>
        </w:rPr>
        <w:t>was carried out as a sensitivity analysis for e</w:t>
      </w:r>
      <w:r w:rsidR="00AF4706" w:rsidRPr="0029445E">
        <w:rPr>
          <w:rFonts w:cs="Times New Roman"/>
        </w:rPr>
        <w:t>ach outcome.</w:t>
      </w:r>
      <w:r w:rsidR="00531A31" w:rsidRPr="0029445E">
        <w:rPr>
          <w:rFonts w:cs="Times New Roman"/>
        </w:rPr>
        <w:t xml:space="preserve"> Sensitivity analyses using multiple imputation did not substantially change the estimates or alter the conclusions. </w:t>
      </w:r>
    </w:p>
    <w:p w14:paraId="63C2DD90" w14:textId="2AA1B6A3" w:rsidR="009F1596" w:rsidRPr="0029445E" w:rsidRDefault="009F1596" w:rsidP="00437E5C">
      <w:pPr>
        <w:spacing w:line="480" w:lineRule="auto"/>
        <w:ind w:firstLine="720"/>
        <w:rPr>
          <w:rFonts w:cs="Times New Roman"/>
        </w:rPr>
      </w:pPr>
      <w:r w:rsidRPr="0029445E">
        <w:rPr>
          <w:rFonts w:cs="Times New Roman"/>
        </w:rPr>
        <w:t>All data analysis was performed using Stata 1</w:t>
      </w:r>
      <w:r w:rsidR="00EB45D3" w:rsidRPr="0029445E">
        <w:rPr>
          <w:rFonts w:cs="Times New Roman"/>
        </w:rPr>
        <w:t>4</w:t>
      </w:r>
      <w:r w:rsidRPr="0029445E">
        <w:rPr>
          <w:rFonts w:cs="Times New Roman"/>
        </w:rPr>
        <w:t xml:space="preserve"> (StataCorp, College Park, TX</w:t>
      </w:r>
      <w:r w:rsidR="00331D74" w:rsidRPr="0029445E">
        <w:rPr>
          <w:rFonts w:cs="Times New Roman"/>
        </w:rPr>
        <w:t>, USA</w:t>
      </w:r>
      <w:r w:rsidRPr="0029445E">
        <w:rPr>
          <w:rFonts w:cs="Times New Roman"/>
        </w:rPr>
        <w:t>).</w:t>
      </w:r>
    </w:p>
    <w:p w14:paraId="45BAC9A9" w14:textId="77777777" w:rsidR="00EE2A95" w:rsidRPr="0029445E" w:rsidRDefault="00EE2A95">
      <w:pPr>
        <w:rPr>
          <w:rFonts w:cs="Times New Roman"/>
        </w:rPr>
      </w:pPr>
      <w:r w:rsidRPr="0029445E">
        <w:rPr>
          <w:rFonts w:cs="Times New Roman"/>
        </w:rPr>
        <w:br w:type="page"/>
      </w:r>
    </w:p>
    <w:p w14:paraId="29D724E6" w14:textId="77777777" w:rsidR="00D32F32" w:rsidRPr="0029445E" w:rsidRDefault="00EE2A95" w:rsidP="009F1596">
      <w:pPr>
        <w:spacing w:after="0" w:line="240" w:lineRule="auto"/>
        <w:rPr>
          <w:rFonts w:cs="Times New Roman"/>
          <w:b/>
        </w:rPr>
      </w:pPr>
      <w:r w:rsidRPr="0029445E">
        <w:rPr>
          <w:rFonts w:cs="Times New Roman"/>
          <w:b/>
        </w:rPr>
        <w:t>Results</w:t>
      </w:r>
    </w:p>
    <w:p w14:paraId="3DAF507D" w14:textId="77777777" w:rsidR="00EE2A95" w:rsidRPr="0029445E" w:rsidRDefault="00EE2A95" w:rsidP="009F1596">
      <w:pPr>
        <w:spacing w:after="0" w:line="240" w:lineRule="auto"/>
        <w:rPr>
          <w:rFonts w:cs="Times New Roman"/>
          <w:b/>
        </w:rPr>
      </w:pPr>
    </w:p>
    <w:p w14:paraId="148409B0" w14:textId="6F9E87C7" w:rsidR="007B6BDD" w:rsidRPr="0029445E" w:rsidRDefault="007B6BDD" w:rsidP="007B6BDD">
      <w:pPr>
        <w:spacing w:after="0" w:line="480" w:lineRule="auto"/>
        <w:ind w:firstLine="720"/>
        <w:rPr>
          <w:rFonts w:cs="Times New Roman"/>
        </w:rPr>
      </w:pPr>
      <w:r w:rsidRPr="0029445E">
        <w:rPr>
          <w:rFonts w:cs="Times New Roman"/>
        </w:rPr>
        <w:t xml:space="preserve">A total of 23 800 adult patients underwent cardiac surgery at one of the 12 centres during the three year study period.  Of these, 4754 (20%) patients did not have a pre-operative Hb recorded and were excluded from the descriptive analysis. </w:t>
      </w:r>
    </w:p>
    <w:p w14:paraId="12316F07" w14:textId="7515DB61" w:rsidR="007B6BDD" w:rsidRPr="0029445E" w:rsidRDefault="007B6BDD" w:rsidP="007B6BDD">
      <w:pPr>
        <w:spacing w:after="0" w:line="480" w:lineRule="auto"/>
        <w:ind w:firstLine="720"/>
        <w:rPr>
          <w:rFonts w:cs="Times New Roman"/>
        </w:rPr>
      </w:pPr>
      <w:r w:rsidRPr="0029445E">
        <w:rPr>
          <w:rFonts w:cs="Times New Roman"/>
        </w:rPr>
        <w:t xml:space="preserve"> Of the remaining 19 033 patients, 5895 (31%) had pre-operative anaemia (Table 1). Centre-specific prevalence of anaemia varied from 23% to 45% (p&lt; 0.001). Comparing those with anaemia vs. those without, anaemic patients were older, were more likely to be women, had a lower body mass index (BMI), a higher baseline creatinine, a higher proportion of those with hypertension, and a higher proportion of patients with diabetes. In addition, there was strong evidence that the distribution of the type of operations that anaemic patients underwent differed from those without anaemia (p&lt;0.001), with a lower proportion of CABG operations and a higher proportion of combined CABG + valve operations and redo surgery (Table 1). </w:t>
      </w:r>
      <w:r w:rsidRPr="0029445E">
        <w:rPr>
          <w:rFonts w:cs="Times New Roman"/>
          <w:lang w:val="en-US"/>
        </w:rPr>
        <w:t>Nevertheless, after</w:t>
      </w:r>
      <w:r w:rsidR="00F961C1" w:rsidRPr="0029445E">
        <w:rPr>
          <w:rFonts w:cs="Times New Roman"/>
          <w:lang w:val="en-US"/>
        </w:rPr>
        <w:t xml:space="preserve"> adjusting for age, gender</w:t>
      </w:r>
      <w:r w:rsidRPr="0029445E">
        <w:rPr>
          <w:rFonts w:cs="Times New Roman"/>
          <w:lang w:val="en-US"/>
        </w:rPr>
        <w:t>, logistic EuroSCORE and type of operation, there was still significant variation (p&lt;0.001) between centres in prevalence of anaemia</w:t>
      </w:r>
      <w:r w:rsidR="0060050A" w:rsidRPr="0029445E">
        <w:rPr>
          <w:rFonts w:cs="Times New Roman"/>
          <w:lang w:val="en-US"/>
        </w:rPr>
        <w:t xml:space="preserve"> (Table 2)</w:t>
      </w:r>
      <w:r w:rsidRPr="0029445E">
        <w:rPr>
          <w:rFonts w:cs="Times New Roman"/>
        </w:rPr>
        <w:t xml:space="preserve">. </w:t>
      </w:r>
    </w:p>
    <w:p w14:paraId="0D7D2082" w14:textId="60FB2F5B" w:rsidR="007B6BDD" w:rsidRPr="0029445E" w:rsidRDefault="007B6BDD" w:rsidP="007B6BDD">
      <w:pPr>
        <w:spacing w:after="0" w:line="480" w:lineRule="auto"/>
        <w:ind w:firstLine="720"/>
        <w:rPr>
          <w:rFonts w:cs="Times New Roman"/>
        </w:rPr>
      </w:pPr>
      <w:r w:rsidRPr="0029445E">
        <w:rPr>
          <w:rFonts w:cs="Times New Roman"/>
        </w:rPr>
        <w:t>At operation, anaemic patients spent longer times on cardiopulmonary bypass, had longer cross-clamp times, and had higher predicted mortality by the logistic EuroSCORE. With respect to patient outcomes, patients with anaemia were more likely to receive a RBC transfusion, and when transfused, received more units of RBCs, compared wit</w:t>
      </w:r>
      <w:r w:rsidR="0060050A" w:rsidRPr="0029445E">
        <w:rPr>
          <w:rFonts w:cs="Times New Roman"/>
        </w:rPr>
        <w:t>h those without anaemia (Table 3</w:t>
      </w:r>
      <w:r w:rsidRPr="0029445E">
        <w:rPr>
          <w:rFonts w:cs="Times New Roman"/>
        </w:rPr>
        <w:t xml:space="preserve">), although this did vary across the centres (Fig. 1). Marked variation was also observed in centre-specific rates of transfusion, </w:t>
      </w:r>
      <w:r w:rsidR="0060050A" w:rsidRPr="0029445E">
        <w:rPr>
          <w:rFonts w:cs="Times New Roman"/>
        </w:rPr>
        <w:t>ranging from 31% to 60% (Table 2</w:t>
      </w:r>
      <w:r w:rsidRPr="0029445E">
        <w:rPr>
          <w:rFonts w:cs="Times New Roman"/>
        </w:rPr>
        <w:t>).  Anaemic patients stayed longer in ICU and in hospital, the latter by a median of 2 days</w:t>
      </w:r>
      <w:r w:rsidR="0060050A" w:rsidRPr="0029445E">
        <w:rPr>
          <w:rFonts w:cs="Times New Roman"/>
        </w:rPr>
        <w:t xml:space="preserve"> (both p &lt; 0.001)</w:t>
      </w:r>
      <w:r w:rsidRPr="0029445E">
        <w:rPr>
          <w:rFonts w:cs="Times New Roman"/>
        </w:rPr>
        <w:t>. Perhaps most importantly, patients with anaemia were twice as likely to die after cardiac surgery, and mortality was linked to severity of pre-operative anaemia and gender (Fig. 2). Severity of anaemia pre-operatively was also related to length of stay, with women again more likely to stay longer in hospital (Fig. 3).</w:t>
      </w:r>
      <w:r w:rsidR="007F07D9" w:rsidRPr="0029445E">
        <w:rPr>
          <w:rFonts w:cs="Times New Roman"/>
        </w:rPr>
        <w:t xml:space="preserve"> </w:t>
      </w:r>
      <w:r w:rsidR="00741C46" w:rsidRPr="0029445E">
        <w:rPr>
          <w:rFonts w:cs="Times New Roman"/>
        </w:rPr>
        <w:t>However, w</w:t>
      </w:r>
      <w:r w:rsidR="007F07D9" w:rsidRPr="0029445E">
        <w:rPr>
          <w:rFonts w:cs="Times New Roman"/>
        </w:rPr>
        <w:t>omen</w:t>
      </w:r>
      <w:r w:rsidR="00741C46" w:rsidRPr="0029445E">
        <w:rPr>
          <w:rFonts w:cs="Times New Roman"/>
        </w:rPr>
        <w:t xml:space="preserve"> with Hb &gt; 150 g.l</w:t>
      </w:r>
      <w:r w:rsidR="00741C46" w:rsidRPr="0029445E">
        <w:rPr>
          <w:rFonts w:cs="Times New Roman"/>
          <w:vertAlign w:val="superscript"/>
        </w:rPr>
        <w:t>-1</w:t>
      </w:r>
      <w:r w:rsidR="00741C46" w:rsidRPr="0029445E">
        <w:rPr>
          <w:rFonts w:cs="Times New Roman"/>
        </w:rPr>
        <w:t xml:space="preserve"> stayed longer in hospital (Fig. 3).</w:t>
      </w:r>
    </w:p>
    <w:p w14:paraId="47E4B600" w14:textId="6761BDA6" w:rsidR="00EE2A95" w:rsidRPr="0029445E" w:rsidRDefault="00500BD3" w:rsidP="00685ECA">
      <w:pPr>
        <w:spacing w:after="0" w:line="480" w:lineRule="auto"/>
        <w:ind w:firstLine="720"/>
        <w:rPr>
          <w:rFonts w:cs="Times New Roman"/>
        </w:rPr>
      </w:pPr>
      <w:r w:rsidRPr="0029445E">
        <w:rPr>
          <w:rFonts w:cs="Times New Roman"/>
        </w:rPr>
        <w:t>Multivaria</w:t>
      </w:r>
      <w:r w:rsidR="00EB45D3" w:rsidRPr="0029445E">
        <w:rPr>
          <w:rFonts w:cs="Times New Roman"/>
        </w:rPr>
        <w:t>ble</w:t>
      </w:r>
      <w:r w:rsidRPr="0029445E">
        <w:rPr>
          <w:rFonts w:cs="Times New Roman"/>
        </w:rPr>
        <w:t xml:space="preserve"> analysis confirmed the independent association between anaemia and transfusion, hospital stay and mortality (Table 4). Haemoglobin concentration per se was also independently associated with</w:t>
      </w:r>
      <w:r w:rsidR="00673002" w:rsidRPr="0029445E">
        <w:rPr>
          <w:rFonts w:cs="Times New Roman"/>
        </w:rPr>
        <w:t xml:space="preserve"> worse outcomes with a 10 g.l</w:t>
      </w:r>
      <w:r w:rsidR="00673002" w:rsidRPr="0029445E">
        <w:rPr>
          <w:rFonts w:cs="Times New Roman"/>
          <w:vertAlign w:val="superscript"/>
        </w:rPr>
        <w:t>-1</w:t>
      </w:r>
      <w:r w:rsidR="00673002" w:rsidRPr="0029445E">
        <w:rPr>
          <w:rFonts w:cs="Times New Roman"/>
          <w:vertAlign w:val="subscript"/>
        </w:rPr>
        <w:t xml:space="preserve"> </w:t>
      </w:r>
      <w:r w:rsidR="00673002" w:rsidRPr="0029445E">
        <w:rPr>
          <w:rFonts w:cs="Times New Roman"/>
        </w:rPr>
        <w:t xml:space="preserve">decrease in haemoglobin being associated with </w:t>
      </w:r>
      <w:r w:rsidR="00E72E18" w:rsidRPr="0029445E">
        <w:rPr>
          <w:rFonts w:cs="Times New Roman"/>
        </w:rPr>
        <w:t>i</w:t>
      </w:r>
      <w:r w:rsidR="00EB45D3" w:rsidRPr="0029445E">
        <w:rPr>
          <w:rFonts w:cs="Times New Roman"/>
        </w:rPr>
        <w:t>ncrease</w:t>
      </w:r>
      <w:r w:rsidR="00E72E18" w:rsidRPr="0029445E">
        <w:rPr>
          <w:rFonts w:cs="Times New Roman"/>
        </w:rPr>
        <w:t>d</w:t>
      </w:r>
      <w:r w:rsidR="00EB45D3" w:rsidRPr="0029445E">
        <w:rPr>
          <w:rFonts w:cs="Times New Roman"/>
        </w:rPr>
        <w:t xml:space="preserve"> transfusion</w:t>
      </w:r>
      <w:r w:rsidR="00673002" w:rsidRPr="0029445E">
        <w:rPr>
          <w:rFonts w:cs="Times New Roman"/>
        </w:rPr>
        <w:t>s</w:t>
      </w:r>
      <w:r w:rsidR="00EB45D3" w:rsidRPr="0029445E">
        <w:rPr>
          <w:rFonts w:cs="Times New Roman"/>
        </w:rPr>
        <w:t xml:space="preserve">  (OR (95% CI) 1.</w:t>
      </w:r>
      <w:r w:rsidR="00673002" w:rsidRPr="0029445E">
        <w:rPr>
          <w:rFonts w:cs="Times New Roman"/>
        </w:rPr>
        <w:t>43</w:t>
      </w:r>
      <w:r w:rsidR="00EB45D3" w:rsidRPr="0029445E">
        <w:rPr>
          <w:rFonts w:cs="Times New Roman"/>
        </w:rPr>
        <w:t xml:space="preserve"> (</w:t>
      </w:r>
      <w:r w:rsidR="00673002" w:rsidRPr="0029445E">
        <w:rPr>
          <w:rFonts w:cs="Times New Roman"/>
        </w:rPr>
        <w:t>1.40-1.46)), higher mortality (OR (95% CI) 1.16 (1.10-1.22))  and longer hospital stay (</w:t>
      </w:r>
      <w:r w:rsidR="00820D66" w:rsidRPr="0029445E">
        <w:rPr>
          <w:rFonts w:cs="Times New Roman"/>
        </w:rPr>
        <w:t>g</w:t>
      </w:r>
      <w:r w:rsidR="00E72E18" w:rsidRPr="0029445E">
        <w:rPr>
          <w:rFonts w:cs="Times New Roman"/>
        </w:rPr>
        <w:t xml:space="preserve">eometric </w:t>
      </w:r>
      <w:r w:rsidR="00820D66" w:rsidRPr="0029445E">
        <w:rPr>
          <w:rFonts w:cs="Times New Roman"/>
        </w:rPr>
        <w:t>m</w:t>
      </w:r>
      <w:r w:rsidR="00E72E18" w:rsidRPr="0029445E">
        <w:rPr>
          <w:rFonts w:cs="Times New Roman"/>
        </w:rPr>
        <w:t xml:space="preserve">ean </w:t>
      </w:r>
      <w:r w:rsidR="00820D66" w:rsidRPr="0029445E">
        <w:rPr>
          <w:rFonts w:cs="Times New Roman"/>
        </w:rPr>
        <w:t>r</w:t>
      </w:r>
      <w:r w:rsidR="00E72E18" w:rsidRPr="0029445E">
        <w:rPr>
          <w:rFonts w:cs="Times New Roman"/>
        </w:rPr>
        <w:t>atio</w:t>
      </w:r>
      <w:r w:rsidR="00673002" w:rsidRPr="0029445E">
        <w:rPr>
          <w:rFonts w:cs="Times New Roman"/>
        </w:rPr>
        <w:t xml:space="preserve"> (95% CI) 1.15 (1.13-1.17))</w:t>
      </w:r>
      <w:r w:rsidRPr="0029445E">
        <w:rPr>
          <w:rFonts w:cs="Times New Roman"/>
        </w:rPr>
        <w:t xml:space="preserve">. </w:t>
      </w:r>
      <w:r w:rsidR="00820D66" w:rsidRPr="0029445E">
        <w:rPr>
          <w:rFonts w:cs="Times New Roman"/>
        </w:rPr>
        <w:t>A decrease of only 10</w:t>
      </w:r>
      <w:r w:rsidRPr="0029445E">
        <w:rPr>
          <w:rFonts w:cs="Times New Roman"/>
        </w:rPr>
        <w:t xml:space="preserve"> g.l</w:t>
      </w:r>
      <w:r w:rsidRPr="0029445E">
        <w:rPr>
          <w:rFonts w:cs="Times New Roman"/>
          <w:vertAlign w:val="superscript"/>
        </w:rPr>
        <w:t>-1</w:t>
      </w:r>
      <w:r w:rsidR="00820D66" w:rsidRPr="0029445E">
        <w:rPr>
          <w:rFonts w:cs="Times New Roman"/>
        </w:rPr>
        <w:t xml:space="preserve"> in Hb was associated with a significant increase in transfusion</w:t>
      </w:r>
      <w:r w:rsidRPr="0029445E">
        <w:rPr>
          <w:rFonts w:cs="Times New Roman"/>
        </w:rPr>
        <w:t xml:space="preserve"> </w:t>
      </w:r>
      <w:r w:rsidR="00673002" w:rsidRPr="0029445E">
        <w:rPr>
          <w:rFonts w:cs="Times New Roman"/>
        </w:rPr>
        <w:t>(OR (95% CI) 1.70 (1.54-1.88))</w:t>
      </w:r>
      <w:r w:rsidR="00820D66" w:rsidRPr="0029445E">
        <w:rPr>
          <w:rFonts w:cs="Times New Roman"/>
        </w:rPr>
        <w:t>, in both men and women</w:t>
      </w:r>
      <w:r w:rsidRPr="0029445E">
        <w:rPr>
          <w:rFonts w:cs="Times New Roman"/>
        </w:rPr>
        <w:t>.</w:t>
      </w:r>
      <w:r w:rsidR="009D7DA1" w:rsidRPr="0029445E">
        <w:rPr>
          <w:rFonts w:cs="Times New Roman"/>
        </w:rPr>
        <w:t xml:space="preserve"> Patients with severe anaemia, Hb &lt; 110 g.l</w:t>
      </w:r>
      <w:r w:rsidR="009D7DA1" w:rsidRPr="0029445E">
        <w:rPr>
          <w:rFonts w:cs="Times New Roman"/>
          <w:vertAlign w:val="superscript"/>
        </w:rPr>
        <w:t xml:space="preserve">-1 </w:t>
      </w:r>
      <w:r w:rsidR="00820D66" w:rsidRPr="0029445E">
        <w:rPr>
          <w:rFonts w:cs="Times New Roman"/>
        </w:rPr>
        <w:t>, of which there were 1879 (9.9%), w</w:t>
      </w:r>
      <w:r w:rsidR="009D7DA1" w:rsidRPr="0029445E">
        <w:rPr>
          <w:rFonts w:cs="Times New Roman"/>
        </w:rPr>
        <w:t xml:space="preserve">ere more likely to be transfused </w:t>
      </w:r>
      <w:r w:rsidR="00246F9D" w:rsidRPr="0029445E">
        <w:rPr>
          <w:rFonts w:cs="Times New Roman"/>
        </w:rPr>
        <w:t xml:space="preserve">(OR (95% CI) 3.63 (3.18-4.15)) </w:t>
      </w:r>
      <w:r w:rsidR="009D7DA1" w:rsidRPr="0029445E">
        <w:rPr>
          <w:rFonts w:cs="Times New Roman"/>
        </w:rPr>
        <w:t xml:space="preserve">and more likely to die during or after surgery </w:t>
      </w:r>
      <w:r w:rsidR="00246F9D" w:rsidRPr="0029445E">
        <w:rPr>
          <w:rFonts w:cs="Times New Roman"/>
        </w:rPr>
        <w:t>(OR (95% CI)</w:t>
      </w:r>
      <w:r w:rsidR="00E72E18" w:rsidRPr="0029445E">
        <w:rPr>
          <w:rFonts w:cs="Times New Roman"/>
        </w:rPr>
        <w:t xml:space="preserve"> 1.60 (1.21-2.11))</w:t>
      </w:r>
      <w:r w:rsidR="00246F9D" w:rsidRPr="0029445E">
        <w:rPr>
          <w:rFonts w:cs="Times New Roman"/>
        </w:rPr>
        <w:t xml:space="preserve"> </w:t>
      </w:r>
      <w:r w:rsidR="00673002" w:rsidRPr="0029445E">
        <w:rPr>
          <w:rFonts w:cs="Times New Roman"/>
        </w:rPr>
        <w:t xml:space="preserve">compared </w:t>
      </w:r>
      <w:r w:rsidR="00820D66" w:rsidRPr="0029445E">
        <w:rPr>
          <w:rFonts w:cs="Times New Roman"/>
        </w:rPr>
        <w:t>with</w:t>
      </w:r>
      <w:r w:rsidR="00673002" w:rsidRPr="0029445E">
        <w:rPr>
          <w:rFonts w:cs="Times New Roman"/>
        </w:rPr>
        <w:t xml:space="preserve"> patients in the 130-139 g.l</w:t>
      </w:r>
      <w:r w:rsidR="00673002" w:rsidRPr="0029445E">
        <w:rPr>
          <w:rFonts w:cs="Times New Roman"/>
          <w:vertAlign w:val="superscript"/>
        </w:rPr>
        <w:t>-1</w:t>
      </w:r>
      <w:r w:rsidR="00673002" w:rsidRPr="0029445E">
        <w:rPr>
          <w:rFonts w:cs="Times New Roman"/>
        </w:rPr>
        <w:t xml:space="preserve"> range </w:t>
      </w:r>
      <w:r w:rsidR="009D7DA1" w:rsidRPr="0029445E">
        <w:rPr>
          <w:rFonts w:cs="Times New Roman"/>
        </w:rPr>
        <w:t xml:space="preserve">(Table 4). </w:t>
      </w:r>
    </w:p>
    <w:p w14:paraId="2DF6273A" w14:textId="77777777" w:rsidR="009D7DA1" w:rsidRPr="0029445E" w:rsidRDefault="009D7DA1" w:rsidP="00685ECA">
      <w:pPr>
        <w:spacing w:after="0" w:line="480" w:lineRule="auto"/>
        <w:ind w:firstLine="720"/>
        <w:rPr>
          <w:rFonts w:cs="Times New Roman"/>
        </w:rPr>
      </w:pPr>
    </w:p>
    <w:p w14:paraId="48612F75" w14:textId="77777777" w:rsidR="009D7DA1" w:rsidRPr="0029445E" w:rsidRDefault="009D7DA1" w:rsidP="00685ECA">
      <w:pPr>
        <w:spacing w:after="0" w:line="480" w:lineRule="auto"/>
        <w:ind w:firstLine="720"/>
        <w:rPr>
          <w:rFonts w:cs="Times New Roman"/>
        </w:rPr>
      </w:pPr>
      <w:r w:rsidRPr="0029445E">
        <w:rPr>
          <w:rFonts w:cs="Times New Roman"/>
        </w:rPr>
        <w:t xml:space="preserve"> </w:t>
      </w:r>
    </w:p>
    <w:p w14:paraId="0EB99B61" w14:textId="3D498431" w:rsidR="009D7DA1" w:rsidRPr="0029445E" w:rsidRDefault="009D7DA1" w:rsidP="00685ECA">
      <w:pPr>
        <w:spacing w:after="0" w:line="480" w:lineRule="auto"/>
        <w:ind w:firstLine="720"/>
        <w:rPr>
          <w:rFonts w:cs="Times New Roman"/>
        </w:rPr>
      </w:pPr>
    </w:p>
    <w:p w14:paraId="1D144130" w14:textId="77777777" w:rsidR="00D12EA5" w:rsidRPr="0029445E" w:rsidRDefault="00D12EA5">
      <w:pPr>
        <w:rPr>
          <w:rFonts w:cs="Times New Roman"/>
        </w:rPr>
      </w:pPr>
      <w:r w:rsidRPr="0029445E">
        <w:rPr>
          <w:rFonts w:cs="Times New Roman"/>
        </w:rPr>
        <w:br w:type="page"/>
      </w:r>
    </w:p>
    <w:p w14:paraId="2D1586DC" w14:textId="0A5E9C63" w:rsidR="00D12EA5" w:rsidRPr="0029445E" w:rsidRDefault="00D12EA5" w:rsidP="00D12EA5">
      <w:pPr>
        <w:spacing w:after="0" w:line="480" w:lineRule="auto"/>
        <w:rPr>
          <w:rFonts w:cs="Times New Roman"/>
          <w:b/>
        </w:rPr>
      </w:pPr>
      <w:r w:rsidRPr="0029445E">
        <w:rPr>
          <w:rFonts w:cs="Times New Roman"/>
          <w:b/>
        </w:rPr>
        <w:t>Discussion</w:t>
      </w:r>
    </w:p>
    <w:p w14:paraId="0854E6BF" w14:textId="7CA362F4" w:rsidR="00246C57" w:rsidRPr="0029445E" w:rsidRDefault="00500BD3" w:rsidP="006C515E">
      <w:pPr>
        <w:spacing w:after="0" w:line="480" w:lineRule="auto"/>
        <w:rPr>
          <w:rFonts w:cs="Times New Roman"/>
        </w:rPr>
      </w:pPr>
      <w:r w:rsidRPr="0029445E">
        <w:rPr>
          <w:rFonts w:cs="Times New Roman"/>
        </w:rPr>
        <w:t xml:space="preserve">This UK-wide study has shown anaemia to be both common before cardiac surgery and to be independently associated with worse outcomes, including length of stay in </w:t>
      </w:r>
      <w:r w:rsidR="00B41F8A" w:rsidRPr="0029445E">
        <w:rPr>
          <w:rFonts w:cs="Times New Roman"/>
        </w:rPr>
        <w:t>ICU</w:t>
      </w:r>
      <w:r w:rsidR="007B6BDD" w:rsidRPr="0029445E">
        <w:rPr>
          <w:rFonts w:cs="Times New Roman"/>
        </w:rPr>
        <w:t xml:space="preserve"> and </w:t>
      </w:r>
      <w:r w:rsidRPr="0029445E">
        <w:rPr>
          <w:rFonts w:cs="Times New Roman"/>
        </w:rPr>
        <w:t>hospital</w:t>
      </w:r>
      <w:r w:rsidR="007B6BDD" w:rsidRPr="0029445E">
        <w:rPr>
          <w:rFonts w:cs="Times New Roman"/>
        </w:rPr>
        <w:t>,</w:t>
      </w:r>
      <w:r w:rsidRPr="0029445E">
        <w:rPr>
          <w:rFonts w:cs="Times New Roman"/>
        </w:rPr>
        <w:t xml:space="preserve"> and mortality. </w:t>
      </w:r>
      <w:r w:rsidR="00880003" w:rsidRPr="0029445E">
        <w:rPr>
          <w:rFonts w:cs="Times New Roman"/>
        </w:rPr>
        <w:t>Patients with anaemia had a greatly increased risk of death after cardiac surgery, and this was related to severity of anaemia, and was even higher in women than in men</w:t>
      </w:r>
      <w:r w:rsidR="007B6BDD" w:rsidRPr="0029445E">
        <w:rPr>
          <w:rFonts w:cs="Times New Roman"/>
        </w:rPr>
        <w:t>; there was a clear cut-off at 130 g.l</w:t>
      </w:r>
      <w:r w:rsidR="007B6BDD" w:rsidRPr="0029445E">
        <w:rPr>
          <w:rFonts w:cs="Times New Roman"/>
          <w:vertAlign w:val="superscript"/>
        </w:rPr>
        <w:t>-1</w:t>
      </w:r>
      <w:r w:rsidR="00880003" w:rsidRPr="0029445E">
        <w:rPr>
          <w:rFonts w:cs="Times New Roman"/>
        </w:rPr>
        <w:t xml:space="preserve">. </w:t>
      </w:r>
      <w:r w:rsidRPr="0029445E">
        <w:rPr>
          <w:rFonts w:cs="Times New Roman"/>
        </w:rPr>
        <w:t>Even a mild degree of anaemia was associated with a greatly increased risk of transfusion. This is the first study to show the marked variation of anaemia</w:t>
      </w:r>
      <w:r w:rsidR="00707813" w:rsidRPr="0029445E">
        <w:rPr>
          <w:rFonts w:cs="Times New Roman"/>
        </w:rPr>
        <w:t xml:space="preserve"> in the population of cardiac surgical patients</w:t>
      </w:r>
      <w:r w:rsidRPr="0029445E">
        <w:rPr>
          <w:rFonts w:cs="Times New Roman"/>
        </w:rPr>
        <w:t xml:space="preserve"> across the UK</w:t>
      </w:r>
      <w:r w:rsidR="00707813" w:rsidRPr="0029445E">
        <w:rPr>
          <w:rFonts w:cs="Times New Roman"/>
        </w:rPr>
        <w:t>,</w:t>
      </w:r>
      <w:r w:rsidR="00F961C1" w:rsidRPr="0029445E">
        <w:rPr>
          <w:rFonts w:cs="Times New Roman"/>
        </w:rPr>
        <w:t xml:space="preserve"> independent of age, gender</w:t>
      </w:r>
      <w:r w:rsidR="0031577D" w:rsidRPr="0029445E">
        <w:rPr>
          <w:rFonts w:cs="Times New Roman"/>
        </w:rPr>
        <w:t xml:space="preserve"> and comorbidities,</w:t>
      </w:r>
      <w:r w:rsidR="00707813" w:rsidRPr="0029445E">
        <w:rPr>
          <w:rFonts w:cs="Times New Roman"/>
        </w:rPr>
        <w:t xml:space="preserve"> and has also confirmed that transfusion varies greatly in the UK. This variation in transfusion practice is independent of the variation in the prevalence of anaemia. </w:t>
      </w:r>
    </w:p>
    <w:p w14:paraId="2DE37725" w14:textId="22738842" w:rsidR="00D12EA5" w:rsidRPr="0029445E" w:rsidRDefault="00F477DB" w:rsidP="00246C57">
      <w:pPr>
        <w:spacing w:after="0" w:line="480" w:lineRule="auto"/>
        <w:ind w:firstLine="720"/>
        <w:rPr>
          <w:rFonts w:cs="Times New Roman"/>
        </w:rPr>
      </w:pPr>
      <w:r w:rsidRPr="0029445E">
        <w:rPr>
          <w:rFonts w:cs="Times New Roman"/>
        </w:rPr>
        <w:t xml:space="preserve">The prevalence of anaemia is known to vary worldwide due to nutritional/dietary differences and other </w:t>
      </w:r>
      <w:r w:rsidR="0014546F" w:rsidRPr="0029445E">
        <w:rPr>
          <w:rFonts w:cs="Times New Roman"/>
        </w:rPr>
        <w:t>socio-</w:t>
      </w:r>
      <w:r w:rsidRPr="0029445E">
        <w:rPr>
          <w:rFonts w:cs="Times New Roman"/>
        </w:rPr>
        <w:t xml:space="preserve">economic and racial differences </w:t>
      </w:r>
      <w:r w:rsidR="00023861" w:rsidRPr="0029445E">
        <w:rPr>
          <w:lang w:val="en-US"/>
        </w:rPr>
        <w:t>[19</w:t>
      </w:r>
      <w:r w:rsidR="00880003" w:rsidRPr="0029445E">
        <w:rPr>
          <w:lang w:val="en-US"/>
        </w:rPr>
        <w:t>]</w:t>
      </w:r>
      <w:r w:rsidRPr="0029445E">
        <w:rPr>
          <w:rFonts w:cs="Times New Roman"/>
          <w:lang w:val="en-US"/>
        </w:rPr>
        <w:t>. However, the variation we have found from our study in patients</w:t>
      </w:r>
      <w:r w:rsidR="009D7DA1" w:rsidRPr="0029445E">
        <w:rPr>
          <w:rFonts w:cs="Times New Roman"/>
          <w:lang w:val="en-US"/>
        </w:rPr>
        <w:t xml:space="preserve"> presenting for cardiac surgery</w:t>
      </w:r>
      <w:r w:rsidRPr="0029445E">
        <w:rPr>
          <w:rFonts w:cs="Times New Roman"/>
          <w:lang w:val="en-US"/>
        </w:rPr>
        <w:t xml:space="preserve"> has not been described before</w:t>
      </w:r>
      <w:r w:rsidR="009D7DA1" w:rsidRPr="0029445E">
        <w:rPr>
          <w:rFonts w:cs="Times New Roman"/>
          <w:lang w:val="en-US"/>
        </w:rPr>
        <w:t>,</w:t>
      </w:r>
      <w:r w:rsidRPr="0029445E">
        <w:rPr>
          <w:rFonts w:cs="Times New Roman"/>
          <w:lang w:val="en-US"/>
        </w:rPr>
        <w:t xml:space="preserve"> to our knowledge, and the exact cause is unknown</w:t>
      </w:r>
      <w:r w:rsidR="0014546F" w:rsidRPr="0029445E">
        <w:rPr>
          <w:rFonts w:cs="Times New Roman"/>
          <w:lang w:val="en-US"/>
        </w:rPr>
        <w:t xml:space="preserve">, although socio-economic differences are the most likely cause </w:t>
      </w:r>
      <w:r w:rsidR="00023861" w:rsidRPr="0029445E">
        <w:rPr>
          <w:lang w:val="en-US"/>
        </w:rPr>
        <w:t>[20</w:t>
      </w:r>
      <w:r w:rsidR="0014546F" w:rsidRPr="0029445E">
        <w:rPr>
          <w:lang w:val="en-US"/>
        </w:rPr>
        <w:t>]</w:t>
      </w:r>
      <w:r w:rsidR="0014546F" w:rsidRPr="0029445E">
        <w:rPr>
          <w:rFonts w:cs="Times New Roman"/>
          <w:lang w:val="en-US"/>
        </w:rPr>
        <w:t xml:space="preserve">. </w:t>
      </w:r>
      <w:r w:rsidRPr="0029445E">
        <w:rPr>
          <w:rFonts w:cs="Times New Roman"/>
          <w:lang w:val="en-US"/>
        </w:rPr>
        <w:t>Observational studies have shown that the most common cause of anaemia in this population of patients is functional iron deficiency, and that nutritional deficiencies of iron, Vitamin B12 and folate are rela</w:t>
      </w:r>
      <w:r w:rsidR="00880003" w:rsidRPr="0029445E">
        <w:rPr>
          <w:rFonts w:cs="Times New Roman"/>
          <w:lang w:val="en-US"/>
        </w:rPr>
        <w:t xml:space="preserve">tively uncommon (16% in total) </w:t>
      </w:r>
      <w:r w:rsidR="00023861" w:rsidRPr="0029445E">
        <w:rPr>
          <w:lang w:val="en-US"/>
        </w:rPr>
        <w:t>[21</w:t>
      </w:r>
      <w:r w:rsidR="00880003" w:rsidRPr="0029445E">
        <w:rPr>
          <w:lang w:val="en-US"/>
        </w:rPr>
        <w:t>]</w:t>
      </w:r>
      <w:r w:rsidR="00237479" w:rsidRPr="0029445E">
        <w:rPr>
          <w:rFonts w:cs="Times New Roman"/>
        </w:rPr>
        <w:t>.</w:t>
      </w:r>
      <w:r w:rsidR="005E6847" w:rsidRPr="0029445E">
        <w:rPr>
          <w:rFonts w:cs="Times New Roman"/>
        </w:rPr>
        <w:t xml:space="preserve"> Further studies to elucidate the causes of regional variation are required as they will b</w:t>
      </w:r>
      <w:r w:rsidR="00AC49CA" w:rsidRPr="0029445E">
        <w:rPr>
          <w:rFonts w:cs="Times New Roman"/>
        </w:rPr>
        <w:t>e important to guide management, especially as we have shown such a strong association between anaemia and worse outcome.</w:t>
      </w:r>
    </w:p>
    <w:p w14:paraId="086F51A5" w14:textId="396054E7" w:rsidR="009C454F" w:rsidRPr="0029445E" w:rsidRDefault="002C40BF" w:rsidP="002260A1">
      <w:pPr>
        <w:spacing w:after="0" w:line="480" w:lineRule="auto"/>
        <w:rPr>
          <w:rFonts w:cs="Times New Roman"/>
          <w:lang w:val="en-US"/>
        </w:rPr>
      </w:pPr>
      <w:r w:rsidRPr="0029445E">
        <w:rPr>
          <w:rFonts w:cs="Times New Roman"/>
        </w:rPr>
        <w:tab/>
        <w:t>A number of other studies have examined the prevalence and association with outcomes of pre-operative anaemia. A single-centre UK study by Hung et al. reported the prevalence in East Anglia (54%) to be higher than any centre of the 12 included in the current study</w:t>
      </w:r>
      <w:r w:rsidR="00880003" w:rsidRPr="0029445E">
        <w:rPr>
          <w:rFonts w:cs="Times New Roman"/>
        </w:rPr>
        <w:t xml:space="preserve"> </w:t>
      </w:r>
      <w:r w:rsidR="00880003" w:rsidRPr="0029445E">
        <w:rPr>
          <w:lang w:val="en-US"/>
        </w:rPr>
        <w:t>[9]</w:t>
      </w:r>
      <w:r w:rsidRPr="0029445E">
        <w:rPr>
          <w:rFonts w:cs="Times New Roman"/>
        </w:rPr>
        <w:t xml:space="preserve">. This study included patients from 2008-2009, just before the start date of the current study (2010), so change in practice is unlikely to account for this variation. The higher prevalence may be attributable to patient factors (age, comorbidities, </w:t>
      </w:r>
      <w:r w:rsidR="002260A1" w:rsidRPr="0029445E">
        <w:rPr>
          <w:rFonts w:cs="Times New Roman"/>
        </w:rPr>
        <w:t xml:space="preserve">burden of cardiac disease), or </w:t>
      </w:r>
      <w:r w:rsidR="005D651A" w:rsidRPr="0029445E">
        <w:rPr>
          <w:rFonts w:cs="Times New Roman"/>
        </w:rPr>
        <w:t xml:space="preserve">be specific to the population in this area of the UK. </w:t>
      </w:r>
      <w:r w:rsidR="002260A1" w:rsidRPr="0029445E">
        <w:rPr>
          <w:rFonts w:cs="Times New Roman"/>
        </w:rPr>
        <w:t xml:space="preserve">Another single-centre study, </w:t>
      </w:r>
      <w:r w:rsidR="00ED0085" w:rsidRPr="0029445E">
        <w:rPr>
          <w:rFonts w:cs="Times New Roman"/>
        </w:rPr>
        <w:t>also in the UK</w:t>
      </w:r>
      <w:r w:rsidR="002260A1" w:rsidRPr="0029445E">
        <w:rPr>
          <w:rFonts w:cs="Times New Roman"/>
        </w:rPr>
        <w:t xml:space="preserve">, showed an </w:t>
      </w:r>
      <w:r w:rsidR="00ED0085" w:rsidRPr="0029445E">
        <w:rPr>
          <w:rFonts w:cs="Times New Roman"/>
        </w:rPr>
        <w:t>independent</w:t>
      </w:r>
      <w:r w:rsidR="002260A1" w:rsidRPr="0029445E">
        <w:rPr>
          <w:rFonts w:cs="Times New Roman"/>
        </w:rPr>
        <w:t xml:space="preserve"> association between pre-operative anaemia and a 300% increase in mortality, as well as significant increases in morbidity (stroke, renal dysfunction, atrial fibrillation and hospital length of stay) </w:t>
      </w:r>
      <w:r w:rsidR="00023861" w:rsidRPr="0029445E">
        <w:rPr>
          <w:lang w:val="en-US"/>
        </w:rPr>
        <w:t>[22</w:t>
      </w:r>
      <w:r w:rsidR="00880003" w:rsidRPr="0029445E">
        <w:rPr>
          <w:lang w:val="en-US"/>
        </w:rPr>
        <w:t>]</w:t>
      </w:r>
      <w:r w:rsidR="00ED0085" w:rsidRPr="0029445E">
        <w:rPr>
          <w:rFonts w:cs="Times New Roman"/>
          <w:lang w:val="en-US"/>
        </w:rPr>
        <w:t>.</w:t>
      </w:r>
      <w:r w:rsidR="00214AE4" w:rsidRPr="0029445E">
        <w:rPr>
          <w:rFonts w:cs="Times New Roman"/>
          <w:lang w:val="en-US"/>
        </w:rPr>
        <w:t xml:space="preserve">  </w:t>
      </w:r>
      <w:r w:rsidR="00AF3FB5" w:rsidRPr="0029445E">
        <w:rPr>
          <w:rFonts w:cs="Times New Roman"/>
          <w:lang w:val="en-US"/>
        </w:rPr>
        <w:t>One other single-centre study, this time from Italy, also</w:t>
      </w:r>
      <w:r w:rsidR="0054081C" w:rsidRPr="0029445E">
        <w:rPr>
          <w:rFonts w:cs="Times New Roman"/>
          <w:lang w:val="en-US"/>
        </w:rPr>
        <w:t xml:space="preserve"> showed an associat</w:t>
      </w:r>
      <w:r w:rsidR="00AF3FB5" w:rsidRPr="0029445E">
        <w:rPr>
          <w:rFonts w:cs="Times New Roman"/>
          <w:lang w:val="en-US"/>
        </w:rPr>
        <w:t xml:space="preserve">ion between pre-operative anaemia and increased mortality, stroke and other major morbidity </w:t>
      </w:r>
      <w:r w:rsidR="00023861" w:rsidRPr="0029445E">
        <w:rPr>
          <w:lang w:val="en-US"/>
        </w:rPr>
        <w:t>[23</w:t>
      </w:r>
      <w:r w:rsidR="00880003" w:rsidRPr="0029445E">
        <w:rPr>
          <w:lang w:val="en-US"/>
        </w:rPr>
        <w:t>]</w:t>
      </w:r>
      <w:r w:rsidR="00880003" w:rsidRPr="0029445E">
        <w:rPr>
          <w:rFonts w:cs="Times New Roman"/>
          <w:lang w:val="en-US"/>
        </w:rPr>
        <w:t xml:space="preserve">. </w:t>
      </w:r>
      <w:r w:rsidR="009D7DA1" w:rsidRPr="0029445E">
        <w:rPr>
          <w:rFonts w:cs="Times New Roman"/>
          <w:lang w:val="en-US"/>
        </w:rPr>
        <w:t>Karkouti et al</w:t>
      </w:r>
      <w:r w:rsidR="00880003" w:rsidRPr="0029445E">
        <w:rPr>
          <w:rFonts w:cs="Times New Roman"/>
          <w:lang w:val="en-US"/>
        </w:rPr>
        <w:t xml:space="preserve">. </w:t>
      </w:r>
      <w:r w:rsidR="00880003" w:rsidRPr="0029445E">
        <w:rPr>
          <w:lang w:val="en-US"/>
        </w:rPr>
        <w:t>[8]</w:t>
      </w:r>
      <w:r w:rsidR="009D7DA1" w:rsidRPr="0029445E">
        <w:rPr>
          <w:rFonts w:cs="Times New Roman"/>
          <w:lang w:val="en-US"/>
        </w:rPr>
        <w:t xml:space="preserve"> </w:t>
      </w:r>
      <w:r w:rsidR="009D7DA1" w:rsidRPr="0029445E">
        <w:rPr>
          <w:rFonts w:cs="Times"/>
          <w:lang w:val="en-US"/>
        </w:rPr>
        <w:t xml:space="preserve">reported a lower prevalence, but they excluded patients who were </w:t>
      </w:r>
      <w:r w:rsidR="009C454F" w:rsidRPr="0029445E">
        <w:rPr>
          <w:rFonts w:cs="Times New Roman"/>
        </w:rPr>
        <w:t>either dialysis dependent, undergoing emergency surgery, or were severely anaemic with haemoglobin concentrations &lt;9.5</w:t>
      </w:r>
      <w:r w:rsidR="009D7DA1" w:rsidRPr="0029445E">
        <w:rPr>
          <w:rFonts w:cs="Times New Roman"/>
        </w:rPr>
        <w:t xml:space="preserve"> g.</w:t>
      </w:r>
      <w:r w:rsidR="009C454F" w:rsidRPr="0029445E">
        <w:rPr>
          <w:rFonts w:cs="Times New Roman"/>
        </w:rPr>
        <w:t>l</w:t>
      </w:r>
      <w:r w:rsidR="009D7DA1" w:rsidRPr="0029445E">
        <w:rPr>
          <w:rFonts w:cs="Times New Roman"/>
          <w:vertAlign w:val="superscript"/>
        </w:rPr>
        <w:t>-1</w:t>
      </w:r>
      <w:r w:rsidR="009D7DA1" w:rsidRPr="0029445E">
        <w:rPr>
          <w:rFonts w:cs="Times New Roman"/>
        </w:rPr>
        <w:t>, who were all included in our study</w:t>
      </w:r>
      <w:r w:rsidR="009C454F" w:rsidRPr="0029445E">
        <w:rPr>
          <w:rFonts w:cs="Times New Roman"/>
          <w:i/>
        </w:rPr>
        <w:t xml:space="preserve">.  </w:t>
      </w:r>
      <w:r w:rsidR="009C454F" w:rsidRPr="0029445E">
        <w:rPr>
          <w:rFonts w:cs="Times New Roman"/>
        </w:rPr>
        <w:t>Kulier et al</w:t>
      </w:r>
      <w:r w:rsidR="009C454F" w:rsidRPr="0029445E">
        <w:rPr>
          <w:rFonts w:cs="Times New Roman"/>
          <w:i/>
        </w:rPr>
        <w:t>.</w:t>
      </w:r>
      <w:r w:rsidR="00880003" w:rsidRPr="0029445E">
        <w:rPr>
          <w:rFonts w:cs="Times New Roman"/>
          <w:i/>
        </w:rPr>
        <w:t xml:space="preserve"> </w:t>
      </w:r>
      <w:r w:rsidR="00880003" w:rsidRPr="0029445E">
        <w:rPr>
          <w:lang w:val="en-US"/>
        </w:rPr>
        <w:t>[5]</w:t>
      </w:r>
      <w:r w:rsidR="00880003" w:rsidRPr="0029445E">
        <w:rPr>
          <w:rFonts w:cs="Times New Roman"/>
          <w:lang w:val="en-US"/>
        </w:rPr>
        <w:t xml:space="preserve"> </w:t>
      </w:r>
      <w:r w:rsidR="009D7DA1" w:rsidRPr="0029445E">
        <w:rPr>
          <w:rFonts w:cs="Times New Roman"/>
        </w:rPr>
        <w:t>studied</w:t>
      </w:r>
      <w:r w:rsidR="00F87531" w:rsidRPr="0029445E">
        <w:rPr>
          <w:rFonts w:cs="Times New Roman"/>
        </w:rPr>
        <w:t xml:space="preserve"> 4804 patients undergoing elective co</w:t>
      </w:r>
      <w:r w:rsidR="00AE6EBF" w:rsidRPr="0029445E">
        <w:rPr>
          <w:rFonts w:cs="Times New Roman"/>
        </w:rPr>
        <w:t>ronary artery surgery from 72</w:t>
      </w:r>
      <w:r w:rsidR="00F87531" w:rsidRPr="0029445E">
        <w:rPr>
          <w:rFonts w:cs="Times New Roman"/>
        </w:rPr>
        <w:t xml:space="preserve"> centres</w:t>
      </w:r>
      <w:r w:rsidR="00AE6EBF" w:rsidRPr="0029445E">
        <w:rPr>
          <w:rFonts w:cs="Times New Roman"/>
        </w:rPr>
        <w:t xml:space="preserve"> worldwide</w:t>
      </w:r>
      <w:r w:rsidR="00F87531" w:rsidRPr="0029445E">
        <w:rPr>
          <w:rFonts w:cs="Times New Roman"/>
        </w:rPr>
        <w:t xml:space="preserve">, and showed that </w:t>
      </w:r>
      <w:r w:rsidR="00F87531" w:rsidRPr="0029445E">
        <w:rPr>
          <w:rFonts w:cs="Times New Roman"/>
          <w:lang w:val="en-US"/>
        </w:rPr>
        <w:t>low pre-operative Hb was only an independent predictor for noncardiac (renal&gt;cerebral; p&lt;0.001) outcomes</w:t>
      </w:r>
      <w:r w:rsidR="00F87531" w:rsidRPr="0029445E">
        <w:rPr>
          <w:rFonts w:cs="Times New Roman"/>
        </w:rPr>
        <w:t>; our much larger study confirmed an association between low Hb and mortality, which they did not show.</w:t>
      </w:r>
    </w:p>
    <w:p w14:paraId="001D5E05" w14:textId="33374E90" w:rsidR="00ED0085" w:rsidRPr="0029445E" w:rsidRDefault="00ED0085" w:rsidP="0054081C">
      <w:pPr>
        <w:spacing w:after="0" w:line="480" w:lineRule="auto"/>
        <w:ind w:firstLine="720"/>
        <w:rPr>
          <w:rFonts w:cs="Times New Roman"/>
          <w:lang w:val="en-US"/>
        </w:rPr>
      </w:pPr>
      <w:r w:rsidRPr="0029445E">
        <w:rPr>
          <w:rFonts w:cs="Times New Roman"/>
          <w:lang w:val="en-US"/>
        </w:rPr>
        <w:t>Pre-operative anaemia before non-cardiac surgery has a similar incidence (31% in men and 27% in women in 39 000 patients in a multi-centre Eur</w:t>
      </w:r>
      <w:r w:rsidR="0054081C" w:rsidRPr="0029445E">
        <w:rPr>
          <w:rFonts w:cs="Times New Roman"/>
          <w:lang w:val="en-US"/>
        </w:rPr>
        <w:t>op</w:t>
      </w:r>
      <w:r w:rsidRPr="0029445E">
        <w:rPr>
          <w:rFonts w:cs="Times New Roman"/>
          <w:lang w:val="en-US"/>
        </w:rPr>
        <w:t>ean</w:t>
      </w:r>
      <w:r w:rsidR="00214AE4" w:rsidRPr="0029445E">
        <w:rPr>
          <w:rFonts w:cs="Times New Roman"/>
          <w:lang w:val="en-US"/>
        </w:rPr>
        <w:t xml:space="preserve"> study</w:t>
      </w:r>
      <w:r w:rsidRPr="0029445E">
        <w:rPr>
          <w:rFonts w:cs="Times New Roman"/>
          <w:lang w:val="en-US"/>
        </w:rPr>
        <w:t xml:space="preserve">), and is </w:t>
      </w:r>
      <w:r w:rsidR="00EC3724" w:rsidRPr="0029445E">
        <w:rPr>
          <w:rFonts w:cs="Times New Roman"/>
          <w:lang w:val="en-US"/>
        </w:rPr>
        <w:t xml:space="preserve">also </w:t>
      </w:r>
      <w:r w:rsidRPr="0029445E">
        <w:rPr>
          <w:rFonts w:cs="Times New Roman"/>
          <w:lang w:val="en-US"/>
        </w:rPr>
        <w:t>associated with increased mortality, hospital</w:t>
      </w:r>
      <w:r w:rsidR="00214AE4" w:rsidRPr="0029445E">
        <w:rPr>
          <w:rFonts w:cs="Times New Roman"/>
          <w:lang w:val="en-US"/>
        </w:rPr>
        <w:t xml:space="preserve"> length of stay,</w:t>
      </w:r>
      <w:r w:rsidRPr="0029445E">
        <w:rPr>
          <w:rFonts w:cs="Times New Roman"/>
          <w:lang w:val="en-US"/>
        </w:rPr>
        <w:t xml:space="preserve"> admission to ICU</w:t>
      </w:r>
      <w:r w:rsidR="00214AE4" w:rsidRPr="0029445E">
        <w:rPr>
          <w:rFonts w:cs="Times New Roman"/>
          <w:lang w:val="en-US"/>
        </w:rPr>
        <w:t xml:space="preserve"> and resource use) </w:t>
      </w:r>
      <w:r w:rsidR="00331D74" w:rsidRPr="0029445E">
        <w:rPr>
          <w:lang w:val="en-US"/>
        </w:rPr>
        <w:t>[15</w:t>
      </w:r>
      <w:r w:rsidR="00EC3724" w:rsidRPr="0029445E">
        <w:rPr>
          <w:lang w:val="en-US"/>
        </w:rPr>
        <w:t>]</w:t>
      </w:r>
      <w:r w:rsidR="00EC3724" w:rsidRPr="0029445E">
        <w:rPr>
          <w:rFonts w:cs="Times New Roman"/>
          <w:lang w:val="en-US"/>
        </w:rPr>
        <w:t xml:space="preserve">. </w:t>
      </w:r>
      <w:r w:rsidR="00AF3FB5" w:rsidRPr="0029445E">
        <w:rPr>
          <w:rFonts w:cs="Times New Roman"/>
          <w:lang w:val="en-US"/>
        </w:rPr>
        <w:t xml:space="preserve">A large US cohort study showed an association between severity of anaemia and increase in mortality and morbidity </w:t>
      </w:r>
      <w:r w:rsidR="00EC3724" w:rsidRPr="0029445E">
        <w:rPr>
          <w:lang w:val="en-US"/>
        </w:rPr>
        <w:t>[2]</w:t>
      </w:r>
      <w:r w:rsidR="0054081C" w:rsidRPr="0029445E">
        <w:rPr>
          <w:rFonts w:cs="Times New Roman"/>
          <w:lang w:val="en-US"/>
        </w:rPr>
        <w:t xml:space="preserve">. </w:t>
      </w:r>
      <w:r w:rsidR="00EC3724" w:rsidRPr="0029445E">
        <w:rPr>
          <w:rFonts w:cs="Times New Roman"/>
          <w:lang w:val="en-US"/>
        </w:rPr>
        <w:t>Our multi-centre cardiac UK study</w:t>
      </w:r>
      <w:r w:rsidR="00394F82" w:rsidRPr="0029445E">
        <w:rPr>
          <w:rFonts w:cs="Times New Roman"/>
          <w:lang w:val="en-US"/>
        </w:rPr>
        <w:t xml:space="preserve"> also showed that haemoglobin concentration per se was associated with outcome, and that the magnitude in the reduction in Hb was related to blood transfusion, length of stay and mortality.</w:t>
      </w:r>
      <w:r w:rsidR="0031577D" w:rsidRPr="0029445E">
        <w:rPr>
          <w:rFonts w:cs="Times New Roman"/>
          <w:lang w:val="en-US"/>
        </w:rPr>
        <w:t xml:space="preserve"> We also showed that a decrease in Hb of only 10 g.l</w:t>
      </w:r>
      <w:r w:rsidR="0031577D" w:rsidRPr="0029445E">
        <w:rPr>
          <w:rFonts w:cs="Times New Roman"/>
          <w:vertAlign w:val="superscript"/>
          <w:lang w:val="en-US"/>
        </w:rPr>
        <w:t xml:space="preserve">-1 </w:t>
      </w:r>
      <w:r w:rsidR="0031577D" w:rsidRPr="0029445E">
        <w:rPr>
          <w:rFonts w:cs="Times New Roman"/>
          <w:lang w:val="en-US"/>
        </w:rPr>
        <w:t>was associated with a marked increase in transfusion. This has important implications for the peri-operative management of anemia in women in particular, as the WHO define anaemia in women as being 10 g’l</w:t>
      </w:r>
      <w:r w:rsidR="0031577D" w:rsidRPr="0029445E">
        <w:rPr>
          <w:rFonts w:cs="Times New Roman"/>
          <w:vertAlign w:val="superscript"/>
          <w:lang w:val="en-US"/>
        </w:rPr>
        <w:t>-1</w:t>
      </w:r>
      <w:r w:rsidR="0031577D" w:rsidRPr="0029445E">
        <w:rPr>
          <w:rFonts w:cs="Times New Roman"/>
          <w:lang w:val="en-US"/>
        </w:rPr>
        <w:t xml:space="preserve"> lower than in men. </w:t>
      </w:r>
      <w:r w:rsidR="00D41864" w:rsidRPr="0029445E">
        <w:rPr>
          <w:rFonts w:cs="Times New Roman"/>
          <w:lang w:val="en-US"/>
        </w:rPr>
        <w:t xml:space="preserve">It is possible </w:t>
      </w:r>
      <w:r w:rsidR="0031577D" w:rsidRPr="0029445E">
        <w:rPr>
          <w:rFonts w:cs="Times New Roman"/>
          <w:lang w:val="en-US"/>
        </w:rPr>
        <w:t>that if the definition of pre-operative anaemia was raised to 130 g.l</w:t>
      </w:r>
      <w:r w:rsidR="0031577D" w:rsidRPr="0029445E">
        <w:rPr>
          <w:rFonts w:cs="Times New Roman"/>
          <w:vertAlign w:val="superscript"/>
          <w:lang w:val="en-US"/>
        </w:rPr>
        <w:t xml:space="preserve">-1 </w:t>
      </w:r>
      <w:r w:rsidR="00F961C1" w:rsidRPr="0029445E">
        <w:rPr>
          <w:rFonts w:cs="Times New Roman"/>
          <w:lang w:val="en-US"/>
        </w:rPr>
        <w:t>in both genders</w:t>
      </w:r>
      <w:r w:rsidR="0031577D" w:rsidRPr="0029445E">
        <w:rPr>
          <w:rFonts w:cs="Times New Roman"/>
          <w:lang w:val="en-US"/>
        </w:rPr>
        <w:t>, transfusion and associated risk in women may be</w:t>
      </w:r>
      <w:r w:rsidR="00D41864" w:rsidRPr="0029445E">
        <w:rPr>
          <w:rFonts w:cs="Times New Roman"/>
          <w:lang w:val="en-US"/>
        </w:rPr>
        <w:t xml:space="preserve"> altered</w:t>
      </w:r>
      <w:r w:rsidR="0031577D" w:rsidRPr="0029445E">
        <w:rPr>
          <w:rFonts w:cs="Times New Roman"/>
          <w:lang w:val="en-US"/>
        </w:rPr>
        <w:t>, and prospective trials are required to determine if this may have an effect on outcome.</w:t>
      </w:r>
      <w:r w:rsidR="00741C46" w:rsidRPr="0029445E">
        <w:rPr>
          <w:rFonts w:cs="Times New Roman"/>
          <w:lang w:val="en-US"/>
        </w:rPr>
        <w:t xml:space="preserve"> </w:t>
      </w:r>
      <w:r w:rsidR="00D557FB" w:rsidRPr="0029445E">
        <w:rPr>
          <w:rFonts w:cs="Times New Roman"/>
          <w:lang w:val="en-US"/>
        </w:rPr>
        <w:t>Another interesting finding seen only in women in our study was the increased length of stay associated with supranormal Hb (&gt; 150 g.l</w:t>
      </w:r>
      <w:r w:rsidR="00D557FB" w:rsidRPr="0029445E">
        <w:rPr>
          <w:rFonts w:cs="Times New Roman"/>
          <w:vertAlign w:val="superscript"/>
          <w:lang w:val="en-US"/>
        </w:rPr>
        <w:t>-1</w:t>
      </w:r>
      <w:r w:rsidR="00D557FB" w:rsidRPr="0029445E">
        <w:rPr>
          <w:rFonts w:cs="Times New Roman"/>
          <w:lang w:val="en-US"/>
        </w:rPr>
        <w:t>). Data were small, but a similar finding has previously been reported in association with increased thrombotic and embolic complications. This finding merits more detailed analysis, which is outside of the scope of this study</w:t>
      </w:r>
    </w:p>
    <w:p w14:paraId="540E124D" w14:textId="318AD6EF" w:rsidR="0054081C" w:rsidRPr="0029445E" w:rsidRDefault="00B35138" w:rsidP="00AE6EBF">
      <w:pPr>
        <w:spacing w:after="0" w:line="480" w:lineRule="auto"/>
        <w:ind w:firstLine="720"/>
        <w:rPr>
          <w:rFonts w:cs="Times New Roman"/>
          <w:lang w:val="en-US"/>
        </w:rPr>
      </w:pPr>
      <w:r w:rsidRPr="0029445E">
        <w:rPr>
          <w:rFonts w:cs="Times New Roman"/>
          <w:lang w:val="en-US"/>
        </w:rPr>
        <w:t>W</w:t>
      </w:r>
      <w:r w:rsidR="00AE6EBF" w:rsidRPr="0029445E">
        <w:rPr>
          <w:rFonts w:cs="Times New Roman"/>
        </w:rPr>
        <w:t xml:space="preserve">e cannot conclude that anaemia per se causes any of the outcomes studied, and have only showed an association. Evidence </w:t>
      </w:r>
      <w:r w:rsidR="00F52779" w:rsidRPr="0029445E">
        <w:rPr>
          <w:rFonts w:cs="Times New Roman"/>
        </w:rPr>
        <w:t>that treatment of anaemia and/</w:t>
      </w:r>
      <w:r w:rsidR="00AE6EBF" w:rsidRPr="0029445E">
        <w:rPr>
          <w:rFonts w:cs="Times New Roman"/>
        </w:rPr>
        <w:t>or iron deficiency improves patient outcomes has been shown in patients with conditions such as heart failure</w:t>
      </w:r>
      <w:r w:rsidR="00F52779" w:rsidRPr="0029445E">
        <w:rPr>
          <w:rFonts w:cs="Times New Roman"/>
        </w:rPr>
        <w:t xml:space="preserve"> </w:t>
      </w:r>
      <w:r w:rsidR="00D557FB" w:rsidRPr="0029445E">
        <w:rPr>
          <w:lang w:val="en-US"/>
        </w:rPr>
        <w:t>[25</w:t>
      </w:r>
      <w:r w:rsidR="00F52779" w:rsidRPr="0029445E">
        <w:rPr>
          <w:lang w:val="en-US"/>
        </w:rPr>
        <w:t>]</w:t>
      </w:r>
      <w:r w:rsidR="00F52779" w:rsidRPr="0029445E">
        <w:rPr>
          <w:rFonts w:cs="Times New Roman"/>
          <w:lang w:val="en-US"/>
        </w:rPr>
        <w:t xml:space="preserve"> </w:t>
      </w:r>
      <w:r w:rsidR="00AE6EBF" w:rsidRPr="0029445E">
        <w:rPr>
          <w:rFonts w:cs="Times New Roman"/>
        </w:rPr>
        <w:t>and chronic kidney disease</w:t>
      </w:r>
      <w:r w:rsidR="00F52779" w:rsidRPr="0029445E">
        <w:rPr>
          <w:rFonts w:cs="Times New Roman"/>
        </w:rPr>
        <w:t xml:space="preserve"> </w:t>
      </w:r>
      <w:r w:rsidR="00D557FB" w:rsidRPr="0029445E">
        <w:rPr>
          <w:lang w:val="en-US"/>
        </w:rPr>
        <w:t>[26</w:t>
      </w:r>
      <w:r w:rsidR="00F52779" w:rsidRPr="0029445E">
        <w:rPr>
          <w:lang w:val="en-US"/>
        </w:rPr>
        <w:t>]</w:t>
      </w:r>
      <w:r w:rsidR="00AE6EBF" w:rsidRPr="0029445E">
        <w:rPr>
          <w:rFonts w:cs="Times New Roman"/>
        </w:rPr>
        <w:t xml:space="preserve">.  Patients undergoing surgery who are either anaemic or functionally iron deficient represent a large cohort of patients globally.  </w:t>
      </w:r>
      <w:r w:rsidR="00AE6EBF" w:rsidRPr="0029445E">
        <w:rPr>
          <w:rFonts w:cs="Times New Roman"/>
          <w:lang w:val="en-US"/>
        </w:rPr>
        <w:t xml:space="preserve">The potential implications of </w:t>
      </w:r>
      <w:r w:rsidR="00AE6EBF" w:rsidRPr="0029445E">
        <w:rPr>
          <w:rFonts w:cs="Times New Roman"/>
        </w:rPr>
        <w:t xml:space="preserve">reducing mortality, allogeneic transfusion and hospital length of stay make treatment of pre-operative anaemia an important area of further research. </w:t>
      </w:r>
      <w:r w:rsidR="0054081C" w:rsidRPr="0029445E">
        <w:rPr>
          <w:rFonts w:cs="Times New Roman"/>
          <w:lang w:val="en-US"/>
        </w:rPr>
        <w:t>Patient blood management is a new NHS initiative introduced in 2014</w:t>
      </w:r>
      <w:r w:rsidR="0076248D" w:rsidRPr="0029445E">
        <w:rPr>
          <w:rFonts w:cs="Times New Roman"/>
          <w:lang w:val="en-US"/>
        </w:rPr>
        <w:t xml:space="preserve"> </w:t>
      </w:r>
      <w:r w:rsidR="00A55EEA" w:rsidRPr="0029445E">
        <w:rPr>
          <w:lang w:val="en-US"/>
        </w:rPr>
        <w:t>[26</w:t>
      </w:r>
      <w:r w:rsidR="00EC3724" w:rsidRPr="0029445E">
        <w:rPr>
          <w:lang w:val="en-US"/>
        </w:rPr>
        <w:t>]</w:t>
      </w:r>
      <w:r w:rsidR="0054081C" w:rsidRPr="0029445E">
        <w:rPr>
          <w:rFonts w:cs="Times New Roman"/>
          <w:lang w:val="en-US"/>
        </w:rPr>
        <w:t>. It advises that pre-operative anaemia should be investigated and actively managed before surgery, but</w:t>
      </w:r>
      <w:r w:rsidR="00AE6EBF" w:rsidRPr="0029445E">
        <w:rPr>
          <w:rFonts w:cs="Times New Roman"/>
          <w:lang w:val="en-US"/>
        </w:rPr>
        <w:t xml:space="preserve"> currently</w:t>
      </w:r>
      <w:r w:rsidR="0054081C" w:rsidRPr="0029445E">
        <w:rPr>
          <w:rFonts w:cs="Times New Roman"/>
          <w:lang w:val="en-US"/>
        </w:rPr>
        <w:t xml:space="preserve"> does not recommend specific treatments for different causes. </w:t>
      </w:r>
      <w:r w:rsidR="003513A6" w:rsidRPr="0029445E">
        <w:rPr>
          <w:rFonts w:cs="Times New Roman"/>
          <w:lang w:val="en-US"/>
        </w:rPr>
        <w:t>Treatment of anaemia is one potential pre-operative intervention that requires further study</w:t>
      </w:r>
      <w:r w:rsidR="00B000E4" w:rsidRPr="0029445E">
        <w:rPr>
          <w:rFonts w:cs="Times New Roman"/>
          <w:lang w:val="en-US"/>
        </w:rPr>
        <w:t xml:space="preserve"> </w:t>
      </w:r>
      <w:r w:rsidRPr="0029445E">
        <w:rPr>
          <w:lang w:val="en-US"/>
        </w:rPr>
        <w:t>[27</w:t>
      </w:r>
      <w:r w:rsidR="00B000E4" w:rsidRPr="0029445E">
        <w:rPr>
          <w:lang w:val="en-US"/>
        </w:rPr>
        <w:t>]</w:t>
      </w:r>
      <w:r w:rsidR="003513A6" w:rsidRPr="0029445E">
        <w:rPr>
          <w:rFonts w:cs="Times New Roman"/>
          <w:lang w:val="en-US"/>
        </w:rPr>
        <w:t>.</w:t>
      </w:r>
      <w:r w:rsidR="00826AE9" w:rsidRPr="0029445E">
        <w:rPr>
          <w:rFonts w:cs="Times New Roman"/>
          <w:lang w:val="en-US"/>
        </w:rPr>
        <w:t xml:space="preserve"> Our </w:t>
      </w:r>
      <w:r w:rsidR="00132668" w:rsidRPr="0029445E">
        <w:rPr>
          <w:rFonts w:cs="Times New Roman"/>
          <w:lang w:val="en-US"/>
        </w:rPr>
        <w:t xml:space="preserve">study also showed some variability between centres in terms of mortality, as well as anaemia and transfusion. This is only of interest with regards to the variability between centres in anaemia and transfusion that we have already discussed, as the much larger ACTA study has already shown that variability in mortality is mainly (96%) due to patients’ risk profile, </w:t>
      </w:r>
      <w:r w:rsidR="00F52779" w:rsidRPr="0029445E">
        <w:rPr>
          <w:rFonts w:cs="Times New Roman"/>
          <w:lang w:val="en-US"/>
        </w:rPr>
        <w:t>comorbidities and health status</w:t>
      </w:r>
      <w:r w:rsidR="00132668" w:rsidRPr="0029445E">
        <w:rPr>
          <w:rFonts w:cs="Times New Roman"/>
          <w:lang w:val="en-US"/>
        </w:rPr>
        <w:t xml:space="preserve"> </w:t>
      </w:r>
      <w:r w:rsidRPr="0029445E">
        <w:rPr>
          <w:lang w:val="en-US"/>
        </w:rPr>
        <w:t>[28</w:t>
      </w:r>
      <w:r w:rsidR="00132668" w:rsidRPr="0029445E">
        <w:rPr>
          <w:lang w:val="en-US"/>
        </w:rPr>
        <w:t>]</w:t>
      </w:r>
      <w:r w:rsidR="00132668" w:rsidRPr="0029445E">
        <w:rPr>
          <w:rFonts w:cs="Times New Roman"/>
          <w:lang w:val="en-US"/>
        </w:rPr>
        <w:t>, which adds to the importance of pre-operative optimisation.</w:t>
      </w:r>
    </w:p>
    <w:p w14:paraId="020F08B2" w14:textId="68331E0F" w:rsidR="00AE2922" w:rsidRPr="0029445E" w:rsidRDefault="00AE2922" w:rsidP="0076248D">
      <w:pPr>
        <w:widowControl w:val="0"/>
        <w:autoSpaceDE w:val="0"/>
        <w:autoSpaceDN w:val="0"/>
        <w:adjustRightInd w:val="0"/>
        <w:spacing w:after="0" w:line="480" w:lineRule="auto"/>
        <w:rPr>
          <w:rFonts w:cs="Times New Roman"/>
          <w:lang w:val="en-US"/>
        </w:rPr>
      </w:pPr>
      <w:r w:rsidRPr="0029445E">
        <w:rPr>
          <w:rFonts w:cs="Times New Roman"/>
          <w:lang w:val="en-US"/>
        </w:rPr>
        <w:tab/>
        <w:t xml:space="preserve">Advantages of this </w:t>
      </w:r>
      <w:r w:rsidR="007157E0" w:rsidRPr="0029445E">
        <w:rPr>
          <w:rFonts w:cs="Times New Roman"/>
          <w:lang w:val="en-US"/>
        </w:rPr>
        <w:t xml:space="preserve">study are that it demonstrates the willingness of a large number of centres to collaborate with their specialist society to collect data to inform their practice. This was the first time ACTA attempted a national audit of a particular area of cardiothoracic practice, and one-third of the centres in the UK registered with ACTA provided data. The other centres were either not interested in joining the study group or did not collect the required data (16 UK centres did not collect and store data on pre-operative Hb at the time of this study), and this may be a potential but unavoidable source of bias. Other disadvantages of this </w:t>
      </w:r>
      <w:r w:rsidR="00981D12" w:rsidRPr="0029445E">
        <w:rPr>
          <w:rFonts w:cs="Times New Roman"/>
          <w:lang w:val="en-US"/>
        </w:rPr>
        <w:t>study include the missing data;</w:t>
      </w:r>
      <w:r w:rsidR="00AE6EBF" w:rsidRPr="0029445E">
        <w:rPr>
          <w:rFonts w:cs="Times New Roman"/>
          <w:lang w:val="en-US"/>
        </w:rPr>
        <w:t xml:space="preserve"> 20% of patients were excluded from the analysis due to missing pre-operative Hb</w:t>
      </w:r>
      <w:r w:rsidR="00981D12" w:rsidRPr="0029445E">
        <w:rPr>
          <w:rFonts w:cs="Times New Roman"/>
          <w:lang w:val="en-US"/>
        </w:rPr>
        <w:t>.</w:t>
      </w:r>
      <w:r w:rsidR="00531A31" w:rsidRPr="0029445E">
        <w:rPr>
          <w:rFonts w:cs="Times New Roman"/>
          <w:lang w:val="en-US"/>
        </w:rPr>
        <w:t xml:space="preserve"> </w:t>
      </w:r>
      <w:r w:rsidR="00981D12" w:rsidRPr="0029445E">
        <w:rPr>
          <w:rFonts w:cs="Times New Roman"/>
          <w:lang w:val="en-US"/>
        </w:rPr>
        <w:t>This</w:t>
      </w:r>
      <w:r w:rsidR="00AE6EBF" w:rsidRPr="0029445E">
        <w:rPr>
          <w:rFonts w:cs="Times New Roman"/>
          <w:lang w:val="en-US"/>
        </w:rPr>
        <w:t xml:space="preserve"> impl</w:t>
      </w:r>
      <w:r w:rsidR="00981D12" w:rsidRPr="0029445E">
        <w:rPr>
          <w:rFonts w:cs="Times New Roman"/>
          <w:lang w:val="en-US"/>
        </w:rPr>
        <w:t>ies</w:t>
      </w:r>
      <w:r w:rsidR="00AE6EBF" w:rsidRPr="0029445E">
        <w:rPr>
          <w:rFonts w:cs="Times New Roman"/>
          <w:lang w:val="en-US"/>
        </w:rPr>
        <w:t xml:space="preserve"> that there was either a failure during pre-operative assessment to measure Hb, or, more likely, a failure to capture data adequately</w:t>
      </w:r>
      <w:r w:rsidR="00D557FB" w:rsidRPr="0029445E">
        <w:rPr>
          <w:rFonts w:cs="Times New Roman"/>
          <w:lang w:val="en-US"/>
        </w:rPr>
        <w:t xml:space="preserve">. Other disadvantages of this study include the missing data; 20% of patients were excluded from the analysis due to missing pre-operative Hb. This implies that there was either a failure during pre-operative assessment to measure Hb, or, more likely, a failure to capture data adequately. We attempted to take into account missing data of those included in the analysis by performing multiple imputation. </w:t>
      </w:r>
      <w:r w:rsidR="00D557FB" w:rsidRPr="0029445E">
        <w:rPr>
          <w:rFonts w:cs="Times New Roman"/>
        </w:rPr>
        <w:t>The results from the multiple imputation analysis were consistent with the results from the complete case analysis and did not alter our conclusions, however we cannot rule this out as a source of bias</w:t>
      </w:r>
      <w:r w:rsidR="00981D12" w:rsidRPr="0029445E">
        <w:rPr>
          <w:rFonts w:cs="Times New Roman"/>
          <w:lang w:val="en-US"/>
        </w:rPr>
        <w:t>.</w:t>
      </w:r>
      <w:r w:rsidR="007157E0" w:rsidRPr="0029445E">
        <w:rPr>
          <w:rFonts w:cs="Times New Roman"/>
          <w:lang w:val="en-US"/>
        </w:rPr>
        <w:t xml:space="preserve"> </w:t>
      </w:r>
      <w:r w:rsidR="007F07D9" w:rsidRPr="0029445E">
        <w:rPr>
          <w:rFonts w:cs="Times New Roman"/>
          <w:lang w:val="en-US"/>
        </w:rPr>
        <w:t xml:space="preserve">The other major limitation of this study is, as we have discussed above, its retrospective, observational design. In the field of transfusion medicine, retrospective studies have presented different results to large randomised controlled trials </w:t>
      </w:r>
      <w:r w:rsidR="007F07D9" w:rsidRPr="0029445E">
        <w:rPr>
          <w:lang w:val="en-US"/>
        </w:rPr>
        <w:t>[29]</w:t>
      </w:r>
      <w:r w:rsidR="007F07D9" w:rsidRPr="0029445E">
        <w:rPr>
          <w:rFonts w:cs="Times New Roman"/>
          <w:lang w:val="en-US"/>
        </w:rPr>
        <w:t xml:space="preserve">, and we therefore urge caution when interpreting the results of our study until prospective randomised trials have been carried out in this area. </w:t>
      </w:r>
    </w:p>
    <w:p w14:paraId="0E9BC9CA" w14:textId="2B37AEDA" w:rsidR="00394F82" w:rsidRPr="0029445E" w:rsidRDefault="00394F82" w:rsidP="0076248D">
      <w:pPr>
        <w:widowControl w:val="0"/>
        <w:autoSpaceDE w:val="0"/>
        <w:autoSpaceDN w:val="0"/>
        <w:adjustRightInd w:val="0"/>
        <w:spacing w:after="0" w:line="480" w:lineRule="auto"/>
        <w:rPr>
          <w:rFonts w:cs="Times New Roman"/>
          <w:lang w:val="en-US"/>
        </w:rPr>
      </w:pPr>
      <w:r w:rsidRPr="0029445E">
        <w:rPr>
          <w:rFonts w:cs="Times New Roman"/>
          <w:lang w:val="en-US"/>
        </w:rPr>
        <w:tab/>
        <w:t xml:space="preserve">The implications for </w:t>
      </w:r>
      <w:r w:rsidR="00237479" w:rsidRPr="0029445E">
        <w:rPr>
          <w:rFonts w:cs="Times New Roman"/>
          <w:lang w:val="en-US"/>
        </w:rPr>
        <w:t xml:space="preserve">clinical </w:t>
      </w:r>
      <w:r w:rsidRPr="0029445E">
        <w:rPr>
          <w:rFonts w:cs="Times New Roman"/>
          <w:lang w:val="en-US"/>
        </w:rPr>
        <w:t>practice of our study is that identification of pre-operative anaemia has</w:t>
      </w:r>
      <w:r w:rsidR="00D557FB" w:rsidRPr="0029445E">
        <w:rPr>
          <w:rFonts w:cs="Times New Roman"/>
          <w:lang w:val="en-US"/>
        </w:rPr>
        <w:t xml:space="preserve"> been confirmed to be important, which is consistent with the recent National Health Service Blood and Transfusion national audit </w:t>
      </w:r>
      <w:r w:rsidR="00D557FB" w:rsidRPr="0029445E">
        <w:rPr>
          <w:lang w:val="en-US"/>
        </w:rPr>
        <w:t>[30]</w:t>
      </w:r>
      <w:r w:rsidR="00D557FB" w:rsidRPr="0029445E">
        <w:rPr>
          <w:rFonts w:cs="Times New Roman"/>
          <w:lang w:val="en-US"/>
        </w:rPr>
        <w:t>. T</w:t>
      </w:r>
      <w:r w:rsidRPr="0029445E">
        <w:rPr>
          <w:rFonts w:cs="Times New Roman"/>
          <w:lang w:val="en-US"/>
        </w:rPr>
        <w:t>he strong association</w:t>
      </w:r>
      <w:r w:rsidR="00D557FB" w:rsidRPr="0029445E">
        <w:rPr>
          <w:rFonts w:cs="Times New Roman"/>
          <w:lang w:val="en-US"/>
        </w:rPr>
        <w:t xml:space="preserve"> between pre-operative anaemia in our study and many others</w:t>
      </w:r>
      <w:r w:rsidRPr="0029445E">
        <w:rPr>
          <w:rFonts w:cs="Times New Roman"/>
          <w:lang w:val="en-US"/>
        </w:rPr>
        <w:t xml:space="preserve"> with mortality and morbidity makes properly designed trials in this area a priority. These are necessary to determine if treatment of an</w:t>
      </w:r>
      <w:r w:rsidR="00237479" w:rsidRPr="0029445E">
        <w:rPr>
          <w:rFonts w:cs="Times New Roman"/>
          <w:lang w:val="en-US"/>
        </w:rPr>
        <w:t>aemia leads to patient benefit. Further study to determine the causes of regional variation in anaemia are also required, to allow comparison of the prevalence of different causes of anaemia in patients presenting to different centres. Studies to compare elective patients with urgent/emergency surgical patients may also help elucidate whether variation may be due to different patterns of presentation of disease. A number of UK centres have recently introduced anaemia clinics so that patients can be actively managed before cardiac surgery, and we look forward to the presentation of results following such management.</w:t>
      </w:r>
    </w:p>
    <w:p w14:paraId="39195EFE" w14:textId="77777777" w:rsidR="00237479" w:rsidRPr="0029445E" w:rsidRDefault="00237479" w:rsidP="0076248D">
      <w:pPr>
        <w:widowControl w:val="0"/>
        <w:autoSpaceDE w:val="0"/>
        <w:autoSpaceDN w:val="0"/>
        <w:adjustRightInd w:val="0"/>
        <w:spacing w:after="0" w:line="480" w:lineRule="auto"/>
        <w:rPr>
          <w:rFonts w:cs="Times New Roman"/>
          <w:lang w:val="en-US"/>
        </w:rPr>
      </w:pPr>
    </w:p>
    <w:p w14:paraId="43F07BE3" w14:textId="7CF18B97" w:rsidR="00394F82" w:rsidRPr="0029445E" w:rsidRDefault="00A77379" w:rsidP="0076248D">
      <w:pPr>
        <w:widowControl w:val="0"/>
        <w:autoSpaceDE w:val="0"/>
        <w:autoSpaceDN w:val="0"/>
        <w:adjustRightInd w:val="0"/>
        <w:spacing w:after="0" w:line="480" w:lineRule="auto"/>
        <w:rPr>
          <w:rFonts w:cs="Times New Roman"/>
          <w:b/>
          <w:lang w:val="en-US"/>
        </w:rPr>
      </w:pPr>
      <w:r w:rsidRPr="0029445E">
        <w:rPr>
          <w:rFonts w:cs="Times New Roman"/>
          <w:b/>
          <w:lang w:val="en-US"/>
        </w:rPr>
        <w:t>Acknowledgements</w:t>
      </w:r>
    </w:p>
    <w:p w14:paraId="067596B3" w14:textId="735F62C4" w:rsidR="009718A7" w:rsidRPr="0029445E" w:rsidRDefault="00023861" w:rsidP="009718A7">
      <w:pPr>
        <w:widowControl w:val="0"/>
        <w:autoSpaceDE w:val="0"/>
        <w:autoSpaceDN w:val="0"/>
        <w:adjustRightInd w:val="0"/>
        <w:spacing w:after="0" w:line="480" w:lineRule="auto"/>
        <w:rPr>
          <w:rFonts w:cs="Times New Roman"/>
          <w:lang w:val="en-US"/>
        </w:rPr>
      </w:pPr>
      <w:r w:rsidRPr="0029445E">
        <w:rPr>
          <w:rFonts w:cs="Times New Roman"/>
          <w:lang w:val="en-US"/>
        </w:rPr>
        <w:t>AK is the Editor-in-C</w:t>
      </w:r>
      <w:r w:rsidR="00A77379" w:rsidRPr="0029445E">
        <w:rPr>
          <w:rFonts w:cs="Times New Roman"/>
          <w:lang w:val="en-US"/>
        </w:rPr>
        <w:t xml:space="preserve">hief of </w:t>
      </w:r>
      <w:r w:rsidR="00A77379" w:rsidRPr="0029445E">
        <w:rPr>
          <w:rFonts w:cs="Times New Roman"/>
          <w:i/>
          <w:lang w:val="en-US"/>
        </w:rPr>
        <w:t xml:space="preserve">Anaesthesia </w:t>
      </w:r>
      <w:r w:rsidR="00A77379" w:rsidRPr="0029445E">
        <w:rPr>
          <w:rFonts w:cs="Times New Roman"/>
          <w:lang w:val="en-US"/>
        </w:rPr>
        <w:t>and this article has undergone additional external review as a result. AK</w:t>
      </w:r>
      <w:r w:rsidRPr="0029445E">
        <w:rPr>
          <w:rFonts w:cs="Times New Roman"/>
          <w:lang w:val="en-US"/>
        </w:rPr>
        <w:t>,CE</w:t>
      </w:r>
      <w:r w:rsidR="00A77379" w:rsidRPr="0029445E">
        <w:rPr>
          <w:rFonts w:cs="Times New Roman"/>
          <w:lang w:val="en-US"/>
        </w:rPr>
        <w:t xml:space="preserve"> and TR h</w:t>
      </w:r>
      <w:r w:rsidR="009718A7" w:rsidRPr="0029445E">
        <w:rPr>
          <w:rFonts w:cs="Times New Roman"/>
          <w:lang w:val="en-US"/>
        </w:rPr>
        <w:t xml:space="preserve">ave received funding for research from Pharmacosmos and </w:t>
      </w:r>
      <w:r w:rsidR="009718A7" w:rsidRPr="0029445E">
        <w:rPr>
          <w:rFonts w:cs="Verdana"/>
          <w:lang w:val="en-US"/>
        </w:rPr>
        <w:t>TR has also received funding for research from</w:t>
      </w:r>
      <w:r w:rsidR="009718A7" w:rsidRPr="0029445E">
        <w:rPr>
          <w:rFonts w:cs="Times New Roman"/>
          <w:lang w:val="en-US"/>
        </w:rPr>
        <w:t xml:space="preserve"> Vifor Pharma Ltd</w:t>
      </w:r>
      <w:r w:rsidRPr="0029445E">
        <w:rPr>
          <w:rFonts w:cs="Times New Roman"/>
          <w:lang w:val="en-US"/>
        </w:rPr>
        <w:t>. This study did not require external funding</w:t>
      </w:r>
      <w:r w:rsidR="009718A7" w:rsidRPr="0029445E">
        <w:rPr>
          <w:rFonts w:cs="Times New Roman"/>
          <w:lang w:val="en-US"/>
        </w:rPr>
        <w:t>,</w:t>
      </w:r>
      <w:r w:rsidRPr="0029445E">
        <w:rPr>
          <w:rFonts w:cs="Times New Roman"/>
          <w:lang w:val="en-US"/>
        </w:rPr>
        <w:t xml:space="preserve"> and the other authors have no conflicts of interest to declare.</w:t>
      </w:r>
      <w:r w:rsidR="009718A7" w:rsidRPr="0029445E">
        <w:rPr>
          <w:rFonts w:ascii="Verdana" w:hAnsi="Verdana" w:cs="Verdana"/>
          <w:sz w:val="24"/>
          <w:szCs w:val="24"/>
          <w:lang w:val="en-US"/>
        </w:rPr>
        <w:t xml:space="preserve"> </w:t>
      </w:r>
    </w:p>
    <w:p w14:paraId="1E8E82F3" w14:textId="6822F8D0" w:rsidR="009C454F" w:rsidRPr="0029445E" w:rsidRDefault="009718A7" w:rsidP="009718A7">
      <w:pPr>
        <w:widowControl w:val="0"/>
        <w:autoSpaceDE w:val="0"/>
        <w:autoSpaceDN w:val="0"/>
        <w:adjustRightInd w:val="0"/>
        <w:spacing w:after="0" w:line="480" w:lineRule="auto"/>
        <w:rPr>
          <w:rFonts w:cs="Times New Roman"/>
          <w:lang w:val="en-US"/>
        </w:rPr>
      </w:pPr>
      <w:r w:rsidRPr="0029445E">
        <w:rPr>
          <w:rFonts w:cs="Times New Roman"/>
          <w:lang w:val="en-US"/>
        </w:rPr>
        <w:t> </w:t>
      </w:r>
    </w:p>
    <w:p w14:paraId="5A074C9F" w14:textId="5152B23B" w:rsidR="006C515E" w:rsidRPr="0029445E" w:rsidRDefault="00996354" w:rsidP="009C454F">
      <w:pPr>
        <w:spacing w:line="480" w:lineRule="auto"/>
        <w:rPr>
          <w:b/>
        </w:rPr>
      </w:pPr>
      <w:r w:rsidRPr="0029445E">
        <w:rPr>
          <w:b/>
        </w:rPr>
        <w:t>References</w:t>
      </w:r>
    </w:p>
    <w:p w14:paraId="3D151295" w14:textId="590B9F9E" w:rsidR="006B331D" w:rsidRPr="0029445E" w:rsidRDefault="009C454F" w:rsidP="006B331D">
      <w:pPr>
        <w:pStyle w:val="EndNoteBibliography"/>
        <w:spacing w:line="480" w:lineRule="auto"/>
        <w:rPr>
          <w:rFonts w:asciiTheme="minorHAnsi" w:hAnsiTheme="minorHAnsi"/>
          <w:noProof/>
          <w:sz w:val="22"/>
          <w:szCs w:val="22"/>
          <w:lang w:val="en-GB"/>
        </w:rPr>
      </w:pPr>
      <w:r w:rsidRPr="0029445E">
        <w:rPr>
          <w:rFonts w:asciiTheme="minorHAnsi" w:hAnsiTheme="minorHAnsi"/>
          <w:sz w:val="22"/>
          <w:szCs w:val="22"/>
        </w:rPr>
        <w:fldChar w:fldCharType="begin"/>
      </w:r>
      <w:r w:rsidRPr="0029445E">
        <w:rPr>
          <w:rFonts w:asciiTheme="minorHAnsi" w:hAnsiTheme="minorHAnsi"/>
          <w:sz w:val="22"/>
          <w:szCs w:val="22"/>
        </w:rPr>
        <w:instrText xml:space="preserve"> ADDIN EN.REFLIST </w:instrText>
      </w:r>
      <w:r w:rsidRPr="0029445E">
        <w:rPr>
          <w:rFonts w:asciiTheme="minorHAnsi" w:hAnsiTheme="minorHAnsi"/>
          <w:sz w:val="22"/>
          <w:szCs w:val="22"/>
        </w:rPr>
        <w:fldChar w:fldCharType="separate"/>
      </w:r>
      <w:r w:rsidRPr="0029445E">
        <w:rPr>
          <w:rFonts w:asciiTheme="minorHAnsi" w:hAnsiTheme="minorHAnsi"/>
          <w:noProof/>
          <w:sz w:val="22"/>
          <w:szCs w:val="22"/>
        </w:rPr>
        <w:t>1.</w:t>
      </w:r>
      <w:r w:rsidRPr="0029445E">
        <w:rPr>
          <w:rFonts w:asciiTheme="minorHAnsi" w:hAnsiTheme="minorHAnsi"/>
          <w:noProof/>
          <w:sz w:val="22"/>
          <w:szCs w:val="22"/>
        </w:rPr>
        <w:tab/>
      </w:r>
      <w:r w:rsidR="006B331D" w:rsidRPr="0029445E">
        <w:rPr>
          <w:rFonts w:asciiTheme="minorHAnsi" w:hAnsiTheme="minorHAnsi"/>
          <w:noProof/>
          <w:sz w:val="22"/>
          <w:szCs w:val="22"/>
        </w:rPr>
        <w:t xml:space="preserve">Nutritional anaemia. Report of a WHO Scientific Group. World Health Organization Technical Report Series No.405. Geneva: World Health Organization, </w:t>
      </w:r>
      <w:r w:rsidR="006B331D" w:rsidRPr="0029445E">
        <w:rPr>
          <w:rFonts w:asciiTheme="minorHAnsi" w:hAnsiTheme="minorHAnsi"/>
          <w:noProof/>
          <w:sz w:val="22"/>
          <w:szCs w:val="22"/>
          <w:lang w:val="en-GB"/>
        </w:rPr>
        <w:t>1968.</w:t>
      </w:r>
    </w:p>
    <w:p w14:paraId="670AE210" w14:textId="340D71B2" w:rsidR="006B331D" w:rsidRPr="0029445E" w:rsidRDefault="006B331D" w:rsidP="006B331D">
      <w:pPr>
        <w:pStyle w:val="EndNoteBibliography"/>
        <w:spacing w:line="480" w:lineRule="auto"/>
        <w:rPr>
          <w:rFonts w:asciiTheme="minorHAnsi" w:hAnsiTheme="minorHAnsi"/>
          <w:noProof/>
          <w:sz w:val="22"/>
          <w:szCs w:val="22"/>
          <w:lang w:val="en-GB"/>
        </w:rPr>
      </w:pPr>
      <w:r w:rsidRPr="0029445E">
        <w:rPr>
          <w:rFonts w:asciiTheme="minorHAnsi" w:hAnsiTheme="minorHAnsi"/>
          <w:noProof/>
          <w:sz w:val="22"/>
          <w:szCs w:val="22"/>
          <w:lang w:val="en-GB"/>
        </w:rPr>
        <w:t xml:space="preserve">2. </w:t>
      </w:r>
      <w:r w:rsidRPr="0029445E">
        <w:rPr>
          <w:rFonts w:asciiTheme="minorHAnsi" w:hAnsiTheme="minorHAnsi"/>
          <w:noProof/>
          <w:sz w:val="22"/>
          <w:szCs w:val="22"/>
          <w:lang w:val="en-GB"/>
        </w:rPr>
        <w:tab/>
        <w:t xml:space="preserve">Musallam KM, Tamim HM, Richards T, et al. Preoperative anaemia and postoperative outcomes in non-cardiac surgery: a retrospective cohort study. </w:t>
      </w:r>
      <w:r w:rsidRPr="0029445E">
        <w:rPr>
          <w:rFonts w:asciiTheme="minorHAnsi" w:hAnsiTheme="minorHAnsi"/>
          <w:i/>
          <w:noProof/>
          <w:sz w:val="22"/>
          <w:szCs w:val="22"/>
          <w:lang w:val="en-GB"/>
        </w:rPr>
        <w:t>Lancet</w:t>
      </w:r>
      <w:r w:rsidRPr="0029445E">
        <w:rPr>
          <w:rFonts w:asciiTheme="minorHAnsi" w:hAnsiTheme="minorHAnsi"/>
          <w:noProof/>
          <w:sz w:val="22"/>
          <w:szCs w:val="22"/>
          <w:lang w:val="en-GB"/>
        </w:rPr>
        <w:t xml:space="preserve"> 2011; </w:t>
      </w:r>
      <w:r w:rsidRPr="0029445E">
        <w:rPr>
          <w:rFonts w:asciiTheme="minorHAnsi" w:hAnsiTheme="minorHAnsi"/>
          <w:b/>
          <w:noProof/>
          <w:sz w:val="22"/>
          <w:szCs w:val="22"/>
          <w:lang w:val="en-GB"/>
        </w:rPr>
        <w:t>378</w:t>
      </w:r>
      <w:r w:rsidRPr="0029445E">
        <w:rPr>
          <w:rFonts w:asciiTheme="minorHAnsi" w:hAnsiTheme="minorHAnsi"/>
          <w:noProof/>
          <w:sz w:val="22"/>
          <w:szCs w:val="22"/>
          <w:lang w:val="en-GB"/>
        </w:rPr>
        <w:t>: 1396-407.</w:t>
      </w:r>
    </w:p>
    <w:p w14:paraId="02CF98C1" w14:textId="03BAD3E5" w:rsidR="006B331D" w:rsidRPr="0029445E" w:rsidRDefault="006B331D" w:rsidP="006B331D">
      <w:pPr>
        <w:pStyle w:val="EndNoteBibliography"/>
        <w:spacing w:line="480" w:lineRule="auto"/>
        <w:rPr>
          <w:rFonts w:asciiTheme="minorHAnsi" w:hAnsiTheme="minorHAnsi"/>
          <w:noProof/>
          <w:sz w:val="22"/>
          <w:szCs w:val="22"/>
        </w:rPr>
      </w:pPr>
      <w:r w:rsidRPr="0029445E">
        <w:rPr>
          <w:rFonts w:asciiTheme="minorHAnsi" w:hAnsiTheme="minorHAnsi"/>
          <w:noProof/>
          <w:sz w:val="22"/>
          <w:szCs w:val="22"/>
          <w:lang w:val="en-GB"/>
        </w:rPr>
        <w:t xml:space="preserve">3. </w:t>
      </w:r>
      <w:r w:rsidRPr="0029445E">
        <w:rPr>
          <w:rFonts w:asciiTheme="minorHAnsi" w:hAnsiTheme="minorHAnsi"/>
          <w:noProof/>
          <w:sz w:val="22"/>
          <w:szCs w:val="22"/>
          <w:lang w:val="en-GB"/>
        </w:rPr>
        <w:tab/>
      </w:r>
      <w:r w:rsidR="00A80C31" w:rsidRPr="0029445E">
        <w:rPr>
          <w:rFonts w:asciiTheme="minorHAnsi" w:hAnsiTheme="minorHAnsi" w:cs="Times"/>
          <w:sz w:val="22"/>
          <w:szCs w:val="22"/>
        </w:rPr>
        <w:t xml:space="preserve">Wu WC, Schifftner TL, Henderson WG, et al. Preoperative hematocrit levels and postoperative outcomes in older patients undergoing noncardiac surgery. </w:t>
      </w:r>
      <w:r w:rsidR="00A80C31" w:rsidRPr="0029445E">
        <w:rPr>
          <w:rFonts w:asciiTheme="minorHAnsi" w:hAnsiTheme="minorHAnsi" w:cs="Times"/>
          <w:i/>
          <w:sz w:val="22"/>
          <w:szCs w:val="22"/>
        </w:rPr>
        <w:t xml:space="preserve">Journal of the American Medical Association </w:t>
      </w:r>
      <w:r w:rsidR="00A80C31" w:rsidRPr="0029445E">
        <w:rPr>
          <w:rFonts w:asciiTheme="minorHAnsi" w:hAnsiTheme="minorHAnsi" w:cs="Times"/>
          <w:sz w:val="22"/>
          <w:szCs w:val="22"/>
        </w:rPr>
        <w:t xml:space="preserve">2007; </w:t>
      </w:r>
      <w:r w:rsidR="00A80C31" w:rsidRPr="0029445E">
        <w:rPr>
          <w:rFonts w:asciiTheme="minorHAnsi" w:hAnsiTheme="minorHAnsi" w:cs="Times"/>
          <w:b/>
          <w:sz w:val="22"/>
          <w:szCs w:val="22"/>
        </w:rPr>
        <w:t>297</w:t>
      </w:r>
      <w:r w:rsidR="00A80C31" w:rsidRPr="0029445E">
        <w:rPr>
          <w:rFonts w:asciiTheme="minorHAnsi" w:hAnsiTheme="minorHAnsi" w:cs="Times"/>
          <w:sz w:val="22"/>
          <w:szCs w:val="22"/>
        </w:rPr>
        <w:t>: 2481-8.</w:t>
      </w:r>
    </w:p>
    <w:p w14:paraId="0DEB10EC" w14:textId="09B86E25" w:rsidR="009C454F" w:rsidRPr="0029445E" w:rsidRDefault="00A80C31" w:rsidP="006B331D">
      <w:pPr>
        <w:pStyle w:val="EndNoteBibliography"/>
        <w:spacing w:line="480" w:lineRule="auto"/>
        <w:rPr>
          <w:rFonts w:asciiTheme="minorHAnsi" w:hAnsiTheme="minorHAnsi"/>
          <w:noProof/>
          <w:sz w:val="22"/>
          <w:szCs w:val="22"/>
        </w:rPr>
      </w:pPr>
      <w:r w:rsidRPr="0029445E">
        <w:rPr>
          <w:rFonts w:asciiTheme="minorHAnsi" w:hAnsiTheme="minorHAnsi"/>
          <w:noProof/>
          <w:sz w:val="22"/>
          <w:szCs w:val="22"/>
          <w:lang w:val="en-GB"/>
        </w:rPr>
        <w:t>4</w:t>
      </w:r>
      <w:r w:rsidR="006B331D" w:rsidRPr="0029445E">
        <w:rPr>
          <w:rFonts w:asciiTheme="minorHAnsi" w:hAnsiTheme="minorHAnsi"/>
          <w:noProof/>
          <w:sz w:val="22"/>
          <w:szCs w:val="22"/>
          <w:lang w:val="en-GB"/>
        </w:rPr>
        <w:t xml:space="preserve">. </w:t>
      </w:r>
      <w:r w:rsidR="006B331D" w:rsidRPr="0029445E">
        <w:rPr>
          <w:rFonts w:asciiTheme="minorHAnsi" w:hAnsiTheme="minorHAnsi"/>
          <w:noProof/>
          <w:sz w:val="22"/>
          <w:szCs w:val="22"/>
          <w:lang w:val="en-GB"/>
        </w:rPr>
        <w:tab/>
      </w:r>
      <w:r w:rsidR="009C454F" w:rsidRPr="0029445E">
        <w:rPr>
          <w:rFonts w:asciiTheme="minorHAnsi" w:hAnsiTheme="minorHAnsi"/>
          <w:noProof/>
          <w:sz w:val="22"/>
          <w:szCs w:val="22"/>
        </w:rPr>
        <w:t>Zindrou D, Taylor KM, Bagger JP. Preoperative haemoglobin concentration and mortality rate after coronar</w:t>
      </w:r>
      <w:r w:rsidRPr="0029445E">
        <w:rPr>
          <w:rFonts w:asciiTheme="minorHAnsi" w:hAnsiTheme="minorHAnsi"/>
          <w:noProof/>
          <w:sz w:val="22"/>
          <w:szCs w:val="22"/>
        </w:rPr>
        <w:t xml:space="preserve">y artery bypass surgery. </w:t>
      </w:r>
      <w:r w:rsidRPr="0029445E">
        <w:rPr>
          <w:rFonts w:asciiTheme="minorHAnsi" w:hAnsiTheme="minorHAnsi"/>
          <w:i/>
          <w:noProof/>
          <w:sz w:val="22"/>
          <w:szCs w:val="22"/>
        </w:rPr>
        <w:t>Lancet</w:t>
      </w:r>
      <w:r w:rsidR="009C454F" w:rsidRPr="0029445E">
        <w:rPr>
          <w:rFonts w:asciiTheme="minorHAnsi" w:hAnsiTheme="minorHAnsi"/>
          <w:i/>
          <w:noProof/>
          <w:sz w:val="22"/>
          <w:szCs w:val="22"/>
        </w:rPr>
        <w:t xml:space="preserve"> </w:t>
      </w:r>
      <w:r w:rsidR="009C454F" w:rsidRPr="0029445E">
        <w:rPr>
          <w:rFonts w:asciiTheme="minorHAnsi" w:hAnsiTheme="minorHAnsi"/>
          <w:noProof/>
          <w:sz w:val="22"/>
          <w:szCs w:val="22"/>
        </w:rPr>
        <w:t>2002;</w:t>
      </w:r>
      <w:r w:rsidRPr="0029445E">
        <w:rPr>
          <w:rFonts w:asciiTheme="minorHAnsi" w:hAnsiTheme="minorHAnsi"/>
          <w:noProof/>
          <w:sz w:val="22"/>
          <w:szCs w:val="22"/>
        </w:rPr>
        <w:t xml:space="preserve"> </w:t>
      </w:r>
      <w:r w:rsidRPr="0029445E">
        <w:rPr>
          <w:rFonts w:asciiTheme="minorHAnsi" w:hAnsiTheme="minorHAnsi"/>
          <w:b/>
          <w:noProof/>
          <w:sz w:val="22"/>
          <w:szCs w:val="22"/>
        </w:rPr>
        <w:t>359</w:t>
      </w:r>
      <w:r w:rsidR="009C454F" w:rsidRPr="0029445E">
        <w:rPr>
          <w:rFonts w:asciiTheme="minorHAnsi" w:hAnsiTheme="minorHAnsi"/>
          <w:noProof/>
          <w:sz w:val="22"/>
          <w:szCs w:val="22"/>
        </w:rPr>
        <w:t>:</w:t>
      </w:r>
      <w:r w:rsidRPr="0029445E">
        <w:rPr>
          <w:rFonts w:asciiTheme="minorHAnsi" w:hAnsiTheme="minorHAnsi"/>
          <w:noProof/>
          <w:sz w:val="22"/>
          <w:szCs w:val="22"/>
        </w:rPr>
        <w:t xml:space="preserve"> </w:t>
      </w:r>
      <w:r w:rsidR="009C454F" w:rsidRPr="0029445E">
        <w:rPr>
          <w:rFonts w:asciiTheme="minorHAnsi" w:hAnsiTheme="minorHAnsi"/>
          <w:noProof/>
          <w:sz w:val="22"/>
          <w:szCs w:val="22"/>
        </w:rPr>
        <w:t>1747-8.</w:t>
      </w:r>
    </w:p>
    <w:p w14:paraId="0DF4F4D8" w14:textId="08DE6ACE" w:rsidR="009C454F" w:rsidRPr="0029445E" w:rsidRDefault="00A80C31" w:rsidP="009C454F">
      <w:pPr>
        <w:pStyle w:val="EndNoteBibliography"/>
        <w:spacing w:line="480" w:lineRule="auto"/>
        <w:rPr>
          <w:rFonts w:asciiTheme="minorHAnsi" w:hAnsiTheme="minorHAnsi"/>
          <w:noProof/>
          <w:sz w:val="22"/>
          <w:szCs w:val="22"/>
        </w:rPr>
      </w:pPr>
      <w:r w:rsidRPr="0029445E">
        <w:rPr>
          <w:rFonts w:asciiTheme="minorHAnsi" w:hAnsiTheme="minorHAnsi"/>
          <w:noProof/>
          <w:sz w:val="22"/>
          <w:szCs w:val="22"/>
        </w:rPr>
        <w:t>5.</w:t>
      </w:r>
      <w:r w:rsidRPr="0029445E">
        <w:rPr>
          <w:rFonts w:asciiTheme="minorHAnsi" w:hAnsiTheme="minorHAnsi"/>
          <w:noProof/>
          <w:sz w:val="22"/>
          <w:szCs w:val="22"/>
        </w:rPr>
        <w:tab/>
        <w:t>Kulier A, Levin J, Moser R</w:t>
      </w:r>
      <w:r w:rsidR="009C454F" w:rsidRPr="0029445E">
        <w:rPr>
          <w:rFonts w:asciiTheme="minorHAnsi" w:hAnsiTheme="minorHAnsi"/>
          <w:noProof/>
          <w:sz w:val="22"/>
          <w:szCs w:val="22"/>
        </w:rPr>
        <w:t>, et al. Impact of preoperative anemia on outcome in patients undergoing coronary artery byp</w:t>
      </w:r>
      <w:r w:rsidRPr="0029445E">
        <w:rPr>
          <w:rFonts w:asciiTheme="minorHAnsi" w:hAnsiTheme="minorHAnsi"/>
          <w:noProof/>
          <w:sz w:val="22"/>
          <w:szCs w:val="22"/>
        </w:rPr>
        <w:t xml:space="preserve">ass graft surgery. </w:t>
      </w:r>
      <w:r w:rsidRPr="0029445E">
        <w:rPr>
          <w:rFonts w:asciiTheme="minorHAnsi" w:hAnsiTheme="minorHAnsi"/>
          <w:i/>
          <w:noProof/>
          <w:sz w:val="22"/>
          <w:szCs w:val="22"/>
        </w:rPr>
        <w:t xml:space="preserve">Circulation </w:t>
      </w:r>
      <w:r w:rsidR="009C454F" w:rsidRPr="0029445E">
        <w:rPr>
          <w:rFonts w:asciiTheme="minorHAnsi" w:hAnsiTheme="minorHAnsi"/>
          <w:noProof/>
          <w:sz w:val="22"/>
          <w:szCs w:val="22"/>
        </w:rPr>
        <w:t>2007;</w:t>
      </w:r>
      <w:r w:rsidRPr="0029445E">
        <w:rPr>
          <w:rFonts w:asciiTheme="minorHAnsi" w:hAnsiTheme="minorHAnsi"/>
          <w:noProof/>
          <w:sz w:val="22"/>
          <w:szCs w:val="22"/>
        </w:rPr>
        <w:t xml:space="preserve"> </w:t>
      </w:r>
      <w:r w:rsidRPr="0029445E">
        <w:rPr>
          <w:rFonts w:asciiTheme="minorHAnsi" w:hAnsiTheme="minorHAnsi"/>
          <w:b/>
          <w:noProof/>
          <w:sz w:val="22"/>
          <w:szCs w:val="22"/>
        </w:rPr>
        <w:t>116</w:t>
      </w:r>
      <w:r w:rsidR="009C454F" w:rsidRPr="0029445E">
        <w:rPr>
          <w:rFonts w:asciiTheme="minorHAnsi" w:hAnsiTheme="minorHAnsi"/>
          <w:noProof/>
          <w:sz w:val="22"/>
          <w:szCs w:val="22"/>
        </w:rPr>
        <w:t>:</w:t>
      </w:r>
      <w:r w:rsidRPr="0029445E">
        <w:rPr>
          <w:rFonts w:asciiTheme="minorHAnsi" w:hAnsiTheme="minorHAnsi"/>
          <w:noProof/>
          <w:sz w:val="22"/>
          <w:szCs w:val="22"/>
        </w:rPr>
        <w:t xml:space="preserve"> </w:t>
      </w:r>
      <w:r w:rsidR="009C454F" w:rsidRPr="0029445E">
        <w:rPr>
          <w:rFonts w:asciiTheme="minorHAnsi" w:hAnsiTheme="minorHAnsi"/>
          <w:noProof/>
          <w:sz w:val="22"/>
          <w:szCs w:val="22"/>
        </w:rPr>
        <w:t>471-9.</w:t>
      </w:r>
    </w:p>
    <w:p w14:paraId="0961C469" w14:textId="098E299C" w:rsidR="009C454F" w:rsidRPr="0029445E" w:rsidRDefault="00A80C31" w:rsidP="009C454F">
      <w:pPr>
        <w:pStyle w:val="EndNoteBibliography"/>
        <w:spacing w:line="480" w:lineRule="auto"/>
        <w:rPr>
          <w:rFonts w:asciiTheme="minorHAnsi" w:hAnsiTheme="minorHAnsi"/>
          <w:noProof/>
          <w:sz w:val="22"/>
          <w:szCs w:val="22"/>
        </w:rPr>
      </w:pPr>
      <w:r w:rsidRPr="0029445E">
        <w:rPr>
          <w:rFonts w:asciiTheme="minorHAnsi" w:hAnsiTheme="minorHAnsi"/>
          <w:noProof/>
          <w:sz w:val="22"/>
          <w:szCs w:val="22"/>
        </w:rPr>
        <w:t>6</w:t>
      </w:r>
      <w:r w:rsidR="009C454F" w:rsidRPr="0029445E">
        <w:rPr>
          <w:rFonts w:asciiTheme="minorHAnsi" w:hAnsiTheme="minorHAnsi"/>
          <w:noProof/>
          <w:sz w:val="22"/>
          <w:szCs w:val="22"/>
        </w:rPr>
        <w:t>.</w:t>
      </w:r>
      <w:r w:rsidR="009C454F" w:rsidRPr="0029445E">
        <w:rPr>
          <w:rFonts w:asciiTheme="minorHAnsi" w:hAnsiTheme="minorHAnsi"/>
          <w:noProof/>
          <w:sz w:val="22"/>
          <w:szCs w:val="22"/>
        </w:rPr>
        <w:tab/>
        <w:t xml:space="preserve">van Straten AH, Hamad MA, van Zundert AJ, Martens EJ, Schonberger JP, de Wolf AM. Preoperative hemoglobin level as a predictor of survival after coronary artery bypass grafting: a comparison with the matched </w:t>
      </w:r>
      <w:r w:rsidRPr="0029445E">
        <w:rPr>
          <w:rFonts w:asciiTheme="minorHAnsi" w:hAnsiTheme="minorHAnsi"/>
          <w:noProof/>
          <w:sz w:val="22"/>
          <w:szCs w:val="22"/>
        </w:rPr>
        <w:t xml:space="preserve">general population. </w:t>
      </w:r>
      <w:r w:rsidRPr="0029445E">
        <w:rPr>
          <w:rFonts w:asciiTheme="minorHAnsi" w:hAnsiTheme="minorHAnsi"/>
          <w:i/>
          <w:noProof/>
          <w:sz w:val="22"/>
          <w:szCs w:val="22"/>
        </w:rPr>
        <w:t>Circulation</w:t>
      </w:r>
      <w:r w:rsidR="009C454F" w:rsidRPr="0029445E">
        <w:rPr>
          <w:rFonts w:asciiTheme="minorHAnsi" w:hAnsiTheme="minorHAnsi"/>
          <w:noProof/>
          <w:sz w:val="22"/>
          <w:szCs w:val="22"/>
        </w:rPr>
        <w:t xml:space="preserve"> 2009;</w:t>
      </w:r>
      <w:r w:rsidRPr="0029445E">
        <w:rPr>
          <w:rFonts w:asciiTheme="minorHAnsi" w:hAnsiTheme="minorHAnsi"/>
          <w:noProof/>
          <w:sz w:val="22"/>
          <w:szCs w:val="22"/>
        </w:rPr>
        <w:t xml:space="preserve"> </w:t>
      </w:r>
      <w:r w:rsidRPr="0029445E">
        <w:rPr>
          <w:rFonts w:asciiTheme="minorHAnsi" w:hAnsiTheme="minorHAnsi"/>
          <w:b/>
          <w:noProof/>
          <w:sz w:val="22"/>
          <w:szCs w:val="22"/>
        </w:rPr>
        <w:t>120</w:t>
      </w:r>
      <w:r w:rsidR="009C454F" w:rsidRPr="0029445E">
        <w:rPr>
          <w:rFonts w:asciiTheme="minorHAnsi" w:hAnsiTheme="minorHAnsi"/>
          <w:noProof/>
          <w:sz w:val="22"/>
          <w:szCs w:val="22"/>
        </w:rPr>
        <w:t>:</w:t>
      </w:r>
      <w:r w:rsidRPr="0029445E">
        <w:rPr>
          <w:rFonts w:asciiTheme="minorHAnsi" w:hAnsiTheme="minorHAnsi"/>
          <w:noProof/>
          <w:sz w:val="22"/>
          <w:szCs w:val="22"/>
        </w:rPr>
        <w:t xml:space="preserve"> </w:t>
      </w:r>
      <w:r w:rsidR="009C454F" w:rsidRPr="0029445E">
        <w:rPr>
          <w:rFonts w:asciiTheme="minorHAnsi" w:hAnsiTheme="minorHAnsi"/>
          <w:noProof/>
          <w:sz w:val="22"/>
          <w:szCs w:val="22"/>
        </w:rPr>
        <w:t>118-25.</w:t>
      </w:r>
    </w:p>
    <w:p w14:paraId="06B89DA1" w14:textId="00C78DC6" w:rsidR="009C454F" w:rsidRPr="0029445E" w:rsidRDefault="00A80C31" w:rsidP="009C454F">
      <w:pPr>
        <w:pStyle w:val="EndNoteBibliography"/>
        <w:spacing w:line="480" w:lineRule="auto"/>
        <w:rPr>
          <w:rFonts w:asciiTheme="minorHAnsi" w:hAnsiTheme="minorHAnsi"/>
          <w:noProof/>
          <w:sz w:val="22"/>
          <w:szCs w:val="22"/>
        </w:rPr>
      </w:pPr>
      <w:r w:rsidRPr="0029445E">
        <w:rPr>
          <w:rFonts w:asciiTheme="minorHAnsi" w:hAnsiTheme="minorHAnsi"/>
          <w:noProof/>
          <w:sz w:val="22"/>
          <w:szCs w:val="22"/>
        </w:rPr>
        <w:t>7</w:t>
      </w:r>
      <w:r w:rsidR="009C454F" w:rsidRPr="0029445E">
        <w:rPr>
          <w:rFonts w:asciiTheme="minorHAnsi" w:hAnsiTheme="minorHAnsi"/>
          <w:noProof/>
          <w:sz w:val="22"/>
          <w:szCs w:val="22"/>
        </w:rPr>
        <w:t>.</w:t>
      </w:r>
      <w:r w:rsidR="009C454F" w:rsidRPr="0029445E">
        <w:rPr>
          <w:rFonts w:asciiTheme="minorHAnsi" w:hAnsiTheme="minorHAnsi"/>
          <w:noProof/>
          <w:sz w:val="22"/>
          <w:szCs w:val="22"/>
        </w:rPr>
        <w:tab/>
        <w:t>Williams ML, He X, Rankin JS, Slaughter MS, Gammie JS. Preoperative hematocrit is a powerful predictor of adverse outcomes in coronary artery bypass graft surgery: a report from the Society of Thoracic Surgeons Adul</w:t>
      </w:r>
      <w:r w:rsidRPr="0029445E">
        <w:rPr>
          <w:rFonts w:asciiTheme="minorHAnsi" w:hAnsiTheme="minorHAnsi"/>
          <w:noProof/>
          <w:sz w:val="22"/>
          <w:szCs w:val="22"/>
        </w:rPr>
        <w:t xml:space="preserve">t Cardiac Surgery Database. </w:t>
      </w:r>
      <w:r w:rsidRPr="0029445E">
        <w:rPr>
          <w:rFonts w:asciiTheme="minorHAnsi" w:hAnsiTheme="minorHAnsi"/>
          <w:i/>
          <w:noProof/>
          <w:sz w:val="22"/>
          <w:szCs w:val="22"/>
        </w:rPr>
        <w:t>Annals of Thoracic Surgery</w:t>
      </w:r>
      <w:r w:rsidR="009C454F" w:rsidRPr="0029445E">
        <w:rPr>
          <w:rFonts w:asciiTheme="minorHAnsi" w:hAnsiTheme="minorHAnsi"/>
          <w:noProof/>
          <w:sz w:val="22"/>
          <w:szCs w:val="22"/>
        </w:rPr>
        <w:t xml:space="preserve"> 2013;</w:t>
      </w:r>
      <w:r w:rsidRPr="0029445E">
        <w:rPr>
          <w:rFonts w:asciiTheme="minorHAnsi" w:hAnsiTheme="minorHAnsi"/>
          <w:noProof/>
          <w:sz w:val="22"/>
          <w:szCs w:val="22"/>
        </w:rPr>
        <w:t xml:space="preserve"> </w:t>
      </w:r>
      <w:r w:rsidRPr="0029445E">
        <w:rPr>
          <w:rFonts w:asciiTheme="minorHAnsi" w:hAnsiTheme="minorHAnsi"/>
          <w:b/>
          <w:noProof/>
          <w:sz w:val="22"/>
          <w:szCs w:val="22"/>
        </w:rPr>
        <w:t>96</w:t>
      </w:r>
      <w:r w:rsidR="009C454F" w:rsidRPr="0029445E">
        <w:rPr>
          <w:rFonts w:asciiTheme="minorHAnsi" w:hAnsiTheme="minorHAnsi"/>
          <w:noProof/>
          <w:sz w:val="22"/>
          <w:szCs w:val="22"/>
        </w:rPr>
        <w:t>:</w:t>
      </w:r>
      <w:r w:rsidRPr="0029445E">
        <w:rPr>
          <w:rFonts w:asciiTheme="minorHAnsi" w:hAnsiTheme="minorHAnsi"/>
          <w:noProof/>
          <w:sz w:val="22"/>
          <w:szCs w:val="22"/>
        </w:rPr>
        <w:t xml:space="preserve"> 1628-34</w:t>
      </w:r>
      <w:r w:rsidR="009C454F" w:rsidRPr="0029445E">
        <w:rPr>
          <w:rFonts w:asciiTheme="minorHAnsi" w:hAnsiTheme="minorHAnsi"/>
          <w:noProof/>
          <w:sz w:val="22"/>
          <w:szCs w:val="22"/>
        </w:rPr>
        <w:t>.</w:t>
      </w:r>
    </w:p>
    <w:p w14:paraId="00B96815" w14:textId="1729F09B" w:rsidR="00A80C31" w:rsidRPr="0029445E" w:rsidRDefault="00A80C31" w:rsidP="009C454F">
      <w:pPr>
        <w:pStyle w:val="EndNoteBibliography"/>
        <w:spacing w:line="480" w:lineRule="auto"/>
        <w:rPr>
          <w:rFonts w:asciiTheme="minorHAnsi" w:hAnsiTheme="minorHAnsi"/>
          <w:noProof/>
          <w:sz w:val="22"/>
          <w:szCs w:val="22"/>
        </w:rPr>
      </w:pPr>
      <w:r w:rsidRPr="0029445E">
        <w:rPr>
          <w:rFonts w:asciiTheme="minorHAnsi" w:hAnsiTheme="minorHAnsi"/>
          <w:noProof/>
          <w:sz w:val="22"/>
          <w:szCs w:val="22"/>
        </w:rPr>
        <w:t>8</w:t>
      </w:r>
      <w:r w:rsidR="009C454F" w:rsidRPr="0029445E">
        <w:rPr>
          <w:rFonts w:asciiTheme="minorHAnsi" w:hAnsiTheme="minorHAnsi"/>
          <w:noProof/>
          <w:sz w:val="22"/>
          <w:szCs w:val="22"/>
        </w:rPr>
        <w:t>.</w:t>
      </w:r>
      <w:r w:rsidR="009C454F" w:rsidRPr="0029445E">
        <w:rPr>
          <w:rFonts w:asciiTheme="minorHAnsi" w:hAnsiTheme="minorHAnsi"/>
          <w:noProof/>
          <w:sz w:val="22"/>
          <w:szCs w:val="22"/>
        </w:rPr>
        <w:tab/>
        <w:t>Karkouti K, Wijeysundera DN, Beattie WS, Reducing Bleeding in Cardiac Surgery I. Risk associated with preoperative anemia in cardiac surgery: a multic</w:t>
      </w:r>
      <w:r w:rsidRPr="0029445E">
        <w:rPr>
          <w:rFonts w:asciiTheme="minorHAnsi" w:hAnsiTheme="minorHAnsi"/>
          <w:noProof/>
          <w:sz w:val="22"/>
          <w:szCs w:val="22"/>
        </w:rPr>
        <w:t xml:space="preserve">enter cohort study. </w:t>
      </w:r>
      <w:r w:rsidRPr="0029445E">
        <w:rPr>
          <w:rFonts w:asciiTheme="minorHAnsi" w:hAnsiTheme="minorHAnsi"/>
          <w:i/>
          <w:noProof/>
          <w:sz w:val="22"/>
          <w:szCs w:val="22"/>
        </w:rPr>
        <w:t>Circulation</w:t>
      </w:r>
      <w:r w:rsidR="009C454F" w:rsidRPr="0029445E">
        <w:rPr>
          <w:rFonts w:asciiTheme="minorHAnsi" w:hAnsiTheme="minorHAnsi"/>
          <w:noProof/>
          <w:sz w:val="22"/>
          <w:szCs w:val="22"/>
        </w:rPr>
        <w:t xml:space="preserve"> 2008;</w:t>
      </w:r>
      <w:r w:rsidRPr="0029445E">
        <w:rPr>
          <w:rFonts w:asciiTheme="minorHAnsi" w:hAnsiTheme="minorHAnsi"/>
          <w:noProof/>
          <w:sz w:val="22"/>
          <w:szCs w:val="22"/>
        </w:rPr>
        <w:t xml:space="preserve"> </w:t>
      </w:r>
      <w:r w:rsidRPr="0029445E">
        <w:rPr>
          <w:rFonts w:asciiTheme="minorHAnsi" w:hAnsiTheme="minorHAnsi"/>
          <w:b/>
          <w:noProof/>
          <w:sz w:val="22"/>
          <w:szCs w:val="22"/>
        </w:rPr>
        <w:t>117</w:t>
      </w:r>
      <w:r w:rsidR="009C454F" w:rsidRPr="0029445E">
        <w:rPr>
          <w:rFonts w:asciiTheme="minorHAnsi" w:hAnsiTheme="minorHAnsi"/>
          <w:noProof/>
          <w:sz w:val="22"/>
          <w:szCs w:val="22"/>
        </w:rPr>
        <w:t>:</w:t>
      </w:r>
      <w:r w:rsidRPr="0029445E">
        <w:rPr>
          <w:rFonts w:asciiTheme="minorHAnsi" w:hAnsiTheme="minorHAnsi"/>
          <w:noProof/>
          <w:sz w:val="22"/>
          <w:szCs w:val="22"/>
        </w:rPr>
        <w:t xml:space="preserve"> </w:t>
      </w:r>
      <w:r w:rsidR="009C454F" w:rsidRPr="0029445E">
        <w:rPr>
          <w:rFonts w:asciiTheme="minorHAnsi" w:hAnsiTheme="minorHAnsi"/>
          <w:noProof/>
          <w:sz w:val="22"/>
          <w:szCs w:val="22"/>
        </w:rPr>
        <w:t>478-84.</w:t>
      </w:r>
    </w:p>
    <w:p w14:paraId="083AFB24" w14:textId="56C52BF1" w:rsidR="00E21FB2" w:rsidRPr="0029445E" w:rsidRDefault="00E21FB2" w:rsidP="00E21FB2">
      <w:pPr>
        <w:pStyle w:val="EndNoteBibliography"/>
        <w:spacing w:line="480" w:lineRule="auto"/>
        <w:rPr>
          <w:rFonts w:asciiTheme="minorHAnsi" w:hAnsiTheme="minorHAnsi"/>
          <w:noProof/>
          <w:sz w:val="22"/>
          <w:szCs w:val="22"/>
          <w:lang w:val="en-GB"/>
        </w:rPr>
      </w:pPr>
      <w:r w:rsidRPr="0029445E">
        <w:rPr>
          <w:rFonts w:asciiTheme="minorHAnsi" w:hAnsiTheme="minorHAnsi"/>
          <w:noProof/>
          <w:sz w:val="22"/>
          <w:szCs w:val="22"/>
        </w:rPr>
        <w:t xml:space="preserve">9. </w:t>
      </w:r>
      <w:r w:rsidR="00880003" w:rsidRPr="0029445E">
        <w:rPr>
          <w:rFonts w:asciiTheme="minorHAnsi" w:hAnsiTheme="minorHAnsi"/>
          <w:noProof/>
          <w:sz w:val="22"/>
          <w:szCs w:val="22"/>
        </w:rPr>
        <w:tab/>
      </w:r>
      <w:r w:rsidRPr="0029445E">
        <w:rPr>
          <w:rFonts w:asciiTheme="minorHAnsi" w:hAnsiTheme="minorHAnsi"/>
          <w:noProof/>
          <w:sz w:val="22"/>
          <w:szCs w:val="22"/>
          <w:lang w:val="en-GB"/>
        </w:rPr>
        <w:t xml:space="preserve">Hung M, Besser M, Sharples LD, Nair SK, Klein AA. The prevalence and association with transfusion, intensive care unit stay and mortality of pre-operative anaemia in a cohort of cardiac surgery patients. </w:t>
      </w:r>
      <w:r w:rsidRPr="0029445E">
        <w:rPr>
          <w:rFonts w:asciiTheme="minorHAnsi" w:hAnsiTheme="minorHAnsi"/>
          <w:i/>
          <w:noProof/>
          <w:sz w:val="22"/>
          <w:szCs w:val="22"/>
          <w:lang w:val="en-GB"/>
        </w:rPr>
        <w:t>Anaesthesia</w:t>
      </w:r>
      <w:r w:rsidRPr="0029445E">
        <w:rPr>
          <w:rFonts w:asciiTheme="minorHAnsi" w:hAnsiTheme="minorHAnsi"/>
          <w:noProof/>
          <w:sz w:val="22"/>
          <w:szCs w:val="22"/>
          <w:lang w:val="en-GB"/>
        </w:rPr>
        <w:t xml:space="preserve"> 2011; </w:t>
      </w:r>
      <w:r w:rsidRPr="0029445E">
        <w:rPr>
          <w:rFonts w:asciiTheme="minorHAnsi" w:hAnsiTheme="minorHAnsi"/>
          <w:b/>
          <w:noProof/>
          <w:sz w:val="22"/>
          <w:szCs w:val="22"/>
          <w:lang w:val="en-GB"/>
        </w:rPr>
        <w:t>66</w:t>
      </w:r>
      <w:r w:rsidRPr="0029445E">
        <w:rPr>
          <w:rFonts w:asciiTheme="minorHAnsi" w:hAnsiTheme="minorHAnsi"/>
          <w:noProof/>
          <w:sz w:val="22"/>
          <w:szCs w:val="22"/>
          <w:lang w:val="en-GB"/>
        </w:rPr>
        <w:t>: 812-8.</w:t>
      </w:r>
    </w:p>
    <w:p w14:paraId="59C8B7C0" w14:textId="08D638CE" w:rsidR="00F34E23" w:rsidRPr="0029445E" w:rsidRDefault="00F34E23" w:rsidP="00E21FB2">
      <w:pPr>
        <w:pStyle w:val="EndNoteBibliography"/>
        <w:spacing w:line="480" w:lineRule="auto"/>
        <w:rPr>
          <w:rFonts w:asciiTheme="minorHAnsi" w:hAnsiTheme="minorHAnsi"/>
          <w:noProof/>
          <w:sz w:val="22"/>
          <w:szCs w:val="22"/>
          <w:lang w:val="en-GB"/>
        </w:rPr>
      </w:pPr>
      <w:r w:rsidRPr="0029445E">
        <w:rPr>
          <w:rFonts w:asciiTheme="minorHAnsi" w:hAnsiTheme="minorHAnsi"/>
          <w:noProof/>
          <w:sz w:val="22"/>
          <w:szCs w:val="22"/>
          <w:lang w:val="en-GB"/>
        </w:rPr>
        <w:t>10.</w:t>
      </w:r>
      <w:r w:rsidRPr="0029445E">
        <w:rPr>
          <w:rFonts w:asciiTheme="minorHAnsi" w:hAnsiTheme="minorHAnsi"/>
          <w:noProof/>
          <w:sz w:val="22"/>
          <w:szCs w:val="22"/>
          <w:lang w:val="en-GB"/>
        </w:rPr>
        <w:tab/>
        <w:t xml:space="preserve">Clevenger B, Richards T. Pre-operative anaemia. </w:t>
      </w:r>
      <w:r w:rsidRPr="0029445E">
        <w:rPr>
          <w:rFonts w:asciiTheme="minorHAnsi" w:hAnsiTheme="minorHAnsi"/>
          <w:i/>
          <w:noProof/>
          <w:sz w:val="22"/>
          <w:szCs w:val="22"/>
          <w:lang w:val="en-GB"/>
        </w:rPr>
        <w:t>Anaesthesia</w:t>
      </w:r>
      <w:r w:rsidRPr="0029445E">
        <w:rPr>
          <w:rFonts w:asciiTheme="minorHAnsi" w:hAnsiTheme="minorHAnsi"/>
          <w:noProof/>
          <w:sz w:val="22"/>
          <w:szCs w:val="22"/>
          <w:lang w:val="en-GB"/>
        </w:rPr>
        <w:t xml:space="preserve"> 2015; </w:t>
      </w:r>
      <w:r w:rsidRPr="0029445E">
        <w:rPr>
          <w:rFonts w:asciiTheme="minorHAnsi" w:hAnsiTheme="minorHAnsi"/>
          <w:b/>
          <w:noProof/>
          <w:sz w:val="22"/>
          <w:szCs w:val="22"/>
          <w:lang w:val="en-GB"/>
        </w:rPr>
        <w:t>70</w:t>
      </w:r>
      <w:r w:rsidRPr="0029445E">
        <w:rPr>
          <w:rFonts w:asciiTheme="minorHAnsi" w:hAnsiTheme="minorHAnsi"/>
          <w:noProof/>
          <w:sz w:val="22"/>
          <w:szCs w:val="22"/>
          <w:lang w:val="en-GB"/>
        </w:rPr>
        <w:t>: 20–e8.</w:t>
      </w:r>
    </w:p>
    <w:p w14:paraId="0558E235" w14:textId="541C9CD7" w:rsidR="00E21FB2" w:rsidRPr="0029445E" w:rsidRDefault="00F34E23" w:rsidP="00E21FB2">
      <w:pPr>
        <w:pStyle w:val="EndNoteBibliography"/>
        <w:spacing w:line="480" w:lineRule="auto"/>
        <w:rPr>
          <w:rFonts w:asciiTheme="minorHAnsi" w:hAnsiTheme="minorHAnsi"/>
          <w:noProof/>
          <w:sz w:val="22"/>
          <w:szCs w:val="22"/>
        </w:rPr>
      </w:pPr>
      <w:r w:rsidRPr="0029445E">
        <w:rPr>
          <w:rFonts w:asciiTheme="minorHAnsi" w:hAnsiTheme="minorHAnsi"/>
          <w:noProof/>
          <w:sz w:val="22"/>
          <w:szCs w:val="22"/>
          <w:lang w:val="en-GB"/>
        </w:rPr>
        <w:t>11</w:t>
      </w:r>
      <w:r w:rsidR="00E21FB2" w:rsidRPr="0029445E">
        <w:rPr>
          <w:rFonts w:asciiTheme="minorHAnsi" w:hAnsiTheme="minorHAnsi"/>
          <w:noProof/>
          <w:sz w:val="22"/>
          <w:szCs w:val="22"/>
          <w:lang w:val="en-GB"/>
        </w:rPr>
        <w:t xml:space="preserve">. </w:t>
      </w:r>
      <w:r w:rsidR="00880003" w:rsidRPr="0029445E">
        <w:rPr>
          <w:rFonts w:asciiTheme="minorHAnsi" w:hAnsiTheme="minorHAnsi"/>
          <w:noProof/>
          <w:sz w:val="22"/>
          <w:szCs w:val="22"/>
          <w:lang w:val="en-GB"/>
        </w:rPr>
        <w:tab/>
      </w:r>
      <w:r w:rsidR="00E21FB2" w:rsidRPr="0029445E">
        <w:rPr>
          <w:rFonts w:asciiTheme="minorHAnsi" w:hAnsiTheme="minorHAnsi"/>
          <w:noProof/>
          <w:sz w:val="22"/>
          <w:szCs w:val="22"/>
          <w:lang w:val="en-GB"/>
        </w:rPr>
        <w:t xml:space="preserve">Guralnik JM, Eisenstaedt RS, Ferrucci L, Klein HG, Woodman RC. </w:t>
      </w:r>
      <w:r w:rsidR="00E21FB2" w:rsidRPr="0029445E">
        <w:rPr>
          <w:rFonts w:asciiTheme="minorHAnsi" w:hAnsiTheme="minorHAnsi"/>
          <w:bCs/>
          <w:noProof/>
          <w:sz w:val="22"/>
          <w:szCs w:val="22"/>
        </w:rPr>
        <w:t>Prevalence of anemia in persons 65 years and older in the United States: evidence for a high rate of unexplained anemia.</w:t>
      </w:r>
      <w:r w:rsidR="00E21FB2" w:rsidRPr="0029445E">
        <w:rPr>
          <w:rFonts w:asciiTheme="minorHAnsi" w:hAnsiTheme="minorHAnsi"/>
          <w:b/>
          <w:bCs/>
          <w:noProof/>
          <w:sz w:val="22"/>
          <w:szCs w:val="22"/>
        </w:rPr>
        <w:t xml:space="preserve"> </w:t>
      </w:r>
      <w:r w:rsidR="00E21FB2" w:rsidRPr="0029445E">
        <w:rPr>
          <w:rFonts w:asciiTheme="minorHAnsi" w:hAnsiTheme="minorHAnsi"/>
          <w:i/>
          <w:noProof/>
          <w:sz w:val="22"/>
          <w:szCs w:val="22"/>
        </w:rPr>
        <w:t xml:space="preserve">Blood </w:t>
      </w:r>
      <w:r w:rsidR="00E21FB2" w:rsidRPr="0029445E">
        <w:rPr>
          <w:rFonts w:asciiTheme="minorHAnsi" w:hAnsiTheme="minorHAnsi"/>
          <w:noProof/>
          <w:sz w:val="22"/>
          <w:szCs w:val="22"/>
        </w:rPr>
        <w:t xml:space="preserve">2004; </w:t>
      </w:r>
      <w:r w:rsidR="00E21FB2" w:rsidRPr="0029445E">
        <w:rPr>
          <w:rFonts w:asciiTheme="minorHAnsi" w:hAnsiTheme="minorHAnsi"/>
          <w:b/>
          <w:noProof/>
          <w:sz w:val="22"/>
          <w:szCs w:val="22"/>
        </w:rPr>
        <w:t>104</w:t>
      </w:r>
      <w:r w:rsidR="00E21FB2" w:rsidRPr="0029445E">
        <w:rPr>
          <w:rFonts w:asciiTheme="minorHAnsi" w:hAnsiTheme="minorHAnsi"/>
          <w:noProof/>
          <w:sz w:val="22"/>
          <w:szCs w:val="22"/>
        </w:rPr>
        <w:t xml:space="preserve">: 2263-8. </w:t>
      </w:r>
    </w:p>
    <w:p w14:paraId="7E36E981" w14:textId="38B74EB0" w:rsidR="0060050A" w:rsidRPr="0029445E" w:rsidRDefault="00F34E23" w:rsidP="0060050A">
      <w:pPr>
        <w:pStyle w:val="EndNoteBibliography"/>
        <w:spacing w:line="480" w:lineRule="auto"/>
        <w:rPr>
          <w:rFonts w:asciiTheme="minorHAnsi" w:hAnsiTheme="minorHAnsi"/>
          <w:bCs/>
          <w:noProof/>
          <w:sz w:val="22"/>
          <w:szCs w:val="22"/>
        </w:rPr>
      </w:pPr>
      <w:r w:rsidRPr="0029445E">
        <w:rPr>
          <w:rFonts w:asciiTheme="minorHAnsi" w:hAnsiTheme="minorHAnsi"/>
          <w:noProof/>
          <w:sz w:val="22"/>
          <w:szCs w:val="22"/>
        </w:rPr>
        <w:t>12</w:t>
      </w:r>
      <w:r w:rsidR="0060050A" w:rsidRPr="0029445E">
        <w:rPr>
          <w:rFonts w:asciiTheme="minorHAnsi" w:hAnsiTheme="minorHAnsi"/>
          <w:noProof/>
          <w:sz w:val="22"/>
          <w:szCs w:val="22"/>
        </w:rPr>
        <w:t>.</w:t>
      </w:r>
      <w:r w:rsidR="0060050A" w:rsidRPr="0029445E">
        <w:rPr>
          <w:rFonts w:asciiTheme="minorHAnsi" w:hAnsiTheme="minorHAnsi"/>
          <w:noProof/>
          <w:sz w:val="22"/>
          <w:szCs w:val="22"/>
        </w:rPr>
        <w:tab/>
      </w:r>
      <w:r w:rsidR="0060050A" w:rsidRPr="0029445E">
        <w:rPr>
          <w:rFonts w:asciiTheme="minorHAnsi" w:hAnsiTheme="minorHAnsi"/>
          <w:noProof/>
          <w:sz w:val="22"/>
          <w:szCs w:val="22"/>
          <w:lang w:val="en-GB"/>
        </w:rPr>
        <w:t xml:space="preserve">Blankstein R,  Parker Ward R, Arnsdorf M, Jones B, Lou YB, Pine M. </w:t>
      </w:r>
      <w:r w:rsidR="0060050A" w:rsidRPr="0029445E">
        <w:rPr>
          <w:rFonts w:asciiTheme="minorHAnsi" w:hAnsiTheme="minorHAnsi"/>
          <w:bCs/>
          <w:noProof/>
          <w:sz w:val="22"/>
          <w:szCs w:val="22"/>
          <w:lang w:val="en-GB"/>
        </w:rPr>
        <w:t xml:space="preserve">Female gender is an independent predictor of operative mortality after coronary artery bypass graft surgery. </w:t>
      </w:r>
      <w:r w:rsidR="0060050A" w:rsidRPr="0029445E">
        <w:rPr>
          <w:rFonts w:asciiTheme="minorHAnsi" w:hAnsiTheme="minorHAnsi"/>
          <w:bCs/>
          <w:i/>
          <w:noProof/>
          <w:sz w:val="22"/>
          <w:szCs w:val="22"/>
        </w:rPr>
        <w:t>Circulation</w:t>
      </w:r>
      <w:r w:rsidR="0060050A" w:rsidRPr="0029445E">
        <w:rPr>
          <w:rFonts w:asciiTheme="minorHAnsi" w:hAnsiTheme="minorHAnsi"/>
          <w:bCs/>
          <w:noProof/>
          <w:sz w:val="22"/>
          <w:szCs w:val="22"/>
        </w:rPr>
        <w:t xml:space="preserve"> 2005; </w:t>
      </w:r>
      <w:r w:rsidR="0060050A" w:rsidRPr="0029445E">
        <w:rPr>
          <w:rFonts w:asciiTheme="minorHAnsi" w:hAnsiTheme="minorHAnsi"/>
          <w:b/>
          <w:bCs/>
          <w:noProof/>
          <w:sz w:val="22"/>
          <w:szCs w:val="22"/>
        </w:rPr>
        <w:t>112</w:t>
      </w:r>
      <w:r w:rsidR="0060050A" w:rsidRPr="0029445E">
        <w:rPr>
          <w:rFonts w:asciiTheme="minorHAnsi" w:hAnsiTheme="minorHAnsi"/>
          <w:bCs/>
          <w:noProof/>
          <w:sz w:val="22"/>
          <w:szCs w:val="22"/>
        </w:rPr>
        <w:t>: 323-7.</w:t>
      </w:r>
    </w:p>
    <w:p w14:paraId="72AC3C2F" w14:textId="5A260E2B" w:rsidR="00E21FB2" w:rsidRPr="0029445E" w:rsidRDefault="00F34E23" w:rsidP="00E21FB2">
      <w:pPr>
        <w:pStyle w:val="EndNoteBibliography"/>
        <w:spacing w:line="480" w:lineRule="auto"/>
        <w:rPr>
          <w:rFonts w:asciiTheme="minorHAnsi" w:hAnsiTheme="minorHAnsi"/>
          <w:noProof/>
          <w:sz w:val="22"/>
          <w:szCs w:val="22"/>
          <w:lang w:val="en-GB"/>
        </w:rPr>
      </w:pPr>
      <w:r w:rsidRPr="0029445E">
        <w:rPr>
          <w:rFonts w:asciiTheme="minorHAnsi" w:hAnsiTheme="minorHAnsi"/>
          <w:noProof/>
          <w:sz w:val="22"/>
          <w:szCs w:val="22"/>
          <w:lang w:val="en-GB"/>
        </w:rPr>
        <w:t>13</w:t>
      </w:r>
      <w:r w:rsidR="00E21FB2" w:rsidRPr="0029445E">
        <w:rPr>
          <w:rFonts w:asciiTheme="minorHAnsi" w:hAnsiTheme="minorHAnsi"/>
          <w:noProof/>
          <w:sz w:val="22"/>
          <w:szCs w:val="22"/>
          <w:lang w:val="en-GB"/>
        </w:rPr>
        <w:t xml:space="preserve">. </w:t>
      </w:r>
      <w:r w:rsidR="00880003" w:rsidRPr="0029445E">
        <w:rPr>
          <w:rFonts w:asciiTheme="minorHAnsi" w:hAnsiTheme="minorHAnsi"/>
          <w:noProof/>
          <w:sz w:val="22"/>
          <w:szCs w:val="22"/>
          <w:lang w:val="en-GB"/>
        </w:rPr>
        <w:tab/>
      </w:r>
      <w:r w:rsidR="00E21FB2" w:rsidRPr="0029445E">
        <w:rPr>
          <w:rFonts w:asciiTheme="minorHAnsi" w:hAnsiTheme="minorHAnsi"/>
          <w:noProof/>
          <w:sz w:val="22"/>
          <w:szCs w:val="22"/>
          <w:lang w:val="en-GB"/>
        </w:rPr>
        <w:t xml:space="preserve">Partridge J, Harari D, Gossage J, Dhesi, J. Anaemia in the older surgical patient: A review of prevalence, causes, implications and management. </w:t>
      </w:r>
      <w:r w:rsidR="00E21FB2" w:rsidRPr="0029445E">
        <w:rPr>
          <w:rFonts w:asciiTheme="minorHAnsi" w:hAnsiTheme="minorHAnsi"/>
          <w:i/>
          <w:iCs/>
          <w:noProof/>
          <w:sz w:val="22"/>
          <w:szCs w:val="22"/>
          <w:lang w:val="en-GB"/>
        </w:rPr>
        <w:t>Journal of the Royal Society of Medicine</w:t>
      </w:r>
      <w:r w:rsidR="00E21FB2" w:rsidRPr="0029445E">
        <w:rPr>
          <w:rFonts w:asciiTheme="minorHAnsi" w:hAnsiTheme="minorHAnsi"/>
          <w:noProof/>
          <w:sz w:val="22"/>
          <w:szCs w:val="22"/>
          <w:lang w:val="en-GB"/>
        </w:rPr>
        <w:t xml:space="preserve"> 2013; </w:t>
      </w:r>
      <w:r w:rsidR="00E21FB2" w:rsidRPr="0029445E">
        <w:rPr>
          <w:rFonts w:asciiTheme="minorHAnsi" w:hAnsiTheme="minorHAnsi"/>
          <w:b/>
          <w:noProof/>
          <w:sz w:val="22"/>
          <w:szCs w:val="22"/>
          <w:lang w:val="en-GB"/>
        </w:rPr>
        <w:t>106</w:t>
      </w:r>
      <w:r w:rsidR="00E21FB2" w:rsidRPr="0029445E">
        <w:rPr>
          <w:rFonts w:asciiTheme="minorHAnsi" w:hAnsiTheme="minorHAnsi"/>
          <w:noProof/>
          <w:sz w:val="22"/>
          <w:szCs w:val="22"/>
          <w:lang w:val="en-GB"/>
        </w:rPr>
        <w:t>: 269-77.</w:t>
      </w:r>
    </w:p>
    <w:p w14:paraId="17ACD6AA" w14:textId="246D9005" w:rsidR="00E21FB2" w:rsidRPr="0029445E" w:rsidRDefault="00F34E23" w:rsidP="00E21FB2">
      <w:pPr>
        <w:pStyle w:val="EndNoteBibliography"/>
        <w:spacing w:line="480" w:lineRule="auto"/>
        <w:rPr>
          <w:rFonts w:asciiTheme="minorHAnsi" w:hAnsiTheme="minorHAnsi"/>
          <w:noProof/>
          <w:sz w:val="22"/>
          <w:szCs w:val="22"/>
        </w:rPr>
      </w:pPr>
      <w:r w:rsidRPr="0029445E">
        <w:rPr>
          <w:rFonts w:asciiTheme="minorHAnsi" w:hAnsiTheme="minorHAnsi"/>
          <w:noProof/>
          <w:sz w:val="22"/>
          <w:szCs w:val="22"/>
          <w:lang w:val="en-GB"/>
        </w:rPr>
        <w:t>14</w:t>
      </w:r>
      <w:r w:rsidR="00E21FB2" w:rsidRPr="0029445E">
        <w:rPr>
          <w:rFonts w:asciiTheme="minorHAnsi" w:hAnsiTheme="minorHAnsi"/>
          <w:noProof/>
          <w:sz w:val="22"/>
          <w:szCs w:val="22"/>
          <w:lang w:val="en-GB"/>
        </w:rPr>
        <w:t xml:space="preserve">. </w:t>
      </w:r>
      <w:r w:rsidR="00880003" w:rsidRPr="0029445E">
        <w:rPr>
          <w:rFonts w:asciiTheme="minorHAnsi" w:hAnsiTheme="minorHAnsi"/>
          <w:noProof/>
          <w:sz w:val="22"/>
          <w:szCs w:val="22"/>
          <w:lang w:val="en-GB"/>
        </w:rPr>
        <w:tab/>
      </w:r>
      <w:r w:rsidR="00E21FB2" w:rsidRPr="0029445E">
        <w:rPr>
          <w:rFonts w:asciiTheme="minorHAnsi" w:hAnsiTheme="minorHAnsi"/>
          <w:noProof/>
          <w:sz w:val="22"/>
          <w:szCs w:val="22"/>
          <w:lang w:val="en-GB"/>
        </w:rPr>
        <w:t xml:space="preserve">Kengne AP, Czernichow S, Hamer M, Batty GD, Stamatakis E. </w:t>
      </w:r>
      <w:r w:rsidR="00E21FB2" w:rsidRPr="0029445E">
        <w:rPr>
          <w:rFonts w:asciiTheme="minorHAnsi" w:hAnsiTheme="minorHAnsi"/>
          <w:bCs/>
          <w:noProof/>
          <w:sz w:val="22"/>
          <w:szCs w:val="22"/>
        </w:rPr>
        <w:t>Anaemia, haemoglobin level and cause-specific mortality in people with and without diabetes</w:t>
      </w:r>
      <w:r w:rsidR="00E21FB2" w:rsidRPr="0029445E">
        <w:rPr>
          <w:rFonts w:asciiTheme="minorHAnsi" w:hAnsiTheme="minorHAnsi"/>
          <w:b/>
          <w:bCs/>
          <w:noProof/>
          <w:sz w:val="22"/>
          <w:szCs w:val="22"/>
        </w:rPr>
        <w:t>.</w:t>
      </w:r>
      <w:r w:rsidR="00E7054B" w:rsidRPr="0029445E">
        <w:rPr>
          <w:rFonts w:asciiTheme="minorHAnsi" w:hAnsiTheme="minorHAnsi"/>
          <w:b/>
          <w:bCs/>
          <w:noProof/>
          <w:sz w:val="22"/>
          <w:szCs w:val="22"/>
        </w:rPr>
        <w:t xml:space="preserve"> </w:t>
      </w:r>
      <w:r w:rsidR="00E21FB2" w:rsidRPr="0029445E">
        <w:rPr>
          <w:rFonts w:asciiTheme="minorHAnsi" w:hAnsiTheme="minorHAnsi"/>
          <w:i/>
          <w:noProof/>
          <w:sz w:val="22"/>
          <w:szCs w:val="22"/>
        </w:rPr>
        <w:t>PLoS One</w:t>
      </w:r>
      <w:r w:rsidR="00E21FB2" w:rsidRPr="0029445E">
        <w:rPr>
          <w:rFonts w:asciiTheme="minorHAnsi" w:hAnsiTheme="minorHAnsi"/>
          <w:noProof/>
          <w:sz w:val="22"/>
          <w:szCs w:val="22"/>
        </w:rPr>
        <w:t xml:space="preserve"> 2012; </w:t>
      </w:r>
      <w:r w:rsidR="00E21FB2" w:rsidRPr="0029445E">
        <w:rPr>
          <w:rFonts w:asciiTheme="minorHAnsi" w:hAnsiTheme="minorHAnsi"/>
          <w:b/>
          <w:noProof/>
          <w:sz w:val="22"/>
          <w:szCs w:val="22"/>
        </w:rPr>
        <w:t>7</w:t>
      </w:r>
      <w:r w:rsidR="00E21FB2" w:rsidRPr="0029445E">
        <w:rPr>
          <w:rFonts w:asciiTheme="minorHAnsi" w:hAnsiTheme="minorHAnsi"/>
          <w:noProof/>
          <w:sz w:val="22"/>
          <w:szCs w:val="22"/>
        </w:rPr>
        <w:t>: e41875.</w:t>
      </w:r>
    </w:p>
    <w:p w14:paraId="23B23497" w14:textId="5C65A5C7" w:rsidR="00E7054B" w:rsidRPr="0029445E" w:rsidRDefault="00F34E23" w:rsidP="00E7054B">
      <w:pPr>
        <w:pStyle w:val="EndNoteBibliography"/>
        <w:spacing w:line="480" w:lineRule="auto"/>
        <w:rPr>
          <w:rFonts w:asciiTheme="minorHAnsi" w:hAnsiTheme="minorHAnsi"/>
          <w:noProof/>
          <w:sz w:val="22"/>
          <w:szCs w:val="22"/>
        </w:rPr>
      </w:pPr>
      <w:r w:rsidRPr="0029445E">
        <w:rPr>
          <w:rFonts w:asciiTheme="minorHAnsi" w:hAnsiTheme="minorHAnsi"/>
          <w:noProof/>
          <w:sz w:val="22"/>
          <w:szCs w:val="22"/>
        </w:rPr>
        <w:t>15</w:t>
      </w:r>
      <w:r w:rsidR="00E21FB2" w:rsidRPr="0029445E">
        <w:rPr>
          <w:rFonts w:asciiTheme="minorHAnsi" w:hAnsiTheme="minorHAnsi"/>
          <w:noProof/>
          <w:sz w:val="22"/>
          <w:szCs w:val="22"/>
        </w:rPr>
        <w:t xml:space="preserve">. </w:t>
      </w:r>
      <w:r w:rsidR="00880003" w:rsidRPr="0029445E">
        <w:rPr>
          <w:rFonts w:asciiTheme="minorHAnsi" w:hAnsiTheme="minorHAnsi"/>
          <w:noProof/>
          <w:sz w:val="22"/>
          <w:szCs w:val="22"/>
        </w:rPr>
        <w:tab/>
      </w:r>
      <w:r w:rsidR="00E7054B" w:rsidRPr="0029445E">
        <w:rPr>
          <w:rFonts w:asciiTheme="minorHAnsi" w:hAnsiTheme="minorHAnsi"/>
          <w:noProof/>
          <w:sz w:val="22"/>
          <w:szCs w:val="22"/>
          <w:lang w:val="en-GB"/>
        </w:rPr>
        <w:t xml:space="preserve">Baron DM, Hochrieser H, Posch M, et al. </w:t>
      </w:r>
      <w:r w:rsidR="00E7054B" w:rsidRPr="0029445E">
        <w:rPr>
          <w:rFonts w:asciiTheme="minorHAnsi" w:hAnsiTheme="minorHAnsi"/>
          <w:bCs/>
          <w:noProof/>
          <w:sz w:val="22"/>
          <w:szCs w:val="22"/>
        </w:rPr>
        <w:t xml:space="preserve">Preoperative anaemia is associated with poor clinical outcome in non-cardiac surgery patients. </w:t>
      </w:r>
      <w:r w:rsidR="00E7054B" w:rsidRPr="0029445E">
        <w:rPr>
          <w:rFonts w:asciiTheme="minorHAnsi" w:hAnsiTheme="minorHAnsi"/>
          <w:i/>
          <w:noProof/>
          <w:sz w:val="22"/>
          <w:szCs w:val="22"/>
        </w:rPr>
        <w:t xml:space="preserve">British Journal of Anaesthesia </w:t>
      </w:r>
      <w:r w:rsidR="00E7054B" w:rsidRPr="0029445E">
        <w:rPr>
          <w:rFonts w:asciiTheme="minorHAnsi" w:hAnsiTheme="minorHAnsi"/>
          <w:noProof/>
          <w:sz w:val="22"/>
          <w:szCs w:val="22"/>
        </w:rPr>
        <w:t xml:space="preserve">2014; </w:t>
      </w:r>
      <w:r w:rsidR="00E7054B" w:rsidRPr="0029445E">
        <w:rPr>
          <w:rFonts w:asciiTheme="minorHAnsi" w:hAnsiTheme="minorHAnsi"/>
          <w:b/>
          <w:noProof/>
          <w:sz w:val="22"/>
          <w:szCs w:val="22"/>
        </w:rPr>
        <w:t>113</w:t>
      </w:r>
      <w:r w:rsidR="00E7054B" w:rsidRPr="0029445E">
        <w:rPr>
          <w:rFonts w:asciiTheme="minorHAnsi" w:hAnsiTheme="minorHAnsi"/>
          <w:noProof/>
          <w:sz w:val="22"/>
          <w:szCs w:val="22"/>
        </w:rPr>
        <w:t>: 416-23.</w:t>
      </w:r>
    </w:p>
    <w:p w14:paraId="7A453EE4" w14:textId="566CE533" w:rsidR="00331D74" w:rsidRPr="0029445E" w:rsidRDefault="00331D74" w:rsidP="00331D74">
      <w:pPr>
        <w:pStyle w:val="EndNoteBibliography"/>
        <w:spacing w:line="480" w:lineRule="auto"/>
        <w:rPr>
          <w:rFonts w:asciiTheme="minorHAnsi" w:hAnsiTheme="minorHAnsi"/>
          <w:bCs/>
          <w:noProof/>
          <w:sz w:val="22"/>
          <w:szCs w:val="22"/>
        </w:rPr>
      </w:pPr>
      <w:r w:rsidRPr="0029445E">
        <w:rPr>
          <w:rFonts w:asciiTheme="minorHAnsi" w:hAnsiTheme="minorHAnsi"/>
          <w:noProof/>
          <w:sz w:val="22"/>
          <w:szCs w:val="22"/>
        </w:rPr>
        <w:t>16.</w:t>
      </w:r>
      <w:r w:rsidRPr="0029445E">
        <w:rPr>
          <w:rFonts w:asciiTheme="minorHAnsi" w:hAnsiTheme="minorHAnsi"/>
          <w:noProof/>
          <w:sz w:val="22"/>
          <w:szCs w:val="22"/>
        </w:rPr>
        <w:tab/>
        <w:t xml:space="preserve">Shander A, Javidrozzi M, Ozawa S, Hare GMT. </w:t>
      </w:r>
      <w:r w:rsidRPr="0029445E">
        <w:rPr>
          <w:rFonts w:asciiTheme="minorHAnsi" w:hAnsiTheme="minorHAnsi"/>
          <w:bCs/>
          <w:noProof/>
          <w:sz w:val="22"/>
          <w:szCs w:val="22"/>
        </w:rPr>
        <w:t xml:space="preserve">What is really dangerous: anaemia or transfusion? </w:t>
      </w:r>
      <w:r w:rsidRPr="0029445E">
        <w:rPr>
          <w:rFonts w:asciiTheme="minorHAnsi" w:hAnsiTheme="minorHAnsi"/>
          <w:bCs/>
          <w:i/>
          <w:noProof/>
          <w:sz w:val="22"/>
          <w:szCs w:val="22"/>
          <w:lang w:val="en-GB"/>
        </w:rPr>
        <w:t xml:space="preserve">British Journal of Anaesthesia </w:t>
      </w:r>
      <w:r w:rsidRPr="0029445E">
        <w:rPr>
          <w:rFonts w:asciiTheme="minorHAnsi" w:hAnsiTheme="minorHAnsi"/>
          <w:bCs/>
          <w:noProof/>
          <w:sz w:val="22"/>
          <w:szCs w:val="22"/>
          <w:lang w:val="en-GB"/>
        </w:rPr>
        <w:t xml:space="preserve">2011; </w:t>
      </w:r>
      <w:r w:rsidRPr="0029445E">
        <w:rPr>
          <w:rFonts w:asciiTheme="minorHAnsi" w:hAnsiTheme="minorHAnsi"/>
          <w:b/>
          <w:bCs/>
          <w:noProof/>
          <w:sz w:val="22"/>
          <w:szCs w:val="22"/>
          <w:lang w:val="en-GB"/>
        </w:rPr>
        <w:t>107 (suppl 1)</w:t>
      </w:r>
      <w:r w:rsidRPr="0029445E">
        <w:rPr>
          <w:rFonts w:asciiTheme="minorHAnsi" w:hAnsiTheme="minorHAnsi"/>
          <w:bCs/>
          <w:noProof/>
          <w:sz w:val="22"/>
          <w:szCs w:val="22"/>
          <w:lang w:val="en-GB"/>
        </w:rPr>
        <w:t>: i41-59.</w:t>
      </w:r>
    </w:p>
    <w:p w14:paraId="403A4A10" w14:textId="39AFB31B" w:rsidR="0014546F" w:rsidRPr="0029445E" w:rsidRDefault="00F34E23" w:rsidP="00E7054B">
      <w:pPr>
        <w:pStyle w:val="EndNoteBibliography"/>
        <w:spacing w:line="480" w:lineRule="auto"/>
        <w:rPr>
          <w:rFonts w:asciiTheme="minorHAnsi" w:hAnsiTheme="minorHAnsi"/>
          <w:sz w:val="22"/>
          <w:szCs w:val="22"/>
        </w:rPr>
      </w:pPr>
      <w:r w:rsidRPr="0029445E">
        <w:rPr>
          <w:rFonts w:asciiTheme="minorHAnsi" w:hAnsiTheme="minorHAnsi"/>
          <w:sz w:val="22"/>
          <w:szCs w:val="22"/>
        </w:rPr>
        <w:t>17</w:t>
      </w:r>
      <w:r w:rsidR="0014546F" w:rsidRPr="0029445E">
        <w:rPr>
          <w:rFonts w:asciiTheme="minorHAnsi" w:hAnsiTheme="minorHAnsi"/>
          <w:sz w:val="22"/>
          <w:szCs w:val="22"/>
        </w:rPr>
        <w:t xml:space="preserve">. </w:t>
      </w:r>
      <w:r w:rsidR="0014546F" w:rsidRPr="0029445E">
        <w:rPr>
          <w:rFonts w:asciiTheme="minorHAnsi" w:hAnsiTheme="minorHAnsi"/>
          <w:sz w:val="22"/>
          <w:szCs w:val="22"/>
        </w:rPr>
        <w:tab/>
        <w:t xml:space="preserve">Karkouti K, Grocott HP, Hall R, et al. Interrelationship of preoperative anemia, intraoperative anemia, and red blood cell transfusion as potentially modifiable risk factors for acute kidney injury in cardiac surgery: a historical multicentre cohort study. </w:t>
      </w:r>
      <w:r w:rsidR="0014546F" w:rsidRPr="0029445E">
        <w:rPr>
          <w:rFonts w:asciiTheme="minorHAnsi" w:hAnsiTheme="minorHAnsi"/>
          <w:i/>
          <w:sz w:val="22"/>
          <w:szCs w:val="22"/>
        </w:rPr>
        <w:t>Canadian Journal of Anesthesia</w:t>
      </w:r>
      <w:r w:rsidR="0014546F" w:rsidRPr="0029445E">
        <w:rPr>
          <w:rFonts w:asciiTheme="minorHAnsi" w:hAnsiTheme="minorHAnsi"/>
          <w:sz w:val="22"/>
          <w:szCs w:val="22"/>
        </w:rPr>
        <w:t xml:space="preserve"> 2015; </w:t>
      </w:r>
      <w:r w:rsidR="0014546F" w:rsidRPr="0029445E">
        <w:rPr>
          <w:rFonts w:asciiTheme="minorHAnsi" w:hAnsiTheme="minorHAnsi"/>
          <w:b/>
          <w:sz w:val="22"/>
          <w:szCs w:val="22"/>
        </w:rPr>
        <w:t>62</w:t>
      </w:r>
      <w:r w:rsidR="0014546F" w:rsidRPr="0029445E">
        <w:rPr>
          <w:rFonts w:asciiTheme="minorHAnsi" w:hAnsiTheme="minorHAnsi"/>
          <w:sz w:val="22"/>
          <w:szCs w:val="22"/>
        </w:rPr>
        <w:t>: 377-84.</w:t>
      </w:r>
    </w:p>
    <w:p w14:paraId="44601E3C" w14:textId="7B763A97" w:rsidR="00023861" w:rsidRPr="0029445E" w:rsidRDefault="00023861" w:rsidP="00E7054B">
      <w:pPr>
        <w:pStyle w:val="EndNoteBibliography"/>
        <w:spacing w:line="480" w:lineRule="auto"/>
        <w:rPr>
          <w:rFonts w:asciiTheme="minorHAnsi" w:hAnsiTheme="minorHAnsi"/>
          <w:sz w:val="22"/>
          <w:szCs w:val="22"/>
          <w:lang w:val="en-GB"/>
        </w:rPr>
      </w:pPr>
      <w:r w:rsidRPr="0029445E">
        <w:rPr>
          <w:rFonts w:asciiTheme="minorHAnsi" w:hAnsiTheme="minorHAnsi"/>
          <w:sz w:val="22"/>
          <w:szCs w:val="22"/>
        </w:rPr>
        <w:t xml:space="preserve">18. </w:t>
      </w:r>
      <w:r w:rsidRPr="0029445E">
        <w:rPr>
          <w:rFonts w:asciiTheme="minorHAnsi" w:hAnsiTheme="minorHAnsi"/>
          <w:sz w:val="22"/>
          <w:szCs w:val="22"/>
          <w:lang w:val="fr-FR"/>
        </w:rPr>
        <w:t xml:space="preserve">Philippe M, Roques F, Nashef SAM, et al. </w:t>
      </w:r>
      <w:r w:rsidRPr="0029445E">
        <w:rPr>
          <w:rFonts w:asciiTheme="minorHAnsi" w:hAnsiTheme="minorHAnsi"/>
          <w:sz w:val="22"/>
          <w:szCs w:val="22"/>
          <w:lang w:val="en-GB"/>
        </w:rPr>
        <w:t xml:space="preserve">Logistic or additive EuroSCORE for high-risk patients? </w:t>
      </w:r>
      <w:r w:rsidRPr="0029445E">
        <w:rPr>
          <w:rFonts w:asciiTheme="minorHAnsi" w:hAnsiTheme="minorHAnsi"/>
          <w:i/>
          <w:sz w:val="22"/>
          <w:szCs w:val="22"/>
          <w:lang w:val="en-GB"/>
        </w:rPr>
        <w:t>European Journal of Cardiothoracic Surgery</w:t>
      </w:r>
      <w:r w:rsidRPr="0029445E">
        <w:rPr>
          <w:rFonts w:asciiTheme="minorHAnsi" w:hAnsiTheme="minorHAnsi"/>
          <w:sz w:val="22"/>
          <w:szCs w:val="22"/>
          <w:lang w:val="en-GB"/>
        </w:rPr>
        <w:t xml:space="preserve"> 2003; </w:t>
      </w:r>
      <w:r w:rsidRPr="0029445E">
        <w:rPr>
          <w:rFonts w:asciiTheme="minorHAnsi" w:hAnsiTheme="minorHAnsi"/>
          <w:b/>
          <w:sz w:val="22"/>
          <w:szCs w:val="22"/>
          <w:lang w:val="en-GB"/>
        </w:rPr>
        <w:t>23</w:t>
      </w:r>
      <w:r w:rsidRPr="0029445E">
        <w:rPr>
          <w:rFonts w:asciiTheme="minorHAnsi" w:hAnsiTheme="minorHAnsi"/>
          <w:sz w:val="22"/>
          <w:szCs w:val="22"/>
          <w:lang w:val="en-GB"/>
        </w:rPr>
        <w:t>: 684–87.</w:t>
      </w:r>
    </w:p>
    <w:p w14:paraId="2FC19C85" w14:textId="3C02A0DC" w:rsidR="0014546F" w:rsidRPr="0029445E" w:rsidRDefault="00023861" w:rsidP="00E7054B">
      <w:pPr>
        <w:pStyle w:val="EndNoteBibliography"/>
        <w:spacing w:line="480" w:lineRule="auto"/>
        <w:rPr>
          <w:rFonts w:asciiTheme="minorHAnsi" w:hAnsiTheme="minorHAnsi"/>
          <w:sz w:val="22"/>
          <w:szCs w:val="22"/>
        </w:rPr>
      </w:pPr>
      <w:r w:rsidRPr="0029445E">
        <w:rPr>
          <w:rFonts w:asciiTheme="minorHAnsi" w:hAnsiTheme="minorHAnsi"/>
          <w:sz w:val="22"/>
          <w:szCs w:val="22"/>
        </w:rPr>
        <w:t>19</w:t>
      </w:r>
      <w:r w:rsidR="0014546F" w:rsidRPr="0029445E">
        <w:rPr>
          <w:rFonts w:asciiTheme="minorHAnsi" w:hAnsiTheme="minorHAnsi"/>
          <w:sz w:val="22"/>
          <w:szCs w:val="22"/>
        </w:rPr>
        <w:t xml:space="preserve">. </w:t>
      </w:r>
      <w:r w:rsidR="0014546F" w:rsidRPr="0029445E">
        <w:rPr>
          <w:rFonts w:asciiTheme="minorHAnsi" w:hAnsiTheme="minorHAnsi"/>
          <w:sz w:val="22"/>
          <w:szCs w:val="22"/>
        </w:rPr>
        <w:tab/>
        <w:t xml:space="preserve">McLean E, Cogswell M, Egli I, Wojdyla D,  De Benoist B. Worldwide prevalence of anaemia, WHO vitamin and mineral nutrition information system, 1993–2005. </w:t>
      </w:r>
      <w:r w:rsidR="0014546F" w:rsidRPr="0029445E">
        <w:rPr>
          <w:rFonts w:asciiTheme="minorHAnsi" w:hAnsiTheme="minorHAnsi"/>
          <w:i/>
          <w:iCs/>
          <w:sz w:val="22"/>
          <w:szCs w:val="22"/>
        </w:rPr>
        <w:t>Public Health Nutrition</w:t>
      </w:r>
      <w:r w:rsidR="0014546F" w:rsidRPr="0029445E">
        <w:rPr>
          <w:rFonts w:asciiTheme="minorHAnsi" w:hAnsiTheme="minorHAnsi"/>
          <w:sz w:val="22"/>
          <w:szCs w:val="22"/>
        </w:rPr>
        <w:t xml:space="preserve"> 2009; </w:t>
      </w:r>
      <w:r w:rsidR="0014546F" w:rsidRPr="0029445E">
        <w:rPr>
          <w:rFonts w:asciiTheme="minorHAnsi" w:hAnsiTheme="minorHAnsi"/>
          <w:b/>
          <w:sz w:val="22"/>
          <w:szCs w:val="22"/>
        </w:rPr>
        <w:t>12</w:t>
      </w:r>
      <w:r w:rsidR="0014546F" w:rsidRPr="0029445E">
        <w:rPr>
          <w:rFonts w:asciiTheme="minorHAnsi" w:hAnsiTheme="minorHAnsi"/>
          <w:sz w:val="22"/>
          <w:szCs w:val="22"/>
        </w:rPr>
        <w:t>: 444-54.</w:t>
      </w:r>
    </w:p>
    <w:p w14:paraId="01062901" w14:textId="3504DA07" w:rsidR="00246C57" w:rsidRPr="0029445E" w:rsidRDefault="00023861" w:rsidP="00246C57">
      <w:pPr>
        <w:pStyle w:val="EndNoteBibliography"/>
        <w:spacing w:line="480" w:lineRule="auto"/>
        <w:rPr>
          <w:rFonts w:asciiTheme="minorHAnsi" w:hAnsiTheme="minorHAnsi"/>
          <w:sz w:val="22"/>
          <w:szCs w:val="22"/>
        </w:rPr>
      </w:pPr>
      <w:r w:rsidRPr="0029445E">
        <w:rPr>
          <w:rFonts w:asciiTheme="minorHAnsi" w:hAnsiTheme="minorHAnsi"/>
          <w:sz w:val="22"/>
          <w:szCs w:val="22"/>
        </w:rPr>
        <w:t>20</w:t>
      </w:r>
      <w:r w:rsidR="00E7054B" w:rsidRPr="0029445E">
        <w:rPr>
          <w:rFonts w:asciiTheme="minorHAnsi" w:hAnsiTheme="minorHAnsi"/>
          <w:sz w:val="22"/>
          <w:szCs w:val="22"/>
        </w:rPr>
        <w:t xml:space="preserve">. </w:t>
      </w:r>
      <w:r w:rsidR="00880003" w:rsidRPr="0029445E">
        <w:rPr>
          <w:rFonts w:asciiTheme="minorHAnsi" w:hAnsiTheme="minorHAnsi"/>
          <w:sz w:val="22"/>
          <w:szCs w:val="22"/>
        </w:rPr>
        <w:tab/>
      </w:r>
      <w:r w:rsidR="0014546F" w:rsidRPr="0029445E">
        <w:rPr>
          <w:rFonts w:asciiTheme="minorHAnsi" w:hAnsiTheme="minorHAnsi"/>
          <w:sz w:val="22"/>
          <w:szCs w:val="22"/>
        </w:rPr>
        <w:t xml:space="preserve">Kassebaum NJ, Jasrasaria R, Naghavi M, et al. A ststematic analysis of global anaemia burden from 1990 to 2010. </w:t>
      </w:r>
      <w:r w:rsidR="0014546F" w:rsidRPr="0029445E">
        <w:rPr>
          <w:rFonts w:asciiTheme="minorHAnsi" w:hAnsiTheme="minorHAnsi"/>
          <w:i/>
          <w:sz w:val="22"/>
          <w:szCs w:val="22"/>
        </w:rPr>
        <w:t>Blood</w:t>
      </w:r>
      <w:r w:rsidR="0014546F" w:rsidRPr="0029445E">
        <w:rPr>
          <w:rFonts w:asciiTheme="minorHAnsi" w:hAnsiTheme="minorHAnsi"/>
          <w:sz w:val="22"/>
          <w:szCs w:val="22"/>
        </w:rPr>
        <w:t xml:space="preserve"> 2014; </w:t>
      </w:r>
      <w:r w:rsidR="0014546F" w:rsidRPr="0029445E">
        <w:rPr>
          <w:rFonts w:asciiTheme="minorHAnsi" w:hAnsiTheme="minorHAnsi"/>
          <w:b/>
          <w:sz w:val="22"/>
          <w:szCs w:val="22"/>
        </w:rPr>
        <w:t>123</w:t>
      </w:r>
      <w:r w:rsidR="0014546F" w:rsidRPr="0029445E">
        <w:rPr>
          <w:rFonts w:asciiTheme="minorHAnsi" w:hAnsiTheme="minorHAnsi"/>
          <w:sz w:val="22"/>
          <w:szCs w:val="22"/>
        </w:rPr>
        <w:t xml:space="preserve">: 615-24. </w:t>
      </w:r>
    </w:p>
    <w:p w14:paraId="38B5C3E4" w14:textId="571966CC" w:rsidR="00246C57" w:rsidRPr="0029445E" w:rsidRDefault="00023861" w:rsidP="00246C57">
      <w:pPr>
        <w:pStyle w:val="EndNoteBibliography"/>
        <w:spacing w:line="480" w:lineRule="auto"/>
        <w:rPr>
          <w:rFonts w:asciiTheme="minorHAnsi" w:hAnsiTheme="minorHAnsi"/>
          <w:sz w:val="22"/>
          <w:szCs w:val="22"/>
        </w:rPr>
      </w:pPr>
      <w:r w:rsidRPr="0029445E">
        <w:rPr>
          <w:rFonts w:asciiTheme="minorHAnsi" w:hAnsiTheme="minorHAnsi"/>
          <w:sz w:val="22"/>
          <w:szCs w:val="22"/>
        </w:rPr>
        <w:t>21</w:t>
      </w:r>
      <w:r w:rsidR="00246C57" w:rsidRPr="0029445E">
        <w:rPr>
          <w:rFonts w:asciiTheme="minorHAnsi" w:hAnsiTheme="minorHAnsi"/>
          <w:sz w:val="22"/>
          <w:szCs w:val="22"/>
        </w:rPr>
        <w:t xml:space="preserve">. </w:t>
      </w:r>
      <w:r w:rsidR="00880003" w:rsidRPr="0029445E">
        <w:rPr>
          <w:rFonts w:asciiTheme="minorHAnsi" w:hAnsiTheme="minorHAnsi"/>
          <w:sz w:val="22"/>
          <w:szCs w:val="22"/>
        </w:rPr>
        <w:tab/>
        <w:t xml:space="preserve">Hung M, Ortmann E, Besser M, et al. A prospective observational cohort study to identify the causes of anaemia and association with outcome in cardiac surgical patient. </w:t>
      </w:r>
      <w:r w:rsidR="00880003" w:rsidRPr="0029445E">
        <w:rPr>
          <w:rFonts w:asciiTheme="minorHAnsi" w:hAnsiTheme="minorHAnsi"/>
          <w:i/>
          <w:sz w:val="22"/>
          <w:szCs w:val="22"/>
        </w:rPr>
        <w:t xml:space="preserve">Heart </w:t>
      </w:r>
      <w:r w:rsidR="00880003" w:rsidRPr="0029445E">
        <w:rPr>
          <w:rFonts w:asciiTheme="minorHAnsi" w:hAnsiTheme="minorHAnsi"/>
          <w:sz w:val="22"/>
          <w:szCs w:val="22"/>
        </w:rPr>
        <w:t xml:space="preserve">2015; </w:t>
      </w:r>
      <w:r w:rsidR="00880003" w:rsidRPr="0029445E">
        <w:rPr>
          <w:rFonts w:asciiTheme="minorHAnsi" w:hAnsiTheme="minorHAnsi"/>
          <w:b/>
          <w:sz w:val="22"/>
          <w:szCs w:val="22"/>
        </w:rPr>
        <w:t>101</w:t>
      </w:r>
      <w:r w:rsidR="00880003" w:rsidRPr="0029445E">
        <w:rPr>
          <w:rFonts w:asciiTheme="minorHAnsi" w:hAnsiTheme="minorHAnsi"/>
          <w:sz w:val="22"/>
          <w:szCs w:val="22"/>
        </w:rPr>
        <w:t>: 107-12.</w:t>
      </w:r>
    </w:p>
    <w:p w14:paraId="6DD2E499" w14:textId="27F2FE24" w:rsidR="00880003" w:rsidRPr="0029445E" w:rsidRDefault="00023861" w:rsidP="00246C57">
      <w:pPr>
        <w:pStyle w:val="EndNoteBibliography"/>
        <w:spacing w:line="480" w:lineRule="auto"/>
        <w:rPr>
          <w:rFonts w:asciiTheme="minorHAnsi" w:hAnsiTheme="minorHAnsi"/>
          <w:sz w:val="22"/>
          <w:szCs w:val="22"/>
        </w:rPr>
      </w:pPr>
      <w:r w:rsidRPr="0029445E">
        <w:rPr>
          <w:rFonts w:asciiTheme="minorHAnsi" w:hAnsiTheme="minorHAnsi"/>
          <w:sz w:val="22"/>
          <w:szCs w:val="22"/>
        </w:rPr>
        <w:t>22</w:t>
      </w:r>
      <w:r w:rsidR="00880003" w:rsidRPr="0029445E">
        <w:rPr>
          <w:rFonts w:asciiTheme="minorHAnsi" w:hAnsiTheme="minorHAnsi"/>
          <w:sz w:val="22"/>
          <w:szCs w:val="22"/>
        </w:rPr>
        <w:t xml:space="preserve">. </w:t>
      </w:r>
      <w:r w:rsidR="00880003" w:rsidRPr="0029445E">
        <w:rPr>
          <w:rFonts w:asciiTheme="minorHAnsi" w:hAnsiTheme="minorHAnsi"/>
          <w:sz w:val="22"/>
          <w:szCs w:val="22"/>
        </w:rPr>
        <w:tab/>
        <w:t xml:space="preserve">Miceli A, Romeo F, Glauber M, de Siena PM, Caputo M, Angelini GD. </w:t>
      </w:r>
      <w:r w:rsidR="00880003" w:rsidRPr="0029445E">
        <w:rPr>
          <w:rFonts w:asciiTheme="minorHAnsi" w:hAnsiTheme="minorHAnsi"/>
          <w:bCs/>
          <w:sz w:val="22"/>
          <w:szCs w:val="22"/>
        </w:rPr>
        <w:t>Preoperative</w:t>
      </w:r>
      <w:r w:rsidR="00880003" w:rsidRPr="0029445E">
        <w:rPr>
          <w:rFonts w:asciiTheme="minorHAnsi" w:hAnsiTheme="minorHAnsi"/>
          <w:sz w:val="22"/>
          <w:szCs w:val="22"/>
        </w:rPr>
        <w:t xml:space="preserve"> </w:t>
      </w:r>
      <w:r w:rsidR="00880003" w:rsidRPr="0029445E">
        <w:rPr>
          <w:rFonts w:asciiTheme="minorHAnsi" w:hAnsiTheme="minorHAnsi"/>
          <w:bCs/>
          <w:sz w:val="22"/>
          <w:szCs w:val="22"/>
        </w:rPr>
        <w:t>anemia</w:t>
      </w:r>
      <w:r w:rsidR="00880003" w:rsidRPr="0029445E">
        <w:rPr>
          <w:rFonts w:asciiTheme="minorHAnsi" w:hAnsiTheme="minorHAnsi"/>
          <w:sz w:val="22"/>
          <w:szCs w:val="22"/>
        </w:rPr>
        <w:t xml:space="preserve"> increases mortality and postoperative morbidity after </w:t>
      </w:r>
      <w:r w:rsidR="00880003" w:rsidRPr="0029445E">
        <w:rPr>
          <w:rFonts w:asciiTheme="minorHAnsi" w:hAnsiTheme="minorHAnsi"/>
          <w:bCs/>
          <w:sz w:val="22"/>
          <w:szCs w:val="22"/>
        </w:rPr>
        <w:t>cardiac surgery</w:t>
      </w:r>
      <w:r w:rsidR="00880003" w:rsidRPr="0029445E">
        <w:rPr>
          <w:rFonts w:asciiTheme="minorHAnsi" w:hAnsiTheme="minorHAnsi"/>
          <w:sz w:val="22"/>
          <w:szCs w:val="22"/>
        </w:rPr>
        <w:t xml:space="preserve">. </w:t>
      </w:r>
      <w:r w:rsidR="00880003" w:rsidRPr="0029445E">
        <w:rPr>
          <w:rFonts w:asciiTheme="minorHAnsi" w:hAnsiTheme="minorHAnsi"/>
          <w:i/>
          <w:sz w:val="22"/>
          <w:szCs w:val="22"/>
        </w:rPr>
        <w:t>Journal of Cardiothoracic Surgery</w:t>
      </w:r>
      <w:r w:rsidR="00880003" w:rsidRPr="0029445E">
        <w:rPr>
          <w:rFonts w:asciiTheme="minorHAnsi" w:hAnsiTheme="minorHAnsi"/>
          <w:sz w:val="22"/>
          <w:szCs w:val="22"/>
        </w:rPr>
        <w:t xml:space="preserve"> 2014; </w:t>
      </w:r>
      <w:r w:rsidR="00880003" w:rsidRPr="0029445E">
        <w:rPr>
          <w:rFonts w:asciiTheme="minorHAnsi" w:hAnsiTheme="minorHAnsi"/>
          <w:b/>
          <w:sz w:val="22"/>
          <w:szCs w:val="22"/>
        </w:rPr>
        <w:t>9</w:t>
      </w:r>
      <w:r w:rsidR="00880003" w:rsidRPr="0029445E">
        <w:rPr>
          <w:rFonts w:asciiTheme="minorHAnsi" w:hAnsiTheme="minorHAnsi"/>
          <w:sz w:val="22"/>
          <w:szCs w:val="22"/>
        </w:rPr>
        <w:t xml:space="preserve">: 137. </w:t>
      </w:r>
    </w:p>
    <w:p w14:paraId="5B3770F5" w14:textId="6B0380A9" w:rsidR="00880003" w:rsidRPr="0029445E" w:rsidRDefault="00023861" w:rsidP="00246C57">
      <w:pPr>
        <w:pStyle w:val="EndNoteBibliography"/>
        <w:spacing w:line="480" w:lineRule="auto"/>
        <w:rPr>
          <w:rFonts w:asciiTheme="minorHAnsi" w:hAnsiTheme="minorHAnsi"/>
          <w:sz w:val="22"/>
          <w:szCs w:val="22"/>
        </w:rPr>
      </w:pPr>
      <w:r w:rsidRPr="0029445E">
        <w:rPr>
          <w:rFonts w:asciiTheme="minorHAnsi" w:hAnsiTheme="minorHAnsi"/>
          <w:sz w:val="22"/>
          <w:szCs w:val="22"/>
        </w:rPr>
        <w:t>23</w:t>
      </w:r>
      <w:r w:rsidR="00880003" w:rsidRPr="0029445E">
        <w:rPr>
          <w:rFonts w:asciiTheme="minorHAnsi" w:hAnsiTheme="minorHAnsi"/>
          <w:sz w:val="22"/>
          <w:szCs w:val="22"/>
        </w:rPr>
        <w:t xml:space="preserve">. </w:t>
      </w:r>
      <w:r w:rsidR="00880003" w:rsidRPr="0029445E">
        <w:rPr>
          <w:rFonts w:asciiTheme="minorHAnsi" w:hAnsiTheme="minorHAnsi"/>
          <w:sz w:val="22"/>
          <w:szCs w:val="22"/>
        </w:rPr>
        <w:tab/>
        <w:t xml:space="preserve">Ranucci M, Di Dedda U, Castelvecchio S, Menicanti L, Frigiola A, Pelissero G. Impact of preoperative anemia on outcome in adult cardiac surgery: a propensity-matched analysis. </w:t>
      </w:r>
      <w:r w:rsidR="00880003" w:rsidRPr="0029445E">
        <w:rPr>
          <w:rFonts w:asciiTheme="minorHAnsi" w:hAnsiTheme="minorHAnsi"/>
          <w:i/>
          <w:sz w:val="22"/>
          <w:szCs w:val="22"/>
        </w:rPr>
        <w:t>Annals of Thoracic Surgery</w:t>
      </w:r>
      <w:r w:rsidR="00880003" w:rsidRPr="0029445E">
        <w:rPr>
          <w:rFonts w:asciiTheme="minorHAnsi" w:hAnsiTheme="minorHAnsi"/>
          <w:sz w:val="22"/>
          <w:szCs w:val="22"/>
        </w:rPr>
        <w:t xml:space="preserve"> 2012;</w:t>
      </w:r>
      <w:r w:rsidR="00880003" w:rsidRPr="0029445E">
        <w:rPr>
          <w:rFonts w:asciiTheme="minorHAnsi" w:hAnsiTheme="minorHAnsi"/>
          <w:b/>
          <w:sz w:val="22"/>
          <w:szCs w:val="22"/>
        </w:rPr>
        <w:t xml:space="preserve"> 94</w:t>
      </w:r>
      <w:r w:rsidR="00880003" w:rsidRPr="0029445E">
        <w:rPr>
          <w:rFonts w:asciiTheme="minorHAnsi" w:hAnsiTheme="minorHAnsi"/>
          <w:sz w:val="22"/>
          <w:szCs w:val="22"/>
        </w:rPr>
        <w:t>: 1134-41.</w:t>
      </w:r>
    </w:p>
    <w:p w14:paraId="0744A52B" w14:textId="72EF38BD" w:rsidR="00741C46" w:rsidRPr="0029445E" w:rsidRDefault="00741C46" w:rsidP="00741C46">
      <w:pPr>
        <w:widowControl w:val="0"/>
        <w:autoSpaceDE w:val="0"/>
        <w:autoSpaceDN w:val="0"/>
        <w:adjustRightInd w:val="0"/>
        <w:spacing w:after="0" w:line="480" w:lineRule="auto"/>
        <w:rPr>
          <w:rFonts w:cs="Times New Roman"/>
          <w:lang w:val="en-US"/>
        </w:rPr>
      </w:pPr>
      <w:r w:rsidRPr="0029445E">
        <w:rPr>
          <w:rFonts w:cs="Times New Roman"/>
          <w:lang w:val="en-US"/>
        </w:rPr>
        <w:t>24.</w:t>
      </w:r>
      <w:r w:rsidRPr="0029445E">
        <w:rPr>
          <w:rFonts w:cs="Times New Roman"/>
          <w:lang w:val="en-US"/>
        </w:rPr>
        <w:tab/>
        <w:t xml:space="preserve">Musallam KM, Porter JB, Sfeir PM, et al. </w:t>
      </w:r>
      <w:r w:rsidRPr="0029445E">
        <w:rPr>
          <w:rFonts w:cs="Times New Roman"/>
          <w:bCs/>
          <w:lang w:val="en-US"/>
        </w:rPr>
        <w:t xml:space="preserve">Raised haematocrit concentration and the risk of death and vascular complications after major surgery. </w:t>
      </w:r>
      <w:r w:rsidRPr="0029445E">
        <w:rPr>
          <w:rFonts w:cs="Times New Roman"/>
          <w:i/>
          <w:lang w:val="en-US"/>
        </w:rPr>
        <w:t>British Journal of Surgery</w:t>
      </w:r>
      <w:r w:rsidRPr="0029445E">
        <w:rPr>
          <w:rFonts w:cs="Times New Roman"/>
          <w:lang w:val="en-US"/>
        </w:rPr>
        <w:t xml:space="preserve"> 2013; </w:t>
      </w:r>
      <w:r w:rsidRPr="0029445E">
        <w:rPr>
          <w:rFonts w:cs="Times New Roman"/>
          <w:b/>
          <w:lang w:val="en-US"/>
        </w:rPr>
        <w:t>100</w:t>
      </w:r>
      <w:r w:rsidRPr="0029445E">
        <w:rPr>
          <w:rFonts w:cs="Times New Roman"/>
          <w:lang w:val="en-US"/>
        </w:rPr>
        <w:t xml:space="preserve">: 1030-6. </w:t>
      </w:r>
    </w:p>
    <w:p w14:paraId="052FE3AB" w14:textId="5E923B58" w:rsidR="00F52779" w:rsidRPr="0029445E" w:rsidRDefault="00741C46" w:rsidP="00741C46">
      <w:pPr>
        <w:pStyle w:val="EndNoteBibliography"/>
        <w:spacing w:line="480" w:lineRule="auto"/>
        <w:rPr>
          <w:rFonts w:asciiTheme="minorHAnsi" w:hAnsiTheme="minorHAnsi"/>
          <w:sz w:val="22"/>
          <w:szCs w:val="22"/>
        </w:rPr>
      </w:pPr>
      <w:r w:rsidRPr="0029445E">
        <w:rPr>
          <w:rFonts w:asciiTheme="minorHAnsi" w:hAnsiTheme="minorHAnsi"/>
          <w:sz w:val="22"/>
          <w:szCs w:val="22"/>
        </w:rPr>
        <w:t>25</w:t>
      </w:r>
      <w:r w:rsidR="00F52779" w:rsidRPr="0029445E">
        <w:rPr>
          <w:rFonts w:asciiTheme="minorHAnsi" w:hAnsiTheme="minorHAnsi"/>
          <w:sz w:val="22"/>
          <w:szCs w:val="22"/>
        </w:rPr>
        <w:t xml:space="preserve">. </w:t>
      </w:r>
      <w:r w:rsidR="00B000E4" w:rsidRPr="0029445E">
        <w:rPr>
          <w:rFonts w:asciiTheme="minorHAnsi" w:hAnsiTheme="minorHAnsi"/>
          <w:sz w:val="22"/>
          <w:szCs w:val="22"/>
        </w:rPr>
        <w:tab/>
        <w:t xml:space="preserve">Anker SD, Colet JC, Filippatos G, et al. </w:t>
      </w:r>
      <w:r w:rsidR="00B000E4" w:rsidRPr="0029445E">
        <w:rPr>
          <w:rFonts w:asciiTheme="minorHAnsi" w:hAnsiTheme="minorHAnsi"/>
          <w:sz w:val="22"/>
          <w:szCs w:val="22"/>
          <w:lang w:val="en-GB"/>
        </w:rPr>
        <w:t xml:space="preserve">Ferric carboxymaltose in patients with heart failure and iron deficiency. </w:t>
      </w:r>
      <w:r w:rsidR="00B000E4" w:rsidRPr="0029445E">
        <w:rPr>
          <w:rFonts w:asciiTheme="minorHAnsi" w:hAnsiTheme="minorHAnsi"/>
          <w:i/>
          <w:sz w:val="22"/>
          <w:szCs w:val="22"/>
          <w:lang w:val="en-GB"/>
        </w:rPr>
        <w:t>New England Journal of Medicine</w:t>
      </w:r>
      <w:r w:rsidR="00B000E4" w:rsidRPr="0029445E">
        <w:rPr>
          <w:rFonts w:asciiTheme="minorHAnsi" w:hAnsiTheme="minorHAnsi"/>
          <w:sz w:val="22"/>
          <w:szCs w:val="22"/>
          <w:lang w:val="en-GB"/>
        </w:rPr>
        <w:t xml:space="preserve"> 2009; </w:t>
      </w:r>
      <w:r w:rsidR="00B000E4" w:rsidRPr="0029445E">
        <w:rPr>
          <w:rFonts w:asciiTheme="minorHAnsi" w:hAnsiTheme="minorHAnsi"/>
          <w:b/>
          <w:sz w:val="22"/>
          <w:szCs w:val="22"/>
          <w:lang w:val="en-GB"/>
        </w:rPr>
        <w:t>361</w:t>
      </w:r>
      <w:r w:rsidR="00B000E4" w:rsidRPr="0029445E">
        <w:rPr>
          <w:rFonts w:asciiTheme="minorHAnsi" w:hAnsiTheme="minorHAnsi"/>
          <w:sz w:val="22"/>
          <w:szCs w:val="22"/>
          <w:lang w:val="en-GB"/>
        </w:rPr>
        <w:t>: 2436-48.</w:t>
      </w:r>
    </w:p>
    <w:p w14:paraId="15D4F7CA" w14:textId="0EF150DF" w:rsidR="00F52779" w:rsidRPr="0029445E" w:rsidRDefault="00741C46" w:rsidP="00741C46">
      <w:pPr>
        <w:pStyle w:val="EndNoteBibliography"/>
        <w:spacing w:line="480" w:lineRule="auto"/>
        <w:rPr>
          <w:rFonts w:asciiTheme="minorHAnsi" w:hAnsiTheme="minorHAnsi"/>
          <w:sz w:val="22"/>
          <w:szCs w:val="22"/>
        </w:rPr>
      </w:pPr>
      <w:r w:rsidRPr="0029445E">
        <w:rPr>
          <w:rFonts w:asciiTheme="minorHAnsi" w:hAnsiTheme="minorHAnsi"/>
          <w:sz w:val="22"/>
          <w:szCs w:val="22"/>
        </w:rPr>
        <w:t>26</w:t>
      </w:r>
      <w:r w:rsidR="00F52779" w:rsidRPr="0029445E">
        <w:rPr>
          <w:rFonts w:asciiTheme="minorHAnsi" w:hAnsiTheme="minorHAnsi"/>
          <w:sz w:val="22"/>
          <w:szCs w:val="22"/>
        </w:rPr>
        <w:t>.</w:t>
      </w:r>
      <w:r w:rsidR="00A47789" w:rsidRPr="0029445E">
        <w:rPr>
          <w:rFonts w:asciiTheme="minorHAnsi" w:hAnsiTheme="minorHAnsi"/>
          <w:sz w:val="22"/>
          <w:szCs w:val="22"/>
        </w:rPr>
        <w:tab/>
        <w:t xml:space="preserve">Kidney Disease Improving Global Outcomes Working Group. Clinical practice guideline for anemia in chronic kidney disease. </w:t>
      </w:r>
      <w:r w:rsidR="00A47789" w:rsidRPr="0029445E">
        <w:rPr>
          <w:rFonts w:asciiTheme="minorHAnsi" w:hAnsiTheme="minorHAnsi"/>
          <w:i/>
          <w:sz w:val="22"/>
          <w:szCs w:val="22"/>
        </w:rPr>
        <w:t>Kidney International Supplements</w:t>
      </w:r>
      <w:r w:rsidR="00A47789" w:rsidRPr="0029445E">
        <w:rPr>
          <w:rFonts w:asciiTheme="minorHAnsi" w:hAnsiTheme="minorHAnsi"/>
          <w:sz w:val="22"/>
          <w:szCs w:val="22"/>
        </w:rPr>
        <w:t xml:space="preserve"> 2012; </w:t>
      </w:r>
      <w:r w:rsidR="00A47789" w:rsidRPr="0029445E">
        <w:rPr>
          <w:rFonts w:asciiTheme="minorHAnsi" w:hAnsiTheme="minorHAnsi"/>
          <w:b/>
          <w:sz w:val="22"/>
          <w:szCs w:val="22"/>
        </w:rPr>
        <w:t>2</w:t>
      </w:r>
      <w:r w:rsidR="00A47789" w:rsidRPr="0029445E">
        <w:rPr>
          <w:rFonts w:asciiTheme="minorHAnsi" w:hAnsiTheme="minorHAnsi"/>
          <w:sz w:val="22"/>
          <w:szCs w:val="22"/>
        </w:rPr>
        <w:t xml:space="preserve">: 279-335. </w:t>
      </w:r>
    </w:p>
    <w:p w14:paraId="0A9B4920" w14:textId="673DFEAF" w:rsidR="00EC3724" w:rsidRPr="0029445E" w:rsidRDefault="00741C46" w:rsidP="00741C46">
      <w:pPr>
        <w:pStyle w:val="EndNoteBibliography"/>
        <w:spacing w:line="480" w:lineRule="auto"/>
        <w:rPr>
          <w:rFonts w:asciiTheme="minorHAnsi" w:hAnsiTheme="minorHAnsi"/>
          <w:sz w:val="22"/>
          <w:szCs w:val="22"/>
          <w:lang w:val="en-GB"/>
        </w:rPr>
      </w:pPr>
      <w:r w:rsidRPr="0029445E">
        <w:rPr>
          <w:rFonts w:asciiTheme="minorHAnsi" w:hAnsiTheme="minorHAnsi"/>
          <w:sz w:val="22"/>
          <w:szCs w:val="22"/>
        </w:rPr>
        <w:t>27</w:t>
      </w:r>
      <w:r w:rsidR="00EC3724" w:rsidRPr="0029445E">
        <w:rPr>
          <w:rFonts w:asciiTheme="minorHAnsi" w:hAnsiTheme="minorHAnsi"/>
          <w:sz w:val="22"/>
          <w:szCs w:val="22"/>
        </w:rPr>
        <w:t xml:space="preserve">. </w:t>
      </w:r>
      <w:r w:rsidR="00426B76" w:rsidRPr="0029445E">
        <w:rPr>
          <w:rFonts w:asciiTheme="minorHAnsi" w:hAnsiTheme="minorHAnsi"/>
          <w:sz w:val="22"/>
          <w:szCs w:val="22"/>
        </w:rPr>
        <w:tab/>
      </w:r>
      <w:r w:rsidR="00EC3724" w:rsidRPr="0029445E">
        <w:rPr>
          <w:rFonts w:asciiTheme="minorHAnsi" w:hAnsiTheme="minorHAnsi"/>
          <w:sz w:val="22"/>
          <w:szCs w:val="22"/>
        </w:rPr>
        <w:t xml:space="preserve">Clevenger B, Mallett SV, Klein AA, Richards Y. </w:t>
      </w:r>
      <w:hyperlink r:id="rId9" w:history="1">
        <w:r w:rsidR="00EC3724" w:rsidRPr="0029445E">
          <w:rPr>
            <w:rFonts w:asciiTheme="minorHAnsi" w:hAnsiTheme="minorHAnsi"/>
            <w:sz w:val="22"/>
            <w:szCs w:val="22"/>
          </w:rPr>
          <w:t>Patient blood management to reduce surgical risk</w:t>
        </w:r>
      </w:hyperlink>
      <w:r w:rsidR="00EC3724" w:rsidRPr="0029445E">
        <w:rPr>
          <w:rFonts w:asciiTheme="minorHAnsi" w:hAnsiTheme="minorHAnsi"/>
          <w:sz w:val="22"/>
          <w:szCs w:val="22"/>
        </w:rPr>
        <w:t xml:space="preserve">. </w:t>
      </w:r>
      <w:r w:rsidR="00EC3724" w:rsidRPr="0029445E">
        <w:rPr>
          <w:rFonts w:asciiTheme="minorHAnsi" w:hAnsiTheme="minorHAnsi"/>
          <w:i/>
          <w:sz w:val="22"/>
          <w:szCs w:val="22"/>
        </w:rPr>
        <w:t>British Journal of Surgery</w:t>
      </w:r>
      <w:r w:rsidR="00EC3724" w:rsidRPr="0029445E">
        <w:rPr>
          <w:rFonts w:asciiTheme="minorHAnsi" w:hAnsiTheme="minorHAnsi"/>
          <w:sz w:val="22"/>
          <w:szCs w:val="22"/>
        </w:rPr>
        <w:t xml:space="preserve"> 2015; </w:t>
      </w:r>
      <w:r w:rsidR="00EC3724" w:rsidRPr="0029445E">
        <w:rPr>
          <w:rFonts w:asciiTheme="minorHAnsi" w:hAnsiTheme="minorHAnsi"/>
          <w:b/>
          <w:sz w:val="22"/>
          <w:szCs w:val="22"/>
          <w:lang w:val="en-GB"/>
        </w:rPr>
        <w:t>102</w:t>
      </w:r>
      <w:r w:rsidR="00EC3724" w:rsidRPr="0029445E">
        <w:rPr>
          <w:rFonts w:asciiTheme="minorHAnsi" w:hAnsiTheme="minorHAnsi"/>
          <w:sz w:val="22"/>
          <w:szCs w:val="22"/>
          <w:lang w:val="en-GB"/>
        </w:rPr>
        <w:t>: 1325-37.</w:t>
      </w:r>
    </w:p>
    <w:p w14:paraId="0C7C9ACA" w14:textId="1D4172F0" w:rsidR="00B000E4" w:rsidRPr="0029445E" w:rsidRDefault="00741C46" w:rsidP="00246C57">
      <w:pPr>
        <w:pStyle w:val="EndNoteBibliography"/>
        <w:spacing w:line="480" w:lineRule="auto"/>
        <w:rPr>
          <w:rFonts w:asciiTheme="minorHAnsi" w:hAnsiTheme="minorHAnsi" w:cs="Times"/>
          <w:sz w:val="22"/>
          <w:szCs w:val="22"/>
        </w:rPr>
      </w:pPr>
      <w:r w:rsidRPr="0029445E">
        <w:rPr>
          <w:rFonts w:asciiTheme="minorHAnsi" w:hAnsiTheme="minorHAnsi"/>
          <w:sz w:val="22"/>
          <w:szCs w:val="22"/>
        </w:rPr>
        <w:t>28</w:t>
      </w:r>
      <w:r w:rsidR="00B000E4" w:rsidRPr="0029445E">
        <w:rPr>
          <w:rFonts w:asciiTheme="minorHAnsi" w:hAnsiTheme="minorHAnsi"/>
          <w:sz w:val="22"/>
          <w:szCs w:val="22"/>
        </w:rPr>
        <w:t xml:space="preserve">. </w:t>
      </w:r>
      <w:r w:rsidR="00B000E4" w:rsidRPr="0029445E">
        <w:rPr>
          <w:rFonts w:asciiTheme="minorHAnsi" w:hAnsiTheme="minorHAnsi"/>
          <w:sz w:val="22"/>
          <w:szCs w:val="22"/>
        </w:rPr>
        <w:tab/>
      </w:r>
      <w:r w:rsidR="00B000E4" w:rsidRPr="0029445E">
        <w:rPr>
          <w:rFonts w:asciiTheme="minorHAnsi" w:hAnsiTheme="minorHAnsi" w:cs="Times"/>
          <w:sz w:val="22"/>
          <w:szCs w:val="22"/>
        </w:rPr>
        <w:t xml:space="preserve">Litton E, Xiao J, Ho KM. Safety and efficacy of intravenous iron therapy in reducing requirement for allogeneic blood transfusion: systematic review and meta-analysis of randomised clinical trials. </w:t>
      </w:r>
      <w:r w:rsidR="00B000E4" w:rsidRPr="0029445E">
        <w:rPr>
          <w:rFonts w:asciiTheme="minorHAnsi" w:hAnsiTheme="minorHAnsi" w:cs="Times"/>
          <w:i/>
          <w:sz w:val="22"/>
          <w:szCs w:val="22"/>
        </w:rPr>
        <w:t>British Medical Journal</w:t>
      </w:r>
      <w:r w:rsidR="00B000E4" w:rsidRPr="0029445E">
        <w:rPr>
          <w:rFonts w:asciiTheme="minorHAnsi" w:hAnsiTheme="minorHAnsi" w:cs="Times"/>
          <w:sz w:val="22"/>
          <w:szCs w:val="22"/>
        </w:rPr>
        <w:t xml:space="preserve"> 2013; </w:t>
      </w:r>
      <w:r w:rsidR="00B000E4" w:rsidRPr="0029445E">
        <w:rPr>
          <w:rFonts w:asciiTheme="minorHAnsi" w:hAnsiTheme="minorHAnsi" w:cs="Times"/>
          <w:b/>
          <w:sz w:val="22"/>
          <w:szCs w:val="22"/>
        </w:rPr>
        <w:t>347</w:t>
      </w:r>
      <w:r w:rsidR="00B000E4" w:rsidRPr="0029445E">
        <w:rPr>
          <w:rFonts w:asciiTheme="minorHAnsi" w:hAnsiTheme="minorHAnsi" w:cs="Times"/>
          <w:sz w:val="22"/>
          <w:szCs w:val="22"/>
        </w:rPr>
        <w:t>:</w:t>
      </w:r>
      <w:r w:rsidR="00A77379" w:rsidRPr="0029445E">
        <w:rPr>
          <w:rFonts w:asciiTheme="minorHAnsi" w:hAnsiTheme="minorHAnsi" w:cs="Times"/>
          <w:sz w:val="22"/>
          <w:szCs w:val="22"/>
        </w:rPr>
        <w:t xml:space="preserve"> </w:t>
      </w:r>
      <w:r w:rsidR="00B000E4" w:rsidRPr="0029445E">
        <w:rPr>
          <w:rFonts w:asciiTheme="minorHAnsi" w:hAnsiTheme="minorHAnsi" w:cs="Times"/>
          <w:sz w:val="22"/>
          <w:szCs w:val="22"/>
        </w:rPr>
        <w:t>f4822.</w:t>
      </w:r>
    </w:p>
    <w:p w14:paraId="5F02EC0D" w14:textId="0F8DAD8D" w:rsidR="00A6587E" w:rsidRPr="0029445E" w:rsidRDefault="00741C46" w:rsidP="00246C57">
      <w:pPr>
        <w:pStyle w:val="EndNoteBibliography"/>
        <w:spacing w:line="480" w:lineRule="auto"/>
        <w:rPr>
          <w:rFonts w:asciiTheme="minorHAnsi" w:hAnsiTheme="minorHAnsi"/>
          <w:sz w:val="22"/>
          <w:szCs w:val="22"/>
          <w:lang w:val="en-GB"/>
        </w:rPr>
      </w:pPr>
      <w:r w:rsidRPr="0029445E">
        <w:rPr>
          <w:rFonts w:asciiTheme="minorHAnsi" w:hAnsiTheme="minorHAnsi"/>
          <w:sz w:val="22"/>
          <w:szCs w:val="22"/>
        </w:rPr>
        <w:t>29</w:t>
      </w:r>
      <w:r w:rsidR="00A6587E" w:rsidRPr="0029445E">
        <w:rPr>
          <w:rFonts w:asciiTheme="minorHAnsi" w:hAnsiTheme="minorHAnsi"/>
          <w:sz w:val="22"/>
          <w:szCs w:val="22"/>
        </w:rPr>
        <w:t xml:space="preserve">. </w:t>
      </w:r>
      <w:r w:rsidR="00A6587E" w:rsidRPr="0029445E">
        <w:rPr>
          <w:rFonts w:asciiTheme="minorHAnsi" w:hAnsiTheme="minorHAnsi"/>
          <w:sz w:val="22"/>
          <w:szCs w:val="22"/>
        </w:rPr>
        <w:tab/>
      </w:r>
      <w:r w:rsidR="00A6587E" w:rsidRPr="0029445E">
        <w:rPr>
          <w:rFonts w:asciiTheme="minorHAnsi" w:hAnsiTheme="minorHAnsi"/>
          <w:sz w:val="22"/>
          <w:szCs w:val="22"/>
          <w:lang w:val="en-GB"/>
        </w:rPr>
        <w:t xml:space="preserve">Papachristofi O, Sharples LD, Mackay JH, et al. The contribution of the anaesthetist to risk-adjusted mortality after cardiac surgery. </w:t>
      </w:r>
      <w:r w:rsidR="00A6587E" w:rsidRPr="0029445E">
        <w:rPr>
          <w:rFonts w:asciiTheme="minorHAnsi" w:hAnsiTheme="minorHAnsi"/>
          <w:i/>
          <w:sz w:val="22"/>
          <w:szCs w:val="22"/>
          <w:lang w:val="en-GB"/>
        </w:rPr>
        <w:t xml:space="preserve">Anaesthesia </w:t>
      </w:r>
      <w:r w:rsidR="00A6587E" w:rsidRPr="0029445E">
        <w:rPr>
          <w:rFonts w:asciiTheme="minorHAnsi" w:hAnsiTheme="minorHAnsi"/>
          <w:sz w:val="22"/>
          <w:szCs w:val="22"/>
          <w:lang w:val="en-GB"/>
        </w:rPr>
        <w:t xml:space="preserve">2016; </w:t>
      </w:r>
      <w:r w:rsidR="00A6587E" w:rsidRPr="0029445E">
        <w:rPr>
          <w:rFonts w:asciiTheme="minorHAnsi" w:hAnsiTheme="minorHAnsi"/>
          <w:b/>
          <w:sz w:val="22"/>
          <w:szCs w:val="22"/>
          <w:lang w:val="en-GB"/>
        </w:rPr>
        <w:t>71</w:t>
      </w:r>
      <w:r w:rsidR="00A6587E" w:rsidRPr="0029445E">
        <w:rPr>
          <w:rFonts w:asciiTheme="minorHAnsi" w:hAnsiTheme="minorHAnsi"/>
          <w:sz w:val="22"/>
          <w:szCs w:val="22"/>
          <w:lang w:val="en-GB"/>
        </w:rPr>
        <w:t>: xxx</w:t>
      </w:r>
    </w:p>
    <w:p w14:paraId="4C7EC41D" w14:textId="5CF9880B" w:rsidR="007F07D9" w:rsidRPr="0029445E" w:rsidRDefault="00741C46" w:rsidP="007F07D9">
      <w:pPr>
        <w:pStyle w:val="EndNoteBibliography"/>
        <w:spacing w:line="480" w:lineRule="auto"/>
        <w:rPr>
          <w:rFonts w:asciiTheme="minorHAnsi" w:hAnsiTheme="minorHAnsi"/>
          <w:i/>
          <w:sz w:val="22"/>
          <w:szCs w:val="22"/>
        </w:rPr>
      </w:pPr>
      <w:r w:rsidRPr="0029445E">
        <w:rPr>
          <w:rFonts w:asciiTheme="minorHAnsi" w:hAnsiTheme="minorHAnsi"/>
          <w:sz w:val="22"/>
          <w:szCs w:val="22"/>
          <w:lang w:val="en-GB"/>
        </w:rPr>
        <w:t>30</w:t>
      </w:r>
      <w:r w:rsidR="007F07D9" w:rsidRPr="0029445E">
        <w:rPr>
          <w:rFonts w:asciiTheme="minorHAnsi" w:hAnsiTheme="minorHAnsi"/>
          <w:sz w:val="22"/>
          <w:szCs w:val="22"/>
          <w:lang w:val="en-GB"/>
        </w:rPr>
        <w:t>.</w:t>
      </w:r>
      <w:r w:rsidR="007F07D9" w:rsidRPr="0029445E">
        <w:rPr>
          <w:rFonts w:asciiTheme="minorHAnsi" w:hAnsiTheme="minorHAnsi"/>
          <w:sz w:val="22"/>
          <w:szCs w:val="22"/>
          <w:lang w:val="en-GB"/>
        </w:rPr>
        <w:tab/>
        <w:t>Murphy GJ, Pike K, Rogers CA, et al.</w:t>
      </w:r>
      <w:r w:rsidR="007F07D9" w:rsidRPr="0029445E">
        <w:rPr>
          <w:rFonts w:asciiTheme="minorHAnsi" w:hAnsiTheme="minorHAnsi"/>
          <w:i/>
          <w:sz w:val="22"/>
          <w:szCs w:val="22"/>
        </w:rPr>
        <w:t xml:space="preserve"> </w:t>
      </w:r>
      <w:r w:rsidR="007F07D9" w:rsidRPr="0029445E">
        <w:rPr>
          <w:rFonts w:asciiTheme="minorHAnsi" w:hAnsiTheme="minorHAnsi"/>
          <w:bCs/>
          <w:sz w:val="22"/>
          <w:szCs w:val="22"/>
        </w:rPr>
        <w:t xml:space="preserve">Liberal or restrictive transfusion after cardiac surgery. </w:t>
      </w:r>
      <w:r w:rsidR="007F07D9" w:rsidRPr="0029445E">
        <w:rPr>
          <w:rFonts w:asciiTheme="minorHAnsi" w:hAnsiTheme="minorHAnsi"/>
          <w:i/>
          <w:sz w:val="22"/>
          <w:szCs w:val="22"/>
        </w:rPr>
        <w:t>New England Journal of Medicine</w:t>
      </w:r>
      <w:r w:rsidR="007F07D9" w:rsidRPr="0029445E">
        <w:rPr>
          <w:rFonts w:asciiTheme="minorHAnsi" w:hAnsiTheme="minorHAnsi"/>
          <w:sz w:val="22"/>
          <w:szCs w:val="22"/>
        </w:rPr>
        <w:t xml:space="preserve"> 2015; </w:t>
      </w:r>
      <w:r w:rsidR="007F07D9" w:rsidRPr="0029445E">
        <w:rPr>
          <w:rFonts w:asciiTheme="minorHAnsi" w:hAnsiTheme="minorHAnsi"/>
          <w:b/>
          <w:sz w:val="22"/>
          <w:szCs w:val="22"/>
        </w:rPr>
        <w:t>372</w:t>
      </w:r>
      <w:r w:rsidR="007F07D9" w:rsidRPr="0029445E">
        <w:rPr>
          <w:rFonts w:asciiTheme="minorHAnsi" w:hAnsiTheme="minorHAnsi"/>
          <w:sz w:val="22"/>
          <w:szCs w:val="22"/>
        </w:rPr>
        <w:t xml:space="preserve">: 997-1008. </w:t>
      </w:r>
    </w:p>
    <w:p w14:paraId="35EC8997" w14:textId="77777777" w:rsidR="00426B76" w:rsidRPr="0029445E" w:rsidRDefault="00426B76" w:rsidP="00246C57">
      <w:pPr>
        <w:pStyle w:val="EndNoteBibliography"/>
        <w:spacing w:line="480" w:lineRule="auto"/>
        <w:rPr>
          <w:rFonts w:asciiTheme="minorHAnsi" w:hAnsiTheme="minorHAnsi"/>
          <w:sz w:val="22"/>
          <w:szCs w:val="22"/>
        </w:rPr>
      </w:pPr>
    </w:p>
    <w:p w14:paraId="39374FB7" w14:textId="41D737FE" w:rsidR="00BA4973" w:rsidRPr="0029445E" w:rsidRDefault="00BA4973">
      <w:pPr>
        <w:rPr>
          <w:rFonts w:eastAsia="MS ??" w:cs="Times New Roman"/>
          <w:noProof/>
          <w:lang w:val="en-US"/>
        </w:rPr>
      </w:pPr>
      <w:r w:rsidRPr="0029445E">
        <w:rPr>
          <w:noProof/>
        </w:rPr>
        <w:br w:type="page"/>
      </w:r>
    </w:p>
    <w:p w14:paraId="2C5B7521" w14:textId="23189068" w:rsidR="009C454F" w:rsidRPr="0029445E" w:rsidRDefault="00BA4973" w:rsidP="009C454F">
      <w:pPr>
        <w:pStyle w:val="EndNoteBibliography"/>
        <w:spacing w:line="480" w:lineRule="auto"/>
        <w:rPr>
          <w:rFonts w:asciiTheme="minorHAnsi" w:hAnsiTheme="minorHAnsi"/>
          <w:b/>
          <w:noProof/>
          <w:sz w:val="22"/>
          <w:szCs w:val="22"/>
        </w:rPr>
      </w:pPr>
      <w:r w:rsidRPr="0029445E">
        <w:rPr>
          <w:rFonts w:asciiTheme="minorHAnsi" w:hAnsiTheme="minorHAnsi"/>
          <w:b/>
          <w:noProof/>
          <w:sz w:val="22"/>
          <w:szCs w:val="22"/>
        </w:rPr>
        <w:t>Figure legends</w:t>
      </w:r>
    </w:p>
    <w:p w14:paraId="19F9E6D1" w14:textId="77777777" w:rsidR="00BA4973" w:rsidRPr="0029445E" w:rsidRDefault="00BA4973" w:rsidP="009C454F">
      <w:pPr>
        <w:pStyle w:val="EndNoteBibliography"/>
        <w:spacing w:line="480" w:lineRule="auto"/>
        <w:rPr>
          <w:rFonts w:asciiTheme="minorHAnsi" w:hAnsiTheme="minorHAnsi"/>
          <w:b/>
          <w:noProof/>
          <w:sz w:val="22"/>
          <w:szCs w:val="22"/>
        </w:rPr>
      </w:pPr>
    </w:p>
    <w:p w14:paraId="4A8449E3" w14:textId="0C164E78" w:rsidR="008A3311" w:rsidRPr="0029445E" w:rsidRDefault="00BA4973" w:rsidP="004C4B67">
      <w:pPr>
        <w:pStyle w:val="EndNoteBibliography"/>
        <w:spacing w:line="480" w:lineRule="auto"/>
        <w:rPr>
          <w:rFonts w:asciiTheme="minorHAnsi" w:hAnsiTheme="minorHAnsi"/>
          <w:noProof/>
          <w:sz w:val="22"/>
          <w:szCs w:val="22"/>
        </w:rPr>
      </w:pPr>
      <w:r w:rsidRPr="0029445E">
        <w:rPr>
          <w:rFonts w:asciiTheme="minorHAnsi" w:hAnsiTheme="minorHAnsi"/>
          <w:b/>
          <w:noProof/>
          <w:sz w:val="22"/>
          <w:szCs w:val="22"/>
        </w:rPr>
        <w:t xml:space="preserve">Figure 1 </w:t>
      </w:r>
      <w:r w:rsidR="008A3311" w:rsidRPr="0029445E">
        <w:rPr>
          <w:rFonts w:asciiTheme="minorHAnsi" w:hAnsiTheme="minorHAnsi"/>
          <w:noProof/>
          <w:sz w:val="22"/>
          <w:szCs w:val="22"/>
        </w:rPr>
        <w:t>Transfusion rates in anaemic</w:t>
      </w:r>
      <w:r w:rsidR="00805604" w:rsidRPr="0029445E">
        <w:rPr>
          <w:rFonts w:asciiTheme="minorHAnsi" w:hAnsiTheme="minorHAnsi"/>
          <w:noProof/>
          <w:sz w:val="22"/>
          <w:szCs w:val="22"/>
        </w:rPr>
        <w:t xml:space="preserve"> (red)</w:t>
      </w:r>
      <w:r w:rsidR="008A3311" w:rsidRPr="0029445E">
        <w:rPr>
          <w:rFonts w:asciiTheme="minorHAnsi" w:hAnsiTheme="minorHAnsi"/>
          <w:noProof/>
          <w:sz w:val="22"/>
          <w:szCs w:val="22"/>
        </w:rPr>
        <w:t xml:space="preserve"> and non-anaemic</w:t>
      </w:r>
      <w:r w:rsidR="00805604" w:rsidRPr="0029445E">
        <w:rPr>
          <w:rFonts w:asciiTheme="minorHAnsi" w:hAnsiTheme="minorHAnsi"/>
          <w:noProof/>
          <w:sz w:val="22"/>
          <w:szCs w:val="22"/>
        </w:rPr>
        <w:t xml:space="preserve"> (blue)</w:t>
      </w:r>
      <w:r w:rsidR="008A3311" w:rsidRPr="0029445E">
        <w:rPr>
          <w:rFonts w:asciiTheme="minorHAnsi" w:hAnsiTheme="minorHAnsi"/>
          <w:noProof/>
          <w:sz w:val="22"/>
          <w:szCs w:val="22"/>
        </w:rPr>
        <w:t xml:space="preserve"> patients at the 12 centres (anonymised A-L) audited between 2010 and 2012. Transusion rates are mean (squares</w:t>
      </w:r>
      <w:r w:rsidR="004C4B67" w:rsidRPr="0029445E">
        <w:rPr>
          <w:rFonts w:asciiTheme="minorHAnsi" w:hAnsiTheme="minorHAnsi"/>
          <w:noProof/>
          <w:sz w:val="22"/>
          <w:szCs w:val="22"/>
        </w:rPr>
        <w:t>) and 95% CI (horizontal bars).</w:t>
      </w:r>
    </w:p>
    <w:p w14:paraId="480B486C" w14:textId="77777777" w:rsidR="00B24B30" w:rsidRPr="0029445E" w:rsidRDefault="00B24B30" w:rsidP="009C454F">
      <w:pPr>
        <w:pStyle w:val="EndNoteBibliography"/>
        <w:spacing w:line="480" w:lineRule="auto"/>
        <w:rPr>
          <w:rFonts w:asciiTheme="minorHAnsi" w:hAnsiTheme="minorHAnsi"/>
          <w:noProof/>
          <w:sz w:val="22"/>
          <w:szCs w:val="22"/>
        </w:rPr>
      </w:pPr>
    </w:p>
    <w:p w14:paraId="2FA601CC" w14:textId="2BC0E445" w:rsidR="00B24B30" w:rsidRPr="0029445E" w:rsidRDefault="008A3311" w:rsidP="004C4B67">
      <w:pPr>
        <w:pStyle w:val="EndNoteBibliography"/>
        <w:spacing w:line="480" w:lineRule="auto"/>
        <w:rPr>
          <w:rFonts w:asciiTheme="minorHAnsi" w:hAnsiTheme="minorHAnsi"/>
          <w:noProof/>
          <w:sz w:val="22"/>
          <w:szCs w:val="22"/>
        </w:rPr>
      </w:pPr>
      <w:r w:rsidRPr="0029445E">
        <w:rPr>
          <w:rFonts w:asciiTheme="minorHAnsi" w:hAnsiTheme="minorHAnsi"/>
          <w:b/>
          <w:noProof/>
          <w:sz w:val="22"/>
          <w:szCs w:val="22"/>
        </w:rPr>
        <w:t>Figure 2</w:t>
      </w:r>
      <w:r w:rsidRPr="0029445E">
        <w:rPr>
          <w:rFonts w:asciiTheme="minorHAnsi" w:hAnsiTheme="minorHAnsi"/>
          <w:noProof/>
          <w:sz w:val="22"/>
          <w:szCs w:val="22"/>
        </w:rPr>
        <w:t xml:space="preserve"> Mortality rates in patients with varying pre-operative haemoglobin</w:t>
      </w:r>
      <w:r w:rsidR="00805604" w:rsidRPr="0029445E">
        <w:rPr>
          <w:rFonts w:asciiTheme="minorHAnsi" w:hAnsiTheme="minorHAnsi"/>
          <w:noProof/>
          <w:sz w:val="22"/>
          <w:szCs w:val="22"/>
        </w:rPr>
        <w:t xml:space="preserve"> concentrations</w:t>
      </w:r>
      <w:r w:rsidRPr="0029445E">
        <w:rPr>
          <w:rFonts w:asciiTheme="minorHAnsi" w:hAnsiTheme="minorHAnsi"/>
          <w:noProof/>
          <w:sz w:val="22"/>
          <w:szCs w:val="22"/>
        </w:rPr>
        <w:t xml:space="preserve"> in men (blue) and women (red). Mortality is mean (square) and 95% CI (horizontal bars). </w:t>
      </w:r>
    </w:p>
    <w:p w14:paraId="67B1EB8A" w14:textId="77777777" w:rsidR="00B24B30" w:rsidRPr="0029445E" w:rsidRDefault="00B24B30" w:rsidP="009C454F">
      <w:pPr>
        <w:pStyle w:val="EndNoteBibliography"/>
        <w:spacing w:line="480" w:lineRule="auto"/>
        <w:rPr>
          <w:rFonts w:asciiTheme="minorHAnsi" w:hAnsiTheme="minorHAnsi"/>
          <w:noProof/>
          <w:sz w:val="22"/>
          <w:szCs w:val="22"/>
        </w:rPr>
      </w:pPr>
    </w:p>
    <w:p w14:paraId="7FEAC3E2" w14:textId="6BC4EA3D" w:rsidR="009D7DA1" w:rsidRPr="0029445E" w:rsidRDefault="009D7DA1" w:rsidP="009C454F">
      <w:pPr>
        <w:pStyle w:val="EndNoteBibliography"/>
        <w:spacing w:line="480" w:lineRule="auto"/>
        <w:rPr>
          <w:rFonts w:asciiTheme="minorHAnsi" w:hAnsiTheme="minorHAnsi"/>
          <w:noProof/>
          <w:sz w:val="22"/>
          <w:szCs w:val="22"/>
        </w:rPr>
      </w:pPr>
      <w:r w:rsidRPr="0029445E">
        <w:rPr>
          <w:rFonts w:asciiTheme="minorHAnsi" w:hAnsiTheme="minorHAnsi"/>
          <w:b/>
          <w:noProof/>
          <w:sz w:val="22"/>
          <w:szCs w:val="22"/>
        </w:rPr>
        <w:t>Figure 3</w:t>
      </w:r>
      <w:r w:rsidRPr="0029445E">
        <w:rPr>
          <w:rFonts w:asciiTheme="minorHAnsi" w:hAnsiTheme="minorHAnsi"/>
          <w:noProof/>
          <w:sz w:val="22"/>
          <w:szCs w:val="22"/>
        </w:rPr>
        <w:t xml:space="preserve"> Length of stay in patients with varying heamoglobin concentrations in men (blue) and women (red). Length of stay is geometric mean (square) and 9</w:t>
      </w:r>
      <w:r w:rsidR="00A5398A" w:rsidRPr="0029445E">
        <w:rPr>
          <w:rFonts w:asciiTheme="minorHAnsi" w:hAnsiTheme="minorHAnsi"/>
          <w:noProof/>
          <w:sz w:val="22"/>
          <w:szCs w:val="22"/>
        </w:rPr>
        <w:t>5</w:t>
      </w:r>
      <w:r w:rsidRPr="0029445E">
        <w:rPr>
          <w:rFonts w:asciiTheme="minorHAnsi" w:hAnsiTheme="minorHAnsi"/>
          <w:noProof/>
          <w:sz w:val="22"/>
          <w:szCs w:val="22"/>
        </w:rPr>
        <w:t>% CI (horizontal bars).</w:t>
      </w:r>
    </w:p>
    <w:p w14:paraId="7893AC3D" w14:textId="77777777" w:rsidR="009D7DA1" w:rsidRPr="0029445E" w:rsidRDefault="009D7DA1" w:rsidP="009C454F">
      <w:pPr>
        <w:pStyle w:val="EndNoteBibliography"/>
        <w:spacing w:line="480" w:lineRule="auto"/>
        <w:rPr>
          <w:rFonts w:asciiTheme="minorHAnsi" w:hAnsiTheme="minorHAnsi"/>
          <w:b/>
          <w:noProof/>
          <w:sz w:val="22"/>
          <w:szCs w:val="22"/>
        </w:rPr>
      </w:pPr>
    </w:p>
    <w:p w14:paraId="5C426D55" w14:textId="220201B0" w:rsidR="009C454F" w:rsidRPr="0029445E" w:rsidRDefault="009C454F" w:rsidP="00AC49CA">
      <w:pPr>
        <w:widowControl w:val="0"/>
        <w:autoSpaceDE w:val="0"/>
        <w:autoSpaceDN w:val="0"/>
        <w:adjustRightInd w:val="0"/>
        <w:spacing w:after="0" w:line="480" w:lineRule="auto"/>
        <w:jc w:val="right"/>
        <w:rPr>
          <w:rFonts w:cs="Arial"/>
          <w:lang w:val="en-US"/>
        </w:rPr>
      </w:pPr>
      <w:r w:rsidRPr="0029445E">
        <w:fldChar w:fldCharType="end"/>
      </w:r>
    </w:p>
    <w:p w14:paraId="0CC80BCC" w14:textId="71795BE3" w:rsidR="0076248D" w:rsidRPr="0029445E" w:rsidRDefault="0076248D" w:rsidP="0076248D">
      <w:pPr>
        <w:widowControl w:val="0"/>
        <w:autoSpaceDE w:val="0"/>
        <w:autoSpaceDN w:val="0"/>
        <w:adjustRightInd w:val="0"/>
        <w:spacing w:after="0" w:line="240" w:lineRule="auto"/>
        <w:rPr>
          <w:rFonts w:cs="Arial"/>
          <w:lang w:val="en-US"/>
        </w:rPr>
      </w:pPr>
      <w:r w:rsidRPr="0029445E">
        <w:rPr>
          <w:rFonts w:cs="Times New Roman"/>
          <w:lang w:val="en-US"/>
        </w:rPr>
        <w:tab/>
      </w:r>
    </w:p>
    <w:p w14:paraId="6F66149C" w14:textId="77777777" w:rsidR="008E1458" w:rsidRPr="0029445E" w:rsidRDefault="008E1458">
      <w:pPr>
        <w:rPr>
          <w:rFonts w:cs="Times New Roman"/>
        </w:rPr>
      </w:pPr>
      <w:r w:rsidRPr="0029445E">
        <w:rPr>
          <w:rFonts w:cs="Times New Roman"/>
        </w:rPr>
        <w:br w:type="page"/>
      </w:r>
    </w:p>
    <w:tbl>
      <w:tblPr>
        <w:tblStyle w:val="TableGrid"/>
        <w:tblpPr w:leftFromText="180" w:rightFromText="180" w:vertAnchor="page" w:horzAnchor="page" w:tblpX="829" w:tblpY="2701"/>
        <w:tblW w:w="8966" w:type="dxa"/>
        <w:tblLayout w:type="fixed"/>
        <w:tblLook w:val="04A0" w:firstRow="1" w:lastRow="0" w:firstColumn="1" w:lastColumn="0" w:noHBand="0" w:noVBand="1"/>
      </w:tblPr>
      <w:tblGrid>
        <w:gridCol w:w="1526"/>
        <w:gridCol w:w="2479"/>
        <w:gridCol w:w="2410"/>
        <w:gridCol w:w="2551"/>
      </w:tblGrid>
      <w:tr w:rsidR="0029445E" w:rsidRPr="0029445E" w14:paraId="3F2B6F94" w14:textId="77777777" w:rsidTr="00AC49CA">
        <w:trPr>
          <w:trHeight w:val="340"/>
        </w:trPr>
        <w:tc>
          <w:tcPr>
            <w:tcW w:w="1526" w:type="dxa"/>
          </w:tcPr>
          <w:p w14:paraId="5D9FDA85" w14:textId="77777777" w:rsidR="00AC49CA" w:rsidRPr="0029445E" w:rsidRDefault="00AC49CA" w:rsidP="00E23E2C">
            <w:pPr>
              <w:jc w:val="center"/>
            </w:pPr>
          </w:p>
        </w:tc>
        <w:tc>
          <w:tcPr>
            <w:tcW w:w="2479" w:type="dxa"/>
          </w:tcPr>
          <w:p w14:paraId="588F0BFD" w14:textId="77777777" w:rsidR="00AC49CA" w:rsidRPr="0029445E" w:rsidRDefault="00AC49CA" w:rsidP="00E23E2C">
            <w:pPr>
              <w:jc w:val="center"/>
            </w:pPr>
            <w:r w:rsidRPr="0029445E">
              <w:t>All Patients</w:t>
            </w:r>
          </w:p>
          <w:p w14:paraId="02CBC36D" w14:textId="77777777" w:rsidR="00AC49CA" w:rsidRPr="0029445E" w:rsidRDefault="00AC49CA" w:rsidP="00E23E2C">
            <w:pPr>
              <w:jc w:val="center"/>
            </w:pPr>
            <w:r w:rsidRPr="0029445E">
              <w:t>(n = 19 033)</w:t>
            </w:r>
          </w:p>
        </w:tc>
        <w:tc>
          <w:tcPr>
            <w:tcW w:w="2410" w:type="dxa"/>
          </w:tcPr>
          <w:p w14:paraId="5E14F042" w14:textId="77777777" w:rsidR="00AC49CA" w:rsidRPr="0029445E" w:rsidRDefault="00AC49CA" w:rsidP="00E23E2C">
            <w:pPr>
              <w:jc w:val="center"/>
            </w:pPr>
            <w:r w:rsidRPr="0029445E">
              <w:t>Anaemic</w:t>
            </w:r>
          </w:p>
          <w:p w14:paraId="6451EEA4" w14:textId="77777777" w:rsidR="00AC49CA" w:rsidRPr="0029445E" w:rsidRDefault="00AC49CA" w:rsidP="00E23E2C">
            <w:pPr>
              <w:jc w:val="center"/>
            </w:pPr>
            <w:r w:rsidRPr="0029445E">
              <w:t>(n = 5895)</w:t>
            </w:r>
          </w:p>
          <w:p w14:paraId="363CF22E" w14:textId="77777777" w:rsidR="00AC49CA" w:rsidRPr="0029445E" w:rsidRDefault="00AC49CA" w:rsidP="00E23E2C">
            <w:pPr>
              <w:jc w:val="center"/>
            </w:pPr>
            <w:r w:rsidRPr="0029445E">
              <w:t>31.0%</w:t>
            </w:r>
          </w:p>
        </w:tc>
        <w:tc>
          <w:tcPr>
            <w:tcW w:w="2551" w:type="dxa"/>
          </w:tcPr>
          <w:p w14:paraId="5B239810" w14:textId="77777777" w:rsidR="00AC49CA" w:rsidRPr="0029445E" w:rsidRDefault="00AC49CA" w:rsidP="00E23E2C">
            <w:pPr>
              <w:jc w:val="center"/>
            </w:pPr>
            <w:r w:rsidRPr="0029445E">
              <w:t>Not Anaemic</w:t>
            </w:r>
          </w:p>
          <w:p w14:paraId="7F8D9758" w14:textId="77777777" w:rsidR="00AC49CA" w:rsidRPr="0029445E" w:rsidRDefault="00AC49CA" w:rsidP="00E23E2C">
            <w:pPr>
              <w:jc w:val="center"/>
            </w:pPr>
            <w:r w:rsidRPr="0029445E">
              <w:t>(n = 13 138)</w:t>
            </w:r>
          </w:p>
          <w:p w14:paraId="75F3FCA2" w14:textId="77777777" w:rsidR="00AC49CA" w:rsidRPr="0029445E" w:rsidRDefault="00AC49CA" w:rsidP="00E23E2C">
            <w:pPr>
              <w:jc w:val="center"/>
            </w:pPr>
            <w:r w:rsidRPr="0029445E">
              <w:t>69.0%</w:t>
            </w:r>
          </w:p>
        </w:tc>
      </w:tr>
      <w:tr w:rsidR="0029445E" w:rsidRPr="0029445E" w14:paraId="40CC9E67" w14:textId="77777777" w:rsidTr="00AC49CA">
        <w:trPr>
          <w:trHeight w:val="340"/>
        </w:trPr>
        <w:tc>
          <w:tcPr>
            <w:tcW w:w="1526" w:type="dxa"/>
          </w:tcPr>
          <w:p w14:paraId="006455E3" w14:textId="08B8A5B1" w:rsidR="00AC49CA" w:rsidRPr="0029445E" w:rsidRDefault="00AC49CA" w:rsidP="00E23E2C">
            <w:r w:rsidRPr="0029445E">
              <w:t>Age; yrs</w:t>
            </w:r>
          </w:p>
        </w:tc>
        <w:tc>
          <w:tcPr>
            <w:tcW w:w="2479" w:type="dxa"/>
          </w:tcPr>
          <w:p w14:paraId="243FA621" w14:textId="77777777" w:rsidR="00AC49CA" w:rsidRPr="0029445E" w:rsidRDefault="00AC49CA" w:rsidP="00E23E2C">
            <w:pPr>
              <w:jc w:val="center"/>
            </w:pPr>
            <w:r w:rsidRPr="0029445E">
              <w:t>67.0 (12.0)</w:t>
            </w:r>
          </w:p>
        </w:tc>
        <w:tc>
          <w:tcPr>
            <w:tcW w:w="2410" w:type="dxa"/>
          </w:tcPr>
          <w:p w14:paraId="38D51077" w14:textId="77777777" w:rsidR="00AC49CA" w:rsidRPr="0029445E" w:rsidRDefault="00AC49CA" w:rsidP="00E23E2C">
            <w:pPr>
              <w:jc w:val="center"/>
            </w:pPr>
            <w:r w:rsidRPr="0029445E">
              <w:t>69.5 (12.0)</w:t>
            </w:r>
          </w:p>
        </w:tc>
        <w:tc>
          <w:tcPr>
            <w:tcW w:w="2551" w:type="dxa"/>
          </w:tcPr>
          <w:p w14:paraId="60E56A3D" w14:textId="77777777" w:rsidR="00AC49CA" w:rsidRPr="0029445E" w:rsidRDefault="00AC49CA" w:rsidP="00E23E2C">
            <w:pPr>
              <w:jc w:val="center"/>
            </w:pPr>
            <w:r w:rsidRPr="0029445E">
              <w:t>65.9 (11.9)</w:t>
            </w:r>
          </w:p>
        </w:tc>
      </w:tr>
      <w:tr w:rsidR="0029445E" w:rsidRPr="0029445E" w14:paraId="65AC701E" w14:textId="77777777" w:rsidTr="00AC49CA">
        <w:trPr>
          <w:trHeight w:val="340"/>
        </w:trPr>
        <w:tc>
          <w:tcPr>
            <w:tcW w:w="1526" w:type="dxa"/>
          </w:tcPr>
          <w:p w14:paraId="04E5AE96" w14:textId="0A438B94" w:rsidR="00AC49CA" w:rsidRPr="0029445E" w:rsidRDefault="00F961C1" w:rsidP="00E23E2C">
            <w:r w:rsidRPr="0029445E">
              <w:t>Gender</w:t>
            </w:r>
            <w:r w:rsidR="00AC49CA" w:rsidRPr="0029445E">
              <w:t>; men</w:t>
            </w:r>
          </w:p>
        </w:tc>
        <w:tc>
          <w:tcPr>
            <w:tcW w:w="2479" w:type="dxa"/>
          </w:tcPr>
          <w:p w14:paraId="7A6769CF" w14:textId="77777777" w:rsidR="00AC49CA" w:rsidRPr="0029445E" w:rsidRDefault="00AC49CA" w:rsidP="00E23E2C">
            <w:pPr>
              <w:jc w:val="center"/>
            </w:pPr>
            <w:r w:rsidRPr="0029445E">
              <w:t>13669</w:t>
            </w:r>
          </w:p>
          <w:p w14:paraId="6C5328AD" w14:textId="77777777" w:rsidR="00AC49CA" w:rsidRPr="0029445E" w:rsidRDefault="00AC49CA" w:rsidP="00E23E2C">
            <w:pPr>
              <w:jc w:val="center"/>
            </w:pPr>
            <w:r w:rsidRPr="0029445E">
              <w:t>(71.8%)</w:t>
            </w:r>
          </w:p>
        </w:tc>
        <w:tc>
          <w:tcPr>
            <w:tcW w:w="2410" w:type="dxa"/>
          </w:tcPr>
          <w:p w14:paraId="4D4C6610" w14:textId="77777777" w:rsidR="00AC49CA" w:rsidRPr="0029445E" w:rsidRDefault="00AC49CA" w:rsidP="00E23E2C">
            <w:pPr>
              <w:jc w:val="center"/>
            </w:pPr>
            <w:r w:rsidRPr="0029445E">
              <w:t>4157</w:t>
            </w:r>
          </w:p>
          <w:p w14:paraId="06F45F57" w14:textId="77777777" w:rsidR="00AC49CA" w:rsidRPr="0029445E" w:rsidRDefault="00AC49CA" w:rsidP="00E23E2C">
            <w:pPr>
              <w:jc w:val="center"/>
            </w:pPr>
            <w:r w:rsidRPr="0029445E">
              <w:t>(70.5%)</w:t>
            </w:r>
          </w:p>
        </w:tc>
        <w:tc>
          <w:tcPr>
            <w:tcW w:w="2551" w:type="dxa"/>
          </w:tcPr>
          <w:p w14:paraId="67FA32D1" w14:textId="77777777" w:rsidR="00AC49CA" w:rsidRPr="0029445E" w:rsidRDefault="00AC49CA" w:rsidP="00E23E2C">
            <w:pPr>
              <w:jc w:val="center"/>
            </w:pPr>
            <w:r w:rsidRPr="0029445E">
              <w:t>9512</w:t>
            </w:r>
          </w:p>
          <w:p w14:paraId="047C6E32" w14:textId="77777777" w:rsidR="00AC49CA" w:rsidRPr="0029445E" w:rsidRDefault="00AC49CA" w:rsidP="00E23E2C">
            <w:pPr>
              <w:jc w:val="center"/>
            </w:pPr>
            <w:r w:rsidRPr="0029445E">
              <w:t>(72.4%)</w:t>
            </w:r>
          </w:p>
        </w:tc>
      </w:tr>
      <w:tr w:rsidR="0029445E" w:rsidRPr="0029445E" w14:paraId="3C0AB6C8" w14:textId="77777777" w:rsidTr="00AC49CA">
        <w:trPr>
          <w:trHeight w:val="340"/>
        </w:trPr>
        <w:tc>
          <w:tcPr>
            <w:tcW w:w="1526" w:type="dxa"/>
          </w:tcPr>
          <w:p w14:paraId="23562A88" w14:textId="77777777" w:rsidR="00AC49CA" w:rsidRPr="0029445E" w:rsidRDefault="00AC49CA" w:rsidP="00E23E2C">
            <w:r w:rsidRPr="0029445E">
              <w:t>Body mass index; kg.m</w:t>
            </w:r>
            <w:r w:rsidRPr="0029445E">
              <w:rPr>
                <w:vertAlign w:val="superscript"/>
              </w:rPr>
              <w:t>-2</w:t>
            </w:r>
          </w:p>
        </w:tc>
        <w:tc>
          <w:tcPr>
            <w:tcW w:w="2479" w:type="dxa"/>
          </w:tcPr>
          <w:p w14:paraId="3BAA7202" w14:textId="77777777" w:rsidR="00AC49CA" w:rsidRPr="0029445E" w:rsidRDefault="00AC49CA" w:rsidP="00E23E2C">
            <w:pPr>
              <w:jc w:val="center"/>
            </w:pPr>
            <w:r w:rsidRPr="0029445E">
              <w:t>28.3 (5.1)</w:t>
            </w:r>
          </w:p>
        </w:tc>
        <w:tc>
          <w:tcPr>
            <w:tcW w:w="2410" w:type="dxa"/>
          </w:tcPr>
          <w:p w14:paraId="14E47EF6" w14:textId="77777777" w:rsidR="00AC49CA" w:rsidRPr="0029445E" w:rsidRDefault="00AC49CA" w:rsidP="00E23E2C">
            <w:pPr>
              <w:jc w:val="center"/>
            </w:pPr>
            <w:r w:rsidRPr="0029445E">
              <w:t>27.7 (5.1)</w:t>
            </w:r>
          </w:p>
        </w:tc>
        <w:tc>
          <w:tcPr>
            <w:tcW w:w="2551" w:type="dxa"/>
          </w:tcPr>
          <w:p w14:paraId="1CE75ABE" w14:textId="77777777" w:rsidR="00AC49CA" w:rsidRPr="0029445E" w:rsidRDefault="00AC49CA" w:rsidP="00E23E2C">
            <w:pPr>
              <w:jc w:val="center"/>
            </w:pPr>
            <w:r w:rsidRPr="0029445E">
              <w:t>28.5 (5.0)</w:t>
            </w:r>
          </w:p>
        </w:tc>
      </w:tr>
      <w:tr w:rsidR="0029445E" w:rsidRPr="0029445E" w14:paraId="5EC3447F" w14:textId="77777777" w:rsidTr="00AC49CA">
        <w:trPr>
          <w:trHeight w:val="340"/>
        </w:trPr>
        <w:tc>
          <w:tcPr>
            <w:tcW w:w="1526" w:type="dxa"/>
          </w:tcPr>
          <w:p w14:paraId="0212F871" w14:textId="77777777" w:rsidR="00AC49CA" w:rsidRPr="0029445E" w:rsidRDefault="00AC49CA" w:rsidP="00E23E2C">
            <w:r w:rsidRPr="0029445E">
              <w:t>Pre-operative</w:t>
            </w:r>
          </w:p>
          <w:p w14:paraId="2CD1BC1A" w14:textId="1B1ABC73" w:rsidR="00AC49CA" w:rsidRPr="0029445E" w:rsidRDefault="00AC49CA" w:rsidP="00E23E2C">
            <w:pPr>
              <w:rPr>
                <w:vertAlign w:val="superscript"/>
              </w:rPr>
            </w:pPr>
            <w:r w:rsidRPr="0029445E">
              <w:t>haemoglobin. g.l</w:t>
            </w:r>
            <w:r w:rsidRPr="0029445E">
              <w:rPr>
                <w:vertAlign w:val="superscript"/>
              </w:rPr>
              <w:t>-1</w:t>
            </w:r>
          </w:p>
        </w:tc>
        <w:tc>
          <w:tcPr>
            <w:tcW w:w="2479" w:type="dxa"/>
          </w:tcPr>
          <w:p w14:paraId="0529FC01" w14:textId="77777777" w:rsidR="00AC49CA" w:rsidRPr="0029445E" w:rsidRDefault="00AC49CA" w:rsidP="00E23E2C">
            <w:pPr>
              <w:jc w:val="center"/>
            </w:pPr>
            <w:r w:rsidRPr="0029445E">
              <w:t>13.4</w:t>
            </w:r>
          </w:p>
          <w:p w14:paraId="36B57294" w14:textId="77777777" w:rsidR="00AC49CA" w:rsidRPr="0029445E" w:rsidRDefault="00AC49CA" w:rsidP="00E23E2C">
            <w:pPr>
              <w:jc w:val="center"/>
            </w:pPr>
            <w:r w:rsidRPr="0029445E">
              <w:t xml:space="preserve">(12.1-14.4 </w:t>
            </w:r>
            <w:r w:rsidRPr="0029445E">
              <w:sym w:font="Symbol" w:char="F05B"/>
            </w:r>
            <w:r w:rsidRPr="0029445E">
              <w:t>3.8-22.0</w:t>
            </w:r>
            <w:r w:rsidRPr="0029445E">
              <w:sym w:font="Symbol" w:char="F05D"/>
            </w:r>
            <w:r w:rsidRPr="0029445E">
              <w:t>)</w:t>
            </w:r>
          </w:p>
        </w:tc>
        <w:tc>
          <w:tcPr>
            <w:tcW w:w="2410" w:type="dxa"/>
          </w:tcPr>
          <w:p w14:paraId="69F964CA" w14:textId="77777777" w:rsidR="00AC49CA" w:rsidRPr="0029445E" w:rsidRDefault="00AC49CA" w:rsidP="00E23E2C">
            <w:pPr>
              <w:jc w:val="center"/>
            </w:pPr>
            <w:r w:rsidRPr="0029445E">
              <w:t>11.5</w:t>
            </w:r>
          </w:p>
          <w:p w14:paraId="1F9C8F19" w14:textId="77777777" w:rsidR="00AC49CA" w:rsidRPr="0029445E" w:rsidRDefault="00AC49CA" w:rsidP="00E23E2C">
            <w:pPr>
              <w:jc w:val="center"/>
            </w:pPr>
            <w:r w:rsidRPr="0029445E">
              <w:t xml:space="preserve">(10.6-12.2 </w:t>
            </w:r>
            <w:r w:rsidRPr="0029445E">
              <w:sym w:font="Symbol" w:char="F05B"/>
            </w:r>
            <w:r w:rsidRPr="0029445E">
              <w:t>3.8-12.9</w:t>
            </w:r>
            <w:r w:rsidRPr="0029445E">
              <w:sym w:font="Symbol" w:char="F05D"/>
            </w:r>
            <w:r w:rsidRPr="0029445E">
              <w:t>)</w:t>
            </w:r>
          </w:p>
        </w:tc>
        <w:tc>
          <w:tcPr>
            <w:tcW w:w="2551" w:type="dxa"/>
          </w:tcPr>
          <w:p w14:paraId="542A7345" w14:textId="77777777" w:rsidR="00AC49CA" w:rsidRPr="0029445E" w:rsidRDefault="00AC49CA" w:rsidP="00E23E2C">
            <w:pPr>
              <w:jc w:val="center"/>
            </w:pPr>
            <w:r w:rsidRPr="0029445E">
              <w:t>14.0</w:t>
            </w:r>
          </w:p>
          <w:p w14:paraId="7B94F8F3" w14:textId="77777777" w:rsidR="00AC49CA" w:rsidRPr="0029445E" w:rsidRDefault="00AC49CA" w:rsidP="00E23E2C">
            <w:pPr>
              <w:jc w:val="center"/>
            </w:pPr>
            <w:r w:rsidRPr="0029445E">
              <w:t>(13.3-14.9</w:t>
            </w:r>
            <w:r w:rsidRPr="0029445E">
              <w:sym w:font="Symbol" w:char="F05B"/>
            </w:r>
            <w:r w:rsidRPr="0029445E">
              <w:t>12.0-22.0</w:t>
            </w:r>
            <w:r w:rsidRPr="0029445E">
              <w:sym w:font="Symbol" w:char="F05D"/>
            </w:r>
            <w:r w:rsidRPr="0029445E">
              <w:t>)</w:t>
            </w:r>
          </w:p>
        </w:tc>
      </w:tr>
      <w:tr w:rsidR="0029445E" w:rsidRPr="0029445E" w14:paraId="36783E70" w14:textId="77777777" w:rsidTr="00AC49CA">
        <w:trPr>
          <w:trHeight w:val="340"/>
        </w:trPr>
        <w:tc>
          <w:tcPr>
            <w:tcW w:w="1526" w:type="dxa"/>
          </w:tcPr>
          <w:p w14:paraId="0427B5F9" w14:textId="77777777" w:rsidR="00AC49CA" w:rsidRPr="0029445E" w:rsidRDefault="00AC49CA" w:rsidP="00E23E2C">
            <w:pPr>
              <w:rPr>
                <w:vertAlign w:val="superscript"/>
              </w:rPr>
            </w:pPr>
            <w:r w:rsidRPr="0029445E">
              <w:t xml:space="preserve">Creatinine; </w:t>
            </w:r>
            <w:r w:rsidRPr="0029445E">
              <w:sym w:font="Symbol" w:char="F06D"/>
            </w:r>
            <w:r w:rsidRPr="0029445E">
              <w:t>mol.l</w:t>
            </w:r>
            <w:r w:rsidRPr="0029445E">
              <w:rPr>
                <w:vertAlign w:val="superscript"/>
              </w:rPr>
              <w:t>-1</w:t>
            </w:r>
          </w:p>
        </w:tc>
        <w:tc>
          <w:tcPr>
            <w:tcW w:w="2479" w:type="dxa"/>
          </w:tcPr>
          <w:p w14:paraId="027CD246" w14:textId="77777777" w:rsidR="00AC49CA" w:rsidRPr="0029445E" w:rsidRDefault="00AC49CA" w:rsidP="00E23E2C">
            <w:pPr>
              <w:jc w:val="center"/>
            </w:pPr>
            <w:r w:rsidRPr="0029445E">
              <w:t xml:space="preserve">89.3 </w:t>
            </w:r>
          </w:p>
          <w:p w14:paraId="099B7F7B" w14:textId="77777777" w:rsidR="00AC49CA" w:rsidRPr="0029445E" w:rsidRDefault="00AC49CA" w:rsidP="00E23E2C">
            <w:pPr>
              <w:jc w:val="center"/>
            </w:pPr>
            <w:r w:rsidRPr="0029445E">
              <w:t xml:space="preserve">(76.0-106.1 </w:t>
            </w:r>
          </w:p>
          <w:p w14:paraId="2D764011" w14:textId="77777777" w:rsidR="00AC49CA" w:rsidRPr="0029445E" w:rsidRDefault="00AC49CA" w:rsidP="00E23E2C">
            <w:pPr>
              <w:jc w:val="center"/>
            </w:pPr>
            <w:r w:rsidRPr="0029445E">
              <w:sym w:font="Symbol" w:char="F05B"/>
            </w:r>
            <w:r w:rsidRPr="0029445E">
              <w:t>6.2-1551.4</w:t>
            </w:r>
            <w:r w:rsidRPr="0029445E">
              <w:sym w:font="Symbol" w:char="F05D"/>
            </w:r>
            <w:r w:rsidRPr="0029445E">
              <w:t>)</w:t>
            </w:r>
          </w:p>
        </w:tc>
        <w:tc>
          <w:tcPr>
            <w:tcW w:w="2410" w:type="dxa"/>
          </w:tcPr>
          <w:p w14:paraId="2C84A75B" w14:textId="77777777" w:rsidR="00AC49CA" w:rsidRPr="0029445E" w:rsidRDefault="00AC49CA" w:rsidP="00E23E2C">
            <w:pPr>
              <w:jc w:val="center"/>
            </w:pPr>
            <w:r w:rsidRPr="0029445E">
              <w:t>94.6</w:t>
            </w:r>
          </w:p>
          <w:p w14:paraId="78151AD2" w14:textId="77777777" w:rsidR="00AC49CA" w:rsidRPr="0029445E" w:rsidRDefault="00AC49CA" w:rsidP="00E23E2C">
            <w:pPr>
              <w:jc w:val="center"/>
            </w:pPr>
            <w:r w:rsidRPr="0029445E">
              <w:t xml:space="preserve">(77.8-122.0 </w:t>
            </w:r>
          </w:p>
          <w:p w14:paraId="5CB2DACB" w14:textId="77777777" w:rsidR="00AC49CA" w:rsidRPr="0029445E" w:rsidRDefault="00AC49CA" w:rsidP="00E23E2C">
            <w:pPr>
              <w:jc w:val="center"/>
            </w:pPr>
            <w:r w:rsidRPr="0029445E">
              <w:sym w:font="Symbol" w:char="F05B"/>
            </w:r>
            <w:r w:rsidRPr="0029445E">
              <w:t>7.1-1551.4</w:t>
            </w:r>
            <w:r w:rsidRPr="0029445E">
              <w:sym w:font="Symbol" w:char="F05D"/>
            </w:r>
            <w:r w:rsidRPr="0029445E">
              <w:t>)</w:t>
            </w:r>
          </w:p>
        </w:tc>
        <w:tc>
          <w:tcPr>
            <w:tcW w:w="2551" w:type="dxa"/>
          </w:tcPr>
          <w:p w14:paraId="54808093" w14:textId="77777777" w:rsidR="00AC49CA" w:rsidRPr="0029445E" w:rsidRDefault="00AC49CA" w:rsidP="00E23E2C">
            <w:pPr>
              <w:jc w:val="center"/>
            </w:pPr>
            <w:r w:rsidRPr="0029445E">
              <w:t>86.6</w:t>
            </w:r>
          </w:p>
          <w:p w14:paraId="60D177A5" w14:textId="77777777" w:rsidR="00AC49CA" w:rsidRPr="0029445E" w:rsidRDefault="00AC49CA" w:rsidP="00E23E2C">
            <w:pPr>
              <w:jc w:val="center"/>
            </w:pPr>
            <w:r w:rsidRPr="0029445E">
              <w:t xml:space="preserve">(75.1-100.8 </w:t>
            </w:r>
          </w:p>
          <w:p w14:paraId="5EE7D286" w14:textId="77777777" w:rsidR="00AC49CA" w:rsidRPr="0029445E" w:rsidRDefault="00AC49CA" w:rsidP="00E23E2C">
            <w:pPr>
              <w:jc w:val="center"/>
            </w:pPr>
            <w:r w:rsidRPr="0029445E">
              <w:sym w:font="Symbol" w:char="F05B"/>
            </w:r>
            <w:r w:rsidRPr="0029445E">
              <w:t>6.2-1448.0</w:t>
            </w:r>
            <w:r w:rsidRPr="0029445E">
              <w:sym w:font="Symbol" w:char="F05D"/>
            </w:r>
            <w:r w:rsidRPr="0029445E">
              <w:t>)</w:t>
            </w:r>
          </w:p>
        </w:tc>
      </w:tr>
      <w:tr w:rsidR="0029445E" w:rsidRPr="0029445E" w14:paraId="211B55EC" w14:textId="77777777" w:rsidTr="00AC49CA">
        <w:trPr>
          <w:trHeight w:val="340"/>
        </w:trPr>
        <w:tc>
          <w:tcPr>
            <w:tcW w:w="1526" w:type="dxa"/>
          </w:tcPr>
          <w:p w14:paraId="3E002FB8" w14:textId="77777777" w:rsidR="00AC49CA" w:rsidRPr="0029445E" w:rsidRDefault="00AC49CA" w:rsidP="00E23E2C">
            <w:r w:rsidRPr="0029445E">
              <w:t>Diabetes</w:t>
            </w:r>
          </w:p>
        </w:tc>
        <w:tc>
          <w:tcPr>
            <w:tcW w:w="2479" w:type="dxa"/>
          </w:tcPr>
          <w:p w14:paraId="2833884D" w14:textId="77777777" w:rsidR="00AC49CA" w:rsidRPr="0029445E" w:rsidRDefault="00AC49CA" w:rsidP="00E23E2C">
            <w:pPr>
              <w:jc w:val="center"/>
            </w:pPr>
            <w:r w:rsidRPr="0029445E">
              <w:t>3687</w:t>
            </w:r>
          </w:p>
          <w:p w14:paraId="5C00BF5F" w14:textId="77777777" w:rsidR="00AC49CA" w:rsidRPr="0029445E" w:rsidRDefault="00AC49CA" w:rsidP="00E23E2C">
            <w:pPr>
              <w:jc w:val="center"/>
            </w:pPr>
            <w:r w:rsidRPr="0029445E">
              <w:t>(22.0%)</w:t>
            </w:r>
          </w:p>
        </w:tc>
        <w:tc>
          <w:tcPr>
            <w:tcW w:w="2410" w:type="dxa"/>
          </w:tcPr>
          <w:p w14:paraId="23BA91B4" w14:textId="77777777" w:rsidR="00AC49CA" w:rsidRPr="0029445E" w:rsidRDefault="00AC49CA" w:rsidP="00E23E2C">
            <w:pPr>
              <w:jc w:val="center"/>
            </w:pPr>
            <w:r w:rsidRPr="0029445E">
              <w:t>1534</w:t>
            </w:r>
          </w:p>
          <w:p w14:paraId="47747956" w14:textId="77777777" w:rsidR="00AC49CA" w:rsidRPr="0029445E" w:rsidRDefault="00AC49CA" w:rsidP="00E23E2C">
            <w:pPr>
              <w:jc w:val="center"/>
            </w:pPr>
            <w:r w:rsidRPr="0029445E">
              <w:t>(29.6%)</w:t>
            </w:r>
          </w:p>
        </w:tc>
        <w:tc>
          <w:tcPr>
            <w:tcW w:w="2551" w:type="dxa"/>
          </w:tcPr>
          <w:p w14:paraId="5A5FB501" w14:textId="77777777" w:rsidR="00AC49CA" w:rsidRPr="0029445E" w:rsidRDefault="00AC49CA" w:rsidP="00E23E2C">
            <w:pPr>
              <w:jc w:val="center"/>
            </w:pPr>
            <w:r w:rsidRPr="0029445E">
              <w:t>2153</w:t>
            </w:r>
          </w:p>
          <w:p w14:paraId="24AFBC42" w14:textId="77777777" w:rsidR="00AC49CA" w:rsidRPr="0029445E" w:rsidRDefault="00AC49CA" w:rsidP="00E23E2C">
            <w:pPr>
              <w:jc w:val="center"/>
            </w:pPr>
            <w:r w:rsidRPr="0029445E">
              <w:t>(18.6%)</w:t>
            </w:r>
          </w:p>
        </w:tc>
      </w:tr>
      <w:tr w:rsidR="0029445E" w:rsidRPr="0029445E" w14:paraId="792DE500" w14:textId="77777777" w:rsidTr="00AC49CA">
        <w:trPr>
          <w:trHeight w:val="340"/>
        </w:trPr>
        <w:tc>
          <w:tcPr>
            <w:tcW w:w="1526" w:type="dxa"/>
          </w:tcPr>
          <w:p w14:paraId="30BBF43C" w14:textId="77777777" w:rsidR="00AC49CA" w:rsidRPr="0029445E" w:rsidRDefault="00AC49CA" w:rsidP="00E23E2C">
            <w:r w:rsidRPr="0029445E">
              <w:t>Hypertension</w:t>
            </w:r>
          </w:p>
        </w:tc>
        <w:tc>
          <w:tcPr>
            <w:tcW w:w="2479" w:type="dxa"/>
          </w:tcPr>
          <w:p w14:paraId="35956FCC" w14:textId="77777777" w:rsidR="00AC49CA" w:rsidRPr="0029445E" w:rsidRDefault="00AC49CA" w:rsidP="00E23E2C">
            <w:pPr>
              <w:jc w:val="center"/>
            </w:pPr>
            <w:r w:rsidRPr="0029445E">
              <w:t>12 971</w:t>
            </w:r>
          </w:p>
          <w:p w14:paraId="40EEC252" w14:textId="77777777" w:rsidR="00AC49CA" w:rsidRPr="0029445E" w:rsidRDefault="00AC49CA" w:rsidP="00E23E2C">
            <w:pPr>
              <w:jc w:val="center"/>
            </w:pPr>
            <w:r w:rsidRPr="0029445E">
              <w:t>(69.5%)</w:t>
            </w:r>
          </w:p>
        </w:tc>
        <w:tc>
          <w:tcPr>
            <w:tcW w:w="2410" w:type="dxa"/>
          </w:tcPr>
          <w:p w14:paraId="22A19C22" w14:textId="77777777" w:rsidR="00AC49CA" w:rsidRPr="0029445E" w:rsidRDefault="00AC49CA" w:rsidP="00E23E2C">
            <w:pPr>
              <w:jc w:val="center"/>
            </w:pPr>
            <w:r w:rsidRPr="0029445E">
              <w:t>4101</w:t>
            </w:r>
          </w:p>
          <w:p w14:paraId="2CEF7DC0" w14:textId="77777777" w:rsidR="00AC49CA" w:rsidRPr="0029445E" w:rsidRDefault="00AC49CA" w:rsidP="00E23E2C">
            <w:pPr>
              <w:jc w:val="center"/>
            </w:pPr>
            <w:r w:rsidRPr="0029445E">
              <w:t>(70.8%)</w:t>
            </w:r>
          </w:p>
        </w:tc>
        <w:tc>
          <w:tcPr>
            <w:tcW w:w="2551" w:type="dxa"/>
          </w:tcPr>
          <w:p w14:paraId="7AB7E778" w14:textId="77777777" w:rsidR="00AC49CA" w:rsidRPr="0029445E" w:rsidRDefault="00AC49CA" w:rsidP="00E23E2C">
            <w:pPr>
              <w:jc w:val="center"/>
            </w:pPr>
            <w:r w:rsidRPr="0029445E">
              <w:t>8870</w:t>
            </w:r>
          </w:p>
          <w:p w14:paraId="7C37D3B0" w14:textId="77777777" w:rsidR="00AC49CA" w:rsidRPr="0029445E" w:rsidRDefault="00AC49CA" w:rsidP="00E23E2C">
            <w:pPr>
              <w:jc w:val="center"/>
            </w:pPr>
            <w:r w:rsidRPr="0029445E">
              <w:t>(68.9%)</w:t>
            </w:r>
          </w:p>
        </w:tc>
      </w:tr>
      <w:tr w:rsidR="0029445E" w:rsidRPr="0029445E" w14:paraId="19EC1AF2" w14:textId="77777777" w:rsidTr="00AC49CA">
        <w:trPr>
          <w:trHeight w:val="340"/>
        </w:trPr>
        <w:tc>
          <w:tcPr>
            <w:tcW w:w="1526" w:type="dxa"/>
          </w:tcPr>
          <w:p w14:paraId="3B63B231" w14:textId="7033F0AA" w:rsidR="00AC49CA" w:rsidRPr="0029445E" w:rsidRDefault="00AC49CA" w:rsidP="00E23E2C">
            <w:r w:rsidRPr="0029445E">
              <w:t>Operation type</w:t>
            </w:r>
          </w:p>
          <w:p w14:paraId="7AB7DABD" w14:textId="77777777" w:rsidR="00AC49CA" w:rsidRPr="0029445E" w:rsidRDefault="00AC49CA" w:rsidP="00E23E2C">
            <w:r w:rsidRPr="0029445E">
              <w:t>CABG</w:t>
            </w:r>
          </w:p>
          <w:p w14:paraId="7A4F75CC" w14:textId="77777777" w:rsidR="00AC49CA" w:rsidRPr="0029445E" w:rsidRDefault="00AC49CA" w:rsidP="00E23E2C"/>
          <w:p w14:paraId="55671E1A" w14:textId="642A1C57" w:rsidR="00AC49CA" w:rsidRPr="0029445E" w:rsidRDefault="00AC49CA" w:rsidP="00E23E2C">
            <w:r w:rsidRPr="0029445E">
              <w:t>Valve</w:t>
            </w:r>
          </w:p>
          <w:p w14:paraId="6FFAA32F" w14:textId="77777777" w:rsidR="00AC49CA" w:rsidRPr="0029445E" w:rsidRDefault="00AC49CA" w:rsidP="00E23E2C"/>
          <w:p w14:paraId="7D5336CF" w14:textId="6C29CC1E" w:rsidR="00AC49CA" w:rsidRPr="0029445E" w:rsidRDefault="00AC49CA" w:rsidP="00E23E2C">
            <w:r w:rsidRPr="0029445E">
              <w:t>CABG + valve</w:t>
            </w:r>
          </w:p>
          <w:p w14:paraId="7C6AA366" w14:textId="77777777" w:rsidR="00AC49CA" w:rsidRPr="0029445E" w:rsidRDefault="00AC49CA" w:rsidP="00E23E2C">
            <w:pPr>
              <w:ind w:left="720"/>
            </w:pPr>
          </w:p>
          <w:p w14:paraId="220B782B" w14:textId="051E9D56" w:rsidR="00AC49CA" w:rsidRPr="0029445E" w:rsidRDefault="00AC49CA" w:rsidP="00E23E2C">
            <w:r w:rsidRPr="0029445E">
              <w:t>Double valve</w:t>
            </w:r>
          </w:p>
          <w:p w14:paraId="2D0DC3B1" w14:textId="77777777" w:rsidR="00AC49CA" w:rsidRPr="0029445E" w:rsidRDefault="00AC49CA" w:rsidP="00E23E2C"/>
          <w:p w14:paraId="5514E0E1" w14:textId="13A4ABFC" w:rsidR="00AC49CA" w:rsidRPr="0029445E" w:rsidRDefault="00AC49CA" w:rsidP="00E23E2C">
            <w:r w:rsidRPr="0029445E">
              <w:t>Surgery on aorta</w:t>
            </w:r>
          </w:p>
          <w:p w14:paraId="1D0406EF" w14:textId="37B9DBD9" w:rsidR="00AC49CA" w:rsidRPr="0029445E" w:rsidRDefault="00AC49CA" w:rsidP="00E23E2C">
            <w:r w:rsidRPr="0029445E">
              <w:t>Other</w:t>
            </w:r>
          </w:p>
          <w:p w14:paraId="3E8AC794" w14:textId="77777777" w:rsidR="00AC49CA" w:rsidRPr="0029445E" w:rsidRDefault="00AC49CA" w:rsidP="00E23E2C"/>
        </w:tc>
        <w:tc>
          <w:tcPr>
            <w:tcW w:w="2479" w:type="dxa"/>
          </w:tcPr>
          <w:p w14:paraId="6D1760EA" w14:textId="77777777" w:rsidR="00AC49CA" w:rsidRPr="0029445E" w:rsidRDefault="00AC49CA" w:rsidP="00E23E2C"/>
          <w:p w14:paraId="34EDDD48" w14:textId="77777777" w:rsidR="00AC49CA" w:rsidRPr="0029445E" w:rsidRDefault="00AC49CA" w:rsidP="00E23E2C">
            <w:pPr>
              <w:jc w:val="center"/>
            </w:pPr>
          </w:p>
          <w:p w14:paraId="244ED8C4" w14:textId="77777777" w:rsidR="00AC49CA" w:rsidRPr="0029445E" w:rsidRDefault="00AC49CA" w:rsidP="00E23E2C">
            <w:pPr>
              <w:jc w:val="center"/>
            </w:pPr>
            <w:r w:rsidRPr="0029445E">
              <w:t>9688</w:t>
            </w:r>
          </w:p>
          <w:p w14:paraId="7FDEA739" w14:textId="77777777" w:rsidR="00AC49CA" w:rsidRPr="0029445E" w:rsidRDefault="00AC49CA" w:rsidP="00E23E2C">
            <w:pPr>
              <w:jc w:val="center"/>
            </w:pPr>
            <w:r w:rsidRPr="0029445E">
              <w:t>(50.9%)</w:t>
            </w:r>
          </w:p>
          <w:p w14:paraId="1BC2359D" w14:textId="77777777" w:rsidR="00AC49CA" w:rsidRPr="0029445E" w:rsidRDefault="00AC49CA" w:rsidP="00E23E2C">
            <w:pPr>
              <w:jc w:val="center"/>
            </w:pPr>
            <w:r w:rsidRPr="0029445E">
              <w:t>4182</w:t>
            </w:r>
          </w:p>
          <w:p w14:paraId="048F7DEA" w14:textId="77777777" w:rsidR="00AC49CA" w:rsidRPr="0029445E" w:rsidRDefault="00AC49CA" w:rsidP="00E23E2C">
            <w:pPr>
              <w:jc w:val="center"/>
            </w:pPr>
            <w:r w:rsidRPr="0029445E">
              <w:t>(22.0%)</w:t>
            </w:r>
          </w:p>
          <w:p w14:paraId="0FDE1E20" w14:textId="77777777" w:rsidR="00AC49CA" w:rsidRPr="0029445E" w:rsidRDefault="00AC49CA" w:rsidP="00E23E2C">
            <w:pPr>
              <w:jc w:val="center"/>
            </w:pPr>
            <w:r w:rsidRPr="0029445E">
              <w:t>2250</w:t>
            </w:r>
          </w:p>
          <w:p w14:paraId="57367A3B" w14:textId="77777777" w:rsidR="00AC49CA" w:rsidRPr="0029445E" w:rsidRDefault="00AC49CA" w:rsidP="00E23E2C">
            <w:pPr>
              <w:jc w:val="center"/>
            </w:pPr>
            <w:r w:rsidRPr="0029445E">
              <w:t>(11.8%)</w:t>
            </w:r>
          </w:p>
          <w:p w14:paraId="5FFC03A5" w14:textId="77777777" w:rsidR="00AC49CA" w:rsidRPr="0029445E" w:rsidRDefault="00AC49CA" w:rsidP="00E23E2C">
            <w:pPr>
              <w:jc w:val="center"/>
            </w:pPr>
            <w:r w:rsidRPr="0029445E">
              <w:t>290</w:t>
            </w:r>
          </w:p>
          <w:p w14:paraId="6224C574" w14:textId="77777777" w:rsidR="00AC49CA" w:rsidRPr="0029445E" w:rsidRDefault="00AC49CA" w:rsidP="00E23E2C">
            <w:pPr>
              <w:jc w:val="center"/>
            </w:pPr>
            <w:r w:rsidRPr="0029445E">
              <w:t>(1.5%)</w:t>
            </w:r>
          </w:p>
          <w:p w14:paraId="37B7DE4A" w14:textId="77777777" w:rsidR="00AC49CA" w:rsidRPr="0029445E" w:rsidRDefault="00AC49CA" w:rsidP="00E23E2C">
            <w:pPr>
              <w:jc w:val="center"/>
            </w:pPr>
            <w:r w:rsidRPr="0029445E">
              <w:t>375</w:t>
            </w:r>
          </w:p>
          <w:p w14:paraId="23D78CFC" w14:textId="77777777" w:rsidR="00AC49CA" w:rsidRPr="0029445E" w:rsidRDefault="00AC49CA" w:rsidP="00E23E2C">
            <w:pPr>
              <w:jc w:val="center"/>
            </w:pPr>
            <w:r w:rsidRPr="0029445E">
              <w:t>(2.0%)</w:t>
            </w:r>
          </w:p>
          <w:p w14:paraId="1F4859B2" w14:textId="77777777" w:rsidR="00AC49CA" w:rsidRPr="0029445E" w:rsidRDefault="00AC49CA" w:rsidP="00E23E2C">
            <w:pPr>
              <w:jc w:val="center"/>
            </w:pPr>
            <w:r w:rsidRPr="0029445E">
              <w:t>2239</w:t>
            </w:r>
          </w:p>
          <w:p w14:paraId="35A5B358" w14:textId="77777777" w:rsidR="00AC49CA" w:rsidRPr="0029445E" w:rsidRDefault="00AC49CA" w:rsidP="00E23E2C">
            <w:pPr>
              <w:jc w:val="center"/>
            </w:pPr>
            <w:r w:rsidRPr="0029445E">
              <w:t>(11.8%)</w:t>
            </w:r>
          </w:p>
        </w:tc>
        <w:tc>
          <w:tcPr>
            <w:tcW w:w="2410" w:type="dxa"/>
          </w:tcPr>
          <w:p w14:paraId="30DDFADB" w14:textId="77777777" w:rsidR="00AC49CA" w:rsidRPr="0029445E" w:rsidRDefault="00AC49CA" w:rsidP="00E23E2C"/>
          <w:p w14:paraId="4EED6CC3" w14:textId="77777777" w:rsidR="00AC49CA" w:rsidRPr="0029445E" w:rsidRDefault="00AC49CA" w:rsidP="00E23E2C">
            <w:pPr>
              <w:jc w:val="center"/>
            </w:pPr>
          </w:p>
          <w:p w14:paraId="05726071" w14:textId="77777777" w:rsidR="00AC49CA" w:rsidRPr="0029445E" w:rsidRDefault="00AC49CA" w:rsidP="00E23E2C">
            <w:pPr>
              <w:jc w:val="center"/>
            </w:pPr>
            <w:r w:rsidRPr="0029445E">
              <w:t>2673</w:t>
            </w:r>
          </w:p>
          <w:p w14:paraId="0FEA7C3C" w14:textId="77777777" w:rsidR="00AC49CA" w:rsidRPr="0029445E" w:rsidRDefault="00AC49CA" w:rsidP="00E23E2C">
            <w:pPr>
              <w:jc w:val="center"/>
            </w:pPr>
            <w:r w:rsidRPr="0029445E">
              <w:t>(45.4%)</w:t>
            </w:r>
          </w:p>
          <w:p w14:paraId="31ACD194" w14:textId="77777777" w:rsidR="00AC49CA" w:rsidRPr="0029445E" w:rsidRDefault="00AC49CA" w:rsidP="00E23E2C">
            <w:pPr>
              <w:jc w:val="center"/>
            </w:pPr>
            <w:r w:rsidRPr="0029445E">
              <w:t>1367</w:t>
            </w:r>
          </w:p>
          <w:p w14:paraId="4DF0F50E" w14:textId="77777777" w:rsidR="00AC49CA" w:rsidRPr="0029445E" w:rsidRDefault="00AC49CA" w:rsidP="00E23E2C">
            <w:pPr>
              <w:jc w:val="center"/>
            </w:pPr>
            <w:r w:rsidRPr="0029445E">
              <w:t>(23.2%)</w:t>
            </w:r>
          </w:p>
          <w:p w14:paraId="2FF5EF35" w14:textId="77777777" w:rsidR="00AC49CA" w:rsidRPr="0029445E" w:rsidRDefault="00AC49CA" w:rsidP="00E23E2C">
            <w:pPr>
              <w:jc w:val="center"/>
            </w:pPr>
            <w:r w:rsidRPr="0029445E">
              <w:t>839</w:t>
            </w:r>
          </w:p>
          <w:p w14:paraId="08E684EC" w14:textId="77777777" w:rsidR="00AC49CA" w:rsidRPr="0029445E" w:rsidRDefault="00AC49CA" w:rsidP="00E23E2C">
            <w:pPr>
              <w:jc w:val="center"/>
            </w:pPr>
            <w:r w:rsidRPr="0029445E">
              <w:t>(14.2%)</w:t>
            </w:r>
          </w:p>
          <w:p w14:paraId="0E85FBD9" w14:textId="77777777" w:rsidR="00AC49CA" w:rsidRPr="0029445E" w:rsidRDefault="00AC49CA" w:rsidP="00E23E2C">
            <w:pPr>
              <w:jc w:val="center"/>
            </w:pPr>
            <w:r w:rsidRPr="0029445E">
              <w:t>111</w:t>
            </w:r>
          </w:p>
          <w:p w14:paraId="451B6A74" w14:textId="77777777" w:rsidR="00AC49CA" w:rsidRPr="0029445E" w:rsidRDefault="00AC49CA" w:rsidP="00E23E2C">
            <w:pPr>
              <w:jc w:val="center"/>
            </w:pPr>
            <w:r w:rsidRPr="0029445E">
              <w:t>(1.9%)</w:t>
            </w:r>
          </w:p>
          <w:p w14:paraId="47CFCDF0" w14:textId="77777777" w:rsidR="00AC49CA" w:rsidRPr="0029445E" w:rsidRDefault="00AC49CA" w:rsidP="00E23E2C">
            <w:pPr>
              <w:jc w:val="center"/>
            </w:pPr>
            <w:r w:rsidRPr="0029445E">
              <w:t>148</w:t>
            </w:r>
          </w:p>
          <w:p w14:paraId="0A1C5C50" w14:textId="77777777" w:rsidR="00AC49CA" w:rsidRPr="0029445E" w:rsidRDefault="00AC49CA" w:rsidP="00E23E2C">
            <w:pPr>
              <w:jc w:val="center"/>
            </w:pPr>
            <w:r w:rsidRPr="0029445E">
              <w:t>(2.5%)</w:t>
            </w:r>
          </w:p>
          <w:p w14:paraId="7D0E20A8" w14:textId="77777777" w:rsidR="00AC49CA" w:rsidRPr="0029445E" w:rsidRDefault="00AC49CA" w:rsidP="00E23E2C">
            <w:pPr>
              <w:jc w:val="center"/>
            </w:pPr>
            <w:r w:rsidRPr="0029445E">
              <w:t>756</w:t>
            </w:r>
          </w:p>
          <w:p w14:paraId="2207C4B2" w14:textId="77777777" w:rsidR="00AC49CA" w:rsidRPr="0029445E" w:rsidRDefault="00AC49CA" w:rsidP="00E23E2C">
            <w:pPr>
              <w:jc w:val="center"/>
            </w:pPr>
            <w:r w:rsidRPr="0029445E">
              <w:t>(12.8%)</w:t>
            </w:r>
          </w:p>
        </w:tc>
        <w:tc>
          <w:tcPr>
            <w:tcW w:w="2551" w:type="dxa"/>
          </w:tcPr>
          <w:p w14:paraId="1F11974A" w14:textId="77777777" w:rsidR="00AC49CA" w:rsidRPr="0029445E" w:rsidRDefault="00AC49CA" w:rsidP="00E23E2C"/>
          <w:p w14:paraId="00E5B553" w14:textId="77777777" w:rsidR="00AC49CA" w:rsidRPr="0029445E" w:rsidRDefault="00AC49CA" w:rsidP="00E23E2C">
            <w:pPr>
              <w:jc w:val="center"/>
            </w:pPr>
          </w:p>
          <w:p w14:paraId="0769D08D" w14:textId="77777777" w:rsidR="00AC49CA" w:rsidRPr="0029445E" w:rsidRDefault="00AC49CA" w:rsidP="00E23E2C">
            <w:pPr>
              <w:jc w:val="center"/>
            </w:pPr>
            <w:r w:rsidRPr="0029445E">
              <w:t>7015</w:t>
            </w:r>
          </w:p>
          <w:p w14:paraId="017268D3" w14:textId="77777777" w:rsidR="00AC49CA" w:rsidRPr="0029445E" w:rsidRDefault="00AC49CA" w:rsidP="00E23E2C">
            <w:pPr>
              <w:jc w:val="center"/>
            </w:pPr>
            <w:r w:rsidRPr="0029445E">
              <w:t>(53.4%)</w:t>
            </w:r>
          </w:p>
          <w:p w14:paraId="1D2C1D17" w14:textId="77777777" w:rsidR="00AC49CA" w:rsidRPr="0029445E" w:rsidRDefault="00AC49CA" w:rsidP="00E23E2C">
            <w:pPr>
              <w:jc w:val="center"/>
            </w:pPr>
            <w:r w:rsidRPr="0029445E">
              <w:t>2815</w:t>
            </w:r>
          </w:p>
          <w:p w14:paraId="4064C08E" w14:textId="77777777" w:rsidR="00AC49CA" w:rsidRPr="0029445E" w:rsidRDefault="00AC49CA" w:rsidP="00E23E2C">
            <w:pPr>
              <w:jc w:val="center"/>
            </w:pPr>
            <w:r w:rsidRPr="0029445E">
              <w:t>(21.4%)</w:t>
            </w:r>
          </w:p>
          <w:p w14:paraId="743BCFF7" w14:textId="77777777" w:rsidR="00AC49CA" w:rsidRPr="0029445E" w:rsidRDefault="00AC49CA" w:rsidP="00E23E2C">
            <w:pPr>
              <w:jc w:val="center"/>
            </w:pPr>
            <w:r w:rsidRPr="0029445E">
              <w:t>1411</w:t>
            </w:r>
          </w:p>
          <w:p w14:paraId="35A62267" w14:textId="77777777" w:rsidR="00AC49CA" w:rsidRPr="0029445E" w:rsidRDefault="00AC49CA" w:rsidP="00E23E2C">
            <w:pPr>
              <w:jc w:val="center"/>
            </w:pPr>
            <w:r w:rsidRPr="0029445E">
              <w:t>(10.7%)</w:t>
            </w:r>
          </w:p>
          <w:p w14:paraId="4182A402" w14:textId="77777777" w:rsidR="00AC49CA" w:rsidRPr="0029445E" w:rsidRDefault="00AC49CA" w:rsidP="00E23E2C">
            <w:pPr>
              <w:jc w:val="center"/>
            </w:pPr>
            <w:r w:rsidRPr="0029445E">
              <w:t>179</w:t>
            </w:r>
          </w:p>
          <w:p w14:paraId="4BDAAB5B" w14:textId="77777777" w:rsidR="00AC49CA" w:rsidRPr="0029445E" w:rsidRDefault="00AC49CA" w:rsidP="00E23E2C">
            <w:pPr>
              <w:jc w:val="center"/>
            </w:pPr>
            <w:r w:rsidRPr="0029445E">
              <w:t>(1.4%)</w:t>
            </w:r>
          </w:p>
          <w:p w14:paraId="1EEC989A" w14:textId="77777777" w:rsidR="00AC49CA" w:rsidRPr="0029445E" w:rsidRDefault="00AC49CA" w:rsidP="00E23E2C">
            <w:pPr>
              <w:jc w:val="center"/>
            </w:pPr>
            <w:r w:rsidRPr="0029445E">
              <w:t>227</w:t>
            </w:r>
          </w:p>
          <w:p w14:paraId="75A71DEA" w14:textId="77777777" w:rsidR="00AC49CA" w:rsidRPr="0029445E" w:rsidRDefault="00AC49CA" w:rsidP="00E23E2C">
            <w:pPr>
              <w:jc w:val="center"/>
            </w:pPr>
            <w:r w:rsidRPr="0029445E">
              <w:t>(1.7%)</w:t>
            </w:r>
          </w:p>
          <w:p w14:paraId="27338F46" w14:textId="77777777" w:rsidR="00AC49CA" w:rsidRPr="0029445E" w:rsidRDefault="00AC49CA" w:rsidP="00E23E2C">
            <w:pPr>
              <w:jc w:val="center"/>
            </w:pPr>
            <w:r w:rsidRPr="0029445E">
              <w:t>1483</w:t>
            </w:r>
          </w:p>
          <w:p w14:paraId="000C2E40" w14:textId="77777777" w:rsidR="00AC49CA" w:rsidRPr="0029445E" w:rsidRDefault="00AC49CA" w:rsidP="00E23E2C">
            <w:pPr>
              <w:jc w:val="center"/>
            </w:pPr>
            <w:r w:rsidRPr="0029445E">
              <w:t>(11.3%)</w:t>
            </w:r>
          </w:p>
        </w:tc>
      </w:tr>
      <w:tr w:rsidR="0029445E" w:rsidRPr="0029445E" w14:paraId="14120569" w14:textId="77777777" w:rsidTr="00AC49CA">
        <w:trPr>
          <w:trHeight w:val="340"/>
        </w:trPr>
        <w:tc>
          <w:tcPr>
            <w:tcW w:w="1526" w:type="dxa"/>
          </w:tcPr>
          <w:p w14:paraId="11D278D4" w14:textId="77777777" w:rsidR="00AC49CA" w:rsidRPr="0029445E" w:rsidRDefault="00AC49CA" w:rsidP="00E23E2C">
            <w:r w:rsidRPr="0029445E">
              <w:t>Previous cardiac surgery</w:t>
            </w:r>
          </w:p>
        </w:tc>
        <w:tc>
          <w:tcPr>
            <w:tcW w:w="2479" w:type="dxa"/>
          </w:tcPr>
          <w:p w14:paraId="5272185C" w14:textId="77777777" w:rsidR="00AC49CA" w:rsidRPr="0029445E" w:rsidRDefault="00AC49CA" w:rsidP="00E23E2C">
            <w:pPr>
              <w:jc w:val="center"/>
            </w:pPr>
            <w:r w:rsidRPr="0029445E">
              <w:t>315</w:t>
            </w:r>
          </w:p>
          <w:p w14:paraId="7E1D55DD" w14:textId="77777777" w:rsidR="00AC49CA" w:rsidRPr="0029445E" w:rsidRDefault="00AC49CA" w:rsidP="00E23E2C">
            <w:pPr>
              <w:jc w:val="center"/>
            </w:pPr>
            <w:r w:rsidRPr="0029445E">
              <w:t>(1.7%)</w:t>
            </w:r>
          </w:p>
        </w:tc>
        <w:tc>
          <w:tcPr>
            <w:tcW w:w="2410" w:type="dxa"/>
          </w:tcPr>
          <w:p w14:paraId="4673F453" w14:textId="77777777" w:rsidR="00AC49CA" w:rsidRPr="0029445E" w:rsidRDefault="00AC49CA" w:rsidP="00E23E2C">
            <w:pPr>
              <w:jc w:val="center"/>
            </w:pPr>
            <w:r w:rsidRPr="0029445E">
              <w:t>142</w:t>
            </w:r>
          </w:p>
          <w:p w14:paraId="6970E380" w14:textId="77777777" w:rsidR="00AC49CA" w:rsidRPr="0029445E" w:rsidRDefault="00AC49CA" w:rsidP="00E23E2C">
            <w:pPr>
              <w:jc w:val="center"/>
            </w:pPr>
            <w:r w:rsidRPr="0029445E">
              <w:t>(2.4%)</w:t>
            </w:r>
          </w:p>
        </w:tc>
        <w:tc>
          <w:tcPr>
            <w:tcW w:w="2551" w:type="dxa"/>
          </w:tcPr>
          <w:p w14:paraId="2AD48D0D" w14:textId="77777777" w:rsidR="00AC49CA" w:rsidRPr="0029445E" w:rsidRDefault="00AC49CA" w:rsidP="00E23E2C">
            <w:pPr>
              <w:jc w:val="center"/>
            </w:pPr>
            <w:r w:rsidRPr="0029445E">
              <w:t>173</w:t>
            </w:r>
          </w:p>
          <w:p w14:paraId="3734069D" w14:textId="77777777" w:rsidR="00AC49CA" w:rsidRPr="0029445E" w:rsidRDefault="00AC49CA" w:rsidP="00E23E2C">
            <w:pPr>
              <w:jc w:val="center"/>
            </w:pPr>
            <w:r w:rsidRPr="0029445E">
              <w:t>(1.3%)</w:t>
            </w:r>
          </w:p>
        </w:tc>
      </w:tr>
      <w:tr w:rsidR="0029445E" w:rsidRPr="0029445E" w14:paraId="6EEF1AF9" w14:textId="77777777" w:rsidTr="00AC49CA">
        <w:trPr>
          <w:trHeight w:val="340"/>
        </w:trPr>
        <w:tc>
          <w:tcPr>
            <w:tcW w:w="1526" w:type="dxa"/>
          </w:tcPr>
          <w:p w14:paraId="12663A41" w14:textId="119587D1" w:rsidR="00AC49CA" w:rsidRPr="0029445E" w:rsidRDefault="00AC49CA" w:rsidP="00E23E2C">
            <w:r w:rsidRPr="0029445E">
              <w:t>CPB used</w:t>
            </w:r>
          </w:p>
        </w:tc>
        <w:tc>
          <w:tcPr>
            <w:tcW w:w="2479" w:type="dxa"/>
          </w:tcPr>
          <w:p w14:paraId="76D5906C" w14:textId="77777777" w:rsidR="00AC49CA" w:rsidRPr="0029445E" w:rsidRDefault="00AC49CA" w:rsidP="00E23E2C">
            <w:pPr>
              <w:jc w:val="center"/>
            </w:pPr>
            <w:r w:rsidRPr="0029445E">
              <w:t>15 503</w:t>
            </w:r>
          </w:p>
          <w:p w14:paraId="7A128401" w14:textId="77777777" w:rsidR="00AC49CA" w:rsidRPr="0029445E" w:rsidRDefault="00AC49CA" w:rsidP="00E23E2C">
            <w:pPr>
              <w:jc w:val="center"/>
            </w:pPr>
            <w:r w:rsidRPr="0029445E">
              <w:t>(81.5%)</w:t>
            </w:r>
          </w:p>
        </w:tc>
        <w:tc>
          <w:tcPr>
            <w:tcW w:w="2410" w:type="dxa"/>
          </w:tcPr>
          <w:p w14:paraId="335F1579" w14:textId="77777777" w:rsidR="00AC49CA" w:rsidRPr="0029445E" w:rsidRDefault="00AC49CA" w:rsidP="00E23E2C">
            <w:pPr>
              <w:jc w:val="center"/>
            </w:pPr>
            <w:r w:rsidRPr="0029445E">
              <w:t>4757</w:t>
            </w:r>
          </w:p>
          <w:p w14:paraId="61C78737" w14:textId="77777777" w:rsidR="00AC49CA" w:rsidRPr="0029445E" w:rsidRDefault="00AC49CA" w:rsidP="00E23E2C">
            <w:pPr>
              <w:jc w:val="center"/>
            </w:pPr>
            <w:r w:rsidRPr="0029445E">
              <w:t>(80.7%)</w:t>
            </w:r>
          </w:p>
        </w:tc>
        <w:tc>
          <w:tcPr>
            <w:tcW w:w="2551" w:type="dxa"/>
          </w:tcPr>
          <w:p w14:paraId="3E9B3507" w14:textId="77777777" w:rsidR="00AC49CA" w:rsidRPr="0029445E" w:rsidRDefault="00AC49CA" w:rsidP="00E23E2C">
            <w:pPr>
              <w:jc w:val="center"/>
            </w:pPr>
            <w:r w:rsidRPr="0029445E">
              <w:t>10 746</w:t>
            </w:r>
          </w:p>
          <w:p w14:paraId="634E2488" w14:textId="77777777" w:rsidR="00AC49CA" w:rsidRPr="0029445E" w:rsidRDefault="00AC49CA" w:rsidP="00E23E2C">
            <w:pPr>
              <w:jc w:val="center"/>
            </w:pPr>
            <w:r w:rsidRPr="0029445E">
              <w:t>(81.8%)</w:t>
            </w:r>
          </w:p>
        </w:tc>
      </w:tr>
      <w:tr w:rsidR="0029445E" w:rsidRPr="0029445E" w14:paraId="02BA97EE" w14:textId="77777777" w:rsidTr="00AC49CA">
        <w:trPr>
          <w:trHeight w:val="340"/>
        </w:trPr>
        <w:tc>
          <w:tcPr>
            <w:tcW w:w="1526" w:type="dxa"/>
          </w:tcPr>
          <w:p w14:paraId="65EAA8CF" w14:textId="77777777" w:rsidR="00AC49CA" w:rsidRPr="0029445E" w:rsidRDefault="00AC49CA" w:rsidP="00E23E2C">
            <w:r w:rsidRPr="0029445E">
              <w:t>Time on bypass; min</w:t>
            </w:r>
          </w:p>
        </w:tc>
        <w:tc>
          <w:tcPr>
            <w:tcW w:w="2479" w:type="dxa"/>
            <w:tcBorders>
              <w:bottom w:val="single" w:sz="4" w:space="0" w:color="auto"/>
            </w:tcBorders>
          </w:tcPr>
          <w:p w14:paraId="765AEBD5" w14:textId="77777777" w:rsidR="00AC49CA" w:rsidRPr="0029445E" w:rsidRDefault="00AC49CA" w:rsidP="00E23E2C">
            <w:pPr>
              <w:jc w:val="center"/>
            </w:pPr>
            <w:r w:rsidRPr="0029445E">
              <w:t>96</w:t>
            </w:r>
          </w:p>
          <w:p w14:paraId="19163408" w14:textId="77777777" w:rsidR="00AC49CA" w:rsidRPr="0029445E" w:rsidRDefault="00AC49CA" w:rsidP="00E23E2C">
            <w:pPr>
              <w:jc w:val="center"/>
            </w:pPr>
            <w:r w:rsidRPr="0029445E">
              <w:t xml:space="preserve">(75-125 </w:t>
            </w:r>
          </w:p>
          <w:p w14:paraId="03D6CEE2" w14:textId="77777777" w:rsidR="00AC49CA" w:rsidRPr="0029445E" w:rsidRDefault="00AC49CA" w:rsidP="00E23E2C">
            <w:pPr>
              <w:jc w:val="center"/>
              <w:rPr>
                <w:rFonts w:eastAsia="Times New Roman" w:cs="Times New Roman"/>
              </w:rPr>
            </w:pPr>
            <w:r w:rsidRPr="0029445E">
              <w:rPr>
                <w:rFonts w:eastAsia="Times New Roman" w:cs="Times New Roman"/>
              </w:rPr>
              <w:t>[1-1945]</w:t>
            </w:r>
            <w:r w:rsidRPr="0029445E">
              <w:t>)</w:t>
            </w:r>
          </w:p>
        </w:tc>
        <w:tc>
          <w:tcPr>
            <w:tcW w:w="2410" w:type="dxa"/>
            <w:tcBorders>
              <w:bottom w:val="single" w:sz="4" w:space="0" w:color="auto"/>
            </w:tcBorders>
          </w:tcPr>
          <w:p w14:paraId="62CB5B83" w14:textId="77777777" w:rsidR="00AC49CA" w:rsidRPr="0029445E" w:rsidRDefault="00AC49CA" w:rsidP="00E23E2C">
            <w:pPr>
              <w:jc w:val="center"/>
            </w:pPr>
            <w:r w:rsidRPr="0029445E">
              <w:t>100</w:t>
            </w:r>
          </w:p>
          <w:p w14:paraId="2E829F43" w14:textId="77777777" w:rsidR="00AC49CA" w:rsidRPr="0029445E" w:rsidRDefault="00AC49CA" w:rsidP="00E23E2C">
            <w:pPr>
              <w:jc w:val="center"/>
            </w:pPr>
            <w:r w:rsidRPr="0029445E">
              <w:t xml:space="preserve">(76-132 </w:t>
            </w:r>
          </w:p>
          <w:p w14:paraId="64248BAE" w14:textId="77777777" w:rsidR="00AC49CA" w:rsidRPr="0029445E" w:rsidRDefault="00AC49CA" w:rsidP="00E23E2C">
            <w:pPr>
              <w:jc w:val="center"/>
              <w:rPr>
                <w:rFonts w:eastAsia="Times New Roman" w:cs="Times New Roman"/>
              </w:rPr>
            </w:pPr>
            <w:r w:rsidRPr="0029445E">
              <w:rPr>
                <w:rFonts w:eastAsia="Times New Roman" w:cs="Times New Roman"/>
              </w:rPr>
              <w:t>[1-1000]</w:t>
            </w:r>
            <w:r w:rsidRPr="0029445E">
              <w:t>)</w:t>
            </w:r>
          </w:p>
        </w:tc>
        <w:tc>
          <w:tcPr>
            <w:tcW w:w="2551" w:type="dxa"/>
            <w:tcBorders>
              <w:bottom w:val="single" w:sz="4" w:space="0" w:color="auto"/>
            </w:tcBorders>
          </w:tcPr>
          <w:p w14:paraId="690F70D8" w14:textId="77777777" w:rsidR="00AC49CA" w:rsidRPr="0029445E" w:rsidRDefault="00AC49CA" w:rsidP="00E23E2C">
            <w:pPr>
              <w:jc w:val="center"/>
            </w:pPr>
            <w:r w:rsidRPr="0029445E">
              <w:t>94</w:t>
            </w:r>
          </w:p>
          <w:p w14:paraId="1068F81F" w14:textId="77777777" w:rsidR="00AC49CA" w:rsidRPr="0029445E" w:rsidRDefault="00AC49CA" w:rsidP="00E23E2C">
            <w:pPr>
              <w:jc w:val="center"/>
            </w:pPr>
            <w:r w:rsidRPr="0029445E">
              <w:t xml:space="preserve">(74-122 </w:t>
            </w:r>
          </w:p>
          <w:p w14:paraId="26037516" w14:textId="77777777" w:rsidR="00AC49CA" w:rsidRPr="0029445E" w:rsidRDefault="00AC49CA" w:rsidP="00E23E2C">
            <w:pPr>
              <w:jc w:val="center"/>
              <w:rPr>
                <w:rFonts w:eastAsia="Times New Roman" w:cs="Times New Roman"/>
              </w:rPr>
            </w:pPr>
            <w:r w:rsidRPr="0029445E">
              <w:rPr>
                <w:rFonts w:eastAsia="Times New Roman" w:cs="Times New Roman"/>
              </w:rPr>
              <w:t>[2-1945]</w:t>
            </w:r>
            <w:r w:rsidRPr="0029445E">
              <w:t>)</w:t>
            </w:r>
          </w:p>
        </w:tc>
      </w:tr>
      <w:tr w:rsidR="0029445E" w:rsidRPr="0029445E" w14:paraId="7E754B43" w14:textId="77777777" w:rsidTr="0029445E">
        <w:trPr>
          <w:trHeight w:val="340"/>
        </w:trPr>
        <w:tc>
          <w:tcPr>
            <w:tcW w:w="1526" w:type="dxa"/>
            <w:shd w:val="clear" w:color="auto" w:fill="FFFFFF" w:themeFill="background1"/>
          </w:tcPr>
          <w:p w14:paraId="4B634320" w14:textId="77777777" w:rsidR="00AC49CA" w:rsidRPr="0029445E" w:rsidRDefault="00AC49CA" w:rsidP="00E23E2C">
            <w:r w:rsidRPr="0029445E">
              <w:t>Cross-clamp time; min</w:t>
            </w:r>
          </w:p>
        </w:tc>
        <w:tc>
          <w:tcPr>
            <w:tcW w:w="2479" w:type="dxa"/>
            <w:shd w:val="clear" w:color="auto" w:fill="FFFFFF" w:themeFill="background1"/>
          </w:tcPr>
          <w:tbl>
            <w:tblPr>
              <w:tblW w:w="5560" w:type="dxa"/>
              <w:tblLayout w:type="fixed"/>
              <w:tblLook w:val="04A0" w:firstRow="1" w:lastRow="0" w:firstColumn="1" w:lastColumn="0" w:noHBand="0" w:noVBand="1"/>
            </w:tblPr>
            <w:tblGrid>
              <w:gridCol w:w="2780"/>
              <w:gridCol w:w="2780"/>
            </w:tblGrid>
            <w:tr w:rsidR="0029445E" w:rsidRPr="0029445E" w14:paraId="083DC973" w14:textId="68C053C5" w:rsidTr="0029445E">
              <w:trPr>
                <w:trHeight w:val="280"/>
              </w:trPr>
              <w:tc>
                <w:tcPr>
                  <w:tcW w:w="2780" w:type="dxa"/>
                  <w:tcBorders>
                    <w:top w:val="nil"/>
                    <w:left w:val="nil"/>
                    <w:bottom w:val="nil"/>
                    <w:right w:val="nil"/>
                  </w:tcBorders>
                  <w:shd w:val="clear" w:color="auto" w:fill="FFFFFF" w:themeFill="background1"/>
                  <w:noWrap/>
                  <w:vAlign w:val="bottom"/>
                  <w:hideMark/>
                </w:tcPr>
                <w:p w14:paraId="3A130F46" w14:textId="77777777" w:rsidR="0029445E" w:rsidRPr="0029445E" w:rsidRDefault="0029445E" w:rsidP="0029445E">
                  <w:pPr>
                    <w:framePr w:hSpace="180" w:wrap="around" w:vAnchor="page" w:hAnchor="page" w:x="829" w:y="2701"/>
                    <w:spacing w:after="0" w:line="240" w:lineRule="auto"/>
                    <w:jc w:val="center"/>
                    <w:rPr>
                      <w:rFonts w:eastAsia="Times New Roman" w:cs="Times New Roman"/>
                    </w:rPr>
                  </w:pPr>
                  <w:r w:rsidRPr="0029445E">
                    <w:rPr>
                      <w:rFonts w:eastAsia="Times New Roman" w:cs="Times New Roman"/>
                    </w:rPr>
                    <w:t>63</w:t>
                  </w:r>
                </w:p>
              </w:tc>
              <w:tc>
                <w:tcPr>
                  <w:tcW w:w="2780" w:type="dxa"/>
                  <w:tcBorders>
                    <w:top w:val="nil"/>
                    <w:left w:val="nil"/>
                    <w:bottom w:val="nil"/>
                    <w:right w:val="nil"/>
                  </w:tcBorders>
                  <w:shd w:val="clear" w:color="auto" w:fill="FFFFFF" w:themeFill="background1"/>
                </w:tcPr>
                <w:p w14:paraId="355AA248" w14:textId="77777777" w:rsidR="0029445E" w:rsidRPr="0029445E" w:rsidRDefault="0029445E" w:rsidP="0029445E">
                  <w:pPr>
                    <w:framePr w:hSpace="180" w:wrap="around" w:vAnchor="page" w:hAnchor="page" w:x="829" w:y="2701"/>
                    <w:spacing w:after="0" w:line="240" w:lineRule="auto"/>
                    <w:jc w:val="center"/>
                    <w:rPr>
                      <w:rFonts w:eastAsia="Times New Roman" w:cs="Times New Roman"/>
                    </w:rPr>
                  </w:pPr>
                </w:p>
              </w:tc>
            </w:tr>
            <w:tr w:rsidR="0029445E" w:rsidRPr="0029445E" w14:paraId="7221C140" w14:textId="71106557" w:rsidTr="0029445E">
              <w:trPr>
                <w:trHeight w:val="280"/>
              </w:trPr>
              <w:tc>
                <w:tcPr>
                  <w:tcW w:w="2780" w:type="dxa"/>
                  <w:tcBorders>
                    <w:top w:val="nil"/>
                    <w:left w:val="nil"/>
                    <w:bottom w:val="nil"/>
                    <w:right w:val="nil"/>
                  </w:tcBorders>
                  <w:shd w:val="clear" w:color="auto" w:fill="FFFFFF" w:themeFill="background1"/>
                  <w:noWrap/>
                  <w:vAlign w:val="bottom"/>
                  <w:hideMark/>
                </w:tcPr>
                <w:p w14:paraId="4565EC29" w14:textId="77777777" w:rsidR="0029445E" w:rsidRPr="0029445E" w:rsidRDefault="0029445E" w:rsidP="0029445E">
                  <w:pPr>
                    <w:framePr w:hSpace="180" w:wrap="around" w:vAnchor="page" w:hAnchor="page" w:x="829" w:y="2701"/>
                    <w:spacing w:after="0" w:line="240" w:lineRule="auto"/>
                    <w:jc w:val="center"/>
                    <w:rPr>
                      <w:rFonts w:eastAsia="Times New Roman" w:cs="Times New Roman"/>
                    </w:rPr>
                  </w:pPr>
                  <w:r w:rsidRPr="0029445E">
                    <w:rPr>
                      <w:rFonts w:eastAsia="Times New Roman" w:cs="Times New Roman"/>
                    </w:rPr>
                    <w:t>(46-86)</w:t>
                  </w:r>
                </w:p>
              </w:tc>
              <w:tc>
                <w:tcPr>
                  <w:tcW w:w="2780" w:type="dxa"/>
                  <w:tcBorders>
                    <w:top w:val="nil"/>
                    <w:left w:val="nil"/>
                    <w:bottom w:val="nil"/>
                    <w:right w:val="nil"/>
                  </w:tcBorders>
                  <w:shd w:val="clear" w:color="auto" w:fill="FFFFFF" w:themeFill="background1"/>
                </w:tcPr>
                <w:p w14:paraId="1D0CBBDC" w14:textId="77777777" w:rsidR="0029445E" w:rsidRPr="0029445E" w:rsidRDefault="0029445E" w:rsidP="0029445E">
                  <w:pPr>
                    <w:framePr w:hSpace="180" w:wrap="around" w:vAnchor="page" w:hAnchor="page" w:x="829" w:y="2701"/>
                    <w:spacing w:after="0" w:line="240" w:lineRule="auto"/>
                    <w:jc w:val="center"/>
                    <w:rPr>
                      <w:rFonts w:eastAsia="Times New Roman" w:cs="Times New Roman"/>
                    </w:rPr>
                  </w:pPr>
                </w:p>
              </w:tc>
            </w:tr>
            <w:tr w:rsidR="0029445E" w:rsidRPr="0029445E" w14:paraId="515EF30C" w14:textId="0C8FA724" w:rsidTr="0029445E">
              <w:trPr>
                <w:trHeight w:val="280"/>
              </w:trPr>
              <w:tc>
                <w:tcPr>
                  <w:tcW w:w="2780" w:type="dxa"/>
                  <w:tcBorders>
                    <w:top w:val="nil"/>
                    <w:left w:val="nil"/>
                    <w:bottom w:val="nil"/>
                    <w:right w:val="nil"/>
                  </w:tcBorders>
                  <w:shd w:val="clear" w:color="auto" w:fill="FFFFFF" w:themeFill="background1"/>
                  <w:noWrap/>
                  <w:vAlign w:val="bottom"/>
                  <w:hideMark/>
                </w:tcPr>
                <w:p w14:paraId="13FFA4B8" w14:textId="77777777" w:rsidR="0029445E" w:rsidRPr="0029445E" w:rsidRDefault="0029445E" w:rsidP="0029445E">
                  <w:pPr>
                    <w:framePr w:hSpace="180" w:wrap="around" w:vAnchor="page" w:hAnchor="page" w:x="829" w:y="2701"/>
                    <w:spacing w:after="0" w:line="240" w:lineRule="auto"/>
                    <w:jc w:val="center"/>
                    <w:rPr>
                      <w:rFonts w:eastAsia="Times New Roman" w:cs="Times New Roman"/>
                    </w:rPr>
                  </w:pPr>
                  <w:r w:rsidRPr="0029445E">
                    <w:rPr>
                      <w:rFonts w:eastAsia="Times New Roman" w:cs="Times New Roman"/>
                    </w:rPr>
                    <w:t>[2-1420]</w:t>
                  </w:r>
                </w:p>
              </w:tc>
              <w:tc>
                <w:tcPr>
                  <w:tcW w:w="2780" w:type="dxa"/>
                  <w:tcBorders>
                    <w:top w:val="nil"/>
                    <w:left w:val="nil"/>
                    <w:bottom w:val="nil"/>
                    <w:right w:val="nil"/>
                  </w:tcBorders>
                  <w:shd w:val="clear" w:color="auto" w:fill="FFFFFF" w:themeFill="background1"/>
                </w:tcPr>
                <w:p w14:paraId="7E0BB6BD" w14:textId="77777777" w:rsidR="0029445E" w:rsidRPr="0029445E" w:rsidRDefault="0029445E" w:rsidP="0029445E">
                  <w:pPr>
                    <w:framePr w:hSpace="180" w:wrap="around" w:vAnchor="page" w:hAnchor="page" w:x="829" w:y="2701"/>
                    <w:spacing w:after="0" w:line="240" w:lineRule="auto"/>
                    <w:jc w:val="center"/>
                    <w:rPr>
                      <w:rFonts w:eastAsia="Times New Roman" w:cs="Times New Roman"/>
                    </w:rPr>
                  </w:pPr>
                </w:p>
              </w:tc>
            </w:tr>
          </w:tbl>
          <w:p w14:paraId="429EE2C9" w14:textId="77777777" w:rsidR="00AC49CA" w:rsidRPr="0029445E" w:rsidRDefault="00AC49CA" w:rsidP="00E23E2C">
            <w:pPr>
              <w:jc w:val="center"/>
            </w:pPr>
          </w:p>
        </w:tc>
        <w:tc>
          <w:tcPr>
            <w:tcW w:w="2410" w:type="dxa"/>
            <w:shd w:val="clear" w:color="auto" w:fill="FFFFFF" w:themeFill="background1"/>
          </w:tcPr>
          <w:tbl>
            <w:tblPr>
              <w:tblW w:w="2780" w:type="dxa"/>
              <w:jc w:val="center"/>
              <w:tblLayout w:type="fixed"/>
              <w:tblLook w:val="04A0" w:firstRow="1" w:lastRow="0" w:firstColumn="1" w:lastColumn="0" w:noHBand="0" w:noVBand="1"/>
            </w:tblPr>
            <w:tblGrid>
              <w:gridCol w:w="2780"/>
            </w:tblGrid>
            <w:tr w:rsidR="0029445E" w:rsidRPr="0029445E" w14:paraId="118CF21E" w14:textId="77777777" w:rsidTr="0029445E">
              <w:trPr>
                <w:trHeight w:val="280"/>
                <w:jc w:val="center"/>
              </w:trPr>
              <w:tc>
                <w:tcPr>
                  <w:tcW w:w="2780" w:type="dxa"/>
                  <w:tcBorders>
                    <w:top w:val="nil"/>
                    <w:left w:val="nil"/>
                    <w:bottom w:val="nil"/>
                    <w:right w:val="nil"/>
                  </w:tcBorders>
                  <w:shd w:val="clear" w:color="auto" w:fill="FFFFFF" w:themeFill="background1"/>
                  <w:noWrap/>
                  <w:vAlign w:val="bottom"/>
                  <w:hideMark/>
                </w:tcPr>
                <w:p w14:paraId="646F012C" w14:textId="77777777" w:rsidR="00AC49CA" w:rsidRPr="0029445E" w:rsidRDefault="00AC49CA" w:rsidP="0029445E">
                  <w:pPr>
                    <w:framePr w:hSpace="180" w:wrap="around" w:vAnchor="page" w:hAnchor="page" w:x="829" w:y="2701"/>
                    <w:spacing w:after="0" w:line="240" w:lineRule="auto"/>
                    <w:jc w:val="center"/>
                    <w:rPr>
                      <w:rFonts w:eastAsia="Times New Roman" w:cs="Times New Roman"/>
                    </w:rPr>
                  </w:pPr>
                  <w:r w:rsidRPr="0029445E">
                    <w:rPr>
                      <w:rFonts w:eastAsia="Times New Roman" w:cs="Times New Roman"/>
                    </w:rPr>
                    <w:t>66</w:t>
                  </w:r>
                </w:p>
              </w:tc>
            </w:tr>
            <w:tr w:rsidR="0029445E" w:rsidRPr="0029445E" w14:paraId="640E8A0B" w14:textId="77777777" w:rsidTr="0029445E">
              <w:trPr>
                <w:trHeight w:val="280"/>
                <w:jc w:val="center"/>
              </w:trPr>
              <w:tc>
                <w:tcPr>
                  <w:tcW w:w="2780" w:type="dxa"/>
                  <w:tcBorders>
                    <w:top w:val="nil"/>
                    <w:left w:val="nil"/>
                    <w:bottom w:val="nil"/>
                    <w:right w:val="nil"/>
                  </w:tcBorders>
                  <w:shd w:val="clear" w:color="auto" w:fill="FFFFFF" w:themeFill="background1"/>
                  <w:noWrap/>
                  <w:vAlign w:val="bottom"/>
                  <w:hideMark/>
                </w:tcPr>
                <w:p w14:paraId="67312969" w14:textId="77777777" w:rsidR="00AC49CA" w:rsidRPr="0029445E" w:rsidRDefault="00AC49CA" w:rsidP="0029445E">
                  <w:pPr>
                    <w:framePr w:hSpace="180" w:wrap="around" w:vAnchor="page" w:hAnchor="page" w:x="829" w:y="2701"/>
                    <w:spacing w:after="0" w:line="240" w:lineRule="auto"/>
                    <w:jc w:val="center"/>
                    <w:rPr>
                      <w:rFonts w:eastAsia="Times New Roman" w:cs="Times New Roman"/>
                    </w:rPr>
                  </w:pPr>
                  <w:r w:rsidRPr="0029445E">
                    <w:rPr>
                      <w:rFonts w:eastAsia="Times New Roman" w:cs="Times New Roman"/>
                    </w:rPr>
                    <w:t>(48-91)</w:t>
                  </w:r>
                </w:p>
              </w:tc>
            </w:tr>
            <w:tr w:rsidR="0029445E" w:rsidRPr="0029445E" w14:paraId="594C4CC1" w14:textId="77777777" w:rsidTr="0029445E">
              <w:trPr>
                <w:trHeight w:val="280"/>
                <w:jc w:val="center"/>
              </w:trPr>
              <w:tc>
                <w:tcPr>
                  <w:tcW w:w="2780" w:type="dxa"/>
                  <w:tcBorders>
                    <w:top w:val="nil"/>
                    <w:left w:val="nil"/>
                    <w:bottom w:val="nil"/>
                    <w:right w:val="nil"/>
                  </w:tcBorders>
                  <w:shd w:val="clear" w:color="auto" w:fill="FFFFFF" w:themeFill="background1"/>
                  <w:noWrap/>
                  <w:vAlign w:val="bottom"/>
                  <w:hideMark/>
                </w:tcPr>
                <w:p w14:paraId="1CD2AD3A" w14:textId="77777777" w:rsidR="00AC49CA" w:rsidRPr="0029445E" w:rsidRDefault="00AC49CA" w:rsidP="0029445E">
                  <w:pPr>
                    <w:framePr w:hSpace="180" w:wrap="around" w:vAnchor="page" w:hAnchor="page" w:x="829" w:y="2701"/>
                    <w:spacing w:after="0" w:line="240" w:lineRule="auto"/>
                    <w:jc w:val="center"/>
                    <w:rPr>
                      <w:rFonts w:eastAsia="Times New Roman" w:cs="Times New Roman"/>
                    </w:rPr>
                  </w:pPr>
                  <w:r w:rsidRPr="0029445E">
                    <w:rPr>
                      <w:rFonts w:eastAsia="Times New Roman" w:cs="Times New Roman"/>
                    </w:rPr>
                    <w:t>[3-1420]</w:t>
                  </w:r>
                </w:p>
              </w:tc>
            </w:tr>
          </w:tbl>
          <w:p w14:paraId="5F297B47" w14:textId="77777777" w:rsidR="00AC49CA" w:rsidRPr="0029445E" w:rsidRDefault="00AC49CA" w:rsidP="00E23E2C">
            <w:pPr>
              <w:jc w:val="center"/>
            </w:pPr>
          </w:p>
        </w:tc>
        <w:tc>
          <w:tcPr>
            <w:tcW w:w="2551" w:type="dxa"/>
            <w:shd w:val="clear" w:color="auto" w:fill="FFFFFF" w:themeFill="background1"/>
          </w:tcPr>
          <w:tbl>
            <w:tblPr>
              <w:tblW w:w="2780" w:type="dxa"/>
              <w:tblLayout w:type="fixed"/>
              <w:tblLook w:val="04A0" w:firstRow="1" w:lastRow="0" w:firstColumn="1" w:lastColumn="0" w:noHBand="0" w:noVBand="1"/>
            </w:tblPr>
            <w:tblGrid>
              <w:gridCol w:w="2780"/>
            </w:tblGrid>
            <w:tr w:rsidR="0029445E" w:rsidRPr="0029445E" w14:paraId="0CA76880" w14:textId="77777777" w:rsidTr="0029445E">
              <w:trPr>
                <w:trHeight w:val="280"/>
              </w:trPr>
              <w:tc>
                <w:tcPr>
                  <w:tcW w:w="2780" w:type="dxa"/>
                  <w:tcBorders>
                    <w:top w:val="nil"/>
                    <w:left w:val="nil"/>
                    <w:bottom w:val="nil"/>
                    <w:right w:val="nil"/>
                  </w:tcBorders>
                  <w:shd w:val="clear" w:color="auto" w:fill="FFFFFF" w:themeFill="background1"/>
                  <w:noWrap/>
                  <w:vAlign w:val="bottom"/>
                  <w:hideMark/>
                </w:tcPr>
                <w:p w14:paraId="556B3399" w14:textId="77777777" w:rsidR="00AC49CA" w:rsidRPr="0029445E" w:rsidRDefault="00AC49CA" w:rsidP="0029445E">
                  <w:pPr>
                    <w:framePr w:hSpace="180" w:wrap="around" w:vAnchor="page" w:hAnchor="page" w:x="829" w:y="2701"/>
                    <w:spacing w:after="0" w:line="240" w:lineRule="auto"/>
                    <w:jc w:val="center"/>
                    <w:rPr>
                      <w:rFonts w:eastAsia="Times New Roman" w:cs="Times New Roman"/>
                    </w:rPr>
                  </w:pPr>
                  <w:r w:rsidRPr="0029445E">
                    <w:rPr>
                      <w:rFonts w:eastAsia="Times New Roman" w:cs="Times New Roman"/>
                    </w:rPr>
                    <w:t>61</w:t>
                  </w:r>
                </w:p>
              </w:tc>
            </w:tr>
            <w:tr w:rsidR="0029445E" w:rsidRPr="0029445E" w14:paraId="5062CD9F" w14:textId="77777777" w:rsidTr="0029445E">
              <w:trPr>
                <w:trHeight w:val="280"/>
              </w:trPr>
              <w:tc>
                <w:tcPr>
                  <w:tcW w:w="2780" w:type="dxa"/>
                  <w:tcBorders>
                    <w:top w:val="nil"/>
                    <w:left w:val="nil"/>
                    <w:bottom w:val="nil"/>
                    <w:right w:val="nil"/>
                  </w:tcBorders>
                  <w:shd w:val="clear" w:color="auto" w:fill="FFFFFF" w:themeFill="background1"/>
                  <w:noWrap/>
                  <w:vAlign w:val="bottom"/>
                  <w:hideMark/>
                </w:tcPr>
                <w:p w14:paraId="0D60A9E7" w14:textId="77777777" w:rsidR="00AC49CA" w:rsidRPr="0029445E" w:rsidRDefault="00AC49CA" w:rsidP="0029445E">
                  <w:pPr>
                    <w:framePr w:hSpace="180" w:wrap="around" w:vAnchor="page" w:hAnchor="page" w:x="829" w:y="2701"/>
                    <w:spacing w:after="0" w:line="240" w:lineRule="auto"/>
                    <w:jc w:val="center"/>
                    <w:rPr>
                      <w:rFonts w:eastAsia="Times New Roman" w:cs="Times New Roman"/>
                    </w:rPr>
                  </w:pPr>
                  <w:r w:rsidRPr="0029445E">
                    <w:rPr>
                      <w:rFonts w:eastAsia="Times New Roman" w:cs="Times New Roman"/>
                    </w:rPr>
                    <w:t>(45-84)</w:t>
                  </w:r>
                </w:p>
              </w:tc>
            </w:tr>
            <w:tr w:rsidR="0029445E" w:rsidRPr="0029445E" w14:paraId="6B9D8D47" w14:textId="77777777" w:rsidTr="0029445E">
              <w:trPr>
                <w:trHeight w:val="280"/>
              </w:trPr>
              <w:tc>
                <w:tcPr>
                  <w:tcW w:w="2780" w:type="dxa"/>
                  <w:tcBorders>
                    <w:top w:val="nil"/>
                    <w:left w:val="nil"/>
                    <w:bottom w:val="nil"/>
                    <w:right w:val="nil"/>
                  </w:tcBorders>
                  <w:shd w:val="clear" w:color="auto" w:fill="FFFFFF" w:themeFill="background1"/>
                  <w:noWrap/>
                  <w:vAlign w:val="bottom"/>
                  <w:hideMark/>
                </w:tcPr>
                <w:p w14:paraId="79772A45" w14:textId="77777777" w:rsidR="00AC49CA" w:rsidRPr="0029445E" w:rsidRDefault="00AC49CA" w:rsidP="0029445E">
                  <w:pPr>
                    <w:framePr w:hSpace="180" w:wrap="around" w:vAnchor="page" w:hAnchor="page" w:x="829" w:y="2701"/>
                    <w:spacing w:after="0" w:line="240" w:lineRule="auto"/>
                    <w:jc w:val="center"/>
                    <w:rPr>
                      <w:rFonts w:eastAsia="Times New Roman" w:cs="Times New Roman"/>
                    </w:rPr>
                  </w:pPr>
                  <w:r w:rsidRPr="0029445E">
                    <w:rPr>
                      <w:rFonts w:eastAsia="Times New Roman" w:cs="Times New Roman"/>
                    </w:rPr>
                    <w:t>[2-1413]</w:t>
                  </w:r>
                </w:p>
              </w:tc>
            </w:tr>
          </w:tbl>
          <w:p w14:paraId="1641D282" w14:textId="77777777" w:rsidR="00AC49CA" w:rsidRPr="0029445E" w:rsidRDefault="00AC49CA" w:rsidP="00E23E2C">
            <w:pPr>
              <w:jc w:val="center"/>
            </w:pPr>
          </w:p>
        </w:tc>
      </w:tr>
      <w:tr w:rsidR="0029445E" w:rsidRPr="0029445E" w14:paraId="1B1B992D" w14:textId="77777777" w:rsidTr="00AC49CA">
        <w:trPr>
          <w:trHeight w:val="340"/>
        </w:trPr>
        <w:tc>
          <w:tcPr>
            <w:tcW w:w="1526" w:type="dxa"/>
          </w:tcPr>
          <w:p w14:paraId="74D5523B" w14:textId="77777777" w:rsidR="00AC49CA" w:rsidRPr="0029445E" w:rsidRDefault="00AC49CA" w:rsidP="00E23E2C">
            <w:r w:rsidRPr="0029445E">
              <w:t>Logistic EuroSCORE</w:t>
            </w:r>
          </w:p>
          <w:p w14:paraId="36C09C3E" w14:textId="77777777" w:rsidR="00AC49CA" w:rsidRPr="0029445E" w:rsidRDefault="00AC49CA" w:rsidP="00E23E2C">
            <w:r w:rsidRPr="0029445E">
              <w:t>(% predicted mortality)</w:t>
            </w:r>
          </w:p>
        </w:tc>
        <w:tc>
          <w:tcPr>
            <w:tcW w:w="2479" w:type="dxa"/>
          </w:tcPr>
          <w:tbl>
            <w:tblPr>
              <w:tblW w:w="2780" w:type="dxa"/>
              <w:tblLayout w:type="fixed"/>
              <w:tblLook w:val="04A0" w:firstRow="1" w:lastRow="0" w:firstColumn="1" w:lastColumn="0" w:noHBand="0" w:noVBand="1"/>
            </w:tblPr>
            <w:tblGrid>
              <w:gridCol w:w="2780"/>
            </w:tblGrid>
            <w:tr w:rsidR="0029445E" w:rsidRPr="0029445E" w14:paraId="4E3AE499" w14:textId="77777777" w:rsidTr="00E23E2C">
              <w:trPr>
                <w:trHeight w:val="280"/>
              </w:trPr>
              <w:tc>
                <w:tcPr>
                  <w:tcW w:w="2780" w:type="dxa"/>
                  <w:tcBorders>
                    <w:top w:val="nil"/>
                    <w:left w:val="nil"/>
                    <w:bottom w:val="nil"/>
                    <w:right w:val="nil"/>
                  </w:tcBorders>
                  <w:shd w:val="clear" w:color="auto" w:fill="auto"/>
                  <w:noWrap/>
                  <w:vAlign w:val="bottom"/>
                  <w:hideMark/>
                </w:tcPr>
                <w:p w14:paraId="1636C547" w14:textId="77777777" w:rsidR="00AC49CA" w:rsidRPr="0029445E" w:rsidRDefault="00AC49CA" w:rsidP="0029445E">
                  <w:pPr>
                    <w:framePr w:hSpace="180" w:wrap="around" w:vAnchor="page" w:hAnchor="page" w:x="829" w:y="2701"/>
                    <w:spacing w:after="0" w:line="240" w:lineRule="auto"/>
                    <w:jc w:val="center"/>
                    <w:rPr>
                      <w:rFonts w:eastAsia="Times New Roman" w:cs="Times New Roman"/>
                    </w:rPr>
                  </w:pPr>
                  <w:r w:rsidRPr="0029445E">
                    <w:rPr>
                      <w:rFonts w:eastAsia="Times New Roman" w:cs="Times New Roman"/>
                    </w:rPr>
                    <w:t>4.18</w:t>
                  </w:r>
                </w:p>
              </w:tc>
            </w:tr>
            <w:tr w:rsidR="0029445E" w:rsidRPr="0029445E" w14:paraId="6E0D5302" w14:textId="77777777" w:rsidTr="00E23E2C">
              <w:trPr>
                <w:trHeight w:val="280"/>
              </w:trPr>
              <w:tc>
                <w:tcPr>
                  <w:tcW w:w="2780" w:type="dxa"/>
                  <w:tcBorders>
                    <w:top w:val="nil"/>
                    <w:left w:val="nil"/>
                    <w:bottom w:val="nil"/>
                    <w:right w:val="nil"/>
                  </w:tcBorders>
                  <w:shd w:val="clear" w:color="auto" w:fill="auto"/>
                  <w:noWrap/>
                  <w:vAlign w:val="bottom"/>
                  <w:hideMark/>
                </w:tcPr>
                <w:p w14:paraId="44609713" w14:textId="77777777" w:rsidR="00AC49CA" w:rsidRPr="0029445E" w:rsidRDefault="00AC49CA" w:rsidP="0029445E">
                  <w:pPr>
                    <w:framePr w:hSpace="180" w:wrap="around" w:vAnchor="page" w:hAnchor="page" w:x="829" w:y="2701"/>
                    <w:spacing w:after="0" w:line="240" w:lineRule="auto"/>
                    <w:jc w:val="center"/>
                    <w:rPr>
                      <w:rFonts w:eastAsia="Times New Roman" w:cs="Times New Roman"/>
                    </w:rPr>
                  </w:pPr>
                  <w:r w:rsidRPr="0029445E">
                    <w:rPr>
                      <w:rFonts w:eastAsia="Times New Roman" w:cs="Times New Roman"/>
                    </w:rPr>
                    <w:t xml:space="preserve">(2.08-8.49) </w:t>
                  </w:r>
                </w:p>
                <w:p w14:paraId="48909768" w14:textId="77777777" w:rsidR="00AC49CA" w:rsidRPr="0029445E" w:rsidRDefault="00AC49CA" w:rsidP="0029445E">
                  <w:pPr>
                    <w:framePr w:hSpace="180" w:wrap="around" w:vAnchor="page" w:hAnchor="page" w:x="829" w:y="2701"/>
                    <w:spacing w:after="0" w:line="240" w:lineRule="auto"/>
                    <w:jc w:val="center"/>
                    <w:rPr>
                      <w:rFonts w:eastAsia="Times New Roman" w:cs="Times New Roman"/>
                    </w:rPr>
                  </w:pPr>
                  <w:r w:rsidRPr="0029445E">
                    <w:rPr>
                      <w:rFonts w:eastAsia="Times New Roman" w:cs="Times New Roman"/>
                    </w:rPr>
                    <w:t>[0.44-97.92]</w:t>
                  </w:r>
                </w:p>
              </w:tc>
            </w:tr>
            <w:tr w:rsidR="0029445E" w:rsidRPr="0029445E" w14:paraId="14CADA9F" w14:textId="77777777" w:rsidTr="00E23E2C">
              <w:trPr>
                <w:trHeight w:val="280"/>
              </w:trPr>
              <w:tc>
                <w:tcPr>
                  <w:tcW w:w="2780" w:type="dxa"/>
                  <w:tcBorders>
                    <w:top w:val="nil"/>
                    <w:left w:val="nil"/>
                    <w:bottom w:val="nil"/>
                    <w:right w:val="nil"/>
                  </w:tcBorders>
                  <w:shd w:val="clear" w:color="auto" w:fill="auto"/>
                  <w:noWrap/>
                  <w:vAlign w:val="bottom"/>
                  <w:hideMark/>
                </w:tcPr>
                <w:p w14:paraId="103678F4" w14:textId="77777777" w:rsidR="00AC49CA" w:rsidRPr="0029445E" w:rsidRDefault="00AC49CA" w:rsidP="0029445E">
                  <w:pPr>
                    <w:framePr w:hSpace="180" w:wrap="around" w:vAnchor="page" w:hAnchor="page" w:x="829" w:y="2701"/>
                    <w:spacing w:before="240" w:after="0" w:line="240" w:lineRule="auto"/>
                    <w:rPr>
                      <w:rFonts w:eastAsia="Times New Roman" w:cs="Times New Roman"/>
                    </w:rPr>
                  </w:pPr>
                </w:p>
              </w:tc>
            </w:tr>
          </w:tbl>
          <w:p w14:paraId="4531BF28" w14:textId="77777777" w:rsidR="00AC49CA" w:rsidRPr="0029445E" w:rsidRDefault="00AC49CA" w:rsidP="00E23E2C">
            <w:pPr>
              <w:jc w:val="center"/>
            </w:pPr>
          </w:p>
        </w:tc>
        <w:tc>
          <w:tcPr>
            <w:tcW w:w="2410" w:type="dxa"/>
          </w:tcPr>
          <w:tbl>
            <w:tblPr>
              <w:tblW w:w="2780" w:type="dxa"/>
              <w:tblLayout w:type="fixed"/>
              <w:tblLook w:val="04A0" w:firstRow="1" w:lastRow="0" w:firstColumn="1" w:lastColumn="0" w:noHBand="0" w:noVBand="1"/>
            </w:tblPr>
            <w:tblGrid>
              <w:gridCol w:w="2780"/>
            </w:tblGrid>
            <w:tr w:rsidR="0029445E" w:rsidRPr="0029445E" w14:paraId="4CDEB421" w14:textId="77777777" w:rsidTr="00E23E2C">
              <w:trPr>
                <w:trHeight w:val="280"/>
              </w:trPr>
              <w:tc>
                <w:tcPr>
                  <w:tcW w:w="2780" w:type="dxa"/>
                  <w:tcBorders>
                    <w:top w:val="nil"/>
                    <w:left w:val="nil"/>
                    <w:bottom w:val="nil"/>
                    <w:right w:val="nil"/>
                  </w:tcBorders>
                  <w:shd w:val="clear" w:color="auto" w:fill="auto"/>
                  <w:noWrap/>
                  <w:vAlign w:val="bottom"/>
                  <w:hideMark/>
                </w:tcPr>
                <w:p w14:paraId="207F409E" w14:textId="77777777" w:rsidR="00AC49CA" w:rsidRPr="0029445E" w:rsidRDefault="00AC49CA" w:rsidP="0029445E">
                  <w:pPr>
                    <w:framePr w:hSpace="180" w:wrap="around" w:vAnchor="page" w:hAnchor="page" w:x="829" w:y="2701"/>
                    <w:spacing w:after="0" w:line="240" w:lineRule="auto"/>
                    <w:jc w:val="center"/>
                    <w:rPr>
                      <w:rFonts w:eastAsia="Times New Roman" w:cs="Times New Roman"/>
                    </w:rPr>
                  </w:pPr>
                  <w:r w:rsidRPr="0029445E">
                    <w:rPr>
                      <w:rFonts w:eastAsia="Times New Roman" w:cs="Times New Roman"/>
                    </w:rPr>
                    <w:t>6.53</w:t>
                  </w:r>
                </w:p>
              </w:tc>
            </w:tr>
            <w:tr w:rsidR="0029445E" w:rsidRPr="0029445E" w14:paraId="29368AA7" w14:textId="77777777" w:rsidTr="00E23E2C">
              <w:trPr>
                <w:trHeight w:val="280"/>
              </w:trPr>
              <w:tc>
                <w:tcPr>
                  <w:tcW w:w="2780" w:type="dxa"/>
                  <w:tcBorders>
                    <w:top w:val="nil"/>
                    <w:left w:val="nil"/>
                    <w:bottom w:val="nil"/>
                    <w:right w:val="nil"/>
                  </w:tcBorders>
                  <w:shd w:val="clear" w:color="auto" w:fill="auto"/>
                  <w:noWrap/>
                  <w:vAlign w:val="bottom"/>
                  <w:hideMark/>
                </w:tcPr>
                <w:p w14:paraId="16B141D0" w14:textId="77777777" w:rsidR="00AC49CA" w:rsidRPr="0029445E" w:rsidRDefault="00AC49CA" w:rsidP="0029445E">
                  <w:pPr>
                    <w:framePr w:hSpace="180" w:wrap="around" w:vAnchor="page" w:hAnchor="page" w:x="829" w:y="2701"/>
                    <w:spacing w:after="0" w:line="240" w:lineRule="auto"/>
                    <w:jc w:val="center"/>
                    <w:rPr>
                      <w:rFonts w:eastAsia="Times New Roman" w:cs="Times New Roman"/>
                    </w:rPr>
                  </w:pPr>
                  <w:r w:rsidRPr="0029445E">
                    <w:rPr>
                      <w:rFonts w:eastAsia="Times New Roman" w:cs="Times New Roman"/>
                    </w:rPr>
                    <w:t>(3.29-13.29)</w:t>
                  </w:r>
                </w:p>
              </w:tc>
            </w:tr>
            <w:tr w:rsidR="0029445E" w:rsidRPr="0029445E" w14:paraId="2847FB68" w14:textId="77777777" w:rsidTr="00E23E2C">
              <w:trPr>
                <w:trHeight w:val="280"/>
              </w:trPr>
              <w:tc>
                <w:tcPr>
                  <w:tcW w:w="2780" w:type="dxa"/>
                  <w:tcBorders>
                    <w:top w:val="nil"/>
                    <w:left w:val="nil"/>
                    <w:bottom w:val="nil"/>
                    <w:right w:val="nil"/>
                  </w:tcBorders>
                  <w:shd w:val="clear" w:color="auto" w:fill="auto"/>
                  <w:noWrap/>
                  <w:vAlign w:val="bottom"/>
                  <w:hideMark/>
                </w:tcPr>
                <w:p w14:paraId="2C71E416" w14:textId="77777777" w:rsidR="00AC49CA" w:rsidRPr="0029445E" w:rsidRDefault="00AC49CA" w:rsidP="0029445E">
                  <w:pPr>
                    <w:framePr w:hSpace="180" w:wrap="around" w:vAnchor="page" w:hAnchor="page" w:x="829" w:y="2701"/>
                    <w:spacing w:after="0" w:line="240" w:lineRule="auto"/>
                    <w:jc w:val="center"/>
                    <w:rPr>
                      <w:rFonts w:eastAsia="Times New Roman" w:cs="Times New Roman"/>
                    </w:rPr>
                  </w:pPr>
                  <w:r w:rsidRPr="0029445E">
                    <w:rPr>
                      <w:rFonts w:eastAsia="Times New Roman" w:cs="Times New Roman"/>
                    </w:rPr>
                    <w:t>[0.44-96.22]</w:t>
                  </w:r>
                </w:p>
              </w:tc>
            </w:tr>
          </w:tbl>
          <w:p w14:paraId="6C848F55" w14:textId="77777777" w:rsidR="00AC49CA" w:rsidRPr="0029445E" w:rsidRDefault="00AC49CA" w:rsidP="00E23E2C">
            <w:pPr>
              <w:jc w:val="center"/>
            </w:pPr>
          </w:p>
        </w:tc>
        <w:tc>
          <w:tcPr>
            <w:tcW w:w="2551" w:type="dxa"/>
          </w:tcPr>
          <w:tbl>
            <w:tblPr>
              <w:tblW w:w="2780" w:type="dxa"/>
              <w:tblLayout w:type="fixed"/>
              <w:tblLook w:val="04A0" w:firstRow="1" w:lastRow="0" w:firstColumn="1" w:lastColumn="0" w:noHBand="0" w:noVBand="1"/>
            </w:tblPr>
            <w:tblGrid>
              <w:gridCol w:w="2780"/>
            </w:tblGrid>
            <w:tr w:rsidR="0029445E" w:rsidRPr="0029445E" w14:paraId="0695192C" w14:textId="77777777" w:rsidTr="00E23E2C">
              <w:trPr>
                <w:trHeight w:val="280"/>
              </w:trPr>
              <w:tc>
                <w:tcPr>
                  <w:tcW w:w="2780" w:type="dxa"/>
                  <w:tcBorders>
                    <w:top w:val="nil"/>
                    <w:left w:val="nil"/>
                    <w:bottom w:val="nil"/>
                    <w:right w:val="nil"/>
                  </w:tcBorders>
                  <w:shd w:val="clear" w:color="auto" w:fill="auto"/>
                  <w:noWrap/>
                  <w:vAlign w:val="bottom"/>
                  <w:hideMark/>
                </w:tcPr>
                <w:p w14:paraId="347BA5D1" w14:textId="77777777" w:rsidR="00AC49CA" w:rsidRPr="0029445E" w:rsidRDefault="00AC49CA" w:rsidP="0029445E">
                  <w:pPr>
                    <w:framePr w:hSpace="180" w:wrap="around" w:vAnchor="page" w:hAnchor="page" w:x="829" w:y="2701"/>
                    <w:spacing w:after="0" w:line="240" w:lineRule="auto"/>
                    <w:jc w:val="center"/>
                    <w:rPr>
                      <w:rFonts w:eastAsia="Times New Roman" w:cs="Times New Roman"/>
                    </w:rPr>
                  </w:pPr>
                  <w:r w:rsidRPr="0029445E">
                    <w:rPr>
                      <w:rFonts w:eastAsia="Times New Roman" w:cs="Times New Roman"/>
                    </w:rPr>
                    <w:t>3.37</w:t>
                  </w:r>
                </w:p>
              </w:tc>
            </w:tr>
            <w:tr w:rsidR="0029445E" w:rsidRPr="0029445E" w14:paraId="342CFC03" w14:textId="77777777" w:rsidTr="00E23E2C">
              <w:trPr>
                <w:trHeight w:val="280"/>
              </w:trPr>
              <w:tc>
                <w:tcPr>
                  <w:tcW w:w="2780" w:type="dxa"/>
                  <w:tcBorders>
                    <w:top w:val="nil"/>
                    <w:left w:val="nil"/>
                    <w:bottom w:val="nil"/>
                    <w:right w:val="nil"/>
                  </w:tcBorders>
                  <w:shd w:val="clear" w:color="auto" w:fill="auto"/>
                  <w:noWrap/>
                  <w:vAlign w:val="bottom"/>
                  <w:hideMark/>
                </w:tcPr>
                <w:p w14:paraId="20F36316" w14:textId="77777777" w:rsidR="00AC49CA" w:rsidRPr="0029445E" w:rsidRDefault="00AC49CA" w:rsidP="0029445E">
                  <w:pPr>
                    <w:framePr w:hSpace="180" w:wrap="around" w:vAnchor="page" w:hAnchor="page" w:x="829" w:y="2701"/>
                    <w:spacing w:after="0" w:line="240" w:lineRule="auto"/>
                    <w:jc w:val="center"/>
                    <w:rPr>
                      <w:rFonts w:eastAsia="Times New Roman" w:cs="Times New Roman"/>
                    </w:rPr>
                  </w:pPr>
                  <w:r w:rsidRPr="0029445E">
                    <w:rPr>
                      <w:rFonts w:eastAsia="Times New Roman" w:cs="Times New Roman"/>
                    </w:rPr>
                    <w:t>(1.82-6.75)</w:t>
                  </w:r>
                </w:p>
              </w:tc>
            </w:tr>
            <w:tr w:rsidR="0029445E" w:rsidRPr="0029445E" w14:paraId="1AFB4501" w14:textId="77777777" w:rsidTr="00E23E2C">
              <w:trPr>
                <w:trHeight w:val="280"/>
              </w:trPr>
              <w:tc>
                <w:tcPr>
                  <w:tcW w:w="2780" w:type="dxa"/>
                  <w:tcBorders>
                    <w:top w:val="nil"/>
                    <w:left w:val="nil"/>
                    <w:bottom w:val="nil"/>
                    <w:right w:val="nil"/>
                  </w:tcBorders>
                  <w:shd w:val="clear" w:color="auto" w:fill="auto"/>
                  <w:noWrap/>
                  <w:vAlign w:val="bottom"/>
                  <w:hideMark/>
                </w:tcPr>
                <w:p w14:paraId="3CCCE1B2" w14:textId="77777777" w:rsidR="00AC49CA" w:rsidRPr="0029445E" w:rsidRDefault="00AC49CA" w:rsidP="0029445E">
                  <w:pPr>
                    <w:framePr w:hSpace="180" w:wrap="around" w:vAnchor="page" w:hAnchor="page" w:x="829" w:y="2701"/>
                    <w:spacing w:after="0" w:line="240" w:lineRule="auto"/>
                    <w:jc w:val="center"/>
                    <w:rPr>
                      <w:rFonts w:eastAsia="Times New Roman" w:cs="Times New Roman"/>
                    </w:rPr>
                  </w:pPr>
                  <w:r w:rsidRPr="0029445E">
                    <w:rPr>
                      <w:rFonts w:eastAsia="Times New Roman" w:cs="Times New Roman"/>
                    </w:rPr>
                    <w:t>[0.44-97.92]</w:t>
                  </w:r>
                </w:p>
              </w:tc>
            </w:tr>
          </w:tbl>
          <w:p w14:paraId="3492FAF3" w14:textId="77777777" w:rsidR="00AC49CA" w:rsidRPr="0029445E" w:rsidRDefault="00AC49CA" w:rsidP="00E23E2C">
            <w:pPr>
              <w:jc w:val="center"/>
            </w:pPr>
          </w:p>
        </w:tc>
      </w:tr>
    </w:tbl>
    <w:p w14:paraId="3A319404" w14:textId="0FF2BFD3" w:rsidR="008E1458" w:rsidRPr="0029445E" w:rsidRDefault="008E1458" w:rsidP="008E1458">
      <w:pPr>
        <w:spacing w:after="0"/>
      </w:pPr>
      <w:r w:rsidRPr="0029445E">
        <w:rPr>
          <w:b/>
        </w:rPr>
        <w:t xml:space="preserve">Table 1. </w:t>
      </w:r>
      <w:r w:rsidRPr="0029445E">
        <w:t>Patient demographic</w:t>
      </w:r>
      <w:r w:rsidR="009D0D9D" w:rsidRPr="0029445E">
        <w:t>s, pre-operative investigations and</w:t>
      </w:r>
      <w:r w:rsidRPr="0029445E">
        <w:t xml:space="preserve"> operative characteristics for all patients and stratified by anaemia status.</w:t>
      </w:r>
      <w:r w:rsidR="009D0D9D" w:rsidRPr="0029445E">
        <w:t xml:space="preserve"> Values are mean (SD), number (proportion) or median (IQR </w:t>
      </w:r>
      <w:r w:rsidR="009D0D9D" w:rsidRPr="0029445E">
        <w:sym w:font="Symbol" w:char="F05B"/>
      </w:r>
      <w:r w:rsidR="009D0D9D" w:rsidRPr="0029445E">
        <w:t>range</w:t>
      </w:r>
      <w:r w:rsidR="009D0D9D" w:rsidRPr="0029445E">
        <w:sym w:font="Symbol" w:char="F05D"/>
      </w:r>
      <w:r w:rsidR="009D0D9D" w:rsidRPr="0029445E">
        <w:t>).</w:t>
      </w:r>
    </w:p>
    <w:p w14:paraId="1B08344C" w14:textId="77777777" w:rsidR="009D0D9D" w:rsidRPr="0029445E" w:rsidRDefault="009D0D9D" w:rsidP="008E1458">
      <w:pPr>
        <w:spacing w:after="0"/>
      </w:pPr>
    </w:p>
    <w:p w14:paraId="76542CD1" w14:textId="77777777" w:rsidR="009D0D9D" w:rsidRPr="0029445E" w:rsidRDefault="009D0D9D" w:rsidP="008E1458">
      <w:pPr>
        <w:spacing w:after="0"/>
      </w:pPr>
    </w:p>
    <w:p w14:paraId="164851BA" w14:textId="5E8B0FD4" w:rsidR="009D0D9D" w:rsidRPr="0029445E" w:rsidRDefault="009D0D9D"/>
    <w:p w14:paraId="11DE68D4" w14:textId="77777777" w:rsidR="00AC49CA" w:rsidRPr="0029445E" w:rsidRDefault="00AC49CA" w:rsidP="008E1458">
      <w:pPr>
        <w:spacing w:after="0"/>
        <w:rPr>
          <w:b/>
        </w:rPr>
      </w:pPr>
    </w:p>
    <w:p w14:paraId="1C684BBC" w14:textId="77777777" w:rsidR="00AC49CA" w:rsidRPr="0029445E" w:rsidRDefault="00AC49CA" w:rsidP="008E1458">
      <w:pPr>
        <w:spacing w:after="0"/>
        <w:rPr>
          <w:b/>
        </w:rPr>
      </w:pPr>
    </w:p>
    <w:p w14:paraId="682E200B" w14:textId="77777777" w:rsidR="00AC49CA" w:rsidRPr="0029445E" w:rsidRDefault="00AC49CA" w:rsidP="008E1458">
      <w:pPr>
        <w:spacing w:after="0"/>
        <w:rPr>
          <w:b/>
        </w:rPr>
      </w:pPr>
    </w:p>
    <w:p w14:paraId="4C904167" w14:textId="77777777" w:rsidR="00AC49CA" w:rsidRPr="0029445E" w:rsidRDefault="00AC49CA" w:rsidP="008E1458">
      <w:pPr>
        <w:spacing w:after="0"/>
        <w:rPr>
          <w:b/>
        </w:rPr>
      </w:pPr>
    </w:p>
    <w:p w14:paraId="5529EC7A" w14:textId="77777777" w:rsidR="00AC49CA" w:rsidRPr="0029445E" w:rsidRDefault="00AC49CA" w:rsidP="008E1458">
      <w:pPr>
        <w:spacing w:after="0"/>
        <w:rPr>
          <w:b/>
        </w:rPr>
      </w:pPr>
    </w:p>
    <w:p w14:paraId="4461D8EA" w14:textId="77777777" w:rsidR="00AC49CA" w:rsidRPr="0029445E" w:rsidRDefault="00AC49CA" w:rsidP="008E1458">
      <w:pPr>
        <w:spacing w:after="0"/>
        <w:rPr>
          <w:b/>
        </w:rPr>
      </w:pPr>
    </w:p>
    <w:p w14:paraId="78CB659E" w14:textId="77777777" w:rsidR="00AC49CA" w:rsidRPr="0029445E" w:rsidRDefault="00AC49CA" w:rsidP="008E1458">
      <w:pPr>
        <w:spacing w:after="0"/>
        <w:rPr>
          <w:b/>
        </w:rPr>
      </w:pPr>
    </w:p>
    <w:p w14:paraId="2E064BB8" w14:textId="77777777" w:rsidR="00AC49CA" w:rsidRPr="0029445E" w:rsidRDefault="00AC49CA" w:rsidP="008E1458">
      <w:pPr>
        <w:spacing w:after="0"/>
        <w:rPr>
          <w:b/>
        </w:rPr>
      </w:pPr>
    </w:p>
    <w:p w14:paraId="4293AC48" w14:textId="77777777" w:rsidR="00AC49CA" w:rsidRPr="0029445E" w:rsidRDefault="00AC49CA" w:rsidP="008E1458">
      <w:pPr>
        <w:spacing w:after="0"/>
        <w:rPr>
          <w:b/>
        </w:rPr>
      </w:pPr>
    </w:p>
    <w:p w14:paraId="36452936" w14:textId="77777777" w:rsidR="00AC49CA" w:rsidRPr="0029445E" w:rsidRDefault="00AC49CA" w:rsidP="008E1458">
      <w:pPr>
        <w:spacing w:after="0"/>
        <w:rPr>
          <w:b/>
        </w:rPr>
      </w:pPr>
    </w:p>
    <w:p w14:paraId="164ADB68" w14:textId="77777777" w:rsidR="00AC49CA" w:rsidRPr="0029445E" w:rsidRDefault="00AC49CA" w:rsidP="008E1458">
      <w:pPr>
        <w:spacing w:after="0"/>
        <w:rPr>
          <w:b/>
        </w:rPr>
      </w:pPr>
    </w:p>
    <w:p w14:paraId="50CFCFA4" w14:textId="77777777" w:rsidR="00AC49CA" w:rsidRPr="0029445E" w:rsidRDefault="00AC49CA" w:rsidP="008E1458">
      <w:pPr>
        <w:spacing w:after="0"/>
        <w:rPr>
          <w:b/>
        </w:rPr>
      </w:pPr>
    </w:p>
    <w:p w14:paraId="4F5D9C85" w14:textId="77777777" w:rsidR="00AC49CA" w:rsidRPr="0029445E" w:rsidRDefault="00AC49CA" w:rsidP="008E1458">
      <w:pPr>
        <w:spacing w:after="0"/>
        <w:rPr>
          <w:b/>
        </w:rPr>
      </w:pPr>
    </w:p>
    <w:p w14:paraId="554A8144" w14:textId="77777777" w:rsidR="00AC49CA" w:rsidRPr="0029445E" w:rsidRDefault="00AC49CA" w:rsidP="008E1458">
      <w:pPr>
        <w:spacing w:after="0"/>
        <w:rPr>
          <w:b/>
        </w:rPr>
      </w:pPr>
    </w:p>
    <w:p w14:paraId="264DFD93" w14:textId="77777777" w:rsidR="00AC49CA" w:rsidRPr="0029445E" w:rsidRDefault="00AC49CA" w:rsidP="008E1458">
      <w:pPr>
        <w:spacing w:after="0"/>
        <w:rPr>
          <w:b/>
        </w:rPr>
      </w:pPr>
    </w:p>
    <w:p w14:paraId="1905AB26" w14:textId="77777777" w:rsidR="00AC49CA" w:rsidRPr="0029445E" w:rsidRDefault="00AC49CA" w:rsidP="008E1458">
      <w:pPr>
        <w:spacing w:after="0"/>
        <w:rPr>
          <w:b/>
        </w:rPr>
      </w:pPr>
    </w:p>
    <w:p w14:paraId="098393DF" w14:textId="77777777" w:rsidR="00AC49CA" w:rsidRPr="0029445E" w:rsidRDefault="00AC49CA" w:rsidP="008E1458">
      <w:pPr>
        <w:spacing w:after="0"/>
        <w:rPr>
          <w:b/>
        </w:rPr>
      </w:pPr>
    </w:p>
    <w:p w14:paraId="17CC74EE" w14:textId="77777777" w:rsidR="00AC49CA" w:rsidRPr="0029445E" w:rsidRDefault="00AC49CA" w:rsidP="008E1458">
      <w:pPr>
        <w:spacing w:after="0"/>
        <w:rPr>
          <w:b/>
        </w:rPr>
      </w:pPr>
    </w:p>
    <w:p w14:paraId="19AE9AAA" w14:textId="77777777" w:rsidR="00AC49CA" w:rsidRPr="0029445E" w:rsidRDefault="00AC49CA" w:rsidP="008E1458">
      <w:pPr>
        <w:spacing w:after="0"/>
        <w:rPr>
          <w:b/>
        </w:rPr>
      </w:pPr>
    </w:p>
    <w:p w14:paraId="5A703B2E" w14:textId="77777777" w:rsidR="00AC49CA" w:rsidRPr="0029445E" w:rsidRDefault="00AC49CA" w:rsidP="008E1458">
      <w:pPr>
        <w:spacing w:after="0"/>
        <w:rPr>
          <w:b/>
        </w:rPr>
      </w:pPr>
    </w:p>
    <w:p w14:paraId="1E9B423C" w14:textId="77777777" w:rsidR="00AC49CA" w:rsidRPr="0029445E" w:rsidRDefault="00AC49CA" w:rsidP="008E1458">
      <w:pPr>
        <w:spacing w:after="0"/>
        <w:rPr>
          <w:b/>
        </w:rPr>
      </w:pPr>
    </w:p>
    <w:p w14:paraId="4548A833" w14:textId="77777777" w:rsidR="00AC49CA" w:rsidRPr="0029445E" w:rsidRDefault="00AC49CA" w:rsidP="008E1458">
      <w:pPr>
        <w:spacing w:after="0"/>
        <w:rPr>
          <w:b/>
        </w:rPr>
      </w:pPr>
    </w:p>
    <w:p w14:paraId="0F699368" w14:textId="77777777" w:rsidR="00AC49CA" w:rsidRPr="0029445E" w:rsidRDefault="00AC49CA" w:rsidP="008E1458">
      <w:pPr>
        <w:spacing w:after="0"/>
        <w:rPr>
          <w:b/>
        </w:rPr>
      </w:pPr>
    </w:p>
    <w:p w14:paraId="6048BF51" w14:textId="77777777" w:rsidR="00AC49CA" w:rsidRPr="0029445E" w:rsidRDefault="00AC49CA" w:rsidP="008E1458">
      <w:pPr>
        <w:spacing w:after="0"/>
        <w:rPr>
          <w:b/>
        </w:rPr>
      </w:pPr>
    </w:p>
    <w:p w14:paraId="61E06BA7" w14:textId="77777777" w:rsidR="00AC49CA" w:rsidRPr="0029445E" w:rsidRDefault="00AC49CA" w:rsidP="008E1458">
      <w:pPr>
        <w:spacing w:after="0"/>
        <w:rPr>
          <w:b/>
        </w:rPr>
      </w:pPr>
    </w:p>
    <w:p w14:paraId="798ECEB7" w14:textId="77777777" w:rsidR="00AC49CA" w:rsidRPr="0029445E" w:rsidRDefault="00AC49CA" w:rsidP="008E1458">
      <w:pPr>
        <w:spacing w:after="0"/>
        <w:rPr>
          <w:b/>
        </w:rPr>
      </w:pPr>
    </w:p>
    <w:p w14:paraId="769D35A4" w14:textId="77777777" w:rsidR="00AC49CA" w:rsidRPr="0029445E" w:rsidRDefault="00AC49CA" w:rsidP="008E1458">
      <w:pPr>
        <w:spacing w:after="0"/>
        <w:rPr>
          <w:b/>
        </w:rPr>
      </w:pPr>
    </w:p>
    <w:p w14:paraId="081FDBD4" w14:textId="77777777" w:rsidR="00AC49CA" w:rsidRPr="0029445E" w:rsidRDefault="00AC49CA" w:rsidP="008E1458">
      <w:pPr>
        <w:spacing w:after="0"/>
        <w:rPr>
          <w:b/>
        </w:rPr>
      </w:pPr>
    </w:p>
    <w:p w14:paraId="4941023F" w14:textId="77777777" w:rsidR="00AC49CA" w:rsidRPr="0029445E" w:rsidRDefault="00AC49CA" w:rsidP="008E1458">
      <w:pPr>
        <w:spacing w:after="0"/>
        <w:rPr>
          <w:b/>
        </w:rPr>
      </w:pPr>
    </w:p>
    <w:p w14:paraId="5E00077F" w14:textId="77777777" w:rsidR="00AC49CA" w:rsidRPr="0029445E" w:rsidRDefault="00AC49CA" w:rsidP="008E1458">
      <w:pPr>
        <w:spacing w:after="0"/>
        <w:rPr>
          <w:b/>
        </w:rPr>
      </w:pPr>
    </w:p>
    <w:p w14:paraId="422C8075" w14:textId="77777777" w:rsidR="00AC49CA" w:rsidRPr="0029445E" w:rsidRDefault="00AC49CA" w:rsidP="008E1458">
      <w:pPr>
        <w:spacing w:after="0"/>
        <w:rPr>
          <w:b/>
        </w:rPr>
      </w:pPr>
    </w:p>
    <w:p w14:paraId="4048E2DE" w14:textId="77777777" w:rsidR="00AC49CA" w:rsidRPr="0029445E" w:rsidRDefault="00AC49CA" w:rsidP="008E1458">
      <w:pPr>
        <w:spacing w:after="0"/>
        <w:rPr>
          <w:b/>
        </w:rPr>
      </w:pPr>
    </w:p>
    <w:p w14:paraId="47343ABC" w14:textId="77777777" w:rsidR="00AC49CA" w:rsidRPr="0029445E" w:rsidRDefault="00AC49CA" w:rsidP="008E1458">
      <w:pPr>
        <w:spacing w:after="0"/>
        <w:rPr>
          <w:b/>
        </w:rPr>
      </w:pPr>
    </w:p>
    <w:p w14:paraId="39BE2134" w14:textId="77777777" w:rsidR="00AC49CA" w:rsidRPr="0029445E" w:rsidRDefault="00AC49CA" w:rsidP="008E1458">
      <w:pPr>
        <w:spacing w:after="0"/>
        <w:rPr>
          <w:b/>
        </w:rPr>
      </w:pPr>
    </w:p>
    <w:p w14:paraId="4E0C98BD" w14:textId="77777777" w:rsidR="00AC49CA" w:rsidRPr="0029445E" w:rsidRDefault="00AC49CA" w:rsidP="008E1458">
      <w:pPr>
        <w:spacing w:after="0"/>
        <w:rPr>
          <w:b/>
        </w:rPr>
      </w:pPr>
    </w:p>
    <w:p w14:paraId="544C6420" w14:textId="77777777" w:rsidR="00AC49CA" w:rsidRPr="0029445E" w:rsidRDefault="00AC49CA" w:rsidP="008E1458">
      <w:pPr>
        <w:spacing w:after="0"/>
        <w:rPr>
          <w:b/>
        </w:rPr>
      </w:pPr>
    </w:p>
    <w:p w14:paraId="11A9F4D2" w14:textId="77777777" w:rsidR="00AC49CA" w:rsidRPr="0029445E" w:rsidRDefault="00AC49CA" w:rsidP="008E1458">
      <w:pPr>
        <w:spacing w:after="0"/>
        <w:rPr>
          <w:b/>
        </w:rPr>
      </w:pPr>
    </w:p>
    <w:p w14:paraId="4021E3EC" w14:textId="77777777" w:rsidR="00AC49CA" w:rsidRPr="0029445E" w:rsidRDefault="00AC49CA" w:rsidP="008E1458">
      <w:pPr>
        <w:spacing w:after="0"/>
        <w:rPr>
          <w:b/>
        </w:rPr>
      </w:pPr>
    </w:p>
    <w:p w14:paraId="6F31A115" w14:textId="41CA4B54" w:rsidR="00AC49CA" w:rsidRPr="0029445E" w:rsidRDefault="00AC49CA" w:rsidP="008E1458">
      <w:pPr>
        <w:spacing w:after="0"/>
      </w:pPr>
      <w:r w:rsidRPr="0029445E">
        <w:t>CABG, coronary artery bypass graft; CPB, cardiopulmonary bypass</w:t>
      </w:r>
    </w:p>
    <w:p w14:paraId="5DFDA65A" w14:textId="77777777" w:rsidR="00AC49CA" w:rsidRPr="0029445E" w:rsidRDefault="00AC49CA" w:rsidP="008E1458">
      <w:pPr>
        <w:spacing w:after="0"/>
        <w:rPr>
          <w:b/>
        </w:rPr>
      </w:pPr>
    </w:p>
    <w:p w14:paraId="2EB9386A" w14:textId="77777777" w:rsidR="00AC49CA" w:rsidRPr="0029445E" w:rsidRDefault="00AC49CA" w:rsidP="008E1458">
      <w:pPr>
        <w:spacing w:after="0"/>
        <w:rPr>
          <w:b/>
        </w:rPr>
      </w:pPr>
    </w:p>
    <w:p w14:paraId="1AE9EE2B" w14:textId="77777777" w:rsidR="004C4B67" w:rsidRPr="0029445E" w:rsidRDefault="004C4B67">
      <w:pPr>
        <w:rPr>
          <w:b/>
        </w:rPr>
      </w:pPr>
      <w:r w:rsidRPr="0029445E">
        <w:rPr>
          <w:b/>
        </w:rPr>
        <w:br w:type="page"/>
      </w:r>
    </w:p>
    <w:p w14:paraId="398868C2" w14:textId="78B7A775" w:rsidR="00774846" w:rsidRPr="0029445E" w:rsidRDefault="00774846">
      <w:pPr>
        <w:rPr>
          <w:rFonts w:cs="Times New Roman"/>
        </w:rPr>
      </w:pPr>
      <w:r w:rsidRPr="0029445E">
        <w:rPr>
          <w:rFonts w:cs="Times New Roman"/>
          <w:b/>
        </w:rPr>
        <w:t xml:space="preserve">Table </w:t>
      </w:r>
      <w:r w:rsidR="004C4B67" w:rsidRPr="0029445E">
        <w:rPr>
          <w:rFonts w:cs="Times New Roman"/>
          <w:b/>
        </w:rPr>
        <w:t xml:space="preserve">2 </w:t>
      </w:r>
      <w:r w:rsidRPr="0029445E">
        <w:rPr>
          <w:rFonts w:cs="Times New Roman"/>
        </w:rPr>
        <w:t>Outcomes by centre over three-year study period (2010-2012)</w:t>
      </w:r>
      <w:r w:rsidR="000C0199" w:rsidRPr="0029445E">
        <w:rPr>
          <w:rFonts w:cs="Times New Roman"/>
        </w:rPr>
        <w:t>. Values are number (proportion) or mean (95%CI).</w:t>
      </w:r>
    </w:p>
    <w:tbl>
      <w:tblPr>
        <w:tblStyle w:val="TableGrid"/>
        <w:tblpPr w:leftFromText="180" w:rightFromText="180" w:vertAnchor="page" w:horzAnchor="page" w:tblpX="1189" w:tblpY="3421"/>
        <w:tblW w:w="9696" w:type="dxa"/>
        <w:tblLayout w:type="fixed"/>
        <w:tblLook w:val="0000" w:firstRow="0" w:lastRow="0" w:firstColumn="0" w:lastColumn="0" w:noHBand="0" w:noVBand="0"/>
      </w:tblPr>
      <w:tblGrid>
        <w:gridCol w:w="1578"/>
        <w:gridCol w:w="1061"/>
        <w:gridCol w:w="1438"/>
        <w:gridCol w:w="1418"/>
        <w:gridCol w:w="1417"/>
        <w:gridCol w:w="1418"/>
        <w:gridCol w:w="1366"/>
      </w:tblGrid>
      <w:tr w:rsidR="0029445E" w:rsidRPr="0029445E" w14:paraId="1AFC2EAD" w14:textId="77777777" w:rsidTr="00506923">
        <w:trPr>
          <w:trHeight w:val="581"/>
        </w:trPr>
        <w:tc>
          <w:tcPr>
            <w:tcW w:w="1578" w:type="dxa"/>
          </w:tcPr>
          <w:p w14:paraId="299F8A08" w14:textId="77777777" w:rsidR="00506923" w:rsidRPr="0029445E" w:rsidRDefault="00506923" w:rsidP="00506923">
            <w:pPr>
              <w:widowControl w:val="0"/>
              <w:autoSpaceDE w:val="0"/>
              <w:autoSpaceDN w:val="0"/>
              <w:adjustRightInd w:val="0"/>
              <w:rPr>
                <w:rFonts w:cs="Calibri"/>
                <w:b/>
                <w:bCs/>
                <w:lang w:val="en-US"/>
              </w:rPr>
            </w:pPr>
          </w:p>
        </w:tc>
        <w:tc>
          <w:tcPr>
            <w:tcW w:w="1061" w:type="dxa"/>
          </w:tcPr>
          <w:p w14:paraId="687F0DB3" w14:textId="77777777" w:rsidR="00506923" w:rsidRPr="0029445E" w:rsidRDefault="00506923" w:rsidP="00506923">
            <w:pPr>
              <w:widowControl w:val="0"/>
              <w:autoSpaceDE w:val="0"/>
              <w:autoSpaceDN w:val="0"/>
              <w:adjustRightInd w:val="0"/>
              <w:jc w:val="right"/>
              <w:rPr>
                <w:rFonts w:cs="Calibri"/>
                <w:b/>
                <w:bCs/>
                <w:lang w:val="en-US"/>
              </w:rPr>
            </w:pPr>
            <w:r w:rsidRPr="0029445E">
              <w:rPr>
                <w:rFonts w:cs="Calibri"/>
                <w:b/>
                <w:bCs/>
                <w:lang w:val="en-US"/>
              </w:rPr>
              <w:t>n</w:t>
            </w:r>
          </w:p>
        </w:tc>
        <w:tc>
          <w:tcPr>
            <w:tcW w:w="1438" w:type="dxa"/>
          </w:tcPr>
          <w:p w14:paraId="6D3D8017" w14:textId="20964E6A" w:rsidR="00506923" w:rsidRPr="0029445E" w:rsidRDefault="00506923" w:rsidP="00506923">
            <w:pPr>
              <w:widowControl w:val="0"/>
              <w:autoSpaceDE w:val="0"/>
              <w:autoSpaceDN w:val="0"/>
              <w:adjustRightInd w:val="0"/>
              <w:jc w:val="center"/>
              <w:rPr>
                <w:rFonts w:cs="Calibri"/>
                <w:b/>
                <w:bCs/>
                <w:lang w:val="en-US"/>
              </w:rPr>
            </w:pPr>
            <w:r w:rsidRPr="0029445E">
              <w:rPr>
                <w:rFonts w:cs="Calibri"/>
                <w:b/>
                <w:bCs/>
                <w:lang w:val="en-US"/>
              </w:rPr>
              <w:t>EuroSCORE</w:t>
            </w:r>
            <w:r w:rsidR="000C0199" w:rsidRPr="0029445E">
              <w:rPr>
                <w:rFonts w:cs="Calibri"/>
                <w:b/>
                <w:bCs/>
                <w:lang w:val="en-US"/>
              </w:rPr>
              <w:t xml:space="preserve"> (%)</w:t>
            </w:r>
          </w:p>
        </w:tc>
        <w:tc>
          <w:tcPr>
            <w:tcW w:w="1418" w:type="dxa"/>
          </w:tcPr>
          <w:p w14:paraId="6B67DA0E" w14:textId="77777777" w:rsidR="00506923" w:rsidRPr="0029445E" w:rsidRDefault="00506923" w:rsidP="00506923">
            <w:pPr>
              <w:widowControl w:val="0"/>
              <w:autoSpaceDE w:val="0"/>
              <w:autoSpaceDN w:val="0"/>
              <w:adjustRightInd w:val="0"/>
              <w:jc w:val="center"/>
              <w:rPr>
                <w:rFonts w:cs="Calibri"/>
                <w:b/>
                <w:bCs/>
                <w:lang w:val="en-US"/>
              </w:rPr>
            </w:pPr>
            <w:r w:rsidRPr="0029445E">
              <w:rPr>
                <w:rFonts w:cs="Calibri"/>
                <w:b/>
                <w:bCs/>
                <w:lang w:val="en-US"/>
              </w:rPr>
              <w:t>Anaemic</w:t>
            </w:r>
          </w:p>
        </w:tc>
        <w:tc>
          <w:tcPr>
            <w:tcW w:w="1417" w:type="dxa"/>
          </w:tcPr>
          <w:p w14:paraId="0A2533EA" w14:textId="77777777" w:rsidR="00506923" w:rsidRPr="0029445E" w:rsidRDefault="00506923" w:rsidP="00506923">
            <w:pPr>
              <w:widowControl w:val="0"/>
              <w:autoSpaceDE w:val="0"/>
              <w:autoSpaceDN w:val="0"/>
              <w:adjustRightInd w:val="0"/>
              <w:jc w:val="center"/>
              <w:rPr>
                <w:rFonts w:cs="Calibri"/>
                <w:b/>
                <w:bCs/>
                <w:lang w:val="en-US"/>
              </w:rPr>
            </w:pPr>
            <w:r w:rsidRPr="0029445E">
              <w:rPr>
                <w:rFonts w:cs="Calibri"/>
                <w:b/>
                <w:bCs/>
                <w:lang w:val="en-US"/>
              </w:rPr>
              <w:t>Transfused</w:t>
            </w:r>
          </w:p>
        </w:tc>
        <w:tc>
          <w:tcPr>
            <w:tcW w:w="1418" w:type="dxa"/>
          </w:tcPr>
          <w:p w14:paraId="50454FFB" w14:textId="77777777" w:rsidR="00506923" w:rsidRPr="0029445E" w:rsidRDefault="00506923" w:rsidP="00506923">
            <w:pPr>
              <w:widowControl w:val="0"/>
              <w:autoSpaceDE w:val="0"/>
              <w:autoSpaceDN w:val="0"/>
              <w:adjustRightInd w:val="0"/>
              <w:jc w:val="center"/>
              <w:rPr>
                <w:rFonts w:cs="Calibri"/>
                <w:b/>
                <w:bCs/>
                <w:lang w:val="en-US"/>
              </w:rPr>
            </w:pPr>
            <w:r w:rsidRPr="0029445E">
              <w:rPr>
                <w:rFonts w:cs="Calibri"/>
                <w:b/>
                <w:bCs/>
                <w:lang w:val="en-US"/>
              </w:rPr>
              <w:t>Observed mortality</w:t>
            </w:r>
          </w:p>
        </w:tc>
        <w:tc>
          <w:tcPr>
            <w:tcW w:w="1366" w:type="dxa"/>
          </w:tcPr>
          <w:p w14:paraId="0E1A1DF6" w14:textId="77777777" w:rsidR="00506923" w:rsidRPr="0029445E" w:rsidRDefault="00506923" w:rsidP="00506923">
            <w:pPr>
              <w:widowControl w:val="0"/>
              <w:autoSpaceDE w:val="0"/>
              <w:autoSpaceDN w:val="0"/>
              <w:adjustRightInd w:val="0"/>
              <w:jc w:val="center"/>
              <w:rPr>
                <w:rFonts w:cs="Calibri"/>
                <w:b/>
                <w:bCs/>
                <w:lang w:val="en-US"/>
              </w:rPr>
            </w:pPr>
            <w:r w:rsidRPr="0029445E">
              <w:rPr>
                <w:rFonts w:cs="Calibri"/>
                <w:b/>
                <w:bCs/>
                <w:lang w:val="en-US"/>
              </w:rPr>
              <w:t>Risk adjusted mortality</w:t>
            </w:r>
          </w:p>
        </w:tc>
      </w:tr>
      <w:tr w:rsidR="0029445E" w:rsidRPr="0029445E" w14:paraId="355ED111" w14:textId="77777777" w:rsidTr="0029445E">
        <w:trPr>
          <w:trHeight w:val="455"/>
        </w:trPr>
        <w:tc>
          <w:tcPr>
            <w:tcW w:w="1578" w:type="dxa"/>
          </w:tcPr>
          <w:p w14:paraId="57976130" w14:textId="5FD373BA" w:rsidR="00506923" w:rsidRPr="0029445E" w:rsidRDefault="00935509" w:rsidP="00506923">
            <w:pPr>
              <w:widowControl w:val="0"/>
              <w:autoSpaceDE w:val="0"/>
              <w:autoSpaceDN w:val="0"/>
              <w:adjustRightInd w:val="0"/>
              <w:rPr>
                <w:rFonts w:cs="Calibri"/>
                <w:b/>
                <w:bCs/>
                <w:lang w:val="en-US"/>
              </w:rPr>
            </w:pPr>
            <w:r w:rsidRPr="0029445E">
              <w:rPr>
                <w:rFonts w:cs="Calibri"/>
                <w:b/>
                <w:bCs/>
                <w:lang w:val="en-US"/>
              </w:rPr>
              <w:t>A</w:t>
            </w:r>
          </w:p>
        </w:tc>
        <w:tc>
          <w:tcPr>
            <w:tcW w:w="1061" w:type="dxa"/>
          </w:tcPr>
          <w:p w14:paraId="65784D12" w14:textId="77777777"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1995</w:t>
            </w:r>
          </w:p>
        </w:tc>
        <w:tc>
          <w:tcPr>
            <w:tcW w:w="1438" w:type="dxa"/>
          </w:tcPr>
          <w:p w14:paraId="53319530" w14:textId="6D545638"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7.4</w:t>
            </w:r>
            <w:r w:rsidR="00AC49CA" w:rsidRPr="0029445E">
              <w:rPr>
                <w:rFonts w:cs="Calibri"/>
                <w:lang w:val="en-US"/>
              </w:rPr>
              <w:t xml:space="preserve"> (10.2)</w:t>
            </w:r>
          </w:p>
        </w:tc>
        <w:tc>
          <w:tcPr>
            <w:tcW w:w="1418" w:type="dxa"/>
          </w:tcPr>
          <w:p w14:paraId="303530A0" w14:textId="77777777"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490 (25%)</w:t>
            </w:r>
          </w:p>
        </w:tc>
        <w:tc>
          <w:tcPr>
            <w:tcW w:w="1417" w:type="dxa"/>
          </w:tcPr>
          <w:p w14:paraId="039729F8" w14:textId="2CDA7D81"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622 (31%)</w:t>
            </w:r>
          </w:p>
        </w:tc>
        <w:tc>
          <w:tcPr>
            <w:tcW w:w="1418" w:type="dxa"/>
          </w:tcPr>
          <w:p w14:paraId="6310985A" w14:textId="30FD361E" w:rsidR="00AC49CA" w:rsidRPr="0029445E" w:rsidRDefault="00AC49CA" w:rsidP="0029445E">
            <w:pPr>
              <w:rPr>
                <w:rFonts w:ascii="Calibri" w:eastAsia="Times New Roman" w:hAnsi="Calibri" w:cs="Times New Roman"/>
              </w:rPr>
            </w:pPr>
            <w:r w:rsidRPr="0029445E">
              <w:rPr>
                <w:rFonts w:cs="Calibri"/>
                <w:lang w:val="en-US"/>
              </w:rPr>
              <w:t xml:space="preserve">3.1 </w:t>
            </w:r>
            <w:r w:rsidRPr="0029445E">
              <w:rPr>
                <w:rFonts w:ascii="Calibri" w:eastAsia="Times New Roman" w:hAnsi="Calibri" w:cs="Times New Roman"/>
              </w:rPr>
              <w:t>(2.4-3.9)</w:t>
            </w:r>
            <w:r w:rsidR="00E61E2B" w:rsidRPr="0029445E">
              <w:rPr>
                <w:rFonts w:ascii="Calibri" w:eastAsia="Times New Roman" w:hAnsi="Calibri" w:cs="Times New Roman"/>
              </w:rPr>
              <w:t xml:space="preserve"> </w:t>
            </w:r>
          </w:p>
          <w:p w14:paraId="5931B947" w14:textId="01743B39" w:rsidR="00506923" w:rsidRPr="0029445E" w:rsidRDefault="00506923" w:rsidP="00AC49CA">
            <w:pPr>
              <w:rPr>
                <w:rFonts w:cs="Calibri"/>
                <w:lang w:val="en-US"/>
              </w:rPr>
            </w:pPr>
          </w:p>
        </w:tc>
        <w:tc>
          <w:tcPr>
            <w:tcW w:w="1366" w:type="dxa"/>
          </w:tcPr>
          <w:p w14:paraId="1CFB4552" w14:textId="55AF80CC" w:rsidR="00620AE8" w:rsidRPr="0029445E" w:rsidRDefault="00E61E2B" w:rsidP="00E61E2B">
            <w:pPr>
              <w:widowControl w:val="0"/>
              <w:autoSpaceDE w:val="0"/>
              <w:autoSpaceDN w:val="0"/>
              <w:adjustRightInd w:val="0"/>
              <w:rPr>
                <w:rFonts w:cs="Calibri"/>
                <w:lang w:val="en-US"/>
              </w:rPr>
            </w:pPr>
            <w:r w:rsidRPr="0029445E">
              <w:rPr>
                <w:rFonts w:cs="Calibri"/>
                <w:lang w:val="en-US"/>
              </w:rPr>
              <w:t>2.4</w:t>
            </w:r>
            <w:r w:rsidR="00620AE8" w:rsidRPr="0029445E">
              <w:rPr>
                <w:rFonts w:cs="Calibri"/>
                <w:lang w:val="en-US"/>
              </w:rPr>
              <w:t xml:space="preserve"> </w:t>
            </w:r>
            <w:r w:rsidRPr="0029445E">
              <w:rPr>
                <w:rFonts w:eastAsia="Times New Roman" w:cs="Times New Roman"/>
              </w:rPr>
              <w:t>(1.8-3.1</w:t>
            </w:r>
            <w:r w:rsidR="00620AE8" w:rsidRPr="0029445E">
              <w:rPr>
                <w:rFonts w:eastAsia="Times New Roman" w:cs="Times New Roman"/>
              </w:rPr>
              <w:t>)</w:t>
            </w:r>
          </w:p>
          <w:p w14:paraId="639DBCBF" w14:textId="35291426" w:rsidR="00506923" w:rsidRPr="0029445E" w:rsidRDefault="00506923" w:rsidP="00506923">
            <w:pPr>
              <w:widowControl w:val="0"/>
              <w:autoSpaceDE w:val="0"/>
              <w:autoSpaceDN w:val="0"/>
              <w:adjustRightInd w:val="0"/>
              <w:jc w:val="right"/>
              <w:rPr>
                <w:rFonts w:cs="Calibri"/>
                <w:lang w:val="en-US"/>
              </w:rPr>
            </w:pPr>
          </w:p>
        </w:tc>
      </w:tr>
      <w:tr w:rsidR="0029445E" w:rsidRPr="0029445E" w14:paraId="158D91F6" w14:textId="77777777" w:rsidTr="00506923">
        <w:trPr>
          <w:trHeight w:val="355"/>
        </w:trPr>
        <w:tc>
          <w:tcPr>
            <w:tcW w:w="1578" w:type="dxa"/>
          </w:tcPr>
          <w:p w14:paraId="11873F50" w14:textId="2C9FF2EB" w:rsidR="00506923" w:rsidRPr="0029445E" w:rsidRDefault="00935509" w:rsidP="00506923">
            <w:pPr>
              <w:widowControl w:val="0"/>
              <w:autoSpaceDE w:val="0"/>
              <w:autoSpaceDN w:val="0"/>
              <w:adjustRightInd w:val="0"/>
              <w:rPr>
                <w:rFonts w:cs="Calibri"/>
                <w:b/>
                <w:bCs/>
                <w:lang w:val="en-US"/>
              </w:rPr>
            </w:pPr>
            <w:r w:rsidRPr="0029445E">
              <w:rPr>
                <w:rFonts w:cs="Calibri"/>
                <w:b/>
                <w:bCs/>
                <w:lang w:val="en-US"/>
              </w:rPr>
              <w:t>B</w:t>
            </w:r>
          </w:p>
        </w:tc>
        <w:tc>
          <w:tcPr>
            <w:tcW w:w="1061" w:type="dxa"/>
          </w:tcPr>
          <w:p w14:paraId="0C949424" w14:textId="77777777"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732</w:t>
            </w:r>
          </w:p>
        </w:tc>
        <w:tc>
          <w:tcPr>
            <w:tcW w:w="1438" w:type="dxa"/>
          </w:tcPr>
          <w:p w14:paraId="3B03E5C5" w14:textId="2D2E03F3" w:rsidR="00506923" w:rsidRPr="0029445E" w:rsidRDefault="00AC49CA" w:rsidP="00506923">
            <w:pPr>
              <w:widowControl w:val="0"/>
              <w:autoSpaceDE w:val="0"/>
              <w:autoSpaceDN w:val="0"/>
              <w:adjustRightInd w:val="0"/>
              <w:jc w:val="right"/>
              <w:rPr>
                <w:rFonts w:cs="Calibri"/>
                <w:lang w:val="en-US"/>
              </w:rPr>
            </w:pPr>
            <w:r w:rsidRPr="0029445E">
              <w:rPr>
                <w:rFonts w:cs="Calibri"/>
                <w:lang w:val="en-US"/>
              </w:rPr>
              <w:t>9.2 (13.2)</w:t>
            </w:r>
          </w:p>
        </w:tc>
        <w:tc>
          <w:tcPr>
            <w:tcW w:w="1418" w:type="dxa"/>
          </w:tcPr>
          <w:p w14:paraId="1F92955A" w14:textId="77777777"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207 (28%)</w:t>
            </w:r>
          </w:p>
        </w:tc>
        <w:tc>
          <w:tcPr>
            <w:tcW w:w="1417" w:type="dxa"/>
          </w:tcPr>
          <w:p w14:paraId="55786EEB" w14:textId="1B94CB8F" w:rsidR="00506923" w:rsidRPr="0029445E" w:rsidRDefault="000C0199" w:rsidP="00506923">
            <w:pPr>
              <w:widowControl w:val="0"/>
              <w:autoSpaceDE w:val="0"/>
              <w:autoSpaceDN w:val="0"/>
              <w:adjustRightInd w:val="0"/>
              <w:jc w:val="right"/>
              <w:rPr>
                <w:rFonts w:cs="Calibri"/>
                <w:lang w:val="en-US"/>
              </w:rPr>
            </w:pPr>
            <w:r w:rsidRPr="0029445E">
              <w:rPr>
                <w:rFonts w:cs="Calibri"/>
                <w:lang w:val="en-US"/>
              </w:rPr>
              <w:t>307 (42%)</w:t>
            </w:r>
          </w:p>
        </w:tc>
        <w:tc>
          <w:tcPr>
            <w:tcW w:w="1418" w:type="dxa"/>
          </w:tcPr>
          <w:p w14:paraId="3A945E9B" w14:textId="7D11F862" w:rsidR="00E61E2B" w:rsidRPr="0029445E" w:rsidRDefault="00E61E2B" w:rsidP="0029445E">
            <w:pPr>
              <w:rPr>
                <w:rFonts w:ascii="Calibri" w:eastAsia="Times New Roman" w:hAnsi="Calibri" w:cs="Times New Roman"/>
              </w:rPr>
            </w:pPr>
            <w:r w:rsidRPr="0029445E">
              <w:rPr>
                <w:rFonts w:cs="Calibri"/>
                <w:lang w:val="en-US"/>
              </w:rPr>
              <w:t xml:space="preserve">1.4 </w:t>
            </w:r>
            <w:r w:rsidRPr="0029445E">
              <w:rPr>
                <w:rFonts w:ascii="Calibri" w:eastAsia="Times New Roman" w:hAnsi="Calibri" w:cs="Times New Roman"/>
              </w:rPr>
              <w:t>(0.4-2.1)</w:t>
            </w:r>
          </w:p>
          <w:p w14:paraId="08440351" w14:textId="5B17C95A" w:rsidR="00506923" w:rsidRPr="0029445E" w:rsidRDefault="00506923" w:rsidP="00E61E2B">
            <w:pPr>
              <w:rPr>
                <w:rFonts w:cs="Calibri"/>
                <w:lang w:val="en-US"/>
              </w:rPr>
            </w:pPr>
          </w:p>
        </w:tc>
        <w:tc>
          <w:tcPr>
            <w:tcW w:w="1366" w:type="dxa"/>
          </w:tcPr>
          <w:p w14:paraId="0570E077" w14:textId="4004A948" w:rsidR="00620AE8" w:rsidRPr="0029445E" w:rsidRDefault="00E61E2B" w:rsidP="00E61E2B">
            <w:pPr>
              <w:widowControl w:val="0"/>
              <w:autoSpaceDE w:val="0"/>
              <w:autoSpaceDN w:val="0"/>
              <w:adjustRightInd w:val="0"/>
              <w:rPr>
                <w:rFonts w:cs="Calibri"/>
                <w:lang w:val="en-US"/>
              </w:rPr>
            </w:pPr>
            <w:r w:rsidRPr="0029445E">
              <w:rPr>
                <w:rFonts w:cs="Calibri"/>
                <w:lang w:val="en-US"/>
              </w:rPr>
              <w:t>0.7</w:t>
            </w:r>
            <w:r w:rsidR="00620AE8" w:rsidRPr="0029445E">
              <w:rPr>
                <w:rFonts w:cs="Calibri"/>
                <w:lang w:val="en-US"/>
              </w:rPr>
              <w:t xml:space="preserve"> </w:t>
            </w:r>
            <w:r w:rsidRPr="0029445E">
              <w:rPr>
                <w:rFonts w:eastAsia="Times New Roman" w:cs="Times New Roman"/>
              </w:rPr>
              <w:t>(0.2-1.2</w:t>
            </w:r>
            <w:r w:rsidR="00620AE8" w:rsidRPr="0029445E">
              <w:rPr>
                <w:rFonts w:eastAsia="Times New Roman" w:cs="Times New Roman"/>
              </w:rPr>
              <w:t>)</w:t>
            </w:r>
          </w:p>
          <w:p w14:paraId="343FFB04" w14:textId="79F6EF80" w:rsidR="00506923" w:rsidRPr="0029445E" w:rsidRDefault="00506923" w:rsidP="00506923">
            <w:pPr>
              <w:widowControl w:val="0"/>
              <w:autoSpaceDE w:val="0"/>
              <w:autoSpaceDN w:val="0"/>
              <w:adjustRightInd w:val="0"/>
              <w:jc w:val="right"/>
              <w:rPr>
                <w:rFonts w:cs="Calibri"/>
                <w:lang w:val="en-US"/>
              </w:rPr>
            </w:pPr>
          </w:p>
        </w:tc>
      </w:tr>
      <w:tr w:rsidR="0029445E" w:rsidRPr="0029445E" w14:paraId="0E0E67D1" w14:textId="77777777" w:rsidTr="00506923">
        <w:trPr>
          <w:trHeight w:val="355"/>
        </w:trPr>
        <w:tc>
          <w:tcPr>
            <w:tcW w:w="1578" w:type="dxa"/>
          </w:tcPr>
          <w:p w14:paraId="7325451C" w14:textId="4944EFD3" w:rsidR="00506923" w:rsidRPr="0029445E" w:rsidRDefault="00935509" w:rsidP="00506923">
            <w:pPr>
              <w:widowControl w:val="0"/>
              <w:autoSpaceDE w:val="0"/>
              <w:autoSpaceDN w:val="0"/>
              <w:adjustRightInd w:val="0"/>
              <w:rPr>
                <w:rFonts w:cs="Calibri"/>
                <w:b/>
                <w:bCs/>
                <w:lang w:val="en-US"/>
              </w:rPr>
            </w:pPr>
            <w:r w:rsidRPr="0029445E">
              <w:rPr>
                <w:rFonts w:cs="Calibri"/>
                <w:b/>
                <w:bCs/>
                <w:lang w:val="en-US"/>
              </w:rPr>
              <w:t>C</w:t>
            </w:r>
          </w:p>
        </w:tc>
        <w:tc>
          <w:tcPr>
            <w:tcW w:w="1061" w:type="dxa"/>
          </w:tcPr>
          <w:p w14:paraId="77D92C98" w14:textId="77777777"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3005</w:t>
            </w:r>
          </w:p>
        </w:tc>
        <w:tc>
          <w:tcPr>
            <w:tcW w:w="1438" w:type="dxa"/>
          </w:tcPr>
          <w:p w14:paraId="6190B2EF" w14:textId="7991A923"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10.5</w:t>
            </w:r>
            <w:r w:rsidR="00AC49CA" w:rsidRPr="0029445E">
              <w:rPr>
                <w:rFonts w:cs="Calibri"/>
                <w:lang w:val="en-US"/>
              </w:rPr>
              <w:t xml:space="preserve"> (12.6)</w:t>
            </w:r>
          </w:p>
        </w:tc>
        <w:tc>
          <w:tcPr>
            <w:tcW w:w="1418" w:type="dxa"/>
          </w:tcPr>
          <w:p w14:paraId="072D7470" w14:textId="77777777"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1336 (45%)</w:t>
            </w:r>
          </w:p>
        </w:tc>
        <w:tc>
          <w:tcPr>
            <w:tcW w:w="1417" w:type="dxa"/>
          </w:tcPr>
          <w:p w14:paraId="75D89898" w14:textId="6490FB9B" w:rsidR="000C0199" w:rsidRPr="0029445E" w:rsidRDefault="000C0199" w:rsidP="000C0199">
            <w:pPr>
              <w:widowControl w:val="0"/>
              <w:autoSpaceDE w:val="0"/>
              <w:autoSpaceDN w:val="0"/>
              <w:adjustRightInd w:val="0"/>
              <w:jc w:val="right"/>
              <w:rPr>
                <w:rFonts w:cs="Calibri"/>
                <w:lang w:val="en-US"/>
              </w:rPr>
            </w:pPr>
            <w:r w:rsidRPr="0029445E">
              <w:rPr>
                <w:rFonts w:cs="Calibri"/>
                <w:lang w:val="en-US"/>
              </w:rPr>
              <w:t>1268 (42%)</w:t>
            </w:r>
          </w:p>
        </w:tc>
        <w:tc>
          <w:tcPr>
            <w:tcW w:w="1418" w:type="dxa"/>
          </w:tcPr>
          <w:p w14:paraId="1162E9FF" w14:textId="45552EF5" w:rsidR="00506923" w:rsidRPr="0029445E" w:rsidRDefault="00506923" w:rsidP="00E61E2B">
            <w:pPr>
              <w:widowControl w:val="0"/>
              <w:autoSpaceDE w:val="0"/>
              <w:autoSpaceDN w:val="0"/>
              <w:adjustRightInd w:val="0"/>
              <w:rPr>
                <w:rFonts w:cs="Calibri"/>
                <w:lang w:val="en-US"/>
              </w:rPr>
            </w:pPr>
            <w:r w:rsidRPr="0029445E">
              <w:rPr>
                <w:rFonts w:cs="Calibri"/>
                <w:lang w:val="en-US"/>
              </w:rPr>
              <w:t>4.4</w:t>
            </w:r>
            <w:r w:rsidR="00E61E2B" w:rsidRPr="0029445E">
              <w:rPr>
                <w:rFonts w:cs="Calibri"/>
                <w:lang w:val="en-US"/>
              </w:rPr>
              <w:t xml:space="preserve"> (3.7-5.2)</w:t>
            </w:r>
          </w:p>
        </w:tc>
        <w:tc>
          <w:tcPr>
            <w:tcW w:w="1366" w:type="dxa"/>
          </w:tcPr>
          <w:p w14:paraId="1595E738" w14:textId="4AC5DBC6" w:rsidR="00620AE8" w:rsidRPr="0029445E" w:rsidRDefault="00E61E2B" w:rsidP="00E61E2B">
            <w:pPr>
              <w:widowControl w:val="0"/>
              <w:autoSpaceDE w:val="0"/>
              <w:autoSpaceDN w:val="0"/>
              <w:adjustRightInd w:val="0"/>
              <w:rPr>
                <w:rFonts w:cs="Calibri"/>
                <w:lang w:val="en-US"/>
              </w:rPr>
            </w:pPr>
            <w:r w:rsidRPr="0029445E">
              <w:rPr>
                <w:rFonts w:cs="Calibri"/>
                <w:lang w:val="en-US"/>
              </w:rPr>
              <w:t>2.7</w:t>
            </w:r>
            <w:r w:rsidR="00620AE8" w:rsidRPr="0029445E">
              <w:rPr>
                <w:rFonts w:cs="Calibri"/>
                <w:lang w:val="en-US"/>
              </w:rPr>
              <w:t xml:space="preserve"> </w:t>
            </w:r>
            <w:r w:rsidRPr="0029445E">
              <w:rPr>
                <w:rFonts w:eastAsia="Times New Roman" w:cs="Times New Roman"/>
              </w:rPr>
              <w:t>(2.2-3.3</w:t>
            </w:r>
            <w:r w:rsidR="00620AE8" w:rsidRPr="0029445E">
              <w:rPr>
                <w:rFonts w:eastAsia="Times New Roman" w:cs="Times New Roman"/>
              </w:rPr>
              <w:t>)</w:t>
            </w:r>
          </w:p>
          <w:p w14:paraId="1AB788F9" w14:textId="46677CE1" w:rsidR="00506923" w:rsidRPr="0029445E" w:rsidRDefault="00506923" w:rsidP="00506923">
            <w:pPr>
              <w:widowControl w:val="0"/>
              <w:autoSpaceDE w:val="0"/>
              <w:autoSpaceDN w:val="0"/>
              <w:adjustRightInd w:val="0"/>
              <w:jc w:val="right"/>
              <w:rPr>
                <w:rFonts w:cs="Calibri"/>
                <w:lang w:val="en-US"/>
              </w:rPr>
            </w:pPr>
          </w:p>
        </w:tc>
      </w:tr>
      <w:tr w:rsidR="0029445E" w:rsidRPr="0029445E" w14:paraId="2B55AE98" w14:textId="77777777" w:rsidTr="00506923">
        <w:trPr>
          <w:trHeight w:val="355"/>
        </w:trPr>
        <w:tc>
          <w:tcPr>
            <w:tcW w:w="1578" w:type="dxa"/>
          </w:tcPr>
          <w:p w14:paraId="59B1689C" w14:textId="53C34EC0" w:rsidR="00506923" w:rsidRPr="0029445E" w:rsidRDefault="00935509" w:rsidP="00506923">
            <w:pPr>
              <w:widowControl w:val="0"/>
              <w:autoSpaceDE w:val="0"/>
              <w:autoSpaceDN w:val="0"/>
              <w:adjustRightInd w:val="0"/>
              <w:rPr>
                <w:rFonts w:cs="Calibri"/>
                <w:b/>
                <w:bCs/>
                <w:lang w:val="en-US"/>
              </w:rPr>
            </w:pPr>
            <w:r w:rsidRPr="0029445E">
              <w:rPr>
                <w:rFonts w:cs="Calibri"/>
                <w:b/>
                <w:bCs/>
                <w:lang w:val="en-US"/>
              </w:rPr>
              <w:t>D</w:t>
            </w:r>
          </w:p>
        </w:tc>
        <w:tc>
          <w:tcPr>
            <w:tcW w:w="1061" w:type="dxa"/>
          </w:tcPr>
          <w:p w14:paraId="0606FE8B" w14:textId="77777777"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2201</w:t>
            </w:r>
          </w:p>
        </w:tc>
        <w:tc>
          <w:tcPr>
            <w:tcW w:w="1438" w:type="dxa"/>
          </w:tcPr>
          <w:p w14:paraId="555FD41D" w14:textId="460662C1"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8.2</w:t>
            </w:r>
            <w:r w:rsidR="00AC49CA" w:rsidRPr="0029445E">
              <w:rPr>
                <w:rFonts w:cs="Calibri"/>
                <w:lang w:val="en-US"/>
              </w:rPr>
              <w:t xml:space="preserve"> (11.3)</w:t>
            </w:r>
          </w:p>
        </w:tc>
        <w:tc>
          <w:tcPr>
            <w:tcW w:w="1418" w:type="dxa"/>
          </w:tcPr>
          <w:p w14:paraId="58595086" w14:textId="77777777"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709 (32%)</w:t>
            </w:r>
          </w:p>
        </w:tc>
        <w:tc>
          <w:tcPr>
            <w:tcW w:w="1417" w:type="dxa"/>
          </w:tcPr>
          <w:p w14:paraId="75730569" w14:textId="173E2F7D" w:rsidR="00506923" w:rsidRPr="0029445E" w:rsidRDefault="000C0199" w:rsidP="00506923">
            <w:pPr>
              <w:widowControl w:val="0"/>
              <w:autoSpaceDE w:val="0"/>
              <w:autoSpaceDN w:val="0"/>
              <w:adjustRightInd w:val="0"/>
              <w:jc w:val="right"/>
              <w:rPr>
                <w:rFonts w:cs="Calibri"/>
                <w:lang w:val="en-US"/>
              </w:rPr>
            </w:pPr>
            <w:r w:rsidRPr="0029445E">
              <w:rPr>
                <w:rFonts w:cs="Calibri"/>
                <w:lang w:val="en-US"/>
              </w:rPr>
              <w:t>934 (42%)</w:t>
            </w:r>
          </w:p>
        </w:tc>
        <w:tc>
          <w:tcPr>
            <w:tcW w:w="1418" w:type="dxa"/>
          </w:tcPr>
          <w:p w14:paraId="58A37A17" w14:textId="4FB6D957" w:rsidR="00506923" w:rsidRPr="0029445E" w:rsidRDefault="00E61E2B" w:rsidP="00E61E2B">
            <w:pPr>
              <w:widowControl w:val="0"/>
              <w:autoSpaceDE w:val="0"/>
              <w:autoSpaceDN w:val="0"/>
              <w:adjustRightInd w:val="0"/>
              <w:rPr>
                <w:rFonts w:cs="Calibri"/>
                <w:lang w:val="en-US"/>
              </w:rPr>
            </w:pPr>
            <w:r w:rsidRPr="0029445E">
              <w:rPr>
                <w:rFonts w:cs="Calibri"/>
                <w:lang w:val="en-US"/>
              </w:rPr>
              <w:t>3.8 (3.0-4.6)</w:t>
            </w:r>
          </w:p>
        </w:tc>
        <w:tc>
          <w:tcPr>
            <w:tcW w:w="1366" w:type="dxa"/>
          </w:tcPr>
          <w:p w14:paraId="09BDC9EF" w14:textId="7B93B40F" w:rsidR="00620AE8" w:rsidRPr="0029445E" w:rsidRDefault="00E61E2B" w:rsidP="00E61E2B">
            <w:pPr>
              <w:widowControl w:val="0"/>
              <w:autoSpaceDE w:val="0"/>
              <w:autoSpaceDN w:val="0"/>
              <w:adjustRightInd w:val="0"/>
              <w:rPr>
                <w:rFonts w:cs="Calibri"/>
                <w:lang w:val="en-US"/>
              </w:rPr>
            </w:pPr>
            <w:r w:rsidRPr="0029445E">
              <w:rPr>
                <w:rFonts w:cs="Calibri"/>
                <w:lang w:val="en-US"/>
              </w:rPr>
              <w:t>2.8</w:t>
            </w:r>
            <w:r w:rsidRPr="0029445E">
              <w:rPr>
                <w:rFonts w:eastAsia="Times New Roman" w:cs="Times New Roman"/>
              </w:rPr>
              <w:t>(2.1-3.4</w:t>
            </w:r>
            <w:r w:rsidR="00620AE8" w:rsidRPr="0029445E">
              <w:rPr>
                <w:rFonts w:eastAsia="Times New Roman" w:cs="Times New Roman"/>
              </w:rPr>
              <w:t>)</w:t>
            </w:r>
          </w:p>
          <w:p w14:paraId="128FA265" w14:textId="0B6787DE" w:rsidR="00506923" w:rsidRPr="0029445E" w:rsidRDefault="00506923" w:rsidP="00506923">
            <w:pPr>
              <w:widowControl w:val="0"/>
              <w:autoSpaceDE w:val="0"/>
              <w:autoSpaceDN w:val="0"/>
              <w:adjustRightInd w:val="0"/>
              <w:jc w:val="right"/>
              <w:rPr>
                <w:rFonts w:cs="Calibri"/>
                <w:lang w:val="en-US"/>
              </w:rPr>
            </w:pPr>
          </w:p>
        </w:tc>
      </w:tr>
      <w:tr w:rsidR="0029445E" w:rsidRPr="0029445E" w14:paraId="6FE6FDB6" w14:textId="77777777" w:rsidTr="00506923">
        <w:trPr>
          <w:trHeight w:val="355"/>
        </w:trPr>
        <w:tc>
          <w:tcPr>
            <w:tcW w:w="1578" w:type="dxa"/>
          </w:tcPr>
          <w:p w14:paraId="1117D603" w14:textId="4FC45CC4" w:rsidR="00506923" w:rsidRPr="0029445E" w:rsidRDefault="00935509" w:rsidP="00506923">
            <w:pPr>
              <w:widowControl w:val="0"/>
              <w:autoSpaceDE w:val="0"/>
              <w:autoSpaceDN w:val="0"/>
              <w:adjustRightInd w:val="0"/>
              <w:rPr>
                <w:rFonts w:cs="Calibri"/>
                <w:b/>
                <w:bCs/>
                <w:lang w:val="en-US"/>
              </w:rPr>
            </w:pPr>
            <w:r w:rsidRPr="0029445E">
              <w:rPr>
                <w:rFonts w:cs="Calibri"/>
                <w:b/>
                <w:bCs/>
                <w:lang w:val="en-US"/>
              </w:rPr>
              <w:t>E</w:t>
            </w:r>
          </w:p>
        </w:tc>
        <w:tc>
          <w:tcPr>
            <w:tcW w:w="1061" w:type="dxa"/>
          </w:tcPr>
          <w:p w14:paraId="5A79EDEE" w14:textId="77777777"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265</w:t>
            </w:r>
          </w:p>
        </w:tc>
        <w:tc>
          <w:tcPr>
            <w:tcW w:w="1438" w:type="dxa"/>
          </w:tcPr>
          <w:p w14:paraId="12A9B02F" w14:textId="01AF272C" w:rsidR="00506923" w:rsidRPr="0029445E" w:rsidRDefault="00AC49CA" w:rsidP="00506923">
            <w:pPr>
              <w:widowControl w:val="0"/>
              <w:autoSpaceDE w:val="0"/>
              <w:autoSpaceDN w:val="0"/>
              <w:adjustRightInd w:val="0"/>
              <w:jc w:val="right"/>
              <w:rPr>
                <w:rFonts w:cs="Calibri"/>
                <w:lang w:val="en-US"/>
              </w:rPr>
            </w:pPr>
            <w:r w:rsidRPr="0029445E">
              <w:rPr>
                <w:rFonts w:cs="Calibri"/>
                <w:lang w:val="en-US"/>
              </w:rPr>
              <w:t>3.0 (3.5)</w:t>
            </w:r>
          </w:p>
        </w:tc>
        <w:tc>
          <w:tcPr>
            <w:tcW w:w="1418" w:type="dxa"/>
          </w:tcPr>
          <w:p w14:paraId="12D8C40F" w14:textId="3A678149"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83</w:t>
            </w:r>
            <w:r w:rsidR="00E61E2B" w:rsidRPr="0029445E">
              <w:rPr>
                <w:rFonts w:cs="Calibri"/>
                <w:lang w:val="en-US"/>
              </w:rPr>
              <w:t xml:space="preserve"> (31%)</w:t>
            </w:r>
          </w:p>
        </w:tc>
        <w:tc>
          <w:tcPr>
            <w:tcW w:w="1417" w:type="dxa"/>
          </w:tcPr>
          <w:p w14:paraId="20E623C8" w14:textId="636F3E3B" w:rsidR="00506923" w:rsidRPr="0029445E" w:rsidRDefault="000C0199" w:rsidP="00506923">
            <w:pPr>
              <w:widowControl w:val="0"/>
              <w:autoSpaceDE w:val="0"/>
              <w:autoSpaceDN w:val="0"/>
              <w:adjustRightInd w:val="0"/>
              <w:jc w:val="right"/>
              <w:rPr>
                <w:rFonts w:cs="Calibri"/>
                <w:lang w:val="en-US"/>
              </w:rPr>
            </w:pPr>
            <w:r w:rsidRPr="0029445E">
              <w:rPr>
                <w:rFonts w:cs="Calibri"/>
                <w:lang w:val="en-US"/>
              </w:rPr>
              <w:t>114 (43%)</w:t>
            </w:r>
          </w:p>
        </w:tc>
        <w:tc>
          <w:tcPr>
            <w:tcW w:w="1418" w:type="dxa"/>
          </w:tcPr>
          <w:p w14:paraId="37F76934" w14:textId="2216F5BC" w:rsidR="00506923" w:rsidRPr="0029445E" w:rsidRDefault="00506923" w:rsidP="00E61E2B">
            <w:pPr>
              <w:widowControl w:val="0"/>
              <w:autoSpaceDE w:val="0"/>
              <w:autoSpaceDN w:val="0"/>
              <w:adjustRightInd w:val="0"/>
              <w:rPr>
                <w:rFonts w:cs="Calibri"/>
                <w:lang w:val="en-US"/>
              </w:rPr>
            </w:pPr>
            <w:r w:rsidRPr="0029445E">
              <w:rPr>
                <w:rFonts w:cs="Calibri"/>
                <w:lang w:val="en-US"/>
              </w:rPr>
              <w:t>3.4</w:t>
            </w:r>
            <w:r w:rsidR="00E61E2B" w:rsidRPr="0029445E">
              <w:rPr>
                <w:rFonts w:cs="Calibri"/>
                <w:lang w:val="en-US"/>
              </w:rPr>
              <w:t xml:space="preserve"> (1.2-5.6)</w:t>
            </w:r>
            <w:bookmarkStart w:id="0" w:name="_GoBack"/>
            <w:bookmarkEnd w:id="0"/>
          </w:p>
        </w:tc>
        <w:tc>
          <w:tcPr>
            <w:tcW w:w="1366" w:type="dxa"/>
          </w:tcPr>
          <w:p w14:paraId="5FC0E573" w14:textId="4C3D9C5C" w:rsidR="00620AE8" w:rsidRPr="0029445E" w:rsidRDefault="00E61E2B" w:rsidP="00E61E2B">
            <w:pPr>
              <w:widowControl w:val="0"/>
              <w:autoSpaceDE w:val="0"/>
              <w:autoSpaceDN w:val="0"/>
              <w:adjustRightInd w:val="0"/>
              <w:rPr>
                <w:rFonts w:cs="Calibri"/>
                <w:lang w:val="en-US"/>
              </w:rPr>
            </w:pPr>
            <w:r w:rsidRPr="0029445E">
              <w:rPr>
                <w:rFonts w:cs="Calibri"/>
                <w:lang w:val="en-US"/>
              </w:rPr>
              <w:t xml:space="preserve">4.4 </w:t>
            </w:r>
            <w:r w:rsidRPr="0029445E">
              <w:rPr>
                <w:rFonts w:eastAsia="Times New Roman" w:cs="Times New Roman"/>
              </w:rPr>
              <w:t>(1.6-7.1</w:t>
            </w:r>
            <w:r w:rsidR="00620AE8" w:rsidRPr="0029445E">
              <w:rPr>
                <w:rFonts w:eastAsia="Times New Roman" w:cs="Times New Roman"/>
              </w:rPr>
              <w:t>)</w:t>
            </w:r>
          </w:p>
          <w:p w14:paraId="298BB68D" w14:textId="489AD62F" w:rsidR="00506923" w:rsidRPr="0029445E" w:rsidRDefault="00506923" w:rsidP="00506923">
            <w:pPr>
              <w:widowControl w:val="0"/>
              <w:autoSpaceDE w:val="0"/>
              <w:autoSpaceDN w:val="0"/>
              <w:adjustRightInd w:val="0"/>
              <w:jc w:val="right"/>
              <w:rPr>
                <w:rFonts w:cs="Calibri"/>
                <w:lang w:val="en-US"/>
              </w:rPr>
            </w:pPr>
          </w:p>
        </w:tc>
      </w:tr>
      <w:tr w:rsidR="0029445E" w:rsidRPr="0029445E" w14:paraId="30B8236F" w14:textId="77777777" w:rsidTr="00506923">
        <w:trPr>
          <w:trHeight w:val="355"/>
        </w:trPr>
        <w:tc>
          <w:tcPr>
            <w:tcW w:w="1578" w:type="dxa"/>
          </w:tcPr>
          <w:p w14:paraId="0BA01BB1" w14:textId="7B6C233C" w:rsidR="00506923" w:rsidRPr="0029445E" w:rsidRDefault="00935509" w:rsidP="00506923">
            <w:pPr>
              <w:widowControl w:val="0"/>
              <w:autoSpaceDE w:val="0"/>
              <w:autoSpaceDN w:val="0"/>
              <w:adjustRightInd w:val="0"/>
              <w:rPr>
                <w:rFonts w:cs="Calibri"/>
                <w:b/>
                <w:bCs/>
                <w:lang w:val="en-US"/>
              </w:rPr>
            </w:pPr>
            <w:r w:rsidRPr="0029445E">
              <w:rPr>
                <w:rFonts w:cs="Calibri"/>
                <w:b/>
                <w:bCs/>
                <w:lang w:val="en-US"/>
              </w:rPr>
              <w:t>F</w:t>
            </w:r>
          </w:p>
        </w:tc>
        <w:tc>
          <w:tcPr>
            <w:tcW w:w="1061" w:type="dxa"/>
          </w:tcPr>
          <w:p w14:paraId="1853106C" w14:textId="77777777"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1052</w:t>
            </w:r>
          </w:p>
        </w:tc>
        <w:tc>
          <w:tcPr>
            <w:tcW w:w="1438" w:type="dxa"/>
          </w:tcPr>
          <w:p w14:paraId="45A9BEC6" w14:textId="20D82F60" w:rsidR="00506923" w:rsidRPr="0029445E" w:rsidRDefault="00AC49CA" w:rsidP="00506923">
            <w:pPr>
              <w:widowControl w:val="0"/>
              <w:autoSpaceDE w:val="0"/>
              <w:autoSpaceDN w:val="0"/>
              <w:adjustRightInd w:val="0"/>
              <w:jc w:val="right"/>
              <w:rPr>
                <w:rFonts w:cs="Calibri"/>
                <w:lang w:val="en-US"/>
              </w:rPr>
            </w:pPr>
            <w:r w:rsidRPr="0029445E">
              <w:rPr>
                <w:rFonts w:cs="Calibri"/>
                <w:lang w:val="en-US"/>
              </w:rPr>
              <w:t>6.6 (8.7)</w:t>
            </w:r>
          </w:p>
        </w:tc>
        <w:tc>
          <w:tcPr>
            <w:tcW w:w="1418" w:type="dxa"/>
          </w:tcPr>
          <w:p w14:paraId="1C088CF8" w14:textId="77777777"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291 (28%)</w:t>
            </w:r>
          </w:p>
        </w:tc>
        <w:tc>
          <w:tcPr>
            <w:tcW w:w="1417" w:type="dxa"/>
          </w:tcPr>
          <w:p w14:paraId="0F14D42C" w14:textId="2147D3FD" w:rsidR="00506923" w:rsidRPr="0029445E" w:rsidRDefault="000C0199" w:rsidP="00506923">
            <w:pPr>
              <w:widowControl w:val="0"/>
              <w:autoSpaceDE w:val="0"/>
              <w:autoSpaceDN w:val="0"/>
              <w:adjustRightInd w:val="0"/>
              <w:jc w:val="right"/>
              <w:rPr>
                <w:rFonts w:cs="Calibri"/>
                <w:lang w:val="en-US"/>
              </w:rPr>
            </w:pPr>
            <w:r w:rsidRPr="0029445E">
              <w:rPr>
                <w:rFonts w:cs="Calibri"/>
                <w:lang w:val="en-US"/>
              </w:rPr>
              <w:t>465 (44%)</w:t>
            </w:r>
          </w:p>
        </w:tc>
        <w:tc>
          <w:tcPr>
            <w:tcW w:w="1418" w:type="dxa"/>
          </w:tcPr>
          <w:p w14:paraId="2D1C59CD" w14:textId="40344013" w:rsidR="00506923" w:rsidRPr="0029445E" w:rsidRDefault="00E61E2B" w:rsidP="00E61E2B">
            <w:pPr>
              <w:widowControl w:val="0"/>
              <w:autoSpaceDE w:val="0"/>
              <w:autoSpaceDN w:val="0"/>
              <w:adjustRightInd w:val="0"/>
              <w:rPr>
                <w:rFonts w:cs="Calibri"/>
                <w:lang w:val="en-US"/>
              </w:rPr>
            </w:pPr>
            <w:r w:rsidRPr="0029445E">
              <w:rPr>
                <w:rFonts w:cs="Calibri"/>
                <w:lang w:val="en-US"/>
              </w:rPr>
              <w:t>4.9 (3.6-6.2</w:t>
            </w:r>
          </w:p>
        </w:tc>
        <w:tc>
          <w:tcPr>
            <w:tcW w:w="1366" w:type="dxa"/>
          </w:tcPr>
          <w:p w14:paraId="4763CED7" w14:textId="2E6CAEC0" w:rsidR="00620AE8" w:rsidRPr="0029445E" w:rsidRDefault="00E61E2B" w:rsidP="00E61E2B">
            <w:pPr>
              <w:widowControl w:val="0"/>
              <w:autoSpaceDE w:val="0"/>
              <w:autoSpaceDN w:val="0"/>
              <w:adjustRightInd w:val="0"/>
              <w:rPr>
                <w:rFonts w:cs="Calibri"/>
                <w:lang w:val="en-US"/>
              </w:rPr>
            </w:pPr>
            <w:r w:rsidRPr="0029445E">
              <w:rPr>
                <w:rFonts w:cs="Calibri"/>
                <w:lang w:val="en-US"/>
              </w:rPr>
              <w:t xml:space="preserve">4.5 </w:t>
            </w:r>
            <w:r w:rsidRPr="0029445E">
              <w:rPr>
                <w:rFonts w:eastAsia="Times New Roman" w:cs="Times New Roman"/>
              </w:rPr>
              <w:t>(3.2-5.7</w:t>
            </w:r>
            <w:r w:rsidR="00620AE8" w:rsidRPr="0029445E">
              <w:rPr>
                <w:rFonts w:eastAsia="Times New Roman" w:cs="Times New Roman"/>
              </w:rPr>
              <w:t>)</w:t>
            </w:r>
          </w:p>
          <w:p w14:paraId="33ADE1B1" w14:textId="274D9763" w:rsidR="00506923" w:rsidRPr="0029445E" w:rsidRDefault="00506923" w:rsidP="00506923">
            <w:pPr>
              <w:widowControl w:val="0"/>
              <w:autoSpaceDE w:val="0"/>
              <w:autoSpaceDN w:val="0"/>
              <w:adjustRightInd w:val="0"/>
              <w:jc w:val="right"/>
              <w:rPr>
                <w:rFonts w:cs="Calibri"/>
                <w:lang w:val="en-US"/>
              </w:rPr>
            </w:pPr>
          </w:p>
        </w:tc>
      </w:tr>
      <w:tr w:rsidR="0029445E" w:rsidRPr="0029445E" w14:paraId="666ADF15" w14:textId="77777777" w:rsidTr="00506923">
        <w:trPr>
          <w:trHeight w:val="355"/>
        </w:trPr>
        <w:tc>
          <w:tcPr>
            <w:tcW w:w="1578" w:type="dxa"/>
          </w:tcPr>
          <w:p w14:paraId="233434E4" w14:textId="0D7A3569" w:rsidR="00506923" w:rsidRPr="0029445E" w:rsidRDefault="00935509" w:rsidP="00506923">
            <w:pPr>
              <w:widowControl w:val="0"/>
              <w:autoSpaceDE w:val="0"/>
              <w:autoSpaceDN w:val="0"/>
              <w:adjustRightInd w:val="0"/>
              <w:rPr>
                <w:rFonts w:cs="Calibri"/>
                <w:b/>
                <w:bCs/>
                <w:lang w:val="en-US"/>
              </w:rPr>
            </w:pPr>
            <w:r w:rsidRPr="0029445E">
              <w:rPr>
                <w:rFonts w:cs="Calibri"/>
                <w:b/>
                <w:bCs/>
                <w:lang w:val="en-US"/>
              </w:rPr>
              <w:t>G</w:t>
            </w:r>
          </w:p>
        </w:tc>
        <w:tc>
          <w:tcPr>
            <w:tcW w:w="1061" w:type="dxa"/>
          </w:tcPr>
          <w:p w14:paraId="24DDC0F5" w14:textId="77777777"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1510</w:t>
            </w:r>
          </w:p>
        </w:tc>
        <w:tc>
          <w:tcPr>
            <w:tcW w:w="1438" w:type="dxa"/>
          </w:tcPr>
          <w:p w14:paraId="6A403E55" w14:textId="4A7954BF"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6.9</w:t>
            </w:r>
            <w:r w:rsidR="00AC49CA" w:rsidRPr="0029445E">
              <w:rPr>
                <w:rFonts w:cs="Calibri"/>
                <w:lang w:val="en-US"/>
              </w:rPr>
              <w:t xml:space="preserve"> (9.4)</w:t>
            </w:r>
          </w:p>
        </w:tc>
        <w:tc>
          <w:tcPr>
            <w:tcW w:w="1418" w:type="dxa"/>
          </w:tcPr>
          <w:p w14:paraId="3DA44016" w14:textId="77777777"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501 (33%)</w:t>
            </w:r>
          </w:p>
        </w:tc>
        <w:tc>
          <w:tcPr>
            <w:tcW w:w="1417" w:type="dxa"/>
          </w:tcPr>
          <w:p w14:paraId="613B5379" w14:textId="188792A5" w:rsidR="00506923" w:rsidRPr="0029445E" w:rsidRDefault="000C0199" w:rsidP="00506923">
            <w:pPr>
              <w:widowControl w:val="0"/>
              <w:autoSpaceDE w:val="0"/>
              <w:autoSpaceDN w:val="0"/>
              <w:adjustRightInd w:val="0"/>
              <w:jc w:val="right"/>
              <w:rPr>
                <w:rFonts w:cs="Calibri"/>
                <w:lang w:val="en-US"/>
              </w:rPr>
            </w:pPr>
            <w:r w:rsidRPr="0029445E">
              <w:rPr>
                <w:rFonts w:cs="Calibri"/>
                <w:lang w:val="en-US"/>
              </w:rPr>
              <w:t>673 (45%)</w:t>
            </w:r>
          </w:p>
        </w:tc>
        <w:tc>
          <w:tcPr>
            <w:tcW w:w="1418" w:type="dxa"/>
          </w:tcPr>
          <w:p w14:paraId="3BFE2DBC" w14:textId="538185EF" w:rsidR="00506923" w:rsidRPr="0029445E" w:rsidRDefault="00506923" w:rsidP="00E61E2B">
            <w:pPr>
              <w:widowControl w:val="0"/>
              <w:autoSpaceDE w:val="0"/>
              <w:autoSpaceDN w:val="0"/>
              <w:adjustRightInd w:val="0"/>
              <w:rPr>
                <w:rFonts w:cs="Calibri"/>
                <w:lang w:val="en-US"/>
              </w:rPr>
            </w:pPr>
            <w:r w:rsidRPr="0029445E">
              <w:rPr>
                <w:rFonts w:cs="Calibri"/>
                <w:lang w:val="en-US"/>
              </w:rPr>
              <w:t>3.3</w:t>
            </w:r>
            <w:r w:rsidR="00E61E2B" w:rsidRPr="0029445E">
              <w:rPr>
                <w:rFonts w:cs="Calibri"/>
                <w:lang w:val="en-US"/>
              </w:rPr>
              <w:t xml:space="preserve"> (2.4-4.2)</w:t>
            </w:r>
          </w:p>
        </w:tc>
        <w:tc>
          <w:tcPr>
            <w:tcW w:w="1366" w:type="dxa"/>
          </w:tcPr>
          <w:p w14:paraId="32662977" w14:textId="3423F1F3" w:rsidR="00620AE8" w:rsidRPr="0029445E" w:rsidRDefault="00E61E2B" w:rsidP="00E61E2B">
            <w:pPr>
              <w:widowControl w:val="0"/>
              <w:autoSpaceDE w:val="0"/>
              <w:autoSpaceDN w:val="0"/>
              <w:adjustRightInd w:val="0"/>
              <w:rPr>
                <w:rFonts w:cs="Calibri"/>
                <w:lang w:val="en-US"/>
              </w:rPr>
            </w:pPr>
            <w:r w:rsidRPr="0029445E">
              <w:rPr>
                <w:rFonts w:cs="Calibri"/>
                <w:lang w:val="en-US"/>
              </w:rPr>
              <w:t xml:space="preserve">2.8 </w:t>
            </w:r>
            <w:r w:rsidRPr="0029445E">
              <w:rPr>
                <w:rFonts w:eastAsia="Times New Roman" w:cs="Times New Roman"/>
              </w:rPr>
              <w:t>(2.0</w:t>
            </w:r>
            <w:r w:rsidR="00620AE8" w:rsidRPr="0029445E">
              <w:rPr>
                <w:rFonts w:eastAsia="Times New Roman" w:cs="Times New Roman"/>
              </w:rPr>
              <w:t>-3</w:t>
            </w:r>
            <w:r w:rsidRPr="0029445E">
              <w:rPr>
                <w:rFonts w:eastAsia="Times New Roman" w:cs="Times New Roman"/>
              </w:rPr>
              <w:t>.6</w:t>
            </w:r>
            <w:r w:rsidR="00620AE8" w:rsidRPr="0029445E">
              <w:rPr>
                <w:rFonts w:eastAsia="Times New Roman" w:cs="Times New Roman"/>
              </w:rPr>
              <w:t>)</w:t>
            </w:r>
          </w:p>
          <w:p w14:paraId="212D6AE7" w14:textId="044944A5" w:rsidR="00506923" w:rsidRPr="0029445E" w:rsidRDefault="00506923" w:rsidP="00506923">
            <w:pPr>
              <w:widowControl w:val="0"/>
              <w:autoSpaceDE w:val="0"/>
              <w:autoSpaceDN w:val="0"/>
              <w:adjustRightInd w:val="0"/>
              <w:jc w:val="right"/>
              <w:rPr>
                <w:rFonts w:cs="Calibri"/>
                <w:lang w:val="en-US"/>
              </w:rPr>
            </w:pPr>
          </w:p>
        </w:tc>
      </w:tr>
      <w:tr w:rsidR="0029445E" w:rsidRPr="0029445E" w14:paraId="7FD425A7" w14:textId="77777777" w:rsidTr="00506923">
        <w:trPr>
          <w:trHeight w:val="355"/>
        </w:trPr>
        <w:tc>
          <w:tcPr>
            <w:tcW w:w="1578" w:type="dxa"/>
          </w:tcPr>
          <w:p w14:paraId="2CFD0731" w14:textId="1952A621" w:rsidR="00506923" w:rsidRPr="0029445E" w:rsidRDefault="00935509" w:rsidP="00935509">
            <w:pPr>
              <w:widowControl w:val="0"/>
              <w:autoSpaceDE w:val="0"/>
              <w:autoSpaceDN w:val="0"/>
              <w:adjustRightInd w:val="0"/>
              <w:rPr>
                <w:rFonts w:cs="Calibri"/>
                <w:b/>
                <w:bCs/>
                <w:lang w:val="en-US"/>
              </w:rPr>
            </w:pPr>
            <w:r w:rsidRPr="0029445E">
              <w:rPr>
                <w:rFonts w:cs="Calibri"/>
                <w:b/>
                <w:bCs/>
                <w:lang w:val="en-US"/>
              </w:rPr>
              <w:t>H</w:t>
            </w:r>
          </w:p>
        </w:tc>
        <w:tc>
          <w:tcPr>
            <w:tcW w:w="1061" w:type="dxa"/>
          </w:tcPr>
          <w:p w14:paraId="02099F1F" w14:textId="77777777"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2369</w:t>
            </w:r>
          </w:p>
        </w:tc>
        <w:tc>
          <w:tcPr>
            <w:tcW w:w="1438" w:type="dxa"/>
          </w:tcPr>
          <w:p w14:paraId="462A2434" w14:textId="382C772C"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6.7</w:t>
            </w:r>
            <w:r w:rsidR="00AC49CA" w:rsidRPr="0029445E">
              <w:rPr>
                <w:rFonts w:cs="Calibri"/>
                <w:lang w:val="en-US"/>
              </w:rPr>
              <w:t xml:space="preserve"> (8.5)</w:t>
            </w:r>
          </w:p>
        </w:tc>
        <w:tc>
          <w:tcPr>
            <w:tcW w:w="1418" w:type="dxa"/>
          </w:tcPr>
          <w:p w14:paraId="59BBC4B8" w14:textId="77777777"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618 (26%)</w:t>
            </w:r>
          </w:p>
        </w:tc>
        <w:tc>
          <w:tcPr>
            <w:tcW w:w="1417" w:type="dxa"/>
          </w:tcPr>
          <w:p w14:paraId="1376B1EB" w14:textId="4CC039CF" w:rsidR="00506923" w:rsidRPr="0029445E" w:rsidRDefault="000C0199" w:rsidP="00506923">
            <w:pPr>
              <w:widowControl w:val="0"/>
              <w:autoSpaceDE w:val="0"/>
              <w:autoSpaceDN w:val="0"/>
              <w:adjustRightInd w:val="0"/>
              <w:jc w:val="right"/>
              <w:rPr>
                <w:rFonts w:cs="Calibri"/>
                <w:lang w:val="en-US"/>
              </w:rPr>
            </w:pPr>
            <w:r w:rsidRPr="0029445E">
              <w:rPr>
                <w:rFonts w:cs="Calibri"/>
                <w:lang w:val="en-US"/>
              </w:rPr>
              <w:t>1136 (48%)</w:t>
            </w:r>
          </w:p>
        </w:tc>
        <w:tc>
          <w:tcPr>
            <w:tcW w:w="1418" w:type="dxa"/>
          </w:tcPr>
          <w:p w14:paraId="4B944D80" w14:textId="4861BF13" w:rsidR="00506923" w:rsidRPr="0029445E" w:rsidRDefault="00E61E2B" w:rsidP="00E61E2B">
            <w:pPr>
              <w:widowControl w:val="0"/>
              <w:autoSpaceDE w:val="0"/>
              <w:autoSpaceDN w:val="0"/>
              <w:adjustRightInd w:val="0"/>
              <w:rPr>
                <w:rFonts w:cs="Calibri"/>
                <w:lang w:val="en-US"/>
              </w:rPr>
            </w:pPr>
            <w:r w:rsidRPr="0029445E">
              <w:rPr>
                <w:rFonts w:cs="Calibri"/>
                <w:lang w:val="en-US"/>
              </w:rPr>
              <w:t>3.4 (2.7-4.2)</w:t>
            </w:r>
          </w:p>
        </w:tc>
        <w:tc>
          <w:tcPr>
            <w:tcW w:w="1366" w:type="dxa"/>
          </w:tcPr>
          <w:p w14:paraId="66CEF8BC" w14:textId="37CD41EF" w:rsidR="00620AE8" w:rsidRPr="0029445E" w:rsidRDefault="00E61E2B" w:rsidP="00E61E2B">
            <w:pPr>
              <w:widowControl w:val="0"/>
              <w:autoSpaceDE w:val="0"/>
              <w:autoSpaceDN w:val="0"/>
              <w:adjustRightInd w:val="0"/>
              <w:rPr>
                <w:rFonts w:cs="Calibri"/>
                <w:lang w:val="en-US"/>
              </w:rPr>
            </w:pPr>
            <w:r w:rsidRPr="0029445E">
              <w:rPr>
                <w:rFonts w:cs="Calibri"/>
                <w:lang w:val="en-US"/>
              </w:rPr>
              <w:t xml:space="preserve">3.3 </w:t>
            </w:r>
            <w:r w:rsidRPr="0029445E">
              <w:rPr>
                <w:rFonts w:eastAsia="Times New Roman" w:cs="Times New Roman"/>
              </w:rPr>
              <w:t>(2.6-4.1</w:t>
            </w:r>
            <w:r w:rsidR="00620AE8" w:rsidRPr="0029445E">
              <w:rPr>
                <w:rFonts w:eastAsia="Times New Roman" w:cs="Times New Roman"/>
              </w:rPr>
              <w:t>)</w:t>
            </w:r>
          </w:p>
          <w:p w14:paraId="136E0C22" w14:textId="013886F3" w:rsidR="00506923" w:rsidRPr="0029445E" w:rsidRDefault="00506923" w:rsidP="00506923">
            <w:pPr>
              <w:widowControl w:val="0"/>
              <w:autoSpaceDE w:val="0"/>
              <w:autoSpaceDN w:val="0"/>
              <w:adjustRightInd w:val="0"/>
              <w:jc w:val="right"/>
              <w:rPr>
                <w:rFonts w:cs="Calibri"/>
                <w:lang w:val="en-US"/>
              </w:rPr>
            </w:pPr>
          </w:p>
        </w:tc>
      </w:tr>
      <w:tr w:rsidR="0029445E" w:rsidRPr="0029445E" w14:paraId="14A1B8FA" w14:textId="77777777" w:rsidTr="00506923">
        <w:trPr>
          <w:trHeight w:val="355"/>
        </w:trPr>
        <w:tc>
          <w:tcPr>
            <w:tcW w:w="1578" w:type="dxa"/>
          </w:tcPr>
          <w:p w14:paraId="08B56571" w14:textId="51A874AF" w:rsidR="00506923" w:rsidRPr="0029445E" w:rsidRDefault="00935509" w:rsidP="00506923">
            <w:pPr>
              <w:widowControl w:val="0"/>
              <w:autoSpaceDE w:val="0"/>
              <w:autoSpaceDN w:val="0"/>
              <w:adjustRightInd w:val="0"/>
              <w:rPr>
                <w:rFonts w:cs="Calibri"/>
                <w:b/>
                <w:bCs/>
                <w:lang w:val="en-US"/>
              </w:rPr>
            </w:pPr>
            <w:r w:rsidRPr="0029445E">
              <w:rPr>
                <w:rFonts w:cs="Calibri"/>
                <w:b/>
                <w:bCs/>
                <w:lang w:val="en-US"/>
              </w:rPr>
              <w:t>I</w:t>
            </w:r>
          </w:p>
        </w:tc>
        <w:tc>
          <w:tcPr>
            <w:tcW w:w="1061" w:type="dxa"/>
          </w:tcPr>
          <w:p w14:paraId="32015793" w14:textId="77777777"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1984</w:t>
            </w:r>
          </w:p>
        </w:tc>
        <w:tc>
          <w:tcPr>
            <w:tcW w:w="1438" w:type="dxa"/>
          </w:tcPr>
          <w:p w14:paraId="78896CBA" w14:textId="752BB53E"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7.2</w:t>
            </w:r>
            <w:r w:rsidR="00AC49CA" w:rsidRPr="0029445E">
              <w:rPr>
                <w:rFonts w:cs="Calibri"/>
                <w:lang w:val="en-US"/>
              </w:rPr>
              <w:t xml:space="preserve"> (10.8)</w:t>
            </w:r>
          </w:p>
        </w:tc>
        <w:tc>
          <w:tcPr>
            <w:tcW w:w="1418" w:type="dxa"/>
          </w:tcPr>
          <w:p w14:paraId="4B1D22F7" w14:textId="77777777"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637 (32%)</w:t>
            </w:r>
          </w:p>
        </w:tc>
        <w:tc>
          <w:tcPr>
            <w:tcW w:w="1417" w:type="dxa"/>
          </w:tcPr>
          <w:p w14:paraId="37D34043" w14:textId="342AD200" w:rsidR="00506923" w:rsidRPr="0029445E" w:rsidRDefault="000C0199" w:rsidP="00506923">
            <w:pPr>
              <w:widowControl w:val="0"/>
              <w:autoSpaceDE w:val="0"/>
              <w:autoSpaceDN w:val="0"/>
              <w:adjustRightInd w:val="0"/>
              <w:jc w:val="right"/>
              <w:rPr>
                <w:rFonts w:cs="Calibri"/>
                <w:lang w:val="en-US"/>
              </w:rPr>
            </w:pPr>
            <w:r w:rsidRPr="0029445E">
              <w:rPr>
                <w:rFonts w:cs="Calibri"/>
                <w:lang w:val="en-US"/>
              </w:rPr>
              <w:t>956 (48%)</w:t>
            </w:r>
          </w:p>
        </w:tc>
        <w:tc>
          <w:tcPr>
            <w:tcW w:w="1418" w:type="dxa"/>
          </w:tcPr>
          <w:p w14:paraId="3E551EB6" w14:textId="2E23F162" w:rsidR="00506923" w:rsidRPr="0029445E" w:rsidRDefault="00E61E2B" w:rsidP="00E61E2B">
            <w:pPr>
              <w:widowControl w:val="0"/>
              <w:autoSpaceDE w:val="0"/>
              <w:autoSpaceDN w:val="0"/>
              <w:adjustRightInd w:val="0"/>
              <w:rPr>
                <w:rFonts w:cs="Calibri"/>
                <w:lang w:val="en-US"/>
              </w:rPr>
            </w:pPr>
            <w:r w:rsidRPr="0029445E">
              <w:rPr>
                <w:rFonts w:cs="Calibri"/>
                <w:lang w:val="en-US"/>
              </w:rPr>
              <w:t>3.</w:t>
            </w:r>
            <w:r w:rsidR="00506923" w:rsidRPr="0029445E">
              <w:rPr>
                <w:rFonts w:cs="Calibri"/>
                <w:lang w:val="en-US"/>
              </w:rPr>
              <w:t>8</w:t>
            </w:r>
            <w:r w:rsidRPr="0029445E">
              <w:rPr>
                <w:rFonts w:cs="Calibri"/>
                <w:lang w:val="en-US"/>
              </w:rPr>
              <w:t xml:space="preserve"> (2.9-4.6)</w:t>
            </w:r>
          </w:p>
        </w:tc>
        <w:tc>
          <w:tcPr>
            <w:tcW w:w="1366" w:type="dxa"/>
          </w:tcPr>
          <w:p w14:paraId="7AC2A5A1" w14:textId="11AB430A" w:rsidR="00620AE8" w:rsidRPr="0029445E" w:rsidRDefault="00E61E2B" w:rsidP="00E61E2B">
            <w:pPr>
              <w:widowControl w:val="0"/>
              <w:autoSpaceDE w:val="0"/>
              <w:autoSpaceDN w:val="0"/>
              <w:adjustRightInd w:val="0"/>
              <w:rPr>
                <w:rFonts w:cs="Calibri"/>
                <w:lang w:val="en-US"/>
              </w:rPr>
            </w:pPr>
            <w:r w:rsidRPr="0029445E">
              <w:rPr>
                <w:rFonts w:cs="Calibri"/>
                <w:lang w:val="en-US"/>
              </w:rPr>
              <w:t xml:space="preserve">2.9 </w:t>
            </w:r>
            <w:r w:rsidRPr="0029445E">
              <w:rPr>
                <w:rFonts w:eastAsia="Times New Roman" w:cs="Times New Roman"/>
              </w:rPr>
              <w:t>(2.2-3.7</w:t>
            </w:r>
            <w:r w:rsidR="00620AE8" w:rsidRPr="0029445E">
              <w:rPr>
                <w:rFonts w:eastAsia="Times New Roman" w:cs="Times New Roman"/>
              </w:rPr>
              <w:t>)</w:t>
            </w:r>
          </w:p>
          <w:p w14:paraId="6287F3D2" w14:textId="0B545515" w:rsidR="00506923" w:rsidRPr="0029445E" w:rsidRDefault="00506923" w:rsidP="00506923">
            <w:pPr>
              <w:widowControl w:val="0"/>
              <w:autoSpaceDE w:val="0"/>
              <w:autoSpaceDN w:val="0"/>
              <w:adjustRightInd w:val="0"/>
              <w:jc w:val="right"/>
              <w:rPr>
                <w:rFonts w:cs="Calibri"/>
                <w:lang w:val="en-US"/>
              </w:rPr>
            </w:pPr>
          </w:p>
        </w:tc>
      </w:tr>
      <w:tr w:rsidR="0029445E" w:rsidRPr="0029445E" w14:paraId="6E926A41" w14:textId="77777777" w:rsidTr="00506923">
        <w:trPr>
          <w:trHeight w:val="355"/>
        </w:trPr>
        <w:tc>
          <w:tcPr>
            <w:tcW w:w="1578" w:type="dxa"/>
          </w:tcPr>
          <w:p w14:paraId="1B4201B3" w14:textId="699F00CD" w:rsidR="00506923" w:rsidRPr="0029445E" w:rsidRDefault="00935509" w:rsidP="00935509">
            <w:pPr>
              <w:widowControl w:val="0"/>
              <w:autoSpaceDE w:val="0"/>
              <w:autoSpaceDN w:val="0"/>
              <w:adjustRightInd w:val="0"/>
              <w:rPr>
                <w:rFonts w:cs="Calibri"/>
                <w:b/>
                <w:bCs/>
                <w:lang w:val="en-US"/>
              </w:rPr>
            </w:pPr>
            <w:r w:rsidRPr="0029445E">
              <w:rPr>
                <w:rFonts w:cs="Calibri"/>
                <w:b/>
                <w:bCs/>
                <w:lang w:val="en-US"/>
              </w:rPr>
              <w:t>J</w:t>
            </w:r>
          </w:p>
        </w:tc>
        <w:tc>
          <w:tcPr>
            <w:tcW w:w="1061" w:type="dxa"/>
          </w:tcPr>
          <w:p w14:paraId="4E47F051" w14:textId="77777777"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2242</w:t>
            </w:r>
          </w:p>
        </w:tc>
        <w:tc>
          <w:tcPr>
            <w:tcW w:w="1438" w:type="dxa"/>
          </w:tcPr>
          <w:p w14:paraId="38DB276C" w14:textId="06CB4541"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6.7</w:t>
            </w:r>
            <w:r w:rsidR="00AC49CA" w:rsidRPr="0029445E">
              <w:rPr>
                <w:rFonts w:cs="Calibri"/>
                <w:lang w:val="en-US"/>
              </w:rPr>
              <w:t xml:space="preserve"> (9.1)</w:t>
            </w:r>
          </w:p>
        </w:tc>
        <w:tc>
          <w:tcPr>
            <w:tcW w:w="1418" w:type="dxa"/>
          </w:tcPr>
          <w:p w14:paraId="4A842576" w14:textId="77777777"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524 (23%)</w:t>
            </w:r>
          </w:p>
        </w:tc>
        <w:tc>
          <w:tcPr>
            <w:tcW w:w="1417" w:type="dxa"/>
          </w:tcPr>
          <w:p w14:paraId="4A9E07CB" w14:textId="15C57727" w:rsidR="00506923" w:rsidRPr="0029445E" w:rsidRDefault="000C0199" w:rsidP="00506923">
            <w:pPr>
              <w:widowControl w:val="0"/>
              <w:autoSpaceDE w:val="0"/>
              <w:autoSpaceDN w:val="0"/>
              <w:adjustRightInd w:val="0"/>
              <w:jc w:val="right"/>
              <w:rPr>
                <w:rFonts w:cs="Calibri"/>
                <w:lang w:val="en-US"/>
              </w:rPr>
            </w:pPr>
            <w:r w:rsidRPr="0029445E">
              <w:rPr>
                <w:rFonts w:cs="Calibri"/>
                <w:lang w:val="en-US"/>
              </w:rPr>
              <w:t>1136 (51%)</w:t>
            </w:r>
          </w:p>
        </w:tc>
        <w:tc>
          <w:tcPr>
            <w:tcW w:w="1418" w:type="dxa"/>
          </w:tcPr>
          <w:p w14:paraId="2B9DCE1D" w14:textId="683E67BB" w:rsidR="00506923" w:rsidRPr="0029445E" w:rsidRDefault="00E61E2B" w:rsidP="00E61E2B">
            <w:pPr>
              <w:widowControl w:val="0"/>
              <w:autoSpaceDE w:val="0"/>
              <w:autoSpaceDN w:val="0"/>
              <w:adjustRightInd w:val="0"/>
              <w:rPr>
                <w:rFonts w:cs="Calibri"/>
                <w:lang w:val="en-US"/>
              </w:rPr>
            </w:pPr>
            <w:r w:rsidRPr="0029445E">
              <w:rPr>
                <w:rFonts w:cs="Calibri"/>
                <w:lang w:val="en-US"/>
              </w:rPr>
              <w:t>1</w:t>
            </w:r>
            <w:r w:rsidR="00506923" w:rsidRPr="0029445E">
              <w:rPr>
                <w:rFonts w:cs="Calibri"/>
                <w:lang w:val="en-US"/>
              </w:rPr>
              <w:t>.9</w:t>
            </w:r>
            <w:r w:rsidRPr="0029445E">
              <w:rPr>
                <w:rFonts w:cs="Calibri"/>
                <w:lang w:val="en-US"/>
              </w:rPr>
              <w:t xml:space="preserve"> (1.4-2.5)</w:t>
            </w:r>
          </w:p>
        </w:tc>
        <w:tc>
          <w:tcPr>
            <w:tcW w:w="1366" w:type="dxa"/>
          </w:tcPr>
          <w:p w14:paraId="10CD3AE9" w14:textId="490937D3" w:rsidR="00620AE8" w:rsidRPr="0029445E" w:rsidRDefault="00E61E2B" w:rsidP="00E61E2B">
            <w:pPr>
              <w:widowControl w:val="0"/>
              <w:autoSpaceDE w:val="0"/>
              <w:autoSpaceDN w:val="0"/>
              <w:adjustRightInd w:val="0"/>
              <w:rPr>
                <w:rFonts w:cs="Calibri"/>
                <w:lang w:val="en-US"/>
              </w:rPr>
            </w:pPr>
            <w:r w:rsidRPr="0029445E">
              <w:rPr>
                <w:rFonts w:cs="Calibri"/>
                <w:lang w:val="en-US"/>
              </w:rPr>
              <w:t xml:space="preserve">1.6 </w:t>
            </w:r>
            <w:r w:rsidRPr="0029445E">
              <w:rPr>
                <w:rFonts w:eastAsia="Times New Roman" w:cs="Times New Roman"/>
              </w:rPr>
              <w:t>(1.1-2.1</w:t>
            </w:r>
            <w:r w:rsidR="00620AE8" w:rsidRPr="0029445E">
              <w:rPr>
                <w:rFonts w:eastAsia="Times New Roman" w:cs="Times New Roman"/>
              </w:rPr>
              <w:t>)</w:t>
            </w:r>
          </w:p>
          <w:p w14:paraId="5FF9006E" w14:textId="74978E64" w:rsidR="00506923" w:rsidRPr="0029445E" w:rsidRDefault="00506923" w:rsidP="00506923">
            <w:pPr>
              <w:widowControl w:val="0"/>
              <w:autoSpaceDE w:val="0"/>
              <w:autoSpaceDN w:val="0"/>
              <w:adjustRightInd w:val="0"/>
              <w:jc w:val="right"/>
              <w:rPr>
                <w:rFonts w:cs="Calibri"/>
                <w:lang w:val="en-US"/>
              </w:rPr>
            </w:pPr>
          </w:p>
        </w:tc>
      </w:tr>
      <w:tr w:rsidR="0029445E" w:rsidRPr="0029445E" w14:paraId="00C4C799" w14:textId="77777777" w:rsidTr="00506923">
        <w:trPr>
          <w:trHeight w:val="355"/>
        </w:trPr>
        <w:tc>
          <w:tcPr>
            <w:tcW w:w="1578" w:type="dxa"/>
          </w:tcPr>
          <w:p w14:paraId="020327D8" w14:textId="479FDCFC" w:rsidR="00506923" w:rsidRPr="0029445E" w:rsidRDefault="00935509" w:rsidP="00506923">
            <w:pPr>
              <w:widowControl w:val="0"/>
              <w:autoSpaceDE w:val="0"/>
              <w:autoSpaceDN w:val="0"/>
              <w:adjustRightInd w:val="0"/>
              <w:rPr>
                <w:rFonts w:cs="Calibri"/>
                <w:b/>
                <w:bCs/>
                <w:lang w:val="en-US"/>
              </w:rPr>
            </w:pPr>
            <w:r w:rsidRPr="0029445E">
              <w:rPr>
                <w:rFonts w:cs="Calibri"/>
                <w:b/>
                <w:bCs/>
                <w:lang w:val="en-US"/>
              </w:rPr>
              <w:t>K</w:t>
            </w:r>
          </w:p>
        </w:tc>
        <w:tc>
          <w:tcPr>
            <w:tcW w:w="1061" w:type="dxa"/>
          </w:tcPr>
          <w:p w14:paraId="4E1C300E" w14:textId="77777777"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951</w:t>
            </w:r>
          </w:p>
        </w:tc>
        <w:tc>
          <w:tcPr>
            <w:tcW w:w="1438" w:type="dxa"/>
          </w:tcPr>
          <w:p w14:paraId="2A6C77D5" w14:textId="50230898" w:rsidR="00506923" w:rsidRPr="0029445E" w:rsidRDefault="00AC49CA" w:rsidP="00506923">
            <w:pPr>
              <w:widowControl w:val="0"/>
              <w:autoSpaceDE w:val="0"/>
              <w:autoSpaceDN w:val="0"/>
              <w:adjustRightInd w:val="0"/>
              <w:jc w:val="right"/>
              <w:rPr>
                <w:rFonts w:cs="Calibri"/>
                <w:lang w:val="en-US"/>
              </w:rPr>
            </w:pPr>
            <w:r w:rsidRPr="0029445E">
              <w:rPr>
                <w:rFonts w:cs="Calibri"/>
                <w:lang w:val="en-US"/>
              </w:rPr>
              <w:t>7.2 (9.9)</w:t>
            </w:r>
          </w:p>
        </w:tc>
        <w:tc>
          <w:tcPr>
            <w:tcW w:w="1418" w:type="dxa"/>
          </w:tcPr>
          <w:p w14:paraId="1E3E02B1" w14:textId="77777777"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280 (29%)</w:t>
            </w:r>
          </w:p>
        </w:tc>
        <w:tc>
          <w:tcPr>
            <w:tcW w:w="1417" w:type="dxa"/>
          </w:tcPr>
          <w:p w14:paraId="4BFA11BF" w14:textId="5EB3B3B8" w:rsidR="00506923" w:rsidRPr="0029445E" w:rsidRDefault="000C0199" w:rsidP="00506923">
            <w:pPr>
              <w:widowControl w:val="0"/>
              <w:autoSpaceDE w:val="0"/>
              <w:autoSpaceDN w:val="0"/>
              <w:adjustRightInd w:val="0"/>
              <w:jc w:val="right"/>
              <w:rPr>
                <w:rFonts w:cs="Calibri"/>
                <w:lang w:val="en-US"/>
              </w:rPr>
            </w:pPr>
            <w:r w:rsidRPr="0029445E">
              <w:rPr>
                <w:rFonts w:cs="Calibri"/>
                <w:lang w:val="en-US"/>
              </w:rPr>
              <w:t>535 (56%)</w:t>
            </w:r>
          </w:p>
        </w:tc>
        <w:tc>
          <w:tcPr>
            <w:tcW w:w="1418" w:type="dxa"/>
          </w:tcPr>
          <w:p w14:paraId="5387B73C" w14:textId="5203DD32" w:rsidR="00506923" w:rsidRPr="0029445E" w:rsidRDefault="00E61E2B" w:rsidP="00E61E2B">
            <w:pPr>
              <w:widowControl w:val="0"/>
              <w:autoSpaceDE w:val="0"/>
              <w:autoSpaceDN w:val="0"/>
              <w:adjustRightInd w:val="0"/>
              <w:rPr>
                <w:rFonts w:cs="Calibri"/>
                <w:lang w:val="en-US"/>
              </w:rPr>
            </w:pPr>
            <w:r w:rsidRPr="0029445E">
              <w:rPr>
                <w:rFonts w:cs="Calibri"/>
                <w:lang w:val="en-US"/>
              </w:rPr>
              <w:t>1.7 (0.9-2.5)</w:t>
            </w:r>
          </w:p>
        </w:tc>
        <w:tc>
          <w:tcPr>
            <w:tcW w:w="1366" w:type="dxa"/>
          </w:tcPr>
          <w:p w14:paraId="03E31653" w14:textId="1CBF1428" w:rsidR="00620AE8" w:rsidRPr="0029445E" w:rsidRDefault="00E61E2B" w:rsidP="00E61E2B">
            <w:pPr>
              <w:widowControl w:val="0"/>
              <w:autoSpaceDE w:val="0"/>
              <w:autoSpaceDN w:val="0"/>
              <w:adjustRightInd w:val="0"/>
              <w:rPr>
                <w:rFonts w:cs="Calibri"/>
                <w:lang w:val="en-US"/>
              </w:rPr>
            </w:pPr>
            <w:r w:rsidRPr="0029445E">
              <w:rPr>
                <w:rFonts w:cs="Calibri"/>
                <w:lang w:val="en-US"/>
              </w:rPr>
              <w:t xml:space="preserve">1.3 </w:t>
            </w:r>
            <w:r w:rsidRPr="0029445E">
              <w:rPr>
                <w:rFonts w:eastAsia="Times New Roman" w:cs="Times New Roman"/>
              </w:rPr>
              <w:t>(0.6-1.9</w:t>
            </w:r>
            <w:r w:rsidR="00620AE8" w:rsidRPr="0029445E">
              <w:rPr>
                <w:rFonts w:eastAsia="Times New Roman" w:cs="Times New Roman"/>
              </w:rPr>
              <w:t>)</w:t>
            </w:r>
          </w:p>
          <w:p w14:paraId="188D5363" w14:textId="40905861" w:rsidR="00506923" w:rsidRPr="0029445E" w:rsidRDefault="00506923" w:rsidP="00506923">
            <w:pPr>
              <w:widowControl w:val="0"/>
              <w:autoSpaceDE w:val="0"/>
              <w:autoSpaceDN w:val="0"/>
              <w:adjustRightInd w:val="0"/>
              <w:jc w:val="right"/>
              <w:rPr>
                <w:rFonts w:cs="Calibri"/>
                <w:lang w:val="en-US"/>
              </w:rPr>
            </w:pPr>
          </w:p>
        </w:tc>
      </w:tr>
      <w:tr w:rsidR="0029445E" w:rsidRPr="0029445E" w14:paraId="74B2690E" w14:textId="77777777" w:rsidTr="00506923">
        <w:trPr>
          <w:trHeight w:val="355"/>
        </w:trPr>
        <w:tc>
          <w:tcPr>
            <w:tcW w:w="1578" w:type="dxa"/>
          </w:tcPr>
          <w:p w14:paraId="1829E8C4" w14:textId="67CD54D7" w:rsidR="00506923" w:rsidRPr="0029445E" w:rsidRDefault="00935509" w:rsidP="00506923">
            <w:pPr>
              <w:widowControl w:val="0"/>
              <w:autoSpaceDE w:val="0"/>
              <w:autoSpaceDN w:val="0"/>
              <w:adjustRightInd w:val="0"/>
              <w:rPr>
                <w:rFonts w:cs="Calibri"/>
                <w:b/>
                <w:bCs/>
                <w:lang w:val="en-US"/>
              </w:rPr>
            </w:pPr>
            <w:r w:rsidRPr="0029445E">
              <w:rPr>
                <w:rFonts w:cs="Calibri"/>
                <w:b/>
                <w:bCs/>
                <w:lang w:val="en-US"/>
              </w:rPr>
              <w:t>L</w:t>
            </w:r>
          </w:p>
        </w:tc>
        <w:tc>
          <w:tcPr>
            <w:tcW w:w="1061" w:type="dxa"/>
          </w:tcPr>
          <w:p w14:paraId="1AD352D1" w14:textId="77777777"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727</w:t>
            </w:r>
          </w:p>
        </w:tc>
        <w:tc>
          <w:tcPr>
            <w:tcW w:w="1438" w:type="dxa"/>
          </w:tcPr>
          <w:p w14:paraId="381CCFF7" w14:textId="6B0874AC"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5.5</w:t>
            </w:r>
            <w:r w:rsidR="00AC49CA" w:rsidRPr="0029445E">
              <w:rPr>
                <w:rFonts w:cs="Calibri"/>
                <w:lang w:val="en-US"/>
              </w:rPr>
              <w:t xml:space="preserve"> (7.3)</w:t>
            </w:r>
          </w:p>
        </w:tc>
        <w:tc>
          <w:tcPr>
            <w:tcW w:w="1418" w:type="dxa"/>
          </w:tcPr>
          <w:p w14:paraId="4463031F" w14:textId="77777777" w:rsidR="00506923" w:rsidRPr="0029445E" w:rsidRDefault="00506923" w:rsidP="00506923">
            <w:pPr>
              <w:widowControl w:val="0"/>
              <w:autoSpaceDE w:val="0"/>
              <w:autoSpaceDN w:val="0"/>
              <w:adjustRightInd w:val="0"/>
              <w:jc w:val="right"/>
              <w:rPr>
                <w:rFonts w:cs="Calibri"/>
                <w:lang w:val="en-US"/>
              </w:rPr>
            </w:pPr>
            <w:r w:rsidRPr="0029445E">
              <w:rPr>
                <w:rFonts w:cs="Calibri"/>
                <w:lang w:val="en-US"/>
              </w:rPr>
              <w:t>219 (30%)</w:t>
            </w:r>
          </w:p>
        </w:tc>
        <w:tc>
          <w:tcPr>
            <w:tcW w:w="1417" w:type="dxa"/>
          </w:tcPr>
          <w:p w14:paraId="257B89E4" w14:textId="0F10D03D" w:rsidR="00506923" w:rsidRPr="0029445E" w:rsidRDefault="000C0199" w:rsidP="00506923">
            <w:pPr>
              <w:widowControl w:val="0"/>
              <w:autoSpaceDE w:val="0"/>
              <w:autoSpaceDN w:val="0"/>
              <w:adjustRightInd w:val="0"/>
              <w:jc w:val="right"/>
              <w:rPr>
                <w:rFonts w:cs="Calibri"/>
                <w:lang w:val="en-US"/>
              </w:rPr>
            </w:pPr>
            <w:r w:rsidRPr="0029445E">
              <w:rPr>
                <w:rFonts w:cs="Calibri"/>
                <w:lang w:val="en-US"/>
              </w:rPr>
              <w:t>433 (60%)</w:t>
            </w:r>
          </w:p>
        </w:tc>
        <w:tc>
          <w:tcPr>
            <w:tcW w:w="1418" w:type="dxa"/>
          </w:tcPr>
          <w:p w14:paraId="0F65AA33" w14:textId="7E2B7078" w:rsidR="00506923" w:rsidRPr="0029445E" w:rsidRDefault="00E61E2B" w:rsidP="00E61E2B">
            <w:pPr>
              <w:widowControl w:val="0"/>
              <w:autoSpaceDE w:val="0"/>
              <w:autoSpaceDN w:val="0"/>
              <w:adjustRightInd w:val="0"/>
              <w:rPr>
                <w:rFonts w:cs="Calibri"/>
                <w:lang w:val="en-US"/>
              </w:rPr>
            </w:pPr>
            <w:r w:rsidRPr="0029445E">
              <w:rPr>
                <w:rFonts w:cs="Calibri"/>
                <w:lang w:val="en-US"/>
              </w:rPr>
              <w:t>2.1 (1.0-3.1)</w:t>
            </w:r>
          </w:p>
        </w:tc>
        <w:tc>
          <w:tcPr>
            <w:tcW w:w="1366" w:type="dxa"/>
          </w:tcPr>
          <w:p w14:paraId="07428F8B" w14:textId="51FB8D45" w:rsidR="00620AE8" w:rsidRPr="0029445E" w:rsidRDefault="00E61E2B" w:rsidP="00E61E2B">
            <w:pPr>
              <w:widowControl w:val="0"/>
              <w:autoSpaceDE w:val="0"/>
              <w:autoSpaceDN w:val="0"/>
              <w:adjustRightInd w:val="0"/>
              <w:rPr>
                <w:rFonts w:cs="Calibri"/>
                <w:lang w:val="en-US"/>
              </w:rPr>
            </w:pPr>
            <w:r w:rsidRPr="0029445E">
              <w:rPr>
                <w:rFonts w:cs="Calibri"/>
                <w:lang w:val="en-US"/>
              </w:rPr>
              <w:t xml:space="preserve">2.1 </w:t>
            </w:r>
            <w:r w:rsidRPr="0029445E">
              <w:rPr>
                <w:rFonts w:eastAsia="Times New Roman" w:cs="Times New Roman"/>
              </w:rPr>
              <w:t>(1.0-3.1</w:t>
            </w:r>
            <w:r w:rsidR="00620AE8" w:rsidRPr="0029445E">
              <w:rPr>
                <w:rFonts w:eastAsia="Times New Roman" w:cs="Times New Roman"/>
              </w:rPr>
              <w:t>)</w:t>
            </w:r>
          </w:p>
          <w:p w14:paraId="4A3F2D1C" w14:textId="595A8C33" w:rsidR="00506923" w:rsidRPr="0029445E" w:rsidRDefault="00506923" w:rsidP="00506923">
            <w:pPr>
              <w:widowControl w:val="0"/>
              <w:autoSpaceDE w:val="0"/>
              <w:autoSpaceDN w:val="0"/>
              <w:adjustRightInd w:val="0"/>
              <w:jc w:val="right"/>
              <w:rPr>
                <w:rFonts w:cs="Calibri"/>
                <w:lang w:val="en-US"/>
              </w:rPr>
            </w:pPr>
          </w:p>
        </w:tc>
      </w:tr>
      <w:tr w:rsidR="0029445E" w:rsidRPr="0029445E" w14:paraId="18AC257A" w14:textId="77777777" w:rsidTr="00506923">
        <w:trPr>
          <w:trHeight w:val="278"/>
        </w:trPr>
        <w:tc>
          <w:tcPr>
            <w:tcW w:w="1578" w:type="dxa"/>
          </w:tcPr>
          <w:p w14:paraId="6852A12B" w14:textId="77777777" w:rsidR="00506923" w:rsidRPr="0029445E" w:rsidRDefault="00506923" w:rsidP="00506923">
            <w:pPr>
              <w:widowControl w:val="0"/>
              <w:autoSpaceDE w:val="0"/>
              <w:autoSpaceDN w:val="0"/>
              <w:adjustRightInd w:val="0"/>
              <w:rPr>
                <w:rFonts w:cs="Calibri"/>
                <w:b/>
                <w:bCs/>
                <w:lang w:val="en-US"/>
              </w:rPr>
            </w:pPr>
            <w:r w:rsidRPr="0029445E">
              <w:rPr>
                <w:rFonts w:cs="Calibri"/>
                <w:b/>
                <w:bCs/>
                <w:lang w:val="en-US"/>
              </w:rPr>
              <w:t>All Centres</w:t>
            </w:r>
          </w:p>
        </w:tc>
        <w:tc>
          <w:tcPr>
            <w:tcW w:w="1061" w:type="dxa"/>
          </w:tcPr>
          <w:p w14:paraId="44FDDCB1" w14:textId="77777777" w:rsidR="00506923" w:rsidRPr="0029445E" w:rsidRDefault="00506923" w:rsidP="00506923">
            <w:pPr>
              <w:widowControl w:val="0"/>
              <w:autoSpaceDE w:val="0"/>
              <w:autoSpaceDN w:val="0"/>
              <w:adjustRightInd w:val="0"/>
              <w:jc w:val="right"/>
              <w:rPr>
                <w:rFonts w:cs="Calibri"/>
                <w:b/>
                <w:bCs/>
                <w:lang w:val="en-US"/>
              </w:rPr>
            </w:pPr>
            <w:r w:rsidRPr="0029445E">
              <w:rPr>
                <w:rFonts w:cs="Calibri"/>
                <w:b/>
                <w:bCs/>
                <w:lang w:val="en-US"/>
              </w:rPr>
              <w:t>19033</w:t>
            </w:r>
          </w:p>
        </w:tc>
        <w:tc>
          <w:tcPr>
            <w:tcW w:w="1438" w:type="dxa"/>
          </w:tcPr>
          <w:p w14:paraId="5A08459F" w14:textId="0C4D571F" w:rsidR="00506923" w:rsidRPr="0029445E" w:rsidRDefault="00AC49CA" w:rsidP="00506923">
            <w:pPr>
              <w:widowControl w:val="0"/>
              <w:autoSpaceDE w:val="0"/>
              <w:autoSpaceDN w:val="0"/>
              <w:adjustRightInd w:val="0"/>
              <w:jc w:val="right"/>
              <w:rPr>
                <w:rFonts w:cs="Calibri"/>
                <w:b/>
                <w:bCs/>
                <w:lang w:val="en-US"/>
              </w:rPr>
            </w:pPr>
            <w:r w:rsidRPr="0029445E">
              <w:rPr>
                <w:rFonts w:cs="Calibri"/>
                <w:b/>
                <w:bCs/>
                <w:lang w:val="en-US"/>
              </w:rPr>
              <w:t>7.7 (10.5)</w:t>
            </w:r>
          </w:p>
        </w:tc>
        <w:tc>
          <w:tcPr>
            <w:tcW w:w="1418" w:type="dxa"/>
          </w:tcPr>
          <w:p w14:paraId="0A63BE01" w14:textId="77777777" w:rsidR="00506923" w:rsidRPr="0029445E" w:rsidRDefault="00506923" w:rsidP="00506923">
            <w:pPr>
              <w:widowControl w:val="0"/>
              <w:autoSpaceDE w:val="0"/>
              <w:autoSpaceDN w:val="0"/>
              <w:adjustRightInd w:val="0"/>
              <w:jc w:val="right"/>
              <w:rPr>
                <w:rFonts w:cs="Calibri"/>
                <w:b/>
                <w:bCs/>
                <w:lang w:val="en-US"/>
              </w:rPr>
            </w:pPr>
            <w:r w:rsidRPr="0029445E">
              <w:rPr>
                <w:rFonts w:cs="Calibri"/>
                <w:b/>
                <w:bCs/>
                <w:lang w:val="en-US"/>
              </w:rPr>
              <w:t>5895 (31%)</w:t>
            </w:r>
          </w:p>
        </w:tc>
        <w:tc>
          <w:tcPr>
            <w:tcW w:w="1417" w:type="dxa"/>
          </w:tcPr>
          <w:p w14:paraId="2F7CECA7" w14:textId="1C3D9B59" w:rsidR="00506923" w:rsidRPr="0029445E" w:rsidRDefault="000C0199" w:rsidP="00506923">
            <w:pPr>
              <w:widowControl w:val="0"/>
              <w:autoSpaceDE w:val="0"/>
              <w:autoSpaceDN w:val="0"/>
              <w:adjustRightInd w:val="0"/>
              <w:jc w:val="right"/>
              <w:rPr>
                <w:rFonts w:cs="Calibri"/>
                <w:b/>
                <w:bCs/>
                <w:lang w:val="en-US"/>
              </w:rPr>
            </w:pPr>
            <w:r w:rsidRPr="0029445E">
              <w:rPr>
                <w:rFonts w:cs="Calibri"/>
                <w:b/>
                <w:bCs/>
                <w:lang w:val="en-US"/>
              </w:rPr>
              <w:t>8579 (45%)</w:t>
            </w:r>
          </w:p>
        </w:tc>
        <w:tc>
          <w:tcPr>
            <w:tcW w:w="1418" w:type="dxa"/>
          </w:tcPr>
          <w:p w14:paraId="668F96A9" w14:textId="007FEAEE" w:rsidR="00506923" w:rsidRPr="0029445E" w:rsidRDefault="00E61E2B" w:rsidP="00E61E2B">
            <w:pPr>
              <w:widowControl w:val="0"/>
              <w:autoSpaceDE w:val="0"/>
              <w:autoSpaceDN w:val="0"/>
              <w:adjustRightInd w:val="0"/>
              <w:rPr>
                <w:rFonts w:cs="Calibri"/>
                <w:b/>
                <w:bCs/>
                <w:lang w:val="en-US"/>
              </w:rPr>
            </w:pPr>
            <w:r w:rsidRPr="0029445E">
              <w:rPr>
                <w:rFonts w:cs="Calibri"/>
                <w:b/>
                <w:bCs/>
                <w:lang w:val="en-US"/>
              </w:rPr>
              <w:t>3.3 (3.1-3.6)</w:t>
            </w:r>
          </w:p>
        </w:tc>
        <w:tc>
          <w:tcPr>
            <w:tcW w:w="1366" w:type="dxa"/>
          </w:tcPr>
          <w:p w14:paraId="2D93C2FD" w14:textId="6CF18EC8" w:rsidR="00506923" w:rsidRPr="0029445E" w:rsidRDefault="00E61E2B" w:rsidP="00E61E2B">
            <w:pPr>
              <w:widowControl w:val="0"/>
              <w:autoSpaceDE w:val="0"/>
              <w:autoSpaceDN w:val="0"/>
              <w:adjustRightInd w:val="0"/>
              <w:rPr>
                <w:rFonts w:cs="Calibri"/>
                <w:b/>
                <w:bCs/>
                <w:lang w:val="en-US"/>
              </w:rPr>
            </w:pPr>
            <w:r w:rsidRPr="0029445E">
              <w:rPr>
                <w:rFonts w:cs="Calibri"/>
                <w:b/>
                <w:bCs/>
                <w:lang w:val="en-US"/>
              </w:rPr>
              <w:t>2.6 (2.4-2.8)</w:t>
            </w:r>
          </w:p>
        </w:tc>
      </w:tr>
    </w:tbl>
    <w:p w14:paraId="1FCABA29" w14:textId="77777777" w:rsidR="00506923" w:rsidRPr="0029445E" w:rsidRDefault="00506923">
      <w:pPr>
        <w:rPr>
          <w:rFonts w:cs="Times New Roman"/>
        </w:rPr>
      </w:pPr>
    </w:p>
    <w:p w14:paraId="3F547682" w14:textId="77777777" w:rsidR="00506923" w:rsidRPr="0029445E" w:rsidRDefault="00506923">
      <w:pPr>
        <w:rPr>
          <w:rFonts w:cs="Times New Roman"/>
        </w:rPr>
      </w:pPr>
    </w:p>
    <w:p w14:paraId="75D82DE5" w14:textId="77777777" w:rsidR="004C4B67" w:rsidRPr="0029445E" w:rsidRDefault="004C4B67">
      <w:pPr>
        <w:rPr>
          <w:rFonts w:cs="Times New Roman"/>
        </w:rPr>
      </w:pPr>
      <w:r w:rsidRPr="0029445E">
        <w:rPr>
          <w:rFonts w:cs="Times New Roman"/>
        </w:rPr>
        <w:br w:type="page"/>
      </w:r>
    </w:p>
    <w:p w14:paraId="016591E5" w14:textId="1E2E912C" w:rsidR="004C4B67" w:rsidRPr="0029445E" w:rsidRDefault="004C4B67" w:rsidP="004C4B67">
      <w:pPr>
        <w:spacing w:after="0"/>
        <w:rPr>
          <w:rFonts w:eastAsia="Times New Roman" w:cs="Times New Roman"/>
        </w:rPr>
      </w:pPr>
      <w:r w:rsidRPr="0029445E">
        <w:rPr>
          <w:b/>
        </w:rPr>
        <w:t xml:space="preserve">Table 3 </w:t>
      </w:r>
      <w:r w:rsidRPr="0029445E">
        <w:t xml:space="preserve">Patient outcomes stratified by anaemia status. Values are number (proportion) or median (IQR </w:t>
      </w:r>
      <w:r w:rsidRPr="0029445E">
        <w:rPr>
          <w:rFonts w:eastAsia="Times New Roman" w:cs="Times New Roman"/>
        </w:rPr>
        <w:t>[range]).</w:t>
      </w:r>
    </w:p>
    <w:p w14:paraId="309AC0A7" w14:textId="77777777" w:rsidR="004C4B67" w:rsidRPr="0029445E" w:rsidRDefault="004C4B67" w:rsidP="004C4B67">
      <w:pPr>
        <w:spacing w:after="0"/>
      </w:pPr>
    </w:p>
    <w:tbl>
      <w:tblPr>
        <w:tblStyle w:val="TableGrid"/>
        <w:tblW w:w="9586" w:type="dxa"/>
        <w:tblInd w:w="-176" w:type="dxa"/>
        <w:tblLook w:val="04A0" w:firstRow="1" w:lastRow="0" w:firstColumn="1" w:lastColumn="0" w:noHBand="0" w:noVBand="1"/>
      </w:tblPr>
      <w:tblGrid>
        <w:gridCol w:w="3403"/>
        <w:gridCol w:w="1875"/>
        <w:gridCol w:w="1587"/>
        <w:gridCol w:w="1587"/>
        <w:gridCol w:w="1134"/>
      </w:tblGrid>
      <w:tr w:rsidR="0029445E" w:rsidRPr="0029445E" w14:paraId="6B311D34" w14:textId="77777777" w:rsidTr="004C4B67">
        <w:trPr>
          <w:trHeight w:val="340"/>
        </w:trPr>
        <w:tc>
          <w:tcPr>
            <w:tcW w:w="3403" w:type="dxa"/>
          </w:tcPr>
          <w:p w14:paraId="3BDDA4EE" w14:textId="77777777" w:rsidR="004C4B67" w:rsidRPr="0029445E" w:rsidRDefault="004C4B67" w:rsidP="004C4B67">
            <w:pPr>
              <w:jc w:val="center"/>
            </w:pPr>
          </w:p>
        </w:tc>
        <w:tc>
          <w:tcPr>
            <w:tcW w:w="1875" w:type="dxa"/>
          </w:tcPr>
          <w:p w14:paraId="410D10C5" w14:textId="77777777" w:rsidR="004C4B67" w:rsidRPr="0029445E" w:rsidRDefault="004C4B67" w:rsidP="004C4B67">
            <w:pPr>
              <w:jc w:val="center"/>
            </w:pPr>
            <w:r w:rsidRPr="0029445E">
              <w:t>All Patients</w:t>
            </w:r>
          </w:p>
          <w:p w14:paraId="2D4930AE" w14:textId="77777777" w:rsidR="004C4B67" w:rsidRPr="0029445E" w:rsidRDefault="004C4B67" w:rsidP="004C4B67">
            <w:pPr>
              <w:jc w:val="center"/>
            </w:pPr>
            <w:r w:rsidRPr="0029445E">
              <w:t>(n=19 033)</w:t>
            </w:r>
          </w:p>
        </w:tc>
        <w:tc>
          <w:tcPr>
            <w:tcW w:w="1587" w:type="dxa"/>
          </w:tcPr>
          <w:p w14:paraId="6BDD5841" w14:textId="77777777" w:rsidR="004C4B67" w:rsidRPr="0029445E" w:rsidRDefault="004C4B67" w:rsidP="004C4B67">
            <w:pPr>
              <w:jc w:val="center"/>
            </w:pPr>
            <w:r w:rsidRPr="0029445E">
              <w:t>Anaemic</w:t>
            </w:r>
          </w:p>
          <w:p w14:paraId="258F95AC" w14:textId="77777777" w:rsidR="004C4B67" w:rsidRPr="0029445E" w:rsidRDefault="004C4B67" w:rsidP="004C4B67">
            <w:pPr>
              <w:jc w:val="center"/>
            </w:pPr>
            <w:r w:rsidRPr="0029445E">
              <w:t>(n=5895)</w:t>
            </w:r>
          </w:p>
          <w:p w14:paraId="106DBC3B" w14:textId="77777777" w:rsidR="004C4B67" w:rsidRPr="0029445E" w:rsidRDefault="004C4B67" w:rsidP="004C4B67">
            <w:pPr>
              <w:jc w:val="center"/>
            </w:pPr>
            <w:r w:rsidRPr="0029445E">
              <w:t>31.0%</w:t>
            </w:r>
          </w:p>
        </w:tc>
        <w:tc>
          <w:tcPr>
            <w:tcW w:w="1587" w:type="dxa"/>
          </w:tcPr>
          <w:p w14:paraId="5CDAE79E" w14:textId="77777777" w:rsidR="004C4B67" w:rsidRPr="0029445E" w:rsidRDefault="004C4B67" w:rsidP="004C4B67">
            <w:pPr>
              <w:jc w:val="center"/>
            </w:pPr>
            <w:r w:rsidRPr="0029445E">
              <w:t>Not Anaemic</w:t>
            </w:r>
          </w:p>
          <w:p w14:paraId="54F47D7A" w14:textId="77777777" w:rsidR="004C4B67" w:rsidRPr="0029445E" w:rsidRDefault="004C4B67" w:rsidP="004C4B67">
            <w:pPr>
              <w:jc w:val="center"/>
            </w:pPr>
            <w:r w:rsidRPr="0029445E">
              <w:t>(n=13 138)</w:t>
            </w:r>
          </w:p>
          <w:p w14:paraId="427E8C6F" w14:textId="77777777" w:rsidR="004C4B67" w:rsidRPr="0029445E" w:rsidRDefault="004C4B67" w:rsidP="004C4B67">
            <w:pPr>
              <w:jc w:val="center"/>
            </w:pPr>
            <w:r w:rsidRPr="0029445E">
              <w:t>69.0%</w:t>
            </w:r>
          </w:p>
        </w:tc>
        <w:tc>
          <w:tcPr>
            <w:tcW w:w="1134" w:type="dxa"/>
          </w:tcPr>
          <w:p w14:paraId="0BDE535F" w14:textId="77777777" w:rsidR="004C4B67" w:rsidRPr="0029445E" w:rsidRDefault="004C4B67" w:rsidP="004C4B67">
            <w:pPr>
              <w:jc w:val="center"/>
            </w:pPr>
            <w:r w:rsidRPr="0029445E">
              <w:t>p value</w:t>
            </w:r>
          </w:p>
        </w:tc>
      </w:tr>
      <w:tr w:rsidR="0029445E" w:rsidRPr="0029445E" w14:paraId="27D632E6" w14:textId="77777777" w:rsidTr="004C4B67">
        <w:trPr>
          <w:trHeight w:val="340"/>
        </w:trPr>
        <w:tc>
          <w:tcPr>
            <w:tcW w:w="3403" w:type="dxa"/>
          </w:tcPr>
          <w:p w14:paraId="563A4ED9" w14:textId="77777777" w:rsidR="004C4B67" w:rsidRPr="0029445E" w:rsidRDefault="004C4B67" w:rsidP="004C4B67">
            <w:r w:rsidRPr="0029445E">
              <w:t>Transfused red blood cells</w:t>
            </w:r>
          </w:p>
        </w:tc>
        <w:tc>
          <w:tcPr>
            <w:tcW w:w="1875" w:type="dxa"/>
          </w:tcPr>
          <w:p w14:paraId="15EFB785" w14:textId="77777777" w:rsidR="004C4B67" w:rsidRPr="0029445E" w:rsidRDefault="004C4B67" w:rsidP="004C4B67">
            <w:pPr>
              <w:jc w:val="center"/>
            </w:pPr>
            <w:r w:rsidRPr="0029445E">
              <w:t>8579</w:t>
            </w:r>
          </w:p>
          <w:p w14:paraId="2860373E" w14:textId="77777777" w:rsidR="004C4B67" w:rsidRPr="0029445E" w:rsidRDefault="004C4B67" w:rsidP="004C4B67">
            <w:pPr>
              <w:jc w:val="center"/>
            </w:pPr>
            <w:r w:rsidRPr="0029445E">
              <w:t>(45.1%)</w:t>
            </w:r>
          </w:p>
        </w:tc>
        <w:tc>
          <w:tcPr>
            <w:tcW w:w="1587" w:type="dxa"/>
          </w:tcPr>
          <w:p w14:paraId="0E341BC5" w14:textId="77777777" w:rsidR="004C4B67" w:rsidRPr="0029445E" w:rsidRDefault="004C4B67" w:rsidP="004C4B67">
            <w:pPr>
              <w:jc w:val="center"/>
            </w:pPr>
            <w:r w:rsidRPr="0029445E">
              <w:t>3764</w:t>
            </w:r>
          </w:p>
          <w:p w14:paraId="001A0AAB" w14:textId="77777777" w:rsidR="004C4B67" w:rsidRPr="0029445E" w:rsidRDefault="004C4B67" w:rsidP="004C4B67">
            <w:pPr>
              <w:jc w:val="center"/>
            </w:pPr>
            <w:r w:rsidRPr="0029445E">
              <w:t>(63.9%)</w:t>
            </w:r>
          </w:p>
        </w:tc>
        <w:tc>
          <w:tcPr>
            <w:tcW w:w="1587" w:type="dxa"/>
          </w:tcPr>
          <w:p w14:paraId="0217FB25" w14:textId="77777777" w:rsidR="004C4B67" w:rsidRPr="0029445E" w:rsidRDefault="004C4B67" w:rsidP="004C4B67">
            <w:pPr>
              <w:jc w:val="center"/>
            </w:pPr>
            <w:r w:rsidRPr="0029445E">
              <w:t>4815</w:t>
            </w:r>
          </w:p>
          <w:p w14:paraId="6D0A76AF" w14:textId="77777777" w:rsidR="004C4B67" w:rsidRPr="0029445E" w:rsidRDefault="004C4B67" w:rsidP="004C4B67">
            <w:pPr>
              <w:jc w:val="center"/>
            </w:pPr>
            <w:r w:rsidRPr="0029445E">
              <w:t>(36.6%)</w:t>
            </w:r>
          </w:p>
        </w:tc>
        <w:tc>
          <w:tcPr>
            <w:tcW w:w="1134" w:type="dxa"/>
          </w:tcPr>
          <w:p w14:paraId="45780149" w14:textId="77777777" w:rsidR="004C4B67" w:rsidRPr="0029445E" w:rsidRDefault="004C4B67" w:rsidP="004C4B67">
            <w:pPr>
              <w:jc w:val="center"/>
            </w:pPr>
            <w:r w:rsidRPr="0029445E">
              <w:t>&lt;0.001</w:t>
            </w:r>
          </w:p>
        </w:tc>
      </w:tr>
      <w:tr w:rsidR="0029445E" w:rsidRPr="0029445E" w14:paraId="5CFF3804" w14:textId="77777777" w:rsidTr="004C4B67">
        <w:trPr>
          <w:trHeight w:val="340"/>
        </w:trPr>
        <w:tc>
          <w:tcPr>
            <w:tcW w:w="3403" w:type="dxa"/>
          </w:tcPr>
          <w:p w14:paraId="5F6B722D" w14:textId="77777777" w:rsidR="004C4B67" w:rsidRPr="0029445E" w:rsidRDefault="004C4B67" w:rsidP="004C4B67">
            <w:r w:rsidRPr="0029445E">
              <w:t>Units of red blood cells transfused†</w:t>
            </w:r>
          </w:p>
        </w:tc>
        <w:tc>
          <w:tcPr>
            <w:tcW w:w="1875" w:type="dxa"/>
          </w:tcPr>
          <w:p w14:paraId="38081345" w14:textId="77777777" w:rsidR="004C4B67" w:rsidRPr="0029445E" w:rsidRDefault="004C4B67" w:rsidP="004C4B67">
            <w:pPr>
              <w:jc w:val="center"/>
            </w:pPr>
            <w:r w:rsidRPr="0029445E">
              <w:t xml:space="preserve">2 (2-4 </w:t>
            </w:r>
            <w:r w:rsidRPr="0029445E">
              <w:rPr>
                <w:rFonts w:eastAsia="Times New Roman" w:cs="Times New Roman"/>
              </w:rPr>
              <w:t>[1-78])</w:t>
            </w:r>
          </w:p>
        </w:tc>
        <w:tc>
          <w:tcPr>
            <w:tcW w:w="1587" w:type="dxa"/>
          </w:tcPr>
          <w:p w14:paraId="28D81FA0" w14:textId="77777777" w:rsidR="004C4B67" w:rsidRPr="0029445E" w:rsidRDefault="004C4B67" w:rsidP="004C4B67">
            <w:pPr>
              <w:jc w:val="center"/>
            </w:pPr>
            <w:r w:rsidRPr="0029445E">
              <w:t xml:space="preserve">3 (2-5 </w:t>
            </w:r>
            <w:r w:rsidRPr="0029445E">
              <w:rPr>
                <w:rFonts w:eastAsia="Times New Roman" w:cs="Times New Roman"/>
              </w:rPr>
              <w:t>[1-77]</w:t>
            </w:r>
            <w:r w:rsidRPr="0029445E">
              <w:t>)</w:t>
            </w:r>
          </w:p>
        </w:tc>
        <w:tc>
          <w:tcPr>
            <w:tcW w:w="1587" w:type="dxa"/>
          </w:tcPr>
          <w:p w14:paraId="064203A3" w14:textId="77777777" w:rsidR="004C4B67" w:rsidRPr="0029445E" w:rsidRDefault="004C4B67" w:rsidP="004C4B67">
            <w:pPr>
              <w:jc w:val="center"/>
            </w:pPr>
            <w:r w:rsidRPr="0029445E">
              <w:t xml:space="preserve">2 (1-4 </w:t>
            </w:r>
            <w:r w:rsidRPr="0029445E">
              <w:rPr>
                <w:rFonts w:eastAsia="Times New Roman" w:cs="Times New Roman"/>
              </w:rPr>
              <w:t>[1-78]</w:t>
            </w:r>
            <w:r w:rsidRPr="0029445E">
              <w:t>)</w:t>
            </w:r>
          </w:p>
        </w:tc>
        <w:tc>
          <w:tcPr>
            <w:tcW w:w="1134" w:type="dxa"/>
          </w:tcPr>
          <w:p w14:paraId="2D9234C5" w14:textId="77777777" w:rsidR="004C4B67" w:rsidRPr="0029445E" w:rsidRDefault="004C4B67" w:rsidP="004C4B67">
            <w:pPr>
              <w:jc w:val="center"/>
            </w:pPr>
            <w:r w:rsidRPr="0029445E">
              <w:t>&lt;0.001</w:t>
            </w:r>
          </w:p>
        </w:tc>
      </w:tr>
      <w:tr w:rsidR="0029445E" w:rsidRPr="0029445E" w14:paraId="783B05EC" w14:textId="77777777" w:rsidTr="004C4B67">
        <w:trPr>
          <w:trHeight w:val="340"/>
        </w:trPr>
        <w:tc>
          <w:tcPr>
            <w:tcW w:w="3403" w:type="dxa"/>
          </w:tcPr>
          <w:p w14:paraId="4614D21C" w14:textId="77777777" w:rsidR="004C4B67" w:rsidRPr="0029445E" w:rsidRDefault="004C4B67" w:rsidP="004C4B67">
            <w:r w:rsidRPr="0029445E">
              <w:t>Massive transfusion (5 or more units)</w:t>
            </w:r>
          </w:p>
        </w:tc>
        <w:tc>
          <w:tcPr>
            <w:tcW w:w="1875" w:type="dxa"/>
          </w:tcPr>
          <w:p w14:paraId="27CD6227" w14:textId="77777777" w:rsidR="004C4B67" w:rsidRPr="0029445E" w:rsidRDefault="004C4B67" w:rsidP="004C4B67">
            <w:pPr>
              <w:jc w:val="center"/>
            </w:pPr>
            <w:r w:rsidRPr="0029445E">
              <w:t>1933 (10.2%)</w:t>
            </w:r>
          </w:p>
        </w:tc>
        <w:tc>
          <w:tcPr>
            <w:tcW w:w="1587" w:type="dxa"/>
          </w:tcPr>
          <w:p w14:paraId="0D3B2DD0" w14:textId="77777777" w:rsidR="004C4B67" w:rsidRPr="0029445E" w:rsidRDefault="004C4B67" w:rsidP="004C4B67">
            <w:pPr>
              <w:jc w:val="center"/>
            </w:pPr>
            <w:r w:rsidRPr="0029445E">
              <w:t>1025 (17.4%)</w:t>
            </w:r>
          </w:p>
        </w:tc>
        <w:tc>
          <w:tcPr>
            <w:tcW w:w="1587" w:type="dxa"/>
          </w:tcPr>
          <w:p w14:paraId="32594E85" w14:textId="77777777" w:rsidR="004C4B67" w:rsidRPr="0029445E" w:rsidRDefault="004C4B67" w:rsidP="004C4B67">
            <w:pPr>
              <w:jc w:val="center"/>
            </w:pPr>
            <w:r w:rsidRPr="0029445E">
              <w:t>908 (6.9%)</w:t>
            </w:r>
          </w:p>
        </w:tc>
        <w:tc>
          <w:tcPr>
            <w:tcW w:w="1134" w:type="dxa"/>
          </w:tcPr>
          <w:p w14:paraId="27260282" w14:textId="77777777" w:rsidR="004C4B67" w:rsidRPr="0029445E" w:rsidRDefault="004C4B67" w:rsidP="004C4B67">
            <w:pPr>
              <w:jc w:val="center"/>
            </w:pPr>
            <w:r w:rsidRPr="0029445E">
              <w:t>&lt;0.001</w:t>
            </w:r>
          </w:p>
        </w:tc>
      </w:tr>
      <w:tr w:rsidR="0029445E" w:rsidRPr="0029445E" w14:paraId="1DC99DEF" w14:textId="77777777" w:rsidTr="004C4B67">
        <w:trPr>
          <w:trHeight w:val="340"/>
        </w:trPr>
        <w:tc>
          <w:tcPr>
            <w:tcW w:w="3403" w:type="dxa"/>
          </w:tcPr>
          <w:p w14:paraId="0B5F20A1" w14:textId="77777777" w:rsidR="004C4B67" w:rsidRPr="0029445E" w:rsidRDefault="004C4B67" w:rsidP="004C4B67">
            <w:r w:rsidRPr="0029445E">
              <w:t>ICU length of stay; days</w:t>
            </w:r>
          </w:p>
        </w:tc>
        <w:tc>
          <w:tcPr>
            <w:tcW w:w="1875" w:type="dxa"/>
          </w:tcPr>
          <w:p w14:paraId="5B73778F" w14:textId="77777777" w:rsidR="004C4B67" w:rsidRPr="0029445E" w:rsidRDefault="004C4B67" w:rsidP="004C4B67">
            <w:pPr>
              <w:jc w:val="center"/>
            </w:pPr>
            <w:r w:rsidRPr="0029445E">
              <w:t>2 (1-3</w:t>
            </w:r>
            <w:r w:rsidRPr="0029445E">
              <w:rPr>
                <w:rFonts w:eastAsia="Times New Roman" w:cs="Times New Roman"/>
              </w:rPr>
              <w:t>[0-373]</w:t>
            </w:r>
            <w:r w:rsidRPr="0029445E">
              <w:t>)</w:t>
            </w:r>
          </w:p>
        </w:tc>
        <w:tc>
          <w:tcPr>
            <w:tcW w:w="1587" w:type="dxa"/>
          </w:tcPr>
          <w:p w14:paraId="77BE9631" w14:textId="77777777" w:rsidR="004C4B67" w:rsidRPr="0029445E" w:rsidRDefault="004C4B67" w:rsidP="004C4B67">
            <w:pPr>
              <w:jc w:val="center"/>
            </w:pPr>
            <w:r w:rsidRPr="0029445E">
              <w:t xml:space="preserve">2 (1-4 </w:t>
            </w:r>
            <w:r w:rsidRPr="0029445E">
              <w:rPr>
                <w:rFonts w:eastAsia="Times New Roman" w:cs="Times New Roman"/>
              </w:rPr>
              <w:t>[0-373]</w:t>
            </w:r>
            <w:r w:rsidRPr="0029445E">
              <w:t>)</w:t>
            </w:r>
          </w:p>
        </w:tc>
        <w:tc>
          <w:tcPr>
            <w:tcW w:w="1587" w:type="dxa"/>
          </w:tcPr>
          <w:p w14:paraId="6594CF8F" w14:textId="77777777" w:rsidR="004C4B67" w:rsidRPr="0029445E" w:rsidRDefault="004C4B67" w:rsidP="004C4B67">
            <w:pPr>
              <w:jc w:val="center"/>
            </w:pPr>
            <w:r w:rsidRPr="0029445E">
              <w:t xml:space="preserve">2 (0-4 </w:t>
            </w:r>
            <w:r w:rsidRPr="0029445E">
              <w:rPr>
                <w:rFonts w:eastAsia="Times New Roman" w:cs="Times New Roman"/>
              </w:rPr>
              <w:t>[0-368]</w:t>
            </w:r>
            <w:r w:rsidRPr="0029445E">
              <w:t>)</w:t>
            </w:r>
          </w:p>
        </w:tc>
        <w:tc>
          <w:tcPr>
            <w:tcW w:w="1134" w:type="dxa"/>
          </w:tcPr>
          <w:p w14:paraId="18EB813C" w14:textId="77777777" w:rsidR="004C4B67" w:rsidRPr="0029445E" w:rsidRDefault="004C4B67" w:rsidP="004C4B67">
            <w:pPr>
              <w:jc w:val="center"/>
            </w:pPr>
            <w:r w:rsidRPr="0029445E">
              <w:t>&lt;0.001</w:t>
            </w:r>
          </w:p>
        </w:tc>
      </w:tr>
      <w:tr w:rsidR="0029445E" w:rsidRPr="0029445E" w14:paraId="0669AD71" w14:textId="77777777" w:rsidTr="004C4B67">
        <w:trPr>
          <w:trHeight w:val="340"/>
        </w:trPr>
        <w:tc>
          <w:tcPr>
            <w:tcW w:w="3403" w:type="dxa"/>
          </w:tcPr>
          <w:p w14:paraId="5ABCAA12" w14:textId="77777777" w:rsidR="004C4B67" w:rsidRPr="0029445E" w:rsidRDefault="004C4B67" w:rsidP="004C4B67">
            <w:r w:rsidRPr="0029445E">
              <w:t>Hospital length of stay; days</w:t>
            </w:r>
          </w:p>
        </w:tc>
        <w:tc>
          <w:tcPr>
            <w:tcW w:w="1875" w:type="dxa"/>
          </w:tcPr>
          <w:p w14:paraId="12D562FD" w14:textId="77777777" w:rsidR="004C4B67" w:rsidRPr="0029445E" w:rsidRDefault="004C4B67" w:rsidP="004C4B67">
            <w:pPr>
              <w:jc w:val="center"/>
            </w:pPr>
            <w:r w:rsidRPr="0029445E">
              <w:t>7(5-10</w:t>
            </w:r>
            <w:r w:rsidRPr="0029445E">
              <w:rPr>
                <w:rFonts w:eastAsia="Times New Roman" w:cs="Times New Roman"/>
              </w:rPr>
              <w:t>[0-370]</w:t>
            </w:r>
            <w:r w:rsidRPr="0029445E">
              <w:t>)</w:t>
            </w:r>
          </w:p>
        </w:tc>
        <w:tc>
          <w:tcPr>
            <w:tcW w:w="1587" w:type="dxa"/>
          </w:tcPr>
          <w:p w14:paraId="1F432D59" w14:textId="77777777" w:rsidR="004C4B67" w:rsidRPr="0029445E" w:rsidRDefault="004C4B67" w:rsidP="004C4B67">
            <w:pPr>
              <w:jc w:val="center"/>
            </w:pPr>
            <w:r w:rsidRPr="0029445E">
              <w:t>8 (6-14</w:t>
            </w:r>
            <w:r w:rsidRPr="0029445E">
              <w:rPr>
                <w:rFonts w:eastAsia="Times New Roman" w:cs="Times New Roman"/>
              </w:rPr>
              <w:t>[0-190]</w:t>
            </w:r>
            <w:r w:rsidRPr="0029445E">
              <w:t>)</w:t>
            </w:r>
          </w:p>
        </w:tc>
        <w:tc>
          <w:tcPr>
            <w:tcW w:w="1587" w:type="dxa"/>
          </w:tcPr>
          <w:p w14:paraId="6F2F73F7" w14:textId="77777777" w:rsidR="004C4B67" w:rsidRPr="0029445E" w:rsidRDefault="004C4B67" w:rsidP="004C4B67">
            <w:pPr>
              <w:jc w:val="center"/>
            </w:pPr>
            <w:r w:rsidRPr="0029445E">
              <w:t>6 (5-9</w:t>
            </w:r>
            <w:r w:rsidRPr="0029445E">
              <w:rPr>
                <w:rFonts w:eastAsia="Times New Roman" w:cs="Times New Roman"/>
              </w:rPr>
              <w:t>[0-370</w:t>
            </w:r>
            <w:r w:rsidRPr="0029445E">
              <w:t>)</w:t>
            </w:r>
          </w:p>
        </w:tc>
        <w:tc>
          <w:tcPr>
            <w:tcW w:w="1134" w:type="dxa"/>
          </w:tcPr>
          <w:p w14:paraId="0A80B342" w14:textId="77777777" w:rsidR="004C4B67" w:rsidRPr="0029445E" w:rsidRDefault="004C4B67" w:rsidP="004C4B67">
            <w:pPr>
              <w:jc w:val="center"/>
            </w:pPr>
            <w:r w:rsidRPr="0029445E">
              <w:t>&lt;0.001</w:t>
            </w:r>
          </w:p>
        </w:tc>
      </w:tr>
      <w:tr w:rsidR="0029445E" w:rsidRPr="0029445E" w14:paraId="075BE09E" w14:textId="77777777" w:rsidTr="004C4B67">
        <w:trPr>
          <w:trHeight w:val="340"/>
        </w:trPr>
        <w:tc>
          <w:tcPr>
            <w:tcW w:w="3403" w:type="dxa"/>
          </w:tcPr>
          <w:p w14:paraId="1F2F7FF3" w14:textId="77777777" w:rsidR="004C4B67" w:rsidRPr="0029445E" w:rsidRDefault="004C4B67" w:rsidP="004C4B67">
            <w:r w:rsidRPr="0029445E">
              <w:t>In-hospital mortality</w:t>
            </w:r>
          </w:p>
        </w:tc>
        <w:tc>
          <w:tcPr>
            <w:tcW w:w="1875" w:type="dxa"/>
          </w:tcPr>
          <w:p w14:paraId="7C4C5415" w14:textId="77777777" w:rsidR="004C4B67" w:rsidRPr="0029445E" w:rsidRDefault="004C4B67" w:rsidP="004C4B67">
            <w:pPr>
              <w:jc w:val="center"/>
            </w:pPr>
            <w:r w:rsidRPr="0029445E">
              <w:t>628 (3.3%)</w:t>
            </w:r>
          </w:p>
        </w:tc>
        <w:tc>
          <w:tcPr>
            <w:tcW w:w="1587" w:type="dxa"/>
          </w:tcPr>
          <w:p w14:paraId="17429C6C" w14:textId="77777777" w:rsidR="004C4B67" w:rsidRPr="0029445E" w:rsidRDefault="004C4B67" w:rsidP="004C4B67">
            <w:pPr>
              <w:jc w:val="center"/>
            </w:pPr>
            <w:r w:rsidRPr="0029445E">
              <w:t>327 (5.6%)</w:t>
            </w:r>
          </w:p>
        </w:tc>
        <w:tc>
          <w:tcPr>
            <w:tcW w:w="1587" w:type="dxa"/>
          </w:tcPr>
          <w:p w14:paraId="71779933" w14:textId="77777777" w:rsidR="004C4B67" w:rsidRPr="0029445E" w:rsidRDefault="004C4B67" w:rsidP="004C4B67">
            <w:pPr>
              <w:jc w:val="center"/>
            </w:pPr>
            <w:r w:rsidRPr="0029445E">
              <w:t>301 (2.3%)</w:t>
            </w:r>
          </w:p>
        </w:tc>
        <w:tc>
          <w:tcPr>
            <w:tcW w:w="1134" w:type="dxa"/>
          </w:tcPr>
          <w:p w14:paraId="143D1BB0" w14:textId="77777777" w:rsidR="004C4B67" w:rsidRPr="0029445E" w:rsidRDefault="004C4B67" w:rsidP="004C4B67">
            <w:pPr>
              <w:jc w:val="center"/>
            </w:pPr>
            <w:r w:rsidRPr="0029445E">
              <w:t>&lt;0.001</w:t>
            </w:r>
          </w:p>
        </w:tc>
      </w:tr>
    </w:tbl>
    <w:p w14:paraId="6AC4D148" w14:textId="77777777" w:rsidR="004C4B67" w:rsidRPr="0029445E" w:rsidRDefault="004C4B67" w:rsidP="004C4B67">
      <w:pPr>
        <w:spacing w:after="0" w:line="240" w:lineRule="auto"/>
      </w:pPr>
      <w:r w:rsidRPr="0029445E">
        <w:t>†restricted to those who received a transfusion</w:t>
      </w:r>
    </w:p>
    <w:p w14:paraId="1B9DA6BA" w14:textId="77777777" w:rsidR="004C4B67" w:rsidRPr="0029445E" w:rsidRDefault="004C4B67" w:rsidP="004C4B67">
      <w:pPr>
        <w:rPr>
          <w:rFonts w:cs="Times New Roman"/>
        </w:rPr>
      </w:pPr>
    </w:p>
    <w:p w14:paraId="0A11F2E2" w14:textId="77777777" w:rsidR="004C4B67" w:rsidRPr="0029445E" w:rsidRDefault="004C4B67" w:rsidP="004C4B67">
      <w:pPr>
        <w:rPr>
          <w:rFonts w:cs="Times New Roman"/>
        </w:rPr>
      </w:pPr>
    </w:p>
    <w:p w14:paraId="6A1DDA9E" w14:textId="10AEBABE" w:rsidR="00506923" w:rsidRPr="0029445E" w:rsidRDefault="0080157D">
      <w:pPr>
        <w:rPr>
          <w:rFonts w:cs="Times New Roman"/>
        </w:rPr>
      </w:pPr>
      <w:r w:rsidRPr="0029445E">
        <w:rPr>
          <w:rFonts w:cs="Times New Roman"/>
        </w:rPr>
        <w:br w:type="page"/>
      </w:r>
    </w:p>
    <w:p w14:paraId="4AAC7C45" w14:textId="4D05947A" w:rsidR="0080157D" w:rsidRPr="0029445E" w:rsidRDefault="0080157D">
      <w:pPr>
        <w:rPr>
          <w:rFonts w:cs="Times New Roman"/>
        </w:rPr>
      </w:pPr>
    </w:p>
    <w:p w14:paraId="1C0AB290" w14:textId="14A4E4E8" w:rsidR="003D6557" w:rsidRPr="0029445E" w:rsidRDefault="003D6557" w:rsidP="003D6557">
      <w:pPr>
        <w:rPr>
          <w:rFonts w:eastAsia="Times New Roman" w:cs="Times New Roman"/>
        </w:rPr>
      </w:pPr>
      <w:r w:rsidRPr="0029445E">
        <w:rPr>
          <w:rFonts w:cs="Times New Roman"/>
          <w:b/>
        </w:rPr>
        <w:t>Table 4</w:t>
      </w:r>
      <w:r w:rsidRPr="0029445E">
        <w:rPr>
          <w:rFonts w:cs="Times New Roman"/>
        </w:rPr>
        <w:t xml:space="preserve"> Association of anaemia and haemoglobin concentration (Hb) with outcome, adjusted for age, sex, logistic EuroSCORE, centre, operation type and body surface area</w:t>
      </w:r>
      <w:r w:rsidR="00AF4706" w:rsidRPr="0029445E">
        <w:rPr>
          <w:rFonts w:cs="Times New Roman"/>
        </w:rPr>
        <w:t>; length of stay additionally adjusted for hypertension</w:t>
      </w:r>
      <w:r w:rsidR="00826AE9" w:rsidRPr="0029445E">
        <w:rPr>
          <w:rFonts w:cs="Times New Roman"/>
        </w:rPr>
        <w:t>.</w:t>
      </w:r>
    </w:p>
    <w:p w14:paraId="746C1D7F" w14:textId="77777777" w:rsidR="003D6557" w:rsidRPr="0029445E" w:rsidRDefault="003D6557" w:rsidP="00EE2A95">
      <w:pPr>
        <w:spacing w:after="0" w:line="480" w:lineRule="auto"/>
        <w:rPr>
          <w:rFonts w:cs="Times New Roman"/>
        </w:rPr>
      </w:pPr>
    </w:p>
    <w:tbl>
      <w:tblPr>
        <w:tblStyle w:val="TableGrid"/>
        <w:tblW w:w="9506" w:type="dxa"/>
        <w:tblInd w:w="108" w:type="dxa"/>
        <w:tblLayout w:type="fixed"/>
        <w:tblLook w:val="0000" w:firstRow="0" w:lastRow="0" w:firstColumn="0" w:lastColumn="0" w:noHBand="0" w:noVBand="0"/>
      </w:tblPr>
      <w:tblGrid>
        <w:gridCol w:w="1701"/>
        <w:gridCol w:w="1701"/>
        <w:gridCol w:w="851"/>
        <w:gridCol w:w="1701"/>
        <w:gridCol w:w="850"/>
        <w:gridCol w:w="1730"/>
        <w:gridCol w:w="972"/>
      </w:tblGrid>
      <w:tr w:rsidR="0029445E" w:rsidRPr="0029445E" w14:paraId="5B7B2829" w14:textId="77777777" w:rsidTr="00826AE9">
        <w:trPr>
          <w:trHeight w:val="370"/>
        </w:trPr>
        <w:tc>
          <w:tcPr>
            <w:tcW w:w="1701" w:type="dxa"/>
          </w:tcPr>
          <w:p w14:paraId="14696615" w14:textId="77777777" w:rsidR="003D6557" w:rsidRPr="0029445E" w:rsidRDefault="003D6557" w:rsidP="003D6557">
            <w:pPr>
              <w:widowControl w:val="0"/>
              <w:autoSpaceDE w:val="0"/>
              <w:autoSpaceDN w:val="0"/>
              <w:adjustRightInd w:val="0"/>
              <w:rPr>
                <w:rFonts w:cs="Calibri"/>
                <w:lang w:val="en-US"/>
              </w:rPr>
            </w:pPr>
          </w:p>
        </w:tc>
        <w:tc>
          <w:tcPr>
            <w:tcW w:w="2552" w:type="dxa"/>
            <w:gridSpan w:val="2"/>
          </w:tcPr>
          <w:p w14:paraId="2A7DED66" w14:textId="77777777" w:rsidR="003D6557" w:rsidRPr="0029445E" w:rsidRDefault="003D6557" w:rsidP="003D6557">
            <w:pPr>
              <w:widowControl w:val="0"/>
              <w:autoSpaceDE w:val="0"/>
              <w:autoSpaceDN w:val="0"/>
              <w:adjustRightInd w:val="0"/>
              <w:jc w:val="center"/>
              <w:rPr>
                <w:rFonts w:cs="Calibri"/>
                <w:b/>
                <w:bCs/>
                <w:lang w:val="en-US"/>
              </w:rPr>
            </w:pPr>
            <w:r w:rsidRPr="0029445E">
              <w:rPr>
                <w:rFonts w:cs="Calibri"/>
                <w:b/>
                <w:bCs/>
                <w:lang w:val="en-US"/>
              </w:rPr>
              <w:t>Transfusion</w:t>
            </w:r>
          </w:p>
        </w:tc>
        <w:tc>
          <w:tcPr>
            <w:tcW w:w="2551" w:type="dxa"/>
            <w:gridSpan w:val="2"/>
          </w:tcPr>
          <w:p w14:paraId="3C093D9E" w14:textId="77777777" w:rsidR="003D6557" w:rsidRPr="0029445E" w:rsidRDefault="003D6557" w:rsidP="003D6557">
            <w:pPr>
              <w:widowControl w:val="0"/>
              <w:autoSpaceDE w:val="0"/>
              <w:autoSpaceDN w:val="0"/>
              <w:adjustRightInd w:val="0"/>
              <w:jc w:val="center"/>
              <w:rPr>
                <w:rFonts w:cs="Calibri"/>
                <w:b/>
                <w:bCs/>
                <w:lang w:val="en-US"/>
              </w:rPr>
            </w:pPr>
            <w:r w:rsidRPr="0029445E">
              <w:rPr>
                <w:rFonts w:cs="Calibri"/>
                <w:b/>
                <w:bCs/>
                <w:lang w:val="en-US"/>
              </w:rPr>
              <w:t>Death</w:t>
            </w:r>
          </w:p>
        </w:tc>
        <w:tc>
          <w:tcPr>
            <w:tcW w:w="2702" w:type="dxa"/>
            <w:gridSpan w:val="2"/>
          </w:tcPr>
          <w:p w14:paraId="498DAEE3" w14:textId="77777777" w:rsidR="003D6557" w:rsidRPr="0029445E" w:rsidRDefault="003D6557" w:rsidP="003D6557">
            <w:pPr>
              <w:widowControl w:val="0"/>
              <w:autoSpaceDE w:val="0"/>
              <w:autoSpaceDN w:val="0"/>
              <w:adjustRightInd w:val="0"/>
              <w:jc w:val="center"/>
              <w:rPr>
                <w:rFonts w:cs="Calibri"/>
                <w:lang w:val="en-US"/>
              </w:rPr>
            </w:pPr>
            <w:r w:rsidRPr="0029445E">
              <w:rPr>
                <w:rFonts w:cs="Calibri"/>
                <w:b/>
                <w:bCs/>
                <w:lang w:val="en-US"/>
              </w:rPr>
              <w:t>Length of stay</w:t>
            </w:r>
          </w:p>
        </w:tc>
      </w:tr>
      <w:tr w:rsidR="0029445E" w:rsidRPr="0029445E" w14:paraId="08E1F9A6" w14:textId="77777777" w:rsidTr="00826AE9">
        <w:trPr>
          <w:trHeight w:val="638"/>
        </w:trPr>
        <w:tc>
          <w:tcPr>
            <w:tcW w:w="1701" w:type="dxa"/>
          </w:tcPr>
          <w:p w14:paraId="1EC083BD" w14:textId="77777777" w:rsidR="003D6557" w:rsidRPr="0029445E" w:rsidRDefault="003D6557" w:rsidP="003D6557">
            <w:pPr>
              <w:widowControl w:val="0"/>
              <w:autoSpaceDE w:val="0"/>
              <w:autoSpaceDN w:val="0"/>
              <w:adjustRightInd w:val="0"/>
              <w:jc w:val="right"/>
              <w:rPr>
                <w:rFonts w:cs="Calibri"/>
                <w:lang w:val="en-US"/>
              </w:rPr>
            </w:pPr>
          </w:p>
        </w:tc>
        <w:tc>
          <w:tcPr>
            <w:tcW w:w="1701" w:type="dxa"/>
          </w:tcPr>
          <w:p w14:paraId="5A8AB124" w14:textId="77777777" w:rsidR="003D6557" w:rsidRPr="0029445E" w:rsidRDefault="003D6557" w:rsidP="003D6557">
            <w:pPr>
              <w:widowControl w:val="0"/>
              <w:autoSpaceDE w:val="0"/>
              <w:autoSpaceDN w:val="0"/>
              <w:adjustRightInd w:val="0"/>
              <w:jc w:val="center"/>
              <w:rPr>
                <w:rFonts w:cs="Calibri"/>
                <w:b/>
                <w:bCs/>
                <w:lang w:val="en-US"/>
              </w:rPr>
            </w:pPr>
            <w:r w:rsidRPr="0029445E">
              <w:rPr>
                <w:rFonts w:cs="Calibri"/>
                <w:b/>
                <w:bCs/>
                <w:lang w:val="en-US"/>
              </w:rPr>
              <w:t>Adjusted OR [95% CI]</w:t>
            </w:r>
          </w:p>
        </w:tc>
        <w:tc>
          <w:tcPr>
            <w:tcW w:w="851" w:type="dxa"/>
          </w:tcPr>
          <w:p w14:paraId="15BA96DC" w14:textId="77777777" w:rsidR="003D6557" w:rsidRPr="0029445E" w:rsidRDefault="003D6557" w:rsidP="003D6557">
            <w:pPr>
              <w:widowControl w:val="0"/>
              <w:autoSpaceDE w:val="0"/>
              <w:autoSpaceDN w:val="0"/>
              <w:adjustRightInd w:val="0"/>
              <w:rPr>
                <w:rFonts w:cs="Calibri"/>
                <w:b/>
                <w:bCs/>
                <w:lang w:val="en-US"/>
              </w:rPr>
            </w:pPr>
            <w:r w:rsidRPr="0029445E">
              <w:rPr>
                <w:rFonts w:cs="Calibri"/>
                <w:b/>
                <w:bCs/>
                <w:lang w:val="en-US"/>
              </w:rPr>
              <w:t>p value</w:t>
            </w:r>
          </w:p>
        </w:tc>
        <w:tc>
          <w:tcPr>
            <w:tcW w:w="1701" w:type="dxa"/>
          </w:tcPr>
          <w:p w14:paraId="323A352A" w14:textId="77777777" w:rsidR="003D6557" w:rsidRPr="0029445E" w:rsidRDefault="003D6557" w:rsidP="003D6557">
            <w:pPr>
              <w:widowControl w:val="0"/>
              <w:autoSpaceDE w:val="0"/>
              <w:autoSpaceDN w:val="0"/>
              <w:adjustRightInd w:val="0"/>
              <w:jc w:val="center"/>
              <w:rPr>
                <w:rFonts w:cs="Calibri"/>
                <w:b/>
                <w:bCs/>
                <w:lang w:val="en-US"/>
              </w:rPr>
            </w:pPr>
            <w:r w:rsidRPr="0029445E">
              <w:rPr>
                <w:rFonts w:cs="Calibri"/>
                <w:b/>
                <w:bCs/>
                <w:lang w:val="en-US"/>
              </w:rPr>
              <w:t>Adjusted OR [95% CI]</w:t>
            </w:r>
          </w:p>
        </w:tc>
        <w:tc>
          <w:tcPr>
            <w:tcW w:w="850" w:type="dxa"/>
          </w:tcPr>
          <w:p w14:paraId="7E164B6B" w14:textId="77777777" w:rsidR="003D6557" w:rsidRPr="0029445E" w:rsidRDefault="003D6557" w:rsidP="003D6557">
            <w:pPr>
              <w:widowControl w:val="0"/>
              <w:autoSpaceDE w:val="0"/>
              <w:autoSpaceDN w:val="0"/>
              <w:adjustRightInd w:val="0"/>
              <w:rPr>
                <w:rFonts w:cs="Calibri"/>
                <w:b/>
                <w:bCs/>
                <w:lang w:val="en-US"/>
              </w:rPr>
            </w:pPr>
            <w:r w:rsidRPr="0029445E">
              <w:rPr>
                <w:rFonts w:cs="Calibri"/>
                <w:b/>
                <w:bCs/>
                <w:lang w:val="en-US"/>
              </w:rPr>
              <w:t>p value</w:t>
            </w:r>
          </w:p>
        </w:tc>
        <w:tc>
          <w:tcPr>
            <w:tcW w:w="1730" w:type="dxa"/>
          </w:tcPr>
          <w:p w14:paraId="38584CCB" w14:textId="77777777" w:rsidR="003D6557" w:rsidRPr="0029445E" w:rsidRDefault="003D6557" w:rsidP="003D6557">
            <w:pPr>
              <w:widowControl w:val="0"/>
              <w:autoSpaceDE w:val="0"/>
              <w:autoSpaceDN w:val="0"/>
              <w:adjustRightInd w:val="0"/>
              <w:jc w:val="center"/>
              <w:rPr>
                <w:rFonts w:cs="Calibri"/>
                <w:b/>
                <w:bCs/>
                <w:lang w:val="en-US"/>
              </w:rPr>
            </w:pPr>
            <w:r w:rsidRPr="0029445E">
              <w:rPr>
                <w:rFonts w:cs="Calibri"/>
                <w:b/>
                <w:bCs/>
                <w:lang w:val="en-US"/>
              </w:rPr>
              <w:t>Adjusted GMR [95% CI]</w:t>
            </w:r>
          </w:p>
        </w:tc>
        <w:tc>
          <w:tcPr>
            <w:tcW w:w="972" w:type="dxa"/>
          </w:tcPr>
          <w:p w14:paraId="2E86EA94" w14:textId="77777777" w:rsidR="003D6557" w:rsidRPr="0029445E" w:rsidRDefault="003D6557" w:rsidP="003D6557">
            <w:pPr>
              <w:widowControl w:val="0"/>
              <w:autoSpaceDE w:val="0"/>
              <w:autoSpaceDN w:val="0"/>
              <w:adjustRightInd w:val="0"/>
              <w:rPr>
                <w:rFonts w:cs="Calibri"/>
                <w:b/>
                <w:bCs/>
                <w:lang w:val="en-US"/>
              </w:rPr>
            </w:pPr>
            <w:r w:rsidRPr="0029445E">
              <w:rPr>
                <w:rFonts w:cs="Calibri"/>
                <w:b/>
                <w:bCs/>
                <w:lang w:val="en-US"/>
              </w:rPr>
              <w:t>p value</w:t>
            </w:r>
          </w:p>
        </w:tc>
      </w:tr>
      <w:tr w:rsidR="0029445E" w:rsidRPr="0029445E" w14:paraId="12E563F8" w14:textId="77777777" w:rsidTr="00826AE9">
        <w:trPr>
          <w:trHeight w:val="278"/>
        </w:trPr>
        <w:tc>
          <w:tcPr>
            <w:tcW w:w="1701" w:type="dxa"/>
          </w:tcPr>
          <w:p w14:paraId="60330C86" w14:textId="77777777" w:rsidR="003D6557" w:rsidRPr="0029445E" w:rsidRDefault="003D6557" w:rsidP="003D6557">
            <w:pPr>
              <w:widowControl w:val="0"/>
              <w:autoSpaceDE w:val="0"/>
              <w:autoSpaceDN w:val="0"/>
              <w:adjustRightInd w:val="0"/>
              <w:rPr>
                <w:rFonts w:cs="Calibri"/>
                <w:b/>
                <w:bCs/>
                <w:lang w:val="en-US"/>
              </w:rPr>
            </w:pPr>
            <w:r w:rsidRPr="0029445E">
              <w:rPr>
                <w:rFonts w:cs="Calibri"/>
                <w:b/>
                <w:bCs/>
                <w:lang w:val="en-US"/>
              </w:rPr>
              <w:t>Anaemia</w:t>
            </w:r>
          </w:p>
        </w:tc>
        <w:tc>
          <w:tcPr>
            <w:tcW w:w="1701" w:type="dxa"/>
          </w:tcPr>
          <w:p w14:paraId="21746BDD"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2.75 [2.55-2.95]</w:t>
            </w:r>
          </w:p>
        </w:tc>
        <w:tc>
          <w:tcPr>
            <w:tcW w:w="851" w:type="dxa"/>
          </w:tcPr>
          <w:p w14:paraId="0A5AC871"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&lt;0.001</w:t>
            </w:r>
          </w:p>
        </w:tc>
        <w:tc>
          <w:tcPr>
            <w:tcW w:w="1701" w:type="dxa"/>
          </w:tcPr>
          <w:p w14:paraId="57C851A5"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1.42 [1.18-1.71]</w:t>
            </w:r>
          </w:p>
        </w:tc>
        <w:tc>
          <w:tcPr>
            <w:tcW w:w="850" w:type="dxa"/>
          </w:tcPr>
          <w:p w14:paraId="3AF1026E"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&lt;0.001</w:t>
            </w:r>
          </w:p>
        </w:tc>
        <w:tc>
          <w:tcPr>
            <w:tcW w:w="1730" w:type="dxa"/>
          </w:tcPr>
          <w:p w14:paraId="4AF7077C"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1.15 [1.13-1.17]</w:t>
            </w:r>
          </w:p>
        </w:tc>
        <w:tc>
          <w:tcPr>
            <w:tcW w:w="972" w:type="dxa"/>
          </w:tcPr>
          <w:p w14:paraId="01E6EB81"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&lt;0.001</w:t>
            </w:r>
          </w:p>
        </w:tc>
      </w:tr>
      <w:tr w:rsidR="0029445E" w:rsidRPr="0029445E" w14:paraId="3490E365" w14:textId="77777777" w:rsidTr="00826AE9">
        <w:trPr>
          <w:trHeight w:val="278"/>
        </w:trPr>
        <w:tc>
          <w:tcPr>
            <w:tcW w:w="1701" w:type="dxa"/>
          </w:tcPr>
          <w:p w14:paraId="0538EC1A" w14:textId="77777777" w:rsidR="003D6557" w:rsidRPr="0029445E" w:rsidRDefault="003D6557" w:rsidP="003D6557">
            <w:pPr>
              <w:widowControl w:val="0"/>
              <w:autoSpaceDE w:val="0"/>
              <w:autoSpaceDN w:val="0"/>
              <w:adjustRightInd w:val="0"/>
              <w:rPr>
                <w:rFonts w:cs="Calibri"/>
                <w:lang w:val="en-US"/>
              </w:rPr>
            </w:pPr>
            <w:r w:rsidRPr="0029445E">
              <w:rPr>
                <w:rFonts w:cs="Calibri"/>
                <w:b/>
                <w:bCs/>
                <w:lang w:val="en-US"/>
              </w:rPr>
              <w:t>Hb</w:t>
            </w:r>
            <w:r w:rsidRPr="0029445E">
              <w:rPr>
                <w:rFonts w:cs="Calibri"/>
                <w:lang w:val="en-US"/>
              </w:rPr>
              <w:t xml:space="preserve"> (per 10 g.l</w:t>
            </w:r>
            <w:r w:rsidRPr="0029445E">
              <w:rPr>
                <w:rFonts w:cs="Calibri"/>
                <w:vertAlign w:val="superscript"/>
                <w:lang w:val="en-US"/>
              </w:rPr>
              <w:t>-1</w:t>
            </w:r>
            <w:r w:rsidRPr="0029445E">
              <w:rPr>
                <w:rFonts w:cs="Calibri"/>
                <w:lang w:val="en-US"/>
              </w:rPr>
              <w:t xml:space="preserve"> decrease)</w:t>
            </w:r>
          </w:p>
        </w:tc>
        <w:tc>
          <w:tcPr>
            <w:tcW w:w="1701" w:type="dxa"/>
          </w:tcPr>
          <w:p w14:paraId="73C6651A"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1.43 [1.40-1.46]</w:t>
            </w:r>
          </w:p>
        </w:tc>
        <w:tc>
          <w:tcPr>
            <w:tcW w:w="851" w:type="dxa"/>
          </w:tcPr>
          <w:p w14:paraId="1D219779"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&lt;0.001</w:t>
            </w:r>
          </w:p>
        </w:tc>
        <w:tc>
          <w:tcPr>
            <w:tcW w:w="1701" w:type="dxa"/>
          </w:tcPr>
          <w:p w14:paraId="2CBCCEB5"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1.16 [1.10-1.22]</w:t>
            </w:r>
          </w:p>
        </w:tc>
        <w:tc>
          <w:tcPr>
            <w:tcW w:w="850" w:type="dxa"/>
          </w:tcPr>
          <w:p w14:paraId="6252AFBF"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&lt;0.001</w:t>
            </w:r>
          </w:p>
        </w:tc>
        <w:tc>
          <w:tcPr>
            <w:tcW w:w="1730" w:type="dxa"/>
          </w:tcPr>
          <w:p w14:paraId="192D22DB"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1.04 [1.04-1.05]</w:t>
            </w:r>
          </w:p>
        </w:tc>
        <w:tc>
          <w:tcPr>
            <w:tcW w:w="972" w:type="dxa"/>
          </w:tcPr>
          <w:p w14:paraId="739EF7AF"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&lt;0.001</w:t>
            </w:r>
          </w:p>
        </w:tc>
      </w:tr>
      <w:tr w:rsidR="0029445E" w:rsidRPr="0029445E" w14:paraId="21603657" w14:textId="77777777" w:rsidTr="00826AE9">
        <w:trPr>
          <w:trHeight w:val="278"/>
        </w:trPr>
        <w:tc>
          <w:tcPr>
            <w:tcW w:w="1701" w:type="dxa"/>
          </w:tcPr>
          <w:p w14:paraId="3570660B" w14:textId="77777777" w:rsidR="003D6557" w:rsidRPr="0029445E" w:rsidRDefault="003D6557" w:rsidP="003D6557">
            <w:pPr>
              <w:widowControl w:val="0"/>
              <w:autoSpaceDE w:val="0"/>
              <w:autoSpaceDN w:val="0"/>
              <w:adjustRightInd w:val="0"/>
              <w:rPr>
                <w:rFonts w:cs="Calibri"/>
                <w:lang w:val="en-US"/>
              </w:rPr>
            </w:pPr>
            <w:r w:rsidRPr="0029445E">
              <w:rPr>
                <w:rFonts w:cs="Calibri"/>
                <w:b/>
                <w:bCs/>
                <w:lang w:val="en-US"/>
              </w:rPr>
              <w:t>Hb</w:t>
            </w:r>
            <w:r w:rsidRPr="0029445E">
              <w:rPr>
                <w:rFonts w:cs="Calibri"/>
                <w:lang w:val="en-US"/>
              </w:rPr>
              <w:t xml:space="preserve"> (g.l</w:t>
            </w:r>
            <w:r w:rsidRPr="0029445E">
              <w:rPr>
                <w:rFonts w:cs="Calibri"/>
                <w:vertAlign w:val="superscript"/>
                <w:lang w:val="en-US"/>
              </w:rPr>
              <w:t>-1</w:t>
            </w:r>
            <w:r w:rsidRPr="0029445E">
              <w:rPr>
                <w:rFonts w:cs="Calibri"/>
                <w:lang w:val="en-US"/>
              </w:rPr>
              <w:t>)</w:t>
            </w:r>
          </w:p>
        </w:tc>
        <w:tc>
          <w:tcPr>
            <w:tcW w:w="7805" w:type="dxa"/>
            <w:gridSpan w:val="6"/>
          </w:tcPr>
          <w:p w14:paraId="3407915C" w14:textId="77777777" w:rsidR="003D6557" w:rsidRPr="0029445E" w:rsidRDefault="003D6557" w:rsidP="003D6557">
            <w:pPr>
              <w:widowControl w:val="0"/>
              <w:autoSpaceDE w:val="0"/>
              <w:autoSpaceDN w:val="0"/>
              <w:adjustRightInd w:val="0"/>
              <w:jc w:val="center"/>
              <w:rPr>
                <w:rFonts w:cs="Calibri"/>
                <w:lang w:val="en-US"/>
              </w:rPr>
            </w:pPr>
          </w:p>
        </w:tc>
      </w:tr>
      <w:tr w:rsidR="0029445E" w:rsidRPr="0029445E" w14:paraId="38F476CB" w14:textId="77777777" w:rsidTr="00826AE9">
        <w:trPr>
          <w:trHeight w:val="278"/>
        </w:trPr>
        <w:tc>
          <w:tcPr>
            <w:tcW w:w="1701" w:type="dxa"/>
          </w:tcPr>
          <w:p w14:paraId="031158C3" w14:textId="016333A2" w:rsidR="003D6557" w:rsidRPr="0029445E" w:rsidRDefault="003D6557" w:rsidP="003D6557">
            <w:pPr>
              <w:widowControl w:val="0"/>
              <w:autoSpaceDE w:val="0"/>
              <w:autoSpaceDN w:val="0"/>
              <w:adjustRightInd w:val="0"/>
              <w:rPr>
                <w:rFonts w:cs="Calibri"/>
                <w:lang w:val="en-US"/>
              </w:rPr>
            </w:pPr>
            <w:r w:rsidRPr="0029445E">
              <w:rPr>
                <w:rFonts w:cs="Calibri"/>
                <w:lang w:val="en-US"/>
              </w:rPr>
              <w:t>&lt;110</w:t>
            </w:r>
          </w:p>
        </w:tc>
        <w:tc>
          <w:tcPr>
            <w:tcW w:w="1701" w:type="dxa"/>
          </w:tcPr>
          <w:p w14:paraId="4B86EA4F" w14:textId="6FD28B07" w:rsidR="003D6557" w:rsidRPr="0029445E" w:rsidRDefault="003D6557" w:rsidP="003D6557">
            <w:pPr>
              <w:widowControl w:val="0"/>
              <w:autoSpaceDE w:val="0"/>
              <w:autoSpaceDN w:val="0"/>
              <w:adjustRightInd w:val="0"/>
              <w:rPr>
                <w:rFonts w:cs="Calibri"/>
                <w:lang w:val="en-US"/>
              </w:rPr>
            </w:pPr>
            <w:r w:rsidRPr="0029445E">
              <w:rPr>
                <w:rFonts w:cs="Calibri"/>
                <w:lang w:val="en-US"/>
              </w:rPr>
              <w:t>3.63 [3.18-4.15]</w:t>
            </w:r>
          </w:p>
        </w:tc>
        <w:tc>
          <w:tcPr>
            <w:tcW w:w="851" w:type="dxa"/>
            <w:vMerge w:val="restart"/>
          </w:tcPr>
          <w:p w14:paraId="11D7BEC2"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&lt;0.001</w:t>
            </w:r>
          </w:p>
        </w:tc>
        <w:tc>
          <w:tcPr>
            <w:tcW w:w="1701" w:type="dxa"/>
          </w:tcPr>
          <w:p w14:paraId="1CBDCBBB"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1.60 [1.21-2.11]</w:t>
            </w:r>
          </w:p>
        </w:tc>
        <w:tc>
          <w:tcPr>
            <w:tcW w:w="850" w:type="dxa"/>
            <w:vMerge w:val="restart"/>
          </w:tcPr>
          <w:p w14:paraId="383D81B4"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&lt;0.001</w:t>
            </w:r>
          </w:p>
        </w:tc>
        <w:tc>
          <w:tcPr>
            <w:tcW w:w="1730" w:type="dxa"/>
          </w:tcPr>
          <w:p w14:paraId="2AA595C8"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1.23 [1.19-1.27]</w:t>
            </w:r>
          </w:p>
        </w:tc>
        <w:tc>
          <w:tcPr>
            <w:tcW w:w="972" w:type="dxa"/>
            <w:vMerge w:val="restart"/>
          </w:tcPr>
          <w:p w14:paraId="2D6FE6C2"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&lt;0.001</w:t>
            </w:r>
          </w:p>
        </w:tc>
      </w:tr>
      <w:tr w:rsidR="0029445E" w:rsidRPr="0029445E" w14:paraId="631AD8DE" w14:textId="77777777" w:rsidTr="00826AE9">
        <w:trPr>
          <w:trHeight w:val="278"/>
        </w:trPr>
        <w:tc>
          <w:tcPr>
            <w:tcW w:w="1701" w:type="dxa"/>
          </w:tcPr>
          <w:p w14:paraId="157E2D2E" w14:textId="0FFE49EB" w:rsidR="003D6557" w:rsidRPr="0029445E" w:rsidRDefault="003D6557" w:rsidP="00EB45D3">
            <w:pPr>
              <w:widowControl w:val="0"/>
              <w:autoSpaceDE w:val="0"/>
              <w:autoSpaceDN w:val="0"/>
              <w:adjustRightInd w:val="0"/>
              <w:rPr>
                <w:rFonts w:cs="Calibri"/>
                <w:lang w:val="en-US"/>
              </w:rPr>
            </w:pPr>
            <w:r w:rsidRPr="0029445E">
              <w:rPr>
                <w:rFonts w:cs="Calibri"/>
                <w:lang w:val="en-US"/>
              </w:rPr>
              <w:t xml:space="preserve">110 </w:t>
            </w:r>
            <w:r w:rsidR="00826AE9" w:rsidRPr="0029445E">
              <w:rPr>
                <w:rFonts w:cs="Calibri"/>
                <w:lang w:val="en-US"/>
              </w:rPr>
              <w:t>–</w:t>
            </w:r>
            <w:r w:rsidRPr="0029445E">
              <w:rPr>
                <w:rFonts w:cs="Calibri"/>
                <w:lang w:val="en-US"/>
              </w:rPr>
              <w:t xml:space="preserve"> 1</w:t>
            </w:r>
            <w:r w:rsidR="00EB45D3" w:rsidRPr="0029445E">
              <w:rPr>
                <w:rFonts w:cs="Calibri"/>
                <w:lang w:val="en-US"/>
              </w:rPr>
              <w:t>19</w:t>
            </w:r>
          </w:p>
        </w:tc>
        <w:tc>
          <w:tcPr>
            <w:tcW w:w="1701" w:type="dxa"/>
          </w:tcPr>
          <w:p w14:paraId="2497F29D"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2.49 [2.20-2.82]</w:t>
            </w:r>
          </w:p>
        </w:tc>
        <w:tc>
          <w:tcPr>
            <w:tcW w:w="851" w:type="dxa"/>
            <w:vMerge/>
          </w:tcPr>
          <w:p w14:paraId="74432DA6" w14:textId="77777777" w:rsidR="003D6557" w:rsidRPr="0029445E" w:rsidRDefault="003D6557" w:rsidP="003D6557">
            <w:pPr>
              <w:widowControl w:val="0"/>
              <w:autoSpaceDE w:val="0"/>
              <w:autoSpaceDN w:val="0"/>
              <w:adjustRightInd w:val="0"/>
              <w:jc w:val="right"/>
              <w:rPr>
                <w:rFonts w:cs="Calibri"/>
                <w:lang w:val="en-US"/>
              </w:rPr>
            </w:pPr>
          </w:p>
        </w:tc>
        <w:tc>
          <w:tcPr>
            <w:tcW w:w="1701" w:type="dxa"/>
          </w:tcPr>
          <w:p w14:paraId="503B377C"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1.01 [0.74-1.38]</w:t>
            </w:r>
          </w:p>
        </w:tc>
        <w:tc>
          <w:tcPr>
            <w:tcW w:w="850" w:type="dxa"/>
            <w:vMerge/>
          </w:tcPr>
          <w:p w14:paraId="0ACC6565" w14:textId="77777777" w:rsidR="003D6557" w:rsidRPr="0029445E" w:rsidRDefault="003D6557" w:rsidP="003D6557">
            <w:pPr>
              <w:widowControl w:val="0"/>
              <w:autoSpaceDE w:val="0"/>
              <w:autoSpaceDN w:val="0"/>
              <w:adjustRightInd w:val="0"/>
              <w:jc w:val="right"/>
              <w:rPr>
                <w:rFonts w:cs="Calibri"/>
                <w:lang w:val="en-US"/>
              </w:rPr>
            </w:pPr>
          </w:p>
        </w:tc>
        <w:tc>
          <w:tcPr>
            <w:tcW w:w="1730" w:type="dxa"/>
          </w:tcPr>
          <w:p w14:paraId="5E5A82E5"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1.15 [1.11-1.18]</w:t>
            </w:r>
          </w:p>
        </w:tc>
        <w:tc>
          <w:tcPr>
            <w:tcW w:w="972" w:type="dxa"/>
            <w:vMerge/>
          </w:tcPr>
          <w:p w14:paraId="515C75AA" w14:textId="77777777" w:rsidR="003D6557" w:rsidRPr="0029445E" w:rsidRDefault="003D6557" w:rsidP="003D6557">
            <w:pPr>
              <w:widowControl w:val="0"/>
              <w:autoSpaceDE w:val="0"/>
              <w:autoSpaceDN w:val="0"/>
              <w:adjustRightInd w:val="0"/>
              <w:jc w:val="right"/>
              <w:rPr>
                <w:rFonts w:cs="Calibri"/>
                <w:lang w:val="en-US"/>
              </w:rPr>
            </w:pPr>
          </w:p>
        </w:tc>
      </w:tr>
      <w:tr w:rsidR="0029445E" w:rsidRPr="0029445E" w14:paraId="422BBB33" w14:textId="77777777" w:rsidTr="00826AE9">
        <w:trPr>
          <w:trHeight w:val="278"/>
        </w:trPr>
        <w:tc>
          <w:tcPr>
            <w:tcW w:w="1701" w:type="dxa"/>
          </w:tcPr>
          <w:p w14:paraId="17FE9BE3" w14:textId="7A2B612D" w:rsidR="003D6557" w:rsidRPr="0029445E" w:rsidRDefault="003D6557" w:rsidP="00EB45D3">
            <w:pPr>
              <w:widowControl w:val="0"/>
              <w:autoSpaceDE w:val="0"/>
              <w:autoSpaceDN w:val="0"/>
              <w:adjustRightInd w:val="0"/>
              <w:rPr>
                <w:rFonts w:cs="Calibri"/>
                <w:lang w:val="en-US"/>
              </w:rPr>
            </w:pPr>
            <w:r w:rsidRPr="0029445E">
              <w:rPr>
                <w:rFonts w:cs="Calibri"/>
                <w:lang w:val="en-US"/>
              </w:rPr>
              <w:t xml:space="preserve">120 </w:t>
            </w:r>
            <w:r w:rsidR="00826AE9" w:rsidRPr="0029445E">
              <w:rPr>
                <w:rFonts w:cs="Calibri"/>
                <w:lang w:val="en-US"/>
              </w:rPr>
              <w:t>–</w:t>
            </w:r>
            <w:r w:rsidRPr="0029445E">
              <w:rPr>
                <w:rFonts w:cs="Calibri"/>
                <w:lang w:val="en-US"/>
              </w:rPr>
              <w:t xml:space="preserve"> 1</w:t>
            </w:r>
            <w:r w:rsidR="00EB45D3" w:rsidRPr="0029445E">
              <w:rPr>
                <w:rFonts w:cs="Calibri"/>
                <w:lang w:val="en-US"/>
              </w:rPr>
              <w:t>29</w:t>
            </w:r>
          </w:p>
        </w:tc>
        <w:tc>
          <w:tcPr>
            <w:tcW w:w="1701" w:type="dxa"/>
          </w:tcPr>
          <w:p w14:paraId="1DAF01C6"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1.70 [1.54-1.88]</w:t>
            </w:r>
          </w:p>
        </w:tc>
        <w:tc>
          <w:tcPr>
            <w:tcW w:w="851" w:type="dxa"/>
            <w:vMerge/>
          </w:tcPr>
          <w:p w14:paraId="5DE3C625" w14:textId="77777777" w:rsidR="003D6557" w:rsidRPr="0029445E" w:rsidRDefault="003D6557" w:rsidP="003D6557">
            <w:pPr>
              <w:widowControl w:val="0"/>
              <w:autoSpaceDE w:val="0"/>
              <w:autoSpaceDN w:val="0"/>
              <w:adjustRightInd w:val="0"/>
              <w:jc w:val="right"/>
              <w:rPr>
                <w:rFonts w:cs="Calibri"/>
                <w:lang w:val="en-US"/>
              </w:rPr>
            </w:pPr>
          </w:p>
        </w:tc>
        <w:tc>
          <w:tcPr>
            <w:tcW w:w="1701" w:type="dxa"/>
          </w:tcPr>
          <w:p w14:paraId="063562A5"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1.07 [0.82-1.40]</w:t>
            </w:r>
          </w:p>
        </w:tc>
        <w:tc>
          <w:tcPr>
            <w:tcW w:w="850" w:type="dxa"/>
            <w:vMerge/>
          </w:tcPr>
          <w:p w14:paraId="49160851" w14:textId="77777777" w:rsidR="003D6557" w:rsidRPr="0029445E" w:rsidRDefault="003D6557" w:rsidP="003D6557">
            <w:pPr>
              <w:widowControl w:val="0"/>
              <w:autoSpaceDE w:val="0"/>
              <w:autoSpaceDN w:val="0"/>
              <w:adjustRightInd w:val="0"/>
              <w:jc w:val="right"/>
              <w:rPr>
                <w:rFonts w:cs="Calibri"/>
                <w:lang w:val="en-US"/>
              </w:rPr>
            </w:pPr>
          </w:p>
        </w:tc>
        <w:tc>
          <w:tcPr>
            <w:tcW w:w="1730" w:type="dxa"/>
          </w:tcPr>
          <w:p w14:paraId="6D49E3FD"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1.05 [1.03-1.08]</w:t>
            </w:r>
          </w:p>
        </w:tc>
        <w:tc>
          <w:tcPr>
            <w:tcW w:w="972" w:type="dxa"/>
            <w:vMerge/>
          </w:tcPr>
          <w:p w14:paraId="46BC5593" w14:textId="77777777" w:rsidR="003D6557" w:rsidRPr="0029445E" w:rsidRDefault="003D6557" w:rsidP="003D6557">
            <w:pPr>
              <w:widowControl w:val="0"/>
              <w:autoSpaceDE w:val="0"/>
              <w:autoSpaceDN w:val="0"/>
              <w:adjustRightInd w:val="0"/>
              <w:jc w:val="right"/>
              <w:rPr>
                <w:rFonts w:cs="Calibri"/>
                <w:lang w:val="en-US"/>
              </w:rPr>
            </w:pPr>
          </w:p>
        </w:tc>
      </w:tr>
      <w:tr w:rsidR="0029445E" w:rsidRPr="0029445E" w14:paraId="118C5228" w14:textId="77777777" w:rsidTr="00826AE9">
        <w:trPr>
          <w:trHeight w:val="278"/>
        </w:trPr>
        <w:tc>
          <w:tcPr>
            <w:tcW w:w="1701" w:type="dxa"/>
          </w:tcPr>
          <w:p w14:paraId="22B9625B" w14:textId="1C8E2818" w:rsidR="003D6557" w:rsidRPr="0029445E" w:rsidRDefault="003D6557" w:rsidP="00EB45D3">
            <w:pPr>
              <w:widowControl w:val="0"/>
              <w:autoSpaceDE w:val="0"/>
              <w:autoSpaceDN w:val="0"/>
              <w:adjustRightInd w:val="0"/>
              <w:rPr>
                <w:rFonts w:cs="Calibri"/>
                <w:lang w:val="en-US"/>
              </w:rPr>
            </w:pPr>
            <w:r w:rsidRPr="0029445E">
              <w:rPr>
                <w:rFonts w:cs="Calibri"/>
                <w:lang w:val="en-US"/>
              </w:rPr>
              <w:t xml:space="preserve">130 </w:t>
            </w:r>
            <w:r w:rsidR="00826AE9" w:rsidRPr="0029445E">
              <w:rPr>
                <w:rFonts w:cs="Calibri"/>
                <w:lang w:val="en-US"/>
              </w:rPr>
              <w:t>–</w:t>
            </w:r>
            <w:r w:rsidRPr="0029445E">
              <w:rPr>
                <w:rFonts w:cs="Calibri"/>
                <w:lang w:val="en-US"/>
              </w:rPr>
              <w:t xml:space="preserve"> 1</w:t>
            </w:r>
            <w:r w:rsidR="00EB45D3" w:rsidRPr="0029445E">
              <w:rPr>
                <w:rFonts w:cs="Calibri"/>
                <w:lang w:val="en-US"/>
              </w:rPr>
              <w:t>39</w:t>
            </w:r>
          </w:p>
        </w:tc>
        <w:tc>
          <w:tcPr>
            <w:tcW w:w="1701" w:type="dxa"/>
          </w:tcPr>
          <w:p w14:paraId="3CFEF3D5"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Ref</w:t>
            </w:r>
          </w:p>
          <w:p w14:paraId="1BDD03C1"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 xml:space="preserve"> </w:t>
            </w:r>
          </w:p>
        </w:tc>
        <w:tc>
          <w:tcPr>
            <w:tcW w:w="851" w:type="dxa"/>
            <w:vMerge/>
          </w:tcPr>
          <w:p w14:paraId="08E5C0A2" w14:textId="77777777" w:rsidR="003D6557" w:rsidRPr="0029445E" w:rsidRDefault="003D6557" w:rsidP="003D6557">
            <w:pPr>
              <w:widowControl w:val="0"/>
              <w:autoSpaceDE w:val="0"/>
              <w:autoSpaceDN w:val="0"/>
              <w:adjustRightInd w:val="0"/>
              <w:jc w:val="right"/>
              <w:rPr>
                <w:rFonts w:cs="Calibri"/>
                <w:lang w:val="en-US"/>
              </w:rPr>
            </w:pPr>
          </w:p>
        </w:tc>
        <w:tc>
          <w:tcPr>
            <w:tcW w:w="1701" w:type="dxa"/>
          </w:tcPr>
          <w:p w14:paraId="711BBF32"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Ref</w:t>
            </w:r>
          </w:p>
        </w:tc>
        <w:tc>
          <w:tcPr>
            <w:tcW w:w="850" w:type="dxa"/>
            <w:vMerge/>
          </w:tcPr>
          <w:p w14:paraId="5082D1C8" w14:textId="77777777" w:rsidR="003D6557" w:rsidRPr="0029445E" w:rsidRDefault="003D6557" w:rsidP="003D6557">
            <w:pPr>
              <w:widowControl w:val="0"/>
              <w:autoSpaceDE w:val="0"/>
              <w:autoSpaceDN w:val="0"/>
              <w:adjustRightInd w:val="0"/>
              <w:jc w:val="right"/>
              <w:rPr>
                <w:rFonts w:cs="Calibri"/>
                <w:lang w:val="en-US"/>
              </w:rPr>
            </w:pPr>
          </w:p>
        </w:tc>
        <w:tc>
          <w:tcPr>
            <w:tcW w:w="1730" w:type="dxa"/>
          </w:tcPr>
          <w:p w14:paraId="45B6BFCC"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Ref</w:t>
            </w:r>
          </w:p>
        </w:tc>
        <w:tc>
          <w:tcPr>
            <w:tcW w:w="972" w:type="dxa"/>
            <w:vMerge/>
          </w:tcPr>
          <w:p w14:paraId="0EE8BC4B" w14:textId="77777777" w:rsidR="003D6557" w:rsidRPr="0029445E" w:rsidRDefault="003D6557" w:rsidP="003D6557">
            <w:pPr>
              <w:widowControl w:val="0"/>
              <w:autoSpaceDE w:val="0"/>
              <w:autoSpaceDN w:val="0"/>
              <w:adjustRightInd w:val="0"/>
              <w:jc w:val="right"/>
              <w:rPr>
                <w:rFonts w:cs="Calibri"/>
                <w:lang w:val="en-US"/>
              </w:rPr>
            </w:pPr>
          </w:p>
        </w:tc>
      </w:tr>
      <w:tr w:rsidR="0029445E" w:rsidRPr="0029445E" w14:paraId="0592C6F4" w14:textId="77777777" w:rsidTr="00826AE9">
        <w:trPr>
          <w:trHeight w:val="278"/>
        </w:trPr>
        <w:tc>
          <w:tcPr>
            <w:tcW w:w="1701" w:type="dxa"/>
          </w:tcPr>
          <w:p w14:paraId="4F3871E4" w14:textId="0752A32E" w:rsidR="003D6557" w:rsidRPr="0029445E" w:rsidRDefault="003D6557" w:rsidP="00EB45D3">
            <w:pPr>
              <w:widowControl w:val="0"/>
              <w:autoSpaceDE w:val="0"/>
              <w:autoSpaceDN w:val="0"/>
              <w:adjustRightInd w:val="0"/>
              <w:rPr>
                <w:rFonts w:cs="Calibri"/>
                <w:lang w:val="en-US"/>
              </w:rPr>
            </w:pPr>
            <w:r w:rsidRPr="0029445E">
              <w:rPr>
                <w:rFonts w:cs="Calibri"/>
                <w:lang w:val="en-US"/>
              </w:rPr>
              <w:t xml:space="preserve">140 </w:t>
            </w:r>
            <w:r w:rsidR="00EB45D3" w:rsidRPr="0029445E">
              <w:rPr>
                <w:rFonts w:cs="Calibri"/>
                <w:lang w:val="en-US"/>
              </w:rPr>
              <w:t>–</w:t>
            </w:r>
            <w:r w:rsidRPr="0029445E">
              <w:rPr>
                <w:rFonts w:cs="Calibri"/>
                <w:lang w:val="en-US"/>
              </w:rPr>
              <w:t xml:space="preserve"> 1</w:t>
            </w:r>
            <w:r w:rsidR="00EB45D3" w:rsidRPr="0029445E">
              <w:rPr>
                <w:rFonts w:cs="Calibri"/>
                <w:lang w:val="en-US"/>
              </w:rPr>
              <w:t>49</w:t>
            </w:r>
          </w:p>
        </w:tc>
        <w:tc>
          <w:tcPr>
            <w:tcW w:w="1701" w:type="dxa"/>
          </w:tcPr>
          <w:p w14:paraId="43761BDC"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0.80 [0.73-0.88]</w:t>
            </w:r>
          </w:p>
        </w:tc>
        <w:tc>
          <w:tcPr>
            <w:tcW w:w="851" w:type="dxa"/>
            <w:vMerge/>
          </w:tcPr>
          <w:p w14:paraId="25178D35" w14:textId="77777777" w:rsidR="003D6557" w:rsidRPr="0029445E" w:rsidRDefault="003D6557" w:rsidP="003D6557">
            <w:pPr>
              <w:widowControl w:val="0"/>
              <w:autoSpaceDE w:val="0"/>
              <w:autoSpaceDN w:val="0"/>
              <w:adjustRightInd w:val="0"/>
              <w:jc w:val="right"/>
              <w:rPr>
                <w:rFonts w:cs="Calibri"/>
                <w:lang w:val="en-US"/>
              </w:rPr>
            </w:pPr>
          </w:p>
        </w:tc>
        <w:tc>
          <w:tcPr>
            <w:tcW w:w="1701" w:type="dxa"/>
          </w:tcPr>
          <w:p w14:paraId="1390EC45"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0.64 [0.46-0.88]</w:t>
            </w:r>
          </w:p>
        </w:tc>
        <w:tc>
          <w:tcPr>
            <w:tcW w:w="850" w:type="dxa"/>
            <w:vMerge/>
          </w:tcPr>
          <w:p w14:paraId="39C4C784" w14:textId="77777777" w:rsidR="003D6557" w:rsidRPr="0029445E" w:rsidRDefault="003D6557" w:rsidP="003D6557">
            <w:pPr>
              <w:widowControl w:val="0"/>
              <w:autoSpaceDE w:val="0"/>
              <w:autoSpaceDN w:val="0"/>
              <w:adjustRightInd w:val="0"/>
              <w:jc w:val="right"/>
              <w:rPr>
                <w:rFonts w:cs="Calibri"/>
                <w:lang w:val="en-US"/>
              </w:rPr>
            </w:pPr>
          </w:p>
        </w:tc>
        <w:tc>
          <w:tcPr>
            <w:tcW w:w="1730" w:type="dxa"/>
          </w:tcPr>
          <w:p w14:paraId="4D26F27C"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0.97 [0.94-0.99]</w:t>
            </w:r>
          </w:p>
        </w:tc>
        <w:tc>
          <w:tcPr>
            <w:tcW w:w="972" w:type="dxa"/>
            <w:vMerge/>
          </w:tcPr>
          <w:p w14:paraId="6A316F96" w14:textId="77777777" w:rsidR="003D6557" w:rsidRPr="0029445E" w:rsidRDefault="003D6557" w:rsidP="003D6557">
            <w:pPr>
              <w:widowControl w:val="0"/>
              <w:autoSpaceDE w:val="0"/>
              <w:autoSpaceDN w:val="0"/>
              <w:adjustRightInd w:val="0"/>
              <w:jc w:val="right"/>
              <w:rPr>
                <w:rFonts w:cs="Calibri"/>
                <w:lang w:val="en-US"/>
              </w:rPr>
            </w:pPr>
          </w:p>
        </w:tc>
      </w:tr>
      <w:tr w:rsidR="003D6557" w:rsidRPr="0029445E" w14:paraId="158BCA8D" w14:textId="77777777" w:rsidTr="00826AE9">
        <w:trPr>
          <w:trHeight w:val="278"/>
        </w:trPr>
        <w:tc>
          <w:tcPr>
            <w:tcW w:w="1701" w:type="dxa"/>
          </w:tcPr>
          <w:p w14:paraId="6AE742F9" w14:textId="084ABE55" w:rsidR="003D6557" w:rsidRPr="0029445E" w:rsidRDefault="003D6557" w:rsidP="00EB45D3">
            <w:pPr>
              <w:widowControl w:val="0"/>
              <w:autoSpaceDE w:val="0"/>
              <w:autoSpaceDN w:val="0"/>
              <w:adjustRightInd w:val="0"/>
              <w:rPr>
                <w:rFonts w:cs="Calibri"/>
                <w:lang w:val="en-US"/>
              </w:rPr>
            </w:pPr>
            <w:r w:rsidRPr="0029445E">
              <w:rPr>
                <w:rFonts w:cs="Calibri"/>
                <w:lang w:val="en-US"/>
              </w:rPr>
              <w:t>150</w:t>
            </w:r>
            <w:r w:rsidR="00EB45D3" w:rsidRPr="0029445E">
              <w:rPr>
                <w:rFonts w:cs="Calibri"/>
                <w:lang w:val="en-US"/>
              </w:rPr>
              <w:t>+</w:t>
            </w:r>
          </w:p>
        </w:tc>
        <w:tc>
          <w:tcPr>
            <w:tcW w:w="1701" w:type="dxa"/>
          </w:tcPr>
          <w:p w14:paraId="45013D79"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0.51 [0.45-0.57]</w:t>
            </w:r>
          </w:p>
        </w:tc>
        <w:tc>
          <w:tcPr>
            <w:tcW w:w="851" w:type="dxa"/>
            <w:vMerge/>
          </w:tcPr>
          <w:p w14:paraId="5BA01DE7" w14:textId="77777777" w:rsidR="003D6557" w:rsidRPr="0029445E" w:rsidRDefault="003D6557" w:rsidP="003D6557">
            <w:pPr>
              <w:widowControl w:val="0"/>
              <w:autoSpaceDE w:val="0"/>
              <w:autoSpaceDN w:val="0"/>
              <w:adjustRightInd w:val="0"/>
              <w:jc w:val="right"/>
              <w:rPr>
                <w:rFonts w:cs="Calibri"/>
                <w:lang w:val="en-US"/>
              </w:rPr>
            </w:pPr>
          </w:p>
        </w:tc>
        <w:tc>
          <w:tcPr>
            <w:tcW w:w="1701" w:type="dxa"/>
          </w:tcPr>
          <w:p w14:paraId="28A803AE"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0.76 [0.54-1.09]</w:t>
            </w:r>
          </w:p>
        </w:tc>
        <w:tc>
          <w:tcPr>
            <w:tcW w:w="850" w:type="dxa"/>
            <w:vMerge/>
          </w:tcPr>
          <w:p w14:paraId="50A1FF1B" w14:textId="77777777" w:rsidR="003D6557" w:rsidRPr="0029445E" w:rsidRDefault="003D6557" w:rsidP="003D6557">
            <w:pPr>
              <w:widowControl w:val="0"/>
              <w:autoSpaceDE w:val="0"/>
              <w:autoSpaceDN w:val="0"/>
              <w:adjustRightInd w:val="0"/>
              <w:jc w:val="right"/>
              <w:rPr>
                <w:rFonts w:cs="Calibri"/>
                <w:lang w:val="en-US"/>
              </w:rPr>
            </w:pPr>
          </w:p>
        </w:tc>
        <w:tc>
          <w:tcPr>
            <w:tcW w:w="1730" w:type="dxa"/>
          </w:tcPr>
          <w:p w14:paraId="71C480ED" w14:textId="77777777" w:rsidR="003D6557" w:rsidRPr="0029445E" w:rsidRDefault="003D6557" w:rsidP="003D6557">
            <w:pPr>
              <w:widowControl w:val="0"/>
              <w:autoSpaceDE w:val="0"/>
              <w:autoSpaceDN w:val="0"/>
              <w:adjustRightInd w:val="0"/>
              <w:rPr>
                <w:rFonts w:cs="Calibri"/>
                <w:lang w:val="en-US"/>
              </w:rPr>
            </w:pPr>
            <w:r w:rsidRPr="0029445E">
              <w:rPr>
                <w:rFonts w:cs="Calibri"/>
                <w:lang w:val="en-US"/>
              </w:rPr>
              <w:t>0.97 [0.94-0.99]</w:t>
            </w:r>
          </w:p>
        </w:tc>
        <w:tc>
          <w:tcPr>
            <w:tcW w:w="972" w:type="dxa"/>
            <w:vMerge/>
          </w:tcPr>
          <w:p w14:paraId="1A93074D" w14:textId="77777777" w:rsidR="003D6557" w:rsidRPr="0029445E" w:rsidRDefault="003D6557" w:rsidP="003D6557">
            <w:pPr>
              <w:widowControl w:val="0"/>
              <w:autoSpaceDE w:val="0"/>
              <w:autoSpaceDN w:val="0"/>
              <w:adjustRightInd w:val="0"/>
              <w:jc w:val="right"/>
              <w:rPr>
                <w:rFonts w:cs="Calibri"/>
                <w:lang w:val="en-US"/>
              </w:rPr>
            </w:pPr>
          </w:p>
        </w:tc>
      </w:tr>
    </w:tbl>
    <w:p w14:paraId="72B4929C" w14:textId="77777777" w:rsidR="003D6557" w:rsidRPr="0029445E" w:rsidRDefault="003D6557" w:rsidP="00EE2A95">
      <w:pPr>
        <w:spacing w:after="0" w:line="480" w:lineRule="auto"/>
        <w:rPr>
          <w:rFonts w:cs="Times New Roman"/>
        </w:rPr>
      </w:pPr>
    </w:p>
    <w:p w14:paraId="47DBF8FE" w14:textId="446A4557" w:rsidR="003D6557" w:rsidRPr="0029445E" w:rsidRDefault="003D6557" w:rsidP="00EE2A95">
      <w:pPr>
        <w:spacing w:after="0" w:line="480" w:lineRule="auto"/>
        <w:rPr>
          <w:rFonts w:cs="Times New Roman"/>
        </w:rPr>
      </w:pPr>
      <w:r w:rsidRPr="0029445E">
        <w:rPr>
          <w:rFonts w:cs="Times New Roman"/>
        </w:rPr>
        <w:t>OR, odds ratio; GMR, geometric mean ratio</w:t>
      </w:r>
    </w:p>
    <w:p w14:paraId="68A8B49C" w14:textId="77777777" w:rsidR="008E1458" w:rsidRPr="0029445E" w:rsidRDefault="008E1458" w:rsidP="00EE2A95">
      <w:pPr>
        <w:spacing w:after="0" w:line="480" w:lineRule="auto"/>
        <w:rPr>
          <w:rFonts w:cs="Times New Roman"/>
        </w:rPr>
      </w:pPr>
    </w:p>
    <w:p w14:paraId="4359663B" w14:textId="77777777" w:rsidR="00A77379" w:rsidRPr="0029445E" w:rsidRDefault="0084502D" w:rsidP="00A77379">
      <w:pPr>
        <w:rPr>
          <w:rFonts w:cs="Times New Roman"/>
          <w:b/>
        </w:rPr>
      </w:pPr>
      <w:r w:rsidRPr="0029445E">
        <w:rPr>
          <w:rFonts w:cs="Times New Roman"/>
        </w:rPr>
        <w:br w:type="page"/>
      </w:r>
      <w:r w:rsidR="00A77379" w:rsidRPr="0029445E">
        <w:rPr>
          <w:rFonts w:cs="Times New Roman"/>
          <w:b/>
        </w:rPr>
        <w:t xml:space="preserve">Appendix 1 </w:t>
      </w:r>
      <w:r w:rsidR="00A77379" w:rsidRPr="0029445E">
        <w:rPr>
          <w:rFonts w:cs="Times New Roman"/>
        </w:rPr>
        <w:t>Contributors</w:t>
      </w:r>
    </w:p>
    <w:p w14:paraId="07AF8E24" w14:textId="3692DAA6" w:rsidR="00A77379" w:rsidRPr="0029445E" w:rsidRDefault="00A77379" w:rsidP="00A77379">
      <w:pPr>
        <w:rPr>
          <w:rFonts w:cs="Times New Roman"/>
        </w:rPr>
      </w:pPr>
      <w:r w:rsidRPr="0029445E">
        <w:rPr>
          <w:rFonts w:cs="Times New Roman"/>
        </w:rPr>
        <w:t>R. P. Alston, Royal Infirmary of Edinburgh, Scotland</w:t>
      </w:r>
    </w:p>
    <w:p w14:paraId="797D11D0" w14:textId="286E2A82" w:rsidR="00A77379" w:rsidRPr="0029445E" w:rsidRDefault="00A77379" w:rsidP="00A77379">
      <w:pPr>
        <w:rPr>
          <w:rFonts w:cs="Times New Roman"/>
        </w:rPr>
      </w:pPr>
      <w:r w:rsidRPr="0029445E">
        <w:rPr>
          <w:rFonts w:cs="Times New Roman"/>
        </w:rPr>
        <w:t>H. Pauli, Freeman Hospital, Newcastle</w:t>
      </w:r>
    </w:p>
    <w:p w14:paraId="26EB3287" w14:textId="36C6D405" w:rsidR="00A77379" w:rsidRPr="0029445E" w:rsidRDefault="00A77379" w:rsidP="00A77379">
      <w:pPr>
        <w:rPr>
          <w:rFonts w:cs="Times New Roman"/>
        </w:rPr>
      </w:pPr>
      <w:r w:rsidRPr="0029445E">
        <w:rPr>
          <w:rFonts w:cs="Times New Roman"/>
        </w:rPr>
        <w:t>A. Vijayan, Castle Hill Hospital, Hull</w:t>
      </w:r>
    </w:p>
    <w:p w14:paraId="3DB9843E" w14:textId="77777777" w:rsidR="00A77379" w:rsidRPr="0029445E" w:rsidRDefault="00A77379" w:rsidP="00A77379">
      <w:pPr>
        <w:rPr>
          <w:rFonts w:cs="Times New Roman"/>
        </w:rPr>
      </w:pPr>
      <w:r w:rsidRPr="0029445E">
        <w:rPr>
          <w:rFonts w:cs="Times New Roman"/>
        </w:rPr>
        <w:t>A. Pai, Essex Cardiothoracic Centre, Basildon, Essex</w:t>
      </w:r>
    </w:p>
    <w:p w14:paraId="3B5BB434" w14:textId="77777777" w:rsidR="00A77379" w:rsidRPr="0029445E" w:rsidRDefault="00A77379" w:rsidP="00A77379">
      <w:pPr>
        <w:rPr>
          <w:rFonts w:cs="Times New Roman"/>
        </w:rPr>
      </w:pPr>
      <w:r w:rsidRPr="0029445E">
        <w:rPr>
          <w:rFonts w:cs="Times New Roman"/>
        </w:rPr>
        <w:t xml:space="preserve">D. Krahne, Kings’ College Hospital, London </w:t>
      </w:r>
    </w:p>
    <w:p w14:paraId="6ECBF0EC" w14:textId="77777777" w:rsidR="00A77379" w:rsidRPr="0029445E" w:rsidRDefault="00A77379" w:rsidP="00A77379">
      <w:pPr>
        <w:rPr>
          <w:rFonts w:cs="Times New Roman"/>
        </w:rPr>
      </w:pPr>
      <w:r w:rsidRPr="0029445E">
        <w:rPr>
          <w:rFonts w:cs="Times New Roman"/>
        </w:rPr>
        <w:t xml:space="preserve">D. Glasgow, Royal Victoria Hospital, Belfast </w:t>
      </w:r>
    </w:p>
    <w:p w14:paraId="3FB41706" w14:textId="77777777" w:rsidR="00A77379" w:rsidRPr="0029445E" w:rsidRDefault="00A77379" w:rsidP="00A77379">
      <w:pPr>
        <w:rPr>
          <w:rFonts w:cs="Times New Roman"/>
        </w:rPr>
      </w:pPr>
      <w:r w:rsidRPr="0029445E">
        <w:rPr>
          <w:rFonts w:cs="Times New Roman"/>
        </w:rPr>
        <w:t>P. Fernandez Jimenez, Manchester Royal Infirmary, Manchester)</w:t>
      </w:r>
    </w:p>
    <w:p w14:paraId="7BD0BE40" w14:textId="77777777" w:rsidR="00A77379" w:rsidRPr="0029445E" w:rsidRDefault="00A77379" w:rsidP="00A77379">
      <w:pPr>
        <w:rPr>
          <w:rFonts w:cs="Times New Roman"/>
        </w:rPr>
      </w:pPr>
      <w:r w:rsidRPr="0029445E">
        <w:rPr>
          <w:rFonts w:cs="Times New Roman"/>
        </w:rPr>
        <w:t>S. Agarwal, Liverpool Heart and Chest Centre, Liverpool)</w:t>
      </w:r>
    </w:p>
    <w:p w14:paraId="3AEF86F9" w14:textId="77777777" w:rsidR="00A77379" w:rsidRPr="0029445E" w:rsidRDefault="00A77379" w:rsidP="00A77379">
      <w:pPr>
        <w:rPr>
          <w:rFonts w:cs="Times New Roman"/>
        </w:rPr>
      </w:pPr>
      <w:r w:rsidRPr="0029445E">
        <w:rPr>
          <w:rFonts w:cs="Times New Roman"/>
        </w:rPr>
        <w:t>A. Kelleher, Royal Brompton Hospital, London</w:t>
      </w:r>
    </w:p>
    <w:p w14:paraId="74ED5442" w14:textId="40ED0CA3" w:rsidR="00A77379" w:rsidRPr="0029445E" w:rsidRDefault="00A77379" w:rsidP="00A77379">
      <w:pPr>
        <w:rPr>
          <w:rFonts w:cs="Times New Roman"/>
        </w:rPr>
      </w:pPr>
      <w:r w:rsidRPr="0029445E">
        <w:rPr>
          <w:rFonts w:cs="Times New Roman"/>
        </w:rPr>
        <w:t>A. Cohen, Bristol Heart Institute, Bristol</w:t>
      </w:r>
    </w:p>
    <w:p w14:paraId="100E04C0" w14:textId="364B1F5D" w:rsidR="00A77379" w:rsidRPr="0029445E" w:rsidRDefault="00A77379" w:rsidP="00A77379">
      <w:pPr>
        <w:rPr>
          <w:rFonts w:cs="Times New Roman"/>
        </w:rPr>
      </w:pPr>
      <w:r w:rsidRPr="0029445E">
        <w:rPr>
          <w:rFonts w:cs="Times New Roman"/>
        </w:rPr>
        <w:t>N. Balani, St Thomas’ Hospital, London, UK.</w:t>
      </w:r>
    </w:p>
    <w:p w14:paraId="04D8FDB7" w14:textId="77777777" w:rsidR="00A77379" w:rsidRPr="0029445E" w:rsidRDefault="00A77379" w:rsidP="00A77379">
      <w:pPr>
        <w:spacing w:after="0" w:line="240" w:lineRule="auto"/>
        <w:rPr>
          <w:rFonts w:cs="Times New Roman"/>
        </w:rPr>
      </w:pPr>
    </w:p>
    <w:p w14:paraId="7CBB8A52" w14:textId="47AC26BA" w:rsidR="00A77379" w:rsidRPr="0029445E" w:rsidRDefault="00F961C1" w:rsidP="00A77379">
      <w:pPr>
        <w:autoSpaceDE w:val="0"/>
        <w:autoSpaceDN w:val="0"/>
        <w:adjustRightInd w:val="0"/>
        <w:spacing w:after="0" w:line="360" w:lineRule="auto"/>
        <w:rPr>
          <w:rFonts w:ascii="Arial" w:hAnsi="Arial" w:cs="Arial"/>
          <w:i/>
          <w:szCs w:val="24"/>
        </w:rPr>
      </w:pPr>
      <w:r w:rsidRPr="0029445E">
        <w:rPr>
          <w:rFonts w:ascii="Arial" w:hAnsi="Arial" w:cs="Arial"/>
          <w:i/>
          <w:szCs w:val="24"/>
          <w:highlight w:val="yellow"/>
        </w:rPr>
        <w:t>Note to typesetter: these 11</w:t>
      </w:r>
      <w:r w:rsidR="00A77379" w:rsidRPr="0029445E">
        <w:rPr>
          <w:rFonts w:ascii="Arial" w:hAnsi="Arial" w:cs="Arial"/>
          <w:i/>
          <w:szCs w:val="24"/>
          <w:highlight w:val="yellow"/>
        </w:rPr>
        <w:t xml:space="preserve"> names to be tagged to appear in PubMed as ‘Collaborators’</w:t>
      </w:r>
    </w:p>
    <w:p w14:paraId="77CD0A38" w14:textId="77777777" w:rsidR="00A77379" w:rsidRPr="0029445E" w:rsidRDefault="00A77379">
      <w:pPr>
        <w:rPr>
          <w:rFonts w:cs="Times New Roman"/>
        </w:rPr>
      </w:pPr>
    </w:p>
    <w:sectPr w:rsidR="00A77379" w:rsidRPr="0029445E" w:rsidSect="005069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7B623" w14:textId="77777777" w:rsidR="00741C46" w:rsidRDefault="00741C46" w:rsidP="0094624B">
      <w:pPr>
        <w:spacing w:after="0" w:line="240" w:lineRule="auto"/>
      </w:pPr>
      <w:r>
        <w:separator/>
      </w:r>
    </w:p>
  </w:endnote>
  <w:endnote w:type="continuationSeparator" w:id="0">
    <w:p w14:paraId="6A0392E0" w14:textId="77777777" w:rsidR="00741C46" w:rsidRDefault="00741C46" w:rsidP="0094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572AC" w14:textId="77777777" w:rsidR="00741C46" w:rsidRDefault="00741C46" w:rsidP="0094624B">
      <w:pPr>
        <w:spacing w:after="0" w:line="240" w:lineRule="auto"/>
      </w:pPr>
      <w:r>
        <w:separator/>
      </w:r>
    </w:p>
  </w:footnote>
  <w:footnote w:type="continuationSeparator" w:id="0">
    <w:p w14:paraId="10872D57" w14:textId="77777777" w:rsidR="00741C46" w:rsidRDefault="00741C46" w:rsidP="009462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75257"/>
    <w:multiLevelType w:val="hybridMultilevel"/>
    <w:tmpl w:val="2056D09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707"/>
    <w:rsid w:val="00023861"/>
    <w:rsid w:val="0002798E"/>
    <w:rsid w:val="00044D65"/>
    <w:rsid w:val="00083233"/>
    <w:rsid w:val="000C0199"/>
    <w:rsid w:val="000E32CB"/>
    <w:rsid w:val="000E5F6C"/>
    <w:rsid w:val="00110435"/>
    <w:rsid w:val="00132668"/>
    <w:rsid w:val="0014546F"/>
    <w:rsid w:val="00145600"/>
    <w:rsid w:val="00160CAA"/>
    <w:rsid w:val="00182002"/>
    <w:rsid w:val="001B32C8"/>
    <w:rsid w:val="001F0EBC"/>
    <w:rsid w:val="001F5621"/>
    <w:rsid w:val="001F633B"/>
    <w:rsid w:val="00214AE4"/>
    <w:rsid w:val="002260A1"/>
    <w:rsid w:val="00237479"/>
    <w:rsid w:val="00246C57"/>
    <w:rsid w:val="00246F9D"/>
    <w:rsid w:val="00251006"/>
    <w:rsid w:val="002615E7"/>
    <w:rsid w:val="00286F63"/>
    <w:rsid w:val="0029445E"/>
    <w:rsid w:val="002A19E9"/>
    <w:rsid w:val="002B3C1A"/>
    <w:rsid w:val="002B7438"/>
    <w:rsid w:val="002C40BF"/>
    <w:rsid w:val="002C4DAE"/>
    <w:rsid w:val="002E11D2"/>
    <w:rsid w:val="0031577D"/>
    <w:rsid w:val="00331D74"/>
    <w:rsid w:val="003513A6"/>
    <w:rsid w:val="00394F82"/>
    <w:rsid w:val="003976D1"/>
    <w:rsid w:val="003D6557"/>
    <w:rsid w:val="003F3197"/>
    <w:rsid w:val="00426B76"/>
    <w:rsid w:val="00437E5C"/>
    <w:rsid w:val="004550D4"/>
    <w:rsid w:val="0046217E"/>
    <w:rsid w:val="004815FA"/>
    <w:rsid w:val="004C4B67"/>
    <w:rsid w:val="00500BD3"/>
    <w:rsid w:val="00502716"/>
    <w:rsid w:val="00506923"/>
    <w:rsid w:val="00531A31"/>
    <w:rsid w:val="0054081C"/>
    <w:rsid w:val="005D651A"/>
    <w:rsid w:val="005E6847"/>
    <w:rsid w:val="0060050A"/>
    <w:rsid w:val="00620AE8"/>
    <w:rsid w:val="0063080C"/>
    <w:rsid w:val="00673002"/>
    <w:rsid w:val="00685ECA"/>
    <w:rsid w:val="006A26BE"/>
    <w:rsid w:val="006A3B32"/>
    <w:rsid w:val="006B26C0"/>
    <w:rsid w:val="006B331D"/>
    <w:rsid w:val="006C397F"/>
    <w:rsid w:val="006C515E"/>
    <w:rsid w:val="006E63FC"/>
    <w:rsid w:val="00707813"/>
    <w:rsid w:val="007157E0"/>
    <w:rsid w:val="00716707"/>
    <w:rsid w:val="00730A90"/>
    <w:rsid w:val="00741C46"/>
    <w:rsid w:val="007420F8"/>
    <w:rsid w:val="0076248D"/>
    <w:rsid w:val="00767754"/>
    <w:rsid w:val="00774846"/>
    <w:rsid w:val="0078715C"/>
    <w:rsid w:val="007A6034"/>
    <w:rsid w:val="007B53A4"/>
    <w:rsid w:val="007B6BDD"/>
    <w:rsid w:val="007C5777"/>
    <w:rsid w:val="007E76E2"/>
    <w:rsid w:val="007F07D9"/>
    <w:rsid w:val="0080157D"/>
    <w:rsid w:val="00803007"/>
    <w:rsid w:val="00805604"/>
    <w:rsid w:val="00820D66"/>
    <w:rsid w:val="00826AE9"/>
    <w:rsid w:val="0082798D"/>
    <w:rsid w:val="00837CF9"/>
    <w:rsid w:val="0084502D"/>
    <w:rsid w:val="0086083F"/>
    <w:rsid w:val="00874621"/>
    <w:rsid w:val="00880003"/>
    <w:rsid w:val="00882082"/>
    <w:rsid w:val="008A3311"/>
    <w:rsid w:val="008A5444"/>
    <w:rsid w:val="008E1458"/>
    <w:rsid w:val="00935509"/>
    <w:rsid w:val="00936E52"/>
    <w:rsid w:val="0094624B"/>
    <w:rsid w:val="009464B3"/>
    <w:rsid w:val="009718A7"/>
    <w:rsid w:val="00981D12"/>
    <w:rsid w:val="00993DC5"/>
    <w:rsid w:val="00996354"/>
    <w:rsid w:val="009B5AD5"/>
    <w:rsid w:val="009C454F"/>
    <w:rsid w:val="009D0D9D"/>
    <w:rsid w:val="009D7DA1"/>
    <w:rsid w:val="009E247E"/>
    <w:rsid w:val="009F1596"/>
    <w:rsid w:val="009F7636"/>
    <w:rsid w:val="00A13205"/>
    <w:rsid w:val="00A45BE7"/>
    <w:rsid w:val="00A47789"/>
    <w:rsid w:val="00A5398A"/>
    <w:rsid w:val="00A55EEA"/>
    <w:rsid w:val="00A6587E"/>
    <w:rsid w:val="00A72FF6"/>
    <w:rsid w:val="00A77379"/>
    <w:rsid w:val="00A80C31"/>
    <w:rsid w:val="00A9004F"/>
    <w:rsid w:val="00A919AC"/>
    <w:rsid w:val="00AC49CA"/>
    <w:rsid w:val="00AE2922"/>
    <w:rsid w:val="00AE6EBF"/>
    <w:rsid w:val="00AF3FB5"/>
    <w:rsid w:val="00AF4706"/>
    <w:rsid w:val="00B000E4"/>
    <w:rsid w:val="00B24B30"/>
    <w:rsid w:val="00B24BFB"/>
    <w:rsid w:val="00B35138"/>
    <w:rsid w:val="00B41F8A"/>
    <w:rsid w:val="00B76247"/>
    <w:rsid w:val="00B9324D"/>
    <w:rsid w:val="00BA4973"/>
    <w:rsid w:val="00BB0256"/>
    <w:rsid w:val="00BB501E"/>
    <w:rsid w:val="00BE2FA9"/>
    <w:rsid w:val="00C23639"/>
    <w:rsid w:val="00C67661"/>
    <w:rsid w:val="00C77687"/>
    <w:rsid w:val="00C84FA0"/>
    <w:rsid w:val="00C93603"/>
    <w:rsid w:val="00CB18F1"/>
    <w:rsid w:val="00CE6F5D"/>
    <w:rsid w:val="00D12EA5"/>
    <w:rsid w:val="00D32F32"/>
    <w:rsid w:val="00D41864"/>
    <w:rsid w:val="00D557FB"/>
    <w:rsid w:val="00D96960"/>
    <w:rsid w:val="00DB146A"/>
    <w:rsid w:val="00E06880"/>
    <w:rsid w:val="00E21FB2"/>
    <w:rsid w:val="00E23E2C"/>
    <w:rsid w:val="00E47C91"/>
    <w:rsid w:val="00E61E2B"/>
    <w:rsid w:val="00E7054B"/>
    <w:rsid w:val="00E72E18"/>
    <w:rsid w:val="00EA3382"/>
    <w:rsid w:val="00EB3326"/>
    <w:rsid w:val="00EB45D3"/>
    <w:rsid w:val="00EB6461"/>
    <w:rsid w:val="00EC3724"/>
    <w:rsid w:val="00ED0085"/>
    <w:rsid w:val="00EE0FE3"/>
    <w:rsid w:val="00EE2A95"/>
    <w:rsid w:val="00EE69D3"/>
    <w:rsid w:val="00F34E23"/>
    <w:rsid w:val="00F477DB"/>
    <w:rsid w:val="00F52779"/>
    <w:rsid w:val="00F87531"/>
    <w:rsid w:val="00F903EF"/>
    <w:rsid w:val="00F961C1"/>
    <w:rsid w:val="00FA1228"/>
    <w:rsid w:val="00FA4435"/>
    <w:rsid w:val="00FB7006"/>
    <w:rsid w:val="00FC71F3"/>
    <w:rsid w:val="00FE3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83170"/>
  <w15:docId w15:val="{728B7BBA-FBFE-4DAB-BC8D-8638A4DC2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E5F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A45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BE7"/>
    <w:rPr>
      <w:rFonts w:ascii="Tahoma" w:hAnsi="Tahoma" w:cs="Tahoma"/>
      <w:sz w:val="16"/>
      <w:szCs w:val="16"/>
    </w:rPr>
  </w:style>
  <w:style w:type="character" w:styleId="Hyperlink">
    <w:name w:val="Hyperlink"/>
    <w:basedOn w:val="DefaultParagraphFont"/>
    <w:uiPriority w:val="99"/>
    <w:unhideWhenUsed/>
    <w:rsid w:val="00145600"/>
    <w:rPr>
      <w:color w:val="0000FF" w:themeColor="hyperlink"/>
      <w:u w:val="single"/>
    </w:rPr>
  </w:style>
  <w:style w:type="character" w:styleId="CommentReference">
    <w:name w:val="annotation reference"/>
    <w:basedOn w:val="DefaultParagraphFont"/>
    <w:uiPriority w:val="99"/>
    <w:semiHidden/>
    <w:unhideWhenUsed/>
    <w:rsid w:val="008E1458"/>
    <w:rPr>
      <w:sz w:val="16"/>
      <w:szCs w:val="16"/>
    </w:rPr>
  </w:style>
  <w:style w:type="paragraph" w:styleId="CommentText">
    <w:name w:val="annotation text"/>
    <w:basedOn w:val="Normal"/>
    <w:link w:val="CommentTextChar"/>
    <w:uiPriority w:val="99"/>
    <w:semiHidden/>
    <w:unhideWhenUsed/>
    <w:rsid w:val="008E1458"/>
    <w:pPr>
      <w:spacing w:line="240" w:lineRule="auto"/>
    </w:pPr>
    <w:rPr>
      <w:sz w:val="20"/>
      <w:szCs w:val="20"/>
    </w:rPr>
  </w:style>
  <w:style w:type="character" w:customStyle="1" w:styleId="CommentTextChar">
    <w:name w:val="Comment Text Char"/>
    <w:basedOn w:val="DefaultParagraphFont"/>
    <w:link w:val="CommentText"/>
    <w:uiPriority w:val="99"/>
    <w:semiHidden/>
    <w:rsid w:val="008E1458"/>
    <w:rPr>
      <w:sz w:val="20"/>
      <w:szCs w:val="20"/>
    </w:rPr>
  </w:style>
  <w:style w:type="paragraph" w:styleId="CommentSubject">
    <w:name w:val="annotation subject"/>
    <w:basedOn w:val="CommentText"/>
    <w:next w:val="CommentText"/>
    <w:link w:val="CommentSubjectChar"/>
    <w:uiPriority w:val="99"/>
    <w:semiHidden/>
    <w:unhideWhenUsed/>
    <w:rsid w:val="008E1458"/>
    <w:rPr>
      <w:b/>
      <w:bCs/>
    </w:rPr>
  </w:style>
  <w:style w:type="character" w:customStyle="1" w:styleId="CommentSubjectChar">
    <w:name w:val="Comment Subject Char"/>
    <w:basedOn w:val="CommentTextChar"/>
    <w:link w:val="CommentSubject"/>
    <w:uiPriority w:val="99"/>
    <w:semiHidden/>
    <w:rsid w:val="008E1458"/>
    <w:rPr>
      <w:b/>
      <w:bCs/>
      <w:sz w:val="20"/>
      <w:szCs w:val="20"/>
    </w:rPr>
  </w:style>
  <w:style w:type="paragraph" w:customStyle="1" w:styleId="EndNoteBibliography">
    <w:name w:val="EndNote Bibliography"/>
    <w:basedOn w:val="Normal"/>
    <w:uiPriority w:val="99"/>
    <w:rsid w:val="009C454F"/>
    <w:pPr>
      <w:spacing w:after="0" w:line="240" w:lineRule="auto"/>
    </w:pPr>
    <w:rPr>
      <w:rFonts w:ascii="Cambria" w:eastAsia="MS ??" w:hAnsi="Cambria" w:cs="Times New Roman"/>
      <w:sz w:val="24"/>
      <w:szCs w:val="24"/>
      <w:lang w:val="en-US"/>
    </w:rPr>
  </w:style>
  <w:style w:type="paragraph" w:customStyle="1" w:styleId="Normal11">
    <w:name w:val="Normal11"/>
    <w:uiPriority w:val="99"/>
    <w:rsid w:val="009C454F"/>
    <w:pPr>
      <w:spacing w:after="0"/>
    </w:pPr>
    <w:rPr>
      <w:rFonts w:ascii="Arial" w:eastAsia="MS Mincho" w:hAnsi="Arial" w:cs="Arial"/>
      <w:color w:val="000000"/>
      <w:szCs w:val="24"/>
    </w:rPr>
  </w:style>
  <w:style w:type="paragraph" w:styleId="Header">
    <w:name w:val="header"/>
    <w:basedOn w:val="Normal"/>
    <w:link w:val="HeaderChar"/>
    <w:uiPriority w:val="99"/>
    <w:unhideWhenUsed/>
    <w:rsid w:val="009462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4624B"/>
  </w:style>
  <w:style w:type="paragraph" w:styleId="Footer">
    <w:name w:val="footer"/>
    <w:basedOn w:val="Normal"/>
    <w:link w:val="FooterChar"/>
    <w:uiPriority w:val="99"/>
    <w:unhideWhenUsed/>
    <w:rsid w:val="009462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624B"/>
  </w:style>
  <w:style w:type="paragraph" w:styleId="ListParagraph">
    <w:name w:val="List Paragraph"/>
    <w:basedOn w:val="Normal"/>
    <w:uiPriority w:val="34"/>
    <w:qFormat/>
    <w:rsid w:val="00AF4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0563">
      <w:bodyDiv w:val="1"/>
      <w:marLeft w:val="0"/>
      <w:marRight w:val="0"/>
      <w:marTop w:val="0"/>
      <w:marBottom w:val="0"/>
      <w:divBdr>
        <w:top w:val="none" w:sz="0" w:space="0" w:color="auto"/>
        <w:left w:val="none" w:sz="0" w:space="0" w:color="auto"/>
        <w:bottom w:val="none" w:sz="0" w:space="0" w:color="auto"/>
        <w:right w:val="none" w:sz="0" w:space="0" w:color="auto"/>
      </w:divBdr>
    </w:div>
    <w:div w:id="130294947">
      <w:bodyDiv w:val="1"/>
      <w:marLeft w:val="0"/>
      <w:marRight w:val="0"/>
      <w:marTop w:val="0"/>
      <w:marBottom w:val="0"/>
      <w:divBdr>
        <w:top w:val="none" w:sz="0" w:space="0" w:color="auto"/>
        <w:left w:val="none" w:sz="0" w:space="0" w:color="auto"/>
        <w:bottom w:val="none" w:sz="0" w:space="0" w:color="auto"/>
        <w:right w:val="none" w:sz="0" w:space="0" w:color="auto"/>
      </w:divBdr>
    </w:div>
    <w:div w:id="179903795">
      <w:bodyDiv w:val="1"/>
      <w:marLeft w:val="0"/>
      <w:marRight w:val="0"/>
      <w:marTop w:val="0"/>
      <w:marBottom w:val="0"/>
      <w:divBdr>
        <w:top w:val="none" w:sz="0" w:space="0" w:color="auto"/>
        <w:left w:val="none" w:sz="0" w:space="0" w:color="auto"/>
        <w:bottom w:val="none" w:sz="0" w:space="0" w:color="auto"/>
        <w:right w:val="none" w:sz="0" w:space="0" w:color="auto"/>
      </w:divBdr>
      <w:divsChild>
        <w:div w:id="566189620">
          <w:marLeft w:val="0"/>
          <w:marRight w:val="1"/>
          <w:marTop w:val="0"/>
          <w:marBottom w:val="0"/>
          <w:divBdr>
            <w:top w:val="none" w:sz="0" w:space="0" w:color="auto"/>
            <w:left w:val="none" w:sz="0" w:space="0" w:color="auto"/>
            <w:bottom w:val="none" w:sz="0" w:space="0" w:color="auto"/>
            <w:right w:val="none" w:sz="0" w:space="0" w:color="auto"/>
          </w:divBdr>
          <w:divsChild>
            <w:div w:id="464542801">
              <w:marLeft w:val="0"/>
              <w:marRight w:val="0"/>
              <w:marTop w:val="0"/>
              <w:marBottom w:val="0"/>
              <w:divBdr>
                <w:top w:val="none" w:sz="0" w:space="0" w:color="auto"/>
                <w:left w:val="none" w:sz="0" w:space="0" w:color="auto"/>
                <w:bottom w:val="none" w:sz="0" w:space="0" w:color="auto"/>
                <w:right w:val="none" w:sz="0" w:space="0" w:color="auto"/>
              </w:divBdr>
              <w:divsChild>
                <w:div w:id="721445525">
                  <w:marLeft w:val="0"/>
                  <w:marRight w:val="1"/>
                  <w:marTop w:val="0"/>
                  <w:marBottom w:val="0"/>
                  <w:divBdr>
                    <w:top w:val="none" w:sz="0" w:space="0" w:color="auto"/>
                    <w:left w:val="none" w:sz="0" w:space="0" w:color="auto"/>
                    <w:bottom w:val="none" w:sz="0" w:space="0" w:color="auto"/>
                    <w:right w:val="none" w:sz="0" w:space="0" w:color="auto"/>
                  </w:divBdr>
                  <w:divsChild>
                    <w:div w:id="319235983">
                      <w:marLeft w:val="0"/>
                      <w:marRight w:val="0"/>
                      <w:marTop w:val="0"/>
                      <w:marBottom w:val="0"/>
                      <w:divBdr>
                        <w:top w:val="none" w:sz="0" w:space="0" w:color="auto"/>
                        <w:left w:val="none" w:sz="0" w:space="0" w:color="auto"/>
                        <w:bottom w:val="none" w:sz="0" w:space="0" w:color="auto"/>
                        <w:right w:val="none" w:sz="0" w:space="0" w:color="auto"/>
                      </w:divBdr>
                      <w:divsChild>
                        <w:div w:id="708336657">
                          <w:marLeft w:val="0"/>
                          <w:marRight w:val="0"/>
                          <w:marTop w:val="0"/>
                          <w:marBottom w:val="0"/>
                          <w:divBdr>
                            <w:top w:val="none" w:sz="0" w:space="0" w:color="auto"/>
                            <w:left w:val="none" w:sz="0" w:space="0" w:color="auto"/>
                            <w:bottom w:val="none" w:sz="0" w:space="0" w:color="auto"/>
                            <w:right w:val="none" w:sz="0" w:space="0" w:color="auto"/>
                          </w:divBdr>
                          <w:divsChild>
                            <w:div w:id="1410074709">
                              <w:marLeft w:val="0"/>
                              <w:marRight w:val="0"/>
                              <w:marTop w:val="120"/>
                              <w:marBottom w:val="360"/>
                              <w:divBdr>
                                <w:top w:val="none" w:sz="0" w:space="0" w:color="auto"/>
                                <w:left w:val="none" w:sz="0" w:space="0" w:color="auto"/>
                                <w:bottom w:val="none" w:sz="0" w:space="0" w:color="auto"/>
                                <w:right w:val="none" w:sz="0" w:space="0" w:color="auto"/>
                              </w:divBdr>
                              <w:divsChild>
                                <w:div w:id="1042748500">
                                  <w:marLeft w:val="0"/>
                                  <w:marRight w:val="0"/>
                                  <w:marTop w:val="0"/>
                                  <w:marBottom w:val="0"/>
                                  <w:divBdr>
                                    <w:top w:val="none" w:sz="0" w:space="0" w:color="auto"/>
                                    <w:left w:val="none" w:sz="0" w:space="0" w:color="auto"/>
                                    <w:bottom w:val="none" w:sz="0" w:space="0" w:color="auto"/>
                                    <w:right w:val="none" w:sz="0" w:space="0" w:color="auto"/>
                                  </w:divBdr>
                                </w:div>
                                <w:div w:id="16086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225910">
      <w:bodyDiv w:val="1"/>
      <w:marLeft w:val="0"/>
      <w:marRight w:val="0"/>
      <w:marTop w:val="0"/>
      <w:marBottom w:val="0"/>
      <w:divBdr>
        <w:top w:val="none" w:sz="0" w:space="0" w:color="auto"/>
        <w:left w:val="none" w:sz="0" w:space="0" w:color="auto"/>
        <w:bottom w:val="none" w:sz="0" w:space="0" w:color="auto"/>
        <w:right w:val="none" w:sz="0" w:space="0" w:color="auto"/>
      </w:divBdr>
    </w:div>
    <w:div w:id="307325974">
      <w:bodyDiv w:val="1"/>
      <w:marLeft w:val="0"/>
      <w:marRight w:val="0"/>
      <w:marTop w:val="0"/>
      <w:marBottom w:val="0"/>
      <w:divBdr>
        <w:top w:val="none" w:sz="0" w:space="0" w:color="auto"/>
        <w:left w:val="none" w:sz="0" w:space="0" w:color="auto"/>
        <w:bottom w:val="none" w:sz="0" w:space="0" w:color="auto"/>
        <w:right w:val="none" w:sz="0" w:space="0" w:color="auto"/>
      </w:divBdr>
    </w:div>
    <w:div w:id="401634873">
      <w:bodyDiv w:val="1"/>
      <w:marLeft w:val="0"/>
      <w:marRight w:val="0"/>
      <w:marTop w:val="0"/>
      <w:marBottom w:val="0"/>
      <w:divBdr>
        <w:top w:val="none" w:sz="0" w:space="0" w:color="auto"/>
        <w:left w:val="none" w:sz="0" w:space="0" w:color="auto"/>
        <w:bottom w:val="none" w:sz="0" w:space="0" w:color="auto"/>
        <w:right w:val="none" w:sz="0" w:space="0" w:color="auto"/>
      </w:divBdr>
    </w:div>
    <w:div w:id="406460171">
      <w:bodyDiv w:val="1"/>
      <w:marLeft w:val="0"/>
      <w:marRight w:val="0"/>
      <w:marTop w:val="0"/>
      <w:marBottom w:val="0"/>
      <w:divBdr>
        <w:top w:val="none" w:sz="0" w:space="0" w:color="auto"/>
        <w:left w:val="none" w:sz="0" w:space="0" w:color="auto"/>
        <w:bottom w:val="none" w:sz="0" w:space="0" w:color="auto"/>
        <w:right w:val="none" w:sz="0" w:space="0" w:color="auto"/>
      </w:divBdr>
    </w:div>
    <w:div w:id="408309355">
      <w:bodyDiv w:val="1"/>
      <w:marLeft w:val="0"/>
      <w:marRight w:val="0"/>
      <w:marTop w:val="0"/>
      <w:marBottom w:val="0"/>
      <w:divBdr>
        <w:top w:val="none" w:sz="0" w:space="0" w:color="auto"/>
        <w:left w:val="none" w:sz="0" w:space="0" w:color="auto"/>
        <w:bottom w:val="none" w:sz="0" w:space="0" w:color="auto"/>
        <w:right w:val="none" w:sz="0" w:space="0" w:color="auto"/>
      </w:divBdr>
    </w:div>
    <w:div w:id="472254557">
      <w:bodyDiv w:val="1"/>
      <w:marLeft w:val="0"/>
      <w:marRight w:val="0"/>
      <w:marTop w:val="0"/>
      <w:marBottom w:val="0"/>
      <w:divBdr>
        <w:top w:val="none" w:sz="0" w:space="0" w:color="auto"/>
        <w:left w:val="none" w:sz="0" w:space="0" w:color="auto"/>
        <w:bottom w:val="none" w:sz="0" w:space="0" w:color="auto"/>
        <w:right w:val="none" w:sz="0" w:space="0" w:color="auto"/>
      </w:divBdr>
    </w:div>
    <w:div w:id="619842170">
      <w:bodyDiv w:val="1"/>
      <w:marLeft w:val="0"/>
      <w:marRight w:val="0"/>
      <w:marTop w:val="0"/>
      <w:marBottom w:val="0"/>
      <w:divBdr>
        <w:top w:val="none" w:sz="0" w:space="0" w:color="auto"/>
        <w:left w:val="none" w:sz="0" w:space="0" w:color="auto"/>
        <w:bottom w:val="none" w:sz="0" w:space="0" w:color="auto"/>
        <w:right w:val="none" w:sz="0" w:space="0" w:color="auto"/>
      </w:divBdr>
    </w:div>
    <w:div w:id="675808890">
      <w:bodyDiv w:val="1"/>
      <w:marLeft w:val="0"/>
      <w:marRight w:val="0"/>
      <w:marTop w:val="0"/>
      <w:marBottom w:val="0"/>
      <w:divBdr>
        <w:top w:val="none" w:sz="0" w:space="0" w:color="auto"/>
        <w:left w:val="none" w:sz="0" w:space="0" w:color="auto"/>
        <w:bottom w:val="none" w:sz="0" w:space="0" w:color="auto"/>
        <w:right w:val="none" w:sz="0" w:space="0" w:color="auto"/>
      </w:divBdr>
    </w:div>
    <w:div w:id="708721133">
      <w:bodyDiv w:val="1"/>
      <w:marLeft w:val="0"/>
      <w:marRight w:val="0"/>
      <w:marTop w:val="0"/>
      <w:marBottom w:val="0"/>
      <w:divBdr>
        <w:top w:val="none" w:sz="0" w:space="0" w:color="auto"/>
        <w:left w:val="none" w:sz="0" w:space="0" w:color="auto"/>
        <w:bottom w:val="none" w:sz="0" w:space="0" w:color="auto"/>
        <w:right w:val="none" w:sz="0" w:space="0" w:color="auto"/>
      </w:divBdr>
    </w:div>
    <w:div w:id="752505515">
      <w:bodyDiv w:val="1"/>
      <w:marLeft w:val="0"/>
      <w:marRight w:val="0"/>
      <w:marTop w:val="0"/>
      <w:marBottom w:val="0"/>
      <w:divBdr>
        <w:top w:val="none" w:sz="0" w:space="0" w:color="auto"/>
        <w:left w:val="none" w:sz="0" w:space="0" w:color="auto"/>
        <w:bottom w:val="none" w:sz="0" w:space="0" w:color="auto"/>
        <w:right w:val="none" w:sz="0" w:space="0" w:color="auto"/>
      </w:divBdr>
    </w:div>
    <w:div w:id="878278660">
      <w:bodyDiv w:val="1"/>
      <w:marLeft w:val="0"/>
      <w:marRight w:val="0"/>
      <w:marTop w:val="0"/>
      <w:marBottom w:val="0"/>
      <w:divBdr>
        <w:top w:val="none" w:sz="0" w:space="0" w:color="auto"/>
        <w:left w:val="none" w:sz="0" w:space="0" w:color="auto"/>
        <w:bottom w:val="none" w:sz="0" w:space="0" w:color="auto"/>
        <w:right w:val="none" w:sz="0" w:space="0" w:color="auto"/>
      </w:divBdr>
    </w:div>
    <w:div w:id="955410516">
      <w:bodyDiv w:val="1"/>
      <w:marLeft w:val="0"/>
      <w:marRight w:val="0"/>
      <w:marTop w:val="0"/>
      <w:marBottom w:val="0"/>
      <w:divBdr>
        <w:top w:val="none" w:sz="0" w:space="0" w:color="auto"/>
        <w:left w:val="none" w:sz="0" w:space="0" w:color="auto"/>
        <w:bottom w:val="none" w:sz="0" w:space="0" w:color="auto"/>
        <w:right w:val="none" w:sz="0" w:space="0" w:color="auto"/>
      </w:divBdr>
    </w:div>
    <w:div w:id="1020933017">
      <w:bodyDiv w:val="1"/>
      <w:marLeft w:val="0"/>
      <w:marRight w:val="0"/>
      <w:marTop w:val="0"/>
      <w:marBottom w:val="0"/>
      <w:divBdr>
        <w:top w:val="none" w:sz="0" w:space="0" w:color="auto"/>
        <w:left w:val="none" w:sz="0" w:space="0" w:color="auto"/>
        <w:bottom w:val="none" w:sz="0" w:space="0" w:color="auto"/>
        <w:right w:val="none" w:sz="0" w:space="0" w:color="auto"/>
      </w:divBdr>
    </w:div>
    <w:div w:id="1177040180">
      <w:bodyDiv w:val="1"/>
      <w:marLeft w:val="0"/>
      <w:marRight w:val="0"/>
      <w:marTop w:val="0"/>
      <w:marBottom w:val="0"/>
      <w:divBdr>
        <w:top w:val="none" w:sz="0" w:space="0" w:color="auto"/>
        <w:left w:val="none" w:sz="0" w:space="0" w:color="auto"/>
        <w:bottom w:val="none" w:sz="0" w:space="0" w:color="auto"/>
        <w:right w:val="none" w:sz="0" w:space="0" w:color="auto"/>
      </w:divBdr>
    </w:div>
    <w:div w:id="1240749903">
      <w:bodyDiv w:val="1"/>
      <w:marLeft w:val="0"/>
      <w:marRight w:val="0"/>
      <w:marTop w:val="0"/>
      <w:marBottom w:val="0"/>
      <w:divBdr>
        <w:top w:val="none" w:sz="0" w:space="0" w:color="auto"/>
        <w:left w:val="none" w:sz="0" w:space="0" w:color="auto"/>
        <w:bottom w:val="none" w:sz="0" w:space="0" w:color="auto"/>
        <w:right w:val="none" w:sz="0" w:space="0" w:color="auto"/>
      </w:divBdr>
    </w:div>
    <w:div w:id="1245257687">
      <w:bodyDiv w:val="1"/>
      <w:marLeft w:val="0"/>
      <w:marRight w:val="0"/>
      <w:marTop w:val="0"/>
      <w:marBottom w:val="0"/>
      <w:divBdr>
        <w:top w:val="none" w:sz="0" w:space="0" w:color="auto"/>
        <w:left w:val="none" w:sz="0" w:space="0" w:color="auto"/>
        <w:bottom w:val="none" w:sz="0" w:space="0" w:color="auto"/>
        <w:right w:val="none" w:sz="0" w:space="0" w:color="auto"/>
      </w:divBdr>
    </w:div>
    <w:div w:id="1304191105">
      <w:bodyDiv w:val="1"/>
      <w:marLeft w:val="0"/>
      <w:marRight w:val="0"/>
      <w:marTop w:val="0"/>
      <w:marBottom w:val="0"/>
      <w:divBdr>
        <w:top w:val="none" w:sz="0" w:space="0" w:color="auto"/>
        <w:left w:val="none" w:sz="0" w:space="0" w:color="auto"/>
        <w:bottom w:val="none" w:sz="0" w:space="0" w:color="auto"/>
        <w:right w:val="none" w:sz="0" w:space="0" w:color="auto"/>
      </w:divBdr>
    </w:div>
    <w:div w:id="1428693265">
      <w:bodyDiv w:val="1"/>
      <w:marLeft w:val="0"/>
      <w:marRight w:val="0"/>
      <w:marTop w:val="0"/>
      <w:marBottom w:val="0"/>
      <w:divBdr>
        <w:top w:val="none" w:sz="0" w:space="0" w:color="auto"/>
        <w:left w:val="none" w:sz="0" w:space="0" w:color="auto"/>
        <w:bottom w:val="none" w:sz="0" w:space="0" w:color="auto"/>
        <w:right w:val="none" w:sz="0" w:space="0" w:color="auto"/>
      </w:divBdr>
    </w:div>
    <w:div w:id="1502965811">
      <w:bodyDiv w:val="1"/>
      <w:marLeft w:val="0"/>
      <w:marRight w:val="0"/>
      <w:marTop w:val="0"/>
      <w:marBottom w:val="0"/>
      <w:divBdr>
        <w:top w:val="none" w:sz="0" w:space="0" w:color="auto"/>
        <w:left w:val="none" w:sz="0" w:space="0" w:color="auto"/>
        <w:bottom w:val="none" w:sz="0" w:space="0" w:color="auto"/>
        <w:right w:val="none" w:sz="0" w:space="0" w:color="auto"/>
      </w:divBdr>
    </w:div>
    <w:div w:id="1537547302">
      <w:bodyDiv w:val="1"/>
      <w:marLeft w:val="0"/>
      <w:marRight w:val="0"/>
      <w:marTop w:val="0"/>
      <w:marBottom w:val="0"/>
      <w:divBdr>
        <w:top w:val="none" w:sz="0" w:space="0" w:color="auto"/>
        <w:left w:val="none" w:sz="0" w:space="0" w:color="auto"/>
        <w:bottom w:val="none" w:sz="0" w:space="0" w:color="auto"/>
        <w:right w:val="none" w:sz="0" w:space="0" w:color="auto"/>
      </w:divBdr>
    </w:div>
    <w:div w:id="1666083984">
      <w:bodyDiv w:val="1"/>
      <w:marLeft w:val="0"/>
      <w:marRight w:val="0"/>
      <w:marTop w:val="0"/>
      <w:marBottom w:val="0"/>
      <w:divBdr>
        <w:top w:val="none" w:sz="0" w:space="0" w:color="auto"/>
        <w:left w:val="none" w:sz="0" w:space="0" w:color="auto"/>
        <w:bottom w:val="none" w:sz="0" w:space="0" w:color="auto"/>
        <w:right w:val="none" w:sz="0" w:space="0" w:color="auto"/>
      </w:divBdr>
    </w:div>
    <w:div w:id="1691447094">
      <w:bodyDiv w:val="1"/>
      <w:marLeft w:val="0"/>
      <w:marRight w:val="0"/>
      <w:marTop w:val="0"/>
      <w:marBottom w:val="0"/>
      <w:divBdr>
        <w:top w:val="none" w:sz="0" w:space="0" w:color="auto"/>
        <w:left w:val="none" w:sz="0" w:space="0" w:color="auto"/>
        <w:bottom w:val="none" w:sz="0" w:space="0" w:color="auto"/>
        <w:right w:val="none" w:sz="0" w:space="0" w:color="auto"/>
      </w:divBdr>
    </w:div>
    <w:div w:id="1749116001">
      <w:bodyDiv w:val="1"/>
      <w:marLeft w:val="0"/>
      <w:marRight w:val="0"/>
      <w:marTop w:val="0"/>
      <w:marBottom w:val="0"/>
      <w:divBdr>
        <w:top w:val="none" w:sz="0" w:space="0" w:color="auto"/>
        <w:left w:val="none" w:sz="0" w:space="0" w:color="auto"/>
        <w:bottom w:val="none" w:sz="0" w:space="0" w:color="auto"/>
        <w:right w:val="none" w:sz="0" w:space="0" w:color="auto"/>
      </w:divBdr>
    </w:div>
    <w:div w:id="1757244939">
      <w:bodyDiv w:val="1"/>
      <w:marLeft w:val="0"/>
      <w:marRight w:val="0"/>
      <w:marTop w:val="0"/>
      <w:marBottom w:val="0"/>
      <w:divBdr>
        <w:top w:val="none" w:sz="0" w:space="0" w:color="auto"/>
        <w:left w:val="none" w:sz="0" w:space="0" w:color="auto"/>
        <w:bottom w:val="none" w:sz="0" w:space="0" w:color="auto"/>
        <w:right w:val="none" w:sz="0" w:space="0" w:color="auto"/>
      </w:divBdr>
    </w:div>
    <w:div w:id="1792434215">
      <w:bodyDiv w:val="1"/>
      <w:marLeft w:val="0"/>
      <w:marRight w:val="0"/>
      <w:marTop w:val="0"/>
      <w:marBottom w:val="0"/>
      <w:divBdr>
        <w:top w:val="none" w:sz="0" w:space="0" w:color="auto"/>
        <w:left w:val="none" w:sz="0" w:space="0" w:color="auto"/>
        <w:bottom w:val="none" w:sz="0" w:space="0" w:color="auto"/>
        <w:right w:val="none" w:sz="0" w:space="0" w:color="auto"/>
      </w:divBdr>
    </w:div>
    <w:div w:id="1813785956">
      <w:bodyDiv w:val="1"/>
      <w:marLeft w:val="0"/>
      <w:marRight w:val="0"/>
      <w:marTop w:val="0"/>
      <w:marBottom w:val="0"/>
      <w:divBdr>
        <w:top w:val="none" w:sz="0" w:space="0" w:color="auto"/>
        <w:left w:val="none" w:sz="0" w:space="0" w:color="auto"/>
        <w:bottom w:val="none" w:sz="0" w:space="0" w:color="auto"/>
        <w:right w:val="none" w:sz="0" w:space="0" w:color="auto"/>
      </w:divBdr>
    </w:div>
    <w:div w:id="1868759909">
      <w:bodyDiv w:val="1"/>
      <w:marLeft w:val="0"/>
      <w:marRight w:val="0"/>
      <w:marTop w:val="0"/>
      <w:marBottom w:val="0"/>
      <w:divBdr>
        <w:top w:val="none" w:sz="0" w:space="0" w:color="auto"/>
        <w:left w:val="none" w:sz="0" w:space="0" w:color="auto"/>
        <w:bottom w:val="none" w:sz="0" w:space="0" w:color="auto"/>
        <w:right w:val="none" w:sz="0" w:space="0" w:color="auto"/>
      </w:divBdr>
    </w:div>
    <w:div w:id="1871991120">
      <w:bodyDiv w:val="1"/>
      <w:marLeft w:val="0"/>
      <w:marRight w:val="0"/>
      <w:marTop w:val="0"/>
      <w:marBottom w:val="0"/>
      <w:divBdr>
        <w:top w:val="none" w:sz="0" w:space="0" w:color="auto"/>
        <w:left w:val="none" w:sz="0" w:space="0" w:color="auto"/>
        <w:bottom w:val="none" w:sz="0" w:space="0" w:color="auto"/>
        <w:right w:val="none" w:sz="0" w:space="0" w:color="auto"/>
      </w:divBdr>
    </w:div>
    <w:div w:id="1902906226">
      <w:bodyDiv w:val="1"/>
      <w:marLeft w:val="0"/>
      <w:marRight w:val="0"/>
      <w:marTop w:val="0"/>
      <w:marBottom w:val="0"/>
      <w:divBdr>
        <w:top w:val="none" w:sz="0" w:space="0" w:color="auto"/>
        <w:left w:val="none" w:sz="0" w:space="0" w:color="auto"/>
        <w:bottom w:val="none" w:sz="0" w:space="0" w:color="auto"/>
        <w:right w:val="none" w:sz="0" w:space="0" w:color="auto"/>
      </w:divBdr>
    </w:div>
    <w:div w:id="1960211429">
      <w:bodyDiv w:val="1"/>
      <w:marLeft w:val="0"/>
      <w:marRight w:val="0"/>
      <w:marTop w:val="0"/>
      <w:marBottom w:val="0"/>
      <w:divBdr>
        <w:top w:val="none" w:sz="0" w:space="0" w:color="auto"/>
        <w:left w:val="none" w:sz="0" w:space="0" w:color="auto"/>
        <w:bottom w:val="none" w:sz="0" w:space="0" w:color="auto"/>
        <w:right w:val="none" w:sz="0" w:space="0" w:color="auto"/>
      </w:divBdr>
    </w:div>
    <w:div w:id="2015105937">
      <w:bodyDiv w:val="1"/>
      <w:marLeft w:val="0"/>
      <w:marRight w:val="0"/>
      <w:marTop w:val="0"/>
      <w:marBottom w:val="0"/>
      <w:divBdr>
        <w:top w:val="none" w:sz="0" w:space="0" w:color="auto"/>
        <w:left w:val="none" w:sz="0" w:space="0" w:color="auto"/>
        <w:bottom w:val="none" w:sz="0" w:space="0" w:color="auto"/>
        <w:right w:val="none" w:sz="0" w:space="0" w:color="auto"/>
      </w:divBdr>
    </w:div>
    <w:div w:id="2052726841">
      <w:bodyDiv w:val="1"/>
      <w:marLeft w:val="0"/>
      <w:marRight w:val="0"/>
      <w:marTop w:val="0"/>
      <w:marBottom w:val="0"/>
      <w:divBdr>
        <w:top w:val="none" w:sz="0" w:space="0" w:color="auto"/>
        <w:left w:val="none" w:sz="0" w:space="0" w:color="auto"/>
        <w:bottom w:val="none" w:sz="0" w:space="0" w:color="auto"/>
        <w:right w:val="none" w:sz="0" w:space="0" w:color="auto"/>
      </w:divBdr>
    </w:div>
    <w:div w:id="205549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klein@nhs.net" TargetMode="External"/><Relationship Id="rId3" Type="http://schemas.openxmlformats.org/officeDocument/2006/relationships/settings" Target="settings.xml"/><Relationship Id="rId7" Type="http://schemas.openxmlformats.org/officeDocument/2006/relationships/hyperlink" Target="http://www.ncbi.nlm.nih.gov/pubmed/254071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google.co.uk/citations?view_op=view_citation&amp;hl=en&amp;user=48QjkSQAAAAJ&amp;cstart=20&amp;pagesize=80&amp;citation_for_view=48QjkSQAAAAJ:-mN3Mh-tlDk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7450</Words>
  <Characters>42470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Tim Collier</cp:lastModifiedBy>
  <cp:revision>2</cp:revision>
  <cp:lastPrinted>2015-10-14T13:43:00Z</cp:lastPrinted>
  <dcterms:created xsi:type="dcterms:W3CDTF">2016-04-15T10:46:00Z</dcterms:created>
  <dcterms:modified xsi:type="dcterms:W3CDTF">2016-04-15T10:46:00Z</dcterms:modified>
</cp:coreProperties>
</file>