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D9D3" w14:textId="77777777" w:rsidR="003532FE" w:rsidRDefault="003532FE" w:rsidP="003532FE">
      <w:pPr>
        <w:jc w:val="center"/>
      </w:pPr>
    </w:p>
    <w:p w14:paraId="4E065416" w14:textId="77777777" w:rsidR="00884497" w:rsidRDefault="00884497" w:rsidP="00884497">
      <w:pPr>
        <w:jc w:val="center"/>
        <w:rPr>
          <w:b/>
        </w:rPr>
      </w:pPr>
    </w:p>
    <w:p w14:paraId="63D4A123" w14:textId="77777777" w:rsidR="00884497" w:rsidRDefault="00884497" w:rsidP="00884497">
      <w:pPr>
        <w:jc w:val="center"/>
        <w:rPr>
          <w:b/>
        </w:rPr>
      </w:pPr>
    </w:p>
    <w:p w14:paraId="6F36B10D" w14:textId="77777777" w:rsidR="00884497" w:rsidRDefault="00884497" w:rsidP="00884497">
      <w:pPr>
        <w:jc w:val="center"/>
        <w:rPr>
          <w:b/>
        </w:rPr>
      </w:pPr>
    </w:p>
    <w:p w14:paraId="20332ACC" w14:textId="77777777" w:rsidR="00884497" w:rsidRDefault="00884497" w:rsidP="00884497">
      <w:pPr>
        <w:jc w:val="center"/>
        <w:rPr>
          <w:b/>
        </w:rPr>
      </w:pPr>
    </w:p>
    <w:p w14:paraId="65FD9D50" w14:textId="77777777" w:rsidR="00884497" w:rsidRDefault="00884497" w:rsidP="00884497">
      <w:pPr>
        <w:jc w:val="center"/>
        <w:rPr>
          <w:b/>
        </w:rPr>
      </w:pPr>
    </w:p>
    <w:p w14:paraId="4D88F1A9" w14:textId="77777777" w:rsidR="00884497" w:rsidRDefault="00884497" w:rsidP="00884497">
      <w:pPr>
        <w:jc w:val="center"/>
        <w:rPr>
          <w:b/>
        </w:rPr>
      </w:pPr>
    </w:p>
    <w:p w14:paraId="19ABB3F1" w14:textId="77777777" w:rsidR="00884497" w:rsidRDefault="00884497" w:rsidP="00884497">
      <w:pPr>
        <w:jc w:val="center"/>
        <w:rPr>
          <w:b/>
        </w:rPr>
      </w:pPr>
      <w:r>
        <w:rPr>
          <w:b/>
        </w:rPr>
        <w:t>Nested event-level case-control study of drug use and sexual outcomes in multipartner encounters reported by men who have sex with men</w:t>
      </w:r>
    </w:p>
    <w:p w14:paraId="0F3EFA7F" w14:textId="77777777" w:rsidR="00BD48F6" w:rsidRDefault="00BD48F6" w:rsidP="00884497">
      <w:pPr>
        <w:jc w:val="center"/>
        <w:rPr>
          <w:b/>
        </w:rPr>
      </w:pPr>
    </w:p>
    <w:p w14:paraId="29042B1D" w14:textId="77777777" w:rsidR="00BD48F6" w:rsidRDefault="00BD48F6" w:rsidP="00BD48F6">
      <w:pPr>
        <w:jc w:val="center"/>
        <w:rPr>
          <w:b/>
        </w:rPr>
      </w:pPr>
    </w:p>
    <w:p w14:paraId="57FC81E1" w14:textId="77777777" w:rsidR="00BD48F6" w:rsidRDefault="00BD48F6" w:rsidP="00BD48F6">
      <w:pPr>
        <w:jc w:val="center"/>
        <w:rPr>
          <w:b/>
        </w:rPr>
      </w:pPr>
      <w:bookmarkStart w:id="0" w:name="_GoBack"/>
      <w:bookmarkEnd w:id="0"/>
    </w:p>
    <w:p w14:paraId="0D0F6896" w14:textId="77777777" w:rsidR="00BD48F6" w:rsidRPr="00FB0206" w:rsidRDefault="00BD48F6" w:rsidP="00BD48F6">
      <w:pPr>
        <w:rPr>
          <w:vertAlign w:val="superscript"/>
        </w:rPr>
      </w:pPr>
      <w:r>
        <w:t>G.J. Melendez-Torres</w:t>
      </w:r>
      <w:r>
        <w:rPr>
          <w:vertAlign w:val="superscript"/>
        </w:rPr>
        <w:t>1,2</w:t>
      </w:r>
      <w:r>
        <w:t>, Ford Hickson</w:t>
      </w:r>
      <w:r>
        <w:rPr>
          <w:vertAlign w:val="superscript"/>
        </w:rPr>
        <w:t>3</w:t>
      </w:r>
      <w:r>
        <w:t>, David Reid</w:t>
      </w:r>
      <w:r>
        <w:rPr>
          <w:vertAlign w:val="superscript"/>
        </w:rPr>
        <w:t>3</w:t>
      </w:r>
      <w:r>
        <w:t>, Peter Weatherburn</w:t>
      </w:r>
      <w:r>
        <w:rPr>
          <w:vertAlign w:val="superscript"/>
        </w:rPr>
        <w:t>3</w:t>
      </w:r>
      <w:r>
        <w:t>, Chris Bonell</w:t>
      </w:r>
      <w:r>
        <w:rPr>
          <w:vertAlign w:val="superscript"/>
        </w:rPr>
        <w:t>2</w:t>
      </w:r>
    </w:p>
    <w:p w14:paraId="232BFFC9" w14:textId="77777777" w:rsidR="00BD48F6" w:rsidRDefault="00BD48F6" w:rsidP="00BD48F6">
      <w:pPr>
        <w:rPr>
          <w:vertAlign w:val="superscript"/>
        </w:rPr>
      </w:pPr>
    </w:p>
    <w:p w14:paraId="6A008BD2" w14:textId="77777777" w:rsidR="00BD48F6" w:rsidRDefault="00BD48F6" w:rsidP="00BD48F6">
      <w:r w:rsidRPr="00FB0206">
        <w:rPr>
          <w:vertAlign w:val="superscript"/>
        </w:rPr>
        <w:t>1</w:t>
      </w:r>
      <w:r>
        <w:t>Department of Social Policy and Intervention, University of Oxford</w:t>
      </w:r>
    </w:p>
    <w:p w14:paraId="3200F445" w14:textId="77777777" w:rsidR="00BD48F6" w:rsidRDefault="00BD48F6" w:rsidP="00BD48F6">
      <w:pPr>
        <w:rPr>
          <w:vertAlign w:val="superscript"/>
        </w:rPr>
      </w:pPr>
    </w:p>
    <w:p w14:paraId="69A7D401" w14:textId="77777777" w:rsidR="00BD48F6" w:rsidRDefault="00BD48F6" w:rsidP="00BD48F6">
      <w:r w:rsidRPr="00FB0206">
        <w:rPr>
          <w:vertAlign w:val="superscript"/>
        </w:rPr>
        <w:t>2</w:t>
      </w:r>
      <w:r>
        <w:t>Department of Childhood, Families and Health, Institute of Education, University College London</w:t>
      </w:r>
    </w:p>
    <w:p w14:paraId="667D1B81" w14:textId="77777777" w:rsidR="00BD48F6" w:rsidRDefault="00BD48F6" w:rsidP="00BD48F6">
      <w:pPr>
        <w:rPr>
          <w:vertAlign w:val="superscript"/>
        </w:rPr>
      </w:pPr>
    </w:p>
    <w:p w14:paraId="68950857" w14:textId="77777777" w:rsidR="00BD48F6" w:rsidRDefault="00BD48F6" w:rsidP="00BD48F6">
      <w:r w:rsidRPr="00FB0206">
        <w:rPr>
          <w:vertAlign w:val="superscript"/>
        </w:rPr>
        <w:t>3</w:t>
      </w:r>
      <w:r>
        <w:t>Sigma Research, London School of Hygiene and Tropical Medicine, University of London</w:t>
      </w:r>
    </w:p>
    <w:p w14:paraId="386DE1B3" w14:textId="77777777" w:rsidR="00BD48F6" w:rsidRDefault="00BD48F6" w:rsidP="00BD48F6"/>
    <w:p w14:paraId="6A785FAD" w14:textId="77777777" w:rsidR="00BD48F6" w:rsidRPr="00104B9B" w:rsidRDefault="00BD48F6" w:rsidP="00BD48F6">
      <w:r>
        <w:t>G.J. Melendez-Torres (corresponding author)</w:t>
      </w:r>
    </w:p>
    <w:p w14:paraId="26FB4CE9" w14:textId="77777777" w:rsidR="00BD48F6" w:rsidRPr="00104B9B" w:rsidRDefault="00BD48F6" w:rsidP="00BD48F6">
      <w:r w:rsidRPr="00104B9B">
        <w:t>Department of Social Policy and Intervention</w:t>
      </w:r>
    </w:p>
    <w:p w14:paraId="11C2510D" w14:textId="77777777" w:rsidR="00BD48F6" w:rsidRPr="00104B9B" w:rsidRDefault="00BD48F6" w:rsidP="00BD48F6">
      <w:r w:rsidRPr="00104B9B">
        <w:t>University of Oxford</w:t>
      </w:r>
    </w:p>
    <w:p w14:paraId="66AC215C" w14:textId="77777777" w:rsidR="00BD48F6" w:rsidRPr="00104B9B" w:rsidRDefault="00BD48F6" w:rsidP="00BD48F6">
      <w:r w:rsidRPr="00104B9B">
        <w:t>Barnett House, 32 Wellington Square</w:t>
      </w:r>
    </w:p>
    <w:p w14:paraId="7488A4C1" w14:textId="77777777" w:rsidR="00BD48F6" w:rsidRPr="00104B9B" w:rsidRDefault="00BD48F6" w:rsidP="00BD48F6">
      <w:r w:rsidRPr="00104B9B">
        <w:t>Oxford OX1 2ER</w:t>
      </w:r>
    </w:p>
    <w:p w14:paraId="39257441" w14:textId="77777777" w:rsidR="00BD48F6" w:rsidRPr="00104B9B" w:rsidRDefault="00BD48F6" w:rsidP="00BD48F6">
      <w:r w:rsidRPr="00104B9B">
        <w:t>UNITED KINGDOM</w:t>
      </w:r>
    </w:p>
    <w:p w14:paraId="6CE9AA11" w14:textId="77777777" w:rsidR="00BD48F6" w:rsidRPr="00104B9B" w:rsidRDefault="00BD48F6" w:rsidP="00BD48F6">
      <w:r w:rsidRPr="00104B9B">
        <w:t>+44 1865 270260</w:t>
      </w:r>
    </w:p>
    <w:p w14:paraId="5B2E40D1" w14:textId="77777777" w:rsidR="00BD48F6" w:rsidRPr="00104B9B" w:rsidRDefault="00BD48F6" w:rsidP="00BD48F6">
      <w:r w:rsidRPr="00104B9B">
        <w:t>gerardo.melendez-torres@spi.ox.ac.uk</w:t>
      </w:r>
    </w:p>
    <w:p w14:paraId="7E1C916E" w14:textId="77777777" w:rsidR="00BD48F6" w:rsidRDefault="00BD48F6" w:rsidP="00884497">
      <w:pPr>
        <w:jc w:val="center"/>
        <w:rPr>
          <w:b/>
        </w:rPr>
      </w:pPr>
    </w:p>
    <w:p w14:paraId="6B22EC54" w14:textId="77777777" w:rsidR="00884497" w:rsidRDefault="00884497" w:rsidP="00884497">
      <w:pPr>
        <w:rPr>
          <w:b/>
        </w:rPr>
      </w:pPr>
      <w:r>
        <w:rPr>
          <w:b/>
        </w:rPr>
        <w:br w:type="page"/>
      </w:r>
    </w:p>
    <w:p w14:paraId="35D1532B" w14:textId="77777777" w:rsidR="007131C4" w:rsidRDefault="0006596D" w:rsidP="007131C4">
      <w:pPr>
        <w:spacing w:line="480" w:lineRule="auto"/>
        <w:rPr>
          <w:b/>
        </w:rPr>
      </w:pPr>
      <w:r>
        <w:rPr>
          <w:b/>
        </w:rPr>
        <w:lastRenderedPageBreak/>
        <w:t>Abstract</w:t>
      </w:r>
    </w:p>
    <w:p w14:paraId="3A706DD1" w14:textId="0AA4B737" w:rsidR="00885C57" w:rsidRPr="00D417F4" w:rsidRDefault="00D417F4" w:rsidP="007131C4">
      <w:pPr>
        <w:spacing w:line="480" w:lineRule="auto"/>
      </w:pPr>
      <w:r>
        <w:t xml:space="preserve">Previous event-level analyses have </w:t>
      </w:r>
      <w:r w:rsidR="00C9321B">
        <w:t xml:space="preserve">often, but not always, </w:t>
      </w:r>
      <w:r>
        <w:t>found significant associations between drug use and sexual risk behaviour</w:t>
      </w:r>
      <w:r w:rsidR="00C9321B">
        <w:t xml:space="preserve"> in men who have sex with men (MSM)</w:t>
      </w:r>
      <w:r>
        <w:t xml:space="preserve">, but these analyses have rarely considered either multipartner encounters specifically, or other </w:t>
      </w:r>
      <w:r w:rsidR="009D28CF">
        <w:t>sexual outcomes</w:t>
      </w:r>
      <w:r>
        <w:t xml:space="preserve"> such as pleasure and control.  Using data from an internet-based longitudinal survey of </w:t>
      </w:r>
      <w:r w:rsidR="00C9321B">
        <w:t>MSM</w:t>
      </w:r>
      <w:r>
        <w:t>, we tested the association between drug use by respondent and by partners and unprotected anal intercourse (UAI), pleasure and control over sexual activity.  Overall respondent substance use was significantly associated with increased odds of UAI</w:t>
      </w:r>
      <w:r w:rsidR="009D28CF">
        <w:t>,</w:t>
      </w:r>
      <w:r>
        <w:t xml:space="preserve"> though not with </w:t>
      </w:r>
      <w:r w:rsidR="009D28CF">
        <w:t xml:space="preserve">pleasure or </w:t>
      </w:r>
      <w:r>
        <w:t xml:space="preserve">control.  Respondent use of crystal methamphetamine was significantly associated with </w:t>
      </w:r>
      <w:r w:rsidR="00BA11B9">
        <w:t xml:space="preserve">both </w:t>
      </w:r>
      <w:r>
        <w:t>increased odds of UAI and decreased odds of control over sexual activity.</w:t>
      </w:r>
      <w:r w:rsidR="009D28CF">
        <w:t xml:space="preserve">  This analysis agrees with previous studies of dyadic encounters, and specifically suggests that the association between crystal methamphetamine and sexual risk behaviour may be mediated by loss of control.</w:t>
      </w:r>
    </w:p>
    <w:p w14:paraId="0631B290" w14:textId="77777777" w:rsidR="00885C57" w:rsidRDefault="00885C57" w:rsidP="00885C57">
      <w:pPr>
        <w:spacing w:line="480" w:lineRule="auto"/>
      </w:pPr>
      <w:r>
        <w:rPr>
          <w:b/>
        </w:rPr>
        <w:t>Keywords:</w:t>
      </w:r>
      <w:r w:rsidR="00CD316F">
        <w:t xml:space="preserve"> Sexual risk behaviour; observational epidemiology; multipartner encounters;</w:t>
      </w:r>
      <w:r>
        <w:t xml:space="preserve"> </w:t>
      </w:r>
      <w:r w:rsidR="00D417F4">
        <w:t>drug</w:t>
      </w:r>
      <w:r w:rsidR="00CD316F">
        <w:t xml:space="preserve"> use;</w:t>
      </w:r>
      <w:r>
        <w:t xml:space="preserve"> men who have sex with men</w:t>
      </w:r>
    </w:p>
    <w:p w14:paraId="3B9BE44D" w14:textId="77777777" w:rsidR="00885C57" w:rsidRDefault="00885C57">
      <w:r>
        <w:br w:type="page"/>
      </w:r>
    </w:p>
    <w:p w14:paraId="66923B55" w14:textId="77777777" w:rsidR="007131C4" w:rsidRDefault="0060060A" w:rsidP="007131C4">
      <w:pPr>
        <w:spacing w:line="480" w:lineRule="auto"/>
      </w:pPr>
      <w:r>
        <w:rPr>
          <w:b/>
        </w:rPr>
        <w:t>Introduction</w:t>
      </w:r>
    </w:p>
    <w:p w14:paraId="12FB1229" w14:textId="00166130" w:rsidR="001B1BB3" w:rsidRDefault="007A0D49" w:rsidP="007131C4">
      <w:pPr>
        <w:spacing w:line="480" w:lineRule="auto"/>
      </w:pPr>
      <w:r>
        <w:tab/>
      </w:r>
      <w:r w:rsidR="00094B5C">
        <w:t>As a</w:t>
      </w:r>
      <w:r w:rsidR="004B3D2C">
        <w:t xml:space="preserve"> recent systematic review</w:t>
      </w:r>
      <w:r w:rsidR="00094B5C">
        <w:t xml:space="preserve"> has demonstrated,</w:t>
      </w:r>
      <w:r w:rsidR="004B3D2C">
        <w:t xml:space="preserve"> studies examining event-level associations between </w:t>
      </w:r>
      <w:r w:rsidR="001A30A7">
        <w:t>specific drugs</w:t>
      </w:r>
      <w:r w:rsidR="004B3D2C">
        <w:t xml:space="preserve"> and sexual risk behaviour in</w:t>
      </w:r>
      <w:r w:rsidR="004D01E0">
        <w:t xml:space="preserve"> men who have sex with men</w:t>
      </w:r>
      <w:r w:rsidR="004B3D2C">
        <w:t xml:space="preserve"> </w:t>
      </w:r>
      <w:r w:rsidR="004D01E0">
        <w:t>(</w:t>
      </w:r>
      <w:r w:rsidR="004B3D2C">
        <w:t>MSM</w:t>
      </w:r>
      <w:r w:rsidR="004D01E0">
        <w:t>)</w:t>
      </w:r>
      <w:r w:rsidR="004B3D2C">
        <w:t xml:space="preserve"> </w:t>
      </w:r>
      <w:r w:rsidR="00094B5C">
        <w:t xml:space="preserve">do not yield consistent results </w:t>
      </w:r>
      <w:r w:rsidR="00B90C8D">
        <w:fldChar w:fldCharType="begin" w:fldLock="1"/>
      </w:r>
      <w:r w:rsidR="00030835">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"chapter-number" : "1394", "container-title" : "AIDS &amp; Behavior", "id" : "ITEM-1", "issue" : "6", "issued" : { "date-parts" : [ [ "2012" ] ] }, "page" : "1394-1410", "publisher-place" : "United States", "title" : "A review of the literature on event-level substance use and sexual risk behavior among men who have sex with men.", "type" : "article-journal", "volume" : "16" }, "uris" : [ "http://www.mendeley.com/documents/?uuid=8fb530c3-1bc2-49fb-8cfc-bb64fa06310b" ] } ], "mendeley" : { "formattedCitation" : "(1)", "plainTextFormattedCitation" : "(1)", "previouslyFormattedCitation" : "(1)" }, "properties" : { "noteIndex" : 0 }, "schema" : "https://github.com/citation-style-language/schema/raw/master/csl-citation.json" }</w:instrText>
      </w:r>
      <w:r w:rsidR="00B90C8D">
        <w:fldChar w:fldCharType="separate"/>
      </w:r>
      <w:r w:rsidR="00B16AAB" w:rsidRPr="00B16AAB">
        <w:rPr>
          <w:noProof/>
        </w:rPr>
        <w:t>(1)</w:t>
      </w:r>
      <w:r w:rsidR="00B90C8D">
        <w:fldChar w:fldCharType="end"/>
      </w:r>
      <w:r w:rsidR="00094B5C">
        <w:t xml:space="preserve">.  This review specifically </w:t>
      </w:r>
      <w:r w:rsidR="004B3D2C">
        <w:t xml:space="preserve">noted </w:t>
      </w:r>
      <w:r w:rsidR="001A30A7">
        <w:t xml:space="preserve">substantial </w:t>
      </w:r>
      <w:r w:rsidR="00632695">
        <w:t xml:space="preserve">evidence </w:t>
      </w:r>
      <w:r w:rsidR="00094B5C">
        <w:t xml:space="preserve">only </w:t>
      </w:r>
      <w:r w:rsidR="00632695">
        <w:t>for</w:t>
      </w:r>
      <w:r w:rsidR="004B3D2C">
        <w:t xml:space="preserve"> </w:t>
      </w:r>
      <w:r w:rsidR="00094B5C">
        <w:t xml:space="preserve">associations with </w:t>
      </w:r>
      <w:r w:rsidR="00A170DD">
        <w:t>excessive</w:t>
      </w:r>
      <w:r w:rsidR="004B3D2C">
        <w:t xml:space="preserve"> </w:t>
      </w:r>
      <w:r w:rsidR="00A170DD">
        <w:t xml:space="preserve">alcohol use (i.e. at least five drinks before sex) </w:t>
      </w:r>
      <w:r w:rsidR="00094B5C">
        <w:t>or</w:t>
      </w:r>
      <w:r w:rsidR="004B3D2C">
        <w:t xml:space="preserve"> crystal methamphetamine</w:t>
      </w:r>
      <w:r w:rsidR="003351C5">
        <w:t xml:space="preserve">.  </w:t>
      </w:r>
      <w:r w:rsidR="00094B5C">
        <w:t xml:space="preserve">While several event-level </w:t>
      </w:r>
      <w:r w:rsidR="004D01E0">
        <w:t xml:space="preserve">case-crossover </w:t>
      </w:r>
      <w:r w:rsidR="00094B5C">
        <w:t xml:space="preserve">studies have demonstrated statistically significant associations between specific drug use and sexual risk behaviour </w:t>
      </w:r>
      <w:r w:rsidR="00B90C8D">
        <w:fldChar w:fldCharType="begin" w:fldLock="1"/>
      </w:r>
      <w:r w:rsidR="00030835">
        <w:instrText>ADDIN CSL_CITATION { "citationItems" : [ { "id" : "ITEM-1", "itemData" : { "DOI" : "10.1007/s10461-012-0167-4",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"ITEM-1", "issue" : "5", "issued" : { "date-parts" : [ [ "2013" ] ] }, "page" : "1883-1887", "publisher-place" : "United States", "title" : "Substance use and sexual risk behavior in HIV-positive men who have sex with men: An episode-level analysis.", "type" : "article-journal", "volume" : "17" }, "uris" : [ "http://www.mendeley.com/documents/?uuid=260cfa18-781d-4a03-82e5-0b3bec386e42" ] }, { "id" : "ITEM-2", "itemData" : { "DOI" : "10.1093/aje/kwh135",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"ITEM-2", "issue" : "10", "issued" : { "date-parts" : [ [ "2004" ] ] }, "note" : "From Duplicate 1 ( ", "page" : "1002-1012", "title" : "Substance use and sexual risk: A participant- and episode-level analysis among a cohort of men who have sex with men", "type" : "article-journal", "volume" : "159" }, "uris" : [ "http://www.mendeley.com/documents/?uuid=0bdce725-f385-4ef4-b137-b8f3182036ff" ] }, { "id" : "ITEM-3", "itemData" : { "DOI" : "10.1080/10826080701212519", "ISBN" : "1082-6084, 1082-6084", "ISSN" : "1082-6084", "abstract" : "A 2004 - 2005 survey among 503 men who have sex with men who attend public venues in New York City was used to examine the relationship of amphetamine use with sexual risk behaviors. Among the men recruited, 51.1% were under 30 years of age, 27.4% were Latino, and 23.3% were African American. Most identified as either gay ( 78.9%) or bisexual ( 18.1%). A standardized questionnaire collected data on demographics, sexual risk behaviors, drug and alcohol use, history of HIV testing, and occurrences of sexually transmitted infections. Amphetamine use in the past year was reported by 13.8%. Of those, 71.0% used amphetamines with sex. Amphetamine use was associated with unprotected receptive anal intercourse with non- main partners. In event- specific analysis, amphetamine use was higher with unprotected encounters compared with protected encounters. This study confirms the association between amphetamine use and sexual risk furthers our understanding of risky circumstances and lays the groundwork for the design of interventions.", "author" : [ { "dropping-particle" : "", "family" : "Koblin", "given" : "Beryl A", "non-dropping-particle" : "", "parse-names" : false, "suffix" : "" }, { "dropping-particle" : "", "family" : "Murrill", "given" : "Christopher", "non-dropping-particle" : "", "parse-names" : false, "suffix" : "" }, { "dropping-particle" : "", "family" : "Camacho", "given" : "Michael", "non-dropping-particle" : "", "parse-names" : false, "suffix" : "" }, { "dropping-particle" : "", "family" : "Xu", "given" : "Guozhen", "non-dropping-particle" : "", "parse-names" : false, "suffix" : "" }, { "dropping-particle" : "", "family" : "Liu", "given" : "Kai-Lih", "non-dropping-particle" : "", "parse-names" : false, "suffix" : "" }, { "dropping-particle" : "", "family" : "Raj-Singh", "given" : "Shavvy", "non-dropping-particle" : "", "parse-names" : false, "suffix" : "" }, { "dropping-particle" : "", "family" : "Torian", "given" : "Lucia", "non-dropping-particle" : "", "parse-names" : false, "suffix" : "" } ], "chapter-number" : "1613", "container-title" : "SUBSTANCE USE &amp; MISUSE", "id" : "ITEM-3", "issue" : "10", "issued" : { "date-parts" : [ [ "2007" ] ] }, "page" : "1613-1628", "title" : "Amphetamine use and sexual risk among men who have sex with men: Results from the National HIV Behavioral Surveillance study - New York City", "type" : "article-journal", "volume" : "42" }, "uris" : [ "http://www.mendeley.com/documents/?uuid=d90094d3-f8c4-471b-adfa-ce402f3f9246" ] }, { "id" : "ITEM-4", "itemData" : { "DOI" : "10.1136/sti.2008.031583",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"ITEM-4", "issue" : "6", "issued" : { "date-parts" : [ [ "2008", "11" ] ] }, "page" : "506-508", "title" : "Situational predictors of sexual risk episodes among men with HIV who have sex with men", "type" : "article-journal", "volume" : "84" }, "uris" : [ "http://www.mendeley.com/documents/?uuid=9e7297a7-0d52-42d1-b7d7-43e0e12a7a78" ] } ], "mendeley" : { "formattedCitation" : "(2\u20135)", "plainTextFormattedCitation" : "(2\u20135)", "previouslyFormattedCitation" : "(2\u20135)" }, "properties" : { "noteIndex" : 0 }, "schema" : "https://github.com/citation-style-language/schema/raw/master/csl-citation.json" }</w:instrText>
      </w:r>
      <w:r w:rsidR="00B90C8D">
        <w:fldChar w:fldCharType="separate"/>
      </w:r>
      <w:r w:rsidR="00B16AAB" w:rsidRPr="00B16AAB">
        <w:rPr>
          <w:noProof/>
        </w:rPr>
        <w:t>(2–5)</w:t>
      </w:r>
      <w:r w:rsidR="00B90C8D">
        <w:fldChar w:fldCharType="end"/>
      </w:r>
      <w:r w:rsidR="00A51E53">
        <w:t xml:space="preserve">, others have demonstrated non-significant results </w:t>
      </w:r>
      <w:r w:rsidR="00B90C8D">
        <w:fldChar w:fldCharType="begin" w:fldLock="1"/>
      </w:r>
      <w:r w:rsidR="00030835">
        <w:instrText>ADDIN CSL_CITATION { "citationItems" : [ { "id" : "ITEM-1", "itemData" : { "ISBN" : "9780542509537; 0542509539", "abstract" : "A small and growing body of literature suggests that online sex seeking among men who have sex with men (MSM) is associated with risk for HIV. Little is known of the possible mechanisms that account for the relation between Internet use and HIV risk. Internet technology offers advantages for collecting daily reports of online and sexual activities; however, no studies have utilized a web-based daily data collection method. To gain a greater understanding of the relation between online sex seeking and HIV risk, 45 sexually-active, Internet-using MSM completed a four-week daily web diary of their Internet use and sexual activities, followed by a retrospective recall survey of their sexual behaviors during the diary period. Results revealed that men who completed the study were significantly more likely to be non-White, older, and more educated than drop-outs. Men indicated that most of their sexual partners were met online and had disclosed their HIV status. Similar sexual risk activities with Internet and non-Internet partners were reported, as well as similar degrees of trust for new online and offline sexual partners. Men who went online seeking sexual partners the most were at less risk for having unprotected anal intercourse (UAI) with their Internet partners, despite having high levels of sexual sensation seeking, than men who use the Internet less often for this purpose. Men's estimates of sexual activities derived through the daily diary and retrospective recall data collection methods were similar, and men rated the web diary method favorably. Overall, the results suggest that the Internet primarily serves as a new avenue by which groups of high risk MSM enact well-established sexual risk-taking behaviors, although HIV status may be more easily disclosed online. Interventions should target men who sporadically go online seeking sex partners, as they appear to be at high risk for UAI. Web-based diaries appear to be a promising data collection tool for event sampling.", "author" : [ { "dropping-particle" : "", "family" : "Horvath", "given" : "Keith J", "non-dropping-particle" : "", "parse-names" : false, "suffix" : "" } ], "collection-title" : "Dissertation Abstracts International", "container-title" : "ProQuest Dissertations and Theses", "id" : "ITEM-1", "issue" : "1-B", "issued" : { "date-parts" : [ [ "2005" ] ] }, "language" : "English", "note" : "From Duplicate 1 ( ", "number-of-pages" : "94-94 p.", "publisher" : "University of Wyoming", "publisher-place" : "Ann Arbor", "title" : "The use of a daily web diary to examine the relation between online sex seeking and HIV risk among internet-using men who have sex with men.", "type" : "thesis", "volume" : "67" }, "uris" : [ "http://www.mendeley.com/documents/?uuid=84192671-bd0d-4d32-830d-3e51a89b921a" ] }, { "id" : "ITEM-2",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"ITEM-2", "issue" : "1", "issued" : { "date-parts" : [ [ "2005" ] ] }, "note" : "From Duplicate 2 ( ", "page" : "23-32", "title" : "Contexts for last occasions of unprotected anal intercourse among HIV-negative gay men in Sydney: the health in men cohort.", "type" : "article-journal", "volume" : "17" }, "uris" : [ "http://www.mendeley.com/documents/?uuid=e28415b8-0d6c-457e-b3d1-53f26fd4dd9a" ] } ], "mendeley" : { "formattedCitation" : "(6,7)", "plainTextFormattedCitation" : "(6,7)", "previouslyFormattedCitation" : "(6,7)" }, "properties" : { "noteIndex" : 0 }, "schema" : "https://github.com/citation-style-language/schema/raw/master/csl-citation.json" }</w:instrText>
      </w:r>
      <w:r w:rsidR="00B90C8D">
        <w:fldChar w:fldCharType="separate"/>
      </w:r>
      <w:r w:rsidR="00B16AAB" w:rsidRPr="00B16AAB">
        <w:rPr>
          <w:noProof/>
        </w:rPr>
        <w:t>(6,7)</w:t>
      </w:r>
      <w:r w:rsidR="00B90C8D">
        <w:fldChar w:fldCharType="end"/>
      </w:r>
      <w:r w:rsidR="00A51E53">
        <w:t xml:space="preserve">.  </w:t>
      </w:r>
      <w:r w:rsidR="003351C5">
        <w:t xml:space="preserve">In addition, </w:t>
      </w:r>
      <w:r w:rsidR="00A51E53">
        <w:t>few event-level</w:t>
      </w:r>
      <w:r w:rsidR="003351C5">
        <w:t xml:space="preserve"> studies </w:t>
      </w:r>
      <w:r w:rsidR="00A51E53">
        <w:t xml:space="preserve">have </w:t>
      </w:r>
      <w:r w:rsidR="003351C5">
        <w:t xml:space="preserve">specifically </w:t>
      </w:r>
      <w:r w:rsidR="00660996">
        <w:t>examine</w:t>
      </w:r>
      <w:r w:rsidR="00BD0585">
        <w:t>d</w:t>
      </w:r>
      <w:r w:rsidR="00660996">
        <w:t xml:space="preserve"> </w:t>
      </w:r>
      <w:r w:rsidR="003351C5">
        <w:t xml:space="preserve">the context of multipartner </w:t>
      </w:r>
      <w:r w:rsidR="006D6938">
        <w:t xml:space="preserve">sexual </w:t>
      </w:r>
      <w:r w:rsidR="003351C5">
        <w:t xml:space="preserve">encounters, </w:t>
      </w:r>
      <w:r w:rsidR="00660996">
        <w:t xml:space="preserve">i.e. </w:t>
      </w:r>
      <w:r w:rsidR="003351C5">
        <w:t xml:space="preserve">encounters in which three </w:t>
      </w:r>
      <w:r w:rsidR="005E2D8F">
        <w:t xml:space="preserve">or more </w:t>
      </w:r>
      <w:r w:rsidR="00C9321B">
        <w:t xml:space="preserve">participants </w:t>
      </w:r>
      <w:r w:rsidR="003351C5">
        <w:t xml:space="preserve">are </w:t>
      </w:r>
      <w:r w:rsidR="006D6938">
        <w:t>involved</w:t>
      </w:r>
      <w:r w:rsidR="003351C5">
        <w:t xml:space="preserve">.  </w:t>
      </w:r>
      <w:r w:rsidR="004D01E0">
        <w:t xml:space="preserve">One study examining the most recent multipartner encounter reported by MSM in Australia </w:t>
      </w:r>
      <w:r w:rsidR="009A00CC">
        <w:t xml:space="preserve">noted that methamphetamine use and binge drinking were both associated with </w:t>
      </w:r>
      <w:r w:rsidR="005E1ACD">
        <w:t>unprotected anal intercourse (</w:t>
      </w:r>
      <w:r w:rsidR="009A00CC">
        <w:t>UAI</w:t>
      </w:r>
      <w:r w:rsidR="005E1ACD">
        <w:t>)</w:t>
      </w:r>
      <w:r w:rsidR="009A00CC">
        <w:t xml:space="preserve"> </w:t>
      </w:r>
      <w:r w:rsidR="005E1ACD">
        <w:t xml:space="preserve">between HIV </w:t>
      </w:r>
      <w:r w:rsidR="00C9321B">
        <w:t>sero</w:t>
      </w:r>
      <w:r w:rsidR="005E1ACD">
        <w:t xml:space="preserve">nonconcordant partners </w:t>
      </w:r>
      <w:r w:rsidR="00B90C8D">
        <w:fldChar w:fldCharType="begin" w:fldLock="1"/>
      </w:r>
      <w:r w:rsidR="00030835">
        <w:instrText>ADDIN CSL_CITATION { "citationItems" : [ { "id" : "ITEM-1", "itemData" : { "ISBN" : "1448-5028", "abstract" : "BACKGROUND: Drug use has been associated with risk behaviour among gay men. We examined the use of drugs and sexual risk behaviour among homosexually-active men who engaged in group sex in Australia., METHODS: We used an anonymous, self-complete survey about participants' most recent occasion of group sex with other men and in-depth interviews with a small number of these survey participants. The 746 men who reported having engaged in group sex within the previous 6 months were included in these analyses., RESULTS: Among 746 men who engaged in group sex within the previous 6 months, 63.0% reported using illicit drugs at the group sex encounter. Men commonly reported using drugs specifically to enhance their sexual experience and to intensify the pleasure of that experience. After controlling for each drug type and other risk factors, only use of methamphetamine (odds ratio = 1.74, confidence interval = 1.06-2.88, P = 0.030) and having more than five drinks (odds ratio = 2.41, confidence interval = 1.34-4.33, P = 0.003) were independently associated with unprotected anal intercourse with non-HIV seroconcordant partners in multivariate analysis., CONCLUSION: Methamphetamine and heavy alcohol use are associated with increased sexual risk behaviour among men who engage in group sex. Within more 'adventurous' gay community subcultures, drug use is often for the explicit purpose of enhancing the sexual experience and this complex relationship may be key to understanding HIV risk among these men.", "author" : [ { "dropping-particle" : "", "family" : "Prestage", "given" : "Garrett", "non-dropping-particle" : "", "parse-names" : false, "suffix" : "" }, { "dropping-particle" : "", "family" : "Grierson", "given" : "Jeffrey", "non-dropping-particle" : "", "parse-names" : false, "suffix" : "" }, { "dropping-particle" : "", "family" : "Bradley", "given" : "Jack", "non-dropping-particle" : "", "parse-names" : false, "suffix" : "" }, { "dropping-particle" : "", "family" : "Hurley", "given" : "Michael", "non-dropping-particle" : "", "parse-names" : false, "suffix" : "" }, { "dropping-particle" : "", "family" : "Hudson", "given" : "Jeff", "non-dropping-particle" : "", "parse-names" : false, "suffix" : "" }, { "dropping-particle" : "", "family" : "G.", "given" : "Prestage", "non-dropping-particle" : "", "parse-names" : false, "suffix" : "" }, { "dropping-particle" : "", "family" : "J.", "given" : "Grierson", "non-dropping-particle" : "", "parse-names" : false, "suffix" : "" }, { "dropping-particle" : "", "family" : "J.", "given" : "Bradley", "non-dropping-particle" : "", "parse-names" : false, "suffix" : "" }, { "dropping-particle" : "", "family" : "M.", "given" : "Hurley", "non-dropping-particle" : "", "parse-names" : false, "suffix" : "" }, { "dropping-particle" : "", "family" : "J.", "given" : "Hudson", "non-dropping-particle" : "", "parse-names" : false, "suffix" : "" } ], "container-title" : "Sexual health", "id" : "ITEM-1", "issue" : "4", "issued" : { "date-parts" : [ [ "2009" ] ] }, "page" : "310-317", "title" : "The role of drugs during group sex among gay men in Australia.", "type" : "article", "volume" : "6" }, "uris" : [ "http://www.mendeley.com/documents/?uuid=dc54bfde-63ab-483f-80f4-f3cdaae2c168" ] } ], "mendeley" : { "formattedCitation" : "(8)", "plainTextFormattedCitation" : "(8)", "previouslyFormattedCitation" : "(8)" }, "properties" : { "noteIndex" : 0 }, "schema" : "https://github.com/citation-style-language/schema/raw/master/csl-citation.json" }</w:instrText>
      </w:r>
      <w:r w:rsidR="00B90C8D">
        <w:fldChar w:fldCharType="separate"/>
      </w:r>
      <w:r w:rsidR="00B16AAB" w:rsidRPr="00B16AAB">
        <w:rPr>
          <w:noProof/>
        </w:rPr>
        <w:t>(8)</w:t>
      </w:r>
      <w:r w:rsidR="00B90C8D">
        <w:fldChar w:fldCharType="end"/>
      </w:r>
      <w:r w:rsidR="009A00CC">
        <w:t xml:space="preserve">.  </w:t>
      </w:r>
      <w:r w:rsidR="00A61180">
        <w:t xml:space="preserve">Another event-level analysis comparing different types of multipartner encounters reported by MSM suggests that drugs are associated with increased odds of the multipartner encounter being unplanned group sex as compared to threesomes or organised sex parties </w:t>
      </w:r>
      <w:r w:rsidR="00B90C8D">
        <w:fldChar w:fldCharType="begin" w:fldLock="1"/>
      </w:r>
      <w:r w:rsidR="00B16AAB">
        <w:instrText>ADDIN CSL_CITATION { "citationItems" : [ { "id" : "ITEM-1", "itemData" : { "abstract" : "Introduction: Researchers have investigated group sexual encounters (GSEs) as potential sources for HIV/STI transmission among men who have sex with men (MSM); however, much of this work has focused on organized sex parties. Aim: To compare behavioral and social characteristics of groups of men who engaged in three types of GSEs: threesomes, spontaneous group sex, and organized sex parties. Methods: In 2012, 1,815 U.S.-based MSM completed an online survey. Main Outcome Measure: We compared men based on their most recent type of GSE: threesome (68.2%), spontaneous group sex (19.7%), or organized sex party (12.1%). Results: Using multinomial logistic regression, with type of GSE as the dependent variable, MSM who were HIV-positive, used stimulants (cocaine, methamphetamine, crack), consumed five or more alcoholic drinks, and reported receptive unprotected anal intercourse (UAI) during the most recent GSE had significantly higher odds of having had spontaneous group sex as compared to a threesome. MSM who were HIV-positive, not in a relationship, and did not report receptive UAI during the most recent GSE had significantly higher odds of having attended an organized sex party as compared to a threesome. MSM who were in a relationship, had consumed five or more alcoholic drinks, had used stimulants, and reported receptive UAI during the most recent GSE had significantly higher odds of having had spontaneous group sex as compared to an organized sex party. Compared to others, those having engaged in a GSE were more likely to report recent UAI (65% vs. 45%). Conclusions: Men having engaged in a GSE were at greater risk for behaviors that transmit HIV and STIs. Unique social and behavioral characteristics inherent to threesomes, spontaneous group sex, and sex parties highlight the need to identify prevention strategies to help those who participate in GSEs reduce their risk for HIV and STI transmission. (PsycINFO Database Record (c) 2013 APA, all rights reserved) (journal abstract).", "author" : [ { "dropping-particle" : "", "family" : "Grov", "given" : "Christian", "non-dropping-particle" : "", "parse-names" : false, "suffix" : "" }, { "dropping-particle" : "", "family" : "Rendina", "given" : "H Jonathon", "non-dropping-particle" : "", "parse-names" : false, "suffix" : "" }, { "dropping-particle" : "", "family" : "Ventuneac", "given" : "Ana", "non-dropping-particle" : "", "parse-names" : false, "suffix" : "" }, { "dropping-particle" : "", "family" : "Parsons", "given" : "Jeffrey T", "non-dropping-particle" : "", "parse-names" : false, "suffix" : "" } ], "container-title" : "Journal of Sexual Medicine", "id" : "ITEM-1", "issue" : "9", "issued" : { "date-parts" : [ [ "2013" ] ] }, "page" : "2285-2294", "title" : "HIV risk in group sexual encounters: An event-level analysis from a national online survey of MSM in the U. S", "type" : "article-journal", "volume" : "10" }, "uris" : [ "http://www.mendeley.com/documents/?uuid=969f91ae-7f10-49ab-b00a-ecb63a9f61a1" ] } ], "mendeley" : { "formattedCitation" : "(9)", "plainTextFormattedCitation" : "(9)", "previouslyFormattedCitation" : "(9)" }, "properties" : { "noteIndex" : 0 }, "schema" : "https://github.com/citation-style-language/schema/raw/master/csl-citation.json" }</w:instrText>
      </w:r>
      <w:r w:rsidR="00B90C8D">
        <w:fldChar w:fldCharType="separate"/>
      </w:r>
      <w:r w:rsidR="00B16AAB" w:rsidRPr="00B16AAB">
        <w:rPr>
          <w:noProof/>
        </w:rPr>
        <w:t>(9)</w:t>
      </w:r>
      <w:r w:rsidR="00B90C8D">
        <w:fldChar w:fldCharType="end"/>
      </w:r>
      <w:r w:rsidR="001B1BB3">
        <w:t>.</w:t>
      </w:r>
    </w:p>
    <w:p w14:paraId="44F4600C" w14:textId="759B25F5" w:rsidR="003351C5" w:rsidRDefault="001B1BB3" w:rsidP="007131C4">
      <w:pPr>
        <w:spacing w:line="480" w:lineRule="auto"/>
      </w:pPr>
      <w:r>
        <w:tab/>
        <w:t xml:space="preserve">It is important to understand contexts and correlates of multipartner sex because observations about dyadic encounters may not be generalisable to such encounters.  Multipartner encounters may be an especially salient setting for ‘chemsex’, </w:t>
      </w:r>
      <w:r w:rsidR="005E1ACD">
        <w:t xml:space="preserve">the intentional combining of </w:t>
      </w:r>
      <w:r>
        <w:t xml:space="preserve">sex </w:t>
      </w:r>
      <w:r w:rsidR="005E1ACD">
        <w:t xml:space="preserve">with drugs, typically </w:t>
      </w:r>
      <w:r>
        <w:t xml:space="preserve">crystal methamphetamine, GHB or mephedrone </w:t>
      </w:r>
      <w:r w:rsidR="00B90C8D">
        <w:fldChar w:fldCharType="begin" w:fldLock="1"/>
      </w:r>
      <w:r w:rsidR="00B16AAB">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"mendeley" : { "formattedCitation" : "(10)", "plainTextFormattedCitation" : "(10)", "previouslyFormattedCitation" : "(10)" }, "properties" : { "noteIndex" : 0 }, "schema" : "https://github.com/citation-style-language/schema/raw/master/csl-citation.json" }</w:instrText>
      </w:r>
      <w:r w:rsidR="00B90C8D">
        <w:fldChar w:fldCharType="separate"/>
      </w:r>
      <w:r w:rsidR="00B16AAB" w:rsidRPr="00B16AAB">
        <w:rPr>
          <w:noProof/>
        </w:rPr>
        <w:t>(10)</w:t>
      </w:r>
      <w:r w:rsidR="00B90C8D">
        <w:fldChar w:fldCharType="end"/>
      </w:r>
      <w:r>
        <w:t xml:space="preserve">.  </w:t>
      </w:r>
      <w:r w:rsidR="003351C5">
        <w:t xml:space="preserve">Multipartner encounters are </w:t>
      </w:r>
      <w:r>
        <w:t xml:space="preserve">also </w:t>
      </w:r>
      <w:r w:rsidR="003351C5">
        <w:t xml:space="preserve">a </w:t>
      </w:r>
      <w:r w:rsidR="005E2D8F">
        <w:t xml:space="preserve">defining </w:t>
      </w:r>
      <w:r w:rsidR="003351C5">
        <w:t xml:space="preserve">feature of sex-on-premises venues (SOPVs), including </w:t>
      </w:r>
      <w:r w:rsidR="00BD0585">
        <w:t xml:space="preserve">saunas and </w:t>
      </w:r>
      <w:r w:rsidR="005E2D8F">
        <w:t xml:space="preserve">backrooms of </w:t>
      </w:r>
      <w:r w:rsidR="00E30F53">
        <w:t>gay bars and clubs</w:t>
      </w:r>
      <w:r w:rsidR="003351C5">
        <w:t>, and</w:t>
      </w:r>
      <w:r w:rsidR="005E2D8F">
        <w:t xml:space="preserve"> also</w:t>
      </w:r>
      <w:r w:rsidR="003351C5">
        <w:t xml:space="preserve"> occur </w:t>
      </w:r>
      <w:r w:rsidR="001A30A7">
        <w:t xml:space="preserve">at </w:t>
      </w:r>
      <w:r w:rsidR="003351C5">
        <w:t>organised sex parties</w:t>
      </w:r>
      <w:r w:rsidR="00656BA2">
        <w:t xml:space="preserve"> in </w:t>
      </w:r>
      <w:r w:rsidR="001A30A7">
        <w:t>hotel rooms and private homes</w:t>
      </w:r>
      <w:r w:rsidR="003351C5">
        <w:t xml:space="preserve"> </w:t>
      </w:r>
      <w:r w:rsidR="00B90C8D">
        <w:fldChar w:fldCharType="begin" w:fldLock="1"/>
      </w:r>
      <w:r w:rsidR="00CB369F">
        <w:instrText>ADDIN CSL_CITATION { "citationItems" : [ { "id" : "ITEM-1", "itemData" : { "DOI" : "10.1080/13691050902721853", "ISSN" : "1369-1058", "abstract" : "Intensive sex partying is a framework developed to analyse specific frequent behaviours amongst a small minority of gay men in Sydney, Australia. The behaviours included a higher frequency of dance party attendance, more frequent sex, more anal sex, multiple sex partners, more unprotected anal intercourse with casual partners and more frequent drug taking. These occur at a contextual intersection between a sub-group of sexually adventurous gay men and 'party boys'. The men appear to be involved in both high-risk, adventurous sex practices and a specific form of partying distinguishable from dance partying and 'clubbing'. Sex partying occurs on multiple sites (domestic spaces; within dance parties; sex parties; sex-on-premises venues) and appears to be geared to the maximisation of sexual pleasure. Intensive sex partying describes this coincidence of factors and locates them in relation to the multiple pleasures offered by sex partying. It emphasises the importance of 'intensity' in order to understand better the relations between sex, drug use, pleasure, care and risk in some gay men's lives.", "author" : [ { "dropping-particle" : "", "family" : "Hurley", "given" : "M", "non-dropping-particle" : "", "parse-names" : false, "suffix" : "" }, { "dropping-particle" : "", "family" : "Prestage", "given" : "G", "non-dropping-particle" : "", "parse-names" : false, "suffix" : "" } ], "container-title" : "Culture, Health &amp; Sexuality", "id" : "ITEM-1", "issue" : "6", "issued" : { "date-parts" : [ [ "2009" ] ] }, "page" : "597-610", "title" : "Intensive sex partying amongst gay men in Sydney.", "type" : "article-journal", "volume" : "11" }, "uris" : [ "http://www.mendeley.com/documents/?uuid=6a9aa746-2ffc-4e2c-a5d0-812265352b48" ] }, { "id" : "ITEM-2", "itemData" : { "ISBN" : "1468-2869", "abstract" : "Very little information exists with regard to sex party behaviors in young men who have sex with men (YMSM), often defined as men ranging in age from 13 to 29 years. The current analysis examines sex party attendance and behavior in a sample of 540 emergent adult gay, bisexual, and other YMSM in New York City, ages 18-29 years. Findings indicate that 8.7% (n[THIN SPACE]=[THIN SPACE]47) of the sample had attended a sex party 3 months prior to assessment. Sex party attendees reported that parties included both HIV-positive and HIV-negative men; attendees also reported unprotected sex and limited access to condoms and lubricant. As compared with those who did not attend sex parties, those who did indicated significantly more lifetime and recent (last 3 months) casual sex partners, drug use (both number of different drugs used and total lifetime use), psychosocial burden (history of partner violence and number of arrests), and total syndemic burden (a composite of unprotected anal sex, drug use and psychosocial burden). These results indicate that while only a small percentage of the overall sample attended sex parties, the intersection of both individual risk factors coupled with risk factors engendered within the sex party environment itself has the potential to be a catalyst in the proliferation of the HIV/AIDS epidemic in urban settings. Lastly, given that sex parties are different than other sex environments, commercial and public, with regard to how they are accessed, public health strategies may need to become more tailored in order to reach this potentially highly risky group.", "author" : [ { "dropping-particle" : "", "family" : "Solomon", "given" : "Todd M", "non-dropping-particle" : "", "parse-names" : false, "suffix" : "" }, { "dropping-particle" : "", "family" : "Halkitis", "given" : "Perry N", "non-dropping-particle" : "", "parse-names" : false, "suffix" : "" }, { "dropping-particle" : "", "family" : "Moeller", "given" : "Robert M", "non-dropping-particle" : "", "parse-names" : false, "suffix" : "" }, { "dropping-particle" : "", "family" : "Siconolfi", "given" : "Daniel E", "non-dropping-particle" : "", "parse-names" : false, "suffix" : "" }, { "dropping-particle" : "V", "family" : "Kiang", "given" : "Mathew", "non-dropping-particle" : "", "parse-names" : false, "suffix" : "" }, { "dropping-particle" : "", "family" : "Barton", "given" : "Staci C", "non-dropping-particle" : "", "parse-names" : false, "suffix" : "" } ], "container-title" : "Journal of Urban Health", "id" : "ITEM-2", "issue" : "6", "issued" : { "date-parts" : [ [ "2011" ] ] }, "page" : "1063-1075", "title" : "Sex parties among young gay, bisexual, and other men who have sex with men in New York City: attendance and behavior.", "type" : "article", "volume" : "88" }, "uris" : [ "http://www.mendeley.com/documents/?uuid=0b8b5da0-c1b3-4fea-bbdf-12b792b2fabe" ] }, { "id" : "ITEM-3", "itemData" : { "abstract" : "Introduction: Researchers have investigated group sexual encounters (GSEs) as potential sources for HIV/STI transmission among men who have sex with men (MSM); however, much of this work has focused on organized sex parties. Aim: To compare behavioral and social characteristics of groups of men who engaged in three types of GSEs: threesomes, spontaneous group sex, and organized sex parties. Methods: In 2012, 1,815 U.S.-based MSM completed an online survey. Main Outcome Measure: We compared men based on their most recent type of GSE: threesome (68.2%), spontaneous group sex (19.7%), or organized sex party (12.1%). Results: Using multinomial logistic regression, with type of GSE as the dependent variable, MSM who were HIV-positive, used stimulants (cocaine, methamphetamine, crack), consumed five or more alcoholic drinks, and reported receptive unprotected anal intercourse (UAI) during the most recent GSE had significantly higher odds of having had spontaneous group sex as compared to a threesome. MSM who were HIV-positive, not in a relationship, and did not report receptive UAI during the most recent GSE had significantly higher odds of having attended an organized sex party as compared to a threesome. MSM who were in a relationship, had consumed five or more alcoholic drinks, had used stimulants, and reported receptive UAI during the most recent GSE had significantly higher odds of having had spontaneous group sex as compared to an organized sex party. Compared to others, those having engaged in a GSE were more likely to report recent UAI (65% vs. 45%). Conclusions: Men having engaged in a GSE were at greater risk for behaviors that transmit HIV and STIs. Unique social and behavioral characteristics inherent to threesomes, spontaneous group sex, and sex parties highlight the need to identify prevention strategies to help those who participate in GSEs reduce their risk for HIV and STI transmission. (PsycINFO Database Record (c) 2013 APA, all rights reserved) (journal abstract).", "author" : [ { "dropping-particle" : "", "family" : "Grov", "given" : "Christian", "non-dropping-particle" : "", "parse-names" : false, "suffix" : "" }, { "dropping-particle" : "", "family" : "Rendina", "given" : "H Jonathon", "non-dropping-particle" : "", "parse-names" : false, "suffix" : "" }, { "dropping-particle" : "", "family" : "Ventuneac", "given" : "Ana", "non-dropping-particle" : "", "parse-names" : false, "suffix" : "" }, { "dropping-particle" : "", "family" : "Parsons", "given" : "Jeffrey T", "non-dropping-particle" : "", "parse-names" : false, "suffix" : "" } ], "container-title" : "Journal of Sexual Medicine", "id" : "ITEM-3", "issue" : "9", "issued" : { "date-parts" : [ [ "2013" ] ] }, "page" : "2285-2294", "title" : "HIV risk in group sexual encounters: An event-level analysis from a national online survey of MSM in the U. S", "type" : "article-journal", "volume" : "10" }, "uris" : [ "http://www.mendeley.com/documents/?uuid=969f91ae-7f10-49ab-b00a-ecb63a9f61a1" ] } ], "mendeley" : { "formattedCitation" : "(9,11,12)", "plainTextFormattedCitation" : "(9,11,12)", "previouslyFormattedCitation" : "(9,11,12)" }, "properties" : { "noteIndex" : 0 }, "schema" : "https://github.com/citation-style-language/schema/raw/master/csl-citation.json" }</w:instrText>
      </w:r>
      <w:r w:rsidR="00B90C8D">
        <w:fldChar w:fldCharType="separate"/>
      </w:r>
      <w:r w:rsidR="00B16AAB" w:rsidRPr="00B16AAB">
        <w:rPr>
          <w:noProof/>
        </w:rPr>
        <w:t>(9,11,12)</w:t>
      </w:r>
      <w:r w:rsidR="00B90C8D">
        <w:fldChar w:fldCharType="end"/>
      </w:r>
      <w:r w:rsidR="003351C5">
        <w:t xml:space="preserve">.  </w:t>
      </w:r>
      <w:r w:rsidR="00BD0585">
        <w:t xml:space="preserve">SOPVs </w:t>
      </w:r>
      <w:r w:rsidR="00633821">
        <w:t xml:space="preserve">are of particular </w:t>
      </w:r>
      <w:r w:rsidR="001A30A7">
        <w:t xml:space="preserve">concern </w:t>
      </w:r>
      <w:r w:rsidR="00633821">
        <w:t xml:space="preserve">to HIV </w:t>
      </w:r>
      <w:r w:rsidR="00660996">
        <w:t>health promot</w:t>
      </w:r>
      <w:r w:rsidR="00B53BE1">
        <w:t>e</w:t>
      </w:r>
      <w:r w:rsidR="00660996">
        <w:t>rs</w:t>
      </w:r>
      <w:r w:rsidR="00633821">
        <w:t xml:space="preserve"> as multipartner encounters, particularly with anonymous partners, may facilitate the mixing of </w:t>
      </w:r>
      <w:r w:rsidR="00660996">
        <w:t xml:space="preserve">men drawn from </w:t>
      </w:r>
      <w:r w:rsidR="00633821">
        <w:t xml:space="preserve">sexual networks </w:t>
      </w:r>
      <w:r w:rsidR="00F705FF">
        <w:t xml:space="preserve">with different levels of HIV prevalence and infectivity </w:t>
      </w:r>
      <w:r w:rsidR="00B90C8D">
        <w:fldChar w:fldCharType="begin" w:fldLock="1"/>
      </w:r>
      <w:r w:rsidR="00CB369F">
        <w:instrText>ADDIN CSL_CITATION { "citationItems" : [ { "id" : "ITEM-1", "itemData" : { "abstract" : "Introduction: Researchers have investigated group sexual encounters (GSEs) as potential sources for HIV/STI transmission among men who have sex with men (MSM); however, much of this work has focused on organized sex parties. Aim: To compare behavioral and social characteristics of groups of men who engaged in three types of GSEs: threesomes, spontaneous group sex, and organized sex parties. Methods: In 2012, 1,815 U.S.-based MSM completed an online survey. Main Outcome Measure: We compared men based on their most recent type of GSE: threesome (68.2%), spontaneous group sex (19.7%), or organized sex party (12.1%). Results: Using multinomial logistic regression, with type of GSE as the dependent variable, MSM who were HIV-positive, used stimulants (cocaine, methamphetamine, crack), consumed five or more alcoholic drinks, and reported receptive unprotected anal intercourse (UAI) during the most recent GSE had significantly higher odds of having had spontaneous group sex as compared to a threesome. MSM who were HIV-positive, not in a relationship, and did not report receptive UAI during the most recent GSE had significantly higher odds of having attended an organized sex party as compared to a threesome. MSM who were in a relationship, had consumed five or more alcoholic drinks, had used stimulants, and reported receptive UAI during the most recent GSE had significantly higher odds of having had spontaneous group sex as compared to an organized sex party. Compared to others, those having engaged in a GSE were more likely to report recent UAI (65% vs. 45%). Conclusions: Men having engaged in a GSE were at greater risk for behaviors that transmit HIV and STIs. Unique social and behavioral characteristics inherent to threesomes, spontaneous group sex, and sex parties highlight the need to identify prevention strategies to help those who participate in GSEs reduce their risk for HIV and STI transmission. (PsycINFO Database Record (c) 2013 APA, all rights reserved) (journal abstract).", "author" : [ { "dropping-particle" : "", "family" : "Grov", "given" : "Christian", "non-dropping-particle" : "", "parse-names" : false, "suffix" : "" }, { "dropping-particle" : "", "family" : "Rendina", "given" : "H Jonathon", "non-dropping-particle" : "", "parse-names" : false, "suffix" : "" }, { "dropping-particle" : "", "family" : "Ventuneac", "given" : "Ana", "non-dropping-particle" : "", "parse-names" : false, "suffix" : "" }, { "dropping-particle" : "", "family" : "Parsons", "given" : "Jeffrey T", "non-dropping-particle" : "", "parse-names" : false, "suffix" : "" } ], "container-title" : "Journal of Sexual Medicine", "id" : "ITEM-1", "issue" : "9", "issued" : { "date-parts" : [ [ "2013" ] ] }, "page" : "2285-2294", "title" : "HIV risk in group sexual encounters: An event-level analysis from a national online survey of MSM in the U. S", "type" : "article-journal", "volume" : "10" }, "uris" : [ "http://www.mendeley.com/documents/?uuid=969f91ae-7f10-49ab-b00a-ecb63a9f61a1" ] }, { "id" : "ITEM-2", "itemData" : { "DOI" : "10.1097/01.olq.0000175394.81945.68", "ISSN" : "0148-5717", "author" : [ { "dropping-particle" : "", "family" : "Wohlfeiler", "given" : "Dan", "non-dropping-particle" : "", "parse-names" : false, "suffix" : "" }, { "dropping-particle" : "", "family" : "Potterat", "given" : "John J.", "non-dropping-particle" : "", "parse-names" : false, "suffix" : "" } ], "container-title" : "Sexually Transmitted Diseases", "id" : "ITEM-2", "issue" : "10 Suppl", "issued" : { "date-parts" : [ [ "2005" ] ] }, "page" : "S48-S52", "title" : "Using gay men's sexual networks to reduce sexually transmitted disease (STD)/human immunodeficiency virus (HIV) transmission", "type" : "article-journal", "volume" : "32" }, "uris" : [ "http://www.mendeley.com/documents/?uuid=44db74ca-9493-4ae7-a52c-a5a7064dc3ed" ] } ], "mendeley" : { "formattedCitation" : "(9,13)", "plainTextFormattedCitation" : "(9,13)", "previouslyFormattedCitation" : "(9,13)" }, "properties" : { "noteIndex" : 0 }, "schema" : "https://github.com/citation-style-language/schema/raw/master/csl-citation.json" }</w:instrText>
      </w:r>
      <w:r w:rsidR="00B90C8D">
        <w:fldChar w:fldCharType="separate"/>
      </w:r>
      <w:r w:rsidR="00B16AAB" w:rsidRPr="00B16AAB">
        <w:rPr>
          <w:noProof/>
        </w:rPr>
        <w:t>(9,13)</w:t>
      </w:r>
      <w:r w:rsidR="00B90C8D">
        <w:fldChar w:fldCharType="end"/>
      </w:r>
      <w:r w:rsidR="00633821">
        <w:t>.</w:t>
      </w:r>
    </w:p>
    <w:p w14:paraId="6E158C31" w14:textId="10C846C2" w:rsidR="0060060A" w:rsidRDefault="003351C5" w:rsidP="007131C4">
      <w:pPr>
        <w:spacing w:line="480" w:lineRule="auto"/>
      </w:pPr>
      <w:r>
        <w:tab/>
      </w:r>
      <w:r w:rsidR="000A514D">
        <w:t xml:space="preserve">In addition to the </w:t>
      </w:r>
      <w:r w:rsidR="005E1ACD">
        <w:t>scarcity</w:t>
      </w:r>
      <w:r w:rsidR="000A514D">
        <w:t xml:space="preserve"> of event-level evidence on multipartner encounters, t</w:t>
      </w:r>
      <w:r>
        <w:t xml:space="preserve">o our knowledge, no event-level studies examining </w:t>
      </w:r>
      <w:r w:rsidR="001A30A7">
        <w:t>drug</w:t>
      </w:r>
      <w:r>
        <w:t xml:space="preserve"> use in sexual encounters between men have examined outcomes </w:t>
      </w:r>
      <w:r w:rsidR="001A30A7">
        <w:t xml:space="preserve">other than </w:t>
      </w:r>
      <w:r>
        <w:t>risk behaviour</w:t>
      </w:r>
      <w:r w:rsidR="001A30A7">
        <w:t>s</w:t>
      </w:r>
      <w:r>
        <w:t xml:space="preserve">. </w:t>
      </w:r>
      <w:r w:rsidR="00633821">
        <w:t xml:space="preserve"> G</w:t>
      </w:r>
      <w:r>
        <w:t xml:space="preserve">iven that many MSM report </w:t>
      </w:r>
      <w:r w:rsidR="005E1ACD">
        <w:t xml:space="preserve">combining </w:t>
      </w:r>
      <w:r w:rsidR="001A30A7">
        <w:t>drug</w:t>
      </w:r>
      <w:r>
        <w:t xml:space="preserve">s </w:t>
      </w:r>
      <w:r w:rsidR="005E1ACD">
        <w:t xml:space="preserve">with </w:t>
      </w:r>
      <w:r>
        <w:t xml:space="preserve">sex </w:t>
      </w:r>
      <w:r w:rsidR="001A30A7">
        <w:t xml:space="preserve">in order to intensify </w:t>
      </w:r>
      <w:r>
        <w:t>sensation</w:t>
      </w:r>
      <w:r w:rsidR="001A30A7">
        <w:t>s</w:t>
      </w:r>
      <w:r>
        <w:t xml:space="preserve"> </w:t>
      </w:r>
      <w:r w:rsidR="00B90C8D">
        <w:fldChar w:fldCharType="begin" w:fldLock="1"/>
      </w:r>
      <w:r w:rsidR="00CB369F">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"id" : "ITEM-2",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"ITEM-2", "issue" : "3", "issued" : { "date-parts" : [ [ "2004" ] ] }, "note" : "From Duplicate 1 ( Drugs, space, and sociality in a gay nightclub in Sydney. - Slavin, Sean )", "page" : "265-295", "title" : "Drugs, space, and sociality in a gay nightclub in Sydney.", "type" : "article-journal", "volume" : "33" }, "uris" : [ "http://www.mendeley.com/documents/?uuid=de710868-38de-4ccc-8224-93c6ecb601d7" ] }, { "id" : "ITEM-3",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"ITEM-3", "issue" : "4", "issued" : { "date-parts" : [ [ "2006" ] ] }, "page" : "317-333", "title" : "Crystal methamphetamine and sexual sociality in an urban gay subculture: An elective affinity.", "type" : "article-journal", "volume" : "8" }, "uris" : [ "http://www.mendeley.com/documents/?uuid=53a12245-c624-4674-88f0-90ba26381367" ] } ], "mendeley" : { "formattedCitation" : "(10,14,15)", "plainTextFormattedCitation" : "(10,14,15)", "previouslyFormattedCitation" : "(10,14,15)" }, "properties" : { "noteIndex" : 0 }, "schema" : "https://github.com/citation-style-language/schema/raw/master/csl-citation.json" }</w:instrText>
      </w:r>
      <w:r w:rsidR="00B90C8D">
        <w:fldChar w:fldCharType="separate"/>
      </w:r>
      <w:r w:rsidR="00B16AAB" w:rsidRPr="00B16AAB">
        <w:rPr>
          <w:noProof/>
        </w:rPr>
        <w:t>(10,14,15)</w:t>
      </w:r>
      <w:r w:rsidR="00B90C8D">
        <w:fldChar w:fldCharType="end"/>
      </w:r>
      <w:r>
        <w:t xml:space="preserve">, pleasure as a sexual outcome is of interest. </w:t>
      </w:r>
      <w:r w:rsidR="00633821">
        <w:t xml:space="preserve"> Finally, </w:t>
      </w:r>
      <w:r w:rsidR="00D96FE9">
        <w:t xml:space="preserve">given that some qualitative reports have indicated that ‘diminished capacity’ </w:t>
      </w:r>
      <w:r w:rsidR="00B90C8D">
        <w:fldChar w:fldCharType="begin" w:fldLock="1"/>
      </w:r>
      <w:r w:rsidR="00CE61FF">
        <w:instrText>ADDIN CSL_CITATION { "citationItems" : [ { "id" : "ITEM-1", "itemData" : { "DOI" : "10.1080/13691058.2010.510610", "ISBN" : "1369-1058", "ISSN" : "1464-5351", "PMID" : "20830637", "abstract" : "Recently, there has been an increase in research dedicated to the topic of drug/alcohol use and unsafe sex among gay men. Findings of this work suggest that drug/alcohol use is particularly common within gay circuit parties (GCPs). More recently, this work has begun to suggest that further exploration is needed to understand the desires of gay men who use drugs and alcohol and who engage in unsafe sex. Based on the foregoing, an ethnographic study was undertaken with the goal of better understanding the role of desire in the sequence of drugs/alcohol and unsafe sex. This research was guided theoretically by Deleuze and Guattari's work on desire. Using this theoretical orientation, the results revealed that some GCP-goers intentionally use drugs/alcohol to form connections.", "author" : [ { "dropping-particle" : "", "family" : "O'Byrne", "given" : "Patrick", "non-dropping-particle" : "", "parse-names" : false, "suffix" : "" }, { "dropping-particle" : "", "family" : "Holmes", "given" : "Dave", "non-dropping-particle" : "", "parse-names" : false, "suffix" : "" } ], "container-title" : "Culture, Health &amp; Sexuality", "id" : "ITEM-1", "issue" : "1", "issued" : { "date-parts" : [ [ "2011" ] ] }, "page" : "1-13", "title" : "Desire, drug use and unsafe sex: a qualitative examination of gay men who attend gay circuit parties.", "type" : "article-journal", "volume" : "13" }, "uris" : [ "http://www.mendeley.com/documents/?uuid=4a56a6d1-54f2-42c7-b2b1-9db6e467c303" ] } ], "mendeley" : { "formattedCitation" : "(16)", "plainTextFormattedCitation" : "(16)", "previouslyFormattedCitation" : "(16)" }, "properties" : { "noteIndex" : 0 }, "schema" : "https://github.com/citation-style-language/schema/raw/master/csl-citation.json" }</w:instrText>
      </w:r>
      <w:r w:rsidR="00B90C8D">
        <w:fldChar w:fldCharType="separate"/>
      </w:r>
      <w:r w:rsidR="00B16AAB" w:rsidRPr="00B16AAB">
        <w:rPr>
          <w:noProof/>
        </w:rPr>
        <w:t>(16)</w:t>
      </w:r>
      <w:r w:rsidR="00B90C8D">
        <w:fldChar w:fldCharType="end"/>
      </w:r>
      <w:r w:rsidR="00D96FE9">
        <w:t xml:space="preserve"> or the inability to maintain safer sex norms established while sober </w:t>
      </w:r>
      <w:r w:rsidR="00B90C8D">
        <w:fldChar w:fldCharType="begin" w:fldLock="1"/>
      </w:r>
      <w:r w:rsidR="00CB369F">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"id" : "ITEM-2",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"ITEM-2", "issue" : "4", "issued" : { "date-parts" : [ [ "2006" ] ] }, "page" : "317-333", "title" : "Crystal methamphetamine and sexual sociality in an urban gay subculture: An elective affinity.", "type" : "article-journal", "volume" : "8" }, "uris" : [ "http://www.mendeley.com/documents/?uuid=53a12245-c624-4674-88f0-90ba26381367" ] } ], "mendeley" : { "formattedCitation" : "(10,15)", "plainTextFormattedCitation" : "(10,15)", "previouslyFormattedCitation" : "(10,15)" }, "properties" : { "noteIndex" : 0 }, "schema" : "https://github.com/citation-style-language/schema/raw/master/csl-citation.json" }</w:instrText>
      </w:r>
      <w:r w:rsidR="00B90C8D">
        <w:fldChar w:fldCharType="separate"/>
      </w:r>
      <w:r w:rsidR="00B16AAB" w:rsidRPr="00B16AAB">
        <w:rPr>
          <w:noProof/>
        </w:rPr>
        <w:t>(10,15)</w:t>
      </w:r>
      <w:r w:rsidR="00B90C8D">
        <w:fldChar w:fldCharType="end"/>
      </w:r>
      <w:r w:rsidR="00505552">
        <w:t xml:space="preserve"> follow from </w:t>
      </w:r>
      <w:r w:rsidR="001A30A7">
        <w:t>drug</w:t>
      </w:r>
      <w:r w:rsidR="00505552">
        <w:t xml:space="preserve"> use before sex, it is </w:t>
      </w:r>
      <w:r w:rsidR="00BD0585">
        <w:t xml:space="preserve">also </w:t>
      </w:r>
      <w:r w:rsidR="00505552">
        <w:t xml:space="preserve">of interest to examine control over sexual </w:t>
      </w:r>
      <w:r w:rsidR="00BD0585">
        <w:t xml:space="preserve">activity </w:t>
      </w:r>
      <w:r w:rsidR="00505552">
        <w:t>as an outcome.</w:t>
      </w:r>
    </w:p>
    <w:p w14:paraId="4BB019DA" w14:textId="1B362621" w:rsidR="00505552" w:rsidRPr="0060060A" w:rsidRDefault="00505552" w:rsidP="007131C4">
      <w:pPr>
        <w:spacing w:line="480" w:lineRule="auto"/>
      </w:pPr>
      <w:r>
        <w:tab/>
      </w:r>
      <w:r w:rsidR="00C9321B">
        <w:t>We used</w:t>
      </w:r>
      <w:r>
        <w:t xml:space="preserve"> a nested case-control </w:t>
      </w:r>
      <w:r w:rsidR="00660996">
        <w:t>design</w:t>
      </w:r>
      <w:r>
        <w:t xml:space="preserve"> with </w:t>
      </w:r>
      <w:r w:rsidR="00C9321B">
        <w:t xml:space="preserve">data on </w:t>
      </w:r>
      <w:r w:rsidR="00583BFF">
        <w:t xml:space="preserve">multipartner </w:t>
      </w:r>
      <w:r>
        <w:t xml:space="preserve">sexual encounters </w:t>
      </w:r>
      <w:r w:rsidR="00C9321B">
        <w:t xml:space="preserve">that were collected </w:t>
      </w:r>
      <w:r>
        <w:t xml:space="preserve">as part of a national longitudinal study of men </w:t>
      </w:r>
      <w:r w:rsidR="004A0C4B">
        <w:t xml:space="preserve">living in England </w:t>
      </w:r>
      <w:r>
        <w:t>who have sex with men</w:t>
      </w:r>
      <w:r w:rsidR="00E30F53">
        <w:t>.  We used these data</w:t>
      </w:r>
      <w:r w:rsidR="00C9321B">
        <w:t xml:space="preserve"> </w:t>
      </w:r>
      <w:r w:rsidR="00583BFF">
        <w:t>to describe and test associations between</w:t>
      </w:r>
      <w:r>
        <w:t xml:space="preserve"> respondent</w:t>
      </w:r>
      <w:r w:rsidR="005E1ACD">
        <w:t>’s</w:t>
      </w:r>
      <w:r>
        <w:t xml:space="preserve"> and partner</w:t>
      </w:r>
      <w:r w:rsidR="00583BFF">
        <w:t>s’</w:t>
      </w:r>
      <w:r>
        <w:t xml:space="preserve"> </w:t>
      </w:r>
      <w:r w:rsidR="001A30A7">
        <w:t>drug</w:t>
      </w:r>
      <w:r>
        <w:t xml:space="preserve"> use and </w:t>
      </w:r>
      <w:r w:rsidR="00BD0585">
        <w:t xml:space="preserve">three </w:t>
      </w:r>
      <w:r w:rsidR="00D97633">
        <w:t xml:space="preserve">features of the </w:t>
      </w:r>
      <w:r>
        <w:t xml:space="preserve">sexual </w:t>
      </w:r>
      <w:r w:rsidR="00632695">
        <w:t>session:</w:t>
      </w:r>
      <w:r w:rsidR="00583BFF">
        <w:t xml:space="preserve"> </w:t>
      </w:r>
      <w:r w:rsidR="009A00CC">
        <w:t>UAI</w:t>
      </w:r>
      <w:r w:rsidR="00983887">
        <w:t>,</w:t>
      </w:r>
      <w:r w:rsidR="00583BFF">
        <w:t xml:space="preserve"> </w:t>
      </w:r>
      <w:r w:rsidR="00D97633">
        <w:t xml:space="preserve">sexual </w:t>
      </w:r>
      <w:r w:rsidR="00583BFF">
        <w:t>pleasure and control</w:t>
      </w:r>
      <w:r w:rsidR="00D97633">
        <w:t xml:space="preserve"> </w:t>
      </w:r>
      <w:r w:rsidR="00983887">
        <w:t>over what happened during sex</w:t>
      </w:r>
      <w:r w:rsidR="00583BFF">
        <w:t xml:space="preserve">.  </w:t>
      </w:r>
      <w:r w:rsidR="00BD0585">
        <w:t>A</w:t>
      </w:r>
      <w:r w:rsidR="00583BFF">
        <w:t xml:space="preserve">dditional situational characteristics </w:t>
      </w:r>
      <w:r w:rsidR="00BD0585">
        <w:t xml:space="preserve">included </w:t>
      </w:r>
      <w:r w:rsidR="00583BFF">
        <w:t xml:space="preserve">as </w:t>
      </w:r>
      <w:r w:rsidR="00660996">
        <w:t xml:space="preserve">potential </w:t>
      </w:r>
      <w:r w:rsidR="00583BFF">
        <w:t xml:space="preserve">confounders </w:t>
      </w:r>
      <w:r w:rsidR="00EB3C3A">
        <w:t>were</w:t>
      </w:r>
      <w:r w:rsidR="00583BFF">
        <w:t xml:space="preserve"> </w:t>
      </w:r>
      <w:r w:rsidR="00BD0585">
        <w:t xml:space="preserve">perceived HIV </w:t>
      </w:r>
      <w:r w:rsidR="00583BFF">
        <w:t xml:space="preserve">serodiscordance between respondent and partners, location of sex and number of partners.  To </w:t>
      </w:r>
      <w:r w:rsidR="00660996">
        <w:t xml:space="preserve">describe </w:t>
      </w:r>
      <w:r w:rsidR="00583BFF">
        <w:t>mo</w:t>
      </w:r>
      <w:r w:rsidR="00BD0585">
        <w:t>re</w:t>
      </w:r>
      <w:r w:rsidR="00583BFF">
        <w:t xml:space="preserve"> precisely the relationship between situational characteristics and sexual outcomes, we analysed data at the </w:t>
      </w:r>
      <w:r w:rsidR="00CA7393">
        <w:t>level of the sexual encounter</w:t>
      </w:r>
      <w:r w:rsidR="00583BFF">
        <w:t xml:space="preserve"> </w:t>
      </w:r>
      <w:r w:rsidR="00B90C8D">
        <w:fldChar w:fldCharType="begin" w:fldLock="1"/>
      </w:r>
      <w:r w:rsidR="00B16AAB">
        <w:instrText>ADDIN CSL_CITATION { "citationItems" : [ { "id" : "ITEM-1", "itemData" : { "author" : [ { "dropping-particle" : "", "family" : "Leigh", "given" : "Barbara C", "non-dropping-particle" : "", "parse-names" : false, "suffix" : "" }, { "dropping-particle" : "", "family" : "Stall", "given" : "Ron", "non-dropping-particle" : "", "parse-names" : false, "suffix" : "" } ], "container-title" : "American Psychologist", "id" : "ITEM-1", "issue" : "10", "issued" : { "date-parts" : [ [ "1993" ] ] }, "page" : "1035-1045", "title" : "Substance use and risky sexual behavior for exposure to HIV: issues in methdology, interpretation, and prevention", "type" : "article-journal", "volume" : "48" }, "uris" : [ "http://www.mendeley.com/documents/?uuid=19a47efa-3fe8-4625-a4a4-04cf6c9e5bdc" ] } ], "mendeley" : { "formattedCitation" : "(17)", "plainTextFormattedCitation" : "(17)", "previouslyFormattedCitation" : "(17)" }, "properties" : { "noteIndex" : 0 }, "schema" : "https://github.com/citation-style-language/schema/raw/master/csl-citation.json" }</w:instrText>
      </w:r>
      <w:r w:rsidR="00B90C8D">
        <w:fldChar w:fldCharType="separate"/>
      </w:r>
      <w:r w:rsidR="00B16AAB" w:rsidRPr="00B16AAB">
        <w:rPr>
          <w:noProof/>
        </w:rPr>
        <w:t>(17)</w:t>
      </w:r>
      <w:r w:rsidR="00B90C8D">
        <w:fldChar w:fldCharType="end"/>
      </w:r>
      <w:r w:rsidR="00583BFF">
        <w:t xml:space="preserve"> and addressed person-level confounding factors via generalised estimating equations.</w:t>
      </w:r>
    </w:p>
    <w:p w14:paraId="3DDCA952" w14:textId="77777777" w:rsidR="007131C4" w:rsidRDefault="007131C4" w:rsidP="007131C4">
      <w:pPr>
        <w:spacing w:line="480" w:lineRule="auto"/>
        <w:rPr>
          <w:b/>
        </w:rPr>
      </w:pPr>
      <w:r>
        <w:rPr>
          <w:b/>
        </w:rPr>
        <w:t>Methods</w:t>
      </w:r>
    </w:p>
    <w:p w14:paraId="5558828F" w14:textId="73639767" w:rsidR="007131C4" w:rsidRDefault="007131C4" w:rsidP="007131C4">
      <w:pPr>
        <w:spacing w:line="480" w:lineRule="auto"/>
      </w:pPr>
      <w:r>
        <w:tab/>
        <w:t xml:space="preserve">This </w:t>
      </w:r>
      <w:r w:rsidR="006778FC">
        <w:t xml:space="preserve">paper </w:t>
      </w:r>
      <w:r>
        <w:t>use</w:t>
      </w:r>
      <w:r w:rsidR="006778FC">
        <w:t>s</w:t>
      </w:r>
      <w:r>
        <w:t xml:space="preserve"> data from </w:t>
      </w:r>
      <w:r w:rsidR="006778FC">
        <w:t xml:space="preserve">the </w:t>
      </w:r>
      <w:r w:rsidR="00BD0585">
        <w:t>Sigma Panel</w:t>
      </w:r>
      <w:r w:rsidR="00E30F53">
        <w:t>,</w:t>
      </w:r>
      <w:r w:rsidR="00BD0585">
        <w:t xml:space="preserve"> a </w:t>
      </w:r>
      <w:r w:rsidR="006778FC">
        <w:t>longitudinal internet</w:t>
      </w:r>
      <w:r w:rsidR="00BD0585">
        <w:t>-based</w:t>
      </w:r>
      <w:r w:rsidR="006778FC">
        <w:t xml:space="preserve"> study</w:t>
      </w:r>
      <w:r>
        <w:t xml:space="preserve"> </w:t>
      </w:r>
      <w:r w:rsidR="00E30F53">
        <w:t>that</w:t>
      </w:r>
      <w:r>
        <w:t xml:space="preserve"> collected </w:t>
      </w:r>
      <w:r w:rsidR="006778FC">
        <w:t xml:space="preserve">monthly </w:t>
      </w:r>
      <w:r>
        <w:t xml:space="preserve">data </w:t>
      </w:r>
      <w:r w:rsidR="003D3AE2">
        <w:t>from community-</w:t>
      </w:r>
      <w:r w:rsidR="006778FC">
        <w:t xml:space="preserve">recruited </w:t>
      </w:r>
      <w:r>
        <w:t xml:space="preserve">MSM living in England between </w:t>
      </w:r>
      <w:r w:rsidR="006778FC">
        <w:t>January 2011</w:t>
      </w:r>
      <w:r>
        <w:t xml:space="preserve"> and </w:t>
      </w:r>
      <w:r w:rsidR="006778FC">
        <w:t>January</w:t>
      </w:r>
      <w:r>
        <w:t xml:space="preserve"> 2012</w:t>
      </w:r>
      <w:r w:rsidR="004A0C4B">
        <w:t xml:space="preserve"> inclusive</w:t>
      </w:r>
      <w:r>
        <w:t xml:space="preserve">.  </w:t>
      </w:r>
      <w:r w:rsidR="006778FC">
        <w:t>R</w:t>
      </w:r>
      <w:r w:rsidR="00884C04">
        <w:t xml:space="preserve">ecruitment </w:t>
      </w:r>
      <w:r w:rsidR="006778FC">
        <w:t>and methods are report</w:t>
      </w:r>
      <w:r w:rsidR="00632695">
        <w:t>ed</w:t>
      </w:r>
      <w:r w:rsidR="006778FC">
        <w:t xml:space="preserve"> </w:t>
      </w:r>
      <w:r w:rsidR="00884C04">
        <w:t xml:space="preserve">elsewhere </w:t>
      </w:r>
      <w:r w:rsidR="00B90C8D">
        <w:fldChar w:fldCharType="begin" w:fldLock="1"/>
      </w:r>
      <w:r w:rsidR="00CE61FF">
        <w:instrText>ADDIN CSL_CITATION { "citationItems" : [ { "id" : "ITEM-1", "itemData" : { "DOI" : "10.1136/sextrans-2014-051598", "ISSN" : "1472-3263", "PMID" : "25270006", "abstract" : "OBJECTIVES: Increasing HIV testing among men who have sex with men (MSM) is a major policy goal in the UK. Social marketing is a common intervention to increase testing uptake. We used an online panel of MSM to examine rates of HIV testing behaviour and the impact of a social marketing intervention on them. METHOD: MSM in England were recruited to a longitudinal internet panel through community websites and a previous survey. Following an enrolment survey, respondents were invited to self-complete 13 surveys at monthly intervals throughout 2011. A unique alphanumeric code linked surveys for individuals. Rates of HIV testing were compared relative to prompted recognition of a multi-part media campaign aiming to normalise HIV testing. RESULTS: Of 3386 unique enrolments, 2047 respondents were included in the analysis, between them submitting 15 353 monthly surveys (equivalent to 1279 years of follow-up), and recording 1517 HIV tests taken, giving an annual rate of tests per participant of 1.19 (95% CI 1.13 to 1.25). Tests were highly clustered in individuals (61% reported no test during the study). Testing rates were higher in London, single men and those aged 25-34 years. Only 7.6% recognised the intervention when prompted. After controlling for sociodemographic characteristics and exposure to other health promotion campaigns, intervention recognition was not associated with increased likelihood of testing. Higher rates of testing were strongly associated with higher number of casual sexual partners and how recently men had HIV tested before study enrolment. CONCLUSIONS: This social marketing intervention was not associated with increased rates of HIV testing. More effective promotion of HIV testing is needed among MSM in England to reduce the average duration of undiagnosed infection.", "author" : [ { "dropping-particle" : "", "family" : "Hickson", "given" : "Ford", "non-dropping-particle" : "", "parse-names" : false, "suffix" : "" }, { "dropping-particle" : "", "family" : "Tomlin", "given" : "Keith", "non-dropping-particle" : "", "parse-names" : false, "suffix" : "" }, { "dropping-particle" : "", "family" : "Hargreaves", "given" : "James", "non-dropping-particle" : "", "parse-names" : false, "suffix" : "" }, { "dropping-particle" : "", "family" : "Bonell", "given" : "Chris", "non-dropping-particle" : "", "parse-names" : false, "suffix" : "" }, { "dropping-particle" : "", "family" : "Reid", "given" : "David", "non-dropping-particle" : "", "parse-names" : false, "suffix" : "" }, { "dropping-particle" : "", "family" : "Weatherburn", "given" : "Peter", "non-dropping-particle" : "", "parse-names" : false, "suffix" : "" } ], "container-title" : "Sexually transmitted infections", "id" : "ITEM-1", "issued" : { "date-parts" : [ [ "2014" ] ] }, "page" : "1-7", "title" : "Internet-based cohort study of HIV testing over 1 year among men who have sex with men living in England and exposed to a social marketing intervention promoting testing.", "type" : "article-journal" }, "uris" : [ "http://www.mendeley.com/documents/?uuid=60e94cdf-b62a-4aab-bdd9-2bc849ad5d0c" ] } ], "mendeley" : { "formattedCitation" : "(18)", "plainTextFormattedCitation" : "(18)", "previouslyFormattedCitation" : "(18)" }, "properties" : { "noteIndex" : 0 }, "schema" : "https://github.com/citation-style-language/schema/raw/master/csl-citation.json" }</w:instrText>
      </w:r>
      <w:r w:rsidR="00B90C8D">
        <w:fldChar w:fldCharType="separate"/>
      </w:r>
      <w:r w:rsidR="00B16AAB" w:rsidRPr="00B16AAB">
        <w:rPr>
          <w:noProof/>
        </w:rPr>
        <w:t>(18)</w:t>
      </w:r>
      <w:r w:rsidR="00B90C8D">
        <w:fldChar w:fldCharType="end"/>
      </w:r>
      <w:r w:rsidR="00884C04">
        <w:t xml:space="preserve">.  </w:t>
      </w:r>
      <w:r w:rsidR="006778FC">
        <w:t xml:space="preserve">At three points during the year </w:t>
      </w:r>
      <w:r w:rsidR="00BF2751">
        <w:t>(months 7, 10 and 13, sent on 1</w:t>
      </w:r>
      <w:r w:rsidR="00BF2751" w:rsidRPr="00632695">
        <w:rPr>
          <w:vertAlign w:val="superscript"/>
        </w:rPr>
        <w:t>st</w:t>
      </w:r>
      <w:r w:rsidR="00BF2751">
        <w:t xml:space="preserve"> August and 1</w:t>
      </w:r>
      <w:r w:rsidR="00BF2751" w:rsidRPr="00632695">
        <w:rPr>
          <w:vertAlign w:val="superscript"/>
        </w:rPr>
        <w:t>st</w:t>
      </w:r>
      <w:r w:rsidR="00BF2751">
        <w:t xml:space="preserve"> November </w:t>
      </w:r>
      <w:r w:rsidR="005A3F22">
        <w:t xml:space="preserve">2011 </w:t>
      </w:r>
      <w:r w:rsidR="00BF2751">
        <w:t>and 1</w:t>
      </w:r>
      <w:r w:rsidR="00BF2751" w:rsidRPr="00632695">
        <w:rPr>
          <w:vertAlign w:val="superscript"/>
        </w:rPr>
        <w:t>st</w:t>
      </w:r>
      <w:r w:rsidR="00BF2751">
        <w:t xml:space="preserve"> </w:t>
      </w:r>
      <w:r w:rsidR="00E30F53">
        <w:t xml:space="preserve">Februrary </w:t>
      </w:r>
      <w:r w:rsidR="00BF2751">
        <w:t>201</w:t>
      </w:r>
      <w:r w:rsidR="005A3F22">
        <w:t>2</w:t>
      </w:r>
      <w:r w:rsidR="00BF2751">
        <w:t>)</w:t>
      </w:r>
      <w:r w:rsidR="00632695">
        <w:t xml:space="preserve">, </w:t>
      </w:r>
      <w:r w:rsidR="00884C04">
        <w:t xml:space="preserve">respondents </w:t>
      </w:r>
      <w:r w:rsidR="003C20C3">
        <w:t>answered questions</w:t>
      </w:r>
      <w:r w:rsidR="00884C04">
        <w:t xml:space="preserve"> about their most recent sexual encounter.  </w:t>
      </w:r>
      <w:r w:rsidR="006778FC">
        <w:t>Here w</w:t>
      </w:r>
      <w:r w:rsidR="00884C04">
        <w:t xml:space="preserve">e examine encounters reported </w:t>
      </w:r>
      <w:r w:rsidR="006778FC">
        <w:t xml:space="preserve">at those </w:t>
      </w:r>
      <w:r w:rsidR="00884C04">
        <w:t xml:space="preserve">three </w:t>
      </w:r>
      <w:r w:rsidR="006778FC">
        <w:t>points</w:t>
      </w:r>
      <w:r w:rsidR="00884C04">
        <w:t xml:space="preserve"> in which three or more men participated as sexual partners.</w:t>
      </w:r>
      <w:r w:rsidR="00CA7393">
        <w:t xml:space="preserve">  That is to say, the sexual encounter was the unit of analysis.</w:t>
      </w:r>
    </w:p>
    <w:p w14:paraId="3F9584A3" w14:textId="5F330494" w:rsidR="00D97633" w:rsidRDefault="00884C04" w:rsidP="00D97633">
      <w:pPr>
        <w:spacing w:line="480" w:lineRule="auto"/>
      </w:pPr>
      <w:r>
        <w:tab/>
      </w:r>
      <w:r w:rsidR="002C6FD8">
        <w:t>The main i</w:t>
      </w:r>
      <w:r w:rsidR="007404C8">
        <w:t xml:space="preserve">ndependent variables </w:t>
      </w:r>
      <w:r w:rsidR="002C6FD8">
        <w:t xml:space="preserve">of interest were </w:t>
      </w:r>
      <w:r w:rsidR="007404C8">
        <w:t>respondent</w:t>
      </w:r>
      <w:r w:rsidR="005E1ACD">
        <w:t>’s</w:t>
      </w:r>
      <w:r w:rsidR="007404C8">
        <w:t xml:space="preserve"> and partners’ </w:t>
      </w:r>
      <w:r w:rsidR="001A30A7">
        <w:t>drug</w:t>
      </w:r>
      <w:r w:rsidR="002C6FD8">
        <w:t xml:space="preserve"> use.</w:t>
      </w:r>
      <w:r w:rsidR="007404C8">
        <w:t xml:space="preserve"> </w:t>
      </w:r>
      <w:r w:rsidR="002C6FD8">
        <w:t xml:space="preserve"> </w:t>
      </w:r>
      <w:r w:rsidR="00983887">
        <w:t>We measured r</w:t>
      </w:r>
      <w:r w:rsidR="00FC0022">
        <w:t xml:space="preserve">espondent </w:t>
      </w:r>
      <w:r w:rsidR="001A30A7">
        <w:t>drug</w:t>
      </w:r>
      <w:r w:rsidR="00FC0022">
        <w:t xml:space="preserve"> use us</w:t>
      </w:r>
      <w:r w:rsidR="00BD6317">
        <w:t>ing</w:t>
      </w:r>
      <w:r w:rsidR="00FC0022">
        <w:t xml:space="preserve"> </w:t>
      </w:r>
      <w:r w:rsidR="00BD6317">
        <w:t xml:space="preserve">a </w:t>
      </w:r>
      <w:r w:rsidR="00FC0022">
        <w:t xml:space="preserve">binary (yes/no) </w:t>
      </w:r>
      <w:r w:rsidR="00BD6317">
        <w:t xml:space="preserve">variable. </w:t>
      </w:r>
      <w:r w:rsidR="00983887">
        <w:t xml:space="preserve"> We measured p</w:t>
      </w:r>
      <w:r w:rsidR="00BD6317">
        <w:t xml:space="preserve">artners’ </w:t>
      </w:r>
      <w:r w:rsidR="001A30A7">
        <w:t>drug</w:t>
      </w:r>
      <w:r w:rsidR="00BD6317">
        <w:t xml:space="preserve"> use using a </w:t>
      </w:r>
      <w:r w:rsidR="00983887">
        <w:t xml:space="preserve">four-category </w:t>
      </w:r>
      <w:r w:rsidR="00BD6317">
        <w:t xml:space="preserve">variable with the following categories: </w:t>
      </w:r>
      <w:r w:rsidR="00BF2751">
        <w:t xml:space="preserve">‘No, I think he had taken no alcohol or drugs before sex’, </w:t>
      </w:r>
      <w:r w:rsidR="00632695">
        <w:t>‘</w:t>
      </w:r>
      <w:r w:rsidR="00BF2751">
        <w:t>Yes, but I don’t know what he’d taken’, ‘</w:t>
      </w:r>
      <w:r w:rsidR="00D97633">
        <w:t xml:space="preserve">Yes, and I’ve an idea what he’d taken’ and ‘I don’t know </w:t>
      </w:r>
      <w:r w:rsidR="00632695">
        <w:t>whether</w:t>
      </w:r>
      <w:r w:rsidR="00D97633">
        <w:t xml:space="preserve"> he’d taken anything or not’</w:t>
      </w:r>
      <w:r w:rsidR="002C6FD8">
        <w:t>.</w:t>
      </w:r>
      <w:r w:rsidR="00030DB6">
        <w:t xml:space="preserve">  We also tested use of specific </w:t>
      </w:r>
      <w:r w:rsidR="001A30A7">
        <w:t>drug</w:t>
      </w:r>
      <w:r w:rsidR="00030DB6">
        <w:t xml:space="preserve">s </w:t>
      </w:r>
      <w:r w:rsidR="00B60575">
        <w:t xml:space="preserve">(poppers, alcohol, erectile dysfunction medication, GHB, crystal methamphetamine, MDMA, mephedrone, cocaine, cannabis and ketamine) </w:t>
      </w:r>
      <w:r w:rsidR="00030DB6">
        <w:t>reported by the respondent.</w:t>
      </w:r>
    </w:p>
    <w:p w14:paraId="660E2F23" w14:textId="5CFA64E6" w:rsidR="002C6FD8" w:rsidRDefault="00D97633" w:rsidP="00110F82">
      <w:pPr>
        <w:spacing w:line="480" w:lineRule="auto"/>
      </w:pPr>
      <w:r>
        <w:tab/>
      </w:r>
      <w:r w:rsidR="00983887">
        <w:t>The d</w:t>
      </w:r>
      <w:r>
        <w:t>ependent variables</w:t>
      </w:r>
      <w:r w:rsidR="00983887">
        <w:t xml:space="preserve"> in these analyses</w:t>
      </w:r>
      <w:r>
        <w:t xml:space="preserve"> were UAI, pleasure and control.  </w:t>
      </w:r>
      <w:r w:rsidR="00983887">
        <w:t xml:space="preserve">We measured </w:t>
      </w:r>
      <w:r>
        <w:t xml:space="preserve">UAI as a binary variable.  </w:t>
      </w:r>
      <w:r w:rsidR="00983887">
        <w:t>We measured p</w:t>
      </w:r>
      <w:r>
        <w:t xml:space="preserve">leasure with the question ‘How good was the sex </w:t>
      </w:r>
      <w:r w:rsidR="005E1ACD">
        <w:t>on</w:t>
      </w:r>
      <w:r>
        <w:t xml:space="preserve"> this occasion?’  Answers were on a scale from 1 to 10 with 1 labelled ‘the worst sex you’ve had’ and 10 labelled ‘the best sex you’ve had’ (intermediate </w:t>
      </w:r>
      <w:r w:rsidR="005E1ACD">
        <w:t xml:space="preserve">points </w:t>
      </w:r>
      <w:r>
        <w:t xml:space="preserve">were not labelled).  </w:t>
      </w:r>
      <w:r w:rsidR="003C20C3">
        <w:t>Finally, we measured c</w:t>
      </w:r>
      <w:r>
        <w:t xml:space="preserve">ontrol </w:t>
      </w:r>
      <w:r w:rsidR="00983887">
        <w:t xml:space="preserve">over what happened during sex </w:t>
      </w:r>
      <w:r>
        <w:t xml:space="preserve">with the question ‘How much control of what happened would you say you had during this sexual session?’  </w:t>
      </w:r>
      <w:r w:rsidR="00B53626">
        <w:t>The f</w:t>
      </w:r>
      <w:r>
        <w:t>our responses offered (I was in total control of what happened / I was mostly</w:t>
      </w:r>
      <w:r w:rsidR="00B53626">
        <w:t xml:space="preserve"> in control of what happened / </w:t>
      </w:r>
      <w:r>
        <w:t>I had some</w:t>
      </w:r>
      <w:r w:rsidR="00B53626">
        <w:t xml:space="preserve"> control of what happened / </w:t>
      </w:r>
      <w:r>
        <w:t>I had no</w:t>
      </w:r>
      <w:r w:rsidR="00B53626">
        <w:t xml:space="preserve"> control of what happened) were </w:t>
      </w:r>
      <w:r>
        <w:t xml:space="preserve">collapsed into a binary variable </w:t>
      </w:r>
      <w:r w:rsidR="00B53626">
        <w:t>(total or mostly in control vs. some or no control)</w:t>
      </w:r>
      <w:r>
        <w:t>.</w:t>
      </w:r>
    </w:p>
    <w:p w14:paraId="50507C40" w14:textId="7CF50EC2" w:rsidR="00595C62" w:rsidRDefault="002C6FD8" w:rsidP="00D97633">
      <w:pPr>
        <w:spacing w:line="480" w:lineRule="auto"/>
      </w:pPr>
      <w:r>
        <w:tab/>
      </w:r>
      <w:r w:rsidR="00BD6317">
        <w:t>Potential confounders</w:t>
      </w:r>
      <w:r>
        <w:t xml:space="preserve"> included</w:t>
      </w:r>
      <w:r w:rsidR="00BD6317">
        <w:t>:</w:t>
      </w:r>
      <w:r>
        <w:t xml:space="preserve"> HIV serodiscordance between respondent and partners</w:t>
      </w:r>
      <w:r w:rsidR="00BD6317">
        <w:t>;</w:t>
      </w:r>
      <w:r>
        <w:t xml:space="preserve"> location of sex</w:t>
      </w:r>
      <w:r w:rsidR="00BD6317">
        <w:t>;</w:t>
      </w:r>
      <w:r>
        <w:t xml:space="preserve"> and number of partners.  </w:t>
      </w:r>
      <w:r w:rsidR="00177A48">
        <w:t xml:space="preserve">We additionally included </w:t>
      </w:r>
      <w:r w:rsidR="00E14DB4">
        <w:t>the month</w:t>
      </w:r>
      <w:r w:rsidR="00177A48">
        <w:t xml:space="preserve"> of reporting as a co</w:t>
      </w:r>
      <w:r w:rsidR="00BD6317">
        <w:t>variate</w:t>
      </w:r>
      <w:r w:rsidR="00656BA2">
        <w:t xml:space="preserve"> to test differences in reporting over the</w:t>
      </w:r>
      <w:r w:rsidR="00E14DB4">
        <w:t xml:space="preserve"> course of the study</w:t>
      </w:r>
      <w:r w:rsidR="00177A48">
        <w:t xml:space="preserve">.  </w:t>
      </w:r>
      <w:r w:rsidR="00595C62">
        <w:t xml:space="preserve">HIV serodiscordance was a three-category variable reflecting understandings shared between respondent and partners of each other’s HIV serostatus.  Encounters were labelled as </w:t>
      </w:r>
      <w:r w:rsidR="00983887">
        <w:t xml:space="preserve">HIV </w:t>
      </w:r>
      <w:r w:rsidR="00595C62">
        <w:t xml:space="preserve">seroconcordant if </w:t>
      </w:r>
      <w:r w:rsidR="008351CF">
        <w:t xml:space="preserve">the </w:t>
      </w:r>
      <w:r w:rsidR="00595C62">
        <w:t xml:space="preserve">respondent believed </w:t>
      </w:r>
      <w:r w:rsidR="00EE7AD5">
        <w:t xml:space="preserve">himself </w:t>
      </w:r>
      <w:r w:rsidR="008351CF">
        <w:t xml:space="preserve">and all the partners involved </w:t>
      </w:r>
      <w:r w:rsidR="00595C62">
        <w:t>ha</w:t>
      </w:r>
      <w:r w:rsidR="008351CF">
        <w:t>d</w:t>
      </w:r>
      <w:r w:rsidR="00595C62">
        <w:t xml:space="preserve"> the same HIV serostatus</w:t>
      </w:r>
      <w:r w:rsidR="00E14DB4">
        <w:t>,</w:t>
      </w:r>
      <w:r w:rsidR="00595C62">
        <w:t xml:space="preserve"> and as </w:t>
      </w:r>
      <w:r w:rsidR="00983887">
        <w:t xml:space="preserve">HIV </w:t>
      </w:r>
      <w:r w:rsidR="00595C62">
        <w:t xml:space="preserve">serodiscordant if </w:t>
      </w:r>
      <w:r w:rsidR="008351CF">
        <w:t xml:space="preserve">the </w:t>
      </w:r>
      <w:r w:rsidR="00595C62">
        <w:t xml:space="preserve">respondent believed that different HIV serostatuses were present among sexual partners.  Encounters in which either </w:t>
      </w:r>
      <w:r w:rsidR="008351CF">
        <w:t xml:space="preserve">the </w:t>
      </w:r>
      <w:r w:rsidR="00632695">
        <w:t>respondent</w:t>
      </w:r>
      <w:r w:rsidR="00595C62">
        <w:t xml:space="preserve"> </w:t>
      </w:r>
      <w:r w:rsidR="008351CF">
        <w:t>did not know</w:t>
      </w:r>
      <w:r w:rsidR="00595C62">
        <w:t xml:space="preserve"> the HIV status </w:t>
      </w:r>
      <w:r w:rsidR="008351CF">
        <w:t xml:space="preserve">of any sex partner, or where the respondent thought </w:t>
      </w:r>
      <w:r w:rsidR="005B6956">
        <w:t>any</w:t>
      </w:r>
      <w:r w:rsidR="008351CF">
        <w:t xml:space="preserve"> partner did not know </w:t>
      </w:r>
      <w:r w:rsidR="005B6956">
        <w:t>the respondent</w:t>
      </w:r>
      <w:r w:rsidR="00632695">
        <w:t>’</w:t>
      </w:r>
      <w:r w:rsidR="005B6956">
        <w:t>s</w:t>
      </w:r>
      <w:r w:rsidR="008351CF">
        <w:t xml:space="preserve"> HIV status, </w:t>
      </w:r>
      <w:r w:rsidR="00595C62">
        <w:t xml:space="preserve">were labelled as </w:t>
      </w:r>
      <w:r w:rsidR="00983887">
        <w:t>‘</w:t>
      </w:r>
      <w:r w:rsidR="00595C62">
        <w:t>unknown</w:t>
      </w:r>
      <w:r w:rsidR="00983887">
        <w:t xml:space="preserve"> serostatus match’</w:t>
      </w:r>
      <w:r w:rsidR="00595C62">
        <w:t xml:space="preserve">.  </w:t>
      </w:r>
      <w:r w:rsidR="008351CF">
        <w:t>Respondents indicate</w:t>
      </w:r>
      <w:r w:rsidR="003C20C3">
        <w:t>d</w:t>
      </w:r>
      <w:r w:rsidR="008351CF">
        <w:t xml:space="preserve"> where the session occurred from a checklist of nine options (my (or our) place / his place / a friend’s place / a backroom of a bar, gay sex club, a public gay sex party / a gay sex party in a private home / a gay sauna / a porn cinema / a cruising location (street, roadside service area, park, beach, lavatory) / elsewhere) which was recoded into a </w:t>
      </w:r>
      <w:r w:rsidR="003C20C3">
        <w:t xml:space="preserve">three-category </w:t>
      </w:r>
      <w:r w:rsidR="008351CF">
        <w:t>variable: homes (my place, his place, a friend</w:t>
      </w:r>
      <w:r w:rsidR="00E14DB4">
        <w:t>’</w:t>
      </w:r>
      <w:r w:rsidR="008351CF">
        <w:t>s place, private home); sex-on-premises-venues</w:t>
      </w:r>
      <w:r w:rsidR="00BF3E6A">
        <w:t>, or SOPVs (back</w:t>
      </w:r>
      <w:r w:rsidR="008351CF">
        <w:t xml:space="preserve">room, sauna, cinema); and cruising locations.  </w:t>
      </w:r>
      <w:r w:rsidR="00595C62">
        <w:t xml:space="preserve">Number of partners captured the number of partners besides the respondent in the encounter.  See </w:t>
      </w:r>
      <w:r w:rsidR="00D417F4">
        <w:t>online supplemental material</w:t>
      </w:r>
      <w:r w:rsidR="00595C62">
        <w:t xml:space="preserve"> for more details on variable construction.</w:t>
      </w:r>
    </w:p>
    <w:p w14:paraId="3ABB82A2" w14:textId="09DDC7DC" w:rsidR="005B15DD" w:rsidRDefault="002C6FD8" w:rsidP="00110F82">
      <w:pPr>
        <w:spacing w:line="480" w:lineRule="auto"/>
      </w:pPr>
      <w:r>
        <w:tab/>
      </w:r>
      <w:r w:rsidR="003C20C3">
        <w:t>We first examined e</w:t>
      </w:r>
      <w:r>
        <w:t>ach independent variable separately in models with each</w:t>
      </w:r>
      <w:r w:rsidR="00177A48">
        <w:t xml:space="preserve"> dependent variable, with multi</w:t>
      </w:r>
      <w:r>
        <w:t>categor</w:t>
      </w:r>
      <w:r w:rsidR="00BF3E6A">
        <w:t>ical</w:t>
      </w:r>
      <w:r>
        <w:t xml:space="preserve"> variables recoded using dummies.</w:t>
      </w:r>
      <w:r w:rsidR="000176C9">
        <w:t xml:space="preserve">  </w:t>
      </w:r>
      <w:r w:rsidR="003C20C3">
        <w:t>We the</w:t>
      </w:r>
      <w:r w:rsidR="004D2977">
        <w:t>n</w:t>
      </w:r>
      <w:r w:rsidR="003C20C3">
        <w:t xml:space="preserve"> combined v</w:t>
      </w:r>
      <w:r w:rsidR="00177A48">
        <w:t xml:space="preserve">ariables significant at </w:t>
      </w:r>
      <w:r w:rsidR="00177A48" w:rsidRPr="00177A48">
        <w:rPr>
          <w:i/>
        </w:rPr>
        <w:t>p</w:t>
      </w:r>
      <w:r w:rsidR="00177A48">
        <w:t xml:space="preserve">&lt;0.05 </w:t>
      </w:r>
      <w:r w:rsidR="00177A48" w:rsidRPr="00177A48">
        <w:t>in</w:t>
      </w:r>
      <w:r w:rsidR="00177A48">
        <w:t xml:space="preserve"> initial models in multivariate models. </w:t>
      </w:r>
      <w:r w:rsidR="000176C9">
        <w:t xml:space="preserve"> </w:t>
      </w:r>
      <w:r w:rsidR="005B15DD">
        <w:t xml:space="preserve">Because of collinearity between respondent and partner </w:t>
      </w:r>
      <w:r w:rsidR="001A30A7">
        <w:t>drug</w:t>
      </w:r>
      <w:r w:rsidR="005B15DD">
        <w:t xml:space="preserve"> use measures, we planned </w:t>
      </w:r>
      <w:r w:rsidR="000176C9">
        <w:rPr>
          <w:i/>
        </w:rPr>
        <w:t>a priori</w:t>
      </w:r>
      <w:r w:rsidR="000176C9" w:rsidRPr="000176C9">
        <w:t xml:space="preserve"> </w:t>
      </w:r>
      <w:r w:rsidR="000176C9">
        <w:t xml:space="preserve">to compare </w:t>
      </w:r>
      <w:r w:rsidR="001F3F98">
        <w:t xml:space="preserve">two </w:t>
      </w:r>
      <w:r w:rsidR="000176C9">
        <w:t>multivariate models</w:t>
      </w:r>
      <w:r w:rsidR="001F3F98">
        <w:t xml:space="preserve">: one including </w:t>
      </w:r>
      <w:r w:rsidR="000176C9">
        <w:t>both respondent</w:t>
      </w:r>
      <w:r w:rsidR="005E1ACD">
        <w:t>’s</w:t>
      </w:r>
      <w:r w:rsidR="000176C9">
        <w:t xml:space="preserve"> and partner</w:t>
      </w:r>
      <w:r w:rsidR="005E1ACD">
        <w:t>s’</w:t>
      </w:r>
      <w:r w:rsidR="000176C9">
        <w:t xml:space="preserve"> </w:t>
      </w:r>
      <w:r w:rsidR="001A30A7">
        <w:t>drug</w:t>
      </w:r>
      <w:r w:rsidR="000176C9">
        <w:t xml:space="preserve"> use measures</w:t>
      </w:r>
      <w:r w:rsidR="001F3F98">
        <w:t xml:space="preserve"> alongside the covariates, and one including </w:t>
      </w:r>
      <w:r w:rsidR="000176C9">
        <w:t>just the respondent</w:t>
      </w:r>
      <w:r w:rsidR="005E1ACD">
        <w:t>’s</w:t>
      </w:r>
      <w:r w:rsidR="000176C9">
        <w:t xml:space="preserve"> </w:t>
      </w:r>
      <w:r w:rsidR="001A30A7">
        <w:t>drug</w:t>
      </w:r>
      <w:r w:rsidR="000176C9">
        <w:t xml:space="preserve"> use measure</w:t>
      </w:r>
      <w:r w:rsidR="001F3F98">
        <w:t xml:space="preserve"> alongside the covariates</w:t>
      </w:r>
      <w:r w:rsidR="000176C9">
        <w:t>.</w:t>
      </w:r>
      <w:r w:rsidR="00E912C3">
        <w:t xml:space="preserve">  </w:t>
      </w:r>
      <w:r w:rsidR="00D55C4F">
        <w:t>To compare models w</w:t>
      </w:r>
      <w:r w:rsidR="003C20C3">
        <w:t xml:space="preserve">e used the </w:t>
      </w:r>
      <w:r w:rsidR="00E912C3">
        <w:t xml:space="preserve">quasi-Akaike information criterion (QIC), which is equivalent to penalised log likelihood information criteria used with models estimated using maximum likelihood </w:t>
      </w:r>
      <w:r w:rsidR="00B90C8D">
        <w:fldChar w:fldCharType="begin" w:fldLock="1"/>
      </w:r>
      <w:r w:rsidR="00B16AAB">
        <w:instrText>ADDIN CSL_CITATION { "citationItems" : [ { "id" : "ITEM-1", "itemData" : { "ISSN" : "0006-341X", "PMID" : "11252586", "abstract" : "Correlated response data are common in biomedical studies. Regression analysis based on the generalized estimating equations (GEE) is an increasingly important method for such data. However, there seem to be few model-selection criteria available in GEE. The well-known Akaike Information Criterion (AIC) cannot be directly applied since AIC is based on maximum likelihood estimation while GEE is nonlikelihood based. We propose a modification to AIC, where the likelihood is replaced by the quasi-likelihood and a proper adjustment is made for the penalty term. Its performance is investigated through simulation studies. For illustration, the method is applied to a real data set.", "author" : [ { "dropping-particle" : "", "family" : "Pan", "given" : "Wei", "non-dropping-particle" : "", "parse-names" : false, "suffix" : "" } ], "container-title" : "Biometrics", "id" : "ITEM-1", "issue" : "1", "issued" : { "date-parts" : [ [ "2001", "3" ] ] }, "page" : "120-5", "title" : "Akaike's information criterion in generalized estimating equations.", "type" : "article-journal", "volume" : "57" }, "uris" : [ "http://www.mendeley.com/documents/?uuid=f4a92c93-f5ea-4325-84ff-53d1f9adf627" ] } ], "mendeley" : { "formattedCitation" : "(19)", "plainTextFormattedCitation" : "(19)", "previouslyFormattedCitation" : "(19)" }, "properties" : { "noteIndex" : 0 }, "schema" : "https://github.com/citation-style-language/schema/raw/master/csl-citation.json" }</w:instrText>
      </w:r>
      <w:r w:rsidR="00B90C8D">
        <w:fldChar w:fldCharType="separate"/>
      </w:r>
      <w:r w:rsidR="00B16AAB" w:rsidRPr="00B16AAB">
        <w:rPr>
          <w:noProof/>
        </w:rPr>
        <w:t>(19)</w:t>
      </w:r>
      <w:r w:rsidR="00B90C8D">
        <w:fldChar w:fldCharType="end"/>
      </w:r>
      <w:r w:rsidR="00E912C3">
        <w:t>.  Lower values indicate better model fit as compared to the number of parameters estimated.</w:t>
      </w:r>
    </w:p>
    <w:p w14:paraId="468F6375" w14:textId="38913CAA" w:rsidR="000176C9" w:rsidRDefault="000176C9" w:rsidP="00110F82">
      <w:pPr>
        <w:spacing w:line="480" w:lineRule="auto"/>
      </w:pPr>
      <w:r>
        <w:tab/>
        <w:t xml:space="preserve">We </w:t>
      </w:r>
      <w:r w:rsidR="00586A51">
        <w:t xml:space="preserve">separately </w:t>
      </w:r>
      <w:r>
        <w:t xml:space="preserve">examined </w:t>
      </w:r>
      <w:r w:rsidR="00E912C3">
        <w:t xml:space="preserve">specific </w:t>
      </w:r>
      <w:r w:rsidR="001A30A7">
        <w:t>drug</w:t>
      </w:r>
      <w:r w:rsidR="00586A51">
        <w:t>s</w:t>
      </w:r>
      <w:r w:rsidR="00E912C3">
        <w:t xml:space="preserve"> use</w:t>
      </w:r>
      <w:r w:rsidR="00586A51">
        <w:t>d</w:t>
      </w:r>
      <w:r>
        <w:t xml:space="preserve">.  Variables examining use of specific </w:t>
      </w:r>
      <w:r w:rsidR="001A30A7">
        <w:t>drug</w:t>
      </w:r>
      <w:r>
        <w:t xml:space="preserve">s were entered as a block </w:t>
      </w:r>
      <w:r w:rsidRPr="009A4209">
        <w:t xml:space="preserve">to isolate better the effects of specific </w:t>
      </w:r>
      <w:r w:rsidR="001A30A7">
        <w:t>drug</w:t>
      </w:r>
      <w:r w:rsidRPr="009A4209">
        <w:t>s in light of the frequency of poly</w:t>
      </w:r>
      <w:r w:rsidR="001A30A7">
        <w:t>drug</w:t>
      </w:r>
      <w:r w:rsidRPr="009A4209">
        <w:t xml:space="preserve"> combinations.</w:t>
      </w:r>
      <w:r>
        <w:t xml:space="preserve">  To avoid model instability, we </w:t>
      </w:r>
      <w:r w:rsidR="00D55C4F">
        <w:t>excluded</w:t>
      </w:r>
      <w:r>
        <w:t xml:space="preserve"> </w:t>
      </w:r>
      <w:r w:rsidR="001A30A7">
        <w:t>drug</w:t>
      </w:r>
      <w:r>
        <w:t xml:space="preserve">s used in </w:t>
      </w:r>
      <w:r w:rsidR="00D55C4F">
        <w:t xml:space="preserve">fewer </w:t>
      </w:r>
      <w:r>
        <w:t>than 1% of all encounters.</w:t>
      </w:r>
    </w:p>
    <w:p w14:paraId="05E75AD8" w14:textId="0DDBB799" w:rsidR="002C6FD8" w:rsidRDefault="005B15DD" w:rsidP="00110F82">
      <w:pPr>
        <w:spacing w:line="480" w:lineRule="auto"/>
      </w:pPr>
      <w:r>
        <w:tab/>
      </w:r>
      <w:r w:rsidR="003C20C3">
        <w:t>We estimated m</w:t>
      </w:r>
      <w:r w:rsidR="00177A48">
        <w:t xml:space="preserve">odels as generalised estimating equations using exchangeable correlation matrices with a logit link for UAI </w:t>
      </w:r>
      <w:r w:rsidR="008A4EBA">
        <w:t xml:space="preserve">and control </w:t>
      </w:r>
      <w:r w:rsidR="00177A48">
        <w:t xml:space="preserve">and a Gaussian link for pleasure.  </w:t>
      </w:r>
      <w:r w:rsidR="00A61180">
        <w:t xml:space="preserve">We used generalised estimating equations to correct for non-independence of observations.  We did not compare encounters within respondents because the average number of multipartner encounters reported by MSM was less than 2.  Interpretation of generalised estimating equations is ‘population-average’—that is, comparing across the population of multipartner encounters reported by MSM.  </w:t>
      </w:r>
      <w:r w:rsidR="00177A48">
        <w:t>Because missing data were trivial (less than 5% in every model), missingness was handled with pairwise deletion.</w:t>
      </w:r>
    </w:p>
    <w:p w14:paraId="1794D40F" w14:textId="77777777" w:rsidR="00884C04" w:rsidRPr="00884C04" w:rsidRDefault="00884C04" w:rsidP="00884C04">
      <w:pPr>
        <w:spacing w:line="480" w:lineRule="auto"/>
        <w:rPr>
          <w:b/>
        </w:rPr>
      </w:pPr>
      <w:r>
        <w:rPr>
          <w:b/>
        </w:rPr>
        <w:t>Results</w:t>
      </w:r>
    </w:p>
    <w:p w14:paraId="4397F0C8" w14:textId="411F110B" w:rsidR="00884C04" w:rsidRPr="009A4209" w:rsidRDefault="00177A48" w:rsidP="00177A48">
      <w:pPr>
        <w:spacing w:line="480" w:lineRule="auto"/>
      </w:pPr>
      <w:r>
        <w:tab/>
      </w:r>
      <w:r w:rsidRPr="00177A48">
        <w:t>A</w:t>
      </w:r>
      <w:r>
        <w:t xml:space="preserve"> </w:t>
      </w:r>
      <w:r w:rsidR="00884C04" w:rsidRPr="009A4209">
        <w:t xml:space="preserve">total of 321 respondents reported 438 </w:t>
      </w:r>
      <w:r w:rsidR="00D55C4F">
        <w:t xml:space="preserve">multipartner </w:t>
      </w:r>
      <w:r w:rsidR="00884C04" w:rsidRPr="009A4209">
        <w:t xml:space="preserve">encounters.  On average, </w:t>
      </w:r>
      <w:r w:rsidR="00CC5C52">
        <w:t xml:space="preserve">respondents </w:t>
      </w:r>
      <w:r w:rsidR="00884C04" w:rsidRPr="009A4209">
        <w:t xml:space="preserve">included </w:t>
      </w:r>
      <w:r w:rsidR="00CC5C52">
        <w:t>in our analyses</w:t>
      </w:r>
      <w:r w:rsidR="00884C04" w:rsidRPr="009A4209">
        <w:t xml:space="preserve"> reported 1.36 encounters (SD=0.61).</w:t>
      </w:r>
      <w:r>
        <w:t xml:space="preserve">  </w:t>
      </w:r>
      <w:r w:rsidR="005B6956">
        <w:t xml:space="preserve">The mean age of respondents reporting </w:t>
      </w:r>
      <w:r w:rsidR="003C20C3">
        <w:t>multipartner</w:t>
      </w:r>
      <w:r w:rsidR="005B6956">
        <w:t xml:space="preserve"> encounters was </w:t>
      </w:r>
      <w:r>
        <w:t>44.6 years (SD=10.5)</w:t>
      </w:r>
      <w:r w:rsidR="00D45512">
        <w:t>.  See Table 1 for a description of the study sample.</w:t>
      </w:r>
    </w:p>
    <w:p w14:paraId="36FCFE60" w14:textId="256D8778" w:rsidR="00884C04" w:rsidRPr="009A4209" w:rsidRDefault="00884C04" w:rsidP="00884C04">
      <w:pPr>
        <w:spacing w:line="480" w:lineRule="auto"/>
      </w:pPr>
      <w:r w:rsidRPr="009A4209">
        <w:tab/>
      </w:r>
      <w:r w:rsidR="003C20C3">
        <w:t xml:space="preserve">Respondents reported UAI in 37.7% of encounters.  </w:t>
      </w:r>
      <w:r w:rsidRPr="009A4209">
        <w:t xml:space="preserve">On average, respondents’ encounters were rated 6.8 for </w:t>
      </w:r>
      <w:r w:rsidR="00586A51">
        <w:t>pleasure</w:t>
      </w:r>
      <w:r w:rsidRPr="009A4209">
        <w:t xml:space="preserve"> (SD=1.6).  </w:t>
      </w:r>
      <w:r w:rsidR="00BF3E6A">
        <w:t xml:space="preserve">Respondents reported that they were totally or mostly in control over the sex in 87.2% of their encounters.  </w:t>
      </w:r>
      <w:r w:rsidR="00B124C3">
        <w:t>R</w:t>
      </w:r>
      <w:r w:rsidRPr="009A4209">
        <w:t xml:space="preserve">espondents reported </w:t>
      </w:r>
      <w:r w:rsidR="001A30A7">
        <w:t>drug</w:t>
      </w:r>
      <w:r w:rsidRPr="009A4209">
        <w:t xml:space="preserve"> use</w:t>
      </w:r>
      <w:r w:rsidR="00B124C3">
        <w:t xml:space="preserve"> in 67.7% of encounters and partner </w:t>
      </w:r>
      <w:r w:rsidR="001A30A7">
        <w:t>drug</w:t>
      </w:r>
      <w:r w:rsidR="00B124C3">
        <w:t xml:space="preserve"> use in 43.3% of encounters</w:t>
      </w:r>
      <w:r w:rsidRPr="009A4209">
        <w:t xml:space="preserve">.  The most commonly used specific </w:t>
      </w:r>
      <w:r w:rsidR="001A30A7">
        <w:t>drug</w:t>
      </w:r>
      <w:r w:rsidRPr="009A4209">
        <w:t xml:space="preserve">s </w:t>
      </w:r>
      <w:r w:rsidR="00B124C3">
        <w:t xml:space="preserve">reported by respondents </w:t>
      </w:r>
      <w:r w:rsidRPr="009A4209">
        <w:t xml:space="preserve">were poppers (45.4% of encounters), alcohol (38.0%) and erectile dysfunction medications (26.3%). </w:t>
      </w:r>
      <w:r w:rsidR="00B60575">
        <w:t xml:space="preserve"> </w:t>
      </w:r>
      <w:r w:rsidR="005C74F0">
        <w:t>The drugs most commonly implicated in chemsex</w:t>
      </w:r>
      <w:r w:rsidR="00EE7AD5">
        <w:t xml:space="preserve"> were also </w:t>
      </w:r>
      <w:r w:rsidR="000D0714">
        <w:t xml:space="preserve">frequently </w:t>
      </w:r>
      <w:r w:rsidR="00EE7AD5">
        <w:t xml:space="preserve">reported: </w:t>
      </w:r>
      <w:r w:rsidR="005C74F0">
        <w:t>GHB</w:t>
      </w:r>
      <w:r w:rsidR="001F3F98">
        <w:t xml:space="preserve"> was used in 9.2% of encounters, crystal meth</w:t>
      </w:r>
      <w:r w:rsidR="00EE7AD5">
        <w:t>amphetamine</w:t>
      </w:r>
      <w:r w:rsidR="001F3F98">
        <w:t xml:space="preserve"> was used in 8.0% of encounters, and mephedrone was used in 7.3% of encounters.  </w:t>
      </w:r>
      <w:r w:rsidR="00EE7AD5">
        <w:t>In total, 14.2</w:t>
      </w:r>
      <w:r w:rsidR="0065553F">
        <w:t xml:space="preserve">% of </w:t>
      </w:r>
      <w:r w:rsidR="003C20C3">
        <w:t>multipartner</w:t>
      </w:r>
      <w:r w:rsidR="0065553F">
        <w:t xml:space="preserve"> encounters included at least one of these chemsex drugs</w:t>
      </w:r>
      <w:r w:rsidR="005C74F0">
        <w:t xml:space="preserve">. </w:t>
      </w:r>
      <w:r w:rsidR="001F3F98">
        <w:t xml:space="preserve"> </w:t>
      </w:r>
      <w:r w:rsidRPr="009A4209">
        <w:t>Variables for amphetamine (speed), heroin, LSD</w:t>
      </w:r>
      <w:r w:rsidR="006711BB">
        <w:t xml:space="preserve"> or</w:t>
      </w:r>
      <w:r w:rsidRPr="009A4209">
        <w:t xml:space="preserve"> crack </w:t>
      </w:r>
      <w:r w:rsidR="001A1EC2">
        <w:t xml:space="preserve">cocaine </w:t>
      </w:r>
      <w:r w:rsidRPr="009A4209">
        <w:t xml:space="preserve">were not included in the analyses because five or fewer encounters involved the use of each of these </w:t>
      </w:r>
      <w:r w:rsidR="001A30A7">
        <w:t>drug</w:t>
      </w:r>
      <w:r w:rsidRPr="009A4209">
        <w:t>s.</w:t>
      </w:r>
      <w:r w:rsidR="00B124C3">
        <w:t xml:space="preserve">  See Table 2 for characteristics of included encounters.</w:t>
      </w:r>
    </w:p>
    <w:p w14:paraId="22B77AEC" w14:textId="77777777" w:rsidR="00884C04" w:rsidRPr="00E912C3" w:rsidRDefault="00E912C3" w:rsidP="00884C04">
      <w:pPr>
        <w:spacing w:line="480" w:lineRule="auto"/>
        <w:rPr>
          <w:b/>
        </w:rPr>
      </w:pPr>
      <w:r>
        <w:rPr>
          <w:b/>
        </w:rPr>
        <w:tab/>
      </w:r>
      <w:r w:rsidR="00884C04" w:rsidRPr="009A4209">
        <w:rPr>
          <w:b/>
        </w:rPr>
        <w:t>Models testing associations with UAI</w:t>
      </w:r>
      <w:r>
        <w:rPr>
          <w:b/>
        </w:rPr>
        <w:t>.</w:t>
      </w:r>
      <w:r>
        <w:t xml:space="preserve">  </w:t>
      </w:r>
      <w:r w:rsidR="00A025DA">
        <w:t>A</w:t>
      </w:r>
      <w:r w:rsidR="00884C04" w:rsidRPr="009A4209">
        <w:t xml:space="preserve">ny </w:t>
      </w:r>
      <w:r w:rsidR="00964753">
        <w:t xml:space="preserve">respondent </w:t>
      </w:r>
      <w:r w:rsidR="001A30A7">
        <w:t>drug</w:t>
      </w:r>
      <w:r w:rsidR="00884C04" w:rsidRPr="009A4209">
        <w:t xml:space="preserve"> use </w:t>
      </w:r>
      <w:r w:rsidR="00A025DA">
        <w:t>was</w:t>
      </w:r>
      <w:r w:rsidR="00884C04" w:rsidRPr="009A4209">
        <w:t xml:space="preserve"> significantly associated with UAI </w:t>
      </w:r>
      <w:r w:rsidR="00964753">
        <w:t>(see Table 3</w:t>
      </w:r>
      <w:r w:rsidR="00884C04" w:rsidRPr="009A4209">
        <w:t xml:space="preserve">). </w:t>
      </w:r>
      <w:r w:rsidR="00964753">
        <w:t xml:space="preserve"> </w:t>
      </w:r>
      <w:r w:rsidR="00884C04" w:rsidRPr="009A4209">
        <w:t xml:space="preserve">Only two specific </w:t>
      </w:r>
      <w:r w:rsidR="001A30A7">
        <w:t>drug</w:t>
      </w:r>
      <w:r w:rsidR="00884C04" w:rsidRPr="009A4209">
        <w:t xml:space="preserve">s were significantly associated with UAI while controlling for other specific </w:t>
      </w:r>
      <w:r w:rsidR="001A30A7">
        <w:t>drug</w:t>
      </w:r>
      <w:r w:rsidR="00884C04" w:rsidRPr="009A4209">
        <w:t>s—erectile dysfunction medications (</w:t>
      </w:r>
      <w:r w:rsidR="00964753">
        <w:t xml:space="preserve">OR </w:t>
      </w:r>
      <w:r w:rsidR="00884C04" w:rsidRPr="009A4209">
        <w:t xml:space="preserve">2.23, </w:t>
      </w:r>
      <w:r w:rsidR="00A025DA">
        <w:t>95%</w:t>
      </w:r>
      <w:r w:rsidR="00964753">
        <w:t xml:space="preserve"> CI </w:t>
      </w:r>
      <w:r w:rsidR="00884C04" w:rsidRPr="009A4209">
        <w:t>[1.26, 3.96]) and crystal methamp</w:t>
      </w:r>
      <w:r w:rsidR="00964753">
        <w:t>hetamine (3.18, [1.19, 8.48])</w:t>
      </w:r>
      <w:r w:rsidR="00272BD6">
        <w:t xml:space="preserve"> (see Table 4)</w:t>
      </w:r>
      <w:r w:rsidR="00964753">
        <w:t xml:space="preserve">.  </w:t>
      </w:r>
      <w:r w:rsidR="00884C04" w:rsidRPr="009A4209">
        <w:t xml:space="preserve">Of the three dummies generated for the categorical measure of any </w:t>
      </w:r>
      <w:r w:rsidR="001A30A7">
        <w:t>drug</w:t>
      </w:r>
      <w:r w:rsidR="00884C04" w:rsidRPr="009A4209">
        <w:t xml:space="preserve"> use by partners, only specific knowledge of partners’ </w:t>
      </w:r>
      <w:r w:rsidR="001A30A7">
        <w:t>drug</w:t>
      </w:r>
      <w:r w:rsidR="00884C04" w:rsidRPr="009A4209">
        <w:t xml:space="preserve"> use was associated, on average, with increased odds of UAI</w:t>
      </w:r>
      <w:r w:rsidR="00964753">
        <w:t xml:space="preserve"> as compared to</w:t>
      </w:r>
      <w:r w:rsidR="00884C04" w:rsidRPr="009A4209">
        <w:t xml:space="preserve"> no </w:t>
      </w:r>
      <w:r w:rsidR="001A30A7">
        <w:t>drug</w:t>
      </w:r>
      <w:r w:rsidR="00884C04" w:rsidRPr="009A4209">
        <w:t xml:space="preserve"> use </w:t>
      </w:r>
      <w:r w:rsidR="00964753">
        <w:t>(1.71,</w:t>
      </w:r>
      <w:r w:rsidR="00884C04" w:rsidRPr="009A4209">
        <w:t xml:space="preserve"> [1.03, 2.83]).  Dummies for not knowing partners’ </w:t>
      </w:r>
      <w:r w:rsidR="001A30A7">
        <w:t>drug</w:t>
      </w:r>
      <w:r w:rsidR="00884C04" w:rsidRPr="009A4209">
        <w:t xml:space="preserve"> use and not knowing specific </w:t>
      </w:r>
      <w:r w:rsidR="001A30A7">
        <w:t>drug</w:t>
      </w:r>
      <w:r w:rsidR="00884C04" w:rsidRPr="009A4209">
        <w:t xml:space="preserve">s taken by partners were not significantly associated with UAI (both </w:t>
      </w:r>
      <w:r w:rsidR="00884C04" w:rsidRPr="009A4209">
        <w:rPr>
          <w:i/>
        </w:rPr>
        <w:t>p</w:t>
      </w:r>
      <w:r w:rsidR="00030DB6">
        <w:t>s&gt;0.10).</w:t>
      </w:r>
    </w:p>
    <w:p w14:paraId="73F38599" w14:textId="0014C576" w:rsidR="00884C04" w:rsidRPr="009A4209" w:rsidRDefault="00884C04" w:rsidP="00884C04">
      <w:pPr>
        <w:spacing w:line="480" w:lineRule="auto"/>
      </w:pPr>
      <w:r w:rsidRPr="009A4209">
        <w:tab/>
        <w:t xml:space="preserve">Relative to encounters where all partners were believed to be </w:t>
      </w:r>
      <w:r w:rsidR="00255260">
        <w:t xml:space="preserve">HIV </w:t>
      </w:r>
      <w:r w:rsidRPr="009A4209">
        <w:t xml:space="preserve">seroconcordant, encounters with partners of </w:t>
      </w:r>
      <w:r w:rsidR="00427C35">
        <w:t>unknown</w:t>
      </w:r>
      <w:r w:rsidR="00427C35" w:rsidRPr="009A4209">
        <w:t xml:space="preserve"> </w:t>
      </w:r>
      <w:r w:rsidRPr="009A4209">
        <w:t xml:space="preserve">serostatus </w:t>
      </w:r>
      <w:r w:rsidR="00255260">
        <w:t xml:space="preserve">match </w:t>
      </w:r>
      <w:r w:rsidRPr="009A4209">
        <w:t>were, on average, less likely to involve UAI (</w:t>
      </w:r>
      <w:r w:rsidR="00C36169">
        <w:t xml:space="preserve">OR </w:t>
      </w:r>
      <w:r w:rsidRPr="009A4209">
        <w:t xml:space="preserve">0.39, </w:t>
      </w:r>
      <w:r w:rsidR="00C36169">
        <w:t xml:space="preserve">95% CI </w:t>
      </w:r>
      <w:r w:rsidRPr="009A4209">
        <w:t xml:space="preserve">[0.25, 0.63]), but </w:t>
      </w:r>
      <w:r w:rsidR="00CC5C52">
        <w:t>no</w:t>
      </w:r>
      <w:r w:rsidRPr="009A4209">
        <w:t xml:space="preserve"> association was found for</w:t>
      </w:r>
      <w:r w:rsidR="00427C35">
        <w:t xml:space="preserve"> </w:t>
      </w:r>
      <w:r w:rsidR="00255260">
        <w:t xml:space="preserve">HIV </w:t>
      </w:r>
      <w:r w:rsidRPr="009A4209">
        <w:t>serodiscordant multipartner encounters (0.62, [0.21, 1.81]).</w:t>
      </w:r>
      <w:r w:rsidR="005B15DD" w:rsidRPr="005B15DD">
        <w:t xml:space="preserve"> </w:t>
      </w:r>
      <w:r w:rsidR="005B15DD">
        <w:t xml:space="preserve"> Neither location of sex nor n</w:t>
      </w:r>
      <w:r w:rsidR="005B15DD" w:rsidRPr="009A4209">
        <w:t xml:space="preserve">umber of male participants </w:t>
      </w:r>
      <w:r w:rsidR="005B15DD">
        <w:t>was</w:t>
      </w:r>
      <w:r w:rsidR="005B15DD" w:rsidRPr="009A4209">
        <w:t xml:space="preserve"> s</w:t>
      </w:r>
      <w:r w:rsidR="005B15DD">
        <w:t>ignificantly associated with UAI.</w:t>
      </w:r>
    </w:p>
    <w:p w14:paraId="605944ED" w14:textId="0D4BD4C1" w:rsidR="00884C04" w:rsidRPr="009A4209" w:rsidRDefault="0099450F" w:rsidP="00884C04">
      <w:pPr>
        <w:spacing w:line="480" w:lineRule="auto"/>
        <w:ind w:firstLine="720"/>
      </w:pPr>
      <w:r>
        <w:t>We then estimated</w:t>
      </w:r>
      <w:r w:rsidR="00884C04" w:rsidRPr="009A4209">
        <w:t xml:space="preserve"> two multivariate models</w:t>
      </w:r>
      <w:r w:rsidR="005B15DD">
        <w:t>:</w:t>
      </w:r>
      <w:r w:rsidR="00884C04" w:rsidRPr="009A4209">
        <w:t xml:space="preserve"> one including categorical measures of respondent</w:t>
      </w:r>
      <w:r w:rsidR="00427C35">
        <w:t>’s</w:t>
      </w:r>
      <w:r w:rsidR="00884C04" w:rsidRPr="009A4209">
        <w:t xml:space="preserve"> and partners’ </w:t>
      </w:r>
      <w:r w:rsidR="001A30A7">
        <w:t>drug</w:t>
      </w:r>
      <w:r w:rsidR="00884C04" w:rsidRPr="009A4209">
        <w:t xml:space="preserve"> use, serodiscordance and </w:t>
      </w:r>
      <w:r w:rsidR="00A025DA">
        <w:t>wave</w:t>
      </w:r>
      <w:r w:rsidR="00884C04" w:rsidRPr="009A4209">
        <w:t xml:space="preserve"> of reporting, and one including categorical measures of respondent </w:t>
      </w:r>
      <w:r w:rsidR="001A30A7">
        <w:t>drug</w:t>
      </w:r>
      <w:r w:rsidR="00884C04" w:rsidRPr="009A4209">
        <w:t xml:space="preserve"> use alone, </w:t>
      </w:r>
      <w:r w:rsidR="00255260">
        <w:t xml:space="preserve">HIV </w:t>
      </w:r>
      <w:r w:rsidR="00884C04" w:rsidRPr="009A4209">
        <w:t xml:space="preserve">serodiscordance and </w:t>
      </w:r>
      <w:r w:rsidR="00A025DA">
        <w:t>wave</w:t>
      </w:r>
      <w:r w:rsidR="00884C04" w:rsidRPr="009A4209">
        <w:t xml:space="preserve"> of reporting</w:t>
      </w:r>
      <w:r w:rsidR="00272BD6">
        <w:t xml:space="preserve"> (see Table 5)</w:t>
      </w:r>
      <w:r w:rsidR="00884C04" w:rsidRPr="009A4209">
        <w:t xml:space="preserve">.  Both models included </w:t>
      </w:r>
      <w:r>
        <w:t>associations</w:t>
      </w:r>
      <w:r w:rsidR="00884C04" w:rsidRPr="009A4209">
        <w:t xml:space="preserve"> for </w:t>
      </w:r>
      <w:r w:rsidR="00255260">
        <w:t xml:space="preserve">HIV </w:t>
      </w:r>
      <w:r w:rsidR="00884C04" w:rsidRPr="009A4209">
        <w:t xml:space="preserve">serodiscordance similar in magnitude and </w:t>
      </w:r>
      <w:r>
        <w:t>significance</w:t>
      </w:r>
      <w:r w:rsidR="00884C04" w:rsidRPr="009A4209">
        <w:t xml:space="preserve"> to those seen in initial models.  However, only the second model included a statistically significant association between respondent </w:t>
      </w:r>
      <w:r w:rsidR="001A30A7">
        <w:t>drug</w:t>
      </w:r>
      <w:r w:rsidR="00884C04" w:rsidRPr="009A4209">
        <w:t xml:space="preserve"> use and odds of UAI (OR=1.67, 95% CI [1.06, 2.62]).  Comparison between QIC values for the first model including partners’ </w:t>
      </w:r>
      <w:r w:rsidR="001A30A7">
        <w:t>drug</w:t>
      </w:r>
      <w:r w:rsidR="00884C04" w:rsidRPr="009A4209">
        <w:t xml:space="preserve"> use (557.41) and for the second model with respondent</w:t>
      </w:r>
      <w:r w:rsidR="003C20C3">
        <w:t>’s</w:t>
      </w:r>
      <w:r w:rsidR="00884C04" w:rsidRPr="009A4209">
        <w:t xml:space="preserve"> </w:t>
      </w:r>
      <w:r w:rsidR="001A30A7">
        <w:t>drug</w:t>
      </w:r>
      <w:r w:rsidR="00E912C3">
        <w:t xml:space="preserve"> use alone (556.26) indicated</w:t>
      </w:r>
      <w:r w:rsidR="002D2E94">
        <w:t xml:space="preserve"> that the second model would be</w:t>
      </w:r>
      <w:r w:rsidR="00884C04" w:rsidRPr="009A4209">
        <w:t xml:space="preserve"> preferable, though only slightly.</w:t>
      </w:r>
    </w:p>
    <w:p w14:paraId="5BB62C29" w14:textId="77777777" w:rsidR="00884C04" w:rsidRPr="009A4209" w:rsidRDefault="00E912C3" w:rsidP="00884C04">
      <w:pPr>
        <w:spacing w:line="480" w:lineRule="auto"/>
      </w:pPr>
      <w:r>
        <w:rPr>
          <w:b/>
        </w:rPr>
        <w:tab/>
      </w:r>
      <w:r w:rsidR="00884C04" w:rsidRPr="009A4209">
        <w:rPr>
          <w:b/>
        </w:rPr>
        <w:t>Models testing associations with pleasure</w:t>
      </w:r>
      <w:r>
        <w:rPr>
          <w:b/>
        </w:rPr>
        <w:t>.</w:t>
      </w:r>
      <w:r>
        <w:t xml:space="preserve">  Any</w:t>
      </w:r>
      <w:r w:rsidR="00884C04" w:rsidRPr="009A4209">
        <w:t xml:space="preserve"> </w:t>
      </w:r>
      <w:r w:rsidR="001A30A7">
        <w:t>drug</w:t>
      </w:r>
      <w:r w:rsidR="00884C04" w:rsidRPr="009A4209">
        <w:t xml:space="preserve"> use by respondent was not associated with pleasure (</w:t>
      </w:r>
      <w:r w:rsidR="00884C04" w:rsidRPr="009A4209">
        <w:rPr>
          <w:i/>
        </w:rPr>
        <w:t>p</w:t>
      </w:r>
      <w:r w:rsidR="00884C04" w:rsidRPr="009A4209">
        <w:t xml:space="preserve">&gt;0.10), </w:t>
      </w:r>
      <w:r>
        <w:t>and</w:t>
      </w:r>
      <w:r w:rsidR="00884C04" w:rsidRPr="009A4209">
        <w:t xml:space="preserve"> </w:t>
      </w:r>
      <w:r w:rsidR="00B62A2A">
        <w:t xml:space="preserve">for specific drugs </w:t>
      </w:r>
      <w:r w:rsidR="00884C04" w:rsidRPr="009A4209">
        <w:t>only use of poppers was marginally associated (</w:t>
      </w:r>
      <w:r w:rsidR="00884C04" w:rsidRPr="009A4209">
        <w:rPr>
          <w:i/>
        </w:rPr>
        <w:t>p</w:t>
      </w:r>
      <w:r w:rsidR="00884C04" w:rsidRPr="009A4209">
        <w:t xml:space="preserve">&lt;0.10, but not </w:t>
      </w:r>
      <w:r w:rsidR="00884C04" w:rsidRPr="009A4209">
        <w:rPr>
          <w:i/>
        </w:rPr>
        <w:t>p</w:t>
      </w:r>
      <w:r w:rsidR="00884C04" w:rsidRPr="009A4209">
        <w:t xml:space="preserve">&lt;0.05) with </w:t>
      </w:r>
      <w:r w:rsidR="00701F33">
        <w:t>higher</w:t>
      </w:r>
      <w:r w:rsidR="00701F33" w:rsidRPr="009A4209">
        <w:t xml:space="preserve"> </w:t>
      </w:r>
      <w:r w:rsidR="00884C04" w:rsidRPr="009A4209">
        <w:t>pleasure</w:t>
      </w:r>
      <w:r w:rsidR="00272BD6">
        <w:t xml:space="preserve"> (see Table 3</w:t>
      </w:r>
      <w:r>
        <w:t>)</w:t>
      </w:r>
      <w:r w:rsidR="00884C04" w:rsidRPr="009A4209">
        <w:t>.</w:t>
      </w:r>
      <w:r>
        <w:t xml:space="preserve">  </w:t>
      </w:r>
      <w:r w:rsidR="0080732D">
        <w:t xml:space="preserve">In a model testing partner substance use, </w:t>
      </w:r>
      <w:r w:rsidR="00884C04" w:rsidRPr="009A4209">
        <w:t xml:space="preserve">not knowing if partners had used </w:t>
      </w:r>
      <w:r w:rsidR="001A30A7">
        <w:t>drug</w:t>
      </w:r>
      <w:r w:rsidR="00884C04" w:rsidRPr="009A4209">
        <w:t>s was associated with decreased pleasure (β=-0.50, 95% CI [-0.91, -0.09])</w:t>
      </w:r>
      <w:r w:rsidR="0080732D">
        <w:t xml:space="preserve"> as compared to </w:t>
      </w:r>
      <w:r w:rsidR="0080732D" w:rsidRPr="009A4209">
        <w:t xml:space="preserve">no </w:t>
      </w:r>
      <w:r w:rsidR="0080732D">
        <w:t>drug</w:t>
      </w:r>
      <w:r w:rsidR="0080732D" w:rsidRPr="009A4209">
        <w:t xml:space="preserve"> </w:t>
      </w:r>
      <w:r w:rsidR="0080732D">
        <w:t xml:space="preserve">use </w:t>
      </w:r>
      <w:r w:rsidR="0080732D" w:rsidRPr="009A4209">
        <w:t>by partners</w:t>
      </w:r>
      <w:r w:rsidR="0080732D">
        <w:t xml:space="preserve">.  However, any </w:t>
      </w:r>
      <w:r w:rsidR="001A30A7">
        <w:t>drug</w:t>
      </w:r>
      <w:r w:rsidR="00884C04" w:rsidRPr="009A4209">
        <w:t xml:space="preserve"> use by partners w</w:t>
      </w:r>
      <w:r w:rsidR="0080732D">
        <w:t>as not significantly</w:t>
      </w:r>
      <w:r w:rsidR="00884C04" w:rsidRPr="009A4209">
        <w:t xml:space="preserve"> associated with increased pleasure relative to no </w:t>
      </w:r>
      <w:r w:rsidR="001A30A7">
        <w:t>drug</w:t>
      </w:r>
      <w:r w:rsidR="00884C04" w:rsidRPr="009A4209">
        <w:t xml:space="preserve"> use (both </w:t>
      </w:r>
      <w:r w:rsidR="00884C04" w:rsidRPr="009A4209">
        <w:rPr>
          <w:i/>
        </w:rPr>
        <w:t>p</w:t>
      </w:r>
      <w:r w:rsidR="00030DB6">
        <w:t>s&gt;0.10).</w:t>
      </w:r>
    </w:p>
    <w:p w14:paraId="76C90898" w14:textId="37E7DFDD" w:rsidR="00884C04" w:rsidRDefault="00884C04" w:rsidP="00884C04">
      <w:pPr>
        <w:spacing w:line="480" w:lineRule="auto"/>
      </w:pPr>
      <w:r w:rsidRPr="00E912C3">
        <w:tab/>
      </w:r>
      <w:r w:rsidR="00E912C3" w:rsidRPr="00E912C3">
        <w:t>Each</w:t>
      </w:r>
      <w:r w:rsidRPr="00E912C3">
        <w:t xml:space="preserve"> </w:t>
      </w:r>
      <w:r w:rsidRPr="009A4209">
        <w:t>additional participant was associated on average with an increase in pleasure of 0.05 points</w:t>
      </w:r>
      <w:r w:rsidR="00C36169">
        <w:t xml:space="preserve"> out of </w:t>
      </w:r>
      <w:r w:rsidR="00CC5C52">
        <w:t>10</w:t>
      </w:r>
      <w:r w:rsidRPr="009A4209">
        <w:t xml:space="preserve"> (95% CI [0.02, 0.09]).  Relative to encounters where all partners were believed to be </w:t>
      </w:r>
      <w:r w:rsidR="00255260">
        <w:t xml:space="preserve">HIV </w:t>
      </w:r>
      <w:r w:rsidRPr="009A4209">
        <w:t xml:space="preserve">seroconcordant, encounters </w:t>
      </w:r>
      <w:r w:rsidR="00B62A2A">
        <w:t>including</w:t>
      </w:r>
      <w:r w:rsidRPr="009A4209">
        <w:t xml:space="preserve"> </w:t>
      </w:r>
      <w:r w:rsidR="00B62A2A" w:rsidRPr="009A4209">
        <w:t>partners</w:t>
      </w:r>
      <w:r w:rsidR="00B62A2A">
        <w:t xml:space="preserve"> of</w:t>
      </w:r>
      <w:r w:rsidR="00B62A2A" w:rsidRPr="009A4209">
        <w:t xml:space="preserve"> </w:t>
      </w:r>
      <w:r w:rsidRPr="009A4209">
        <w:t>unknown serostatus</w:t>
      </w:r>
      <w:r w:rsidR="00255260">
        <w:t xml:space="preserve"> match</w:t>
      </w:r>
      <w:r w:rsidRPr="009A4209">
        <w:t xml:space="preserve"> were, on average, associated with less pleasure (-0.38, [-0.76, -0.001]), though </w:t>
      </w:r>
      <w:r w:rsidR="00255260">
        <w:t xml:space="preserve">HIV </w:t>
      </w:r>
      <w:r w:rsidRPr="009A4209">
        <w:t xml:space="preserve">serodiscordant encounters were not statistically different from seroconcordant encounters.  On average, multipartner encounters in cruising locations were less pleasurable than encounters in </w:t>
      </w:r>
      <w:r w:rsidR="00701F33">
        <w:t>homes</w:t>
      </w:r>
      <w:r w:rsidRPr="009A4209">
        <w:t xml:space="preserve"> (-1.02, [-1.54, -0.50]), but encounters in </w:t>
      </w:r>
      <w:r w:rsidR="00CC5C52">
        <w:t>SOPV</w:t>
      </w:r>
      <w:r w:rsidRPr="009A4209">
        <w:t xml:space="preserve">s were not statistically different from </w:t>
      </w:r>
      <w:r w:rsidR="00255260">
        <w:t xml:space="preserve">those in </w:t>
      </w:r>
      <w:r w:rsidR="00701F33">
        <w:t>homes</w:t>
      </w:r>
      <w:r w:rsidRPr="009A4209">
        <w:t xml:space="preserve"> (</w:t>
      </w:r>
      <w:r w:rsidRPr="009A4209">
        <w:rPr>
          <w:i/>
        </w:rPr>
        <w:t>p</w:t>
      </w:r>
      <w:r w:rsidR="00E912C3">
        <w:t>&gt;0.10).</w:t>
      </w:r>
    </w:p>
    <w:p w14:paraId="195B980C" w14:textId="5583EA44" w:rsidR="00E912C3" w:rsidRPr="009A4209" w:rsidRDefault="00E912C3" w:rsidP="00884C04">
      <w:pPr>
        <w:spacing w:line="480" w:lineRule="auto"/>
      </w:pPr>
      <w:r>
        <w:tab/>
      </w:r>
      <w:r w:rsidR="0099450F">
        <w:t>We then estimated a</w:t>
      </w:r>
      <w:r>
        <w:t xml:space="preserve"> multivariate model </w:t>
      </w:r>
      <w:r w:rsidR="0099450F">
        <w:t xml:space="preserve">that </w:t>
      </w:r>
      <w:r>
        <w:t xml:space="preserve">included measures of partners’ </w:t>
      </w:r>
      <w:r w:rsidR="001A30A7">
        <w:t>drug</w:t>
      </w:r>
      <w:r>
        <w:t xml:space="preserve"> use, </w:t>
      </w:r>
      <w:r w:rsidR="00255260">
        <w:t xml:space="preserve">HIV </w:t>
      </w:r>
      <w:r>
        <w:t xml:space="preserve">serodiscordance, location of sex and number of partners.  </w:t>
      </w:r>
      <w:r w:rsidR="00030DB6">
        <w:t>Associations were similar to those seen in univariate models, with the exception of unknown serostatus</w:t>
      </w:r>
      <w:r w:rsidR="00255260">
        <w:t xml:space="preserve"> match</w:t>
      </w:r>
      <w:r w:rsidR="00030DB6">
        <w:t>, which was no longer statistically significant</w:t>
      </w:r>
      <w:r w:rsidR="00272BD6">
        <w:t xml:space="preserve"> (see Table 5)</w:t>
      </w:r>
      <w:r w:rsidR="00030DB6">
        <w:t>.</w:t>
      </w:r>
      <w:r w:rsidR="00272BD6">
        <w:t xml:space="preserve">  We tested a model that also included respondent </w:t>
      </w:r>
      <w:r w:rsidR="001A30A7">
        <w:t>drug</w:t>
      </w:r>
      <w:r w:rsidR="00272BD6">
        <w:t xml:space="preserve"> use, but this did not change findings and did not yield a significant association for respondent </w:t>
      </w:r>
      <w:r w:rsidR="001A30A7">
        <w:t>drug</w:t>
      </w:r>
      <w:r w:rsidR="00272BD6">
        <w:t xml:space="preserve"> use (data not shown).</w:t>
      </w:r>
    </w:p>
    <w:p w14:paraId="69E4BC54" w14:textId="47A622B5" w:rsidR="00A025DA" w:rsidRPr="009A4209" w:rsidRDefault="00030DB6" w:rsidP="00A025DA">
      <w:pPr>
        <w:spacing w:line="480" w:lineRule="auto"/>
      </w:pPr>
      <w:r>
        <w:rPr>
          <w:b/>
        </w:rPr>
        <w:tab/>
      </w:r>
      <w:r w:rsidR="00A025DA" w:rsidRPr="009A4209">
        <w:rPr>
          <w:b/>
        </w:rPr>
        <w:t>Models testing associations with control</w:t>
      </w:r>
      <w:r>
        <w:rPr>
          <w:b/>
        </w:rPr>
        <w:t>.</w:t>
      </w:r>
      <w:r>
        <w:t xml:space="preserve">  </w:t>
      </w:r>
      <w:r w:rsidR="00A025DA" w:rsidRPr="009A4209">
        <w:t xml:space="preserve">Neither any </w:t>
      </w:r>
      <w:r w:rsidR="001A30A7">
        <w:t>drug</w:t>
      </w:r>
      <w:r w:rsidR="00A025DA" w:rsidRPr="009A4209">
        <w:t xml:space="preserve"> use by r</w:t>
      </w:r>
      <w:r>
        <w:t xml:space="preserve">espondent nor </w:t>
      </w:r>
      <w:r w:rsidR="001A30A7">
        <w:t>drug</w:t>
      </w:r>
      <w:r>
        <w:t xml:space="preserve"> use by partners</w:t>
      </w:r>
      <w:r w:rsidR="00A025DA" w:rsidRPr="009A4209">
        <w:t xml:space="preserve"> w</w:t>
      </w:r>
      <w:r w:rsidR="00C32C2A">
        <w:t>as</w:t>
      </w:r>
      <w:r w:rsidR="00A025DA" w:rsidRPr="009A4209">
        <w:t xml:space="preserve"> associated with reporting being in control of sexual outcomes (both </w:t>
      </w:r>
      <w:r w:rsidR="00A025DA" w:rsidRPr="009A4209">
        <w:rPr>
          <w:i/>
        </w:rPr>
        <w:t>p</w:t>
      </w:r>
      <w:r w:rsidR="00A025DA" w:rsidRPr="009A4209">
        <w:t xml:space="preserve">&lt;0.10), though as expected, both associations were negative in direction </w:t>
      </w:r>
      <w:r w:rsidR="00272BD6">
        <w:t>(see Table 3</w:t>
      </w:r>
      <w:r>
        <w:t>)</w:t>
      </w:r>
      <w:r w:rsidR="00A025DA" w:rsidRPr="009A4209">
        <w:t>.</w:t>
      </w:r>
      <w:r w:rsidR="0099450F">
        <w:t xml:space="preserve"> </w:t>
      </w:r>
      <w:r w:rsidR="00A025DA" w:rsidRPr="009A4209">
        <w:t xml:space="preserve"> </w:t>
      </w:r>
      <w:r w:rsidRPr="009A4209">
        <w:t>No</w:t>
      </w:r>
      <w:r>
        <w:t>ne of the co</w:t>
      </w:r>
      <w:r w:rsidR="00C32C2A">
        <w:t>variates</w:t>
      </w:r>
      <w:r>
        <w:t xml:space="preserve"> tested</w:t>
      </w:r>
      <w:r w:rsidRPr="009A4209">
        <w:t xml:space="preserve"> were significantly associated with odds of control (all </w:t>
      </w:r>
      <w:r w:rsidRPr="009A4209">
        <w:rPr>
          <w:i/>
        </w:rPr>
        <w:t>p</w:t>
      </w:r>
      <w:r>
        <w:t>&gt;0.10).</w:t>
      </w:r>
    </w:p>
    <w:p w14:paraId="0719D6A9" w14:textId="77777777" w:rsidR="00A025DA" w:rsidRPr="009A4209" w:rsidRDefault="00030DB6" w:rsidP="00A025DA">
      <w:pPr>
        <w:spacing w:line="480" w:lineRule="auto"/>
        <w:ind w:firstLine="720"/>
      </w:pPr>
      <w:r w:rsidRPr="009A4209">
        <w:t xml:space="preserve">A model </w:t>
      </w:r>
      <w:r>
        <w:t xml:space="preserve">for </w:t>
      </w:r>
      <w:r w:rsidRPr="009A4209">
        <w:t xml:space="preserve">specific </w:t>
      </w:r>
      <w:r w:rsidR="001A30A7">
        <w:t>drug</w:t>
      </w:r>
      <w:r w:rsidRPr="009A4209">
        <w:t xml:space="preserve">s </w:t>
      </w:r>
      <w:r>
        <w:t>used by respondent</w:t>
      </w:r>
      <w:r w:rsidRPr="009A4209">
        <w:t xml:space="preserve"> only yielded a significant association between crystal methamphetamine and reduced odds of control (OR=0.15, 95% CI [0.05, 0.53]), though cocaine was marginally associated (</w:t>
      </w:r>
      <w:r w:rsidRPr="009A4209">
        <w:rPr>
          <w:i/>
        </w:rPr>
        <w:t>p</w:t>
      </w:r>
      <w:r w:rsidRPr="009A4209">
        <w:t xml:space="preserve">&lt;0.10, but </w:t>
      </w:r>
      <w:r w:rsidRPr="009A4209">
        <w:rPr>
          <w:i/>
        </w:rPr>
        <w:t>p</w:t>
      </w:r>
      <w:r w:rsidRPr="009A4209">
        <w:t>&gt;0.05) with reduced odds of control (0.37, [0.13, 1.03</w:t>
      </w:r>
      <w:r>
        <w:t>])</w:t>
      </w:r>
      <w:r w:rsidR="00272BD6">
        <w:t xml:space="preserve"> (see Table 4)</w:t>
      </w:r>
      <w:r>
        <w:t>.</w:t>
      </w:r>
      <w:r w:rsidR="0099450F">
        <w:t xml:space="preserve">  </w:t>
      </w:r>
      <w:r w:rsidR="0099450F" w:rsidRPr="009A4209">
        <w:t xml:space="preserve">All other specific </w:t>
      </w:r>
      <w:r w:rsidR="001A30A7">
        <w:t>drug</w:t>
      </w:r>
      <w:r w:rsidR="0099450F" w:rsidRPr="009A4209">
        <w:t xml:space="preserve">s except for alcohol appeared to be associated with </w:t>
      </w:r>
      <w:r w:rsidR="0099450F" w:rsidRPr="009A4209">
        <w:rPr>
          <w:i/>
        </w:rPr>
        <w:t>increased</w:t>
      </w:r>
      <w:r w:rsidR="0099450F" w:rsidRPr="009A4209">
        <w:t xml:space="preserve"> odds of control, though confidence intervals were wide </w:t>
      </w:r>
      <w:r w:rsidR="0006596D">
        <w:t xml:space="preserve">and </w:t>
      </w:r>
      <w:r w:rsidR="000D0714">
        <w:t xml:space="preserve">associations </w:t>
      </w:r>
      <w:r w:rsidR="0006596D">
        <w:t xml:space="preserve">statistically non-significant </w:t>
      </w:r>
      <w:r w:rsidR="0099450F" w:rsidRPr="009A4209">
        <w:t>in all accounts.</w:t>
      </w:r>
    </w:p>
    <w:p w14:paraId="054CB357" w14:textId="77777777" w:rsidR="00884C04" w:rsidRPr="00B05899" w:rsidRDefault="00764C88" w:rsidP="00884C04">
      <w:pPr>
        <w:spacing w:line="480" w:lineRule="auto"/>
        <w:rPr>
          <w:b/>
        </w:rPr>
      </w:pPr>
      <w:r>
        <w:rPr>
          <w:b/>
        </w:rPr>
        <w:t>Discussion</w:t>
      </w:r>
    </w:p>
    <w:p w14:paraId="6A88CEF2" w14:textId="7EB26E10" w:rsidR="00A247EC" w:rsidRDefault="00884C04" w:rsidP="00884C04">
      <w:pPr>
        <w:spacing w:line="480" w:lineRule="auto"/>
      </w:pPr>
      <w:r w:rsidRPr="009A4209">
        <w:rPr>
          <w:b/>
        </w:rPr>
        <w:tab/>
      </w:r>
      <w:r w:rsidR="002D2E94">
        <w:t xml:space="preserve">In this nested case-control study of multipartner encounters reported by </w:t>
      </w:r>
      <w:r w:rsidR="00A3220C">
        <w:t xml:space="preserve">MSM </w:t>
      </w:r>
      <w:r w:rsidR="002D2E94">
        <w:t>living in England, we found that o</w:t>
      </w:r>
      <w:r w:rsidRPr="002D2E94">
        <w:t xml:space="preserve">n average, </w:t>
      </w:r>
      <w:r w:rsidR="002D2E94">
        <w:t xml:space="preserve">a binary measure of </w:t>
      </w:r>
      <w:r w:rsidRPr="002D2E94">
        <w:t xml:space="preserve">respondent </w:t>
      </w:r>
      <w:r w:rsidR="001A30A7">
        <w:t>drug</w:t>
      </w:r>
      <w:r w:rsidRPr="002D2E94">
        <w:t xml:space="preserve"> use in multipartner encounters was significantly assoc</w:t>
      </w:r>
      <w:r w:rsidR="002D2E94">
        <w:t>iated with increased odds of UAI, but not with pleasure or control</w:t>
      </w:r>
      <w:r w:rsidRPr="002D2E94">
        <w:t>.</w:t>
      </w:r>
      <w:r w:rsidRPr="009A4209">
        <w:t xml:space="preserve"> </w:t>
      </w:r>
      <w:r w:rsidR="002D2E94">
        <w:t xml:space="preserve"> </w:t>
      </w:r>
      <w:r w:rsidR="00701F33">
        <w:t>Considering</w:t>
      </w:r>
      <w:r w:rsidRPr="009A4209">
        <w:t xml:space="preserve"> </w:t>
      </w:r>
      <w:r w:rsidR="00701F33">
        <w:t>u</w:t>
      </w:r>
      <w:r w:rsidRPr="009A4209">
        <w:t xml:space="preserve">se of </w:t>
      </w:r>
      <w:r w:rsidR="00701F33">
        <w:t xml:space="preserve">specific drugs, </w:t>
      </w:r>
      <w:r w:rsidRPr="009A4209">
        <w:t xml:space="preserve">erectile dysfunction medication and crystal methamphetamine were both associated with UAI, but no specific </w:t>
      </w:r>
      <w:r w:rsidR="001A30A7">
        <w:t>drug</w:t>
      </w:r>
      <w:r w:rsidRPr="009A4209">
        <w:t xml:space="preserve"> was associated with pleasure.  Only use of crystal methamphetamine was significantly associated with decreased odds of control in multipartner encounters.</w:t>
      </w:r>
      <w:r w:rsidR="002D2E94">
        <w:t xml:space="preserve">  In initial models, knowing </w:t>
      </w:r>
      <w:r w:rsidR="00C32C2A">
        <w:t xml:space="preserve">the </w:t>
      </w:r>
      <w:r w:rsidR="002D2E94">
        <w:t xml:space="preserve">specifics of partners’ </w:t>
      </w:r>
      <w:r w:rsidR="001A30A7">
        <w:t>drug</w:t>
      </w:r>
      <w:r w:rsidR="002D2E94">
        <w:t xml:space="preserve"> use </w:t>
      </w:r>
      <w:r w:rsidR="00C32C2A">
        <w:t>w</w:t>
      </w:r>
      <w:r w:rsidR="002D2E94">
        <w:t xml:space="preserve">as associated with increased odds of UAI, while not knowing about partners’ </w:t>
      </w:r>
      <w:r w:rsidR="001A30A7">
        <w:t>drug</w:t>
      </w:r>
      <w:r w:rsidR="002D2E94">
        <w:t xml:space="preserve"> use was associated with decreased pleasure.  </w:t>
      </w:r>
      <w:r w:rsidR="003C5469">
        <w:t>Only the finding on pleasure persisted in multivariate models.</w:t>
      </w:r>
      <w:r w:rsidR="00A0184E">
        <w:t xml:space="preserve">  Findings on crystal methamphetamine and sexual risk match that of a systematic review of event-level encounters </w:t>
      </w:r>
      <w:r w:rsidR="00B90C8D">
        <w:fldChar w:fldCharType="begin" w:fldLock="1"/>
      </w:r>
      <w:r w:rsidR="00030835">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"chapter-number" : "1394", "container-title" : "AIDS &amp; Behavior", "id" : "ITEM-1", "issue" : "6", "issued" : { "date-parts" : [ [ "2012" ] ] }, "page" : "1394-1410", "publisher-place" : "United States", "title" : "A review of the literature on event-level substance use and sexual risk behavior among men who have sex with men.", "type" : "article-journal", "volume" : "16" }, "uris" : [ "http://www.mendeley.com/documents/?uuid=8fb530c3-1bc2-49fb-8cfc-bb64fa06310b" ] } ], "mendeley" : { "formattedCitation" : "(1)", "plainTextFormattedCitation" : "(1)", "previouslyFormattedCitation" : "(1)" }, "properties" : { "noteIndex" : 0 }, "schema" : "https://github.com/citation-style-language/schema/raw/master/csl-citation.json" }</w:instrText>
      </w:r>
      <w:r w:rsidR="00B90C8D">
        <w:fldChar w:fldCharType="separate"/>
      </w:r>
      <w:r w:rsidR="00B16AAB" w:rsidRPr="00B16AAB">
        <w:rPr>
          <w:noProof/>
        </w:rPr>
        <w:t>(1)</w:t>
      </w:r>
      <w:r w:rsidR="00B90C8D">
        <w:fldChar w:fldCharType="end"/>
      </w:r>
      <w:r w:rsidR="008D2276">
        <w:t>.  F</w:t>
      </w:r>
      <w:r w:rsidR="00A0184E">
        <w:t xml:space="preserve">indings on erectile dysfunction medications </w:t>
      </w:r>
      <w:r w:rsidR="008D2276">
        <w:t xml:space="preserve">and crystal methamphetamine also match with person-level studies of MSM describing associations between specific drug use and longitudinal risk of HIV seroconversion conducted on cohorts in Australia </w:t>
      </w:r>
      <w:r w:rsidR="00B90C8D">
        <w:fldChar w:fldCharType="begin" w:fldLock="1"/>
      </w:r>
      <w:r w:rsidR="00CE61FF">
        <w:instrText>ADDIN CSL_CITATION { "citationItems" : [ { "id" : "ITEM-1", "itemData" : { "ISBN" : "1743-6109", "abstract" : "INTRODUCTION: Use of illicit drugs and oral erectile dysfunction medications (OEM) have been associated with risk behavior among gay men., AIM: To determine the effects of illicit drugs and OEM as risk factors for HIV seroconversion in a community-based cohort of HIV-negative homosexually active men in Sydney, Australia., MAIN OUTCOME MEASURES: Drug use in the previous 6 months and at the most recent sexual encounter; Most recent occasions of unprotected and protected anal intercourse; HIV-positive diagnosis., METHODS: From June 2001 to June 2007, participants were followed up with 6-monthly detailed behavioral interviews and annual testing for HIV. Detailed information about sexual, drug-using and other behavior was collected., RESULTS: Among 1,427 participants enrolled, 53 HIV seroconverters were identified by June 2007. At baseline, 62.7% reported using illicit drugs in the previous 6 months, including 10.7% who reported at least weekly use. Illicit drug use was associated with unprotected anal intercourse with casual partners (P &lt; 0.001). Use of illicit drugs was associated with increased risk of HIV infection at a univariate level, and this risk increased with greater frequency of use. This was also true of the use of OEM. Use of each type of illicit drug was included in multivariate analysis, and after controlling for sexual risk behaviors, only use of OEM remained significantly predictive of HIV infection (Hazard ratios [HR] = 1.75, CI = 1.31-2.33, P &lt; 0.001), although amyl nitrite was of borderline significance (HR = 1.26, CI = 0.98-1.62, P = 0.074)., CONCLUSION: The association between drug use and increased risk of HIV infection was strongest for drugs used specifically to enhance sexual pleasure, particularly OEM. The risk of infection was substantially increased when both OEM and methamphetamine were used. Within more \"adventurous\" gay community subcultures, the interconnectedness of sexual behavior and drug use may be key to understanding HIV risk and is an appropriate priority in HIV-prevention efforts in this population.", "author" : [ { "dropping-particle" : "", "family" : "Prestage", "given" : "Garrett", "non-dropping-particle" : "", "parse-names" : false, "suffix" : "" }, { "dropping-particle" : "", "family" : "Jin", "given" : "Fengyi", "non-dropping-particle" : "", "parse-names" : false, "suffix" : "" }, { "dropping-particle" : "", "family" : "Kippax", "given" : "Susan", "non-dropping-particle" : "", "parse-names" : false, "suffix" : "" }, { "dropping-particle" : "", "family" : "Zablotska", "given" : "Iryna", "non-dropping-particle" : "", "parse-names" : false, "suffix" : "" }, { "dropping-particle" : "", "family" : "Imrie", "given" : "John", "non-dropping-particle" : "", "parse-names" : false, "suffix" : "" }, { "dropping-particle" : "", "family" : "Grulich", "given" : "Andrew", "non-dropping-particle" : "", "parse-names" : false, "suffix" : "" } ], "container-title" : "Journal of Sexual Medicine", "id" : "ITEM-1", "issue" : "8", "issued" : { "date-parts" : [ [ "2009" ] ] }, "page" : "2311-2320", "title" : "Use of illicit drugs and erectile dysfunction medications and subsequent HIV infection among gay men in Sydney, Australia.", "type" : "article", "volume" : "6" }, "uris" : [ "http://www.mendeley.com/documents/?uuid=f3222e70-02dc-43d3-ba40-a82025eb072f" ] } ], "mendeley" : { "formattedCitation" : "(20)", "plainTextFormattedCitation" : "(20)", "previouslyFormattedCitation" : "(20)" }, "properties" : { "noteIndex" : 0 }, "schema" : "https://github.com/citation-style-language/schema/raw/master/csl-citation.json" }</w:instrText>
      </w:r>
      <w:r w:rsidR="00B90C8D">
        <w:fldChar w:fldCharType="separate"/>
      </w:r>
      <w:r w:rsidR="00B16AAB" w:rsidRPr="00B16AAB">
        <w:rPr>
          <w:noProof/>
        </w:rPr>
        <w:t>(20)</w:t>
      </w:r>
      <w:r w:rsidR="00B90C8D">
        <w:fldChar w:fldCharType="end"/>
      </w:r>
      <w:r w:rsidR="008D2276">
        <w:t xml:space="preserve"> and in the United States </w:t>
      </w:r>
      <w:r w:rsidR="00B90C8D">
        <w:fldChar w:fldCharType="begin" w:fldLock="1"/>
      </w:r>
      <w:r w:rsidR="00CE61FF">
        <w:instrText>ADDIN CSL_CITATION { "citationItems" : [ { "id" : "ITEM-1", "itemData" : { "DOI" : "10.1097/QAI.0b013e3181a24b20", "ISSN" : "1525-4135", "PMID" : "19387357", "abstract" : "New HIV infections are being observed among men who have sex with men (MSM). Understanding the fusion of risky sexual behaviors, stimulant and erectile dysfunction drug use with HIV seroconversion may provide direction for focused intervention.", "author" : [ { "dropping-particle" : "", "family" : "Ostrow", "given" : "David G", "non-dropping-particle" : "", "parse-names" : false, "suffix" : "" }, { "dropping-particle" : "", "family" : "Plankey", "given" : "Michael W", "non-dropping-particle" : "", "parse-names" : false, "suffix" : "" }, { "dropping-particle" : "", "family" : "Cox", "given" : "Christopher", "non-dropping-particle" : "", "parse-names" : false, "suffix" : "" }, { "dropping-particle" : "", "family" : "Li", "given" : "Xiuhong", "non-dropping-particle" : "", "parse-names" : false, "suffix" : "" }, { "dropping-particle" : "", "family" : "Shoptaw", "given" : "Steven", "non-dropping-particle" : "", "parse-names" : false, "suffix" : "" }, { "dropping-particle" : "", "family" : "Jacobson", "given" : "Lisa P", "non-dropping-particle" : "", "parse-names" : false, "suffix" : "" }, { "dropping-particle" : "", "family" : "Stall", "given" : "Ronald C", "non-dropping-particle" : "", "parse-names" : false, "suffix" : "" } ], "container-title" : "Journal of acquired immune deficiency syndromes", "id" : "ITEM-1", "issue" : "3", "issued" : { "date-parts" : [ [ "2009" ] ] }, "page" : "349-55", "title" : "Specific sex drug combinations contribute to the majority of recent HIV seroconversions among MSM in the MACS.", "type" : "article-journal", "volume" : "51" }, "uris" : [ "http://www.mendeley.com/documents/?uuid=3c142360-7ffe-4a8c-bf15-63704262bf49" ] } ], "mendeley" : { "formattedCitation" : "(21)", "plainTextFormattedCitation" : "(21)", "previouslyFormattedCitation" : "(21)" }, "properties" : { "noteIndex" : 0 }, "schema" : "https://github.com/citation-style-language/schema/raw/master/csl-citation.json" }</w:instrText>
      </w:r>
      <w:r w:rsidR="00B90C8D">
        <w:fldChar w:fldCharType="separate"/>
      </w:r>
      <w:r w:rsidR="00B16AAB" w:rsidRPr="00B16AAB">
        <w:rPr>
          <w:noProof/>
        </w:rPr>
        <w:t>(21)</w:t>
      </w:r>
      <w:r w:rsidR="00B90C8D">
        <w:fldChar w:fldCharType="end"/>
      </w:r>
      <w:r w:rsidR="008D2276">
        <w:t>.</w:t>
      </w:r>
    </w:p>
    <w:p w14:paraId="1D77F88D" w14:textId="7DE3700F" w:rsidR="003C5469" w:rsidRDefault="00A247EC" w:rsidP="00884C04">
      <w:pPr>
        <w:spacing w:line="480" w:lineRule="auto"/>
      </w:pPr>
      <w:r>
        <w:tab/>
      </w:r>
      <w:r w:rsidR="003C5469">
        <w:t>The additional situational characteristics used as covaria</w:t>
      </w:r>
      <w:r w:rsidR="00C32C2A">
        <w:t>t</w:t>
      </w:r>
      <w:r w:rsidR="003C5469">
        <w:t xml:space="preserve">es also painted an interesting picture.  </w:t>
      </w:r>
      <w:r w:rsidR="000A514D">
        <w:t xml:space="preserve">Encounters with </w:t>
      </w:r>
      <w:r w:rsidR="000F4A27">
        <w:t>m</w:t>
      </w:r>
      <w:r>
        <w:t>ore partners w</w:t>
      </w:r>
      <w:r w:rsidR="000A514D">
        <w:t>ere</w:t>
      </w:r>
      <w:r>
        <w:t xml:space="preserve"> associated with increased pleasure, but not UAI or control.  </w:t>
      </w:r>
      <w:r w:rsidR="003C5469">
        <w:t xml:space="preserve">An unknown serostatus match between respondent and partners, but not </w:t>
      </w:r>
      <w:r w:rsidR="00FB4FCA">
        <w:t xml:space="preserve">HIV </w:t>
      </w:r>
      <w:r w:rsidR="003C5469">
        <w:t>serodiscordance</w:t>
      </w:r>
      <w:r w:rsidR="00C32C2A">
        <w:t>,</w:t>
      </w:r>
      <w:r w:rsidR="003C5469">
        <w:t xml:space="preserve"> was associated with decreased odds of UAI and decreased pleasure, though the association with pleasure was not significant in multivariate models.  </w:t>
      </w:r>
      <w:r w:rsidR="003C5469" w:rsidRPr="003C5469">
        <w:t>Similarly</w:t>
      </w:r>
      <w:r w:rsidR="003C5469">
        <w:t>, while location of sex was not associated with UAI, cruising</w:t>
      </w:r>
      <w:r w:rsidR="00701F33">
        <w:t xml:space="preserve"> locations</w:t>
      </w:r>
      <w:r w:rsidR="003C5469">
        <w:t xml:space="preserve"> w</w:t>
      </w:r>
      <w:r w:rsidR="00701F33">
        <w:t>ere</w:t>
      </w:r>
      <w:r w:rsidR="003C5469">
        <w:t xml:space="preserve"> consistently associated with </w:t>
      </w:r>
      <w:r w:rsidR="00701F33">
        <w:t xml:space="preserve">less </w:t>
      </w:r>
      <w:r w:rsidR="003C5469">
        <w:t>pleasure</w:t>
      </w:r>
      <w:r w:rsidR="00701F33">
        <w:t xml:space="preserve"> than homes and SOPVs</w:t>
      </w:r>
      <w:r w:rsidR="003C5469">
        <w:t xml:space="preserve">.  </w:t>
      </w:r>
      <w:r>
        <w:t xml:space="preserve">This finding regarding decreased pleasure in unknown serostatus match encounters may be due to decreased partner familiarity.  This is in part supported by the decreased pleasure also associated with encounters in cruising locations.  Qualitative evidence has shown that MSM report greater pleasure in encounters with well-known, long-term partners </w:t>
      </w:r>
      <w:r w:rsidR="00B90C8D">
        <w:fldChar w:fldCharType="begin" w:fldLock="1"/>
      </w:r>
      <w:r w:rsidR="00CE61FF">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"id" : "ITEM-2", "itemData" : { "DOI" : "10.1186/1471-2458-12-916", "ISSN" : "1471-2458", "PMID" : "23107161", "abstract" : "A significant research literature exists that details the sexual health and sexual behaviour of gay and bisexual men who have diagnosed HIV. However, much of this research has focussed on HIV transmission risk behaviours among this group, rather than seeking to understand their sexual health and sexual well-being more broadly. There have been growing calls for interventions to support people with diagnosed HIV to achieve health and well-being, including sexual health and well-being. A detailed understanding of the problems people in this group face, and how they might be overcome, is required to facilitate such interventions.", "author" : [ { "dropping-particle" : "", "family" : "Bourne", "given" : "Adam", "non-dropping-particle" : "", "parse-names" : false, "suffix" : "" }, { "dropping-particle" : "", "family" : "Hickson", "given" : "Ford", "non-dropping-particle" : "", "parse-names" : false, "suffix" : "" }, { "dropping-particle" : "", "family" : "Keogh", "given" : "Peter", "non-dropping-particle" : "", "parse-names" : false, "suffix" : "" }, { "dropping-particle" : "", "family" : "Reid", "given" : "David", "non-dropping-particle" : "", "parse-names" : false, "suffix" : "" }, { "dropping-particle" : "", "family" : "Weatherburn", "given" : "Peter", "non-dropping-particle" : "", "parse-names" : false, "suffix" : "" } ], "container-title" : "BMC public health", "id" : "ITEM-2", "issue" : "916", "issued" : { "date-parts" : [ [ "2012" ] ] }, "title" : "Problems with sex among gay and bisexual men with diagnosed HIV in the United Kingdom.", "type" : "article-journal", "volume" : "12" }, "uris" : [ "http://www.mendeley.com/documents/?uuid=50476773-a794-4993-a6c0-c40025bdaf42" ] } ], "mendeley" : { "formattedCitation" : "(10,22)", "plainTextFormattedCitation" : "(10,22)", "previouslyFormattedCitation" : "(10,22)" }, "properties" : { "noteIndex" : 0 }, "schema" : "https://github.com/citation-style-language/schema/raw/master/csl-citation.json" }</w:instrText>
      </w:r>
      <w:r w:rsidR="00B90C8D">
        <w:fldChar w:fldCharType="separate"/>
      </w:r>
      <w:r w:rsidR="00B16AAB" w:rsidRPr="00B16AAB">
        <w:rPr>
          <w:noProof/>
        </w:rPr>
        <w:t>(10,22)</w:t>
      </w:r>
      <w:r w:rsidR="00B90C8D">
        <w:fldChar w:fldCharType="end"/>
      </w:r>
      <w:r>
        <w:t xml:space="preserve">.  </w:t>
      </w:r>
      <w:r w:rsidR="002F1570">
        <w:t xml:space="preserve">Similarly, associations between unknown serostatus </w:t>
      </w:r>
      <w:r w:rsidR="00C31AB1">
        <w:t xml:space="preserve">partners </w:t>
      </w:r>
      <w:r w:rsidR="002F1570">
        <w:t xml:space="preserve">and decreased odds of UAI are also likely due to partner familiarity, as prior research </w:t>
      </w:r>
      <w:r w:rsidR="00756989">
        <w:t>comparing frequency of behaviours with different partners reported by the same respondent h</w:t>
      </w:r>
      <w:r w:rsidR="002F1570">
        <w:t xml:space="preserve">as shown </w:t>
      </w:r>
      <w:r w:rsidR="00B90C8D">
        <w:fldChar w:fldCharType="begin" w:fldLock="1"/>
      </w:r>
      <w:r w:rsidR="00CE61FF">
        <w:instrText>ADDIN CSL_CITATION { "citationItems" : [ { "id" : "ITEM-1", "itemData" : { "DOI" : "10.1037/a0023858", "ISBN" : "0278-6133", "ISSN" : "0278-6133", "abstract" : "Objective: Young men who have sex with men (MSM), particularly young men of color, are experiencing the largest increase in HIV incidence of any risk group in the United States Epidemiol\u00c3\u00b3gica! research suggests that the majority of transmissions among MSM are occurring in the context of primary partnerships, but little research has been done on the processes within these dyads that increase HIV risk behaviors. The aim of this study was to use longitudinal partnership-level data to explore the effects of partner and relationship characteristics on the frequency of unprotected sex within young MSM relationships. Method: One hundred twenty-two young MSM (age 16-20 at baseline) were assessed at three time-points six months apart, with 91% retention at the 12-month follow-up wave. Over 80% were racial/ethnic minorities. At each wave, participants reported on characteristics of the relationships and partners for up to three sexual partners. Hierarchical linear modeling was used for analyses. Results: The largest effect was for considering the relationship to be serious, which was associated with nearly an eightfold increase in the rate of unprotected sex. Other factors that increased risk behaviors included older partners, drug use prior to sex, physical violence, forced sex, and partnership lasting more than six months. Partners met online were not associated with significantly more sexual risk. Conclusions: These data provide insight into the relationship processes that should be addressed in prevention programs targeted at young MSM. Relationships may serve as a promising unit for HIV prevention interventions, although more formative research will be required to address potential logistical obstacles to implementing such interventions. The partner-by-partner analytic approach (i.e., evaluating situational variables associated with several partners for a given participant) holds promise for future HIV behavioral research.", "author" : [ { "dropping-particle" : "", "family" : "Mustanski", "given" : "Brian S", "non-dropping-particle" : "", "parse-names" : false, "suffix" : "" }, { "dropping-particle" : "", "family" : "Newcomb", "given" : "Michael E", "non-dropping-particle" : "", "parse-names" : false, "suffix" : "" }, { "dropping-particle" : "", "family" : "Clerkin", "given" : "Elise", "non-dropping-particle" : "", "parse-names" : false, "suffix" : "" } ], "container-title" : "Health Psychology", "id" : "ITEM-1", "issue" : "5", "issued" : { "date-parts" : [ [ "2011" ] ] }, "note" : "From Duplicate 1 ( ", "page" : "597-605", "title" : "Relationship Characteristics and Sexual Risk-Taking in Young Men Who Have Sex With Men.", "type" : "article-journal", "volume" : "30" }, "uris" : [ "http://www.mendeley.com/documents/?uuid=6c3daa8f-482b-4a4a-bb44-19a58ffcfa4b" ] } ], "mendeley" : { "formattedCitation" : "(23)", "plainTextFormattedCitation" : "(23)", "previouslyFormattedCitation" : "(23)" }, "properties" : { "noteIndex" : 0 }, "schema" : "https://github.com/citation-style-language/schema/raw/master/csl-citation.json" }</w:instrText>
      </w:r>
      <w:r w:rsidR="00B90C8D">
        <w:fldChar w:fldCharType="separate"/>
      </w:r>
      <w:r w:rsidR="00B16AAB" w:rsidRPr="00B16AAB">
        <w:rPr>
          <w:noProof/>
        </w:rPr>
        <w:t>(23)</w:t>
      </w:r>
      <w:r w:rsidR="00B90C8D">
        <w:fldChar w:fldCharType="end"/>
      </w:r>
      <w:r w:rsidR="002F1570">
        <w:t>.  There are several mechanisms that may be part of this association, including refusal to not use condoms with casual sex partners and ‘strategic’ engagement in sexual practices that are lower risk for HIV transmission than UAI.</w:t>
      </w:r>
    </w:p>
    <w:p w14:paraId="1E86FC83" w14:textId="7FCE2870" w:rsidR="00206AAD" w:rsidRDefault="00206AAD" w:rsidP="00884C04">
      <w:pPr>
        <w:spacing w:line="480" w:lineRule="auto"/>
      </w:pPr>
      <w:r>
        <w:tab/>
      </w:r>
      <w:r w:rsidR="0091216B">
        <w:rPr>
          <w:b/>
        </w:rPr>
        <w:t>Strengths and limitations</w:t>
      </w:r>
      <w:r w:rsidR="0091216B" w:rsidRPr="0091216B">
        <w:rPr>
          <w:b/>
        </w:rPr>
        <w:t>.</w:t>
      </w:r>
      <w:r w:rsidR="0091216B" w:rsidRPr="0091216B">
        <w:t xml:space="preserve">  </w:t>
      </w:r>
      <w:r>
        <w:t xml:space="preserve">This study drew on a sizeable sample of encounters and addressed a type of encounter that has not been studied extensively.  Moreover, it included </w:t>
      </w:r>
      <w:r w:rsidR="000762D0">
        <w:t xml:space="preserve">additional sexual </w:t>
      </w:r>
      <w:r w:rsidR="00EF4423">
        <w:t xml:space="preserve">session </w:t>
      </w:r>
      <w:r w:rsidR="0006350E">
        <w:t>characteristics</w:t>
      </w:r>
      <w:r w:rsidR="000762D0">
        <w:t xml:space="preserve"> besides risk behaviour </w:t>
      </w:r>
      <w:r w:rsidR="00EF4423">
        <w:t xml:space="preserve">to </w:t>
      </w:r>
      <w:r w:rsidR="000762D0">
        <w:t>better</w:t>
      </w:r>
      <w:r w:rsidR="00C32C2A">
        <w:t xml:space="preserve"> </w:t>
      </w:r>
      <w:r w:rsidR="000762D0">
        <w:t xml:space="preserve">understand the contexts and outcomes </w:t>
      </w:r>
      <w:r w:rsidR="00C32C2A">
        <w:t xml:space="preserve">of </w:t>
      </w:r>
      <w:r w:rsidR="000762D0">
        <w:t xml:space="preserve">sexual encounters.  Multipartner encounters may be a particular feature of </w:t>
      </w:r>
      <w:r w:rsidR="00B53BE1">
        <w:t>SOPV</w:t>
      </w:r>
      <w:r w:rsidR="000762D0">
        <w:t xml:space="preserve">s </w:t>
      </w:r>
      <w:r w:rsidR="00B90C8D">
        <w:fldChar w:fldCharType="begin" w:fldLock="1"/>
      </w:r>
      <w:r w:rsidR="00030835">
        <w:instrText>ADDIN CSL_CITATION { "citationItems" : [ { "id" : "ITEM-1", "itemData" : { "DOI" : "10.1080/13691050902721853", "ISSN" : "1369-1058", "abstract" : "Intensive sex partying is a framework developed to analyse specific frequent behaviours amongst a small minority of gay men in Sydney, Australia. The behaviours included a higher frequency of dance party attendance, more frequent sex, more anal sex, multiple sex partners, more unprotected anal intercourse with casual partners and more frequent drug taking. These occur at a contextual intersection between a sub-group of sexually adventurous gay men and 'party boys'. The men appear to be involved in both high-risk, adventurous sex practices and a specific form of partying distinguishable from dance partying and 'clubbing'. Sex partying occurs on multiple sites (domestic spaces; within dance parties; sex parties; sex-on-premises venues) and appears to be geared to the maximisation of sexual pleasure. Intensive sex partying describes this coincidence of factors and locates them in relation to the multiple pleasures offered by sex partying. It emphasises the importance of 'intensity' in order to understand better the relations between sex, drug use, pleasure, care and risk in some gay men's lives.", "author" : [ { "dropping-particle" : "", "family" : "Hurley", "given" : "M", "non-dropping-particle" : "", "parse-names" : false, "suffix" : "" }, { "dropping-particle" : "", "family" : "Prestage", "given" : "G", "non-dropping-particle" : "", "parse-names" : false, "suffix" : "" } ], "container-title" : "Culture, Health &amp; Sexuality", "id" : "ITEM-1", "issue" : "6", "issued" : { "date-parts" : [ [ "2009" ] ] }, "page" : "597-610", "title" : "Intensive sex partying amongst gay men in Sydney.", "type" : "article-journal", "volume" : "11" }, "uris" : [ "http://www.mendeley.com/documents/?uuid=6a9aa746-2ffc-4e2c-a5d0-812265352b48" ] } ], "mendeley" : { "formattedCitation" : "(11)", "plainTextFormattedCitation" : "(11)", "previouslyFormattedCitation" : "(11)" }, "properties" : { "noteIndex" : 0 }, "schema" : "https://github.com/citation-style-language/schema/raw/master/csl-citation.json" }</w:instrText>
      </w:r>
      <w:r w:rsidR="00B90C8D">
        <w:fldChar w:fldCharType="separate"/>
      </w:r>
      <w:r w:rsidR="00B16AAB" w:rsidRPr="00B16AAB">
        <w:rPr>
          <w:noProof/>
        </w:rPr>
        <w:t>(11)</w:t>
      </w:r>
      <w:r w:rsidR="00B90C8D">
        <w:fldChar w:fldCharType="end"/>
      </w:r>
      <w:r w:rsidR="000762D0">
        <w:t>.  In this regard, this paper is uniquely positioned to add to comparative understandings of sexual risk between these and other venues of sex.</w:t>
      </w:r>
    </w:p>
    <w:p w14:paraId="3B91E569" w14:textId="65097846" w:rsidR="000762D0" w:rsidRPr="00206AAD" w:rsidRDefault="000762D0" w:rsidP="00884C04">
      <w:pPr>
        <w:spacing w:line="480" w:lineRule="auto"/>
      </w:pPr>
      <w:r>
        <w:tab/>
        <w:t xml:space="preserve">This study drew from a large-scale community-recruited sample of MSM in England.  This may present a weakness, as community-recruited samples may report more risk than probability-recruited samples in surveys of MSM </w:t>
      </w:r>
      <w:r w:rsidR="00B90C8D">
        <w:fldChar w:fldCharType="begin" w:fldLock="1"/>
      </w:r>
      <w:r w:rsidR="00B16AAB">
        <w:instrText>ADDIN CSL_CITATION { "citationItems" : [ { "id" : "ITEM-1", "itemData" : { "DOI" : "10.1136/sti.2005.015248", "ISSN" : "1368-4973", "PMID" : "16461615", "abstract" : "We compared characteristics of men who have sex with men (MSM) in a probability sample survey with a community based study in London. The majority of men in both surveys reported male sex partner(s) in the last year but MSM recruited through the population based survey had lower levels of HIV risk behaviour, reported fewer sexually transmitted infections and HIV testing than those recruited from gay venues. Community samples are likely to overestimate levels of risk behaviour among all MSM.", "author" : [ { "dropping-particle" : "", "family" : "Dodds", "given" : "J P", "non-dropping-particle" : "", "parse-names" : false, "suffix" : "" }, { "dropping-particle" : "", "family" : "Mercer", "given" : "C H", "non-dropping-particle" : "", "parse-names" : false, "suffix" : "" }, { "dropping-particle" : "", "family" : "Mercey", "given" : "D E", "non-dropping-particle" : "", "parse-names" : false, "suffix" : "" }, { "dropping-particle" : "", "family" : "Copas", "given" : "A J", "non-dropping-particle" : "", "parse-names" : false, "suffix" : "" }, { "dropping-particle" : "", "family" : "Johnson", "given" : "A M", "non-dropping-particle" : "", "parse-names" : false, "suffix" : "" } ], "container-title" : "Sexually transmitted infections", "id" : "ITEM-1", "issue" : "1", "issued" : { "date-parts" : [ [ "2006", "2" ] ] }, "page" : "86-7", "title" : "Men who have sex with men: a comparison of a probability sample survey and a community based study.", "type" : "article-journal", "volume" : "82" }, "uris" : [ "http://www.mendeley.com/documents/?uuid=61ee55db-5925-4c7c-a3c3-5c2c47559b99" ] }, { "id" : "ITEM-2", "itemData" : { "ISBN" : "1090-7165", "abstract" : "Understanding the link between venues for meeting sex partners and sexual risk behavior is critical to developing and placing effective sexual health education and HIV prevention services. Non-monogamous gay and bisexual men (n = 886) were surveyed in New York and Los Angeles about the venues that they met recent sex partners: bathhouses, private sex parties, gay bars/clubs, the gym, via public cruising, and the Internet. Bars/clubs, bathhouses, and the Internet were the most endorsed venues for meeting partners. Men having met a majority of their partners (i.e., \"preference\") via these three venues were compared/contrasted. Those having preference for bars/clubs were dissimilar from men with preference for bathhouses or the Internet on multiple levels (e.g. age, number of sex partners, temptation for unsafe sex). However, these men were proportionally similar in whether they had engaged in a recent episode of unprotected anal intercourse (UAI). Logistic regressions predicting UAI suggested venues might not play a role in differentiating men who had preference for bars/clubs, bathhouses or the Internet. Additional regression analyses utilizing all six venues to predict UAI suggested other person-factors such as identity as a barebacker and temptation for unsafe sex better explain UAI. This research suggests HIV prevention and educational campaigns targeted within venues need also address socio-psychological person-factors in addition to environmental/venue contexts.", "author" : [ { "dropping-particle" : "", "family" : "Grov", "given" : "Christian", "non-dropping-particle" : "", "parse-names" : false, "suffix" : "" }, { "dropping-particle" : "", "family" : "Parsons", "given" : "Jeffrey T", "non-dropping-particle" : "", "parse-names" : false, "suffix" : "" }, { "dropping-particle" : "", "family" : "Bimbi", "given" : "David S", "non-dropping-particle" : "", "parse-names" : false, "suffix" : "" } ], "container-title" : "AIDS and behavior", "id" : "ITEM-2", "issue" : "6", "issued" : { "date-parts" : [ [ "2007" ] ] }, "page" : "915-926", "publisher" : "Center for HIV/AIDS Educational Studies and Training (CHEST), New York, NY, USA.", "publisher-place" : "United States", "title" : "Sexual risk behavior and venues for meeting sex partners: an intercept survey of gay and bisexual men in LA and NYC.", "type" : "article-journal", "volume" : "11" }, "uris" : [ "http://www.mendeley.com/documents/?uuid=8f1d86af-b380-41df-a50f-b8aa86e408f0" ] } ], "mendeley" : { "formattedCitation" : "(24,25)", "plainTextFormattedCitation" : "(24,25)", "previouslyFormattedCitation" : "(24,25)" }, "properties" : { "noteIndex" : 0 }, "schema" : "https://github.com/citation-style-language/schema/raw/master/csl-citation.json" }</w:instrText>
      </w:r>
      <w:r w:rsidR="00B90C8D">
        <w:fldChar w:fldCharType="separate"/>
      </w:r>
      <w:r w:rsidR="00B16AAB" w:rsidRPr="00B16AAB">
        <w:rPr>
          <w:noProof/>
        </w:rPr>
        <w:t>(24,25)</w:t>
      </w:r>
      <w:r w:rsidR="00B90C8D">
        <w:fldChar w:fldCharType="end"/>
      </w:r>
      <w:r>
        <w:t>.  Moreover, while the focus on multipartner encounters offers a specific examination of a class of sexual encounters, these results may not be generalisable to dyadic encounters.</w:t>
      </w:r>
      <w:r w:rsidR="005C3491">
        <w:t xml:space="preserve">  </w:t>
      </w:r>
      <w:r w:rsidR="006C6CDB">
        <w:t xml:space="preserve">Another limitation is that we were unable to examine partner familiarity and relationship consistently across all multipartner encounters in this dataset.  Partner familiarity, though difficult to measure in a clear and consistent fashion, may be an important confounder in respect of risk for UAI in multipartner encounters.  </w:t>
      </w:r>
      <w:r w:rsidR="005C3491">
        <w:t>Finally, we note that a stronger form of analysis would have been to use a within-subjects comparison (e.g. conditional logistic regressions) to separate out the effect of person-level characteristics.  However, we did not have enough encounters per respondent to accomplish this.</w:t>
      </w:r>
    </w:p>
    <w:p w14:paraId="671AD358" w14:textId="13E8630B" w:rsidR="000B0596" w:rsidRPr="000B0596" w:rsidRDefault="0091216B" w:rsidP="00884C04">
      <w:pPr>
        <w:spacing w:line="480" w:lineRule="auto"/>
      </w:pPr>
      <w:r>
        <w:rPr>
          <w:b/>
        </w:rPr>
        <w:tab/>
      </w:r>
      <w:r w:rsidR="000B0596">
        <w:rPr>
          <w:b/>
        </w:rPr>
        <w:t>Implications for research and practice</w:t>
      </w:r>
      <w:r>
        <w:rPr>
          <w:b/>
        </w:rPr>
        <w:t>.</w:t>
      </w:r>
      <w:r>
        <w:t xml:space="preserve">  </w:t>
      </w:r>
      <w:r w:rsidR="000B0596">
        <w:t xml:space="preserve">The findings from this study match those of analyses of </w:t>
      </w:r>
      <w:r w:rsidR="00BF3E6A">
        <w:t>dyadic encounters</w:t>
      </w:r>
      <w:r w:rsidR="00FB4FCA">
        <w:t xml:space="preserve"> that</w:t>
      </w:r>
      <w:r w:rsidR="000B0596">
        <w:t xml:space="preserve"> f</w:t>
      </w:r>
      <w:r w:rsidR="00FB4FCA">
        <w:t>ound</w:t>
      </w:r>
      <w:r w:rsidR="000B0596">
        <w:t xml:space="preserve"> significant associations between </w:t>
      </w:r>
      <w:r w:rsidR="001A30A7">
        <w:t>drug</w:t>
      </w:r>
      <w:r w:rsidR="000B0596">
        <w:t xml:space="preserve"> use and UAI </w:t>
      </w:r>
      <w:r w:rsidR="00F40A92">
        <w:t xml:space="preserve">in MSM </w:t>
      </w:r>
      <w:r w:rsidR="00B90C8D">
        <w:fldChar w:fldCharType="begin" w:fldLock="1"/>
      </w:r>
      <w:r w:rsidR="00030835">
        <w:instrText>ADDIN CSL_CITATION { "citationItems" : [ { "id" : "ITEM-1", "itemData" : { "DOI" : "10.1007/s10461-012-0206-1", "ISSN" : "1573-3254", "PMID" : "22614745", "abstract" : "As HIV infection rates remain high among young gay and bisexual men, investigations into determinants of sexual risk are paramount. This study examined independent and interactive effects of substance use, mental health, perceived benefits of unprotected sex, and type of sex partner on odds of not using condoms. Analyses included 188 high-risk substance using HIV-negative and unknown status young gay and bisexual men (ages 18-29). Substance use and endorsing favorable attitudes towards unprotected sex strongly predicted sexual risk. Mental health moderated the relationship between partner type (main vs. casual) and condom use such that increased anxiety and depression were associated with increased odds of using condoms with main partners and not using condoms with casual partners. Understanding how these determinants of HIV risk converge to predict unprotected anal sex can identify essential risk relationships for prevention, obtain effects sizes of greater magnitude and prolonged sustainability, and build robust couples-based interventions.", "author" : [ { "dropping-particle" : "", "family" : "Parsons", "given" : "Jeffrey T", "non-dropping-particle" : "", "parse-names" : false, "suffix" : "" }, { "dropping-particle" : "", "family" : "Lelutiu-Weinberger", "given" : "Corina", "non-dropping-particle" : "", "parse-names" : false, "suffix" : "" }, { "dropping-particle" : "", "family" : "Botsko", "given" : "Michael", "non-dropping-particle" : "", "parse-names" : false, "suffix" : "" }, { "dropping-particle" : "", "family" : "Golub", "given" : "Sarit A", "non-dropping-particle" : "", "parse-names" : false, "suffix" : "" } ], "container-title" : "AIDS and behavior", "id" : "ITEM-1", "issue" : "4", "issued" : { "date-parts" : [ [ "2012", "5", "22" ] ] }, "language" : "English", "note" : "From Duplicate 1 ( ", "page" : "1465-1477", "title" : "Predictors of day-level sexual risk for young gay and bisexual men", "type" : "article-journal", "volume" : "17" }, "uris" : [ "http://www.mendeley.com/documents/?uuid=8929c278-8842-414a-8090-ec806627c345" ] }, { "id" : "ITEM-2", "itemData" : { "DOI" : "10.1007/s10461-012-0167-4",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"ITEM-2", "issue" : "5", "issued" : { "date-parts" : [ [ "2013" ] ] }, "page" : "1883-1887", "publisher-place" : "United States", "title" : "Substance use and sexual risk behavior in HIV-positive men who have sex with men: An episode-level analysis.", "type" : "article-journal", "volume" : "17" }, "uris" : [ "http://www.mendeley.com/documents/?uuid=260cfa18-781d-4a03-82e5-0b3bec386e42" ] }, { "id" : "ITEM-3", "itemData" : { "DOI" : "10.1093/aje/kwh135",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"ITEM-3", "issue" : "10", "issued" : { "date-parts" : [ [ "2004" ] ] }, "note" : "From Duplicate 1 ( ", "page" : "1002-1012", "title" : "Substance use and sexual risk: A participant- and episode-level analysis among a cohort of men who have sex with men", "type" : "article-journal", "volume" : "159" }, "uris" : [ "http://www.mendeley.com/documents/?uuid=0bdce725-f385-4ef4-b137-b8f3182036ff" ] }, { "id" : "ITEM-4", "itemData" : { "DOI" : "10.1007/s10461-008-9479-9", "ISBN" : "1573-3254", "ISSN" : "1573-3254", "PMID" : "18985447", "abstract" : "It is important to understand situational factors linked to episodes of unprotected sexual intercourse among Latino gay men (LGM), who are disproportionately affected by HIV/AIDS in the U.S. Past research has suggested that participation in difficult sexual situations mediates the relationship between socio-cultural factors and sexual risk behaviors among LGM. This study examined drug use by self and sex partners, interpersonal factors, and other key variables, each examined at the situation-level of analysis, as predictors of episodes of unprotected anal intercourse (UAI) among LGM. Study participants included 270 LGM living in New York City, Miami, and Los Angeles who reported inconsistent condom use during anal intercourse in the last year. Men participated in structured interviews in which they were asked sets of detailed questions about their most recent episode of anal intercourse in which they used condoms, and their most recent anal intercourse episode in which they did not use condoms. Conditional logistic regression was used to compare the relevance of specific situational factors to participants' episodes of UAI and protected anal intercourse. We found that drug use by a sex partner and lacks of discussions about condom use with partners, among other situational factors, were significantly related to episodes of UAI. The findings highlight the importance of considering the impact of sexual situations and interactions with sex partners when studying HIV risk among LGM and when designing interventions.", "author" : [ { "dropping-particle" : "", "family" : "Wilson", "given" : "Patrick A", "non-dropping-particle" : "", "parse-names" : false, "suffix" : "" }, { "dropping-particle" : "", "family" : "D\u00edaz", "given" : "Rafael M", "non-dropping-particle" : "", "parse-names" : false, "suffix" : "" }, { "dropping-particle" : "", "family" : "Yoshikawa", "given" : "Hirokazu", "non-dropping-particle" : "", "parse-names" : false, "suffix" : "" }, { "dropping-particle" : "", "family" : "Shrout", "given" : "Patrick E Y", "non-dropping-particle" : "", "parse-names" : false, "suffix" : "" }, { "dropping-particle" : "", "family" : "Diaz", "given" : "Rafael M", "non-dropping-particle" : "", "parse-names" : false, "suffix" : "" } ], "chapter-number" : "691", "container-title" : "AIDS and behavior", "id" : "ITEM-4", "issue" : "4", "issued" : { "date-parts" : [ [ "2009", "8" ] ] }, "note" : "From Duplicate 1 ( ", "page" : "691-9", "publisher" : "Department of Sociomedical Sciences, Mailman School of Public Health, Columbia University, 722 West 168th Street, New York, NY 10032, USA. pw2219@columbia.edu", "publisher-place" : "Netherlands", "title" : "Drug use, interpersonal attraction, and communication: situational factors as predictors of episodes of unprotected anal intercourse among Latino gay men.", "type" : "article-journal", "volume" : "13" }, "uris" : [ "http://www.mendeley.com/documents/?uuid=95eeb411-607f-46a2-9e81-a604d9292c0f" ] }, { "id" : "ITEM-5", "itemData" : { "DOI" : "10.1136/sti.2008.031583",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"ITEM-5", "issue" : "6", "issued" : { "date-parts" : [ [ "2008", "11" ] ] }, "page" : "506-508", "title" : "Situational predictors of sexual risk episodes among men with HIV who have sex with men", "type" : "article-journal", "volume" : "84" }, "uris" : [ "http://www.mendeley.com/documents/?uuid=9e7297a7-0d52-42d1-b7d7-43e0e12a7a78" ] } ], "mendeley" : { "formattedCitation" : "(2,3,5,26,27)", "plainTextFormattedCitation" : "(2,3,5,26,27)", "previouslyFormattedCitation" : "(2,3,5,26,27)" }, "properties" : { "noteIndex" : 0 }, "schema" : "https://github.com/citation-style-language/schema/raw/master/csl-citation.json" }</w:instrText>
      </w:r>
      <w:r w:rsidR="00B90C8D">
        <w:fldChar w:fldCharType="separate"/>
      </w:r>
      <w:r w:rsidR="00B16AAB" w:rsidRPr="00B16AAB">
        <w:rPr>
          <w:noProof/>
        </w:rPr>
        <w:t>(2,3,5,26,27)</w:t>
      </w:r>
      <w:r w:rsidR="00B90C8D">
        <w:fldChar w:fldCharType="end"/>
      </w:r>
      <w:r w:rsidR="000B0596">
        <w:t xml:space="preserve">, and stands in contrast to those studies which have not found a significant association </w:t>
      </w:r>
      <w:r w:rsidR="00B90C8D">
        <w:fldChar w:fldCharType="begin" w:fldLock="1"/>
      </w:r>
      <w:r w:rsidR="00030835">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 "page" : "23-32", "title" : "Contexts for last occasions of unprotected anal intercourse among HIV-negative gay men in Sydney: the health in men cohort.", "type" : "article-journal", "volume" : "17" }, "uris" : [ "http://www.mendeley.com/documents/?uuid=e28415b8-0d6c-457e-b3d1-53f26fd4dd9a" ] }, { "id" : "ITEM-2", "itemData" : { "ISBN" : "9780542509537; 0542509539", "abstract" : "A small and growing body of literature suggests that online sex seeking among men who have sex with men (MSM) is associated with risk for HIV. Little is known of the possible mechanisms that account for the relation between Internet use and HIV risk. Internet technology offers advantages for collecting daily reports of online and sexual activities; however, no studies have utilized a web-based daily data collection method. To gain a greater understanding of the relation between online sex seeking and HIV risk, 45 sexually-active, Internet-using MSM completed a four-week daily web diary of their Internet use and sexual activities, followed by a retrospective recall survey of their sexual behaviors during the diary period. Results revealed that men who completed the study were significantly more likely to be non-White, older, and more educated than drop-outs. Men indicated that most of their sexual partners were met online and had disclosed their HIV status. Similar sexual risk activities with Internet and non-Internet partners were reported, as well as similar degrees of trust for new online and offline sexual partners. Men who went online seeking sexual partners the most were at less risk for having unprotected anal intercourse (UAI) with their Internet partners, despite having high levels of sexual sensation seeking, than men who use the Internet less often for this purpose. Men's estimates of sexual activities derived through the daily diary and retrospective recall data collection methods were similar, and men rated the web diary method favorably. Overall, the results suggest that the Internet primarily serves as a new avenue by which groups of high risk MSM enact well-established sexual risk-taking behaviors, although HIV status may be more easily disclosed online. Interventions should target men who sporadically go online seeking sex partners, as they appear to be at high risk for UAI. Web-based diaries appear to be a promising data collection tool for event sampling.", "author" : [ { "dropping-particle" : "", "family" : "Horvath", "given" : "Keith J", "non-dropping-particle" : "", "parse-names" : false, "suffix" : "" } ], "collection-title" : "Dissertation Abstracts International", "container-title" : "ProQuest Dissertations and Theses", "id" : "ITEM-2", "issue" : "1-B", "issued" : { "date-parts" : [ [ "2005" ] ] }, "language" : "English", "note" : "From Duplicate 1 ( ", "number-of-pages" : "94-94 p.", "publisher" : "University of Wyoming", "publisher-place" : "Ann Arbor", "title" : "The use of a daily web diary to examine the relation between online sex seeking and HIV risk among internet-using men who have sex with men.", "type" : "thesis", "volume" : "67" }, "uris" : [ "http://www.mendeley.com/documents/?uuid=84192671-bd0d-4d32-830d-3e51a89b921a" ] } ], "mendeley" : { "formattedCitation" : "(6,7)", "plainTextFormattedCitation" : "(6,7)", "previouslyFormattedCitation" : "(6,7)" }, "properties" : { "noteIndex" : 0 }, "schema" : "https://github.com/citation-style-language/schema/raw/master/csl-citation.json" }</w:instrText>
      </w:r>
      <w:r w:rsidR="00B90C8D">
        <w:fldChar w:fldCharType="separate"/>
      </w:r>
      <w:r w:rsidR="00B16AAB" w:rsidRPr="00B16AAB">
        <w:rPr>
          <w:noProof/>
        </w:rPr>
        <w:t>(6,7)</w:t>
      </w:r>
      <w:r w:rsidR="00B90C8D">
        <w:fldChar w:fldCharType="end"/>
      </w:r>
      <w:r w:rsidR="000B0596">
        <w:t xml:space="preserve">.  </w:t>
      </w:r>
      <w:r w:rsidR="00F40A92">
        <w:t xml:space="preserve">Previous studies have been mixed as to the association between location of sex and sexual risk behaviour in MSM </w:t>
      </w:r>
      <w:r w:rsidR="00B90C8D">
        <w:fldChar w:fldCharType="begin" w:fldLock="1"/>
      </w:r>
      <w:r w:rsidR="00030835">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 "page" : "23-32", "title" : "Contexts for last occasions of unprotected anal intercourse among HIV-negative gay men in Sydney: the health in men cohort.", "type" : "article-journal", "volume" : "17" }, "uris" : [ "http://www.mendeley.com/documents/?uuid=e28415b8-0d6c-457e-b3d1-53f26fd4dd9a" ] }, { "id" : "ITEM-2",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"ITEM-2", "issue" : "9-B", "issued" : { "date-parts" : [ [ "2004" ] ] }, "language" : "English", "note" : "From Duplicate 1 ( ",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"id" : "ITEM-3", "itemData" : { "DOI" : "10.1136/sti.2008.031583",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"ITEM-3", "issue" : "6", "issued" : { "date-parts" : [ [ "2008", "11" ] ] }, "page" : "506-508", "title" : "Situational predictors of sexual risk episodes among men with HIV who have sex with men", "type" : "article-journal", "volume" : "84" }, "uris" : [ "http://www.mendeley.com/documents/?uuid=9e7297a7-0d52-42d1-b7d7-43e0e12a7a78" ] }, { "id" : "ITEM-4", "itemData" : { "DOI" : "http://dx.doi.org/10.1080/09540120903325433", "ISSN" : "0954-0121, 0954-0121", "abstract" : "Latino men who have sex with men (MSM) constitute a group at high risk for HIV. Recent approaches to understanding sexual risk have emphasized the role that contextual factors can play in shaping behavior. This study examined sexual behavior of Latino MSM in private and public settings. First, a within-person comparison of behaviors performed in sexual encounters that occurred in public and private settings was conducted. Unprotected anal intercourse (UAI) and other sexual behaviors involving anal stimulation were more common in private settings; group sex was more likely in public settings. Second, a between-person analysis compared sexual behaviors of MSM who went to three different types of public sex settings during the past six months. The types were: (1) commercial sex venues (CSVs), which were defined as businesses with the function of providing a space where MSM can go to have sexual encounters, such as gay bathhouses; (2) commercial sex environments (CSEs), which were defined as businesses with another apparent function, but in which MSM sometimes have sexual encounters, such as gay bars or pornographic movie houses; and (3) public sex environments (PSEs), which were defined as free public areas where MSM can go to find partners for anonymous sex, such as parks or public restrooms. Results indicated that anal sexual behavior was most likely to occur in CSVs and least likely in PSEs, but the probability of UAI was not found to differ among the three types of settings. Behavioral differences were discussed in terms of structural conditions related to privacy and safety, and psychological factors related to intimacy. Adapted from the source document.", "author" : [ { "dropping-particle" : "", "family" : "Reisen", "given" : "Carol A", "non-dropping-particle" : "", "parse-names" : false, "suffix" : "" }, { "dropping-particle" : "", "family" : "Iracheta", "given" : "Miguel A", "non-dropping-particle" : "", "parse-names" : false, "suffix" : "" }, { "dropping-particle" : "", "family" : "Zea", "given" : "Maria Cecilia", "non-dropping-particle" : "", "parse-names" : false, "suffix" : "" }, { "dropping-particle" : "", "family" : "Bianchi", "given" : "Fernanda T", "non-dropping-particle" : "", "parse-names" : false, "suffix" : "" }, { "dropping-particle" : "", "family" : "Poppen", "given" : "Paul J", "non-dropping-particle" : "", "parse-names" : false, "suffix" : "" } ], "container-title" : "AIDS Care", "id" : "ITEM-4", "issue" : "6", "issued" : { "date-parts" : [ [ "2010", "6" ] ] }, "language" : "English", "page" : "697-704", "publisher" : "Taylor &amp; Francis, Abingdon UK", "publisher-place" : "Department of Psychology, George Washington University, Washington, DC, USA", "title" : "Sex in public and private settings among Latino MSM", "type" : "article-journal", "volume" : "22" }, "uris" : [ "http://www.mendeley.com/documents/?uuid=80be694c-6324-408e-a930-ee9732ebe181" ] }, { "id" : "ITEM-5",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"ITEM-5", "issue" : "6", "issued" : { "date-parts" : [ [ "2006" ] ] }, "page" : "474-477", "publisher" : "Australian Research Centre In Sex, Health and Society, La Trobe University, 215 Franklin Street, Melbourne, Victoria 3000, Australia. anthony.smith@latrobe.edu.au", "publisher-place" : "England",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"mendeley" : { "formattedCitation" : "(5,7,28\u201330)", "plainTextFormattedCitation" : "(5,7,28\u201330)", "previouslyFormattedCitation" : "(5,7,28\u201330)" }, "properties" : { "noteIndex" : 0 }, "schema" : "https://github.com/citation-style-language/schema/raw/master/csl-citation.json" }</w:instrText>
      </w:r>
      <w:r w:rsidR="00B90C8D">
        <w:fldChar w:fldCharType="separate"/>
      </w:r>
      <w:r w:rsidR="00B16AAB" w:rsidRPr="00B16AAB">
        <w:rPr>
          <w:noProof/>
        </w:rPr>
        <w:t>(5,7,28–30)</w:t>
      </w:r>
      <w:r w:rsidR="00B90C8D">
        <w:fldChar w:fldCharType="end"/>
      </w:r>
      <w:r w:rsidR="00F40A92">
        <w:t xml:space="preserve">.  The non-significant associations between location of sex and sexual risk behaviour in this study continue the debate and extend findings to multipartner encounters specifically.  Finally, this analysis agrees with previous studies that have shown </w:t>
      </w:r>
      <w:r w:rsidR="0080732D">
        <w:t xml:space="preserve">negative </w:t>
      </w:r>
      <w:r w:rsidR="00F40A92">
        <w:t xml:space="preserve">associations between </w:t>
      </w:r>
      <w:r w:rsidR="001A6C4A">
        <w:t xml:space="preserve">perceived HIV </w:t>
      </w:r>
      <w:r w:rsidR="00F40A92">
        <w:t>sero</w:t>
      </w:r>
      <w:r w:rsidR="00EF26EB">
        <w:t>noncon</w:t>
      </w:r>
      <w:r w:rsidR="00F40A92">
        <w:t xml:space="preserve">cordance and sexual risk behaviour </w:t>
      </w:r>
      <w:r w:rsidR="00B90C8D">
        <w:fldChar w:fldCharType="begin" w:fldLock="1"/>
      </w:r>
      <w:r w:rsidR="00030835">
        <w:instrText>ADDIN CSL_CITATION { "citationItems" : [ { "id" : "ITEM-1",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"ITEM-1", "issue" : "6", "issued" : { "date-parts" : [ [ "2006" ] ] }, "page" : "474-477", "publisher" : "Australian Research Centre In Sex, Health and Society, La Trobe University, 215 Franklin Street, Melbourne, Victoria 3000, Australia. anthony.smith@latrobe.edu.au", "publisher-place" : "England",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"ITEM-2",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"ITEM-2", "issue" : "1", "issued" : { "date-parts" : [ [ "2005" ] ] }, "note" : "From Duplicate 2 ( ", "page" : "23-32", "title" : "Contexts for last occasions of unprotected anal intercourse among HIV-negative gay men in Sydney: the health in men cohort.", "type" : "article-journal", "volume" : "17" }, "uris" : [ "http://www.mendeley.com/documents/?uuid=e28415b8-0d6c-457e-b3d1-53f26fd4dd9a" ] }, { "id" : "ITEM-3",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"ITEM-3", "issue" : "4", "issued" : { "date-parts" : [ [ "2009" ] ] }, "page" : "700-715", "publisher" : "Department of Psychology, George Washington University, 2125 G. St., NW, Washington, DC 20052, USA. zea@gwu.edu", "publisher-place" : "United States", "title" : "Unprotected anal intercourse among immigrant Latino MSM: the role of characteristics of the person and the sexual encounter.", "type" : "article-journal", "volume" : "13" }, "uris" : [ "http://www.mendeley.com/documents/?uuid=2985c366-3828-4709-9f6a-91b3923f9628" ] } ], "mendeley" : { "formattedCitation" : "(7,30,31)", "plainTextFormattedCitation" : "(7,30,31)", "previouslyFormattedCitation" : "(7,30,31)" }, "properties" : { "noteIndex" : 0 }, "schema" : "https://github.com/citation-style-language/schema/raw/master/csl-citation.json" }</w:instrText>
      </w:r>
      <w:r w:rsidR="00B90C8D">
        <w:fldChar w:fldCharType="separate"/>
      </w:r>
      <w:r w:rsidR="00B16AAB" w:rsidRPr="00B16AAB">
        <w:rPr>
          <w:noProof/>
        </w:rPr>
        <w:t>(7,30,31)</w:t>
      </w:r>
      <w:r w:rsidR="00B90C8D">
        <w:fldChar w:fldCharType="end"/>
      </w:r>
      <w:r w:rsidR="00F40A92">
        <w:t>.</w:t>
      </w:r>
      <w:r w:rsidR="00385690">
        <w:t xml:space="preserve">  One possible reason for differences between this study’s findings and the findings of other studies is that UAI was compared here against all other sexual behaviour, instead of against a more limited coital repertoire—such as anal intercourse or oral intercourse </w:t>
      </w:r>
      <w:r w:rsidR="007154C1">
        <w:fldChar w:fldCharType="begin" w:fldLock="1"/>
      </w:r>
      <w:r w:rsidR="00030835">
        <w:instrText>ADDIN CSL_CITATION { "citationItems" : [ { "id" : "ITEM-1", "itemData" : { "DOI" : "10.1093/aje/kwh135",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 ] }, "note" : "From Duplicate 1 ( ", "page" : "1002-1012", "title" : "Substance use and sexual risk: A participant- and episode-level analysis among a cohort of men who have sex with men", "type" : "article-journal", "volume" : "159" }, "uris" : [ "http://www.mendeley.com/documents/?uuid=0bdce725-f385-4ef4-b137-b8f3182036ff" ] } ], "mendeley" : { "formattedCitation" : "(3)", "plainTextFormattedCitation" : "(3)", "previouslyFormattedCitation" : "(3)" }, "properties" : { "noteIndex" : 0 }, "schema" : "https://github.com/citation-style-language/schema/raw/master/csl-citation.json" }</w:instrText>
      </w:r>
      <w:r w:rsidR="007154C1">
        <w:fldChar w:fldCharType="separate"/>
      </w:r>
      <w:r w:rsidR="00B16AAB" w:rsidRPr="00B16AAB">
        <w:rPr>
          <w:noProof/>
        </w:rPr>
        <w:t>(3)</w:t>
      </w:r>
      <w:r w:rsidR="007154C1">
        <w:fldChar w:fldCharType="end"/>
      </w:r>
      <w:r w:rsidR="007154C1">
        <w:t xml:space="preserve"> or against protected anal intercourse specifically </w:t>
      </w:r>
      <w:r w:rsidR="007154C1">
        <w:fldChar w:fldCharType="begin" w:fldLock="1"/>
      </w:r>
      <w:r w:rsidR="00030835">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 "page" : "23-32", "title" : "Contexts for last occasions of unprotected anal intercourse among HIV-negative gay men in Sydney: the health in men cohort.", "type" : "article-journal", "volume" : "17" }, "uris" : [ "http://www.mendeley.com/documents/?uuid=e28415b8-0d6c-457e-b3d1-53f26fd4dd9a" ] } ], "mendeley" : { "formattedCitation" : "(7)", "plainTextFormattedCitation" : "(7)", "previouslyFormattedCitation" : "(7)" }, "properties" : { "noteIndex" : 0 }, "schema" : "https://github.com/citation-style-language/schema/raw/master/csl-citation.json" }</w:instrText>
      </w:r>
      <w:r w:rsidR="007154C1">
        <w:fldChar w:fldCharType="separate"/>
      </w:r>
      <w:r w:rsidR="00B16AAB" w:rsidRPr="00B16AAB">
        <w:rPr>
          <w:noProof/>
        </w:rPr>
        <w:t>(7)</w:t>
      </w:r>
      <w:r w:rsidR="007154C1">
        <w:fldChar w:fldCharType="end"/>
      </w:r>
      <w:r w:rsidR="007154C1">
        <w:t xml:space="preserve">.  </w:t>
      </w:r>
      <w:r w:rsidR="008346FC">
        <w:t>Thus, t</w:t>
      </w:r>
      <w:r w:rsidR="007154C1">
        <w:t xml:space="preserve">he findings of this specific study may be best understood in terms of understanding how situational characteristics are associated with a specific high-risk behaviour, </w:t>
      </w:r>
      <w:r w:rsidR="008346FC">
        <w:t xml:space="preserve">that is, UAI, </w:t>
      </w:r>
      <w:r w:rsidR="007154C1">
        <w:t>rather than in understanding</w:t>
      </w:r>
      <w:r w:rsidR="008346FC">
        <w:t xml:space="preserve"> </w:t>
      </w:r>
      <w:r w:rsidR="007154C1">
        <w:t xml:space="preserve">how </w:t>
      </w:r>
      <w:r w:rsidR="008346FC">
        <w:t>situational characteristics are associated with the decision to use a condom or not in anal intercourse</w:t>
      </w:r>
      <w:r w:rsidR="007154C1">
        <w:t xml:space="preserve">.  </w:t>
      </w:r>
      <w:r w:rsidR="00DB7158">
        <w:t>A</w:t>
      </w:r>
      <w:r w:rsidR="007154C1">
        <w:t>n analysis comparing UAI against other anal intercourse would require a dataset specifically powered to examine this difference between encounters</w:t>
      </w:r>
      <w:r w:rsidR="00DB7158">
        <w:t xml:space="preserve">—something </w:t>
      </w:r>
      <w:r w:rsidR="008346FC">
        <w:t xml:space="preserve">we were not powered to test with </w:t>
      </w:r>
      <w:r w:rsidR="00DB7158">
        <w:t>our dataset.</w:t>
      </w:r>
    </w:p>
    <w:p w14:paraId="0B2ACDE2" w14:textId="2233E616" w:rsidR="000B0596" w:rsidRDefault="000B0596" w:rsidP="000B0596">
      <w:pPr>
        <w:spacing w:line="480" w:lineRule="auto"/>
      </w:pPr>
      <w:r>
        <w:tab/>
      </w:r>
      <w:r w:rsidR="00F40A92">
        <w:t xml:space="preserve">The pattern of results contains implications for </w:t>
      </w:r>
      <w:r w:rsidR="00C32C2A">
        <w:t xml:space="preserve">future </w:t>
      </w:r>
      <w:r w:rsidR="00F40A92">
        <w:t xml:space="preserve">research and practice.  </w:t>
      </w:r>
      <w:r>
        <w:t xml:space="preserve">In multivariate models testing associations with UAI, it appeared that partners’ and respondent </w:t>
      </w:r>
      <w:r w:rsidR="001A30A7">
        <w:t>drug</w:t>
      </w:r>
      <w:r>
        <w:t xml:space="preserve"> use confounded each other.  Indeed, a model including just respondent </w:t>
      </w:r>
      <w:r w:rsidR="001A30A7">
        <w:t>drug</w:t>
      </w:r>
      <w:r>
        <w:t xml:space="preserve"> use fit the data as well as a model with both respondent and partners’ </w:t>
      </w:r>
      <w:r w:rsidR="001A30A7">
        <w:t>drug</w:t>
      </w:r>
      <w:r>
        <w:t xml:space="preserve"> use.  Put otherwise, including partners’ </w:t>
      </w:r>
      <w:r w:rsidR="001A30A7">
        <w:t>drug</w:t>
      </w:r>
      <w:r>
        <w:t xml:space="preserve"> use in the model did not offer any additional improvement in model fit above and beyond the binary measure of respondent </w:t>
      </w:r>
      <w:r w:rsidR="001A30A7">
        <w:t>drug</w:t>
      </w:r>
      <w:r>
        <w:t xml:space="preserve"> use.  This has implications for the measurement of </w:t>
      </w:r>
      <w:r w:rsidR="001A30A7">
        <w:t>drug</w:t>
      </w:r>
      <w:r>
        <w:t xml:space="preserve"> use and sexual risk behaviour in future studies, including a) the possibility of unreliable measures of partners’ </w:t>
      </w:r>
      <w:r w:rsidR="001A30A7">
        <w:t>drug</w:t>
      </w:r>
      <w:r>
        <w:t xml:space="preserve"> use, b) the ‘adequacy’ of capturing respondent </w:t>
      </w:r>
      <w:r w:rsidR="001A30A7">
        <w:t>drug</w:t>
      </w:r>
      <w:r>
        <w:t xml:space="preserve"> use to measure the potential for sexual risk behaviour, and c) the suggestion that respondent and partners’ </w:t>
      </w:r>
      <w:r w:rsidR="001A30A7">
        <w:t>drug</w:t>
      </w:r>
      <w:r>
        <w:t xml:space="preserve"> use may be planned prior to sex, or that </w:t>
      </w:r>
      <w:r w:rsidR="003D415E">
        <w:t xml:space="preserve">patterns </w:t>
      </w:r>
      <w:r>
        <w:t xml:space="preserve">of </w:t>
      </w:r>
      <w:r w:rsidR="001A30A7">
        <w:t>drug</w:t>
      </w:r>
      <w:r>
        <w:t xml:space="preserve"> use before sex may be understood by respondent and partners, perhaps as a function of </w:t>
      </w:r>
      <w:r w:rsidR="00F40A92">
        <w:t xml:space="preserve">the venues </w:t>
      </w:r>
      <w:r w:rsidR="005C74F0">
        <w:t xml:space="preserve">or the events </w:t>
      </w:r>
      <w:r w:rsidR="00F40A92">
        <w:t xml:space="preserve">where these encounters occur.  To test this last possibility, encounters from </w:t>
      </w:r>
      <w:r w:rsidR="00212958">
        <w:t xml:space="preserve">the same respondent </w:t>
      </w:r>
      <w:r w:rsidR="00F40A92">
        <w:t xml:space="preserve">within the same venue or visit to an SOPV </w:t>
      </w:r>
      <w:r w:rsidR="00212958">
        <w:t>wou</w:t>
      </w:r>
      <w:r w:rsidR="006E3D94">
        <w:t xml:space="preserve">ld need to be compared, though </w:t>
      </w:r>
      <w:r w:rsidR="00212958">
        <w:t xml:space="preserve">qualitative research on chemsex suggests that </w:t>
      </w:r>
      <w:r w:rsidR="001A30A7">
        <w:t>drug</w:t>
      </w:r>
      <w:r w:rsidR="00212958">
        <w:t xml:space="preserve"> use is more often planned prior to sexu</w:t>
      </w:r>
      <w:r w:rsidR="006E3D94">
        <w:t xml:space="preserve">al encounters rather than in the ‘heat of the moment’ </w:t>
      </w:r>
      <w:r w:rsidR="00B90C8D">
        <w:fldChar w:fldCharType="begin" w:fldLock="1"/>
      </w:r>
      <w:r w:rsidR="00CB369F">
        <w:instrText>ADDIN CSL_CITATION { "citationItems" : [ { "id" : "ITEM-1",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"ITEM-1",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"ITEM-2",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"ITEM-2", "issue" : "1", "issued" : { "date-parts" : [ [ "2011", "1" ] ] }, "note" : "From Duplicate 2 ( ",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"http://www.mendeley.com/documents/?uuid=92ffb215-750d-49a9-8bc8-c41ab11062fd" ] }, { "id" : "ITEM-3",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"ITEM-3", "issue" : "4", "issued" : { "date-parts" : [ [ "2006" ] ] }, "page" : "317-333", "title" : "Crystal methamphetamine and sexual sociality in an urban gay subculture: An elective affinity.", "type" : "article-journal", "volume" : "8" }, "uris" : [ "http://www.mendeley.com/documents/?uuid=53a12245-c624-4674-88f0-90ba26381367" ] } ], "mendeley" : { "formattedCitation" : "(15,32,33)", "plainTextFormattedCitation" : "(15,32,33)", "previouslyFormattedCitation" : "(15,32,33)" }, "properties" : { "noteIndex" : 0 }, "schema" : "https://github.com/citation-style-language/schema/raw/master/csl-citation.json" }</w:instrText>
      </w:r>
      <w:r w:rsidR="00B90C8D">
        <w:fldChar w:fldCharType="separate"/>
      </w:r>
      <w:r w:rsidR="00B16AAB" w:rsidRPr="00B16AAB">
        <w:rPr>
          <w:noProof/>
        </w:rPr>
        <w:t>(15,32,33)</w:t>
      </w:r>
      <w:r w:rsidR="00B90C8D">
        <w:fldChar w:fldCharType="end"/>
      </w:r>
      <w:r w:rsidR="006E3D94">
        <w:t>.</w:t>
      </w:r>
    </w:p>
    <w:p w14:paraId="042914B2" w14:textId="21AD5165" w:rsidR="003C5469" w:rsidRDefault="006E3D94" w:rsidP="00884C04">
      <w:pPr>
        <w:spacing w:line="480" w:lineRule="auto"/>
      </w:pPr>
      <w:r>
        <w:tab/>
      </w:r>
      <w:r w:rsidR="002C055B">
        <w:t>The use of pleasure as an outcome</w:t>
      </w:r>
      <w:r>
        <w:t xml:space="preserve"> in this study </w:t>
      </w:r>
      <w:r w:rsidR="002C055B">
        <w:t>quantifies</w:t>
      </w:r>
      <w:r>
        <w:t xml:space="preserve"> for the first time</w:t>
      </w:r>
      <w:r w:rsidR="00A8125C">
        <w:t xml:space="preserve"> a relationship</w:t>
      </w:r>
      <w:r>
        <w:t xml:space="preserve"> </w:t>
      </w:r>
      <w:r w:rsidR="00A8125C">
        <w:t>t</w:t>
      </w:r>
      <w:r>
        <w:t xml:space="preserve">hat many HIV </w:t>
      </w:r>
      <w:r w:rsidR="00C32C2A">
        <w:t>health promoters</w:t>
      </w:r>
      <w:r w:rsidR="00926733">
        <w:t>, researchers</w:t>
      </w:r>
      <w:r>
        <w:t xml:space="preserve"> an</w:t>
      </w:r>
      <w:r w:rsidR="002C055B">
        <w:t xml:space="preserve">d public health </w:t>
      </w:r>
      <w:r w:rsidR="00C32C2A">
        <w:t>practitioners</w:t>
      </w:r>
      <w:r w:rsidR="002C055B">
        <w:t xml:space="preserve">, let alone MSM who use drugs recreationally, </w:t>
      </w:r>
      <w:r w:rsidR="00926733">
        <w:t xml:space="preserve">have qualitatively </w:t>
      </w:r>
      <w:r w:rsidR="00A8125C">
        <w:t xml:space="preserve">believed </w:t>
      </w:r>
      <w:r w:rsidR="00926733">
        <w:t xml:space="preserve">for a time—namely, that </w:t>
      </w:r>
      <w:r w:rsidR="001A30A7">
        <w:t>drug</w:t>
      </w:r>
      <w:r w:rsidR="00926733">
        <w:t xml:space="preserve"> use is associated with increased sexual pleasure.  </w:t>
      </w:r>
      <w:r w:rsidR="00A8125C">
        <w:t xml:space="preserve">Yet our findings did not support these associations in the context of multipartner encounters.  </w:t>
      </w:r>
      <w:r w:rsidR="00926733">
        <w:t xml:space="preserve">What is particularly interesting, however, is that none of the specific </w:t>
      </w:r>
      <w:r w:rsidR="001A30A7">
        <w:t>drug</w:t>
      </w:r>
      <w:r w:rsidR="00926733">
        <w:t>s tested yielded statistically significant associations, though use of poppers did reach marginal significance (</w:t>
      </w:r>
      <w:r w:rsidR="00926733">
        <w:rPr>
          <w:i/>
        </w:rPr>
        <w:t>p</w:t>
      </w:r>
      <w:r w:rsidR="00926733">
        <w:t xml:space="preserve">&lt;0.10).  This may be due to statistical power, as many of the </w:t>
      </w:r>
      <w:r w:rsidR="001A30A7">
        <w:t>drug</w:t>
      </w:r>
      <w:r w:rsidR="00926733">
        <w:t xml:space="preserve">s did not occur with </w:t>
      </w:r>
      <w:r w:rsidR="0080732D">
        <w:t xml:space="preserve">high </w:t>
      </w:r>
      <w:r w:rsidR="00926733">
        <w:t xml:space="preserve">frequency.  Moreover, a novel finding is that lack of knowledge </w:t>
      </w:r>
      <w:r w:rsidR="00B53BE1">
        <w:t>of</w:t>
      </w:r>
      <w:r w:rsidR="00926733">
        <w:t xml:space="preserve"> partners’ </w:t>
      </w:r>
      <w:r w:rsidR="001A30A7">
        <w:t>drug</w:t>
      </w:r>
      <w:r w:rsidR="00926733">
        <w:t xml:space="preserve"> use was associated with </w:t>
      </w:r>
      <w:r w:rsidR="00926733">
        <w:rPr>
          <w:i/>
        </w:rPr>
        <w:t>decreased</w:t>
      </w:r>
      <w:r w:rsidR="00926733">
        <w:t xml:space="preserve"> pleasure—a finding that may point to larger characteristics of multipartner encounters relating to their organisation and </w:t>
      </w:r>
      <w:r w:rsidR="002C055B">
        <w:t xml:space="preserve">respondent’s </w:t>
      </w:r>
      <w:r w:rsidR="00926733">
        <w:t>familiarity with partners.</w:t>
      </w:r>
    </w:p>
    <w:p w14:paraId="566AF651" w14:textId="11186377" w:rsidR="00D45512" w:rsidRDefault="00926733" w:rsidP="00333B20">
      <w:pPr>
        <w:spacing w:line="480" w:lineRule="auto"/>
      </w:pPr>
      <w:r>
        <w:tab/>
        <w:t xml:space="preserve">Finally, this analysis tested control as an outcome.  </w:t>
      </w:r>
      <w:r w:rsidR="002C055B">
        <w:t xml:space="preserve">This </w:t>
      </w:r>
      <w:r w:rsidR="0080732D">
        <w:t>outcome has several theoretical interpretations, including as a</w:t>
      </w:r>
      <w:r w:rsidR="002C055B">
        <w:t xml:space="preserve"> test of </w:t>
      </w:r>
      <w:r w:rsidR="0080732D">
        <w:t xml:space="preserve">whether </w:t>
      </w:r>
      <w:r w:rsidR="00E465FE">
        <w:t xml:space="preserve">loss of control </w:t>
      </w:r>
      <w:r w:rsidR="002C055B">
        <w:t>mediat</w:t>
      </w:r>
      <w:r w:rsidR="0080732D">
        <w:t>es</w:t>
      </w:r>
      <w:r w:rsidR="002C055B">
        <w:t xml:space="preserve"> </w:t>
      </w:r>
      <w:r w:rsidR="00BF3E6A">
        <w:t xml:space="preserve">the relationship </w:t>
      </w:r>
      <w:r w:rsidR="002C055B">
        <w:t xml:space="preserve">between </w:t>
      </w:r>
      <w:r w:rsidR="001A30A7">
        <w:t>drug</w:t>
      </w:r>
      <w:r w:rsidR="002C055B">
        <w:t xml:space="preserve"> use and sexual risk.  </w:t>
      </w:r>
      <w:r>
        <w:t>It is particularly striking that neither respondent no</w:t>
      </w:r>
      <w:r w:rsidR="00B53BE1">
        <w:t>r</w:t>
      </w:r>
      <w:r>
        <w:t xml:space="preserve"> partners’ </w:t>
      </w:r>
      <w:r w:rsidR="001A30A7">
        <w:t>drug</w:t>
      </w:r>
      <w:r>
        <w:t xml:space="preserve"> use were significantly associated with control, though this may be due to a ‘small-cell’ problem since respondents reported relatively few encounters not characterised by control over sexual </w:t>
      </w:r>
      <w:r w:rsidR="001A6C4A">
        <w:t>activities</w:t>
      </w:r>
      <w:r>
        <w:t>.</w:t>
      </w:r>
      <w:r w:rsidR="002C055B">
        <w:t xml:space="preserve">  However, of specific </w:t>
      </w:r>
      <w:r w:rsidR="001A30A7">
        <w:t>drug</w:t>
      </w:r>
      <w:r w:rsidR="002C055B">
        <w:t xml:space="preserve">s tested, use of crystal methamphetamine was significantly and substantially associated with decreased odds of control.  This matches the substantial and significant association </w:t>
      </w:r>
      <w:r w:rsidR="00BF3E6A">
        <w:t>between crystal methamphetamine use and</w:t>
      </w:r>
      <w:r w:rsidR="002C055B">
        <w:t xml:space="preserve"> UAI.  Though there is little evidence of the association between </w:t>
      </w:r>
      <w:r w:rsidR="001A30A7">
        <w:t>drug</w:t>
      </w:r>
      <w:r w:rsidR="002C055B">
        <w:t xml:space="preserve"> use generally and sexual risk behaviour being mediated by control over sexual </w:t>
      </w:r>
      <w:r w:rsidR="00E465FE">
        <w:t>activities</w:t>
      </w:r>
      <w:r w:rsidR="002C055B">
        <w:t xml:space="preserve">, it would appear that </w:t>
      </w:r>
      <w:r w:rsidR="0060060A">
        <w:t xml:space="preserve">this may be the case for crystal methamphetamine.  Future research should seek to understand mediating factors between </w:t>
      </w:r>
      <w:r w:rsidR="001A30A7">
        <w:t>drug</w:t>
      </w:r>
      <w:r w:rsidR="0060060A">
        <w:t xml:space="preserve"> use and sexual risk behaviour.</w:t>
      </w:r>
      <w:r w:rsidR="00D45512">
        <w:br w:type="page"/>
      </w:r>
    </w:p>
    <w:p w14:paraId="60785BDD" w14:textId="77777777" w:rsidR="00D45512" w:rsidRDefault="00D45512" w:rsidP="00885C57">
      <w:pPr>
        <w:spacing w:line="480" w:lineRule="auto"/>
        <w:jc w:val="center"/>
      </w:pPr>
      <w:r w:rsidRPr="00D45512">
        <w:rPr>
          <w:b/>
        </w:rPr>
        <w:t>Table 1.</w:t>
      </w:r>
      <w:r>
        <w:t xml:space="preserve">  Descriptive statistics of included sample.</w:t>
      </w:r>
    </w:p>
    <w:tbl>
      <w:tblPr>
        <w:tblStyle w:val="TableGrid"/>
        <w:tblW w:w="0" w:type="auto"/>
        <w:jc w:val="center"/>
        <w:tblLook w:val="04A0" w:firstRow="1" w:lastRow="0" w:firstColumn="1" w:lastColumn="0" w:noHBand="0" w:noVBand="1"/>
      </w:tblPr>
      <w:tblGrid>
        <w:gridCol w:w="5702"/>
        <w:gridCol w:w="2036"/>
      </w:tblGrid>
      <w:tr w:rsidR="00D45512" w:rsidRPr="00D45512" w14:paraId="4342A58D" w14:textId="77777777" w:rsidTr="00885C57">
        <w:trPr>
          <w:trHeight w:val="510"/>
          <w:jc w:val="center"/>
        </w:trPr>
        <w:tc>
          <w:tcPr>
            <w:tcW w:w="0" w:type="auto"/>
            <w:vAlign w:val="center"/>
            <w:hideMark/>
          </w:tcPr>
          <w:p w14:paraId="04691058"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b/>
                <w:bCs/>
                <w:color w:val="000000"/>
                <w:lang w:val="en-GB"/>
              </w:rPr>
              <w:t>Variable</w:t>
            </w:r>
          </w:p>
        </w:tc>
        <w:tc>
          <w:tcPr>
            <w:tcW w:w="0" w:type="auto"/>
            <w:vAlign w:val="center"/>
            <w:hideMark/>
          </w:tcPr>
          <w:p w14:paraId="4DA4B864" w14:textId="77777777" w:rsidR="00D45512" w:rsidRPr="00D45512" w:rsidRDefault="00D45512" w:rsidP="00D45512">
            <w:pPr>
              <w:rPr>
                <w:rFonts w:ascii="Times New Roman" w:eastAsia="Times New Roman" w:hAnsi="Times New Roman" w:cs="Times New Roman"/>
                <w:b/>
                <w:color w:val="000000"/>
                <w:lang w:val="en-GB"/>
              </w:rPr>
            </w:pPr>
            <w:r w:rsidRPr="00D45512">
              <w:rPr>
                <w:rFonts w:ascii="Times New Roman" w:eastAsia="Times New Roman" w:hAnsi="Times New Roman" w:cs="Times New Roman"/>
                <w:b/>
                <w:color w:val="000000"/>
                <w:lang w:val="en-GB"/>
              </w:rPr>
              <w:t>N (%)</w:t>
            </w:r>
            <w:r w:rsidRPr="00D45512">
              <w:rPr>
                <w:rFonts w:ascii="Times New Roman" w:eastAsia="Times New Roman" w:hAnsi="Times New Roman" w:cs="Times New Roman"/>
                <w:b/>
                <w:color w:val="000000"/>
                <w:lang w:val="en-GB"/>
              </w:rPr>
              <w:br/>
              <w:t>Mean (SD, range)</w:t>
            </w:r>
          </w:p>
        </w:tc>
      </w:tr>
      <w:tr w:rsidR="00D45512" w:rsidRPr="00D45512" w14:paraId="54B53345" w14:textId="77777777" w:rsidTr="00885C57">
        <w:trPr>
          <w:trHeight w:val="255"/>
          <w:jc w:val="center"/>
        </w:trPr>
        <w:tc>
          <w:tcPr>
            <w:tcW w:w="0" w:type="auto"/>
            <w:vAlign w:val="center"/>
            <w:hideMark/>
          </w:tcPr>
          <w:p w14:paraId="6ED5E82A"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b/>
                <w:bCs/>
                <w:color w:val="000000"/>
                <w:lang w:val="en-GB"/>
              </w:rPr>
              <w:t>Age (n=320)</w:t>
            </w:r>
          </w:p>
        </w:tc>
        <w:tc>
          <w:tcPr>
            <w:tcW w:w="0" w:type="auto"/>
            <w:vAlign w:val="center"/>
            <w:hideMark/>
          </w:tcPr>
          <w:p w14:paraId="1F387A36"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44.6 (10.5, 18-70)</w:t>
            </w:r>
          </w:p>
        </w:tc>
      </w:tr>
      <w:tr w:rsidR="00D45512" w:rsidRPr="00D45512" w14:paraId="67764916" w14:textId="77777777" w:rsidTr="00885C57">
        <w:trPr>
          <w:trHeight w:val="255"/>
          <w:jc w:val="center"/>
        </w:trPr>
        <w:tc>
          <w:tcPr>
            <w:tcW w:w="0" w:type="auto"/>
            <w:vAlign w:val="center"/>
            <w:hideMark/>
          </w:tcPr>
          <w:p w14:paraId="467CCD1C"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b/>
                <w:bCs/>
                <w:color w:val="000000"/>
                <w:lang w:val="en-GB"/>
              </w:rPr>
              <w:t>Education (n=319)</w:t>
            </w:r>
          </w:p>
        </w:tc>
        <w:tc>
          <w:tcPr>
            <w:tcW w:w="0" w:type="auto"/>
            <w:vAlign w:val="center"/>
            <w:hideMark/>
          </w:tcPr>
          <w:p w14:paraId="3CD58C5B" w14:textId="77777777" w:rsidR="00D45512" w:rsidRPr="00D45512" w:rsidRDefault="00D45512" w:rsidP="00D45512">
            <w:pPr>
              <w:rPr>
                <w:rFonts w:ascii="Times New Roman" w:eastAsia="Times New Roman" w:hAnsi="Times New Roman" w:cs="Times New Roman"/>
                <w:color w:val="000000"/>
                <w:lang w:val="en-GB"/>
              </w:rPr>
            </w:pPr>
          </w:p>
        </w:tc>
      </w:tr>
      <w:tr w:rsidR="00D45512" w:rsidRPr="00D45512" w14:paraId="269C8D4F" w14:textId="77777777" w:rsidTr="00885C57">
        <w:trPr>
          <w:trHeight w:val="255"/>
          <w:jc w:val="center"/>
        </w:trPr>
        <w:tc>
          <w:tcPr>
            <w:tcW w:w="0" w:type="auto"/>
            <w:vAlign w:val="center"/>
            <w:hideMark/>
          </w:tcPr>
          <w:p w14:paraId="3FDEBC84" w14:textId="77777777" w:rsidR="00D45512" w:rsidRPr="00D45512" w:rsidRDefault="00D45512" w:rsidP="00B53BE1">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 xml:space="preserve">Low (no </w:t>
            </w:r>
            <w:r w:rsidR="00B53BE1">
              <w:rPr>
                <w:rFonts w:ascii="Times New Roman" w:eastAsia="Times New Roman" w:hAnsi="Times New Roman" w:cs="Times New Roman"/>
                <w:color w:val="000000"/>
                <w:lang w:val="en-GB"/>
              </w:rPr>
              <w:t>post 16 academic qualifications</w:t>
            </w:r>
            <w:r w:rsidRPr="00D45512">
              <w:rPr>
                <w:rFonts w:ascii="Times New Roman" w:eastAsia="Times New Roman" w:hAnsi="Times New Roman" w:cs="Times New Roman"/>
                <w:color w:val="000000"/>
                <w:lang w:val="en-GB"/>
              </w:rPr>
              <w:t>)</w:t>
            </w:r>
          </w:p>
        </w:tc>
        <w:tc>
          <w:tcPr>
            <w:tcW w:w="0" w:type="auto"/>
            <w:vAlign w:val="center"/>
            <w:hideMark/>
          </w:tcPr>
          <w:p w14:paraId="5EF2E087"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13.5% (43)</w:t>
            </w:r>
          </w:p>
        </w:tc>
      </w:tr>
      <w:tr w:rsidR="00D45512" w:rsidRPr="00D45512" w14:paraId="7400361D" w14:textId="77777777" w:rsidTr="00885C57">
        <w:trPr>
          <w:trHeight w:val="255"/>
          <w:jc w:val="center"/>
        </w:trPr>
        <w:tc>
          <w:tcPr>
            <w:tcW w:w="0" w:type="auto"/>
            <w:vAlign w:val="center"/>
            <w:hideMark/>
          </w:tcPr>
          <w:p w14:paraId="5EE5E99D" w14:textId="77777777" w:rsidR="00D45512" w:rsidRPr="00D45512" w:rsidRDefault="00D45512" w:rsidP="006711BB">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Medium (</w:t>
            </w:r>
            <w:r w:rsidR="00B53BE1">
              <w:rPr>
                <w:rFonts w:ascii="Times New Roman" w:eastAsia="Times New Roman" w:hAnsi="Times New Roman" w:cs="Times New Roman"/>
                <w:color w:val="000000"/>
                <w:lang w:val="en-GB"/>
              </w:rPr>
              <w:t>post 16 qualifications but no</w:t>
            </w:r>
            <w:r w:rsidRPr="00D45512">
              <w:rPr>
                <w:rFonts w:ascii="Times New Roman" w:eastAsia="Times New Roman" w:hAnsi="Times New Roman" w:cs="Times New Roman"/>
                <w:color w:val="000000"/>
                <w:lang w:val="en-GB"/>
              </w:rPr>
              <w:t xml:space="preserve"> </w:t>
            </w:r>
            <w:r w:rsidR="006711BB">
              <w:rPr>
                <w:rFonts w:ascii="Times New Roman" w:eastAsia="Times New Roman" w:hAnsi="Times New Roman" w:cs="Times New Roman"/>
                <w:color w:val="000000"/>
                <w:lang w:val="en-GB"/>
              </w:rPr>
              <w:t>university degree</w:t>
            </w:r>
            <w:r w:rsidRPr="00D45512">
              <w:rPr>
                <w:rFonts w:ascii="Times New Roman" w:eastAsia="Times New Roman" w:hAnsi="Times New Roman" w:cs="Times New Roman"/>
                <w:color w:val="000000"/>
                <w:lang w:val="en-GB"/>
              </w:rPr>
              <w:t>)</w:t>
            </w:r>
          </w:p>
        </w:tc>
        <w:tc>
          <w:tcPr>
            <w:tcW w:w="0" w:type="auto"/>
            <w:vAlign w:val="center"/>
            <w:hideMark/>
          </w:tcPr>
          <w:p w14:paraId="354004AD"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33.5% (107)</w:t>
            </w:r>
          </w:p>
        </w:tc>
      </w:tr>
      <w:tr w:rsidR="00D45512" w:rsidRPr="00D45512" w14:paraId="1DEBA48B" w14:textId="77777777" w:rsidTr="00885C57">
        <w:trPr>
          <w:trHeight w:val="255"/>
          <w:jc w:val="center"/>
        </w:trPr>
        <w:tc>
          <w:tcPr>
            <w:tcW w:w="0" w:type="auto"/>
            <w:vAlign w:val="center"/>
            <w:hideMark/>
          </w:tcPr>
          <w:p w14:paraId="4728EB80"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High (university degree)</w:t>
            </w:r>
          </w:p>
        </w:tc>
        <w:tc>
          <w:tcPr>
            <w:tcW w:w="0" w:type="auto"/>
            <w:vAlign w:val="center"/>
            <w:hideMark/>
          </w:tcPr>
          <w:p w14:paraId="07DF55CF"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53.0% (169)</w:t>
            </w:r>
          </w:p>
        </w:tc>
      </w:tr>
      <w:tr w:rsidR="00D45512" w:rsidRPr="00D45512" w14:paraId="1FA6D188" w14:textId="77777777" w:rsidTr="00885C57">
        <w:trPr>
          <w:trHeight w:val="255"/>
          <w:jc w:val="center"/>
        </w:trPr>
        <w:tc>
          <w:tcPr>
            <w:tcW w:w="0" w:type="auto"/>
            <w:vAlign w:val="center"/>
            <w:hideMark/>
          </w:tcPr>
          <w:p w14:paraId="741420C4"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b/>
                <w:bCs/>
                <w:color w:val="000000"/>
                <w:lang w:val="en-GB"/>
              </w:rPr>
              <w:t>Ethnic group (n=319)</w:t>
            </w:r>
          </w:p>
        </w:tc>
        <w:tc>
          <w:tcPr>
            <w:tcW w:w="0" w:type="auto"/>
            <w:vAlign w:val="center"/>
            <w:hideMark/>
          </w:tcPr>
          <w:p w14:paraId="4339E8DA" w14:textId="77777777" w:rsidR="00D45512" w:rsidRPr="00D45512" w:rsidRDefault="00D45512" w:rsidP="00D45512">
            <w:pPr>
              <w:rPr>
                <w:rFonts w:ascii="Times New Roman" w:eastAsia="Times New Roman" w:hAnsi="Times New Roman" w:cs="Times New Roman"/>
                <w:color w:val="000000"/>
                <w:lang w:val="en-GB"/>
              </w:rPr>
            </w:pPr>
          </w:p>
        </w:tc>
      </w:tr>
      <w:tr w:rsidR="00D45512" w:rsidRPr="00D45512" w14:paraId="74EC10F0" w14:textId="77777777" w:rsidTr="00885C57">
        <w:trPr>
          <w:trHeight w:val="255"/>
          <w:jc w:val="center"/>
        </w:trPr>
        <w:tc>
          <w:tcPr>
            <w:tcW w:w="0" w:type="auto"/>
            <w:vAlign w:val="center"/>
            <w:hideMark/>
          </w:tcPr>
          <w:p w14:paraId="5DC11C2E"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White British</w:t>
            </w:r>
          </w:p>
        </w:tc>
        <w:tc>
          <w:tcPr>
            <w:tcW w:w="0" w:type="auto"/>
            <w:vAlign w:val="center"/>
            <w:hideMark/>
          </w:tcPr>
          <w:p w14:paraId="5462FF61"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79.3% (253)</w:t>
            </w:r>
          </w:p>
        </w:tc>
      </w:tr>
      <w:tr w:rsidR="00D45512" w:rsidRPr="00D45512" w14:paraId="54414743" w14:textId="77777777" w:rsidTr="00885C57">
        <w:trPr>
          <w:trHeight w:val="255"/>
          <w:jc w:val="center"/>
        </w:trPr>
        <w:tc>
          <w:tcPr>
            <w:tcW w:w="0" w:type="auto"/>
            <w:vAlign w:val="center"/>
            <w:hideMark/>
          </w:tcPr>
          <w:p w14:paraId="1F52CC30"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White other</w:t>
            </w:r>
          </w:p>
        </w:tc>
        <w:tc>
          <w:tcPr>
            <w:tcW w:w="0" w:type="auto"/>
            <w:vAlign w:val="center"/>
            <w:hideMark/>
          </w:tcPr>
          <w:p w14:paraId="467010CC"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14.4% (46)</w:t>
            </w:r>
          </w:p>
        </w:tc>
      </w:tr>
      <w:tr w:rsidR="00D45512" w:rsidRPr="00D45512" w14:paraId="31958DF7" w14:textId="77777777" w:rsidTr="00885C57">
        <w:trPr>
          <w:trHeight w:val="255"/>
          <w:jc w:val="center"/>
        </w:trPr>
        <w:tc>
          <w:tcPr>
            <w:tcW w:w="0" w:type="auto"/>
            <w:vAlign w:val="center"/>
            <w:hideMark/>
          </w:tcPr>
          <w:p w14:paraId="6757B76B"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color w:val="000000"/>
                <w:lang w:val="en-GB"/>
              </w:rPr>
              <w:t>Black</w:t>
            </w:r>
            <w:r w:rsidR="003030ED">
              <w:rPr>
                <w:rFonts w:ascii="Times New Roman" w:eastAsia="Times New Roman" w:hAnsi="Times New Roman" w:cs="Times New Roman"/>
                <w:color w:val="000000"/>
                <w:lang w:val="en-GB"/>
              </w:rPr>
              <w:t xml:space="preserve"> (African, Caribbean)</w:t>
            </w:r>
          </w:p>
        </w:tc>
        <w:tc>
          <w:tcPr>
            <w:tcW w:w="0" w:type="auto"/>
            <w:vAlign w:val="center"/>
            <w:hideMark/>
          </w:tcPr>
          <w:p w14:paraId="2B247B29"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color w:val="000000"/>
                <w:lang w:val="en-GB"/>
              </w:rPr>
              <w:t>1.9% (6)</w:t>
            </w:r>
          </w:p>
        </w:tc>
      </w:tr>
      <w:tr w:rsidR="00D45512" w:rsidRPr="00D45512" w14:paraId="4963AA4C" w14:textId="77777777" w:rsidTr="00885C57">
        <w:trPr>
          <w:trHeight w:val="255"/>
          <w:jc w:val="center"/>
        </w:trPr>
        <w:tc>
          <w:tcPr>
            <w:tcW w:w="0" w:type="auto"/>
            <w:vAlign w:val="center"/>
            <w:hideMark/>
          </w:tcPr>
          <w:p w14:paraId="51740DCD"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Asian</w:t>
            </w:r>
            <w:r w:rsidR="003030ED">
              <w:rPr>
                <w:rFonts w:ascii="Times New Roman" w:eastAsia="Times New Roman" w:hAnsi="Times New Roman" w:cs="Times New Roman"/>
                <w:color w:val="000000"/>
                <w:lang w:val="en-GB"/>
              </w:rPr>
              <w:t xml:space="preserve"> (Indian, Pakistani, Bangladeshi)</w:t>
            </w:r>
          </w:p>
        </w:tc>
        <w:tc>
          <w:tcPr>
            <w:tcW w:w="0" w:type="auto"/>
            <w:vAlign w:val="center"/>
            <w:hideMark/>
          </w:tcPr>
          <w:p w14:paraId="6C425FD7"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2.5% (8)</w:t>
            </w:r>
          </w:p>
        </w:tc>
      </w:tr>
      <w:tr w:rsidR="00D45512" w:rsidRPr="00D45512" w14:paraId="58E77E1D" w14:textId="77777777" w:rsidTr="00885C57">
        <w:trPr>
          <w:trHeight w:val="255"/>
          <w:jc w:val="center"/>
        </w:trPr>
        <w:tc>
          <w:tcPr>
            <w:tcW w:w="0" w:type="auto"/>
            <w:vAlign w:val="center"/>
            <w:hideMark/>
          </w:tcPr>
          <w:p w14:paraId="0F8914BB"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Other</w:t>
            </w:r>
          </w:p>
        </w:tc>
        <w:tc>
          <w:tcPr>
            <w:tcW w:w="0" w:type="auto"/>
            <w:vAlign w:val="center"/>
            <w:hideMark/>
          </w:tcPr>
          <w:p w14:paraId="18ED0BB9"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1.9% (6)</w:t>
            </w:r>
          </w:p>
        </w:tc>
      </w:tr>
      <w:tr w:rsidR="00D45512" w:rsidRPr="00D45512" w14:paraId="7F651FE5" w14:textId="77777777" w:rsidTr="00885C57">
        <w:trPr>
          <w:trHeight w:val="255"/>
          <w:jc w:val="center"/>
        </w:trPr>
        <w:tc>
          <w:tcPr>
            <w:tcW w:w="0" w:type="auto"/>
            <w:vAlign w:val="center"/>
            <w:hideMark/>
          </w:tcPr>
          <w:p w14:paraId="43DE0A6F"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b/>
                <w:bCs/>
                <w:color w:val="000000"/>
                <w:lang w:val="en-GB"/>
              </w:rPr>
              <w:t>Place of residence (n=310)</w:t>
            </w:r>
          </w:p>
        </w:tc>
        <w:tc>
          <w:tcPr>
            <w:tcW w:w="0" w:type="auto"/>
            <w:vAlign w:val="center"/>
            <w:hideMark/>
          </w:tcPr>
          <w:p w14:paraId="38430D61" w14:textId="77777777" w:rsidR="00D45512" w:rsidRPr="00D45512" w:rsidRDefault="00D45512" w:rsidP="00D45512">
            <w:pPr>
              <w:rPr>
                <w:rFonts w:ascii="Times New Roman" w:eastAsia="Times New Roman" w:hAnsi="Times New Roman" w:cs="Times New Roman"/>
                <w:color w:val="000000"/>
                <w:lang w:val="en-GB"/>
              </w:rPr>
            </w:pPr>
          </w:p>
        </w:tc>
      </w:tr>
      <w:tr w:rsidR="00D45512" w:rsidRPr="00D45512" w14:paraId="0DC94235" w14:textId="77777777" w:rsidTr="00885C57">
        <w:trPr>
          <w:trHeight w:val="255"/>
          <w:jc w:val="center"/>
        </w:trPr>
        <w:tc>
          <w:tcPr>
            <w:tcW w:w="0" w:type="auto"/>
            <w:vAlign w:val="center"/>
            <w:hideMark/>
          </w:tcPr>
          <w:p w14:paraId="65859657"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color w:val="000000"/>
                <w:lang w:val="en-GB"/>
              </w:rPr>
              <w:t>London</w:t>
            </w:r>
          </w:p>
        </w:tc>
        <w:tc>
          <w:tcPr>
            <w:tcW w:w="0" w:type="auto"/>
            <w:vAlign w:val="center"/>
            <w:hideMark/>
          </w:tcPr>
          <w:p w14:paraId="50E57513"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color w:val="000000"/>
                <w:lang w:val="en-GB"/>
              </w:rPr>
              <w:t>39.7% (123)</w:t>
            </w:r>
          </w:p>
        </w:tc>
      </w:tr>
      <w:tr w:rsidR="00D45512" w:rsidRPr="00D45512" w14:paraId="55AA2598" w14:textId="77777777" w:rsidTr="00885C57">
        <w:trPr>
          <w:trHeight w:val="255"/>
          <w:jc w:val="center"/>
        </w:trPr>
        <w:tc>
          <w:tcPr>
            <w:tcW w:w="0" w:type="auto"/>
            <w:vAlign w:val="center"/>
            <w:hideMark/>
          </w:tcPr>
          <w:p w14:paraId="7CFD98BB"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Rest of England</w:t>
            </w:r>
          </w:p>
        </w:tc>
        <w:tc>
          <w:tcPr>
            <w:tcW w:w="0" w:type="auto"/>
            <w:vAlign w:val="center"/>
            <w:hideMark/>
          </w:tcPr>
          <w:p w14:paraId="27D947F4"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60.3% (187)</w:t>
            </w:r>
          </w:p>
        </w:tc>
      </w:tr>
      <w:tr w:rsidR="00D45512" w:rsidRPr="00D45512" w14:paraId="1976F418" w14:textId="77777777" w:rsidTr="00885C57">
        <w:trPr>
          <w:trHeight w:val="255"/>
          <w:jc w:val="center"/>
        </w:trPr>
        <w:tc>
          <w:tcPr>
            <w:tcW w:w="0" w:type="auto"/>
            <w:vAlign w:val="center"/>
          </w:tcPr>
          <w:p w14:paraId="7B711CC5"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b/>
                <w:bCs/>
                <w:color w:val="000000"/>
                <w:lang w:val="en-GB"/>
              </w:rPr>
              <w:t>Relationship status at enrolment (n=319)</w:t>
            </w:r>
          </w:p>
        </w:tc>
        <w:tc>
          <w:tcPr>
            <w:tcW w:w="0" w:type="auto"/>
            <w:vAlign w:val="center"/>
          </w:tcPr>
          <w:p w14:paraId="3D69A8A1" w14:textId="77777777" w:rsidR="00D45512" w:rsidRPr="00D45512" w:rsidRDefault="00D45512" w:rsidP="00D45512">
            <w:pPr>
              <w:rPr>
                <w:rFonts w:ascii="Times New Roman" w:eastAsia="Times New Roman" w:hAnsi="Times New Roman" w:cs="Times New Roman"/>
                <w:b/>
                <w:bCs/>
                <w:color w:val="000000"/>
                <w:lang w:val="en-GB"/>
              </w:rPr>
            </w:pPr>
          </w:p>
        </w:tc>
      </w:tr>
      <w:tr w:rsidR="00D45512" w:rsidRPr="00D45512" w14:paraId="37EA60B7" w14:textId="77777777" w:rsidTr="00885C57">
        <w:trPr>
          <w:trHeight w:val="255"/>
          <w:jc w:val="center"/>
        </w:trPr>
        <w:tc>
          <w:tcPr>
            <w:tcW w:w="0" w:type="auto"/>
            <w:vAlign w:val="center"/>
          </w:tcPr>
          <w:p w14:paraId="037EFAC3"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Single</w:t>
            </w:r>
          </w:p>
        </w:tc>
        <w:tc>
          <w:tcPr>
            <w:tcW w:w="0" w:type="auto"/>
            <w:vAlign w:val="center"/>
          </w:tcPr>
          <w:p w14:paraId="3966CD9A"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44.8% (143)</w:t>
            </w:r>
          </w:p>
        </w:tc>
      </w:tr>
      <w:tr w:rsidR="00D45512" w:rsidRPr="00D45512" w14:paraId="2693E51B" w14:textId="77777777" w:rsidTr="00885C57">
        <w:trPr>
          <w:trHeight w:val="255"/>
          <w:jc w:val="center"/>
        </w:trPr>
        <w:tc>
          <w:tcPr>
            <w:tcW w:w="0" w:type="auto"/>
            <w:vAlign w:val="center"/>
          </w:tcPr>
          <w:p w14:paraId="358D292B"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One man only</w:t>
            </w:r>
          </w:p>
        </w:tc>
        <w:tc>
          <w:tcPr>
            <w:tcW w:w="0" w:type="auto"/>
            <w:vAlign w:val="center"/>
          </w:tcPr>
          <w:p w14:paraId="0371248D"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42.0% (134)</w:t>
            </w:r>
          </w:p>
        </w:tc>
      </w:tr>
      <w:tr w:rsidR="00D45512" w:rsidRPr="00D45512" w14:paraId="3616955D" w14:textId="77777777" w:rsidTr="00885C57">
        <w:trPr>
          <w:trHeight w:val="255"/>
          <w:jc w:val="center"/>
        </w:trPr>
        <w:tc>
          <w:tcPr>
            <w:tcW w:w="0" w:type="auto"/>
            <w:vAlign w:val="center"/>
          </w:tcPr>
          <w:p w14:paraId="12C8F2E9"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Two or more men, no women</w:t>
            </w:r>
          </w:p>
        </w:tc>
        <w:tc>
          <w:tcPr>
            <w:tcW w:w="0" w:type="auto"/>
            <w:vAlign w:val="center"/>
          </w:tcPr>
          <w:p w14:paraId="421B8DAA"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5.0% (16)</w:t>
            </w:r>
          </w:p>
        </w:tc>
      </w:tr>
      <w:tr w:rsidR="00D45512" w:rsidRPr="00D45512" w14:paraId="12712A51" w14:textId="77777777" w:rsidTr="00885C57">
        <w:trPr>
          <w:trHeight w:val="255"/>
          <w:jc w:val="center"/>
        </w:trPr>
        <w:tc>
          <w:tcPr>
            <w:tcW w:w="0" w:type="auto"/>
            <w:vAlign w:val="center"/>
          </w:tcPr>
          <w:p w14:paraId="1B6CEC20"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One or more women</w:t>
            </w:r>
          </w:p>
        </w:tc>
        <w:tc>
          <w:tcPr>
            <w:tcW w:w="0" w:type="auto"/>
            <w:vAlign w:val="center"/>
          </w:tcPr>
          <w:p w14:paraId="3CAB4B36"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8.1% (26)</w:t>
            </w:r>
          </w:p>
        </w:tc>
      </w:tr>
      <w:tr w:rsidR="00D45512" w:rsidRPr="00D45512" w14:paraId="7E3BE541" w14:textId="77777777" w:rsidTr="00885C57">
        <w:trPr>
          <w:trHeight w:val="255"/>
          <w:jc w:val="center"/>
        </w:trPr>
        <w:tc>
          <w:tcPr>
            <w:tcW w:w="0" w:type="auto"/>
            <w:vAlign w:val="center"/>
          </w:tcPr>
          <w:p w14:paraId="1A7114C8" w14:textId="77777777" w:rsidR="00D45512" w:rsidRPr="00D45512" w:rsidRDefault="00D45512" w:rsidP="00D45512">
            <w:pPr>
              <w:rPr>
                <w:rFonts w:ascii="Times New Roman" w:eastAsia="Times New Roman" w:hAnsi="Times New Roman" w:cs="Times New Roman"/>
                <w:b/>
                <w:bCs/>
                <w:color w:val="000000"/>
                <w:lang w:val="en-GB"/>
              </w:rPr>
            </w:pPr>
            <w:r w:rsidRPr="00D45512">
              <w:rPr>
                <w:rFonts w:ascii="Times New Roman" w:eastAsia="Times New Roman" w:hAnsi="Times New Roman" w:cs="Times New Roman"/>
                <w:b/>
                <w:bCs/>
                <w:color w:val="000000"/>
                <w:lang w:val="en-GB"/>
              </w:rPr>
              <w:t>Describe sexual orientation (n=316)</w:t>
            </w:r>
          </w:p>
        </w:tc>
        <w:tc>
          <w:tcPr>
            <w:tcW w:w="0" w:type="auto"/>
            <w:vAlign w:val="center"/>
          </w:tcPr>
          <w:p w14:paraId="7F370EB3" w14:textId="77777777" w:rsidR="00D45512" w:rsidRPr="00D45512" w:rsidRDefault="00D45512" w:rsidP="00D45512">
            <w:pPr>
              <w:rPr>
                <w:rFonts w:ascii="Times New Roman" w:eastAsia="Times New Roman" w:hAnsi="Times New Roman" w:cs="Times New Roman"/>
                <w:b/>
                <w:bCs/>
                <w:color w:val="000000"/>
                <w:lang w:val="en-GB"/>
              </w:rPr>
            </w:pPr>
          </w:p>
        </w:tc>
      </w:tr>
      <w:tr w:rsidR="00D45512" w:rsidRPr="00D45512" w14:paraId="48F2FAA8" w14:textId="77777777" w:rsidTr="00885C57">
        <w:trPr>
          <w:trHeight w:val="255"/>
          <w:jc w:val="center"/>
        </w:trPr>
        <w:tc>
          <w:tcPr>
            <w:tcW w:w="0" w:type="auto"/>
            <w:vAlign w:val="center"/>
          </w:tcPr>
          <w:p w14:paraId="5AD6F51C"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Gay or homosexual</w:t>
            </w:r>
          </w:p>
        </w:tc>
        <w:tc>
          <w:tcPr>
            <w:tcW w:w="0" w:type="auto"/>
            <w:vAlign w:val="center"/>
          </w:tcPr>
          <w:p w14:paraId="03860ED0"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84.2% (266)</w:t>
            </w:r>
          </w:p>
        </w:tc>
      </w:tr>
      <w:tr w:rsidR="00D45512" w:rsidRPr="00D45512" w14:paraId="78F55400" w14:textId="77777777" w:rsidTr="00885C57">
        <w:trPr>
          <w:trHeight w:val="255"/>
          <w:jc w:val="center"/>
        </w:trPr>
        <w:tc>
          <w:tcPr>
            <w:tcW w:w="0" w:type="auto"/>
            <w:vAlign w:val="center"/>
          </w:tcPr>
          <w:p w14:paraId="2C86E89B" w14:textId="7D1A24B3" w:rsidR="00D45512" w:rsidRPr="00D45512" w:rsidRDefault="003D415E" w:rsidP="00D45512">
            <w:p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Bisexual, s</w:t>
            </w:r>
            <w:r w:rsidR="00D45512" w:rsidRPr="00D45512">
              <w:rPr>
                <w:rFonts w:ascii="Times New Roman" w:eastAsia="Times New Roman" w:hAnsi="Times New Roman" w:cs="Times New Roman"/>
                <w:color w:val="000000"/>
                <w:lang w:val="en-GB"/>
              </w:rPr>
              <w:t>traight or other</w:t>
            </w:r>
          </w:p>
        </w:tc>
        <w:tc>
          <w:tcPr>
            <w:tcW w:w="0" w:type="auto"/>
            <w:vAlign w:val="center"/>
          </w:tcPr>
          <w:p w14:paraId="4E965986" w14:textId="77777777" w:rsidR="00D45512" w:rsidRPr="00D45512" w:rsidRDefault="00D45512" w:rsidP="00D45512">
            <w:pPr>
              <w:rPr>
                <w:rFonts w:ascii="Times New Roman" w:eastAsia="Times New Roman" w:hAnsi="Times New Roman" w:cs="Times New Roman"/>
                <w:color w:val="000000"/>
                <w:lang w:val="en-GB"/>
              </w:rPr>
            </w:pPr>
            <w:r w:rsidRPr="00D45512">
              <w:rPr>
                <w:rFonts w:ascii="Times New Roman" w:eastAsia="Times New Roman" w:hAnsi="Times New Roman" w:cs="Times New Roman"/>
                <w:color w:val="000000"/>
                <w:lang w:val="en-GB"/>
              </w:rPr>
              <w:t>15.8% (50)</w:t>
            </w:r>
          </w:p>
        </w:tc>
      </w:tr>
    </w:tbl>
    <w:p w14:paraId="76A47A89" w14:textId="77777777" w:rsidR="00D45512" w:rsidRDefault="00D45512">
      <w:r>
        <w:br w:type="page"/>
      </w:r>
    </w:p>
    <w:p w14:paraId="1EFDC166" w14:textId="77777777" w:rsidR="00D45512" w:rsidRDefault="00D45512" w:rsidP="00885C57">
      <w:pPr>
        <w:spacing w:line="480" w:lineRule="auto"/>
        <w:jc w:val="center"/>
      </w:pPr>
      <w:r w:rsidRPr="00D45512">
        <w:rPr>
          <w:b/>
        </w:rPr>
        <w:t>Table 2.</w:t>
      </w:r>
      <w:r>
        <w:t xml:space="preserve">  Characteristics of included encounters.</w:t>
      </w:r>
    </w:p>
    <w:tbl>
      <w:tblPr>
        <w:tblStyle w:val="TableGrid"/>
        <w:tblW w:w="0" w:type="auto"/>
        <w:jc w:val="center"/>
        <w:tblLook w:val="04A0" w:firstRow="1" w:lastRow="0" w:firstColumn="1" w:lastColumn="0" w:noHBand="0" w:noVBand="1"/>
      </w:tblPr>
      <w:tblGrid>
        <w:gridCol w:w="3563"/>
        <w:gridCol w:w="576"/>
        <w:gridCol w:w="2036"/>
      </w:tblGrid>
      <w:tr w:rsidR="00D45512" w:rsidRPr="006711BB" w14:paraId="291ED128" w14:textId="77777777" w:rsidTr="00885C57">
        <w:trPr>
          <w:trHeight w:val="284"/>
          <w:jc w:val="center"/>
        </w:trPr>
        <w:tc>
          <w:tcPr>
            <w:tcW w:w="0" w:type="auto"/>
            <w:vAlign w:val="center"/>
            <w:hideMark/>
          </w:tcPr>
          <w:p w14:paraId="07F121A0"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Variable</w:t>
            </w:r>
          </w:p>
        </w:tc>
        <w:tc>
          <w:tcPr>
            <w:tcW w:w="0" w:type="auto"/>
            <w:noWrap/>
            <w:vAlign w:val="center"/>
            <w:hideMark/>
          </w:tcPr>
          <w:p w14:paraId="48A3BA1C"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N</w:t>
            </w:r>
          </w:p>
        </w:tc>
        <w:tc>
          <w:tcPr>
            <w:tcW w:w="0" w:type="auto"/>
            <w:vAlign w:val="center"/>
            <w:hideMark/>
          </w:tcPr>
          <w:p w14:paraId="4C27ACD9"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 (n)</w:t>
            </w:r>
            <w:r w:rsidRPr="006711BB">
              <w:rPr>
                <w:rFonts w:ascii="Times New Roman" w:eastAsia="Times New Roman" w:hAnsi="Times New Roman" w:cs="Times New Roman"/>
                <w:b/>
                <w:bCs/>
                <w:color w:val="000000"/>
                <w:lang w:val="en-GB"/>
              </w:rPr>
              <w:br/>
              <w:t>Mean (SD, range)</w:t>
            </w:r>
          </w:p>
        </w:tc>
      </w:tr>
      <w:tr w:rsidR="00D45512" w:rsidRPr="006711BB" w14:paraId="1E353142" w14:textId="77777777" w:rsidTr="00885C57">
        <w:trPr>
          <w:trHeight w:val="255"/>
          <w:jc w:val="center"/>
        </w:trPr>
        <w:tc>
          <w:tcPr>
            <w:tcW w:w="0" w:type="auto"/>
            <w:noWrap/>
            <w:vAlign w:val="center"/>
            <w:hideMark/>
          </w:tcPr>
          <w:p w14:paraId="1E4ABA95"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UAI</w:t>
            </w:r>
          </w:p>
        </w:tc>
        <w:tc>
          <w:tcPr>
            <w:tcW w:w="0" w:type="auto"/>
            <w:noWrap/>
            <w:vAlign w:val="center"/>
            <w:hideMark/>
          </w:tcPr>
          <w:p w14:paraId="33E4B1CF"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438</w:t>
            </w:r>
          </w:p>
        </w:tc>
        <w:tc>
          <w:tcPr>
            <w:tcW w:w="0" w:type="auto"/>
            <w:noWrap/>
            <w:vAlign w:val="center"/>
            <w:hideMark/>
          </w:tcPr>
          <w:p w14:paraId="67861735"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37.7% (165)</w:t>
            </w:r>
          </w:p>
        </w:tc>
      </w:tr>
      <w:tr w:rsidR="00D45512" w:rsidRPr="006711BB" w14:paraId="16AF2A04" w14:textId="77777777" w:rsidTr="00885C57">
        <w:trPr>
          <w:trHeight w:val="255"/>
          <w:jc w:val="center"/>
        </w:trPr>
        <w:tc>
          <w:tcPr>
            <w:tcW w:w="0" w:type="auto"/>
            <w:noWrap/>
            <w:vAlign w:val="center"/>
            <w:hideMark/>
          </w:tcPr>
          <w:p w14:paraId="79AF851E"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Pleasure</w:t>
            </w:r>
          </w:p>
        </w:tc>
        <w:tc>
          <w:tcPr>
            <w:tcW w:w="0" w:type="auto"/>
            <w:noWrap/>
            <w:vAlign w:val="center"/>
            <w:hideMark/>
          </w:tcPr>
          <w:p w14:paraId="5D92CF6D"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435</w:t>
            </w:r>
          </w:p>
        </w:tc>
        <w:tc>
          <w:tcPr>
            <w:tcW w:w="0" w:type="auto"/>
            <w:noWrap/>
            <w:vAlign w:val="center"/>
            <w:hideMark/>
          </w:tcPr>
          <w:p w14:paraId="642C686E"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6.8 (1.6, 1-10)</w:t>
            </w:r>
          </w:p>
        </w:tc>
      </w:tr>
      <w:tr w:rsidR="006711BB" w:rsidRPr="006711BB" w14:paraId="2AD23F36" w14:textId="77777777" w:rsidTr="00885C57">
        <w:trPr>
          <w:trHeight w:val="255"/>
          <w:jc w:val="center"/>
        </w:trPr>
        <w:tc>
          <w:tcPr>
            <w:tcW w:w="0" w:type="auto"/>
            <w:noWrap/>
            <w:vAlign w:val="center"/>
          </w:tcPr>
          <w:p w14:paraId="58EB9E10" w14:textId="77777777" w:rsidR="006711BB" w:rsidRPr="006711BB" w:rsidRDefault="006711BB" w:rsidP="00D45512">
            <w:pPr>
              <w:rPr>
                <w:rFonts w:ascii="Times New Roman" w:eastAsia="Times New Roman" w:hAnsi="Times New Roman" w:cs="Times New Roman"/>
                <w:b/>
                <w:bCs/>
                <w:color w:val="000000"/>
              </w:rPr>
            </w:pPr>
            <w:r w:rsidRPr="006711BB">
              <w:rPr>
                <w:rFonts w:ascii="Times New Roman" w:eastAsia="Times New Roman" w:hAnsi="Times New Roman" w:cs="Times New Roman"/>
                <w:b/>
                <w:bCs/>
                <w:color w:val="000000"/>
              </w:rPr>
              <w:t>Totally/mostly in control</w:t>
            </w:r>
          </w:p>
        </w:tc>
        <w:tc>
          <w:tcPr>
            <w:tcW w:w="0" w:type="auto"/>
            <w:noWrap/>
            <w:vAlign w:val="center"/>
          </w:tcPr>
          <w:p w14:paraId="621BB802" w14:textId="77777777" w:rsidR="006711BB" w:rsidRPr="006711BB" w:rsidRDefault="006711BB" w:rsidP="00D45512">
            <w:pPr>
              <w:rPr>
                <w:rFonts w:ascii="Times New Roman" w:eastAsia="Times New Roman" w:hAnsi="Times New Roman" w:cs="Times New Roman"/>
                <w:color w:val="000000"/>
              </w:rPr>
            </w:pPr>
            <w:r w:rsidRPr="006711BB">
              <w:rPr>
                <w:rFonts w:ascii="Times New Roman" w:eastAsia="Times New Roman" w:hAnsi="Times New Roman" w:cs="Times New Roman"/>
                <w:color w:val="000000"/>
              </w:rPr>
              <w:t>436</w:t>
            </w:r>
          </w:p>
        </w:tc>
        <w:tc>
          <w:tcPr>
            <w:tcW w:w="0" w:type="auto"/>
            <w:noWrap/>
            <w:vAlign w:val="center"/>
          </w:tcPr>
          <w:p w14:paraId="5C6F09A7" w14:textId="77777777" w:rsidR="006711BB" w:rsidRPr="006711BB" w:rsidRDefault="006711BB" w:rsidP="00D45512">
            <w:pPr>
              <w:rPr>
                <w:rFonts w:ascii="Times New Roman" w:eastAsia="Times New Roman" w:hAnsi="Times New Roman" w:cs="Times New Roman"/>
                <w:color w:val="000000"/>
              </w:rPr>
            </w:pPr>
            <w:r w:rsidRPr="006711BB">
              <w:rPr>
                <w:rFonts w:ascii="Times New Roman" w:eastAsia="Times New Roman" w:hAnsi="Times New Roman" w:cs="Times New Roman"/>
                <w:color w:val="000000"/>
              </w:rPr>
              <w:t>87.2% (380)</w:t>
            </w:r>
          </w:p>
        </w:tc>
      </w:tr>
      <w:tr w:rsidR="00D45512" w:rsidRPr="006711BB" w14:paraId="25BCCB66" w14:textId="77777777" w:rsidTr="00885C57">
        <w:trPr>
          <w:trHeight w:val="255"/>
          <w:jc w:val="center"/>
        </w:trPr>
        <w:tc>
          <w:tcPr>
            <w:tcW w:w="0" w:type="auto"/>
            <w:noWrap/>
            <w:vAlign w:val="center"/>
            <w:hideMark/>
          </w:tcPr>
          <w:p w14:paraId="5ECFB18A"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b/>
                <w:bCs/>
                <w:color w:val="000000"/>
                <w:lang w:val="en-GB"/>
              </w:rPr>
              <w:t xml:space="preserve">Any </w:t>
            </w:r>
            <w:r w:rsidR="001A30A7" w:rsidRPr="006711BB">
              <w:rPr>
                <w:rFonts w:ascii="Times New Roman" w:eastAsia="Times New Roman" w:hAnsi="Times New Roman" w:cs="Times New Roman"/>
                <w:b/>
                <w:bCs/>
                <w:color w:val="000000"/>
                <w:lang w:val="en-GB"/>
              </w:rPr>
              <w:t>drug</w:t>
            </w:r>
            <w:r w:rsidRPr="006711BB">
              <w:rPr>
                <w:rFonts w:ascii="Times New Roman" w:eastAsia="Times New Roman" w:hAnsi="Times New Roman" w:cs="Times New Roman"/>
                <w:b/>
                <w:bCs/>
                <w:color w:val="000000"/>
                <w:lang w:val="en-GB"/>
              </w:rPr>
              <w:t xml:space="preserve"> use by respondent</w:t>
            </w:r>
          </w:p>
        </w:tc>
        <w:tc>
          <w:tcPr>
            <w:tcW w:w="0" w:type="auto"/>
            <w:noWrap/>
            <w:vAlign w:val="center"/>
            <w:hideMark/>
          </w:tcPr>
          <w:p w14:paraId="60DADA71"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437</w:t>
            </w:r>
          </w:p>
        </w:tc>
        <w:tc>
          <w:tcPr>
            <w:tcW w:w="0" w:type="auto"/>
            <w:noWrap/>
            <w:vAlign w:val="center"/>
            <w:hideMark/>
          </w:tcPr>
          <w:p w14:paraId="46FAFCB0" w14:textId="77777777" w:rsidR="00D45512" w:rsidRPr="006711BB" w:rsidRDefault="00D45512"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color w:val="000000"/>
                <w:lang w:val="en-GB"/>
              </w:rPr>
              <w:t>67.7% (296)</w:t>
            </w:r>
          </w:p>
        </w:tc>
      </w:tr>
      <w:tr w:rsidR="00D45512" w:rsidRPr="006711BB" w14:paraId="1883EFD7" w14:textId="77777777" w:rsidTr="00885C57">
        <w:trPr>
          <w:trHeight w:val="255"/>
          <w:jc w:val="center"/>
        </w:trPr>
        <w:tc>
          <w:tcPr>
            <w:tcW w:w="0" w:type="auto"/>
            <w:noWrap/>
            <w:vAlign w:val="center"/>
            <w:hideMark/>
          </w:tcPr>
          <w:p w14:paraId="56D3CB44"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 xml:space="preserve">Number of </w:t>
            </w:r>
            <w:r w:rsidR="001A30A7" w:rsidRPr="006711BB">
              <w:rPr>
                <w:rFonts w:ascii="Times New Roman" w:eastAsia="Times New Roman" w:hAnsi="Times New Roman" w:cs="Times New Roman"/>
                <w:b/>
                <w:bCs/>
                <w:color w:val="000000"/>
                <w:lang w:val="en-GB"/>
              </w:rPr>
              <w:t>drug</w:t>
            </w:r>
            <w:r w:rsidRPr="006711BB">
              <w:rPr>
                <w:rFonts w:ascii="Times New Roman" w:eastAsia="Times New Roman" w:hAnsi="Times New Roman" w:cs="Times New Roman"/>
                <w:b/>
                <w:bCs/>
                <w:color w:val="000000"/>
                <w:lang w:val="en-GB"/>
              </w:rPr>
              <w:t>s used</w:t>
            </w:r>
          </w:p>
        </w:tc>
        <w:tc>
          <w:tcPr>
            <w:tcW w:w="0" w:type="auto"/>
            <w:noWrap/>
            <w:vAlign w:val="center"/>
            <w:hideMark/>
          </w:tcPr>
          <w:p w14:paraId="1629C6EC"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433</w:t>
            </w:r>
          </w:p>
        </w:tc>
        <w:tc>
          <w:tcPr>
            <w:tcW w:w="0" w:type="auto"/>
            <w:noWrap/>
            <w:vAlign w:val="center"/>
            <w:hideMark/>
          </w:tcPr>
          <w:p w14:paraId="5BC10FB1"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1.6 (1.8, 0-10)</w:t>
            </w:r>
          </w:p>
        </w:tc>
      </w:tr>
      <w:tr w:rsidR="00D45512" w:rsidRPr="006711BB" w14:paraId="6F096169" w14:textId="77777777" w:rsidTr="00885C57">
        <w:trPr>
          <w:trHeight w:val="255"/>
          <w:jc w:val="center"/>
        </w:trPr>
        <w:tc>
          <w:tcPr>
            <w:tcW w:w="0" w:type="auto"/>
            <w:noWrap/>
            <w:vAlign w:val="center"/>
            <w:hideMark/>
          </w:tcPr>
          <w:p w14:paraId="1894CC39" w14:textId="77777777" w:rsidR="00D45512" w:rsidRPr="006711BB" w:rsidRDefault="001A30A7"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Drug</w:t>
            </w:r>
            <w:r w:rsidR="00D45512" w:rsidRPr="006711BB">
              <w:rPr>
                <w:rFonts w:ascii="Times New Roman" w:eastAsia="Times New Roman" w:hAnsi="Times New Roman" w:cs="Times New Roman"/>
                <w:b/>
                <w:bCs/>
                <w:color w:val="000000"/>
                <w:lang w:val="en-GB"/>
              </w:rPr>
              <w:t xml:space="preserve"> use by respondent: specific</w:t>
            </w:r>
          </w:p>
        </w:tc>
        <w:tc>
          <w:tcPr>
            <w:tcW w:w="0" w:type="auto"/>
            <w:noWrap/>
            <w:vAlign w:val="center"/>
            <w:hideMark/>
          </w:tcPr>
          <w:p w14:paraId="1F6B5444" w14:textId="77777777" w:rsidR="00D45512" w:rsidRPr="006711BB" w:rsidRDefault="00D45512"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437</w:t>
            </w:r>
          </w:p>
        </w:tc>
        <w:tc>
          <w:tcPr>
            <w:tcW w:w="0" w:type="auto"/>
            <w:noWrap/>
            <w:vAlign w:val="center"/>
            <w:hideMark/>
          </w:tcPr>
          <w:p w14:paraId="738C78F6" w14:textId="77777777" w:rsidR="00D45512" w:rsidRPr="006711BB" w:rsidRDefault="00D45512" w:rsidP="00D45512">
            <w:pPr>
              <w:rPr>
                <w:rFonts w:ascii="Times New Roman" w:eastAsia="Times New Roman" w:hAnsi="Times New Roman" w:cs="Times New Roman"/>
                <w:color w:val="000000"/>
                <w:lang w:val="en-GB"/>
              </w:rPr>
            </w:pPr>
          </w:p>
        </w:tc>
      </w:tr>
      <w:tr w:rsidR="00D45512" w:rsidRPr="006711BB" w14:paraId="3E77C4EE" w14:textId="77777777" w:rsidTr="00885C57">
        <w:trPr>
          <w:trHeight w:val="255"/>
          <w:jc w:val="center"/>
        </w:trPr>
        <w:tc>
          <w:tcPr>
            <w:tcW w:w="0" w:type="auto"/>
            <w:noWrap/>
            <w:vAlign w:val="center"/>
            <w:hideMark/>
          </w:tcPr>
          <w:p w14:paraId="55EAF6A6" w14:textId="77777777" w:rsidR="00D45512" w:rsidRPr="006711BB" w:rsidRDefault="00D45512" w:rsidP="00D45512">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Poppers</w:t>
            </w:r>
            <w:r w:rsidR="00B124C3" w:rsidRPr="006711BB">
              <w:rPr>
                <w:rFonts w:ascii="Times New Roman" w:eastAsia="Times New Roman" w:hAnsi="Times New Roman" w:cs="Times New Roman"/>
                <w:color w:val="000000"/>
                <w:lang w:val="en-GB"/>
              </w:rPr>
              <w:t xml:space="preserve"> (n=434)</w:t>
            </w:r>
          </w:p>
        </w:tc>
        <w:tc>
          <w:tcPr>
            <w:tcW w:w="0" w:type="auto"/>
            <w:noWrap/>
            <w:vAlign w:val="center"/>
            <w:hideMark/>
          </w:tcPr>
          <w:p w14:paraId="320521BC" w14:textId="77777777" w:rsidR="00D45512" w:rsidRPr="006711BB" w:rsidRDefault="00D45512" w:rsidP="00D45512">
            <w:pPr>
              <w:rPr>
                <w:rFonts w:ascii="Times New Roman" w:eastAsia="Times New Roman" w:hAnsi="Times New Roman" w:cs="Times New Roman"/>
                <w:color w:val="000000"/>
                <w:lang w:val="en-GB"/>
              </w:rPr>
            </w:pPr>
          </w:p>
        </w:tc>
        <w:tc>
          <w:tcPr>
            <w:tcW w:w="0" w:type="auto"/>
            <w:noWrap/>
            <w:vAlign w:val="center"/>
            <w:hideMark/>
          </w:tcPr>
          <w:p w14:paraId="09EC0490" w14:textId="77777777" w:rsidR="00D45512" w:rsidRPr="006711BB" w:rsidRDefault="00D45512" w:rsidP="00964753">
            <w:pPr>
              <w:rPr>
                <w:rFonts w:ascii="Times New Roman" w:eastAsia="Times New Roman" w:hAnsi="Times New Roman" w:cs="Times New Roman"/>
                <w:color w:val="000000"/>
                <w:lang w:val="en-GB"/>
              </w:rPr>
            </w:pPr>
            <w:r w:rsidRPr="006711BB">
              <w:rPr>
                <w:rFonts w:ascii="Times New Roman" w:eastAsia="Times New Roman" w:hAnsi="Times New Roman" w:cs="Times New Roman"/>
                <w:bCs/>
                <w:color w:val="000000"/>
                <w:lang w:val="en-GB"/>
              </w:rPr>
              <w:t>45.4% (197)</w:t>
            </w:r>
          </w:p>
        </w:tc>
      </w:tr>
      <w:tr w:rsidR="00D45512" w:rsidRPr="006711BB" w14:paraId="438987A1" w14:textId="77777777" w:rsidTr="00885C57">
        <w:trPr>
          <w:trHeight w:val="255"/>
          <w:jc w:val="center"/>
        </w:trPr>
        <w:tc>
          <w:tcPr>
            <w:tcW w:w="0" w:type="auto"/>
            <w:noWrap/>
            <w:vAlign w:val="center"/>
            <w:hideMark/>
          </w:tcPr>
          <w:p w14:paraId="13CAB648" w14:textId="77777777" w:rsidR="00D45512" w:rsidRPr="006711BB" w:rsidRDefault="00D45512" w:rsidP="00964753">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Alcohol</w:t>
            </w:r>
          </w:p>
        </w:tc>
        <w:tc>
          <w:tcPr>
            <w:tcW w:w="0" w:type="auto"/>
            <w:noWrap/>
            <w:vAlign w:val="center"/>
            <w:hideMark/>
          </w:tcPr>
          <w:p w14:paraId="62BF9722" w14:textId="77777777" w:rsidR="00D45512" w:rsidRPr="006711BB" w:rsidRDefault="00D45512" w:rsidP="00964753">
            <w:pPr>
              <w:rPr>
                <w:rFonts w:ascii="Times New Roman" w:eastAsia="Times New Roman" w:hAnsi="Times New Roman" w:cs="Times New Roman"/>
                <w:color w:val="000000"/>
                <w:lang w:val="en-GB"/>
              </w:rPr>
            </w:pPr>
          </w:p>
        </w:tc>
        <w:tc>
          <w:tcPr>
            <w:tcW w:w="0" w:type="auto"/>
            <w:noWrap/>
            <w:vAlign w:val="center"/>
            <w:hideMark/>
          </w:tcPr>
          <w:p w14:paraId="6B15EF48" w14:textId="77777777" w:rsidR="00D45512" w:rsidRPr="006711BB" w:rsidRDefault="00D45512" w:rsidP="00964753">
            <w:pPr>
              <w:rPr>
                <w:rFonts w:ascii="Times New Roman" w:eastAsia="Times New Roman" w:hAnsi="Times New Roman" w:cs="Times New Roman"/>
                <w:color w:val="000000"/>
                <w:lang w:val="en-GB"/>
              </w:rPr>
            </w:pPr>
            <w:r w:rsidRPr="006711BB">
              <w:rPr>
                <w:rFonts w:ascii="Times New Roman" w:eastAsia="Times New Roman" w:hAnsi="Times New Roman" w:cs="Times New Roman"/>
                <w:bCs/>
                <w:color w:val="000000"/>
                <w:lang w:val="en-GB"/>
              </w:rPr>
              <w:t>38.0% (166)</w:t>
            </w:r>
          </w:p>
        </w:tc>
      </w:tr>
      <w:tr w:rsidR="00D45512" w:rsidRPr="006711BB" w14:paraId="1C962201" w14:textId="77777777" w:rsidTr="00885C57">
        <w:trPr>
          <w:trHeight w:val="255"/>
          <w:jc w:val="center"/>
        </w:trPr>
        <w:tc>
          <w:tcPr>
            <w:tcW w:w="0" w:type="auto"/>
            <w:noWrap/>
            <w:vAlign w:val="center"/>
            <w:hideMark/>
          </w:tcPr>
          <w:p w14:paraId="0E2509AD" w14:textId="77777777" w:rsidR="00D45512" w:rsidRPr="006711BB" w:rsidRDefault="00D45512" w:rsidP="00964753">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Erectile dysfunction medications</w:t>
            </w:r>
          </w:p>
        </w:tc>
        <w:tc>
          <w:tcPr>
            <w:tcW w:w="0" w:type="auto"/>
            <w:noWrap/>
            <w:vAlign w:val="center"/>
            <w:hideMark/>
          </w:tcPr>
          <w:p w14:paraId="3DF0F1B0" w14:textId="77777777" w:rsidR="00D45512" w:rsidRPr="006711BB" w:rsidRDefault="00D45512" w:rsidP="00964753">
            <w:pPr>
              <w:rPr>
                <w:rFonts w:ascii="Times New Roman" w:eastAsia="Times New Roman" w:hAnsi="Times New Roman" w:cs="Times New Roman"/>
                <w:color w:val="000000"/>
                <w:lang w:val="en-GB"/>
              </w:rPr>
            </w:pPr>
          </w:p>
        </w:tc>
        <w:tc>
          <w:tcPr>
            <w:tcW w:w="0" w:type="auto"/>
            <w:noWrap/>
            <w:vAlign w:val="center"/>
            <w:hideMark/>
          </w:tcPr>
          <w:p w14:paraId="5F74BD7C" w14:textId="77777777" w:rsidR="00D45512" w:rsidRPr="006711BB" w:rsidRDefault="00D45512" w:rsidP="00964753">
            <w:pPr>
              <w:rPr>
                <w:rFonts w:ascii="Times New Roman" w:eastAsia="Times New Roman" w:hAnsi="Times New Roman" w:cs="Times New Roman"/>
                <w:bCs/>
                <w:color w:val="000000"/>
                <w:lang w:val="en-GB"/>
              </w:rPr>
            </w:pPr>
            <w:r w:rsidRPr="006711BB">
              <w:rPr>
                <w:rFonts w:ascii="Times New Roman" w:eastAsia="Times New Roman" w:hAnsi="Times New Roman" w:cs="Times New Roman"/>
                <w:bCs/>
                <w:color w:val="000000"/>
                <w:lang w:val="en-GB"/>
              </w:rPr>
              <w:t>26.3% (115)</w:t>
            </w:r>
          </w:p>
        </w:tc>
      </w:tr>
      <w:tr w:rsidR="006711BB" w:rsidRPr="006711BB" w14:paraId="0F2BB6EA" w14:textId="77777777" w:rsidTr="00885C57">
        <w:trPr>
          <w:trHeight w:val="255"/>
          <w:jc w:val="center"/>
        </w:trPr>
        <w:tc>
          <w:tcPr>
            <w:tcW w:w="0" w:type="auto"/>
            <w:noWrap/>
            <w:vAlign w:val="center"/>
          </w:tcPr>
          <w:p w14:paraId="46A33FAD" w14:textId="77777777" w:rsidR="006711BB" w:rsidRPr="006711BB" w:rsidRDefault="006711BB" w:rsidP="00964753">
            <w:pPr>
              <w:rPr>
                <w:rFonts w:eastAsia="Times New Roman"/>
                <w:color w:val="000000"/>
              </w:rPr>
            </w:pPr>
            <w:r w:rsidRPr="006711BB">
              <w:rPr>
                <w:rFonts w:ascii="Times New Roman" w:eastAsia="Times New Roman" w:hAnsi="Times New Roman" w:cs="Times New Roman"/>
                <w:color w:val="000000"/>
                <w:lang w:val="en-GB"/>
              </w:rPr>
              <w:t>GHB</w:t>
            </w:r>
          </w:p>
        </w:tc>
        <w:tc>
          <w:tcPr>
            <w:tcW w:w="0" w:type="auto"/>
            <w:noWrap/>
            <w:vAlign w:val="center"/>
          </w:tcPr>
          <w:p w14:paraId="7FCEBC57" w14:textId="77777777" w:rsidR="006711BB" w:rsidRPr="006711BB" w:rsidRDefault="006711BB" w:rsidP="00964753">
            <w:pPr>
              <w:rPr>
                <w:rFonts w:eastAsia="Times New Roman"/>
                <w:color w:val="000000"/>
              </w:rPr>
            </w:pPr>
          </w:p>
        </w:tc>
        <w:tc>
          <w:tcPr>
            <w:tcW w:w="0" w:type="auto"/>
            <w:noWrap/>
            <w:vAlign w:val="center"/>
          </w:tcPr>
          <w:p w14:paraId="391C5668" w14:textId="77777777" w:rsidR="006711BB" w:rsidRPr="006711BB" w:rsidRDefault="006711BB" w:rsidP="00964753">
            <w:pPr>
              <w:rPr>
                <w:rFonts w:eastAsia="Times New Roman"/>
                <w:bCs/>
                <w:color w:val="000000"/>
              </w:rPr>
            </w:pPr>
            <w:r w:rsidRPr="006711BB">
              <w:rPr>
                <w:rFonts w:ascii="Times New Roman" w:eastAsia="Times New Roman" w:hAnsi="Times New Roman" w:cs="Times New Roman"/>
                <w:bCs/>
                <w:color w:val="000000"/>
                <w:lang w:val="en-GB"/>
              </w:rPr>
              <w:t>9.2% (40)</w:t>
            </w:r>
          </w:p>
        </w:tc>
      </w:tr>
      <w:tr w:rsidR="006711BB" w:rsidRPr="006711BB" w14:paraId="37205843" w14:textId="77777777" w:rsidTr="00885C57">
        <w:trPr>
          <w:trHeight w:val="255"/>
          <w:jc w:val="center"/>
        </w:trPr>
        <w:tc>
          <w:tcPr>
            <w:tcW w:w="0" w:type="auto"/>
            <w:noWrap/>
            <w:vAlign w:val="center"/>
          </w:tcPr>
          <w:p w14:paraId="1B14EE66" w14:textId="77777777" w:rsidR="006711BB" w:rsidRPr="006711BB" w:rsidRDefault="006711BB" w:rsidP="00964753">
            <w:pPr>
              <w:rPr>
                <w:rFonts w:eastAsia="Times New Roman"/>
                <w:color w:val="000000"/>
              </w:rPr>
            </w:pPr>
            <w:r w:rsidRPr="006711BB">
              <w:rPr>
                <w:rFonts w:ascii="Times New Roman" w:eastAsia="Times New Roman" w:hAnsi="Times New Roman" w:cs="Times New Roman"/>
                <w:color w:val="000000"/>
                <w:lang w:val="en-GB"/>
              </w:rPr>
              <w:t>Crystal methamphetamine</w:t>
            </w:r>
          </w:p>
        </w:tc>
        <w:tc>
          <w:tcPr>
            <w:tcW w:w="0" w:type="auto"/>
            <w:noWrap/>
            <w:vAlign w:val="center"/>
          </w:tcPr>
          <w:p w14:paraId="0D0A8C29" w14:textId="77777777" w:rsidR="006711BB" w:rsidRPr="006711BB" w:rsidRDefault="006711BB" w:rsidP="00964753">
            <w:pPr>
              <w:rPr>
                <w:rFonts w:eastAsia="Times New Roman"/>
                <w:color w:val="000000"/>
              </w:rPr>
            </w:pPr>
          </w:p>
        </w:tc>
        <w:tc>
          <w:tcPr>
            <w:tcW w:w="0" w:type="auto"/>
            <w:noWrap/>
            <w:vAlign w:val="center"/>
          </w:tcPr>
          <w:p w14:paraId="68AFB0D9" w14:textId="77777777" w:rsidR="006711BB" w:rsidRPr="006711BB" w:rsidRDefault="006711BB" w:rsidP="00964753">
            <w:pPr>
              <w:rPr>
                <w:rFonts w:eastAsia="Times New Roman"/>
                <w:bCs/>
                <w:color w:val="000000"/>
              </w:rPr>
            </w:pPr>
            <w:r w:rsidRPr="006711BB">
              <w:rPr>
                <w:rFonts w:ascii="Times New Roman" w:eastAsia="Times New Roman" w:hAnsi="Times New Roman" w:cs="Times New Roman"/>
                <w:bCs/>
                <w:color w:val="000000"/>
                <w:lang w:val="en-GB"/>
              </w:rPr>
              <w:t>8.0% (35)</w:t>
            </w:r>
          </w:p>
        </w:tc>
      </w:tr>
      <w:tr w:rsidR="006711BB" w:rsidRPr="006711BB" w14:paraId="3D4A4C39" w14:textId="77777777" w:rsidTr="00885C57">
        <w:trPr>
          <w:trHeight w:val="255"/>
          <w:jc w:val="center"/>
        </w:trPr>
        <w:tc>
          <w:tcPr>
            <w:tcW w:w="0" w:type="auto"/>
            <w:noWrap/>
            <w:vAlign w:val="center"/>
          </w:tcPr>
          <w:p w14:paraId="6EE6DD9A" w14:textId="77777777" w:rsidR="006711BB" w:rsidRPr="006711BB" w:rsidRDefault="006711BB" w:rsidP="00964753">
            <w:pPr>
              <w:rPr>
                <w:rFonts w:eastAsia="Times New Roman"/>
                <w:color w:val="000000"/>
              </w:rPr>
            </w:pPr>
            <w:r w:rsidRPr="006711BB">
              <w:rPr>
                <w:rFonts w:ascii="Times New Roman" w:eastAsia="Times New Roman" w:hAnsi="Times New Roman" w:cs="Times New Roman"/>
                <w:color w:val="000000"/>
                <w:lang w:val="en-GB"/>
              </w:rPr>
              <w:t>MDMA</w:t>
            </w:r>
          </w:p>
        </w:tc>
        <w:tc>
          <w:tcPr>
            <w:tcW w:w="0" w:type="auto"/>
            <w:noWrap/>
            <w:vAlign w:val="center"/>
          </w:tcPr>
          <w:p w14:paraId="29D03FED" w14:textId="77777777" w:rsidR="006711BB" w:rsidRPr="006711BB" w:rsidRDefault="006711BB" w:rsidP="00964753">
            <w:pPr>
              <w:rPr>
                <w:rFonts w:eastAsia="Times New Roman"/>
                <w:color w:val="000000"/>
              </w:rPr>
            </w:pPr>
          </w:p>
        </w:tc>
        <w:tc>
          <w:tcPr>
            <w:tcW w:w="0" w:type="auto"/>
            <w:noWrap/>
            <w:vAlign w:val="center"/>
          </w:tcPr>
          <w:p w14:paraId="35313EFD" w14:textId="77777777" w:rsidR="006711BB" w:rsidRPr="006711BB" w:rsidRDefault="006711BB" w:rsidP="00964753">
            <w:pPr>
              <w:rPr>
                <w:rFonts w:eastAsia="Times New Roman"/>
                <w:bCs/>
                <w:color w:val="000000"/>
              </w:rPr>
            </w:pPr>
            <w:r w:rsidRPr="006711BB">
              <w:rPr>
                <w:rFonts w:ascii="Times New Roman" w:eastAsia="Times New Roman" w:hAnsi="Times New Roman" w:cs="Times New Roman"/>
                <w:bCs/>
                <w:color w:val="000000"/>
                <w:lang w:val="en-GB"/>
              </w:rPr>
              <w:t>7.8% (34)</w:t>
            </w:r>
          </w:p>
        </w:tc>
      </w:tr>
      <w:tr w:rsidR="006711BB" w:rsidRPr="006711BB" w14:paraId="006287A1" w14:textId="77777777" w:rsidTr="00885C57">
        <w:trPr>
          <w:trHeight w:val="255"/>
          <w:jc w:val="center"/>
        </w:trPr>
        <w:tc>
          <w:tcPr>
            <w:tcW w:w="0" w:type="auto"/>
            <w:noWrap/>
            <w:vAlign w:val="center"/>
          </w:tcPr>
          <w:p w14:paraId="665AF827" w14:textId="77777777" w:rsidR="006711BB" w:rsidRPr="006711BB" w:rsidRDefault="006711BB" w:rsidP="00964753">
            <w:pPr>
              <w:rPr>
                <w:rFonts w:eastAsia="Times New Roman"/>
                <w:color w:val="000000"/>
              </w:rPr>
            </w:pPr>
            <w:r w:rsidRPr="006711BB">
              <w:rPr>
                <w:rFonts w:ascii="Times New Roman" w:eastAsia="Times New Roman" w:hAnsi="Times New Roman" w:cs="Times New Roman"/>
                <w:color w:val="000000"/>
                <w:lang w:val="en-GB"/>
              </w:rPr>
              <w:t>Mephedrone</w:t>
            </w:r>
          </w:p>
        </w:tc>
        <w:tc>
          <w:tcPr>
            <w:tcW w:w="0" w:type="auto"/>
            <w:noWrap/>
            <w:vAlign w:val="center"/>
          </w:tcPr>
          <w:p w14:paraId="4AEEDB04" w14:textId="77777777" w:rsidR="006711BB" w:rsidRPr="006711BB" w:rsidRDefault="006711BB" w:rsidP="00964753">
            <w:pPr>
              <w:rPr>
                <w:rFonts w:eastAsia="Times New Roman"/>
                <w:color w:val="000000"/>
              </w:rPr>
            </w:pPr>
          </w:p>
        </w:tc>
        <w:tc>
          <w:tcPr>
            <w:tcW w:w="0" w:type="auto"/>
            <w:noWrap/>
            <w:vAlign w:val="center"/>
          </w:tcPr>
          <w:p w14:paraId="4855030B" w14:textId="77777777" w:rsidR="006711BB" w:rsidRPr="006711BB" w:rsidRDefault="006711BB" w:rsidP="00964753">
            <w:pPr>
              <w:rPr>
                <w:rFonts w:eastAsia="Times New Roman"/>
                <w:bCs/>
                <w:color w:val="000000"/>
              </w:rPr>
            </w:pPr>
            <w:r w:rsidRPr="006711BB">
              <w:rPr>
                <w:rFonts w:ascii="Times New Roman" w:eastAsia="Times New Roman" w:hAnsi="Times New Roman" w:cs="Times New Roman"/>
                <w:bCs/>
                <w:color w:val="000000"/>
                <w:lang w:val="en-GB"/>
              </w:rPr>
              <w:t>7.3% (32)</w:t>
            </w:r>
          </w:p>
        </w:tc>
      </w:tr>
      <w:tr w:rsidR="006711BB" w:rsidRPr="006711BB" w14:paraId="31DEACAC" w14:textId="77777777" w:rsidTr="00885C57">
        <w:trPr>
          <w:trHeight w:val="255"/>
          <w:jc w:val="center"/>
        </w:trPr>
        <w:tc>
          <w:tcPr>
            <w:tcW w:w="0" w:type="auto"/>
            <w:noWrap/>
            <w:vAlign w:val="center"/>
          </w:tcPr>
          <w:p w14:paraId="5EF9DBAA" w14:textId="77777777" w:rsidR="006711BB" w:rsidRPr="006711BB" w:rsidRDefault="006711BB" w:rsidP="00964753">
            <w:pPr>
              <w:rPr>
                <w:rFonts w:eastAsia="Times New Roman"/>
                <w:color w:val="000000"/>
              </w:rPr>
            </w:pPr>
            <w:r w:rsidRPr="006711BB">
              <w:rPr>
                <w:rFonts w:ascii="Times New Roman" w:eastAsia="Times New Roman" w:hAnsi="Times New Roman" w:cs="Times New Roman"/>
                <w:color w:val="000000"/>
                <w:lang w:val="en-GB"/>
              </w:rPr>
              <w:t>Cocaine</w:t>
            </w:r>
          </w:p>
        </w:tc>
        <w:tc>
          <w:tcPr>
            <w:tcW w:w="0" w:type="auto"/>
            <w:noWrap/>
            <w:vAlign w:val="center"/>
          </w:tcPr>
          <w:p w14:paraId="326D0118" w14:textId="77777777" w:rsidR="006711BB" w:rsidRPr="006711BB" w:rsidRDefault="006711BB" w:rsidP="00964753">
            <w:pPr>
              <w:rPr>
                <w:rFonts w:eastAsia="Times New Roman"/>
                <w:color w:val="000000"/>
              </w:rPr>
            </w:pPr>
          </w:p>
        </w:tc>
        <w:tc>
          <w:tcPr>
            <w:tcW w:w="0" w:type="auto"/>
            <w:noWrap/>
            <w:vAlign w:val="center"/>
          </w:tcPr>
          <w:p w14:paraId="1ACFD302" w14:textId="77777777" w:rsidR="006711BB" w:rsidRPr="006711BB" w:rsidRDefault="006711BB" w:rsidP="00964753">
            <w:pPr>
              <w:rPr>
                <w:rFonts w:eastAsia="Times New Roman"/>
                <w:bCs/>
                <w:color w:val="000000"/>
              </w:rPr>
            </w:pPr>
            <w:r w:rsidRPr="006711BB">
              <w:rPr>
                <w:rFonts w:ascii="Times New Roman" w:eastAsia="Times New Roman" w:hAnsi="Times New Roman" w:cs="Times New Roman"/>
                <w:bCs/>
                <w:color w:val="000000"/>
                <w:lang w:val="en-GB"/>
              </w:rPr>
              <w:t>7.1% (31)</w:t>
            </w:r>
          </w:p>
        </w:tc>
      </w:tr>
      <w:tr w:rsidR="00BF3E6A" w:rsidRPr="006711BB" w14:paraId="30BE2617" w14:textId="77777777" w:rsidTr="00885C57">
        <w:trPr>
          <w:trHeight w:val="255"/>
          <w:jc w:val="center"/>
        </w:trPr>
        <w:tc>
          <w:tcPr>
            <w:tcW w:w="0" w:type="auto"/>
            <w:noWrap/>
            <w:vAlign w:val="center"/>
          </w:tcPr>
          <w:p w14:paraId="46931E1F" w14:textId="77777777" w:rsidR="00BF3E6A" w:rsidRPr="006711BB" w:rsidRDefault="00BF3E6A" w:rsidP="00964753">
            <w:pPr>
              <w:rPr>
                <w:rFonts w:eastAsia="Times New Roman"/>
                <w:color w:val="000000"/>
              </w:rPr>
            </w:pPr>
            <w:r w:rsidRPr="006711BB">
              <w:rPr>
                <w:rFonts w:ascii="Times New Roman" w:eastAsia="Times New Roman" w:hAnsi="Times New Roman" w:cs="Times New Roman"/>
                <w:color w:val="000000"/>
                <w:lang w:val="en-GB"/>
              </w:rPr>
              <w:t>Ketamine</w:t>
            </w:r>
          </w:p>
        </w:tc>
        <w:tc>
          <w:tcPr>
            <w:tcW w:w="0" w:type="auto"/>
            <w:noWrap/>
            <w:vAlign w:val="center"/>
          </w:tcPr>
          <w:p w14:paraId="14F76AB9" w14:textId="77777777" w:rsidR="00BF3E6A" w:rsidRPr="006711BB" w:rsidRDefault="00BF3E6A" w:rsidP="00964753">
            <w:pPr>
              <w:rPr>
                <w:rFonts w:eastAsia="Times New Roman"/>
                <w:color w:val="000000"/>
              </w:rPr>
            </w:pPr>
          </w:p>
        </w:tc>
        <w:tc>
          <w:tcPr>
            <w:tcW w:w="0" w:type="auto"/>
            <w:noWrap/>
            <w:vAlign w:val="center"/>
          </w:tcPr>
          <w:p w14:paraId="72C5FE6A" w14:textId="77777777" w:rsidR="00BF3E6A" w:rsidRPr="006711BB" w:rsidRDefault="00BF3E6A" w:rsidP="00964753">
            <w:pPr>
              <w:rPr>
                <w:rFonts w:eastAsia="Times New Roman"/>
                <w:bCs/>
                <w:color w:val="000000"/>
              </w:rPr>
            </w:pPr>
            <w:r w:rsidRPr="006711BB">
              <w:rPr>
                <w:rFonts w:ascii="Times New Roman" w:eastAsia="Times New Roman" w:hAnsi="Times New Roman" w:cs="Times New Roman"/>
                <w:bCs/>
                <w:color w:val="000000"/>
                <w:lang w:val="en-GB"/>
              </w:rPr>
              <w:t>6.0% (26)</w:t>
            </w:r>
          </w:p>
        </w:tc>
      </w:tr>
      <w:tr w:rsidR="00BF3E6A" w:rsidRPr="006711BB" w14:paraId="07B7535F" w14:textId="77777777" w:rsidTr="00885C57">
        <w:trPr>
          <w:trHeight w:val="255"/>
          <w:jc w:val="center"/>
        </w:trPr>
        <w:tc>
          <w:tcPr>
            <w:tcW w:w="0" w:type="auto"/>
            <w:noWrap/>
            <w:vAlign w:val="center"/>
          </w:tcPr>
          <w:p w14:paraId="09C80452" w14:textId="77777777" w:rsidR="00BF3E6A" w:rsidRPr="006711BB" w:rsidRDefault="00BF3E6A" w:rsidP="00964753">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Cannabis</w:t>
            </w:r>
          </w:p>
        </w:tc>
        <w:tc>
          <w:tcPr>
            <w:tcW w:w="0" w:type="auto"/>
            <w:noWrap/>
            <w:vAlign w:val="center"/>
          </w:tcPr>
          <w:p w14:paraId="595A6799" w14:textId="77777777" w:rsidR="00BF3E6A" w:rsidRPr="006711BB" w:rsidRDefault="00BF3E6A" w:rsidP="00964753">
            <w:pPr>
              <w:rPr>
                <w:rFonts w:ascii="Times New Roman" w:eastAsia="Times New Roman" w:hAnsi="Times New Roman" w:cs="Times New Roman"/>
                <w:color w:val="000000"/>
                <w:lang w:val="en-GB"/>
              </w:rPr>
            </w:pPr>
          </w:p>
        </w:tc>
        <w:tc>
          <w:tcPr>
            <w:tcW w:w="0" w:type="auto"/>
            <w:noWrap/>
            <w:vAlign w:val="center"/>
          </w:tcPr>
          <w:p w14:paraId="7C45400E" w14:textId="77777777" w:rsidR="00BF3E6A" w:rsidRPr="006711BB" w:rsidRDefault="00BF3E6A" w:rsidP="00964753">
            <w:pPr>
              <w:rPr>
                <w:rFonts w:ascii="Times New Roman" w:eastAsia="Times New Roman" w:hAnsi="Times New Roman" w:cs="Times New Roman"/>
                <w:bCs/>
                <w:color w:val="000000"/>
                <w:lang w:val="en-GB"/>
              </w:rPr>
            </w:pPr>
            <w:r w:rsidRPr="006711BB">
              <w:rPr>
                <w:rFonts w:ascii="Times New Roman" w:eastAsia="Times New Roman" w:hAnsi="Times New Roman" w:cs="Times New Roman"/>
                <w:bCs/>
                <w:color w:val="000000"/>
                <w:lang w:val="en-GB"/>
              </w:rPr>
              <w:t>5.3% (23)</w:t>
            </w:r>
          </w:p>
        </w:tc>
      </w:tr>
      <w:tr w:rsidR="00BF3E6A" w:rsidRPr="006711BB" w14:paraId="648E83F6" w14:textId="77777777" w:rsidTr="00885C57">
        <w:trPr>
          <w:trHeight w:val="255"/>
          <w:jc w:val="center"/>
        </w:trPr>
        <w:tc>
          <w:tcPr>
            <w:tcW w:w="0" w:type="auto"/>
            <w:noWrap/>
            <w:vAlign w:val="center"/>
          </w:tcPr>
          <w:p w14:paraId="1F0627C6" w14:textId="77777777" w:rsidR="00BF3E6A" w:rsidRPr="00B41DA3" w:rsidRDefault="00BF3E6A" w:rsidP="00964753">
            <w:pPr>
              <w:rPr>
                <w:rFonts w:ascii="Times New Roman" w:eastAsia="Times New Roman" w:hAnsi="Times New Roman" w:cs="Times New Roman"/>
                <w:color w:val="000000"/>
                <w:lang w:val="en-GB"/>
              </w:rPr>
            </w:pPr>
            <w:r w:rsidRPr="00B41DA3">
              <w:rPr>
                <w:rFonts w:ascii="Times New Roman" w:eastAsia="Times New Roman" w:hAnsi="Times New Roman" w:cs="Times New Roman"/>
                <w:color w:val="000000"/>
                <w:lang w:val="en-GB"/>
              </w:rPr>
              <w:t>Amphetamine (speed)</w:t>
            </w:r>
          </w:p>
        </w:tc>
        <w:tc>
          <w:tcPr>
            <w:tcW w:w="0" w:type="auto"/>
            <w:noWrap/>
            <w:vAlign w:val="center"/>
          </w:tcPr>
          <w:p w14:paraId="4A309C9D" w14:textId="77777777" w:rsidR="00BF3E6A" w:rsidRPr="00B41DA3" w:rsidRDefault="00BF3E6A" w:rsidP="00964753">
            <w:pPr>
              <w:rPr>
                <w:rFonts w:ascii="Times New Roman" w:eastAsia="Times New Roman" w:hAnsi="Times New Roman" w:cs="Times New Roman"/>
                <w:color w:val="000000"/>
                <w:lang w:val="en-GB"/>
              </w:rPr>
            </w:pPr>
          </w:p>
        </w:tc>
        <w:tc>
          <w:tcPr>
            <w:tcW w:w="0" w:type="auto"/>
            <w:noWrap/>
            <w:vAlign w:val="center"/>
          </w:tcPr>
          <w:p w14:paraId="45F50A07" w14:textId="77777777" w:rsidR="00BF3E6A" w:rsidRPr="00B41DA3" w:rsidRDefault="00BF3E6A" w:rsidP="00964753">
            <w:pPr>
              <w:rPr>
                <w:rFonts w:ascii="Times New Roman" w:eastAsia="Times New Roman" w:hAnsi="Times New Roman" w:cs="Times New Roman"/>
                <w:bCs/>
                <w:color w:val="000000"/>
                <w:lang w:val="en-GB"/>
              </w:rPr>
            </w:pPr>
            <w:r w:rsidRPr="00B41DA3">
              <w:rPr>
                <w:rFonts w:ascii="Times New Roman" w:eastAsia="Times New Roman" w:hAnsi="Times New Roman" w:cs="Times New Roman"/>
                <w:iCs/>
                <w:color w:val="000000"/>
                <w:lang w:val="en-GB"/>
              </w:rPr>
              <w:t>1.1% (5)</w:t>
            </w:r>
          </w:p>
        </w:tc>
      </w:tr>
      <w:tr w:rsidR="00BF3E6A" w:rsidRPr="006711BB" w14:paraId="77BF71EF" w14:textId="77777777" w:rsidTr="00885C57">
        <w:trPr>
          <w:trHeight w:val="255"/>
          <w:jc w:val="center"/>
        </w:trPr>
        <w:tc>
          <w:tcPr>
            <w:tcW w:w="0" w:type="auto"/>
            <w:noWrap/>
            <w:vAlign w:val="center"/>
          </w:tcPr>
          <w:p w14:paraId="4A6950E7" w14:textId="77777777" w:rsidR="00BF3E6A" w:rsidRPr="00B41DA3" w:rsidRDefault="00BF3E6A" w:rsidP="00964753">
            <w:pPr>
              <w:rPr>
                <w:rFonts w:ascii="Times New Roman" w:eastAsia="Times New Roman" w:hAnsi="Times New Roman" w:cs="Times New Roman"/>
                <w:color w:val="000000"/>
                <w:lang w:val="en-GB"/>
              </w:rPr>
            </w:pPr>
            <w:r w:rsidRPr="00B41DA3">
              <w:rPr>
                <w:rFonts w:ascii="Times New Roman" w:eastAsia="Times New Roman" w:hAnsi="Times New Roman" w:cs="Times New Roman"/>
                <w:color w:val="000000"/>
                <w:lang w:val="en-GB"/>
              </w:rPr>
              <w:t>Heroin</w:t>
            </w:r>
          </w:p>
        </w:tc>
        <w:tc>
          <w:tcPr>
            <w:tcW w:w="0" w:type="auto"/>
            <w:noWrap/>
            <w:vAlign w:val="center"/>
          </w:tcPr>
          <w:p w14:paraId="45519445" w14:textId="77777777" w:rsidR="00BF3E6A" w:rsidRPr="00B41DA3" w:rsidRDefault="00BF3E6A" w:rsidP="00964753">
            <w:pPr>
              <w:rPr>
                <w:rFonts w:ascii="Times New Roman" w:eastAsia="Times New Roman" w:hAnsi="Times New Roman" w:cs="Times New Roman"/>
                <w:color w:val="000000"/>
                <w:lang w:val="en-GB"/>
              </w:rPr>
            </w:pPr>
          </w:p>
        </w:tc>
        <w:tc>
          <w:tcPr>
            <w:tcW w:w="0" w:type="auto"/>
            <w:noWrap/>
            <w:vAlign w:val="center"/>
          </w:tcPr>
          <w:p w14:paraId="65B1F98D" w14:textId="77777777" w:rsidR="00BF3E6A" w:rsidRPr="00B41DA3" w:rsidRDefault="00BF3E6A" w:rsidP="00964753">
            <w:pPr>
              <w:rPr>
                <w:rFonts w:ascii="Times New Roman" w:eastAsia="Times New Roman" w:hAnsi="Times New Roman" w:cs="Times New Roman"/>
                <w:bCs/>
                <w:color w:val="000000"/>
                <w:lang w:val="en-GB"/>
              </w:rPr>
            </w:pPr>
            <w:r w:rsidRPr="00B41DA3">
              <w:rPr>
                <w:rFonts w:ascii="Times New Roman" w:eastAsia="Times New Roman" w:hAnsi="Times New Roman" w:cs="Times New Roman"/>
                <w:iCs/>
                <w:color w:val="000000"/>
                <w:lang w:val="en-GB"/>
              </w:rPr>
              <w:t>0.5% (2)</w:t>
            </w:r>
          </w:p>
        </w:tc>
      </w:tr>
      <w:tr w:rsidR="00BF3E6A" w:rsidRPr="006711BB" w14:paraId="07B0ADE1" w14:textId="77777777" w:rsidTr="00885C57">
        <w:trPr>
          <w:trHeight w:val="255"/>
          <w:jc w:val="center"/>
        </w:trPr>
        <w:tc>
          <w:tcPr>
            <w:tcW w:w="0" w:type="auto"/>
            <w:noWrap/>
            <w:vAlign w:val="center"/>
          </w:tcPr>
          <w:p w14:paraId="0682C441" w14:textId="77777777" w:rsidR="00BF3E6A" w:rsidRPr="00B41DA3" w:rsidRDefault="00BF3E6A" w:rsidP="00964753">
            <w:pPr>
              <w:rPr>
                <w:rFonts w:ascii="Times New Roman" w:eastAsia="Times New Roman" w:hAnsi="Times New Roman" w:cs="Times New Roman"/>
                <w:color w:val="000000"/>
                <w:lang w:val="en-GB"/>
              </w:rPr>
            </w:pPr>
            <w:r w:rsidRPr="00B41DA3">
              <w:rPr>
                <w:rFonts w:ascii="Times New Roman" w:eastAsia="Times New Roman" w:hAnsi="Times New Roman" w:cs="Times New Roman"/>
                <w:color w:val="000000"/>
                <w:lang w:val="en-GB"/>
              </w:rPr>
              <w:t>LSD</w:t>
            </w:r>
          </w:p>
        </w:tc>
        <w:tc>
          <w:tcPr>
            <w:tcW w:w="0" w:type="auto"/>
            <w:noWrap/>
            <w:vAlign w:val="center"/>
          </w:tcPr>
          <w:p w14:paraId="61AFB0C7" w14:textId="77777777" w:rsidR="00BF3E6A" w:rsidRPr="00B41DA3" w:rsidRDefault="00BF3E6A" w:rsidP="00964753">
            <w:pPr>
              <w:rPr>
                <w:rFonts w:ascii="Times New Roman" w:eastAsia="Times New Roman" w:hAnsi="Times New Roman" w:cs="Times New Roman"/>
                <w:color w:val="000000"/>
                <w:lang w:val="en-GB"/>
              </w:rPr>
            </w:pPr>
          </w:p>
        </w:tc>
        <w:tc>
          <w:tcPr>
            <w:tcW w:w="0" w:type="auto"/>
            <w:noWrap/>
            <w:vAlign w:val="center"/>
          </w:tcPr>
          <w:p w14:paraId="2C1DA0DB" w14:textId="77777777" w:rsidR="00BF3E6A" w:rsidRPr="00B41DA3" w:rsidRDefault="00BF3E6A" w:rsidP="00964753">
            <w:pPr>
              <w:rPr>
                <w:rFonts w:ascii="Times New Roman" w:eastAsia="Times New Roman" w:hAnsi="Times New Roman" w:cs="Times New Roman"/>
                <w:bCs/>
                <w:color w:val="000000"/>
                <w:lang w:val="en-GB"/>
              </w:rPr>
            </w:pPr>
            <w:r w:rsidRPr="00B41DA3">
              <w:rPr>
                <w:rFonts w:ascii="Times New Roman" w:eastAsia="Times New Roman" w:hAnsi="Times New Roman" w:cs="Times New Roman"/>
                <w:iCs/>
                <w:color w:val="000000"/>
                <w:lang w:val="en-GB"/>
              </w:rPr>
              <w:t>0.7% (3)</w:t>
            </w:r>
          </w:p>
        </w:tc>
      </w:tr>
      <w:tr w:rsidR="00BF3E6A" w:rsidRPr="006711BB" w14:paraId="05B4EFBE" w14:textId="77777777" w:rsidTr="00885C57">
        <w:trPr>
          <w:trHeight w:val="255"/>
          <w:jc w:val="center"/>
        </w:trPr>
        <w:tc>
          <w:tcPr>
            <w:tcW w:w="0" w:type="auto"/>
            <w:noWrap/>
            <w:vAlign w:val="center"/>
          </w:tcPr>
          <w:p w14:paraId="200B4CAF" w14:textId="77777777" w:rsidR="00BF3E6A" w:rsidRPr="00B41DA3" w:rsidRDefault="00BF3E6A" w:rsidP="00964753">
            <w:pPr>
              <w:rPr>
                <w:rFonts w:ascii="Times New Roman" w:eastAsia="Times New Roman" w:hAnsi="Times New Roman" w:cs="Times New Roman"/>
                <w:color w:val="000000"/>
                <w:lang w:val="en-GB"/>
              </w:rPr>
            </w:pPr>
            <w:r w:rsidRPr="00B41DA3">
              <w:rPr>
                <w:rFonts w:ascii="Times New Roman" w:eastAsia="Times New Roman" w:hAnsi="Times New Roman" w:cs="Times New Roman"/>
                <w:color w:val="000000"/>
                <w:lang w:val="en-GB"/>
              </w:rPr>
              <w:t>Crack</w:t>
            </w:r>
          </w:p>
        </w:tc>
        <w:tc>
          <w:tcPr>
            <w:tcW w:w="0" w:type="auto"/>
            <w:noWrap/>
            <w:vAlign w:val="center"/>
          </w:tcPr>
          <w:p w14:paraId="6C899509" w14:textId="77777777" w:rsidR="00BF3E6A" w:rsidRPr="00B41DA3" w:rsidRDefault="00BF3E6A" w:rsidP="00964753">
            <w:pPr>
              <w:rPr>
                <w:rFonts w:ascii="Times New Roman" w:eastAsia="Times New Roman" w:hAnsi="Times New Roman" w:cs="Times New Roman"/>
                <w:color w:val="000000"/>
                <w:lang w:val="en-GB"/>
              </w:rPr>
            </w:pPr>
          </w:p>
        </w:tc>
        <w:tc>
          <w:tcPr>
            <w:tcW w:w="0" w:type="auto"/>
            <w:noWrap/>
            <w:vAlign w:val="center"/>
          </w:tcPr>
          <w:p w14:paraId="752774B3" w14:textId="77777777" w:rsidR="00BF3E6A" w:rsidRPr="00B41DA3" w:rsidRDefault="00BF3E6A" w:rsidP="00964753">
            <w:pPr>
              <w:rPr>
                <w:rFonts w:ascii="Times New Roman" w:eastAsia="Times New Roman" w:hAnsi="Times New Roman" w:cs="Times New Roman"/>
                <w:iCs/>
                <w:color w:val="000000"/>
                <w:lang w:val="en-GB"/>
              </w:rPr>
            </w:pPr>
            <w:r w:rsidRPr="00B41DA3">
              <w:rPr>
                <w:rFonts w:ascii="Times New Roman" w:eastAsia="Times New Roman" w:hAnsi="Times New Roman" w:cs="Times New Roman"/>
                <w:iCs/>
                <w:color w:val="000000"/>
                <w:lang w:val="en-GB"/>
              </w:rPr>
              <w:t>0% (0)</w:t>
            </w:r>
          </w:p>
        </w:tc>
      </w:tr>
      <w:tr w:rsidR="00BF3E6A" w:rsidRPr="006711BB" w14:paraId="11E3123F" w14:textId="77777777" w:rsidTr="00885C57">
        <w:trPr>
          <w:trHeight w:val="255"/>
          <w:jc w:val="center"/>
        </w:trPr>
        <w:tc>
          <w:tcPr>
            <w:tcW w:w="0" w:type="auto"/>
            <w:noWrap/>
            <w:vAlign w:val="center"/>
            <w:hideMark/>
          </w:tcPr>
          <w:p w14:paraId="095DF11E"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Any drug use by partner</w:t>
            </w:r>
          </w:p>
        </w:tc>
        <w:tc>
          <w:tcPr>
            <w:tcW w:w="0" w:type="auto"/>
            <w:noWrap/>
            <w:vAlign w:val="center"/>
            <w:hideMark/>
          </w:tcPr>
          <w:p w14:paraId="73F7BC00"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436</w:t>
            </w:r>
          </w:p>
        </w:tc>
        <w:tc>
          <w:tcPr>
            <w:tcW w:w="0" w:type="auto"/>
            <w:noWrap/>
            <w:vAlign w:val="center"/>
            <w:hideMark/>
          </w:tcPr>
          <w:p w14:paraId="01F43D5F" w14:textId="77777777" w:rsidR="00BF3E6A" w:rsidRPr="006711BB" w:rsidRDefault="00BF3E6A" w:rsidP="00D45512">
            <w:pPr>
              <w:rPr>
                <w:rFonts w:ascii="Times New Roman" w:eastAsia="Times New Roman" w:hAnsi="Times New Roman" w:cs="Times New Roman"/>
                <w:b/>
                <w:bCs/>
                <w:color w:val="000000"/>
                <w:lang w:val="en-GB"/>
              </w:rPr>
            </w:pPr>
          </w:p>
        </w:tc>
      </w:tr>
      <w:tr w:rsidR="00BF3E6A" w:rsidRPr="006711BB" w14:paraId="59CEC579" w14:textId="77777777" w:rsidTr="00885C57">
        <w:trPr>
          <w:trHeight w:val="255"/>
          <w:jc w:val="center"/>
        </w:trPr>
        <w:tc>
          <w:tcPr>
            <w:tcW w:w="0" w:type="auto"/>
            <w:noWrap/>
            <w:vAlign w:val="center"/>
            <w:hideMark/>
          </w:tcPr>
          <w:p w14:paraId="4F3FBF39"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No drug use by partner</w:t>
            </w:r>
          </w:p>
        </w:tc>
        <w:tc>
          <w:tcPr>
            <w:tcW w:w="0" w:type="auto"/>
            <w:noWrap/>
            <w:vAlign w:val="center"/>
            <w:hideMark/>
          </w:tcPr>
          <w:p w14:paraId="5B97D15C" w14:textId="77777777" w:rsidR="00BF3E6A" w:rsidRPr="006711BB" w:rsidRDefault="00BF3E6A" w:rsidP="00D45512">
            <w:pPr>
              <w:rPr>
                <w:rFonts w:ascii="Times New Roman" w:eastAsia="Times New Roman" w:hAnsi="Times New Roman" w:cs="Times New Roman"/>
                <w:color w:val="000000"/>
                <w:lang w:val="en-GB"/>
              </w:rPr>
            </w:pPr>
          </w:p>
        </w:tc>
        <w:tc>
          <w:tcPr>
            <w:tcW w:w="0" w:type="auto"/>
            <w:noWrap/>
            <w:vAlign w:val="center"/>
            <w:hideMark/>
          </w:tcPr>
          <w:p w14:paraId="6A47A696" w14:textId="77777777" w:rsidR="00BF3E6A" w:rsidRPr="006711BB" w:rsidRDefault="00BF3E6A" w:rsidP="00D45512">
            <w:pPr>
              <w:rPr>
                <w:rFonts w:ascii="Times New Roman" w:eastAsia="Times New Roman" w:hAnsi="Times New Roman" w:cs="Times New Roman"/>
                <w:iCs/>
                <w:color w:val="000000"/>
                <w:lang w:val="en-GB"/>
              </w:rPr>
            </w:pPr>
            <w:r w:rsidRPr="006711BB">
              <w:rPr>
                <w:rFonts w:ascii="Times New Roman" w:eastAsia="Times New Roman" w:hAnsi="Times New Roman" w:cs="Times New Roman"/>
                <w:color w:val="000000"/>
                <w:lang w:val="en-GB"/>
              </w:rPr>
              <w:t>30.7% (134)</w:t>
            </w:r>
          </w:p>
        </w:tc>
      </w:tr>
      <w:tr w:rsidR="00BF3E6A" w:rsidRPr="006711BB" w14:paraId="272758E5" w14:textId="77777777" w:rsidTr="00885C57">
        <w:trPr>
          <w:trHeight w:val="255"/>
          <w:jc w:val="center"/>
        </w:trPr>
        <w:tc>
          <w:tcPr>
            <w:tcW w:w="0" w:type="auto"/>
            <w:noWrap/>
            <w:vAlign w:val="center"/>
            <w:hideMark/>
          </w:tcPr>
          <w:p w14:paraId="6C7A8BE5"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Don't know</w:t>
            </w:r>
          </w:p>
        </w:tc>
        <w:tc>
          <w:tcPr>
            <w:tcW w:w="0" w:type="auto"/>
            <w:noWrap/>
            <w:vAlign w:val="center"/>
            <w:hideMark/>
          </w:tcPr>
          <w:p w14:paraId="3455C156" w14:textId="77777777" w:rsidR="00BF3E6A" w:rsidRPr="006711BB" w:rsidRDefault="00BF3E6A" w:rsidP="00D45512">
            <w:pPr>
              <w:rPr>
                <w:rFonts w:ascii="Times New Roman" w:eastAsia="Times New Roman" w:hAnsi="Times New Roman" w:cs="Times New Roman"/>
                <w:color w:val="000000"/>
                <w:lang w:val="en-GB"/>
              </w:rPr>
            </w:pPr>
          </w:p>
        </w:tc>
        <w:tc>
          <w:tcPr>
            <w:tcW w:w="0" w:type="auto"/>
            <w:noWrap/>
            <w:vAlign w:val="center"/>
            <w:hideMark/>
          </w:tcPr>
          <w:p w14:paraId="58E6BE82" w14:textId="77777777" w:rsidR="00BF3E6A" w:rsidRPr="006711BB" w:rsidRDefault="00BF3E6A" w:rsidP="00D45512">
            <w:pPr>
              <w:rPr>
                <w:rFonts w:ascii="Times New Roman" w:eastAsia="Times New Roman" w:hAnsi="Times New Roman" w:cs="Times New Roman"/>
                <w:iCs/>
                <w:color w:val="000000"/>
                <w:lang w:val="en-GB"/>
              </w:rPr>
            </w:pPr>
            <w:r w:rsidRPr="006711BB">
              <w:rPr>
                <w:rFonts w:ascii="Times New Roman" w:eastAsia="Times New Roman" w:hAnsi="Times New Roman" w:cs="Times New Roman"/>
                <w:color w:val="000000"/>
                <w:lang w:val="en-GB"/>
              </w:rPr>
              <w:t>25.9% (113)</w:t>
            </w:r>
          </w:p>
        </w:tc>
      </w:tr>
      <w:tr w:rsidR="00BF3E6A" w:rsidRPr="006711BB" w14:paraId="2F8118E1" w14:textId="77777777" w:rsidTr="00885C57">
        <w:trPr>
          <w:trHeight w:val="255"/>
          <w:jc w:val="center"/>
        </w:trPr>
        <w:tc>
          <w:tcPr>
            <w:tcW w:w="0" w:type="auto"/>
            <w:noWrap/>
            <w:vAlign w:val="center"/>
            <w:hideMark/>
          </w:tcPr>
          <w:p w14:paraId="2B8A109A" w14:textId="77777777" w:rsidR="00BF3E6A" w:rsidRPr="006711BB" w:rsidRDefault="00BF3E6A"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color w:val="000000"/>
                <w:lang w:val="en-GB"/>
              </w:rPr>
              <w:t>Yes, but unsure what</w:t>
            </w:r>
          </w:p>
        </w:tc>
        <w:tc>
          <w:tcPr>
            <w:tcW w:w="0" w:type="auto"/>
            <w:noWrap/>
            <w:vAlign w:val="center"/>
            <w:hideMark/>
          </w:tcPr>
          <w:p w14:paraId="6AAB9B64" w14:textId="77777777" w:rsidR="00BF3E6A" w:rsidRPr="006711BB" w:rsidRDefault="00BF3E6A" w:rsidP="00D45512">
            <w:pPr>
              <w:rPr>
                <w:rFonts w:ascii="Times New Roman" w:eastAsia="Times New Roman" w:hAnsi="Times New Roman" w:cs="Times New Roman"/>
                <w:color w:val="000000"/>
                <w:lang w:val="en-GB"/>
              </w:rPr>
            </w:pPr>
          </w:p>
        </w:tc>
        <w:tc>
          <w:tcPr>
            <w:tcW w:w="0" w:type="auto"/>
            <w:noWrap/>
            <w:vAlign w:val="center"/>
            <w:hideMark/>
          </w:tcPr>
          <w:p w14:paraId="5475350D" w14:textId="77777777" w:rsidR="00BF3E6A" w:rsidRPr="006711BB" w:rsidRDefault="00BF3E6A" w:rsidP="00D45512">
            <w:pPr>
              <w:rPr>
                <w:rFonts w:ascii="Times New Roman" w:eastAsia="Times New Roman" w:hAnsi="Times New Roman" w:cs="Times New Roman"/>
                <w:b/>
                <w:bCs/>
                <w:color w:val="000000"/>
                <w:lang w:val="en-GB"/>
              </w:rPr>
            </w:pPr>
            <w:r w:rsidRPr="006711BB">
              <w:rPr>
                <w:rFonts w:ascii="Times New Roman" w:eastAsia="Times New Roman" w:hAnsi="Times New Roman" w:cs="Times New Roman"/>
                <w:color w:val="000000"/>
                <w:lang w:val="en-GB"/>
              </w:rPr>
              <w:t>14.2% (62)</w:t>
            </w:r>
          </w:p>
        </w:tc>
      </w:tr>
      <w:tr w:rsidR="00BF3E6A" w:rsidRPr="006711BB" w14:paraId="380459FB" w14:textId="77777777" w:rsidTr="00885C57">
        <w:trPr>
          <w:trHeight w:val="255"/>
          <w:jc w:val="center"/>
        </w:trPr>
        <w:tc>
          <w:tcPr>
            <w:tcW w:w="0" w:type="auto"/>
            <w:noWrap/>
            <w:vAlign w:val="center"/>
            <w:hideMark/>
          </w:tcPr>
          <w:p w14:paraId="06A42B76"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Yes, specifically</w:t>
            </w:r>
          </w:p>
        </w:tc>
        <w:tc>
          <w:tcPr>
            <w:tcW w:w="0" w:type="auto"/>
            <w:noWrap/>
            <w:vAlign w:val="center"/>
            <w:hideMark/>
          </w:tcPr>
          <w:p w14:paraId="6323F86D" w14:textId="77777777" w:rsidR="00BF3E6A" w:rsidRPr="006711BB" w:rsidRDefault="00BF3E6A" w:rsidP="00D45512">
            <w:pPr>
              <w:rPr>
                <w:rFonts w:ascii="Times New Roman" w:eastAsia="Times New Roman" w:hAnsi="Times New Roman" w:cs="Times New Roman"/>
                <w:color w:val="000000"/>
                <w:lang w:val="en-GB"/>
              </w:rPr>
            </w:pPr>
          </w:p>
        </w:tc>
        <w:tc>
          <w:tcPr>
            <w:tcW w:w="0" w:type="auto"/>
            <w:noWrap/>
            <w:vAlign w:val="center"/>
            <w:hideMark/>
          </w:tcPr>
          <w:p w14:paraId="75FE4E07"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29.1% (127)</w:t>
            </w:r>
          </w:p>
        </w:tc>
      </w:tr>
      <w:tr w:rsidR="00BF3E6A" w:rsidRPr="006711BB" w14:paraId="3E19F7DD" w14:textId="77777777" w:rsidTr="00885C57">
        <w:trPr>
          <w:trHeight w:val="255"/>
          <w:jc w:val="center"/>
        </w:trPr>
        <w:tc>
          <w:tcPr>
            <w:tcW w:w="0" w:type="auto"/>
            <w:noWrap/>
            <w:vAlign w:val="center"/>
            <w:hideMark/>
          </w:tcPr>
          <w:p w14:paraId="19FCBA58"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Number of participants</w:t>
            </w:r>
          </w:p>
        </w:tc>
        <w:tc>
          <w:tcPr>
            <w:tcW w:w="0" w:type="auto"/>
            <w:noWrap/>
            <w:vAlign w:val="center"/>
            <w:hideMark/>
          </w:tcPr>
          <w:p w14:paraId="0F857260"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437</w:t>
            </w:r>
          </w:p>
        </w:tc>
        <w:tc>
          <w:tcPr>
            <w:tcW w:w="0" w:type="auto"/>
            <w:noWrap/>
            <w:vAlign w:val="center"/>
            <w:hideMark/>
          </w:tcPr>
          <w:p w14:paraId="0D818D64"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3.7 (4.3, 1-50)</w:t>
            </w:r>
          </w:p>
        </w:tc>
      </w:tr>
      <w:tr w:rsidR="00BF3E6A" w:rsidRPr="006711BB" w14:paraId="452F5A0C" w14:textId="77777777" w:rsidTr="00885C57">
        <w:trPr>
          <w:trHeight w:val="255"/>
          <w:jc w:val="center"/>
        </w:trPr>
        <w:tc>
          <w:tcPr>
            <w:tcW w:w="0" w:type="auto"/>
            <w:noWrap/>
            <w:vAlign w:val="center"/>
            <w:hideMark/>
          </w:tcPr>
          <w:p w14:paraId="0546BE84" w14:textId="77777777" w:rsidR="00BF3E6A" w:rsidRPr="006711BB" w:rsidRDefault="00885C57" w:rsidP="00D45512">
            <w:pPr>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HIV s</w:t>
            </w:r>
            <w:r w:rsidR="00BF3E6A" w:rsidRPr="006711BB">
              <w:rPr>
                <w:rFonts w:ascii="Times New Roman" w:eastAsia="Times New Roman" w:hAnsi="Times New Roman" w:cs="Times New Roman"/>
                <w:b/>
                <w:bCs/>
                <w:color w:val="000000"/>
                <w:lang w:val="en-GB"/>
              </w:rPr>
              <w:t>erodiscordance</w:t>
            </w:r>
          </w:p>
        </w:tc>
        <w:tc>
          <w:tcPr>
            <w:tcW w:w="0" w:type="auto"/>
            <w:noWrap/>
            <w:vAlign w:val="center"/>
            <w:hideMark/>
          </w:tcPr>
          <w:p w14:paraId="060790A5"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434</w:t>
            </w:r>
          </w:p>
        </w:tc>
        <w:tc>
          <w:tcPr>
            <w:tcW w:w="0" w:type="auto"/>
            <w:noWrap/>
            <w:vAlign w:val="center"/>
            <w:hideMark/>
          </w:tcPr>
          <w:p w14:paraId="6B44B061" w14:textId="77777777" w:rsidR="00BF3E6A" w:rsidRPr="006711BB" w:rsidRDefault="00BF3E6A" w:rsidP="00D45512">
            <w:pPr>
              <w:rPr>
                <w:rFonts w:ascii="Times New Roman" w:eastAsia="Times New Roman" w:hAnsi="Times New Roman" w:cs="Times New Roman"/>
                <w:color w:val="000000"/>
                <w:lang w:val="en-GB"/>
              </w:rPr>
            </w:pPr>
          </w:p>
        </w:tc>
      </w:tr>
      <w:tr w:rsidR="00FB4FCA" w:rsidRPr="006711BB" w14:paraId="5B526B57" w14:textId="77777777" w:rsidTr="00885C57">
        <w:trPr>
          <w:trHeight w:val="255"/>
          <w:jc w:val="center"/>
        </w:trPr>
        <w:tc>
          <w:tcPr>
            <w:tcW w:w="0" w:type="auto"/>
            <w:tcBorders>
              <w:bottom w:val="single" w:sz="4" w:space="0" w:color="auto"/>
            </w:tcBorders>
            <w:noWrap/>
            <w:vAlign w:val="center"/>
            <w:hideMark/>
          </w:tcPr>
          <w:p w14:paraId="449E4BE9" w14:textId="6FAC828D" w:rsidR="00FB4FCA" w:rsidRPr="00FB4FCA" w:rsidRDefault="00FB4FCA" w:rsidP="00D45512">
            <w:pPr>
              <w:rPr>
                <w:rFonts w:ascii="Times New Roman" w:eastAsia="Times New Roman" w:hAnsi="Times New Roman" w:cs="Times New Roman"/>
                <w:color w:val="000000"/>
                <w:lang w:val="en-GB"/>
              </w:rPr>
            </w:pPr>
            <w:r w:rsidRPr="00FB4FCA">
              <w:rPr>
                <w:rFonts w:ascii="Times New Roman" w:eastAsia="Times New Roman" w:hAnsi="Times New Roman" w:cs="Times New Roman"/>
                <w:color w:val="000000"/>
              </w:rPr>
              <w:t>Seroconcordant</w:t>
            </w:r>
          </w:p>
        </w:tc>
        <w:tc>
          <w:tcPr>
            <w:tcW w:w="0" w:type="auto"/>
            <w:tcBorders>
              <w:bottom w:val="single" w:sz="4" w:space="0" w:color="auto"/>
            </w:tcBorders>
            <w:noWrap/>
            <w:vAlign w:val="center"/>
            <w:hideMark/>
          </w:tcPr>
          <w:p w14:paraId="07D3036A" w14:textId="77777777" w:rsidR="00FB4FCA" w:rsidRPr="006711BB" w:rsidRDefault="00FB4FC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45369DD9" w14:textId="77777777" w:rsidR="00FB4FCA" w:rsidRPr="006711BB" w:rsidRDefault="00FB4FC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21.7% (94)</w:t>
            </w:r>
          </w:p>
        </w:tc>
      </w:tr>
      <w:tr w:rsidR="00FB4FCA" w:rsidRPr="006711BB" w14:paraId="069A5F34" w14:textId="77777777" w:rsidTr="00885C57">
        <w:trPr>
          <w:trHeight w:val="255"/>
          <w:jc w:val="center"/>
        </w:trPr>
        <w:tc>
          <w:tcPr>
            <w:tcW w:w="0" w:type="auto"/>
            <w:tcBorders>
              <w:bottom w:val="single" w:sz="4" w:space="0" w:color="auto"/>
            </w:tcBorders>
            <w:noWrap/>
            <w:vAlign w:val="center"/>
            <w:hideMark/>
          </w:tcPr>
          <w:p w14:paraId="03ECDCD3" w14:textId="48194F83" w:rsidR="00FB4FCA" w:rsidRPr="00FB4FCA" w:rsidRDefault="00FB4FCA" w:rsidP="00D45512">
            <w:pPr>
              <w:rPr>
                <w:rFonts w:ascii="Times New Roman" w:eastAsia="Times New Roman" w:hAnsi="Times New Roman" w:cs="Times New Roman"/>
                <w:bCs/>
                <w:color w:val="000000"/>
                <w:lang w:val="en-GB"/>
              </w:rPr>
            </w:pPr>
            <w:r w:rsidRPr="00FB4FCA">
              <w:rPr>
                <w:rFonts w:ascii="Times New Roman" w:eastAsia="Times New Roman" w:hAnsi="Times New Roman" w:cs="Times New Roman"/>
                <w:color w:val="000000"/>
              </w:rPr>
              <w:t>Unknown serostatus match</w:t>
            </w:r>
          </w:p>
        </w:tc>
        <w:tc>
          <w:tcPr>
            <w:tcW w:w="0" w:type="auto"/>
            <w:tcBorders>
              <w:bottom w:val="single" w:sz="4" w:space="0" w:color="auto"/>
            </w:tcBorders>
            <w:noWrap/>
            <w:vAlign w:val="center"/>
            <w:hideMark/>
          </w:tcPr>
          <w:p w14:paraId="30E03390" w14:textId="77777777" w:rsidR="00FB4FCA" w:rsidRPr="006711BB" w:rsidRDefault="00FB4FC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2426FBE6" w14:textId="77777777" w:rsidR="00FB4FCA" w:rsidRPr="006711BB" w:rsidRDefault="00FB4FC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74.9% (325)</w:t>
            </w:r>
          </w:p>
        </w:tc>
      </w:tr>
      <w:tr w:rsidR="00FB4FCA" w:rsidRPr="006711BB" w14:paraId="6CF0D36E" w14:textId="77777777" w:rsidTr="00885C57">
        <w:trPr>
          <w:trHeight w:val="255"/>
          <w:jc w:val="center"/>
        </w:trPr>
        <w:tc>
          <w:tcPr>
            <w:tcW w:w="0" w:type="auto"/>
            <w:tcBorders>
              <w:bottom w:val="single" w:sz="4" w:space="0" w:color="auto"/>
            </w:tcBorders>
            <w:noWrap/>
            <w:vAlign w:val="center"/>
            <w:hideMark/>
          </w:tcPr>
          <w:p w14:paraId="6B430DA7" w14:textId="0E0C2AD6" w:rsidR="00FB4FCA" w:rsidRPr="00FB4FCA" w:rsidRDefault="00FB4FCA" w:rsidP="00D45512">
            <w:pPr>
              <w:rPr>
                <w:rFonts w:ascii="Times New Roman" w:eastAsia="Times New Roman" w:hAnsi="Times New Roman" w:cs="Times New Roman"/>
                <w:bCs/>
                <w:color w:val="000000"/>
                <w:lang w:val="en-GB"/>
              </w:rPr>
            </w:pPr>
            <w:r w:rsidRPr="00FB4FCA">
              <w:rPr>
                <w:rFonts w:ascii="Times New Roman" w:eastAsia="Times New Roman" w:hAnsi="Times New Roman" w:cs="Times New Roman"/>
                <w:color w:val="000000"/>
              </w:rPr>
              <w:t>Serodiscordant</w:t>
            </w:r>
          </w:p>
        </w:tc>
        <w:tc>
          <w:tcPr>
            <w:tcW w:w="0" w:type="auto"/>
            <w:tcBorders>
              <w:bottom w:val="single" w:sz="4" w:space="0" w:color="auto"/>
            </w:tcBorders>
            <w:noWrap/>
            <w:vAlign w:val="center"/>
            <w:hideMark/>
          </w:tcPr>
          <w:p w14:paraId="066FAF9D" w14:textId="77777777" w:rsidR="00FB4FCA" w:rsidRPr="006711BB" w:rsidRDefault="00FB4FC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05B0DBE7" w14:textId="77777777" w:rsidR="00FB4FCA" w:rsidRPr="006711BB" w:rsidRDefault="00FB4FCA" w:rsidP="00D45512">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3.5% (15)</w:t>
            </w:r>
          </w:p>
        </w:tc>
      </w:tr>
      <w:tr w:rsidR="00BF3E6A" w:rsidRPr="006711BB" w14:paraId="25FBE315" w14:textId="77777777" w:rsidTr="00885C57">
        <w:trPr>
          <w:trHeight w:val="255"/>
          <w:jc w:val="center"/>
        </w:trPr>
        <w:tc>
          <w:tcPr>
            <w:tcW w:w="0" w:type="auto"/>
            <w:tcBorders>
              <w:bottom w:val="single" w:sz="4" w:space="0" w:color="auto"/>
            </w:tcBorders>
            <w:noWrap/>
            <w:vAlign w:val="center"/>
            <w:hideMark/>
          </w:tcPr>
          <w:p w14:paraId="6DEC0ABC"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Location of sex</w:t>
            </w:r>
          </w:p>
        </w:tc>
        <w:tc>
          <w:tcPr>
            <w:tcW w:w="0" w:type="auto"/>
            <w:tcBorders>
              <w:bottom w:val="single" w:sz="4" w:space="0" w:color="auto"/>
            </w:tcBorders>
            <w:noWrap/>
            <w:vAlign w:val="center"/>
            <w:hideMark/>
          </w:tcPr>
          <w:p w14:paraId="1364BE2B"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434</w:t>
            </w:r>
          </w:p>
        </w:tc>
        <w:tc>
          <w:tcPr>
            <w:tcW w:w="0" w:type="auto"/>
            <w:tcBorders>
              <w:bottom w:val="single" w:sz="4" w:space="0" w:color="auto"/>
            </w:tcBorders>
            <w:noWrap/>
            <w:vAlign w:val="center"/>
            <w:hideMark/>
          </w:tcPr>
          <w:p w14:paraId="1AE03271" w14:textId="77777777" w:rsidR="00BF3E6A" w:rsidRPr="006711BB" w:rsidRDefault="00BF3E6A" w:rsidP="00D45512">
            <w:pPr>
              <w:rPr>
                <w:rFonts w:ascii="Times New Roman" w:eastAsia="Times New Roman" w:hAnsi="Times New Roman" w:cs="Times New Roman"/>
                <w:bCs/>
                <w:color w:val="000000"/>
                <w:lang w:val="en-GB"/>
              </w:rPr>
            </w:pPr>
          </w:p>
        </w:tc>
      </w:tr>
      <w:tr w:rsidR="00BF3E6A" w:rsidRPr="006711BB" w14:paraId="39ADD40E" w14:textId="77777777" w:rsidTr="00885C57">
        <w:trPr>
          <w:trHeight w:val="255"/>
          <w:jc w:val="center"/>
        </w:trPr>
        <w:tc>
          <w:tcPr>
            <w:tcW w:w="0" w:type="auto"/>
            <w:tcBorders>
              <w:bottom w:val="single" w:sz="4" w:space="0" w:color="auto"/>
            </w:tcBorders>
            <w:noWrap/>
            <w:vAlign w:val="center"/>
            <w:hideMark/>
          </w:tcPr>
          <w:p w14:paraId="4B4361CA" w14:textId="77777777" w:rsidR="00BF3E6A" w:rsidRPr="006711BB" w:rsidRDefault="00BF3E6A" w:rsidP="00D45512">
            <w:pPr>
              <w:rPr>
                <w:rFonts w:ascii="Times New Roman" w:eastAsia="Times New Roman" w:hAnsi="Times New Roman" w:cs="Times New Roman"/>
                <w:i/>
                <w:color w:val="000000"/>
                <w:lang w:val="en-GB"/>
              </w:rPr>
            </w:pPr>
            <w:r w:rsidRPr="006711BB">
              <w:rPr>
                <w:rFonts w:ascii="Times New Roman" w:eastAsia="Times New Roman" w:hAnsi="Times New Roman" w:cs="Times New Roman"/>
                <w:color w:val="000000"/>
                <w:lang w:val="en-GB"/>
              </w:rPr>
              <w:t>Homes</w:t>
            </w:r>
          </w:p>
        </w:tc>
        <w:tc>
          <w:tcPr>
            <w:tcW w:w="0" w:type="auto"/>
            <w:tcBorders>
              <w:bottom w:val="single" w:sz="4" w:space="0" w:color="auto"/>
            </w:tcBorders>
            <w:noWrap/>
            <w:vAlign w:val="center"/>
            <w:hideMark/>
          </w:tcPr>
          <w:p w14:paraId="730B4EF5" w14:textId="77777777" w:rsidR="00BF3E6A" w:rsidRPr="006711BB" w:rsidRDefault="00BF3E6A" w:rsidP="00D45512">
            <w:pPr>
              <w:rPr>
                <w:rFonts w:ascii="Times New Roman" w:eastAsia="Times New Roman" w:hAnsi="Times New Roman" w:cs="Times New Roman"/>
                <w:i/>
                <w:color w:val="000000"/>
                <w:lang w:val="en-GB"/>
              </w:rPr>
            </w:pPr>
          </w:p>
        </w:tc>
        <w:tc>
          <w:tcPr>
            <w:tcW w:w="0" w:type="auto"/>
            <w:tcBorders>
              <w:bottom w:val="single" w:sz="4" w:space="0" w:color="auto"/>
            </w:tcBorders>
            <w:noWrap/>
            <w:vAlign w:val="center"/>
            <w:hideMark/>
          </w:tcPr>
          <w:p w14:paraId="13E0FF46" w14:textId="77777777" w:rsidR="00BF3E6A" w:rsidRPr="006711BB" w:rsidRDefault="00BF3E6A" w:rsidP="00D45512">
            <w:pPr>
              <w:rPr>
                <w:rFonts w:ascii="Times New Roman" w:eastAsia="Times New Roman" w:hAnsi="Times New Roman" w:cs="Times New Roman"/>
                <w:bCs/>
                <w:i/>
                <w:color w:val="000000"/>
                <w:lang w:val="en-GB"/>
              </w:rPr>
            </w:pPr>
            <w:r w:rsidRPr="006711BB">
              <w:rPr>
                <w:rFonts w:ascii="Times New Roman" w:eastAsia="Times New Roman" w:hAnsi="Times New Roman" w:cs="Times New Roman"/>
                <w:color w:val="000000"/>
                <w:lang w:val="en-GB"/>
              </w:rPr>
              <w:t>51.6% (224)</w:t>
            </w:r>
          </w:p>
        </w:tc>
      </w:tr>
      <w:tr w:rsidR="00BF3E6A" w:rsidRPr="006711BB" w14:paraId="65C255FD" w14:textId="77777777" w:rsidTr="00885C57">
        <w:trPr>
          <w:trHeight w:val="255"/>
          <w:jc w:val="center"/>
        </w:trPr>
        <w:tc>
          <w:tcPr>
            <w:tcW w:w="0" w:type="auto"/>
            <w:tcBorders>
              <w:bottom w:val="single" w:sz="4" w:space="0" w:color="auto"/>
            </w:tcBorders>
            <w:noWrap/>
            <w:vAlign w:val="center"/>
            <w:hideMark/>
          </w:tcPr>
          <w:p w14:paraId="5CACFCB1" w14:textId="77777777" w:rsidR="00BF3E6A" w:rsidRPr="006711BB" w:rsidRDefault="00BF3E6A" w:rsidP="003030ED">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Sex-on-premises venue</w:t>
            </w:r>
          </w:p>
        </w:tc>
        <w:tc>
          <w:tcPr>
            <w:tcW w:w="0" w:type="auto"/>
            <w:tcBorders>
              <w:bottom w:val="single" w:sz="4" w:space="0" w:color="auto"/>
            </w:tcBorders>
            <w:noWrap/>
            <w:vAlign w:val="center"/>
            <w:hideMark/>
          </w:tcPr>
          <w:p w14:paraId="736709CF" w14:textId="77777777" w:rsidR="00BF3E6A" w:rsidRPr="006711BB" w:rsidRDefault="00BF3E6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52F03F89" w14:textId="77777777" w:rsidR="00BF3E6A" w:rsidRPr="006711BB" w:rsidRDefault="00BF3E6A" w:rsidP="00D45512">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37.6% (163)</w:t>
            </w:r>
          </w:p>
        </w:tc>
      </w:tr>
      <w:tr w:rsidR="00BF3E6A" w:rsidRPr="006711BB" w14:paraId="60CF2388" w14:textId="77777777" w:rsidTr="00885C57">
        <w:trPr>
          <w:trHeight w:val="255"/>
          <w:jc w:val="center"/>
        </w:trPr>
        <w:tc>
          <w:tcPr>
            <w:tcW w:w="0" w:type="auto"/>
            <w:tcBorders>
              <w:bottom w:val="single" w:sz="4" w:space="0" w:color="auto"/>
            </w:tcBorders>
            <w:noWrap/>
            <w:vAlign w:val="center"/>
            <w:hideMark/>
          </w:tcPr>
          <w:p w14:paraId="6B69C856" w14:textId="77777777" w:rsidR="00BF3E6A" w:rsidRPr="006711BB" w:rsidRDefault="00BF3E6A" w:rsidP="003030ED">
            <w:pPr>
              <w:rPr>
                <w:rFonts w:ascii="Times New Roman" w:eastAsia="Times New Roman" w:hAnsi="Times New Roman" w:cs="Times New Roman"/>
                <w:i/>
                <w:color w:val="000000"/>
                <w:lang w:val="en-GB"/>
              </w:rPr>
            </w:pPr>
            <w:r w:rsidRPr="006711BB">
              <w:rPr>
                <w:rFonts w:ascii="Times New Roman" w:eastAsia="Times New Roman" w:hAnsi="Times New Roman" w:cs="Times New Roman"/>
                <w:color w:val="000000"/>
                <w:lang w:val="en-GB"/>
              </w:rPr>
              <w:t>Cruising location</w:t>
            </w:r>
          </w:p>
        </w:tc>
        <w:tc>
          <w:tcPr>
            <w:tcW w:w="0" w:type="auto"/>
            <w:tcBorders>
              <w:bottom w:val="single" w:sz="4" w:space="0" w:color="auto"/>
            </w:tcBorders>
            <w:noWrap/>
            <w:vAlign w:val="center"/>
            <w:hideMark/>
          </w:tcPr>
          <w:p w14:paraId="54378DFE" w14:textId="77777777" w:rsidR="00BF3E6A" w:rsidRPr="006711BB" w:rsidRDefault="00BF3E6A" w:rsidP="00D45512">
            <w:pPr>
              <w:rPr>
                <w:rFonts w:ascii="Times New Roman" w:eastAsia="Times New Roman" w:hAnsi="Times New Roman" w:cs="Times New Roman"/>
                <w:i/>
                <w:color w:val="000000"/>
                <w:lang w:val="en-GB"/>
              </w:rPr>
            </w:pPr>
          </w:p>
        </w:tc>
        <w:tc>
          <w:tcPr>
            <w:tcW w:w="0" w:type="auto"/>
            <w:tcBorders>
              <w:bottom w:val="single" w:sz="4" w:space="0" w:color="auto"/>
            </w:tcBorders>
            <w:noWrap/>
            <w:vAlign w:val="center"/>
            <w:hideMark/>
          </w:tcPr>
          <w:p w14:paraId="724F21C3" w14:textId="77777777" w:rsidR="00BF3E6A" w:rsidRPr="006711BB" w:rsidRDefault="00BF3E6A" w:rsidP="00D45512">
            <w:pPr>
              <w:rPr>
                <w:rFonts w:ascii="Times New Roman" w:eastAsia="Times New Roman" w:hAnsi="Times New Roman" w:cs="Times New Roman"/>
                <w:bCs/>
                <w:i/>
                <w:color w:val="000000"/>
                <w:lang w:val="en-GB"/>
              </w:rPr>
            </w:pPr>
            <w:r w:rsidRPr="006711BB">
              <w:rPr>
                <w:rFonts w:ascii="Times New Roman" w:eastAsia="Times New Roman" w:hAnsi="Times New Roman" w:cs="Times New Roman"/>
                <w:color w:val="000000"/>
                <w:lang w:val="en-GB"/>
              </w:rPr>
              <w:t>10.8% (47)</w:t>
            </w:r>
          </w:p>
        </w:tc>
      </w:tr>
      <w:tr w:rsidR="00BF3E6A" w:rsidRPr="006711BB" w14:paraId="71EE0E9C" w14:textId="77777777" w:rsidTr="00885C57">
        <w:trPr>
          <w:trHeight w:val="255"/>
          <w:jc w:val="center"/>
        </w:trPr>
        <w:tc>
          <w:tcPr>
            <w:tcW w:w="0" w:type="auto"/>
            <w:tcBorders>
              <w:bottom w:val="single" w:sz="4" w:space="0" w:color="auto"/>
            </w:tcBorders>
            <w:noWrap/>
            <w:vAlign w:val="center"/>
            <w:hideMark/>
          </w:tcPr>
          <w:p w14:paraId="0593159E"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b/>
                <w:bCs/>
                <w:color w:val="000000"/>
                <w:lang w:val="en-GB"/>
              </w:rPr>
              <w:t>Wave of reporting</w:t>
            </w:r>
          </w:p>
        </w:tc>
        <w:tc>
          <w:tcPr>
            <w:tcW w:w="0" w:type="auto"/>
            <w:tcBorders>
              <w:bottom w:val="single" w:sz="4" w:space="0" w:color="auto"/>
            </w:tcBorders>
            <w:noWrap/>
            <w:vAlign w:val="center"/>
            <w:hideMark/>
          </w:tcPr>
          <w:p w14:paraId="76B0EF84"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438</w:t>
            </w:r>
          </w:p>
        </w:tc>
        <w:tc>
          <w:tcPr>
            <w:tcW w:w="0" w:type="auto"/>
            <w:tcBorders>
              <w:bottom w:val="single" w:sz="4" w:space="0" w:color="auto"/>
            </w:tcBorders>
            <w:noWrap/>
            <w:vAlign w:val="center"/>
            <w:hideMark/>
          </w:tcPr>
          <w:p w14:paraId="7CE17FBA" w14:textId="77777777" w:rsidR="00BF3E6A" w:rsidRPr="006711BB" w:rsidRDefault="00BF3E6A" w:rsidP="00D45512">
            <w:pPr>
              <w:rPr>
                <w:rFonts w:ascii="Times New Roman" w:eastAsia="Times New Roman" w:hAnsi="Times New Roman" w:cs="Times New Roman"/>
                <w:iCs/>
                <w:color w:val="000000"/>
                <w:lang w:val="en-GB"/>
              </w:rPr>
            </w:pPr>
          </w:p>
        </w:tc>
      </w:tr>
      <w:tr w:rsidR="00BF3E6A" w:rsidRPr="006711BB" w14:paraId="3B59E2BE" w14:textId="77777777" w:rsidTr="00885C57">
        <w:trPr>
          <w:trHeight w:val="255"/>
          <w:jc w:val="center"/>
        </w:trPr>
        <w:tc>
          <w:tcPr>
            <w:tcW w:w="0" w:type="auto"/>
            <w:tcBorders>
              <w:bottom w:val="single" w:sz="4" w:space="0" w:color="auto"/>
            </w:tcBorders>
            <w:noWrap/>
            <w:vAlign w:val="center"/>
            <w:hideMark/>
          </w:tcPr>
          <w:p w14:paraId="54B3633E"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Wave 1</w:t>
            </w:r>
          </w:p>
        </w:tc>
        <w:tc>
          <w:tcPr>
            <w:tcW w:w="0" w:type="auto"/>
            <w:tcBorders>
              <w:bottom w:val="single" w:sz="4" w:space="0" w:color="auto"/>
            </w:tcBorders>
            <w:noWrap/>
            <w:vAlign w:val="center"/>
            <w:hideMark/>
          </w:tcPr>
          <w:p w14:paraId="00F32302" w14:textId="77777777" w:rsidR="00BF3E6A" w:rsidRPr="006711BB" w:rsidRDefault="00BF3E6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0A92C345" w14:textId="77777777" w:rsidR="00BF3E6A" w:rsidRPr="006711BB" w:rsidRDefault="00BF3E6A" w:rsidP="00D45512">
            <w:pPr>
              <w:rPr>
                <w:rFonts w:ascii="Times New Roman" w:eastAsia="Times New Roman" w:hAnsi="Times New Roman" w:cs="Times New Roman"/>
                <w:bCs/>
                <w:color w:val="000000"/>
                <w:lang w:val="en-GB"/>
              </w:rPr>
            </w:pPr>
            <w:r w:rsidRPr="006711BB">
              <w:rPr>
                <w:rFonts w:ascii="Times New Roman" w:eastAsia="Times New Roman" w:hAnsi="Times New Roman" w:cs="Times New Roman"/>
                <w:color w:val="000000"/>
                <w:lang w:val="en-GB"/>
              </w:rPr>
              <w:t>35.6% (156)</w:t>
            </w:r>
          </w:p>
        </w:tc>
      </w:tr>
      <w:tr w:rsidR="00BF3E6A" w:rsidRPr="006711BB" w14:paraId="2A80CD44" w14:textId="77777777" w:rsidTr="00885C57">
        <w:trPr>
          <w:trHeight w:val="255"/>
          <w:jc w:val="center"/>
        </w:trPr>
        <w:tc>
          <w:tcPr>
            <w:tcW w:w="0" w:type="auto"/>
            <w:tcBorders>
              <w:bottom w:val="single" w:sz="4" w:space="0" w:color="auto"/>
            </w:tcBorders>
            <w:noWrap/>
            <w:vAlign w:val="center"/>
            <w:hideMark/>
          </w:tcPr>
          <w:p w14:paraId="025C6C9B" w14:textId="77777777" w:rsidR="00BF3E6A" w:rsidRPr="006711BB" w:rsidRDefault="00BF3E6A" w:rsidP="00D45512">
            <w:pPr>
              <w:rPr>
                <w:rFonts w:ascii="Times New Roman" w:eastAsia="Times New Roman" w:hAnsi="Times New Roman" w:cs="Times New Roman"/>
                <w:color w:val="000000"/>
                <w:lang w:val="en-GB"/>
              </w:rPr>
            </w:pPr>
            <w:r w:rsidRPr="006711BB">
              <w:rPr>
                <w:rFonts w:ascii="Times New Roman" w:eastAsia="Times New Roman" w:hAnsi="Times New Roman" w:cs="Times New Roman"/>
                <w:color w:val="000000"/>
                <w:lang w:val="en-GB"/>
              </w:rPr>
              <w:t>Wave 2</w:t>
            </w:r>
          </w:p>
        </w:tc>
        <w:tc>
          <w:tcPr>
            <w:tcW w:w="0" w:type="auto"/>
            <w:tcBorders>
              <w:bottom w:val="single" w:sz="4" w:space="0" w:color="auto"/>
            </w:tcBorders>
            <w:noWrap/>
            <w:vAlign w:val="center"/>
            <w:hideMark/>
          </w:tcPr>
          <w:p w14:paraId="2EBF1C60" w14:textId="77777777" w:rsidR="00BF3E6A" w:rsidRPr="006711BB" w:rsidRDefault="00BF3E6A" w:rsidP="00D45512">
            <w:pPr>
              <w:rPr>
                <w:rFonts w:ascii="Times New Roman" w:eastAsia="Times New Roman" w:hAnsi="Times New Roman" w:cs="Times New Roman"/>
                <w:color w:val="000000"/>
                <w:lang w:val="en-GB"/>
              </w:rPr>
            </w:pPr>
          </w:p>
        </w:tc>
        <w:tc>
          <w:tcPr>
            <w:tcW w:w="0" w:type="auto"/>
            <w:tcBorders>
              <w:bottom w:val="single" w:sz="4" w:space="0" w:color="auto"/>
            </w:tcBorders>
            <w:noWrap/>
            <w:vAlign w:val="center"/>
            <w:hideMark/>
          </w:tcPr>
          <w:p w14:paraId="74B04CD7" w14:textId="77777777" w:rsidR="00BF3E6A" w:rsidRPr="006711BB" w:rsidRDefault="00BF3E6A" w:rsidP="00D45512">
            <w:pPr>
              <w:rPr>
                <w:rFonts w:ascii="Times New Roman" w:eastAsia="Times New Roman" w:hAnsi="Times New Roman" w:cs="Times New Roman"/>
                <w:iCs/>
                <w:color w:val="000000"/>
                <w:lang w:val="en-GB"/>
              </w:rPr>
            </w:pPr>
            <w:r w:rsidRPr="006711BB">
              <w:rPr>
                <w:rFonts w:ascii="Times New Roman" w:eastAsia="Times New Roman" w:hAnsi="Times New Roman" w:cs="Times New Roman"/>
                <w:color w:val="000000"/>
                <w:lang w:val="en-GB"/>
              </w:rPr>
              <w:t>30.4% (133)</w:t>
            </w:r>
          </w:p>
        </w:tc>
      </w:tr>
      <w:tr w:rsidR="00BF3E6A" w:rsidRPr="006711BB" w14:paraId="568AA7B6" w14:textId="77777777" w:rsidTr="00885C57">
        <w:trPr>
          <w:trHeight w:val="255"/>
          <w:jc w:val="center"/>
        </w:trPr>
        <w:tc>
          <w:tcPr>
            <w:tcW w:w="0" w:type="auto"/>
            <w:tcBorders>
              <w:bottom w:val="single" w:sz="4" w:space="0" w:color="auto"/>
            </w:tcBorders>
            <w:noWrap/>
            <w:vAlign w:val="center"/>
            <w:hideMark/>
          </w:tcPr>
          <w:p w14:paraId="2A4F789B" w14:textId="77777777" w:rsidR="00BF3E6A" w:rsidRPr="006711BB" w:rsidRDefault="00BF3E6A" w:rsidP="00D45512">
            <w:pPr>
              <w:rPr>
                <w:rFonts w:ascii="Times New Roman" w:eastAsia="Times New Roman" w:hAnsi="Times New Roman" w:cs="Times New Roman"/>
                <w:i/>
                <w:color w:val="000000"/>
                <w:lang w:val="en-GB"/>
              </w:rPr>
            </w:pPr>
            <w:r w:rsidRPr="006711BB">
              <w:rPr>
                <w:rFonts w:ascii="Times New Roman" w:eastAsia="Times New Roman" w:hAnsi="Times New Roman" w:cs="Times New Roman"/>
                <w:color w:val="000000"/>
                <w:lang w:val="en-GB"/>
              </w:rPr>
              <w:t>Wave 3</w:t>
            </w:r>
          </w:p>
        </w:tc>
        <w:tc>
          <w:tcPr>
            <w:tcW w:w="0" w:type="auto"/>
            <w:tcBorders>
              <w:bottom w:val="single" w:sz="4" w:space="0" w:color="auto"/>
            </w:tcBorders>
            <w:noWrap/>
            <w:vAlign w:val="center"/>
            <w:hideMark/>
          </w:tcPr>
          <w:p w14:paraId="45D2900D" w14:textId="77777777" w:rsidR="00BF3E6A" w:rsidRPr="006711BB" w:rsidRDefault="00BF3E6A" w:rsidP="00D45512">
            <w:pPr>
              <w:rPr>
                <w:rFonts w:ascii="Times New Roman" w:eastAsia="Times New Roman" w:hAnsi="Times New Roman" w:cs="Times New Roman"/>
                <w:i/>
                <w:color w:val="000000"/>
                <w:lang w:val="en-GB"/>
              </w:rPr>
            </w:pPr>
          </w:p>
        </w:tc>
        <w:tc>
          <w:tcPr>
            <w:tcW w:w="0" w:type="auto"/>
            <w:tcBorders>
              <w:bottom w:val="single" w:sz="4" w:space="0" w:color="auto"/>
            </w:tcBorders>
            <w:noWrap/>
            <w:vAlign w:val="center"/>
            <w:hideMark/>
          </w:tcPr>
          <w:p w14:paraId="39ED0FF9" w14:textId="77777777" w:rsidR="00BF3E6A" w:rsidRPr="006711BB" w:rsidRDefault="00BF3E6A" w:rsidP="00D45512">
            <w:pPr>
              <w:rPr>
                <w:rFonts w:ascii="Times New Roman" w:eastAsia="Times New Roman" w:hAnsi="Times New Roman" w:cs="Times New Roman"/>
                <w:bCs/>
                <w:i/>
                <w:color w:val="000000"/>
                <w:lang w:val="en-GB"/>
              </w:rPr>
            </w:pPr>
            <w:r w:rsidRPr="006711BB">
              <w:rPr>
                <w:rFonts w:ascii="Times New Roman" w:eastAsia="Times New Roman" w:hAnsi="Times New Roman" w:cs="Times New Roman"/>
                <w:color w:val="000000"/>
                <w:lang w:val="en-GB"/>
              </w:rPr>
              <w:t>34.0% (149)</w:t>
            </w:r>
          </w:p>
        </w:tc>
      </w:tr>
    </w:tbl>
    <w:p w14:paraId="2050CC4F" w14:textId="77777777" w:rsidR="00A025DA" w:rsidRDefault="00A025DA" w:rsidP="00A025DA"/>
    <w:p w14:paraId="56BAA859" w14:textId="77777777" w:rsidR="003C4B2D" w:rsidRDefault="003C4B2D">
      <w:pPr>
        <w:sectPr w:rsidR="003C4B2D" w:rsidSect="0006596D">
          <w:headerReference w:type="default" r:id="rId7"/>
          <w:footerReference w:type="default" r:id="rId8"/>
          <w:pgSz w:w="11900" w:h="16840"/>
          <w:pgMar w:top="1418" w:right="1418" w:bottom="1418" w:left="1418" w:header="709" w:footer="709" w:gutter="0"/>
          <w:cols w:space="708"/>
          <w:docGrid w:linePitch="360"/>
        </w:sectPr>
      </w:pPr>
    </w:p>
    <w:p w14:paraId="51D93A45" w14:textId="77777777" w:rsidR="00B868D7" w:rsidRPr="00885C57" w:rsidRDefault="0099450F" w:rsidP="00885C57">
      <w:pPr>
        <w:spacing w:line="480" w:lineRule="auto"/>
        <w:jc w:val="center"/>
      </w:pPr>
      <w:r>
        <w:rPr>
          <w:b/>
        </w:rPr>
        <w:t>Table 3.</w:t>
      </w:r>
      <w:r>
        <w:t xml:space="preserve">  </w:t>
      </w:r>
      <w:r w:rsidR="005C0468">
        <w:t xml:space="preserve">Initial </w:t>
      </w:r>
      <w:r w:rsidR="003C4B2D">
        <w:t>models.</w:t>
      </w:r>
      <w:r w:rsidR="00885C57">
        <w:rPr>
          <w:vertAlign w:val="superscript"/>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850"/>
        <w:gridCol w:w="1850"/>
        <w:gridCol w:w="2005"/>
        <w:gridCol w:w="1810"/>
        <w:gridCol w:w="1527"/>
        <w:gridCol w:w="2003"/>
      </w:tblGrid>
      <w:tr w:rsidR="00B868D7" w:rsidRPr="003C4B2D" w14:paraId="6DCC971E" w14:textId="77777777" w:rsidTr="00885C57">
        <w:trPr>
          <w:trHeight w:val="284"/>
          <w:tblHeader/>
          <w:jc w:val="center"/>
        </w:trPr>
        <w:tc>
          <w:tcPr>
            <w:tcW w:w="0" w:type="auto"/>
            <w:vMerge w:val="restart"/>
            <w:shd w:val="clear" w:color="auto" w:fill="auto"/>
            <w:noWrap/>
            <w:vAlign w:val="center"/>
          </w:tcPr>
          <w:p w14:paraId="159D3E0A" w14:textId="77777777" w:rsidR="00B868D7" w:rsidRPr="003C4B2D" w:rsidRDefault="00B868D7" w:rsidP="00B868D7">
            <w:pPr>
              <w:rPr>
                <w:rFonts w:eastAsia="Times New Roman"/>
                <w:b/>
                <w:bCs/>
                <w:color w:val="000000"/>
                <w:sz w:val="20"/>
                <w:szCs w:val="20"/>
              </w:rPr>
            </w:pPr>
            <w:r w:rsidRPr="003C4B2D">
              <w:rPr>
                <w:rFonts w:eastAsia="Times New Roman"/>
                <w:b/>
                <w:bCs/>
                <w:color w:val="000000"/>
                <w:sz w:val="20"/>
                <w:szCs w:val="20"/>
              </w:rPr>
              <w:t>Variable</w:t>
            </w:r>
          </w:p>
        </w:tc>
        <w:tc>
          <w:tcPr>
            <w:tcW w:w="0" w:type="auto"/>
            <w:gridSpan w:val="2"/>
            <w:shd w:val="clear" w:color="auto" w:fill="auto"/>
            <w:noWrap/>
            <w:vAlign w:val="center"/>
          </w:tcPr>
          <w:p w14:paraId="4C61B85C" w14:textId="77777777" w:rsidR="00B868D7" w:rsidRPr="00B868D7" w:rsidRDefault="00B868D7" w:rsidP="00B868D7">
            <w:pPr>
              <w:rPr>
                <w:rFonts w:eastAsia="Times New Roman"/>
                <w:b/>
                <w:color w:val="000000"/>
                <w:sz w:val="20"/>
                <w:szCs w:val="20"/>
              </w:rPr>
            </w:pPr>
            <w:r w:rsidRPr="00B868D7">
              <w:rPr>
                <w:rFonts w:eastAsia="Times New Roman"/>
                <w:b/>
                <w:color w:val="000000"/>
                <w:sz w:val="20"/>
                <w:szCs w:val="20"/>
              </w:rPr>
              <w:t>UAI</w:t>
            </w:r>
          </w:p>
        </w:tc>
        <w:tc>
          <w:tcPr>
            <w:tcW w:w="0" w:type="auto"/>
            <w:gridSpan w:val="2"/>
            <w:vAlign w:val="center"/>
          </w:tcPr>
          <w:p w14:paraId="5BEA7A23" w14:textId="77777777" w:rsidR="00B868D7" w:rsidRPr="00B868D7" w:rsidRDefault="00B868D7" w:rsidP="00B868D7">
            <w:pPr>
              <w:rPr>
                <w:rFonts w:eastAsia="Times New Roman"/>
                <w:b/>
                <w:color w:val="000000"/>
                <w:sz w:val="20"/>
                <w:szCs w:val="20"/>
              </w:rPr>
            </w:pPr>
            <w:r w:rsidRPr="00B868D7">
              <w:rPr>
                <w:rFonts w:eastAsia="Times New Roman"/>
                <w:b/>
                <w:color w:val="000000"/>
                <w:sz w:val="20"/>
                <w:szCs w:val="20"/>
              </w:rPr>
              <w:t>Pleasure</w:t>
            </w:r>
          </w:p>
        </w:tc>
        <w:tc>
          <w:tcPr>
            <w:tcW w:w="0" w:type="auto"/>
            <w:gridSpan w:val="2"/>
            <w:vAlign w:val="center"/>
          </w:tcPr>
          <w:p w14:paraId="4D5C6CF3" w14:textId="77777777" w:rsidR="00B868D7" w:rsidRPr="00B868D7" w:rsidRDefault="00B868D7" w:rsidP="00B868D7">
            <w:pPr>
              <w:rPr>
                <w:rFonts w:eastAsia="Times New Roman"/>
                <w:b/>
                <w:color w:val="000000"/>
                <w:sz w:val="20"/>
                <w:szCs w:val="20"/>
              </w:rPr>
            </w:pPr>
            <w:r>
              <w:rPr>
                <w:rFonts w:eastAsia="Times New Roman"/>
                <w:b/>
                <w:color w:val="000000"/>
                <w:sz w:val="20"/>
                <w:szCs w:val="20"/>
              </w:rPr>
              <w:t>Control</w:t>
            </w:r>
          </w:p>
        </w:tc>
      </w:tr>
      <w:tr w:rsidR="00B868D7" w:rsidRPr="003C4B2D" w14:paraId="66AAFB61" w14:textId="77777777" w:rsidTr="00885C57">
        <w:trPr>
          <w:trHeight w:val="284"/>
          <w:tblHeader/>
          <w:jc w:val="center"/>
        </w:trPr>
        <w:tc>
          <w:tcPr>
            <w:tcW w:w="0" w:type="auto"/>
            <w:vMerge/>
            <w:shd w:val="clear" w:color="auto" w:fill="auto"/>
            <w:noWrap/>
            <w:vAlign w:val="center"/>
          </w:tcPr>
          <w:p w14:paraId="5CCE48DE" w14:textId="77777777" w:rsidR="00B868D7" w:rsidRPr="003C4B2D" w:rsidRDefault="00B868D7" w:rsidP="00B868D7">
            <w:pPr>
              <w:rPr>
                <w:rFonts w:eastAsia="Times New Roman"/>
                <w:b/>
                <w:bCs/>
                <w:color w:val="000000"/>
                <w:sz w:val="20"/>
                <w:szCs w:val="20"/>
              </w:rPr>
            </w:pPr>
          </w:p>
        </w:tc>
        <w:tc>
          <w:tcPr>
            <w:tcW w:w="0" w:type="auto"/>
            <w:shd w:val="clear" w:color="auto" w:fill="auto"/>
            <w:noWrap/>
            <w:vAlign w:val="center"/>
          </w:tcPr>
          <w:p w14:paraId="70CE46EF"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OR (95% CI)</w:t>
            </w:r>
          </w:p>
        </w:tc>
        <w:tc>
          <w:tcPr>
            <w:tcW w:w="0" w:type="auto"/>
            <w:shd w:val="clear" w:color="auto" w:fill="auto"/>
            <w:noWrap/>
            <w:vAlign w:val="center"/>
          </w:tcPr>
          <w:p w14:paraId="34843A4F"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Intercept (95% CI)</w:t>
            </w:r>
          </w:p>
        </w:tc>
        <w:tc>
          <w:tcPr>
            <w:tcW w:w="0" w:type="auto"/>
            <w:vAlign w:val="center"/>
          </w:tcPr>
          <w:p w14:paraId="4FBDA95D"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Beta (95% CI)</w:t>
            </w:r>
          </w:p>
        </w:tc>
        <w:tc>
          <w:tcPr>
            <w:tcW w:w="0" w:type="auto"/>
            <w:vAlign w:val="center"/>
          </w:tcPr>
          <w:p w14:paraId="3A172542"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Intercept (95% CI)</w:t>
            </w:r>
          </w:p>
        </w:tc>
        <w:tc>
          <w:tcPr>
            <w:tcW w:w="0" w:type="auto"/>
            <w:vAlign w:val="center"/>
          </w:tcPr>
          <w:p w14:paraId="24FD31F7"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OR (95% CI)</w:t>
            </w:r>
          </w:p>
        </w:tc>
        <w:tc>
          <w:tcPr>
            <w:tcW w:w="0" w:type="auto"/>
            <w:vAlign w:val="center"/>
          </w:tcPr>
          <w:p w14:paraId="2072942B" w14:textId="77777777" w:rsidR="00B868D7" w:rsidRPr="003C4B2D" w:rsidRDefault="00B868D7" w:rsidP="00B868D7">
            <w:pPr>
              <w:rPr>
                <w:rFonts w:eastAsia="Times New Roman"/>
                <w:color w:val="000000"/>
                <w:sz w:val="20"/>
                <w:szCs w:val="20"/>
              </w:rPr>
            </w:pPr>
            <w:r w:rsidRPr="003C4B2D">
              <w:rPr>
                <w:rFonts w:eastAsia="Times New Roman"/>
                <w:color w:val="000000"/>
                <w:sz w:val="20"/>
                <w:szCs w:val="20"/>
              </w:rPr>
              <w:t>Intercept (95% CI)</w:t>
            </w:r>
          </w:p>
        </w:tc>
      </w:tr>
      <w:tr w:rsidR="003C4B2D" w:rsidRPr="003C4B2D" w14:paraId="7D707BD0" w14:textId="77777777" w:rsidTr="00885C57">
        <w:trPr>
          <w:trHeight w:val="284"/>
          <w:tblHeader/>
          <w:jc w:val="center"/>
        </w:trPr>
        <w:tc>
          <w:tcPr>
            <w:tcW w:w="0" w:type="auto"/>
            <w:shd w:val="clear" w:color="auto" w:fill="auto"/>
            <w:noWrap/>
            <w:vAlign w:val="center"/>
            <w:hideMark/>
          </w:tcPr>
          <w:p w14:paraId="487A9633" w14:textId="77777777" w:rsidR="003C4B2D" w:rsidRPr="003C4B2D" w:rsidRDefault="001A30A7" w:rsidP="00B868D7">
            <w:pPr>
              <w:rPr>
                <w:rFonts w:eastAsia="Times New Roman"/>
                <w:b/>
                <w:bCs/>
                <w:color w:val="000000"/>
                <w:sz w:val="20"/>
                <w:szCs w:val="20"/>
              </w:rPr>
            </w:pPr>
            <w:r>
              <w:rPr>
                <w:rFonts w:eastAsia="Times New Roman"/>
                <w:b/>
                <w:bCs/>
                <w:color w:val="000000"/>
                <w:sz w:val="20"/>
                <w:szCs w:val="20"/>
              </w:rPr>
              <w:t>Drug</w:t>
            </w:r>
            <w:r w:rsidR="003C4B2D" w:rsidRPr="003C4B2D">
              <w:rPr>
                <w:rFonts w:eastAsia="Times New Roman"/>
                <w:b/>
                <w:bCs/>
                <w:color w:val="000000"/>
                <w:sz w:val="20"/>
                <w:szCs w:val="20"/>
              </w:rPr>
              <w:t xml:space="preserve"> use by respondent</w:t>
            </w:r>
          </w:p>
        </w:tc>
        <w:tc>
          <w:tcPr>
            <w:tcW w:w="0" w:type="auto"/>
            <w:shd w:val="clear" w:color="auto" w:fill="auto"/>
            <w:noWrap/>
            <w:vAlign w:val="center"/>
            <w:hideMark/>
          </w:tcPr>
          <w:p w14:paraId="21E0F3D4"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1.73* (1.12, 2.70)</w:t>
            </w:r>
          </w:p>
        </w:tc>
        <w:tc>
          <w:tcPr>
            <w:tcW w:w="0" w:type="auto"/>
            <w:shd w:val="clear" w:color="auto" w:fill="auto"/>
            <w:noWrap/>
            <w:vAlign w:val="center"/>
            <w:hideMark/>
          </w:tcPr>
          <w:p w14:paraId="4DF6C29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0.41*** (0.28, 0.60)</w:t>
            </w:r>
          </w:p>
        </w:tc>
        <w:tc>
          <w:tcPr>
            <w:tcW w:w="0" w:type="auto"/>
            <w:vAlign w:val="center"/>
          </w:tcPr>
          <w:p w14:paraId="0E92F125"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0.25 (-0.09, 0.59)</w:t>
            </w:r>
          </w:p>
        </w:tc>
        <w:tc>
          <w:tcPr>
            <w:tcW w:w="0" w:type="auto"/>
            <w:vAlign w:val="center"/>
          </w:tcPr>
          <w:p w14:paraId="3639E25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6.61*** (6.33, 6.89)</w:t>
            </w:r>
          </w:p>
        </w:tc>
        <w:tc>
          <w:tcPr>
            <w:tcW w:w="0" w:type="auto"/>
            <w:vAlign w:val="center"/>
          </w:tcPr>
          <w:p w14:paraId="65AC415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0.62 (0.31, 1.22)</w:t>
            </w:r>
          </w:p>
        </w:tc>
        <w:tc>
          <w:tcPr>
            <w:tcW w:w="0" w:type="auto"/>
            <w:vAlign w:val="center"/>
          </w:tcPr>
          <w:p w14:paraId="1C54D4B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10.46*** (5.71, 19.16)</w:t>
            </w:r>
          </w:p>
        </w:tc>
      </w:tr>
      <w:tr w:rsidR="003C4B2D" w:rsidRPr="003C4B2D" w14:paraId="5B9147A3" w14:textId="77777777" w:rsidTr="00885C57">
        <w:trPr>
          <w:trHeight w:val="284"/>
          <w:tblHeader/>
          <w:jc w:val="center"/>
        </w:trPr>
        <w:tc>
          <w:tcPr>
            <w:tcW w:w="0" w:type="auto"/>
            <w:shd w:val="clear" w:color="auto" w:fill="auto"/>
            <w:noWrap/>
            <w:vAlign w:val="center"/>
            <w:hideMark/>
          </w:tcPr>
          <w:p w14:paraId="5F4AE1E2" w14:textId="77777777" w:rsidR="003C4B2D" w:rsidRPr="003C4B2D" w:rsidRDefault="001A30A7" w:rsidP="00B868D7">
            <w:pPr>
              <w:rPr>
                <w:rFonts w:eastAsia="Times New Roman"/>
                <w:color w:val="000000"/>
                <w:sz w:val="20"/>
                <w:szCs w:val="20"/>
              </w:rPr>
            </w:pPr>
            <w:r>
              <w:rPr>
                <w:rFonts w:eastAsia="Times New Roman"/>
                <w:b/>
                <w:bCs/>
                <w:color w:val="000000"/>
                <w:sz w:val="20"/>
                <w:szCs w:val="20"/>
              </w:rPr>
              <w:t>Drug</w:t>
            </w:r>
            <w:r w:rsidR="003C4B2D" w:rsidRPr="003C4B2D">
              <w:rPr>
                <w:rFonts w:eastAsia="Times New Roman"/>
                <w:b/>
                <w:bCs/>
                <w:color w:val="000000"/>
                <w:sz w:val="20"/>
                <w:szCs w:val="20"/>
              </w:rPr>
              <w:t xml:space="preserve"> use by partner</w:t>
            </w:r>
          </w:p>
        </w:tc>
        <w:tc>
          <w:tcPr>
            <w:tcW w:w="0" w:type="auto"/>
            <w:shd w:val="clear" w:color="000000" w:fill="D9D9D9"/>
            <w:noWrap/>
            <w:vAlign w:val="center"/>
            <w:hideMark/>
          </w:tcPr>
          <w:p w14:paraId="56C876BD" w14:textId="77777777" w:rsidR="003C4B2D" w:rsidRPr="003C4B2D" w:rsidRDefault="003C4B2D" w:rsidP="00B868D7">
            <w:pPr>
              <w:rPr>
                <w:rFonts w:eastAsia="Times New Roman"/>
                <w:color w:val="000000"/>
                <w:sz w:val="20"/>
                <w:szCs w:val="20"/>
              </w:rPr>
            </w:pPr>
          </w:p>
        </w:tc>
        <w:tc>
          <w:tcPr>
            <w:tcW w:w="0" w:type="auto"/>
            <w:shd w:val="clear" w:color="auto" w:fill="auto"/>
            <w:noWrap/>
            <w:vAlign w:val="center"/>
            <w:hideMark/>
          </w:tcPr>
          <w:p w14:paraId="6380101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0.45*** (0.31, 0.66)</w:t>
            </w:r>
          </w:p>
        </w:tc>
        <w:tc>
          <w:tcPr>
            <w:tcW w:w="0" w:type="auto"/>
            <w:shd w:val="clear" w:color="auto" w:fill="D9D9D9" w:themeFill="background1" w:themeFillShade="D9"/>
            <w:vAlign w:val="center"/>
          </w:tcPr>
          <w:p w14:paraId="42F7387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vAlign w:val="center"/>
          </w:tcPr>
          <w:p w14:paraId="213E512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6.86*** (6.58, 7.15)</w:t>
            </w:r>
          </w:p>
        </w:tc>
        <w:tc>
          <w:tcPr>
            <w:tcW w:w="0" w:type="auto"/>
            <w:shd w:val="clear" w:color="auto" w:fill="D9D9D9" w:themeFill="background1" w:themeFillShade="D9"/>
            <w:vAlign w:val="center"/>
          </w:tcPr>
          <w:p w14:paraId="6EBCEF4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vAlign w:val="center"/>
          </w:tcPr>
          <w:p w14:paraId="613579D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10.37*** (5.54, 19.41)</w:t>
            </w:r>
          </w:p>
        </w:tc>
      </w:tr>
      <w:tr w:rsidR="003C4B2D" w:rsidRPr="003C4B2D" w14:paraId="5B2B43F9" w14:textId="77777777" w:rsidTr="00885C57">
        <w:trPr>
          <w:trHeight w:val="284"/>
          <w:tblHeader/>
          <w:jc w:val="center"/>
        </w:trPr>
        <w:tc>
          <w:tcPr>
            <w:tcW w:w="0" w:type="auto"/>
            <w:shd w:val="clear" w:color="auto" w:fill="auto"/>
            <w:noWrap/>
            <w:vAlign w:val="center"/>
            <w:hideMark/>
          </w:tcPr>
          <w:p w14:paraId="6F761A12"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 xml:space="preserve">No </w:t>
            </w:r>
            <w:r w:rsidR="001A30A7">
              <w:rPr>
                <w:rFonts w:eastAsia="Times New Roman"/>
                <w:color w:val="000000"/>
                <w:sz w:val="20"/>
                <w:szCs w:val="20"/>
              </w:rPr>
              <w:t>drug</w:t>
            </w:r>
            <w:r w:rsidRPr="003C4B2D">
              <w:rPr>
                <w:rFonts w:eastAsia="Times New Roman"/>
                <w:color w:val="000000"/>
                <w:sz w:val="20"/>
                <w:szCs w:val="20"/>
              </w:rPr>
              <w:t xml:space="preserve"> use</w:t>
            </w:r>
          </w:p>
        </w:tc>
        <w:tc>
          <w:tcPr>
            <w:tcW w:w="0" w:type="auto"/>
            <w:shd w:val="clear" w:color="auto" w:fill="auto"/>
            <w:noWrap/>
            <w:vAlign w:val="center"/>
            <w:hideMark/>
          </w:tcPr>
          <w:p w14:paraId="20D306EC"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Reference</w:t>
            </w:r>
          </w:p>
        </w:tc>
        <w:tc>
          <w:tcPr>
            <w:tcW w:w="0" w:type="auto"/>
            <w:shd w:val="clear" w:color="000000" w:fill="D9D9D9"/>
            <w:noWrap/>
            <w:vAlign w:val="center"/>
            <w:hideMark/>
          </w:tcPr>
          <w:p w14:paraId="5ABD523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2C08EB7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6D3D1C8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5C7B3B28"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7E9953A8" w14:textId="77777777" w:rsidR="003C4B2D" w:rsidRPr="003C4B2D" w:rsidRDefault="003C4B2D" w:rsidP="00B868D7">
            <w:pPr>
              <w:rPr>
                <w:rFonts w:eastAsia="Times New Roman"/>
                <w:color w:val="000000"/>
                <w:sz w:val="20"/>
                <w:szCs w:val="20"/>
              </w:rPr>
            </w:pPr>
          </w:p>
        </w:tc>
      </w:tr>
      <w:tr w:rsidR="003C4B2D" w:rsidRPr="003C4B2D" w14:paraId="563AC53E" w14:textId="77777777" w:rsidTr="00885C57">
        <w:trPr>
          <w:trHeight w:val="284"/>
          <w:tblHeader/>
          <w:jc w:val="center"/>
        </w:trPr>
        <w:tc>
          <w:tcPr>
            <w:tcW w:w="0" w:type="auto"/>
            <w:shd w:val="clear" w:color="auto" w:fill="auto"/>
            <w:noWrap/>
            <w:vAlign w:val="center"/>
            <w:hideMark/>
          </w:tcPr>
          <w:p w14:paraId="25DB8FA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Don't know</w:t>
            </w:r>
          </w:p>
        </w:tc>
        <w:tc>
          <w:tcPr>
            <w:tcW w:w="0" w:type="auto"/>
            <w:shd w:val="clear" w:color="auto" w:fill="auto"/>
            <w:noWrap/>
            <w:vAlign w:val="center"/>
            <w:hideMark/>
          </w:tcPr>
          <w:p w14:paraId="7323F97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1.33 (0.80, 2.23)</w:t>
            </w:r>
          </w:p>
        </w:tc>
        <w:tc>
          <w:tcPr>
            <w:tcW w:w="0" w:type="auto"/>
            <w:shd w:val="clear" w:color="000000" w:fill="D9D9D9"/>
            <w:noWrap/>
            <w:vAlign w:val="center"/>
            <w:hideMark/>
          </w:tcPr>
          <w:p w14:paraId="4625988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2B5A4918"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-0.50* (-0.91, -0.09)</w:t>
            </w:r>
          </w:p>
        </w:tc>
        <w:tc>
          <w:tcPr>
            <w:tcW w:w="0" w:type="auto"/>
            <w:shd w:val="clear" w:color="000000" w:fill="D9D9D9"/>
            <w:vAlign w:val="center"/>
          </w:tcPr>
          <w:p w14:paraId="41B2D87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0527104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0.78 (0.34, 1.77)</w:t>
            </w:r>
          </w:p>
        </w:tc>
        <w:tc>
          <w:tcPr>
            <w:tcW w:w="0" w:type="auto"/>
            <w:shd w:val="clear" w:color="000000" w:fill="D9D9D9"/>
            <w:vAlign w:val="center"/>
          </w:tcPr>
          <w:p w14:paraId="46A8D68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277EB55B" w14:textId="77777777" w:rsidTr="00885C57">
        <w:trPr>
          <w:trHeight w:val="284"/>
          <w:tblHeader/>
          <w:jc w:val="center"/>
        </w:trPr>
        <w:tc>
          <w:tcPr>
            <w:tcW w:w="0" w:type="auto"/>
            <w:shd w:val="clear" w:color="auto" w:fill="auto"/>
            <w:noWrap/>
            <w:vAlign w:val="center"/>
            <w:hideMark/>
          </w:tcPr>
          <w:p w14:paraId="27ADD15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Yes, but unsure what</w:t>
            </w:r>
          </w:p>
        </w:tc>
        <w:tc>
          <w:tcPr>
            <w:tcW w:w="0" w:type="auto"/>
            <w:shd w:val="clear" w:color="auto" w:fill="auto"/>
            <w:noWrap/>
            <w:vAlign w:val="center"/>
            <w:hideMark/>
          </w:tcPr>
          <w:p w14:paraId="5243B238"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1.33 (0.72, 2.46)</w:t>
            </w:r>
          </w:p>
        </w:tc>
        <w:tc>
          <w:tcPr>
            <w:tcW w:w="0" w:type="auto"/>
            <w:shd w:val="clear" w:color="000000" w:fill="D9D9D9"/>
            <w:noWrap/>
            <w:vAlign w:val="center"/>
            <w:hideMark/>
          </w:tcPr>
          <w:p w14:paraId="0A18E51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781A4A0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0.20 (-0.30, 0.69)</w:t>
            </w:r>
          </w:p>
        </w:tc>
        <w:tc>
          <w:tcPr>
            <w:tcW w:w="0" w:type="auto"/>
            <w:shd w:val="clear" w:color="000000" w:fill="D9D9D9"/>
            <w:vAlign w:val="center"/>
          </w:tcPr>
          <w:p w14:paraId="2397974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0992A435" w14:textId="77777777" w:rsidR="003C4B2D" w:rsidRPr="003C4B2D" w:rsidRDefault="003C4B2D" w:rsidP="00B868D7">
            <w:pPr>
              <w:rPr>
                <w:rFonts w:eastAsia="Times New Roman"/>
                <w:i/>
                <w:iCs/>
                <w:color w:val="000000"/>
                <w:sz w:val="20"/>
                <w:szCs w:val="20"/>
              </w:rPr>
            </w:pPr>
            <w:r w:rsidRPr="003C4B2D">
              <w:rPr>
                <w:rFonts w:eastAsia="Times New Roman"/>
                <w:i/>
                <w:iCs/>
                <w:color w:val="000000"/>
                <w:sz w:val="20"/>
                <w:szCs w:val="20"/>
              </w:rPr>
              <w:t>0.47 (0.19, 1.13)</w:t>
            </w:r>
          </w:p>
        </w:tc>
        <w:tc>
          <w:tcPr>
            <w:tcW w:w="0" w:type="auto"/>
            <w:shd w:val="clear" w:color="000000" w:fill="D9D9D9"/>
            <w:vAlign w:val="center"/>
          </w:tcPr>
          <w:p w14:paraId="59B247F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67A8E33B" w14:textId="77777777" w:rsidTr="00885C57">
        <w:trPr>
          <w:trHeight w:val="284"/>
          <w:tblHeader/>
          <w:jc w:val="center"/>
        </w:trPr>
        <w:tc>
          <w:tcPr>
            <w:tcW w:w="0" w:type="auto"/>
            <w:shd w:val="clear" w:color="auto" w:fill="auto"/>
            <w:noWrap/>
            <w:vAlign w:val="center"/>
            <w:hideMark/>
          </w:tcPr>
          <w:p w14:paraId="43001E8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Yes, specifically</w:t>
            </w:r>
          </w:p>
        </w:tc>
        <w:tc>
          <w:tcPr>
            <w:tcW w:w="0" w:type="auto"/>
            <w:shd w:val="clear" w:color="auto" w:fill="auto"/>
            <w:noWrap/>
            <w:vAlign w:val="center"/>
            <w:hideMark/>
          </w:tcPr>
          <w:p w14:paraId="769F086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1.71* (1.03, 2.83)</w:t>
            </w:r>
          </w:p>
        </w:tc>
        <w:tc>
          <w:tcPr>
            <w:tcW w:w="0" w:type="auto"/>
            <w:shd w:val="clear" w:color="000000" w:fill="D9D9D9"/>
            <w:noWrap/>
            <w:vAlign w:val="center"/>
            <w:hideMark/>
          </w:tcPr>
          <w:p w14:paraId="4E12A445"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3C34DC4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0.08 (-0.32, 0.49)</w:t>
            </w:r>
          </w:p>
        </w:tc>
        <w:tc>
          <w:tcPr>
            <w:tcW w:w="0" w:type="auto"/>
            <w:shd w:val="clear" w:color="000000" w:fill="D9D9D9"/>
            <w:vAlign w:val="center"/>
          </w:tcPr>
          <w:p w14:paraId="52F3A19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678B7CE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0.63 (0.28, 1.39)</w:t>
            </w:r>
          </w:p>
        </w:tc>
        <w:tc>
          <w:tcPr>
            <w:tcW w:w="0" w:type="auto"/>
            <w:shd w:val="clear" w:color="000000" w:fill="D9D9D9"/>
            <w:vAlign w:val="center"/>
          </w:tcPr>
          <w:p w14:paraId="6D441364"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1B267282" w14:textId="77777777" w:rsidTr="00885C57">
        <w:trPr>
          <w:trHeight w:val="284"/>
          <w:tblHeader/>
          <w:jc w:val="center"/>
        </w:trPr>
        <w:tc>
          <w:tcPr>
            <w:tcW w:w="0" w:type="auto"/>
            <w:tcBorders>
              <w:bottom w:val="single" w:sz="4" w:space="0" w:color="auto"/>
            </w:tcBorders>
            <w:shd w:val="clear" w:color="auto" w:fill="auto"/>
            <w:noWrap/>
            <w:vAlign w:val="center"/>
            <w:hideMark/>
          </w:tcPr>
          <w:p w14:paraId="55222AAB" w14:textId="77777777" w:rsidR="003C4B2D" w:rsidRPr="003C4B2D" w:rsidRDefault="003C4B2D" w:rsidP="00B868D7">
            <w:pPr>
              <w:rPr>
                <w:rFonts w:eastAsia="Times New Roman"/>
                <w:color w:val="000000"/>
                <w:sz w:val="20"/>
                <w:szCs w:val="20"/>
              </w:rPr>
            </w:pPr>
            <w:r w:rsidRPr="003C4B2D">
              <w:rPr>
                <w:rFonts w:eastAsia="Times New Roman"/>
                <w:b/>
                <w:bCs/>
                <w:color w:val="000000"/>
                <w:sz w:val="20"/>
                <w:szCs w:val="20"/>
              </w:rPr>
              <w:t>Number of participants</w:t>
            </w:r>
          </w:p>
        </w:tc>
        <w:tc>
          <w:tcPr>
            <w:tcW w:w="0" w:type="auto"/>
            <w:tcBorders>
              <w:bottom w:val="single" w:sz="4" w:space="0" w:color="auto"/>
            </w:tcBorders>
            <w:shd w:val="clear" w:color="auto" w:fill="auto"/>
            <w:noWrap/>
            <w:vAlign w:val="center"/>
            <w:hideMark/>
          </w:tcPr>
          <w:p w14:paraId="1ACBD2F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1.04 (0.99, 1.08)</w:t>
            </w:r>
          </w:p>
        </w:tc>
        <w:tc>
          <w:tcPr>
            <w:tcW w:w="0" w:type="auto"/>
            <w:tcBorders>
              <w:bottom w:val="single" w:sz="4" w:space="0" w:color="auto"/>
            </w:tcBorders>
            <w:shd w:val="clear" w:color="auto" w:fill="auto"/>
            <w:noWrap/>
            <w:vAlign w:val="center"/>
            <w:hideMark/>
          </w:tcPr>
          <w:p w14:paraId="1869165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0.52*** (0.39, 0.69)</w:t>
            </w:r>
          </w:p>
        </w:tc>
        <w:tc>
          <w:tcPr>
            <w:tcW w:w="0" w:type="auto"/>
            <w:tcBorders>
              <w:bottom w:val="single" w:sz="4" w:space="0" w:color="auto"/>
            </w:tcBorders>
            <w:shd w:val="clear" w:color="auto" w:fill="auto"/>
            <w:vAlign w:val="center"/>
          </w:tcPr>
          <w:p w14:paraId="128ABB75"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0.05** (0.02, 0.09)</w:t>
            </w:r>
          </w:p>
        </w:tc>
        <w:tc>
          <w:tcPr>
            <w:tcW w:w="0" w:type="auto"/>
            <w:tcBorders>
              <w:bottom w:val="single" w:sz="4" w:space="0" w:color="auto"/>
            </w:tcBorders>
            <w:vAlign w:val="center"/>
          </w:tcPr>
          <w:p w14:paraId="6F4645A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6.58*** (6.37, 6.79)</w:t>
            </w:r>
          </w:p>
        </w:tc>
        <w:tc>
          <w:tcPr>
            <w:tcW w:w="0" w:type="auto"/>
            <w:tcBorders>
              <w:bottom w:val="single" w:sz="4" w:space="0" w:color="auto"/>
            </w:tcBorders>
            <w:vAlign w:val="center"/>
          </w:tcPr>
          <w:p w14:paraId="75EB02D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1.11 (0.97, 1.27)</w:t>
            </w:r>
          </w:p>
        </w:tc>
        <w:tc>
          <w:tcPr>
            <w:tcW w:w="0" w:type="auto"/>
            <w:tcBorders>
              <w:bottom w:val="single" w:sz="4" w:space="0" w:color="auto"/>
            </w:tcBorders>
            <w:vAlign w:val="center"/>
          </w:tcPr>
          <w:p w14:paraId="53D7DC2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5.25*** (3.18, 8.68)</w:t>
            </w:r>
          </w:p>
        </w:tc>
      </w:tr>
      <w:tr w:rsidR="003C4B2D" w:rsidRPr="003C4B2D" w14:paraId="4FD88E53" w14:textId="77777777" w:rsidTr="00885C57">
        <w:trPr>
          <w:trHeight w:val="284"/>
          <w:tblHeader/>
          <w:jc w:val="center"/>
        </w:trPr>
        <w:tc>
          <w:tcPr>
            <w:tcW w:w="0" w:type="auto"/>
            <w:shd w:val="clear" w:color="auto" w:fill="auto"/>
            <w:noWrap/>
            <w:vAlign w:val="center"/>
            <w:hideMark/>
          </w:tcPr>
          <w:p w14:paraId="2D0395A2" w14:textId="77777777" w:rsidR="003C4B2D" w:rsidRPr="003C4B2D" w:rsidRDefault="00885C57" w:rsidP="00B868D7">
            <w:pPr>
              <w:rPr>
                <w:rFonts w:eastAsia="Times New Roman"/>
                <w:b/>
                <w:bCs/>
                <w:color w:val="000000"/>
                <w:sz w:val="20"/>
                <w:szCs w:val="20"/>
              </w:rPr>
            </w:pPr>
            <w:r>
              <w:rPr>
                <w:rFonts w:eastAsia="Times New Roman"/>
                <w:b/>
                <w:bCs/>
                <w:color w:val="000000"/>
                <w:sz w:val="20"/>
                <w:szCs w:val="20"/>
              </w:rPr>
              <w:t>HIV s</w:t>
            </w:r>
            <w:r w:rsidR="003C4B2D" w:rsidRPr="003C4B2D">
              <w:rPr>
                <w:rFonts w:eastAsia="Times New Roman"/>
                <w:b/>
                <w:bCs/>
                <w:color w:val="000000"/>
                <w:sz w:val="20"/>
                <w:szCs w:val="20"/>
              </w:rPr>
              <w:t>erodiscordance</w:t>
            </w:r>
          </w:p>
        </w:tc>
        <w:tc>
          <w:tcPr>
            <w:tcW w:w="0" w:type="auto"/>
            <w:shd w:val="clear" w:color="auto" w:fill="D9D9D9" w:themeFill="background1" w:themeFillShade="D9"/>
            <w:noWrap/>
            <w:vAlign w:val="center"/>
            <w:hideMark/>
          </w:tcPr>
          <w:p w14:paraId="7D90285D" w14:textId="77777777" w:rsidR="003C4B2D" w:rsidRPr="003C4B2D" w:rsidRDefault="003C4B2D" w:rsidP="00B868D7">
            <w:pPr>
              <w:rPr>
                <w:rFonts w:eastAsia="Times New Roman"/>
                <w:color w:val="000000"/>
                <w:sz w:val="20"/>
                <w:szCs w:val="20"/>
              </w:rPr>
            </w:pPr>
          </w:p>
        </w:tc>
        <w:tc>
          <w:tcPr>
            <w:tcW w:w="0" w:type="auto"/>
            <w:shd w:val="clear" w:color="000000" w:fill="auto"/>
            <w:noWrap/>
            <w:vAlign w:val="center"/>
            <w:hideMark/>
          </w:tcPr>
          <w:p w14:paraId="1E6960B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1.18 (0.78, 1.78)</w:t>
            </w:r>
          </w:p>
        </w:tc>
        <w:tc>
          <w:tcPr>
            <w:tcW w:w="0" w:type="auto"/>
            <w:shd w:val="clear" w:color="auto" w:fill="D9D9D9" w:themeFill="background1" w:themeFillShade="D9"/>
            <w:vAlign w:val="center"/>
          </w:tcPr>
          <w:p w14:paraId="4BAEFEC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1371E78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7.04*** (6.70, 7.38)</w:t>
            </w:r>
          </w:p>
        </w:tc>
        <w:tc>
          <w:tcPr>
            <w:tcW w:w="0" w:type="auto"/>
            <w:shd w:val="clear" w:color="000000" w:fill="D9D9D9" w:themeFill="background1" w:themeFillShade="D9"/>
            <w:vAlign w:val="center"/>
          </w:tcPr>
          <w:p w14:paraId="13CBCC7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0C706B7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7.45*** (4.07, 13.66)</w:t>
            </w:r>
          </w:p>
        </w:tc>
      </w:tr>
      <w:tr w:rsidR="003C4B2D" w:rsidRPr="003C4B2D" w14:paraId="0FCD2231" w14:textId="77777777" w:rsidTr="00885C57">
        <w:trPr>
          <w:trHeight w:val="284"/>
          <w:tblHeader/>
          <w:jc w:val="center"/>
        </w:trPr>
        <w:tc>
          <w:tcPr>
            <w:tcW w:w="0" w:type="auto"/>
            <w:shd w:val="clear" w:color="auto" w:fill="auto"/>
            <w:noWrap/>
            <w:vAlign w:val="center"/>
            <w:hideMark/>
          </w:tcPr>
          <w:p w14:paraId="41D8DFEB" w14:textId="77777777" w:rsidR="003C4B2D" w:rsidRPr="003C4B2D" w:rsidRDefault="00B868D7" w:rsidP="00B868D7">
            <w:pPr>
              <w:rPr>
                <w:rFonts w:eastAsia="Times New Roman"/>
                <w:b/>
                <w:bCs/>
                <w:color w:val="000000"/>
                <w:sz w:val="20"/>
                <w:szCs w:val="20"/>
              </w:rPr>
            </w:pPr>
            <w:r>
              <w:rPr>
                <w:rFonts w:eastAsia="Times New Roman"/>
                <w:color w:val="000000"/>
                <w:sz w:val="20"/>
                <w:szCs w:val="20"/>
              </w:rPr>
              <w:t>Seroconcordant</w:t>
            </w:r>
          </w:p>
        </w:tc>
        <w:tc>
          <w:tcPr>
            <w:tcW w:w="0" w:type="auto"/>
            <w:shd w:val="clear" w:color="auto" w:fill="auto"/>
            <w:noWrap/>
            <w:vAlign w:val="center"/>
            <w:hideMark/>
          </w:tcPr>
          <w:p w14:paraId="3813051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noWrap/>
            <w:vAlign w:val="center"/>
            <w:hideMark/>
          </w:tcPr>
          <w:p w14:paraId="4CB6876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1175BB5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6CA187B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0BDF984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1BE087F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683AECAA" w14:textId="77777777" w:rsidTr="00885C57">
        <w:trPr>
          <w:trHeight w:val="284"/>
          <w:tblHeader/>
          <w:jc w:val="center"/>
        </w:trPr>
        <w:tc>
          <w:tcPr>
            <w:tcW w:w="0" w:type="auto"/>
            <w:shd w:val="clear" w:color="auto" w:fill="auto"/>
            <w:noWrap/>
            <w:vAlign w:val="center"/>
          </w:tcPr>
          <w:p w14:paraId="4BA57742" w14:textId="77777777" w:rsidR="003C4B2D" w:rsidRPr="003C4B2D" w:rsidRDefault="00B868D7" w:rsidP="00B868D7">
            <w:pPr>
              <w:rPr>
                <w:rFonts w:eastAsia="Times New Roman"/>
                <w:b/>
                <w:bCs/>
                <w:color w:val="000000"/>
                <w:sz w:val="20"/>
                <w:szCs w:val="20"/>
              </w:rPr>
            </w:pPr>
            <w:r>
              <w:rPr>
                <w:rFonts w:eastAsia="Times New Roman"/>
                <w:color w:val="000000"/>
                <w:sz w:val="20"/>
                <w:szCs w:val="20"/>
              </w:rPr>
              <w:t>Unknown serostatus match</w:t>
            </w:r>
          </w:p>
        </w:tc>
        <w:tc>
          <w:tcPr>
            <w:tcW w:w="0" w:type="auto"/>
            <w:shd w:val="clear" w:color="auto" w:fill="auto"/>
            <w:noWrap/>
            <w:vAlign w:val="center"/>
          </w:tcPr>
          <w:p w14:paraId="25DD076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0.39*** (0.25, 0.63)</w:t>
            </w:r>
          </w:p>
        </w:tc>
        <w:tc>
          <w:tcPr>
            <w:tcW w:w="0" w:type="auto"/>
            <w:shd w:val="clear" w:color="000000" w:fill="D9D9D9"/>
            <w:noWrap/>
            <w:vAlign w:val="center"/>
          </w:tcPr>
          <w:p w14:paraId="2B72C261" w14:textId="77777777" w:rsidR="003C4B2D" w:rsidRPr="003C4B2D" w:rsidRDefault="003C4B2D" w:rsidP="00B868D7">
            <w:pPr>
              <w:rPr>
                <w:rFonts w:eastAsia="Times New Roman"/>
                <w:color w:val="000000"/>
                <w:sz w:val="20"/>
                <w:szCs w:val="20"/>
              </w:rPr>
            </w:pPr>
            <w:r w:rsidRPr="003C4B2D">
              <w:rPr>
                <w:rFonts w:eastAsia="Times New Roman"/>
                <w:b/>
                <w:bCs/>
                <w:color w:val="000000"/>
                <w:sz w:val="20"/>
                <w:szCs w:val="20"/>
              </w:rPr>
              <w:t> </w:t>
            </w:r>
          </w:p>
        </w:tc>
        <w:tc>
          <w:tcPr>
            <w:tcW w:w="0" w:type="auto"/>
            <w:shd w:val="clear" w:color="auto" w:fill="auto"/>
            <w:vAlign w:val="center"/>
          </w:tcPr>
          <w:p w14:paraId="6C97DEA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-0.38* (-0.76, -0.001)</w:t>
            </w:r>
          </w:p>
        </w:tc>
        <w:tc>
          <w:tcPr>
            <w:tcW w:w="0" w:type="auto"/>
            <w:shd w:val="clear" w:color="000000" w:fill="D9D9D9"/>
            <w:vAlign w:val="center"/>
          </w:tcPr>
          <w:p w14:paraId="1945773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18FB955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1.00 (0.52, 1.92)</w:t>
            </w:r>
          </w:p>
        </w:tc>
        <w:tc>
          <w:tcPr>
            <w:tcW w:w="0" w:type="auto"/>
            <w:shd w:val="clear" w:color="000000" w:fill="D9D9D9"/>
            <w:vAlign w:val="center"/>
          </w:tcPr>
          <w:p w14:paraId="069DA120" w14:textId="77777777" w:rsidR="003C4B2D" w:rsidRPr="003C4B2D" w:rsidRDefault="003C4B2D" w:rsidP="00B868D7">
            <w:pPr>
              <w:rPr>
                <w:rFonts w:eastAsia="Times New Roman"/>
                <w:b/>
                <w:bCs/>
                <w:color w:val="000000"/>
                <w:sz w:val="20"/>
                <w:szCs w:val="20"/>
              </w:rPr>
            </w:pPr>
            <w:r w:rsidRPr="003C4B2D">
              <w:rPr>
                <w:rFonts w:eastAsia="Times New Roman"/>
                <w:b/>
                <w:bCs/>
                <w:color w:val="000000"/>
                <w:sz w:val="20"/>
                <w:szCs w:val="20"/>
              </w:rPr>
              <w:t> </w:t>
            </w:r>
          </w:p>
        </w:tc>
      </w:tr>
      <w:tr w:rsidR="003C4B2D" w:rsidRPr="003C4B2D" w14:paraId="70225692" w14:textId="77777777" w:rsidTr="00885C57">
        <w:trPr>
          <w:trHeight w:val="284"/>
          <w:tblHeader/>
          <w:jc w:val="center"/>
        </w:trPr>
        <w:tc>
          <w:tcPr>
            <w:tcW w:w="0" w:type="auto"/>
            <w:shd w:val="clear" w:color="auto" w:fill="auto"/>
            <w:noWrap/>
            <w:vAlign w:val="center"/>
          </w:tcPr>
          <w:p w14:paraId="37961DC2" w14:textId="77777777" w:rsidR="003C4B2D" w:rsidRPr="003C4B2D" w:rsidRDefault="00B868D7" w:rsidP="00B868D7">
            <w:pPr>
              <w:rPr>
                <w:rFonts w:eastAsia="Times New Roman"/>
                <w:color w:val="000000"/>
                <w:sz w:val="20"/>
                <w:szCs w:val="20"/>
              </w:rPr>
            </w:pPr>
            <w:r>
              <w:rPr>
                <w:rFonts w:eastAsia="Times New Roman"/>
                <w:color w:val="000000"/>
                <w:sz w:val="20"/>
                <w:szCs w:val="20"/>
              </w:rPr>
              <w:t>Serodiscordant</w:t>
            </w:r>
          </w:p>
        </w:tc>
        <w:tc>
          <w:tcPr>
            <w:tcW w:w="0" w:type="auto"/>
            <w:shd w:val="clear" w:color="auto" w:fill="auto"/>
            <w:noWrap/>
            <w:vAlign w:val="center"/>
          </w:tcPr>
          <w:p w14:paraId="150079D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0.62 (0.21, 1.81)</w:t>
            </w:r>
          </w:p>
        </w:tc>
        <w:tc>
          <w:tcPr>
            <w:tcW w:w="0" w:type="auto"/>
            <w:shd w:val="clear" w:color="000000" w:fill="D9D9D9"/>
            <w:noWrap/>
            <w:vAlign w:val="center"/>
          </w:tcPr>
          <w:p w14:paraId="4E4DEE5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1EBD47E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0.50 (-0.39, 1.39)</w:t>
            </w:r>
          </w:p>
        </w:tc>
        <w:tc>
          <w:tcPr>
            <w:tcW w:w="0" w:type="auto"/>
            <w:shd w:val="clear" w:color="000000" w:fill="D9D9D9"/>
            <w:vAlign w:val="center"/>
          </w:tcPr>
          <w:p w14:paraId="5E7C9A59" w14:textId="77777777" w:rsidR="003C4B2D" w:rsidRPr="003C4B2D" w:rsidRDefault="003C4B2D" w:rsidP="00B868D7">
            <w:pPr>
              <w:rPr>
                <w:rFonts w:eastAsia="Times New Roman"/>
                <w:b/>
                <w:bCs/>
                <w:color w:val="000000"/>
                <w:sz w:val="20"/>
                <w:szCs w:val="20"/>
              </w:rPr>
            </w:pPr>
            <w:r w:rsidRPr="003C4B2D">
              <w:rPr>
                <w:rFonts w:eastAsia="Times New Roman"/>
                <w:b/>
                <w:bCs/>
                <w:color w:val="000000"/>
                <w:sz w:val="20"/>
                <w:szCs w:val="20"/>
              </w:rPr>
              <w:t> </w:t>
            </w:r>
          </w:p>
        </w:tc>
        <w:tc>
          <w:tcPr>
            <w:tcW w:w="0" w:type="auto"/>
            <w:shd w:val="clear" w:color="000000" w:fill="auto"/>
            <w:vAlign w:val="center"/>
          </w:tcPr>
          <w:p w14:paraId="6D3A26F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1.02 (0.22, 4.84)</w:t>
            </w:r>
          </w:p>
        </w:tc>
        <w:tc>
          <w:tcPr>
            <w:tcW w:w="0" w:type="auto"/>
            <w:shd w:val="clear" w:color="000000" w:fill="D9D9D9"/>
            <w:vAlign w:val="center"/>
          </w:tcPr>
          <w:p w14:paraId="6AF5BB6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2225CEDC" w14:textId="77777777" w:rsidTr="00885C57">
        <w:trPr>
          <w:trHeight w:val="284"/>
          <w:tblHeader/>
          <w:jc w:val="center"/>
        </w:trPr>
        <w:tc>
          <w:tcPr>
            <w:tcW w:w="0" w:type="auto"/>
            <w:shd w:val="clear" w:color="auto" w:fill="auto"/>
            <w:noWrap/>
            <w:vAlign w:val="center"/>
          </w:tcPr>
          <w:p w14:paraId="70601340" w14:textId="77777777" w:rsidR="003C4B2D" w:rsidRPr="003C4B2D" w:rsidRDefault="003C4B2D" w:rsidP="00B868D7">
            <w:pPr>
              <w:rPr>
                <w:rFonts w:eastAsia="Times New Roman"/>
                <w:color w:val="000000"/>
                <w:sz w:val="20"/>
                <w:szCs w:val="20"/>
              </w:rPr>
            </w:pPr>
            <w:r w:rsidRPr="003C4B2D">
              <w:rPr>
                <w:rFonts w:eastAsia="Times New Roman"/>
                <w:b/>
                <w:bCs/>
                <w:color w:val="000000"/>
                <w:sz w:val="20"/>
                <w:szCs w:val="20"/>
              </w:rPr>
              <w:t>Location of sex</w:t>
            </w:r>
          </w:p>
        </w:tc>
        <w:tc>
          <w:tcPr>
            <w:tcW w:w="0" w:type="auto"/>
            <w:shd w:val="clear" w:color="auto" w:fill="D9D9D9" w:themeFill="background1" w:themeFillShade="D9"/>
            <w:noWrap/>
            <w:vAlign w:val="center"/>
          </w:tcPr>
          <w:p w14:paraId="30CF73F7" w14:textId="77777777" w:rsidR="003C4B2D" w:rsidRPr="003C4B2D" w:rsidRDefault="003C4B2D" w:rsidP="00B868D7">
            <w:pPr>
              <w:rPr>
                <w:rFonts w:eastAsia="Times New Roman"/>
                <w:color w:val="000000"/>
                <w:sz w:val="20"/>
                <w:szCs w:val="20"/>
              </w:rPr>
            </w:pPr>
          </w:p>
        </w:tc>
        <w:tc>
          <w:tcPr>
            <w:tcW w:w="0" w:type="auto"/>
            <w:shd w:val="clear" w:color="000000" w:fill="auto"/>
            <w:noWrap/>
            <w:vAlign w:val="center"/>
          </w:tcPr>
          <w:p w14:paraId="21A08BFF"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0.69** (0.52, 0.91)</w:t>
            </w:r>
          </w:p>
        </w:tc>
        <w:tc>
          <w:tcPr>
            <w:tcW w:w="0" w:type="auto"/>
            <w:shd w:val="clear" w:color="auto" w:fill="D9D9D9" w:themeFill="background1" w:themeFillShade="D9"/>
            <w:vAlign w:val="center"/>
          </w:tcPr>
          <w:p w14:paraId="27277122" w14:textId="77777777" w:rsidR="003C4B2D" w:rsidRPr="003C4B2D" w:rsidRDefault="003C4B2D" w:rsidP="00B868D7">
            <w:pPr>
              <w:rPr>
                <w:rFonts w:eastAsia="Times New Roman"/>
                <w:b/>
                <w:bCs/>
                <w:color w:val="000000"/>
                <w:sz w:val="20"/>
                <w:szCs w:val="20"/>
              </w:rPr>
            </w:pPr>
            <w:r w:rsidRPr="003C4B2D">
              <w:rPr>
                <w:rFonts w:eastAsia="Times New Roman"/>
                <w:b/>
                <w:bCs/>
                <w:color w:val="000000"/>
                <w:sz w:val="20"/>
                <w:szCs w:val="20"/>
              </w:rPr>
              <w:t> </w:t>
            </w:r>
          </w:p>
        </w:tc>
        <w:tc>
          <w:tcPr>
            <w:tcW w:w="0" w:type="auto"/>
            <w:shd w:val="clear" w:color="000000" w:fill="auto"/>
            <w:vAlign w:val="center"/>
          </w:tcPr>
          <w:p w14:paraId="2F2BE15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6.94*** (6.72, 7.17)</w:t>
            </w:r>
          </w:p>
        </w:tc>
        <w:tc>
          <w:tcPr>
            <w:tcW w:w="0" w:type="auto"/>
            <w:shd w:val="clear" w:color="000000" w:fill="D9D9D9" w:themeFill="background1" w:themeFillShade="D9"/>
            <w:vAlign w:val="center"/>
          </w:tcPr>
          <w:p w14:paraId="4171BFF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43DD76D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6.00*** (4.04, 8.93)</w:t>
            </w:r>
          </w:p>
        </w:tc>
      </w:tr>
      <w:tr w:rsidR="003C4B2D" w:rsidRPr="003C4B2D" w14:paraId="6A6E5C28" w14:textId="77777777" w:rsidTr="00885C57">
        <w:trPr>
          <w:trHeight w:val="284"/>
          <w:tblHeader/>
          <w:jc w:val="center"/>
        </w:trPr>
        <w:tc>
          <w:tcPr>
            <w:tcW w:w="0" w:type="auto"/>
            <w:shd w:val="clear" w:color="auto" w:fill="auto"/>
            <w:noWrap/>
            <w:vAlign w:val="center"/>
          </w:tcPr>
          <w:p w14:paraId="1F7D87D8" w14:textId="77777777" w:rsidR="003C4B2D" w:rsidRPr="003C4B2D" w:rsidRDefault="003030ED" w:rsidP="00B868D7">
            <w:pPr>
              <w:rPr>
                <w:rFonts w:eastAsia="Times New Roman"/>
                <w:color w:val="000000"/>
                <w:sz w:val="20"/>
                <w:szCs w:val="20"/>
              </w:rPr>
            </w:pPr>
            <w:r>
              <w:rPr>
                <w:rFonts w:eastAsia="Times New Roman"/>
                <w:color w:val="000000"/>
                <w:sz w:val="20"/>
                <w:szCs w:val="20"/>
              </w:rPr>
              <w:t>Homes</w:t>
            </w:r>
          </w:p>
        </w:tc>
        <w:tc>
          <w:tcPr>
            <w:tcW w:w="0" w:type="auto"/>
            <w:shd w:val="clear" w:color="auto" w:fill="auto"/>
            <w:noWrap/>
            <w:vAlign w:val="center"/>
          </w:tcPr>
          <w:p w14:paraId="2DD12C9B"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noWrap/>
            <w:vAlign w:val="center"/>
          </w:tcPr>
          <w:p w14:paraId="4CA9068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0B6D640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7EA356B4"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5B42226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132E187E"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00B1B2C3" w14:textId="77777777" w:rsidTr="00885C57">
        <w:trPr>
          <w:trHeight w:val="284"/>
          <w:tblHeader/>
          <w:jc w:val="center"/>
        </w:trPr>
        <w:tc>
          <w:tcPr>
            <w:tcW w:w="0" w:type="auto"/>
            <w:shd w:val="clear" w:color="auto" w:fill="auto"/>
            <w:noWrap/>
            <w:vAlign w:val="center"/>
          </w:tcPr>
          <w:p w14:paraId="26D26830" w14:textId="77777777" w:rsidR="003C4B2D" w:rsidRPr="003C4B2D" w:rsidRDefault="003C4B2D" w:rsidP="0006350E">
            <w:pPr>
              <w:rPr>
                <w:rFonts w:eastAsia="Times New Roman"/>
                <w:b/>
                <w:bCs/>
                <w:color w:val="000000"/>
                <w:sz w:val="20"/>
                <w:szCs w:val="20"/>
              </w:rPr>
            </w:pPr>
            <w:r w:rsidRPr="003C4B2D">
              <w:rPr>
                <w:rFonts w:eastAsia="Times New Roman"/>
                <w:color w:val="000000"/>
                <w:sz w:val="20"/>
                <w:szCs w:val="20"/>
              </w:rPr>
              <w:t>Sex-on-premises</w:t>
            </w:r>
            <w:r w:rsidR="0006350E">
              <w:rPr>
                <w:rFonts w:eastAsia="Times New Roman"/>
                <w:color w:val="000000"/>
                <w:sz w:val="20"/>
                <w:szCs w:val="20"/>
              </w:rPr>
              <w:t xml:space="preserve"> </w:t>
            </w:r>
            <w:r w:rsidRPr="003C4B2D">
              <w:rPr>
                <w:rFonts w:eastAsia="Times New Roman"/>
                <w:color w:val="000000"/>
                <w:sz w:val="20"/>
                <w:szCs w:val="20"/>
              </w:rPr>
              <w:t>venue</w:t>
            </w:r>
          </w:p>
        </w:tc>
        <w:tc>
          <w:tcPr>
            <w:tcW w:w="0" w:type="auto"/>
            <w:shd w:val="clear" w:color="auto" w:fill="auto"/>
            <w:noWrap/>
            <w:vAlign w:val="center"/>
          </w:tcPr>
          <w:p w14:paraId="70F3C45D"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0.74 (0.49, 1.12)</w:t>
            </w:r>
          </w:p>
        </w:tc>
        <w:tc>
          <w:tcPr>
            <w:tcW w:w="0" w:type="auto"/>
            <w:shd w:val="clear" w:color="000000" w:fill="D9D9D9"/>
            <w:noWrap/>
            <w:vAlign w:val="center"/>
          </w:tcPr>
          <w:p w14:paraId="52C11633" w14:textId="77777777" w:rsidR="003C4B2D" w:rsidRPr="003C4B2D" w:rsidRDefault="003C4B2D" w:rsidP="00B868D7">
            <w:pPr>
              <w:rPr>
                <w:rFonts w:eastAsia="Times New Roman"/>
                <w:color w:val="000000"/>
                <w:sz w:val="20"/>
                <w:szCs w:val="20"/>
              </w:rPr>
            </w:pPr>
            <w:r w:rsidRPr="003C4B2D">
              <w:rPr>
                <w:rFonts w:eastAsia="Times New Roman"/>
                <w:b/>
                <w:bCs/>
                <w:color w:val="000000"/>
                <w:sz w:val="20"/>
                <w:szCs w:val="20"/>
              </w:rPr>
              <w:t> </w:t>
            </w:r>
          </w:p>
        </w:tc>
        <w:tc>
          <w:tcPr>
            <w:tcW w:w="0" w:type="auto"/>
            <w:shd w:val="clear" w:color="auto" w:fill="auto"/>
            <w:vAlign w:val="center"/>
          </w:tcPr>
          <w:p w14:paraId="547D8A74"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-0.13 (-0.46, 0.21)</w:t>
            </w:r>
          </w:p>
        </w:tc>
        <w:tc>
          <w:tcPr>
            <w:tcW w:w="0" w:type="auto"/>
            <w:shd w:val="clear" w:color="000000" w:fill="D9D9D9"/>
            <w:vAlign w:val="center"/>
          </w:tcPr>
          <w:p w14:paraId="6F355B8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6D045C1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1.54 (0.84, 2.82)</w:t>
            </w:r>
          </w:p>
        </w:tc>
        <w:tc>
          <w:tcPr>
            <w:tcW w:w="0" w:type="auto"/>
            <w:shd w:val="clear" w:color="000000" w:fill="D9D9D9"/>
            <w:vAlign w:val="center"/>
          </w:tcPr>
          <w:p w14:paraId="5B4EFFA1" w14:textId="77777777" w:rsidR="003C4B2D" w:rsidRPr="003C4B2D" w:rsidRDefault="003C4B2D" w:rsidP="00B868D7">
            <w:pPr>
              <w:rPr>
                <w:rFonts w:eastAsia="Times New Roman"/>
                <w:b/>
                <w:bCs/>
                <w:color w:val="000000"/>
                <w:sz w:val="20"/>
                <w:szCs w:val="20"/>
              </w:rPr>
            </w:pPr>
            <w:r w:rsidRPr="003C4B2D">
              <w:rPr>
                <w:rFonts w:eastAsia="Times New Roman"/>
                <w:b/>
                <w:bCs/>
                <w:color w:val="000000"/>
                <w:sz w:val="20"/>
                <w:szCs w:val="20"/>
              </w:rPr>
              <w:t> </w:t>
            </w:r>
          </w:p>
        </w:tc>
      </w:tr>
      <w:tr w:rsidR="003C4B2D" w:rsidRPr="003C4B2D" w14:paraId="15984D1F" w14:textId="77777777" w:rsidTr="00885C57">
        <w:trPr>
          <w:trHeight w:val="284"/>
          <w:tblHeader/>
          <w:jc w:val="center"/>
        </w:trPr>
        <w:tc>
          <w:tcPr>
            <w:tcW w:w="0" w:type="auto"/>
            <w:shd w:val="clear" w:color="auto" w:fill="auto"/>
            <w:noWrap/>
            <w:vAlign w:val="center"/>
          </w:tcPr>
          <w:p w14:paraId="3C238C33" w14:textId="77777777" w:rsidR="003C4B2D" w:rsidRPr="003C4B2D" w:rsidRDefault="003C4B2D" w:rsidP="003030ED">
            <w:pPr>
              <w:rPr>
                <w:rFonts w:eastAsia="Times New Roman"/>
                <w:color w:val="000000"/>
                <w:sz w:val="20"/>
                <w:szCs w:val="20"/>
              </w:rPr>
            </w:pPr>
            <w:r w:rsidRPr="003C4B2D">
              <w:rPr>
                <w:rFonts w:eastAsia="Times New Roman"/>
                <w:color w:val="000000"/>
                <w:sz w:val="20"/>
                <w:szCs w:val="20"/>
              </w:rPr>
              <w:t>Cruising location</w:t>
            </w:r>
          </w:p>
        </w:tc>
        <w:tc>
          <w:tcPr>
            <w:tcW w:w="0" w:type="auto"/>
            <w:shd w:val="clear" w:color="auto" w:fill="auto"/>
            <w:noWrap/>
            <w:vAlign w:val="center"/>
          </w:tcPr>
          <w:p w14:paraId="3AC6648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0.71 (0.36, 1.40)</w:t>
            </w:r>
          </w:p>
        </w:tc>
        <w:tc>
          <w:tcPr>
            <w:tcW w:w="0" w:type="auto"/>
            <w:shd w:val="clear" w:color="000000" w:fill="D9D9D9"/>
            <w:noWrap/>
            <w:vAlign w:val="center"/>
          </w:tcPr>
          <w:p w14:paraId="680C93B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458AF40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-1.02*** (-1.54, -0.50)</w:t>
            </w:r>
          </w:p>
        </w:tc>
        <w:tc>
          <w:tcPr>
            <w:tcW w:w="0" w:type="auto"/>
            <w:shd w:val="clear" w:color="000000" w:fill="D9D9D9"/>
            <w:vAlign w:val="center"/>
          </w:tcPr>
          <w:p w14:paraId="7EC05448" w14:textId="77777777" w:rsidR="003C4B2D" w:rsidRPr="003C4B2D" w:rsidRDefault="003C4B2D" w:rsidP="00B868D7">
            <w:pPr>
              <w:rPr>
                <w:rFonts w:eastAsia="Times New Roman"/>
                <w:b/>
                <w:bCs/>
                <w:color w:val="000000"/>
                <w:sz w:val="20"/>
                <w:szCs w:val="20"/>
              </w:rPr>
            </w:pPr>
            <w:r w:rsidRPr="003C4B2D">
              <w:rPr>
                <w:rFonts w:eastAsia="Times New Roman"/>
                <w:b/>
                <w:bCs/>
                <w:color w:val="000000"/>
                <w:sz w:val="20"/>
                <w:szCs w:val="20"/>
              </w:rPr>
              <w:t> </w:t>
            </w:r>
          </w:p>
        </w:tc>
        <w:tc>
          <w:tcPr>
            <w:tcW w:w="0" w:type="auto"/>
            <w:shd w:val="clear" w:color="000000" w:fill="auto"/>
            <w:vAlign w:val="center"/>
          </w:tcPr>
          <w:p w14:paraId="336E40A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2.43 (0.72, 8.18)</w:t>
            </w:r>
          </w:p>
        </w:tc>
        <w:tc>
          <w:tcPr>
            <w:tcW w:w="0" w:type="auto"/>
            <w:shd w:val="clear" w:color="000000" w:fill="D9D9D9"/>
            <w:vAlign w:val="center"/>
          </w:tcPr>
          <w:p w14:paraId="27B2E8C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6E2E2272" w14:textId="77777777" w:rsidTr="00885C57">
        <w:trPr>
          <w:trHeight w:val="284"/>
          <w:tblHeader/>
          <w:jc w:val="center"/>
        </w:trPr>
        <w:tc>
          <w:tcPr>
            <w:tcW w:w="0" w:type="auto"/>
            <w:shd w:val="clear" w:color="auto" w:fill="auto"/>
            <w:noWrap/>
            <w:vAlign w:val="center"/>
          </w:tcPr>
          <w:p w14:paraId="0ED34E4B" w14:textId="77777777" w:rsidR="003C4B2D" w:rsidRPr="003C4B2D" w:rsidRDefault="003C4B2D" w:rsidP="00B868D7">
            <w:pPr>
              <w:rPr>
                <w:rFonts w:eastAsia="Times New Roman"/>
                <w:color w:val="000000"/>
                <w:sz w:val="20"/>
                <w:szCs w:val="20"/>
              </w:rPr>
            </w:pPr>
            <w:r w:rsidRPr="003C4B2D">
              <w:rPr>
                <w:rFonts w:eastAsia="Times New Roman"/>
                <w:b/>
                <w:bCs/>
                <w:color w:val="000000"/>
                <w:sz w:val="20"/>
                <w:szCs w:val="20"/>
              </w:rPr>
              <w:t>Wave of reporting</w:t>
            </w:r>
          </w:p>
        </w:tc>
        <w:tc>
          <w:tcPr>
            <w:tcW w:w="0" w:type="auto"/>
            <w:shd w:val="clear" w:color="auto" w:fill="D9D9D9" w:themeFill="background1" w:themeFillShade="D9"/>
            <w:noWrap/>
            <w:vAlign w:val="center"/>
          </w:tcPr>
          <w:p w14:paraId="5B6F5748" w14:textId="77777777" w:rsidR="003C4B2D" w:rsidRPr="003C4B2D" w:rsidRDefault="003C4B2D" w:rsidP="00B868D7">
            <w:pPr>
              <w:rPr>
                <w:rFonts w:eastAsia="Times New Roman"/>
                <w:color w:val="000000"/>
                <w:sz w:val="20"/>
                <w:szCs w:val="20"/>
              </w:rPr>
            </w:pPr>
          </w:p>
        </w:tc>
        <w:tc>
          <w:tcPr>
            <w:tcW w:w="0" w:type="auto"/>
            <w:shd w:val="clear" w:color="000000" w:fill="auto"/>
            <w:noWrap/>
            <w:vAlign w:val="center"/>
          </w:tcPr>
          <w:p w14:paraId="59743C4C"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0.52*** (0.38, 0.70)</w:t>
            </w:r>
          </w:p>
        </w:tc>
        <w:tc>
          <w:tcPr>
            <w:tcW w:w="0" w:type="auto"/>
            <w:shd w:val="clear" w:color="auto" w:fill="D9D9D9" w:themeFill="background1" w:themeFillShade="D9"/>
            <w:vAlign w:val="center"/>
          </w:tcPr>
          <w:p w14:paraId="5B3A12F7"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5DF66206"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6.81*** (6.56, 7.06)</w:t>
            </w:r>
          </w:p>
        </w:tc>
        <w:tc>
          <w:tcPr>
            <w:tcW w:w="0" w:type="auto"/>
            <w:shd w:val="clear" w:color="000000" w:fill="D9D9D9" w:themeFill="background1" w:themeFillShade="D9"/>
            <w:vAlign w:val="center"/>
          </w:tcPr>
          <w:p w14:paraId="501B6748"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000000" w:fill="auto"/>
            <w:vAlign w:val="center"/>
          </w:tcPr>
          <w:p w14:paraId="46560C99"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7.48*** (4.91, 11.38)</w:t>
            </w:r>
          </w:p>
        </w:tc>
      </w:tr>
      <w:tr w:rsidR="003C4B2D" w:rsidRPr="003C4B2D" w14:paraId="0087ECEE" w14:textId="77777777" w:rsidTr="00885C57">
        <w:trPr>
          <w:trHeight w:val="284"/>
          <w:tblHeader/>
          <w:jc w:val="center"/>
        </w:trPr>
        <w:tc>
          <w:tcPr>
            <w:tcW w:w="0" w:type="auto"/>
            <w:shd w:val="clear" w:color="auto" w:fill="auto"/>
            <w:noWrap/>
            <w:vAlign w:val="center"/>
          </w:tcPr>
          <w:p w14:paraId="7AEC599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Wave 1</w:t>
            </w:r>
          </w:p>
        </w:tc>
        <w:tc>
          <w:tcPr>
            <w:tcW w:w="0" w:type="auto"/>
            <w:shd w:val="clear" w:color="auto" w:fill="auto"/>
            <w:noWrap/>
            <w:vAlign w:val="center"/>
          </w:tcPr>
          <w:p w14:paraId="5835B82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noWrap/>
            <w:vAlign w:val="center"/>
          </w:tcPr>
          <w:p w14:paraId="1FE71A05"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7FDE07D5"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03DF644D"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 </w:t>
            </w:r>
          </w:p>
        </w:tc>
        <w:tc>
          <w:tcPr>
            <w:tcW w:w="0" w:type="auto"/>
            <w:shd w:val="clear" w:color="000000" w:fill="auto"/>
            <w:vAlign w:val="center"/>
          </w:tcPr>
          <w:p w14:paraId="2C17A36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Reference</w:t>
            </w:r>
          </w:p>
        </w:tc>
        <w:tc>
          <w:tcPr>
            <w:tcW w:w="0" w:type="auto"/>
            <w:shd w:val="clear" w:color="000000" w:fill="D9D9D9"/>
            <w:vAlign w:val="center"/>
          </w:tcPr>
          <w:p w14:paraId="21E59B6A"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70848E6D" w14:textId="77777777" w:rsidTr="00885C57">
        <w:trPr>
          <w:trHeight w:val="284"/>
          <w:tblHeader/>
          <w:jc w:val="center"/>
        </w:trPr>
        <w:tc>
          <w:tcPr>
            <w:tcW w:w="0" w:type="auto"/>
            <w:shd w:val="clear" w:color="auto" w:fill="auto"/>
            <w:noWrap/>
            <w:vAlign w:val="center"/>
          </w:tcPr>
          <w:p w14:paraId="79991B8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Wave 2</w:t>
            </w:r>
          </w:p>
        </w:tc>
        <w:tc>
          <w:tcPr>
            <w:tcW w:w="0" w:type="auto"/>
            <w:shd w:val="clear" w:color="auto" w:fill="auto"/>
            <w:noWrap/>
            <w:vAlign w:val="center"/>
          </w:tcPr>
          <w:p w14:paraId="01C13B2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1.03 (0.71, 1.49)</w:t>
            </w:r>
          </w:p>
        </w:tc>
        <w:tc>
          <w:tcPr>
            <w:tcW w:w="0" w:type="auto"/>
            <w:shd w:val="clear" w:color="000000" w:fill="D9D9D9"/>
            <w:noWrap/>
            <w:vAlign w:val="center"/>
          </w:tcPr>
          <w:p w14:paraId="6D06D5A0"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shd w:val="clear" w:color="auto" w:fill="auto"/>
            <w:vAlign w:val="center"/>
          </w:tcPr>
          <w:p w14:paraId="3A3E5D8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-0.10 (-0.44, 0.24)</w:t>
            </w:r>
          </w:p>
        </w:tc>
        <w:tc>
          <w:tcPr>
            <w:tcW w:w="0" w:type="auto"/>
            <w:shd w:val="clear" w:color="000000" w:fill="D9D9D9"/>
            <w:vAlign w:val="center"/>
          </w:tcPr>
          <w:p w14:paraId="0595EA85" w14:textId="77777777" w:rsidR="003C4B2D" w:rsidRPr="003C4B2D" w:rsidRDefault="003C4B2D" w:rsidP="00B868D7">
            <w:pPr>
              <w:rPr>
                <w:rFonts w:eastAsia="Times New Roman"/>
                <w:b/>
                <w:bCs/>
                <w:color w:val="000000"/>
                <w:sz w:val="20"/>
                <w:szCs w:val="20"/>
              </w:rPr>
            </w:pPr>
            <w:r w:rsidRPr="003C4B2D">
              <w:rPr>
                <w:rFonts w:eastAsia="Times New Roman"/>
                <w:color w:val="000000"/>
                <w:sz w:val="20"/>
                <w:szCs w:val="20"/>
              </w:rPr>
              <w:t> </w:t>
            </w:r>
          </w:p>
        </w:tc>
        <w:tc>
          <w:tcPr>
            <w:tcW w:w="0" w:type="auto"/>
            <w:shd w:val="clear" w:color="auto" w:fill="auto"/>
            <w:vAlign w:val="center"/>
          </w:tcPr>
          <w:p w14:paraId="63529CD2"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1.17 (0.71, 1.91)</w:t>
            </w:r>
          </w:p>
        </w:tc>
        <w:tc>
          <w:tcPr>
            <w:tcW w:w="0" w:type="auto"/>
            <w:shd w:val="clear" w:color="000000" w:fill="D9D9D9"/>
            <w:vAlign w:val="center"/>
          </w:tcPr>
          <w:p w14:paraId="73572071"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r w:rsidR="003C4B2D" w:rsidRPr="003C4B2D" w14:paraId="3339436C" w14:textId="77777777" w:rsidTr="00885C57">
        <w:trPr>
          <w:trHeight w:val="284"/>
          <w:tblHeader/>
          <w:jc w:val="center"/>
        </w:trPr>
        <w:tc>
          <w:tcPr>
            <w:tcW w:w="0" w:type="auto"/>
            <w:tcBorders>
              <w:bottom w:val="single" w:sz="4" w:space="0" w:color="auto"/>
            </w:tcBorders>
            <w:shd w:val="clear" w:color="auto" w:fill="auto"/>
            <w:noWrap/>
            <w:vAlign w:val="center"/>
          </w:tcPr>
          <w:p w14:paraId="2858E3B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Wave 3</w:t>
            </w:r>
          </w:p>
        </w:tc>
        <w:tc>
          <w:tcPr>
            <w:tcW w:w="0" w:type="auto"/>
            <w:tcBorders>
              <w:bottom w:val="single" w:sz="4" w:space="0" w:color="auto"/>
            </w:tcBorders>
            <w:shd w:val="clear" w:color="auto" w:fill="auto"/>
            <w:noWrap/>
            <w:vAlign w:val="center"/>
          </w:tcPr>
          <w:p w14:paraId="7524772F"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1.43* (1.01, 2.03)</w:t>
            </w:r>
          </w:p>
        </w:tc>
        <w:tc>
          <w:tcPr>
            <w:tcW w:w="0" w:type="auto"/>
            <w:tcBorders>
              <w:bottom w:val="single" w:sz="4" w:space="0" w:color="auto"/>
            </w:tcBorders>
            <w:shd w:val="clear" w:color="auto" w:fill="D9D9D9" w:themeFill="background1" w:themeFillShade="D9"/>
            <w:noWrap/>
            <w:vAlign w:val="center"/>
          </w:tcPr>
          <w:p w14:paraId="12FD3D83"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c>
          <w:tcPr>
            <w:tcW w:w="0" w:type="auto"/>
            <w:tcBorders>
              <w:bottom w:val="single" w:sz="4" w:space="0" w:color="auto"/>
            </w:tcBorders>
            <w:shd w:val="clear" w:color="auto" w:fill="auto"/>
            <w:vAlign w:val="center"/>
          </w:tcPr>
          <w:p w14:paraId="182D92C0" w14:textId="77777777" w:rsidR="003C4B2D" w:rsidRPr="003C4B2D" w:rsidRDefault="00B868D7" w:rsidP="00B868D7">
            <w:pPr>
              <w:rPr>
                <w:rFonts w:eastAsia="Times New Roman"/>
                <w:color w:val="000000"/>
                <w:sz w:val="20"/>
                <w:szCs w:val="20"/>
              </w:rPr>
            </w:pPr>
            <w:r>
              <w:rPr>
                <w:rFonts w:eastAsia="Times New Roman"/>
                <w:color w:val="000000"/>
                <w:sz w:val="20"/>
                <w:szCs w:val="20"/>
              </w:rPr>
              <w:t>-0.01 (-0.33, 0.32)</w:t>
            </w:r>
          </w:p>
        </w:tc>
        <w:tc>
          <w:tcPr>
            <w:tcW w:w="0" w:type="auto"/>
            <w:tcBorders>
              <w:bottom w:val="single" w:sz="4" w:space="0" w:color="auto"/>
            </w:tcBorders>
            <w:shd w:val="clear" w:color="auto" w:fill="D9D9D9" w:themeFill="background1" w:themeFillShade="D9"/>
            <w:vAlign w:val="center"/>
          </w:tcPr>
          <w:p w14:paraId="27638028" w14:textId="77777777" w:rsidR="003C4B2D" w:rsidRPr="003C4B2D" w:rsidRDefault="003C4B2D" w:rsidP="00B868D7">
            <w:pPr>
              <w:rPr>
                <w:rFonts w:eastAsia="Times New Roman"/>
                <w:color w:val="000000"/>
                <w:sz w:val="20"/>
                <w:szCs w:val="20"/>
              </w:rPr>
            </w:pPr>
          </w:p>
        </w:tc>
        <w:tc>
          <w:tcPr>
            <w:tcW w:w="0" w:type="auto"/>
            <w:tcBorders>
              <w:bottom w:val="single" w:sz="4" w:space="0" w:color="auto"/>
            </w:tcBorders>
            <w:shd w:val="clear" w:color="auto" w:fill="auto"/>
            <w:vAlign w:val="center"/>
          </w:tcPr>
          <w:p w14:paraId="2F383F0C"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0.93 (0.59, 1.47)</w:t>
            </w:r>
          </w:p>
        </w:tc>
        <w:tc>
          <w:tcPr>
            <w:tcW w:w="0" w:type="auto"/>
            <w:tcBorders>
              <w:bottom w:val="single" w:sz="4" w:space="0" w:color="auto"/>
            </w:tcBorders>
            <w:shd w:val="clear" w:color="auto" w:fill="D9D9D9" w:themeFill="background1" w:themeFillShade="D9"/>
            <w:vAlign w:val="center"/>
          </w:tcPr>
          <w:p w14:paraId="1BD771E6" w14:textId="77777777" w:rsidR="003C4B2D" w:rsidRPr="003C4B2D" w:rsidRDefault="003C4B2D" w:rsidP="00B868D7">
            <w:pPr>
              <w:rPr>
                <w:rFonts w:eastAsia="Times New Roman"/>
                <w:color w:val="000000"/>
                <w:sz w:val="20"/>
                <w:szCs w:val="20"/>
              </w:rPr>
            </w:pPr>
            <w:r w:rsidRPr="003C4B2D">
              <w:rPr>
                <w:rFonts w:eastAsia="Times New Roman"/>
                <w:color w:val="000000"/>
                <w:sz w:val="20"/>
                <w:szCs w:val="20"/>
              </w:rPr>
              <w:t> </w:t>
            </w:r>
          </w:p>
        </w:tc>
      </w:tr>
    </w:tbl>
    <w:p w14:paraId="36DC48EC" w14:textId="77777777" w:rsidR="005C0468" w:rsidRPr="00885C57" w:rsidRDefault="00885C57" w:rsidP="00885C57">
      <w:r>
        <w:rPr>
          <w:vertAlign w:val="superscript"/>
        </w:rPr>
        <w:t>a</w:t>
      </w:r>
      <w:r>
        <w:t>*</w:t>
      </w:r>
      <w:r>
        <w:rPr>
          <w:i/>
        </w:rPr>
        <w:t>p</w:t>
      </w:r>
      <w:r>
        <w:t>&lt;0.05, **</w:t>
      </w:r>
      <w:r>
        <w:rPr>
          <w:i/>
        </w:rPr>
        <w:t>p</w:t>
      </w:r>
      <w:r>
        <w:t>&lt;0.01, ***</w:t>
      </w:r>
      <w:r>
        <w:rPr>
          <w:i/>
        </w:rPr>
        <w:t>p</w:t>
      </w:r>
      <w:r>
        <w:t>&lt;0.001</w:t>
      </w:r>
    </w:p>
    <w:p w14:paraId="3BE65289" w14:textId="77777777" w:rsidR="00885C57" w:rsidRDefault="00885C57" w:rsidP="007131C4">
      <w:pPr>
        <w:spacing w:line="480" w:lineRule="auto"/>
      </w:pPr>
    </w:p>
    <w:p w14:paraId="0DF93295" w14:textId="77777777" w:rsidR="005C0468" w:rsidRDefault="005C0468">
      <w:pPr>
        <w:sectPr w:rsidR="005C0468" w:rsidSect="0091216B">
          <w:pgSz w:w="16840" w:h="11900" w:orient="landscape"/>
          <w:pgMar w:top="1701" w:right="1701" w:bottom="1701" w:left="1701" w:header="709" w:footer="709" w:gutter="0"/>
          <w:cols w:space="708"/>
          <w:docGrid w:linePitch="360"/>
        </w:sectPr>
      </w:pPr>
    </w:p>
    <w:p w14:paraId="2C162551" w14:textId="77777777" w:rsidR="005C0468" w:rsidRPr="00885C57" w:rsidRDefault="005C0468" w:rsidP="00885C57">
      <w:pPr>
        <w:spacing w:line="480" w:lineRule="auto"/>
        <w:jc w:val="center"/>
      </w:pPr>
      <w:r>
        <w:rPr>
          <w:b/>
        </w:rPr>
        <w:t>Table 4.</w:t>
      </w:r>
      <w:r>
        <w:t xml:space="preserve">  Associations between outcomes and specific </w:t>
      </w:r>
      <w:r w:rsidR="001A30A7">
        <w:t>drug</w:t>
      </w:r>
      <w:r>
        <w:t>s used by respondent.</w:t>
      </w:r>
      <w:r w:rsidR="00885C57">
        <w:rPr>
          <w:vertAlign w:val="superscript"/>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183"/>
        <w:gridCol w:w="2729"/>
        <w:gridCol w:w="2543"/>
      </w:tblGrid>
      <w:tr w:rsidR="005C0468" w:rsidRPr="003C4B2D" w14:paraId="2B2CD8D9" w14:textId="77777777" w:rsidTr="00885C57">
        <w:trPr>
          <w:trHeight w:val="276"/>
          <w:tblHeader/>
          <w:jc w:val="center"/>
        </w:trPr>
        <w:tc>
          <w:tcPr>
            <w:tcW w:w="0" w:type="auto"/>
            <w:shd w:val="clear" w:color="auto" w:fill="auto"/>
            <w:noWrap/>
            <w:vAlign w:val="center"/>
          </w:tcPr>
          <w:p w14:paraId="68A26E30" w14:textId="77777777" w:rsidR="005C0468" w:rsidRPr="003C4B2D" w:rsidRDefault="005C0468" w:rsidP="005C0468">
            <w:pPr>
              <w:rPr>
                <w:rFonts w:eastAsia="Times New Roman"/>
                <w:b/>
                <w:bCs/>
                <w:color w:val="000000"/>
              </w:rPr>
            </w:pPr>
            <w:r w:rsidRPr="003C4B2D">
              <w:rPr>
                <w:rFonts w:eastAsia="Times New Roman"/>
                <w:b/>
                <w:bCs/>
                <w:color w:val="000000"/>
              </w:rPr>
              <w:t>Variable</w:t>
            </w:r>
          </w:p>
        </w:tc>
        <w:tc>
          <w:tcPr>
            <w:tcW w:w="0" w:type="auto"/>
            <w:shd w:val="clear" w:color="auto" w:fill="auto"/>
            <w:noWrap/>
            <w:vAlign w:val="center"/>
          </w:tcPr>
          <w:p w14:paraId="3A6A1881" w14:textId="77777777" w:rsidR="005C0468" w:rsidRPr="003C4B2D" w:rsidRDefault="005C0468" w:rsidP="005C0468">
            <w:pPr>
              <w:rPr>
                <w:rFonts w:eastAsia="Times New Roman"/>
                <w:b/>
                <w:color w:val="000000"/>
              </w:rPr>
            </w:pPr>
            <w:r w:rsidRPr="003C4B2D">
              <w:rPr>
                <w:rFonts w:eastAsia="Times New Roman"/>
                <w:b/>
                <w:color w:val="000000"/>
              </w:rPr>
              <w:t>UAI: OR (95% CI)</w:t>
            </w:r>
          </w:p>
        </w:tc>
        <w:tc>
          <w:tcPr>
            <w:tcW w:w="0" w:type="auto"/>
          </w:tcPr>
          <w:p w14:paraId="133AEA60" w14:textId="77777777" w:rsidR="005C0468" w:rsidRPr="003C4B2D" w:rsidRDefault="005C0468" w:rsidP="005C0468">
            <w:pPr>
              <w:rPr>
                <w:rFonts w:eastAsia="Times New Roman"/>
                <w:b/>
                <w:color w:val="000000"/>
              </w:rPr>
            </w:pPr>
            <w:r w:rsidRPr="003C4B2D">
              <w:rPr>
                <w:rFonts w:eastAsia="Times New Roman"/>
                <w:b/>
                <w:color w:val="000000"/>
              </w:rPr>
              <w:t xml:space="preserve">Pleasure: </w:t>
            </w:r>
            <w:r w:rsidR="003C4B2D" w:rsidRPr="003C4B2D">
              <w:rPr>
                <w:rFonts w:eastAsia="Times New Roman"/>
                <w:b/>
                <w:color w:val="000000"/>
              </w:rPr>
              <w:t>Beta (95% CI)</w:t>
            </w:r>
          </w:p>
        </w:tc>
        <w:tc>
          <w:tcPr>
            <w:tcW w:w="0" w:type="auto"/>
          </w:tcPr>
          <w:p w14:paraId="563E32B9" w14:textId="77777777" w:rsidR="005C0468" w:rsidRPr="003C4B2D" w:rsidRDefault="005C0468" w:rsidP="005C0468">
            <w:pPr>
              <w:rPr>
                <w:rFonts w:eastAsia="Times New Roman"/>
                <w:b/>
                <w:color w:val="000000"/>
              </w:rPr>
            </w:pPr>
            <w:r w:rsidRPr="003C4B2D">
              <w:rPr>
                <w:rFonts w:eastAsia="Times New Roman"/>
                <w:b/>
                <w:color w:val="000000"/>
              </w:rPr>
              <w:t>Control: OR (95% CI)</w:t>
            </w:r>
          </w:p>
        </w:tc>
      </w:tr>
      <w:tr w:rsidR="005C0468" w:rsidRPr="003C4B2D" w14:paraId="26F6BF68" w14:textId="77777777" w:rsidTr="00885C57">
        <w:trPr>
          <w:trHeight w:val="276"/>
          <w:tblHeader/>
          <w:jc w:val="center"/>
        </w:trPr>
        <w:tc>
          <w:tcPr>
            <w:tcW w:w="0" w:type="auto"/>
            <w:shd w:val="clear" w:color="auto" w:fill="auto"/>
            <w:noWrap/>
            <w:vAlign w:val="center"/>
            <w:hideMark/>
          </w:tcPr>
          <w:p w14:paraId="7287B70C" w14:textId="77777777" w:rsidR="005C0468" w:rsidRPr="00B868D7" w:rsidRDefault="005C0468" w:rsidP="005C0468">
            <w:pPr>
              <w:rPr>
                <w:rFonts w:eastAsia="Times New Roman"/>
                <w:bCs/>
                <w:color w:val="000000"/>
              </w:rPr>
            </w:pPr>
            <w:r w:rsidRPr="00B868D7">
              <w:rPr>
                <w:rFonts w:eastAsia="Times New Roman"/>
                <w:bCs/>
                <w:color w:val="000000"/>
              </w:rPr>
              <w:t>Intercept</w:t>
            </w:r>
          </w:p>
        </w:tc>
        <w:tc>
          <w:tcPr>
            <w:tcW w:w="0" w:type="auto"/>
            <w:shd w:val="clear" w:color="000000" w:fill="auto"/>
            <w:noWrap/>
            <w:vAlign w:val="center"/>
            <w:hideMark/>
          </w:tcPr>
          <w:p w14:paraId="5B864CBB" w14:textId="77777777" w:rsidR="005C0468" w:rsidRPr="003C4B2D" w:rsidRDefault="005C0468" w:rsidP="005C0468">
            <w:pPr>
              <w:rPr>
                <w:rFonts w:eastAsia="Times New Roman"/>
                <w:color w:val="000000"/>
              </w:rPr>
            </w:pPr>
            <w:r w:rsidRPr="003C4B2D">
              <w:rPr>
                <w:rFonts w:eastAsia="Times New Roman"/>
                <w:color w:val="000000"/>
              </w:rPr>
              <w:t>0.46*** (0.33, 0.64)</w:t>
            </w:r>
          </w:p>
        </w:tc>
        <w:tc>
          <w:tcPr>
            <w:tcW w:w="0" w:type="auto"/>
            <w:shd w:val="clear" w:color="000000" w:fill="auto"/>
            <w:vAlign w:val="center"/>
          </w:tcPr>
          <w:p w14:paraId="4A3A8810" w14:textId="77777777" w:rsidR="005C0468" w:rsidRPr="003C4B2D" w:rsidRDefault="005C0468" w:rsidP="005C0468">
            <w:pPr>
              <w:rPr>
                <w:rFonts w:eastAsia="Times New Roman"/>
                <w:color w:val="000000"/>
                <w:spacing w:val="-6"/>
              </w:rPr>
            </w:pPr>
            <w:r w:rsidRPr="003C4B2D">
              <w:rPr>
                <w:rFonts w:eastAsia="Times New Roman"/>
                <w:color w:val="000000"/>
                <w:spacing w:val="-6"/>
              </w:rPr>
              <w:t>6.50*** (6.26, 6.75)</w:t>
            </w:r>
          </w:p>
        </w:tc>
        <w:tc>
          <w:tcPr>
            <w:tcW w:w="0" w:type="auto"/>
            <w:shd w:val="clear" w:color="000000" w:fill="auto"/>
          </w:tcPr>
          <w:p w14:paraId="42829764" w14:textId="77777777" w:rsidR="005C0468" w:rsidRPr="003C4B2D" w:rsidRDefault="003C4B2D" w:rsidP="005C0468">
            <w:pPr>
              <w:rPr>
                <w:rFonts w:eastAsia="Times New Roman"/>
                <w:color w:val="000000"/>
              </w:rPr>
            </w:pPr>
            <w:r w:rsidRPr="003C4B2D">
              <w:rPr>
                <w:rFonts w:eastAsia="Times New Roman"/>
                <w:color w:val="000000"/>
              </w:rPr>
              <w:t>8.82*** (5.35, 14.53)</w:t>
            </w:r>
          </w:p>
        </w:tc>
      </w:tr>
      <w:tr w:rsidR="003C4B2D" w:rsidRPr="003C4B2D" w14:paraId="2BFEF5C8" w14:textId="77777777" w:rsidTr="00885C57">
        <w:trPr>
          <w:trHeight w:val="276"/>
          <w:tblHeader/>
          <w:jc w:val="center"/>
        </w:trPr>
        <w:tc>
          <w:tcPr>
            <w:tcW w:w="0" w:type="auto"/>
            <w:shd w:val="clear" w:color="auto" w:fill="auto"/>
            <w:noWrap/>
            <w:vAlign w:val="center"/>
            <w:hideMark/>
          </w:tcPr>
          <w:p w14:paraId="6319B7B8" w14:textId="77777777" w:rsidR="003C4B2D" w:rsidRPr="00B868D7" w:rsidRDefault="003C4B2D" w:rsidP="005C0468">
            <w:pPr>
              <w:rPr>
                <w:rFonts w:eastAsia="Times New Roman"/>
                <w:bCs/>
                <w:color w:val="000000"/>
              </w:rPr>
            </w:pPr>
            <w:r w:rsidRPr="00B868D7">
              <w:rPr>
                <w:rFonts w:eastAsia="Times New Roman"/>
                <w:color w:val="000000"/>
              </w:rPr>
              <w:t>Poppers</w:t>
            </w:r>
          </w:p>
        </w:tc>
        <w:tc>
          <w:tcPr>
            <w:tcW w:w="0" w:type="auto"/>
            <w:shd w:val="clear" w:color="auto" w:fill="auto"/>
            <w:noWrap/>
            <w:vAlign w:val="center"/>
            <w:hideMark/>
          </w:tcPr>
          <w:p w14:paraId="6CA9FDDC" w14:textId="77777777" w:rsidR="003C4B2D" w:rsidRPr="003C4B2D" w:rsidRDefault="003C4B2D" w:rsidP="005C0468">
            <w:pPr>
              <w:rPr>
                <w:rFonts w:eastAsia="Times New Roman"/>
                <w:color w:val="000000"/>
              </w:rPr>
            </w:pPr>
            <w:r w:rsidRPr="003C4B2D">
              <w:rPr>
                <w:rFonts w:eastAsia="Times New Roman"/>
                <w:color w:val="000000"/>
              </w:rPr>
              <w:t>1.06 (0.69, 1.65)</w:t>
            </w:r>
          </w:p>
        </w:tc>
        <w:tc>
          <w:tcPr>
            <w:tcW w:w="0" w:type="auto"/>
            <w:vAlign w:val="center"/>
          </w:tcPr>
          <w:p w14:paraId="507CCFF7" w14:textId="77777777" w:rsidR="003C4B2D" w:rsidRPr="003C4B2D" w:rsidRDefault="003C4B2D" w:rsidP="005C0468">
            <w:pPr>
              <w:rPr>
                <w:rFonts w:eastAsia="Times New Roman"/>
                <w:i/>
                <w:iCs/>
                <w:color w:val="000000"/>
                <w:spacing w:val="-6"/>
              </w:rPr>
            </w:pPr>
            <w:r w:rsidRPr="003C4B2D">
              <w:rPr>
                <w:rFonts w:eastAsia="Times New Roman"/>
                <w:i/>
                <w:iCs/>
                <w:color w:val="000000"/>
                <w:spacing w:val="-6"/>
              </w:rPr>
              <w:t>0.31 (-0.02, 0.65)</w:t>
            </w:r>
          </w:p>
        </w:tc>
        <w:tc>
          <w:tcPr>
            <w:tcW w:w="0" w:type="auto"/>
            <w:vAlign w:val="center"/>
          </w:tcPr>
          <w:p w14:paraId="5F431810" w14:textId="77777777" w:rsidR="003C4B2D" w:rsidRPr="003C4B2D" w:rsidRDefault="003C4B2D" w:rsidP="003C4B2D">
            <w:pPr>
              <w:rPr>
                <w:rFonts w:eastAsia="Times New Roman"/>
                <w:color w:val="000000"/>
                <w:spacing w:val="-6"/>
              </w:rPr>
            </w:pPr>
            <w:r w:rsidRPr="003C4B2D">
              <w:rPr>
                <w:rFonts w:eastAsia="Times New Roman"/>
                <w:color w:val="000000"/>
                <w:spacing w:val="-6"/>
              </w:rPr>
              <w:t>1.03 (0.55, 1.94)</w:t>
            </w:r>
          </w:p>
        </w:tc>
      </w:tr>
      <w:tr w:rsidR="003C4B2D" w:rsidRPr="003C4B2D" w14:paraId="7ECB55F2" w14:textId="77777777" w:rsidTr="00885C57">
        <w:trPr>
          <w:trHeight w:val="276"/>
          <w:tblHeader/>
          <w:jc w:val="center"/>
        </w:trPr>
        <w:tc>
          <w:tcPr>
            <w:tcW w:w="0" w:type="auto"/>
            <w:shd w:val="clear" w:color="auto" w:fill="auto"/>
            <w:noWrap/>
            <w:vAlign w:val="center"/>
            <w:hideMark/>
          </w:tcPr>
          <w:p w14:paraId="6F27B692" w14:textId="77777777" w:rsidR="003C4B2D" w:rsidRPr="00B868D7" w:rsidRDefault="003C4B2D" w:rsidP="005C0468">
            <w:pPr>
              <w:rPr>
                <w:rFonts w:eastAsia="Times New Roman"/>
                <w:color w:val="000000"/>
              </w:rPr>
            </w:pPr>
            <w:r w:rsidRPr="00B868D7">
              <w:rPr>
                <w:rFonts w:eastAsia="Times New Roman"/>
                <w:color w:val="000000"/>
              </w:rPr>
              <w:t>Alcohol</w:t>
            </w:r>
          </w:p>
        </w:tc>
        <w:tc>
          <w:tcPr>
            <w:tcW w:w="0" w:type="auto"/>
            <w:shd w:val="clear" w:color="auto" w:fill="auto"/>
            <w:noWrap/>
            <w:vAlign w:val="center"/>
            <w:hideMark/>
          </w:tcPr>
          <w:p w14:paraId="6193F2BA" w14:textId="77777777" w:rsidR="003C4B2D" w:rsidRPr="003C4B2D" w:rsidRDefault="003C4B2D" w:rsidP="005C0468">
            <w:pPr>
              <w:rPr>
                <w:rFonts w:eastAsia="Times New Roman"/>
                <w:color w:val="000000"/>
              </w:rPr>
            </w:pPr>
            <w:r w:rsidRPr="003C4B2D">
              <w:rPr>
                <w:rFonts w:eastAsia="Times New Roman"/>
                <w:color w:val="000000"/>
              </w:rPr>
              <w:t>0.82 (0.50, 1.34)</w:t>
            </w:r>
          </w:p>
        </w:tc>
        <w:tc>
          <w:tcPr>
            <w:tcW w:w="0" w:type="auto"/>
            <w:vAlign w:val="center"/>
          </w:tcPr>
          <w:p w14:paraId="03D3B4CC" w14:textId="77777777" w:rsidR="003C4B2D" w:rsidRPr="003C4B2D" w:rsidRDefault="003C4B2D" w:rsidP="005C0468">
            <w:pPr>
              <w:rPr>
                <w:rFonts w:eastAsia="Times New Roman"/>
                <w:color w:val="000000"/>
                <w:spacing w:val="-6"/>
              </w:rPr>
            </w:pPr>
            <w:r w:rsidRPr="003C4B2D">
              <w:rPr>
                <w:rFonts w:eastAsia="Times New Roman"/>
                <w:color w:val="000000"/>
                <w:spacing w:val="-6"/>
              </w:rPr>
              <w:t>0.03 (-0.34, 0.39)</w:t>
            </w:r>
          </w:p>
        </w:tc>
        <w:tc>
          <w:tcPr>
            <w:tcW w:w="0" w:type="auto"/>
            <w:vAlign w:val="center"/>
          </w:tcPr>
          <w:p w14:paraId="6BCBA6CF" w14:textId="77777777" w:rsidR="003C4B2D" w:rsidRPr="003C4B2D" w:rsidRDefault="003C4B2D" w:rsidP="003C4B2D">
            <w:pPr>
              <w:rPr>
                <w:rFonts w:eastAsia="Times New Roman"/>
                <w:color w:val="000000"/>
                <w:spacing w:val="-6"/>
              </w:rPr>
            </w:pPr>
            <w:r w:rsidRPr="003C4B2D">
              <w:rPr>
                <w:rFonts w:eastAsia="Times New Roman"/>
                <w:color w:val="000000"/>
                <w:spacing w:val="-6"/>
              </w:rPr>
              <w:t>0.61 (0.32, 1.17)</w:t>
            </w:r>
          </w:p>
        </w:tc>
      </w:tr>
      <w:tr w:rsidR="003C4B2D" w:rsidRPr="003C4B2D" w14:paraId="0F5BD9C1" w14:textId="77777777" w:rsidTr="00885C57">
        <w:trPr>
          <w:trHeight w:val="276"/>
          <w:tblHeader/>
          <w:jc w:val="center"/>
        </w:trPr>
        <w:tc>
          <w:tcPr>
            <w:tcW w:w="0" w:type="auto"/>
            <w:shd w:val="clear" w:color="auto" w:fill="auto"/>
            <w:noWrap/>
            <w:vAlign w:val="center"/>
            <w:hideMark/>
          </w:tcPr>
          <w:p w14:paraId="59AD23C4" w14:textId="77777777" w:rsidR="003C4B2D" w:rsidRPr="00B868D7" w:rsidRDefault="003C4B2D" w:rsidP="005C0468">
            <w:pPr>
              <w:rPr>
                <w:rFonts w:eastAsia="Times New Roman"/>
                <w:color w:val="000000"/>
              </w:rPr>
            </w:pPr>
            <w:r w:rsidRPr="00B868D7">
              <w:rPr>
                <w:rFonts w:eastAsia="Times New Roman"/>
                <w:color w:val="000000"/>
              </w:rPr>
              <w:t>Erectile dysfunction medications</w:t>
            </w:r>
          </w:p>
        </w:tc>
        <w:tc>
          <w:tcPr>
            <w:tcW w:w="0" w:type="auto"/>
            <w:shd w:val="clear" w:color="auto" w:fill="auto"/>
            <w:noWrap/>
            <w:vAlign w:val="center"/>
            <w:hideMark/>
          </w:tcPr>
          <w:p w14:paraId="624203F9" w14:textId="77777777" w:rsidR="003C4B2D" w:rsidRPr="003C4B2D" w:rsidRDefault="003C4B2D" w:rsidP="005C0468">
            <w:pPr>
              <w:rPr>
                <w:rFonts w:eastAsia="Times New Roman"/>
                <w:color w:val="000000"/>
              </w:rPr>
            </w:pPr>
            <w:r w:rsidRPr="003C4B2D">
              <w:rPr>
                <w:rFonts w:eastAsia="Times New Roman"/>
                <w:color w:val="000000"/>
              </w:rPr>
              <w:t>2.23* (1.26, 3.96)</w:t>
            </w:r>
          </w:p>
        </w:tc>
        <w:tc>
          <w:tcPr>
            <w:tcW w:w="0" w:type="auto"/>
            <w:vAlign w:val="center"/>
          </w:tcPr>
          <w:p w14:paraId="199F4545" w14:textId="77777777" w:rsidR="003C4B2D" w:rsidRPr="003C4B2D" w:rsidRDefault="003C4B2D" w:rsidP="005C0468">
            <w:pPr>
              <w:rPr>
                <w:rFonts w:eastAsia="Times New Roman"/>
                <w:color w:val="000000"/>
                <w:spacing w:val="-6"/>
              </w:rPr>
            </w:pPr>
            <w:r w:rsidRPr="003C4B2D">
              <w:rPr>
                <w:rFonts w:eastAsia="Times New Roman"/>
                <w:color w:val="000000"/>
                <w:spacing w:val="-6"/>
              </w:rPr>
              <w:t>0.26 (-0.19, 0.72)</w:t>
            </w:r>
          </w:p>
        </w:tc>
        <w:tc>
          <w:tcPr>
            <w:tcW w:w="0" w:type="auto"/>
            <w:vAlign w:val="center"/>
          </w:tcPr>
          <w:p w14:paraId="0E312B6E" w14:textId="77777777" w:rsidR="003C4B2D" w:rsidRPr="003C4B2D" w:rsidRDefault="003C4B2D" w:rsidP="003C4B2D">
            <w:pPr>
              <w:rPr>
                <w:rFonts w:eastAsia="Times New Roman"/>
                <w:color w:val="000000"/>
                <w:spacing w:val="-6"/>
              </w:rPr>
            </w:pPr>
            <w:r w:rsidRPr="003C4B2D">
              <w:rPr>
                <w:rFonts w:eastAsia="Times New Roman"/>
                <w:color w:val="000000"/>
                <w:spacing w:val="-6"/>
              </w:rPr>
              <w:t>2.02 (0.83, 4.88)</w:t>
            </w:r>
          </w:p>
        </w:tc>
      </w:tr>
      <w:tr w:rsidR="006711BB" w:rsidRPr="003C4B2D" w14:paraId="7568A96F" w14:textId="77777777" w:rsidTr="00885C57">
        <w:trPr>
          <w:trHeight w:val="276"/>
          <w:tblHeader/>
          <w:jc w:val="center"/>
        </w:trPr>
        <w:tc>
          <w:tcPr>
            <w:tcW w:w="0" w:type="auto"/>
            <w:shd w:val="clear" w:color="auto" w:fill="auto"/>
            <w:noWrap/>
            <w:vAlign w:val="center"/>
          </w:tcPr>
          <w:p w14:paraId="51BD7CD5" w14:textId="77777777" w:rsidR="006711BB" w:rsidRPr="00B868D7" w:rsidRDefault="006711BB" w:rsidP="005C0468">
            <w:pPr>
              <w:rPr>
                <w:rFonts w:eastAsia="Times New Roman"/>
                <w:color w:val="000000"/>
              </w:rPr>
            </w:pPr>
            <w:r w:rsidRPr="00B868D7">
              <w:rPr>
                <w:rFonts w:eastAsia="Times New Roman"/>
                <w:color w:val="000000"/>
              </w:rPr>
              <w:t>GHB</w:t>
            </w:r>
          </w:p>
        </w:tc>
        <w:tc>
          <w:tcPr>
            <w:tcW w:w="0" w:type="auto"/>
            <w:shd w:val="clear" w:color="auto" w:fill="auto"/>
            <w:noWrap/>
            <w:vAlign w:val="center"/>
          </w:tcPr>
          <w:p w14:paraId="6D6AC84D" w14:textId="77777777" w:rsidR="006711BB" w:rsidRPr="003C4B2D" w:rsidRDefault="006711BB" w:rsidP="005C0468">
            <w:pPr>
              <w:rPr>
                <w:rFonts w:eastAsia="Times New Roman"/>
                <w:color w:val="000000"/>
              </w:rPr>
            </w:pPr>
            <w:r w:rsidRPr="003C4B2D">
              <w:rPr>
                <w:rFonts w:eastAsia="Times New Roman"/>
                <w:color w:val="000000"/>
              </w:rPr>
              <w:t>1.50 (0.54, 4.17)</w:t>
            </w:r>
          </w:p>
        </w:tc>
        <w:tc>
          <w:tcPr>
            <w:tcW w:w="0" w:type="auto"/>
            <w:vAlign w:val="center"/>
          </w:tcPr>
          <w:p w14:paraId="34931268" w14:textId="77777777" w:rsidR="006711BB" w:rsidRPr="003C4B2D" w:rsidRDefault="006711BB" w:rsidP="005C0468">
            <w:pPr>
              <w:rPr>
                <w:rFonts w:eastAsia="Times New Roman"/>
                <w:color w:val="000000"/>
                <w:spacing w:val="-6"/>
              </w:rPr>
            </w:pPr>
            <w:r w:rsidRPr="003C4B2D">
              <w:rPr>
                <w:rFonts w:eastAsia="Times New Roman"/>
                <w:color w:val="000000"/>
                <w:spacing w:val="-6"/>
              </w:rPr>
              <w:t>-0.02 (-0.80, 0.72)</w:t>
            </w:r>
          </w:p>
        </w:tc>
        <w:tc>
          <w:tcPr>
            <w:tcW w:w="0" w:type="auto"/>
            <w:vAlign w:val="center"/>
          </w:tcPr>
          <w:p w14:paraId="0935F0EF" w14:textId="77777777" w:rsidR="006711BB" w:rsidRPr="003C4B2D" w:rsidRDefault="006711BB" w:rsidP="003C4B2D">
            <w:pPr>
              <w:rPr>
                <w:rFonts w:eastAsia="Times New Roman"/>
                <w:color w:val="000000"/>
                <w:spacing w:val="-6"/>
              </w:rPr>
            </w:pPr>
            <w:r w:rsidRPr="003C4B2D">
              <w:rPr>
                <w:rFonts w:eastAsia="Times New Roman"/>
                <w:color w:val="000000"/>
                <w:spacing w:val="-6"/>
              </w:rPr>
              <w:t>3.93 (0.70, 22.04)</w:t>
            </w:r>
          </w:p>
        </w:tc>
      </w:tr>
      <w:tr w:rsidR="006711BB" w:rsidRPr="003C4B2D" w14:paraId="0E69D710" w14:textId="77777777" w:rsidTr="00885C57">
        <w:trPr>
          <w:trHeight w:val="276"/>
          <w:tblHeader/>
          <w:jc w:val="center"/>
        </w:trPr>
        <w:tc>
          <w:tcPr>
            <w:tcW w:w="0" w:type="auto"/>
            <w:shd w:val="clear" w:color="auto" w:fill="auto"/>
            <w:noWrap/>
            <w:vAlign w:val="center"/>
          </w:tcPr>
          <w:p w14:paraId="4B38F265" w14:textId="77777777" w:rsidR="006711BB" w:rsidRPr="00B868D7" w:rsidRDefault="006711BB" w:rsidP="005C0468">
            <w:pPr>
              <w:rPr>
                <w:rFonts w:eastAsia="Times New Roman"/>
                <w:color w:val="000000"/>
              </w:rPr>
            </w:pPr>
            <w:r w:rsidRPr="00B868D7">
              <w:rPr>
                <w:rFonts w:eastAsia="Times New Roman"/>
                <w:color w:val="000000"/>
              </w:rPr>
              <w:t>Crystal methamphetamine</w:t>
            </w:r>
          </w:p>
        </w:tc>
        <w:tc>
          <w:tcPr>
            <w:tcW w:w="0" w:type="auto"/>
            <w:shd w:val="clear" w:color="auto" w:fill="auto"/>
            <w:noWrap/>
            <w:vAlign w:val="center"/>
          </w:tcPr>
          <w:p w14:paraId="62B7FC42" w14:textId="77777777" w:rsidR="006711BB" w:rsidRPr="003C4B2D" w:rsidRDefault="006711BB" w:rsidP="005C0468">
            <w:pPr>
              <w:rPr>
                <w:rFonts w:eastAsia="Times New Roman"/>
                <w:color w:val="000000"/>
              </w:rPr>
            </w:pPr>
            <w:r w:rsidRPr="003C4B2D">
              <w:rPr>
                <w:rFonts w:eastAsia="Times New Roman"/>
                <w:color w:val="000000"/>
              </w:rPr>
              <w:t>3.18* (1.19, 8.48)</w:t>
            </w:r>
          </w:p>
        </w:tc>
        <w:tc>
          <w:tcPr>
            <w:tcW w:w="0" w:type="auto"/>
            <w:vAlign w:val="center"/>
          </w:tcPr>
          <w:p w14:paraId="47555B93" w14:textId="77777777" w:rsidR="006711BB" w:rsidRPr="003C4B2D" w:rsidRDefault="006711BB" w:rsidP="005C0468">
            <w:pPr>
              <w:rPr>
                <w:rFonts w:eastAsia="Times New Roman"/>
                <w:color w:val="000000"/>
                <w:spacing w:val="-6"/>
              </w:rPr>
            </w:pPr>
            <w:r w:rsidRPr="003C4B2D">
              <w:rPr>
                <w:rFonts w:eastAsia="Times New Roman"/>
                <w:color w:val="000000"/>
                <w:spacing w:val="-6"/>
              </w:rPr>
              <w:t>0.17 (-0.55, 0.89)</w:t>
            </w:r>
          </w:p>
        </w:tc>
        <w:tc>
          <w:tcPr>
            <w:tcW w:w="0" w:type="auto"/>
            <w:vAlign w:val="center"/>
          </w:tcPr>
          <w:p w14:paraId="30A6E9F3" w14:textId="77777777" w:rsidR="006711BB" w:rsidRPr="003C4B2D" w:rsidRDefault="006711BB" w:rsidP="003C4B2D">
            <w:pPr>
              <w:rPr>
                <w:rFonts w:eastAsia="Times New Roman"/>
                <w:color w:val="000000"/>
                <w:spacing w:val="-6"/>
              </w:rPr>
            </w:pPr>
            <w:r w:rsidRPr="003C4B2D">
              <w:rPr>
                <w:rFonts w:eastAsia="Times New Roman"/>
                <w:color w:val="000000"/>
                <w:spacing w:val="-6"/>
              </w:rPr>
              <w:t>0.15*** (0.05, 0.53)</w:t>
            </w:r>
          </w:p>
        </w:tc>
      </w:tr>
      <w:tr w:rsidR="006711BB" w:rsidRPr="003C4B2D" w14:paraId="64B9D153" w14:textId="77777777" w:rsidTr="00885C57">
        <w:trPr>
          <w:trHeight w:val="276"/>
          <w:tblHeader/>
          <w:jc w:val="center"/>
        </w:trPr>
        <w:tc>
          <w:tcPr>
            <w:tcW w:w="0" w:type="auto"/>
            <w:shd w:val="clear" w:color="auto" w:fill="auto"/>
            <w:noWrap/>
            <w:vAlign w:val="center"/>
          </w:tcPr>
          <w:p w14:paraId="0D6C34BE" w14:textId="77777777" w:rsidR="006711BB" w:rsidRPr="00B868D7" w:rsidRDefault="006711BB" w:rsidP="005C0468">
            <w:pPr>
              <w:rPr>
                <w:rFonts w:eastAsia="Times New Roman"/>
                <w:color w:val="000000"/>
              </w:rPr>
            </w:pPr>
            <w:r w:rsidRPr="00B868D7">
              <w:rPr>
                <w:rFonts w:eastAsia="Times New Roman"/>
                <w:color w:val="000000"/>
              </w:rPr>
              <w:t>MDMA</w:t>
            </w:r>
          </w:p>
        </w:tc>
        <w:tc>
          <w:tcPr>
            <w:tcW w:w="0" w:type="auto"/>
            <w:shd w:val="clear" w:color="auto" w:fill="auto"/>
            <w:noWrap/>
            <w:vAlign w:val="center"/>
          </w:tcPr>
          <w:p w14:paraId="0B300BC8" w14:textId="77777777" w:rsidR="006711BB" w:rsidRPr="003C4B2D" w:rsidRDefault="006711BB" w:rsidP="005C0468">
            <w:pPr>
              <w:rPr>
                <w:rFonts w:eastAsia="Times New Roman"/>
                <w:color w:val="000000"/>
              </w:rPr>
            </w:pPr>
            <w:r w:rsidRPr="003C4B2D">
              <w:rPr>
                <w:rFonts w:eastAsia="Times New Roman"/>
                <w:color w:val="000000"/>
              </w:rPr>
              <w:t>0.64 (0.25, 1.61)</w:t>
            </w:r>
          </w:p>
        </w:tc>
        <w:tc>
          <w:tcPr>
            <w:tcW w:w="0" w:type="auto"/>
            <w:vAlign w:val="center"/>
          </w:tcPr>
          <w:p w14:paraId="4D40B852" w14:textId="77777777" w:rsidR="006711BB" w:rsidRPr="003C4B2D" w:rsidRDefault="006711BB" w:rsidP="005C0468">
            <w:pPr>
              <w:rPr>
                <w:rFonts w:eastAsia="Times New Roman"/>
                <w:color w:val="000000"/>
                <w:spacing w:val="-6"/>
              </w:rPr>
            </w:pPr>
            <w:r w:rsidRPr="003C4B2D">
              <w:rPr>
                <w:rFonts w:eastAsia="Times New Roman"/>
                <w:color w:val="000000"/>
                <w:spacing w:val="-6"/>
              </w:rPr>
              <w:t>0.24 (-0.46, 0.94)</w:t>
            </w:r>
          </w:p>
        </w:tc>
        <w:tc>
          <w:tcPr>
            <w:tcW w:w="0" w:type="auto"/>
            <w:vAlign w:val="center"/>
          </w:tcPr>
          <w:p w14:paraId="46EBF243" w14:textId="77777777" w:rsidR="006711BB" w:rsidRPr="003C4B2D" w:rsidRDefault="006711BB" w:rsidP="003C4B2D">
            <w:pPr>
              <w:rPr>
                <w:rFonts w:eastAsia="Times New Roman"/>
                <w:color w:val="000000"/>
                <w:spacing w:val="-6"/>
              </w:rPr>
            </w:pPr>
            <w:r w:rsidRPr="003C4B2D">
              <w:rPr>
                <w:rFonts w:eastAsia="Times New Roman"/>
                <w:color w:val="000000"/>
                <w:spacing w:val="-6"/>
              </w:rPr>
              <w:t>1.33 (0.38, 4.64)</w:t>
            </w:r>
          </w:p>
        </w:tc>
      </w:tr>
      <w:tr w:rsidR="006711BB" w:rsidRPr="003C4B2D" w14:paraId="42DA5767" w14:textId="77777777" w:rsidTr="00885C57">
        <w:trPr>
          <w:trHeight w:val="276"/>
          <w:tblHeader/>
          <w:jc w:val="center"/>
        </w:trPr>
        <w:tc>
          <w:tcPr>
            <w:tcW w:w="0" w:type="auto"/>
            <w:shd w:val="clear" w:color="auto" w:fill="auto"/>
            <w:noWrap/>
            <w:vAlign w:val="center"/>
          </w:tcPr>
          <w:p w14:paraId="47A046F3" w14:textId="77777777" w:rsidR="006711BB" w:rsidRPr="00B868D7" w:rsidRDefault="006711BB" w:rsidP="005C0468">
            <w:pPr>
              <w:rPr>
                <w:rFonts w:eastAsia="Times New Roman"/>
                <w:color w:val="000000"/>
              </w:rPr>
            </w:pPr>
            <w:r w:rsidRPr="00B868D7">
              <w:rPr>
                <w:rFonts w:eastAsia="Times New Roman"/>
                <w:color w:val="000000"/>
              </w:rPr>
              <w:t>Mephedrone</w:t>
            </w:r>
          </w:p>
        </w:tc>
        <w:tc>
          <w:tcPr>
            <w:tcW w:w="0" w:type="auto"/>
            <w:shd w:val="clear" w:color="auto" w:fill="auto"/>
            <w:noWrap/>
            <w:vAlign w:val="center"/>
          </w:tcPr>
          <w:p w14:paraId="6ACEC466" w14:textId="77777777" w:rsidR="006711BB" w:rsidRPr="003C4B2D" w:rsidRDefault="006711BB" w:rsidP="005C0468">
            <w:pPr>
              <w:rPr>
                <w:rFonts w:eastAsia="Times New Roman"/>
                <w:color w:val="000000"/>
              </w:rPr>
            </w:pPr>
            <w:r w:rsidRPr="003C4B2D">
              <w:rPr>
                <w:rFonts w:eastAsia="Times New Roman"/>
                <w:color w:val="000000"/>
              </w:rPr>
              <w:t>1.05 (0.42, 2.59)</w:t>
            </w:r>
          </w:p>
        </w:tc>
        <w:tc>
          <w:tcPr>
            <w:tcW w:w="0" w:type="auto"/>
            <w:vAlign w:val="center"/>
          </w:tcPr>
          <w:p w14:paraId="19515B04" w14:textId="77777777" w:rsidR="006711BB" w:rsidRPr="003C4B2D" w:rsidRDefault="006711BB" w:rsidP="005C0468">
            <w:pPr>
              <w:rPr>
                <w:rFonts w:eastAsia="Times New Roman"/>
                <w:color w:val="000000"/>
                <w:spacing w:val="-6"/>
              </w:rPr>
            </w:pPr>
            <w:r w:rsidRPr="003C4B2D">
              <w:rPr>
                <w:rFonts w:eastAsia="Times New Roman"/>
                <w:color w:val="000000"/>
                <w:spacing w:val="-6"/>
              </w:rPr>
              <w:t>0.02 (-0.67, 0.72)</w:t>
            </w:r>
          </w:p>
        </w:tc>
        <w:tc>
          <w:tcPr>
            <w:tcW w:w="0" w:type="auto"/>
            <w:vAlign w:val="center"/>
          </w:tcPr>
          <w:p w14:paraId="611D79E6" w14:textId="77777777" w:rsidR="006711BB" w:rsidRPr="003C4B2D" w:rsidRDefault="006711BB" w:rsidP="003C4B2D">
            <w:pPr>
              <w:rPr>
                <w:rFonts w:eastAsia="Times New Roman"/>
                <w:color w:val="000000"/>
                <w:spacing w:val="-6"/>
              </w:rPr>
            </w:pPr>
            <w:r w:rsidRPr="003C4B2D">
              <w:rPr>
                <w:rFonts w:eastAsia="Times New Roman"/>
                <w:color w:val="000000"/>
                <w:spacing w:val="-6"/>
              </w:rPr>
              <w:t>1.39 (0.35, 5.53)</w:t>
            </w:r>
          </w:p>
        </w:tc>
      </w:tr>
      <w:tr w:rsidR="006711BB" w:rsidRPr="003C4B2D" w14:paraId="3D74A045" w14:textId="77777777" w:rsidTr="00885C57">
        <w:trPr>
          <w:trHeight w:val="276"/>
          <w:tblHeader/>
          <w:jc w:val="center"/>
        </w:trPr>
        <w:tc>
          <w:tcPr>
            <w:tcW w:w="0" w:type="auto"/>
            <w:shd w:val="clear" w:color="auto" w:fill="auto"/>
            <w:noWrap/>
            <w:vAlign w:val="center"/>
          </w:tcPr>
          <w:p w14:paraId="4D57E501" w14:textId="77777777" w:rsidR="006711BB" w:rsidRPr="00B868D7" w:rsidRDefault="006711BB" w:rsidP="005C0468">
            <w:pPr>
              <w:rPr>
                <w:rFonts w:eastAsia="Times New Roman"/>
                <w:color w:val="000000"/>
              </w:rPr>
            </w:pPr>
            <w:r w:rsidRPr="00B868D7">
              <w:rPr>
                <w:rFonts w:eastAsia="Times New Roman"/>
                <w:color w:val="000000"/>
              </w:rPr>
              <w:t>Cocaine</w:t>
            </w:r>
          </w:p>
        </w:tc>
        <w:tc>
          <w:tcPr>
            <w:tcW w:w="0" w:type="auto"/>
            <w:shd w:val="clear" w:color="auto" w:fill="auto"/>
            <w:noWrap/>
            <w:vAlign w:val="center"/>
          </w:tcPr>
          <w:p w14:paraId="3FF9485B" w14:textId="77777777" w:rsidR="006711BB" w:rsidRPr="003C4B2D" w:rsidRDefault="006711BB" w:rsidP="005C0468">
            <w:pPr>
              <w:rPr>
                <w:rFonts w:eastAsia="Times New Roman"/>
                <w:color w:val="000000"/>
              </w:rPr>
            </w:pPr>
            <w:r w:rsidRPr="003C4B2D">
              <w:rPr>
                <w:rFonts w:eastAsia="Times New Roman"/>
                <w:color w:val="000000"/>
              </w:rPr>
              <w:t>0.92 (0.39, 2.14)</w:t>
            </w:r>
          </w:p>
        </w:tc>
        <w:tc>
          <w:tcPr>
            <w:tcW w:w="0" w:type="auto"/>
            <w:vAlign w:val="center"/>
          </w:tcPr>
          <w:p w14:paraId="5959A199" w14:textId="77777777" w:rsidR="006711BB" w:rsidRPr="003C4B2D" w:rsidRDefault="006711BB" w:rsidP="005C0468">
            <w:pPr>
              <w:rPr>
                <w:rFonts w:eastAsia="Times New Roman"/>
                <w:color w:val="000000"/>
                <w:spacing w:val="-6"/>
              </w:rPr>
            </w:pPr>
            <w:r w:rsidRPr="003C4B2D">
              <w:rPr>
                <w:rFonts w:eastAsia="Times New Roman"/>
                <w:color w:val="000000"/>
                <w:spacing w:val="-6"/>
              </w:rPr>
              <w:t>0.04 (-0.61, 0.70)</w:t>
            </w:r>
          </w:p>
        </w:tc>
        <w:tc>
          <w:tcPr>
            <w:tcW w:w="0" w:type="auto"/>
            <w:vAlign w:val="center"/>
          </w:tcPr>
          <w:p w14:paraId="5E9962EA" w14:textId="77777777" w:rsidR="006711BB" w:rsidRPr="003C4B2D" w:rsidRDefault="006711BB" w:rsidP="003C4B2D">
            <w:pPr>
              <w:rPr>
                <w:rFonts w:eastAsia="Times New Roman"/>
                <w:color w:val="000000"/>
                <w:spacing w:val="-6"/>
              </w:rPr>
            </w:pPr>
            <w:r w:rsidRPr="003C4B2D">
              <w:rPr>
                <w:rFonts w:eastAsia="Times New Roman"/>
                <w:i/>
                <w:iCs/>
                <w:color w:val="000000"/>
                <w:spacing w:val="-6"/>
              </w:rPr>
              <w:t>0.37 (0.13, 1.03)</w:t>
            </w:r>
          </w:p>
        </w:tc>
      </w:tr>
      <w:tr w:rsidR="00BF3E6A" w:rsidRPr="003C4B2D" w14:paraId="3A7BF5BB" w14:textId="77777777" w:rsidTr="00885C57">
        <w:trPr>
          <w:trHeight w:val="276"/>
          <w:tblHeader/>
          <w:jc w:val="center"/>
        </w:trPr>
        <w:tc>
          <w:tcPr>
            <w:tcW w:w="0" w:type="auto"/>
            <w:shd w:val="clear" w:color="auto" w:fill="auto"/>
            <w:noWrap/>
            <w:vAlign w:val="center"/>
          </w:tcPr>
          <w:p w14:paraId="3E355B2C" w14:textId="77777777" w:rsidR="00BF3E6A" w:rsidRPr="00B868D7" w:rsidRDefault="00BF3E6A" w:rsidP="005C0468">
            <w:pPr>
              <w:rPr>
                <w:rFonts w:eastAsia="Times New Roman"/>
                <w:color w:val="000000"/>
              </w:rPr>
            </w:pPr>
            <w:r w:rsidRPr="00B868D7">
              <w:rPr>
                <w:rFonts w:eastAsia="Times New Roman"/>
                <w:color w:val="000000"/>
              </w:rPr>
              <w:t>Ketamine</w:t>
            </w:r>
          </w:p>
        </w:tc>
        <w:tc>
          <w:tcPr>
            <w:tcW w:w="0" w:type="auto"/>
            <w:shd w:val="clear" w:color="auto" w:fill="auto"/>
            <w:noWrap/>
            <w:vAlign w:val="center"/>
          </w:tcPr>
          <w:p w14:paraId="1FF7743D" w14:textId="77777777" w:rsidR="00BF3E6A" w:rsidRPr="003C4B2D" w:rsidRDefault="00BF3E6A" w:rsidP="005C0468">
            <w:pPr>
              <w:rPr>
                <w:rFonts w:eastAsia="Times New Roman"/>
                <w:color w:val="000000"/>
              </w:rPr>
            </w:pPr>
            <w:r w:rsidRPr="003C4B2D">
              <w:rPr>
                <w:rFonts w:eastAsia="Times New Roman"/>
                <w:color w:val="000000"/>
              </w:rPr>
              <w:t>1.64 (0.63, 4.30)</w:t>
            </w:r>
          </w:p>
        </w:tc>
        <w:tc>
          <w:tcPr>
            <w:tcW w:w="0" w:type="auto"/>
            <w:vAlign w:val="center"/>
          </w:tcPr>
          <w:p w14:paraId="7333060C" w14:textId="77777777" w:rsidR="00BF3E6A" w:rsidRPr="003C4B2D" w:rsidRDefault="00BF3E6A" w:rsidP="005C0468">
            <w:pPr>
              <w:rPr>
                <w:rFonts w:eastAsia="Times New Roman"/>
                <w:color w:val="000000"/>
                <w:spacing w:val="-6"/>
              </w:rPr>
            </w:pPr>
            <w:r w:rsidRPr="003C4B2D">
              <w:rPr>
                <w:rFonts w:eastAsia="Times New Roman"/>
                <w:color w:val="000000"/>
                <w:spacing w:val="-6"/>
              </w:rPr>
              <w:t>0.002 (-0.61, 0.70)</w:t>
            </w:r>
          </w:p>
        </w:tc>
        <w:tc>
          <w:tcPr>
            <w:tcW w:w="0" w:type="auto"/>
            <w:vAlign w:val="center"/>
          </w:tcPr>
          <w:p w14:paraId="077BFBEA" w14:textId="77777777" w:rsidR="00BF3E6A" w:rsidRPr="003C4B2D" w:rsidRDefault="00BF3E6A" w:rsidP="003C4B2D">
            <w:pPr>
              <w:rPr>
                <w:rFonts w:eastAsia="Times New Roman"/>
                <w:color w:val="000000"/>
                <w:spacing w:val="-6"/>
              </w:rPr>
            </w:pPr>
            <w:r w:rsidRPr="003C4B2D">
              <w:rPr>
                <w:rFonts w:eastAsia="Times New Roman"/>
                <w:color w:val="000000"/>
                <w:spacing w:val="-6"/>
              </w:rPr>
              <w:t>1.15 (0.31, 4.27)</w:t>
            </w:r>
          </w:p>
        </w:tc>
      </w:tr>
      <w:tr w:rsidR="00BF3E6A" w:rsidRPr="003C4B2D" w14:paraId="7F2F45FE" w14:textId="77777777" w:rsidTr="00885C57">
        <w:trPr>
          <w:trHeight w:val="276"/>
          <w:tblHeader/>
          <w:jc w:val="center"/>
        </w:trPr>
        <w:tc>
          <w:tcPr>
            <w:tcW w:w="0" w:type="auto"/>
            <w:shd w:val="clear" w:color="auto" w:fill="auto"/>
            <w:noWrap/>
            <w:vAlign w:val="center"/>
            <w:hideMark/>
          </w:tcPr>
          <w:p w14:paraId="408EE9D7" w14:textId="77777777" w:rsidR="00BF3E6A" w:rsidRPr="00B868D7" w:rsidRDefault="00BF3E6A" w:rsidP="005C0468">
            <w:pPr>
              <w:rPr>
                <w:rFonts w:eastAsia="Times New Roman"/>
                <w:color w:val="000000"/>
              </w:rPr>
            </w:pPr>
            <w:r w:rsidRPr="00B868D7">
              <w:rPr>
                <w:rFonts w:eastAsia="Times New Roman"/>
                <w:color w:val="000000"/>
              </w:rPr>
              <w:t>Cannabis</w:t>
            </w:r>
          </w:p>
        </w:tc>
        <w:tc>
          <w:tcPr>
            <w:tcW w:w="0" w:type="auto"/>
            <w:shd w:val="clear" w:color="auto" w:fill="auto"/>
            <w:noWrap/>
            <w:vAlign w:val="center"/>
            <w:hideMark/>
          </w:tcPr>
          <w:p w14:paraId="45ADADF4" w14:textId="77777777" w:rsidR="00BF3E6A" w:rsidRPr="003C4B2D" w:rsidRDefault="00BF3E6A" w:rsidP="005C0468">
            <w:pPr>
              <w:rPr>
                <w:rFonts w:eastAsia="Times New Roman"/>
                <w:color w:val="000000"/>
              </w:rPr>
            </w:pPr>
            <w:r w:rsidRPr="003C4B2D">
              <w:rPr>
                <w:rFonts w:eastAsia="Times New Roman"/>
                <w:color w:val="000000"/>
              </w:rPr>
              <w:t>0.58 (0.21, 1.57)</w:t>
            </w:r>
          </w:p>
        </w:tc>
        <w:tc>
          <w:tcPr>
            <w:tcW w:w="0" w:type="auto"/>
            <w:vAlign w:val="center"/>
          </w:tcPr>
          <w:p w14:paraId="32F7431B" w14:textId="77777777" w:rsidR="00BF3E6A" w:rsidRPr="003C4B2D" w:rsidRDefault="00BF3E6A" w:rsidP="005C0468">
            <w:pPr>
              <w:rPr>
                <w:rFonts w:eastAsia="Times New Roman"/>
                <w:color w:val="000000"/>
                <w:spacing w:val="-6"/>
              </w:rPr>
            </w:pPr>
            <w:r w:rsidRPr="003C4B2D">
              <w:rPr>
                <w:rFonts w:eastAsia="Times New Roman"/>
                <w:color w:val="000000"/>
                <w:spacing w:val="-6"/>
              </w:rPr>
              <w:t>0.23 (-0.50, 0.95)</w:t>
            </w:r>
          </w:p>
        </w:tc>
        <w:tc>
          <w:tcPr>
            <w:tcW w:w="0" w:type="auto"/>
            <w:vAlign w:val="center"/>
          </w:tcPr>
          <w:p w14:paraId="52D63800" w14:textId="77777777" w:rsidR="00BF3E6A" w:rsidRPr="003C4B2D" w:rsidRDefault="00BF3E6A" w:rsidP="003C4B2D">
            <w:pPr>
              <w:rPr>
                <w:rFonts w:eastAsia="Times New Roman"/>
                <w:color w:val="000000"/>
                <w:spacing w:val="-6"/>
              </w:rPr>
            </w:pPr>
            <w:r w:rsidRPr="003C4B2D">
              <w:rPr>
                <w:rFonts w:eastAsia="Times New Roman"/>
                <w:color w:val="000000"/>
                <w:spacing w:val="-6"/>
              </w:rPr>
              <w:t>1.22 (0.32, 4.61)</w:t>
            </w:r>
          </w:p>
        </w:tc>
      </w:tr>
    </w:tbl>
    <w:p w14:paraId="539D13FD" w14:textId="77777777" w:rsidR="00885C57" w:rsidRPr="00885C57" w:rsidRDefault="00885C57" w:rsidP="00885C57">
      <w:r>
        <w:rPr>
          <w:vertAlign w:val="superscript"/>
        </w:rPr>
        <w:t>a</w:t>
      </w:r>
      <w:r>
        <w:t>*</w:t>
      </w:r>
      <w:r>
        <w:rPr>
          <w:i/>
        </w:rPr>
        <w:t>p</w:t>
      </w:r>
      <w:r>
        <w:t>&lt;0.05, **</w:t>
      </w:r>
      <w:r>
        <w:rPr>
          <w:i/>
        </w:rPr>
        <w:t>p</w:t>
      </w:r>
      <w:r>
        <w:t>&lt;0.01, ***</w:t>
      </w:r>
      <w:r>
        <w:rPr>
          <w:i/>
        </w:rPr>
        <w:t>p</w:t>
      </w:r>
      <w:r>
        <w:t>&lt;0.001</w:t>
      </w:r>
    </w:p>
    <w:p w14:paraId="4C14AE58" w14:textId="77777777" w:rsidR="005C0468" w:rsidRPr="005C0468" w:rsidRDefault="005C0468"/>
    <w:p w14:paraId="50715337" w14:textId="77777777" w:rsidR="00885C57" w:rsidRDefault="00885C57">
      <w:pPr>
        <w:rPr>
          <w:b/>
        </w:rPr>
        <w:sectPr w:rsidR="00885C57" w:rsidSect="0091216B">
          <w:pgSz w:w="16840" w:h="11900" w:orient="landscape"/>
          <w:pgMar w:top="1701" w:right="1701" w:bottom="1701" w:left="1701" w:header="709" w:footer="709" w:gutter="0"/>
          <w:cols w:space="708"/>
          <w:docGrid w:linePitch="360"/>
        </w:sectPr>
      </w:pPr>
    </w:p>
    <w:p w14:paraId="26923861" w14:textId="77777777" w:rsidR="005C0468" w:rsidRPr="00885C57" w:rsidRDefault="005C0468" w:rsidP="00885C57">
      <w:pPr>
        <w:spacing w:line="480" w:lineRule="auto"/>
        <w:jc w:val="center"/>
      </w:pPr>
      <w:r>
        <w:rPr>
          <w:b/>
        </w:rPr>
        <w:t xml:space="preserve">Table </w:t>
      </w:r>
      <w:r w:rsidR="00B868D7">
        <w:rPr>
          <w:b/>
        </w:rPr>
        <w:t>5.</w:t>
      </w:r>
      <w:r w:rsidR="00B868D7">
        <w:t xml:space="preserve">  Multivariate models.</w:t>
      </w:r>
      <w:r w:rsidR="00885C57">
        <w:rPr>
          <w:vertAlign w:val="superscript"/>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2176"/>
        <w:gridCol w:w="2176"/>
        <w:gridCol w:w="2296"/>
      </w:tblGrid>
      <w:tr w:rsidR="00F244EA" w:rsidRPr="00F244EA" w14:paraId="2E37BC69" w14:textId="77777777" w:rsidTr="00885C57">
        <w:trPr>
          <w:trHeight w:val="255"/>
          <w:jc w:val="center"/>
        </w:trPr>
        <w:tc>
          <w:tcPr>
            <w:tcW w:w="0" w:type="auto"/>
            <w:vMerge w:val="restart"/>
            <w:shd w:val="clear" w:color="auto" w:fill="auto"/>
            <w:noWrap/>
            <w:vAlign w:val="center"/>
          </w:tcPr>
          <w:p w14:paraId="52899B15" w14:textId="77777777" w:rsidR="00F244EA" w:rsidRPr="00F244EA" w:rsidRDefault="00F244EA" w:rsidP="00F244EA">
            <w:pPr>
              <w:rPr>
                <w:rFonts w:eastAsia="Times New Roman"/>
                <w:b/>
                <w:bCs/>
                <w:color w:val="000000"/>
              </w:rPr>
            </w:pPr>
            <w:r w:rsidRPr="00F244EA">
              <w:rPr>
                <w:rFonts w:eastAsia="Times New Roman"/>
                <w:b/>
                <w:bCs/>
                <w:color w:val="000000"/>
              </w:rPr>
              <w:t>Variable</w:t>
            </w:r>
          </w:p>
        </w:tc>
        <w:tc>
          <w:tcPr>
            <w:tcW w:w="0" w:type="auto"/>
            <w:gridSpan w:val="2"/>
            <w:vAlign w:val="center"/>
          </w:tcPr>
          <w:p w14:paraId="040F572A" w14:textId="77777777" w:rsidR="00F244EA" w:rsidRPr="00F244EA" w:rsidRDefault="00F244EA" w:rsidP="00F244EA">
            <w:pPr>
              <w:rPr>
                <w:rFonts w:eastAsia="Times New Roman"/>
                <w:b/>
                <w:bCs/>
                <w:color w:val="000000"/>
              </w:rPr>
            </w:pPr>
            <w:r>
              <w:rPr>
                <w:rFonts w:eastAsia="Times New Roman"/>
                <w:b/>
                <w:bCs/>
                <w:color w:val="000000"/>
              </w:rPr>
              <w:t>UAI</w:t>
            </w:r>
          </w:p>
        </w:tc>
        <w:tc>
          <w:tcPr>
            <w:tcW w:w="0" w:type="auto"/>
            <w:vAlign w:val="center"/>
          </w:tcPr>
          <w:p w14:paraId="5B8F9443" w14:textId="77777777" w:rsidR="00F244EA" w:rsidRDefault="00F244EA" w:rsidP="00F244EA">
            <w:pPr>
              <w:rPr>
                <w:rFonts w:eastAsia="Times New Roman"/>
                <w:b/>
                <w:bCs/>
                <w:color w:val="000000"/>
              </w:rPr>
            </w:pPr>
            <w:r>
              <w:rPr>
                <w:rFonts w:eastAsia="Times New Roman"/>
                <w:b/>
                <w:bCs/>
                <w:color w:val="000000"/>
              </w:rPr>
              <w:t>Pleasure</w:t>
            </w:r>
          </w:p>
        </w:tc>
      </w:tr>
      <w:tr w:rsidR="00F244EA" w:rsidRPr="00F244EA" w14:paraId="5F830067" w14:textId="77777777" w:rsidTr="00885C57">
        <w:trPr>
          <w:trHeight w:val="255"/>
          <w:jc w:val="center"/>
        </w:trPr>
        <w:tc>
          <w:tcPr>
            <w:tcW w:w="0" w:type="auto"/>
            <w:vMerge/>
            <w:shd w:val="clear" w:color="auto" w:fill="auto"/>
            <w:noWrap/>
            <w:vAlign w:val="center"/>
            <w:hideMark/>
          </w:tcPr>
          <w:p w14:paraId="2B43DB77" w14:textId="77777777" w:rsidR="00F244EA" w:rsidRPr="00F244EA" w:rsidRDefault="00F244EA" w:rsidP="00F244EA">
            <w:pPr>
              <w:rPr>
                <w:rFonts w:eastAsia="Times New Roman"/>
                <w:b/>
                <w:bCs/>
                <w:color w:val="000000"/>
              </w:rPr>
            </w:pPr>
          </w:p>
        </w:tc>
        <w:tc>
          <w:tcPr>
            <w:tcW w:w="0" w:type="auto"/>
            <w:vAlign w:val="center"/>
          </w:tcPr>
          <w:p w14:paraId="65473D78" w14:textId="77777777" w:rsidR="00F244EA" w:rsidRPr="00F244EA" w:rsidRDefault="00F244EA" w:rsidP="00F244EA">
            <w:pPr>
              <w:rPr>
                <w:rFonts w:eastAsia="Times New Roman"/>
                <w:b/>
                <w:bCs/>
                <w:color w:val="000000"/>
              </w:rPr>
            </w:pPr>
            <w:r w:rsidRPr="00F244EA">
              <w:rPr>
                <w:rFonts w:eastAsia="Times New Roman"/>
                <w:b/>
                <w:bCs/>
                <w:color w:val="000000"/>
              </w:rPr>
              <w:t>Model 1</w:t>
            </w:r>
            <w:r w:rsidRPr="00F244EA">
              <w:rPr>
                <w:rFonts w:eastAsia="Times New Roman"/>
                <w:b/>
                <w:bCs/>
                <w:color w:val="000000"/>
              </w:rPr>
              <w:br/>
            </w:r>
            <w:r w:rsidRPr="00F244EA">
              <w:rPr>
                <w:rFonts w:eastAsia="Times New Roman"/>
                <w:bCs/>
                <w:color w:val="000000"/>
              </w:rPr>
              <w:t>n=431</w:t>
            </w:r>
          </w:p>
        </w:tc>
        <w:tc>
          <w:tcPr>
            <w:tcW w:w="0" w:type="auto"/>
            <w:vAlign w:val="center"/>
          </w:tcPr>
          <w:p w14:paraId="790E0B3E" w14:textId="77777777" w:rsidR="00F244EA" w:rsidRPr="00F244EA" w:rsidRDefault="00F244EA" w:rsidP="00F244EA">
            <w:pPr>
              <w:rPr>
                <w:rFonts w:eastAsia="Times New Roman"/>
                <w:b/>
                <w:bCs/>
                <w:color w:val="000000"/>
              </w:rPr>
            </w:pPr>
            <w:r w:rsidRPr="00F244EA">
              <w:rPr>
                <w:rFonts w:eastAsia="Times New Roman"/>
                <w:b/>
                <w:bCs/>
                <w:color w:val="000000"/>
              </w:rPr>
              <w:t>Model 2</w:t>
            </w:r>
            <w:r w:rsidRPr="00F244EA">
              <w:rPr>
                <w:rFonts w:eastAsia="Times New Roman"/>
                <w:b/>
                <w:bCs/>
                <w:color w:val="000000"/>
              </w:rPr>
              <w:br/>
            </w:r>
            <w:r w:rsidRPr="00F244EA">
              <w:rPr>
                <w:rFonts w:eastAsia="Times New Roman"/>
                <w:bCs/>
                <w:color w:val="000000"/>
              </w:rPr>
              <w:t>n=433</w:t>
            </w:r>
          </w:p>
        </w:tc>
        <w:tc>
          <w:tcPr>
            <w:tcW w:w="0" w:type="auto"/>
            <w:vAlign w:val="center"/>
          </w:tcPr>
          <w:p w14:paraId="2AD243E2" w14:textId="77777777" w:rsidR="00F244EA" w:rsidRPr="00F244EA" w:rsidRDefault="00F244EA" w:rsidP="00F244EA">
            <w:pPr>
              <w:rPr>
                <w:rFonts w:eastAsia="Times New Roman"/>
                <w:bCs/>
                <w:color w:val="000000"/>
              </w:rPr>
            </w:pPr>
            <w:r>
              <w:rPr>
                <w:rFonts w:eastAsia="Times New Roman"/>
                <w:bCs/>
                <w:color w:val="000000"/>
              </w:rPr>
              <w:t>n=424</w:t>
            </w:r>
          </w:p>
        </w:tc>
      </w:tr>
      <w:tr w:rsidR="00F244EA" w:rsidRPr="00F244EA" w14:paraId="03F91246" w14:textId="77777777" w:rsidTr="00885C57">
        <w:trPr>
          <w:trHeight w:val="255"/>
          <w:jc w:val="center"/>
        </w:trPr>
        <w:tc>
          <w:tcPr>
            <w:tcW w:w="0" w:type="auto"/>
            <w:vMerge/>
            <w:vAlign w:val="center"/>
            <w:hideMark/>
          </w:tcPr>
          <w:p w14:paraId="3FB35E50" w14:textId="77777777" w:rsidR="00F244EA" w:rsidRPr="00F244EA" w:rsidRDefault="00F244EA" w:rsidP="00F244EA">
            <w:pPr>
              <w:rPr>
                <w:rFonts w:eastAsia="Times New Roman"/>
                <w:b/>
                <w:bCs/>
                <w:color w:val="000000"/>
              </w:rPr>
            </w:pPr>
          </w:p>
        </w:tc>
        <w:tc>
          <w:tcPr>
            <w:tcW w:w="0" w:type="auto"/>
            <w:vAlign w:val="center"/>
          </w:tcPr>
          <w:p w14:paraId="5F35F64E" w14:textId="77777777" w:rsidR="00F244EA" w:rsidRPr="00F244EA" w:rsidRDefault="00F244EA" w:rsidP="00F244EA">
            <w:pPr>
              <w:rPr>
                <w:rFonts w:eastAsia="Times New Roman"/>
                <w:color w:val="000000"/>
              </w:rPr>
            </w:pPr>
            <w:r w:rsidRPr="00F244EA">
              <w:rPr>
                <w:rFonts w:eastAsia="Times New Roman"/>
                <w:color w:val="000000"/>
              </w:rPr>
              <w:t>OR (95% CI)</w:t>
            </w:r>
          </w:p>
        </w:tc>
        <w:tc>
          <w:tcPr>
            <w:tcW w:w="0" w:type="auto"/>
            <w:vAlign w:val="center"/>
          </w:tcPr>
          <w:p w14:paraId="343706F9" w14:textId="77777777" w:rsidR="00F244EA" w:rsidRPr="00F244EA" w:rsidRDefault="00F244EA" w:rsidP="00F244EA">
            <w:pPr>
              <w:rPr>
                <w:rFonts w:eastAsia="Times New Roman"/>
                <w:color w:val="000000"/>
              </w:rPr>
            </w:pPr>
            <w:r w:rsidRPr="00F244EA">
              <w:rPr>
                <w:rFonts w:eastAsia="Times New Roman"/>
                <w:color w:val="000000"/>
              </w:rPr>
              <w:t>OR (95% CI)</w:t>
            </w:r>
          </w:p>
        </w:tc>
        <w:tc>
          <w:tcPr>
            <w:tcW w:w="0" w:type="auto"/>
            <w:vAlign w:val="center"/>
          </w:tcPr>
          <w:p w14:paraId="3E1342DE" w14:textId="77777777" w:rsidR="00F244EA" w:rsidRPr="00F244EA" w:rsidRDefault="00F244EA" w:rsidP="00F244EA">
            <w:pPr>
              <w:rPr>
                <w:rFonts w:eastAsia="Times New Roman"/>
                <w:color w:val="000000"/>
              </w:rPr>
            </w:pPr>
            <w:r w:rsidRPr="00F244EA">
              <w:rPr>
                <w:rFonts w:eastAsia="Times New Roman"/>
                <w:color w:val="000000"/>
              </w:rPr>
              <w:t>Beta (95% CI)</w:t>
            </w:r>
          </w:p>
        </w:tc>
      </w:tr>
      <w:tr w:rsidR="00B868D7" w:rsidRPr="00F244EA" w14:paraId="61C1BB7E" w14:textId="77777777" w:rsidTr="00885C57">
        <w:trPr>
          <w:trHeight w:val="255"/>
          <w:jc w:val="center"/>
        </w:trPr>
        <w:tc>
          <w:tcPr>
            <w:tcW w:w="0" w:type="auto"/>
            <w:shd w:val="clear" w:color="auto" w:fill="auto"/>
            <w:noWrap/>
            <w:vAlign w:val="center"/>
            <w:hideMark/>
          </w:tcPr>
          <w:p w14:paraId="053EAFD2" w14:textId="77777777" w:rsidR="00B868D7" w:rsidRPr="00F244EA" w:rsidRDefault="00B868D7" w:rsidP="00F244EA">
            <w:pPr>
              <w:rPr>
                <w:rFonts w:eastAsia="Times New Roman"/>
                <w:b/>
                <w:bCs/>
                <w:color w:val="000000"/>
              </w:rPr>
            </w:pPr>
            <w:r w:rsidRPr="00F244EA">
              <w:rPr>
                <w:rFonts w:eastAsia="Times New Roman"/>
                <w:b/>
                <w:bCs/>
                <w:color w:val="000000"/>
              </w:rPr>
              <w:t>Intercept</w:t>
            </w:r>
          </w:p>
        </w:tc>
        <w:tc>
          <w:tcPr>
            <w:tcW w:w="0" w:type="auto"/>
            <w:vAlign w:val="center"/>
          </w:tcPr>
          <w:p w14:paraId="50EBBB18" w14:textId="77777777" w:rsidR="00B868D7" w:rsidRPr="00F244EA" w:rsidRDefault="00B868D7" w:rsidP="00F244EA">
            <w:pPr>
              <w:rPr>
                <w:rFonts w:eastAsia="Times New Roman"/>
                <w:color w:val="000000"/>
              </w:rPr>
            </w:pPr>
            <w:r w:rsidRPr="00F244EA">
              <w:rPr>
                <w:rFonts w:eastAsia="Times New Roman"/>
                <w:color w:val="000000"/>
              </w:rPr>
              <w:t>0.70 (0.39, 1.24)</w:t>
            </w:r>
          </w:p>
        </w:tc>
        <w:tc>
          <w:tcPr>
            <w:tcW w:w="0" w:type="auto"/>
            <w:vAlign w:val="center"/>
          </w:tcPr>
          <w:p w14:paraId="7E755D35" w14:textId="77777777" w:rsidR="00B868D7" w:rsidRPr="00F244EA" w:rsidRDefault="00B868D7" w:rsidP="00F244EA">
            <w:pPr>
              <w:rPr>
                <w:rFonts w:eastAsia="Times New Roman"/>
                <w:color w:val="000000"/>
              </w:rPr>
            </w:pPr>
            <w:r w:rsidRPr="00F244EA">
              <w:rPr>
                <w:rFonts w:eastAsia="Times New Roman"/>
                <w:color w:val="000000"/>
              </w:rPr>
              <w:t>0.75 (0.43, 1.29)</w:t>
            </w:r>
          </w:p>
        </w:tc>
        <w:tc>
          <w:tcPr>
            <w:tcW w:w="0" w:type="auto"/>
            <w:vAlign w:val="center"/>
          </w:tcPr>
          <w:p w14:paraId="7785C41E" w14:textId="77777777" w:rsidR="00B868D7" w:rsidRPr="00F244EA" w:rsidRDefault="00B868D7" w:rsidP="00F244EA">
            <w:pPr>
              <w:rPr>
                <w:rFonts w:eastAsia="Times New Roman"/>
                <w:color w:val="000000"/>
              </w:rPr>
            </w:pPr>
            <w:r w:rsidRPr="00F244EA">
              <w:rPr>
                <w:rFonts w:eastAsia="Times New Roman"/>
                <w:color w:val="000000"/>
              </w:rPr>
              <w:t>6.95*** (6.54, 7.36)</w:t>
            </w:r>
          </w:p>
        </w:tc>
      </w:tr>
      <w:tr w:rsidR="00B868D7" w:rsidRPr="00F244EA" w14:paraId="2642D8D6" w14:textId="77777777" w:rsidTr="00885C57">
        <w:trPr>
          <w:trHeight w:val="255"/>
          <w:jc w:val="center"/>
        </w:trPr>
        <w:tc>
          <w:tcPr>
            <w:tcW w:w="0" w:type="auto"/>
            <w:shd w:val="clear" w:color="auto" w:fill="auto"/>
            <w:noWrap/>
            <w:vAlign w:val="center"/>
            <w:hideMark/>
          </w:tcPr>
          <w:p w14:paraId="6042AFB5" w14:textId="77777777" w:rsidR="00B868D7" w:rsidRPr="00F244EA" w:rsidRDefault="00B868D7" w:rsidP="00F244EA">
            <w:pPr>
              <w:rPr>
                <w:rFonts w:eastAsia="Times New Roman"/>
                <w:b/>
                <w:bCs/>
                <w:color w:val="000000"/>
              </w:rPr>
            </w:pPr>
            <w:r w:rsidRPr="00F244EA">
              <w:rPr>
                <w:rFonts w:eastAsia="Times New Roman"/>
                <w:b/>
                <w:bCs/>
                <w:color w:val="000000"/>
              </w:rPr>
              <w:t xml:space="preserve">Any </w:t>
            </w:r>
            <w:r w:rsidR="001A30A7">
              <w:rPr>
                <w:rFonts w:eastAsia="Times New Roman"/>
                <w:b/>
                <w:bCs/>
                <w:color w:val="000000"/>
              </w:rPr>
              <w:t>drug</w:t>
            </w:r>
            <w:r w:rsidRPr="00F244EA">
              <w:rPr>
                <w:rFonts w:eastAsia="Times New Roman"/>
                <w:b/>
                <w:bCs/>
                <w:color w:val="000000"/>
              </w:rPr>
              <w:t xml:space="preserve"> use by respondent</w:t>
            </w:r>
          </w:p>
        </w:tc>
        <w:tc>
          <w:tcPr>
            <w:tcW w:w="0" w:type="auto"/>
            <w:vAlign w:val="center"/>
          </w:tcPr>
          <w:p w14:paraId="795B91E9" w14:textId="77777777" w:rsidR="00B868D7" w:rsidRPr="00F244EA" w:rsidRDefault="00B868D7" w:rsidP="00F244EA">
            <w:pPr>
              <w:rPr>
                <w:rFonts w:eastAsia="Times New Roman"/>
                <w:color w:val="000000"/>
              </w:rPr>
            </w:pPr>
            <w:r w:rsidRPr="00F244EA">
              <w:rPr>
                <w:rFonts w:eastAsia="Times New Roman"/>
                <w:color w:val="000000"/>
              </w:rPr>
              <w:t>1.48 (0.90, 2.44)</w:t>
            </w:r>
          </w:p>
        </w:tc>
        <w:tc>
          <w:tcPr>
            <w:tcW w:w="0" w:type="auto"/>
            <w:vAlign w:val="center"/>
          </w:tcPr>
          <w:p w14:paraId="48F98BB5" w14:textId="77777777" w:rsidR="00B868D7" w:rsidRPr="00F244EA" w:rsidRDefault="00B868D7" w:rsidP="00F244EA">
            <w:pPr>
              <w:rPr>
                <w:rFonts w:eastAsia="Times New Roman"/>
                <w:color w:val="000000"/>
              </w:rPr>
            </w:pPr>
            <w:r w:rsidRPr="00F244EA">
              <w:rPr>
                <w:rFonts w:eastAsia="Times New Roman"/>
                <w:color w:val="000000"/>
              </w:rPr>
              <w:t>1.67* (1.06, 2.62)</w:t>
            </w:r>
          </w:p>
        </w:tc>
        <w:tc>
          <w:tcPr>
            <w:tcW w:w="0" w:type="auto"/>
            <w:shd w:val="clear" w:color="auto" w:fill="D9D9D9" w:themeFill="background1" w:themeFillShade="D9"/>
            <w:vAlign w:val="center"/>
          </w:tcPr>
          <w:p w14:paraId="28718688" w14:textId="77777777" w:rsidR="00B868D7" w:rsidRPr="00F244EA" w:rsidRDefault="00B868D7" w:rsidP="00F244EA">
            <w:pPr>
              <w:rPr>
                <w:rFonts w:eastAsia="Times New Roman"/>
                <w:color w:val="000000"/>
              </w:rPr>
            </w:pPr>
          </w:p>
        </w:tc>
      </w:tr>
      <w:tr w:rsidR="00B868D7" w:rsidRPr="00F244EA" w14:paraId="617BBF99" w14:textId="77777777" w:rsidTr="00885C57">
        <w:trPr>
          <w:trHeight w:val="255"/>
          <w:jc w:val="center"/>
        </w:trPr>
        <w:tc>
          <w:tcPr>
            <w:tcW w:w="0" w:type="auto"/>
            <w:shd w:val="clear" w:color="auto" w:fill="auto"/>
            <w:noWrap/>
            <w:vAlign w:val="center"/>
            <w:hideMark/>
          </w:tcPr>
          <w:p w14:paraId="6D8563E1" w14:textId="77777777" w:rsidR="00B868D7" w:rsidRPr="00F244EA" w:rsidRDefault="00B868D7" w:rsidP="00F244EA">
            <w:pPr>
              <w:rPr>
                <w:rFonts w:eastAsia="Times New Roman"/>
                <w:b/>
                <w:bCs/>
                <w:color w:val="000000"/>
              </w:rPr>
            </w:pPr>
            <w:r w:rsidRPr="00F244EA">
              <w:rPr>
                <w:rFonts w:eastAsia="Times New Roman"/>
                <w:b/>
                <w:bCs/>
                <w:color w:val="000000"/>
              </w:rPr>
              <w:t xml:space="preserve">Any </w:t>
            </w:r>
            <w:r w:rsidR="001A30A7">
              <w:rPr>
                <w:rFonts w:eastAsia="Times New Roman"/>
                <w:b/>
                <w:bCs/>
                <w:color w:val="000000"/>
              </w:rPr>
              <w:t>drug</w:t>
            </w:r>
            <w:r w:rsidRPr="00F244EA">
              <w:rPr>
                <w:rFonts w:eastAsia="Times New Roman"/>
                <w:b/>
                <w:bCs/>
                <w:color w:val="000000"/>
              </w:rPr>
              <w:t xml:space="preserve"> use by partner</w:t>
            </w:r>
          </w:p>
        </w:tc>
        <w:tc>
          <w:tcPr>
            <w:tcW w:w="0" w:type="auto"/>
            <w:shd w:val="clear" w:color="auto" w:fill="D9D9D9" w:themeFill="background1" w:themeFillShade="D9"/>
            <w:vAlign w:val="center"/>
          </w:tcPr>
          <w:p w14:paraId="31559C49"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3C596593"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4C9A9610" w14:textId="77777777" w:rsidR="00B868D7" w:rsidRPr="00F244EA" w:rsidRDefault="00B868D7" w:rsidP="00F244EA">
            <w:pPr>
              <w:rPr>
                <w:rFonts w:eastAsia="Times New Roman"/>
                <w:color w:val="000000"/>
              </w:rPr>
            </w:pPr>
          </w:p>
        </w:tc>
      </w:tr>
      <w:tr w:rsidR="00B868D7" w:rsidRPr="00F244EA" w14:paraId="2515F82E" w14:textId="77777777" w:rsidTr="00885C57">
        <w:trPr>
          <w:trHeight w:val="255"/>
          <w:jc w:val="center"/>
        </w:trPr>
        <w:tc>
          <w:tcPr>
            <w:tcW w:w="0" w:type="auto"/>
            <w:shd w:val="clear" w:color="auto" w:fill="auto"/>
            <w:noWrap/>
            <w:vAlign w:val="center"/>
            <w:hideMark/>
          </w:tcPr>
          <w:p w14:paraId="63723DFA" w14:textId="77777777" w:rsidR="00B868D7" w:rsidRPr="00F244EA" w:rsidRDefault="00B868D7" w:rsidP="00F244EA">
            <w:pPr>
              <w:rPr>
                <w:rFonts w:eastAsia="Times New Roman"/>
                <w:color w:val="000000"/>
              </w:rPr>
            </w:pPr>
            <w:r w:rsidRPr="00F244EA">
              <w:rPr>
                <w:rFonts w:eastAsia="Times New Roman"/>
                <w:color w:val="000000"/>
              </w:rPr>
              <w:t xml:space="preserve">No </w:t>
            </w:r>
            <w:r w:rsidR="001A30A7">
              <w:rPr>
                <w:rFonts w:eastAsia="Times New Roman"/>
                <w:color w:val="000000"/>
              </w:rPr>
              <w:t>drug</w:t>
            </w:r>
            <w:r w:rsidRPr="00F244EA">
              <w:rPr>
                <w:rFonts w:eastAsia="Times New Roman"/>
                <w:color w:val="000000"/>
              </w:rPr>
              <w:t xml:space="preserve"> use</w:t>
            </w:r>
          </w:p>
        </w:tc>
        <w:tc>
          <w:tcPr>
            <w:tcW w:w="0" w:type="auto"/>
            <w:vAlign w:val="center"/>
          </w:tcPr>
          <w:p w14:paraId="30C08127" w14:textId="77777777" w:rsidR="00B868D7" w:rsidRPr="00F244EA" w:rsidRDefault="00B868D7" w:rsidP="00F244EA">
            <w:pPr>
              <w:rPr>
                <w:rFonts w:eastAsia="Times New Roman"/>
                <w:color w:val="000000"/>
              </w:rPr>
            </w:pPr>
            <w:r w:rsidRPr="00F244EA">
              <w:rPr>
                <w:rFonts w:eastAsia="Times New Roman"/>
                <w:color w:val="000000"/>
              </w:rPr>
              <w:t>Reference</w:t>
            </w:r>
          </w:p>
        </w:tc>
        <w:tc>
          <w:tcPr>
            <w:tcW w:w="0" w:type="auto"/>
            <w:shd w:val="clear" w:color="auto" w:fill="D9D9D9" w:themeFill="background1" w:themeFillShade="D9"/>
            <w:vAlign w:val="center"/>
          </w:tcPr>
          <w:p w14:paraId="64278D22"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auto"/>
            <w:vAlign w:val="center"/>
          </w:tcPr>
          <w:p w14:paraId="5C5E34A1" w14:textId="77777777" w:rsidR="00B868D7" w:rsidRPr="00F244EA" w:rsidRDefault="00B868D7" w:rsidP="00F244EA">
            <w:pPr>
              <w:rPr>
                <w:rFonts w:eastAsia="Times New Roman"/>
                <w:color w:val="000000"/>
              </w:rPr>
            </w:pPr>
            <w:r w:rsidRPr="00F244EA">
              <w:rPr>
                <w:rFonts w:eastAsia="Times New Roman"/>
                <w:color w:val="000000"/>
              </w:rPr>
              <w:t>Reference</w:t>
            </w:r>
          </w:p>
        </w:tc>
      </w:tr>
      <w:tr w:rsidR="00B868D7" w:rsidRPr="00F244EA" w14:paraId="44C8A37E" w14:textId="77777777" w:rsidTr="00885C57">
        <w:trPr>
          <w:trHeight w:val="255"/>
          <w:jc w:val="center"/>
        </w:trPr>
        <w:tc>
          <w:tcPr>
            <w:tcW w:w="0" w:type="auto"/>
            <w:shd w:val="clear" w:color="auto" w:fill="auto"/>
            <w:noWrap/>
            <w:vAlign w:val="center"/>
            <w:hideMark/>
          </w:tcPr>
          <w:p w14:paraId="56DEC192" w14:textId="77777777" w:rsidR="00B868D7" w:rsidRPr="00F244EA" w:rsidRDefault="00B868D7" w:rsidP="00F244EA">
            <w:pPr>
              <w:rPr>
                <w:rFonts w:eastAsia="Times New Roman"/>
                <w:color w:val="000000"/>
              </w:rPr>
            </w:pPr>
            <w:r w:rsidRPr="00F244EA">
              <w:rPr>
                <w:rFonts w:eastAsia="Times New Roman"/>
                <w:color w:val="000000"/>
              </w:rPr>
              <w:t>Don't know</w:t>
            </w:r>
          </w:p>
        </w:tc>
        <w:tc>
          <w:tcPr>
            <w:tcW w:w="0" w:type="auto"/>
            <w:vAlign w:val="center"/>
          </w:tcPr>
          <w:p w14:paraId="3AB4D51B" w14:textId="77777777" w:rsidR="00B868D7" w:rsidRPr="00F244EA" w:rsidRDefault="00B868D7" w:rsidP="00F244EA">
            <w:pPr>
              <w:rPr>
                <w:rFonts w:eastAsia="Times New Roman"/>
                <w:color w:val="000000"/>
              </w:rPr>
            </w:pPr>
            <w:r w:rsidRPr="00F244EA">
              <w:rPr>
                <w:rFonts w:eastAsia="Times New Roman"/>
                <w:color w:val="000000"/>
              </w:rPr>
              <w:t>1.50 (0.85, 2.66)</w:t>
            </w:r>
          </w:p>
        </w:tc>
        <w:tc>
          <w:tcPr>
            <w:tcW w:w="0" w:type="auto"/>
            <w:shd w:val="clear" w:color="auto" w:fill="D9D9D9" w:themeFill="background1" w:themeFillShade="D9"/>
            <w:vAlign w:val="center"/>
          </w:tcPr>
          <w:p w14:paraId="46604932"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auto"/>
            <w:vAlign w:val="center"/>
          </w:tcPr>
          <w:p w14:paraId="76E4DB94" w14:textId="77777777" w:rsidR="00B868D7" w:rsidRPr="00F244EA" w:rsidRDefault="00B868D7" w:rsidP="00F244EA">
            <w:pPr>
              <w:rPr>
                <w:rFonts w:eastAsia="Times New Roman"/>
                <w:color w:val="000000"/>
              </w:rPr>
            </w:pPr>
            <w:r w:rsidRPr="00F244EA">
              <w:rPr>
                <w:rFonts w:eastAsia="Times New Roman"/>
                <w:color w:val="000000"/>
              </w:rPr>
              <w:t>-0.49* (0.92, -0.05)</w:t>
            </w:r>
          </w:p>
        </w:tc>
      </w:tr>
      <w:tr w:rsidR="00B868D7" w:rsidRPr="00F244EA" w14:paraId="3D5901C7" w14:textId="77777777" w:rsidTr="00885C57">
        <w:trPr>
          <w:trHeight w:val="255"/>
          <w:jc w:val="center"/>
        </w:trPr>
        <w:tc>
          <w:tcPr>
            <w:tcW w:w="0" w:type="auto"/>
            <w:shd w:val="clear" w:color="auto" w:fill="auto"/>
            <w:noWrap/>
            <w:vAlign w:val="center"/>
            <w:hideMark/>
          </w:tcPr>
          <w:p w14:paraId="6034F3CF" w14:textId="77777777" w:rsidR="00B868D7" w:rsidRPr="00F244EA" w:rsidRDefault="00B868D7" w:rsidP="00F244EA">
            <w:pPr>
              <w:rPr>
                <w:rFonts w:eastAsia="Times New Roman"/>
                <w:color w:val="000000"/>
              </w:rPr>
            </w:pPr>
            <w:r w:rsidRPr="00F244EA">
              <w:rPr>
                <w:rFonts w:eastAsia="Times New Roman"/>
                <w:color w:val="000000"/>
              </w:rPr>
              <w:t>Yes, but unsure what</w:t>
            </w:r>
          </w:p>
        </w:tc>
        <w:tc>
          <w:tcPr>
            <w:tcW w:w="0" w:type="auto"/>
            <w:vAlign w:val="center"/>
          </w:tcPr>
          <w:p w14:paraId="6A7A40A3" w14:textId="77777777" w:rsidR="00B868D7" w:rsidRPr="00F244EA" w:rsidRDefault="00B868D7" w:rsidP="00F244EA">
            <w:pPr>
              <w:rPr>
                <w:rFonts w:eastAsia="Times New Roman"/>
                <w:color w:val="000000"/>
              </w:rPr>
            </w:pPr>
            <w:r w:rsidRPr="00F244EA">
              <w:rPr>
                <w:rFonts w:eastAsia="Times New Roman"/>
                <w:color w:val="000000"/>
              </w:rPr>
              <w:t>1.31 (0.67, 2.56)</w:t>
            </w:r>
          </w:p>
        </w:tc>
        <w:tc>
          <w:tcPr>
            <w:tcW w:w="0" w:type="auto"/>
            <w:shd w:val="clear" w:color="auto" w:fill="D9D9D9" w:themeFill="background1" w:themeFillShade="D9"/>
            <w:vAlign w:val="center"/>
          </w:tcPr>
          <w:p w14:paraId="6F0E9164"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auto"/>
            <w:vAlign w:val="center"/>
          </w:tcPr>
          <w:p w14:paraId="1CECA3EA" w14:textId="77777777" w:rsidR="00B868D7" w:rsidRPr="00F244EA" w:rsidRDefault="00B868D7" w:rsidP="00F244EA">
            <w:pPr>
              <w:rPr>
                <w:rFonts w:eastAsia="Times New Roman"/>
                <w:color w:val="000000"/>
              </w:rPr>
            </w:pPr>
            <w:r w:rsidRPr="00F244EA">
              <w:rPr>
                <w:rFonts w:eastAsia="Times New Roman"/>
                <w:color w:val="000000"/>
              </w:rPr>
              <w:t>0.04 (-0.47, 0.55)</w:t>
            </w:r>
          </w:p>
        </w:tc>
      </w:tr>
      <w:tr w:rsidR="00B868D7" w:rsidRPr="00F244EA" w14:paraId="2D41CAF2" w14:textId="77777777" w:rsidTr="00885C57">
        <w:trPr>
          <w:trHeight w:val="255"/>
          <w:jc w:val="center"/>
        </w:trPr>
        <w:tc>
          <w:tcPr>
            <w:tcW w:w="0" w:type="auto"/>
            <w:shd w:val="clear" w:color="auto" w:fill="auto"/>
            <w:noWrap/>
            <w:vAlign w:val="center"/>
            <w:hideMark/>
          </w:tcPr>
          <w:p w14:paraId="1AA60ADC" w14:textId="77777777" w:rsidR="00B868D7" w:rsidRPr="00F244EA" w:rsidRDefault="00B868D7" w:rsidP="00F244EA">
            <w:pPr>
              <w:rPr>
                <w:rFonts w:eastAsia="Times New Roman"/>
                <w:color w:val="000000"/>
              </w:rPr>
            </w:pPr>
            <w:r w:rsidRPr="00F244EA">
              <w:rPr>
                <w:rFonts w:eastAsia="Times New Roman"/>
                <w:color w:val="000000"/>
              </w:rPr>
              <w:t>Yes, specifically</w:t>
            </w:r>
          </w:p>
        </w:tc>
        <w:tc>
          <w:tcPr>
            <w:tcW w:w="0" w:type="auto"/>
            <w:vAlign w:val="center"/>
          </w:tcPr>
          <w:p w14:paraId="6EFB4C0C" w14:textId="77777777" w:rsidR="00B868D7" w:rsidRPr="00F244EA" w:rsidRDefault="00B868D7" w:rsidP="00F244EA">
            <w:pPr>
              <w:rPr>
                <w:rFonts w:eastAsia="Times New Roman"/>
                <w:color w:val="000000"/>
              </w:rPr>
            </w:pPr>
            <w:r w:rsidRPr="00F244EA">
              <w:rPr>
                <w:rFonts w:eastAsia="Times New Roman"/>
                <w:color w:val="000000"/>
              </w:rPr>
              <w:t>1.39 (0.77, 2.49)</w:t>
            </w:r>
          </w:p>
        </w:tc>
        <w:tc>
          <w:tcPr>
            <w:tcW w:w="0" w:type="auto"/>
            <w:shd w:val="clear" w:color="auto" w:fill="D9D9D9" w:themeFill="background1" w:themeFillShade="D9"/>
            <w:vAlign w:val="center"/>
          </w:tcPr>
          <w:p w14:paraId="39A1560E"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auto"/>
            <w:vAlign w:val="center"/>
          </w:tcPr>
          <w:p w14:paraId="7D6F2DED" w14:textId="77777777" w:rsidR="00B868D7" w:rsidRPr="00F244EA" w:rsidRDefault="00B868D7" w:rsidP="00F244EA">
            <w:pPr>
              <w:rPr>
                <w:rFonts w:eastAsia="Times New Roman"/>
                <w:color w:val="000000"/>
              </w:rPr>
            </w:pPr>
            <w:r w:rsidRPr="00F244EA">
              <w:rPr>
                <w:rFonts w:eastAsia="Times New Roman"/>
                <w:color w:val="000000"/>
              </w:rPr>
              <w:t>0.06 (0.02, 0.09)</w:t>
            </w:r>
          </w:p>
        </w:tc>
      </w:tr>
      <w:tr w:rsidR="00F244EA" w:rsidRPr="00F244EA" w14:paraId="5C9407F3" w14:textId="77777777" w:rsidTr="00885C57">
        <w:trPr>
          <w:trHeight w:val="255"/>
          <w:jc w:val="center"/>
        </w:trPr>
        <w:tc>
          <w:tcPr>
            <w:tcW w:w="0" w:type="auto"/>
            <w:shd w:val="clear" w:color="auto" w:fill="auto"/>
            <w:noWrap/>
            <w:vAlign w:val="center"/>
          </w:tcPr>
          <w:p w14:paraId="5013647B" w14:textId="77777777" w:rsidR="00F244EA" w:rsidRPr="00F244EA" w:rsidRDefault="00F244EA" w:rsidP="00F244EA">
            <w:pPr>
              <w:rPr>
                <w:rFonts w:eastAsia="Times New Roman"/>
                <w:b/>
                <w:bCs/>
                <w:color w:val="000000"/>
              </w:rPr>
            </w:pPr>
            <w:r w:rsidRPr="00F244EA">
              <w:rPr>
                <w:rFonts w:eastAsia="Times New Roman"/>
                <w:b/>
                <w:bCs/>
                <w:color w:val="000000"/>
              </w:rPr>
              <w:t>Number of partners</w:t>
            </w:r>
          </w:p>
        </w:tc>
        <w:tc>
          <w:tcPr>
            <w:tcW w:w="0" w:type="auto"/>
            <w:shd w:val="clear" w:color="auto" w:fill="D9D9D9" w:themeFill="background1" w:themeFillShade="D9"/>
            <w:vAlign w:val="center"/>
          </w:tcPr>
          <w:p w14:paraId="13028FDD"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6455C835" w14:textId="77777777" w:rsidR="00F244EA" w:rsidRPr="00F244EA" w:rsidRDefault="00F244EA" w:rsidP="00F244EA">
            <w:pPr>
              <w:rPr>
                <w:rFonts w:eastAsia="Times New Roman"/>
                <w:color w:val="000000"/>
              </w:rPr>
            </w:pPr>
          </w:p>
        </w:tc>
        <w:tc>
          <w:tcPr>
            <w:tcW w:w="0" w:type="auto"/>
            <w:shd w:val="clear" w:color="auto" w:fill="auto"/>
            <w:vAlign w:val="center"/>
          </w:tcPr>
          <w:p w14:paraId="49EE7890" w14:textId="77777777" w:rsidR="00F244EA" w:rsidRPr="00F244EA" w:rsidRDefault="00F244EA" w:rsidP="00F244EA">
            <w:pPr>
              <w:rPr>
                <w:rFonts w:eastAsia="Times New Roman"/>
                <w:color w:val="000000"/>
              </w:rPr>
            </w:pPr>
            <w:r w:rsidRPr="00F244EA">
              <w:rPr>
                <w:rFonts w:eastAsia="Times New Roman"/>
                <w:color w:val="000000"/>
              </w:rPr>
              <w:t>0.06 (0.02, 0.09)</w:t>
            </w:r>
          </w:p>
        </w:tc>
      </w:tr>
      <w:tr w:rsidR="00B868D7" w:rsidRPr="00F244EA" w14:paraId="260290F1" w14:textId="77777777" w:rsidTr="00885C57">
        <w:trPr>
          <w:trHeight w:val="255"/>
          <w:jc w:val="center"/>
        </w:trPr>
        <w:tc>
          <w:tcPr>
            <w:tcW w:w="0" w:type="auto"/>
            <w:shd w:val="clear" w:color="auto" w:fill="auto"/>
            <w:noWrap/>
            <w:vAlign w:val="center"/>
            <w:hideMark/>
          </w:tcPr>
          <w:p w14:paraId="3601D4BD" w14:textId="77777777" w:rsidR="00B868D7" w:rsidRPr="00F244EA" w:rsidRDefault="00885C57" w:rsidP="00F244EA">
            <w:pPr>
              <w:rPr>
                <w:rFonts w:eastAsia="Times New Roman"/>
                <w:b/>
                <w:bCs/>
                <w:color w:val="000000"/>
              </w:rPr>
            </w:pPr>
            <w:r>
              <w:rPr>
                <w:rFonts w:eastAsia="Times New Roman"/>
                <w:b/>
                <w:bCs/>
                <w:color w:val="000000"/>
              </w:rPr>
              <w:t>HIV s</w:t>
            </w:r>
            <w:r w:rsidR="00B868D7" w:rsidRPr="00F244EA">
              <w:rPr>
                <w:rFonts w:eastAsia="Times New Roman"/>
                <w:b/>
                <w:bCs/>
                <w:color w:val="000000"/>
              </w:rPr>
              <w:t>erodiscordance</w:t>
            </w:r>
          </w:p>
        </w:tc>
        <w:tc>
          <w:tcPr>
            <w:tcW w:w="0" w:type="auto"/>
            <w:shd w:val="clear" w:color="auto" w:fill="D9D9D9" w:themeFill="background1" w:themeFillShade="D9"/>
            <w:vAlign w:val="center"/>
          </w:tcPr>
          <w:p w14:paraId="7F4B19DE"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7F2C573A" w14:textId="77777777" w:rsidR="00B868D7" w:rsidRPr="00F244EA" w:rsidRDefault="00B868D7"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631B3664" w14:textId="77777777" w:rsidR="00B868D7" w:rsidRPr="00F244EA" w:rsidRDefault="00B868D7" w:rsidP="00F244EA">
            <w:pPr>
              <w:rPr>
                <w:rFonts w:eastAsia="Times New Roman"/>
                <w:color w:val="000000"/>
              </w:rPr>
            </w:pPr>
          </w:p>
        </w:tc>
      </w:tr>
      <w:tr w:rsidR="00B868D7" w:rsidRPr="00F244EA" w14:paraId="548F70E3" w14:textId="77777777" w:rsidTr="00885C57">
        <w:trPr>
          <w:trHeight w:val="255"/>
          <w:jc w:val="center"/>
        </w:trPr>
        <w:tc>
          <w:tcPr>
            <w:tcW w:w="0" w:type="auto"/>
            <w:shd w:val="clear" w:color="auto" w:fill="auto"/>
            <w:noWrap/>
            <w:vAlign w:val="center"/>
            <w:hideMark/>
          </w:tcPr>
          <w:p w14:paraId="4B7F35A2" w14:textId="77777777" w:rsidR="00B868D7" w:rsidRPr="00F244EA" w:rsidRDefault="00B868D7" w:rsidP="00F244EA">
            <w:pPr>
              <w:rPr>
                <w:rFonts w:eastAsia="Times New Roman"/>
                <w:color w:val="000000"/>
              </w:rPr>
            </w:pPr>
            <w:r w:rsidRPr="00F244EA">
              <w:rPr>
                <w:rFonts w:eastAsia="Times New Roman"/>
                <w:color w:val="000000"/>
              </w:rPr>
              <w:t>Seroconcordant</w:t>
            </w:r>
          </w:p>
        </w:tc>
        <w:tc>
          <w:tcPr>
            <w:tcW w:w="0" w:type="auto"/>
            <w:vAlign w:val="center"/>
          </w:tcPr>
          <w:p w14:paraId="6A3957A6" w14:textId="77777777" w:rsidR="00B868D7" w:rsidRPr="00F244EA" w:rsidRDefault="00B868D7" w:rsidP="00F244EA">
            <w:pPr>
              <w:rPr>
                <w:rFonts w:eastAsia="Times New Roman"/>
                <w:color w:val="000000"/>
              </w:rPr>
            </w:pPr>
            <w:r w:rsidRPr="00F244EA">
              <w:rPr>
                <w:rFonts w:eastAsia="Times New Roman"/>
                <w:color w:val="000000"/>
              </w:rPr>
              <w:t>Reference</w:t>
            </w:r>
          </w:p>
        </w:tc>
        <w:tc>
          <w:tcPr>
            <w:tcW w:w="0" w:type="auto"/>
            <w:vAlign w:val="center"/>
          </w:tcPr>
          <w:p w14:paraId="34E4664E" w14:textId="77777777" w:rsidR="00B868D7" w:rsidRPr="00F244EA" w:rsidRDefault="00B868D7" w:rsidP="00F244EA">
            <w:pPr>
              <w:rPr>
                <w:rFonts w:eastAsia="Times New Roman"/>
                <w:color w:val="000000"/>
              </w:rPr>
            </w:pPr>
            <w:r w:rsidRPr="00F244EA">
              <w:rPr>
                <w:rFonts w:eastAsia="Times New Roman"/>
                <w:color w:val="000000"/>
              </w:rPr>
              <w:t>Reference</w:t>
            </w:r>
          </w:p>
        </w:tc>
        <w:tc>
          <w:tcPr>
            <w:tcW w:w="0" w:type="auto"/>
            <w:vAlign w:val="center"/>
          </w:tcPr>
          <w:p w14:paraId="39358080" w14:textId="77777777" w:rsidR="00B868D7" w:rsidRPr="00F244EA" w:rsidRDefault="00F244EA" w:rsidP="00F244EA">
            <w:pPr>
              <w:rPr>
                <w:rFonts w:eastAsia="Times New Roman"/>
                <w:color w:val="000000"/>
              </w:rPr>
            </w:pPr>
            <w:r w:rsidRPr="00F244EA">
              <w:rPr>
                <w:rFonts w:eastAsia="Times New Roman"/>
                <w:color w:val="000000"/>
              </w:rPr>
              <w:t>Reference</w:t>
            </w:r>
          </w:p>
        </w:tc>
      </w:tr>
      <w:tr w:rsidR="00B868D7" w:rsidRPr="00F244EA" w14:paraId="4B7743D5" w14:textId="77777777" w:rsidTr="00885C57">
        <w:trPr>
          <w:trHeight w:val="255"/>
          <w:jc w:val="center"/>
        </w:trPr>
        <w:tc>
          <w:tcPr>
            <w:tcW w:w="0" w:type="auto"/>
            <w:shd w:val="clear" w:color="auto" w:fill="auto"/>
            <w:noWrap/>
            <w:vAlign w:val="center"/>
            <w:hideMark/>
          </w:tcPr>
          <w:p w14:paraId="1DEA8BC2" w14:textId="77777777" w:rsidR="00B868D7" w:rsidRPr="00F244EA" w:rsidRDefault="00B868D7" w:rsidP="00F244EA">
            <w:pPr>
              <w:rPr>
                <w:rFonts w:eastAsia="Times New Roman"/>
                <w:color w:val="000000"/>
              </w:rPr>
            </w:pPr>
            <w:r w:rsidRPr="00F244EA">
              <w:rPr>
                <w:rFonts w:eastAsia="Times New Roman"/>
                <w:color w:val="000000"/>
              </w:rPr>
              <w:t>Unknown serostatus match</w:t>
            </w:r>
          </w:p>
        </w:tc>
        <w:tc>
          <w:tcPr>
            <w:tcW w:w="0" w:type="auto"/>
            <w:vAlign w:val="center"/>
          </w:tcPr>
          <w:p w14:paraId="4A005C68" w14:textId="77777777" w:rsidR="00B868D7" w:rsidRPr="00F244EA" w:rsidRDefault="00B868D7" w:rsidP="00F244EA">
            <w:pPr>
              <w:rPr>
                <w:rFonts w:eastAsia="Times New Roman"/>
                <w:color w:val="000000"/>
              </w:rPr>
            </w:pPr>
            <w:r w:rsidRPr="00F244EA">
              <w:rPr>
                <w:rFonts w:eastAsia="Times New Roman"/>
                <w:color w:val="000000"/>
              </w:rPr>
              <w:t>0.35*** (0.21, 0.57)</w:t>
            </w:r>
          </w:p>
        </w:tc>
        <w:tc>
          <w:tcPr>
            <w:tcW w:w="0" w:type="auto"/>
            <w:vAlign w:val="center"/>
          </w:tcPr>
          <w:p w14:paraId="0AE5CDD6" w14:textId="77777777" w:rsidR="00B868D7" w:rsidRPr="00F244EA" w:rsidRDefault="00B868D7" w:rsidP="00F244EA">
            <w:pPr>
              <w:rPr>
                <w:rFonts w:eastAsia="Times New Roman"/>
                <w:color w:val="000000"/>
              </w:rPr>
            </w:pPr>
            <w:r w:rsidRPr="00F244EA">
              <w:rPr>
                <w:rFonts w:eastAsia="Times New Roman"/>
                <w:color w:val="000000"/>
              </w:rPr>
              <w:t>0.38*** (0.24, 0.62)</w:t>
            </w:r>
          </w:p>
        </w:tc>
        <w:tc>
          <w:tcPr>
            <w:tcW w:w="0" w:type="auto"/>
            <w:vAlign w:val="center"/>
          </w:tcPr>
          <w:p w14:paraId="2D164C3B" w14:textId="77777777" w:rsidR="00B868D7" w:rsidRPr="00F244EA" w:rsidRDefault="00F244EA" w:rsidP="00F244EA">
            <w:pPr>
              <w:rPr>
                <w:rFonts w:eastAsia="Times New Roman"/>
                <w:color w:val="000000"/>
              </w:rPr>
            </w:pPr>
            <w:r>
              <w:rPr>
                <w:rFonts w:eastAsia="Times New Roman"/>
                <w:color w:val="000000"/>
              </w:rPr>
              <w:t>-0.19 (-0.60, 0.21)</w:t>
            </w:r>
          </w:p>
        </w:tc>
      </w:tr>
      <w:tr w:rsidR="00B868D7" w:rsidRPr="00F244EA" w14:paraId="00CCF89A" w14:textId="77777777" w:rsidTr="00885C57">
        <w:trPr>
          <w:trHeight w:val="255"/>
          <w:jc w:val="center"/>
        </w:trPr>
        <w:tc>
          <w:tcPr>
            <w:tcW w:w="0" w:type="auto"/>
            <w:shd w:val="clear" w:color="auto" w:fill="auto"/>
            <w:noWrap/>
            <w:vAlign w:val="center"/>
            <w:hideMark/>
          </w:tcPr>
          <w:p w14:paraId="39721866" w14:textId="77777777" w:rsidR="00B868D7" w:rsidRPr="00F244EA" w:rsidRDefault="00B868D7" w:rsidP="00F244EA">
            <w:pPr>
              <w:rPr>
                <w:rFonts w:eastAsia="Times New Roman"/>
                <w:color w:val="000000"/>
              </w:rPr>
            </w:pPr>
            <w:r w:rsidRPr="00F244EA">
              <w:rPr>
                <w:rFonts w:eastAsia="Times New Roman"/>
                <w:color w:val="000000"/>
              </w:rPr>
              <w:t>Serodiscordant</w:t>
            </w:r>
          </w:p>
        </w:tc>
        <w:tc>
          <w:tcPr>
            <w:tcW w:w="0" w:type="auto"/>
            <w:vAlign w:val="center"/>
          </w:tcPr>
          <w:p w14:paraId="691EC89C" w14:textId="77777777" w:rsidR="00B868D7" w:rsidRPr="00F244EA" w:rsidRDefault="00B868D7" w:rsidP="00F244EA">
            <w:pPr>
              <w:rPr>
                <w:rFonts w:eastAsia="Times New Roman"/>
                <w:color w:val="000000"/>
              </w:rPr>
            </w:pPr>
            <w:r w:rsidRPr="00F244EA">
              <w:rPr>
                <w:rFonts w:eastAsia="Times New Roman"/>
                <w:color w:val="000000"/>
              </w:rPr>
              <w:t>0.55 (0.18, 1.65)</w:t>
            </w:r>
          </w:p>
        </w:tc>
        <w:tc>
          <w:tcPr>
            <w:tcW w:w="0" w:type="auto"/>
            <w:vAlign w:val="center"/>
          </w:tcPr>
          <w:p w14:paraId="5D02F46B" w14:textId="77777777" w:rsidR="00B868D7" w:rsidRPr="00F244EA" w:rsidRDefault="00B868D7" w:rsidP="00F244EA">
            <w:pPr>
              <w:rPr>
                <w:rFonts w:eastAsia="Times New Roman"/>
                <w:color w:val="000000"/>
              </w:rPr>
            </w:pPr>
            <w:r w:rsidRPr="00F244EA">
              <w:rPr>
                <w:rFonts w:eastAsia="Times New Roman"/>
                <w:color w:val="000000"/>
              </w:rPr>
              <w:t>0.57 (0.19, 1.70)</w:t>
            </w:r>
          </w:p>
        </w:tc>
        <w:tc>
          <w:tcPr>
            <w:tcW w:w="0" w:type="auto"/>
            <w:vAlign w:val="center"/>
          </w:tcPr>
          <w:p w14:paraId="55678E5A" w14:textId="77777777" w:rsidR="00B868D7" w:rsidRPr="00F244EA" w:rsidRDefault="00F244EA" w:rsidP="00F244EA">
            <w:pPr>
              <w:rPr>
                <w:rFonts w:eastAsia="Times New Roman"/>
                <w:color w:val="000000"/>
              </w:rPr>
            </w:pPr>
            <w:r>
              <w:rPr>
                <w:rFonts w:eastAsia="Times New Roman"/>
                <w:color w:val="000000"/>
              </w:rPr>
              <w:t>0.70 (-0.21, 1.61)</w:t>
            </w:r>
          </w:p>
        </w:tc>
      </w:tr>
      <w:tr w:rsidR="00F244EA" w:rsidRPr="00F244EA" w14:paraId="174AE90C" w14:textId="77777777" w:rsidTr="00885C57">
        <w:trPr>
          <w:trHeight w:val="255"/>
          <w:jc w:val="center"/>
        </w:trPr>
        <w:tc>
          <w:tcPr>
            <w:tcW w:w="0" w:type="auto"/>
            <w:shd w:val="clear" w:color="auto" w:fill="auto"/>
            <w:noWrap/>
            <w:vAlign w:val="center"/>
          </w:tcPr>
          <w:p w14:paraId="5269E09E" w14:textId="77777777" w:rsidR="00F244EA" w:rsidRPr="00F244EA" w:rsidRDefault="00F244EA" w:rsidP="00F244EA">
            <w:pPr>
              <w:rPr>
                <w:rFonts w:eastAsia="Times New Roman"/>
                <w:color w:val="000000"/>
              </w:rPr>
            </w:pPr>
            <w:r w:rsidRPr="00F244EA">
              <w:rPr>
                <w:rFonts w:eastAsia="Times New Roman"/>
                <w:b/>
                <w:bCs/>
                <w:color w:val="000000"/>
              </w:rPr>
              <w:t>Location of sex</w:t>
            </w:r>
          </w:p>
        </w:tc>
        <w:tc>
          <w:tcPr>
            <w:tcW w:w="0" w:type="auto"/>
            <w:shd w:val="clear" w:color="auto" w:fill="D9D9D9" w:themeFill="background1" w:themeFillShade="D9"/>
            <w:vAlign w:val="center"/>
          </w:tcPr>
          <w:p w14:paraId="42DB01D7"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66E25E62"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154BC82B" w14:textId="77777777" w:rsidR="00F244EA" w:rsidRPr="00F244EA" w:rsidRDefault="00F244EA" w:rsidP="00F244EA">
            <w:pPr>
              <w:rPr>
                <w:rFonts w:eastAsia="Times New Roman"/>
                <w:color w:val="000000"/>
              </w:rPr>
            </w:pPr>
          </w:p>
        </w:tc>
      </w:tr>
      <w:tr w:rsidR="00F244EA" w:rsidRPr="00F244EA" w14:paraId="1937AD41" w14:textId="77777777" w:rsidTr="00885C57">
        <w:trPr>
          <w:trHeight w:val="255"/>
          <w:jc w:val="center"/>
        </w:trPr>
        <w:tc>
          <w:tcPr>
            <w:tcW w:w="0" w:type="auto"/>
            <w:shd w:val="clear" w:color="auto" w:fill="auto"/>
            <w:noWrap/>
            <w:vAlign w:val="center"/>
          </w:tcPr>
          <w:p w14:paraId="2FDB3984" w14:textId="77777777" w:rsidR="00F244EA" w:rsidRPr="00F244EA" w:rsidRDefault="00B940E6" w:rsidP="00F244EA">
            <w:pPr>
              <w:rPr>
                <w:rFonts w:eastAsia="Times New Roman"/>
                <w:color w:val="000000"/>
              </w:rPr>
            </w:pPr>
            <w:r>
              <w:rPr>
                <w:rFonts w:eastAsia="Times New Roman"/>
                <w:color w:val="000000"/>
              </w:rPr>
              <w:t>Homes</w:t>
            </w:r>
          </w:p>
        </w:tc>
        <w:tc>
          <w:tcPr>
            <w:tcW w:w="0" w:type="auto"/>
            <w:shd w:val="clear" w:color="auto" w:fill="D9D9D9" w:themeFill="background1" w:themeFillShade="D9"/>
            <w:vAlign w:val="center"/>
          </w:tcPr>
          <w:p w14:paraId="083A53B9"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40AAA0B8" w14:textId="77777777" w:rsidR="00F244EA" w:rsidRPr="00F244EA" w:rsidRDefault="00F244EA" w:rsidP="00F244EA">
            <w:pPr>
              <w:rPr>
                <w:rFonts w:eastAsia="Times New Roman"/>
                <w:color w:val="000000"/>
              </w:rPr>
            </w:pPr>
          </w:p>
        </w:tc>
        <w:tc>
          <w:tcPr>
            <w:tcW w:w="0" w:type="auto"/>
            <w:shd w:val="clear" w:color="auto" w:fill="auto"/>
            <w:vAlign w:val="center"/>
          </w:tcPr>
          <w:p w14:paraId="6CE49BBE" w14:textId="77777777" w:rsidR="00F244EA" w:rsidRPr="00F244EA" w:rsidRDefault="00F244EA" w:rsidP="00F244EA">
            <w:pPr>
              <w:rPr>
                <w:rFonts w:eastAsia="Times New Roman"/>
                <w:color w:val="000000"/>
              </w:rPr>
            </w:pPr>
            <w:r>
              <w:rPr>
                <w:rFonts w:eastAsia="Times New Roman"/>
                <w:color w:val="000000"/>
              </w:rPr>
              <w:t>Reference</w:t>
            </w:r>
          </w:p>
        </w:tc>
      </w:tr>
      <w:tr w:rsidR="00F244EA" w:rsidRPr="00F244EA" w14:paraId="3549ABC0" w14:textId="77777777" w:rsidTr="00885C57">
        <w:trPr>
          <w:trHeight w:val="255"/>
          <w:jc w:val="center"/>
        </w:trPr>
        <w:tc>
          <w:tcPr>
            <w:tcW w:w="0" w:type="auto"/>
            <w:shd w:val="clear" w:color="auto" w:fill="auto"/>
            <w:noWrap/>
            <w:vAlign w:val="center"/>
          </w:tcPr>
          <w:p w14:paraId="07FE5961" w14:textId="77777777" w:rsidR="00F244EA" w:rsidRPr="00F244EA" w:rsidRDefault="00F244EA" w:rsidP="0006350E">
            <w:pPr>
              <w:rPr>
                <w:rFonts w:eastAsia="Times New Roman"/>
                <w:b/>
                <w:bCs/>
                <w:color w:val="000000"/>
              </w:rPr>
            </w:pPr>
            <w:r w:rsidRPr="00F244EA">
              <w:rPr>
                <w:rFonts w:eastAsia="Times New Roman"/>
                <w:color w:val="000000"/>
              </w:rPr>
              <w:t>Sex-on-premises</w:t>
            </w:r>
            <w:r w:rsidR="0006350E">
              <w:rPr>
                <w:rFonts w:eastAsia="Times New Roman"/>
                <w:color w:val="000000"/>
              </w:rPr>
              <w:t xml:space="preserve"> </w:t>
            </w:r>
            <w:r w:rsidRPr="00F244EA">
              <w:rPr>
                <w:rFonts w:eastAsia="Times New Roman"/>
                <w:color w:val="000000"/>
              </w:rPr>
              <w:t>venue</w:t>
            </w:r>
          </w:p>
        </w:tc>
        <w:tc>
          <w:tcPr>
            <w:tcW w:w="0" w:type="auto"/>
            <w:shd w:val="clear" w:color="auto" w:fill="D9D9D9" w:themeFill="background1" w:themeFillShade="D9"/>
            <w:vAlign w:val="center"/>
          </w:tcPr>
          <w:p w14:paraId="43B78BA5"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737515A0" w14:textId="77777777" w:rsidR="00F244EA" w:rsidRPr="00F244EA" w:rsidRDefault="00F244EA" w:rsidP="00F244EA">
            <w:pPr>
              <w:rPr>
                <w:rFonts w:eastAsia="Times New Roman"/>
                <w:color w:val="000000"/>
              </w:rPr>
            </w:pPr>
          </w:p>
        </w:tc>
        <w:tc>
          <w:tcPr>
            <w:tcW w:w="0" w:type="auto"/>
            <w:shd w:val="clear" w:color="auto" w:fill="auto"/>
            <w:vAlign w:val="center"/>
          </w:tcPr>
          <w:p w14:paraId="6DCB8F69" w14:textId="77777777" w:rsidR="00F244EA" w:rsidRPr="00F244EA" w:rsidRDefault="00F244EA" w:rsidP="00F244EA">
            <w:pPr>
              <w:rPr>
                <w:rFonts w:eastAsia="Times New Roman"/>
                <w:color w:val="000000"/>
              </w:rPr>
            </w:pPr>
            <w:r>
              <w:rPr>
                <w:rFonts w:eastAsia="Times New Roman"/>
                <w:color w:val="000000"/>
              </w:rPr>
              <w:t>-0.06 (-0.45, 0.34)</w:t>
            </w:r>
          </w:p>
        </w:tc>
      </w:tr>
      <w:tr w:rsidR="00F244EA" w:rsidRPr="00F244EA" w14:paraId="0A4DD235" w14:textId="77777777" w:rsidTr="00885C57">
        <w:trPr>
          <w:trHeight w:val="255"/>
          <w:jc w:val="center"/>
        </w:trPr>
        <w:tc>
          <w:tcPr>
            <w:tcW w:w="0" w:type="auto"/>
            <w:shd w:val="clear" w:color="auto" w:fill="auto"/>
            <w:noWrap/>
            <w:vAlign w:val="center"/>
          </w:tcPr>
          <w:p w14:paraId="664EC149" w14:textId="77777777" w:rsidR="00F244EA" w:rsidRPr="00F244EA" w:rsidRDefault="00F244EA" w:rsidP="00B940E6">
            <w:pPr>
              <w:rPr>
                <w:rFonts w:eastAsia="Times New Roman"/>
                <w:color w:val="000000"/>
              </w:rPr>
            </w:pPr>
            <w:r w:rsidRPr="00F244EA">
              <w:rPr>
                <w:rFonts w:eastAsia="Times New Roman"/>
                <w:color w:val="000000"/>
              </w:rPr>
              <w:t>Cruising location</w:t>
            </w:r>
          </w:p>
        </w:tc>
        <w:tc>
          <w:tcPr>
            <w:tcW w:w="0" w:type="auto"/>
            <w:shd w:val="clear" w:color="auto" w:fill="D9D9D9" w:themeFill="background1" w:themeFillShade="D9"/>
            <w:vAlign w:val="center"/>
          </w:tcPr>
          <w:p w14:paraId="7659F3DE" w14:textId="77777777" w:rsidR="00F244EA" w:rsidRPr="00F244EA" w:rsidRDefault="00F244EA" w:rsidP="00F244EA">
            <w:pPr>
              <w:rPr>
                <w:rFonts w:eastAsia="Times New Roman"/>
                <w:color w:val="000000"/>
              </w:rPr>
            </w:pPr>
          </w:p>
        </w:tc>
        <w:tc>
          <w:tcPr>
            <w:tcW w:w="0" w:type="auto"/>
            <w:shd w:val="clear" w:color="auto" w:fill="D9D9D9" w:themeFill="background1" w:themeFillShade="D9"/>
            <w:vAlign w:val="center"/>
          </w:tcPr>
          <w:p w14:paraId="73ED907E" w14:textId="77777777" w:rsidR="00F244EA" w:rsidRPr="00F244EA" w:rsidRDefault="00F244EA" w:rsidP="00F244EA">
            <w:pPr>
              <w:rPr>
                <w:rFonts w:eastAsia="Times New Roman"/>
                <w:color w:val="000000"/>
              </w:rPr>
            </w:pPr>
          </w:p>
        </w:tc>
        <w:tc>
          <w:tcPr>
            <w:tcW w:w="0" w:type="auto"/>
            <w:shd w:val="clear" w:color="auto" w:fill="auto"/>
            <w:vAlign w:val="center"/>
          </w:tcPr>
          <w:p w14:paraId="7BCD33EC" w14:textId="77777777" w:rsidR="00F244EA" w:rsidRPr="00F244EA" w:rsidRDefault="00F244EA" w:rsidP="00F244EA">
            <w:pPr>
              <w:rPr>
                <w:rFonts w:eastAsia="Times New Roman"/>
                <w:color w:val="000000"/>
              </w:rPr>
            </w:pPr>
            <w:r>
              <w:rPr>
                <w:rFonts w:eastAsia="Times New Roman"/>
                <w:color w:val="000000"/>
              </w:rPr>
              <w:t>-0.78** (-1.33, -0.22)</w:t>
            </w:r>
          </w:p>
        </w:tc>
      </w:tr>
      <w:tr w:rsidR="00F244EA" w:rsidRPr="00F244EA" w14:paraId="797CA7F3" w14:textId="77777777" w:rsidTr="00885C57">
        <w:trPr>
          <w:trHeight w:val="255"/>
          <w:jc w:val="center"/>
        </w:trPr>
        <w:tc>
          <w:tcPr>
            <w:tcW w:w="0" w:type="auto"/>
            <w:shd w:val="clear" w:color="auto" w:fill="auto"/>
            <w:noWrap/>
            <w:vAlign w:val="center"/>
            <w:hideMark/>
          </w:tcPr>
          <w:p w14:paraId="6685FD44" w14:textId="77777777" w:rsidR="00F244EA" w:rsidRPr="00F244EA" w:rsidRDefault="00F244EA" w:rsidP="00F244EA">
            <w:pPr>
              <w:rPr>
                <w:rFonts w:eastAsia="Times New Roman"/>
                <w:b/>
                <w:bCs/>
                <w:color w:val="000000"/>
              </w:rPr>
            </w:pPr>
            <w:r w:rsidRPr="00F244EA">
              <w:rPr>
                <w:rFonts w:eastAsia="Times New Roman"/>
                <w:b/>
                <w:bCs/>
                <w:color w:val="000000"/>
              </w:rPr>
              <w:t>Month of reporting</w:t>
            </w:r>
          </w:p>
        </w:tc>
        <w:tc>
          <w:tcPr>
            <w:tcW w:w="0" w:type="auto"/>
            <w:shd w:val="clear" w:color="auto" w:fill="D9D9D9" w:themeFill="background1" w:themeFillShade="D9"/>
            <w:vAlign w:val="center"/>
          </w:tcPr>
          <w:p w14:paraId="3D51F484" w14:textId="77777777" w:rsidR="00F244EA" w:rsidRPr="00F244EA" w:rsidRDefault="00F244EA"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0C1E4B7D" w14:textId="77777777" w:rsidR="00F244EA" w:rsidRPr="00F244EA" w:rsidRDefault="00F244EA" w:rsidP="00F244EA">
            <w:pPr>
              <w:rPr>
                <w:rFonts w:eastAsia="Times New Roman"/>
                <w:color w:val="000000"/>
              </w:rPr>
            </w:pPr>
            <w:r w:rsidRPr="00F244EA">
              <w:rPr>
                <w:rFonts w:eastAsia="Times New Roman"/>
                <w:color w:val="000000"/>
              </w:rPr>
              <w:t> </w:t>
            </w:r>
          </w:p>
        </w:tc>
        <w:tc>
          <w:tcPr>
            <w:tcW w:w="0" w:type="auto"/>
            <w:shd w:val="clear" w:color="auto" w:fill="D9D9D9" w:themeFill="background1" w:themeFillShade="D9"/>
            <w:vAlign w:val="center"/>
          </w:tcPr>
          <w:p w14:paraId="0142C498" w14:textId="77777777" w:rsidR="00F244EA" w:rsidRPr="00F244EA" w:rsidRDefault="00F244EA" w:rsidP="00F244EA">
            <w:pPr>
              <w:rPr>
                <w:rFonts w:eastAsia="Times New Roman"/>
                <w:color w:val="000000"/>
              </w:rPr>
            </w:pPr>
          </w:p>
        </w:tc>
      </w:tr>
      <w:tr w:rsidR="00F244EA" w:rsidRPr="00F244EA" w14:paraId="5D052170" w14:textId="77777777" w:rsidTr="00885C57">
        <w:trPr>
          <w:trHeight w:val="255"/>
          <w:jc w:val="center"/>
        </w:trPr>
        <w:tc>
          <w:tcPr>
            <w:tcW w:w="0" w:type="auto"/>
            <w:shd w:val="clear" w:color="auto" w:fill="auto"/>
            <w:noWrap/>
            <w:vAlign w:val="center"/>
            <w:hideMark/>
          </w:tcPr>
          <w:p w14:paraId="3E43FFFA" w14:textId="77777777" w:rsidR="00F244EA" w:rsidRPr="00F244EA" w:rsidRDefault="00F244EA" w:rsidP="00F244EA">
            <w:pPr>
              <w:rPr>
                <w:rFonts w:eastAsia="Times New Roman"/>
                <w:color w:val="000000"/>
              </w:rPr>
            </w:pPr>
            <w:r w:rsidRPr="00F244EA">
              <w:rPr>
                <w:rFonts w:eastAsia="Times New Roman"/>
                <w:color w:val="000000"/>
              </w:rPr>
              <w:t>Month 7</w:t>
            </w:r>
          </w:p>
        </w:tc>
        <w:tc>
          <w:tcPr>
            <w:tcW w:w="0" w:type="auto"/>
            <w:vAlign w:val="center"/>
          </w:tcPr>
          <w:p w14:paraId="51BFF203" w14:textId="77777777" w:rsidR="00F244EA" w:rsidRPr="00F244EA" w:rsidRDefault="00F244EA" w:rsidP="00F244EA">
            <w:pPr>
              <w:rPr>
                <w:rFonts w:eastAsia="Times New Roman"/>
                <w:color w:val="000000"/>
              </w:rPr>
            </w:pPr>
            <w:r w:rsidRPr="00F244EA">
              <w:rPr>
                <w:rFonts w:eastAsia="Times New Roman"/>
                <w:color w:val="000000"/>
              </w:rPr>
              <w:t>Reference</w:t>
            </w:r>
          </w:p>
        </w:tc>
        <w:tc>
          <w:tcPr>
            <w:tcW w:w="0" w:type="auto"/>
            <w:vAlign w:val="center"/>
          </w:tcPr>
          <w:p w14:paraId="4BB42EE9" w14:textId="77777777" w:rsidR="00F244EA" w:rsidRPr="00F244EA" w:rsidRDefault="00F244EA" w:rsidP="00F244EA">
            <w:pPr>
              <w:rPr>
                <w:rFonts w:eastAsia="Times New Roman"/>
                <w:color w:val="000000"/>
              </w:rPr>
            </w:pPr>
            <w:r w:rsidRPr="00F244EA">
              <w:rPr>
                <w:rFonts w:eastAsia="Times New Roman"/>
                <w:color w:val="000000"/>
              </w:rPr>
              <w:t>Reference</w:t>
            </w:r>
          </w:p>
        </w:tc>
        <w:tc>
          <w:tcPr>
            <w:tcW w:w="0" w:type="auto"/>
            <w:shd w:val="clear" w:color="auto" w:fill="D9D9D9" w:themeFill="background1" w:themeFillShade="D9"/>
            <w:vAlign w:val="center"/>
          </w:tcPr>
          <w:p w14:paraId="5A7887F8" w14:textId="77777777" w:rsidR="00F244EA" w:rsidRPr="00F244EA" w:rsidRDefault="00F244EA" w:rsidP="00F244EA">
            <w:pPr>
              <w:rPr>
                <w:rFonts w:eastAsia="Times New Roman"/>
                <w:color w:val="000000"/>
              </w:rPr>
            </w:pPr>
          </w:p>
        </w:tc>
      </w:tr>
      <w:tr w:rsidR="00F244EA" w:rsidRPr="00F244EA" w14:paraId="621EDA28" w14:textId="77777777" w:rsidTr="00885C57">
        <w:trPr>
          <w:trHeight w:val="255"/>
          <w:jc w:val="center"/>
        </w:trPr>
        <w:tc>
          <w:tcPr>
            <w:tcW w:w="0" w:type="auto"/>
            <w:shd w:val="clear" w:color="auto" w:fill="auto"/>
            <w:noWrap/>
            <w:vAlign w:val="center"/>
            <w:hideMark/>
          </w:tcPr>
          <w:p w14:paraId="28E0B88E" w14:textId="77777777" w:rsidR="00F244EA" w:rsidRPr="00F244EA" w:rsidRDefault="00F244EA" w:rsidP="00F244EA">
            <w:pPr>
              <w:rPr>
                <w:rFonts w:eastAsia="Times New Roman"/>
                <w:color w:val="000000"/>
              </w:rPr>
            </w:pPr>
            <w:r w:rsidRPr="00F244EA">
              <w:rPr>
                <w:rFonts w:eastAsia="Times New Roman"/>
                <w:color w:val="000000"/>
              </w:rPr>
              <w:t>Month 10</w:t>
            </w:r>
          </w:p>
        </w:tc>
        <w:tc>
          <w:tcPr>
            <w:tcW w:w="0" w:type="auto"/>
            <w:vAlign w:val="center"/>
          </w:tcPr>
          <w:p w14:paraId="5014E485" w14:textId="77777777" w:rsidR="00F244EA" w:rsidRPr="00F244EA" w:rsidRDefault="00F244EA" w:rsidP="00F244EA">
            <w:pPr>
              <w:rPr>
                <w:rFonts w:eastAsia="Times New Roman"/>
                <w:color w:val="000000"/>
              </w:rPr>
            </w:pPr>
            <w:r w:rsidRPr="00F244EA">
              <w:rPr>
                <w:rFonts w:eastAsia="Times New Roman"/>
                <w:color w:val="000000"/>
              </w:rPr>
              <w:t>1.04 (0.70, 1.57)</w:t>
            </w:r>
          </w:p>
        </w:tc>
        <w:tc>
          <w:tcPr>
            <w:tcW w:w="0" w:type="auto"/>
            <w:vAlign w:val="center"/>
          </w:tcPr>
          <w:p w14:paraId="4C8FA05A" w14:textId="77777777" w:rsidR="00F244EA" w:rsidRPr="00F244EA" w:rsidRDefault="00F244EA" w:rsidP="00F244EA">
            <w:pPr>
              <w:rPr>
                <w:rFonts w:eastAsia="Times New Roman"/>
                <w:color w:val="000000"/>
              </w:rPr>
            </w:pPr>
            <w:r w:rsidRPr="00F244EA">
              <w:rPr>
                <w:rFonts w:eastAsia="Times New Roman"/>
                <w:color w:val="000000"/>
              </w:rPr>
              <w:t>1.06 (0.71, 1.59)</w:t>
            </w:r>
          </w:p>
        </w:tc>
        <w:tc>
          <w:tcPr>
            <w:tcW w:w="0" w:type="auto"/>
            <w:shd w:val="clear" w:color="auto" w:fill="D9D9D9" w:themeFill="background1" w:themeFillShade="D9"/>
            <w:vAlign w:val="center"/>
          </w:tcPr>
          <w:p w14:paraId="3D0774F6" w14:textId="77777777" w:rsidR="00F244EA" w:rsidRPr="00F244EA" w:rsidRDefault="00F244EA" w:rsidP="00F244EA">
            <w:pPr>
              <w:rPr>
                <w:rFonts w:eastAsia="Times New Roman"/>
                <w:color w:val="000000"/>
              </w:rPr>
            </w:pPr>
          </w:p>
        </w:tc>
      </w:tr>
      <w:tr w:rsidR="00F244EA" w:rsidRPr="00F244EA" w14:paraId="5A562861" w14:textId="77777777" w:rsidTr="00885C57">
        <w:trPr>
          <w:trHeight w:val="255"/>
          <w:jc w:val="center"/>
        </w:trPr>
        <w:tc>
          <w:tcPr>
            <w:tcW w:w="0" w:type="auto"/>
            <w:shd w:val="clear" w:color="auto" w:fill="auto"/>
            <w:noWrap/>
            <w:vAlign w:val="center"/>
            <w:hideMark/>
          </w:tcPr>
          <w:p w14:paraId="54A413BC" w14:textId="77777777" w:rsidR="00F244EA" w:rsidRPr="00F244EA" w:rsidRDefault="00F244EA" w:rsidP="00F244EA">
            <w:pPr>
              <w:rPr>
                <w:rFonts w:eastAsia="Times New Roman"/>
                <w:color w:val="000000"/>
              </w:rPr>
            </w:pPr>
            <w:r w:rsidRPr="00F244EA">
              <w:rPr>
                <w:rFonts w:eastAsia="Times New Roman"/>
                <w:color w:val="000000"/>
              </w:rPr>
              <w:t>Month 13</w:t>
            </w:r>
          </w:p>
        </w:tc>
        <w:tc>
          <w:tcPr>
            <w:tcW w:w="0" w:type="auto"/>
            <w:vAlign w:val="center"/>
          </w:tcPr>
          <w:p w14:paraId="35960005" w14:textId="77777777" w:rsidR="00F244EA" w:rsidRPr="00F244EA" w:rsidRDefault="00F244EA" w:rsidP="00F244EA">
            <w:pPr>
              <w:rPr>
                <w:rFonts w:eastAsia="Times New Roman"/>
                <w:color w:val="000000"/>
              </w:rPr>
            </w:pPr>
            <w:r w:rsidRPr="00F244EA">
              <w:rPr>
                <w:rFonts w:eastAsia="Times New Roman"/>
                <w:color w:val="000000"/>
              </w:rPr>
              <w:t>1.38 (0.39, 1.24)</w:t>
            </w:r>
          </w:p>
        </w:tc>
        <w:tc>
          <w:tcPr>
            <w:tcW w:w="0" w:type="auto"/>
            <w:vAlign w:val="center"/>
          </w:tcPr>
          <w:p w14:paraId="568B88CC" w14:textId="77777777" w:rsidR="00F244EA" w:rsidRPr="00F244EA" w:rsidRDefault="00F244EA" w:rsidP="00F244EA">
            <w:pPr>
              <w:rPr>
                <w:rFonts w:eastAsia="Times New Roman"/>
                <w:i/>
                <w:iCs/>
                <w:color w:val="000000"/>
              </w:rPr>
            </w:pPr>
            <w:r w:rsidRPr="00F244EA">
              <w:rPr>
                <w:rFonts w:eastAsia="Times New Roman"/>
                <w:i/>
                <w:iCs/>
                <w:color w:val="000000"/>
              </w:rPr>
              <w:t>1.41 (0.96, 2.08)</w:t>
            </w:r>
          </w:p>
        </w:tc>
        <w:tc>
          <w:tcPr>
            <w:tcW w:w="0" w:type="auto"/>
            <w:shd w:val="clear" w:color="auto" w:fill="D9D9D9" w:themeFill="background1" w:themeFillShade="D9"/>
            <w:vAlign w:val="center"/>
          </w:tcPr>
          <w:p w14:paraId="420BD0CD" w14:textId="77777777" w:rsidR="00F244EA" w:rsidRPr="00F244EA" w:rsidRDefault="00F244EA" w:rsidP="00F244EA">
            <w:pPr>
              <w:rPr>
                <w:rFonts w:eastAsia="Times New Roman"/>
                <w:i/>
                <w:iCs/>
                <w:color w:val="000000"/>
              </w:rPr>
            </w:pPr>
          </w:p>
        </w:tc>
      </w:tr>
      <w:tr w:rsidR="00F244EA" w:rsidRPr="00F244EA" w14:paraId="4B07A47D" w14:textId="77777777" w:rsidTr="00885C57">
        <w:trPr>
          <w:trHeight w:val="255"/>
          <w:jc w:val="center"/>
        </w:trPr>
        <w:tc>
          <w:tcPr>
            <w:tcW w:w="0" w:type="auto"/>
            <w:shd w:val="clear" w:color="auto" w:fill="auto"/>
            <w:noWrap/>
            <w:vAlign w:val="center"/>
            <w:hideMark/>
          </w:tcPr>
          <w:p w14:paraId="3657FE43" w14:textId="77777777" w:rsidR="00F244EA" w:rsidRPr="00F244EA" w:rsidRDefault="00F244EA" w:rsidP="00F244EA">
            <w:pPr>
              <w:rPr>
                <w:rFonts w:eastAsia="Times New Roman"/>
                <w:b/>
                <w:bCs/>
                <w:color w:val="000000"/>
              </w:rPr>
            </w:pPr>
            <w:r w:rsidRPr="00F244EA">
              <w:rPr>
                <w:rFonts w:eastAsia="Times New Roman"/>
                <w:b/>
                <w:bCs/>
                <w:color w:val="000000"/>
              </w:rPr>
              <w:t>Wald test (χ</w:t>
            </w:r>
            <w:r w:rsidRPr="00F244EA">
              <w:rPr>
                <w:rFonts w:eastAsia="Times New Roman"/>
                <w:b/>
                <w:bCs/>
                <w:color w:val="000000"/>
                <w:vertAlign w:val="superscript"/>
              </w:rPr>
              <w:t>2</w:t>
            </w:r>
            <w:r w:rsidRPr="00F244EA">
              <w:rPr>
                <w:rFonts w:eastAsia="Times New Roman"/>
                <w:b/>
                <w:bCs/>
                <w:color w:val="000000"/>
              </w:rPr>
              <w:t xml:space="preserve">, df, </w:t>
            </w:r>
            <w:r w:rsidRPr="00F244EA">
              <w:rPr>
                <w:rFonts w:eastAsia="Times New Roman"/>
                <w:b/>
                <w:bCs/>
                <w:i/>
                <w:iCs/>
                <w:color w:val="000000"/>
              </w:rPr>
              <w:t>p</w:t>
            </w:r>
            <w:r w:rsidRPr="00F244EA">
              <w:rPr>
                <w:rFonts w:eastAsia="Times New Roman"/>
                <w:b/>
                <w:bCs/>
                <w:color w:val="000000"/>
              </w:rPr>
              <w:t>-value)</w:t>
            </w:r>
          </w:p>
        </w:tc>
        <w:tc>
          <w:tcPr>
            <w:tcW w:w="0" w:type="auto"/>
            <w:vAlign w:val="center"/>
          </w:tcPr>
          <w:p w14:paraId="68C20ED4" w14:textId="77777777" w:rsidR="00F244EA" w:rsidRPr="00F244EA" w:rsidRDefault="00F244EA" w:rsidP="00F244EA">
            <w:pPr>
              <w:rPr>
                <w:rFonts w:eastAsia="Times New Roman"/>
                <w:color w:val="000000"/>
              </w:rPr>
            </w:pPr>
            <w:r w:rsidRPr="00F244EA">
              <w:rPr>
                <w:rFonts w:eastAsia="Times New Roman"/>
                <w:color w:val="000000"/>
              </w:rPr>
              <w:t>25.84, 8, 0.001</w:t>
            </w:r>
          </w:p>
        </w:tc>
        <w:tc>
          <w:tcPr>
            <w:tcW w:w="0" w:type="auto"/>
            <w:vAlign w:val="center"/>
          </w:tcPr>
          <w:p w14:paraId="77BFC795" w14:textId="77777777" w:rsidR="00F244EA" w:rsidRPr="00F244EA" w:rsidRDefault="00F244EA" w:rsidP="00F244EA">
            <w:pPr>
              <w:rPr>
                <w:rFonts w:eastAsia="Times New Roman"/>
                <w:color w:val="000000"/>
              </w:rPr>
            </w:pPr>
            <w:r w:rsidRPr="00F244EA">
              <w:rPr>
                <w:rFonts w:eastAsia="Times New Roman"/>
                <w:color w:val="000000"/>
              </w:rPr>
              <w:t>24.17, 5, 0.0002</w:t>
            </w:r>
          </w:p>
        </w:tc>
        <w:tc>
          <w:tcPr>
            <w:tcW w:w="0" w:type="auto"/>
            <w:vAlign w:val="center"/>
          </w:tcPr>
          <w:p w14:paraId="1358A6E7" w14:textId="77777777" w:rsidR="00F244EA" w:rsidRPr="00F244EA" w:rsidRDefault="00F244EA" w:rsidP="00F244EA">
            <w:pPr>
              <w:rPr>
                <w:rFonts w:eastAsia="Times New Roman"/>
                <w:color w:val="000000"/>
              </w:rPr>
            </w:pPr>
            <w:r>
              <w:rPr>
                <w:rFonts w:eastAsia="Times New Roman"/>
                <w:color w:val="000000"/>
              </w:rPr>
              <w:t>34.47, 8, &lt;0.0001</w:t>
            </w:r>
          </w:p>
        </w:tc>
      </w:tr>
      <w:tr w:rsidR="00F244EA" w:rsidRPr="00F244EA" w14:paraId="118EE10A" w14:textId="77777777" w:rsidTr="00885C57">
        <w:trPr>
          <w:trHeight w:val="255"/>
          <w:jc w:val="center"/>
        </w:trPr>
        <w:tc>
          <w:tcPr>
            <w:tcW w:w="0" w:type="auto"/>
            <w:shd w:val="clear" w:color="auto" w:fill="auto"/>
            <w:noWrap/>
            <w:vAlign w:val="center"/>
            <w:hideMark/>
          </w:tcPr>
          <w:p w14:paraId="7F3E2E91" w14:textId="77777777" w:rsidR="00F244EA" w:rsidRPr="00F244EA" w:rsidRDefault="00F244EA" w:rsidP="00F244EA">
            <w:pPr>
              <w:rPr>
                <w:rFonts w:eastAsia="Times New Roman"/>
                <w:b/>
                <w:bCs/>
                <w:color w:val="000000"/>
              </w:rPr>
            </w:pPr>
            <w:r>
              <w:rPr>
                <w:rFonts w:eastAsia="Times New Roman"/>
                <w:b/>
                <w:bCs/>
                <w:color w:val="000000"/>
              </w:rPr>
              <w:t>QIC</w:t>
            </w:r>
          </w:p>
        </w:tc>
        <w:tc>
          <w:tcPr>
            <w:tcW w:w="0" w:type="auto"/>
            <w:vAlign w:val="center"/>
          </w:tcPr>
          <w:p w14:paraId="0F8D64BE" w14:textId="77777777" w:rsidR="00F244EA" w:rsidRPr="00F244EA" w:rsidRDefault="00F244EA" w:rsidP="00F244EA">
            <w:pPr>
              <w:rPr>
                <w:rFonts w:eastAsia="Times New Roman"/>
                <w:color w:val="000000"/>
              </w:rPr>
            </w:pPr>
            <w:r w:rsidRPr="00F244EA">
              <w:rPr>
                <w:rFonts w:eastAsia="Times New Roman"/>
                <w:color w:val="000000"/>
              </w:rPr>
              <w:t>557.41</w:t>
            </w:r>
          </w:p>
        </w:tc>
        <w:tc>
          <w:tcPr>
            <w:tcW w:w="0" w:type="auto"/>
            <w:vAlign w:val="center"/>
          </w:tcPr>
          <w:p w14:paraId="3E5E8E70" w14:textId="77777777" w:rsidR="00F244EA" w:rsidRPr="00F244EA" w:rsidRDefault="00F244EA" w:rsidP="00F244EA">
            <w:pPr>
              <w:rPr>
                <w:rFonts w:eastAsia="Times New Roman"/>
                <w:color w:val="000000"/>
              </w:rPr>
            </w:pPr>
            <w:r w:rsidRPr="00F244EA">
              <w:rPr>
                <w:rFonts w:eastAsia="Times New Roman"/>
                <w:color w:val="000000"/>
              </w:rPr>
              <w:t>556.26</w:t>
            </w:r>
          </w:p>
        </w:tc>
        <w:tc>
          <w:tcPr>
            <w:tcW w:w="0" w:type="auto"/>
            <w:vAlign w:val="center"/>
          </w:tcPr>
          <w:p w14:paraId="4C8B281E" w14:textId="77777777" w:rsidR="00F244EA" w:rsidRPr="00F244EA" w:rsidRDefault="00F244EA" w:rsidP="00F244EA">
            <w:pPr>
              <w:rPr>
                <w:rFonts w:eastAsia="Times New Roman"/>
                <w:color w:val="000000"/>
              </w:rPr>
            </w:pPr>
            <w:r>
              <w:rPr>
                <w:rFonts w:eastAsia="Times New Roman"/>
                <w:color w:val="000000"/>
              </w:rPr>
              <w:t>1163.32</w:t>
            </w:r>
          </w:p>
        </w:tc>
      </w:tr>
    </w:tbl>
    <w:p w14:paraId="315C03D1" w14:textId="77777777" w:rsidR="00885C57" w:rsidRPr="00885C57" w:rsidRDefault="00885C57" w:rsidP="00885C57">
      <w:r>
        <w:rPr>
          <w:vertAlign w:val="superscript"/>
        </w:rPr>
        <w:t>a</w:t>
      </w:r>
      <w:r>
        <w:t>*</w:t>
      </w:r>
      <w:r>
        <w:rPr>
          <w:i/>
        </w:rPr>
        <w:t>p</w:t>
      </w:r>
      <w:r>
        <w:t>&lt;0.05, **</w:t>
      </w:r>
      <w:r>
        <w:rPr>
          <w:i/>
        </w:rPr>
        <w:t>p</w:t>
      </w:r>
      <w:r>
        <w:t>&lt;0.01, ***</w:t>
      </w:r>
      <w:r>
        <w:rPr>
          <w:i/>
        </w:rPr>
        <w:t>p</w:t>
      </w:r>
      <w:r>
        <w:t>&lt;0.001</w:t>
      </w:r>
    </w:p>
    <w:p w14:paraId="320B31D5" w14:textId="77777777" w:rsidR="00885C57" w:rsidRDefault="00885C57" w:rsidP="007131C4">
      <w:pPr>
        <w:spacing w:line="480" w:lineRule="auto"/>
        <w:sectPr w:rsidR="00885C57" w:rsidSect="0091216B">
          <w:pgSz w:w="16840" w:h="11900" w:orient="landscape"/>
          <w:pgMar w:top="1701" w:right="1701" w:bottom="1701" w:left="1701" w:header="709" w:footer="709" w:gutter="0"/>
          <w:cols w:space="708"/>
          <w:docGrid w:linePitch="360"/>
        </w:sectPr>
      </w:pPr>
    </w:p>
    <w:p w14:paraId="7283881A" w14:textId="77777777" w:rsidR="00583BFF" w:rsidRDefault="00583BFF" w:rsidP="00B41DA3">
      <w:pPr>
        <w:rPr>
          <w:b/>
        </w:rPr>
      </w:pPr>
      <w:r>
        <w:rPr>
          <w:b/>
        </w:rPr>
        <w:t>Works cited</w:t>
      </w:r>
    </w:p>
    <w:p w14:paraId="3479622F" w14:textId="0D034AC8" w:rsidR="00CE61FF" w:rsidRPr="00CE61FF" w:rsidRDefault="00B90C8D">
      <w:pPr>
        <w:pStyle w:val="NormalWeb"/>
        <w:ind w:left="640" w:hanging="640"/>
        <w:divId w:val="891505725"/>
        <w:rPr>
          <w:rFonts w:ascii="Times New Roman" w:hAnsi="Times New Roman"/>
          <w:noProof/>
          <w:sz w:val="24"/>
        </w:rPr>
      </w:pPr>
      <w:r>
        <w:fldChar w:fldCharType="begin" w:fldLock="1"/>
      </w:r>
      <w:r w:rsidR="00583BFF">
        <w:instrText xml:space="preserve">ADDIN Mendeley Bibliography CSL_BIBLIOGRAPHY </w:instrText>
      </w:r>
      <w:r>
        <w:fldChar w:fldCharType="separate"/>
      </w:r>
      <w:r w:rsidR="00CE61FF" w:rsidRPr="00CE61FF">
        <w:rPr>
          <w:rFonts w:ascii="Times New Roman" w:hAnsi="Times New Roman"/>
          <w:noProof/>
          <w:sz w:val="24"/>
        </w:rPr>
        <w:t xml:space="preserve">1. </w:t>
      </w:r>
      <w:r w:rsidR="00CE61FF" w:rsidRPr="00CE61FF">
        <w:rPr>
          <w:rFonts w:ascii="Times New Roman" w:hAnsi="Times New Roman"/>
          <w:noProof/>
          <w:sz w:val="24"/>
        </w:rPr>
        <w:tab/>
        <w:t xml:space="preserve">Vosburgh HW, Mansergh G, Sullivan PS, Purcell DW. A review of the literature on event-level substance use and sexual risk behavior among men who have sex with men. AIDS Behav. United States; 2012;16(6):1394–410. </w:t>
      </w:r>
    </w:p>
    <w:p w14:paraId="2FB87F70"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 </w:t>
      </w:r>
      <w:r w:rsidRPr="00CE61FF">
        <w:rPr>
          <w:rFonts w:ascii="Times New Roman" w:hAnsi="Times New Roman"/>
          <w:noProof/>
          <w:sz w:val="24"/>
        </w:rPr>
        <w:tab/>
        <w:t xml:space="preserve">Boone MR, Cook SH, Wilson P. Substance use and sexual risk behavior in HIV-positive men who have sex with men: An episode-level analysis. AIDS Behav. United States; 2013;17(5):1883–7. </w:t>
      </w:r>
    </w:p>
    <w:p w14:paraId="53FDC7C6"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3. </w:t>
      </w:r>
      <w:r w:rsidRPr="00CE61FF">
        <w:rPr>
          <w:rFonts w:ascii="Times New Roman" w:hAnsi="Times New Roman"/>
          <w:noProof/>
          <w:sz w:val="24"/>
        </w:rPr>
        <w:tab/>
        <w:t xml:space="preserve">Colfax GN, Vittinghoff E, Husnik MJ, McKirnan D, Buchbinder S, Koblin B, et al. Substance use and sexual risk: A participant- and episode-level analysis among a cohort of men who have sex with men. Am J Epidemiol. 2004;159(10):1002–12. </w:t>
      </w:r>
    </w:p>
    <w:p w14:paraId="49E5D9D6"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4. </w:t>
      </w:r>
      <w:r w:rsidRPr="00CE61FF">
        <w:rPr>
          <w:rFonts w:ascii="Times New Roman" w:hAnsi="Times New Roman"/>
          <w:noProof/>
          <w:sz w:val="24"/>
        </w:rPr>
        <w:tab/>
        <w:t xml:space="preserve">Koblin BA, Murrill C, Camacho M, Xu G, Liu K-L, Raj-Singh S, et al. Amphetamine use and sexual risk among men who have sex with men: Results from the National HIV Behavioral Surveillance study - New York City. Subst Use Misuse. 2007;42(10):1613–28. </w:t>
      </w:r>
    </w:p>
    <w:p w14:paraId="11E2B798"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5. </w:t>
      </w:r>
      <w:r w:rsidRPr="00CE61FF">
        <w:rPr>
          <w:rFonts w:ascii="Times New Roman" w:hAnsi="Times New Roman"/>
          <w:noProof/>
          <w:sz w:val="24"/>
        </w:rPr>
        <w:tab/>
        <w:t xml:space="preserve">Wilson PA, Cook S, McGaskey J, Rowe M, Dennis N. Situational predictors of sexual risk episodes among men with HIV who have sex with men. Sex Transm Infect. 2008 Nov;84(6):506–8. </w:t>
      </w:r>
    </w:p>
    <w:p w14:paraId="41A9F552"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6. </w:t>
      </w:r>
      <w:r w:rsidRPr="00CE61FF">
        <w:rPr>
          <w:rFonts w:ascii="Times New Roman" w:hAnsi="Times New Roman"/>
          <w:noProof/>
          <w:sz w:val="24"/>
        </w:rPr>
        <w:tab/>
        <w:t xml:space="preserve">Horvath KJ. The use of a daily web diary to examine the relation between online sex seeking and HIV risk among internet-using men who have sex with men. ProQuest Dissertations and Theses. [Ann Arbor]: University of Wyoming; 2005. </w:t>
      </w:r>
    </w:p>
    <w:p w14:paraId="30351FFC"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7. </w:t>
      </w:r>
      <w:r w:rsidRPr="00CE61FF">
        <w:rPr>
          <w:rFonts w:ascii="Times New Roman" w:hAnsi="Times New Roman"/>
          <w:noProof/>
          <w:sz w:val="24"/>
        </w:rPr>
        <w:tab/>
        <w:t xml:space="preserve">Prestage G, Van de Ven P, Grulich A, Kaldor J, Kippax S, Mao L. Contexts for last occasions of unprotected anal intercourse among HIV-negative gay men in Sydney: the health in men cohort. AIDS Care. 2005;17(1):23–32. </w:t>
      </w:r>
    </w:p>
    <w:p w14:paraId="0118CE2F"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8. </w:t>
      </w:r>
      <w:r w:rsidRPr="00CE61FF">
        <w:rPr>
          <w:rFonts w:ascii="Times New Roman" w:hAnsi="Times New Roman"/>
          <w:noProof/>
          <w:sz w:val="24"/>
        </w:rPr>
        <w:tab/>
        <w:t xml:space="preserve">Prestage G, Grierson J, Bradley J, Hurley M, Hudson J, G. P, et al. The role of drugs during group sex among gay men in Australia. Sexual health. 2009. p. 310–7. </w:t>
      </w:r>
    </w:p>
    <w:p w14:paraId="2FAA8710"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9. </w:t>
      </w:r>
      <w:r w:rsidRPr="00CE61FF">
        <w:rPr>
          <w:rFonts w:ascii="Times New Roman" w:hAnsi="Times New Roman"/>
          <w:noProof/>
          <w:sz w:val="24"/>
        </w:rPr>
        <w:tab/>
        <w:t xml:space="preserve">Grov C, Rendina HJ, Ventuneac A, Parsons JT. HIV risk in group sexual encounters: An event-level analysis from a national online survey of MSM in the U. S. J Sex Med. 2013;10(9):2285–94. </w:t>
      </w:r>
    </w:p>
    <w:p w14:paraId="3C0C4E2D"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10. </w:t>
      </w:r>
      <w:r w:rsidRPr="00CE61FF">
        <w:rPr>
          <w:rFonts w:ascii="Times New Roman" w:hAnsi="Times New Roman"/>
          <w:noProof/>
          <w:sz w:val="24"/>
        </w:rPr>
        <w:tab/>
        <w:t xml:space="preserve">Bourne A, Reid D, Hickson F, Torres Rueda S, Weatherburn P. The Chemsex Study: drug use in sexual settings among gay &amp; bisexual men in Lambeth, Southwark, &amp; Lewisham. London: Sigma Research, London School of Hygiene and Tropical Medicine; 2014. </w:t>
      </w:r>
    </w:p>
    <w:p w14:paraId="3F1FDFC3"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11. </w:t>
      </w:r>
      <w:r w:rsidRPr="00CE61FF">
        <w:rPr>
          <w:rFonts w:ascii="Times New Roman" w:hAnsi="Times New Roman"/>
          <w:noProof/>
          <w:sz w:val="24"/>
        </w:rPr>
        <w:tab/>
        <w:t xml:space="preserve">Hurley M, Prestage G. Intensive sex partying amongst gay men in Sydney. Cult Health Sex. 2009;11(6):597–610. </w:t>
      </w:r>
    </w:p>
    <w:p w14:paraId="44D8220B" w14:textId="5BD8B191"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12. </w:t>
      </w:r>
      <w:r w:rsidRPr="00CE61FF">
        <w:rPr>
          <w:rFonts w:ascii="Times New Roman" w:hAnsi="Times New Roman"/>
          <w:noProof/>
          <w:sz w:val="24"/>
        </w:rPr>
        <w:tab/>
        <w:t xml:space="preserve">Solomon TM, Halkitis PN, Moeller RM, Siconolfi DE, Kiang M V, Barton SC. Sex parties among young gay, bisexual, and other men who have sex with men in New York City: attendance and behavior. J Urban Health. 2011. p. 1063–75. </w:t>
      </w:r>
    </w:p>
    <w:p w14:paraId="329ED08C"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13. </w:t>
      </w:r>
      <w:r w:rsidRPr="00CE61FF">
        <w:rPr>
          <w:rFonts w:ascii="Times New Roman" w:hAnsi="Times New Roman"/>
          <w:noProof/>
          <w:sz w:val="24"/>
        </w:rPr>
        <w:tab/>
        <w:t xml:space="preserve">Wohlfeiler D, Potterat JJ. Using gay men’s sexual networks to reduce sexually transmitted disease (STD)/human immunodeficiency virus (HIV) transmission. Sex Transm Dis. 2005;32(10 Suppl):S48–52. </w:t>
      </w:r>
    </w:p>
    <w:p w14:paraId="11B34874"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14. </w:t>
      </w:r>
      <w:r w:rsidRPr="00CE61FF">
        <w:rPr>
          <w:rFonts w:ascii="Times New Roman" w:hAnsi="Times New Roman"/>
          <w:noProof/>
          <w:sz w:val="24"/>
        </w:rPr>
        <w:tab/>
        <w:t xml:space="preserve">Slavin S. Drugs, space, and sociality in a gay nightclub in Sydney. J Contemp Ethnogr. 2004;33(3):265–95. </w:t>
      </w:r>
    </w:p>
    <w:p w14:paraId="25EF4975"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15. </w:t>
      </w:r>
      <w:r w:rsidRPr="00CE61FF">
        <w:rPr>
          <w:rFonts w:ascii="Times New Roman" w:hAnsi="Times New Roman"/>
          <w:noProof/>
          <w:sz w:val="24"/>
        </w:rPr>
        <w:tab/>
        <w:t xml:space="preserve">Green AI, Halkitis PN. Crystal methamphetamine and sexual sociality in an urban gay subculture: An elective affinity. Cult Health Sex. 2006;8(4):317–33. </w:t>
      </w:r>
    </w:p>
    <w:p w14:paraId="67E1D3A2"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16. </w:t>
      </w:r>
      <w:r w:rsidRPr="00CE61FF">
        <w:rPr>
          <w:rFonts w:ascii="Times New Roman" w:hAnsi="Times New Roman"/>
          <w:noProof/>
          <w:sz w:val="24"/>
        </w:rPr>
        <w:tab/>
        <w:t xml:space="preserve">O’Byrne P, Holmes D. Desire, drug use and unsafe sex: a qualitative examination of gay men who attend gay circuit parties. Cult Health Sex. 2011;13(1):1–13. </w:t>
      </w:r>
    </w:p>
    <w:p w14:paraId="5D80EEA7"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17. </w:t>
      </w:r>
      <w:r w:rsidRPr="00CE61FF">
        <w:rPr>
          <w:rFonts w:ascii="Times New Roman" w:hAnsi="Times New Roman"/>
          <w:noProof/>
          <w:sz w:val="24"/>
        </w:rPr>
        <w:tab/>
        <w:t xml:space="preserve">Leigh BC, Stall R. Substance use and risky sexual behavior for exposure to HIV: issues in methdology, interpretation, and prevention. Am Psychol. 1993;48(10):1035–45. </w:t>
      </w:r>
    </w:p>
    <w:p w14:paraId="36505FB9"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18. </w:t>
      </w:r>
      <w:r w:rsidRPr="00CE61FF">
        <w:rPr>
          <w:rFonts w:ascii="Times New Roman" w:hAnsi="Times New Roman"/>
          <w:noProof/>
          <w:sz w:val="24"/>
        </w:rPr>
        <w:tab/>
        <w:t xml:space="preserve">Hickson F, Tomlin K, Hargreaves J, Bonell C, Reid D, Weatherburn P. Internet-based cohort study of HIV testing over 1 year among men who have sex with men living in England and exposed to a social marketing intervention promoting testing. Sex Transm Infect. 2014;1–7. </w:t>
      </w:r>
    </w:p>
    <w:p w14:paraId="44751AFE"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19. </w:t>
      </w:r>
      <w:r w:rsidRPr="00CE61FF">
        <w:rPr>
          <w:rFonts w:ascii="Times New Roman" w:hAnsi="Times New Roman"/>
          <w:noProof/>
          <w:sz w:val="24"/>
        </w:rPr>
        <w:tab/>
        <w:t xml:space="preserve">Pan W. Akaike’s information criterion in generalized estimating equations. Biometrics. 2001 Mar;57(1):120–5. </w:t>
      </w:r>
    </w:p>
    <w:p w14:paraId="5B99537F" w14:textId="73D9A3AB"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20. </w:t>
      </w:r>
      <w:r w:rsidRPr="00CE61FF">
        <w:rPr>
          <w:rFonts w:ascii="Times New Roman" w:hAnsi="Times New Roman"/>
          <w:noProof/>
          <w:sz w:val="24"/>
        </w:rPr>
        <w:tab/>
        <w:t xml:space="preserve">Prestage G, Jin F, Kippax S, Zablotska I, Imrie J, Grulich A. Use of illicit drugs and erectile dysfunction medications and subsequent HIV infection among gay men in Sydney, Australia. J Sex Med. 2009. p. 2311–20. </w:t>
      </w:r>
    </w:p>
    <w:p w14:paraId="24250515"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21. </w:t>
      </w:r>
      <w:r w:rsidRPr="00CE61FF">
        <w:rPr>
          <w:rFonts w:ascii="Times New Roman" w:hAnsi="Times New Roman"/>
          <w:noProof/>
          <w:sz w:val="24"/>
        </w:rPr>
        <w:tab/>
        <w:t xml:space="preserve">Ostrow DG, Plankey MW, Cox C, Li X, Shoptaw S, Jacobson LP, et al. Specific sex drug combinations contribute to the majority of recent HIV seroconversions among MSM in the MACS. J Acquir Immune Defic Syndr. 2009;51(3):349–55. </w:t>
      </w:r>
    </w:p>
    <w:p w14:paraId="3B40B738"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22. </w:t>
      </w:r>
      <w:r w:rsidRPr="00CE61FF">
        <w:rPr>
          <w:rFonts w:ascii="Times New Roman" w:hAnsi="Times New Roman"/>
          <w:noProof/>
          <w:sz w:val="24"/>
        </w:rPr>
        <w:tab/>
        <w:t xml:space="preserve">Bourne A, Hickson F, Keogh P, Reid D, Weatherburn P. Problems with sex among gay and bisexual men with diagnosed HIV in the United Kingdom. BMC Public Health. 2012;12(916). </w:t>
      </w:r>
    </w:p>
    <w:p w14:paraId="3CC1A8D9"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23. </w:t>
      </w:r>
      <w:r w:rsidRPr="00CE61FF">
        <w:rPr>
          <w:rFonts w:ascii="Times New Roman" w:hAnsi="Times New Roman"/>
          <w:noProof/>
          <w:sz w:val="24"/>
        </w:rPr>
        <w:tab/>
        <w:t xml:space="preserve">Mustanski BS, Newcomb ME, Clerkin E. Relationship Characteristics and Sexual Risk-Taking in Young Men Who Have Sex With Men. Heal Psychol. 2011;30(5):597–605. </w:t>
      </w:r>
    </w:p>
    <w:p w14:paraId="6C776DF0" w14:textId="50EF7B9D"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24. </w:t>
      </w:r>
      <w:r w:rsidRPr="00CE61FF">
        <w:rPr>
          <w:rFonts w:ascii="Times New Roman" w:hAnsi="Times New Roman"/>
          <w:noProof/>
          <w:sz w:val="24"/>
        </w:rPr>
        <w:tab/>
        <w:t xml:space="preserve">Dodds JP, Mercer CH, Mercey DE, Copas AJ, Johnson AM. Men who have sex with men: a comparison of a probability sample survey and a community based study. Sex Transm Infect. 2006;82(1):86–7. </w:t>
      </w:r>
    </w:p>
    <w:p w14:paraId="3CC1799D" w14:textId="7D536C58"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25. </w:t>
      </w:r>
      <w:r w:rsidRPr="00CE61FF">
        <w:rPr>
          <w:rFonts w:ascii="Times New Roman" w:hAnsi="Times New Roman"/>
          <w:noProof/>
          <w:sz w:val="24"/>
        </w:rPr>
        <w:tab/>
        <w:t xml:space="preserve">Grov C, Parsons JT, Bimbi DS. Sexual risk behavior and venues for meeting sex partners: an intercept survey of gay and bisexual men in LA and NYC. AIDS Behav. 2007;11(6):915–26. </w:t>
      </w:r>
    </w:p>
    <w:p w14:paraId="65634563" w14:textId="4F297D3F"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26. </w:t>
      </w:r>
      <w:r w:rsidRPr="00CE61FF">
        <w:rPr>
          <w:rFonts w:ascii="Times New Roman" w:hAnsi="Times New Roman"/>
          <w:noProof/>
          <w:sz w:val="24"/>
        </w:rPr>
        <w:tab/>
        <w:t xml:space="preserve">Parsons JT, Lelutiu-Weinberger C, Botsko M, Golub SA. Predictors of day-level sexual risk for young gay and bisexual men. AIDS Behav. 2012;17(4):1465–77. </w:t>
      </w:r>
    </w:p>
    <w:p w14:paraId="2C69E080" w14:textId="4765FCB5"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27. </w:t>
      </w:r>
      <w:r w:rsidRPr="00CE61FF">
        <w:rPr>
          <w:rFonts w:ascii="Times New Roman" w:hAnsi="Times New Roman"/>
          <w:noProof/>
          <w:sz w:val="24"/>
        </w:rPr>
        <w:tab/>
        <w:t xml:space="preserve">Wilson PA, Díaz RM, Yoshikawa H, Shrout PEY, Diaz RM. Drug use, interpersonal attraction, and communication: situational factors as predictors of episodes of unprotected anal intercourse among Latino gay men. AIDS Behav. 2009;13(4):691–9. </w:t>
      </w:r>
    </w:p>
    <w:p w14:paraId="74D659CD" w14:textId="77777777"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28. </w:t>
      </w:r>
      <w:r w:rsidRPr="00CE61FF">
        <w:rPr>
          <w:rFonts w:ascii="Times New Roman" w:hAnsi="Times New Roman"/>
          <w:noProof/>
          <w:sz w:val="24"/>
        </w:rPr>
        <w:tab/>
        <w:t xml:space="preserve">Wilson PA. Sexual risk-taking and drug use among Latino men: Examining episodes of high-risk and low-risk sexual behavior. ProQuest Dissertations and Theses. [United States -- New York]: ProQuest Information &amp; Learning; 2004. </w:t>
      </w:r>
    </w:p>
    <w:p w14:paraId="5E3FFC5D" w14:textId="2C1DD73F"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29. </w:t>
      </w:r>
      <w:r w:rsidRPr="00CE61FF">
        <w:rPr>
          <w:rFonts w:ascii="Times New Roman" w:hAnsi="Times New Roman"/>
          <w:noProof/>
          <w:sz w:val="24"/>
        </w:rPr>
        <w:tab/>
        <w:t xml:space="preserve">Reisen CA, Iracheta MA, Zea MC, Bianchi FT, Poppen PJ. Sex in public and private settings among Latino MSM. AIDS Care. 2010;22(6):697–704. </w:t>
      </w:r>
    </w:p>
    <w:p w14:paraId="57C17565" w14:textId="5C599EDE"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30. </w:t>
      </w:r>
      <w:r w:rsidRPr="00CE61FF">
        <w:rPr>
          <w:rFonts w:ascii="Times New Roman" w:hAnsi="Times New Roman"/>
          <w:noProof/>
          <w:sz w:val="24"/>
        </w:rPr>
        <w:tab/>
        <w:t xml:space="preserve">Smith AMA, Grierson J, Pitts M, Pattison P. Individual characteristics are less important than event characteristics in predicting protected and unprotected anal intercourse among homosexual and bisexual men in Melbourne, Australia. Sex Transm Infect. 2006;82(6):474–7. </w:t>
      </w:r>
    </w:p>
    <w:p w14:paraId="33C175F7" w14:textId="63686949"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31. </w:t>
      </w:r>
      <w:r w:rsidRPr="00CE61FF">
        <w:rPr>
          <w:rFonts w:ascii="Times New Roman" w:hAnsi="Times New Roman"/>
          <w:noProof/>
          <w:sz w:val="24"/>
        </w:rPr>
        <w:tab/>
        <w:t xml:space="preserve">Zea MC, Reisen CA, Poppen PJ, Bianchi FT. Unprotected anal intercourse among immigrant Latino MSM: the role of characteristics of the person and the sexual encounter. AIDS Behav. 2009;13(4):700–15. </w:t>
      </w:r>
    </w:p>
    <w:p w14:paraId="1FD74924" w14:textId="25A7B816"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32. </w:t>
      </w:r>
      <w:r w:rsidRPr="00CE61FF">
        <w:rPr>
          <w:rFonts w:ascii="Times New Roman" w:hAnsi="Times New Roman"/>
          <w:noProof/>
          <w:sz w:val="24"/>
        </w:rPr>
        <w:tab/>
        <w:t xml:space="preserve">O’Byrne P, Holmes D. Drug use as boundary play: a qualitative exploration of gay circuit parties. Subst Use Misuse. 2011;46(12):1510–22. </w:t>
      </w:r>
    </w:p>
    <w:p w14:paraId="211DBDB3" w14:textId="58E35510" w:rsidR="00CE61FF" w:rsidRPr="00CE61FF" w:rsidRDefault="00CE61FF">
      <w:pPr>
        <w:pStyle w:val="NormalWeb"/>
        <w:ind w:left="640" w:hanging="640"/>
        <w:divId w:val="891505725"/>
        <w:rPr>
          <w:rFonts w:ascii="Times New Roman" w:hAnsi="Times New Roman"/>
          <w:noProof/>
          <w:sz w:val="24"/>
        </w:rPr>
      </w:pPr>
      <w:r w:rsidRPr="00CE61FF">
        <w:rPr>
          <w:rFonts w:ascii="Times New Roman" w:hAnsi="Times New Roman"/>
          <w:noProof/>
          <w:sz w:val="24"/>
        </w:rPr>
        <w:t xml:space="preserve">33. </w:t>
      </w:r>
      <w:r w:rsidRPr="00CE61FF">
        <w:rPr>
          <w:rFonts w:ascii="Times New Roman" w:hAnsi="Times New Roman"/>
          <w:noProof/>
          <w:sz w:val="24"/>
        </w:rPr>
        <w:tab/>
        <w:t xml:space="preserve">Greenspan NR, Aguinaldo JP, Husbands W, Murray J, Ho P, Sutdhibhasilp N, et al. “It’s not rocket science, what I do”: Self-directed harm reduction strategies among drug using ethno-racially diverse gay and bisexual men. Int J Drug Policy. 2011;22(1):56–62. </w:t>
      </w:r>
    </w:p>
    <w:p w14:paraId="3B414159" w14:textId="62079350" w:rsidR="00583BFF" w:rsidRPr="00583BFF" w:rsidRDefault="00B90C8D" w:rsidP="00CE61FF">
      <w:pPr>
        <w:pStyle w:val="NormalWeb"/>
        <w:ind w:left="640" w:hanging="640"/>
        <w:divId w:val="935020205"/>
      </w:pPr>
      <w:r>
        <w:fldChar w:fldCharType="end"/>
      </w:r>
    </w:p>
    <w:sectPr w:rsidR="00583BFF" w:rsidRPr="00583BFF" w:rsidSect="0091216B">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E5C0" w14:textId="77777777" w:rsidR="00CB369F" w:rsidRDefault="00CB369F" w:rsidP="0006596D">
      <w:r>
        <w:separator/>
      </w:r>
    </w:p>
  </w:endnote>
  <w:endnote w:type="continuationSeparator" w:id="0">
    <w:p w14:paraId="6F57F91A" w14:textId="77777777" w:rsidR="00CB369F" w:rsidRDefault="00CB369F" w:rsidP="0006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7658" w14:textId="77777777" w:rsidR="00CB369F" w:rsidRDefault="00CB369F" w:rsidP="0006596D">
    <w:pPr>
      <w:pStyle w:val="Footer"/>
      <w:jc w:val="right"/>
    </w:pPr>
    <w:r>
      <w:rPr>
        <w:rStyle w:val="PageNumber"/>
      </w:rPr>
      <w:fldChar w:fldCharType="begin"/>
    </w:r>
    <w:r>
      <w:rPr>
        <w:rStyle w:val="PageNumber"/>
      </w:rPr>
      <w:instrText xml:space="preserve"> PAGE </w:instrText>
    </w:r>
    <w:r>
      <w:rPr>
        <w:rStyle w:val="PageNumber"/>
      </w:rPr>
      <w:fldChar w:fldCharType="separate"/>
    </w:r>
    <w:r w:rsidR="00BD48F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36FF1" w14:textId="77777777" w:rsidR="00CB369F" w:rsidRDefault="00CB369F" w:rsidP="0006596D">
      <w:r>
        <w:separator/>
      </w:r>
    </w:p>
  </w:footnote>
  <w:footnote w:type="continuationSeparator" w:id="0">
    <w:p w14:paraId="1A03F78F" w14:textId="77777777" w:rsidR="00CB369F" w:rsidRDefault="00CB369F" w:rsidP="0006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7325E" w14:textId="77777777" w:rsidR="00CB369F" w:rsidRDefault="00CB369F" w:rsidP="0006596D">
    <w:pPr>
      <w:pStyle w:val="Header"/>
      <w:jc w:val="right"/>
    </w:pPr>
    <w:r>
      <w:t>RUNNING HEAD: Drug use in multipartner encounters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C4"/>
    <w:rsid w:val="000176C9"/>
    <w:rsid w:val="00030835"/>
    <w:rsid w:val="00030DB6"/>
    <w:rsid w:val="00031803"/>
    <w:rsid w:val="00031B38"/>
    <w:rsid w:val="00033FDF"/>
    <w:rsid w:val="0006350E"/>
    <w:rsid w:val="0006596D"/>
    <w:rsid w:val="000762D0"/>
    <w:rsid w:val="00094B5C"/>
    <w:rsid w:val="000A514D"/>
    <w:rsid w:val="000B0596"/>
    <w:rsid w:val="000D0714"/>
    <w:rsid w:val="000F4A27"/>
    <w:rsid w:val="00104391"/>
    <w:rsid w:val="00110F82"/>
    <w:rsid w:val="00134C4D"/>
    <w:rsid w:val="00166C3D"/>
    <w:rsid w:val="00177A48"/>
    <w:rsid w:val="00191B0E"/>
    <w:rsid w:val="001A1EC2"/>
    <w:rsid w:val="001A30A7"/>
    <w:rsid w:val="001A6C4A"/>
    <w:rsid w:val="001B1BB3"/>
    <w:rsid w:val="001D076F"/>
    <w:rsid w:val="001E5860"/>
    <w:rsid w:val="001F3F98"/>
    <w:rsid w:val="00206AAD"/>
    <w:rsid w:val="00212958"/>
    <w:rsid w:val="00255260"/>
    <w:rsid w:val="00272BD6"/>
    <w:rsid w:val="002948F2"/>
    <w:rsid w:val="002C055B"/>
    <w:rsid w:val="002C6BB4"/>
    <w:rsid w:val="002C6FD8"/>
    <w:rsid w:val="002D0BB6"/>
    <w:rsid w:val="002D2E94"/>
    <w:rsid w:val="002F1570"/>
    <w:rsid w:val="003030ED"/>
    <w:rsid w:val="00333B20"/>
    <w:rsid w:val="003351C5"/>
    <w:rsid w:val="003532FE"/>
    <w:rsid w:val="00364A8F"/>
    <w:rsid w:val="00385690"/>
    <w:rsid w:val="003C20C3"/>
    <w:rsid w:val="003C4B2D"/>
    <w:rsid w:val="003C5469"/>
    <w:rsid w:val="003D3AE2"/>
    <w:rsid w:val="003D415E"/>
    <w:rsid w:val="00425AFE"/>
    <w:rsid w:val="00427C35"/>
    <w:rsid w:val="00432D67"/>
    <w:rsid w:val="004A0C4B"/>
    <w:rsid w:val="004B3D2C"/>
    <w:rsid w:val="004D01E0"/>
    <w:rsid w:val="004D2977"/>
    <w:rsid w:val="00505552"/>
    <w:rsid w:val="0053024B"/>
    <w:rsid w:val="00556265"/>
    <w:rsid w:val="00583BFF"/>
    <w:rsid w:val="00586A51"/>
    <w:rsid w:val="00595C62"/>
    <w:rsid w:val="005A3F22"/>
    <w:rsid w:val="005A7667"/>
    <w:rsid w:val="005B15DD"/>
    <w:rsid w:val="005B1F4D"/>
    <w:rsid w:val="005B6956"/>
    <w:rsid w:val="005C0468"/>
    <w:rsid w:val="005C3491"/>
    <w:rsid w:val="005C74F0"/>
    <w:rsid w:val="005E1ACD"/>
    <w:rsid w:val="005E2D8F"/>
    <w:rsid w:val="005E7729"/>
    <w:rsid w:val="005F6346"/>
    <w:rsid w:val="0060060A"/>
    <w:rsid w:val="00632695"/>
    <w:rsid w:val="00633821"/>
    <w:rsid w:val="0065553F"/>
    <w:rsid w:val="00656BA2"/>
    <w:rsid w:val="00660996"/>
    <w:rsid w:val="006711BB"/>
    <w:rsid w:val="006778FC"/>
    <w:rsid w:val="006B298A"/>
    <w:rsid w:val="006C0B38"/>
    <w:rsid w:val="006C6CDB"/>
    <w:rsid w:val="006D6938"/>
    <w:rsid w:val="006E0233"/>
    <w:rsid w:val="006E3D94"/>
    <w:rsid w:val="006F0ACE"/>
    <w:rsid w:val="00701F33"/>
    <w:rsid w:val="007131C4"/>
    <w:rsid w:val="007154C1"/>
    <w:rsid w:val="00733579"/>
    <w:rsid w:val="0073527E"/>
    <w:rsid w:val="007404C8"/>
    <w:rsid w:val="00756989"/>
    <w:rsid w:val="00764C88"/>
    <w:rsid w:val="0079341B"/>
    <w:rsid w:val="007A0D49"/>
    <w:rsid w:val="007A33EE"/>
    <w:rsid w:val="0080732D"/>
    <w:rsid w:val="008346FC"/>
    <w:rsid w:val="008351CF"/>
    <w:rsid w:val="00860036"/>
    <w:rsid w:val="00864E89"/>
    <w:rsid w:val="00884497"/>
    <w:rsid w:val="00884C04"/>
    <w:rsid w:val="00885C57"/>
    <w:rsid w:val="008A4EBA"/>
    <w:rsid w:val="008B1522"/>
    <w:rsid w:val="008D2276"/>
    <w:rsid w:val="008E4FD9"/>
    <w:rsid w:val="0091216B"/>
    <w:rsid w:val="00926733"/>
    <w:rsid w:val="00964753"/>
    <w:rsid w:val="00971F8A"/>
    <w:rsid w:val="00983887"/>
    <w:rsid w:val="0099450F"/>
    <w:rsid w:val="009A00CC"/>
    <w:rsid w:val="009D28CF"/>
    <w:rsid w:val="00A0184E"/>
    <w:rsid w:val="00A025DA"/>
    <w:rsid w:val="00A170DD"/>
    <w:rsid w:val="00A247EC"/>
    <w:rsid w:val="00A3220C"/>
    <w:rsid w:val="00A51E53"/>
    <w:rsid w:val="00A61180"/>
    <w:rsid w:val="00A8125C"/>
    <w:rsid w:val="00AB1EAF"/>
    <w:rsid w:val="00AB6054"/>
    <w:rsid w:val="00AC482D"/>
    <w:rsid w:val="00AD609F"/>
    <w:rsid w:val="00B05899"/>
    <w:rsid w:val="00B124C3"/>
    <w:rsid w:val="00B16AAB"/>
    <w:rsid w:val="00B41DA3"/>
    <w:rsid w:val="00B52A52"/>
    <w:rsid w:val="00B53626"/>
    <w:rsid w:val="00B53BE1"/>
    <w:rsid w:val="00B60575"/>
    <w:rsid w:val="00B62A2A"/>
    <w:rsid w:val="00B72B16"/>
    <w:rsid w:val="00B868D7"/>
    <w:rsid w:val="00B90C8D"/>
    <w:rsid w:val="00B940E6"/>
    <w:rsid w:val="00BA11B9"/>
    <w:rsid w:val="00BB3FCB"/>
    <w:rsid w:val="00BD0585"/>
    <w:rsid w:val="00BD48F6"/>
    <w:rsid w:val="00BD6317"/>
    <w:rsid w:val="00BD7032"/>
    <w:rsid w:val="00BF2751"/>
    <w:rsid w:val="00BF3E6A"/>
    <w:rsid w:val="00C31AB1"/>
    <w:rsid w:val="00C32C2A"/>
    <w:rsid w:val="00C36169"/>
    <w:rsid w:val="00C364A1"/>
    <w:rsid w:val="00C542C0"/>
    <w:rsid w:val="00C9321B"/>
    <w:rsid w:val="00CA7393"/>
    <w:rsid w:val="00CB369F"/>
    <w:rsid w:val="00CC5C52"/>
    <w:rsid w:val="00CD316F"/>
    <w:rsid w:val="00CE61FF"/>
    <w:rsid w:val="00D2223F"/>
    <w:rsid w:val="00D23ADB"/>
    <w:rsid w:val="00D417F4"/>
    <w:rsid w:val="00D45512"/>
    <w:rsid w:val="00D53608"/>
    <w:rsid w:val="00D55C4F"/>
    <w:rsid w:val="00D62E31"/>
    <w:rsid w:val="00D9178E"/>
    <w:rsid w:val="00D96FE9"/>
    <w:rsid w:val="00D97633"/>
    <w:rsid w:val="00DB7158"/>
    <w:rsid w:val="00E14DB4"/>
    <w:rsid w:val="00E21771"/>
    <w:rsid w:val="00E30F53"/>
    <w:rsid w:val="00E42253"/>
    <w:rsid w:val="00E465FE"/>
    <w:rsid w:val="00E912C3"/>
    <w:rsid w:val="00EB3C3A"/>
    <w:rsid w:val="00EE7AD5"/>
    <w:rsid w:val="00EF26EB"/>
    <w:rsid w:val="00EF4423"/>
    <w:rsid w:val="00EF5C0E"/>
    <w:rsid w:val="00F20950"/>
    <w:rsid w:val="00F244EA"/>
    <w:rsid w:val="00F40A92"/>
    <w:rsid w:val="00F705FF"/>
    <w:rsid w:val="00F840D7"/>
    <w:rsid w:val="00F90F51"/>
    <w:rsid w:val="00FB4FCA"/>
    <w:rsid w:val="00FC0022"/>
    <w:rsid w:val="00FC2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F7F8D"/>
  <w15:docId w15:val="{A350A983-9595-402E-B7BD-6237466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512"/>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BFF"/>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660996"/>
    <w:rPr>
      <w:sz w:val="16"/>
      <w:szCs w:val="16"/>
    </w:rPr>
  </w:style>
  <w:style w:type="paragraph" w:styleId="CommentText">
    <w:name w:val="annotation text"/>
    <w:basedOn w:val="Normal"/>
    <w:link w:val="CommentTextChar"/>
    <w:uiPriority w:val="99"/>
    <w:semiHidden/>
    <w:unhideWhenUsed/>
    <w:rsid w:val="00660996"/>
    <w:rPr>
      <w:sz w:val="20"/>
      <w:szCs w:val="20"/>
    </w:rPr>
  </w:style>
  <w:style w:type="character" w:customStyle="1" w:styleId="CommentTextChar">
    <w:name w:val="Comment Text Char"/>
    <w:basedOn w:val="DefaultParagraphFont"/>
    <w:link w:val="CommentText"/>
    <w:uiPriority w:val="99"/>
    <w:semiHidden/>
    <w:rsid w:val="00660996"/>
    <w:rPr>
      <w:sz w:val="20"/>
      <w:szCs w:val="20"/>
    </w:rPr>
  </w:style>
  <w:style w:type="paragraph" w:styleId="CommentSubject">
    <w:name w:val="annotation subject"/>
    <w:basedOn w:val="CommentText"/>
    <w:next w:val="CommentText"/>
    <w:link w:val="CommentSubjectChar"/>
    <w:uiPriority w:val="99"/>
    <w:semiHidden/>
    <w:unhideWhenUsed/>
    <w:rsid w:val="00660996"/>
    <w:rPr>
      <w:b/>
      <w:bCs/>
    </w:rPr>
  </w:style>
  <w:style w:type="character" w:customStyle="1" w:styleId="CommentSubjectChar">
    <w:name w:val="Comment Subject Char"/>
    <w:basedOn w:val="CommentTextChar"/>
    <w:link w:val="CommentSubject"/>
    <w:uiPriority w:val="99"/>
    <w:semiHidden/>
    <w:rsid w:val="00660996"/>
    <w:rPr>
      <w:b/>
      <w:bCs/>
      <w:sz w:val="20"/>
      <w:szCs w:val="20"/>
    </w:rPr>
  </w:style>
  <w:style w:type="paragraph" w:styleId="BalloonText">
    <w:name w:val="Balloon Text"/>
    <w:basedOn w:val="Normal"/>
    <w:link w:val="BalloonTextChar"/>
    <w:uiPriority w:val="99"/>
    <w:semiHidden/>
    <w:unhideWhenUsed/>
    <w:rsid w:val="00660996"/>
    <w:rPr>
      <w:rFonts w:ascii="Tahoma" w:hAnsi="Tahoma" w:cs="Tahoma"/>
      <w:sz w:val="16"/>
      <w:szCs w:val="16"/>
    </w:rPr>
  </w:style>
  <w:style w:type="character" w:customStyle="1" w:styleId="BalloonTextChar">
    <w:name w:val="Balloon Text Char"/>
    <w:basedOn w:val="DefaultParagraphFont"/>
    <w:link w:val="BalloonText"/>
    <w:uiPriority w:val="99"/>
    <w:semiHidden/>
    <w:rsid w:val="00660996"/>
    <w:rPr>
      <w:rFonts w:ascii="Tahoma" w:hAnsi="Tahoma" w:cs="Tahoma"/>
      <w:sz w:val="16"/>
      <w:szCs w:val="16"/>
    </w:rPr>
  </w:style>
  <w:style w:type="paragraph" w:styleId="Revision">
    <w:name w:val="Revision"/>
    <w:hidden/>
    <w:uiPriority w:val="99"/>
    <w:semiHidden/>
    <w:rsid w:val="00632695"/>
  </w:style>
  <w:style w:type="paragraph" w:styleId="Header">
    <w:name w:val="header"/>
    <w:basedOn w:val="Normal"/>
    <w:link w:val="HeaderChar"/>
    <w:uiPriority w:val="99"/>
    <w:unhideWhenUsed/>
    <w:rsid w:val="0006596D"/>
    <w:pPr>
      <w:tabs>
        <w:tab w:val="center" w:pos="4320"/>
        <w:tab w:val="right" w:pos="8640"/>
      </w:tabs>
    </w:pPr>
  </w:style>
  <w:style w:type="character" w:customStyle="1" w:styleId="HeaderChar">
    <w:name w:val="Header Char"/>
    <w:basedOn w:val="DefaultParagraphFont"/>
    <w:link w:val="Header"/>
    <w:uiPriority w:val="99"/>
    <w:rsid w:val="0006596D"/>
  </w:style>
  <w:style w:type="paragraph" w:styleId="Footer">
    <w:name w:val="footer"/>
    <w:basedOn w:val="Normal"/>
    <w:link w:val="FooterChar"/>
    <w:uiPriority w:val="99"/>
    <w:unhideWhenUsed/>
    <w:rsid w:val="0006596D"/>
    <w:pPr>
      <w:tabs>
        <w:tab w:val="center" w:pos="4320"/>
        <w:tab w:val="right" w:pos="8640"/>
      </w:tabs>
    </w:pPr>
  </w:style>
  <w:style w:type="character" w:customStyle="1" w:styleId="FooterChar">
    <w:name w:val="Footer Char"/>
    <w:basedOn w:val="DefaultParagraphFont"/>
    <w:link w:val="Footer"/>
    <w:uiPriority w:val="99"/>
    <w:rsid w:val="0006596D"/>
  </w:style>
  <w:style w:type="character" w:styleId="PageNumber">
    <w:name w:val="page number"/>
    <w:basedOn w:val="DefaultParagraphFont"/>
    <w:uiPriority w:val="99"/>
    <w:semiHidden/>
    <w:unhideWhenUsed/>
    <w:rsid w:val="0006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6883">
      <w:bodyDiv w:val="1"/>
      <w:marLeft w:val="0"/>
      <w:marRight w:val="0"/>
      <w:marTop w:val="0"/>
      <w:marBottom w:val="0"/>
      <w:divBdr>
        <w:top w:val="none" w:sz="0" w:space="0" w:color="auto"/>
        <w:left w:val="none" w:sz="0" w:space="0" w:color="auto"/>
        <w:bottom w:val="none" w:sz="0" w:space="0" w:color="auto"/>
        <w:right w:val="none" w:sz="0" w:space="0" w:color="auto"/>
      </w:divBdr>
    </w:div>
    <w:div w:id="508984756">
      <w:bodyDiv w:val="1"/>
      <w:marLeft w:val="0"/>
      <w:marRight w:val="0"/>
      <w:marTop w:val="0"/>
      <w:marBottom w:val="0"/>
      <w:divBdr>
        <w:top w:val="none" w:sz="0" w:space="0" w:color="auto"/>
        <w:left w:val="none" w:sz="0" w:space="0" w:color="auto"/>
        <w:bottom w:val="none" w:sz="0" w:space="0" w:color="auto"/>
        <w:right w:val="none" w:sz="0" w:space="0" w:color="auto"/>
      </w:divBdr>
      <w:divsChild>
        <w:div w:id="925459520">
          <w:marLeft w:val="0"/>
          <w:marRight w:val="0"/>
          <w:marTop w:val="0"/>
          <w:marBottom w:val="0"/>
          <w:divBdr>
            <w:top w:val="none" w:sz="0" w:space="0" w:color="auto"/>
            <w:left w:val="none" w:sz="0" w:space="0" w:color="auto"/>
            <w:bottom w:val="none" w:sz="0" w:space="0" w:color="auto"/>
            <w:right w:val="none" w:sz="0" w:space="0" w:color="auto"/>
          </w:divBdr>
          <w:divsChild>
            <w:div w:id="1785227920">
              <w:marLeft w:val="0"/>
              <w:marRight w:val="0"/>
              <w:marTop w:val="0"/>
              <w:marBottom w:val="0"/>
              <w:divBdr>
                <w:top w:val="none" w:sz="0" w:space="0" w:color="auto"/>
                <w:left w:val="none" w:sz="0" w:space="0" w:color="auto"/>
                <w:bottom w:val="none" w:sz="0" w:space="0" w:color="auto"/>
                <w:right w:val="none" w:sz="0" w:space="0" w:color="auto"/>
              </w:divBdr>
              <w:divsChild>
                <w:div w:id="587927950">
                  <w:marLeft w:val="0"/>
                  <w:marRight w:val="0"/>
                  <w:marTop w:val="0"/>
                  <w:marBottom w:val="0"/>
                  <w:divBdr>
                    <w:top w:val="none" w:sz="0" w:space="0" w:color="auto"/>
                    <w:left w:val="none" w:sz="0" w:space="0" w:color="auto"/>
                    <w:bottom w:val="none" w:sz="0" w:space="0" w:color="auto"/>
                    <w:right w:val="none" w:sz="0" w:space="0" w:color="auto"/>
                  </w:divBdr>
                  <w:divsChild>
                    <w:div w:id="26805064">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sChild>
                            <w:div w:id="1943680034">
                              <w:marLeft w:val="0"/>
                              <w:marRight w:val="0"/>
                              <w:marTop w:val="0"/>
                              <w:marBottom w:val="0"/>
                              <w:divBdr>
                                <w:top w:val="none" w:sz="0" w:space="0" w:color="auto"/>
                                <w:left w:val="none" w:sz="0" w:space="0" w:color="auto"/>
                                <w:bottom w:val="none" w:sz="0" w:space="0" w:color="auto"/>
                                <w:right w:val="none" w:sz="0" w:space="0" w:color="auto"/>
                              </w:divBdr>
                              <w:divsChild>
                                <w:div w:id="275644835">
                                  <w:marLeft w:val="0"/>
                                  <w:marRight w:val="0"/>
                                  <w:marTop w:val="0"/>
                                  <w:marBottom w:val="0"/>
                                  <w:divBdr>
                                    <w:top w:val="none" w:sz="0" w:space="0" w:color="auto"/>
                                    <w:left w:val="none" w:sz="0" w:space="0" w:color="auto"/>
                                    <w:bottom w:val="none" w:sz="0" w:space="0" w:color="auto"/>
                                    <w:right w:val="none" w:sz="0" w:space="0" w:color="auto"/>
                                  </w:divBdr>
                                  <w:divsChild>
                                    <w:div w:id="960961103">
                                      <w:marLeft w:val="0"/>
                                      <w:marRight w:val="0"/>
                                      <w:marTop w:val="0"/>
                                      <w:marBottom w:val="0"/>
                                      <w:divBdr>
                                        <w:top w:val="none" w:sz="0" w:space="0" w:color="auto"/>
                                        <w:left w:val="none" w:sz="0" w:space="0" w:color="auto"/>
                                        <w:bottom w:val="none" w:sz="0" w:space="0" w:color="auto"/>
                                        <w:right w:val="none" w:sz="0" w:space="0" w:color="auto"/>
                                      </w:divBdr>
                                      <w:divsChild>
                                        <w:div w:id="1173912230">
                                          <w:marLeft w:val="0"/>
                                          <w:marRight w:val="0"/>
                                          <w:marTop w:val="0"/>
                                          <w:marBottom w:val="0"/>
                                          <w:divBdr>
                                            <w:top w:val="none" w:sz="0" w:space="0" w:color="auto"/>
                                            <w:left w:val="none" w:sz="0" w:space="0" w:color="auto"/>
                                            <w:bottom w:val="none" w:sz="0" w:space="0" w:color="auto"/>
                                            <w:right w:val="none" w:sz="0" w:space="0" w:color="auto"/>
                                          </w:divBdr>
                                          <w:divsChild>
                                            <w:div w:id="1364817977">
                                              <w:marLeft w:val="0"/>
                                              <w:marRight w:val="0"/>
                                              <w:marTop w:val="0"/>
                                              <w:marBottom w:val="0"/>
                                              <w:divBdr>
                                                <w:top w:val="none" w:sz="0" w:space="0" w:color="auto"/>
                                                <w:left w:val="none" w:sz="0" w:space="0" w:color="auto"/>
                                                <w:bottom w:val="none" w:sz="0" w:space="0" w:color="auto"/>
                                                <w:right w:val="none" w:sz="0" w:space="0" w:color="auto"/>
                                              </w:divBdr>
                                              <w:divsChild>
                                                <w:div w:id="1354769421">
                                                  <w:marLeft w:val="0"/>
                                                  <w:marRight w:val="0"/>
                                                  <w:marTop w:val="0"/>
                                                  <w:marBottom w:val="0"/>
                                                  <w:divBdr>
                                                    <w:top w:val="none" w:sz="0" w:space="0" w:color="auto"/>
                                                    <w:left w:val="none" w:sz="0" w:space="0" w:color="auto"/>
                                                    <w:bottom w:val="none" w:sz="0" w:space="0" w:color="auto"/>
                                                    <w:right w:val="none" w:sz="0" w:space="0" w:color="auto"/>
                                                  </w:divBdr>
                                                  <w:divsChild>
                                                    <w:div w:id="14307492">
                                                      <w:marLeft w:val="0"/>
                                                      <w:marRight w:val="0"/>
                                                      <w:marTop w:val="0"/>
                                                      <w:marBottom w:val="0"/>
                                                      <w:divBdr>
                                                        <w:top w:val="none" w:sz="0" w:space="0" w:color="auto"/>
                                                        <w:left w:val="none" w:sz="0" w:space="0" w:color="auto"/>
                                                        <w:bottom w:val="none" w:sz="0" w:space="0" w:color="auto"/>
                                                        <w:right w:val="none" w:sz="0" w:space="0" w:color="auto"/>
                                                      </w:divBdr>
                                                      <w:divsChild>
                                                        <w:div w:id="410465636">
                                                          <w:marLeft w:val="0"/>
                                                          <w:marRight w:val="0"/>
                                                          <w:marTop w:val="0"/>
                                                          <w:marBottom w:val="0"/>
                                                          <w:divBdr>
                                                            <w:top w:val="none" w:sz="0" w:space="0" w:color="auto"/>
                                                            <w:left w:val="none" w:sz="0" w:space="0" w:color="auto"/>
                                                            <w:bottom w:val="none" w:sz="0" w:space="0" w:color="auto"/>
                                                            <w:right w:val="none" w:sz="0" w:space="0" w:color="auto"/>
                                                          </w:divBdr>
                                                          <w:divsChild>
                                                            <w:div w:id="1618371884">
                                                              <w:marLeft w:val="0"/>
                                                              <w:marRight w:val="0"/>
                                                              <w:marTop w:val="0"/>
                                                              <w:marBottom w:val="0"/>
                                                              <w:divBdr>
                                                                <w:top w:val="none" w:sz="0" w:space="0" w:color="auto"/>
                                                                <w:left w:val="none" w:sz="0" w:space="0" w:color="auto"/>
                                                                <w:bottom w:val="none" w:sz="0" w:space="0" w:color="auto"/>
                                                                <w:right w:val="none" w:sz="0" w:space="0" w:color="auto"/>
                                                              </w:divBdr>
                                                              <w:divsChild>
                                                                <w:div w:id="392893477">
                                                                  <w:marLeft w:val="0"/>
                                                                  <w:marRight w:val="0"/>
                                                                  <w:marTop w:val="0"/>
                                                                  <w:marBottom w:val="0"/>
                                                                  <w:divBdr>
                                                                    <w:top w:val="none" w:sz="0" w:space="0" w:color="auto"/>
                                                                    <w:left w:val="none" w:sz="0" w:space="0" w:color="auto"/>
                                                                    <w:bottom w:val="none" w:sz="0" w:space="0" w:color="auto"/>
                                                                    <w:right w:val="none" w:sz="0" w:space="0" w:color="auto"/>
                                                                  </w:divBdr>
                                                                  <w:divsChild>
                                                                    <w:div w:id="373820692">
                                                                      <w:marLeft w:val="0"/>
                                                                      <w:marRight w:val="0"/>
                                                                      <w:marTop w:val="0"/>
                                                                      <w:marBottom w:val="0"/>
                                                                      <w:divBdr>
                                                                        <w:top w:val="none" w:sz="0" w:space="0" w:color="auto"/>
                                                                        <w:left w:val="none" w:sz="0" w:space="0" w:color="auto"/>
                                                                        <w:bottom w:val="none" w:sz="0" w:space="0" w:color="auto"/>
                                                                        <w:right w:val="none" w:sz="0" w:space="0" w:color="auto"/>
                                                                      </w:divBdr>
                                                                      <w:divsChild>
                                                                        <w:div w:id="1388340029">
                                                                          <w:marLeft w:val="0"/>
                                                                          <w:marRight w:val="0"/>
                                                                          <w:marTop w:val="0"/>
                                                                          <w:marBottom w:val="0"/>
                                                                          <w:divBdr>
                                                                            <w:top w:val="none" w:sz="0" w:space="0" w:color="auto"/>
                                                                            <w:left w:val="none" w:sz="0" w:space="0" w:color="auto"/>
                                                                            <w:bottom w:val="none" w:sz="0" w:space="0" w:color="auto"/>
                                                                            <w:right w:val="none" w:sz="0" w:space="0" w:color="auto"/>
                                                                          </w:divBdr>
                                                                          <w:divsChild>
                                                                            <w:div w:id="107434736">
                                                                              <w:marLeft w:val="0"/>
                                                                              <w:marRight w:val="0"/>
                                                                              <w:marTop w:val="0"/>
                                                                              <w:marBottom w:val="0"/>
                                                                              <w:divBdr>
                                                                                <w:top w:val="none" w:sz="0" w:space="0" w:color="auto"/>
                                                                                <w:left w:val="none" w:sz="0" w:space="0" w:color="auto"/>
                                                                                <w:bottom w:val="none" w:sz="0" w:space="0" w:color="auto"/>
                                                                                <w:right w:val="none" w:sz="0" w:space="0" w:color="auto"/>
                                                                              </w:divBdr>
                                                                              <w:divsChild>
                                                                                <w:div w:id="197859963">
                                                                                  <w:marLeft w:val="0"/>
                                                                                  <w:marRight w:val="0"/>
                                                                                  <w:marTop w:val="0"/>
                                                                                  <w:marBottom w:val="0"/>
                                                                                  <w:divBdr>
                                                                                    <w:top w:val="none" w:sz="0" w:space="0" w:color="auto"/>
                                                                                    <w:left w:val="none" w:sz="0" w:space="0" w:color="auto"/>
                                                                                    <w:bottom w:val="none" w:sz="0" w:space="0" w:color="auto"/>
                                                                                    <w:right w:val="none" w:sz="0" w:space="0" w:color="auto"/>
                                                                                  </w:divBdr>
                                                                                  <w:divsChild>
                                                                                    <w:div w:id="402215844">
                                                                                      <w:marLeft w:val="0"/>
                                                                                      <w:marRight w:val="0"/>
                                                                                      <w:marTop w:val="0"/>
                                                                                      <w:marBottom w:val="0"/>
                                                                                      <w:divBdr>
                                                                                        <w:top w:val="none" w:sz="0" w:space="0" w:color="auto"/>
                                                                                        <w:left w:val="none" w:sz="0" w:space="0" w:color="auto"/>
                                                                                        <w:bottom w:val="none" w:sz="0" w:space="0" w:color="auto"/>
                                                                                        <w:right w:val="none" w:sz="0" w:space="0" w:color="auto"/>
                                                                                      </w:divBdr>
                                                                                      <w:divsChild>
                                                                                        <w:div w:id="2044205272">
                                                                                          <w:marLeft w:val="0"/>
                                                                                          <w:marRight w:val="0"/>
                                                                                          <w:marTop w:val="0"/>
                                                                                          <w:marBottom w:val="0"/>
                                                                                          <w:divBdr>
                                                                                            <w:top w:val="none" w:sz="0" w:space="0" w:color="auto"/>
                                                                                            <w:left w:val="none" w:sz="0" w:space="0" w:color="auto"/>
                                                                                            <w:bottom w:val="none" w:sz="0" w:space="0" w:color="auto"/>
                                                                                            <w:right w:val="none" w:sz="0" w:space="0" w:color="auto"/>
                                                                                          </w:divBdr>
                                                                                          <w:divsChild>
                                                                                            <w:div w:id="905603332">
                                                                                              <w:marLeft w:val="0"/>
                                                                                              <w:marRight w:val="0"/>
                                                                                              <w:marTop w:val="0"/>
                                                                                              <w:marBottom w:val="0"/>
                                                                                              <w:divBdr>
                                                                                                <w:top w:val="none" w:sz="0" w:space="0" w:color="auto"/>
                                                                                                <w:left w:val="none" w:sz="0" w:space="0" w:color="auto"/>
                                                                                                <w:bottom w:val="none" w:sz="0" w:space="0" w:color="auto"/>
                                                                                                <w:right w:val="none" w:sz="0" w:space="0" w:color="auto"/>
                                                                                              </w:divBdr>
                                                                                              <w:divsChild>
                                                                                                <w:div w:id="964703579">
                                                                                                  <w:marLeft w:val="0"/>
                                                                                                  <w:marRight w:val="0"/>
                                                                                                  <w:marTop w:val="0"/>
                                                                                                  <w:marBottom w:val="0"/>
                                                                                                  <w:divBdr>
                                                                                                    <w:top w:val="none" w:sz="0" w:space="0" w:color="auto"/>
                                                                                                    <w:left w:val="none" w:sz="0" w:space="0" w:color="auto"/>
                                                                                                    <w:bottom w:val="none" w:sz="0" w:space="0" w:color="auto"/>
                                                                                                    <w:right w:val="none" w:sz="0" w:space="0" w:color="auto"/>
                                                                                                  </w:divBdr>
                                                                                                  <w:divsChild>
                                                                                                    <w:div w:id="1139345009">
                                                                                                      <w:marLeft w:val="0"/>
                                                                                                      <w:marRight w:val="0"/>
                                                                                                      <w:marTop w:val="0"/>
                                                                                                      <w:marBottom w:val="0"/>
                                                                                                      <w:divBdr>
                                                                                                        <w:top w:val="none" w:sz="0" w:space="0" w:color="auto"/>
                                                                                                        <w:left w:val="none" w:sz="0" w:space="0" w:color="auto"/>
                                                                                                        <w:bottom w:val="none" w:sz="0" w:space="0" w:color="auto"/>
                                                                                                        <w:right w:val="none" w:sz="0" w:space="0" w:color="auto"/>
                                                                                                      </w:divBdr>
                                                                                                      <w:divsChild>
                                                                                                        <w:div w:id="1952782798">
                                                                                                          <w:marLeft w:val="0"/>
                                                                                                          <w:marRight w:val="0"/>
                                                                                                          <w:marTop w:val="0"/>
                                                                                                          <w:marBottom w:val="0"/>
                                                                                                          <w:divBdr>
                                                                                                            <w:top w:val="none" w:sz="0" w:space="0" w:color="auto"/>
                                                                                                            <w:left w:val="none" w:sz="0" w:space="0" w:color="auto"/>
                                                                                                            <w:bottom w:val="none" w:sz="0" w:space="0" w:color="auto"/>
                                                                                                            <w:right w:val="none" w:sz="0" w:space="0" w:color="auto"/>
                                                                                                          </w:divBdr>
                                                                                                          <w:divsChild>
                                                                                                            <w:div w:id="79760550">
                                                                                                              <w:marLeft w:val="0"/>
                                                                                                              <w:marRight w:val="0"/>
                                                                                                              <w:marTop w:val="0"/>
                                                                                                              <w:marBottom w:val="0"/>
                                                                                                              <w:divBdr>
                                                                                                                <w:top w:val="none" w:sz="0" w:space="0" w:color="auto"/>
                                                                                                                <w:left w:val="none" w:sz="0" w:space="0" w:color="auto"/>
                                                                                                                <w:bottom w:val="none" w:sz="0" w:space="0" w:color="auto"/>
                                                                                                                <w:right w:val="none" w:sz="0" w:space="0" w:color="auto"/>
                                                                                                              </w:divBdr>
                                                                                                              <w:divsChild>
                                                                                                                <w:div w:id="24982802">
                                                                                                                  <w:marLeft w:val="0"/>
                                                                                                                  <w:marRight w:val="0"/>
                                                                                                                  <w:marTop w:val="0"/>
                                                                                                                  <w:marBottom w:val="0"/>
                                                                                                                  <w:divBdr>
                                                                                                                    <w:top w:val="none" w:sz="0" w:space="0" w:color="auto"/>
                                                                                                                    <w:left w:val="none" w:sz="0" w:space="0" w:color="auto"/>
                                                                                                                    <w:bottom w:val="none" w:sz="0" w:space="0" w:color="auto"/>
                                                                                                                    <w:right w:val="none" w:sz="0" w:space="0" w:color="auto"/>
                                                                                                                  </w:divBdr>
                                                                                                                  <w:divsChild>
                                                                                                                    <w:div w:id="64189741">
                                                                                                                      <w:marLeft w:val="0"/>
                                                                                                                      <w:marRight w:val="0"/>
                                                                                                                      <w:marTop w:val="0"/>
                                                                                                                      <w:marBottom w:val="0"/>
                                                                                                                      <w:divBdr>
                                                                                                                        <w:top w:val="none" w:sz="0" w:space="0" w:color="auto"/>
                                                                                                                        <w:left w:val="none" w:sz="0" w:space="0" w:color="auto"/>
                                                                                                                        <w:bottom w:val="none" w:sz="0" w:space="0" w:color="auto"/>
                                                                                                                        <w:right w:val="none" w:sz="0" w:space="0" w:color="auto"/>
                                                                                                                      </w:divBdr>
                                                                                                                      <w:divsChild>
                                                                                                                        <w:div w:id="1534807613">
                                                                                                                          <w:marLeft w:val="0"/>
                                                                                                                          <w:marRight w:val="0"/>
                                                                                                                          <w:marTop w:val="0"/>
                                                                                                                          <w:marBottom w:val="0"/>
                                                                                                                          <w:divBdr>
                                                                                                                            <w:top w:val="none" w:sz="0" w:space="0" w:color="auto"/>
                                                                                                                            <w:left w:val="none" w:sz="0" w:space="0" w:color="auto"/>
                                                                                                                            <w:bottom w:val="none" w:sz="0" w:space="0" w:color="auto"/>
                                                                                                                            <w:right w:val="none" w:sz="0" w:space="0" w:color="auto"/>
                                                                                                                          </w:divBdr>
                                                                                                                          <w:divsChild>
                                                                                                                            <w:div w:id="934482962">
                                                                                                                              <w:marLeft w:val="0"/>
                                                                                                                              <w:marRight w:val="0"/>
                                                                                                                              <w:marTop w:val="0"/>
                                                                                                                              <w:marBottom w:val="0"/>
                                                                                                                              <w:divBdr>
                                                                                                                                <w:top w:val="none" w:sz="0" w:space="0" w:color="auto"/>
                                                                                                                                <w:left w:val="none" w:sz="0" w:space="0" w:color="auto"/>
                                                                                                                                <w:bottom w:val="none" w:sz="0" w:space="0" w:color="auto"/>
                                                                                                                                <w:right w:val="none" w:sz="0" w:space="0" w:color="auto"/>
                                                                                                                              </w:divBdr>
                                                                                                                              <w:divsChild>
                                                                                                                                <w:div w:id="1007557283">
                                                                                                                                  <w:marLeft w:val="0"/>
                                                                                                                                  <w:marRight w:val="0"/>
                                                                                                                                  <w:marTop w:val="0"/>
                                                                                                                                  <w:marBottom w:val="0"/>
                                                                                                                                  <w:divBdr>
                                                                                                                                    <w:top w:val="none" w:sz="0" w:space="0" w:color="auto"/>
                                                                                                                                    <w:left w:val="none" w:sz="0" w:space="0" w:color="auto"/>
                                                                                                                                    <w:bottom w:val="none" w:sz="0" w:space="0" w:color="auto"/>
                                                                                                                                    <w:right w:val="none" w:sz="0" w:space="0" w:color="auto"/>
                                                                                                                                  </w:divBdr>
                                                                                                                                  <w:divsChild>
                                                                                                                                    <w:div w:id="1272278657">
                                                                                                                                      <w:marLeft w:val="0"/>
                                                                                                                                      <w:marRight w:val="0"/>
                                                                                                                                      <w:marTop w:val="0"/>
                                                                                                                                      <w:marBottom w:val="0"/>
                                                                                                                                      <w:divBdr>
                                                                                                                                        <w:top w:val="none" w:sz="0" w:space="0" w:color="auto"/>
                                                                                                                                        <w:left w:val="none" w:sz="0" w:space="0" w:color="auto"/>
                                                                                                                                        <w:bottom w:val="none" w:sz="0" w:space="0" w:color="auto"/>
                                                                                                                                        <w:right w:val="none" w:sz="0" w:space="0" w:color="auto"/>
                                                                                                                                      </w:divBdr>
                                                                                                                                      <w:divsChild>
                                                                                                                                        <w:div w:id="417823827">
                                                                                                                                          <w:marLeft w:val="0"/>
                                                                                                                                          <w:marRight w:val="0"/>
                                                                                                                                          <w:marTop w:val="0"/>
                                                                                                                                          <w:marBottom w:val="0"/>
                                                                                                                                          <w:divBdr>
                                                                                                                                            <w:top w:val="none" w:sz="0" w:space="0" w:color="auto"/>
                                                                                                                                            <w:left w:val="none" w:sz="0" w:space="0" w:color="auto"/>
                                                                                                                                            <w:bottom w:val="none" w:sz="0" w:space="0" w:color="auto"/>
                                                                                                                                            <w:right w:val="none" w:sz="0" w:space="0" w:color="auto"/>
                                                                                                                                          </w:divBdr>
                                                                                                                                          <w:divsChild>
                                                                                                                                            <w:div w:id="935020205">
                                                                                                                                              <w:marLeft w:val="0"/>
                                                                                                                                              <w:marRight w:val="0"/>
                                                                                                                                              <w:marTop w:val="0"/>
                                                                                                                                              <w:marBottom w:val="0"/>
                                                                                                                                              <w:divBdr>
                                                                                                                                                <w:top w:val="none" w:sz="0" w:space="0" w:color="auto"/>
                                                                                                                                                <w:left w:val="none" w:sz="0" w:space="0" w:color="auto"/>
                                                                                                                                                <w:bottom w:val="none" w:sz="0" w:space="0" w:color="auto"/>
                                                                                                                                                <w:right w:val="none" w:sz="0" w:space="0" w:color="auto"/>
                                                                                                                                              </w:divBdr>
                                                                                                                                              <w:divsChild>
                                                                                                                                                <w:div w:id="8915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09809">
      <w:bodyDiv w:val="1"/>
      <w:marLeft w:val="0"/>
      <w:marRight w:val="0"/>
      <w:marTop w:val="0"/>
      <w:marBottom w:val="0"/>
      <w:divBdr>
        <w:top w:val="none" w:sz="0" w:space="0" w:color="auto"/>
        <w:left w:val="none" w:sz="0" w:space="0" w:color="auto"/>
        <w:bottom w:val="none" w:sz="0" w:space="0" w:color="auto"/>
        <w:right w:val="none" w:sz="0" w:space="0" w:color="auto"/>
      </w:divBdr>
      <w:divsChild>
        <w:div w:id="1817643344">
          <w:marLeft w:val="0"/>
          <w:marRight w:val="0"/>
          <w:marTop w:val="0"/>
          <w:marBottom w:val="0"/>
          <w:divBdr>
            <w:top w:val="none" w:sz="0" w:space="0" w:color="auto"/>
            <w:left w:val="none" w:sz="0" w:space="0" w:color="auto"/>
            <w:bottom w:val="none" w:sz="0" w:space="0" w:color="auto"/>
            <w:right w:val="none" w:sz="0" w:space="0" w:color="auto"/>
          </w:divBdr>
        </w:div>
      </w:divsChild>
    </w:div>
    <w:div w:id="1966302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2945-189B-45D2-AAAC-51E0EC88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26424</Words>
  <Characters>150622</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CEBI</Company>
  <LinksUpToDate>false</LinksUpToDate>
  <CharactersWithSpaces>176693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Ford Hickson</cp:lastModifiedBy>
  <cp:revision>3</cp:revision>
  <dcterms:created xsi:type="dcterms:W3CDTF">2015-10-21T16:52:00Z</dcterms:created>
  <dcterms:modified xsi:type="dcterms:W3CDTF">2016-02-23T17:47:00Z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gerardo.melendez-torres@spi.ox.ac.uk@www.mendeley.com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http://www.zotero.org/styles/aids</vt:lpwstr>
  </property>
  <property fmtid="{D5CDD505-2E9C-101B-9397-08002B2CF9AE}" pid="6" name="Mendeley Recent Style Name 0_1">
    <vt:lpwstr>AIDS</vt:lpwstr>
  </property>
  <property fmtid="{D5CDD505-2E9C-101B-9397-08002B2CF9AE}" pid="7" name="Mendeley Recent Style Id 1_1">
    <vt:lpwstr>http://www.zotero.org/styles/aids-and-behavior</vt:lpwstr>
  </property>
  <property fmtid="{D5CDD505-2E9C-101B-9397-08002B2CF9AE}" pid="8" name="Mendeley Recent Style Name 1_1">
    <vt:lpwstr>AIDS and Behavior</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http://www.zotero.org/styles/international-journal-of-drug-policy</vt:lpwstr>
  </property>
  <property fmtid="{D5CDD505-2E9C-101B-9397-08002B2CF9AE}" pid="16" name="Mendeley Recent Style Name 5_1">
    <vt:lpwstr>International Journal of Drug Policy</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