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A5DA6" w14:textId="77777777" w:rsidR="00F515B9" w:rsidRPr="00E2729F" w:rsidRDefault="00E2729F" w:rsidP="000B71EF">
      <w:pPr>
        <w:spacing w:after="0" w:line="360" w:lineRule="auto"/>
        <w:rPr>
          <w:rFonts w:ascii="Arial" w:hAnsi="Arial" w:cs="Arial"/>
          <w:b/>
          <w:sz w:val="24"/>
          <w:szCs w:val="24"/>
        </w:rPr>
      </w:pPr>
      <w:r w:rsidRPr="00E2729F">
        <w:rPr>
          <w:rFonts w:ascii="Arial" w:hAnsi="Arial" w:cs="Arial"/>
          <w:b/>
          <w:sz w:val="24"/>
          <w:szCs w:val="24"/>
        </w:rPr>
        <w:t xml:space="preserve">Making Sense of Statistics in </w:t>
      </w:r>
      <w:r w:rsidR="00793111">
        <w:rPr>
          <w:rFonts w:ascii="Arial" w:hAnsi="Arial" w:cs="Arial"/>
          <w:b/>
          <w:sz w:val="24"/>
          <w:szCs w:val="24"/>
        </w:rPr>
        <w:t>Clinical Trial Reports</w:t>
      </w:r>
    </w:p>
    <w:p w14:paraId="2EE77F2D" w14:textId="77777777" w:rsidR="00E2729F" w:rsidRDefault="00E2729F" w:rsidP="000B71EF">
      <w:pPr>
        <w:spacing w:after="0" w:line="360" w:lineRule="auto"/>
        <w:rPr>
          <w:rFonts w:ascii="Arial" w:hAnsi="Arial" w:cs="Arial"/>
          <w:sz w:val="24"/>
          <w:szCs w:val="24"/>
        </w:rPr>
      </w:pPr>
    </w:p>
    <w:p w14:paraId="02069AF9" w14:textId="77777777" w:rsidR="00E2729F" w:rsidRPr="00485908" w:rsidRDefault="00FF49DE" w:rsidP="000B71EF">
      <w:pPr>
        <w:spacing w:after="0" w:line="360" w:lineRule="auto"/>
        <w:rPr>
          <w:rFonts w:ascii="Arial" w:hAnsi="Arial" w:cs="Arial"/>
          <w:sz w:val="24"/>
          <w:szCs w:val="24"/>
          <w:vertAlign w:val="superscript"/>
        </w:rPr>
      </w:pPr>
      <w:r>
        <w:rPr>
          <w:rFonts w:ascii="Arial" w:hAnsi="Arial" w:cs="Arial"/>
          <w:sz w:val="24"/>
          <w:szCs w:val="24"/>
        </w:rPr>
        <w:t>S</w:t>
      </w:r>
      <w:r w:rsidR="00E2729F">
        <w:rPr>
          <w:rFonts w:ascii="Arial" w:hAnsi="Arial" w:cs="Arial"/>
          <w:sz w:val="24"/>
          <w:szCs w:val="24"/>
        </w:rPr>
        <w:t xml:space="preserve">tuart J. </w:t>
      </w:r>
      <w:proofErr w:type="spellStart"/>
      <w:r w:rsidR="00E2729F">
        <w:rPr>
          <w:rFonts w:ascii="Arial" w:hAnsi="Arial" w:cs="Arial"/>
          <w:sz w:val="24"/>
          <w:szCs w:val="24"/>
        </w:rPr>
        <w:t>Pocock</w:t>
      </w:r>
      <w:proofErr w:type="spellEnd"/>
      <w:r w:rsidR="00E2729F">
        <w:rPr>
          <w:rFonts w:ascii="Arial" w:hAnsi="Arial" w:cs="Arial"/>
          <w:sz w:val="24"/>
          <w:szCs w:val="24"/>
        </w:rPr>
        <w:t>,</w:t>
      </w:r>
      <w:r w:rsidR="00485908">
        <w:rPr>
          <w:rFonts w:ascii="Arial" w:hAnsi="Arial" w:cs="Arial"/>
          <w:sz w:val="24"/>
          <w:szCs w:val="24"/>
        </w:rPr>
        <w:t xml:space="preserve"> PhD</w:t>
      </w:r>
      <w:r w:rsidR="0089106D">
        <w:rPr>
          <w:rFonts w:ascii="Arial" w:hAnsi="Arial" w:cs="Arial"/>
          <w:sz w:val="24"/>
          <w:szCs w:val="24"/>
          <w:vertAlign w:val="superscript"/>
        </w:rPr>
        <w:t>*</w:t>
      </w:r>
      <w:r w:rsidR="00485908">
        <w:rPr>
          <w:rFonts w:ascii="Arial" w:hAnsi="Arial" w:cs="Arial"/>
          <w:sz w:val="24"/>
          <w:szCs w:val="24"/>
        </w:rPr>
        <w:t>,</w:t>
      </w:r>
      <w:r w:rsidR="00E2729F">
        <w:rPr>
          <w:rFonts w:ascii="Arial" w:hAnsi="Arial" w:cs="Arial"/>
          <w:sz w:val="24"/>
          <w:szCs w:val="24"/>
        </w:rPr>
        <w:t xml:space="preserve"> John JV McMurray</w:t>
      </w:r>
      <w:r w:rsidR="00485908">
        <w:rPr>
          <w:rFonts w:ascii="Arial" w:hAnsi="Arial" w:cs="Arial"/>
          <w:sz w:val="24"/>
          <w:szCs w:val="24"/>
        </w:rPr>
        <w:t>, MD</w:t>
      </w:r>
      <w:r w:rsidR="0089106D">
        <w:rPr>
          <w:rFonts w:ascii="Arial" w:hAnsi="Arial" w:cs="Arial"/>
          <w:sz w:val="24"/>
          <w:szCs w:val="24"/>
          <w:vertAlign w:val="superscript"/>
        </w:rPr>
        <w:t>†</w:t>
      </w:r>
      <w:r w:rsidR="00E2729F">
        <w:rPr>
          <w:rFonts w:ascii="Arial" w:hAnsi="Arial" w:cs="Arial"/>
          <w:sz w:val="24"/>
          <w:szCs w:val="24"/>
        </w:rPr>
        <w:t xml:space="preserve"> and Tim </w:t>
      </w:r>
      <w:r w:rsidR="000431BD">
        <w:rPr>
          <w:rFonts w:ascii="Arial" w:hAnsi="Arial" w:cs="Arial"/>
          <w:sz w:val="24"/>
          <w:szCs w:val="24"/>
        </w:rPr>
        <w:t>J</w:t>
      </w:r>
      <w:r w:rsidR="00E2729F">
        <w:rPr>
          <w:rFonts w:ascii="Arial" w:hAnsi="Arial" w:cs="Arial"/>
          <w:sz w:val="24"/>
          <w:szCs w:val="24"/>
        </w:rPr>
        <w:t>. Collier</w:t>
      </w:r>
      <w:r w:rsidR="00485908">
        <w:rPr>
          <w:rFonts w:ascii="Arial" w:hAnsi="Arial" w:cs="Arial"/>
          <w:sz w:val="24"/>
          <w:szCs w:val="24"/>
        </w:rPr>
        <w:t>, MSc</w:t>
      </w:r>
      <w:r w:rsidR="0089106D">
        <w:rPr>
          <w:rFonts w:ascii="Arial" w:hAnsi="Arial" w:cs="Arial"/>
          <w:sz w:val="24"/>
          <w:szCs w:val="24"/>
        </w:rPr>
        <w:t>*</w:t>
      </w:r>
    </w:p>
    <w:p w14:paraId="5273E9B8" w14:textId="77777777" w:rsidR="00793111" w:rsidRDefault="00793111" w:rsidP="000B71EF">
      <w:pPr>
        <w:spacing w:after="0" w:line="360" w:lineRule="auto"/>
        <w:rPr>
          <w:rFonts w:ascii="Arial" w:hAnsi="Arial" w:cs="Arial"/>
          <w:sz w:val="24"/>
          <w:szCs w:val="24"/>
        </w:rPr>
      </w:pPr>
    </w:p>
    <w:p w14:paraId="43DA1894" w14:textId="77777777" w:rsidR="00485908" w:rsidRDefault="0089106D" w:rsidP="000B71EF">
      <w:pPr>
        <w:spacing w:after="0" w:line="360" w:lineRule="auto"/>
        <w:rPr>
          <w:rFonts w:ascii="Arial" w:hAnsi="Arial" w:cs="Arial"/>
          <w:sz w:val="24"/>
          <w:szCs w:val="24"/>
        </w:rPr>
      </w:pPr>
      <w:r>
        <w:rPr>
          <w:rFonts w:ascii="Arial" w:hAnsi="Arial" w:cs="Arial"/>
          <w:sz w:val="24"/>
          <w:szCs w:val="24"/>
          <w:vertAlign w:val="superscript"/>
        </w:rPr>
        <w:t>*</w:t>
      </w:r>
      <w:r w:rsidR="00485908">
        <w:rPr>
          <w:rFonts w:ascii="Arial" w:hAnsi="Arial" w:cs="Arial"/>
          <w:sz w:val="24"/>
          <w:szCs w:val="24"/>
          <w:vertAlign w:val="superscript"/>
        </w:rPr>
        <w:t xml:space="preserve"> </w:t>
      </w:r>
      <w:r w:rsidR="00485908">
        <w:rPr>
          <w:rFonts w:ascii="Arial" w:hAnsi="Arial" w:cs="Arial"/>
          <w:sz w:val="24"/>
          <w:szCs w:val="24"/>
        </w:rPr>
        <w:t>Department of Medical Statistics, London School of Hygiene &amp; Tropical Medicine</w:t>
      </w:r>
    </w:p>
    <w:p w14:paraId="20EDC35A" w14:textId="77777777" w:rsidR="00485908" w:rsidRPr="00485908" w:rsidRDefault="0089106D" w:rsidP="000B71EF">
      <w:pPr>
        <w:spacing w:after="0" w:line="360" w:lineRule="auto"/>
        <w:rPr>
          <w:rFonts w:ascii="Arial" w:hAnsi="Arial" w:cs="Arial"/>
          <w:sz w:val="24"/>
          <w:szCs w:val="24"/>
        </w:rPr>
      </w:pPr>
      <w:r>
        <w:rPr>
          <w:rFonts w:ascii="Arial" w:hAnsi="Arial" w:cs="Arial"/>
          <w:sz w:val="24"/>
          <w:szCs w:val="24"/>
          <w:vertAlign w:val="superscript"/>
        </w:rPr>
        <w:t>†</w:t>
      </w:r>
      <w:r w:rsidR="00485908">
        <w:rPr>
          <w:rFonts w:ascii="Arial" w:hAnsi="Arial" w:cs="Arial"/>
          <w:sz w:val="24"/>
          <w:szCs w:val="24"/>
        </w:rPr>
        <w:t xml:space="preserve"> Institute of Cardiovascular and Medical Sciences, University of Glasgow</w:t>
      </w:r>
    </w:p>
    <w:p w14:paraId="5C6C2883" w14:textId="77777777" w:rsidR="00485908" w:rsidRDefault="00485908" w:rsidP="000B71EF">
      <w:pPr>
        <w:spacing w:after="0" w:line="360" w:lineRule="auto"/>
        <w:rPr>
          <w:rFonts w:ascii="Arial" w:hAnsi="Arial" w:cs="Arial"/>
          <w:b/>
          <w:sz w:val="24"/>
          <w:szCs w:val="24"/>
        </w:rPr>
      </w:pPr>
    </w:p>
    <w:p w14:paraId="3C5B1B1B" w14:textId="77777777" w:rsidR="00015ED3" w:rsidRDefault="00015ED3" w:rsidP="00015ED3">
      <w:pPr>
        <w:spacing w:after="0" w:line="360" w:lineRule="auto"/>
        <w:rPr>
          <w:rFonts w:ascii="Arial" w:hAnsi="Arial" w:cs="Arial"/>
          <w:sz w:val="24"/>
          <w:szCs w:val="24"/>
        </w:rPr>
      </w:pPr>
      <w:r>
        <w:rPr>
          <w:rFonts w:ascii="Arial" w:hAnsi="Arial" w:cs="Arial"/>
          <w:b/>
          <w:sz w:val="24"/>
          <w:szCs w:val="24"/>
        </w:rPr>
        <w:t>Corresponding Author:</w:t>
      </w:r>
      <w:r>
        <w:rPr>
          <w:rFonts w:ascii="Arial" w:hAnsi="Arial" w:cs="Arial"/>
          <w:sz w:val="24"/>
          <w:szCs w:val="24"/>
        </w:rPr>
        <w:t xml:space="preserve"> Stuart </w:t>
      </w:r>
      <w:proofErr w:type="spellStart"/>
      <w:r>
        <w:rPr>
          <w:rFonts w:ascii="Arial" w:hAnsi="Arial" w:cs="Arial"/>
          <w:sz w:val="24"/>
          <w:szCs w:val="24"/>
        </w:rPr>
        <w:t>Pocock</w:t>
      </w:r>
      <w:proofErr w:type="spellEnd"/>
      <w:r>
        <w:rPr>
          <w:rFonts w:ascii="Arial" w:hAnsi="Arial" w:cs="Arial"/>
          <w:sz w:val="24"/>
          <w:szCs w:val="24"/>
        </w:rPr>
        <w:t>, Department of Medical Statistics, London School of Hygiene &amp; Tropical Medicine, Keppel Street, London, WC1E 7HT, UK.</w:t>
      </w:r>
    </w:p>
    <w:p w14:paraId="0E2BBBC5" w14:textId="77777777" w:rsidR="00015ED3" w:rsidRDefault="00015ED3" w:rsidP="00015ED3">
      <w:pPr>
        <w:spacing w:after="0" w:line="360" w:lineRule="auto"/>
        <w:rPr>
          <w:rFonts w:ascii="Arial" w:hAnsi="Arial" w:cs="Arial"/>
          <w:sz w:val="24"/>
          <w:szCs w:val="24"/>
        </w:rPr>
      </w:pPr>
      <w:proofErr w:type="gramStart"/>
      <w:r>
        <w:rPr>
          <w:rFonts w:ascii="Arial" w:hAnsi="Arial" w:cs="Arial"/>
          <w:sz w:val="24"/>
          <w:szCs w:val="24"/>
        </w:rPr>
        <w:t>email</w:t>
      </w:r>
      <w:proofErr w:type="gramEnd"/>
      <w:r>
        <w:rPr>
          <w:rFonts w:ascii="Arial" w:hAnsi="Arial" w:cs="Arial"/>
          <w:sz w:val="24"/>
          <w:szCs w:val="24"/>
        </w:rPr>
        <w:t xml:space="preserve">: </w:t>
      </w:r>
      <w:hyperlink r:id="rId8" w:history="1">
        <w:r>
          <w:rPr>
            <w:rStyle w:val="Hyperlink"/>
            <w:rFonts w:ascii="Arial" w:hAnsi="Arial" w:cs="Arial"/>
            <w:sz w:val="24"/>
            <w:szCs w:val="24"/>
          </w:rPr>
          <w:t>Stuart.Pocock@LSHTM.ac.uk</w:t>
        </w:r>
      </w:hyperlink>
      <w:r>
        <w:rPr>
          <w:rFonts w:ascii="Arial" w:hAnsi="Arial" w:cs="Arial"/>
          <w:sz w:val="24"/>
          <w:szCs w:val="24"/>
        </w:rPr>
        <w:t xml:space="preserve">. </w:t>
      </w:r>
    </w:p>
    <w:p w14:paraId="3ECF29B1" w14:textId="77777777" w:rsidR="00015ED3" w:rsidRDefault="00015ED3" w:rsidP="00015ED3">
      <w:pPr>
        <w:spacing w:after="0" w:line="360" w:lineRule="auto"/>
        <w:rPr>
          <w:rFonts w:ascii="Arial" w:hAnsi="Arial" w:cs="Arial"/>
          <w:sz w:val="24"/>
          <w:szCs w:val="24"/>
        </w:rPr>
      </w:pPr>
    </w:p>
    <w:p w14:paraId="2C7F3CD3" w14:textId="77777777" w:rsidR="006620CD" w:rsidRDefault="00015ED3" w:rsidP="006620CD">
      <w:pPr>
        <w:spacing w:line="360" w:lineRule="auto"/>
        <w:rPr>
          <w:rFonts w:ascii="Arial" w:hAnsi="Arial" w:cs="Arial"/>
          <w:sz w:val="20"/>
          <w:szCs w:val="20"/>
        </w:rPr>
      </w:pPr>
      <w:r>
        <w:rPr>
          <w:rFonts w:ascii="Arial" w:hAnsi="Arial" w:cs="Arial"/>
          <w:b/>
          <w:sz w:val="24"/>
          <w:szCs w:val="24"/>
        </w:rPr>
        <w:t xml:space="preserve">Declarations: </w:t>
      </w:r>
      <w:r w:rsidR="006620CD" w:rsidRPr="006620CD">
        <w:rPr>
          <w:rFonts w:ascii="Arial" w:hAnsi="Arial" w:cs="Arial"/>
          <w:sz w:val="24"/>
          <w:szCs w:val="20"/>
        </w:rPr>
        <w:t>There are no disclosures for any authors - this is an educational article.</w:t>
      </w:r>
    </w:p>
    <w:p w14:paraId="284D361B" w14:textId="77777777" w:rsidR="00C62566" w:rsidRDefault="00C62566" w:rsidP="000B71EF">
      <w:pPr>
        <w:spacing w:after="0" w:line="360" w:lineRule="auto"/>
        <w:rPr>
          <w:rFonts w:ascii="Arial" w:hAnsi="Arial" w:cs="Arial"/>
          <w:b/>
          <w:sz w:val="24"/>
          <w:szCs w:val="24"/>
        </w:rPr>
      </w:pPr>
    </w:p>
    <w:p w14:paraId="35218047" w14:textId="77777777" w:rsidR="00793111" w:rsidRDefault="006E1D74" w:rsidP="000B71EF">
      <w:pPr>
        <w:spacing w:after="0" w:line="360" w:lineRule="auto"/>
        <w:rPr>
          <w:rFonts w:ascii="Arial" w:hAnsi="Arial" w:cs="Arial"/>
          <w:sz w:val="24"/>
          <w:szCs w:val="24"/>
        </w:rPr>
      </w:pPr>
      <w:r>
        <w:rPr>
          <w:rFonts w:ascii="Arial" w:hAnsi="Arial" w:cs="Arial"/>
          <w:b/>
          <w:sz w:val="24"/>
          <w:szCs w:val="24"/>
        </w:rPr>
        <w:t>Abstract</w:t>
      </w:r>
    </w:p>
    <w:p w14:paraId="6142EECB" w14:textId="77777777" w:rsidR="006E1D74" w:rsidRDefault="006E1D74" w:rsidP="000B71EF">
      <w:pPr>
        <w:spacing w:after="0" w:line="360" w:lineRule="auto"/>
        <w:rPr>
          <w:rFonts w:ascii="Arial" w:hAnsi="Arial" w:cs="Arial"/>
          <w:sz w:val="24"/>
          <w:szCs w:val="24"/>
        </w:rPr>
      </w:pPr>
      <w:r>
        <w:rPr>
          <w:rFonts w:ascii="Arial" w:hAnsi="Arial" w:cs="Arial"/>
          <w:sz w:val="24"/>
          <w:szCs w:val="24"/>
        </w:rPr>
        <w:t xml:space="preserve">This article is a practical guide to the essentials for statistical analysis and reporting of randomised clinical trials (RCTs). It is the first in a series of </w:t>
      </w:r>
      <w:r w:rsidR="0089106D">
        <w:rPr>
          <w:rFonts w:ascii="Arial" w:hAnsi="Arial" w:cs="Arial"/>
          <w:sz w:val="24"/>
          <w:szCs w:val="24"/>
        </w:rPr>
        <w:t xml:space="preserve">four </w:t>
      </w:r>
      <w:r>
        <w:rPr>
          <w:rFonts w:ascii="Arial" w:hAnsi="Arial" w:cs="Arial"/>
          <w:sz w:val="24"/>
          <w:szCs w:val="24"/>
        </w:rPr>
        <w:t xml:space="preserve">educational articles </w:t>
      </w:r>
      <w:r w:rsidR="0089106D">
        <w:rPr>
          <w:rFonts w:ascii="Arial" w:hAnsi="Arial" w:cs="Arial"/>
          <w:sz w:val="24"/>
          <w:szCs w:val="24"/>
        </w:rPr>
        <w:t>o</w:t>
      </w:r>
      <w:r>
        <w:rPr>
          <w:rFonts w:ascii="Arial" w:hAnsi="Arial" w:cs="Arial"/>
          <w:sz w:val="24"/>
          <w:szCs w:val="24"/>
        </w:rPr>
        <w:t xml:space="preserve">n statistical issues </w:t>
      </w:r>
      <w:r w:rsidR="00340546">
        <w:rPr>
          <w:rFonts w:ascii="Arial" w:hAnsi="Arial" w:cs="Arial"/>
          <w:sz w:val="24"/>
          <w:szCs w:val="24"/>
        </w:rPr>
        <w:t>for RCTs</w:t>
      </w:r>
      <w:r>
        <w:rPr>
          <w:rFonts w:ascii="Arial" w:hAnsi="Arial" w:cs="Arial"/>
          <w:sz w:val="24"/>
          <w:szCs w:val="24"/>
        </w:rPr>
        <w:t>, the others being on st</w:t>
      </w:r>
      <w:r w:rsidR="00340546">
        <w:rPr>
          <w:rFonts w:ascii="Arial" w:hAnsi="Arial" w:cs="Arial"/>
          <w:sz w:val="24"/>
          <w:szCs w:val="24"/>
        </w:rPr>
        <w:t>atistical controversies</w:t>
      </w:r>
      <w:r>
        <w:rPr>
          <w:rFonts w:ascii="Arial" w:hAnsi="Arial" w:cs="Arial"/>
          <w:sz w:val="24"/>
          <w:szCs w:val="24"/>
        </w:rPr>
        <w:t xml:space="preserve"> in RCT report</w:t>
      </w:r>
      <w:r w:rsidR="00B35380">
        <w:rPr>
          <w:rFonts w:ascii="Arial" w:hAnsi="Arial" w:cs="Arial"/>
          <w:sz w:val="24"/>
          <w:szCs w:val="24"/>
        </w:rPr>
        <w:t>ing and interpretation</w:t>
      </w:r>
      <w:r>
        <w:rPr>
          <w:rFonts w:ascii="Arial" w:hAnsi="Arial" w:cs="Arial"/>
          <w:sz w:val="24"/>
          <w:szCs w:val="24"/>
        </w:rPr>
        <w:t>,</w:t>
      </w:r>
      <w:r w:rsidR="00B35380">
        <w:rPr>
          <w:rFonts w:ascii="Arial" w:hAnsi="Arial" w:cs="Arial"/>
          <w:sz w:val="24"/>
          <w:szCs w:val="24"/>
        </w:rPr>
        <w:t xml:space="preserve"> the fundamentals of</w:t>
      </w:r>
      <w:r>
        <w:rPr>
          <w:rFonts w:ascii="Arial" w:hAnsi="Arial" w:cs="Arial"/>
          <w:sz w:val="24"/>
          <w:szCs w:val="24"/>
        </w:rPr>
        <w:t xml:space="preserve"> design f</w:t>
      </w:r>
      <w:r w:rsidR="00B35380">
        <w:rPr>
          <w:rFonts w:ascii="Arial" w:hAnsi="Arial" w:cs="Arial"/>
          <w:sz w:val="24"/>
          <w:szCs w:val="24"/>
        </w:rPr>
        <w:t>or</w:t>
      </w:r>
      <w:r>
        <w:rPr>
          <w:rFonts w:ascii="Arial" w:hAnsi="Arial" w:cs="Arial"/>
          <w:sz w:val="24"/>
          <w:szCs w:val="24"/>
        </w:rPr>
        <w:t xml:space="preserve"> RCTs,</w:t>
      </w:r>
      <w:r w:rsidR="00B35380">
        <w:rPr>
          <w:rFonts w:ascii="Arial" w:hAnsi="Arial" w:cs="Arial"/>
          <w:sz w:val="24"/>
          <w:szCs w:val="24"/>
        </w:rPr>
        <w:t xml:space="preserve"> and statistical challenges in the design and monitoring of RCTs</w:t>
      </w:r>
      <w:r>
        <w:rPr>
          <w:rFonts w:ascii="Arial" w:hAnsi="Arial" w:cs="Arial"/>
          <w:sz w:val="24"/>
          <w:szCs w:val="24"/>
        </w:rPr>
        <w:t>. Here we concentrate on displaying results in Tables and Figures, estimating treatment effects, expressing uncertainty using confidence intervals and using P-values wisely to assess the strength of evidence</w:t>
      </w:r>
      <w:r w:rsidR="00B35380">
        <w:rPr>
          <w:rFonts w:ascii="Arial" w:hAnsi="Arial" w:cs="Arial"/>
          <w:sz w:val="24"/>
          <w:szCs w:val="24"/>
        </w:rPr>
        <w:t xml:space="preserve"> for a treatment difference</w:t>
      </w:r>
      <w:r>
        <w:rPr>
          <w:rFonts w:ascii="Arial" w:hAnsi="Arial" w:cs="Arial"/>
          <w:sz w:val="24"/>
          <w:szCs w:val="24"/>
        </w:rPr>
        <w:t xml:space="preserve">. The various methods and their interpretation are illustrated by recent, topical cardiology trial results. </w:t>
      </w:r>
    </w:p>
    <w:p w14:paraId="5FCFDB21" w14:textId="77777777" w:rsidR="006E1D74" w:rsidRDefault="006E1D74" w:rsidP="000B71EF">
      <w:pPr>
        <w:spacing w:after="0" w:line="360" w:lineRule="auto"/>
        <w:rPr>
          <w:rFonts w:ascii="Arial" w:hAnsi="Arial" w:cs="Arial"/>
          <w:sz w:val="24"/>
          <w:szCs w:val="24"/>
        </w:rPr>
      </w:pPr>
    </w:p>
    <w:p w14:paraId="10EAFAE6" w14:textId="77777777" w:rsidR="004A0B25" w:rsidRDefault="004A0B25" w:rsidP="000B71EF">
      <w:pPr>
        <w:spacing w:after="0" w:line="360" w:lineRule="auto"/>
        <w:rPr>
          <w:rFonts w:ascii="Arial" w:hAnsi="Arial" w:cs="Arial"/>
          <w:sz w:val="24"/>
          <w:szCs w:val="24"/>
        </w:rPr>
      </w:pPr>
    </w:p>
    <w:p w14:paraId="21A7FC82" w14:textId="10CE07CE" w:rsidR="00485908" w:rsidRDefault="0032355B">
      <w:pPr>
        <w:rPr>
          <w:rFonts w:ascii="Arial" w:hAnsi="Arial" w:cs="Arial"/>
          <w:b/>
          <w:sz w:val="24"/>
          <w:szCs w:val="24"/>
        </w:rPr>
      </w:pPr>
      <w:r>
        <w:rPr>
          <w:rFonts w:ascii="Arial" w:hAnsi="Arial" w:cs="Arial"/>
          <w:b/>
          <w:sz w:val="24"/>
          <w:szCs w:val="24"/>
        </w:rPr>
        <w:t>Word Count: 6</w:t>
      </w:r>
      <w:r w:rsidR="00EC4A4D">
        <w:rPr>
          <w:rFonts w:ascii="Arial" w:hAnsi="Arial" w:cs="Arial"/>
          <w:b/>
          <w:sz w:val="24"/>
          <w:szCs w:val="24"/>
        </w:rPr>
        <w:t>552</w:t>
      </w:r>
    </w:p>
    <w:p w14:paraId="78DA8879" w14:textId="77777777" w:rsidR="00EC4A4D" w:rsidRDefault="00EC4A4D">
      <w:pPr>
        <w:rPr>
          <w:rFonts w:ascii="Arial" w:hAnsi="Arial" w:cs="Arial"/>
          <w:b/>
          <w:sz w:val="24"/>
          <w:szCs w:val="24"/>
        </w:rPr>
      </w:pPr>
      <w:r>
        <w:rPr>
          <w:rFonts w:ascii="Arial" w:hAnsi="Arial" w:cs="Arial"/>
          <w:b/>
          <w:sz w:val="24"/>
          <w:szCs w:val="24"/>
        </w:rPr>
        <w:br w:type="page"/>
      </w:r>
    </w:p>
    <w:p w14:paraId="78512A22" w14:textId="4B0E2627" w:rsidR="00EC4A4D" w:rsidRPr="00EC4A4D" w:rsidRDefault="00EC4A4D" w:rsidP="00EC4A4D">
      <w:pPr>
        <w:spacing w:after="0" w:line="360" w:lineRule="auto"/>
        <w:rPr>
          <w:rFonts w:ascii="Arial" w:hAnsi="Arial" w:cs="Arial"/>
          <w:b/>
          <w:sz w:val="24"/>
          <w:szCs w:val="24"/>
        </w:rPr>
      </w:pPr>
      <w:r w:rsidRPr="00EC4A4D">
        <w:rPr>
          <w:rFonts w:ascii="Arial" w:hAnsi="Arial" w:cs="Arial"/>
          <w:b/>
          <w:sz w:val="24"/>
          <w:szCs w:val="24"/>
        </w:rPr>
        <w:lastRenderedPageBreak/>
        <w:t>Abbreviations</w:t>
      </w:r>
    </w:p>
    <w:p w14:paraId="5CCA62A5" w14:textId="77777777" w:rsidR="00EC4A4D" w:rsidRDefault="00EC4A4D" w:rsidP="00EC4A4D">
      <w:pPr>
        <w:spacing w:after="0" w:line="360" w:lineRule="auto"/>
        <w:rPr>
          <w:rFonts w:ascii="Arial" w:hAnsi="Arial" w:cs="Arial"/>
          <w:sz w:val="24"/>
          <w:szCs w:val="24"/>
        </w:rPr>
      </w:pPr>
      <w:r>
        <w:rPr>
          <w:rFonts w:ascii="Arial" w:hAnsi="Arial" w:cs="Arial"/>
          <w:sz w:val="24"/>
          <w:szCs w:val="24"/>
        </w:rPr>
        <w:t>RCT: Randomised Clinical Trial; CI: Confidence Interval; CABG: Coronary Artery Bypass Grafting; PCI: Percutaneous Coronary Intervention; ANCOVA: Analysis of Covariance; SBP: Systolic Blood Pressure.</w:t>
      </w:r>
    </w:p>
    <w:p w14:paraId="5B373D5D" w14:textId="77777777" w:rsidR="00EC4A4D" w:rsidRDefault="00EC4A4D">
      <w:pPr>
        <w:rPr>
          <w:rFonts w:ascii="Arial" w:hAnsi="Arial" w:cs="Arial"/>
          <w:b/>
          <w:sz w:val="24"/>
          <w:szCs w:val="24"/>
        </w:rPr>
      </w:pPr>
    </w:p>
    <w:p w14:paraId="410BAF4E" w14:textId="77777777" w:rsidR="00EC4A4D" w:rsidRDefault="00EC4A4D">
      <w:pPr>
        <w:rPr>
          <w:rFonts w:ascii="Arial" w:hAnsi="Arial" w:cs="Arial"/>
          <w:b/>
          <w:sz w:val="24"/>
          <w:szCs w:val="24"/>
        </w:rPr>
      </w:pPr>
      <w:r>
        <w:rPr>
          <w:rFonts w:ascii="Arial" w:hAnsi="Arial" w:cs="Arial"/>
          <w:b/>
          <w:sz w:val="24"/>
          <w:szCs w:val="24"/>
        </w:rPr>
        <w:br w:type="page"/>
      </w:r>
    </w:p>
    <w:p w14:paraId="448ECE7C" w14:textId="1EA87E8D" w:rsidR="00E2729F" w:rsidRPr="00E2729F" w:rsidRDefault="00E2729F" w:rsidP="000B71EF">
      <w:pPr>
        <w:spacing w:after="0" w:line="360" w:lineRule="auto"/>
        <w:rPr>
          <w:rFonts w:ascii="Arial" w:hAnsi="Arial" w:cs="Arial"/>
          <w:sz w:val="24"/>
          <w:szCs w:val="24"/>
        </w:rPr>
      </w:pPr>
      <w:r w:rsidRPr="00E2729F">
        <w:rPr>
          <w:rFonts w:ascii="Arial" w:hAnsi="Arial" w:cs="Arial"/>
          <w:b/>
          <w:sz w:val="24"/>
          <w:szCs w:val="24"/>
        </w:rPr>
        <w:lastRenderedPageBreak/>
        <w:t>Introduction</w:t>
      </w:r>
    </w:p>
    <w:p w14:paraId="35943AEC" w14:textId="77777777" w:rsidR="00E2729F" w:rsidRDefault="00E2729F" w:rsidP="000B71EF">
      <w:pPr>
        <w:spacing w:after="0" w:line="360" w:lineRule="auto"/>
        <w:rPr>
          <w:rFonts w:ascii="Arial" w:hAnsi="Arial" w:cs="Arial"/>
          <w:sz w:val="24"/>
          <w:szCs w:val="24"/>
        </w:rPr>
      </w:pPr>
    </w:p>
    <w:p w14:paraId="12A53B57" w14:textId="77777777" w:rsidR="00E2729F" w:rsidRDefault="00E2729F" w:rsidP="000B71EF">
      <w:pPr>
        <w:spacing w:after="0" w:line="360" w:lineRule="auto"/>
        <w:rPr>
          <w:rFonts w:ascii="Arial" w:hAnsi="Arial" w:cs="Arial"/>
          <w:sz w:val="24"/>
          <w:szCs w:val="24"/>
        </w:rPr>
      </w:pPr>
      <w:r>
        <w:rPr>
          <w:rFonts w:ascii="Arial" w:hAnsi="Arial" w:cs="Arial"/>
          <w:sz w:val="24"/>
          <w:szCs w:val="24"/>
        </w:rPr>
        <w:t xml:space="preserve">Statistical methods are an essential part of virtually all published medical research. Yet a sound understanding of statistical principles is often lacking amongst researchers and journal readers, with cardiologists no exception to this limitation. In this series of </w:t>
      </w:r>
      <w:r w:rsidR="00B35380">
        <w:rPr>
          <w:rFonts w:ascii="Arial" w:hAnsi="Arial" w:cs="Arial"/>
          <w:sz w:val="24"/>
          <w:szCs w:val="24"/>
        </w:rPr>
        <w:t>four</w:t>
      </w:r>
      <w:r>
        <w:rPr>
          <w:rFonts w:ascii="Arial" w:hAnsi="Arial" w:cs="Arial"/>
          <w:sz w:val="24"/>
          <w:szCs w:val="24"/>
        </w:rPr>
        <w:t xml:space="preserve"> articles in consecutive issues of </w:t>
      </w:r>
      <w:r w:rsidR="002453D8">
        <w:rPr>
          <w:rFonts w:ascii="Arial" w:hAnsi="Arial" w:cs="Arial"/>
          <w:sz w:val="24"/>
          <w:szCs w:val="24"/>
        </w:rPr>
        <w:t>JACC, our aim is</w:t>
      </w:r>
      <w:r w:rsidR="00793111">
        <w:rPr>
          <w:rFonts w:ascii="Arial" w:hAnsi="Arial" w:cs="Arial"/>
          <w:sz w:val="24"/>
          <w:szCs w:val="24"/>
        </w:rPr>
        <w:t xml:space="preserve"> to</w:t>
      </w:r>
      <w:r w:rsidR="002453D8">
        <w:rPr>
          <w:rFonts w:ascii="Arial" w:hAnsi="Arial" w:cs="Arial"/>
          <w:sz w:val="24"/>
          <w:szCs w:val="24"/>
        </w:rPr>
        <w:t xml:space="preserve"> illuminate readers on statistical matters, </w:t>
      </w:r>
      <w:r w:rsidR="00B35380">
        <w:rPr>
          <w:rFonts w:ascii="Arial" w:hAnsi="Arial" w:cs="Arial"/>
          <w:sz w:val="24"/>
          <w:szCs w:val="24"/>
        </w:rPr>
        <w:t xml:space="preserve">our focus being on the </w:t>
      </w:r>
      <w:r w:rsidR="002453D8">
        <w:rPr>
          <w:rFonts w:ascii="Arial" w:hAnsi="Arial" w:cs="Arial"/>
          <w:sz w:val="24"/>
          <w:szCs w:val="24"/>
        </w:rPr>
        <w:t>design and reporting of</w:t>
      </w:r>
      <w:r w:rsidR="00B35380">
        <w:rPr>
          <w:rFonts w:ascii="Arial" w:hAnsi="Arial" w:cs="Arial"/>
          <w:sz w:val="24"/>
          <w:szCs w:val="24"/>
        </w:rPr>
        <w:t xml:space="preserve"> randomised controlled trials (RCTs)</w:t>
      </w:r>
      <w:r w:rsidR="002453D8">
        <w:rPr>
          <w:rFonts w:ascii="Arial" w:hAnsi="Arial" w:cs="Arial"/>
          <w:sz w:val="24"/>
          <w:szCs w:val="24"/>
        </w:rPr>
        <w:t>.</w:t>
      </w:r>
    </w:p>
    <w:p w14:paraId="67E236A5" w14:textId="77777777" w:rsidR="00793111" w:rsidRDefault="00793111" w:rsidP="000B71EF">
      <w:pPr>
        <w:spacing w:after="0" w:line="360" w:lineRule="auto"/>
        <w:rPr>
          <w:rFonts w:ascii="Arial" w:hAnsi="Arial" w:cs="Arial"/>
          <w:sz w:val="24"/>
          <w:szCs w:val="24"/>
        </w:rPr>
      </w:pPr>
    </w:p>
    <w:p w14:paraId="6C574110" w14:textId="77777777" w:rsidR="00793111" w:rsidRDefault="002453D8" w:rsidP="000B71EF">
      <w:pPr>
        <w:spacing w:after="0" w:line="360" w:lineRule="auto"/>
        <w:rPr>
          <w:rFonts w:ascii="Arial" w:hAnsi="Arial" w:cs="Arial"/>
          <w:sz w:val="24"/>
          <w:szCs w:val="24"/>
        </w:rPr>
      </w:pPr>
      <w:r>
        <w:rPr>
          <w:rFonts w:ascii="Arial" w:hAnsi="Arial" w:cs="Arial"/>
          <w:sz w:val="24"/>
          <w:szCs w:val="24"/>
        </w:rPr>
        <w:t>After th</w:t>
      </w:r>
      <w:r w:rsidR="00E04AA9">
        <w:rPr>
          <w:rFonts w:ascii="Arial" w:hAnsi="Arial" w:cs="Arial"/>
          <w:sz w:val="24"/>
          <w:szCs w:val="24"/>
        </w:rPr>
        <w:t>e</w:t>
      </w:r>
      <w:r>
        <w:rPr>
          <w:rFonts w:ascii="Arial" w:hAnsi="Arial" w:cs="Arial"/>
          <w:sz w:val="24"/>
          <w:szCs w:val="24"/>
        </w:rPr>
        <w:t>s</w:t>
      </w:r>
      <w:r w:rsidR="00E04AA9">
        <w:rPr>
          <w:rFonts w:ascii="Arial" w:hAnsi="Arial" w:cs="Arial"/>
          <w:sz w:val="24"/>
          <w:szCs w:val="24"/>
        </w:rPr>
        <w:t>e</w:t>
      </w:r>
      <w:r>
        <w:rPr>
          <w:rFonts w:ascii="Arial" w:hAnsi="Arial" w:cs="Arial"/>
          <w:sz w:val="24"/>
          <w:szCs w:val="24"/>
        </w:rPr>
        <w:t xml:space="preserve"> first</w:t>
      </w:r>
      <w:r w:rsidR="00E04AA9">
        <w:rPr>
          <w:rFonts w:ascii="Arial" w:hAnsi="Arial" w:cs="Arial"/>
          <w:sz w:val="24"/>
          <w:szCs w:val="24"/>
        </w:rPr>
        <w:t xml:space="preserve"> two</w:t>
      </w:r>
      <w:r>
        <w:rPr>
          <w:rFonts w:ascii="Arial" w:hAnsi="Arial" w:cs="Arial"/>
          <w:sz w:val="24"/>
          <w:szCs w:val="24"/>
        </w:rPr>
        <w:t xml:space="preserve"> article</w:t>
      </w:r>
      <w:r w:rsidR="00E04AA9">
        <w:rPr>
          <w:rFonts w:ascii="Arial" w:hAnsi="Arial" w:cs="Arial"/>
          <w:sz w:val="24"/>
          <w:szCs w:val="24"/>
        </w:rPr>
        <w:t>s</w:t>
      </w:r>
      <w:r>
        <w:rPr>
          <w:rFonts w:ascii="Arial" w:hAnsi="Arial" w:cs="Arial"/>
          <w:sz w:val="24"/>
          <w:szCs w:val="24"/>
        </w:rPr>
        <w:t xml:space="preserve"> on </w:t>
      </w:r>
      <w:r w:rsidRPr="002453D8">
        <w:rPr>
          <w:rFonts w:ascii="Arial" w:hAnsi="Arial" w:cs="Arial"/>
          <w:b/>
          <w:sz w:val="24"/>
          <w:szCs w:val="24"/>
        </w:rPr>
        <w:t>statistical analysis and reporting</w:t>
      </w:r>
      <w:r w:rsidR="00793111">
        <w:rPr>
          <w:rFonts w:ascii="Arial" w:hAnsi="Arial" w:cs="Arial"/>
          <w:b/>
          <w:sz w:val="24"/>
          <w:szCs w:val="24"/>
        </w:rPr>
        <w:t xml:space="preserve"> of clinical trials</w:t>
      </w:r>
      <w:r>
        <w:rPr>
          <w:rFonts w:ascii="Arial" w:hAnsi="Arial" w:cs="Arial"/>
          <w:sz w:val="24"/>
          <w:szCs w:val="24"/>
        </w:rPr>
        <w:t xml:space="preserve">, </w:t>
      </w:r>
      <w:r w:rsidR="00B35380">
        <w:rPr>
          <w:rFonts w:ascii="Arial" w:hAnsi="Arial" w:cs="Arial"/>
          <w:sz w:val="24"/>
          <w:szCs w:val="24"/>
        </w:rPr>
        <w:t xml:space="preserve">two </w:t>
      </w:r>
      <w:r>
        <w:rPr>
          <w:rFonts w:ascii="Arial" w:hAnsi="Arial" w:cs="Arial"/>
          <w:sz w:val="24"/>
          <w:szCs w:val="24"/>
        </w:rPr>
        <w:t xml:space="preserve">subsequent articles will focus on statistical </w:t>
      </w:r>
      <w:r w:rsidRPr="002453D8">
        <w:rPr>
          <w:rFonts w:ascii="Arial" w:hAnsi="Arial" w:cs="Arial"/>
          <w:b/>
          <w:sz w:val="24"/>
          <w:szCs w:val="24"/>
        </w:rPr>
        <w:t>design of randomised trials</w:t>
      </w:r>
      <w:r w:rsidR="00715C7B">
        <w:rPr>
          <w:rFonts w:ascii="Arial" w:hAnsi="Arial" w:cs="Arial"/>
          <w:b/>
          <w:sz w:val="24"/>
          <w:szCs w:val="24"/>
        </w:rPr>
        <w:t xml:space="preserve"> </w:t>
      </w:r>
      <w:r w:rsidR="00715C7B" w:rsidRPr="00715C7B">
        <w:rPr>
          <w:rFonts w:ascii="Arial" w:hAnsi="Arial" w:cs="Arial"/>
          <w:sz w:val="24"/>
          <w:szCs w:val="24"/>
        </w:rPr>
        <w:t xml:space="preserve">and also </w:t>
      </w:r>
      <w:r w:rsidR="00715C7B">
        <w:rPr>
          <w:rFonts w:ascii="Arial" w:hAnsi="Arial" w:cs="Arial"/>
          <w:b/>
          <w:sz w:val="24"/>
          <w:szCs w:val="24"/>
        </w:rPr>
        <w:t>data monitoring</w:t>
      </w:r>
      <w:r>
        <w:rPr>
          <w:rFonts w:ascii="Arial" w:hAnsi="Arial" w:cs="Arial"/>
          <w:sz w:val="24"/>
          <w:szCs w:val="24"/>
        </w:rPr>
        <w:t>.</w:t>
      </w:r>
      <w:r w:rsidR="005B0495">
        <w:rPr>
          <w:rFonts w:ascii="Arial" w:hAnsi="Arial" w:cs="Arial"/>
          <w:sz w:val="24"/>
          <w:szCs w:val="24"/>
        </w:rPr>
        <w:t xml:space="preserve"> </w:t>
      </w:r>
      <w:r>
        <w:rPr>
          <w:rFonts w:ascii="Arial" w:hAnsi="Arial" w:cs="Arial"/>
          <w:sz w:val="24"/>
          <w:szCs w:val="24"/>
        </w:rPr>
        <w:t>The principles are brought to life by real topical examples, and besides laying out the fundamentals we also tackle some common misperceptions and some ongoing controversies that affect the quality of research and its valid interpretation.</w:t>
      </w:r>
    </w:p>
    <w:p w14:paraId="6A67FCF2" w14:textId="77777777" w:rsidR="00793111" w:rsidRDefault="002453D8" w:rsidP="000B71EF">
      <w:pPr>
        <w:spacing w:after="0" w:line="360" w:lineRule="auto"/>
        <w:rPr>
          <w:rFonts w:ascii="Arial" w:hAnsi="Arial" w:cs="Arial"/>
          <w:sz w:val="24"/>
          <w:szCs w:val="24"/>
        </w:rPr>
      </w:pPr>
      <w:r>
        <w:rPr>
          <w:rFonts w:ascii="Arial" w:hAnsi="Arial" w:cs="Arial"/>
          <w:sz w:val="24"/>
          <w:szCs w:val="24"/>
        </w:rPr>
        <w:t xml:space="preserve"> </w:t>
      </w:r>
    </w:p>
    <w:p w14:paraId="325FACC0" w14:textId="77777777" w:rsidR="002453D8" w:rsidRDefault="002453D8" w:rsidP="000B71EF">
      <w:pPr>
        <w:spacing w:after="0" w:line="360" w:lineRule="auto"/>
        <w:rPr>
          <w:rFonts w:ascii="Arial" w:hAnsi="Arial" w:cs="Arial"/>
          <w:sz w:val="24"/>
          <w:szCs w:val="24"/>
        </w:rPr>
      </w:pPr>
      <w:r>
        <w:rPr>
          <w:rFonts w:ascii="Arial" w:hAnsi="Arial" w:cs="Arial"/>
          <w:sz w:val="24"/>
          <w:szCs w:val="24"/>
        </w:rPr>
        <w:t>Constructive critical appraisal is an art continually exercised by journal editors, reviewers and readers, and is also an integral part of good statistical science which we hope to encourage via our choice of examples.</w:t>
      </w:r>
      <w:r w:rsidR="00793111">
        <w:rPr>
          <w:rFonts w:ascii="Arial" w:hAnsi="Arial" w:cs="Arial"/>
          <w:sz w:val="24"/>
          <w:szCs w:val="24"/>
        </w:rPr>
        <w:t xml:space="preserve"> </w:t>
      </w:r>
      <w:r>
        <w:rPr>
          <w:rFonts w:ascii="Arial" w:hAnsi="Arial" w:cs="Arial"/>
          <w:sz w:val="24"/>
          <w:szCs w:val="24"/>
        </w:rPr>
        <w:t>Throughout this series we concentrate on concepts rather than providing formulae or calculation techniques, therefore ensuring that readers without a mathematical or technical background can grasp the essential messages we wish to convey.</w:t>
      </w:r>
    </w:p>
    <w:p w14:paraId="1B731D9D" w14:textId="77777777" w:rsidR="002453D8" w:rsidRDefault="002453D8" w:rsidP="000B71EF">
      <w:pPr>
        <w:spacing w:after="0" w:line="360" w:lineRule="auto"/>
        <w:rPr>
          <w:rFonts w:ascii="Arial" w:hAnsi="Arial" w:cs="Arial"/>
          <w:sz w:val="24"/>
          <w:szCs w:val="24"/>
        </w:rPr>
      </w:pPr>
    </w:p>
    <w:p w14:paraId="2A43DE0A" w14:textId="77777777" w:rsidR="002453D8" w:rsidRPr="002453D8" w:rsidRDefault="002453D8" w:rsidP="000B71EF">
      <w:pPr>
        <w:spacing w:after="0" w:line="360" w:lineRule="auto"/>
        <w:rPr>
          <w:rFonts w:ascii="Arial" w:hAnsi="Arial" w:cs="Arial"/>
          <w:b/>
          <w:sz w:val="24"/>
          <w:szCs w:val="24"/>
        </w:rPr>
      </w:pPr>
      <w:r w:rsidRPr="002453D8">
        <w:rPr>
          <w:rFonts w:ascii="Arial" w:hAnsi="Arial" w:cs="Arial"/>
          <w:b/>
          <w:sz w:val="24"/>
          <w:szCs w:val="24"/>
        </w:rPr>
        <w:t>The Essentials of Statistical Analysis</w:t>
      </w:r>
    </w:p>
    <w:p w14:paraId="08A9DC7C" w14:textId="77777777" w:rsidR="002453D8" w:rsidRDefault="002453D8" w:rsidP="000B71EF">
      <w:pPr>
        <w:spacing w:after="0" w:line="360" w:lineRule="auto"/>
        <w:rPr>
          <w:rFonts w:ascii="Arial" w:hAnsi="Arial" w:cs="Arial"/>
          <w:sz w:val="24"/>
          <w:szCs w:val="24"/>
        </w:rPr>
      </w:pPr>
    </w:p>
    <w:p w14:paraId="777C3305" w14:textId="77777777" w:rsidR="002453D8" w:rsidRDefault="002453D8" w:rsidP="000B71EF">
      <w:pPr>
        <w:spacing w:after="0" w:line="360" w:lineRule="auto"/>
        <w:rPr>
          <w:rFonts w:ascii="Arial" w:hAnsi="Arial" w:cs="Arial"/>
          <w:sz w:val="24"/>
          <w:szCs w:val="24"/>
        </w:rPr>
      </w:pPr>
      <w:r>
        <w:rPr>
          <w:rFonts w:ascii="Arial" w:hAnsi="Arial" w:cs="Arial"/>
          <w:sz w:val="24"/>
          <w:szCs w:val="24"/>
        </w:rPr>
        <w:t>The four main steps in data analysis are:</w:t>
      </w:r>
    </w:p>
    <w:p w14:paraId="72BE4CEF" w14:textId="77777777" w:rsidR="002453D8" w:rsidRDefault="00B31E73" w:rsidP="000B71EF">
      <w:pPr>
        <w:pStyle w:val="ListParagraph"/>
        <w:numPr>
          <w:ilvl w:val="0"/>
          <w:numId w:val="1"/>
        </w:numPr>
        <w:spacing w:after="0" w:line="360" w:lineRule="auto"/>
        <w:rPr>
          <w:rFonts w:ascii="Arial" w:hAnsi="Arial" w:cs="Arial"/>
          <w:sz w:val="24"/>
          <w:szCs w:val="24"/>
        </w:rPr>
      </w:pPr>
      <w:r>
        <w:rPr>
          <w:rFonts w:ascii="Arial" w:hAnsi="Arial" w:cs="Arial"/>
          <w:sz w:val="24"/>
          <w:szCs w:val="24"/>
        </w:rPr>
        <w:t>d</w:t>
      </w:r>
      <w:r w:rsidR="002453D8">
        <w:rPr>
          <w:rFonts w:ascii="Arial" w:hAnsi="Arial" w:cs="Arial"/>
          <w:sz w:val="24"/>
          <w:szCs w:val="24"/>
        </w:rPr>
        <w:t>isplaying results</w:t>
      </w:r>
      <w:r>
        <w:rPr>
          <w:rFonts w:ascii="Arial" w:hAnsi="Arial" w:cs="Arial"/>
          <w:sz w:val="24"/>
          <w:szCs w:val="24"/>
        </w:rPr>
        <w:t xml:space="preserve"> </w:t>
      </w:r>
      <w:r w:rsidR="002453D8">
        <w:rPr>
          <w:rFonts w:ascii="Arial" w:hAnsi="Arial" w:cs="Arial"/>
          <w:sz w:val="24"/>
          <w:szCs w:val="24"/>
        </w:rPr>
        <w:t>in Tables and Figures</w:t>
      </w:r>
    </w:p>
    <w:p w14:paraId="099A726D" w14:textId="77777777" w:rsidR="002453D8" w:rsidRDefault="00B31E73" w:rsidP="000B71EF">
      <w:pPr>
        <w:pStyle w:val="ListParagraph"/>
        <w:numPr>
          <w:ilvl w:val="0"/>
          <w:numId w:val="1"/>
        </w:numPr>
        <w:spacing w:after="0" w:line="360" w:lineRule="auto"/>
        <w:rPr>
          <w:rFonts w:ascii="Arial" w:hAnsi="Arial" w:cs="Arial"/>
          <w:sz w:val="24"/>
          <w:szCs w:val="24"/>
        </w:rPr>
      </w:pPr>
      <w:r>
        <w:rPr>
          <w:rFonts w:ascii="Arial" w:hAnsi="Arial" w:cs="Arial"/>
          <w:sz w:val="24"/>
          <w:szCs w:val="24"/>
        </w:rPr>
        <w:t>q</w:t>
      </w:r>
      <w:r w:rsidR="002453D8">
        <w:rPr>
          <w:rFonts w:ascii="Arial" w:hAnsi="Arial" w:cs="Arial"/>
          <w:sz w:val="24"/>
          <w:szCs w:val="24"/>
        </w:rPr>
        <w:t>uantifying any associat</w:t>
      </w:r>
      <w:r w:rsidR="00793111">
        <w:rPr>
          <w:rFonts w:ascii="Arial" w:hAnsi="Arial" w:cs="Arial"/>
          <w:sz w:val="24"/>
          <w:szCs w:val="24"/>
        </w:rPr>
        <w:t>ions</w:t>
      </w:r>
      <w:r w:rsidR="002453D8">
        <w:rPr>
          <w:rFonts w:ascii="Arial" w:hAnsi="Arial" w:cs="Arial"/>
          <w:sz w:val="24"/>
          <w:szCs w:val="24"/>
        </w:rPr>
        <w:t xml:space="preserve"> (</w:t>
      </w:r>
      <w:proofErr w:type="spellStart"/>
      <w:r w:rsidR="002453D8">
        <w:rPr>
          <w:rFonts w:ascii="Arial" w:hAnsi="Arial" w:cs="Arial"/>
          <w:sz w:val="24"/>
          <w:szCs w:val="24"/>
        </w:rPr>
        <w:t>eg</w:t>
      </w:r>
      <w:proofErr w:type="spellEnd"/>
      <w:r w:rsidR="005E7ACB">
        <w:rPr>
          <w:rFonts w:ascii="Arial" w:hAnsi="Arial" w:cs="Arial"/>
          <w:sz w:val="24"/>
          <w:szCs w:val="24"/>
        </w:rPr>
        <w:t>.</w:t>
      </w:r>
      <w:r w:rsidR="002453D8">
        <w:rPr>
          <w:rFonts w:ascii="Arial" w:hAnsi="Arial" w:cs="Arial"/>
          <w:sz w:val="24"/>
          <w:szCs w:val="24"/>
        </w:rPr>
        <w:t xml:space="preserve"> estimates </w:t>
      </w:r>
      <w:r>
        <w:rPr>
          <w:rFonts w:ascii="Arial" w:hAnsi="Arial" w:cs="Arial"/>
          <w:sz w:val="24"/>
          <w:szCs w:val="24"/>
        </w:rPr>
        <w:t>of treatment differences in patient outcomes</w:t>
      </w:r>
      <w:r w:rsidR="00793111">
        <w:rPr>
          <w:rFonts w:ascii="Arial" w:hAnsi="Arial" w:cs="Arial"/>
          <w:sz w:val="24"/>
          <w:szCs w:val="24"/>
        </w:rPr>
        <w:t>)</w:t>
      </w:r>
    </w:p>
    <w:p w14:paraId="05246DFB" w14:textId="77777777" w:rsidR="00B31E73" w:rsidRDefault="00B31E73" w:rsidP="000B71EF">
      <w:pPr>
        <w:pStyle w:val="ListParagraph"/>
        <w:numPr>
          <w:ilvl w:val="0"/>
          <w:numId w:val="1"/>
        </w:numPr>
        <w:spacing w:after="0" w:line="360" w:lineRule="auto"/>
        <w:rPr>
          <w:rFonts w:ascii="Arial" w:hAnsi="Arial" w:cs="Arial"/>
          <w:sz w:val="24"/>
          <w:szCs w:val="24"/>
        </w:rPr>
      </w:pPr>
      <w:r>
        <w:rPr>
          <w:rFonts w:ascii="Arial" w:hAnsi="Arial" w:cs="Arial"/>
          <w:sz w:val="24"/>
          <w:szCs w:val="24"/>
        </w:rPr>
        <w:t>expressing the uncertainty in those associations by use of confidence intervals</w:t>
      </w:r>
    </w:p>
    <w:p w14:paraId="619BFA5E" w14:textId="5AB88BFE" w:rsidR="00B31E73" w:rsidRDefault="00B31E73" w:rsidP="000B71EF">
      <w:pPr>
        <w:pStyle w:val="ListParagraph"/>
        <w:numPr>
          <w:ilvl w:val="0"/>
          <w:numId w:val="1"/>
        </w:numPr>
        <w:spacing w:after="0" w:line="360" w:lineRule="auto"/>
        <w:rPr>
          <w:rFonts w:ascii="Arial" w:hAnsi="Arial" w:cs="Arial"/>
          <w:sz w:val="24"/>
          <w:szCs w:val="24"/>
        </w:rPr>
      </w:pPr>
      <w:proofErr w:type="gramStart"/>
      <w:r>
        <w:rPr>
          <w:rFonts w:ascii="Arial" w:hAnsi="Arial" w:cs="Arial"/>
          <w:sz w:val="24"/>
          <w:szCs w:val="24"/>
        </w:rPr>
        <w:t>assessing</w:t>
      </w:r>
      <w:proofErr w:type="gramEnd"/>
      <w:r>
        <w:rPr>
          <w:rFonts w:ascii="Arial" w:hAnsi="Arial" w:cs="Arial"/>
          <w:sz w:val="24"/>
          <w:szCs w:val="24"/>
        </w:rPr>
        <w:t xml:space="preserve"> the strength of evidence that the association is </w:t>
      </w:r>
      <w:r w:rsidR="00BE7E0F">
        <w:rPr>
          <w:rFonts w:ascii="Arial" w:hAnsi="Arial" w:cs="Arial"/>
          <w:sz w:val="24"/>
          <w:szCs w:val="24"/>
        </w:rPr>
        <w:t>“</w:t>
      </w:r>
      <w:r>
        <w:rPr>
          <w:rFonts w:ascii="Arial" w:hAnsi="Arial" w:cs="Arial"/>
          <w:sz w:val="24"/>
          <w:szCs w:val="24"/>
        </w:rPr>
        <w:t>real</w:t>
      </w:r>
      <w:r w:rsidR="00BE7E0F">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ie</w:t>
      </w:r>
      <w:proofErr w:type="spellEnd"/>
      <w:r w:rsidR="005E7ACB">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more</w:t>
      </w:r>
      <w:proofErr w:type="gramEnd"/>
      <w:r>
        <w:rPr>
          <w:rFonts w:ascii="Arial" w:hAnsi="Arial" w:cs="Arial"/>
          <w:sz w:val="24"/>
          <w:szCs w:val="24"/>
        </w:rPr>
        <w:t xml:space="preserve"> than could be </w:t>
      </w:r>
      <w:r w:rsidR="003B2C70">
        <w:rPr>
          <w:rFonts w:ascii="Arial" w:hAnsi="Arial" w:cs="Arial"/>
          <w:sz w:val="24"/>
          <w:szCs w:val="24"/>
        </w:rPr>
        <w:t xml:space="preserve">expected </w:t>
      </w:r>
      <w:r>
        <w:rPr>
          <w:rFonts w:ascii="Arial" w:hAnsi="Arial" w:cs="Arial"/>
          <w:sz w:val="24"/>
          <w:szCs w:val="24"/>
        </w:rPr>
        <w:t>by chance, by using P-values (statistical tests of significance).</w:t>
      </w:r>
    </w:p>
    <w:p w14:paraId="37E0CD3A" w14:textId="77777777" w:rsidR="00B31E73" w:rsidRPr="00B31E73" w:rsidRDefault="00B31E73" w:rsidP="00EC4A4D">
      <w:pPr>
        <w:spacing w:after="0" w:line="360" w:lineRule="auto"/>
        <w:rPr>
          <w:rFonts w:ascii="Arial" w:hAnsi="Arial" w:cs="Arial"/>
          <w:sz w:val="24"/>
          <w:szCs w:val="24"/>
        </w:rPr>
      </w:pPr>
    </w:p>
    <w:p w14:paraId="462E052F" w14:textId="77777777" w:rsidR="00146527" w:rsidRDefault="00B31E73" w:rsidP="000B71EF">
      <w:pPr>
        <w:spacing w:after="0" w:line="360" w:lineRule="auto"/>
        <w:rPr>
          <w:rFonts w:ascii="Arial" w:hAnsi="Arial" w:cs="Arial"/>
          <w:sz w:val="24"/>
          <w:szCs w:val="24"/>
        </w:rPr>
      </w:pPr>
      <w:r>
        <w:rPr>
          <w:rFonts w:ascii="Arial" w:hAnsi="Arial" w:cs="Arial"/>
          <w:sz w:val="24"/>
          <w:szCs w:val="24"/>
        </w:rPr>
        <w:t>The next</w:t>
      </w:r>
      <w:r w:rsidR="00793111">
        <w:rPr>
          <w:rFonts w:ascii="Arial" w:hAnsi="Arial" w:cs="Arial"/>
          <w:sz w:val="24"/>
          <w:szCs w:val="24"/>
        </w:rPr>
        <w:t xml:space="preserve"> few</w:t>
      </w:r>
      <w:r>
        <w:rPr>
          <w:rFonts w:ascii="Arial" w:hAnsi="Arial" w:cs="Arial"/>
          <w:sz w:val="24"/>
          <w:szCs w:val="24"/>
        </w:rPr>
        <w:t xml:space="preserve"> sections take us through these essentials, illustrated by examples from randomised trials. The same principles broadly apply to observational studies, with one major proviso: in non-randomised studies one cannot readily infer that any association not due to chance indicate</w:t>
      </w:r>
      <w:r w:rsidR="00715C7B">
        <w:rPr>
          <w:rFonts w:ascii="Arial" w:hAnsi="Arial" w:cs="Arial"/>
          <w:sz w:val="24"/>
          <w:szCs w:val="24"/>
        </w:rPr>
        <w:t>s a causal relationship.</w:t>
      </w:r>
    </w:p>
    <w:p w14:paraId="6E89B11E" w14:textId="77777777" w:rsidR="00715C7B" w:rsidRDefault="00715C7B" w:rsidP="000B71EF">
      <w:pPr>
        <w:spacing w:after="0" w:line="360" w:lineRule="auto"/>
        <w:rPr>
          <w:rFonts w:ascii="Arial" w:hAnsi="Arial" w:cs="Arial"/>
          <w:sz w:val="24"/>
          <w:szCs w:val="24"/>
        </w:rPr>
      </w:pPr>
    </w:p>
    <w:p w14:paraId="335CABF5" w14:textId="77777777" w:rsidR="00146527" w:rsidRDefault="00146527" w:rsidP="000B71EF">
      <w:pPr>
        <w:spacing w:after="0" w:line="360" w:lineRule="auto"/>
        <w:rPr>
          <w:rFonts w:ascii="Arial" w:hAnsi="Arial" w:cs="Arial"/>
          <w:sz w:val="24"/>
          <w:szCs w:val="24"/>
        </w:rPr>
      </w:pPr>
      <w:r>
        <w:rPr>
          <w:rFonts w:ascii="Arial" w:hAnsi="Arial" w:cs="Arial"/>
          <w:sz w:val="24"/>
          <w:szCs w:val="24"/>
        </w:rPr>
        <w:t>Also next week we discuss some of the more challenging issues when reporting clinical trials.</w:t>
      </w:r>
    </w:p>
    <w:p w14:paraId="053DAAC0" w14:textId="77777777" w:rsidR="00B31E73" w:rsidRDefault="00B31E73" w:rsidP="000B71EF">
      <w:pPr>
        <w:spacing w:after="0" w:line="360" w:lineRule="auto"/>
        <w:rPr>
          <w:rFonts w:ascii="Arial" w:hAnsi="Arial" w:cs="Arial"/>
          <w:sz w:val="24"/>
          <w:szCs w:val="24"/>
        </w:rPr>
      </w:pPr>
    </w:p>
    <w:p w14:paraId="29CC4BF0" w14:textId="77777777" w:rsidR="00B31E73" w:rsidRPr="00B31E73" w:rsidRDefault="00B31E73" w:rsidP="000B71EF">
      <w:pPr>
        <w:spacing w:after="0" w:line="360" w:lineRule="auto"/>
        <w:rPr>
          <w:rFonts w:ascii="Arial" w:hAnsi="Arial" w:cs="Arial"/>
          <w:b/>
          <w:sz w:val="24"/>
          <w:szCs w:val="24"/>
        </w:rPr>
      </w:pPr>
      <w:r w:rsidRPr="00B31E73">
        <w:rPr>
          <w:rFonts w:ascii="Arial" w:hAnsi="Arial" w:cs="Arial"/>
          <w:b/>
          <w:sz w:val="24"/>
          <w:szCs w:val="24"/>
        </w:rPr>
        <w:t>Displaying Results in Tables and Figures</w:t>
      </w:r>
    </w:p>
    <w:p w14:paraId="1D89F4E8" w14:textId="77777777" w:rsidR="00B31E73" w:rsidRDefault="00B31E73" w:rsidP="000B71EF">
      <w:pPr>
        <w:spacing w:after="0" w:line="360" w:lineRule="auto"/>
        <w:rPr>
          <w:rFonts w:ascii="Arial" w:hAnsi="Arial" w:cs="Arial"/>
          <w:sz w:val="24"/>
          <w:szCs w:val="24"/>
        </w:rPr>
      </w:pPr>
    </w:p>
    <w:p w14:paraId="50851D08" w14:textId="77777777" w:rsidR="00B31E73" w:rsidRDefault="00B31E73" w:rsidP="000B71EF">
      <w:pPr>
        <w:spacing w:after="0" w:line="360" w:lineRule="auto"/>
        <w:rPr>
          <w:rFonts w:ascii="Arial" w:hAnsi="Arial" w:cs="Arial"/>
          <w:b/>
          <w:sz w:val="24"/>
          <w:szCs w:val="24"/>
        </w:rPr>
      </w:pPr>
      <w:r w:rsidRPr="005E7ACB">
        <w:rPr>
          <w:rFonts w:ascii="Arial" w:hAnsi="Arial" w:cs="Arial"/>
          <w:b/>
          <w:sz w:val="24"/>
          <w:szCs w:val="24"/>
        </w:rPr>
        <w:t>Table of Baseline Data</w:t>
      </w:r>
    </w:p>
    <w:p w14:paraId="1DB790F4" w14:textId="77777777" w:rsidR="006759B1" w:rsidRPr="005E7ACB" w:rsidRDefault="006759B1" w:rsidP="000B71EF">
      <w:pPr>
        <w:spacing w:after="0" w:line="360" w:lineRule="auto"/>
        <w:rPr>
          <w:rFonts w:ascii="Arial" w:hAnsi="Arial" w:cs="Arial"/>
          <w:sz w:val="24"/>
          <w:szCs w:val="24"/>
        </w:rPr>
      </w:pPr>
    </w:p>
    <w:p w14:paraId="26409A56" w14:textId="77777777" w:rsidR="00163091" w:rsidRDefault="00B31E73" w:rsidP="000B71EF">
      <w:pPr>
        <w:spacing w:after="0" w:line="360" w:lineRule="auto"/>
        <w:rPr>
          <w:rFonts w:ascii="Arial" w:hAnsi="Arial" w:cs="Arial"/>
          <w:sz w:val="24"/>
          <w:szCs w:val="24"/>
        </w:rPr>
      </w:pPr>
      <w:r>
        <w:rPr>
          <w:rFonts w:ascii="Arial" w:hAnsi="Arial" w:cs="Arial"/>
          <w:sz w:val="24"/>
          <w:szCs w:val="24"/>
        </w:rPr>
        <w:t xml:space="preserve">The first Table in any clinical trial report shows patients’ baseline characteristic by treatment group. </w:t>
      </w:r>
      <w:r w:rsidR="00266380">
        <w:rPr>
          <w:rFonts w:ascii="Arial" w:hAnsi="Arial" w:cs="Arial"/>
          <w:sz w:val="24"/>
          <w:szCs w:val="24"/>
        </w:rPr>
        <w:t xml:space="preserve">Which characteristics to present will vary by trial but will almost always include key demographic variables, </w:t>
      </w:r>
      <w:r w:rsidR="000A4873">
        <w:rPr>
          <w:rFonts w:ascii="Arial" w:hAnsi="Arial" w:cs="Arial"/>
          <w:sz w:val="24"/>
          <w:szCs w:val="24"/>
        </w:rPr>
        <w:t>related m</w:t>
      </w:r>
      <w:r w:rsidR="00266380">
        <w:rPr>
          <w:rFonts w:ascii="Arial" w:hAnsi="Arial" w:cs="Arial"/>
          <w:sz w:val="24"/>
          <w:szCs w:val="24"/>
        </w:rPr>
        <w:t xml:space="preserve">edical history and </w:t>
      </w:r>
      <w:r w:rsidR="000A4873">
        <w:rPr>
          <w:rFonts w:ascii="Arial" w:hAnsi="Arial" w:cs="Arial"/>
          <w:sz w:val="24"/>
          <w:szCs w:val="24"/>
        </w:rPr>
        <w:t xml:space="preserve">other </w:t>
      </w:r>
      <w:r w:rsidR="00266380">
        <w:rPr>
          <w:rFonts w:ascii="Arial" w:hAnsi="Arial" w:cs="Arial"/>
          <w:sz w:val="24"/>
          <w:szCs w:val="24"/>
        </w:rPr>
        <w:t xml:space="preserve">variables that might be strongly related to the trial endpoints. </w:t>
      </w:r>
      <w:r w:rsidR="000A4873">
        <w:rPr>
          <w:rFonts w:ascii="Arial" w:hAnsi="Arial" w:cs="Arial"/>
          <w:sz w:val="24"/>
          <w:szCs w:val="24"/>
        </w:rPr>
        <w:t>See Table 1 as an example from the PARADIGM-HF trial</w:t>
      </w:r>
      <w:r w:rsidR="00E55F9A">
        <w:rPr>
          <w:rFonts w:ascii="Arial" w:hAnsi="Arial" w:cs="Arial"/>
          <w:sz w:val="24"/>
          <w:szCs w:val="24"/>
        </w:rPr>
        <w:t xml:space="preserve"> </w:t>
      </w:r>
      <w:r w:rsidR="00A16969">
        <w:rPr>
          <w:rFonts w:ascii="Arial" w:hAnsi="Arial" w:cs="Arial"/>
          <w:sz w:val="24"/>
          <w:szCs w:val="24"/>
        </w:rPr>
        <w:fldChar w:fldCharType="begin"/>
      </w:r>
      <w:r w:rsidR="00A16969">
        <w:rPr>
          <w:rFonts w:ascii="Arial" w:hAnsi="Arial" w:cs="Arial"/>
          <w:sz w:val="24"/>
          <w:szCs w:val="24"/>
        </w:rPr>
        <w:instrText xml:space="preserve"> ADDIN EN.CITE &lt;EndNote&gt;&lt;Cite&gt;&lt;Author&gt;McMurray&lt;/Author&gt;&lt;Year&gt;2014&lt;/Year&gt;&lt;RecNum&gt;8&lt;/RecNum&gt;&lt;DisplayText&gt;(1)&lt;/DisplayText&gt;&lt;record&gt;&lt;rec-number&gt;8&lt;/rec-number&gt;&lt;foreign-keys&gt;&lt;key app="EN" db-id="eaz5sewevp5dfxewrdrvzv52xsv2tsf22rzr"&gt;8&lt;/key&gt;&lt;/foreign-keys&gt;&lt;ref-type name="Journal Article"&gt;17&lt;/ref-type&gt;&lt;contributors&gt;&lt;authors&gt;&lt;author&gt;McMurray, John J.V.&lt;/author&gt;&lt;author&gt;Packer, Milton&lt;/author&gt;&lt;author&gt;Desai, Akshay S.&lt;/author&gt;&lt;author&gt;Gong, Jianjian&lt;/author&gt;&lt;author&gt;Lefkowitz, Martin P.&lt;/author&gt;&lt;author&gt;Rizkala, Adel R.&lt;/author&gt;&lt;author&gt;Rouleau, Jean L.&lt;/author&gt;&lt;author&gt;Shi, Victor C.&lt;/author&gt;&lt;author&gt;Solomon, Scott D.&lt;/author&gt;&lt;author&gt;Swedberg, Karl&lt;/author&gt;&lt;author&gt;Zile, Michael R.&lt;/author&gt;&lt;/authors&gt;&lt;/contributors&gt;&lt;titles&gt;&lt;title&gt;Angiotensin–Neprilysin Inhibition versus Enalapril in Heart Failure&lt;/title&gt;&lt;secondary-title&gt;New England Journal of Medicine&lt;/secondary-title&gt;&lt;/titles&gt;&lt;periodical&gt;&lt;full-title&gt;New England Journal of Medicine&lt;/full-title&gt;&lt;/periodical&gt;&lt;pages&gt;993-1004&lt;/pages&gt;&lt;volume&gt;371&lt;/volume&gt;&lt;number&gt;11&lt;/number&gt;&lt;dates&gt;&lt;year&gt;2014&lt;/year&gt;&lt;/dates&gt;&lt;accession-num&gt;25176015&lt;/accession-num&gt;&lt;call-num&gt;1&lt;/call-num&gt;&lt;urls&gt;&lt;related-urls&gt;&lt;url&gt;http://www.nejm.org/doi/full/10.1056/NEJMoa1409077&lt;/url&gt;&lt;/related-urls&gt;&lt;/urls&gt;&lt;electronic-resource-num&gt;doi:10.1056/NEJMoa1409077&lt;/electronic-resource-num&gt;&lt;/record&gt;&lt;/Cite&gt;&lt;/EndNote&gt;</w:instrText>
      </w:r>
      <w:r w:rsidR="00A16969">
        <w:rPr>
          <w:rFonts w:ascii="Arial" w:hAnsi="Arial" w:cs="Arial"/>
          <w:sz w:val="24"/>
          <w:szCs w:val="24"/>
        </w:rPr>
        <w:fldChar w:fldCharType="separate"/>
      </w:r>
      <w:r w:rsidR="00A16969">
        <w:rPr>
          <w:rFonts w:ascii="Arial" w:hAnsi="Arial" w:cs="Arial"/>
          <w:noProof/>
          <w:sz w:val="24"/>
          <w:szCs w:val="24"/>
        </w:rPr>
        <w:t>(</w:t>
      </w:r>
      <w:hyperlink w:anchor="_ENREF_1" w:tooltip="McMurray, 2014 #8" w:history="1">
        <w:r w:rsidR="00C06C90">
          <w:rPr>
            <w:rFonts w:ascii="Arial" w:hAnsi="Arial" w:cs="Arial"/>
            <w:noProof/>
            <w:sz w:val="24"/>
            <w:szCs w:val="24"/>
          </w:rPr>
          <w:t>1</w:t>
        </w:r>
      </w:hyperlink>
      <w:r w:rsidR="00A16969">
        <w:rPr>
          <w:rFonts w:ascii="Arial" w:hAnsi="Arial" w:cs="Arial"/>
          <w:noProof/>
          <w:sz w:val="24"/>
          <w:szCs w:val="24"/>
        </w:rPr>
        <w:t>)</w:t>
      </w:r>
      <w:r w:rsidR="00A16969">
        <w:rPr>
          <w:rFonts w:ascii="Arial" w:hAnsi="Arial" w:cs="Arial"/>
          <w:sz w:val="24"/>
          <w:szCs w:val="24"/>
        </w:rPr>
        <w:fldChar w:fldCharType="end"/>
      </w:r>
      <w:r w:rsidR="000A4873">
        <w:rPr>
          <w:rFonts w:ascii="Arial" w:hAnsi="Arial" w:cs="Arial"/>
          <w:sz w:val="24"/>
          <w:szCs w:val="24"/>
        </w:rPr>
        <w:t xml:space="preserve">. </w:t>
      </w:r>
      <w:r>
        <w:rPr>
          <w:rFonts w:ascii="Arial" w:hAnsi="Arial" w:cs="Arial"/>
          <w:sz w:val="24"/>
          <w:szCs w:val="24"/>
        </w:rPr>
        <w:t>Note categorical variables are shown as number (%) by group. For quantitative variables there are two common options: means (and standard deviations) or median (and inter</w:t>
      </w:r>
      <w:r w:rsidR="005E7ACB">
        <w:rPr>
          <w:rFonts w:ascii="Arial" w:hAnsi="Arial" w:cs="Arial"/>
          <w:sz w:val="24"/>
          <w:szCs w:val="24"/>
        </w:rPr>
        <w:t>-quartile range). For variables with a skew distribution the latter is often preferable</w:t>
      </w:r>
      <w:r w:rsidR="00485908">
        <w:rPr>
          <w:rFonts w:ascii="Arial" w:hAnsi="Arial" w:cs="Arial"/>
          <w:sz w:val="24"/>
          <w:szCs w:val="24"/>
        </w:rPr>
        <w:t>, geometric means being another option</w:t>
      </w:r>
      <w:r w:rsidR="005E7ACB">
        <w:rPr>
          <w:rFonts w:ascii="Arial" w:hAnsi="Arial" w:cs="Arial"/>
          <w:sz w:val="24"/>
          <w:szCs w:val="24"/>
        </w:rPr>
        <w:t xml:space="preserve">. In addition some such variables may be formed into categories </w:t>
      </w:r>
      <w:proofErr w:type="spellStart"/>
      <w:r w:rsidR="005E7ACB">
        <w:rPr>
          <w:rFonts w:ascii="Arial" w:hAnsi="Arial" w:cs="Arial"/>
          <w:sz w:val="24"/>
          <w:szCs w:val="24"/>
        </w:rPr>
        <w:t>eg</w:t>
      </w:r>
      <w:proofErr w:type="spellEnd"/>
      <w:r w:rsidR="005E7ACB">
        <w:rPr>
          <w:rFonts w:ascii="Arial" w:hAnsi="Arial" w:cs="Arial"/>
          <w:sz w:val="24"/>
          <w:szCs w:val="24"/>
        </w:rPr>
        <w:t xml:space="preserve">. </w:t>
      </w:r>
      <w:proofErr w:type="gramStart"/>
      <w:r w:rsidR="005E7ACB">
        <w:rPr>
          <w:rFonts w:ascii="Arial" w:hAnsi="Arial" w:cs="Arial"/>
          <w:sz w:val="24"/>
          <w:szCs w:val="24"/>
        </w:rPr>
        <w:t>age</w:t>
      </w:r>
      <w:proofErr w:type="gramEnd"/>
      <w:r w:rsidR="005E7ACB">
        <w:rPr>
          <w:rFonts w:ascii="Arial" w:hAnsi="Arial" w:cs="Arial"/>
          <w:sz w:val="24"/>
          <w:szCs w:val="24"/>
        </w:rPr>
        <w:t xml:space="preserve"> groups, specific (abnormal) cut-offs for biochemical variables. This (and indeed any other Table) should include the total n</w:t>
      </w:r>
      <w:r w:rsidR="00266380">
        <w:rPr>
          <w:rFonts w:ascii="Arial" w:hAnsi="Arial" w:cs="Arial"/>
          <w:sz w:val="24"/>
          <w:szCs w:val="24"/>
        </w:rPr>
        <w:t>umber</w:t>
      </w:r>
      <w:r w:rsidR="005E7ACB">
        <w:rPr>
          <w:rFonts w:ascii="Arial" w:hAnsi="Arial" w:cs="Arial"/>
          <w:sz w:val="24"/>
          <w:szCs w:val="24"/>
        </w:rPr>
        <w:t xml:space="preserve"> of patient</w:t>
      </w:r>
      <w:r w:rsidR="00266380">
        <w:rPr>
          <w:rFonts w:ascii="Arial" w:hAnsi="Arial" w:cs="Arial"/>
          <w:sz w:val="24"/>
          <w:szCs w:val="24"/>
        </w:rPr>
        <w:t>s</w:t>
      </w:r>
      <w:r w:rsidR="005E7ACB">
        <w:rPr>
          <w:rFonts w:ascii="Arial" w:hAnsi="Arial" w:cs="Arial"/>
          <w:sz w:val="24"/>
          <w:szCs w:val="24"/>
        </w:rPr>
        <w:t xml:space="preserve"> per group at the top.</w:t>
      </w:r>
      <w:r w:rsidR="00793111">
        <w:rPr>
          <w:rFonts w:ascii="Arial" w:hAnsi="Arial" w:cs="Arial"/>
          <w:sz w:val="24"/>
          <w:szCs w:val="24"/>
        </w:rPr>
        <w:t xml:space="preserve"> </w:t>
      </w:r>
      <w:r w:rsidR="00163091">
        <w:rPr>
          <w:rFonts w:ascii="Arial" w:hAnsi="Arial" w:cs="Arial"/>
          <w:sz w:val="24"/>
          <w:szCs w:val="24"/>
        </w:rPr>
        <w:t xml:space="preserve">In order to limit the size of Table 1, a third column showing results for all groups combined may be unnecessary. Also for some binary variables </w:t>
      </w:r>
      <w:proofErr w:type="spellStart"/>
      <w:r w:rsidR="00163091">
        <w:rPr>
          <w:rFonts w:ascii="Arial" w:hAnsi="Arial" w:cs="Arial"/>
          <w:sz w:val="24"/>
          <w:szCs w:val="24"/>
        </w:rPr>
        <w:t>eg</w:t>
      </w:r>
      <w:proofErr w:type="spellEnd"/>
      <w:r w:rsidR="00163091">
        <w:rPr>
          <w:rFonts w:ascii="Arial" w:hAnsi="Arial" w:cs="Arial"/>
          <w:sz w:val="24"/>
          <w:szCs w:val="24"/>
        </w:rPr>
        <w:t xml:space="preserve">. </w:t>
      </w:r>
      <w:proofErr w:type="gramStart"/>
      <w:r w:rsidR="007515A9">
        <w:rPr>
          <w:rFonts w:ascii="Arial" w:hAnsi="Arial" w:cs="Arial"/>
          <w:sz w:val="24"/>
          <w:szCs w:val="24"/>
        </w:rPr>
        <w:t>g</w:t>
      </w:r>
      <w:r w:rsidR="00163091">
        <w:rPr>
          <w:rFonts w:ascii="Arial" w:hAnsi="Arial" w:cs="Arial"/>
          <w:sz w:val="24"/>
          <w:szCs w:val="24"/>
        </w:rPr>
        <w:t>ender</w:t>
      </w:r>
      <w:proofErr w:type="gramEnd"/>
      <w:r w:rsidR="00163091">
        <w:rPr>
          <w:rFonts w:ascii="Arial" w:hAnsi="Arial" w:cs="Arial"/>
          <w:sz w:val="24"/>
          <w:szCs w:val="24"/>
        </w:rPr>
        <w:t xml:space="preserve">, disease history only one category </w:t>
      </w:r>
      <w:proofErr w:type="spellStart"/>
      <w:r w:rsidR="00163091">
        <w:rPr>
          <w:rFonts w:ascii="Arial" w:hAnsi="Arial" w:cs="Arial"/>
          <w:sz w:val="24"/>
          <w:szCs w:val="24"/>
        </w:rPr>
        <w:t>eg</w:t>
      </w:r>
      <w:proofErr w:type="spellEnd"/>
      <w:r w:rsidR="00163091">
        <w:rPr>
          <w:rFonts w:ascii="Arial" w:hAnsi="Arial" w:cs="Arial"/>
          <w:sz w:val="24"/>
          <w:szCs w:val="24"/>
        </w:rPr>
        <w:t xml:space="preserve">. </w:t>
      </w:r>
      <w:proofErr w:type="gramStart"/>
      <w:r w:rsidR="007515A9">
        <w:rPr>
          <w:rFonts w:ascii="Arial" w:hAnsi="Arial" w:cs="Arial"/>
          <w:sz w:val="24"/>
          <w:szCs w:val="24"/>
        </w:rPr>
        <w:t>m</w:t>
      </w:r>
      <w:r w:rsidR="00163091">
        <w:rPr>
          <w:rFonts w:ascii="Arial" w:hAnsi="Arial" w:cs="Arial"/>
          <w:sz w:val="24"/>
          <w:szCs w:val="24"/>
        </w:rPr>
        <w:t>ale</w:t>
      </w:r>
      <w:proofErr w:type="gramEnd"/>
      <w:r w:rsidR="00163091">
        <w:rPr>
          <w:rFonts w:ascii="Arial" w:hAnsi="Arial" w:cs="Arial"/>
          <w:sz w:val="24"/>
          <w:szCs w:val="24"/>
        </w:rPr>
        <w:t>, diabetic, need be shown.</w:t>
      </w:r>
      <w:r w:rsidR="00266380">
        <w:rPr>
          <w:rFonts w:ascii="Arial" w:hAnsi="Arial" w:cs="Arial"/>
          <w:sz w:val="24"/>
          <w:szCs w:val="24"/>
        </w:rPr>
        <w:t xml:space="preserve"> Unnecessary precision in reporting means or percentages should be avoided with one decimal place usually being sufficient. The use of P values in baseline tables should also be avoided since in the setting of a well conducted randomised controlled trial any differences at baseline must have arisen by chance. </w:t>
      </w:r>
    </w:p>
    <w:p w14:paraId="176DA9D7" w14:textId="77777777" w:rsidR="007515A9" w:rsidRDefault="007515A9" w:rsidP="000B71EF">
      <w:pPr>
        <w:spacing w:after="0" w:line="360" w:lineRule="auto"/>
        <w:rPr>
          <w:rFonts w:ascii="Arial" w:hAnsi="Arial" w:cs="Arial"/>
          <w:sz w:val="24"/>
          <w:szCs w:val="24"/>
        </w:rPr>
      </w:pPr>
    </w:p>
    <w:p w14:paraId="6519535A" w14:textId="77777777" w:rsidR="00850255" w:rsidRDefault="00850255">
      <w:pPr>
        <w:rPr>
          <w:rFonts w:ascii="Arial" w:hAnsi="Arial" w:cs="Arial"/>
          <w:b/>
          <w:sz w:val="24"/>
          <w:szCs w:val="24"/>
        </w:rPr>
      </w:pPr>
      <w:r>
        <w:rPr>
          <w:rFonts w:ascii="Arial" w:hAnsi="Arial" w:cs="Arial"/>
          <w:b/>
          <w:sz w:val="24"/>
          <w:szCs w:val="24"/>
        </w:rPr>
        <w:br w:type="page"/>
      </w:r>
    </w:p>
    <w:p w14:paraId="179F9105" w14:textId="77777777" w:rsidR="007515A9" w:rsidRDefault="007515A9" w:rsidP="000B71EF">
      <w:pPr>
        <w:spacing w:after="0" w:line="360" w:lineRule="auto"/>
        <w:rPr>
          <w:rFonts w:ascii="Arial" w:hAnsi="Arial" w:cs="Arial"/>
          <w:b/>
          <w:sz w:val="24"/>
          <w:szCs w:val="24"/>
        </w:rPr>
      </w:pPr>
      <w:r w:rsidRPr="007515A9">
        <w:rPr>
          <w:rFonts w:ascii="Arial" w:hAnsi="Arial" w:cs="Arial"/>
          <w:b/>
          <w:sz w:val="24"/>
          <w:szCs w:val="24"/>
        </w:rPr>
        <w:lastRenderedPageBreak/>
        <w:t>Table of Main Outcome Events</w:t>
      </w:r>
    </w:p>
    <w:p w14:paraId="5F8B20D1" w14:textId="77777777" w:rsidR="006759B1" w:rsidRPr="007515A9" w:rsidRDefault="006759B1" w:rsidP="000B71EF">
      <w:pPr>
        <w:spacing w:after="0" w:line="360" w:lineRule="auto"/>
        <w:rPr>
          <w:rFonts w:ascii="Arial" w:hAnsi="Arial" w:cs="Arial"/>
          <w:b/>
          <w:sz w:val="24"/>
          <w:szCs w:val="24"/>
        </w:rPr>
      </w:pPr>
    </w:p>
    <w:p w14:paraId="7776CE02" w14:textId="77777777" w:rsidR="007515A9" w:rsidRDefault="007515A9" w:rsidP="000B71EF">
      <w:pPr>
        <w:spacing w:after="0" w:line="360" w:lineRule="auto"/>
        <w:rPr>
          <w:rFonts w:ascii="Arial" w:hAnsi="Arial" w:cs="Arial"/>
          <w:sz w:val="24"/>
          <w:szCs w:val="24"/>
        </w:rPr>
      </w:pPr>
      <w:r>
        <w:rPr>
          <w:rFonts w:ascii="Arial" w:hAnsi="Arial" w:cs="Arial"/>
          <w:sz w:val="24"/>
          <w:szCs w:val="24"/>
        </w:rPr>
        <w:t>The key Table for any clinical trial displays the main outcomes by treatment group. For trials concentrating on clinical events during follow-up the numbers (%) by group experiencing each type of event should be shown</w:t>
      </w:r>
      <w:r w:rsidR="00A16969">
        <w:rPr>
          <w:rFonts w:ascii="Arial" w:hAnsi="Arial" w:cs="Arial"/>
          <w:sz w:val="24"/>
          <w:szCs w:val="24"/>
        </w:rPr>
        <w:t>. S</w:t>
      </w:r>
      <w:r>
        <w:rPr>
          <w:rFonts w:ascii="Arial" w:hAnsi="Arial" w:cs="Arial"/>
          <w:sz w:val="24"/>
          <w:szCs w:val="24"/>
        </w:rPr>
        <w:t>ee Table 2 as an example</w:t>
      </w:r>
      <w:r w:rsidR="00793111">
        <w:rPr>
          <w:rFonts w:ascii="Arial" w:hAnsi="Arial" w:cs="Arial"/>
          <w:sz w:val="24"/>
          <w:szCs w:val="24"/>
        </w:rPr>
        <w:t xml:space="preserve"> from the SAVOR-TIMI53 trial</w:t>
      </w:r>
      <w:r w:rsidR="00E55F9A">
        <w:rPr>
          <w:rFonts w:ascii="Arial" w:hAnsi="Arial" w:cs="Arial"/>
          <w:sz w:val="24"/>
          <w:szCs w:val="24"/>
        </w:rPr>
        <w:t xml:space="preserve"> </w:t>
      </w:r>
      <w:r w:rsidR="00A16969">
        <w:rPr>
          <w:rFonts w:ascii="Arial" w:hAnsi="Arial" w:cs="Arial"/>
          <w:sz w:val="24"/>
          <w:szCs w:val="24"/>
        </w:rPr>
        <w:fldChar w:fldCharType="begin"/>
      </w:r>
      <w:r w:rsidR="00A16969">
        <w:rPr>
          <w:rFonts w:ascii="Arial" w:hAnsi="Arial" w:cs="Arial"/>
          <w:sz w:val="24"/>
          <w:szCs w:val="24"/>
        </w:rPr>
        <w:instrText xml:space="preserve"> ADDIN EN.CITE &lt;EndNote&gt;&lt;Cite&gt;&lt;Author&gt;Scirica&lt;/Author&gt;&lt;Year&gt;2013&lt;/Year&gt;&lt;RecNum&gt;9&lt;/RecNum&gt;&lt;DisplayText&gt;(2)&lt;/DisplayText&gt;&lt;record&gt;&lt;rec-number&gt;9&lt;/rec-number&gt;&lt;foreign-keys&gt;&lt;key app="EN" db-id="eaz5sewevp5dfxewrdrvzv52xsv2tsf22rzr"&gt;9&lt;/key&gt;&lt;/foreign-keys&gt;&lt;ref-type name="Journal Article"&gt;17&lt;/ref-type&gt;&lt;contributors&gt;&lt;authors&gt;&lt;author&gt;Scirica, Benjamin M.&lt;/author&gt;&lt;author&gt;Bhatt, Deepak L.&lt;/author&gt;&lt;author&gt;Braunwald, Eugene&lt;/author&gt;&lt;author&gt;Steg, P. Gabriel&lt;/author&gt;&lt;author&gt;Davidson, Jaime&lt;/author&gt;&lt;author&gt;Hirshberg, Boaz&lt;/author&gt;&lt;author&gt;Ohman, Peter&lt;/author&gt;&lt;author&gt;Frederich, Robert&lt;/author&gt;&lt;author&gt;Wiviott, Stephen D.&lt;/author&gt;&lt;author&gt;Hoffman, Elaine B.&lt;/author&gt;&lt;author&gt;Cavender, Matthew A.&lt;/author&gt;&lt;author&gt;Udell, Jacob A.&lt;/author&gt;&lt;author&gt;Desai, Nihar R.&lt;/author&gt;&lt;author&gt;Mosenzon, Ofri&lt;/author&gt;&lt;author&gt;McGuire, Darren K.&lt;/author&gt;&lt;author&gt;Ray, Kausik K.&lt;/author&gt;&lt;author&gt;Leiter, Lawrence A.&lt;/author&gt;&lt;author&gt;Raz, Itamar&lt;/author&gt;&lt;/authors&gt;&lt;/contributors&gt;&lt;titles&gt;&lt;title&gt;Saxagliptin and Cardiovascular Outcomes in Patients with Type 2 Diabetes Mellitus&lt;/title&gt;&lt;secondary-title&gt;New England Journal of Medicine&lt;/secondary-title&gt;&lt;/titles&gt;&lt;periodical&gt;&lt;full-title&gt;New England Journal of Medicine&lt;/full-title&gt;&lt;/periodical&gt;&lt;pages&gt;1317-1326&lt;/pages&gt;&lt;volume&gt;369&lt;/volume&gt;&lt;number&gt;14&lt;/number&gt;&lt;dates&gt;&lt;year&gt;2013&lt;/year&gt;&lt;/dates&gt;&lt;accession-num&gt;23992601&lt;/accession-num&gt;&lt;call-num&gt;2&lt;/call-num&gt;&lt;urls&gt;&lt;related-urls&gt;&lt;url&gt;http://www.nejm.org/doi/full/10.1056/NEJMoa1307684&lt;/url&gt;&lt;/related-urls&gt;&lt;/urls&gt;&lt;electronic-resource-num&gt;doi:10.1056/NEJMoa1307684&lt;/electronic-resource-num&gt;&lt;/record&gt;&lt;/Cite&gt;&lt;/EndNote&gt;</w:instrText>
      </w:r>
      <w:r w:rsidR="00A16969">
        <w:rPr>
          <w:rFonts w:ascii="Arial" w:hAnsi="Arial" w:cs="Arial"/>
          <w:sz w:val="24"/>
          <w:szCs w:val="24"/>
        </w:rPr>
        <w:fldChar w:fldCharType="separate"/>
      </w:r>
      <w:r w:rsidR="00A16969">
        <w:rPr>
          <w:rFonts w:ascii="Arial" w:hAnsi="Arial" w:cs="Arial"/>
          <w:noProof/>
          <w:sz w:val="24"/>
          <w:szCs w:val="24"/>
        </w:rPr>
        <w:t>(</w:t>
      </w:r>
      <w:hyperlink w:anchor="_ENREF_2" w:tooltip="Scirica, 2013 #9" w:history="1">
        <w:r w:rsidR="00C06C90">
          <w:rPr>
            <w:rFonts w:ascii="Arial" w:hAnsi="Arial" w:cs="Arial"/>
            <w:noProof/>
            <w:sz w:val="24"/>
            <w:szCs w:val="24"/>
          </w:rPr>
          <w:t>2</w:t>
        </w:r>
      </w:hyperlink>
      <w:r w:rsidR="00A16969">
        <w:rPr>
          <w:rFonts w:ascii="Arial" w:hAnsi="Arial" w:cs="Arial"/>
          <w:noProof/>
          <w:sz w:val="24"/>
          <w:szCs w:val="24"/>
        </w:rPr>
        <w:t>)</w:t>
      </w:r>
      <w:r w:rsidR="00A16969">
        <w:rPr>
          <w:rFonts w:ascii="Arial" w:hAnsi="Arial" w:cs="Arial"/>
          <w:sz w:val="24"/>
          <w:szCs w:val="24"/>
        </w:rPr>
        <w:fldChar w:fldCharType="end"/>
      </w:r>
      <w:r>
        <w:rPr>
          <w:rFonts w:ascii="Arial" w:hAnsi="Arial" w:cs="Arial"/>
          <w:sz w:val="24"/>
          <w:szCs w:val="24"/>
        </w:rPr>
        <w:t xml:space="preserve">. </w:t>
      </w:r>
    </w:p>
    <w:p w14:paraId="23CA2BFF" w14:textId="77777777" w:rsidR="00793111" w:rsidRDefault="00793111" w:rsidP="000B71EF">
      <w:pPr>
        <w:spacing w:after="0" w:line="360" w:lineRule="auto"/>
        <w:rPr>
          <w:rFonts w:ascii="Arial" w:hAnsi="Arial" w:cs="Arial"/>
          <w:sz w:val="24"/>
          <w:szCs w:val="24"/>
        </w:rPr>
      </w:pPr>
    </w:p>
    <w:p w14:paraId="1E06A67D" w14:textId="77777777" w:rsidR="007515A9" w:rsidRDefault="007515A9" w:rsidP="000B71EF">
      <w:pPr>
        <w:spacing w:after="0" w:line="360" w:lineRule="auto"/>
        <w:rPr>
          <w:rFonts w:ascii="Arial" w:hAnsi="Arial" w:cs="Arial"/>
          <w:sz w:val="24"/>
          <w:szCs w:val="24"/>
        </w:rPr>
      </w:pPr>
      <w:r>
        <w:rPr>
          <w:rFonts w:ascii="Arial" w:hAnsi="Arial" w:cs="Arial"/>
          <w:sz w:val="24"/>
          <w:szCs w:val="24"/>
        </w:rPr>
        <w:t>For any composite event (</w:t>
      </w:r>
      <w:proofErr w:type="spellStart"/>
      <w:r>
        <w:rPr>
          <w:rFonts w:ascii="Arial" w:hAnsi="Arial" w:cs="Arial"/>
          <w:sz w:val="24"/>
          <w:szCs w:val="24"/>
        </w:rPr>
        <w:t>eg</w:t>
      </w:r>
      <w:proofErr w:type="spellEnd"/>
      <w:r>
        <w:rPr>
          <w:rFonts w:ascii="Arial" w:hAnsi="Arial" w:cs="Arial"/>
          <w:sz w:val="24"/>
          <w:szCs w:val="24"/>
        </w:rPr>
        <w:t>. death, myocardial infarction, stroke) the numbers experiencing any of them (</w:t>
      </w:r>
      <w:proofErr w:type="spellStart"/>
      <w:r>
        <w:rPr>
          <w:rFonts w:ascii="Arial" w:hAnsi="Arial" w:cs="Arial"/>
          <w:sz w:val="24"/>
          <w:szCs w:val="24"/>
        </w:rPr>
        <w:t>ie</w:t>
      </w:r>
      <w:proofErr w:type="spellEnd"/>
      <w:r>
        <w:rPr>
          <w:rFonts w:ascii="Arial" w:hAnsi="Arial" w:cs="Arial"/>
          <w:sz w:val="24"/>
          <w:szCs w:val="24"/>
        </w:rPr>
        <w:t xml:space="preserve">. the composite) plus the numbers in each component should all be shown. </w:t>
      </w:r>
      <w:r w:rsidR="00346493">
        <w:rPr>
          <w:rFonts w:ascii="Arial" w:hAnsi="Arial" w:cs="Arial"/>
          <w:sz w:val="24"/>
          <w:szCs w:val="24"/>
        </w:rPr>
        <w:t xml:space="preserve">Since some patients can have more than one type of event, </w:t>
      </w:r>
      <w:proofErr w:type="spellStart"/>
      <w:r w:rsidR="00346493">
        <w:rPr>
          <w:rFonts w:ascii="Arial" w:hAnsi="Arial" w:cs="Arial"/>
          <w:sz w:val="24"/>
          <w:szCs w:val="24"/>
        </w:rPr>
        <w:t>eg</w:t>
      </w:r>
      <w:proofErr w:type="spellEnd"/>
      <w:r w:rsidR="00346493">
        <w:rPr>
          <w:rFonts w:ascii="Arial" w:hAnsi="Arial" w:cs="Arial"/>
          <w:sz w:val="24"/>
          <w:szCs w:val="24"/>
        </w:rPr>
        <w:t xml:space="preserve">. </w:t>
      </w:r>
      <w:proofErr w:type="gramStart"/>
      <w:r w:rsidR="00346493">
        <w:rPr>
          <w:rFonts w:ascii="Arial" w:hAnsi="Arial" w:cs="Arial"/>
          <w:sz w:val="24"/>
          <w:szCs w:val="24"/>
        </w:rPr>
        <w:t>non-fatal</w:t>
      </w:r>
      <w:proofErr w:type="gramEnd"/>
      <w:r w:rsidR="00346493">
        <w:rPr>
          <w:rFonts w:ascii="Arial" w:hAnsi="Arial" w:cs="Arial"/>
          <w:sz w:val="24"/>
          <w:szCs w:val="24"/>
        </w:rPr>
        <w:t xml:space="preserve"> myocardial infarction followed by death, the numbers in each component usually add up to slightly more than the numbers with a composite events.</w:t>
      </w:r>
    </w:p>
    <w:p w14:paraId="002DBC84" w14:textId="77777777" w:rsidR="00793111" w:rsidRDefault="00793111" w:rsidP="000B71EF">
      <w:pPr>
        <w:spacing w:after="0" w:line="360" w:lineRule="auto"/>
        <w:rPr>
          <w:rFonts w:ascii="Arial" w:hAnsi="Arial" w:cs="Arial"/>
          <w:sz w:val="24"/>
          <w:szCs w:val="24"/>
        </w:rPr>
      </w:pPr>
    </w:p>
    <w:p w14:paraId="75A5C2C8" w14:textId="77777777" w:rsidR="00793111" w:rsidRDefault="00346493" w:rsidP="000B71EF">
      <w:pPr>
        <w:spacing w:after="0" w:line="360" w:lineRule="auto"/>
        <w:rPr>
          <w:rFonts w:ascii="Arial" w:hAnsi="Arial" w:cs="Arial"/>
          <w:sz w:val="24"/>
          <w:szCs w:val="24"/>
        </w:rPr>
      </w:pPr>
      <w:r>
        <w:rPr>
          <w:rFonts w:ascii="Arial" w:hAnsi="Arial" w:cs="Arial"/>
          <w:sz w:val="24"/>
          <w:szCs w:val="24"/>
        </w:rPr>
        <w:t xml:space="preserve">The focus is often on time to first event, so any subsequent (repeat) events, </w:t>
      </w:r>
      <w:proofErr w:type="spellStart"/>
      <w:r>
        <w:rPr>
          <w:rFonts w:ascii="Arial" w:hAnsi="Arial" w:cs="Arial"/>
          <w:sz w:val="24"/>
          <w:szCs w:val="24"/>
        </w:rPr>
        <w:t>eg</w:t>
      </w:r>
      <w:proofErr w:type="spellEnd"/>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second or third myocardial infarction, do not get included in the main analyses. This is not a problem when the frequency of repeat events is low. But for certain chronic disease outcomes, </w:t>
      </w:r>
      <w:proofErr w:type="spellStart"/>
      <w:r>
        <w:rPr>
          <w:rFonts w:ascii="Arial" w:hAnsi="Arial" w:cs="Arial"/>
          <w:sz w:val="24"/>
          <w:szCs w:val="24"/>
        </w:rPr>
        <w:t>eg</w:t>
      </w:r>
      <w:proofErr w:type="spellEnd"/>
      <w:r>
        <w:rPr>
          <w:rFonts w:ascii="Arial" w:hAnsi="Arial" w:cs="Arial"/>
          <w:sz w:val="24"/>
          <w:szCs w:val="24"/>
        </w:rPr>
        <w:t xml:space="preserve">. </w:t>
      </w:r>
      <w:proofErr w:type="gramStart"/>
      <w:r>
        <w:rPr>
          <w:rFonts w:ascii="Arial" w:hAnsi="Arial" w:cs="Arial"/>
          <w:sz w:val="24"/>
          <w:szCs w:val="24"/>
        </w:rPr>
        <w:t>hospitalisation</w:t>
      </w:r>
      <w:proofErr w:type="gramEnd"/>
      <w:r>
        <w:rPr>
          <w:rFonts w:ascii="Arial" w:hAnsi="Arial" w:cs="Arial"/>
          <w:sz w:val="24"/>
          <w:szCs w:val="24"/>
        </w:rPr>
        <w:t xml:space="preserve"> for heart failure, repeat events are more common. For instance, in the CORONA trial</w:t>
      </w:r>
      <w:r w:rsidR="00E55F9A">
        <w:rPr>
          <w:rFonts w:ascii="Arial" w:hAnsi="Arial" w:cs="Arial"/>
          <w:sz w:val="24"/>
          <w:szCs w:val="24"/>
        </w:rPr>
        <w:t xml:space="preserve"> </w:t>
      </w:r>
      <w:r w:rsidR="00A16969">
        <w:rPr>
          <w:rFonts w:ascii="Arial" w:hAnsi="Arial" w:cs="Arial"/>
          <w:sz w:val="24"/>
          <w:szCs w:val="24"/>
        </w:rPr>
        <w:fldChar w:fldCharType="begin"/>
      </w:r>
      <w:r w:rsidR="00A16969">
        <w:rPr>
          <w:rFonts w:ascii="Arial" w:hAnsi="Arial" w:cs="Arial"/>
          <w:sz w:val="24"/>
          <w:szCs w:val="24"/>
        </w:rPr>
        <w:instrText xml:space="preserve"> ADDIN EN.CITE &lt;EndNote&gt;&lt;Cite&gt;&lt;Author&gt;Kjekshus&lt;/Author&gt;&lt;Year&gt;2007&lt;/Year&gt;&lt;RecNum&gt;20&lt;/RecNum&gt;&lt;DisplayText&gt;(3)&lt;/DisplayText&gt;&lt;record&gt;&lt;rec-number&gt;20&lt;/rec-number&gt;&lt;foreign-keys&gt;&lt;key app="EN" db-id="eaz5sewevp5dfxewrdrvzv52xsv2tsf22rzr"&gt;20&lt;/key&gt;&lt;/foreign-keys&gt;&lt;ref-type name="Journal Article"&gt;17&lt;/ref-type&gt;&lt;contributors&gt;&lt;authors&gt;&lt;author&gt;Kjekshus, John&lt;/author&gt;&lt;author&gt;Apetrei, Eduard&lt;/author&gt;&lt;author&gt;Barrios, Vivencio&lt;/author&gt;&lt;author&gt;Böhm, Michael&lt;/author&gt;&lt;author&gt;Cleland, John G.F.&lt;/author&gt;&lt;author&gt;Cornel, Jan H.&lt;/author&gt;&lt;author&gt;Dunselman, Peter&lt;/author&gt;&lt;author&gt;Fonseca, Cândida&lt;/author&gt;&lt;author&gt;Goudev, Assen&lt;/author&gt;&lt;author&gt;Grande, Peer&lt;/author&gt;&lt;author&gt;Gullestad, Lars&lt;/author&gt;&lt;author&gt;Hjalmarson, Åke&lt;/author&gt;&lt;author&gt;Hradec, Jaromir&lt;/author&gt;&lt;author&gt;Jánosi, András&lt;/author&gt;&lt;author&gt;Kamenský, Gabriel&lt;/author&gt;&lt;author&gt;Komajda, Michel&lt;/author&gt;&lt;author&gt;Korewicki, Jerzy&lt;/author&gt;&lt;author&gt;Kuusi, Timo&lt;/author&gt;&lt;author&gt;Mach, François&lt;/author&gt;&lt;author&gt;Mareev, Vyacheslav&lt;/author&gt;&lt;author&gt;McMurray, John J.V.&lt;/author&gt;&lt;author&gt;Ranjith, Naresh&lt;/author&gt;&lt;author&gt;Schaufelberger, Maria&lt;/author&gt;&lt;author&gt;Vanhaecke, Johan&lt;/author&gt;&lt;author&gt;van Veldhuisen, Dirk J.&lt;/author&gt;&lt;author&gt;Waagstein, Finn&lt;/author&gt;&lt;author&gt;Wedel, Hans&lt;/author&gt;&lt;author&gt;Wikstrand, John&lt;/author&gt;&lt;/authors&gt;&lt;/contributors&gt;&lt;titles&gt;&lt;title&gt;Rosuvastatin in Older Patients with Systolic Heart Failure&lt;/title&gt;&lt;secondary-title&gt;New England Journal of Medicine&lt;/secondary-title&gt;&lt;/titles&gt;&lt;periodical&gt;&lt;full-title&gt;New England Journal of Medicine&lt;/full-title&gt;&lt;/periodical&gt;&lt;pages&gt;2248-2261&lt;/pages&gt;&lt;volume&gt;357&lt;/volume&gt;&lt;number&gt;22&lt;/number&gt;&lt;dates&gt;&lt;year&gt;2007&lt;/year&gt;&lt;/dates&gt;&lt;accession-num&gt;17984166&lt;/accession-num&gt;&lt;call-num&gt;3&lt;/call-num&gt;&lt;urls&gt;&lt;related-urls&gt;&lt;url&gt;http://www.nejm.org/doi/full/10.1056/NEJMoa0706201&lt;/url&gt;&lt;/related-urls&gt;&lt;/urls&gt;&lt;electronic-resource-num&gt;doi:10.1056/NEJMoa0706201&lt;/electronic-resource-num&gt;&lt;/record&gt;&lt;/Cite&gt;&lt;/EndNote&gt;</w:instrText>
      </w:r>
      <w:r w:rsidR="00A16969">
        <w:rPr>
          <w:rFonts w:ascii="Arial" w:hAnsi="Arial" w:cs="Arial"/>
          <w:sz w:val="24"/>
          <w:szCs w:val="24"/>
        </w:rPr>
        <w:fldChar w:fldCharType="separate"/>
      </w:r>
      <w:r w:rsidR="00A16969">
        <w:rPr>
          <w:rFonts w:ascii="Arial" w:hAnsi="Arial" w:cs="Arial"/>
          <w:noProof/>
          <w:sz w:val="24"/>
          <w:szCs w:val="24"/>
        </w:rPr>
        <w:t>(</w:t>
      </w:r>
      <w:hyperlink w:anchor="_ENREF_3" w:tooltip="Kjekshus, 2007 #20" w:history="1">
        <w:r w:rsidR="00C06C90">
          <w:rPr>
            <w:rFonts w:ascii="Arial" w:hAnsi="Arial" w:cs="Arial"/>
            <w:noProof/>
            <w:sz w:val="24"/>
            <w:szCs w:val="24"/>
          </w:rPr>
          <w:t>3</w:t>
        </w:r>
      </w:hyperlink>
      <w:r w:rsidR="00A16969">
        <w:rPr>
          <w:rFonts w:ascii="Arial" w:hAnsi="Arial" w:cs="Arial"/>
          <w:noProof/>
          <w:sz w:val="24"/>
          <w:szCs w:val="24"/>
        </w:rPr>
        <w:t>)</w:t>
      </w:r>
      <w:r w:rsidR="00A16969">
        <w:rPr>
          <w:rFonts w:ascii="Arial" w:hAnsi="Arial" w:cs="Arial"/>
          <w:sz w:val="24"/>
          <w:szCs w:val="24"/>
        </w:rPr>
        <w:fldChar w:fldCharType="end"/>
      </w:r>
      <w:r>
        <w:rPr>
          <w:rFonts w:ascii="Arial" w:hAnsi="Arial" w:cs="Arial"/>
          <w:sz w:val="24"/>
          <w:szCs w:val="24"/>
        </w:rPr>
        <w:t xml:space="preserve"> of </w:t>
      </w:r>
      <w:proofErr w:type="spellStart"/>
      <w:r>
        <w:rPr>
          <w:rFonts w:ascii="Arial" w:hAnsi="Arial" w:cs="Arial"/>
          <w:sz w:val="24"/>
          <w:szCs w:val="24"/>
        </w:rPr>
        <w:t>rosuvastatin</w:t>
      </w:r>
      <w:proofErr w:type="spellEnd"/>
      <w:r>
        <w:rPr>
          <w:rFonts w:ascii="Arial" w:hAnsi="Arial" w:cs="Arial"/>
          <w:sz w:val="24"/>
          <w:szCs w:val="24"/>
        </w:rPr>
        <w:t xml:space="preserve"> versus placebo in chronic heart failure, there were a total of 2408 heart failure hospitalisation</w:t>
      </w:r>
      <w:r w:rsidR="00793111">
        <w:rPr>
          <w:rFonts w:ascii="Arial" w:hAnsi="Arial" w:cs="Arial"/>
          <w:sz w:val="24"/>
          <w:szCs w:val="24"/>
        </w:rPr>
        <w:t>s</w:t>
      </w:r>
      <w:r>
        <w:rPr>
          <w:rFonts w:ascii="Arial" w:hAnsi="Arial" w:cs="Arial"/>
          <w:sz w:val="24"/>
          <w:szCs w:val="24"/>
        </w:rPr>
        <w:t xml:space="preserve"> in 1291 out of 5011 randomised patients. Conventional analyses of time</w:t>
      </w:r>
      <w:r w:rsidR="00793111">
        <w:rPr>
          <w:rFonts w:ascii="Arial" w:hAnsi="Arial" w:cs="Arial"/>
          <w:sz w:val="24"/>
          <w:szCs w:val="24"/>
        </w:rPr>
        <w:t xml:space="preserve"> to</w:t>
      </w:r>
      <w:r>
        <w:rPr>
          <w:rFonts w:ascii="Arial" w:hAnsi="Arial" w:cs="Arial"/>
          <w:sz w:val="24"/>
          <w:szCs w:val="24"/>
        </w:rPr>
        <w:t xml:space="preserve"> first hospitalisation was inconclusive, but analyses using all hospitalisations (including repeats) gave strong evidence of a treatment benefit in that secondary outcome</w:t>
      </w:r>
      <w:r w:rsidR="00A16969">
        <w:rPr>
          <w:rFonts w:ascii="Arial" w:hAnsi="Arial" w:cs="Arial"/>
          <w:sz w:val="24"/>
          <w:szCs w:val="24"/>
        </w:rPr>
        <w:t xml:space="preserve"> </w:t>
      </w:r>
      <w:r w:rsidR="00A16969">
        <w:rPr>
          <w:rFonts w:ascii="Arial" w:hAnsi="Arial" w:cs="Arial"/>
          <w:sz w:val="24"/>
          <w:szCs w:val="24"/>
        </w:rPr>
        <w:fldChar w:fldCharType="begin"/>
      </w:r>
      <w:r w:rsidR="00A16969">
        <w:rPr>
          <w:rFonts w:ascii="Arial" w:hAnsi="Arial" w:cs="Arial"/>
          <w:sz w:val="24"/>
          <w:szCs w:val="24"/>
        </w:rPr>
        <w:instrText xml:space="preserve"> ADDIN EN.CITE &lt;EndNote&gt;&lt;Cite&gt;&lt;Author&gt;Rogers&lt;/Author&gt;&lt;Year&gt;2014&lt;/Year&gt;&lt;RecNum&gt;23&lt;/RecNum&gt;&lt;DisplayText&gt;(4)&lt;/DisplayText&gt;&lt;record&gt;&lt;rec-number&gt;23&lt;/rec-number&gt;&lt;foreign-keys&gt;&lt;key app="EN" db-id="eaz5sewevp5dfxewrdrvzv52xsv2tsf22rzr"&gt;23&lt;/key&gt;&lt;/foreign-keys&gt;&lt;ref-type name="Journal Article"&gt;17&lt;/ref-type&gt;&lt;contributors&gt;&lt;authors&gt;&lt;author&gt;Rogers, Jennifer K.&lt;/author&gt;&lt;author&gt;Jhund, Pardeep S.&lt;/author&gt;&lt;author&gt;Perez, Ana-Cristina&lt;/author&gt;&lt;author&gt;Böhm, Michael&lt;/author&gt;&lt;author&gt;Cleland, John G.&lt;/author&gt;&lt;author&gt;Gullestad, Lars&lt;/author&gt;&lt;author&gt;Kjekshus, John&lt;/author&gt;&lt;author&gt;van Veldhuisen, Dirk J.&lt;/author&gt;&lt;author&gt;Wikstrand, John&lt;/author&gt;&lt;author&gt;Wedel, Hans&lt;/author&gt;&lt;author&gt;McMurray, John J. V.&lt;/author&gt;&lt;author&gt;Pocock, Stuart J.&lt;/author&gt;&lt;/authors&gt;&lt;/contributors&gt;&lt;titles&gt;&lt;title&gt;Effect of Rosuvastatin on Repeat Heart Failure HospitalizationsThe CORONA Trial (Controlled Rosuvastatin Multinational Trial in Heart Failure)&lt;/title&gt;&lt;secondary-title&gt;JACC: Heart Failure&lt;/secondary-title&gt;&lt;/titles&gt;&lt;periodical&gt;&lt;full-title&gt;JACC: Heart Failure&lt;/full-title&gt;&lt;/periodical&gt;&lt;pages&gt;289-297&lt;/pages&gt;&lt;volume&gt;2&lt;/volume&gt;&lt;number&gt;3&lt;/number&gt;&lt;dates&gt;&lt;year&gt;2014&lt;/year&gt;&lt;/dates&gt;&lt;call-num&gt;4&lt;/call-num&gt;&lt;urls&gt;&lt;related-urls&gt;&lt;url&gt;http://dx.doi.org/10.1016/j.jchf.2013.12.007&lt;/url&gt;&lt;/related-urls&gt;&lt;/urls&gt;&lt;electronic-resource-num&gt;10.1016/j.jchf.2013.12.007&lt;/electronic-resource-num&gt;&lt;/record&gt;&lt;/Cite&gt;&lt;/EndNote&gt;</w:instrText>
      </w:r>
      <w:r w:rsidR="00A16969">
        <w:rPr>
          <w:rFonts w:ascii="Arial" w:hAnsi="Arial" w:cs="Arial"/>
          <w:sz w:val="24"/>
          <w:szCs w:val="24"/>
        </w:rPr>
        <w:fldChar w:fldCharType="separate"/>
      </w:r>
      <w:r w:rsidR="00A16969">
        <w:rPr>
          <w:rFonts w:ascii="Arial" w:hAnsi="Arial" w:cs="Arial"/>
          <w:noProof/>
          <w:sz w:val="24"/>
          <w:szCs w:val="24"/>
        </w:rPr>
        <w:t>(</w:t>
      </w:r>
      <w:hyperlink w:anchor="_ENREF_4" w:tooltip="Rogers, 2014 #23" w:history="1">
        <w:r w:rsidR="00C06C90">
          <w:rPr>
            <w:rFonts w:ascii="Arial" w:hAnsi="Arial" w:cs="Arial"/>
            <w:noProof/>
            <w:sz w:val="24"/>
            <w:szCs w:val="24"/>
          </w:rPr>
          <w:t>4</w:t>
        </w:r>
      </w:hyperlink>
      <w:r w:rsidR="00A16969">
        <w:rPr>
          <w:rFonts w:ascii="Arial" w:hAnsi="Arial" w:cs="Arial"/>
          <w:noProof/>
          <w:sz w:val="24"/>
          <w:szCs w:val="24"/>
        </w:rPr>
        <w:t>)</w:t>
      </w:r>
      <w:r w:rsidR="00A16969">
        <w:rPr>
          <w:rFonts w:ascii="Arial" w:hAnsi="Arial" w:cs="Arial"/>
          <w:sz w:val="24"/>
          <w:szCs w:val="24"/>
        </w:rPr>
        <w:fldChar w:fldCharType="end"/>
      </w:r>
      <w:r>
        <w:rPr>
          <w:rFonts w:ascii="Arial" w:hAnsi="Arial" w:cs="Arial"/>
          <w:sz w:val="24"/>
          <w:szCs w:val="24"/>
        </w:rPr>
        <w:t xml:space="preserve">. </w:t>
      </w:r>
    </w:p>
    <w:p w14:paraId="732E60A6" w14:textId="77777777" w:rsidR="007515A9" w:rsidRPr="00AE2AA5" w:rsidRDefault="007515A9" w:rsidP="000B71EF">
      <w:pPr>
        <w:spacing w:after="0" w:line="360" w:lineRule="auto"/>
        <w:rPr>
          <w:rFonts w:ascii="Arial" w:hAnsi="Arial" w:cs="Arial"/>
          <w:sz w:val="24"/>
          <w:szCs w:val="24"/>
        </w:rPr>
      </w:pPr>
      <w:r>
        <w:rPr>
          <w:rFonts w:ascii="Arial" w:hAnsi="Arial" w:cs="Arial"/>
          <w:sz w:val="24"/>
          <w:szCs w:val="24"/>
        </w:rPr>
        <w:t xml:space="preserve">In trials of chronic diseases, </w:t>
      </w:r>
      <w:proofErr w:type="spellStart"/>
      <w:r>
        <w:rPr>
          <w:rFonts w:ascii="Arial" w:hAnsi="Arial" w:cs="Arial"/>
          <w:sz w:val="24"/>
          <w:szCs w:val="24"/>
        </w:rPr>
        <w:t>eg</w:t>
      </w:r>
      <w:proofErr w:type="spellEnd"/>
      <w:r>
        <w:rPr>
          <w:rFonts w:ascii="Arial" w:hAnsi="Arial" w:cs="Arial"/>
          <w:sz w:val="24"/>
          <w:szCs w:val="24"/>
        </w:rPr>
        <w:t>. chronic heart failure, in which the incidence rates over time are fairly steady it may be useful to replace % by the incidence rate per 100 patient years (say) of follow-up in each group</w:t>
      </w:r>
      <w:r w:rsidR="00AE2AA5">
        <w:rPr>
          <w:rFonts w:ascii="Arial" w:hAnsi="Arial" w:cs="Arial"/>
          <w:sz w:val="24"/>
          <w:szCs w:val="24"/>
        </w:rPr>
        <w:t>: to calculate the incidence rate one divides the number of patients with the relevant event by the total follow-up time in years of all patients (excluding any follow-up after an event occurs)</w:t>
      </w:r>
      <w:r>
        <w:rPr>
          <w:rFonts w:ascii="Arial" w:hAnsi="Arial" w:cs="Arial"/>
          <w:sz w:val="24"/>
          <w:szCs w:val="24"/>
        </w:rPr>
        <w:t xml:space="preserve">. Such a Table will usually add in estimates of treatment effect, confidence intervals and P-values, as dealt with in the next three sections, and already shown in Table 2. </w:t>
      </w:r>
      <w:r w:rsidR="00346493">
        <w:rPr>
          <w:rFonts w:ascii="Arial" w:hAnsi="Arial" w:cs="Arial"/>
          <w:sz w:val="24"/>
          <w:szCs w:val="24"/>
        </w:rPr>
        <w:t>Another important Table concerns adverse events by treatment group.</w:t>
      </w:r>
    </w:p>
    <w:p w14:paraId="553EC168" w14:textId="77777777" w:rsidR="007515A9" w:rsidRDefault="007515A9" w:rsidP="000B71EF">
      <w:pPr>
        <w:spacing w:after="0" w:line="360" w:lineRule="auto"/>
        <w:rPr>
          <w:rFonts w:ascii="Arial" w:hAnsi="Arial" w:cs="Arial"/>
          <w:sz w:val="24"/>
          <w:szCs w:val="24"/>
        </w:rPr>
      </w:pPr>
    </w:p>
    <w:p w14:paraId="638E8B6B" w14:textId="77777777" w:rsidR="007515A9" w:rsidRDefault="007515A9" w:rsidP="000B71EF">
      <w:pPr>
        <w:spacing w:after="0" w:line="360" w:lineRule="auto"/>
        <w:rPr>
          <w:rFonts w:ascii="Arial" w:hAnsi="Arial" w:cs="Arial"/>
          <w:b/>
          <w:sz w:val="24"/>
          <w:szCs w:val="24"/>
        </w:rPr>
      </w:pPr>
      <w:r w:rsidRPr="007515A9">
        <w:rPr>
          <w:rFonts w:ascii="Arial" w:hAnsi="Arial" w:cs="Arial"/>
          <w:b/>
          <w:sz w:val="24"/>
          <w:szCs w:val="24"/>
        </w:rPr>
        <w:t>Kaplan Meier Plot</w:t>
      </w:r>
    </w:p>
    <w:p w14:paraId="6E878380" w14:textId="77777777" w:rsidR="006759B1" w:rsidRPr="007515A9" w:rsidRDefault="006759B1" w:rsidP="000B71EF">
      <w:pPr>
        <w:spacing w:after="0" w:line="360" w:lineRule="auto"/>
        <w:rPr>
          <w:rFonts w:ascii="Arial" w:hAnsi="Arial" w:cs="Arial"/>
          <w:b/>
          <w:sz w:val="24"/>
          <w:szCs w:val="24"/>
        </w:rPr>
      </w:pPr>
    </w:p>
    <w:p w14:paraId="5FCCBA76" w14:textId="77777777" w:rsidR="007515A9" w:rsidRDefault="007515A9" w:rsidP="000B71EF">
      <w:pPr>
        <w:spacing w:after="0" w:line="360" w:lineRule="auto"/>
        <w:rPr>
          <w:rFonts w:ascii="Arial" w:hAnsi="Arial" w:cs="Arial"/>
          <w:sz w:val="24"/>
          <w:szCs w:val="24"/>
        </w:rPr>
      </w:pPr>
      <w:r>
        <w:rPr>
          <w:rFonts w:ascii="Arial" w:hAnsi="Arial" w:cs="Arial"/>
          <w:sz w:val="24"/>
          <w:szCs w:val="24"/>
        </w:rPr>
        <w:lastRenderedPageBreak/>
        <w:t>The most common type of Figure in major trial reports is a Kaplan Meier plot of time-to-event</w:t>
      </w:r>
      <w:r w:rsidR="00C43B2C">
        <w:rPr>
          <w:rFonts w:ascii="Arial" w:hAnsi="Arial" w:cs="Arial"/>
          <w:sz w:val="24"/>
          <w:szCs w:val="24"/>
        </w:rPr>
        <w:t xml:space="preserve"> outcomes. Figure 1 shows this for the primary outcome (death, MI or stroke) of the PLATO trial</w:t>
      </w:r>
      <w:r w:rsidR="009A5740">
        <w:rPr>
          <w:rFonts w:ascii="Arial" w:hAnsi="Arial" w:cs="Arial"/>
          <w:sz w:val="24"/>
          <w:szCs w:val="24"/>
        </w:rPr>
        <w:t xml:space="preserve"> </w:t>
      </w:r>
      <w:r w:rsidR="009A5740">
        <w:rPr>
          <w:rFonts w:ascii="Arial" w:hAnsi="Arial" w:cs="Arial"/>
          <w:sz w:val="24"/>
          <w:szCs w:val="24"/>
        </w:rPr>
        <w:fldChar w:fldCharType="begin"/>
      </w:r>
      <w:r w:rsidR="009A5740">
        <w:rPr>
          <w:rFonts w:ascii="Arial" w:hAnsi="Arial" w:cs="Arial"/>
          <w:sz w:val="24"/>
          <w:szCs w:val="24"/>
        </w:rPr>
        <w:instrText xml:space="preserve"> ADDIN EN.CITE &lt;EndNote&gt;&lt;Cite&gt;&lt;Author&gt;Wallentin&lt;/Author&gt;&lt;Year&gt;2009&lt;/Year&gt;&lt;RecNum&gt;10&lt;/RecNum&gt;&lt;DisplayText&gt;(5)&lt;/DisplayText&gt;&lt;record&gt;&lt;rec-number&gt;10&lt;/rec-number&gt;&lt;foreign-keys&gt;&lt;key app="EN" db-id="eaz5sewevp5dfxewrdrvzv52xsv2tsf22rzr"&gt;10&lt;/key&gt;&lt;/foreign-keys&gt;&lt;ref-type name="Journal Article"&gt;17&lt;/ref-type&gt;&lt;contributors&gt;&lt;authors&gt;&lt;author&gt;Wallentin, Lars&lt;/author&gt;&lt;author&gt;Becker, Richard C.&lt;/author&gt;&lt;author&gt;Budaj, Andrzej&lt;/author&gt;&lt;author&gt;Cannon, Christopher P.&lt;/author&gt;&lt;author&gt;Emanuelsson, Håkan&lt;/author&gt;&lt;author&gt;Held, Claes&lt;/author&gt;&lt;author&gt;Horrow, Jay&lt;/author&gt;&lt;author&gt;Husted, Steen&lt;/author&gt;&lt;author&gt;James, Stefan&lt;/author&gt;&lt;author&gt;Katus, Hugo&lt;/author&gt;&lt;author&gt;Mahaffey, Kenneth W.&lt;/author&gt;&lt;author&gt;Scirica, Benjamin M.&lt;/author&gt;&lt;author&gt;Skene, Allan&lt;/author&gt;&lt;author&gt;Steg, Philippe Gabriel&lt;/author&gt;&lt;author&gt;Storey, Robert F.&lt;/author&gt;&lt;author&gt;Harrington, Robert A.&lt;/author&gt;&lt;/authors&gt;&lt;/contributors&gt;&lt;titles&gt;&lt;title&gt;Ticagrelor versus Clopidogrel in Patients with Acute Coronary Syndromes&lt;/title&gt;&lt;secondary-title&gt;New England Journal of Medicine&lt;/secondary-title&gt;&lt;/titles&gt;&lt;periodical&gt;&lt;full-title&gt;New England Journal of Medicine&lt;/full-title&gt;&lt;/periodical&gt;&lt;pages&gt;1045-1057&lt;/pages&gt;&lt;volume&gt;361&lt;/volume&gt;&lt;number&gt;11&lt;/number&gt;&lt;dates&gt;&lt;year&gt;2009&lt;/year&gt;&lt;/dates&gt;&lt;accession-num&gt;19717846&lt;/accession-num&gt;&lt;call-num&gt;5&lt;/call-num&gt;&lt;urls&gt;&lt;related-urls&gt;&lt;url&gt;http://www.nejm.org/doi/full/10.1056/NEJMoa0904327&lt;/url&gt;&lt;/related-urls&gt;&lt;/urls&gt;&lt;electronic-resource-num&gt;doi:10.1056/NEJMoa0904327&lt;/electronic-resource-num&gt;&lt;/record&gt;&lt;/Cite&gt;&lt;/EndNote&gt;</w:instrText>
      </w:r>
      <w:r w:rsidR="009A5740">
        <w:rPr>
          <w:rFonts w:ascii="Arial" w:hAnsi="Arial" w:cs="Arial"/>
          <w:sz w:val="24"/>
          <w:szCs w:val="24"/>
        </w:rPr>
        <w:fldChar w:fldCharType="separate"/>
      </w:r>
      <w:r w:rsidR="009A5740">
        <w:rPr>
          <w:rFonts w:ascii="Arial" w:hAnsi="Arial" w:cs="Arial"/>
          <w:noProof/>
          <w:sz w:val="24"/>
          <w:szCs w:val="24"/>
        </w:rPr>
        <w:t>(</w:t>
      </w:r>
      <w:hyperlink w:anchor="_ENREF_5" w:tooltip="Wallentin, 2009 #10" w:history="1">
        <w:r w:rsidR="00C06C90">
          <w:rPr>
            <w:rFonts w:ascii="Arial" w:hAnsi="Arial" w:cs="Arial"/>
            <w:noProof/>
            <w:sz w:val="24"/>
            <w:szCs w:val="24"/>
          </w:rPr>
          <w:t>5</w:t>
        </w:r>
      </w:hyperlink>
      <w:r w:rsidR="009A5740">
        <w:rPr>
          <w:rFonts w:ascii="Arial" w:hAnsi="Arial" w:cs="Arial"/>
          <w:noProof/>
          <w:sz w:val="24"/>
          <w:szCs w:val="24"/>
        </w:rPr>
        <w:t>)</w:t>
      </w:r>
      <w:r w:rsidR="009A5740">
        <w:rPr>
          <w:rFonts w:ascii="Arial" w:hAnsi="Arial" w:cs="Arial"/>
          <w:sz w:val="24"/>
          <w:szCs w:val="24"/>
        </w:rPr>
        <w:fldChar w:fldCharType="end"/>
      </w:r>
      <w:r w:rsidR="00C43B2C">
        <w:rPr>
          <w:rFonts w:ascii="Arial" w:hAnsi="Arial" w:cs="Arial"/>
          <w:sz w:val="24"/>
          <w:szCs w:val="24"/>
        </w:rPr>
        <w:t>. The Figures displays clearly the steadily accumulating difference in incidence rates between t</w:t>
      </w:r>
      <w:r w:rsidR="003E6737">
        <w:rPr>
          <w:rFonts w:ascii="Arial" w:hAnsi="Arial" w:cs="Arial"/>
          <w:sz w:val="24"/>
          <w:szCs w:val="24"/>
        </w:rPr>
        <w:t>i</w:t>
      </w:r>
      <w:r w:rsidR="00C43B2C">
        <w:rPr>
          <w:rFonts w:ascii="Arial" w:hAnsi="Arial" w:cs="Arial"/>
          <w:sz w:val="24"/>
          <w:szCs w:val="24"/>
        </w:rPr>
        <w:t xml:space="preserve">cagrelor and clopidogrel. There are several features </w:t>
      </w:r>
      <w:r w:rsidR="00793111">
        <w:rPr>
          <w:rFonts w:ascii="Arial" w:hAnsi="Arial" w:cs="Arial"/>
          <w:sz w:val="24"/>
          <w:szCs w:val="24"/>
        </w:rPr>
        <w:t>that</w:t>
      </w:r>
      <w:r w:rsidR="00C43B2C">
        <w:rPr>
          <w:rFonts w:ascii="Arial" w:hAnsi="Arial" w:cs="Arial"/>
          <w:sz w:val="24"/>
          <w:szCs w:val="24"/>
        </w:rPr>
        <w:t xml:space="preserve"> make for a</w:t>
      </w:r>
      <w:r w:rsidR="00793111">
        <w:rPr>
          <w:rFonts w:ascii="Arial" w:hAnsi="Arial" w:cs="Arial"/>
          <w:sz w:val="24"/>
          <w:szCs w:val="24"/>
        </w:rPr>
        <w:t xml:space="preserve"> good</w:t>
      </w:r>
      <w:r w:rsidR="00C43B2C">
        <w:rPr>
          <w:rFonts w:ascii="Arial" w:hAnsi="Arial" w:cs="Arial"/>
          <w:sz w:val="24"/>
          <w:szCs w:val="24"/>
        </w:rPr>
        <w:t xml:space="preserve"> quality Kaplan Meier plot </w:t>
      </w:r>
      <w:r w:rsidR="009A5740">
        <w:rPr>
          <w:rFonts w:ascii="Arial" w:hAnsi="Arial" w:cs="Arial"/>
          <w:sz w:val="24"/>
          <w:szCs w:val="24"/>
        </w:rPr>
        <w:fldChar w:fldCharType="begin"/>
      </w:r>
      <w:r w:rsidR="009A5740">
        <w:rPr>
          <w:rFonts w:ascii="Arial" w:hAnsi="Arial" w:cs="Arial"/>
          <w:sz w:val="24"/>
          <w:szCs w:val="24"/>
        </w:rPr>
        <w:instrText xml:space="preserve"> ADDIN EN.CITE &lt;EndNote&gt;&lt;Cite&gt;&lt;Author&gt;Pocock&lt;/Author&gt;&lt;Year&gt;2002&lt;/Year&gt;&lt;RecNum&gt;11&lt;/RecNum&gt;&lt;DisplayText&gt;(6)&lt;/DisplayText&gt;&lt;record&gt;&lt;rec-number&gt;11&lt;/rec-number&gt;&lt;foreign-keys&gt;&lt;key app="EN" db-id="eaz5sewevp5dfxewrdrvzv52xsv2tsf22rzr"&gt;11&lt;/key&gt;&lt;/foreign-keys&gt;&lt;ref-type name="Journal Article"&gt;17&lt;/ref-type&gt;&lt;contributors&gt;&lt;authors&gt;&lt;author&gt;Pocock, Stuart J.&lt;/author&gt;&lt;author&gt;Clayton, Tim C.&lt;/author&gt;&lt;author&gt;Altman, Douglas G.&lt;/author&gt;&lt;/authors&gt;&lt;/contributors&gt;&lt;titles&gt;&lt;title&gt;Survival plots of time-to-event outcomes in clinical trials: good practice and pitfalls&lt;/title&gt;&lt;secondary-title&gt;The Lancet&lt;/secondary-title&gt;&lt;/titles&gt;&lt;periodical&gt;&lt;full-title&gt;The Lancet&lt;/full-title&gt;&lt;/periodical&gt;&lt;pages&gt;1686-1689&lt;/pages&gt;&lt;volume&gt;359&lt;/volume&gt;&lt;number&gt;9318&lt;/number&gt;&lt;dates&gt;&lt;year&gt;2002&lt;/year&gt;&lt;pub-dates&gt;&lt;date&gt;5/11/&lt;/date&gt;&lt;/pub-dates&gt;&lt;/dates&gt;&lt;isbn&gt;0140-6736&lt;/isbn&gt;&lt;call-num&gt;6&lt;/call-num&gt;&lt;urls&gt;&lt;related-urls&gt;&lt;url&gt;http://www.sciencedirect.com/science/article/pii/S014067360208594X&lt;/url&gt;&lt;/related-urls&gt;&lt;/urls&gt;&lt;electronic-resource-num&gt;http://dx.doi.org/10.1016/S0140-6736(02)08594-X&lt;/electronic-resource-num&gt;&lt;/record&gt;&lt;/Cite&gt;&lt;/EndNote&gt;</w:instrText>
      </w:r>
      <w:r w:rsidR="009A5740">
        <w:rPr>
          <w:rFonts w:ascii="Arial" w:hAnsi="Arial" w:cs="Arial"/>
          <w:sz w:val="24"/>
          <w:szCs w:val="24"/>
        </w:rPr>
        <w:fldChar w:fldCharType="separate"/>
      </w:r>
      <w:r w:rsidR="009A5740">
        <w:rPr>
          <w:rFonts w:ascii="Arial" w:hAnsi="Arial" w:cs="Arial"/>
          <w:noProof/>
          <w:sz w:val="24"/>
          <w:szCs w:val="24"/>
        </w:rPr>
        <w:t>(</w:t>
      </w:r>
      <w:hyperlink w:anchor="_ENREF_6" w:tooltip="Pocock, 2002 #11" w:history="1">
        <w:r w:rsidR="00C06C90">
          <w:rPr>
            <w:rFonts w:ascii="Arial" w:hAnsi="Arial" w:cs="Arial"/>
            <w:noProof/>
            <w:sz w:val="24"/>
            <w:szCs w:val="24"/>
          </w:rPr>
          <w:t>6</w:t>
        </w:r>
      </w:hyperlink>
      <w:r w:rsidR="009A5740">
        <w:rPr>
          <w:rFonts w:ascii="Arial" w:hAnsi="Arial" w:cs="Arial"/>
          <w:noProof/>
          <w:sz w:val="24"/>
          <w:szCs w:val="24"/>
        </w:rPr>
        <w:t>)</w:t>
      </w:r>
      <w:r w:rsidR="009A5740">
        <w:rPr>
          <w:rFonts w:ascii="Arial" w:hAnsi="Arial" w:cs="Arial"/>
          <w:sz w:val="24"/>
          <w:szCs w:val="24"/>
        </w:rPr>
        <w:fldChar w:fldCharType="end"/>
      </w:r>
      <w:r w:rsidR="00C43B2C">
        <w:rPr>
          <w:rFonts w:ascii="Arial" w:hAnsi="Arial" w:cs="Arial"/>
          <w:sz w:val="24"/>
          <w:szCs w:val="24"/>
        </w:rPr>
        <w:t>. The numbers at risk in each group should be shown at regular time intervals of follow-up. In this case, we see that nearly all patients had 6 months follow-up but only around half of patients had been followed for 1 year.</w:t>
      </w:r>
      <w:r w:rsidR="008E1D89">
        <w:rPr>
          <w:rFonts w:ascii="Arial" w:hAnsi="Arial" w:cs="Arial"/>
          <w:sz w:val="24"/>
          <w:szCs w:val="24"/>
        </w:rPr>
        <w:t xml:space="preserve"> In connection with this we recommend that the time axis should not be extended too far</w:t>
      </w:r>
      <w:r w:rsidR="005D5D2E">
        <w:rPr>
          <w:rFonts w:ascii="Arial" w:hAnsi="Arial" w:cs="Arial"/>
          <w:sz w:val="24"/>
          <w:szCs w:val="24"/>
        </w:rPr>
        <w:t>,</w:t>
      </w:r>
      <w:r w:rsidR="008E1D89">
        <w:rPr>
          <w:rFonts w:ascii="Arial" w:hAnsi="Arial" w:cs="Arial"/>
          <w:sz w:val="24"/>
          <w:szCs w:val="24"/>
        </w:rPr>
        <w:t xml:space="preserve"> perhaps not beyond the time </w:t>
      </w:r>
      <w:r w:rsidR="00485908">
        <w:rPr>
          <w:rFonts w:ascii="Arial" w:hAnsi="Arial" w:cs="Arial"/>
          <w:sz w:val="24"/>
          <w:szCs w:val="24"/>
        </w:rPr>
        <w:t>when</w:t>
      </w:r>
      <w:r w:rsidR="005D5D2E">
        <w:rPr>
          <w:rFonts w:ascii="Arial" w:hAnsi="Arial" w:cs="Arial"/>
          <w:sz w:val="24"/>
          <w:szCs w:val="24"/>
        </w:rPr>
        <w:t xml:space="preserve"> </w:t>
      </w:r>
      <w:r w:rsidR="008E1D89">
        <w:rPr>
          <w:rFonts w:ascii="Arial" w:hAnsi="Arial" w:cs="Arial"/>
          <w:sz w:val="24"/>
          <w:szCs w:val="24"/>
        </w:rPr>
        <w:t xml:space="preserve">less than 10% of </w:t>
      </w:r>
      <w:r w:rsidR="00485908">
        <w:rPr>
          <w:rFonts w:ascii="Arial" w:hAnsi="Arial" w:cs="Arial"/>
          <w:sz w:val="24"/>
          <w:szCs w:val="24"/>
        </w:rPr>
        <w:t>pati</w:t>
      </w:r>
      <w:r w:rsidR="008E1D89">
        <w:rPr>
          <w:rFonts w:ascii="Arial" w:hAnsi="Arial" w:cs="Arial"/>
          <w:sz w:val="24"/>
          <w:szCs w:val="24"/>
        </w:rPr>
        <w:t xml:space="preserve">ents </w:t>
      </w:r>
      <w:r w:rsidR="005D5D2E">
        <w:rPr>
          <w:rFonts w:ascii="Arial" w:hAnsi="Arial" w:cs="Arial"/>
          <w:sz w:val="24"/>
          <w:szCs w:val="24"/>
        </w:rPr>
        <w:t>is</w:t>
      </w:r>
      <w:r w:rsidR="008E1D89">
        <w:rPr>
          <w:rFonts w:ascii="Arial" w:hAnsi="Arial" w:cs="Arial"/>
          <w:sz w:val="24"/>
          <w:szCs w:val="24"/>
        </w:rPr>
        <w:t xml:space="preserve"> still </w:t>
      </w:r>
      <w:r w:rsidR="00485908">
        <w:rPr>
          <w:rFonts w:ascii="Arial" w:hAnsi="Arial" w:cs="Arial"/>
          <w:sz w:val="24"/>
          <w:szCs w:val="24"/>
        </w:rPr>
        <w:t>u</w:t>
      </w:r>
      <w:r w:rsidR="005D5D2E">
        <w:rPr>
          <w:rFonts w:ascii="Arial" w:hAnsi="Arial" w:cs="Arial"/>
          <w:sz w:val="24"/>
          <w:szCs w:val="24"/>
        </w:rPr>
        <w:t xml:space="preserve">nder follow-up. </w:t>
      </w:r>
    </w:p>
    <w:p w14:paraId="4C1A2F89" w14:textId="77777777" w:rsidR="00793111" w:rsidRDefault="00793111" w:rsidP="000B71EF">
      <w:pPr>
        <w:spacing w:after="0" w:line="360" w:lineRule="auto"/>
        <w:rPr>
          <w:rFonts w:ascii="Arial" w:hAnsi="Arial" w:cs="Arial"/>
          <w:sz w:val="24"/>
          <w:szCs w:val="24"/>
        </w:rPr>
      </w:pPr>
    </w:p>
    <w:p w14:paraId="239E7F7A" w14:textId="77777777" w:rsidR="00C43B2C" w:rsidRDefault="00C43B2C" w:rsidP="000B71EF">
      <w:pPr>
        <w:spacing w:after="0" w:line="360" w:lineRule="auto"/>
        <w:rPr>
          <w:rFonts w:ascii="Arial" w:hAnsi="Arial" w:cs="Arial"/>
          <w:sz w:val="24"/>
          <w:szCs w:val="24"/>
        </w:rPr>
      </w:pPr>
      <w:r>
        <w:rPr>
          <w:rFonts w:ascii="Arial" w:hAnsi="Arial" w:cs="Arial"/>
          <w:sz w:val="24"/>
          <w:szCs w:val="24"/>
        </w:rPr>
        <w:t>One good practice that is sadly rarely done is to convey the extent of statistical uncertainty in the estimates over time, by plotting standard error bars at regular time points. In this case, the standard errors would be much tighter at 6 months compared to 1 year, reflecting the substantial proportion of patients not followed out to 1 year.</w:t>
      </w:r>
    </w:p>
    <w:p w14:paraId="128D2398" w14:textId="3A660905" w:rsidR="00C43B2C" w:rsidRDefault="00C43B2C" w:rsidP="000B71EF">
      <w:pPr>
        <w:spacing w:after="0" w:line="360" w:lineRule="auto"/>
        <w:rPr>
          <w:rFonts w:ascii="Arial" w:hAnsi="Arial" w:cs="Arial"/>
          <w:sz w:val="24"/>
          <w:szCs w:val="24"/>
        </w:rPr>
      </w:pPr>
      <w:r>
        <w:rPr>
          <w:rFonts w:ascii="Arial" w:hAnsi="Arial" w:cs="Arial"/>
          <w:sz w:val="24"/>
          <w:szCs w:val="24"/>
        </w:rPr>
        <w:t>Sometimes, Kaplan Meier plots are inverted thereby showing the declining percentage over time who are event free. This can be particularly misleading if there is a break in the vertical axis (which readers may not spot). In general, we feel it is more informative to have the curves going up (not down), thereby focusing on cumulative incidence, with a sensible range (up to 12% in this case) rather than a full vertical axis up to 100%,</w:t>
      </w:r>
      <w:r w:rsidR="00AE2AA5">
        <w:rPr>
          <w:rFonts w:ascii="Arial" w:hAnsi="Arial" w:cs="Arial"/>
          <w:sz w:val="24"/>
          <w:szCs w:val="24"/>
        </w:rPr>
        <w:t xml:space="preserve"> so that relevant details, especially regarding treatment differences can be clearly seen</w:t>
      </w:r>
      <w:r>
        <w:rPr>
          <w:rFonts w:ascii="Arial" w:hAnsi="Arial" w:cs="Arial"/>
          <w:sz w:val="24"/>
          <w:szCs w:val="24"/>
        </w:rPr>
        <w:t>.</w:t>
      </w:r>
      <w:r w:rsidR="00AE2AA5">
        <w:rPr>
          <w:rFonts w:ascii="Arial" w:hAnsi="Arial" w:cs="Arial"/>
          <w:sz w:val="24"/>
          <w:szCs w:val="24"/>
        </w:rPr>
        <w:t xml:space="preserve"> The choice of vertical scale is an important ingredient in interpreting these plots; not so wide (0 to 100%) as to cramp the visual impact but not s</w:t>
      </w:r>
      <w:r w:rsidR="00923899">
        <w:rPr>
          <w:rFonts w:ascii="Arial" w:hAnsi="Arial" w:cs="Arial"/>
          <w:sz w:val="24"/>
          <w:szCs w:val="24"/>
        </w:rPr>
        <w:t>o</w:t>
      </w:r>
      <w:r w:rsidR="00AE2AA5">
        <w:rPr>
          <w:rFonts w:ascii="Arial" w:hAnsi="Arial" w:cs="Arial"/>
          <w:sz w:val="24"/>
          <w:szCs w:val="24"/>
        </w:rPr>
        <w:t xml:space="preserve"> tight as to exaggerate any small differences that may occur. </w:t>
      </w:r>
    </w:p>
    <w:p w14:paraId="4B9B4181" w14:textId="77777777" w:rsidR="00346493" w:rsidRDefault="00346493" w:rsidP="000B71EF">
      <w:pPr>
        <w:spacing w:after="0" w:line="360" w:lineRule="auto"/>
        <w:rPr>
          <w:rFonts w:ascii="Arial" w:hAnsi="Arial" w:cs="Arial"/>
          <w:sz w:val="24"/>
          <w:szCs w:val="24"/>
        </w:rPr>
      </w:pPr>
    </w:p>
    <w:p w14:paraId="1E2CD00D" w14:textId="77777777" w:rsidR="00346493" w:rsidRDefault="00346493" w:rsidP="000B71EF">
      <w:pPr>
        <w:spacing w:after="0" w:line="360" w:lineRule="auto"/>
        <w:rPr>
          <w:rFonts w:ascii="Arial" w:hAnsi="Arial" w:cs="Arial"/>
          <w:b/>
          <w:sz w:val="24"/>
          <w:szCs w:val="24"/>
        </w:rPr>
      </w:pPr>
      <w:r w:rsidRPr="003C5955">
        <w:rPr>
          <w:rFonts w:ascii="Arial" w:hAnsi="Arial" w:cs="Arial"/>
          <w:b/>
          <w:sz w:val="24"/>
          <w:szCs w:val="24"/>
        </w:rPr>
        <w:t>Repeated Measures over Time</w:t>
      </w:r>
    </w:p>
    <w:p w14:paraId="38364290" w14:textId="77777777" w:rsidR="006759B1" w:rsidRPr="003C5955" w:rsidRDefault="006759B1" w:rsidP="000B71EF">
      <w:pPr>
        <w:spacing w:after="0" w:line="360" w:lineRule="auto"/>
        <w:rPr>
          <w:rFonts w:ascii="Arial" w:hAnsi="Arial" w:cs="Arial"/>
          <w:b/>
          <w:sz w:val="24"/>
          <w:szCs w:val="24"/>
        </w:rPr>
      </w:pPr>
    </w:p>
    <w:p w14:paraId="14A45EDD" w14:textId="77777777" w:rsidR="00346493" w:rsidRDefault="00346493" w:rsidP="000B71EF">
      <w:pPr>
        <w:spacing w:after="0" w:line="360" w:lineRule="auto"/>
        <w:rPr>
          <w:rFonts w:ascii="Arial" w:hAnsi="Arial" w:cs="Arial"/>
          <w:sz w:val="24"/>
          <w:szCs w:val="24"/>
        </w:rPr>
      </w:pPr>
      <w:r>
        <w:rPr>
          <w:rFonts w:ascii="Arial" w:hAnsi="Arial" w:cs="Arial"/>
          <w:sz w:val="24"/>
          <w:szCs w:val="24"/>
        </w:rPr>
        <w:t>For quantitative or</w:t>
      </w:r>
      <w:r w:rsidR="003C5955">
        <w:rPr>
          <w:rFonts w:ascii="Arial" w:hAnsi="Arial" w:cs="Arial"/>
          <w:sz w:val="24"/>
          <w:szCs w:val="24"/>
        </w:rPr>
        <w:t xml:space="preserve"> symptom-related outcomes, repeated measures over time are usually obtained at planned visits. Consequent treatment comparisons of means (or % with symptoms) are usually best presented in a Figure. See Figure 2 for mean systolic blood pressure in the PARADIGM</w:t>
      </w:r>
      <w:r w:rsidR="00AB4DCA">
        <w:rPr>
          <w:rFonts w:ascii="Arial" w:hAnsi="Arial" w:cs="Arial"/>
          <w:sz w:val="24"/>
          <w:szCs w:val="24"/>
        </w:rPr>
        <w:t>-HF</w:t>
      </w:r>
      <w:r w:rsidR="003C5955">
        <w:rPr>
          <w:rFonts w:ascii="Arial" w:hAnsi="Arial" w:cs="Arial"/>
          <w:sz w:val="24"/>
          <w:szCs w:val="24"/>
        </w:rPr>
        <w:t xml:space="preserve"> trial</w:t>
      </w:r>
      <w:r w:rsidR="00E55F9A">
        <w:rPr>
          <w:rFonts w:ascii="Arial" w:hAnsi="Arial" w:cs="Arial"/>
          <w:sz w:val="24"/>
          <w:szCs w:val="24"/>
        </w:rPr>
        <w:t xml:space="preserve"> </w:t>
      </w:r>
      <w:r w:rsidR="00AB4DCA">
        <w:rPr>
          <w:rFonts w:ascii="Arial" w:hAnsi="Arial" w:cs="Arial"/>
          <w:sz w:val="24"/>
          <w:szCs w:val="24"/>
        </w:rPr>
        <w:fldChar w:fldCharType="begin"/>
      </w:r>
      <w:r w:rsidR="00AB4DCA">
        <w:rPr>
          <w:rFonts w:ascii="Arial" w:hAnsi="Arial" w:cs="Arial"/>
          <w:sz w:val="24"/>
          <w:szCs w:val="24"/>
        </w:rPr>
        <w:instrText xml:space="preserve"> ADDIN EN.CITE &lt;EndNote&gt;&lt;Cite&gt;&lt;Author&gt;McMurray&lt;/Author&gt;&lt;Year&gt;2014&lt;/Year&gt;&lt;RecNum&gt;8&lt;/RecNum&gt;&lt;DisplayText&gt;(1)&lt;/DisplayText&gt;&lt;record&gt;&lt;rec-number&gt;8&lt;/rec-number&gt;&lt;foreign-keys&gt;&lt;key app="EN" db-id="eaz5sewevp5dfxewrdrvzv52xsv2tsf22rzr"&gt;8&lt;/key&gt;&lt;/foreign-keys&gt;&lt;ref-type name="Journal Article"&gt;17&lt;/ref-type&gt;&lt;contributors&gt;&lt;authors&gt;&lt;author&gt;McMurray, John J.V.&lt;/author&gt;&lt;author&gt;Packer, Milton&lt;/author&gt;&lt;author&gt;Desai, Akshay S.&lt;/author&gt;&lt;author&gt;Gong, Jianjian&lt;/author&gt;&lt;author&gt;Lefkowitz, Martin P.&lt;/author&gt;&lt;author&gt;Rizkala, Adel R.&lt;/author&gt;&lt;author&gt;Rouleau, Jean L.&lt;/author&gt;&lt;author&gt;Shi, Victor C.&lt;/author&gt;&lt;author&gt;Solomon, Scott D.&lt;/author&gt;&lt;author&gt;Swedberg, Karl&lt;/author&gt;&lt;author&gt;Zile, Michael R.&lt;/author&gt;&lt;/authors&gt;&lt;/contributors&gt;&lt;titles&gt;&lt;title&gt;Angiotensin–Neprilysin Inhibition versus Enalapril in Heart Failure&lt;/title&gt;&lt;secondary-title&gt;New England Journal of Medicine&lt;/secondary-title&gt;&lt;/titles&gt;&lt;periodical&gt;&lt;full-title&gt;New England Journal of Medicine&lt;/full-title&gt;&lt;/periodical&gt;&lt;pages&gt;993-1004&lt;/pages&gt;&lt;volume&gt;371&lt;/volume&gt;&lt;number&gt;11&lt;/number&gt;&lt;dates&gt;&lt;year&gt;2014&lt;/year&gt;&lt;/dates&gt;&lt;accession-num&gt;25176015&lt;/accession-num&gt;&lt;call-num&gt;1&lt;/call-num&gt;&lt;urls&gt;&lt;related-urls&gt;&lt;url&gt;http://www.nejm.org/doi/full/10.1056/NEJMoa1409077&lt;/url&gt;&lt;/related-urls&gt;&lt;/urls&gt;&lt;electronic-resource-num&gt;doi:10.1056/NEJMoa1409077&lt;/electronic-resource-num&gt;&lt;/record&gt;&lt;/Cite&gt;&lt;/EndNote&gt;</w:instrText>
      </w:r>
      <w:r w:rsidR="00AB4DCA">
        <w:rPr>
          <w:rFonts w:ascii="Arial" w:hAnsi="Arial" w:cs="Arial"/>
          <w:sz w:val="24"/>
          <w:szCs w:val="24"/>
        </w:rPr>
        <w:fldChar w:fldCharType="separate"/>
      </w:r>
      <w:r w:rsidR="00AB4DCA">
        <w:rPr>
          <w:rFonts w:ascii="Arial" w:hAnsi="Arial" w:cs="Arial"/>
          <w:noProof/>
          <w:sz w:val="24"/>
          <w:szCs w:val="24"/>
        </w:rPr>
        <w:t>(</w:t>
      </w:r>
      <w:hyperlink w:anchor="_ENREF_1" w:tooltip="McMurray, 2014 #8" w:history="1">
        <w:r w:rsidR="00C06C90">
          <w:rPr>
            <w:rFonts w:ascii="Arial" w:hAnsi="Arial" w:cs="Arial"/>
            <w:noProof/>
            <w:sz w:val="24"/>
            <w:szCs w:val="24"/>
          </w:rPr>
          <w:t>1</w:t>
        </w:r>
      </w:hyperlink>
      <w:r w:rsidR="00AB4DCA">
        <w:rPr>
          <w:rFonts w:ascii="Arial" w:hAnsi="Arial" w:cs="Arial"/>
          <w:noProof/>
          <w:sz w:val="24"/>
          <w:szCs w:val="24"/>
        </w:rPr>
        <w:t>)</w:t>
      </w:r>
      <w:r w:rsidR="00AB4DCA">
        <w:rPr>
          <w:rFonts w:ascii="Arial" w:hAnsi="Arial" w:cs="Arial"/>
          <w:sz w:val="24"/>
          <w:szCs w:val="24"/>
        </w:rPr>
        <w:fldChar w:fldCharType="end"/>
      </w:r>
      <w:r w:rsidR="003C5955">
        <w:rPr>
          <w:rFonts w:ascii="Arial" w:hAnsi="Arial" w:cs="Arial"/>
          <w:sz w:val="24"/>
          <w:szCs w:val="24"/>
        </w:rPr>
        <w:t xml:space="preserve"> both in the build-up to randomisation and over the subsequent 3 years. Each mean by treatment group should have standard error bars around it. In this case, the large numbers of patients make the tiny standard errors hard to see. With such precise estimat</w:t>
      </w:r>
      <w:r w:rsidR="00793111">
        <w:rPr>
          <w:rFonts w:ascii="Arial" w:hAnsi="Arial" w:cs="Arial"/>
          <w:sz w:val="24"/>
          <w:szCs w:val="24"/>
        </w:rPr>
        <w:t>ion</w:t>
      </w:r>
      <w:r w:rsidR="003C5955">
        <w:rPr>
          <w:rFonts w:ascii="Arial" w:hAnsi="Arial" w:cs="Arial"/>
          <w:sz w:val="24"/>
          <w:szCs w:val="24"/>
        </w:rPr>
        <w:t xml:space="preserve"> it is obvious </w:t>
      </w:r>
      <w:r w:rsidR="003C5955">
        <w:rPr>
          <w:rFonts w:ascii="Arial" w:hAnsi="Arial" w:cs="Arial"/>
          <w:sz w:val="24"/>
          <w:szCs w:val="24"/>
        </w:rPr>
        <w:lastRenderedPageBreak/>
        <w:t xml:space="preserve">without formal testing that mean systolic blood pressure is consistently around 2.5 mmHg lower on LCZ696 compared to enalapril, but </w:t>
      </w:r>
      <w:r w:rsidR="00793111">
        <w:rPr>
          <w:rFonts w:ascii="Arial" w:hAnsi="Arial" w:cs="Arial"/>
          <w:sz w:val="24"/>
          <w:szCs w:val="24"/>
        </w:rPr>
        <w:t xml:space="preserve">this </w:t>
      </w:r>
      <w:r w:rsidR="003C5955">
        <w:rPr>
          <w:rFonts w:ascii="Arial" w:hAnsi="Arial" w:cs="Arial"/>
          <w:sz w:val="24"/>
          <w:szCs w:val="24"/>
        </w:rPr>
        <w:t>secondary finding was peripheral to the trial’s main aims concerning clinical events.</w:t>
      </w:r>
    </w:p>
    <w:p w14:paraId="00D801E1" w14:textId="77777777" w:rsidR="00342A2A" w:rsidRDefault="00342A2A" w:rsidP="000B71EF">
      <w:pPr>
        <w:spacing w:after="0" w:line="360" w:lineRule="auto"/>
        <w:rPr>
          <w:rFonts w:ascii="Arial" w:hAnsi="Arial" w:cs="Arial"/>
          <w:sz w:val="24"/>
          <w:szCs w:val="24"/>
        </w:rPr>
      </w:pPr>
    </w:p>
    <w:p w14:paraId="79CCD40D" w14:textId="77777777" w:rsidR="00342A2A" w:rsidRPr="001C42CE" w:rsidRDefault="00342A2A" w:rsidP="00864297">
      <w:pPr>
        <w:rPr>
          <w:rFonts w:ascii="Arial" w:hAnsi="Arial" w:cs="Arial"/>
          <w:b/>
          <w:sz w:val="24"/>
          <w:szCs w:val="24"/>
        </w:rPr>
      </w:pPr>
      <w:r w:rsidRPr="001C42CE">
        <w:rPr>
          <w:rFonts w:ascii="Arial" w:hAnsi="Arial" w:cs="Arial"/>
          <w:b/>
          <w:sz w:val="24"/>
          <w:szCs w:val="24"/>
        </w:rPr>
        <w:t>Trial Profile</w:t>
      </w:r>
    </w:p>
    <w:p w14:paraId="41EFE338" w14:textId="77777777" w:rsidR="00342A2A" w:rsidRDefault="00342A2A" w:rsidP="000B71EF">
      <w:pPr>
        <w:spacing w:after="0" w:line="360" w:lineRule="auto"/>
        <w:rPr>
          <w:rFonts w:ascii="Arial" w:hAnsi="Arial" w:cs="Arial"/>
          <w:sz w:val="24"/>
          <w:szCs w:val="24"/>
        </w:rPr>
      </w:pPr>
    </w:p>
    <w:p w14:paraId="2AECC153" w14:textId="77777777" w:rsidR="00342A2A" w:rsidRDefault="00342A2A" w:rsidP="000B71EF">
      <w:pPr>
        <w:spacing w:after="0" w:line="360" w:lineRule="auto"/>
        <w:rPr>
          <w:rFonts w:ascii="Arial" w:hAnsi="Arial" w:cs="Arial"/>
          <w:sz w:val="24"/>
          <w:szCs w:val="24"/>
        </w:rPr>
      </w:pPr>
      <w:r>
        <w:rPr>
          <w:rFonts w:ascii="Arial" w:hAnsi="Arial" w:cs="Arial"/>
          <w:sz w:val="24"/>
          <w:szCs w:val="24"/>
        </w:rPr>
        <w:t>As part of the CONSORT Guidelines for clinical trial report</w:t>
      </w:r>
      <w:r w:rsidR="00793111">
        <w:rPr>
          <w:rFonts w:ascii="Arial" w:hAnsi="Arial" w:cs="Arial"/>
          <w:sz w:val="24"/>
          <w:szCs w:val="24"/>
        </w:rPr>
        <w:t>s</w:t>
      </w:r>
      <w:r w:rsidR="00E55F9A">
        <w:rPr>
          <w:rFonts w:ascii="Arial" w:hAnsi="Arial" w:cs="Arial"/>
          <w:sz w:val="24"/>
          <w:szCs w:val="24"/>
        </w:rPr>
        <w:t xml:space="preserve"> </w:t>
      </w:r>
      <w:r w:rsidR="009A5740">
        <w:rPr>
          <w:rFonts w:ascii="Arial" w:hAnsi="Arial" w:cs="Arial"/>
          <w:sz w:val="24"/>
          <w:szCs w:val="24"/>
        </w:rPr>
        <w:fldChar w:fldCharType="begin"/>
      </w:r>
      <w:r w:rsidR="006C412F">
        <w:rPr>
          <w:rFonts w:ascii="Arial" w:hAnsi="Arial" w:cs="Arial"/>
          <w:sz w:val="24"/>
          <w:szCs w:val="24"/>
        </w:rPr>
        <w:instrText xml:space="preserve"> ADDIN EN.CITE &lt;EndNote&gt;&lt;Cite&gt;&lt;Author&gt;Moher&lt;/Author&gt;&lt;Year&gt;2010&lt;/Year&gt;&lt;RecNum&gt;47&lt;/RecNum&gt;&lt;DisplayText&gt;(7)&lt;/DisplayText&gt;&lt;record&gt;&lt;rec-number&gt;47&lt;/rec-number&gt;&lt;foreign-keys&gt;&lt;key app="EN" db-id="eaz5sewevp5dfxewrdrvzv52xsv2tsf22rzr"&gt;47&lt;/key&gt;&lt;/foreign-keys&gt;&lt;ref-type name="Journal Article"&gt;17&lt;/ref-type&gt;&lt;contributors&gt;&lt;authors&gt;&lt;author&gt;Moher, D.&lt;/author&gt;&lt;author&gt;Hopewell, S.&lt;/author&gt;&lt;author&gt;Schulz, K. F.&lt;/author&gt;&lt;author&gt;Montori, V.&lt;/author&gt;&lt;author&gt;Gotzsche, P. C.&lt;/author&gt;&lt;author&gt;Devereaux, P. J.&lt;/author&gt;&lt;author&gt;Elbourne, D.&lt;/author&gt;&lt;author&gt;Egger, M.&lt;/author&gt;&lt;author&gt;Altman, D. G.&lt;/author&gt;&lt;/authors&gt;&lt;/contributors&gt;&lt;auth-address&gt;Ottawa Methods Centre, Clinical Epidemiology Program, Ottawa Hospital Research Institute, Ottawa Hospital, Ottawa, Ontario, Canada. dmoher@ohri.ca&lt;/auth-address&gt;&lt;titles&gt;&lt;title&gt;CONSORT 2010 explanation and elaboration: updated guidelines for reporting parallel group randomised trials&lt;/title&gt;&lt;secondary-title&gt;BMJ&lt;/secondary-title&gt;&lt;alt-title&gt;BMJ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ed.)&lt;/abbr-1&gt;&lt;/alt-periodical&gt;&lt;pages&gt;c869&lt;/pages&gt;&lt;volume&gt;340&lt;/volume&gt;&lt;edition&gt;2010/03/25&lt;/edition&gt;&lt;keywords&gt;&lt;keyword&gt;Consensus&lt;/keyword&gt;&lt;keyword&gt;Practice Guidelines as Topic/*standards&lt;/keyword&gt;&lt;keyword&gt;Randomized Controlled Trials as Topic/*standards&lt;/keyword&gt;&lt;keyword&gt;Research Design/*standards&lt;/keyword&gt;&lt;/keywords&gt;&lt;dates&gt;&lt;year&gt;2010&lt;/year&gt;&lt;/dates&gt;&lt;isbn&gt;0959-535x&lt;/isbn&gt;&lt;accession-num&gt;20332511&lt;/accession-num&gt;&lt;call-num&gt;46&lt;/call-num&gt;&lt;urls&gt;&lt;/urls&gt;&lt;custom2&gt;Pmc2844943&lt;/custom2&gt;&lt;electronic-resource-num&gt;10.1136/bmj.c869&lt;/electronic-resource-num&gt;&lt;remote-database-provider&gt;Nlm&lt;/remote-database-provider&gt;&lt;language&gt;eng&lt;/language&gt;&lt;/record&gt;&lt;/Cite&gt;&lt;/EndNote&gt;</w:instrText>
      </w:r>
      <w:r w:rsidR="009A5740">
        <w:rPr>
          <w:rFonts w:ascii="Arial" w:hAnsi="Arial" w:cs="Arial"/>
          <w:sz w:val="24"/>
          <w:szCs w:val="24"/>
        </w:rPr>
        <w:fldChar w:fldCharType="separate"/>
      </w:r>
      <w:r w:rsidR="009A5740">
        <w:rPr>
          <w:rFonts w:ascii="Arial" w:hAnsi="Arial" w:cs="Arial"/>
          <w:noProof/>
          <w:sz w:val="24"/>
          <w:szCs w:val="24"/>
        </w:rPr>
        <w:t>(</w:t>
      </w:r>
      <w:hyperlink w:anchor="_ENREF_7" w:tooltip="Moher, 2010 #47" w:history="1">
        <w:r w:rsidR="00C06C90">
          <w:rPr>
            <w:rFonts w:ascii="Arial" w:hAnsi="Arial" w:cs="Arial"/>
            <w:noProof/>
            <w:sz w:val="24"/>
            <w:szCs w:val="24"/>
          </w:rPr>
          <w:t>7</w:t>
        </w:r>
      </w:hyperlink>
      <w:r w:rsidR="009A5740">
        <w:rPr>
          <w:rFonts w:ascii="Arial" w:hAnsi="Arial" w:cs="Arial"/>
          <w:noProof/>
          <w:sz w:val="24"/>
          <w:szCs w:val="24"/>
        </w:rPr>
        <w:t>)</w:t>
      </w:r>
      <w:r w:rsidR="009A5740">
        <w:rPr>
          <w:rFonts w:ascii="Arial" w:hAnsi="Arial" w:cs="Arial"/>
          <w:sz w:val="24"/>
          <w:szCs w:val="24"/>
        </w:rPr>
        <w:fldChar w:fldCharType="end"/>
      </w:r>
      <w:r>
        <w:rPr>
          <w:rFonts w:ascii="Arial" w:hAnsi="Arial" w:cs="Arial"/>
          <w:sz w:val="24"/>
          <w:szCs w:val="24"/>
        </w:rPr>
        <w:t xml:space="preserve"> it is recommended that every trial publication should have a Trial Profile which shows the flow of patients through the trial from the pre-</w:t>
      </w:r>
      <w:r w:rsidR="00485908">
        <w:rPr>
          <w:rFonts w:ascii="Arial" w:hAnsi="Arial" w:cs="Arial"/>
          <w:sz w:val="24"/>
          <w:szCs w:val="24"/>
        </w:rPr>
        <w:t>randomisation</w:t>
      </w:r>
      <w:r>
        <w:rPr>
          <w:rFonts w:ascii="Arial" w:hAnsi="Arial" w:cs="Arial"/>
          <w:sz w:val="24"/>
          <w:szCs w:val="24"/>
        </w:rPr>
        <w:t xml:space="preserve"> build-up to the post-randomisation follow-up. Figure 3 is an example from the HEAT PPCI trial</w:t>
      </w:r>
      <w:r w:rsidR="009A5740">
        <w:rPr>
          <w:rFonts w:ascii="Arial" w:hAnsi="Arial" w:cs="Arial"/>
          <w:sz w:val="24"/>
          <w:szCs w:val="24"/>
        </w:rPr>
        <w:fldChar w:fldCharType="begin"/>
      </w:r>
      <w:r w:rsidR="009A5740">
        <w:rPr>
          <w:rFonts w:ascii="Arial" w:hAnsi="Arial" w:cs="Arial"/>
          <w:sz w:val="24"/>
          <w:szCs w:val="24"/>
        </w:rPr>
        <w:instrText xml:space="preserve"> ADDIN EN.CITE &lt;EndNote&gt;&lt;Cite&gt;&lt;Author&gt;Shahzad&lt;/Author&gt;&lt;RecNum&gt;14&lt;/RecNum&gt;&lt;DisplayText&gt;(8)&lt;/DisplayText&gt;&lt;record&gt;&lt;rec-number&gt;14&lt;/rec-number&gt;&lt;foreign-keys&gt;&lt;key app="EN" db-id="eaz5sewevp5dfxewrdrvzv52xsv2tsf22rzr"&gt;14&lt;/key&gt;&lt;/foreign-keys&gt;&lt;ref-type name="Journal Article"&gt;17&lt;/ref-type&gt;&lt;contributors&gt;&lt;authors&gt;&lt;author&gt;Shahzad, Adeel&lt;/author&gt;&lt;author&gt;Kemp, Ian&lt;/author&gt;&lt;author&gt;Mars, Christine&lt;/author&gt;&lt;author&gt;Wilson, Keith&lt;/author&gt;&lt;author&gt;Roome, Claire&lt;/author&gt;&lt;author&gt;Cooper, Rob&lt;/author&gt;&lt;author&gt;Andron, Mohammed&lt;/author&gt;&lt;author&gt;Appleby, Clare&lt;/author&gt;&lt;author&gt;Fisher, Mike&lt;/author&gt;&lt;author&gt;Khand, Aleem&lt;/author&gt;&lt;author&gt;Kunadian, Babu&lt;/author&gt;&lt;author&gt;Mills, Joseph D.&lt;/author&gt;&lt;author&gt;Morris, John L.&lt;/author&gt;&lt;author&gt;Morrison, William L.&lt;/author&gt;&lt;author&gt;Munir, Shahzad&lt;/author&gt;&lt;author&gt;Palmer, Nick D.&lt;/author&gt;&lt;author&gt;Perry, Raphael A.&lt;/author&gt;&lt;author&gt;Ramsdale, David R.&lt;/author&gt;&lt;author&gt;Velavan, Periaswamy&lt;/author&gt;&lt;author&gt;Stables, Rod H.&lt;/author&gt;&lt;/authors&gt;&lt;/contributors&gt;&lt;titles&gt;&lt;title&gt;Unfractionated heparin versus bivalirudin in primary percutaneous coronary intervention (HEAT-PPCI): an open-label, single centre, randomised controlled trial&lt;/title&gt;&lt;secondary-title&gt;The Lancet&lt;/secondary-title&gt;&lt;/titles&gt;&lt;periodical&gt;&lt;full-title&gt;The Lancet&lt;/full-title&gt;&lt;/periodical&gt;&lt;pages&gt;1849-1858&lt;/pages&gt;&lt;volume&gt;384&lt;/volume&gt;&lt;number&gt;9957&lt;/number&gt;&lt;dates&gt;&lt;pub-dates&gt;&lt;date&gt;//&lt;/date&gt;&lt;/pub-dates&gt;&lt;/dates&gt;&lt;isbn&gt;0140-6736&lt;/isbn&gt;&lt;call-num&gt;8&lt;/call-num&gt;&lt;urls&gt;&lt;related-urls&gt;&lt;url&gt;http://www.sciencedirect.com/science/article/pii/S0140673614609247&lt;/url&gt;&lt;/related-urls&gt;&lt;/urls&gt;&lt;electronic-resource-num&gt;http://dx.doi.org/10.1016/S0140-6736(14)60924-7&lt;/electronic-resource-num&gt;&lt;access-date&gt;2014/11/28/&lt;/access-date&gt;&lt;/record&gt;&lt;/Cite&gt;&lt;/EndNote&gt;</w:instrText>
      </w:r>
      <w:r w:rsidR="009A5740">
        <w:rPr>
          <w:rFonts w:ascii="Arial" w:hAnsi="Arial" w:cs="Arial"/>
          <w:sz w:val="24"/>
          <w:szCs w:val="24"/>
        </w:rPr>
        <w:fldChar w:fldCharType="separate"/>
      </w:r>
      <w:r w:rsidR="009A5740">
        <w:rPr>
          <w:rFonts w:ascii="Arial" w:hAnsi="Arial" w:cs="Arial"/>
          <w:noProof/>
          <w:sz w:val="24"/>
          <w:szCs w:val="24"/>
        </w:rPr>
        <w:t>(</w:t>
      </w:r>
      <w:hyperlink w:anchor="_ENREF_8" w:tooltip="Shahzad,  #14" w:history="1">
        <w:r w:rsidR="00C06C90">
          <w:rPr>
            <w:rFonts w:ascii="Arial" w:hAnsi="Arial" w:cs="Arial"/>
            <w:noProof/>
            <w:sz w:val="24"/>
            <w:szCs w:val="24"/>
          </w:rPr>
          <w:t>8</w:t>
        </w:r>
      </w:hyperlink>
      <w:r w:rsidR="009A5740">
        <w:rPr>
          <w:rFonts w:ascii="Arial" w:hAnsi="Arial" w:cs="Arial"/>
          <w:noProof/>
          <w:sz w:val="24"/>
          <w:szCs w:val="24"/>
        </w:rPr>
        <w:t>)</w:t>
      </w:r>
      <w:r w:rsidR="009A5740">
        <w:rPr>
          <w:rFonts w:ascii="Arial" w:hAnsi="Arial" w:cs="Arial"/>
          <w:sz w:val="24"/>
          <w:szCs w:val="24"/>
        </w:rPr>
        <w:fldChar w:fldCharType="end"/>
      </w:r>
      <w:r>
        <w:rPr>
          <w:rFonts w:ascii="Arial" w:hAnsi="Arial" w:cs="Arial"/>
          <w:sz w:val="24"/>
          <w:szCs w:val="24"/>
        </w:rPr>
        <w:t>. It nicely shows the high proportion of eligible patients who were randomised</w:t>
      </w:r>
      <w:r w:rsidR="005B0495">
        <w:rPr>
          <w:rFonts w:ascii="Arial" w:hAnsi="Arial" w:cs="Arial"/>
          <w:sz w:val="24"/>
          <w:szCs w:val="24"/>
        </w:rPr>
        <w:t>,</w:t>
      </w:r>
      <w:r>
        <w:rPr>
          <w:rFonts w:ascii="Arial" w:hAnsi="Arial" w:cs="Arial"/>
          <w:sz w:val="24"/>
          <w:szCs w:val="24"/>
        </w:rPr>
        <w:t xml:space="preserve"> the small number not getting their randomised treatment (but still included in intention to treat analysis)</w:t>
      </w:r>
      <w:r w:rsidR="001C42CE">
        <w:rPr>
          <w:rFonts w:ascii="Arial" w:hAnsi="Arial" w:cs="Arial"/>
          <w:sz w:val="24"/>
          <w:szCs w:val="24"/>
        </w:rPr>
        <w:t>, the controversial delayed consent and the consequent small numbers removed from analysis or lost to follow-up.</w:t>
      </w:r>
      <w:r w:rsidR="00923899">
        <w:rPr>
          <w:rFonts w:ascii="Arial" w:hAnsi="Arial" w:cs="Arial"/>
          <w:sz w:val="24"/>
          <w:szCs w:val="24"/>
        </w:rPr>
        <w:t xml:space="preserve"> The use of delayed consent meant 17 patients died before consent could be obtained and for a further 17 surviving patients no consent was obtained. Figure 3 shows how 2499 patients were identified, 1829 were randomized and 1812 were included in the analysis, with all steps along the way documented, each with patient numbers. Note with a more conventional patient consent prior to randomi</w:t>
      </w:r>
      <w:r w:rsidR="00976B59">
        <w:rPr>
          <w:rFonts w:ascii="Arial" w:hAnsi="Arial" w:cs="Arial"/>
          <w:sz w:val="24"/>
          <w:szCs w:val="24"/>
        </w:rPr>
        <w:t>s</w:t>
      </w:r>
      <w:r w:rsidR="00923899">
        <w:rPr>
          <w:rFonts w:ascii="Arial" w:hAnsi="Arial" w:cs="Arial"/>
          <w:sz w:val="24"/>
          <w:szCs w:val="24"/>
        </w:rPr>
        <w:t xml:space="preserve">ation, the trial profile would become somewhat simplified. </w:t>
      </w:r>
    </w:p>
    <w:p w14:paraId="57C148CB" w14:textId="77777777" w:rsidR="001C42CE" w:rsidRDefault="001C42CE" w:rsidP="000B71EF">
      <w:pPr>
        <w:spacing w:after="0" w:line="360" w:lineRule="auto"/>
        <w:rPr>
          <w:rFonts w:ascii="Arial" w:hAnsi="Arial" w:cs="Arial"/>
          <w:sz w:val="24"/>
          <w:szCs w:val="24"/>
        </w:rPr>
      </w:pPr>
    </w:p>
    <w:p w14:paraId="2D128411" w14:textId="77777777" w:rsidR="001C42CE" w:rsidRDefault="001C42CE" w:rsidP="000B71EF">
      <w:pPr>
        <w:spacing w:after="0" w:line="360" w:lineRule="auto"/>
        <w:rPr>
          <w:rFonts w:ascii="Arial" w:hAnsi="Arial" w:cs="Arial"/>
          <w:sz w:val="24"/>
          <w:szCs w:val="24"/>
        </w:rPr>
      </w:pPr>
      <w:r>
        <w:rPr>
          <w:rFonts w:ascii="Arial" w:hAnsi="Arial" w:cs="Arial"/>
          <w:sz w:val="24"/>
          <w:szCs w:val="24"/>
        </w:rPr>
        <w:t xml:space="preserve">The next most common Figure is the Forest plot for subgroup analyses, but more on that in </w:t>
      </w:r>
      <w:r w:rsidR="00146527">
        <w:rPr>
          <w:rFonts w:ascii="Arial" w:hAnsi="Arial" w:cs="Arial"/>
          <w:sz w:val="24"/>
          <w:szCs w:val="24"/>
        </w:rPr>
        <w:t>next week’s article</w:t>
      </w:r>
      <w:r>
        <w:rPr>
          <w:rFonts w:ascii="Arial" w:hAnsi="Arial" w:cs="Arial"/>
          <w:sz w:val="24"/>
          <w:szCs w:val="24"/>
        </w:rPr>
        <w:t>.</w:t>
      </w:r>
    </w:p>
    <w:p w14:paraId="3A613E5E" w14:textId="77777777" w:rsidR="001C42CE" w:rsidRDefault="001C42CE" w:rsidP="000B71EF">
      <w:pPr>
        <w:spacing w:after="0" w:line="360" w:lineRule="auto"/>
        <w:rPr>
          <w:rFonts w:ascii="Arial" w:hAnsi="Arial" w:cs="Arial"/>
          <w:sz w:val="24"/>
          <w:szCs w:val="24"/>
        </w:rPr>
      </w:pPr>
    </w:p>
    <w:p w14:paraId="3FA26CD9" w14:textId="77777777" w:rsidR="001C42CE" w:rsidRPr="001C42CE" w:rsidRDefault="001C42CE" w:rsidP="000B71EF">
      <w:pPr>
        <w:spacing w:after="0" w:line="360" w:lineRule="auto"/>
        <w:rPr>
          <w:rFonts w:ascii="Arial" w:hAnsi="Arial" w:cs="Arial"/>
          <w:sz w:val="24"/>
          <w:szCs w:val="24"/>
        </w:rPr>
      </w:pPr>
      <w:r w:rsidRPr="001C42CE">
        <w:rPr>
          <w:rFonts w:ascii="Arial" w:hAnsi="Arial" w:cs="Arial"/>
          <w:b/>
          <w:sz w:val="24"/>
          <w:szCs w:val="24"/>
        </w:rPr>
        <w:t>Estimates of Treatment Effect and their Confidence Interval</w:t>
      </w:r>
      <w:r w:rsidR="005B0495">
        <w:rPr>
          <w:rFonts w:ascii="Arial" w:hAnsi="Arial" w:cs="Arial"/>
          <w:b/>
          <w:sz w:val="24"/>
          <w:szCs w:val="24"/>
        </w:rPr>
        <w:t>s</w:t>
      </w:r>
    </w:p>
    <w:p w14:paraId="55368C5C" w14:textId="77777777" w:rsidR="001C42CE" w:rsidRDefault="001C42CE" w:rsidP="000B71EF">
      <w:pPr>
        <w:spacing w:after="0" w:line="360" w:lineRule="auto"/>
        <w:rPr>
          <w:rFonts w:ascii="Arial" w:hAnsi="Arial" w:cs="Arial"/>
          <w:sz w:val="24"/>
          <w:szCs w:val="24"/>
        </w:rPr>
      </w:pPr>
    </w:p>
    <w:p w14:paraId="28B382DC" w14:textId="77777777" w:rsidR="001C42CE" w:rsidRDefault="001C42CE" w:rsidP="000B71EF">
      <w:pPr>
        <w:spacing w:after="0" w:line="360" w:lineRule="auto"/>
        <w:rPr>
          <w:rFonts w:ascii="Arial" w:hAnsi="Arial" w:cs="Arial"/>
          <w:sz w:val="24"/>
          <w:szCs w:val="24"/>
        </w:rPr>
      </w:pPr>
      <w:r>
        <w:rPr>
          <w:rFonts w:ascii="Arial" w:hAnsi="Arial" w:cs="Arial"/>
          <w:sz w:val="24"/>
          <w:szCs w:val="24"/>
        </w:rPr>
        <w:t>Now we get down to the serious business of estimating the magnitude of the difference between treatment</w:t>
      </w:r>
      <w:r w:rsidR="005B0495">
        <w:rPr>
          <w:rFonts w:ascii="Arial" w:hAnsi="Arial" w:cs="Arial"/>
          <w:sz w:val="24"/>
          <w:szCs w:val="24"/>
        </w:rPr>
        <w:t>s</w:t>
      </w:r>
      <w:r>
        <w:rPr>
          <w:rFonts w:ascii="Arial" w:hAnsi="Arial" w:cs="Arial"/>
          <w:sz w:val="24"/>
          <w:szCs w:val="24"/>
        </w:rPr>
        <w:t xml:space="preserve"> on patient outcomes. First, we wish to obtain a </w:t>
      </w:r>
      <w:r w:rsidRPr="001C42CE">
        <w:rPr>
          <w:rFonts w:ascii="Arial" w:hAnsi="Arial" w:cs="Arial"/>
          <w:b/>
          <w:sz w:val="24"/>
          <w:szCs w:val="24"/>
        </w:rPr>
        <w:t>point estimate</w:t>
      </w:r>
      <w:r>
        <w:rPr>
          <w:rFonts w:ascii="Arial" w:hAnsi="Arial" w:cs="Arial"/>
          <w:sz w:val="24"/>
          <w:szCs w:val="24"/>
        </w:rPr>
        <w:t xml:space="preserve"> </w:t>
      </w:r>
      <w:proofErr w:type="spellStart"/>
      <w:r>
        <w:rPr>
          <w:rFonts w:ascii="Arial" w:hAnsi="Arial" w:cs="Arial"/>
          <w:sz w:val="24"/>
          <w:szCs w:val="24"/>
        </w:rPr>
        <w:t>ie</w:t>
      </w:r>
      <w:proofErr w:type="spellEnd"/>
      <w:r>
        <w:rPr>
          <w:rFonts w:ascii="Arial" w:hAnsi="Arial" w:cs="Arial"/>
          <w:sz w:val="24"/>
          <w:szCs w:val="24"/>
        </w:rPr>
        <w:t xml:space="preserve">. </w:t>
      </w:r>
      <w:proofErr w:type="gramStart"/>
      <w:r>
        <w:rPr>
          <w:rFonts w:ascii="Arial" w:hAnsi="Arial" w:cs="Arial"/>
          <w:sz w:val="24"/>
          <w:szCs w:val="24"/>
        </w:rPr>
        <w:t>what</w:t>
      </w:r>
      <w:proofErr w:type="gramEnd"/>
      <w:r>
        <w:rPr>
          <w:rFonts w:ascii="Arial" w:hAnsi="Arial" w:cs="Arial"/>
          <w:sz w:val="24"/>
          <w:szCs w:val="24"/>
        </w:rPr>
        <w:t xml:space="preserve"> was the actual difference observed. Then we need to express the degree of uncertainty present in the data, </w:t>
      </w:r>
      <w:proofErr w:type="spellStart"/>
      <w:r>
        <w:rPr>
          <w:rFonts w:ascii="Arial" w:hAnsi="Arial" w:cs="Arial"/>
          <w:sz w:val="24"/>
          <w:szCs w:val="24"/>
        </w:rPr>
        <w:t>ie</w:t>
      </w:r>
      <w:proofErr w:type="spellEnd"/>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bigger the trial the more precise the point estimate will be. Such uncertainty is usually expressed as a </w:t>
      </w:r>
      <w:r w:rsidRPr="001C42CE">
        <w:rPr>
          <w:rFonts w:ascii="Arial" w:hAnsi="Arial" w:cs="Arial"/>
          <w:b/>
          <w:sz w:val="24"/>
          <w:szCs w:val="24"/>
        </w:rPr>
        <w:t>95% confidence interval</w:t>
      </w:r>
      <w:r>
        <w:rPr>
          <w:rFonts w:ascii="Arial" w:hAnsi="Arial" w:cs="Arial"/>
          <w:sz w:val="24"/>
          <w:szCs w:val="24"/>
        </w:rPr>
        <w:t>.</w:t>
      </w:r>
    </w:p>
    <w:p w14:paraId="09AFF8CF" w14:textId="77777777" w:rsidR="009A5740" w:rsidRDefault="009A5740" w:rsidP="000B71EF">
      <w:pPr>
        <w:spacing w:after="0" w:line="360" w:lineRule="auto"/>
        <w:rPr>
          <w:rFonts w:ascii="Arial" w:hAnsi="Arial" w:cs="Arial"/>
          <w:sz w:val="24"/>
          <w:szCs w:val="24"/>
        </w:rPr>
      </w:pPr>
    </w:p>
    <w:p w14:paraId="3EE8CA3B" w14:textId="77777777" w:rsidR="001C42CE" w:rsidRDefault="001C42CE" w:rsidP="000B71EF">
      <w:pPr>
        <w:spacing w:after="0" w:line="360" w:lineRule="auto"/>
        <w:rPr>
          <w:rFonts w:ascii="Arial" w:hAnsi="Arial" w:cs="Arial"/>
          <w:sz w:val="24"/>
          <w:szCs w:val="24"/>
        </w:rPr>
      </w:pPr>
      <w:r>
        <w:rPr>
          <w:rFonts w:ascii="Arial" w:hAnsi="Arial" w:cs="Arial"/>
          <w:sz w:val="24"/>
          <w:szCs w:val="24"/>
        </w:rPr>
        <w:lastRenderedPageBreak/>
        <w:t>Exactly what type of estimate is required, depends on the nature of the patient outcome of interest. There are three main types of outcome data:</w:t>
      </w:r>
    </w:p>
    <w:p w14:paraId="03A319A5" w14:textId="77777777" w:rsidR="001C42CE" w:rsidRDefault="001C42CE" w:rsidP="000B71EF">
      <w:pPr>
        <w:pStyle w:val="ListParagraph"/>
        <w:numPr>
          <w:ilvl w:val="0"/>
          <w:numId w:val="2"/>
        </w:numPr>
        <w:spacing w:after="0" w:line="360" w:lineRule="auto"/>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binary (yes/n</w:t>
      </w:r>
      <w:r w:rsidR="00793111">
        <w:rPr>
          <w:rFonts w:ascii="Arial" w:hAnsi="Arial" w:cs="Arial"/>
          <w:sz w:val="24"/>
          <w:szCs w:val="24"/>
        </w:rPr>
        <w:t>o</w:t>
      </w:r>
      <w:r>
        <w:rPr>
          <w:rFonts w:ascii="Arial" w:hAnsi="Arial" w:cs="Arial"/>
          <w:sz w:val="24"/>
          <w:szCs w:val="24"/>
        </w:rPr>
        <w:t xml:space="preserve">) response </w:t>
      </w:r>
      <w:proofErr w:type="spellStart"/>
      <w:r>
        <w:rPr>
          <w:rFonts w:ascii="Arial" w:hAnsi="Arial" w:cs="Arial"/>
          <w:sz w:val="24"/>
          <w:szCs w:val="24"/>
        </w:rPr>
        <w:t>eg</w:t>
      </w:r>
      <w:proofErr w:type="spellEnd"/>
      <w:r>
        <w:rPr>
          <w:rFonts w:ascii="Arial" w:hAnsi="Arial" w:cs="Arial"/>
          <w:sz w:val="24"/>
          <w:szCs w:val="24"/>
        </w:rPr>
        <w:t xml:space="preserve">. </w:t>
      </w:r>
      <w:proofErr w:type="gramStart"/>
      <w:r>
        <w:rPr>
          <w:rFonts w:ascii="Arial" w:hAnsi="Arial" w:cs="Arial"/>
          <w:sz w:val="24"/>
          <w:szCs w:val="24"/>
        </w:rPr>
        <w:t>success</w:t>
      </w:r>
      <w:proofErr w:type="gramEnd"/>
      <w:r>
        <w:rPr>
          <w:rFonts w:ascii="Arial" w:hAnsi="Arial" w:cs="Arial"/>
          <w:sz w:val="24"/>
          <w:szCs w:val="24"/>
        </w:rPr>
        <w:t xml:space="preserve"> or failure, dead or alive, or in the trial we pursue below the composite of death, myocardial infarction, ischaemia driven revascularisation or stent thrombosis </w:t>
      </w:r>
      <w:proofErr w:type="spellStart"/>
      <w:r>
        <w:rPr>
          <w:rFonts w:ascii="Arial" w:hAnsi="Arial" w:cs="Arial"/>
          <w:sz w:val="24"/>
          <w:szCs w:val="24"/>
        </w:rPr>
        <w:t>ie</w:t>
      </w:r>
      <w:proofErr w:type="spellEnd"/>
      <w:r>
        <w:rPr>
          <w:rFonts w:ascii="Arial" w:hAnsi="Arial" w:cs="Arial"/>
          <w:sz w:val="24"/>
          <w:szCs w:val="24"/>
        </w:rPr>
        <w:t xml:space="preserve">. </w:t>
      </w:r>
      <w:proofErr w:type="gramStart"/>
      <w:r>
        <w:rPr>
          <w:rFonts w:ascii="Arial" w:hAnsi="Arial" w:cs="Arial"/>
          <w:sz w:val="24"/>
          <w:szCs w:val="24"/>
        </w:rPr>
        <w:t>did</w:t>
      </w:r>
      <w:proofErr w:type="gramEnd"/>
      <w:r>
        <w:rPr>
          <w:rFonts w:ascii="Arial" w:hAnsi="Arial" w:cs="Arial"/>
          <w:sz w:val="24"/>
          <w:szCs w:val="24"/>
        </w:rPr>
        <w:t xml:space="preserve"> any of these occur within 48 hours of randomisation in PCI patients, yes or no?</w:t>
      </w:r>
    </w:p>
    <w:p w14:paraId="231B8B1C" w14:textId="77777777" w:rsidR="000201E9" w:rsidRPr="000201E9" w:rsidRDefault="000201E9" w:rsidP="000B71EF">
      <w:pPr>
        <w:spacing w:after="0" w:line="360" w:lineRule="auto"/>
        <w:rPr>
          <w:rFonts w:ascii="Arial" w:hAnsi="Arial" w:cs="Arial"/>
          <w:sz w:val="24"/>
          <w:szCs w:val="24"/>
        </w:rPr>
      </w:pPr>
    </w:p>
    <w:p w14:paraId="72B4858A" w14:textId="77777777" w:rsidR="000201E9" w:rsidRDefault="000201E9" w:rsidP="000B71EF">
      <w:pPr>
        <w:pStyle w:val="ListParagraph"/>
        <w:numPr>
          <w:ilvl w:val="0"/>
          <w:numId w:val="2"/>
        </w:numPr>
        <w:spacing w:after="0" w:line="360" w:lineRule="auto"/>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time to event outcome, </w:t>
      </w:r>
      <w:proofErr w:type="spellStart"/>
      <w:r>
        <w:rPr>
          <w:rFonts w:ascii="Arial" w:hAnsi="Arial" w:cs="Arial"/>
          <w:sz w:val="24"/>
          <w:szCs w:val="24"/>
        </w:rPr>
        <w:t>eg</w:t>
      </w:r>
      <w:proofErr w:type="spellEnd"/>
      <w:r>
        <w:rPr>
          <w:rFonts w:ascii="Arial" w:hAnsi="Arial" w:cs="Arial"/>
          <w:sz w:val="24"/>
          <w:szCs w:val="24"/>
        </w:rPr>
        <w:t xml:space="preserve">. </w:t>
      </w:r>
      <w:proofErr w:type="gramStart"/>
      <w:r>
        <w:rPr>
          <w:rFonts w:ascii="Arial" w:hAnsi="Arial" w:cs="Arial"/>
          <w:sz w:val="24"/>
          <w:szCs w:val="24"/>
        </w:rPr>
        <w:t>time</w:t>
      </w:r>
      <w:proofErr w:type="gramEnd"/>
      <w:r>
        <w:rPr>
          <w:rFonts w:ascii="Arial" w:hAnsi="Arial" w:cs="Arial"/>
          <w:sz w:val="24"/>
          <w:szCs w:val="24"/>
        </w:rPr>
        <w:t xml:space="preserve"> to death, time to symptom relief, or in the trial we pursue below the time to first hospitalisation for heart failure or cardiovascular death, whichever (if either) happens first.</w:t>
      </w:r>
    </w:p>
    <w:p w14:paraId="1273ED35" w14:textId="77777777" w:rsidR="000201E9" w:rsidRPr="000201E9" w:rsidRDefault="000201E9" w:rsidP="000B71EF">
      <w:pPr>
        <w:pStyle w:val="ListParagraph"/>
        <w:spacing w:after="0" w:line="360" w:lineRule="auto"/>
        <w:rPr>
          <w:rFonts w:ascii="Arial" w:hAnsi="Arial" w:cs="Arial"/>
          <w:sz w:val="24"/>
          <w:szCs w:val="24"/>
        </w:rPr>
      </w:pPr>
    </w:p>
    <w:p w14:paraId="045FB74A" w14:textId="77777777" w:rsidR="000201E9" w:rsidRDefault="000201E9" w:rsidP="000B71EF">
      <w:pPr>
        <w:pStyle w:val="ListParagraph"/>
        <w:numPr>
          <w:ilvl w:val="0"/>
          <w:numId w:val="2"/>
        </w:numPr>
        <w:spacing w:after="0" w:line="360" w:lineRule="auto"/>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quantitative outcome, </w:t>
      </w:r>
      <w:proofErr w:type="spellStart"/>
      <w:r>
        <w:rPr>
          <w:rFonts w:ascii="Arial" w:hAnsi="Arial" w:cs="Arial"/>
          <w:sz w:val="24"/>
          <w:szCs w:val="24"/>
        </w:rPr>
        <w:t>eg</w:t>
      </w:r>
      <w:proofErr w:type="spellEnd"/>
      <w:r>
        <w:rPr>
          <w:rFonts w:ascii="Arial" w:hAnsi="Arial" w:cs="Arial"/>
          <w:sz w:val="24"/>
          <w:szCs w:val="24"/>
        </w:rPr>
        <w:t xml:space="preserve">. </w:t>
      </w:r>
      <w:proofErr w:type="gramStart"/>
      <w:r>
        <w:rPr>
          <w:rFonts w:ascii="Arial" w:hAnsi="Arial" w:cs="Arial"/>
          <w:sz w:val="24"/>
          <w:szCs w:val="24"/>
        </w:rPr>
        <w:t>change</w:t>
      </w:r>
      <w:proofErr w:type="gramEnd"/>
      <w:r>
        <w:rPr>
          <w:rFonts w:ascii="Arial" w:hAnsi="Arial" w:cs="Arial"/>
          <w:sz w:val="24"/>
          <w:szCs w:val="24"/>
        </w:rPr>
        <w:t xml:space="preserve"> in systolic blood pressure from randomisation to six months later.</w:t>
      </w:r>
    </w:p>
    <w:p w14:paraId="67074BBA" w14:textId="77777777" w:rsidR="000201E9" w:rsidRPr="000201E9" w:rsidRDefault="000201E9" w:rsidP="000B71EF">
      <w:pPr>
        <w:pStyle w:val="ListParagraph"/>
        <w:spacing w:after="0" w:line="360" w:lineRule="auto"/>
        <w:rPr>
          <w:rFonts w:ascii="Arial" w:hAnsi="Arial" w:cs="Arial"/>
          <w:sz w:val="24"/>
          <w:szCs w:val="24"/>
        </w:rPr>
      </w:pPr>
    </w:p>
    <w:p w14:paraId="1DF1011A" w14:textId="77777777" w:rsidR="000201E9" w:rsidRDefault="000201E9" w:rsidP="000B71EF">
      <w:pPr>
        <w:spacing w:after="0" w:line="360" w:lineRule="auto"/>
        <w:rPr>
          <w:rFonts w:ascii="Arial" w:hAnsi="Arial" w:cs="Arial"/>
          <w:sz w:val="24"/>
          <w:szCs w:val="24"/>
        </w:rPr>
      </w:pPr>
      <w:r>
        <w:rPr>
          <w:rFonts w:ascii="Arial" w:hAnsi="Arial" w:cs="Arial"/>
          <w:sz w:val="24"/>
          <w:szCs w:val="24"/>
        </w:rPr>
        <w:t>What follows are the standard estimation methods for these three types of data. In the process, we also explain what a confidence interval actually means.</w:t>
      </w:r>
    </w:p>
    <w:p w14:paraId="41C416D1" w14:textId="77777777" w:rsidR="000201E9" w:rsidRDefault="000201E9" w:rsidP="000B71EF">
      <w:pPr>
        <w:spacing w:after="0" w:line="360" w:lineRule="auto"/>
        <w:rPr>
          <w:rFonts w:ascii="Arial" w:hAnsi="Arial" w:cs="Arial"/>
          <w:sz w:val="24"/>
          <w:szCs w:val="24"/>
        </w:rPr>
      </w:pPr>
    </w:p>
    <w:p w14:paraId="1AAC17A2" w14:textId="77777777" w:rsidR="000201E9" w:rsidRPr="000201E9" w:rsidRDefault="000201E9" w:rsidP="000B71EF">
      <w:pPr>
        <w:spacing w:after="0" w:line="360" w:lineRule="auto"/>
        <w:rPr>
          <w:rFonts w:ascii="Arial" w:hAnsi="Arial" w:cs="Arial"/>
          <w:sz w:val="24"/>
          <w:szCs w:val="24"/>
        </w:rPr>
      </w:pPr>
      <w:r w:rsidRPr="000201E9">
        <w:rPr>
          <w:rFonts w:ascii="Arial" w:hAnsi="Arial" w:cs="Arial"/>
          <w:b/>
          <w:sz w:val="24"/>
          <w:szCs w:val="24"/>
        </w:rPr>
        <w:t>Estimates based on Percentages</w:t>
      </w:r>
    </w:p>
    <w:p w14:paraId="5713752C" w14:textId="77777777" w:rsidR="000201E9" w:rsidRDefault="000201E9" w:rsidP="000B71EF">
      <w:pPr>
        <w:spacing w:after="0" w:line="360" w:lineRule="auto"/>
        <w:rPr>
          <w:rFonts w:ascii="Arial" w:hAnsi="Arial" w:cs="Arial"/>
          <w:sz w:val="24"/>
          <w:szCs w:val="24"/>
        </w:rPr>
      </w:pPr>
    </w:p>
    <w:p w14:paraId="2082F23A" w14:textId="77777777" w:rsidR="000201E9" w:rsidRDefault="000201E9" w:rsidP="000B71EF">
      <w:pPr>
        <w:spacing w:after="0" w:line="360" w:lineRule="auto"/>
        <w:rPr>
          <w:rFonts w:ascii="Arial" w:hAnsi="Arial" w:cs="Arial"/>
          <w:sz w:val="24"/>
          <w:szCs w:val="24"/>
        </w:rPr>
      </w:pPr>
      <w:r>
        <w:rPr>
          <w:rFonts w:ascii="Arial" w:hAnsi="Arial" w:cs="Arial"/>
          <w:sz w:val="24"/>
          <w:szCs w:val="24"/>
        </w:rPr>
        <w:t>In acute disease</w:t>
      </w:r>
      <w:r w:rsidR="00BE7E0F">
        <w:rPr>
          <w:rFonts w:ascii="Arial" w:hAnsi="Arial" w:cs="Arial"/>
          <w:sz w:val="24"/>
          <w:szCs w:val="24"/>
        </w:rPr>
        <w:t xml:space="preserve"> the comparative efficacy of two treatments is often assessed by “success or failure” in terms of “absence or presence” of a serious clinical event. For instance, in the CHAMPION-PHOENIX trial</w:t>
      </w:r>
      <w:r w:rsidR="00E55F9A">
        <w:rPr>
          <w:rFonts w:ascii="Arial" w:hAnsi="Arial" w:cs="Arial"/>
          <w:sz w:val="24"/>
          <w:szCs w:val="24"/>
        </w:rPr>
        <w:t xml:space="preserve"> </w:t>
      </w:r>
      <w:r w:rsidR="00091918">
        <w:rPr>
          <w:rFonts w:ascii="Arial" w:hAnsi="Arial" w:cs="Arial"/>
          <w:sz w:val="24"/>
          <w:szCs w:val="24"/>
        </w:rPr>
        <w:fldChar w:fldCharType="begin"/>
      </w:r>
      <w:r w:rsidR="00091918">
        <w:rPr>
          <w:rFonts w:ascii="Arial" w:hAnsi="Arial" w:cs="Arial"/>
          <w:sz w:val="24"/>
          <w:szCs w:val="24"/>
        </w:rPr>
        <w:instrText xml:space="preserve"> ADDIN EN.CITE &lt;EndNote&gt;&lt;Cite&gt;&lt;Author&gt;Bhatt&lt;/Author&gt;&lt;Year&gt;2013&lt;/Year&gt;&lt;RecNum&gt;21&lt;/RecNum&gt;&lt;DisplayText&gt;(9)&lt;/DisplayText&gt;&lt;record&gt;&lt;rec-number&gt;21&lt;/rec-number&gt;&lt;foreign-keys&gt;&lt;key app="EN" db-id="eaz5sewevp5dfxewrdrvzv52xsv2tsf22rzr"&gt;21&lt;/key&gt;&lt;/foreign-keys&gt;&lt;ref-type name="Journal Article"&gt;17&lt;/ref-type&gt;&lt;contributors&gt;&lt;authors&gt;&lt;author&gt;Bhatt, Deepak L.&lt;/author&gt;&lt;author&gt;Stone, Gregg W.&lt;/author&gt;&lt;author&gt;Mahaffey, Kenneth W.&lt;/author&gt;&lt;author&gt;Gibson, C. Michael&lt;/author&gt;&lt;author&gt;Steg, P. Gabriel&lt;/author&gt;&lt;author&gt;Hamm, Christian W.&lt;/author&gt;&lt;author&gt;Price, Matthew J.&lt;/author&gt;&lt;author&gt;Leonardi, Sergio&lt;/author&gt;&lt;author&gt;Gallup, Dianne&lt;/author&gt;&lt;author&gt;Bramucci, Ezio&lt;/author&gt;&lt;author&gt;Radke, Peter W.&lt;/author&gt;&lt;author&gt;Widimský, Petr&lt;/author&gt;&lt;author&gt;Tousek, Frantisek&lt;/author&gt;&lt;author&gt;Tauth, Jeffrey&lt;/author&gt;&lt;author&gt;Spriggs, Douglas&lt;/author&gt;&lt;author&gt;McLaurin, Brent T.&lt;/author&gt;&lt;author&gt;Angiolillo, Dominick J.&lt;/author&gt;&lt;author&gt;Généreux, Philippe&lt;/author&gt;&lt;author&gt;Liu, Tiepu&lt;/author&gt;&lt;author&gt;Prats, Jayne&lt;/author&gt;&lt;author&gt;Todd, Meredith&lt;/author&gt;&lt;author&gt;Skerjanec, Simona&lt;/author&gt;&lt;author&gt;White, Harvey D.&lt;/author&gt;&lt;author&gt;Harrington, Robert A.&lt;/author&gt;&lt;/authors&gt;&lt;/contributors&gt;&lt;titles&gt;&lt;title&gt;Effect of Platelet Inhibition with Cangrelor during PCI on Ischemic Events&lt;/title&gt;&lt;secondary-title&gt;New England Journal of Medicine&lt;/secondary-title&gt;&lt;/titles&gt;&lt;periodical&gt;&lt;full-title&gt;New England Journal of Medicine&lt;/full-title&gt;&lt;/periodical&gt;&lt;pages&gt;1303-1313&lt;/pages&gt;&lt;volume&gt;368&lt;/volume&gt;&lt;number&gt;14&lt;/number&gt;&lt;dates&gt;&lt;year&gt;2013&lt;/year&gt;&lt;/dates&gt;&lt;accession-num&gt;23473369&lt;/accession-num&gt;&lt;call-num&gt;9&lt;/call-num&gt;&lt;urls&gt;&lt;related-urls&gt;&lt;url&gt;http://www.nejm.org/doi/full/10.1056/NEJMoa1300815&lt;/url&gt;&lt;/related-urls&gt;&lt;/urls&gt;&lt;electronic-resource-num&gt;doi:10.1056/NEJMoa1300815&lt;/electronic-resource-num&gt;&lt;/record&gt;&lt;/Cite&gt;&lt;/EndNote&gt;</w:instrText>
      </w:r>
      <w:r w:rsidR="00091918">
        <w:rPr>
          <w:rFonts w:ascii="Arial" w:hAnsi="Arial" w:cs="Arial"/>
          <w:sz w:val="24"/>
          <w:szCs w:val="24"/>
        </w:rPr>
        <w:fldChar w:fldCharType="separate"/>
      </w:r>
      <w:r w:rsidR="00091918">
        <w:rPr>
          <w:rFonts w:ascii="Arial" w:hAnsi="Arial" w:cs="Arial"/>
          <w:noProof/>
          <w:sz w:val="24"/>
          <w:szCs w:val="24"/>
        </w:rPr>
        <w:t>(</w:t>
      </w:r>
      <w:hyperlink w:anchor="_ENREF_9" w:tooltip="Bhatt, 2013 #21" w:history="1">
        <w:r w:rsidR="00C06C90">
          <w:rPr>
            <w:rFonts w:ascii="Arial" w:hAnsi="Arial" w:cs="Arial"/>
            <w:noProof/>
            <w:sz w:val="24"/>
            <w:szCs w:val="24"/>
          </w:rPr>
          <w:t>9</w:t>
        </w:r>
      </w:hyperlink>
      <w:r w:rsidR="00091918">
        <w:rPr>
          <w:rFonts w:ascii="Arial" w:hAnsi="Arial" w:cs="Arial"/>
          <w:noProof/>
          <w:sz w:val="24"/>
          <w:szCs w:val="24"/>
        </w:rPr>
        <w:t>)</w:t>
      </w:r>
      <w:r w:rsidR="00091918">
        <w:rPr>
          <w:rFonts w:ascii="Arial" w:hAnsi="Arial" w:cs="Arial"/>
          <w:sz w:val="24"/>
          <w:szCs w:val="24"/>
        </w:rPr>
        <w:fldChar w:fldCharType="end"/>
      </w:r>
      <w:r w:rsidR="00BE7E0F">
        <w:rPr>
          <w:rFonts w:ascii="Arial" w:hAnsi="Arial" w:cs="Arial"/>
          <w:sz w:val="24"/>
          <w:szCs w:val="24"/>
        </w:rPr>
        <w:t xml:space="preserve"> the primary outcome was the composite of death, myocardial</w:t>
      </w:r>
      <w:r w:rsidR="00793111">
        <w:rPr>
          <w:rFonts w:ascii="Arial" w:hAnsi="Arial" w:cs="Arial"/>
          <w:sz w:val="24"/>
          <w:szCs w:val="24"/>
        </w:rPr>
        <w:t xml:space="preserve"> infarction,</w:t>
      </w:r>
      <w:r w:rsidR="00BE7E0F">
        <w:rPr>
          <w:rFonts w:ascii="Arial" w:hAnsi="Arial" w:cs="Arial"/>
          <w:sz w:val="24"/>
          <w:szCs w:val="24"/>
        </w:rPr>
        <w:t xml:space="preserve"> ischemia driven revascularisation or stent thrombosis within 48 hours of </w:t>
      </w:r>
      <w:r w:rsidR="00485908">
        <w:rPr>
          <w:rFonts w:ascii="Arial" w:hAnsi="Arial" w:cs="Arial"/>
          <w:sz w:val="24"/>
          <w:szCs w:val="24"/>
        </w:rPr>
        <w:t>randomisation</w:t>
      </w:r>
      <w:r w:rsidR="00BE7E0F">
        <w:rPr>
          <w:rFonts w:ascii="Arial" w:hAnsi="Arial" w:cs="Arial"/>
          <w:sz w:val="24"/>
          <w:szCs w:val="24"/>
        </w:rPr>
        <w:t>. Patients undergoing PCI were randomi</w:t>
      </w:r>
      <w:r w:rsidR="007F1E76">
        <w:rPr>
          <w:rFonts w:ascii="Arial" w:hAnsi="Arial" w:cs="Arial"/>
          <w:sz w:val="24"/>
          <w:szCs w:val="24"/>
        </w:rPr>
        <w:t>z</w:t>
      </w:r>
      <w:r w:rsidR="00BE7E0F">
        <w:rPr>
          <w:rFonts w:ascii="Arial" w:hAnsi="Arial" w:cs="Arial"/>
          <w:sz w:val="24"/>
          <w:szCs w:val="24"/>
        </w:rPr>
        <w:t>ed to cangrelor or clopidogrel (N=5470, 5469 respectively) and the numbers (%</w:t>
      </w:r>
      <w:r w:rsidR="007C0CA9">
        <w:rPr>
          <w:rFonts w:ascii="Arial" w:hAnsi="Arial" w:cs="Arial"/>
          <w:sz w:val="24"/>
          <w:szCs w:val="24"/>
        </w:rPr>
        <w:t>s</w:t>
      </w:r>
      <w:r w:rsidR="00BE7E0F">
        <w:rPr>
          <w:rFonts w:ascii="Arial" w:hAnsi="Arial" w:cs="Arial"/>
          <w:sz w:val="24"/>
          <w:szCs w:val="24"/>
        </w:rPr>
        <w:t>) experiencing the primary composite outcome were 257 (4.7%) and 322 (5.9%) respectively. The various estimates of comparative treatment efficacy, based on these two percentages are displayed in Table 3 with each estimate accompanied by its 95% confidence interval.</w:t>
      </w:r>
    </w:p>
    <w:p w14:paraId="5A935B5C" w14:textId="77777777" w:rsidR="00793111" w:rsidRDefault="00793111" w:rsidP="000B71EF">
      <w:pPr>
        <w:spacing w:after="0" w:line="360" w:lineRule="auto"/>
        <w:rPr>
          <w:rFonts w:ascii="Arial" w:hAnsi="Arial" w:cs="Arial"/>
          <w:sz w:val="24"/>
          <w:szCs w:val="24"/>
        </w:rPr>
      </w:pPr>
    </w:p>
    <w:p w14:paraId="6224AC6A" w14:textId="77777777" w:rsidR="00BE7E0F" w:rsidRDefault="00BE7E0F" w:rsidP="000B71EF">
      <w:pPr>
        <w:spacing w:after="0" w:line="360" w:lineRule="auto"/>
        <w:rPr>
          <w:rFonts w:ascii="Arial" w:hAnsi="Arial" w:cs="Arial"/>
          <w:sz w:val="24"/>
          <w:szCs w:val="24"/>
        </w:rPr>
      </w:pPr>
      <w:r w:rsidRPr="00BE7E0F">
        <w:rPr>
          <w:rFonts w:ascii="Arial" w:hAnsi="Arial" w:cs="Arial"/>
          <w:b/>
          <w:sz w:val="24"/>
          <w:szCs w:val="24"/>
        </w:rPr>
        <w:t>Relative risk</w:t>
      </w:r>
      <w:r>
        <w:rPr>
          <w:rFonts w:ascii="Arial" w:hAnsi="Arial" w:cs="Arial"/>
          <w:sz w:val="24"/>
          <w:szCs w:val="24"/>
        </w:rPr>
        <w:t xml:space="preserve"> is the ratio of two percentages, here 0.798, and can be converted to the </w:t>
      </w:r>
      <w:r w:rsidRPr="00BE7E0F">
        <w:rPr>
          <w:rFonts w:ascii="Arial" w:hAnsi="Arial" w:cs="Arial"/>
          <w:b/>
          <w:sz w:val="24"/>
          <w:szCs w:val="24"/>
        </w:rPr>
        <w:t>relative risk reduction</w:t>
      </w:r>
      <w:r>
        <w:rPr>
          <w:rFonts w:ascii="Arial" w:hAnsi="Arial" w:cs="Arial"/>
          <w:sz w:val="24"/>
          <w:szCs w:val="24"/>
        </w:rPr>
        <w:t>, which on a percentage scale is 20.2%. A common alternative to relative</w:t>
      </w:r>
      <w:r w:rsidR="00793111">
        <w:rPr>
          <w:rFonts w:ascii="Arial" w:hAnsi="Arial" w:cs="Arial"/>
          <w:sz w:val="24"/>
          <w:szCs w:val="24"/>
        </w:rPr>
        <w:t xml:space="preserve"> risk is </w:t>
      </w:r>
      <w:r w:rsidR="00793111" w:rsidRPr="00793111">
        <w:rPr>
          <w:rFonts w:ascii="Arial" w:hAnsi="Arial" w:cs="Arial"/>
          <w:b/>
          <w:sz w:val="24"/>
          <w:szCs w:val="24"/>
        </w:rPr>
        <w:t>relative</w:t>
      </w:r>
      <w:r w:rsidRPr="00793111">
        <w:rPr>
          <w:rFonts w:ascii="Arial" w:hAnsi="Arial" w:cs="Arial"/>
          <w:b/>
          <w:sz w:val="24"/>
          <w:szCs w:val="24"/>
        </w:rPr>
        <w:t xml:space="preserve"> odds</w:t>
      </w:r>
      <w:r>
        <w:rPr>
          <w:rFonts w:ascii="Arial" w:hAnsi="Arial" w:cs="Arial"/>
          <w:sz w:val="24"/>
          <w:szCs w:val="24"/>
        </w:rPr>
        <w:t>, here 0.788.</w:t>
      </w:r>
      <w:r w:rsidR="007F1E76">
        <w:rPr>
          <w:rFonts w:ascii="Arial" w:hAnsi="Arial" w:cs="Arial"/>
          <w:sz w:val="24"/>
          <w:szCs w:val="24"/>
        </w:rPr>
        <w:t xml:space="preserve"> </w:t>
      </w:r>
      <w:r>
        <w:rPr>
          <w:rFonts w:ascii="Arial" w:hAnsi="Arial" w:cs="Arial"/>
          <w:sz w:val="24"/>
          <w:szCs w:val="24"/>
        </w:rPr>
        <w:t xml:space="preserve">This is less readily understandable since except for those who gamble on horses the concept of odds is </w:t>
      </w:r>
      <w:r>
        <w:rPr>
          <w:rFonts w:ascii="Arial" w:hAnsi="Arial" w:cs="Arial"/>
          <w:sz w:val="24"/>
          <w:szCs w:val="24"/>
        </w:rPr>
        <w:lastRenderedPageBreak/>
        <w:t>harder to gr</w:t>
      </w:r>
      <w:r w:rsidR="00793111">
        <w:rPr>
          <w:rFonts w:ascii="Arial" w:hAnsi="Arial" w:cs="Arial"/>
          <w:sz w:val="24"/>
          <w:szCs w:val="24"/>
        </w:rPr>
        <w:t>as</w:t>
      </w:r>
      <w:r>
        <w:rPr>
          <w:rFonts w:ascii="Arial" w:hAnsi="Arial" w:cs="Arial"/>
          <w:sz w:val="24"/>
          <w:szCs w:val="24"/>
        </w:rPr>
        <w:t xml:space="preserve">p. However as explained later relative odds are linked to logistic regression which permits adjustment </w:t>
      </w:r>
      <w:r w:rsidR="000804BC">
        <w:rPr>
          <w:rFonts w:ascii="Arial" w:hAnsi="Arial" w:cs="Arial"/>
          <w:sz w:val="24"/>
          <w:szCs w:val="24"/>
        </w:rPr>
        <w:t>for baseline variables. Relative risk and relative odds are sometimes called risk ratio and odds ratio instead. If event rates are small then the two give quite similar estimates, with the odds ratio always slightly further away from 1.</w:t>
      </w:r>
    </w:p>
    <w:p w14:paraId="33F7501A" w14:textId="77777777" w:rsidR="000804BC" w:rsidRDefault="000804BC" w:rsidP="000B71EF">
      <w:pPr>
        <w:spacing w:after="0" w:line="360" w:lineRule="auto"/>
        <w:rPr>
          <w:rFonts w:ascii="Arial" w:hAnsi="Arial" w:cs="Arial"/>
          <w:sz w:val="24"/>
          <w:szCs w:val="24"/>
        </w:rPr>
      </w:pPr>
    </w:p>
    <w:p w14:paraId="31C8B702" w14:textId="77777777" w:rsidR="000804BC" w:rsidRDefault="000804BC" w:rsidP="000B71EF">
      <w:pPr>
        <w:spacing w:after="0" w:line="360" w:lineRule="auto"/>
        <w:rPr>
          <w:rFonts w:ascii="Arial" w:hAnsi="Arial" w:cs="Arial"/>
          <w:sz w:val="24"/>
          <w:szCs w:val="24"/>
        </w:rPr>
      </w:pPr>
      <w:r>
        <w:rPr>
          <w:rFonts w:ascii="Arial" w:hAnsi="Arial" w:cs="Arial"/>
          <w:sz w:val="24"/>
          <w:szCs w:val="24"/>
        </w:rPr>
        <w:t xml:space="preserve">The </w:t>
      </w:r>
      <w:r w:rsidRPr="000804BC">
        <w:rPr>
          <w:rFonts w:ascii="Arial" w:hAnsi="Arial" w:cs="Arial"/>
          <w:b/>
          <w:sz w:val="24"/>
          <w:szCs w:val="24"/>
        </w:rPr>
        <w:t>absolute difference in percentages</w:t>
      </w:r>
      <w:r>
        <w:rPr>
          <w:rFonts w:ascii="Arial" w:hAnsi="Arial" w:cs="Arial"/>
          <w:sz w:val="24"/>
          <w:szCs w:val="24"/>
        </w:rPr>
        <w:t>, here 1.19% is another important statistic. It is sometimes called the absolute risk reduction. In trial reports it is useful to present both the absolute and relative risk reduction. The former express the estimated absolute benefit across all randomised patients in avoiding the primary endpoint by giving cangrelor instead of clopidogrel. The latter express in relative terms what estimated percentages of primary events on clopidogrel would have been prevented by using cangrelor instead.</w:t>
      </w:r>
    </w:p>
    <w:p w14:paraId="7C219F17" w14:textId="77777777" w:rsidR="00793111" w:rsidRDefault="00793111" w:rsidP="000B71EF">
      <w:pPr>
        <w:spacing w:after="0" w:line="360" w:lineRule="auto"/>
        <w:rPr>
          <w:rFonts w:ascii="Arial" w:hAnsi="Arial" w:cs="Arial"/>
          <w:sz w:val="24"/>
          <w:szCs w:val="24"/>
        </w:rPr>
      </w:pPr>
    </w:p>
    <w:p w14:paraId="30E12D9E" w14:textId="77777777" w:rsidR="000804BC" w:rsidRDefault="000804BC" w:rsidP="000B71EF">
      <w:pPr>
        <w:spacing w:after="0" w:line="360" w:lineRule="auto"/>
        <w:rPr>
          <w:rFonts w:ascii="Arial" w:hAnsi="Arial" w:cs="Arial"/>
          <w:sz w:val="24"/>
          <w:szCs w:val="24"/>
        </w:rPr>
      </w:pPr>
      <w:r>
        <w:rPr>
          <w:rFonts w:ascii="Arial" w:hAnsi="Arial" w:cs="Arial"/>
          <w:sz w:val="24"/>
          <w:szCs w:val="24"/>
        </w:rPr>
        <w:t xml:space="preserve">The difference in percentages can be converted into the </w:t>
      </w:r>
      <w:r w:rsidRPr="00793111">
        <w:rPr>
          <w:rFonts w:ascii="Arial" w:hAnsi="Arial" w:cs="Arial"/>
          <w:b/>
          <w:sz w:val="24"/>
          <w:szCs w:val="24"/>
        </w:rPr>
        <w:t>Number N</w:t>
      </w:r>
      <w:r w:rsidR="003E6737" w:rsidRPr="00793111">
        <w:rPr>
          <w:rFonts w:ascii="Arial" w:hAnsi="Arial" w:cs="Arial"/>
          <w:b/>
          <w:sz w:val="24"/>
          <w:szCs w:val="24"/>
        </w:rPr>
        <w:t>eeded to Treat</w:t>
      </w:r>
      <w:r w:rsidR="00485908">
        <w:rPr>
          <w:rFonts w:ascii="Arial" w:hAnsi="Arial" w:cs="Arial"/>
          <w:b/>
          <w:sz w:val="24"/>
          <w:szCs w:val="24"/>
        </w:rPr>
        <w:t xml:space="preserve"> </w:t>
      </w:r>
      <w:r w:rsidR="00485908" w:rsidRPr="00485908">
        <w:rPr>
          <w:rFonts w:ascii="Arial" w:hAnsi="Arial" w:cs="Arial"/>
          <w:sz w:val="24"/>
          <w:szCs w:val="24"/>
        </w:rPr>
        <w:t>(NNT)</w:t>
      </w:r>
      <w:r w:rsidR="003E6737">
        <w:rPr>
          <w:rFonts w:ascii="Arial" w:hAnsi="Arial" w:cs="Arial"/>
          <w:sz w:val="24"/>
          <w:szCs w:val="24"/>
        </w:rPr>
        <w:t>, here 84.0. This</w:t>
      </w:r>
      <w:r>
        <w:rPr>
          <w:rFonts w:ascii="Arial" w:hAnsi="Arial" w:cs="Arial"/>
          <w:sz w:val="24"/>
          <w:szCs w:val="24"/>
        </w:rPr>
        <w:t xml:space="preserve"> means that in order to prevent one primary event by using cangrelor instead of clopidogrel we need to treat an estimated 84 patients.</w:t>
      </w:r>
      <w:r w:rsidR="00485908">
        <w:rPr>
          <w:rFonts w:ascii="Arial" w:hAnsi="Arial" w:cs="Arial"/>
          <w:sz w:val="24"/>
          <w:szCs w:val="24"/>
        </w:rPr>
        <w:t xml:space="preserve"> For NNT it is important to note the relevant time frame: here it is 48 hours post randomisation.</w:t>
      </w:r>
    </w:p>
    <w:p w14:paraId="499FCE67" w14:textId="77777777" w:rsidR="000804BC" w:rsidRDefault="000804BC" w:rsidP="000B71EF">
      <w:pPr>
        <w:spacing w:after="0" w:line="360" w:lineRule="auto"/>
        <w:rPr>
          <w:rFonts w:ascii="Arial" w:hAnsi="Arial" w:cs="Arial"/>
          <w:sz w:val="24"/>
          <w:szCs w:val="24"/>
        </w:rPr>
      </w:pPr>
    </w:p>
    <w:p w14:paraId="12BE349D" w14:textId="77777777" w:rsidR="000804BC" w:rsidRPr="001A3A63" w:rsidRDefault="000804BC" w:rsidP="000B71EF">
      <w:pPr>
        <w:spacing w:after="0" w:line="360" w:lineRule="auto"/>
        <w:rPr>
          <w:rFonts w:ascii="Arial" w:hAnsi="Arial" w:cs="Arial"/>
          <w:b/>
          <w:sz w:val="24"/>
          <w:szCs w:val="24"/>
        </w:rPr>
      </w:pPr>
      <w:r w:rsidRPr="001A3A63">
        <w:rPr>
          <w:rFonts w:ascii="Arial" w:hAnsi="Arial" w:cs="Arial"/>
          <w:b/>
          <w:sz w:val="24"/>
          <w:szCs w:val="24"/>
        </w:rPr>
        <w:t>Expressing Uncertainty using Confidence Intervals</w:t>
      </w:r>
    </w:p>
    <w:p w14:paraId="25F533CB" w14:textId="77777777" w:rsidR="000804BC" w:rsidRDefault="000804BC" w:rsidP="000B71EF">
      <w:pPr>
        <w:spacing w:after="0" w:line="360" w:lineRule="auto"/>
        <w:rPr>
          <w:rFonts w:ascii="Arial" w:hAnsi="Arial" w:cs="Arial"/>
          <w:sz w:val="24"/>
          <w:szCs w:val="24"/>
        </w:rPr>
      </w:pPr>
    </w:p>
    <w:p w14:paraId="4AD0B488" w14:textId="77777777" w:rsidR="000804BC" w:rsidRDefault="000804BC" w:rsidP="000B71EF">
      <w:pPr>
        <w:spacing w:after="0" w:line="360" w:lineRule="auto"/>
        <w:rPr>
          <w:rFonts w:ascii="Arial" w:hAnsi="Arial" w:cs="Arial"/>
          <w:sz w:val="24"/>
          <w:szCs w:val="24"/>
        </w:rPr>
      </w:pPr>
      <w:r>
        <w:rPr>
          <w:rFonts w:ascii="Arial" w:hAnsi="Arial" w:cs="Arial"/>
          <w:sz w:val="24"/>
          <w:szCs w:val="24"/>
        </w:rPr>
        <w:t>All the estimate</w:t>
      </w:r>
      <w:r w:rsidR="00793111">
        <w:rPr>
          <w:rFonts w:ascii="Arial" w:hAnsi="Arial" w:cs="Arial"/>
          <w:sz w:val="24"/>
          <w:szCs w:val="24"/>
        </w:rPr>
        <w:t>s</w:t>
      </w:r>
      <w:r>
        <w:rPr>
          <w:rFonts w:ascii="Arial" w:hAnsi="Arial" w:cs="Arial"/>
          <w:sz w:val="24"/>
          <w:szCs w:val="24"/>
        </w:rPr>
        <w:t xml:space="preserve"> based on percentages, such as </w:t>
      </w:r>
      <w:r w:rsidR="00793111">
        <w:rPr>
          <w:rFonts w:ascii="Arial" w:hAnsi="Arial" w:cs="Arial"/>
          <w:sz w:val="24"/>
          <w:szCs w:val="24"/>
        </w:rPr>
        <w:t>i</w:t>
      </w:r>
      <w:r>
        <w:rPr>
          <w:rFonts w:ascii="Arial" w:hAnsi="Arial" w:cs="Arial"/>
          <w:sz w:val="24"/>
          <w:szCs w:val="24"/>
        </w:rPr>
        <w:t>n Table 3 (and indeed other types of estimate to follow in the next two sections) are not to be trusted at fa</w:t>
      </w:r>
      <w:r w:rsidR="001A3A63">
        <w:rPr>
          <w:rFonts w:ascii="Arial" w:hAnsi="Arial" w:cs="Arial"/>
          <w:sz w:val="24"/>
          <w:szCs w:val="24"/>
        </w:rPr>
        <w:t>c</w:t>
      </w:r>
      <w:r>
        <w:rPr>
          <w:rFonts w:ascii="Arial" w:hAnsi="Arial" w:cs="Arial"/>
          <w:sz w:val="24"/>
          <w:szCs w:val="24"/>
        </w:rPr>
        <w:t>e value. Any estimate has a built-in impre</w:t>
      </w:r>
      <w:r w:rsidR="00793111">
        <w:rPr>
          <w:rFonts w:ascii="Arial" w:hAnsi="Arial" w:cs="Arial"/>
          <w:sz w:val="24"/>
          <w:szCs w:val="24"/>
        </w:rPr>
        <w:t>ci</w:t>
      </w:r>
      <w:r>
        <w:rPr>
          <w:rFonts w:ascii="Arial" w:hAnsi="Arial" w:cs="Arial"/>
          <w:sz w:val="24"/>
          <w:szCs w:val="24"/>
        </w:rPr>
        <w:t xml:space="preserve">sion because of the finite sample of patients studied, and indeed the smaller the study the </w:t>
      </w:r>
      <w:r w:rsidR="00793111">
        <w:rPr>
          <w:rFonts w:ascii="Arial" w:hAnsi="Arial" w:cs="Arial"/>
          <w:sz w:val="24"/>
          <w:szCs w:val="24"/>
        </w:rPr>
        <w:t>less precise the estimate</w:t>
      </w:r>
      <w:r w:rsidR="001A3A63">
        <w:rPr>
          <w:rFonts w:ascii="Arial" w:hAnsi="Arial" w:cs="Arial"/>
          <w:sz w:val="24"/>
          <w:szCs w:val="24"/>
        </w:rPr>
        <w:t xml:space="preserve"> will be</w:t>
      </w:r>
      <w:r w:rsidR="002C68D9">
        <w:rPr>
          <w:rFonts w:ascii="Arial" w:hAnsi="Arial" w:cs="Arial"/>
          <w:sz w:val="24"/>
          <w:szCs w:val="24"/>
        </w:rPr>
        <w:t>. The extent of such statistical uncertainty is best captured by use of a 95% confidence interval (95% CI) around any estimate</w:t>
      </w:r>
      <w:r w:rsidR="006C412F">
        <w:rPr>
          <w:rFonts w:ascii="Arial" w:hAnsi="Arial" w:cs="Arial"/>
          <w:sz w:val="24"/>
          <w:szCs w:val="24"/>
        </w:rPr>
        <w:t xml:space="preserve"> </w:t>
      </w:r>
      <w:r w:rsidR="006C412F">
        <w:rPr>
          <w:rFonts w:ascii="Arial" w:hAnsi="Arial" w:cs="Arial"/>
          <w:sz w:val="24"/>
          <w:szCs w:val="24"/>
        </w:rPr>
        <w:fldChar w:fldCharType="begin"/>
      </w:r>
      <w:r w:rsidR="00513D32">
        <w:rPr>
          <w:rFonts w:ascii="Arial" w:hAnsi="Arial" w:cs="Arial"/>
          <w:sz w:val="24"/>
          <w:szCs w:val="24"/>
        </w:rPr>
        <w:instrText xml:space="preserve"> ADDIN EN.CITE &lt;EndNote&gt;&lt;Cite&gt;&lt;Author&gt;Bulpitt&lt;/Author&gt;&lt;Year&gt;1987&lt;/Year&gt;&lt;RecNum&gt;105&lt;/RecNum&gt;&lt;DisplayText&gt;(10,11)&lt;/DisplayText&gt;&lt;record&gt;&lt;rec-number&gt;105&lt;/rec-number&gt;&lt;foreign-keys&gt;&lt;key app="EN" db-id="eaz5sewevp5dfxewrdrvzv52xsv2tsf22rzr"&gt;105&lt;/key&gt;&lt;/foreign-keys&gt;&lt;ref-type name="Journal Article"&gt;17&lt;/ref-type&gt;&lt;contributors&gt;&lt;authors&gt;&lt;author&gt;Bulpitt, C. J.&lt;/author&gt;&lt;/authors&gt;&lt;/contributors&gt;&lt;titles&gt;&lt;title&gt;Confidence Intervals&lt;/title&gt;&lt;secondary-title&gt;The Lancet&lt;/secondary-title&gt;&lt;/titles&gt;&lt;periodical&gt;&lt;full-title&gt;The Lancet&lt;/full-title&gt;&lt;/periodical&gt;&lt;pages&gt;494-497&lt;/pages&gt;&lt;volume&gt;329&lt;/volume&gt;&lt;number&gt;8531&lt;/number&gt;&lt;dates&gt;&lt;year&gt;1987&lt;/year&gt;&lt;pub-dates&gt;&lt;date&gt;2/28/&lt;/date&gt;&lt;/pub-dates&gt;&lt;/dates&gt;&lt;isbn&gt;0140-6736&lt;/isbn&gt;&lt;urls&gt;&lt;related-urls&gt;&lt;url&gt;http://www.sciencedirect.com/science/article/pii/S0140673687921003&lt;/url&gt;&lt;/related-urls&gt;&lt;/urls&gt;&lt;electronic-resource-num&gt;http://dx.doi.org/10.1016/S0140-6736(87)92100-3&lt;/electronic-resource-num&gt;&lt;/record&gt;&lt;/Cite&gt;&lt;Cite&gt;&lt;Author&gt;Altman&lt;/Author&gt;&lt;Year&gt;2013&lt;/Year&gt;&lt;RecNum&gt;106&lt;/RecNum&gt;&lt;record&gt;&lt;rec-number&gt;106&lt;/rec-number&gt;&lt;foreign-keys&gt;&lt;key app="EN" db-id="eaz5sewevp5dfxewrdrvzv52xsv2tsf22rzr"&gt;106&lt;/key&gt;&lt;/foreign-keys&gt;&lt;ref-type name="Book"&gt;6&lt;/ref-type&gt;&lt;contributors&gt;&lt;authors&gt;&lt;author&gt;Altman, Douglas&lt;/author&gt;&lt;author&gt;Machin, David&lt;/author&gt;&lt;author&gt;Bryant, Trevor&lt;/author&gt;&lt;author&gt;Gardner, Martin&lt;/author&gt;&lt;/authors&gt;&lt;/contributors&gt;&lt;titles&gt;&lt;title&gt;Statistics with confidence: confidence intervals and statistical guidelines&lt;/title&gt;&lt;/titles&gt;&lt;dates&gt;&lt;year&gt;2013&lt;/year&gt;&lt;/dates&gt;&lt;publisher&gt;John Wiley &amp;amp; Sons&lt;/publisher&gt;&lt;isbn&gt;1118702506&lt;/isbn&gt;&lt;urls&gt;&lt;/urls&gt;&lt;/record&gt;&lt;/Cite&gt;&lt;/EndNote&gt;</w:instrText>
      </w:r>
      <w:r w:rsidR="006C412F">
        <w:rPr>
          <w:rFonts w:ascii="Arial" w:hAnsi="Arial" w:cs="Arial"/>
          <w:sz w:val="24"/>
          <w:szCs w:val="24"/>
        </w:rPr>
        <w:fldChar w:fldCharType="separate"/>
      </w:r>
      <w:r w:rsidR="006C412F">
        <w:rPr>
          <w:rFonts w:ascii="Arial" w:hAnsi="Arial" w:cs="Arial"/>
          <w:noProof/>
          <w:sz w:val="24"/>
          <w:szCs w:val="24"/>
        </w:rPr>
        <w:t>(</w:t>
      </w:r>
      <w:hyperlink w:anchor="_ENREF_10" w:tooltip="Bulpitt, 1987 #105" w:history="1">
        <w:r w:rsidR="00C06C90">
          <w:rPr>
            <w:rFonts w:ascii="Arial" w:hAnsi="Arial" w:cs="Arial"/>
            <w:noProof/>
            <w:sz w:val="24"/>
            <w:szCs w:val="24"/>
          </w:rPr>
          <w:t>10</w:t>
        </w:r>
      </w:hyperlink>
      <w:r w:rsidR="006C412F">
        <w:rPr>
          <w:rFonts w:ascii="Arial" w:hAnsi="Arial" w:cs="Arial"/>
          <w:noProof/>
          <w:sz w:val="24"/>
          <w:szCs w:val="24"/>
        </w:rPr>
        <w:t>,</w:t>
      </w:r>
      <w:hyperlink w:anchor="_ENREF_11" w:tooltip="Altman, 2013 #106" w:history="1">
        <w:r w:rsidR="00C06C90">
          <w:rPr>
            <w:rFonts w:ascii="Arial" w:hAnsi="Arial" w:cs="Arial"/>
            <w:noProof/>
            <w:sz w:val="24"/>
            <w:szCs w:val="24"/>
          </w:rPr>
          <w:t>11</w:t>
        </w:r>
      </w:hyperlink>
      <w:r w:rsidR="006C412F">
        <w:rPr>
          <w:rFonts w:ascii="Arial" w:hAnsi="Arial" w:cs="Arial"/>
          <w:noProof/>
          <w:sz w:val="24"/>
          <w:szCs w:val="24"/>
        </w:rPr>
        <w:t>)</w:t>
      </w:r>
      <w:r w:rsidR="006C412F">
        <w:rPr>
          <w:rFonts w:ascii="Arial" w:hAnsi="Arial" w:cs="Arial"/>
          <w:sz w:val="24"/>
          <w:szCs w:val="24"/>
        </w:rPr>
        <w:fldChar w:fldCharType="end"/>
      </w:r>
      <w:r w:rsidR="002C68D9">
        <w:rPr>
          <w:rFonts w:ascii="Arial" w:hAnsi="Arial" w:cs="Arial"/>
          <w:sz w:val="24"/>
          <w:szCs w:val="24"/>
        </w:rPr>
        <w:t>.</w:t>
      </w:r>
    </w:p>
    <w:p w14:paraId="43AAB1AD" w14:textId="77777777" w:rsidR="00F015F7" w:rsidRDefault="00F015F7" w:rsidP="000B71EF">
      <w:pPr>
        <w:spacing w:after="0" w:line="360" w:lineRule="auto"/>
        <w:rPr>
          <w:rFonts w:ascii="Arial" w:hAnsi="Arial" w:cs="Arial"/>
          <w:sz w:val="24"/>
          <w:szCs w:val="24"/>
        </w:rPr>
      </w:pPr>
    </w:p>
    <w:p w14:paraId="066F25C0" w14:textId="77777777" w:rsidR="002C68D9" w:rsidRDefault="002C68D9" w:rsidP="000B71EF">
      <w:pPr>
        <w:spacing w:after="0" w:line="360" w:lineRule="auto"/>
        <w:rPr>
          <w:rFonts w:ascii="Arial" w:hAnsi="Arial" w:cs="Arial"/>
          <w:sz w:val="24"/>
          <w:szCs w:val="24"/>
        </w:rPr>
      </w:pPr>
      <w:r>
        <w:rPr>
          <w:rFonts w:ascii="Arial" w:hAnsi="Arial" w:cs="Arial"/>
          <w:sz w:val="24"/>
          <w:szCs w:val="24"/>
        </w:rPr>
        <w:t xml:space="preserve">For instance, the observed relative risk reduction 20.2% has a 95% CI from </w:t>
      </w:r>
      <w:r w:rsidR="005B0495">
        <w:rPr>
          <w:rFonts w:ascii="Arial" w:hAnsi="Arial" w:cs="Arial"/>
          <w:sz w:val="24"/>
          <w:szCs w:val="24"/>
        </w:rPr>
        <w:t>6.4</w:t>
      </w:r>
      <w:r>
        <w:rPr>
          <w:rFonts w:ascii="Arial" w:hAnsi="Arial" w:cs="Arial"/>
          <w:sz w:val="24"/>
          <w:szCs w:val="24"/>
        </w:rPr>
        <w:t xml:space="preserve">% to </w:t>
      </w:r>
      <w:r w:rsidR="005B0495">
        <w:rPr>
          <w:rFonts w:ascii="Arial" w:hAnsi="Arial" w:cs="Arial"/>
          <w:sz w:val="24"/>
          <w:szCs w:val="24"/>
        </w:rPr>
        <w:t>32.0</w:t>
      </w:r>
      <w:r>
        <w:rPr>
          <w:rFonts w:ascii="Arial" w:hAnsi="Arial" w:cs="Arial"/>
          <w:sz w:val="24"/>
          <w:szCs w:val="24"/>
        </w:rPr>
        <w:t xml:space="preserve">%. What does this mean? In simple terms we are 95% sure that the true </w:t>
      </w:r>
      <w:r w:rsidR="007C0CA9">
        <w:rPr>
          <w:rFonts w:ascii="Arial" w:hAnsi="Arial" w:cs="Arial"/>
          <w:sz w:val="24"/>
          <w:szCs w:val="24"/>
        </w:rPr>
        <w:t>reduction with</w:t>
      </w:r>
      <w:r>
        <w:rPr>
          <w:rFonts w:ascii="Arial" w:hAnsi="Arial" w:cs="Arial"/>
          <w:sz w:val="24"/>
          <w:szCs w:val="24"/>
        </w:rPr>
        <w:t xml:space="preserve"> cangrelor versus clopidogrel lies between </w:t>
      </w:r>
      <w:r w:rsidR="005B0495">
        <w:rPr>
          <w:rFonts w:ascii="Arial" w:hAnsi="Arial" w:cs="Arial"/>
          <w:sz w:val="24"/>
          <w:szCs w:val="24"/>
        </w:rPr>
        <w:t>6.4</w:t>
      </w:r>
      <w:r>
        <w:rPr>
          <w:rFonts w:ascii="Arial" w:hAnsi="Arial" w:cs="Arial"/>
          <w:sz w:val="24"/>
          <w:szCs w:val="24"/>
        </w:rPr>
        <w:t xml:space="preserve">% and </w:t>
      </w:r>
      <w:r w:rsidR="005B0495">
        <w:rPr>
          <w:rFonts w:ascii="Arial" w:hAnsi="Arial" w:cs="Arial"/>
          <w:sz w:val="24"/>
          <w:szCs w:val="24"/>
        </w:rPr>
        <w:t>32.0</w:t>
      </w:r>
      <w:r>
        <w:rPr>
          <w:rFonts w:ascii="Arial" w:hAnsi="Arial" w:cs="Arial"/>
          <w:sz w:val="24"/>
          <w:szCs w:val="24"/>
        </w:rPr>
        <w:t>%. However, the frequent</w:t>
      </w:r>
      <w:r w:rsidR="00F015F7">
        <w:rPr>
          <w:rFonts w:ascii="Arial" w:hAnsi="Arial" w:cs="Arial"/>
          <w:sz w:val="24"/>
          <w:szCs w:val="24"/>
        </w:rPr>
        <w:t>i</w:t>
      </w:r>
      <w:r>
        <w:rPr>
          <w:rFonts w:ascii="Arial" w:hAnsi="Arial" w:cs="Arial"/>
          <w:sz w:val="24"/>
          <w:szCs w:val="24"/>
        </w:rPr>
        <w:t xml:space="preserve">st principles of statistical inference, which underpin all use of confidence intervals and P-values, </w:t>
      </w:r>
      <w:r w:rsidR="00F015F7">
        <w:rPr>
          <w:rFonts w:ascii="Arial" w:hAnsi="Arial" w:cs="Arial"/>
          <w:sz w:val="24"/>
          <w:szCs w:val="24"/>
        </w:rPr>
        <w:t>give</w:t>
      </w:r>
      <w:r>
        <w:rPr>
          <w:rFonts w:ascii="Arial" w:hAnsi="Arial" w:cs="Arial"/>
          <w:sz w:val="24"/>
          <w:szCs w:val="24"/>
        </w:rPr>
        <w:t xml:space="preserve"> a more precise meaning as follows. If we were to repeat the whole clinical trial many, many times using an identical </w:t>
      </w:r>
      <w:r w:rsidR="007C0CA9">
        <w:rPr>
          <w:rFonts w:ascii="Arial" w:hAnsi="Arial" w:cs="Arial"/>
          <w:sz w:val="24"/>
          <w:szCs w:val="24"/>
        </w:rPr>
        <w:t>protocol</w:t>
      </w:r>
      <w:r>
        <w:rPr>
          <w:rFonts w:ascii="Arial" w:hAnsi="Arial" w:cs="Arial"/>
          <w:sz w:val="24"/>
          <w:szCs w:val="24"/>
        </w:rPr>
        <w:t xml:space="preserve"> we would get a </w:t>
      </w:r>
      <w:r>
        <w:rPr>
          <w:rFonts w:ascii="Arial" w:hAnsi="Arial" w:cs="Arial"/>
          <w:sz w:val="24"/>
          <w:szCs w:val="24"/>
        </w:rPr>
        <w:lastRenderedPageBreak/>
        <w:t xml:space="preserve">slightly </w:t>
      </w:r>
      <w:r w:rsidR="000C5C6C">
        <w:rPr>
          <w:rFonts w:ascii="Arial" w:hAnsi="Arial" w:cs="Arial"/>
          <w:sz w:val="24"/>
          <w:szCs w:val="24"/>
        </w:rPr>
        <w:t>different confidence interval each time</w:t>
      </w:r>
      <w:r w:rsidR="00FC78D2">
        <w:rPr>
          <w:rFonts w:ascii="Arial" w:hAnsi="Arial" w:cs="Arial"/>
          <w:sz w:val="24"/>
          <w:szCs w:val="24"/>
        </w:rPr>
        <w:t>. 95% of those confidence intervals would contain the true underlying relative risk reduction. But whenever we calculate a 95% CI there is a 2.5% chance that the true effect lies below and a 2.5% that the true effect lies above the interval.</w:t>
      </w:r>
    </w:p>
    <w:p w14:paraId="7107D970" w14:textId="77777777" w:rsidR="00F015F7" w:rsidRDefault="00F015F7" w:rsidP="000B71EF">
      <w:pPr>
        <w:spacing w:after="0" w:line="360" w:lineRule="auto"/>
        <w:rPr>
          <w:rFonts w:ascii="Arial" w:hAnsi="Arial" w:cs="Arial"/>
          <w:sz w:val="24"/>
          <w:szCs w:val="24"/>
        </w:rPr>
      </w:pPr>
    </w:p>
    <w:p w14:paraId="552DA1B6" w14:textId="27428428" w:rsidR="00371500" w:rsidRDefault="00FC78D2" w:rsidP="000B71EF">
      <w:pPr>
        <w:spacing w:after="0" w:line="360" w:lineRule="auto"/>
        <w:rPr>
          <w:rFonts w:ascii="Arial" w:hAnsi="Arial" w:cs="Arial"/>
          <w:sz w:val="24"/>
          <w:szCs w:val="24"/>
        </w:rPr>
      </w:pPr>
      <w:r>
        <w:rPr>
          <w:rFonts w:ascii="Arial" w:hAnsi="Arial" w:cs="Arial"/>
          <w:sz w:val="24"/>
          <w:szCs w:val="24"/>
        </w:rPr>
        <w:t>What matters here is that the whole 95% CI</w:t>
      </w:r>
      <w:r w:rsidR="00371500">
        <w:rPr>
          <w:rFonts w:ascii="Arial" w:hAnsi="Arial" w:cs="Arial"/>
          <w:sz w:val="24"/>
          <w:szCs w:val="24"/>
        </w:rPr>
        <w:t xml:space="preserve"> indicates a clear relative risk reduction. This is reinforced by 95% CI for the difference in %s which is from </w:t>
      </w:r>
      <w:r w:rsidR="005B0495">
        <w:rPr>
          <w:rFonts w:ascii="Arial" w:hAnsi="Arial" w:cs="Arial"/>
          <w:sz w:val="24"/>
          <w:szCs w:val="24"/>
        </w:rPr>
        <w:t>-0.35</w:t>
      </w:r>
      <w:r w:rsidR="00371500">
        <w:rPr>
          <w:rFonts w:ascii="Arial" w:hAnsi="Arial" w:cs="Arial"/>
          <w:sz w:val="24"/>
          <w:szCs w:val="24"/>
        </w:rPr>
        <w:t xml:space="preserve">% to </w:t>
      </w:r>
      <w:r w:rsidR="005B0495">
        <w:rPr>
          <w:rFonts w:ascii="Arial" w:hAnsi="Arial" w:cs="Arial"/>
          <w:sz w:val="24"/>
          <w:szCs w:val="24"/>
        </w:rPr>
        <w:t>-2.03</w:t>
      </w:r>
      <w:r w:rsidR="00371500">
        <w:rPr>
          <w:rFonts w:ascii="Arial" w:hAnsi="Arial" w:cs="Arial"/>
          <w:sz w:val="24"/>
          <w:szCs w:val="24"/>
        </w:rPr>
        <w:t>%, see Table 3. These relatively tight confidence intervals, each wholly in a direction substantially favouring cangrelor indicates strong evidence that cangrelor reduces the risk of the primary endpoint compared to clopidogrel. Later, we achieve the same message by use of a P-value.</w:t>
      </w:r>
      <w:r w:rsidR="00F015F7">
        <w:rPr>
          <w:rFonts w:ascii="Arial" w:hAnsi="Arial" w:cs="Arial"/>
          <w:sz w:val="24"/>
          <w:szCs w:val="24"/>
        </w:rPr>
        <w:t xml:space="preserve"> </w:t>
      </w:r>
      <w:r w:rsidR="00371500">
        <w:rPr>
          <w:rFonts w:ascii="Arial" w:hAnsi="Arial" w:cs="Arial"/>
          <w:sz w:val="24"/>
          <w:szCs w:val="24"/>
        </w:rPr>
        <w:t>Note Table 3 also gives a 95% CI for the number needed to treat (NNT). Some trials report the NNT but not its 95% CI, a practice to be avoided since readers are led astray by thinking that the NNT is precisely known.</w:t>
      </w:r>
    </w:p>
    <w:p w14:paraId="52A19F0E" w14:textId="77777777" w:rsidR="00F015F7" w:rsidRDefault="00F015F7" w:rsidP="000B71EF">
      <w:pPr>
        <w:spacing w:after="0" w:line="360" w:lineRule="auto"/>
        <w:rPr>
          <w:rFonts w:ascii="Arial" w:hAnsi="Arial" w:cs="Arial"/>
          <w:sz w:val="24"/>
          <w:szCs w:val="24"/>
        </w:rPr>
      </w:pPr>
    </w:p>
    <w:p w14:paraId="1D5FB10F" w14:textId="77777777" w:rsidR="00371500" w:rsidRDefault="00371500" w:rsidP="000B71EF">
      <w:pPr>
        <w:spacing w:after="0" w:line="360" w:lineRule="auto"/>
        <w:rPr>
          <w:rFonts w:ascii="Arial" w:hAnsi="Arial" w:cs="Arial"/>
          <w:sz w:val="24"/>
          <w:szCs w:val="24"/>
        </w:rPr>
      </w:pPr>
      <w:r>
        <w:rPr>
          <w:rFonts w:ascii="Arial" w:hAnsi="Arial" w:cs="Arial"/>
          <w:sz w:val="24"/>
          <w:szCs w:val="24"/>
        </w:rPr>
        <w:t>An important</w:t>
      </w:r>
      <w:r w:rsidR="00CB0A9C">
        <w:rPr>
          <w:rFonts w:ascii="Arial" w:hAnsi="Arial" w:cs="Arial"/>
          <w:sz w:val="24"/>
          <w:szCs w:val="24"/>
        </w:rPr>
        <w:t xml:space="preserve"> </w:t>
      </w:r>
      <w:r w:rsidR="000E4D04">
        <w:rPr>
          <w:rFonts w:ascii="Arial" w:hAnsi="Arial" w:cs="Arial"/>
          <w:sz w:val="24"/>
          <w:szCs w:val="24"/>
        </w:rPr>
        <w:t xml:space="preserve">obvious principle is that larger studies </w:t>
      </w:r>
      <w:r w:rsidR="007C0CA9">
        <w:rPr>
          <w:rFonts w:ascii="Arial" w:hAnsi="Arial" w:cs="Arial"/>
          <w:sz w:val="24"/>
          <w:szCs w:val="24"/>
        </w:rPr>
        <w:t xml:space="preserve">(more patients </w:t>
      </w:r>
      <w:r w:rsidR="00774119">
        <w:rPr>
          <w:rFonts w:ascii="Arial" w:hAnsi="Arial" w:cs="Arial"/>
          <w:sz w:val="24"/>
          <w:szCs w:val="24"/>
        </w:rPr>
        <w:t xml:space="preserve">and hence </w:t>
      </w:r>
      <w:r w:rsidR="007C0CA9">
        <w:rPr>
          <w:rFonts w:ascii="Arial" w:hAnsi="Arial" w:cs="Arial"/>
          <w:sz w:val="24"/>
          <w:szCs w:val="24"/>
        </w:rPr>
        <w:t xml:space="preserve">more events) </w:t>
      </w:r>
      <w:r w:rsidR="000E4D04">
        <w:rPr>
          <w:rFonts w:ascii="Arial" w:hAnsi="Arial" w:cs="Arial"/>
          <w:sz w:val="24"/>
          <w:szCs w:val="24"/>
        </w:rPr>
        <w:t>produce more precise</w:t>
      </w:r>
      <w:r w:rsidR="00EB2BA8">
        <w:rPr>
          <w:rFonts w:ascii="Arial" w:hAnsi="Arial" w:cs="Arial"/>
          <w:sz w:val="24"/>
          <w:szCs w:val="24"/>
        </w:rPr>
        <w:t xml:space="preserve"> estimation an</w:t>
      </w:r>
      <w:r w:rsidR="007C0CA9">
        <w:rPr>
          <w:rFonts w:ascii="Arial" w:hAnsi="Arial" w:cs="Arial"/>
          <w:sz w:val="24"/>
          <w:szCs w:val="24"/>
        </w:rPr>
        <w:t xml:space="preserve">d tighter confidence intervals. </w:t>
      </w:r>
      <w:r w:rsidR="00EB2BA8">
        <w:rPr>
          <w:rFonts w:ascii="Arial" w:hAnsi="Arial" w:cs="Arial"/>
          <w:sz w:val="24"/>
          <w:szCs w:val="24"/>
        </w:rPr>
        <w:t xml:space="preserve">Specifically, to halve the width of a confidence interval one needs </w:t>
      </w:r>
      <w:r w:rsidR="00F015F7">
        <w:rPr>
          <w:rFonts w:ascii="Arial" w:hAnsi="Arial" w:cs="Arial"/>
          <w:sz w:val="24"/>
          <w:szCs w:val="24"/>
        </w:rPr>
        <w:t>four</w:t>
      </w:r>
      <w:r w:rsidR="00EB2BA8">
        <w:rPr>
          <w:rFonts w:ascii="Arial" w:hAnsi="Arial" w:cs="Arial"/>
          <w:sz w:val="24"/>
          <w:szCs w:val="24"/>
        </w:rPr>
        <w:t xml:space="preserve"> times as many patients. This logic feeds into statistical power calculations when designing a clinical trial (see </w:t>
      </w:r>
      <w:r w:rsidR="00774119">
        <w:rPr>
          <w:rFonts w:ascii="Arial" w:hAnsi="Arial" w:cs="Arial"/>
          <w:sz w:val="24"/>
          <w:szCs w:val="24"/>
        </w:rPr>
        <w:t xml:space="preserve">future </w:t>
      </w:r>
      <w:r w:rsidR="00EB2BA8">
        <w:rPr>
          <w:rFonts w:ascii="Arial" w:hAnsi="Arial" w:cs="Arial"/>
          <w:sz w:val="24"/>
          <w:szCs w:val="24"/>
        </w:rPr>
        <w:t>article)</w:t>
      </w:r>
      <w:r w:rsidR="007C0CA9">
        <w:rPr>
          <w:rFonts w:ascii="Arial" w:hAnsi="Arial" w:cs="Arial"/>
          <w:sz w:val="24"/>
          <w:szCs w:val="24"/>
        </w:rPr>
        <w:t>.</w:t>
      </w:r>
    </w:p>
    <w:p w14:paraId="7B183F2C" w14:textId="77777777" w:rsidR="00F015F7" w:rsidRDefault="00F015F7" w:rsidP="000B71EF">
      <w:pPr>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C3C7A0F" w14:textId="77777777" w:rsidR="00EB2BA8" w:rsidRDefault="00EB2BA8" w:rsidP="000B71EF">
      <w:pPr>
        <w:spacing w:after="0" w:line="360" w:lineRule="auto"/>
        <w:rPr>
          <w:rFonts w:ascii="Arial" w:hAnsi="Arial" w:cs="Arial"/>
          <w:sz w:val="24"/>
          <w:szCs w:val="24"/>
        </w:rPr>
      </w:pPr>
      <w:r>
        <w:rPr>
          <w:rFonts w:ascii="Arial" w:hAnsi="Arial" w:cs="Arial"/>
          <w:sz w:val="24"/>
          <w:szCs w:val="24"/>
        </w:rPr>
        <w:t>Another issue is why choose 95% confidence: why not 90% or 99%? Well there is no universal wisdom that says 95% is the right thing to do. It is just a convenient fashion that for consistency’s sake virtually all articles follow</w:t>
      </w:r>
      <w:r w:rsidR="0038019F">
        <w:rPr>
          <w:rFonts w:ascii="Arial" w:hAnsi="Arial" w:cs="Arial"/>
          <w:sz w:val="24"/>
          <w:szCs w:val="24"/>
        </w:rPr>
        <w:t>. It also has a link to P&lt;0.05, as discussed below. It is worth noting that “confidence” is not evenly distributed over a 95% CI. For instance, there is around a 70% chance that the true treatment effect lies in the inner half of the 95% CI. Also, one and a half times the 95% CI width gives a 99.9% CI.</w:t>
      </w:r>
    </w:p>
    <w:p w14:paraId="6723940C" w14:textId="77777777" w:rsidR="0038019F" w:rsidRDefault="0038019F" w:rsidP="000B71EF">
      <w:pPr>
        <w:spacing w:after="0" w:line="360" w:lineRule="auto"/>
        <w:rPr>
          <w:rFonts w:ascii="Arial" w:hAnsi="Arial" w:cs="Arial"/>
          <w:sz w:val="24"/>
          <w:szCs w:val="24"/>
        </w:rPr>
      </w:pPr>
    </w:p>
    <w:p w14:paraId="5AF38146" w14:textId="77777777" w:rsidR="0038019F" w:rsidRPr="0038019F" w:rsidRDefault="0038019F" w:rsidP="000B71EF">
      <w:pPr>
        <w:spacing w:after="0" w:line="360" w:lineRule="auto"/>
        <w:rPr>
          <w:rFonts w:ascii="Arial" w:hAnsi="Arial" w:cs="Arial"/>
          <w:b/>
          <w:sz w:val="24"/>
          <w:szCs w:val="24"/>
        </w:rPr>
      </w:pPr>
      <w:r w:rsidRPr="0038019F">
        <w:rPr>
          <w:rFonts w:ascii="Arial" w:hAnsi="Arial" w:cs="Arial"/>
          <w:b/>
          <w:sz w:val="24"/>
          <w:szCs w:val="24"/>
        </w:rPr>
        <w:t>Estimates for Time-to-Event Outcomes</w:t>
      </w:r>
    </w:p>
    <w:p w14:paraId="4AB3505E" w14:textId="77777777" w:rsidR="0038019F" w:rsidRDefault="0038019F" w:rsidP="000B71EF">
      <w:pPr>
        <w:spacing w:after="0" w:line="360" w:lineRule="auto"/>
        <w:rPr>
          <w:rFonts w:ascii="Arial" w:hAnsi="Arial" w:cs="Arial"/>
          <w:sz w:val="24"/>
          <w:szCs w:val="24"/>
        </w:rPr>
      </w:pPr>
    </w:p>
    <w:p w14:paraId="5C1EFC3D" w14:textId="77777777" w:rsidR="00163091" w:rsidRDefault="0038019F" w:rsidP="000B71EF">
      <w:pPr>
        <w:spacing w:after="0" w:line="360" w:lineRule="auto"/>
        <w:rPr>
          <w:rFonts w:ascii="Arial" w:hAnsi="Arial" w:cs="Arial"/>
          <w:sz w:val="24"/>
          <w:szCs w:val="24"/>
        </w:rPr>
      </w:pPr>
      <w:r>
        <w:rPr>
          <w:rFonts w:ascii="Arial" w:hAnsi="Arial" w:cs="Arial"/>
          <w:sz w:val="24"/>
          <w:szCs w:val="24"/>
        </w:rPr>
        <w:t>Many major clinical trials have a primary outcome which is time to an event. In the PLATO trial</w:t>
      </w:r>
      <w:r w:rsidR="00E55F9A">
        <w:rPr>
          <w:rFonts w:ascii="Arial" w:hAnsi="Arial" w:cs="Arial"/>
          <w:sz w:val="24"/>
          <w:szCs w:val="24"/>
        </w:rPr>
        <w:t xml:space="preserve"> </w:t>
      </w:r>
      <w:r w:rsidR="00AB4DCA">
        <w:rPr>
          <w:rFonts w:ascii="Arial" w:hAnsi="Arial" w:cs="Arial"/>
          <w:sz w:val="24"/>
          <w:szCs w:val="24"/>
        </w:rPr>
        <w:fldChar w:fldCharType="begin"/>
      </w:r>
      <w:r w:rsidR="00AB4DCA">
        <w:rPr>
          <w:rFonts w:ascii="Arial" w:hAnsi="Arial" w:cs="Arial"/>
          <w:sz w:val="24"/>
          <w:szCs w:val="24"/>
        </w:rPr>
        <w:instrText xml:space="preserve"> ADDIN EN.CITE &lt;EndNote&gt;&lt;Cite&gt;&lt;Author&gt;Wallentin&lt;/Author&gt;&lt;Year&gt;2009&lt;/Year&gt;&lt;RecNum&gt;10&lt;/RecNum&gt;&lt;DisplayText&gt;(5)&lt;/DisplayText&gt;&lt;record&gt;&lt;rec-number&gt;10&lt;/rec-number&gt;&lt;foreign-keys&gt;&lt;key app="EN" db-id="eaz5sewevp5dfxewrdrvzv52xsv2tsf22rzr"&gt;10&lt;/key&gt;&lt;/foreign-keys&gt;&lt;ref-type name="Journal Article"&gt;17&lt;/ref-type&gt;&lt;contributors&gt;&lt;authors&gt;&lt;author&gt;Wallentin, Lars&lt;/author&gt;&lt;author&gt;Becker, Richard C.&lt;/author&gt;&lt;author&gt;Budaj, Andrzej&lt;/author&gt;&lt;author&gt;Cannon, Christopher P.&lt;/author&gt;&lt;author&gt;Emanuelsson, Håkan&lt;/author&gt;&lt;author&gt;Held, Claes&lt;/author&gt;&lt;author&gt;Horrow, Jay&lt;/author&gt;&lt;author&gt;Husted, Steen&lt;/author&gt;&lt;author&gt;James, Stefan&lt;/author&gt;&lt;author&gt;Katus, Hugo&lt;/author&gt;&lt;author&gt;Mahaffey, Kenneth W.&lt;/author&gt;&lt;author&gt;Scirica, Benjamin M.&lt;/author&gt;&lt;author&gt;Skene, Allan&lt;/author&gt;&lt;author&gt;Steg, Philippe Gabriel&lt;/author&gt;&lt;author&gt;Storey, Robert F.&lt;/author&gt;&lt;author&gt;Harrington, Robert A.&lt;/author&gt;&lt;/authors&gt;&lt;/contributors&gt;&lt;titles&gt;&lt;title&gt;Ticagrelor versus Clopidogrel in Patients with Acute Coronary Syndromes&lt;/title&gt;&lt;secondary-title&gt;New England Journal of Medicine&lt;/secondary-title&gt;&lt;/titles&gt;&lt;periodical&gt;&lt;full-title&gt;New England Journal of Medicine&lt;/full-title&gt;&lt;/periodical&gt;&lt;pages&gt;1045-1057&lt;/pages&gt;&lt;volume&gt;361&lt;/volume&gt;&lt;number&gt;11&lt;/number&gt;&lt;dates&gt;&lt;year&gt;2009&lt;/year&gt;&lt;/dates&gt;&lt;accession-num&gt;19717846&lt;/accession-num&gt;&lt;call-num&gt;5&lt;/call-num&gt;&lt;urls&gt;&lt;related-urls&gt;&lt;url&gt;http://www.nejm.org/doi/full/10.1056/NEJMoa0904327&lt;/url&gt;&lt;/related-urls&gt;&lt;/urls&gt;&lt;electronic-resource-num&gt;doi:10.1056/NEJMoa0904327&lt;/electronic-resource-num&gt;&lt;/record&gt;&lt;/Cite&gt;&lt;/EndNote&gt;</w:instrText>
      </w:r>
      <w:r w:rsidR="00AB4DCA">
        <w:rPr>
          <w:rFonts w:ascii="Arial" w:hAnsi="Arial" w:cs="Arial"/>
          <w:sz w:val="24"/>
          <w:szCs w:val="24"/>
        </w:rPr>
        <w:fldChar w:fldCharType="separate"/>
      </w:r>
      <w:r w:rsidR="00AB4DCA">
        <w:rPr>
          <w:rFonts w:ascii="Arial" w:hAnsi="Arial" w:cs="Arial"/>
          <w:noProof/>
          <w:sz w:val="24"/>
          <w:szCs w:val="24"/>
        </w:rPr>
        <w:t>(</w:t>
      </w:r>
      <w:hyperlink w:anchor="_ENREF_5" w:tooltip="Wallentin, 2009 #10" w:history="1">
        <w:r w:rsidR="00C06C90">
          <w:rPr>
            <w:rFonts w:ascii="Arial" w:hAnsi="Arial" w:cs="Arial"/>
            <w:noProof/>
            <w:sz w:val="24"/>
            <w:szCs w:val="24"/>
          </w:rPr>
          <w:t>5</w:t>
        </w:r>
      </w:hyperlink>
      <w:r w:rsidR="00AB4DCA">
        <w:rPr>
          <w:rFonts w:ascii="Arial" w:hAnsi="Arial" w:cs="Arial"/>
          <w:noProof/>
          <w:sz w:val="24"/>
          <w:szCs w:val="24"/>
        </w:rPr>
        <w:t>)</w:t>
      </w:r>
      <w:r w:rsidR="00AB4DCA">
        <w:rPr>
          <w:rFonts w:ascii="Arial" w:hAnsi="Arial" w:cs="Arial"/>
          <w:sz w:val="24"/>
          <w:szCs w:val="24"/>
        </w:rPr>
        <w:fldChar w:fldCharType="end"/>
      </w:r>
      <w:r>
        <w:rPr>
          <w:rFonts w:ascii="Arial" w:hAnsi="Arial" w:cs="Arial"/>
          <w:sz w:val="24"/>
          <w:szCs w:val="24"/>
        </w:rPr>
        <w:t>, see Figure 1, the Kaplan Meier plot is for time to the primary composite outcome of death, myocardial infarction and stroke. The curve</w:t>
      </w:r>
      <w:r w:rsidR="00F015F7">
        <w:rPr>
          <w:rFonts w:ascii="Arial" w:hAnsi="Arial" w:cs="Arial"/>
          <w:sz w:val="24"/>
          <w:szCs w:val="24"/>
        </w:rPr>
        <w:t>s</w:t>
      </w:r>
      <w:r>
        <w:rPr>
          <w:rFonts w:ascii="Arial" w:hAnsi="Arial" w:cs="Arial"/>
          <w:sz w:val="24"/>
          <w:szCs w:val="24"/>
        </w:rPr>
        <w:t xml:space="preserve"> diverge in </w:t>
      </w:r>
      <w:r>
        <w:rPr>
          <w:rFonts w:ascii="Arial" w:hAnsi="Arial" w:cs="Arial"/>
          <w:sz w:val="24"/>
          <w:szCs w:val="24"/>
        </w:rPr>
        <w:lastRenderedPageBreak/>
        <w:t>favour of ticagrelor but do not in themselves provide a simple estimate summarising the treatment difference. One can read off the Kaplan Meier estimate at the end of plotted time, one-year in this instance and they are one-year cumulative rates of 9.8% and 11.7% for ticagrelor and clopidogrel respectively. If everyone had been followed for one year this would have merit (and a 95% CI for the treatment difference 1.9% could be calculated), but given that only around half of the patients have been followed for a year</w:t>
      </w:r>
      <w:r w:rsidR="00F015F7">
        <w:rPr>
          <w:rFonts w:ascii="Arial" w:hAnsi="Arial" w:cs="Arial"/>
          <w:sz w:val="24"/>
          <w:szCs w:val="24"/>
        </w:rPr>
        <w:t xml:space="preserve"> this is far from ideal</w:t>
      </w:r>
      <w:r>
        <w:rPr>
          <w:rFonts w:ascii="Arial" w:hAnsi="Arial" w:cs="Arial"/>
          <w:sz w:val="24"/>
          <w:szCs w:val="24"/>
        </w:rPr>
        <w:t>.</w:t>
      </w:r>
    </w:p>
    <w:p w14:paraId="2BBFA50D" w14:textId="77777777" w:rsidR="00F015F7" w:rsidRDefault="00F015F7" w:rsidP="000B71EF">
      <w:pPr>
        <w:spacing w:after="0" w:line="360" w:lineRule="auto"/>
        <w:rPr>
          <w:rFonts w:ascii="Arial" w:hAnsi="Arial" w:cs="Arial"/>
          <w:sz w:val="24"/>
          <w:szCs w:val="24"/>
        </w:rPr>
      </w:pPr>
    </w:p>
    <w:p w14:paraId="722BA4FC" w14:textId="77777777" w:rsidR="0038019F" w:rsidRDefault="0038019F" w:rsidP="000B71EF">
      <w:pPr>
        <w:spacing w:after="0" w:line="360" w:lineRule="auto"/>
        <w:rPr>
          <w:rFonts w:ascii="Arial" w:hAnsi="Arial" w:cs="Arial"/>
          <w:sz w:val="24"/>
          <w:szCs w:val="24"/>
        </w:rPr>
      </w:pPr>
      <w:r>
        <w:rPr>
          <w:rFonts w:ascii="Arial" w:hAnsi="Arial" w:cs="Arial"/>
          <w:sz w:val="24"/>
          <w:szCs w:val="24"/>
        </w:rPr>
        <w:t xml:space="preserve">Instead the most common approach is to use a Cox proportional hazards model to obtain a </w:t>
      </w:r>
      <w:r w:rsidRPr="00F015F7">
        <w:rPr>
          <w:rFonts w:ascii="Arial" w:hAnsi="Arial" w:cs="Arial"/>
          <w:b/>
          <w:sz w:val="24"/>
          <w:szCs w:val="24"/>
        </w:rPr>
        <w:t>hazard ratio</w:t>
      </w:r>
      <w:r>
        <w:rPr>
          <w:rFonts w:ascii="Arial" w:hAnsi="Arial" w:cs="Arial"/>
          <w:sz w:val="24"/>
          <w:szCs w:val="24"/>
        </w:rPr>
        <w:t xml:space="preserve"> and its 95% CI, wh</w:t>
      </w:r>
      <w:r w:rsidR="00C9152F">
        <w:rPr>
          <w:rFonts w:ascii="Arial" w:hAnsi="Arial" w:cs="Arial"/>
          <w:sz w:val="24"/>
          <w:szCs w:val="24"/>
        </w:rPr>
        <w:t xml:space="preserve">ich in this case is 0.84 (95% CI 0.77 to 0.92). Technically, the instantaneous hazard rate at any specific time point is the probability of the outcome </w:t>
      </w:r>
      <w:r w:rsidR="003E6737">
        <w:rPr>
          <w:rFonts w:ascii="Arial" w:hAnsi="Arial" w:cs="Arial"/>
          <w:sz w:val="24"/>
          <w:szCs w:val="24"/>
        </w:rPr>
        <w:t>o</w:t>
      </w:r>
      <w:r w:rsidR="00C9152F">
        <w:rPr>
          <w:rFonts w:ascii="Arial" w:hAnsi="Arial" w:cs="Arial"/>
          <w:sz w:val="24"/>
          <w:szCs w:val="24"/>
        </w:rPr>
        <w:t>ccurring exactly at th</w:t>
      </w:r>
      <w:r w:rsidR="00F015F7">
        <w:rPr>
          <w:rFonts w:ascii="Arial" w:hAnsi="Arial" w:cs="Arial"/>
          <w:sz w:val="24"/>
          <w:szCs w:val="24"/>
        </w:rPr>
        <w:t>at</w:t>
      </w:r>
      <w:r w:rsidR="00C9152F">
        <w:rPr>
          <w:rFonts w:ascii="Arial" w:hAnsi="Arial" w:cs="Arial"/>
          <w:sz w:val="24"/>
          <w:szCs w:val="24"/>
        </w:rPr>
        <w:t xml:space="preserve"> time for patients who are </w:t>
      </w:r>
      <w:r w:rsidR="00F015F7">
        <w:rPr>
          <w:rFonts w:ascii="Arial" w:hAnsi="Arial" w:cs="Arial"/>
          <w:sz w:val="24"/>
          <w:szCs w:val="24"/>
        </w:rPr>
        <w:t xml:space="preserve">still </w:t>
      </w:r>
      <w:r w:rsidR="00C9152F">
        <w:rPr>
          <w:rFonts w:ascii="Arial" w:hAnsi="Arial" w:cs="Arial"/>
          <w:sz w:val="24"/>
          <w:szCs w:val="24"/>
        </w:rPr>
        <w:t>outcome-free</w:t>
      </w:r>
      <w:r w:rsidR="00F015F7">
        <w:rPr>
          <w:rFonts w:ascii="Arial" w:hAnsi="Arial" w:cs="Arial"/>
          <w:sz w:val="24"/>
          <w:szCs w:val="24"/>
        </w:rPr>
        <w:t>.</w:t>
      </w:r>
      <w:r w:rsidR="00C9152F">
        <w:rPr>
          <w:rFonts w:ascii="Arial" w:hAnsi="Arial" w:cs="Arial"/>
          <w:sz w:val="24"/>
          <w:szCs w:val="24"/>
        </w:rPr>
        <w:t xml:space="preserve"> The hazard ratio can be thought of as the hazard rate in one group (ticagrelor) divided by the hazard rat</w:t>
      </w:r>
      <w:r w:rsidR="00BA113A">
        <w:rPr>
          <w:rFonts w:ascii="Arial" w:hAnsi="Arial" w:cs="Arial"/>
          <w:sz w:val="24"/>
          <w:szCs w:val="24"/>
        </w:rPr>
        <w:t>e</w:t>
      </w:r>
      <w:r w:rsidR="00C9152F">
        <w:rPr>
          <w:rFonts w:ascii="Arial" w:hAnsi="Arial" w:cs="Arial"/>
          <w:sz w:val="24"/>
          <w:szCs w:val="24"/>
        </w:rPr>
        <w:t xml:space="preserve"> in the other group (clopidogrel) averaged over the whole follow-up period. Conceptually, it is similar to the relative risk (risk ratio), except that follow-up time is taken into account</w:t>
      </w:r>
      <w:r w:rsidR="006C412F">
        <w:rPr>
          <w:rFonts w:ascii="Arial" w:hAnsi="Arial" w:cs="Arial"/>
          <w:sz w:val="24"/>
          <w:szCs w:val="24"/>
        </w:rPr>
        <w:t xml:space="preserve"> </w:t>
      </w:r>
      <w:r w:rsidR="006C412F">
        <w:rPr>
          <w:rFonts w:ascii="Arial" w:hAnsi="Arial" w:cs="Arial"/>
          <w:sz w:val="24"/>
          <w:szCs w:val="24"/>
        </w:rPr>
        <w:fldChar w:fldCharType="begin"/>
      </w:r>
      <w:r w:rsidR="006C412F">
        <w:rPr>
          <w:rFonts w:ascii="Arial" w:hAnsi="Arial" w:cs="Arial"/>
          <w:sz w:val="24"/>
          <w:szCs w:val="24"/>
        </w:rPr>
        <w:instrText xml:space="preserve"> ADDIN EN.CITE &lt;EndNote&gt;&lt;Cite&gt;&lt;Author&gt;Clark&lt;/Author&gt;&lt;Year&gt;2003&lt;/Year&gt;&lt;RecNum&gt;107&lt;/RecNum&gt;&lt;DisplayText&gt;(12)&lt;/DisplayText&gt;&lt;record&gt;&lt;rec-number&gt;107&lt;/rec-number&gt;&lt;foreign-keys&gt;&lt;key app="EN" db-id="eaz5sewevp5dfxewrdrvzv52xsv2tsf22rzr"&gt;107&lt;/key&gt;&lt;/foreign-keys&gt;&lt;ref-type name="Journal Article"&gt;17&lt;/ref-type&gt;&lt;contributors&gt;&lt;authors&gt;&lt;author&gt;Clark, TG&lt;/author&gt;&lt;author&gt;Bradburn, MJ&lt;/author&gt;&lt;author&gt;Love, SB&lt;/author&gt;&lt;author&gt;Altman, DG&lt;/author&gt;&lt;/authors&gt;&lt;/contributors&gt;&lt;titles&gt;&lt;title&gt;Survival analysis part I: basic concepts and first analyses&lt;/title&gt;&lt;secondary-title&gt;British journal of cancer&lt;/secondary-title&gt;&lt;/titles&gt;&lt;periodical&gt;&lt;full-title&gt;British journal of cancer&lt;/full-title&gt;&lt;/periodical&gt;&lt;pages&gt;232&lt;/pages&gt;&lt;volume&gt;89&lt;/volume&gt;&lt;number&gt;2&lt;/number&gt;&lt;dates&gt;&lt;year&gt;2003&lt;/year&gt;&lt;/dates&gt;&lt;urls&gt;&lt;/urls&gt;&lt;/record&gt;&lt;/Cite&gt;&lt;/EndNote&gt;</w:instrText>
      </w:r>
      <w:r w:rsidR="006C412F">
        <w:rPr>
          <w:rFonts w:ascii="Arial" w:hAnsi="Arial" w:cs="Arial"/>
          <w:sz w:val="24"/>
          <w:szCs w:val="24"/>
        </w:rPr>
        <w:fldChar w:fldCharType="separate"/>
      </w:r>
      <w:r w:rsidR="006C412F">
        <w:rPr>
          <w:rFonts w:ascii="Arial" w:hAnsi="Arial" w:cs="Arial"/>
          <w:noProof/>
          <w:sz w:val="24"/>
          <w:szCs w:val="24"/>
        </w:rPr>
        <w:t>(</w:t>
      </w:r>
      <w:hyperlink w:anchor="_ENREF_12" w:tooltip="Clark, 2003 #107" w:history="1">
        <w:r w:rsidR="00C06C90">
          <w:rPr>
            <w:rFonts w:ascii="Arial" w:hAnsi="Arial" w:cs="Arial"/>
            <w:noProof/>
            <w:sz w:val="24"/>
            <w:szCs w:val="24"/>
          </w:rPr>
          <w:t>12</w:t>
        </w:r>
      </w:hyperlink>
      <w:r w:rsidR="006C412F">
        <w:rPr>
          <w:rFonts w:ascii="Arial" w:hAnsi="Arial" w:cs="Arial"/>
          <w:noProof/>
          <w:sz w:val="24"/>
          <w:szCs w:val="24"/>
        </w:rPr>
        <w:t>)</w:t>
      </w:r>
      <w:r w:rsidR="006C412F">
        <w:rPr>
          <w:rFonts w:ascii="Arial" w:hAnsi="Arial" w:cs="Arial"/>
          <w:sz w:val="24"/>
          <w:szCs w:val="24"/>
        </w:rPr>
        <w:fldChar w:fldCharType="end"/>
      </w:r>
      <w:r w:rsidR="00C9152F">
        <w:rPr>
          <w:rFonts w:ascii="Arial" w:hAnsi="Arial" w:cs="Arial"/>
          <w:sz w:val="24"/>
          <w:szCs w:val="24"/>
        </w:rPr>
        <w:t>.</w:t>
      </w:r>
    </w:p>
    <w:p w14:paraId="0F653968" w14:textId="77777777" w:rsidR="00F015F7" w:rsidRDefault="00F015F7" w:rsidP="000B71EF">
      <w:pPr>
        <w:spacing w:after="0" w:line="360" w:lineRule="auto"/>
        <w:rPr>
          <w:rFonts w:ascii="Arial" w:hAnsi="Arial" w:cs="Arial"/>
          <w:sz w:val="24"/>
          <w:szCs w:val="24"/>
        </w:rPr>
      </w:pPr>
    </w:p>
    <w:p w14:paraId="395806F3" w14:textId="77777777" w:rsidR="00C9152F" w:rsidRDefault="00C9152F" w:rsidP="000B71EF">
      <w:pPr>
        <w:spacing w:after="0" w:line="360" w:lineRule="auto"/>
        <w:rPr>
          <w:rFonts w:ascii="Arial" w:hAnsi="Arial" w:cs="Arial"/>
          <w:sz w:val="24"/>
          <w:szCs w:val="24"/>
        </w:rPr>
      </w:pPr>
      <w:r>
        <w:rPr>
          <w:rFonts w:ascii="Arial" w:hAnsi="Arial" w:cs="Arial"/>
          <w:sz w:val="24"/>
          <w:szCs w:val="24"/>
        </w:rPr>
        <w:t>In this example, the hazard ratio and its 95% C</w:t>
      </w:r>
      <w:r w:rsidR="005B0495">
        <w:rPr>
          <w:rFonts w:ascii="Arial" w:hAnsi="Arial" w:cs="Arial"/>
          <w:sz w:val="24"/>
          <w:szCs w:val="24"/>
        </w:rPr>
        <w:t>I</w:t>
      </w:r>
      <w:r>
        <w:rPr>
          <w:rFonts w:ascii="Arial" w:hAnsi="Arial" w:cs="Arial"/>
          <w:sz w:val="24"/>
          <w:szCs w:val="24"/>
        </w:rPr>
        <w:t xml:space="preserve"> are all substantially below 1 indicating strong evidence of fewer primary outcome</w:t>
      </w:r>
      <w:r w:rsidR="00F015F7">
        <w:rPr>
          <w:rFonts w:ascii="Arial" w:hAnsi="Arial" w:cs="Arial"/>
          <w:sz w:val="24"/>
          <w:szCs w:val="24"/>
        </w:rPr>
        <w:t>s</w:t>
      </w:r>
      <w:r>
        <w:rPr>
          <w:rFonts w:ascii="Arial" w:hAnsi="Arial" w:cs="Arial"/>
          <w:sz w:val="24"/>
          <w:szCs w:val="24"/>
        </w:rPr>
        <w:t xml:space="preserve"> on ticagrelor compared to clopidogrel. For those who like a more straightforward statistical life, we note the numbers of patients having the primary outcome are 864 and 1014 in the ticagrelor and clopidogrel groups respectively. The simple ratio 864÷1014=0.852 is very similar to the hazard ratio, as will usually be the case for trials with equal randomisation and relatively low event rates.</w:t>
      </w:r>
    </w:p>
    <w:p w14:paraId="010F6CA7" w14:textId="77777777" w:rsidR="00F015F7" w:rsidRDefault="00F015F7" w:rsidP="000B71EF">
      <w:pPr>
        <w:spacing w:after="0" w:line="360" w:lineRule="auto"/>
        <w:rPr>
          <w:rFonts w:ascii="Arial" w:hAnsi="Arial" w:cs="Arial"/>
          <w:sz w:val="24"/>
          <w:szCs w:val="24"/>
        </w:rPr>
      </w:pPr>
    </w:p>
    <w:p w14:paraId="47C7E403" w14:textId="77777777" w:rsidR="00C9152F" w:rsidRDefault="00C15B87" w:rsidP="000B71EF">
      <w:pPr>
        <w:spacing w:after="0" w:line="360" w:lineRule="auto"/>
        <w:rPr>
          <w:rFonts w:ascii="Arial" w:hAnsi="Arial" w:cs="Arial"/>
          <w:sz w:val="24"/>
          <w:szCs w:val="24"/>
        </w:rPr>
      </w:pPr>
      <w:r>
        <w:rPr>
          <w:rFonts w:ascii="Arial" w:hAnsi="Arial" w:cs="Arial"/>
          <w:sz w:val="24"/>
          <w:szCs w:val="24"/>
        </w:rPr>
        <w:t>The hazard ratio is best suited to data where the Kaplan Meier plot shows a steady divergence between treatment groups. But in some trials, especially with surgical intervention, one might anticipate an early excess risk followed by a subsequent gain in efficacy as time goes by. For instance, the FREEDOM trial</w:t>
      </w:r>
      <w:r w:rsidR="00E55F9A">
        <w:rPr>
          <w:rFonts w:ascii="Arial" w:hAnsi="Arial" w:cs="Arial"/>
          <w:sz w:val="24"/>
          <w:szCs w:val="24"/>
        </w:rPr>
        <w:t xml:space="preserve"> </w:t>
      </w:r>
      <w:r w:rsidR="00091918">
        <w:rPr>
          <w:rFonts w:ascii="Arial" w:hAnsi="Arial" w:cs="Arial"/>
          <w:sz w:val="24"/>
          <w:szCs w:val="24"/>
        </w:rPr>
        <w:fldChar w:fldCharType="begin"/>
      </w:r>
      <w:r w:rsidR="006C412F">
        <w:rPr>
          <w:rFonts w:ascii="Arial" w:hAnsi="Arial" w:cs="Arial"/>
          <w:sz w:val="24"/>
          <w:szCs w:val="24"/>
        </w:rPr>
        <w:instrText xml:space="preserve"> ADDIN EN.CITE &lt;EndNote&gt;&lt;Cite&gt;&lt;Author&gt;Farkouh&lt;/Author&gt;&lt;Year&gt;2012&lt;/Year&gt;&lt;RecNum&gt;17&lt;/RecNum&gt;&lt;DisplayText&gt;(13)&lt;/DisplayText&gt;&lt;record&gt;&lt;rec-number&gt;17&lt;/rec-number&gt;&lt;foreign-keys&gt;&lt;key app="EN" db-id="eaz5sewevp5dfxewrdrvzv52xsv2tsf22rzr"&gt;17&lt;/key&gt;&lt;/foreign-keys&gt;&lt;ref-type name="Journal Article"&gt;17&lt;/ref-type&gt;&lt;contributors&gt;&lt;authors&gt;&lt;author&gt;Farkouh, Michael E.&lt;/author&gt;&lt;author&gt;Domanski, Michael&lt;/author&gt;&lt;author&gt;Sleeper, Lynn A.&lt;/author&gt;&lt;author&gt;Siami, Flora S.&lt;/author&gt;&lt;author&gt;Dangas, George&lt;/author&gt;&lt;author&gt;Mack, Michael&lt;/author&gt;&lt;author&gt;Yang, May&lt;/author&gt;&lt;author&gt;Cohen, David J.&lt;/author&gt;&lt;author&gt;Rosenberg, Yves&lt;/author&gt;&lt;author&gt;Solomon, Scott D.&lt;/author&gt;&lt;author&gt;Desai, Akshay S.&lt;/author&gt;&lt;author&gt;Gersh, Bernard J.&lt;/author&gt;&lt;author&gt;Magnuson, Elizabeth A.&lt;/author&gt;&lt;author&gt;Lansky, Alexandra&lt;/author&gt;&lt;author&gt;Boineau, Robin&lt;/author&gt;&lt;author&gt;Weinberger, Jesse&lt;/author&gt;&lt;author&gt;Ramanathan, Krishnan&lt;/author&gt;&lt;author&gt;Sousa, J. Eduardo&lt;/author&gt;&lt;author&gt;Rankin, Jamie&lt;/author&gt;&lt;author&gt;Bhargava, Balram&lt;/author&gt;&lt;author&gt;Buse, John&lt;/author&gt;&lt;author&gt;Hueb, Whady&lt;/author&gt;&lt;author&gt;Smith, Craig R.&lt;/author&gt;&lt;author&gt;Muratov, Victoria&lt;/author&gt;&lt;author&gt;Bansilal, Sameer&lt;/author&gt;&lt;author&gt;King, Spencer&lt;/author&gt;&lt;author&gt;Bertrand, Michel&lt;/author&gt;&lt;author&gt;Fuster, Valentin&lt;/author&gt;&lt;/authors&gt;&lt;/contributors&gt;&lt;titles&gt;&lt;title&gt;Strategies for Multivessel Revascularization in Patients with Diabetes&lt;/title&gt;&lt;secondary-title&gt;New England Journal of Medicine&lt;/secondary-title&gt;&lt;/titles&gt;&lt;periodical&gt;&lt;full-title&gt;New England Journal of Medicine&lt;/full-title&gt;&lt;/periodical&gt;&lt;pages&gt;2375-2384&lt;/pages&gt;&lt;volume&gt;367&lt;/volume&gt;&lt;number&gt;25&lt;/number&gt;&lt;dates&gt;&lt;year&gt;2012&lt;/year&gt;&lt;/dates&gt;&lt;accession-num&gt;23121323&lt;/accession-num&gt;&lt;call-num&gt;10&lt;/call-num&gt;&lt;urls&gt;&lt;related-urls&gt;&lt;url&gt;http://www.nejm.org/doi/full/10.1056/NEJMoa1211585&lt;/url&gt;&lt;/related-urls&gt;&lt;/urls&gt;&lt;electronic-resource-num&gt;doi:10.1056/NEJMoa1211585&lt;/electronic-resource-num&gt;&lt;/record&gt;&lt;/Cite&gt;&lt;/EndNote&gt;</w:instrText>
      </w:r>
      <w:r w:rsidR="00091918">
        <w:rPr>
          <w:rFonts w:ascii="Arial" w:hAnsi="Arial" w:cs="Arial"/>
          <w:sz w:val="24"/>
          <w:szCs w:val="24"/>
        </w:rPr>
        <w:fldChar w:fldCharType="separate"/>
      </w:r>
      <w:r w:rsidR="006C412F">
        <w:rPr>
          <w:rFonts w:ascii="Arial" w:hAnsi="Arial" w:cs="Arial"/>
          <w:noProof/>
          <w:sz w:val="24"/>
          <w:szCs w:val="24"/>
        </w:rPr>
        <w:t>(</w:t>
      </w:r>
      <w:hyperlink w:anchor="_ENREF_13" w:tooltip="Farkouh, 2012 #17" w:history="1">
        <w:r w:rsidR="00C06C90">
          <w:rPr>
            <w:rFonts w:ascii="Arial" w:hAnsi="Arial" w:cs="Arial"/>
            <w:noProof/>
            <w:sz w:val="24"/>
            <w:szCs w:val="24"/>
          </w:rPr>
          <w:t>13</w:t>
        </w:r>
      </w:hyperlink>
      <w:r w:rsidR="006C412F">
        <w:rPr>
          <w:rFonts w:ascii="Arial" w:hAnsi="Arial" w:cs="Arial"/>
          <w:noProof/>
          <w:sz w:val="24"/>
          <w:szCs w:val="24"/>
        </w:rPr>
        <w:t>)</w:t>
      </w:r>
      <w:r w:rsidR="00091918">
        <w:rPr>
          <w:rFonts w:ascii="Arial" w:hAnsi="Arial" w:cs="Arial"/>
          <w:sz w:val="24"/>
          <w:szCs w:val="24"/>
        </w:rPr>
        <w:fldChar w:fldCharType="end"/>
      </w:r>
      <w:r>
        <w:rPr>
          <w:rFonts w:ascii="Arial" w:hAnsi="Arial" w:cs="Arial"/>
          <w:sz w:val="24"/>
          <w:szCs w:val="24"/>
        </w:rPr>
        <w:t xml:space="preserve"> of coronary artery bypass grafting (CABG) versus percutaneous coronary intervention (PCI) has primary composite endpoint death, myocardial infarction or stroke (Figure 4). An early excess event rate on CABG (mainly due to stroke) is followed by a lower event rate after the first 6 months. The Kaplan Meier curves cross at around 1 year. Here a hazard ratio would be a peculiar average of early bad news followed by later </w:t>
      </w:r>
      <w:r w:rsidR="00F015F7">
        <w:rPr>
          <w:rFonts w:ascii="Arial" w:hAnsi="Arial" w:cs="Arial"/>
          <w:sz w:val="24"/>
          <w:szCs w:val="24"/>
        </w:rPr>
        <w:t>good</w:t>
      </w:r>
      <w:r>
        <w:rPr>
          <w:rFonts w:ascii="Arial" w:hAnsi="Arial" w:cs="Arial"/>
          <w:sz w:val="24"/>
          <w:szCs w:val="24"/>
        </w:rPr>
        <w:t xml:space="preserve"> </w:t>
      </w:r>
      <w:r>
        <w:rPr>
          <w:rFonts w:ascii="Arial" w:hAnsi="Arial" w:cs="Arial"/>
          <w:sz w:val="24"/>
          <w:szCs w:val="24"/>
        </w:rPr>
        <w:lastRenderedPageBreak/>
        <w:t>news for CABG, and so is not particularly useful. The focus on five year composite event rate (18.7% on CABG, 26.6% on PCI) is informative but suffers from the fact that only around one-third of patients have so far</w:t>
      </w:r>
      <w:r w:rsidR="00F015F7">
        <w:rPr>
          <w:rFonts w:ascii="Arial" w:hAnsi="Arial" w:cs="Arial"/>
          <w:sz w:val="24"/>
          <w:szCs w:val="24"/>
        </w:rPr>
        <w:t xml:space="preserve"> been</w:t>
      </w:r>
      <w:r>
        <w:rPr>
          <w:rFonts w:ascii="Arial" w:hAnsi="Arial" w:cs="Arial"/>
          <w:sz w:val="24"/>
          <w:szCs w:val="24"/>
        </w:rPr>
        <w:t xml:space="preserve"> followed for 5 years. More complete 5-year follow-up is required to clarify this.</w:t>
      </w:r>
    </w:p>
    <w:p w14:paraId="5A831A69" w14:textId="77777777" w:rsidR="00F015F7" w:rsidRDefault="00F015F7" w:rsidP="000B71EF">
      <w:pPr>
        <w:spacing w:after="0" w:line="360" w:lineRule="auto"/>
        <w:rPr>
          <w:rFonts w:ascii="Arial" w:hAnsi="Arial" w:cs="Arial"/>
          <w:sz w:val="24"/>
          <w:szCs w:val="24"/>
        </w:rPr>
      </w:pPr>
    </w:p>
    <w:p w14:paraId="729912D8" w14:textId="77777777" w:rsidR="00C15B87" w:rsidRDefault="00C15B87" w:rsidP="000B71EF">
      <w:pPr>
        <w:spacing w:after="0" w:line="360" w:lineRule="auto"/>
        <w:rPr>
          <w:rFonts w:ascii="Arial" w:hAnsi="Arial" w:cs="Arial"/>
          <w:sz w:val="24"/>
          <w:szCs w:val="24"/>
        </w:rPr>
      </w:pPr>
      <w:r>
        <w:rPr>
          <w:rFonts w:ascii="Arial" w:hAnsi="Arial" w:cs="Arial"/>
          <w:sz w:val="24"/>
          <w:szCs w:val="24"/>
        </w:rPr>
        <w:t>Another problem with hazard ratios is that they focus on a “vertical interpretation”</w:t>
      </w:r>
      <w:r w:rsidR="002259DB">
        <w:rPr>
          <w:rFonts w:ascii="Arial" w:hAnsi="Arial" w:cs="Arial"/>
          <w:sz w:val="24"/>
          <w:szCs w:val="24"/>
        </w:rPr>
        <w:t xml:space="preserve"> </w:t>
      </w:r>
      <w:r>
        <w:rPr>
          <w:rFonts w:ascii="Arial" w:hAnsi="Arial" w:cs="Arial"/>
          <w:sz w:val="24"/>
          <w:szCs w:val="24"/>
        </w:rPr>
        <w:t>of the Kaplan Meier plot. But in chronic diseases a more “horizontal interpretation” focu</w:t>
      </w:r>
      <w:r w:rsidR="002259DB">
        <w:rPr>
          <w:rFonts w:ascii="Arial" w:hAnsi="Arial" w:cs="Arial"/>
          <w:sz w:val="24"/>
          <w:szCs w:val="24"/>
        </w:rPr>
        <w:t xml:space="preserve">ssing on event-free time gained may be more appropriate. The </w:t>
      </w:r>
      <w:r w:rsidR="002259DB" w:rsidRPr="00F015F7">
        <w:rPr>
          <w:rFonts w:ascii="Arial" w:hAnsi="Arial" w:cs="Arial"/>
          <w:b/>
          <w:sz w:val="24"/>
          <w:szCs w:val="24"/>
        </w:rPr>
        <w:t>accelerated failure time model</w:t>
      </w:r>
      <w:r w:rsidR="002259DB">
        <w:rPr>
          <w:rFonts w:ascii="Arial" w:hAnsi="Arial" w:cs="Arial"/>
          <w:sz w:val="24"/>
          <w:szCs w:val="24"/>
        </w:rPr>
        <w:t xml:space="preserve"> </w:t>
      </w:r>
      <w:r w:rsidR="006C412F">
        <w:rPr>
          <w:rFonts w:ascii="Arial" w:hAnsi="Arial" w:cs="Arial"/>
          <w:sz w:val="24"/>
          <w:szCs w:val="24"/>
        </w:rPr>
        <w:fldChar w:fldCharType="begin"/>
      </w:r>
      <w:r w:rsidR="006C412F">
        <w:rPr>
          <w:rFonts w:ascii="Arial" w:hAnsi="Arial" w:cs="Arial"/>
          <w:sz w:val="24"/>
          <w:szCs w:val="24"/>
        </w:rPr>
        <w:instrText xml:space="preserve"> ADDIN EN.CITE &lt;EndNote&gt;&lt;Cite&gt;&lt;Author&gt;Wei&lt;/Author&gt;&lt;Year&gt;1992&lt;/Year&gt;&lt;RecNum&gt;108&lt;/RecNum&gt;&lt;DisplayText&gt;(14)&lt;/DisplayText&gt;&lt;record&gt;&lt;rec-number&gt;108&lt;/rec-number&gt;&lt;foreign-keys&gt;&lt;key app="EN" db-id="eaz5sewevp5dfxewrdrvzv52xsv2tsf22rzr"&gt;108&lt;/key&gt;&lt;/foreign-keys&gt;&lt;ref-type name="Journal Article"&gt;17&lt;/ref-type&gt;&lt;contributors&gt;&lt;authors&gt;&lt;author&gt;Wei, LJ&lt;/author&gt;&lt;/authors&gt;&lt;/contributors&gt;&lt;titles&gt;&lt;title&gt;The accelerated failure time model: a useful alternative to the Cox regression model in survival analysis&lt;/title&gt;&lt;secondary-title&gt;Statistics in medicine&lt;/secondary-title&gt;&lt;/titles&gt;&lt;periodical&gt;&lt;full-title&gt;Statistics in Medicine&lt;/full-title&gt;&lt;/periodical&gt;&lt;pages&gt;1871-1879&lt;/pages&gt;&lt;volume&gt;11&lt;/volume&gt;&lt;number&gt;14-15&lt;/number&gt;&lt;dates&gt;&lt;year&gt;1992&lt;/year&gt;&lt;/dates&gt;&lt;isbn&gt;0277-6715&lt;/isbn&gt;&lt;urls&gt;&lt;/urls&gt;&lt;/record&gt;&lt;/Cite&gt;&lt;/EndNote&gt;</w:instrText>
      </w:r>
      <w:r w:rsidR="006C412F">
        <w:rPr>
          <w:rFonts w:ascii="Arial" w:hAnsi="Arial" w:cs="Arial"/>
          <w:sz w:val="24"/>
          <w:szCs w:val="24"/>
        </w:rPr>
        <w:fldChar w:fldCharType="separate"/>
      </w:r>
      <w:r w:rsidR="006C412F">
        <w:rPr>
          <w:rFonts w:ascii="Arial" w:hAnsi="Arial" w:cs="Arial"/>
          <w:noProof/>
          <w:sz w:val="24"/>
          <w:szCs w:val="24"/>
        </w:rPr>
        <w:t>(</w:t>
      </w:r>
      <w:hyperlink w:anchor="_ENREF_14" w:tooltip="Wei, 1992 #108" w:history="1">
        <w:r w:rsidR="00C06C90">
          <w:rPr>
            <w:rFonts w:ascii="Arial" w:hAnsi="Arial" w:cs="Arial"/>
            <w:noProof/>
            <w:sz w:val="24"/>
            <w:szCs w:val="24"/>
          </w:rPr>
          <w:t>14</w:t>
        </w:r>
      </w:hyperlink>
      <w:r w:rsidR="006C412F">
        <w:rPr>
          <w:rFonts w:ascii="Arial" w:hAnsi="Arial" w:cs="Arial"/>
          <w:noProof/>
          <w:sz w:val="24"/>
          <w:szCs w:val="24"/>
        </w:rPr>
        <w:t>)</w:t>
      </w:r>
      <w:r w:rsidR="006C412F">
        <w:rPr>
          <w:rFonts w:ascii="Arial" w:hAnsi="Arial" w:cs="Arial"/>
          <w:sz w:val="24"/>
          <w:szCs w:val="24"/>
        </w:rPr>
        <w:fldChar w:fldCharType="end"/>
      </w:r>
      <w:r w:rsidR="006C412F">
        <w:rPr>
          <w:rFonts w:ascii="Arial" w:hAnsi="Arial" w:cs="Arial"/>
          <w:sz w:val="24"/>
          <w:szCs w:val="24"/>
        </w:rPr>
        <w:t xml:space="preserve"> </w:t>
      </w:r>
      <w:r w:rsidR="002259DB">
        <w:rPr>
          <w:rFonts w:ascii="Arial" w:hAnsi="Arial" w:cs="Arial"/>
          <w:sz w:val="24"/>
          <w:szCs w:val="24"/>
        </w:rPr>
        <w:t xml:space="preserve">is unfortunately rarely used, but it </w:t>
      </w:r>
      <w:r w:rsidR="00F015F7">
        <w:rPr>
          <w:rFonts w:ascii="Arial" w:hAnsi="Arial" w:cs="Arial"/>
          <w:sz w:val="24"/>
          <w:szCs w:val="24"/>
        </w:rPr>
        <w:t>can</w:t>
      </w:r>
      <w:r w:rsidR="002259DB">
        <w:rPr>
          <w:rFonts w:ascii="Arial" w:hAnsi="Arial" w:cs="Arial"/>
          <w:sz w:val="24"/>
          <w:szCs w:val="24"/>
        </w:rPr>
        <w:t xml:space="preserve"> nicely capture this concept. In a nutshell it estimates a time ratio whereby if a new treatment helps to delay the occurrence of events, the time ratio will be greater than 1.</w:t>
      </w:r>
      <w:r w:rsidR="00923899">
        <w:rPr>
          <w:rFonts w:ascii="Arial" w:hAnsi="Arial" w:cs="Arial"/>
          <w:sz w:val="24"/>
          <w:szCs w:val="24"/>
        </w:rPr>
        <w:t xml:space="preserve"> For instance, a time ratio of 1.5 means that on average it takes 50% longer for an event to occur on the new treatment compared to control. </w:t>
      </w:r>
    </w:p>
    <w:p w14:paraId="7574ED77" w14:textId="77777777" w:rsidR="00F015F7" w:rsidRDefault="00F015F7" w:rsidP="000B71EF">
      <w:pPr>
        <w:spacing w:after="0" w:line="360" w:lineRule="auto"/>
        <w:rPr>
          <w:rFonts w:ascii="Arial" w:hAnsi="Arial" w:cs="Arial"/>
          <w:sz w:val="24"/>
          <w:szCs w:val="24"/>
        </w:rPr>
      </w:pPr>
    </w:p>
    <w:p w14:paraId="21C6D7F5" w14:textId="5932A8D7" w:rsidR="002259DB" w:rsidRDefault="002259DB" w:rsidP="000B71EF">
      <w:pPr>
        <w:spacing w:after="0" w:line="360" w:lineRule="auto"/>
        <w:rPr>
          <w:rFonts w:ascii="Arial" w:hAnsi="Arial" w:cs="Arial"/>
          <w:sz w:val="24"/>
          <w:szCs w:val="24"/>
        </w:rPr>
      </w:pPr>
      <w:r>
        <w:rPr>
          <w:rFonts w:ascii="Arial" w:hAnsi="Arial" w:cs="Arial"/>
          <w:sz w:val="24"/>
          <w:szCs w:val="24"/>
        </w:rPr>
        <w:t>We illustrate its use in a post hoc analysis of the EMPHASIS trial</w:t>
      </w:r>
      <w:r w:rsidR="00E55F9A">
        <w:rPr>
          <w:rFonts w:ascii="Arial" w:hAnsi="Arial" w:cs="Arial"/>
          <w:sz w:val="24"/>
          <w:szCs w:val="24"/>
        </w:rPr>
        <w:t xml:space="preserve"> </w:t>
      </w:r>
      <w:r w:rsidR="00091918">
        <w:rPr>
          <w:rFonts w:ascii="Arial" w:hAnsi="Arial" w:cs="Arial"/>
          <w:sz w:val="24"/>
          <w:szCs w:val="24"/>
        </w:rPr>
        <w:fldChar w:fldCharType="begin"/>
      </w:r>
      <w:r w:rsidR="006C412F">
        <w:rPr>
          <w:rFonts w:ascii="Arial" w:hAnsi="Arial" w:cs="Arial"/>
          <w:sz w:val="24"/>
          <w:szCs w:val="24"/>
        </w:rPr>
        <w:instrText xml:space="preserve"> ADDIN EN.CITE &lt;EndNote&gt;&lt;Cite&gt;&lt;Author&gt;Zannad&lt;/Author&gt;&lt;Year&gt;2011&lt;/Year&gt;&lt;RecNum&gt;22&lt;/RecNum&gt;&lt;DisplayText&gt;(15)&lt;/DisplayText&gt;&lt;record&gt;&lt;rec-number&gt;22&lt;/rec-number&gt;&lt;foreign-keys&gt;&lt;key app="EN" db-id="eaz5sewevp5dfxewrdrvzv52xsv2tsf22rzr"&gt;22&lt;/key&gt;&lt;/foreign-keys&gt;&lt;ref-type name="Journal Article"&gt;17&lt;/ref-type&gt;&lt;contributors&gt;&lt;authors&gt;&lt;author&gt;Zannad, Faiez&lt;/author&gt;&lt;author&gt;McMurray, John J.V.&lt;/author&gt;&lt;author&gt;Krum, Henry&lt;/author&gt;&lt;author&gt;van Veldhuisen, Dirk J.&lt;/author&gt;&lt;author&gt;Swedberg, Karl&lt;/author&gt;&lt;author&gt;Shi, Harry&lt;/author&gt;&lt;author&gt;Vincent, John&lt;/author&gt;&lt;author&gt;Pocock, Stuart J.&lt;/author&gt;&lt;author&gt;Pitt, Bertram&lt;/author&gt;&lt;/authors&gt;&lt;/contributors&gt;&lt;titles&gt;&lt;title&gt;Eplerenone in Patients with Systolic Heart Failure and Mild Symptoms&lt;/title&gt;&lt;secondary-title&gt;New England Journal of Medicine&lt;/secondary-title&gt;&lt;/titles&gt;&lt;periodical&gt;&lt;full-title&gt;New England Journal of Medicine&lt;/full-title&gt;&lt;/periodical&gt;&lt;pages&gt;11-21&lt;/pages&gt;&lt;volume&gt;364&lt;/volume&gt;&lt;number&gt;1&lt;/number&gt;&lt;dates&gt;&lt;year&gt;2011&lt;/year&gt;&lt;/dates&gt;&lt;accession-num&gt;21073363&lt;/accession-num&gt;&lt;call-num&gt;11&lt;/call-num&gt;&lt;urls&gt;&lt;related-urls&gt;&lt;url&gt;http://www.nejm.org/doi/full/10.1056/NEJMoa1009492&lt;/url&gt;&lt;/related-urls&gt;&lt;/urls&gt;&lt;electronic-resource-num&gt;doi:10.1056/NEJMoa1009492&lt;/electronic-resource-num&gt;&lt;access-date&gt;1&lt;/access-date&gt;&lt;/record&gt;&lt;/Cite&gt;&lt;/EndNote&gt;</w:instrText>
      </w:r>
      <w:r w:rsidR="00091918">
        <w:rPr>
          <w:rFonts w:ascii="Arial" w:hAnsi="Arial" w:cs="Arial"/>
          <w:sz w:val="24"/>
          <w:szCs w:val="24"/>
        </w:rPr>
        <w:fldChar w:fldCharType="separate"/>
      </w:r>
      <w:r w:rsidR="006C412F">
        <w:rPr>
          <w:rFonts w:ascii="Arial" w:hAnsi="Arial" w:cs="Arial"/>
          <w:noProof/>
          <w:sz w:val="24"/>
          <w:szCs w:val="24"/>
        </w:rPr>
        <w:t>(</w:t>
      </w:r>
      <w:hyperlink w:anchor="_ENREF_15" w:tooltip="Zannad, 2011 #22" w:history="1">
        <w:r w:rsidR="00C06C90">
          <w:rPr>
            <w:rFonts w:ascii="Arial" w:hAnsi="Arial" w:cs="Arial"/>
            <w:noProof/>
            <w:sz w:val="24"/>
            <w:szCs w:val="24"/>
          </w:rPr>
          <w:t>15</w:t>
        </w:r>
      </w:hyperlink>
      <w:r w:rsidR="006C412F">
        <w:rPr>
          <w:rFonts w:ascii="Arial" w:hAnsi="Arial" w:cs="Arial"/>
          <w:noProof/>
          <w:sz w:val="24"/>
          <w:szCs w:val="24"/>
        </w:rPr>
        <w:t>)</w:t>
      </w:r>
      <w:r w:rsidR="00091918">
        <w:rPr>
          <w:rFonts w:ascii="Arial" w:hAnsi="Arial" w:cs="Arial"/>
          <w:sz w:val="24"/>
          <w:szCs w:val="24"/>
        </w:rPr>
        <w:fldChar w:fldCharType="end"/>
      </w:r>
      <w:r>
        <w:rPr>
          <w:rFonts w:ascii="Arial" w:hAnsi="Arial" w:cs="Arial"/>
          <w:sz w:val="24"/>
          <w:szCs w:val="24"/>
        </w:rPr>
        <w:t xml:space="preserve"> of eplerenone versus placebo in patients with systolic heart failure and mild symptoms. The primary composite endpoint, heart failure hospitalisation or cardiovascular death, is plotted in Figure </w:t>
      </w:r>
      <w:r w:rsidR="00923899">
        <w:rPr>
          <w:rFonts w:ascii="Arial" w:hAnsi="Arial" w:cs="Arial"/>
          <w:sz w:val="24"/>
          <w:szCs w:val="24"/>
        </w:rPr>
        <w:t>5</w:t>
      </w:r>
      <w:r>
        <w:rPr>
          <w:rFonts w:ascii="Arial" w:hAnsi="Arial" w:cs="Arial"/>
          <w:sz w:val="24"/>
          <w:szCs w:val="24"/>
        </w:rPr>
        <w:t xml:space="preserve">. Reading off horizontally from this plot the eplerenone and placebo groups reach 10% incidence at </w:t>
      </w:r>
      <w:r w:rsidR="00DF5B1E">
        <w:rPr>
          <w:rFonts w:ascii="Arial" w:hAnsi="Arial" w:cs="Arial"/>
          <w:sz w:val="24"/>
          <w:szCs w:val="24"/>
        </w:rPr>
        <w:t>0.84</w:t>
      </w:r>
      <w:r>
        <w:rPr>
          <w:rFonts w:ascii="Arial" w:hAnsi="Arial" w:cs="Arial"/>
          <w:sz w:val="24"/>
          <w:szCs w:val="24"/>
        </w:rPr>
        <w:t xml:space="preserve"> years and </w:t>
      </w:r>
      <w:r w:rsidR="00DF5B1E">
        <w:rPr>
          <w:rFonts w:ascii="Arial" w:hAnsi="Arial" w:cs="Arial"/>
          <w:sz w:val="24"/>
          <w:szCs w:val="24"/>
        </w:rPr>
        <w:t>0.40</w:t>
      </w:r>
      <w:r>
        <w:rPr>
          <w:rFonts w:ascii="Arial" w:hAnsi="Arial" w:cs="Arial"/>
          <w:sz w:val="24"/>
          <w:szCs w:val="24"/>
        </w:rPr>
        <w:t xml:space="preserve"> years respectively</w:t>
      </w:r>
      <w:r w:rsidR="00F015F7">
        <w:rPr>
          <w:rFonts w:ascii="Arial" w:hAnsi="Arial" w:cs="Arial"/>
          <w:sz w:val="24"/>
          <w:szCs w:val="24"/>
        </w:rPr>
        <w:t>, a</w:t>
      </w:r>
      <w:r>
        <w:rPr>
          <w:rFonts w:ascii="Arial" w:hAnsi="Arial" w:cs="Arial"/>
          <w:sz w:val="24"/>
          <w:szCs w:val="24"/>
        </w:rPr>
        <w:t xml:space="preserve"> time ratio</w:t>
      </w:r>
      <w:r w:rsidR="00F015F7">
        <w:rPr>
          <w:rFonts w:ascii="Arial" w:hAnsi="Arial" w:cs="Arial"/>
          <w:sz w:val="24"/>
          <w:szCs w:val="24"/>
        </w:rPr>
        <w:t xml:space="preserve"> of</w:t>
      </w:r>
      <w:r>
        <w:rPr>
          <w:rFonts w:ascii="Arial" w:hAnsi="Arial" w:cs="Arial"/>
          <w:sz w:val="24"/>
          <w:szCs w:val="24"/>
        </w:rPr>
        <w:t xml:space="preserve"> </w:t>
      </w:r>
      <w:r w:rsidR="00DF5B1E">
        <w:rPr>
          <w:rFonts w:ascii="Arial" w:hAnsi="Arial" w:cs="Arial"/>
          <w:sz w:val="24"/>
          <w:szCs w:val="24"/>
        </w:rPr>
        <w:t>2.10.</w:t>
      </w:r>
      <w:r>
        <w:rPr>
          <w:rFonts w:ascii="Arial" w:hAnsi="Arial" w:cs="Arial"/>
          <w:sz w:val="24"/>
          <w:szCs w:val="24"/>
        </w:rPr>
        <w:t xml:space="preserve">  20% incidence occurs at </w:t>
      </w:r>
      <w:r w:rsidR="00DF5B1E">
        <w:rPr>
          <w:rFonts w:ascii="Arial" w:hAnsi="Arial" w:cs="Arial"/>
          <w:sz w:val="24"/>
          <w:szCs w:val="24"/>
        </w:rPr>
        <w:t>2.02</w:t>
      </w:r>
      <w:r>
        <w:rPr>
          <w:rFonts w:ascii="Arial" w:hAnsi="Arial" w:cs="Arial"/>
          <w:sz w:val="24"/>
          <w:szCs w:val="24"/>
        </w:rPr>
        <w:t xml:space="preserve"> yea</w:t>
      </w:r>
      <w:r w:rsidR="00DF5B1E">
        <w:rPr>
          <w:rFonts w:ascii="Arial" w:hAnsi="Arial" w:cs="Arial"/>
          <w:sz w:val="24"/>
          <w:szCs w:val="24"/>
        </w:rPr>
        <w:t>r</w:t>
      </w:r>
      <w:r>
        <w:rPr>
          <w:rFonts w:ascii="Arial" w:hAnsi="Arial" w:cs="Arial"/>
          <w:sz w:val="24"/>
          <w:szCs w:val="24"/>
        </w:rPr>
        <w:t xml:space="preserve">s and </w:t>
      </w:r>
      <w:r w:rsidR="00DF5B1E">
        <w:rPr>
          <w:rFonts w:ascii="Arial" w:hAnsi="Arial" w:cs="Arial"/>
          <w:sz w:val="24"/>
          <w:szCs w:val="24"/>
        </w:rPr>
        <w:t>1.09</w:t>
      </w:r>
      <w:r>
        <w:rPr>
          <w:rFonts w:ascii="Arial" w:hAnsi="Arial" w:cs="Arial"/>
          <w:sz w:val="24"/>
          <w:szCs w:val="24"/>
        </w:rPr>
        <w:t xml:space="preserve"> years respectively, </w:t>
      </w:r>
      <w:r w:rsidR="00F015F7">
        <w:rPr>
          <w:rFonts w:ascii="Arial" w:hAnsi="Arial" w:cs="Arial"/>
          <w:sz w:val="24"/>
          <w:szCs w:val="24"/>
        </w:rPr>
        <w:t xml:space="preserve">a </w:t>
      </w:r>
      <w:r>
        <w:rPr>
          <w:rFonts w:ascii="Arial" w:hAnsi="Arial" w:cs="Arial"/>
          <w:sz w:val="24"/>
          <w:szCs w:val="24"/>
        </w:rPr>
        <w:t>time ratio</w:t>
      </w:r>
      <w:r w:rsidR="00F015F7">
        <w:rPr>
          <w:rFonts w:ascii="Arial" w:hAnsi="Arial" w:cs="Arial"/>
          <w:sz w:val="24"/>
          <w:szCs w:val="24"/>
        </w:rPr>
        <w:t xml:space="preserve"> of</w:t>
      </w:r>
      <w:r>
        <w:rPr>
          <w:rFonts w:ascii="Arial" w:hAnsi="Arial" w:cs="Arial"/>
          <w:sz w:val="24"/>
          <w:szCs w:val="24"/>
        </w:rPr>
        <w:t xml:space="preserve"> </w:t>
      </w:r>
      <w:r w:rsidR="00DF5B1E">
        <w:rPr>
          <w:rFonts w:ascii="Arial" w:hAnsi="Arial" w:cs="Arial"/>
          <w:sz w:val="24"/>
          <w:szCs w:val="24"/>
        </w:rPr>
        <w:t>1.86</w:t>
      </w:r>
      <w:r>
        <w:rPr>
          <w:rFonts w:ascii="Arial" w:hAnsi="Arial" w:cs="Arial"/>
          <w:sz w:val="24"/>
          <w:szCs w:val="24"/>
        </w:rPr>
        <w:t>. The accelerated failure time model averages these time ratios across all possible cut-off</w:t>
      </w:r>
      <w:r w:rsidR="00F015F7">
        <w:rPr>
          <w:rFonts w:ascii="Arial" w:hAnsi="Arial" w:cs="Arial"/>
          <w:sz w:val="24"/>
          <w:szCs w:val="24"/>
        </w:rPr>
        <w:t>s</w:t>
      </w:r>
      <w:r>
        <w:rPr>
          <w:rFonts w:ascii="Arial" w:hAnsi="Arial" w:cs="Arial"/>
          <w:sz w:val="24"/>
          <w:szCs w:val="24"/>
        </w:rPr>
        <w:t xml:space="preserve"> on the vertical scale of Figure 4. The end result is a time ratio of </w:t>
      </w:r>
      <w:r w:rsidR="00DF5B1E">
        <w:rPr>
          <w:rFonts w:ascii="Arial" w:hAnsi="Arial" w:cs="Arial"/>
          <w:sz w:val="24"/>
          <w:szCs w:val="24"/>
        </w:rPr>
        <w:t>1.71</w:t>
      </w:r>
      <w:r>
        <w:rPr>
          <w:rFonts w:ascii="Arial" w:hAnsi="Arial" w:cs="Arial"/>
          <w:sz w:val="24"/>
          <w:szCs w:val="24"/>
        </w:rPr>
        <w:t xml:space="preserve"> in favour of eplerenone with 95% CI </w:t>
      </w:r>
      <w:r w:rsidR="00DF5B1E">
        <w:rPr>
          <w:rFonts w:ascii="Arial" w:hAnsi="Arial" w:cs="Arial"/>
          <w:sz w:val="24"/>
          <w:szCs w:val="24"/>
        </w:rPr>
        <w:t>1.38</w:t>
      </w:r>
      <w:r>
        <w:rPr>
          <w:rFonts w:ascii="Arial" w:hAnsi="Arial" w:cs="Arial"/>
          <w:sz w:val="24"/>
          <w:szCs w:val="24"/>
        </w:rPr>
        <w:t xml:space="preserve"> to </w:t>
      </w:r>
      <w:r w:rsidR="00DF5B1E">
        <w:rPr>
          <w:rFonts w:ascii="Arial" w:hAnsi="Arial" w:cs="Arial"/>
          <w:sz w:val="24"/>
          <w:szCs w:val="24"/>
        </w:rPr>
        <w:t>2.11</w:t>
      </w:r>
      <w:r>
        <w:rPr>
          <w:rFonts w:ascii="Arial" w:hAnsi="Arial" w:cs="Arial"/>
          <w:sz w:val="24"/>
          <w:szCs w:val="24"/>
        </w:rPr>
        <w:t>.</w:t>
      </w:r>
    </w:p>
    <w:p w14:paraId="645790DE" w14:textId="77777777" w:rsidR="00F015F7" w:rsidRDefault="00F015F7" w:rsidP="000B71EF">
      <w:pPr>
        <w:spacing w:after="0" w:line="360" w:lineRule="auto"/>
        <w:rPr>
          <w:rFonts w:ascii="Arial" w:hAnsi="Arial" w:cs="Arial"/>
          <w:sz w:val="24"/>
          <w:szCs w:val="24"/>
        </w:rPr>
      </w:pPr>
    </w:p>
    <w:p w14:paraId="0E5D7DB4" w14:textId="77777777" w:rsidR="00204028" w:rsidRDefault="00E733A3" w:rsidP="000B71EF">
      <w:pPr>
        <w:spacing w:after="0" w:line="360" w:lineRule="auto"/>
        <w:rPr>
          <w:rFonts w:ascii="Arial" w:hAnsi="Arial" w:cs="Arial"/>
          <w:sz w:val="24"/>
          <w:szCs w:val="24"/>
        </w:rPr>
      </w:pPr>
      <w:r>
        <w:rPr>
          <w:rFonts w:ascii="Arial" w:hAnsi="Arial" w:cs="Arial"/>
          <w:sz w:val="24"/>
          <w:szCs w:val="24"/>
        </w:rPr>
        <w:t>An alternative simpler approach is to calculate the incidence rate of the primary endpoint over all follow-up: for eplerenone and placeb</w:t>
      </w:r>
      <w:r w:rsidR="00204028">
        <w:rPr>
          <w:rFonts w:ascii="Arial" w:hAnsi="Arial" w:cs="Arial"/>
          <w:sz w:val="24"/>
          <w:szCs w:val="24"/>
        </w:rPr>
        <w:t>o</w:t>
      </w:r>
      <w:r>
        <w:rPr>
          <w:rFonts w:ascii="Arial" w:hAnsi="Arial" w:cs="Arial"/>
          <w:sz w:val="24"/>
          <w:szCs w:val="24"/>
        </w:rPr>
        <w:t xml:space="preserve"> group</w:t>
      </w:r>
      <w:r w:rsidR="00F015F7">
        <w:rPr>
          <w:rFonts w:ascii="Arial" w:hAnsi="Arial" w:cs="Arial"/>
          <w:sz w:val="24"/>
          <w:szCs w:val="24"/>
        </w:rPr>
        <w:t>s</w:t>
      </w:r>
      <w:r>
        <w:rPr>
          <w:rFonts w:ascii="Arial" w:hAnsi="Arial" w:cs="Arial"/>
          <w:sz w:val="24"/>
          <w:szCs w:val="24"/>
        </w:rPr>
        <w:t xml:space="preserve"> this is </w:t>
      </w:r>
      <w:r w:rsidR="00DF5B1E">
        <w:rPr>
          <w:rFonts w:ascii="Arial" w:hAnsi="Arial" w:cs="Arial"/>
          <w:sz w:val="24"/>
          <w:szCs w:val="24"/>
        </w:rPr>
        <w:t>10.60</w:t>
      </w:r>
      <w:r>
        <w:rPr>
          <w:rFonts w:ascii="Arial" w:hAnsi="Arial" w:cs="Arial"/>
          <w:sz w:val="24"/>
          <w:szCs w:val="24"/>
        </w:rPr>
        <w:t xml:space="preserve"> and </w:t>
      </w:r>
      <w:r w:rsidR="00DF5B1E">
        <w:rPr>
          <w:rFonts w:ascii="Arial" w:hAnsi="Arial" w:cs="Arial"/>
          <w:sz w:val="24"/>
          <w:szCs w:val="24"/>
        </w:rPr>
        <w:t>15.47</w:t>
      </w:r>
      <w:r>
        <w:rPr>
          <w:rFonts w:ascii="Arial" w:hAnsi="Arial" w:cs="Arial"/>
          <w:sz w:val="24"/>
          <w:szCs w:val="24"/>
        </w:rPr>
        <w:t xml:space="preserve"> per 100 patient years respectively. This gives a </w:t>
      </w:r>
      <w:r w:rsidR="005B0495">
        <w:rPr>
          <w:rFonts w:ascii="Arial" w:hAnsi="Arial" w:cs="Arial"/>
          <w:sz w:val="24"/>
          <w:szCs w:val="24"/>
        </w:rPr>
        <w:t>rate</w:t>
      </w:r>
      <w:r>
        <w:rPr>
          <w:rFonts w:ascii="Arial" w:hAnsi="Arial" w:cs="Arial"/>
          <w:sz w:val="24"/>
          <w:szCs w:val="24"/>
        </w:rPr>
        <w:t xml:space="preserve"> ratio </w:t>
      </w:r>
      <w:r w:rsidR="00DF5B1E">
        <w:rPr>
          <w:rFonts w:ascii="Arial" w:hAnsi="Arial" w:cs="Arial"/>
          <w:sz w:val="24"/>
          <w:szCs w:val="24"/>
        </w:rPr>
        <w:t>0.69</w:t>
      </w:r>
      <w:r w:rsidR="00F015F7">
        <w:rPr>
          <w:rFonts w:ascii="Arial" w:hAnsi="Arial" w:cs="Arial"/>
          <w:sz w:val="24"/>
          <w:szCs w:val="24"/>
        </w:rPr>
        <w:t>,</w:t>
      </w:r>
      <w:r>
        <w:rPr>
          <w:rFonts w:ascii="Arial" w:hAnsi="Arial" w:cs="Arial"/>
          <w:sz w:val="24"/>
          <w:szCs w:val="24"/>
        </w:rPr>
        <w:t xml:space="preserve"> </w:t>
      </w:r>
      <w:r w:rsidRPr="005B0495">
        <w:rPr>
          <w:rFonts w:ascii="Arial" w:hAnsi="Arial" w:cs="Arial"/>
          <w:sz w:val="24"/>
          <w:szCs w:val="24"/>
        </w:rPr>
        <w:t xml:space="preserve">the inverse of which is the time ratio </w:t>
      </w:r>
      <w:r w:rsidR="005B0495">
        <w:rPr>
          <w:rFonts w:ascii="Arial" w:hAnsi="Arial" w:cs="Arial"/>
          <w:sz w:val="24"/>
          <w:szCs w:val="24"/>
        </w:rPr>
        <w:t>1.47</w:t>
      </w:r>
      <w:r w:rsidR="00F015F7" w:rsidRPr="005B0495">
        <w:rPr>
          <w:rFonts w:ascii="Arial" w:hAnsi="Arial" w:cs="Arial"/>
          <w:sz w:val="24"/>
          <w:szCs w:val="24"/>
        </w:rPr>
        <w:t>.</w:t>
      </w:r>
      <w:r w:rsidR="00F015F7">
        <w:rPr>
          <w:rFonts w:ascii="Arial" w:hAnsi="Arial" w:cs="Arial"/>
          <w:sz w:val="24"/>
          <w:szCs w:val="24"/>
        </w:rPr>
        <w:t xml:space="preserve"> </w:t>
      </w:r>
      <w:r w:rsidR="00204028">
        <w:rPr>
          <w:rFonts w:ascii="Arial" w:hAnsi="Arial" w:cs="Arial"/>
          <w:sz w:val="24"/>
          <w:szCs w:val="24"/>
        </w:rPr>
        <w:t>This crude approach works well, provided incidence rates are fairly steady throughout follow-up. But in general, the Kaplan Meier plot in many disease shows a much higher incidence rate in early follow-up.</w:t>
      </w:r>
    </w:p>
    <w:p w14:paraId="33AC08D4" w14:textId="77777777" w:rsidR="00204028" w:rsidRDefault="00204028" w:rsidP="000B71EF">
      <w:pPr>
        <w:spacing w:after="0" w:line="360" w:lineRule="auto"/>
        <w:rPr>
          <w:rFonts w:ascii="Arial" w:hAnsi="Arial" w:cs="Arial"/>
          <w:sz w:val="24"/>
          <w:szCs w:val="24"/>
        </w:rPr>
      </w:pPr>
    </w:p>
    <w:p w14:paraId="69DB8DD2" w14:textId="77777777" w:rsidR="00204028" w:rsidRDefault="00204028" w:rsidP="000B71EF">
      <w:pPr>
        <w:spacing w:after="0" w:line="360" w:lineRule="auto"/>
        <w:rPr>
          <w:rFonts w:ascii="Arial" w:hAnsi="Arial" w:cs="Arial"/>
          <w:b/>
          <w:sz w:val="24"/>
          <w:szCs w:val="24"/>
        </w:rPr>
      </w:pPr>
      <w:r w:rsidRPr="00204028">
        <w:rPr>
          <w:rFonts w:ascii="Arial" w:hAnsi="Arial" w:cs="Arial"/>
          <w:b/>
          <w:sz w:val="24"/>
          <w:szCs w:val="24"/>
        </w:rPr>
        <w:t>Estimates for Quantitative Outcomes</w:t>
      </w:r>
    </w:p>
    <w:p w14:paraId="26DCA534" w14:textId="77777777" w:rsidR="00091918" w:rsidRPr="00204028" w:rsidRDefault="00091918" w:rsidP="000B71EF">
      <w:pPr>
        <w:spacing w:after="0" w:line="360" w:lineRule="auto"/>
        <w:rPr>
          <w:rFonts w:ascii="Arial" w:hAnsi="Arial" w:cs="Arial"/>
          <w:b/>
          <w:sz w:val="24"/>
          <w:szCs w:val="24"/>
        </w:rPr>
      </w:pPr>
    </w:p>
    <w:p w14:paraId="79BA95A7" w14:textId="77777777" w:rsidR="00204028" w:rsidRDefault="00204028" w:rsidP="000B71EF">
      <w:pPr>
        <w:spacing w:after="0" w:line="360" w:lineRule="auto"/>
        <w:rPr>
          <w:rFonts w:ascii="Arial" w:hAnsi="Arial" w:cs="Arial"/>
          <w:sz w:val="24"/>
          <w:szCs w:val="24"/>
        </w:rPr>
      </w:pPr>
      <w:r>
        <w:rPr>
          <w:rFonts w:ascii="Arial" w:hAnsi="Arial" w:cs="Arial"/>
          <w:sz w:val="24"/>
          <w:szCs w:val="24"/>
        </w:rPr>
        <w:lastRenderedPageBreak/>
        <w:t>In analysing a quantitative outcome one usually compares the means in two treatment groups. However, as the same outcome is usually measured at baseline it is more efficient to compare mean changes from baseline. But this still misses out on the fact changes tend to depend on the baseline value, based on the concept of regression to the mean. That is, patients with high baseline value tend to have a bigger fall in value than patients with lower baseline values. This requires an analysis of covariance (ANCOVA) in which one compares mean changes adjusted for baseline value</w:t>
      </w:r>
      <w:r w:rsidR="006C412F">
        <w:rPr>
          <w:rFonts w:ascii="Arial" w:hAnsi="Arial" w:cs="Arial"/>
          <w:sz w:val="24"/>
          <w:szCs w:val="24"/>
        </w:rPr>
        <w:t xml:space="preserve"> </w:t>
      </w:r>
      <w:r w:rsidR="006C412F">
        <w:rPr>
          <w:rFonts w:ascii="Arial" w:hAnsi="Arial" w:cs="Arial"/>
          <w:sz w:val="24"/>
          <w:szCs w:val="24"/>
        </w:rPr>
        <w:fldChar w:fldCharType="begin"/>
      </w:r>
      <w:r w:rsidR="006C412F">
        <w:rPr>
          <w:rFonts w:ascii="Arial" w:hAnsi="Arial" w:cs="Arial"/>
          <w:sz w:val="24"/>
          <w:szCs w:val="24"/>
        </w:rPr>
        <w:instrText xml:space="preserve"> ADDIN EN.CITE &lt;EndNote&gt;&lt;Cite&gt;&lt;Author&gt;Vickers&lt;/Author&gt;&lt;Year&gt;2001&lt;/Year&gt;&lt;RecNum&gt;109&lt;/RecNum&gt;&lt;DisplayText&gt;(16)&lt;/DisplayText&gt;&lt;record&gt;&lt;rec-number&gt;109&lt;/rec-number&gt;&lt;foreign-keys&gt;&lt;key app="EN" db-id="eaz5sewevp5dfxewrdrvzv52xsv2tsf22rzr"&gt;109&lt;/key&gt;&lt;/foreign-keys&gt;&lt;ref-type name="Journal Article"&gt;17&lt;/ref-type&gt;&lt;contributors&gt;&lt;authors&gt;&lt;author&gt;Vickers, Andrew J&lt;/author&gt;&lt;author&gt;Altman, Douglas G&lt;/author&gt;&lt;/authors&gt;&lt;/contributors&gt;&lt;titles&gt;&lt;title&gt;Analysing controlled trials with baseline and follow up measurements&lt;/title&gt;&lt;secondary-title&gt;BMJ&lt;/secondary-title&gt;&lt;/titles&gt;&lt;periodical&gt;&lt;full-title&gt;Bmj&lt;/full-title&gt;&lt;abbr-1&gt;BMJ (Clinical research ed.)&lt;/abbr-1&gt;&lt;/periodical&gt;&lt;pages&gt;1123-1124&lt;/pages&gt;&lt;volume&gt;323&lt;/volume&gt;&lt;number&gt;7321&lt;/number&gt;&lt;dates&gt;&lt;year&gt;2001&lt;/year&gt;&lt;/dates&gt;&lt;isbn&gt;0959-8138&lt;/isbn&gt;&lt;urls&gt;&lt;/urls&gt;&lt;/record&gt;&lt;/Cite&gt;&lt;/EndNote&gt;</w:instrText>
      </w:r>
      <w:r w:rsidR="006C412F">
        <w:rPr>
          <w:rFonts w:ascii="Arial" w:hAnsi="Arial" w:cs="Arial"/>
          <w:sz w:val="24"/>
          <w:szCs w:val="24"/>
        </w:rPr>
        <w:fldChar w:fldCharType="separate"/>
      </w:r>
      <w:r w:rsidR="006C412F">
        <w:rPr>
          <w:rFonts w:ascii="Arial" w:hAnsi="Arial" w:cs="Arial"/>
          <w:noProof/>
          <w:sz w:val="24"/>
          <w:szCs w:val="24"/>
        </w:rPr>
        <w:t>(</w:t>
      </w:r>
      <w:hyperlink w:anchor="_ENREF_16" w:tooltip="Vickers, 2001 #109" w:history="1">
        <w:r w:rsidR="00C06C90">
          <w:rPr>
            <w:rFonts w:ascii="Arial" w:hAnsi="Arial" w:cs="Arial"/>
            <w:noProof/>
            <w:sz w:val="24"/>
            <w:szCs w:val="24"/>
          </w:rPr>
          <w:t>16</w:t>
        </w:r>
      </w:hyperlink>
      <w:r w:rsidR="006C412F">
        <w:rPr>
          <w:rFonts w:ascii="Arial" w:hAnsi="Arial" w:cs="Arial"/>
          <w:noProof/>
          <w:sz w:val="24"/>
          <w:szCs w:val="24"/>
        </w:rPr>
        <w:t>)</w:t>
      </w:r>
      <w:r w:rsidR="006C412F">
        <w:rPr>
          <w:rFonts w:ascii="Arial" w:hAnsi="Arial" w:cs="Arial"/>
          <w:sz w:val="24"/>
          <w:szCs w:val="24"/>
        </w:rPr>
        <w:fldChar w:fldCharType="end"/>
      </w:r>
      <w:r>
        <w:rPr>
          <w:rFonts w:ascii="Arial" w:hAnsi="Arial" w:cs="Arial"/>
          <w:sz w:val="24"/>
          <w:szCs w:val="24"/>
        </w:rPr>
        <w:t>.</w:t>
      </w:r>
    </w:p>
    <w:p w14:paraId="060C18BD" w14:textId="77777777" w:rsidR="00F015F7" w:rsidRDefault="00F015F7" w:rsidP="000B71EF">
      <w:pPr>
        <w:spacing w:after="0" w:line="360" w:lineRule="auto"/>
        <w:rPr>
          <w:rFonts w:ascii="Arial" w:hAnsi="Arial" w:cs="Arial"/>
          <w:sz w:val="24"/>
          <w:szCs w:val="24"/>
        </w:rPr>
      </w:pPr>
    </w:p>
    <w:p w14:paraId="191DC1E3" w14:textId="77777777" w:rsidR="0068424F" w:rsidRDefault="00204028" w:rsidP="000B71EF">
      <w:pPr>
        <w:spacing w:after="0" w:line="360" w:lineRule="auto"/>
        <w:rPr>
          <w:rFonts w:ascii="Arial" w:hAnsi="Arial" w:cs="Arial"/>
          <w:sz w:val="24"/>
          <w:szCs w:val="24"/>
        </w:rPr>
      </w:pPr>
      <w:r>
        <w:rPr>
          <w:rFonts w:ascii="Arial" w:hAnsi="Arial" w:cs="Arial"/>
          <w:sz w:val="24"/>
          <w:szCs w:val="24"/>
        </w:rPr>
        <w:t>We illustrate these issues using results for the primary endpoint, 6 month change in systolic blood pressure (S</w:t>
      </w:r>
      <w:r w:rsidR="0068424F">
        <w:rPr>
          <w:rFonts w:ascii="Arial" w:hAnsi="Arial" w:cs="Arial"/>
          <w:sz w:val="24"/>
          <w:szCs w:val="24"/>
        </w:rPr>
        <w:t>BP) in the SYMPLICITY</w:t>
      </w:r>
      <w:r w:rsidR="00774119">
        <w:rPr>
          <w:rFonts w:ascii="Arial" w:hAnsi="Arial" w:cs="Arial"/>
          <w:sz w:val="24"/>
          <w:szCs w:val="24"/>
        </w:rPr>
        <w:t xml:space="preserve"> HTN-</w:t>
      </w:r>
      <w:r w:rsidR="0068424F">
        <w:rPr>
          <w:rFonts w:ascii="Arial" w:hAnsi="Arial" w:cs="Arial"/>
          <w:sz w:val="24"/>
          <w:szCs w:val="24"/>
        </w:rPr>
        <w:t>3 trial</w:t>
      </w:r>
      <w:r w:rsidR="00E55F9A">
        <w:rPr>
          <w:rFonts w:ascii="Arial" w:hAnsi="Arial" w:cs="Arial"/>
          <w:sz w:val="24"/>
          <w:szCs w:val="24"/>
        </w:rPr>
        <w:t xml:space="preserve"> </w:t>
      </w:r>
      <w:r w:rsidR="00091918">
        <w:rPr>
          <w:rFonts w:ascii="Arial" w:hAnsi="Arial" w:cs="Arial"/>
          <w:sz w:val="24"/>
          <w:szCs w:val="24"/>
        </w:rPr>
        <w:fldChar w:fldCharType="begin"/>
      </w:r>
      <w:r w:rsidR="006C412F">
        <w:rPr>
          <w:rFonts w:ascii="Arial" w:hAnsi="Arial" w:cs="Arial"/>
          <w:sz w:val="24"/>
          <w:szCs w:val="24"/>
        </w:rPr>
        <w:instrText xml:space="preserve"> ADDIN EN.CITE &lt;EndNote&gt;&lt;Cite&gt;&lt;Author&gt;Bhatt&lt;/Author&gt;&lt;Year&gt;2014&lt;/Year&gt;&lt;RecNum&gt;18&lt;/RecNum&gt;&lt;DisplayText&gt;(17)&lt;/DisplayText&gt;&lt;record&gt;&lt;rec-number&gt;18&lt;/rec-number&gt;&lt;foreign-keys&gt;&lt;key app="EN" db-id="eaz5sewevp5dfxewrdrvzv52xsv2tsf22rzr"&gt;18&lt;/key&gt;&lt;/foreign-keys&gt;&lt;ref-type name="Journal Article"&gt;17&lt;/ref-type&gt;&lt;contributors&gt;&lt;authors&gt;&lt;author&gt;Bhatt, Deepak L.&lt;/author&gt;&lt;author&gt;Kandzari, David E.&lt;/author&gt;&lt;author&gt;O&amp;apos;Neill, William W.&lt;/author&gt;&lt;author&gt;D&amp;apos;Agostino, Ralph&lt;/author&gt;&lt;author&gt;Flack, John M.&lt;/author&gt;&lt;author&gt;Katzen, Barry T.&lt;/author&gt;&lt;author&gt;Leon, Martin B.&lt;/author&gt;&lt;author&gt;Liu, Minglei&lt;/author&gt;&lt;author&gt;Mauri, Laura&lt;/author&gt;&lt;author&gt;Negoita, Manuela&lt;/author&gt;&lt;author&gt;Cohen, Sidney A.&lt;/author&gt;&lt;author&gt;Oparil, Suzanne&lt;/author&gt;&lt;author&gt;Rocha-Singh, Krishna&lt;/author&gt;&lt;author&gt;Townsend, Raymond R.&lt;/author&gt;&lt;author&gt;Bakris, George L.&lt;/author&gt;&lt;/authors&gt;&lt;/contributors&gt;&lt;titles&gt;&lt;title&gt;A Controlled Trial of Renal Denervation for Resistant Hypertension&lt;/title&gt;&lt;secondary-title&gt;New England Journal of Medicine&lt;/secondary-title&gt;&lt;/titles&gt;&lt;periodical&gt;&lt;full-title&gt;New England Journal of Medicine&lt;/full-title&gt;&lt;/periodical&gt;&lt;pages&gt;1393-1401&lt;/pages&gt;&lt;volume&gt;370&lt;/volume&gt;&lt;number&gt;15&lt;/number&gt;&lt;dates&gt;&lt;year&gt;2014&lt;/year&gt;&lt;/dates&gt;&lt;accession-num&gt;24678939&lt;/accession-num&gt;&lt;call-num&gt;12&lt;/call-num&gt;&lt;urls&gt;&lt;related-urls&gt;&lt;url&gt;http://www.nejm.org/doi/full/10.1056/NEJMoa1402670&lt;/url&gt;&lt;/related-urls&gt;&lt;/urls&gt;&lt;electronic-resource-num&gt;doi:10.1056/NEJMoa1402670&lt;/electronic-resource-num&gt;&lt;/record&gt;&lt;/Cite&gt;&lt;/EndNote&gt;</w:instrText>
      </w:r>
      <w:r w:rsidR="00091918">
        <w:rPr>
          <w:rFonts w:ascii="Arial" w:hAnsi="Arial" w:cs="Arial"/>
          <w:sz w:val="24"/>
          <w:szCs w:val="24"/>
        </w:rPr>
        <w:fldChar w:fldCharType="separate"/>
      </w:r>
      <w:r w:rsidR="006C412F">
        <w:rPr>
          <w:rFonts w:ascii="Arial" w:hAnsi="Arial" w:cs="Arial"/>
          <w:noProof/>
          <w:sz w:val="24"/>
          <w:szCs w:val="24"/>
        </w:rPr>
        <w:t>(</w:t>
      </w:r>
      <w:hyperlink w:anchor="_ENREF_17" w:tooltip="Bhatt, 2014 #18" w:history="1">
        <w:r w:rsidR="00C06C90">
          <w:rPr>
            <w:rFonts w:ascii="Arial" w:hAnsi="Arial" w:cs="Arial"/>
            <w:noProof/>
            <w:sz w:val="24"/>
            <w:szCs w:val="24"/>
          </w:rPr>
          <w:t>17</w:t>
        </w:r>
      </w:hyperlink>
      <w:r w:rsidR="006C412F">
        <w:rPr>
          <w:rFonts w:ascii="Arial" w:hAnsi="Arial" w:cs="Arial"/>
          <w:noProof/>
          <w:sz w:val="24"/>
          <w:szCs w:val="24"/>
        </w:rPr>
        <w:t>)</w:t>
      </w:r>
      <w:r w:rsidR="00091918">
        <w:rPr>
          <w:rFonts w:ascii="Arial" w:hAnsi="Arial" w:cs="Arial"/>
          <w:sz w:val="24"/>
          <w:szCs w:val="24"/>
        </w:rPr>
        <w:fldChar w:fldCharType="end"/>
      </w:r>
      <w:r w:rsidR="0068424F">
        <w:rPr>
          <w:rFonts w:ascii="Arial" w:hAnsi="Arial" w:cs="Arial"/>
          <w:sz w:val="24"/>
          <w:szCs w:val="24"/>
        </w:rPr>
        <w:t xml:space="preserve"> comparing renal denervation with a sham procedure in a 2:1 randomisation, N=350 and 169 </w:t>
      </w:r>
      <w:r w:rsidR="00F015F7">
        <w:rPr>
          <w:rFonts w:ascii="Arial" w:hAnsi="Arial" w:cs="Arial"/>
          <w:sz w:val="24"/>
          <w:szCs w:val="24"/>
        </w:rPr>
        <w:t xml:space="preserve">patients </w:t>
      </w:r>
      <w:r w:rsidR="0068424F">
        <w:rPr>
          <w:rFonts w:ascii="Arial" w:hAnsi="Arial" w:cs="Arial"/>
          <w:sz w:val="24"/>
          <w:szCs w:val="24"/>
        </w:rPr>
        <w:t>for renal denervation and sham respectively</w:t>
      </w:r>
      <w:r w:rsidR="00D466EA">
        <w:rPr>
          <w:rFonts w:ascii="Arial" w:hAnsi="Arial" w:cs="Arial"/>
          <w:sz w:val="24"/>
          <w:szCs w:val="24"/>
        </w:rPr>
        <w:t xml:space="preserve"> (T</w:t>
      </w:r>
      <w:r w:rsidR="006E0687">
        <w:rPr>
          <w:rFonts w:ascii="Arial" w:hAnsi="Arial" w:cs="Arial"/>
          <w:sz w:val="24"/>
          <w:szCs w:val="24"/>
        </w:rPr>
        <w:t>able 4</w:t>
      </w:r>
      <w:r w:rsidR="00D466EA">
        <w:rPr>
          <w:rFonts w:ascii="Arial" w:hAnsi="Arial" w:cs="Arial"/>
          <w:sz w:val="24"/>
          <w:szCs w:val="24"/>
        </w:rPr>
        <w:t>).</w:t>
      </w:r>
    </w:p>
    <w:p w14:paraId="25A3CFEC" w14:textId="77777777" w:rsidR="0068424F" w:rsidRDefault="0068424F" w:rsidP="000B71EF">
      <w:pPr>
        <w:spacing w:after="0" w:line="360" w:lineRule="auto"/>
        <w:rPr>
          <w:rFonts w:ascii="Arial" w:hAnsi="Arial" w:cs="Arial"/>
          <w:sz w:val="24"/>
          <w:szCs w:val="24"/>
        </w:rPr>
      </w:pPr>
    </w:p>
    <w:p w14:paraId="186C5BE4" w14:textId="77777777" w:rsidR="006E0687" w:rsidRDefault="006E0687" w:rsidP="000B71EF">
      <w:pPr>
        <w:spacing w:after="0" w:line="360" w:lineRule="auto"/>
        <w:rPr>
          <w:rFonts w:ascii="Arial" w:hAnsi="Arial" w:cs="Arial"/>
          <w:sz w:val="24"/>
          <w:szCs w:val="24"/>
        </w:rPr>
      </w:pPr>
    </w:p>
    <w:p w14:paraId="100DF46D" w14:textId="77777777" w:rsidR="002259DB" w:rsidRDefault="0068424F" w:rsidP="000B71EF">
      <w:pPr>
        <w:spacing w:after="0" w:line="360" w:lineRule="auto"/>
        <w:rPr>
          <w:rFonts w:ascii="Arial" w:hAnsi="Arial" w:cs="Arial"/>
          <w:sz w:val="24"/>
          <w:szCs w:val="24"/>
        </w:rPr>
      </w:pPr>
      <w:r>
        <w:rPr>
          <w:rFonts w:ascii="Arial" w:hAnsi="Arial" w:cs="Arial"/>
          <w:sz w:val="24"/>
          <w:szCs w:val="24"/>
        </w:rPr>
        <w:t>First, note the</w:t>
      </w:r>
      <w:r w:rsidR="00F015F7">
        <w:rPr>
          <w:rFonts w:ascii="Arial" w:hAnsi="Arial" w:cs="Arial"/>
          <w:sz w:val="24"/>
          <w:szCs w:val="24"/>
        </w:rPr>
        <w:t xml:space="preserve"> relatively</w:t>
      </w:r>
      <w:r>
        <w:rPr>
          <w:rFonts w:ascii="Arial" w:hAnsi="Arial" w:cs="Arial"/>
          <w:sz w:val="24"/>
          <w:szCs w:val="24"/>
        </w:rPr>
        <w:t xml:space="preserve"> poor showing of an analysis of the 6 month SBP only, ignoring baseline</w:t>
      </w:r>
      <w:r w:rsidR="00774119">
        <w:rPr>
          <w:rFonts w:ascii="Arial" w:hAnsi="Arial" w:cs="Arial"/>
          <w:sz w:val="24"/>
          <w:szCs w:val="24"/>
        </w:rPr>
        <w:t>: t</w:t>
      </w:r>
      <w:r>
        <w:rPr>
          <w:rFonts w:ascii="Arial" w:hAnsi="Arial" w:cs="Arial"/>
          <w:sz w:val="24"/>
          <w:szCs w:val="24"/>
        </w:rPr>
        <w:t>his fails to account f</w:t>
      </w:r>
      <w:r w:rsidR="00774119">
        <w:rPr>
          <w:rFonts w:ascii="Arial" w:hAnsi="Arial" w:cs="Arial"/>
          <w:sz w:val="24"/>
          <w:szCs w:val="24"/>
        </w:rPr>
        <w:t>or</w:t>
      </w:r>
      <w:r>
        <w:rPr>
          <w:rFonts w:ascii="Arial" w:hAnsi="Arial" w:cs="Arial"/>
          <w:sz w:val="24"/>
          <w:szCs w:val="24"/>
        </w:rPr>
        <w:t xml:space="preserve"> the marked variation in patients’ baseline blood pressure, and hence</w:t>
      </w:r>
      <w:r w:rsidR="000E2622">
        <w:rPr>
          <w:rFonts w:ascii="Arial" w:hAnsi="Arial" w:cs="Arial"/>
          <w:sz w:val="24"/>
          <w:szCs w:val="24"/>
        </w:rPr>
        <w:t xml:space="preserve"> yields a wide</w:t>
      </w:r>
      <w:r w:rsidR="00774119">
        <w:rPr>
          <w:rFonts w:ascii="Arial" w:hAnsi="Arial" w:cs="Arial"/>
          <w:sz w:val="24"/>
          <w:szCs w:val="24"/>
        </w:rPr>
        <w:t>r</w:t>
      </w:r>
      <w:r w:rsidR="000E2622">
        <w:rPr>
          <w:rFonts w:ascii="Arial" w:hAnsi="Arial" w:cs="Arial"/>
          <w:sz w:val="24"/>
          <w:szCs w:val="24"/>
        </w:rPr>
        <w:t xml:space="preserve"> 95% CI. The comparison of the two analyses of mean changes, with and without adjustment for baseline, is more subtle. Results are fairly similar but it is statistically inevitable that ANCOVA produces a slightly more precise estimate of the treatment effect, </w:t>
      </w:r>
      <w:proofErr w:type="spellStart"/>
      <w:r w:rsidR="000E2622">
        <w:rPr>
          <w:rFonts w:ascii="Arial" w:hAnsi="Arial" w:cs="Arial"/>
          <w:sz w:val="24"/>
          <w:szCs w:val="24"/>
        </w:rPr>
        <w:t>ie</w:t>
      </w:r>
      <w:proofErr w:type="spellEnd"/>
      <w:r w:rsidR="000E2622">
        <w:rPr>
          <w:rFonts w:ascii="Arial" w:hAnsi="Arial" w:cs="Arial"/>
          <w:sz w:val="24"/>
          <w:szCs w:val="24"/>
        </w:rPr>
        <w:t>. its 95% CI is a bit tighter</w:t>
      </w:r>
      <w:r w:rsidR="00E55F9A">
        <w:rPr>
          <w:rFonts w:ascii="Arial" w:hAnsi="Arial" w:cs="Arial"/>
          <w:sz w:val="24"/>
          <w:szCs w:val="24"/>
        </w:rPr>
        <w:t xml:space="preserve"> </w:t>
      </w:r>
      <w:r w:rsidR="00091918">
        <w:rPr>
          <w:rFonts w:ascii="Arial" w:hAnsi="Arial" w:cs="Arial"/>
          <w:sz w:val="24"/>
          <w:szCs w:val="24"/>
        </w:rPr>
        <w:fldChar w:fldCharType="begin"/>
      </w:r>
      <w:r w:rsidR="006C412F">
        <w:rPr>
          <w:rFonts w:ascii="Arial" w:hAnsi="Arial" w:cs="Arial"/>
          <w:sz w:val="24"/>
          <w:szCs w:val="24"/>
        </w:rPr>
        <w:instrText xml:space="preserve"> ADDIN EN.CITE &lt;EndNote&gt;&lt;Cite&gt;&lt;Author&gt;Senn&lt;/Author&gt;&lt;Year&gt;2006&lt;/Year&gt;&lt;RecNum&gt;25&lt;/RecNum&gt;&lt;DisplayText&gt;(18)&lt;/DisplayText&gt;&lt;record&gt;&lt;rec-number&gt;25&lt;/rec-number&gt;&lt;foreign-keys&gt;&lt;key app="EN" db-id="eaz5sewevp5dfxewrdrvzv52xsv2tsf22rzr"&gt;25&lt;/key&gt;&lt;/foreign-keys&gt;&lt;ref-type name="Journal Article"&gt;17&lt;/ref-type&gt;&lt;contributors&gt;&lt;authors&gt;&lt;author&gt;Senn, Stephen&lt;/author&gt;&lt;/authors&gt;&lt;/contributors&gt;&lt;titles&gt;&lt;title&gt;Change from baseline and analysis of covariance revisited&lt;/title&gt;&lt;secondary-title&gt;Statistics in Medicine&lt;/secondary-title&gt;&lt;/titles&gt;&lt;periodical&gt;&lt;full-title&gt;Statistics in Medicine&lt;/full-title&gt;&lt;/periodical&gt;&lt;pages&gt;4334-4344&lt;/pages&gt;&lt;volume&gt;25&lt;/volume&gt;&lt;number&gt;24&lt;/number&gt;&lt;keywords&gt;&lt;keyword&gt;change score&lt;/keyword&gt;&lt;keyword&gt;analysis of covariance&lt;/keyword&gt;&lt;keyword&gt;Lord&amp;apos;s paradox&lt;/keyword&gt;&lt;keyword&gt;repeated measures&lt;/keyword&gt;&lt;keyword&gt;baselines&lt;/keyword&gt;&lt;/keywords&gt;&lt;dates&gt;&lt;year&gt;2006&lt;/year&gt;&lt;/dates&gt;&lt;publisher&gt;John Wiley &amp;amp; Sons, Ltd.&lt;/publisher&gt;&lt;isbn&gt;1097-0258&lt;/isbn&gt;&lt;call-num&gt;13&lt;/call-num&gt;&lt;urls&gt;&lt;related-urls&gt;&lt;url&gt;http://dx.doi.org/10.1002/sim.2682&lt;/url&gt;&lt;/related-urls&gt;&lt;/urls&gt;&lt;electronic-resource-num&gt;10.1002/sim.2682&lt;/electronic-resource-num&gt;&lt;/record&gt;&lt;/Cite&gt;&lt;/EndNote&gt;</w:instrText>
      </w:r>
      <w:r w:rsidR="00091918">
        <w:rPr>
          <w:rFonts w:ascii="Arial" w:hAnsi="Arial" w:cs="Arial"/>
          <w:sz w:val="24"/>
          <w:szCs w:val="24"/>
        </w:rPr>
        <w:fldChar w:fldCharType="separate"/>
      </w:r>
      <w:r w:rsidR="006C412F">
        <w:rPr>
          <w:rFonts w:ascii="Arial" w:hAnsi="Arial" w:cs="Arial"/>
          <w:noProof/>
          <w:sz w:val="24"/>
          <w:szCs w:val="24"/>
        </w:rPr>
        <w:t>(</w:t>
      </w:r>
      <w:hyperlink w:anchor="_ENREF_18" w:tooltip="Senn, 2006 #25" w:history="1">
        <w:r w:rsidR="00C06C90">
          <w:rPr>
            <w:rFonts w:ascii="Arial" w:hAnsi="Arial" w:cs="Arial"/>
            <w:noProof/>
            <w:sz w:val="24"/>
            <w:szCs w:val="24"/>
          </w:rPr>
          <w:t>18</w:t>
        </w:r>
      </w:hyperlink>
      <w:r w:rsidR="006C412F">
        <w:rPr>
          <w:rFonts w:ascii="Arial" w:hAnsi="Arial" w:cs="Arial"/>
          <w:noProof/>
          <w:sz w:val="24"/>
          <w:szCs w:val="24"/>
        </w:rPr>
        <w:t>)</w:t>
      </w:r>
      <w:r w:rsidR="00091918">
        <w:rPr>
          <w:rFonts w:ascii="Arial" w:hAnsi="Arial" w:cs="Arial"/>
          <w:sz w:val="24"/>
          <w:szCs w:val="24"/>
        </w:rPr>
        <w:fldChar w:fldCharType="end"/>
      </w:r>
      <w:r w:rsidR="000E2622">
        <w:rPr>
          <w:rFonts w:ascii="Arial" w:hAnsi="Arial" w:cs="Arial"/>
          <w:sz w:val="24"/>
          <w:szCs w:val="24"/>
        </w:rPr>
        <w:t>. Even</w:t>
      </w:r>
      <w:r w:rsidR="001B326C">
        <w:rPr>
          <w:rFonts w:ascii="Arial" w:hAnsi="Arial" w:cs="Arial"/>
          <w:sz w:val="24"/>
          <w:szCs w:val="24"/>
        </w:rPr>
        <w:t xml:space="preserve"> so, in this case the 95% CI still includes zero treatment difference, meaning that </w:t>
      </w:r>
      <w:r w:rsidR="00A907B2">
        <w:rPr>
          <w:rFonts w:ascii="Arial" w:hAnsi="Arial" w:cs="Arial"/>
          <w:sz w:val="24"/>
          <w:szCs w:val="24"/>
        </w:rPr>
        <w:t xml:space="preserve">there is insufficient evidence that </w:t>
      </w:r>
      <w:r w:rsidR="001B326C">
        <w:rPr>
          <w:rFonts w:ascii="Arial" w:hAnsi="Arial" w:cs="Arial"/>
          <w:sz w:val="24"/>
          <w:szCs w:val="24"/>
        </w:rPr>
        <w:t>renal denervation lowers SBP in this population.</w:t>
      </w:r>
    </w:p>
    <w:p w14:paraId="0266AEBA" w14:textId="77777777" w:rsidR="00A907B2" w:rsidRDefault="00A907B2" w:rsidP="000B71EF">
      <w:pPr>
        <w:spacing w:after="0" w:line="360" w:lineRule="auto"/>
        <w:rPr>
          <w:rFonts w:ascii="Arial" w:hAnsi="Arial" w:cs="Arial"/>
          <w:sz w:val="24"/>
          <w:szCs w:val="24"/>
        </w:rPr>
      </w:pPr>
    </w:p>
    <w:p w14:paraId="3849C0BB" w14:textId="745C8E22" w:rsidR="001B326C" w:rsidRDefault="001B326C" w:rsidP="000B71EF">
      <w:pPr>
        <w:spacing w:after="0" w:line="360" w:lineRule="auto"/>
        <w:rPr>
          <w:rFonts w:ascii="Arial" w:hAnsi="Arial" w:cs="Arial"/>
          <w:sz w:val="24"/>
          <w:szCs w:val="24"/>
        </w:rPr>
      </w:pPr>
      <w:r>
        <w:rPr>
          <w:rFonts w:ascii="Arial" w:hAnsi="Arial" w:cs="Arial"/>
          <w:sz w:val="24"/>
          <w:szCs w:val="24"/>
        </w:rPr>
        <w:t xml:space="preserve">What ANCOVA is doing is illustrated in Figure </w:t>
      </w:r>
      <w:r w:rsidR="00C06C90">
        <w:rPr>
          <w:rFonts w:ascii="Arial" w:hAnsi="Arial" w:cs="Arial"/>
          <w:sz w:val="24"/>
          <w:szCs w:val="24"/>
        </w:rPr>
        <w:t>6</w:t>
      </w:r>
      <w:r>
        <w:rPr>
          <w:rFonts w:ascii="Arial" w:hAnsi="Arial" w:cs="Arial"/>
          <w:sz w:val="24"/>
          <w:szCs w:val="24"/>
        </w:rPr>
        <w:t>, which plots individual 6 month change in SBP by baseline SBP using different symbols for the two treatment groups.</w:t>
      </w:r>
      <w:r w:rsidR="00A907B2">
        <w:rPr>
          <w:rFonts w:ascii="Arial" w:hAnsi="Arial" w:cs="Arial"/>
          <w:sz w:val="24"/>
          <w:szCs w:val="24"/>
        </w:rPr>
        <w:t xml:space="preserve"> </w:t>
      </w:r>
      <w:r>
        <w:rPr>
          <w:rFonts w:ascii="Arial" w:hAnsi="Arial" w:cs="Arial"/>
          <w:sz w:val="24"/>
          <w:szCs w:val="24"/>
        </w:rPr>
        <w:t xml:space="preserve">The two drawn parallel regression lines show the anticipated regression to the mean, </w:t>
      </w:r>
      <w:proofErr w:type="spellStart"/>
      <w:r>
        <w:rPr>
          <w:rFonts w:ascii="Arial" w:hAnsi="Arial" w:cs="Arial"/>
          <w:sz w:val="24"/>
          <w:szCs w:val="24"/>
        </w:rPr>
        <w:t>ie</w:t>
      </w:r>
      <w:proofErr w:type="spellEnd"/>
      <w:r>
        <w:rPr>
          <w:rFonts w:ascii="Arial" w:hAnsi="Arial" w:cs="Arial"/>
          <w:sz w:val="24"/>
          <w:szCs w:val="24"/>
        </w:rPr>
        <w:t xml:space="preserve">. </w:t>
      </w:r>
      <w:proofErr w:type="gramStart"/>
      <w:r>
        <w:rPr>
          <w:rFonts w:ascii="Arial" w:hAnsi="Arial" w:cs="Arial"/>
          <w:sz w:val="24"/>
          <w:szCs w:val="24"/>
        </w:rPr>
        <w:t>patients</w:t>
      </w:r>
      <w:proofErr w:type="gramEnd"/>
      <w:r>
        <w:rPr>
          <w:rFonts w:ascii="Arial" w:hAnsi="Arial" w:cs="Arial"/>
          <w:sz w:val="24"/>
          <w:szCs w:val="24"/>
        </w:rPr>
        <w:t xml:space="preserve"> near to the minimum eligible baseline SBP of 160 mmHg have (in both treatment groups) a tendency to have </w:t>
      </w:r>
      <w:r w:rsidR="00774119">
        <w:rPr>
          <w:rFonts w:ascii="Arial" w:hAnsi="Arial" w:cs="Arial"/>
          <w:sz w:val="24"/>
          <w:szCs w:val="24"/>
        </w:rPr>
        <w:t xml:space="preserve">less </w:t>
      </w:r>
      <w:r>
        <w:rPr>
          <w:rFonts w:ascii="Arial" w:hAnsi="Arial" w:cs="Arial"/>
          <w:sz w:val="24"/>
          <w:szCs w:val="24"/>
        </w:rPr>
        <w:t>blood pressure reduction compared with those starting at higher levels. The vertical distance between the two regression lines is 4.</w:t>
      </w:r>
      <w:r w:rsidR="00A907B2">
        <w:rPr>
          <w:rFonts w:ascii="Arial" w:hAnsi="Arial" w:cs="Arial"/>
          <w:sz w:val="24"/>
          <w:szCs w:val="24"/>
        </w:rPr>
        <w:t>11</w:t>
      </w:r>
      <w:r>
        <w:rPr>
          <w:rFonts w:ascii="Arial" w:hAnsi="Arial" w:cs="Arial"/>
          <w:sz w:val="24"/>
          <w:szCs w:val="24"/>
        </w:rPr>
        <w:t xml:space="preserve"> mmHg, the mean treatment effect adjusted for baseline. Note this kind of scatter diagram is a useful reminder as to the huge individual variation i</w:t>
      </w:r>
      <w:r w:rsidR="00DC740E">
        <w:rPr>
          <w:rFonts w:ascii="Arial" w:hAnsi="Arial" w:cs="Arial"/>
          <w:sz w:val="24"/>
          <w:szCs w:val="24"/>
        </w:rPr>
        <w:t>n</w:t>
      </w:r>
      <w:r>
        <w:rPr>
          <w:rFonts w:ascii="Arial" w:hAnsi="Arial" w:cs="Arial"/>
          <w:sz w:val="24"/>
          <w:szCs w:val="24"/>
        </w:rPr>
        <w:t xml:space="preserve"> </w:t>
      </w:r>
      <w:r>
        <w:rPr>
          <w:rFonts w:ascii="Arial" w:hAnsi="Arial" w:cs="Arial"/>
          <w:sz w:val="24"/>
          <w:szCs w:val="24"/>
        </w:rPr>
        <w:lastRenderedPageBreak/>
        <w:t>SBP over time (with or without treatment) which is why we need clinical trials of several hundred patients in order to detect realistic treatment effects.</w:t>
      </w:r>
    </w:p>
    <w:p w14:paraId="00739165" w14:textId="77777777" w:rsidR="00774119" w:rsidRDefault="00774119" w:rsidP="000B71EF">
      <w:pPr>
        <w:spacing w:after="0" w:line="360" w:lineRule="auto"/>
        <w:rPr>
          <w:rFonts w:ascii="Arial" w:hAnsi="Arial" w:cs="Arial"/>
          <w:sz w:val="24"/>
          <w:szCs w:val="24"/>
        </w:rPr>
      </w:pPr>
    </w:p>
    <w:p w14:paraId="6C9D706F" w14:textId="77777777" w:rsidR="00774119" w:rsidRDefault="00774119" w:rsidP="000B71EF">
      <w:pPr>
        <w:spacing w:after="0" w:line="360" w:lineRule="auto"/>
        <w:rPr>
          <w:rFonts w:ascii="Arial" w:hAnsi="Arial" w:cs="Arial"/>
          <w:sz w:val="24"/>
          <w:szCs w:val="24"/>
        </w:rPr>
      </w:pPr>
      <w:r>
        <w:rPr>
          <w:rFonts w:ascii="Arial" w:hAnsi="Arial" w:cs="Arial"/>
          <w:sz w:val="24"/>
          <w:szCs w:val="24"/>
        </w:rPr>
        <w:t xml:space="preserve">One issue is whether to choose absolute change (as here) or percentage change from baseline. Statistically, it depends which gives the better model fit using ANCOVA. </w:t>
      </w:r>
    </w:p>
    <w:p w14:paraId="6EEF3A9F" w14:textId="77777777" w:rsidR="00A907B2" w:rsidRDefault="00A907B2" w:rsidP="000B71EF">
      <w:pPr>
        <w:spacing w:after="0" w:line="360" w:lineRule="auto"/>
        <w:rPr>
          <w:rFonts w:ascii="Arial" w:hAnsi="Arial" w:cs="Arial"/>
          <w:sz w:val="24"/>
          <w:szCs w:val="24"/>
        </w:rPr>
      </w:pPr>
    </w:p>
    <w:p w14:paraId="6AA8EB82" w14:textId="1DC595D4" w:rsidR="001B326C" w:rsidRDefault="001B326C" w:rsidP="000B71EF">
      <w:pPr>
        <w:spacing w:after="0" w:line="360" w:lineRule="auto"/>
        <w:rPr>
          <w:rFonts w:ascii="Arial" w:hAnsi="Arial" w:cs="Arial"/>
          <w:sz w:val="24"/>
          <w:szCs w:val="24"/>
        </w:rPr>
      </w:pPr>
      <w:r>
        <w:rPr>
          <w:rFonts w:ascii="Arial" w:hAnsi="Arial" w:cs="Arial"/>
          <w:sz w:val="24"/>
          <w:szCs w:val="24"/>
        </w:rPr>
        <w:t>When a quantitative outcome is measured repeatedly over time at planned visit</w:t>
      </w:r>
      <w:r w:rsidR="00A907B2">
        <w:rPr>
          <w:rFonts w:ascii="Arial" w:hAnsi="Arial" w:cs="Arial"/>
          <w:sz w:val="24"/>
          <w:szCs w:val="24"/>
        </w:rPr>
        <w:t>s</w:t>
      </w:r>
      <w:r>
        <w:rPr>
          <w:rFonts w:ascii="Arial" w:hAnsi="Arial" w:cs="Arial"/>
          <w:sz w:val="24"/>
          <w:szCs w:val="24"/>
        </w:rPr>
        <w:t xml:space="preserve"> there are various options for statistical analysis, depending on what estimate of treatment effect one wishes to focus</w:t>
      </w:r>
      <w:r w:rsidR="00A907B2">
        <w:rPr>
          <w:rFonts w:ascii="Arial" w:hAnsi="Arial" w:cs="Arial"/>
          <w:sz w:val="24"/>
          <w:szCs w:val="24"/>
        </w:rPr>
        <w:t xml:space="preserve"> on</w:t>
      </w:r>
      <w:r>
        <w:rPr>
          <w:rFonts w:ascii="Arial" w:hAnsi="Arial" w:cs="Arial"/>
          <w:sz w:val="24"/>
          <w:szCs w:val="24"/>
        </w:rPr>
        <w:t xml:space="preserve">. It could be 1) the mean treatment difference </w:t>
      </w:r>
      <w:r w:rsidR="00A907B2">
        <w:rPr>
          <w:rFonts w:ascii="Arial" w:hAnsi="Arial" w:cs="Arial"/>
          <w:sz w:val="24"/>
          <w:szCs w:val="24"/>
        </w:rPr>
        <w:t>a</w:t>
      </w:r>
      <w:r>
        <w:rPr>
          <w:rFonts w:ascii="Arial" w:hAnsi="Arial" w:cs="Arial"/>
          <w:sz w:val="24"/>
          <w:szCs w:val="24"/>
        </w:rPr>
        <w:t>veraged over time as in the PARADIGM</w:t>
      </w:r>
      <w:r w:rsidR="00AB4DCA">
        <w:rPr>
          <w:rFonts w:ascii="Arial" w:hAnsi="Arial" w:cs="Arial"/>
          <w:sz w:val="24"/>
          <w:szCs w:val="24"/>
        </w:rPr>
        <w:t>-HF</w:t>
      </w:r>
      <w:r>
        <w:rPr>
          <w:rFonts w:ascii="Arial" w:hAnsi="Arial" w:cs="Arial"/>
          <w:sz w:val="24"/>
          <w:szCs w:val="24"/>
        </w:rPr>
        <w:t xml:space="preserve"> trial</w:t>
      </w:r>
      <w:r w:rsidR="00E55F9A">
        <w:rPr>
          <w:rFonts w:ascii="Arial" w:hAnsi="Arial" w:cs="Arial"/>
          <w:sz w:val="24"/>
          <w:szCs w:val="24"/>
        </w:rPr>
        <w:t xml:space="preserve"> </w:t>
      </w:r>
      <w:r w:rsidR="00AB4DCA">
        <w:rPr>
          <w:rFonts w:ascii="Arial" w:hAnsi="Arial" w:cs="Arial"/>
          <w:sz w:val="24"/>
          <w:szCs w:val="24"/>
        </w:rPr>
        <w:fldChar w:fldCharType="begin"/>
      </w:r>
      <w:r w:rsidR="00AB4DCA">
        <w:rPr>
          <w:rFonts w:ascii="Arial" w:hAnsi="Arial" w:cs="Arial"/>
          <w:sz w:val="24"/>
          <w:szCs w:val="24"/>
        </w:rPr>
        <w:instrText xml:space="preserve"> ADDIN EN.CITE &lt;EndNote&gt;&lt;Cite&gt;&lt;Author&gt;McMurray&lt;/Author&gt;&lt;Year&gt;2014&lt;/Year&gt;&lt;RecNum&gt;8&lt;/RecNum&gt;&lt;DisplayText&gt;(1)&lt;/DisplayText&gt;&lt;record&gt;&lt;rec-number&gt;8&lt;/rec-number&gt;&lt;foreign-keys&gt;&lt;key app="EN" db-id="eaz5sewevp5dfxewrdrvzv52xsv2tsf22rzr"&gt;8&lt;/key&gt;&lt;/foreign-keys&gt;&lt;ref-type name="Journal Article"&gt;17&lt;/ref-type&gt;&lt;contributors&gt;&lt;authors&gt;&lt;author&gt;McMurray, John J.V.&lt;/author&gt;&lt;author&gt;Packer, Milton&lt;/author&gt;&lt;author&gt;Desai, Akshay S.&lt;/author&gt;&lt;author&gt;Gong, Jianjian&lt;/author&gt;&lt;author&gt;Lefkowitz, Martin P.&lt;/author&gt;&lt;author&gt;Rizkala, Adel R.&lt;/author&gt;&lt;author&gt;Rouleau, Jean L.&lt;/author&gt;&lt;author&gt;Shi, Victor C.&lt;/author&gt;&lt;author&gt;Solomon, Scott D.&lt;/author&gt;&lt;author&gt;Swedberg, Karl&lt;/author&gt;&lt;author&gt;Zile, Michael R.&lt;/author&gt;&lt;/authors&gt;&lt;/contributors&gt;&lt;titles&gt;&lt;title&gt;Angiotensin–Neprilysin Inhibition versus Enalapril in Heart Failure&lt;/title&gt;&lt;secondary-title&gt;New England Journal of Medicine&lt;/secondary-title&gt;&lt;/titles&gt;&lt;periodical&gt;&lt;full-title&gt;New England Journal of Medicine&lt;/full-title&gt;&lt;/periodical&gt;&lt;pages&gt;993-1004&lt;/pages&gt;&lt;volume&gt;371&lt;/volume&gt;&lt;number&gt;11&lt;/number&gt;&lt;dates&gt;&lt;year&gt;2014&lt;/year&gt;&lt;/dates&gt;&lt;accession-num&gt;25176015&lt;/accession-num&gt;&lt;call-num&gt;1&lt;/call-num&gt;&lt;urls&gt;&lt;related-urls&gt;&lt;url&gt;http://www.nejm.org/doi/full/10.1056/NEJMoa1409077&lt;/url&gt;&lt;/related-urls&gt;&lt;/urls&gt;&lt;electronic-resource-num&gt;doi:10.1056/NEJMoa1409077&lt;/electronic-resource-num&gt;&lt;/record&gt;&lt;/Cite&gt;&lt;/EndNote&gt;</w:instrText>
      </w:r>
      <w:r w:rsidR="00AB4DCA">
        <w:rPr>
          <w:rFonts w:ascii="Arial" w:hAnsi="Arial" w:cs="Arial"/>
          <w:sz w:val="24"/>
          <w:szCs w:val="24"/>
        </w:rPr>
        <w:fldChar w:fldCharType="separate"/>
      </w:r>
      <w:r w:rsidR="00AB4DCA">
        <w:rPr>
          <w:rFonts w:ascii="Arial" w:hAnsi="Arial" w:cs="Arial"/>
          <w:noProof/>
          <w:sz w:val="24"/>
          <w:szCs w:val="24"/>
        </w:rPr>
        <w:t>(</w:t>
      </w:r>
      <w:hyperlink w:anchor="_ENREF_1" w:tooltip="McMurray, 2014 #8" w:history="1">
        <w:r w:rsidR="00C06C90">
          <w:rPr>
            <w:rFonts w:ascii="Arial" w:hAnsi="Arial" w:cs="Arial"/>
            <w:noProof/>
            <w:sz w:val="24"/>
            <w:szCs w:val="24"/>
          </w:rPr>
          <w:t>1</w:t>
        </w:r>
      </w:hyperlink>
      <w:r w:rsidR="00AB4DCA">
        <w:rPr>
          <w:rFonts w:ascii="Arial" w:hAnsi="Arial" w:cs="Arial"/>
          <w:noProof/>
          <w:sz w:val="24"/>
          <w:szCs w:val="24"/>
        </w:rPr>
        <w:t>)</w:t>
      </w:r>
      <w:r w:rsidR="00AB4DCA">
        <w:rPr>
          <w:rFonts w:ascii="Arial" w:hAnsi="Arial" w:cs="Arial"/>
          <w:sz w:val="24"/>
          <w:szCs w:val="24"/>
        </w:rPr>
        <w:fldChar w:fldCharType="end"/>
      </w:r>
      <w:r>
        <w:rPr>
          <w:rFonts w:ascii="Arial" w:hAnsi="Arial" w:cs="Arial"/>
          <w:sz w:val="24"/>
          <w:szCs w:val="24"/>
        </w:rPr>
        <w:t xml:space="preserve"> SBP data in Figure </w:t>
      </w:r>
      <w:r w:rsidR="00A907B2">
        <w:rPr>
          <w:rFonts w:ascii="Arial" w:hAnsi="Arial" w:cs="Arial"/>
          <w:sz w:val="24"/>
          <w:szCs w:val="24"/>
        </w:rPr>
        <w:t>2</w:t>
      </w:r>
      <w:r>
        <w:rPr>
          <w:rFonts w:ascii="Arial" w:hAnsi="Arial" w:cs="Arial"/>
          <w:sz w:val="24"/>
          <w:szCs w:val="24"/>
        </w:rPr>
        <w:t xml:space="preserve"> or 2) the differing rates of decline (slopes) </w:t>
      </w:r>
      <w:r w:rsidR="004B6A9E">
        <w:rPr>
          <w:rFonts w:ascii="Arial" w:hAnsi="Arial" w:cs="Arial"/>
          <w:sz w:val="24"/>
          <w:szCs w:val="24"/>
        </w:rPr>
        <w:t xml:space="preserve">in say </w:t>
      </w:r>
      <w:r w:rsidR="003B2C70">
        <w:rPr>
          <w:rFonts w:ascii="Arial" w:hAnsi="Arial" w:cs="Arial"/>
          <w:sz w:val="24"/>
          <w:szCs w:val="24"/>
        </w:rPr>
        <w:t xml:space="preserve">forced expiratory volume </w:t>
      </w:r>
      <w:r w:rsidR="004B6A9E">
        <w:rPr>
          <w:rFonts w:ascii="Arial" w:hAnsi="Arial" w:cs="Arial"/>
          <w:sz w:val="24"/>
          <w:szCs w:val="24"/>
        </w:rPr>
        <w:t>in a study of deter</w:t>
      </w:r>
      <w:r w:rsidR="00091918">
        <w:rPr>
          <w:rFonts w:ascii="Arial" w:hAnsi="Arial" w:cs="Arial"/>
          <w:sz w:val="24"/>
          <w:szCs w:val="24"/>
        </w:rPr>
        <w:t>iorating respiratory function or</w:t>
      </w:r>
      <w:r w:rsidR="004B6A9E">
        <w:rPr>
          <w:rFonts w:ascii="Arial" w:hAnsi="Arial" w:cs="Arial"/>
          <w:sz w:val="24"/>
          <w:szCs w:val="24"/>
        </w:rPr>
        <w:t xml:space="preserve"> 3) a mean treatment effect at a specific point of follow-up, </w:t>
      </w:r>
      <w:proofErr w:type="spellStart"/>
      <w:r w:rsidR="004B6A9E">
        <w:rPr>
          <w:rFonts w:ascii="Arial" w:hAnsi="Arial" w:cs="Arial"/>
          <w:sz w:val="24"/>
          <w:szCs w:val="24"/>
        </w:rPr>
        <w:t>eg</w:t>
      </w:r>
      <w:proofErr w:type="spellEnd"/>
      <w:r w:rsidR="004B6A9E">
        <w:rPr>
          <w:rFonts w:ascii="Arial" w:hAnsi="Arial" w:cs="Arial"/>
          <w:sz w:val="24"/>
          <w:szCs w:val="24"/>
        </w:rPr>
        <w:t>. HbA1c at 18 months in a trial evaluating glycaemic efficacy of anti-diabetic drugs. In each case, the correlation structure in each within-patient trajectory is used in a repeated measures analysis, often with variation in the extent of patient follow-up, to provide the most valid estimate based on the totality of patient data.</w:t>
      </w:r>
    </w:p>
    <w:p w14:paraId="6D5FBCE8" w14:textId="77777777" w:rsidR="00A907B2" w:rsidRDefault="00A907B2" w:rsidP="000B71EF">
      <w:pPr>
        <w:spacing w:after="0" w:line="360" w:lineRule="auto"/>
        <w:rPr>
          <w:rFonts w:ascii="Arial" w:hAnsi="Arial" w:cs="Arial"/>
          <w:sz w:val="24"/>
          <w:szCs w:val="24"/>
        </w:rPr>
      </w:pPr>
    </w:p>
    <w:p w14:paraId="0CDEF297" w14:textId="77777777" w:rsidR="00AB30AE" w:rsidRDefault="004B6A9E" w:rsidP="000B71EF">
      <w:pPr>
        <w:spacing w:after="0" w:line="360" w:lineRule="auto"/>
        <w:rPr>
          <w:rFonts w:ascii="Arial" w:hAnsi="Arial" w:cs="Arial"/>
          <w:sz w:val="24"/>
          <w:szCs w:val="24"/>
        </w:rPr>
      </w:pPr>
      <w:r>
        <w:rPr>
          <w:rFonts w:ascii="Arial" w:hAnsi="Arial" w:cs="Arial"/>
          <w:sz w:val="24"/>
          <w:szCs w:val="24"/>
        </w:rPr>
        <w:t>Sometimes a quantitative outcome has a highly skew distribution so that a conventional analysis of means becomes u</w:t>
      </w:r>
      <w:r w:rsidR="003E6737">
        <w:rPr>
          <w:rFonts w:ascii="Arial" w:hAnsi="Arial" w:cs="Arial"/>
          <w:sz w:val="24"/>
          <w:szCs w:val="24"/>
        </w:rPr>
        <w:t>n</w:t>
      </w:r>
      <w:r w:rsidR="00A907B2">
        <w:rPr>
          <w:rFonts w:ascii="Arial" w:hAnsi="Arial" w:cs="Arial"/>
          <w:sz w:val="24"/>
          <w:szCs w:val="24"/>
        </w:rPr>
        <w:t>s</w:t>
      </w:r>
      <w:r>
        <w:rPr>
          <w:rFonts w:ascii="Arial" w:hAnsi="Arial" w:cs="Arial"/>
          <w:sz w:val="24"/>
          <w:szCs w:val="24"/>
        </w:rPr>
        <w:t xml:space="preserve">table because of its dependence on a few extreme values. Options then are 1) to use a suitable transformation, </w:t>
      </w:r>
      <w:proofErr w:type="spellStart"/>
      <w:r>
        <w:rPr>
          <w:rFonts w:ascii="Arial" w:hAnsi="Arial" w:cs="Arial"/>
          <w:sz w:val="24"/>
          <w:szCs w:val="24"/>
        </w:rPr>
        <w:t>eg</w:t>
      </w:r>
      <w:proofErr w:type="spellEnd"/>
      <w:r>
        <w:rPr>
          <w:rFonts w:ascii="Arial" w:hAnsi="Arial" w:cs="Arial"/>
          <w:sz w:val="24"/>
          <w:szCs w:val="24"/>
        </w:rPr>
        <w:t xml:space="preserve">. </w:t>
      </w:r>
      <w:proofErr w:type="gramStart"/>
      <w:r w:rsidR="00BA113A">
        <w:rPr>
          <w:rFonts w:ascii="Arial" w:hAnsi="Arial" w:cs="Arial"/>
          <w:sz w:val="24"/>
          <w:szCs w:val="24"/>
        </w:rPr>
        <w:t>natural</w:t>
      </w:r>
      <w:proofErr w:type="gramEnd"/>
      <w:r w:rsidR="00BA113A">
        <w:rPr>
          <w:rFonts w:ascii="Arial" w:hAnsi="Arial" w:cs="Arial"/>
          <w:sz w:val="24"/>
          <w:szCs w:val="24"/>
        </w:rPr>
        <w:t xml:space="preserve"> </w:t>
      </w:r>
      <w:r>
        <w:rPr>
          <w:rFonts w:ascii="Arial" w:hAnsi="Arial" w:cs="Arial"/>
          <w:sz w:val="24"/>
          <w:szCs w:val="24"/>
        </w:rPr>
        <w:t>log</w:t>
      </w:r>
      <w:r w:rsidR="00BA113A">
        <w:rPr>
          <w:rFonts w:ascii="Arial" w:hAnsi="Arial" w:cs="Arial"/>
          <w:sz w:val="24"/>
          <w:szCs w:val="24"/>
        </w:rPr>
        <w:t>arithm</w:t>
      </w:r>
      <w:r>
        <w:rPr>
          <w:rFonts w:ascii="Arial" w:hAnsi="Arial" w:cs="Arial"/>
          <w:sz w:val="24"/>
          <w:szCs w:val="24"/>
        </w:rPr>
        <w:t xml:space="preserve"> leading to comparison of geometric means 2) to use non-parametric analyses often focussing on a comparison of medians or 3) to focus on a particular cut-off value(s),  </w:t>
      </w:r>
      <w:proofErr w:type="spellStart"/>
      <w:r>
        <w:rPr>
          <w:rFonts w:ascii="Arial" w:hAnsi="Arial" w:cs="Arial"/>
          <w:sz w:val="24"/>
          <w:szCs w:val="24"/>
        </w:rPr>
        <w:t>eg</w:t>
      </w:r>
      <w:proofErr w:type="spellEnd"/>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upper limit of normal in liver function tests</w:t>
      </w:r>
      <w:r w:rsidR="00A907B2">
        <w:rPr>
          <w:rFonts w:ascii="Arial" w:hAnsi="Arial" w:cs="Arial"/>
          <w:sz w:val="24"/>
          <w:szCs w:val="24"/>
        </w:rPr>
        <w:t xml:space="preserve">, </w:t>
      </w:r>
      <w:r>
        <w:rPr>
          <w:rFonts w:ascii="Arial" w:hAnsi="Arial" w:cs="Arial"/>
          <w:sz w:val="24"/>
          <w:szCs w:val="24"/>
        </w:rPr>
        <w:t xml:space="preserve"> with a consequent comparison of percentages.</w:t>
      </w:r>
    </w:p>
    <w:p w14:paraId="600D4A51" w14:textId="77777777" w:rsidR="00AB30AE" w:rsidRDefault="00AB30AE" w:rsidP="000B71EF">
      <w:pPr>
        <w:spacing w:after="0" w:line="360" w:lineRule="auto"/>
        <w:rPr>
          <w:rFonts w:ascii="Arial" w:hAnsi="Arial" w:cs="Arial"/>
          <w:sz w:val="24"/>
          <w:szCs w:val="24"/>
        </w:rPr>
      </w:pPr>
    </w:p>
    <w:p w14:paraId="78E8FFDB" w14:textId="77777777" w:rsidR="004B6A9E" w:rsidRPr="004B6A9E" w:rsidRDefault="004B6A9E" w:rsidP="000B71EF">
      <w:pPr>
        <w:spacing w:after="0" w:line="360" w:lineRule="auto"/>
        <w:rPr>
          <w:rFonts w:ascii="Arial" w:hAnsi="Arial" w:cs="Arial"/>
          <w:sz w:val="24"/>
          <w:szCs w:val="24"/>
        </w:rPr>
      </w:pPr>
      <w:r w:rsidRPr="004B6A9E">
        <w:rPr>
          <w:rFonts w:ascii="Arial" w:hAnsi="Arial" w:cs="Arial"/>
          <w:b/>
          <w:sz w:val="24"/>
          <w:szCs w:val="24"/>
        </w:rPr>
        <w:t>P-values and their interpretation</w:t>
      </w:r>
    </w:p>
    <w:p w14:paraId="1DAC6D1F" w14:textId="77777777" w:rsidR="004B6A9E" w:rsidRDefault="004B6A9E" w:rsidP="000B71EF">
      <w:pPr>
        <w:spacing w:after="0" w:line="360" w:lineRule="auto"/>
        <w:rPr>
          <w:rFonts w:ascii="Arial" w:hAnsi="Arial" w:cs="Arial"/>
          <w:sz w:val="24"/>
          <w:szCs w:val="24"/>
        </w:rPr>
      </w:pPr>
    </w:p>
    <w:p w14:paraId="7AE2FBC6" w14:textId="77777777" w:rsidR="004B6A9E" w:rsidRDefault="004B6A9E" w:rsidP="000B71EF">
      <w:pPr>
        <w:spacing w:after="0" w:line="360" w:lineRule="auto"/>
        <w:rPr>
          <w:rFonts w:ascii="Arial" w:hAnsi="Arial" w:cs="Arial"/>
          <w:sz w:val="24"/>
          <w:szCs w:val="24"/>
        </w:rPr>
      </w:pPr>
      <w:r>
        <w:rPr>
          <w:rFonts w:ascii="Arial" w:hAnsi="Arial" w:cs="Arial"/>
          <w:sz w:val="24"/>
          <w:szCs w:val="24"/>
        </w:rPr>
        <w:t>We have deliberately delayed explaining P-values</w:t>
      </w:r>
      <w:r w:rsidR="002F0AC8">
        <w:rPr>
          <w:rFonts w:ascii="Arial" w:hAnsi="Arial" w:cs="Arial"/>
          <w:sz w:val="24"/>
          <w:szCs w:val="24"/>
        </w:rPr>
        <w:t xml:space="preserve"> until after covering descriptive statistics, estimation and confidence intervals. This is in order to counter the obsessive tendency for people to classify a clinical trial into “positive” or “negative” depending on whether the primary endpoint achieves P&lt;0.05 or not. This oversimplification is an abuse of the P-value</w:t>
      </w:r>
      <w:r w:rsidR="00715C7B">
        <w:rPr>
          <w:rFonts w:ascii="Arial" w:hAnsi="Arial" w:cs="Arial"/>
          <w:sz w:val="24"/>
          <w:szCs w:val="24"/>
        </w:rPr>
        <w:t>,</w:t>
      </w:r>
      <w:r w:rsidR="002F0AC8">
        <w:rPr>
          <w:rFonts w:ascii="Arial" w:hAnsi="Arial" w:cs="Arial"/>
          <w:sz w:val="24"/>
          <w:szCs w:val="24"/>
        </w:rPr>
        <w:t xml:space="preserve"> which can be valuable statistical tool when interpreted appropriately.</w:t>
      </w:r>
    </w:p>
    <w:p w14:paraId="70E1E000" w14:textId="77777777" w:rsidR="00A907B2" w:rsidRDefault="00A907B2" w:rsidP="000B71EF">
      <w:pPr>
        <w:spacing w:after="0" w:line="360" w:lineRule="auto"/>
        <w:rPr>
          <w:rFonts w:ascii="Arial" w:hAnsi="Arial" w:cs="Arial"/>
          <w:sz w:val="24"/>
          <w:szCs w:val="24"/>
        </w:rPr>
      </w:pPr>
    </w:p>
    <w:p w14:paraId="245B509F" w14:textId="77777777" w:rsidR="008A0635" w:rsidRDefault="008A0635" w:rsidP="000B71EF">
      <w:pPr>
        <w:spacing w:after="0" w:line="360" w:lineRule="auto"/>
        <w:rPr>
          <w:rFonts w:ascii="Arial" w:hAnsi="Arial" w:cs="Arial"/>
          <w:sz w:val="24"/>
          <w:szCs w:val="24"/>
        </w:rPr>
      </w:pPr>
      <w:r>
        <w:rPr>
          <w:rFonts w:ascii="Arial" w:hAnsi="Arial" w:cs="Arial"/>
          <w:sz w:val="24"/>
          <w:szCs w:val="24"/>
        </w:rPr>
        <w:t>Alongside an estimate of treatment</w:t>
      </w:r>
      <w:r w:rsidR="00A907B2">
        <w:rPr>
          <w:rFonts w:ascii="Arial" w:hAnsi="Arial" w:cs="Arial"/>
          <w:sz w:val="24"/>
          <w:szCs w:val="24"/>
        </w:rPr>
        <w:t xml:space="preserve"> difference</w:t>
      </w:r>
      <w:r>
        <w:rPr>
          <w:rFonts w:ascii="Arial" w:hAnsi="Arial" w:cs="Arial"/>
          <w:sz w:val="24"/>
          <w:szCs w:val="24"/>
        </w:rPr>
        <w:t xml:space="preserve"> and its 95% CI, the corresponding P-value is the most succinct direct route to expressing the extent to which </w:t>
      </w:r>
      <w:r w:rsidR="00A907B2">
        <w:rPr>
          <w:rFonts w:ascii="Arial" w:hAnsi="Arial" w:cs="Arial"/>
          <w:sz w:val="24"/>
          <w:szCs w:val="24"/>
        </w:rPr>
        <w:t>it</w:t>
      </w:r>
      <w:r>
        <w:rPr>
          <w:rFonts w:ascii="Arial" w:hAnsi="Arial" w:cs="Arial"/>
          <w:sz w:val="24"/>
          <w:szCs w:val="24"/>
        </w:rPr>
        <w:t xml:space="preserve"> looks plausibly like a real treatment effect, or rather could readily have arisen by chance. At the heart of any significance test is the null hypothesis that the two treatments are identical in their effect on the outcome of interest. The p-value is the probability of obtaining a treatment difference at least as great (in either direction) as that actually observed if the null hypothesis</w:t>
      </w:r>
      <w:r w:rsidR="00A907B2">
        <w:rPr>
          <w:rFonts w:ascii="Arial" w:hAnsi="Arial" w:cs="Arial"/>
          <w:sz w:val="24"/>
          <w:szCs w:val="24"/>
        </w:rPr>
        <w:t xml:space="preserve"> </w:t>
      </w:r>
      <w:r w:rsidR="005B0495">
        <w:rPr>
          <w:rFonts w:ascii="Arial" w:hAnsi="Arial" w:cs="Arial"/>
          <w:sz w:val="24"/>
          <w:szCs w:val="24"/>
        </w:rPr>
        <w:t>were</w:t>
      </w:r>
      <w:r w:rsidR="00A907B2">
        <w:rPr>
          <w:rFonts w:ascii="Arial" w:hAnsi="Arial" w:cs="Arial"/>
          <w:sz w:val="24"/>
          <w:szCs w:val="24"/>
        </w:rPr>
        <w:t xml:space="preserve"> true</w:t>
      </w:r>
      <w:r>
        <w:rPr>
          <w:rFonts w:ascii="Arial" w:hAnsi="Arial" w:cs="Arial"/>
          <w:sz w:val="24"/>
          <w:szCs w:val="24"/>
        </w:rPr>
        <w:t xml:space="preserve">. The smaller the P-value the stronger is the evidence against the null hypothesis, </w:t>
      </w:r>
      <w:proofErr w:type="spellStart"/>
      <w:r>
        <w:rPr>
          <w:rFonts w:ascii="Arial" w:hAnsi="Arial" w:cs="Arial"/>
          <w:sz w:val="24"/>
          <w:szCs w:val="24"/>
        </w:rPr>
        <w:t>ie</w:t>
      </w:r>
      <w:proofErr w:type="spellEnd"/>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w:t>
      </w:r>
      <w:r w:rsidR="00A907B2">
        <w:rPr>
          <w:rFonts w:ascii="Arial" w:hAnsi="Arial" w:cs="Arial"/>
          <w:sz w:val="24"/>
          <w:szCs w:val="24"/>
        </w:rPr>
        <w:t>more convincing is</w:t>
      </w:r>
      <w:r>
        <w:rPr>
          <w:rFonts w:ascii="Arial" w:hAnsi="Arial" w:cs="Arial"/>
          <w:sz w:val="24"/>
          <w:szCs w:val="24"/>
        </w:rPr>
        <w:t xml:space="preserve"> the evidence that a genuine treatment difference exists.</w:t>
      </w:r>
    </w:p>
    <w:p w14:paraId="5E309789" w14:textId="77777777" w:rsidR="00A907B2" w:rsidRDefault="00A907B2" w:rsidP="000B71EF">
      <w:pPr>
        <w:spacing w:after="0" w:line="360" w:lineRule="auto"/>
        <w:rPr>
          <w:rFonts w:ascii="Arial" w:hAnsi="Arial" w:cs="Arial"/>
          <w:sz w:val="24"/>
          <w:szCs w:val="24"/>
        </w:rPr>
      </w:pPr>
    </w:p>
    <w:p w14:paraId="09325052" w14:textId="77777777" w:rsidR="008A0635" w:rsidRDefault="008A0635" w:rsidP="000B71EF">
      <w:pPr>
        <w:spacing w:after="0" w:line="360" w:lineRule="auto"/>
        <w:rPr>
          <w:rFonts w:ascii="Arial" w:hAnsi="Arial" w:cs="Arial"/>
          <w:sz w:val="24"/>
          <w:szCs w:val="24"/>
        </w:rPr>
      </w:pPr>
      <w:r>
        <w:rPr>
          <w:rFonts w:ascii="Arial" w:hAnsi="Arial" w:cs="Arial"/>
          <w:sz w:val="24"/>
          <w:szCs w:val="24"/>
        </w:rPr>
        <w:t>Let’s consider some recent trials to elucidate the range of their P-values for the primary endpoint. In doing so, our aim is to translate statistical evidence into plain</w:t>
      </w:r>
      <w:r w:rsidR="00B32DFC">
        <w:rPr>
          <w:rFonts w:ascii="Arial" w:hAnsi="Arial" w:cs="Arial"/>
          <w:sz w:val="24"/>
          <w:szCs w:val="24"/>
        </w:rPr>
        <w:t xml:space="preserve"> English</w:t>
      </w:r>
      <w:r w:rsidR="00275862">
        <w:rPr>
          <w:rFonts w:ascii="Arial" w:hAnsi="Arial" w:cs="Arial"/>
          <w:sz w:val="24"/>
          <w:szCs w:val="24"/>
        </w:rPr>
        <w:t xml:space="preserve"> </w:t>
      </w:r>
      <w:r w:rsidR="00B32DFC">
        <w:rPr>
          <w:rFonts w:ascii="Arial" w:hAnsi="Arial" w:cs="Arial"/>
          <w:sz w:val="24"/>
          <w:szCs w:val="24"/>
        </w:rPr>
        <w:fldChar w:fldCharType="begin"/>
      </w:r>
      <w:r w:rsidR="006C412F">
        <w:rPr>
          <w:rFonts w:ascii="Arial" w:hAnsi="Arial" w:cs="Arial"/>
          <w:sz w:val="24"/>
          <w:szCs w:val="24"/>
        </w:rPr>
        <w:instrText xml:space="preserve"> ADDIN EN.CITE &lt;EndNote&gt;&lt;Cite&gt;&lt;Author&gt;Pocock&lt;/Author&gt;&lt;RecNum&gt;15&lt;/RecNum&gt;&lt;DisplayText&gt;(19)&lt;/DisplayText&gt;&lt;record&gt;&lt;rec-number&gt;15&lt;/rec-number&gt;&lt;foreign-keys&gt;&lt;key app="EN" db-id="eaz5sewevp5dfxewrdrvzv52xsv2tsf22rzr"&gt;15&lt;/key&gt;&lt;/foreign-keys&gt;&lt;ref-type name="Journal Article"&gt;17&lt;/ref-type&gt;&lt;contributors&gt;&lt;authors&gt;&lt;author&gt;Pocock, Stuart J.&lt;/author&gt;&lt;author&gt;Ware, James H.&lt;/author&gt;&lt;/authors&gt;&lt;/contributors&gt;&lt;titles&gt;&lt;title&gt;Translating statistical findings into plain English&lt;/title&gt;&lt;secondary-title&gt;The Lancet&lt;/secondary-title&gt;&lt;/titles&gt;&lt;periodical&gt;&lt;full-title&gt;The Lancet&lt;/full-title&gt;&lt;/periodical&gt;&lt;pages&gt;1926-1928&lt;/pages&gt;&lt;volume&gt;373&lt;/volume&gt;&lt;number&gt;9679&lt;/number&gt;&lt;dates&gt;&lt;pub-dates&gt;&lt;date&gt;//&lt;/date&gt;&lt;/pub-dates&gt;&lt;/dates&gt;&lt;isbn&gt;0140-6736&lt;/isbn&gt;&lt;call-num&gt;14&lt;/call-num&gt;&lt;urls&gt;&lt;related-urls&gt;&lt;url&gt;http://www.sciencedirect.com/science/article/pii/S0140673609604992&lt;/url&gt;&lt;/related-urls&gt;&lt;/urls&gt;&lt;electronic-resource-num&gt;http://dx.doi.org/10.1016/S0140-6736(09)60499-2&lt;/electronic-resource-num&gt;&lt;access-date&gt;2009/6/12/&lt;/access-date&gt;&lt;/record&gt;&lt;/Cite&gt;&lt;/EndNote&gt;</w:instrText>
      </w:r>
      <w:r w:rsidR="00B32DFC">
        <w:rPr>
          <w:rFonts w:ascii="Arial" w:hAnsi="Arial" w:cs="Arial"/>
          <w:sz w:val="24"/>
          <w:szCs w:val="24"/>
        </w:rPr>
        <w:fldChar w:fldCharType="separate"/>
      </w:r>
      <w:r w:rsidR="006C412F">
        <w:rPr>
          <w:rFonts w:ascii="Arial" w:hAnsi="Arial" w:cs="Arial"/>
          <w:noProof/>
          <w:sz w:val="24"/>
          <w:szCs w:val="24"/>
        </w:rPr>
        <w:t>(</w:t>
      </w:r>
      <w:hyperlink w:anchor="_ENREF_19" w:tooltip="Pocock,  #15" w:history="1">
        <w:r w:rsidR="00C06C90">
          <w:rPr>
            <w:rFonts w:ascii="Arial" w:hAnsi="Arial" w:cs="Arial"/>
            <w:noProof/>
            <w:sz w:val="24"/>
            <w:szCs w:val="24"/>
          </w:rPr>
          <w:t>19</w:t>
        </w:r>
      </w:hyperlink>
      <w:r w:rsidR="006C412F">
        <w:rPr>
          <w:rFonts w:ascii="Arial" w:hAnsi="Arial" w:cs="Arial"/>
          <w:noProof/>
          <w:sz w:val="24"/>
          <w:szCs w:val="24"/>
        </w:rPr>
        <w:t>)</w:t>
      </w:r>
      <w:r w:rsidR="00B32DFC">
        <w:rPr>
          <w:rFonts w:ascii="Arial" w:hAnsi="Arial" w:cs="Arial"/>
          <w:sz w:val="24"/>
          <w:szCs w:val="24"/>
        </w:rPr>
        <w:fldChar w:fldCharType="end"/>
      </w:r>
      <w:r>
        <w:rPr>
          <w:rFonts w:ascii="Arial" w:hAnsi="Arial" w:cs="Arial"/>
          <w:sz w:val="24"/>
          <w:szCs w:val="24"/>
        </w:rPr>
        <w:t>. The PARADIGM</w:t>
      </w:r>
      <w:r w:rsidR="00BA113A">
        <w:rPr>
          <w:rFonts w:ascii="Arial" w:hAnsi="Arial" w:cs="Arial"/>
          <w:sz w:val="24"/>
          <w:szCs w:val="24"/>
        </w:rPr>
        <w:t>-HF</w:t>
      </w:r>
      <w:r>
        <w:rPr>
          <w:rFonts w:ascii="Arial" w:hAnsi="Arial" w:cs="Arial"/>
          <w:sz w:val="24"/>
          <w:szCs w:val="24"/>
        </w:rPr>
        <w:t xml:space="preserve"> trial</w:t>
      </w:r>
      <w:r w:rsidR="00275862">
        <w:rPr>
          <w:rFonts w:ascii="Arial" w:hAnsi="Arial" w:cs="Arial"/>
          <w:sz w:val="24"/>
          <w:szCs w:val="24"/>
        </w:rPr>
        <w:t xml:space="preserve"> </w:t>
      </w:r>
      <w:r w:rsidR="00AB4DCA">
        <w:rPr>
          <w:rFonts w:ascii="Arial" w:hAnsi="Arial" w:cs="Arial"/>
          <w:sz w:val="24"/>
          <w:szCs w:val="24"/>
        </w:rPr>
        <w:fldChar w:fldCharType="begin"/>
      </w:r>
      <w:r w:rsidR="00AB4DCA">
        <w:rPr>
          <w:rFonts w:ascii="Arial" w:hAnsi="Arial" w:cs="Arial"/>
          <w:sz w:val="24"/>
          <w:szCs w:val="24"/>
        </w:rPr>
        <w:instrText xml:space="preserve"> ADDIN EN.CITE &lt;EndNote&gt;&lt;Cite&gt;&lt;Author&gt;McMurray&lt;/Author&gt;&lt;Year&gt;2014&lt;/Year&gt;&lt;RecNum&gt;8&lt;/RecNum&gt;&lt;DisplayText&gt;(1)&lt;/DisplayText&gt;&lt;record&gt;&lt;rec-number&gt;8&lt;/rec-number&gt;&lt;foreign-keys&gt;&lt;key app="EN" db-id="eaz5sewevp5dfxewrdrvzv52xsv2tsf22rzr"&gt;8&lt;/key&gt;&lt;/foreign-keys&gt;&lt;ref-type name="Journal Article"&gt;17&lt;/ref-type&gt;&lt;contributors&gt;&lt;authors&gt;&lt;author&gt;McMurray, John J.V.&lt;/author&gt;&lt;author&gt;Packer, Milton&lt;/author&gt;&lt;author&gt;Desai, Akshay S.&lt;/author&gt;&lt;author&gt;Gong, Jianjian&lt;/author&gt;&lt;author&gt;Lefkowitz, Martin P.&lt;/author&gt;&lt;author&gt;Rizkala, Adel R.&lt;/author&gt;&lt;author&gt;Rouleau, Jean L.&lt;/author&gt;&lt;author&gt;Shi, Victor C.&lt;/author&gt;&lt;author&gt;Solomon, Scott D.&lt;/author&gt;&lt;author&gt;Swedberg, Karl&lt;/author&gt;&lt;author&gt;Zile, Michael R.&lt;/author&gt;&lt;/authors&gt;&lt;/contributors&gt;&lt;titles&gt;&lt;title&gt;Angiotensin–Neprilysin Inhibition versus Enalapril in Heart Failure&lt;/title&gt;&lt;secondary-title&gt;New England Journal of Medicine&lt;/secondary-title&gt;&lt;/titles&gt;&lt;periodical&gt;&lt;full-title&gt;New England Journal of Medicine&lt;/full-title&gt;&lt;/periodical&gt;&lt;pages&gt;993-1004&lt;/pages&gt;&lt;volume&gt;371&lt;/volume&gt;&lt;number&gt;11&lt;/number&gt;&lt;dates&gt;&lt;year&gt;2014&lt;/year&gt;&lt;/dates&gt;&lt;accession-num&gt;25176015&lt;/accession-num&gt;&lt;call-num&gt;1&lt;/call-num&gt;&lt;urls&gt;&lt;related-urls&gt;&lt;url&gt;http://www.nejm.org/doi/full/10.1056/NEJMoa1409077&lt;/url&gt;&lt;/related-urls&gt;&lt;/urls&gt;&lt;electronic-resource-num&gt;doi:10.1056/NEJMoa1409077&lt;/electronic-resource-num&gt;&lt;/record&gt;&lt;/Cite&gt;&lt;/EndNote&gt;</w:instrText>
      </w:r>
      <w:r w:rsidR="00AB4DCA">
        <w:rPr>
          <w:rFonts w:ascii="Arial" w:hAnsi="Arial" w:cs="Arial"/>
          <w:sz w:val="24"/>
          <w:szCs w:val="24"/>
        </w:rPr>
        <w:fldChar w:fldCharType="separate"/>
      </w:r>
      <w:r w:rsidR="00AB4DCA">
        <w:rPr>
          <w:rFonts w:ascii="Arial" w:hAnsi="Arial" w:cs="Arial"/>
          <w:noProof/>
          <w:sz w:val="24"/>
          <w:szCs w:val="24"/>
        </w:rPr>
        <w:t>(</w:t>
      </w:r>
      <w:hyperlink w:anchor="_ENREF_1" w:tooltip="McMurray, 2014 #8" w:history="1">
        <w:r w:rsidR="00C06C90">
          <w:rPr>
            <w:rFonts w:ascii="Arial" w:hAnsi="Arial" w:cs="Arial"/>
            <w:noProof/>
            <w:sz w:val="24"/>
            <w:szCs w:val="24"/>
          </w:rPr>
          <w:t>1</w:t>
        </w:r>
      </w:hyperlink>
      <w:r w:rsidR="00AB4DCA">
        <w:rPr>
          <w:rFonts w:ascii="Arial" w:hAnsi="Arial" w:cs="Arial"/>
          <w:noProof/>
          <w:sz w:val="24"/>
          <w:szCs w:val="24"/>
        </w:rPr>
        <w:t>)</w:t>
      </w:r>
      <w:r w:rsidR="00AB4DCA">
        <w:rPr>
          <w:rFonts w:ascii="Arial" w:hAnsi="Arial" w:cs="Arial"/>
          <w:sz w:val="24"/>
          <w:szCs w:val="24"/>
        </w:rPr>
        <w:fldChar w:fldCharType="end"/>
      </w:r>
      <w:r>
        <w:rPr>
          <w:rFonts w:ascii="Arial" w:hAnsi="Arial" w:cs="Arial"/>
          <w:sz w:val="24"/>
          <w:szCs w:val="24"/>
        </w:rPr>
        <w:t xml:space="preserve"> compared a new drug LCZ696 with enalapril in patients with chronic heart failure. For the primary endpoint, heart failure hospitalisation or cardiovascular death over a median 27 months follow-up the hazard ratio was 0.80 with 95% CI 0.73 to 0.87, P=0.000000</w:t>
      </w:r>
      <w:r w:rsidR="00850255">
        <w:rPr>
          <w:rFonts w:ascii="Arial" w:hAnsi="Arial" w:cs="Arial"/>
          <w:sz w:val="24"/>
          <w:szCs w:val="24"/>
        </w:rPr>
        <w:t>4</w:t>
      </w:r>
      <w:r>
        <w:rPr>
          <w:rFonts w:ascii="Arial" w:hAnsi="Arial" w:cs="Arial"/>
          <w:sz w:val="24"/>
          <w:szCs w:val="24"/>
        </w:rPr>
        <w:t>. Such a small P-value means that if LCZ</w:t>
      </w:r>
      <w:r w:rsidR="00A907B2">
        <w:rPr>
          <w:rFonts w:ascii="Arial" w:hAnsi="Arial" w:cs="Arial"/>
          <w:sz w:val="24"/>
          <w:szCs w:val="24"/>
        </w:rPr>
        <w:t>696 were</w:t>
      </w:r>
      <w:r>
        <w:rPr>
          <w:rFonts w:ascii="Arial" w:hAnsi="Arial" w:cs="Arial"/>
          <w:sz w:val="24"/>
          <w:szCs w:val="24"/>
        </w:rPr>
        <w:t xml:space="preserve"> truly no better than enalapril, the chances of getting this magnitude of treatment difference (or gr</w:t>
      </w:r>
      <w:r w:rsidR="00A907B2">
        <w:rPr>
          <w:rFonts w:ascii="Arial" w:hAnsi="Arial" w:cs="Arial"/>
          <w:sz w:val="24"/>
          <w:szCs w:val="24"/>
        </w:rPr>
        <w:t>e</w:t>
      </w:r>
      <w:r>
        <w:rPr>
          <w:rFonts w:ascii="Arial" w:hAnsi="Arial" w:cs="Arial"/>
          <w:sz w:val="24"/>
          <w:szCs w:val="24"/>
        </w:rPr>
        <w:t>ater) is less than one in a million.</w:t>
      </w:r>
    </w:p>
    <w:p w14:paraId="6A3FFC54" w14:textId="77777777" w:rsidR="00755C4D" w:rsidRDefault="00755C4D" w:rsidP="000B71EF">
      <w:pPr>
        <w:spacing w:after="0" w:line="360" w:lineRule="auto"/>
        <w:rPr>
          <w:rFonts w:ascii="Arial" w:hAnsi="Arial" w:cs="Arial"/>
          <w:sz w:val="24"/>
          <w:szCs w:val="24"/>
        </w:rPr>
      </w:pPr>
      <w:r>
        <w:rPr>
          <w:rFonts w:ascii="Arial" w:hAnsi="Arial" w:cs="Arial"/>
          <w:sz w:val="24"/>
          <w:szCs w:val="24"/>
        </w:rPr>
        <w:t>Such a small P-value provides overwhelming evidence of a treatment difference. Such proof beyond reasonable doubt means one can confidently assert that</w:t>
      </w:r>
      <w:r w:rsidR="00222BA0">
        <w:rPr>
          <w:rFonts w:ascii="Arial" w:hAnsi="Arial" w:cs="Arial"/>
          <w:sz w:val="24"/>
          <w:szCs w:val="24"/>
        </w:rPr>
        <w:t xml:space="preserve"> LCZ696</w:t>
      </w:r>
      <w:r w:rsidR="00CC53BF">
        <w:rPr>
          <w:rFonts w:ascii="Arial" w:hAnsi="Arial" w:cs="Arial"/>
          <w:sz w:val="24"/>
          <w:szCs w:val="24"/>
        </w:rPr>
        <w:t xml:space="preserve"> is superior to enalapril </w:t>
      </w:r>
      <w:r w:rsidR="00E5452B">
        <w:rPr>
          <w:rFonts w:ascii="Arial" w:hAnsi="Arial" w:cs="Arial"/>
          <w:sz w:val="24"/>
          <w:szCs w:val="24"/>
        </w:rPr>
        <w:t xml:space="preserve">with regards the </w:t>
      </w:r>
      <w:r w:rsidR="00CC53BF">
        <w:rPr>
          <w:rFonts w:ascii="Arial" w:hAnsi="Arial" w:cs="Arial"/>
          <w:sz w:val="24"/>
          <w:szCs w:val="24"/>
        </w:rPr>
        <w:t>incidence of the primary endpoint.</w:t>
      </w:r>
    </w:p>
    <w:p w14:paraId="33C0189B" w14:textId="77777777" w:rsidR="00CC53BF" w:rsidRDefault="00CC53BF" w:rsidP="000B71EF">
      <w:pPr>
        <w:spacing w:after="0" w:line="360" w:lineRule="auto"/>
        <w:rPr>
          <w:rFonts w:ascii="Arial" w:hAnsi="Arial" w:cs="Arial"/>
          <w:sz w:val="24"/>
          <w:szCs w:val="24"/>
        </w:rPr>
      </w:pPr>
    </w:p>
    <w:p w14:paraId="6B7CAFF9" w14:textId="77777777" w:rsidR="00CC53BF" w:rsidRDefault="00CC53BF" w:rsidP="000B71EF">
      <w:pPr>
        <w:spacing w:after="0" w:line="360" w:lineRule="auto"/>
        <w:rPr>
          <w:rFonts w:ascii="Arial" w:hAnsi="Arial" w:cs="Arial"/>
          <w:sz w:val="24"/>
          <w:szCs w:val="24"/>
        </w:rPr>
      </w:pPr>
      <w:r>
        <w:rPr>
          <w:rFonts w:ascii="Arial" w:hAnsi="Arial" w:cs="Arial"/>
          <w:sz w:val="24"/>
          <w:szCs w:val="24"/>
        </w:rPr>
        <w:t>The CHAMPION PHOENIX trial</w:t>
      </w:r>
      <w:r w:rsidR="00275862">
        <w:rPr>
          <w:rFonts w:ascii="Arial" w:hAnsi="Arial" w:cs="Arial"/>
          <w:sz w:val="24"/>
          <w:szCs w:val="24"/>
        </w:rPr>
        <w:t xml:space="preserve"> </w:t>
      </w:r>
      <w:r w:rsidR="00AB4DCA">
        <w:rPr>
          <w:rFonts w:ascii="Arial" w:hAnsi="Arial" w:cs="Arial"/>
          <w:sz w:val="24"/>
          <w:szCs w:val="24"/>
        </w:rPr>
        <w:fldChar w:fldCharType="begin"/>
      </w:r>
      <w:r w:rsidR="00AB4DCA">
        <w:rPr>
          <w:rFonts w:ascii="Arial" w:hAnsi="Arial" w:cs="Arial"/>
          <w:sz w:val="24"/>
          <w:szCs w:val="24"/>
        </w:rPr>
        <w:instrText xml:space="preserve"> ADDIN EN.CITE &lt;EndNote&gt;&lt;Cite&gt;&lt;Author&gt;Bhatt&lt;/Author&gt;&lt;Year&gt;2013&lt;/Year&gt;&lt;RecNum&gt;21&lt;/RecNum&gt;&lt;DisplayText&gt;(9)&lt;/DisplayText&gt;&lt;record&gt;&lt;rec-number&gt;21&lt;/rec-number&gt;&lt;foreign-keys&gt;&lt;key app="EN" db-id="eaz5sewevp5dfxewrdrvzv52xsv2tsf22rzr"&gt;21&lt;/key&gt;&lt;/foreign-keys&gt;&lt;ref-type name="Journal Article"&gt;17&lt;/ref-type&gt;&lt;contributors&gt;&lt;authors&gt;&lt;author&gt;Bhatt, Deepak L.&lt;/author&gt;&lt;author&gt;Stone, Gregg W.&lt;/author&gt;&lt;author&gt;Mahaffey, Kenneth W.&lt;/author&gt;&lt;author&gt;Gibson, C. Michael&lt;/author&gt;&lt;author&gt;Steg, P. Gabriel&lt;/author&gt;&lt;author&gt;Hamm, Christian W.&lt;/author&gt;&lt;author&gt;Price, Matthew J.&lt;/author&gt;&lt;author&gt;Leonardi, Sergio&lt;/author&gt;&lt;author&gt;Gallup, Dianne&lt;/author&gt;&lt;author&gt;Bramucci, Ezio&lt;/author&gt;&lt;author&gt;Radke, Peter W.&lt;/author&gt;&lt;author&gt;Widimský, Petr&lt;/author&gt;&lt;author&gt;Tousek, Frantisek&lt;/author&gt;&lt;author&gt;Tauth, Jeffrey&lt;/author&gt;&lt;author&gt;Spriggs, Douglas&lt;/author&gt;&lt;author&gt;McLaurin, Brent T.&lt;/author&gt;&lt;author&gt;Angiolillo, Dominick J.&lt;/author&gt;&lt;author&gt;Généreux, Philippe&lt;/author&gt;&lt;author&gt;Liu, Tiepu&lt;/author&gt;&lt;author&gt;Prats, Jayne&lt;/author&gt;&lt;author&gt;Todd, Meredith&lt;/author&gt;&lt;author&gt;Skerjanec, Simona&lt;/author&gt;&lt;author&gt;White, Harvey D.&lt;/author&gt;&lt;author&gt;Harrington, Robert A.&lt;/author&gt;&lt;/authors&gt;&lt;/contributors&gt;&lt;titles&gt;&lt;title&gt;Effect of Platelet Inhibition with Cangrelor during PCI on Ischemic Events&lt;/title&gt;&lt;secondary-title&gt;New England Journal of Medicine&lt;/secondary-title&gt;&lt;/titles&gt;&lt;periodical&gt;&lt;full-title&gt;New England Journal of Medicine&lt;/full-title&gt;&lt;/periodical&gt;&lt;pages&gt;1303-1313&lt;/pages&gt;&lt;volume&gt;368&lt;/volume&gt;&lt;number&gt;14&lt;/number&gt;&lt;dates&gt;&lt;year&gt;2013&lt;/year&gt;&lt;/dates&gt;&lt;accession-num&gt;23473369&lt;/accession-num&gt;&lt;call-num&gt;9&lt;/call-num&gt;&lt;urls&gt;&lt;related-urls&gt;&lt;url&gt;http://www.nejm.org/doi/full/10.1056/NEJMoa1300815&lt;/url&gt;&lt;/related-urls&gt;&lt;/urls&gt;&lt;electronic-resource-num&gt;doi:10.1056/NEJMoa1300815&lt;/electronic-resource-num&gt;&lt;/record&gt;&lt;/Cite&gt;&lt;/EndNote&gt;</w:instrText>
      </w:r>
      <w:r w:rsidR="00AB4DCA">
        <w:rPr>
          <w:rFonts w:ascii="Arial" w:hAnsi="Arial" w:cs="Arial"/>
          <w:sz w:val="24"/>
          <w:szCs w:val="24"/>
        </w:rPr>
        <w:fldChar w:fldCharType="separate"/>
      </w:r>
      <w:r w:rsidR="00AB4DCA">
        <w:rPr>
          <w:rFonts w:ascii="Arial" w:hAnsi="Arial" w:cs="Arial"/>
          <w:noProof/>
          <w:sz w:val="24"/>
          <w:szCs w:val="24"/>
        </w:rPr>
        <w:t>(</w:t>
      </w:r>
      <w:hyperlink w:anchor="_ENREF_9" w:tooltip="Bhatt, 2013 #21" w:history="1">
        <w:r w:rsidR="00C06C90">
          <w:rPr>
            <w:rFonts w:ascii="Arial" w:hAnsi="Arial" w:cs="Arial"/>
            <w:noProof/>
            <w:sz w:val="24"/>
            <w:szCs w:val="24"/>
          </w:rPr>
          <w:t>9</w:t>
        </w:r>
      </w:hyperlink>
      <w:r w:rsidR="00AB4DCA">
        <w:rPr>
          <w:rFonts w:ascii="Arial" w:hAnsi="Arial" w:cs="Arial"/>
          <w:noProof/>
          <w:sz w:val="24"/>
          <w:szCs w:val="24"/>
        </w:rPr>
        <w:t>)</w:t>
      </w:r>
      <w:r w:rsidR="00AB4DCA">
        <w:rPr>
          <w:rFonts w:ascii="Arial" w:hAnsi="Arial" w:cs="Arial"/>
          <w:sz w:val="24"/>
          <w:szCs w:val="24"/>
        </w:rPr>
        <w:fldChar w:fldCharType="end"/>
      </w:r>
      <w:r w:rsidR="00791C71">
        <w:rPr>
          <w:rFonts w:ascii="Arial" w:hAnsi="Arial" w:cs="Arial"/>
          <w:sz w:val="24"/>
          <w:szCs w:val="24"/>
        </w:rPr>
        <w:t xml:space="preserve"> </w:t>
      </w:r>
      <w:r>
        <w:rPr>
          <w:rFonts w:ascii="Arial" w:hAnsi="Arial" w:cs="Arial"/>
          <w:sz w:val="24"/>
          <w:szCs w:val="24"/>
        </w:rPr>
        <w:t xml:space="preserve">of cangrelor vs clopidogrel had </w:t>
      </w:r>
      <w:r w:rsidR="00E5452B">
        <w:rPr>
          <w:rFonts w:ascii="Arial" w:hAnsi="Arial" w:cs="Arial"/>
          <w:sz w:val="24"/>
          <w:szCs w:val="24"/>
        </w:rPr>
        <w:t>an odds ratio of</w:t>
      </w:r>
      <w:r>
        <w:rPr>
          <w:rFonts w:ascii="Arial" w:hAnsi="Arial" w:cs="Arial"/>
          <w:sz w:val="24"/>
          <w:szCs w:val="24"/>
        </w:rPr>
        <w:t xml:space="preserve"> </w:t>
      </w:r>
      <w:r w:rsidR="00E5452B">
        <w:rPr>
          <w:rFonts w:ascii="Arial" w:hAnsi="Arial" w:cs="Arial"/>
          <w:sz w:val="24"/>
          <w:szCs w:val="24"/>
        </w:rPr>
        <w:t>0.78</w:t>
      </w:r>
      <w:r w:rsidR="00791C71">
        <w:rPr>
          <w:rFonts w:ascii="Arial" w:hAnsi="Arial" w:cs="Arial"/>
          <w:sz w:val="24"/>
          <w:szCs w:val="24"/>
        </w:rPr>
        <w:t>8</w:t>
      </w:r>
      <w:r w:rsidR="00E5452B">
        <w:rPr>
          <w:rFonts w:ascii="Arial" w:hAnsi="Arial" w:cs="Arial"/>
          <w:sz w:val="24"/>
          <w:szCs w:val="24"/>
        </w:rPr>
        <w:t xml:space="preserve"> </w:t>
      </w:r>
      <w:r>
        <w:rPr>
          <w:rFonts w:ascii="Arial" w:hAnsi="Arial" w:cs="Arial"/>
          <w:sz w:val="24"/>
          <w:szCs w:val="24"/>
        </w:rPr>
        <w:t xml:space="preserve">with 95% CI </w:t>
      </w:r>
      <w:r w:rsidR="00146527">
        <w:rPr>
          <w:rFonts w:ascii="Arial" w:hAnsi="Arial" w:cs="Arial"/>
          <w:sz w:val="24"/>
          <w:szCs w:val="24"/>
        </w:rPr>
        <w:t>0.6</w:t>
      </w:r>
      <w:r w:rsidR="00E5452B">
        <w:rPr>
          <w:rFonts w:ascii="Arial" w:hAnsi="Arial" w:cs="Arial"/>
          <w:sz w:val="24"/>
          <w:szCs w:val="24"/>
        </w:rPr>
        <w:t>6</w:t>
      </w:r>
      <w:r w:rsidR="00791C71">
        <w:rPr>
          <w:rFonts w:ascii="Arial" w:hAnsi="Arial" w:cs="Arial"/>
          <w:sz w:val="24"/>
          <w:szCs w:val="24"/>
        </w:rPr>
        <w:t>6</w:t>
      </w:r>
      <w:r>
        <w:rPr>
          <w:rFonts w:ascii="Arial" w:hAnsi="Arial" w:cs="Arial"/>
          <w:sz w:val="24"/>
          <w:szCs w:val="24"/>
        </w:rPr>
        <w:t xml:space="preserve"> to </w:t>
      </w:r>
      <w:r w:rsidR="00146527">
        <w:rPr>
          <w:rFonts w:ascii="Arial" w:hAnsi="Arial" w:cs="Arial"/>
          <w:sz w:val="24"/>
          <w:szCs w:val="24"/>
        </w:rPr>
        <w:t>0.93</w:t>
      </w:r>
      <w:r w:rsidR="00791C71">
        <w:rPr>
          <w:rFonts w:ascii="Arial" w:hAnsi="Arial" w:cs="Arial"/>
          <w:sz w:val="24"/>
          <w:szCs w:val="24"/>
        </w:rPr>
        <w:t>2</w:t>
      </w:r>
      <w:r w:rsidR="00146527">
        <w:rPr>
          <w:rFonts w:ascii="Arial" w:hAnsi="Arial" w:cs="Arial"/>
          <w:sz w:val="24"/>
          <w:szCs w:val="24"/>
        </w:rPr>
        <w:t xml:space="preserve"> </w:t>
      </w:r>
      <w:r w:rsidR="00E5452B">
        <w:rPr>
          <w:rFonts w:ascii="Arial" w:hAnsi="Arial" w:cs="Arial"/>
          <w:sz w:val="24"/>
          <w:szCs w:val="24"/>
        </w:rPr>
        <w:t>for its primary endpoint</w:t>
      </w:r>
      <w:r w:rsidR="00791C71">
        <w:rPr>
          <w:rFonts w:ascii="Arial" w:hAnsi="Arial" w:cs="Arial"/>
          <w:sz w:val="24"/>
          <w:szCs w:val="24"/>
        </w:rPr>
        <w:t xml:space="preserve"> (Table 3)</w:t>
      </w:r>
      <w:r>
        <w:rPr>
          <w:rFonts w:ascii="Arial" w:hAnsi="Arial" w:cs="Arial"/>
          <w:sz w:val="24"/>
          <w:szCs w:val="24"/>
        </w:rPr>
        <w:t>. Here P=0.005 meaning there is a 1 in 200 chance of such a difference (or greater) arising by chance: not as thoroughly convincing as the PARADIGM</w:t>
      </w:r>
      <w:r w:rsidR="00AB4DCA">
        <w:rPr>
          <w:rFonts w:ascii="Arial" w:hAnsi="Arial" w:cs="Arial"/>
          <w:sz w:val="24"/>
          <w:szCs w:val="24"/>
        </w:rPr>
        <w:t>-HF</w:t>
      </w:r>
      <w:r>
        <w:rPr>
          <w:rFonts w:ascii="Arial" w:hAnsi="Arial" w:cs="Arial"/>
          <w:sz w:val="24"/>
          <w:szCs w:val="24"/>
        </w:rPr>
        <w:t xml:space="preserve"> trial but still strong evidence of a treatment benefit, </w:t>
      </w:r>
      <w:proofErr w:type="spellStart"/>
      <w:r>
        <w:rPr>
          <w:rFonts w:ascii="Arial" w:hAnsi="Arial" w:cs="Arial"/>
          <w:sz w:val="24"/>
          <w:szCs w:val="24"/>
        </w:rPr>
        <w:t>ie</w:t>
      </w:r>
      <w:proofErr w:type="spellEnd"/>
      <w:r>
        <w:rPr>
          <w:rFonts w:ascii="Arial" w:hAnsi="Arial" w:cs="Arial"/>
          <w:sz w:val="24"/>
          <w:szCs w:val="24"/>
        </w:rPr>
        <w:t xml:space="preserve">. </w:t>
      </w:r>
      <w:proofErr w:type="gramStart"/>
      <w:r>
        <w:rPr>
          <w:rFonts w:ascii="Arial" w:hAnsi="Arial" w:cs="Arial"/>
          <w:sz w:val="24"/>
          <w:szCs w:val="24"/>
        </w:rPr>
        <w:t>cangrelor</w:t>
      </w:r>
      <w:proofErr w:type="gramEnd"/>
      <w:r>
        <w:rPr>
          <w:rFonts w:ascii="Arial" w:hAnsi="Arial" w:cs="Arial"/>
          <w:sz w:val="24"/>
          <w:szCs w:val="24"/>
        </w:rPr>
        <w:t xml:space="preserve"> appears to be superior to clopidogrel.</w:t>
      </w:r>
      <w:r w:rsidR="00774119">
        <w:rPr>
          <w:rFonts w:ascii="Arial" w:hAnsi="Arial" w:cs="Arial"/>
          <w:sz w:val="24"/>
          <w:szCs w:val="24"/>
        </w:rPr>
        <w:t xml:space="preserve"> Note the trial report </w:t>
      </w:r>
      <w:r w:rsidR="00275862">
        <w:rPr>
          <w:rFonts w:ascii="Arial" w:hAnsi="Arial" w:cs="Arial"/>
          <w:sz w:val="24"/>
          <w:szCs w:val="24"/>
        </w:rPr>
        <w:fldChar w:fldCharType="begin"/>
      </w:r>
      <w:r w:rsidR="00275862">
        <w:rPr>
          <w:rFonts w:ascii="Arial" w:hAnsi="Arial" w:cs="Arial"/>
          <w:sz w:val="24"/>
          <w:szCs w:val="24"/>
        </w:rPr>
        <w:instrText xml:space="preserve"> ADDIN EN.CITE &lt;EndNote&gt;&lt;Cite&gt;&lt;Author&gt;Bhatt&lt;/Author&gt;&lt;Year&gt;2013&lt;/Year&gt;&lt;RecNum&gt;21&lt;/RecNum&gt;&lt;DisplayText&gt;(9)&lt;/DisplayText&gt;&lt;record&gt;&lt;rec-number&gt;21&lt;/rec-number&gt;&lt;foreign-keys&gt;&lt;key app="EN" db-id="eaz5sewevp5dfxewrdrvzv52xsv2tsf22rzr"&gt;21&lt;/key&gt;&lt;/foreign-keys&gt;&lt;ref-type name="Journal Article"&gt;17&lt;/ref-type&gt;&lt;contributors&gt;&lt;authors&gt;&lt;author&gt;Bhatt, Deepak L.&lt;/author&gt;&lt;author&gt;Stone, Gregg W.&lt;/author&gt;&lt;author&gt;Mahaffey, Kenneth W.&lt;/author&gt;&lt;author&gt;Gibson, C. Michael&lt;/author&gt;&lt;author&gt;Steg, P. Gabriel&lt;/author&gt;&lt;author&gt;Hamm, Christian W.&lt;/author&gt;&lt;author&gt;Price, Matthew J.&lt;/author&gt;&lt;author&gt;Leonardi, Sergio&lt;/author&gt;&lt;author&gt;Gallup, Dianne&lt;/author&gt;&lt;author&gt;Bramucci, Ezio&lt;/author&gt;&lt;author&gt;Radke, Peter W.&lt;/author&gt;&lt;author&gt;Widimský, Petr&lt;/author&gt;&lt;author&gt;Tousek, Frantisek&lt;/author&gt;&lt;author&gt;Tauth, Jeffrey&lt;/author&gt;&lt;author&gt;Spriggs, Douglas&lt;/author&gt;&lt;author&gt;McLaurin, Brent T.&lt;/author&gt;&lt;author&gt;Angiolillo, Dominick J.&lt;/author&gt;&lt;author&gt;Généreux, Philippe&lt;/author&gt;&lt;author&gt;Liu, Tiepu&lt;/author&gt;&lt;author&gt;Prats, Jayne&lt;/author&gt;&lt;author&gt;Todd, Meredith&lt;/author&gt;&lt;author&gt;Skerjanec, Simona&lt;/author&gt;&lt;author&gt;White, Harvey D.&lt;/author&gt;&lt;author&gt;Harrington, Robert A.&lt;/author&gt;&lt;/authors&gt;&lt;/contributors&gt;&lt;titles&gt;&lt;title&gt;Effect of Platelet Inhibition with Cangrelor during PCI on Ischemic Events&lt;/title&gt;&lt;secondary-title&gt;New England Journal of Medicine&lt;/secondary-title&gt;&lt;/titles&gt;&lt;periodical&gt;&lt;full-title&gt;New England Journal of Medicine&lt;/full-title&gt;&lt;/periodical&gt;&lt;pages&gt;1303-1313&lt;/pages&gt;&lt;volume&gt;368&lt;/volume&gt;&lt;number&gt;14&lt;/number&gt;&lt;dates&gt;&lt;year&gt;2013&lt;/year&gt;&lt;/dates&gt;&lt;accession-num&gt;23473369&lt;/accession-num&gt;&lt;call-num&gt;9&lt;/call-num&gt;&lt;urls&gt;&lt;related-urls&gt;&lt;url&gt;http://www.nejm.org/doi/full/10.1056/NEJMoa1300815&lt;/url&gt;&lt;/related-urls&gt;&lt;/urls&gt;&lt;electronic-resource-num&gt;doi:10.1056/NEJMoa1300815&lt;/electronic-resource-num&gt;&lt;/record&gt;&lt;/Cite&gt;&lt;/EndNote&gt;</w:instrText>
      </w:r>
      <w:r w:rsidR="00275862">
        <w:rPr>
          <w:rFonts w:ascii="Arial" w:hAnsi="Arial" w:cs="Arial"/>
          <w:sz w:val="24"/>
          <w:szCs w:val="24"/>
        </w:rPr>
        <w:fldChar w:fldCharType="separate"/>
      </w:r>
      <w:r w:rsidR="00275862">
        <w:rPr>
          <w:rFonts w:ascii="Arial" w:hAnsi="Arial" w:cs="Arial"/>
          <w:noProof/>
          <w:sz w:val="24"/>
          <w:szCs w:val="24"/>
        </w:rPr>
        <w:t>(</w:t>
      </w:r>
      <w:hyperlink w:anchor="_ENREF_9" w:tooltip="Bhatt, 2013 #21" w:history="1">
        <w:r w:rsidR="00C06C90">
          <w:rPr>
            <w:rFonts w:ascii="Arial" w:hAnsi="Arial" w:cs="Arial"/>
            <w:noProof/>
            <w:sz w:val="24"/>
            <w:szCs w:val="24"/>
          </w:rPr>
          <w:t>9</w:t>
        </w:r>
      </w:hyperlink>
      <w:r w:rsidR="00275862">
        <w:rPr>
          <w:rFonts w:ascii="Arial" w:hAnsi="Arial" w:cs="Arial"/>
          <w:noProof/>
          <w:sz w:val="24"/>
          <w:szCs w:val="24"/>
        </w:rPr>
        <w:t>)</w:t>
      </w:r>
      <w:r w:rsidR="00275862">
        <w:rPr>
          <w:rFonts w:ascii="Arial" w:hAnsi="Arial" w:cs="Arial"/>
          <w:sz w:val="24"/>
          <w:szCs w:val="24"/>
        </w:rPr>
        <w:fldChar w:fldCharType="end"/>
      </w:r>
      <w:r w:rsidR="00275862">
        <w:rPr>
          <w:rFonts w:ascii="Arial" w:hAnsi="Arial" w:cs="Arial"/>
          <w:sz w:val="24"/>
          <w:szCs w:val="24"/>
        </w:rPr>
        <w:t xml:space="preserve"> </w:t>
      </w:r>
      <w:r w:rsidR="00774119">
        <w:rPr>
          <w:rFonts w:ascii="Arial" w:hAnsi="Arial" w:cs="Arial"/>
          <w:sz w:val="24"/>
          <w:szCs w:val="24"/>
        </w:rPr>
        <w:t>gave an adjusted odds ratio etc.: we discuss covariate adjustment in next week’s article.</w:t>
      </w:r>
    </w:p>
    <w:p w14:paraId="2977D01B" w14:textId="77777777" w:rsidR="00CC53BF" w:rsidRDefault="00CC53BF" w:rsidP="000B71EF">
      <w:pPr>
        <w:spacing w:after="0" w:line="360" w:lineRule="auto"/>
        <w:rPr>
          <w:rFonts w:ascii="Arial" w:hAnsi="Arial" w:cs="Arial"/>
          <w:sz w:val="24"/>
          <w:szCs w:val="24"/>
        </w:rPr>
      </w:pPr>
    </w:p>
    <w:p w14:paraId="74775DF8" w14:textId="77777777" w:rsidR="00CC53BF" w:rsidRDefault="00CC53BF" w:rsidP="000B71EF">
      <w:pPr>
        <w:spacing w:after="0" w:line="360" w:lineRule="auto"/>
        <w:rPr>
          <w:rFonts w:ascii="Arial" w:hAnsi="Arial" w:cs="Arial"/>
          <w:sz w:val="24"/>
          <w:szCs w:val="24"/>
        </w:rPr>
      </w:pPr>
      <w:r>
        <w:rPr>
          <w:rFonts w:ascii="Arial" w:hAnsi="Arial" w:cs="Arial"/>
          <w:sz w:val="24"/>
          <w:szCs w:val="24"/>
        </w:rPr>
        <w:t xml:space="preserve">The IMPROVE-IT trial </w:t>
      </w:r>
      <w:r w:rsidR="00D871FD">
        <w:rPr>
          <w:rFonts w:ascii="Arial" w:hAnsi="Arial" w:cs="Arial"/>
          <w:sz w:val="24"/>
          <w:szCs w:val="24"/>
        </w:rPr>
        <w:fldChar w:fldCharType="begin"/>
      </w:r>
      <w:r w:rsidR="00D871FD">
        <w:rPr>
          <w:rFonts w:ascii="Arial" w:hAnsi="Arial" w:cs="Arial"/>
          <w:sz w:val="24"/>
          <w:szCs w:val="24"/>
        </w:rPr>
        <w:instrText xml:space="preserve"> ADDIN EN.CITE &lt;EndNote&gt;&lt;Cite&gt;&lt;Author&gt;Cannon&lt;/Author&gt;&lt;Year&gt;2015&lt;/Year&gt;&lt;RecNum&gt;54&lt;/RecNum&gt;&lt;DisplayText&gt;(20)&lt;/DisplayText&gt;&lt;record&gt;&lt;rec-number&gt;54&lt;/rec-number&gt;&lt;foreign-keys&gt;&lt;key app="EN" db-id="eaz5sewevp5dfxewrdrvzv52xsv2tsf22rzr"&gt;54&lt;/key&gt;&lt;/foreign-keys&gt;&lt;ref-type name="Journal Article"&gt;17&lt;/ref-type&gt;&lt;contributors&gt;&lt;authors&gt;&lt;author&gt;Cannon, Christopher P.&lt;/author&gt;&lt;author&gt;Blazing, Michael A.&lt;/author&gt;&lt;author&gt;Giugliano, Robert P.&lt;/author&gt;&lt;author&gt;McCagg, Amy&lt;/author&gt;&lt;author&gt;White, Jennifer A.&lt;/author&gt;&lt;author&gt;Theroux, Pierre&lt;/author&gt;&lt;author&gt;Darius, Harald&lt;/author&gt;&lt;author&gt;Lewis, Basil S.&lt;/author&gt;&lt;author&gt;Ophuis, Ton Oude&lt;/author&gt;&lt;author&gt;Jukema, J. Wouter&lt;/author&gt;&lt;author&gt;De Ferrari, Gaetano M.&lt;/author&gt;&lt;author&gt;Ruzyllo, Witold&lt;/author&gt;&lt;author&gt;De Lucca, Paul&lt;/author&gt;&lt;author&gt;Im, KyungAh&lt;/author&gt;&lt;author&gt;Bohula, Erin A.&lt;/author&gt;&lt;author&gt;Reist, Craig&lt;/author&gt;&lt;author&gt;Wiviott, Stephen D.&lt;/author&gt;&lt;author&gt;Tershakovec, Andrew M.&lt;/author&gt;&lt;author&gt;Musliner, Thomas A.&lt;/author&gt;&lt;author&gt;Braunwald, Eugene&lt;/author&gt;&lt;author&gt;Califf, Robert M.&lt;/author&gt;&lt;/authors&gt;&lt;/contributors&gt;&lt;titles&gt;&lt;title&gt;Ezetimibe Added to Statin Therapy after Acute Coronary Syndromes&lt;/title&gt;&lt;secondary-title&gt;New England Journal of Medicine&lt;/secondary-title&gt;&lt;/titles&gt;&lt;periodical&gt;&lt;full-title&gt;New England Journal of Medicine&lt;/full-title&gt;&lt;/periodical&gt;&lt;pages&gt;2387-2397&lt;/pages&gt;&lt;volume&gt;372&lt;/volume&gt;&lt;number&gt;25&lt;/number&gt;&lt;dates&gt;&lt;year&gt;2015&lt;/year&gt;&lt;/dates&gt;&lt;accession-num&gt;26039521&lt;/accession-num&gt;&lt;call-num&gt;13&lt;/call-num&gt;&lt;urls&gt;&lt;related-urls&gt;&lt;url&gt;http://www.nejm.org/doi/full/10.1056/NEJMoa1410489&lt;/url&gt;&lt;/related-urls&gt;&lt;/urls&gt;&lt;electronic-resource-num&gt;doi:10.1056/NEJMoa1410489&lt;/electronic-resource-num&gt;&lt;/record&gt;&lt;/Cite&gt;&lt;/EndNote&gt;</w:instrText>
      </w:r>
      <w:r w:rsidR="00D871FD">
        <w:rPr>
          <w:rFonts w:ascii="Arial" w:hAnsi="Arial" w:cs="Arial"/>
          <w:sz w:val="24"/>
          <w:szCs w:val="24"/>
        </w:rPr>
        <w:fldChar w:fldCharType="separate"/>
      </w:r>
      <w:r w:rsidR="00D871FD">
        <w:rPr>
          <w:rFonts w:ascii="Arial" w:hAnsi="Arial" w:cs="Arial"/>
          <w:noProof/>
          <w:sz w:val="24"/>
          <w:szCs w:val="24"/>
        </w:rPr>
        <w:t>(</w:t>
      </w:r>
      <w:hyperlink w:anchor="_ENREF_20" w:tooltip="Cannon, 2015 #54" w:history="1">
        <w:r w:rsidR="00C06C90">
          <w:rPr>
            <w:rFonts w:ascii="Arial" w:hAnsi="Arial" w:cs="Arial"/>
            <w:noProof/>
            <w:sz w:val="24"/>
            <w:szCs w:val="24"/>
          </w:rPr>
          <w:t>20</w:t>
        </w:r>
      </w:hyperlink>
      <w:r w:rsidR="00D871FD">
        <w:rPr>
          <w:rFonts w:ascii="Arial" w:hAnsi="Arial" w:cs="Arial"/>
          <w:noProof/>
          <w:sz w:val="24"/>
          <w:szCs w:val="24"/>
        </w:rPr>
        <w:t>)</w:t>
      </w:r>
      <w:r w:rsidR="00D871FD">
        <w:rPr>
          <w:rFonts w:ascii="Arial" w:hAnsi="Arial" w:cs="Arial"/>
          <w:sz w:val="24"/>
          <w:szCs w:val="24"/>
        </w:rPr>
        <w:fldChar w:fldCharType="end"/>
      </w:r>
      <w:r w:rsidR="00791C71">
        <w:rPr>
          <w:rFonts w:ascii="Arial" w:hAnsi="Arial" w:cs="Arial"/>
          <w:sz w:val="24"/>
          <w:szCs w:val="24"/>
        </w:rPr>
        <w:t xml:space="preserve"> </w:t>
      </w:r>
      <w:r>
        <w:rPr>
          <w:rFonts w:ascii="Arial" w:hAnsi="Arial" w:cs="Arial"/>
          <w:sz w:val="24"/>
          <w:szCs w:val="24"/>
        </w:rPr>
        <w:t xml:space="preserve">compared ezetimibe with placebo in </w:t>
      </w:r>
      <w:r w:rsidR="00FE471D">
        <w:rPr>
          <w:rFonts w:ascii="Arial" w:hAnsi="Arial" w:cs="Arial"/>
          <w:sz w:val="24"/>
          <w:szCs w:val="24"/>
        </w:rPr>
        <w:t>18,144 post-ACS patients receiving simvastatin 40 mg. The primary composite endpoint over a mean 5.4 years was CV death, MI, stroke, unstable angina and coronar</w:t>
      </w:r>
      <w:r w:rsidR="00E5452B">
        <w:rPr>
          <w:rFonts w:ascii="Arial" w:hAnsi="Arial" w:cs="Arial"/>
          <w:sz w:val="24"/>
          <w:szCs w:val="24"/>
        </w:rPr>
        <w:t>y revasculariz</w:t>
      </w:r>
      <w:r w:rsidR="00FE471D">
        <w:rPr>
          <w:rFonts w:ascii="Arial" w:hAnsi="Arial" w:cs="Arial"/>
          <w:sz w:val="24"/>
          <w:szCs w:val="24"/>
        </w:rPr>
        <w:t xml:space="preserve">ation </w:t>
      </w:r>
      <w:r w:rsidR="00FE471D">
        <w:rPr>
          <w:rFonts w:ascii="Arial" w:hAnsi="Arial" w:cs="Arial"/>
          <w:sz w:val="24"/>
          <w:szCs w:val="24"/>
        </w:rPr>
        <w:lastRenderedPageBreak/>
        <w:t>with hazard ratio 0.936 (95% CI 0.88</w:t>
      </w:r>
      <w:r w:rsidR="00E5452B">
        <w:rPr>
          <w:rFonts w:ascii="Arial" w:hAnsi="Arial" w:cs="Arial"/>
          <w:sz w:val="24"/>
          <w:szCs w:val="24"/>
        </w:rPr>
        <w:t>8</w:t>
      </w:r>
      <w:r w:rsidR="00FE471D">
        <w:rPr>
          <w:rFonts w:ascii="Arial" w:hAnsi="Arial" w:cs="Arial"/>
          <w:sz w:val="24"/>
          <w:szCs w:val="24"/>
        </w:rPr>
        <w:t xml:space="preserve"> to 0.988). Here P=0.016 meaning less than a 1 in 50 chance of such a difference (or greater) arising by chance. This provides some evidence of a treatment benefit: it reaches the oft-used guideline</w:t>
      </w:r>
      <w:r w:rsidR="00E5452B">
        <w:rPr>
          <w:rFonts w:ascii="Arial" w:hAnsi="Arial" w:cs="Arial"/>
          <w:sz w:val="24"/>
          <w:szCs w:val="24"/>
        </w:rPr>
        <w:t xml:space="preserve"> of P&lt;0.05, </w:t>
      </w:r>
      <w:proofErr w:type="spellStart"/>
      <w:r w:rsidR="00E5452B">
        <w:rPr>
          <w:rFonts w:ascii="Arial" w:hAnsi="Arial" w:cs="Arial"/>
          <w:sz w:val="24"/>
          <w:szCs w:val="24"/>
        </w:rPr>
        <w:t>ie</w:t>
      </w:r>
      <w:proofErr w:type="spellEnd"/>
      <w:r w:rsidR="00E5452B">
        <w:rPr>
          <w:rFonts w:ascii="Arial" w:hAnsi="Arial" w:cs="Arial"/>
          <w:sz w:val="24"/>
          <w:szCs w:val="24"/>
        </w:rPr>
        <w:t xml:space="preserve">. </w:t>
      </w:r>
      <w:proofErr w:type="gramStart"/>
      <w:r w:rsidR="00FE471D">
        <w:rPr>
          <w:rFonts w:ascii="Arial" w:hAnsi="Arial" w:cs="Arial"/>
          <w:sz w:val="24"/>
          <w:szCs w:val="24"/>
        </w:rPr>
        <w:t>statistically</w:t>
      </w:r>
      <w:proofErr w:type="gramEnd"/>
      <w:r w:rsidR="00FE471D">
        <w:rPr>
          <w:rFonts w:ascii="Arial" w:hAnsi="Arial" w:cs="Arial"/>
          <w:sz w:val="24"/>
          <w:szCs w:val="24"/>
        </w:rPr>
        <w:t xml:space="preserve"> significan</w:t>
      </w:r>
      <w:r w:rsidR="00E5452B">
        <w:rPr>
          <w:rFonts w:ascii="Arial" w:hAnsi="Arial" w:cs="Arial"/>
          <w:sz w:val="24"/>
          <w:szCs w:val="24"/>
        </w:rPr>
        <w:t>t</w:t>
      </w:r>
      <w:r w:rsidR="00FE471D">
        <w:rPr>
          <w:rFonts w:ascii="Arial" w:hAnsi="Arial" w:cs="Arial"/>
          <w:sz w:val="24"/>
          <w:szCs w:val="24"/>
        </w:rPr>
        <w:t xml:space="preserve"> at the 5% level. </w:t>
      </w:r>
      <w:r w:rsidR="00275862">
        <w:rPr>
          <w:rFonts w:ascii="Arial" w:hAnsi="Arial" w:cs="Arial"/>
          <w:sz w:val="24"/>
          <w:szCs w:val="24"/>
        </w:rPr>
        <w:t xml:space="preserve">There is a 6.4% </w:t>
      </w:r>
      <w:r w:rsidR="00FE471D">
        <w:rPr>
          <w:rFonts w:ascii="Arial" w:hAnsi="Arial" w:cs="Arial"/>
          <w:sz w:val="24"/>
          <w:szCs w:val="24"/>
        </w:rPr>
        <w:t xml:space="preserve">relative risk reduction </w:t>
      </w:r>
      <w:r w:rsidR="00275862">
        <w:rPr>
          <w:rFonts w:ascii="Arial" w:hAnsi="Arial" w:cs="Arial"/>
          <w:sz w:val="24"/>
          <w:szCs w:val="24"/>
        </w:rPr>
        <w:t>and an absolute treatment difference of 2.0%, both with wide confidence intervals. This suggests a modest treatment benefit which is imprecisely estimated</w:t>
      </w:r>
      <w:r w:rsidR="00FE471D">
        <w:rPr>
          <w:rFonts w:ascii="Arial" w:hAnsi="Arial" w:cs="Arial"/>
          <w:sz w:val="24"/>
          <w:szCs w:val="24"/>
        </w:rPr>
        <w:t>.</w:t>
      </w:r>
    </w:p>
    <w:p w14:paraId="225CDBD8" w14:textId="77777777" w:rsidR="00FE471D" w:rsidRDefault="00FE471D" w:rsidP="000B71EF">
      <w:pPr>
        <w:spacing w:after="0" w:line="360" w:lineRule="auto"/>
        <w:rPr>
          <w:rFonts w:ascii="Arial" w:hAnsi="Arial" w:cs="Arial"/>
          <w:sz w:val="24"/>
          <w:szCs w:val="24"/>
        </w:rPr>
      </w:pPr>
    </w:p>
    <w:p w14:paraId="5F6AC4E9" w14:textId="76BAE437" w:rsidR="00FE471D" w:rsidRDefault="00FE471D" w:rsidP="000B71EF">
      <w:pPr>
        <w:spacing w:after="0" w:line="360" w:lineRule="auto"/>
        <w:rPr>
          <w:rFonts w:ascii="Arial" w:hAnsi="Arial" w:cs="Arial"/>
          <w:sz w:val="24"/>
          <w:szCs w:val="24"/>
        </w:rPr>
      </w:pPr>
      <w:r>
        <w:rPr>
          <w:rFonts w:ascii="Arial" w:hAnsi="Arial" w:cs="Arial"/>
          <w:sz w:val="24"/>
          <w:szCs w:val="24"/>
        </w:rPr>
        <w:t xml:space="preserve">In the SYMPLICITY </w:t>
      </w:r>
      <w:r w:rsidR="00275862">
        <w:rPr>
          <w:rFonts w:ascii="Arial" w:hAnsi="Arial" w:cs="Arial"/>
          <w:sz w:val="24"/>
          <w:szCs w:val="24"/>
        </w:rPr>
        <w:t>HTN-</w:t>
      </w:r>
      <w:r>
        <w:rPr>
          <w:rFonts w:ascii="Arial" w:hAnsi="Arial" w:cs="Arial"/>
          <w:sz w:val="24"/>
          <w:szCs w:val="24"/>
        </w:rPr>
        <w:t>3 trial</w:t>
      </w:r>
      <w:r w:rsidR="00AB4DCA">
        <w:rPr>
          <w:rFonts w:ascii="Arial" w:hAnsi="Arial" w:cs="Arial"/>
          <w:sz w:val="24"/>
          <w:szCs w:val="24"/>
        </w:rPr>
        <w:t xml:space="preserve"> </w:t>
      </w:r>
      <w:r w:rsidR="00AB4DCA">
        <w:rPr>
          <w:rFonts w:ascii="Arial" w:hAnsi="Arial" w:cs="Arial"/>
          <w:sz w:val="24"/>
          <w:szCs w:val="24"/>
        </w:rPr>
        <w:fldChar w:fldCharType="begin"/>
      </w:r>
      <w:r w:rsidR="006C412F">
        <w:rPr>
          <w:rFonts w:ascii="Arial" w:hAnsi="Arial" w:cs="Arial"/>
          <w:sz w:val="24"/>
          <w:szCs w:val="24"/>
        </w:rPr>
        <w:instrText xml:space="preserve"> ADDIN EN.CITE &lt;EndNote&gt;&lt;Cite&gt;&lt;Author&gt;Bhatt&lt;/Author&gt;&lt;Year&gt;2014&lt;/Year&gt;&lt;RecNum&gt;18&lt;/RecNum&gt;&lt;DisplayText&gt;(17)&lt;/DisplayText&gt;&lt;record&gt;&lt;rec-number&gt;18&lt;/rec-number&gt;&lt;foreign-keys&gt;&lt;key app="EN" db-id="eaz5sewevp5dfxewrdrvzv52xsv2tsf22rzr"&gt;18&lt;/key&gt;&lt;/foreign-keys&gt;&lt;ref-type name="Journal Article"&gt;17&lt;/ref-type&gt;&lt;contributors&gt;&lt;authors&gt;&lt;author&gt;Bhatt, Deepak L.&lt;/author&gt;&lt;author&gt;Kandzari, David E.&lt;/author&gt;&lt;author&gt;O&amp;apos;Neill, William W.&lt;/author&gt;&lt;author&gt;D&amp;apos;Agostino, Ralph&lt;/author&gt;&lt;author&gt;Flack, John M.&lt;/author&gt;&lt;author&gt;Katzen, Barry T.&lt;/author&gt;&lt;author&gt;Leon, Martin B.&lt;/author&gt;&lt;author&gt;Liu, Minglei&lt;/author&gt;&lt;author&gt;Mauri, Laura&lt;/author&gt;&lt;author&gt;Negoita, Manuela&lt;/author&gt;&lt;author&gt;Cohen, Sidney A.&lt;/author&gt;&lt;author&gt;Oparil, Suzanne&lt;/author&gt;&lt;author&gt;Rocha-Singh, Krishna&lt;/author&gt;&lt;author&gt;Townsend, Raymond R.&lt;/author&gt;&lt;author&gt;Bakris, George L.&lt;/author&gt;&lt;/authors&gt;&lt;/contributors&gt;&lt;titles&gt;&lt;title&gt;A Controlled Trial of Renal Denervation for Resistant Hypertension&lt;/title&gt;&lt;secondary-title&gt;New England Journal of Medicine&lt;/secondary-title&gt;&lt;/titles&gt;&lt;periodical&gt;&lt;full-title&gt;New England Journal of Medicine&lt;/full-title&gt;&lt;/periodical&gt;&lt;pages&gt;1393-1401&lt;/pages&gt;&lt;volume&gt;370&lt;/volume&gt;&lt;number&gt;15&lt;/number&gt;&lt;dates&gt;&lt;year&gt;2014&lt;/year&gt;&lt;/dates&gt;&lt;accession-num&gt;24678939&lt;/accession-num&gt;&lt;call-num&gt;12&lt;/call-num&gt;&lt;urls&gt;&lt;related-urls&gt;&lt;url&gt;http://www.nejm.org/doi/full/10.1056/NEJMoa1402670&lt;/url&gt;&lt;/related-urls&gt;&lt;/urls&gt;&lt;electronic-resource-num&gt;doi:10.1056/NEJMoa1402670&lt;/electronic-resource-num&gt;&lt;/record&gt;&lt;/Cite&gt;&lt;/EndNote&gt;</w:instrText>
      </w:r>
      <w:r w:rsidR="00AB4DCA">
        <w:rPr>
          <w:rFonts w:ascii="Arial" w:hAnsi="Arial" w:cs="Arial"/>
          <w:sz w:val="24"/>
          <w:szCs w:val="24"/>
        </w:rPr>
        <w:fldChar w:fldCharType="separate"/>
      </w:r>
      <w:r w:rsidR="006C412F">
        <w:rPr>
          <w:rFonts w:ascii="Arial" w:hAnsi="Arial" w:cs="Arial"/>
          <w:noProof/>
          <w:sz w:val="24"/>
          <w:szCs w:val="24"/>
        </w:rPr>
        <w:t>(</w:t>
      </w:r>
      <w:hyperlink w:anchor="_ENREF_17" w:tooltip="Bhatt, 2014 #18" w:history="1">
        <w:r w:rsidR="00C06C90">
          <w:rPr>
            <w:rFonts w:ascii="Arial" w:hAnsi="Arial" w:cs="Arial"/>
            <w:noProof/>
            <w:sz w:val="24"/>
            <w:szCs w:val="24"/>
          </w:rPr>
          <w:t>17</w:t>
        </w:r>
      </w:hyperlink>
      <w:r w:rsidR="006C412F">
        <w:rPr>
          <w:rFonts w:ascii="Arial" w:hAnsi="Arial" w:cs="Arial"/>
          <w:noProof/>
          <w:sz w:val="24"/>
          <w:szCs w:val="24"/>
        </w:rPr>
        <w:t>)</w:t>
      </w:r>
      <w:r w:rsidR="00AB4DCA">
        <w:rPr>
          <w:rFonts w:ascii="Arial" w:hAnsi="Arial" w:cs="Arial"/>
          <w:sz w:val="24"/>
          <w:szCs w:val="24"/>
        </w:rPr>
        <w:fldChar w:fldCharType="end"/>
      </w:r>
      <w:r>
        <w:rPr>
          <w:rFonts w:ascii="Arial" w:hAnsi="Arial" w:cs="Arial"/>
          <w:sz w:val="24"/>
          <w:szCs w:val="24"/>
        </w:rPr>
        <w:t xml:space="preserve"> (Figure 5) the mean difference between renal denervation and sham procedure in 6 month change in systolic blood pressure adjusted for baseline was -4.11 mmHg with 95% CI -8.44 to +0.22 mmHg. </w:t>
      </w:r>
      <w:r w:rsidR="00586530">
        <w:rPr>
          <w:rFonts w:ascii="Arial" w:hAnsi="Arial" w:cs="Arial"/>
          <w:sz w:val="24"/>
          <w:szCs w:val="24"/>
        </w:rPr>
        <w:t xml:space="preserve">Here P=0.064. Under the null hypothesis that renal denervation is ineffective this observed magnitude of treatment difference has more than a 1 in 20 chance of occurring. Since P&gt;0.05 </w:t>
      </w:r>
      <w:proofErr w:type="spellStart"/>
      <w:r w:rsidR="00586530">
        <w:rPr>
          <w:rFonts w:ascii="Arial" w:hAnsi="Arial" w:cs="Arial"/>
          <w:sz w:val="24"/>
          <w:szCs w:val="24"/>
        </w:rPr>
        <w:t>ie</w:t>
      </w:r>
      <w:proofErr w:type="spellEnd"/>
      <w:r w:rsidR="00586530">
        <w:rPr>
          <w:rFonts w:ascii="Arial" w:hAnsi="Arial" w:cs="Arial"/>
          <w:sz w:val="24"/>
          <w:szCs w:val="24"/>
        </w:rPr>
        <w:t>. 5% significance is not achieved, it is customary to declare that there is insufficient evidence that renal denervation reduces systolic blood pressure. This should not be interpreted dogmatically that renal denervation has no effect (</w:t>
      </w:r>
      <w:r w:rsidR="003205DD">
        <w:rPr>
          <w:rFonts w:ascii="Arial" w:hAnsi="Arial" w:cs="Arial"/>
          <w:sz w:val="24"/>
          <w:szCs w:val="24"/>
        </w:rPr>
        <w:t>i.e.</w:t>
      </w:r>
      <w:r w:rsidR="00586530">
        <w:rPr>
          <w:rFonts w:ascii="Arial" w:hAnsi="Arial" w:cs="Arial"/>
          <w:sz w:val="24"/>
          <w:szCs w:val="24"/>
        </w:rPr>
        <w:t xml:space="preserve"> the null hypothesis is</w:t>
      </w:r>
      <w:r w:rsidR="005B0495">
        <w:rPr>
          <w:rFonts w:ascii="Arial" w:hAnsi="Arial" w:cs="Arial"/>
          <w:sz w:val="24"/>
          <w:szCs w:val="24"/>
        </w:rPr>
        <w:t xml:space="preserve"> not necessarily</w:t>
      </w:r>
      <w:r w:rsidR="00586530">
        <w:rPr>
          <w:rFonts w:ascii="Arial" w:hAnsi="Arial" w:cs="Arial"/>
          <w:sz w:val="24"/>
          <w:szCs w:val="24"/>
        </w:rPr>
        <w:t xml:space="preserve"> true). Rather, we should declare there is insufficient evidence that renal denervation lowers systolic blood pressure compared to a sham procedure. It may be that renal denervation has a modest effect OR it may have no effect: the data are inconclusive.</w:t>
      </w:r>
    </w:p>
    <w:p w14:paraId="1E10F783" w14:textId="77777777" w:rsidR="00586530" w:rsidRDefault="00586530" w:rsidP="000B71EF">
      <w:pPr>
        <w:spacing w:after="0" w:line="360" w:lineRule="auto"/>
        <w:rPr>
          <w:rFonts w:ascii="Arial" w:hAnsi="Arial" w:cs="Arial"/>
          <w:sz w:val="24"/>
          <w:szCs w:val="24"/>
        </w:rPr>
      </w:pPr>
    </w:p>
    <w:p w14:paraId="0BF42067" w14:textId="77777777" w:rsidR="00586530" w:rsidRDefault="00586530" w:rsidP="000B71EF">
      <w:pPr>
        <w:spacing w:after="0" w:line="360" w:lineRule="auto"/>
        <w:rPr>
          <w:rFonts w:ascii="Arial" w:hAnsi="Arial" w:cs="Arial"/>
          <w:sz w:val="24"/>
          <w:szCs w:val="24"/>
        </w:rPr>
      </w:pPr>
      <w:r>
        <w:rPr>
          <w:rFonts w:ascii="Arial" w:hAnsi="Arial" w:cs="Arial"/>
          <w:sz w:val="24"/>
          <w:szCs w:val="24"/>
        </w:rPr>
        <w:t>Now to a more clearly neutral finding. The ASTRONAUT trial</w:t>
      </w:r>
      <w:r w:rsidR="00AB4DCA">
        <w:rPr>
          <w:rFonts w:ascii="Arial" w:hAnsi="Arial" w:cs="Arial"/>
          <w:sz w:val="24"/>
          <w:szCs w:val="24"/>
        </w:rPr>
        <w:t xml:space="preserve"> </w:t>
      </w:r>
      <w:r w:rsidR="00791C71">
        <w:rPr>
          <w:rFonts w:ascii="Arial" w:hAnsi="Arial" w:cs="Arial"/>
          <w:sz w:val="24"/>
          <w:szCs w:val="24"/>
        </w:rPr>
        <w:fldChar w:fldCharType="begin"/>
      </w:r>
      <w:r w:rsidR="00D871FD">
        <w:rPr>
          <w:rFonts w:ascii="Arial" w:hAnsi="Arial" w:cs="Arial"/>
          <w:sz w:val="24"/>
          <w:szCs w:val="24"/>
        </w:rPr>
        <w:instrText xml:space="preserve"> ADDIN EN.CITE &lt;EndNote&gt;&lt;Cite&gt;&lt;Author&gt;Gheorghiade&lt;/Author&gt;&lt;Year&gt;2013&lt;/Year&gt;&lt;RecNum&gt;29&lt;/RecNum&gt;&lt;DisplayText&gt;(21)&lt;/DisplayText&gt;&lt;record&gt;&lt;rec-number&gt;29&lt;/rec-number&gt;&lt;foreign-keys&gt;&lt;key app="EN" db-id="eaz5sewevp5dfxewrdrvzv52xsv2tsf22rzr"&gt;29&lt;/key&gt;&lt;/foreign-keys&gt;&lt;ref-type name="Journal Article"&gt;17&lt;/ref-type&gt;&lt;contributors&gt;&lt;authors&gt;&lt;author&gt;Gheorghiade, M.&lt;/author&gt;&lt;author&gt;Böhm, M.&lt;/author&gt;&lt;author&gt;Greene, S. J.&lt;/author&gt;&lt;author&gt;et al.,&lt;/author&gt;&lt;/authors&gt;&lt;/contributors&gt;&lt;titles&gt;&lt;title&gt;Effect of aliskiren on postdischarge mortality and heart failure readmissions among patients hospitalized for heart failure: The astronaut randomized trial&lt;/title&gt;&lt;secondary-title&gt;JAMA&lt;/secondary-title&gt;&lt;/titles&gt;&lt;periodical&gt;&lt;full-title&gt;JAMA&lt;/full-title&gt;&lt;/periodical&gt;&lt;pages&gt;1125-1135&lt;/pages&gt;&lt;volume&gt;309&lt;/volume&gt;&lt;number&gt;11&lt;/number&gt;&lt;dates&gt;&lt;year&gt;2013&lt;/year&gt;&lt;/dates&gt;&lt;isbn&gt;0098-7484&lt;/isbn&gt;&lt;call-num&gt;17&lt;/call-num&gt;&lt;urls&gt;&lt;related-urls&gt;&lt;url&gt;http://dx.doi.org/10.1001/jama.2013.1954&lt;/url&gt;&lt;/related-urls&gt;&lt;/urls&gt;&lt;electronic-resource-num&gt;10.1001/jama.2013.1954&lt;/electronic-resource-num&gt;&lt;/record&gt;&lt;/Cite&gt;&lt;/EndNote&gt;</w:instrText>
      </w:r>
      <w:r w:rsidR="00791C71">
        <w:rPr>
          <w:rFonts w:ascii="Arial" w:hAnsi="Arial" w:cs="Arial"/>
          <w:sz w:val="24"/>
          <w:szCs w:val="24"/>
        </w:rPr>
        <w:fldChar w:fldCharType="separate"/>
      </w:r>
      <w:r w:rsidR="00D871FD">
        <w:rPr>
          <w:rFonts w:ascii="Arial" w:hAnsi="Arial" w:cs="Arial"/>
          <w:noProof/>
          <w:sz w:val="24"/>
          <w:szCs w:val="24"/>
        </w:rPr>
        <w:t>(</w:t>
      </w:r>
      <w:hyperlink w:anchor="_ENREF_21" w:tooltip="Gheorghiade, 2013 #29" w:history="1">
        <w:r w:rsidR="00C06C90">
          <w:rPr>
            <w:rFonts w:ascii="Arial" w:hAnsi="Arial" w:cs="Arial"/>
            <w:noProof/>
            <w:sz w:val="24"/>
            <w:szCs w:val="24"/>
          </w:rPr>
          <w:t>21</w:t>
        </w:r>
      </w:hyperlink>
      <w:r w:rsidR="00D871FD">
        <w:rPr>
          <w:rFonts w:ascii="Arial" w:hAnsi="Arial" w:cs="Arial"/>
          <w:noProof/>
          <w:sz w:val="24"/>
          <w:szCs w:val="24"/>
        </w:rPr>
        <w:t>)</w:t>
      </w:r>
      <w:r w:rsidR="00791C71">
        <w:rPr>
          <w:rFonts w:ascii="Arial" w:hAnsi="Arial" w:cs="Arial"/>
          <w:sz w:val="24"/>
          <w:szCs w:val="24"/>
        </w:rPr>
        <w:fldChar w:fldCharType="end"/>
      </w:r>
      <w:r>
        <w:rPr>
          <w:rFonts w:ascii="Arial" w:hAnsi="Arial" w:cs="Arial"/>
          <w:sz w:val="24"/>
          <w:szCs w:val="24"/>
        </w:rPr>
        <w:t xml:space="preserve"> randomised 1639 patients with hospitalised heart failure to aliskiren or placebo with a median 11.3 months follow-up. The primary endpoint, re-hospitalisation for heart failure or cardiovascular death, had hazard ratio 0.92 (95% CI 0.76 to 1.12) with P=0.41. With such a clearly non-significant P-value, there is no evidence that aliskiren has an effect on the primary endpoint. However, we still cannot assert definitively that aliskiren has no effect: the hazard ratio is in the direction of </w:t>
      </w:r>
      <w:r w:rsidR="001C52BE">
        <w:rPr>
          <w:rFonts w:ascii="Arial" w:hAnsi="Arial" w:cs="Arial"/>
          <w:sz w:val="24"/>
          <w:szCs w:val="24"/>
        </w:rPr>
        <w:t>slightly fewer primary events on aliskiren and the wide confidence interval extends out to a substantial distance from neutrality (hazard ratio =1)</w:t>
      </w:r>
      <w:r w:rsidR="002F4AFB">
        <w:rPr>
          <w:rFonts w:ascii="Arial" w:hAnsi="Arial" w:cs="Arial"/>
          <w:sz w:val="24"/>
          <w:szCs w:val="24"/>
        </w:rPr>
        <w:t xml:space="preserve"> in both directions</w:t>
      </w:r>
      <w:r w:rsidR="001C52BE">
        <w:rPr>
          <w:rFonts w:ascii="Arial" w:hAnsi="Arial" w:cs="Arial"/>
          <w:sz w:val="24"/>
          <w:szCs w:val="24"/>
        </w:rPr>
        <w:t xml:space="preserve">. </w:t>
      </w:r>
    </w:p>
    <w:p w14:paraId="2F8BD1A8" w14:textId="77777777" w:rsidR="005B0495" w:rsidRDefault="005B0495" w:rsidP="000B71EF">
      <w:pPr>
        <w:spacing w:after="0" w:line="360" w:lineRule="auto"/>
        <w:rPr>
          <w:rFonts w:ascii="Arial" w:hAnsi="Arial" w:cs="Arial"/>
          <w:sz w:val="24"/>
          <w:szCs w:val="24"/>
        </w:rPr>
      </w:pPr>
    </w:p>
    <w:p w14:paraId="21F6E363" w14:textId="77777777" w:rsidR="001C52BE" w:rsidRDefault="001C52BE" w:rsidP="000B71EF">
      <w:pPr>
        <w:spacing w:after="0" w:line="360" w:lineRule="auto"/>
        <w:rPr>
          <w:rFonts w:ascii="Arial" w:hAnsi="Arial" w:cs="Arial"/>
          <w:sz w:val="24"/>
          <w:szCs w:val="24"/>
        </w:rPr>
      </w:pPr>
      <w:r>
        <w:rPr>
          <w:rFonts w:ascii="Arial" w:hAnsi="Arial" w:cs="Arial"/>
          <w:sz w:val="24"/>
          <w:szCs w:val="24"/>
        </w:rPr>
        <w:t>Thus, we may think of P-values not as a “black and white” significant/non-significant dichotomy but more in terms of “shades of grey”</w:t>
      </w:r>
      <w:r w:rsidR="00275862">
        <w:rPr>
          <w:rFonts w:ascii="Arial" w:hAnsi="Arial" w:cs="Arial"/>
          <w:sz w:val="24"/>
          <w:szCs w:val="24"/>
        </w:rPr>
        <w:t xml:space="preserve"> </w:t>
      </w:r>
      <w:r w:rsidR="00C468D8">
        <w:rPr>
          <w:rFonts w:ascii="Arial" w:hAnsi="Arial" w:cs="Arial"/>
          <w:sz w:val="24"/>
          <w:szCs w:val="24"/>
        </w:rPr>
        <w:fldChar w:fldCharType="begin"/>
      </w:r>
      <w:r w:rsidR="00D871FD">
        <w:rPr>
          <w:rFonts w:ascii="Arial" w:hAnsi="Arial" w:cs="Arial"/>
          <w:sz w:val="24"/>
          <w:szCs w:val="24"/>
        </w:rPr>
        <w:instrText xml:space="preserve"> ADDIN EN.CITE &lt;EndNote&gt;&lt;Cite&gt;&lt;Author&gt;Sterne&lt;/Author&gt;&lt;Year&gt;2001&lt;/Year&gt;&lt;RecNum&gt;44&lt;/RecNum&gt;&lt;DisplayText&gt;(22)&lt;/DisplayText&gt;&lt;record&gt;&lt;rec-number&gt;44&lt;/rec-number&gt;&lt;foreign-keys&gt;&lt;key app="EN" db-id="eaz5sewevp5dfxewrdrvzv52xsv2tsf22rzr"&gt;44&lt;/key&gt;&lt;/foreign-keys&gt;&lt;ref-type name="Journal Article"&gt;17&lt;/ref-type&gt;&lt;contributors&gt;&lt;authors&gt;&lt;author&gt;Sterne, J. A.&lt;/author&gt;&lt;author&gt;Davey Smith, G.&lt;/author&gt;&lt;/authors&gt;&lt;/contributors&gt;&lt;auth-address&gt;Department of Social Medicine, University of Bristol, Bristol BS8 2PR. jonathan.sterne@bristol.ac.uk&lt;/auth-address&gt;&lt;titles&gt;&lt;title&gt;Sifting the evidence-what&amp;apos;s wrong with significance tests?&lt;/title&gt;&lt;secondary-title&gt;BMJ&lt;/secondary-title&gt;&lt;alt-title&gt;BMJ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ed.)&lt;/abbr-1&gt;&lt;/alt-periodical&gt;&lt;pages&gt;226-31&lt;/pages&gt;&lt;volume&gt;322&lt;/volume&gt;&lt;number&gt;7280&lt;/number&gt;&lt;edition&gt;2001/02/13&lt;/edition&gt;&lt;keywords&gt;&lt;keyword&gt;Bayes Theorem&lt;/keyword&gt;&lt;keyword&gt;Data Interpretation, Statistical&lt;/keyword&gt;&lt;keyword&gt;History, 20th Century&lt;/keyword&gt;&lt;keyword&gt;Humans&lt;/keyword&gt;&lt;keyword&gt;Research Design&lt;/keyword&gt;&lt;keyword&gt;Statistics as Topic/history/*methods&lt;/keyword&gt;&lt;/keywords&gt;&lt;dates&gt;&lt;year&gt;2001&lt;/year&gt;&lt;pub-dates&gt;&lt;date&gt;Jan 27&lt;/date&gt;&lt;/pub-dates&gt;&lt;/dates&gt;&lt;isbn&gt;0959-8138 (Print)&amp;#xD;0959-535x&lt;/isbn&gt;&lt;accession-num&gt;11159626&lt;/accession-num&gt;&lt;call-num&gt;15&lt;/call-num&gt;&lt;urls&gt;&lt;/urls&gt;&lt;custom2&gt;Pmc1119478&lt;/custom2&gt;&lt;remote-database-provider&gt;Nlm&lt;/remote-database-provider&gt;&lt;language&gt;eng&lt;/language&gt;&lt;/record&gt;&lt;/Cite&gt;&lt;/EndNote&gt;</w:instrText>
      </w:r>
      <w:r w:rsidR="00C468D8">
        <w:rPr>
          <w:rFonts w:ascii="Arial" w:hAnsi="Arial" w:cs="Arial"/>
          <w:sz w:val="24"/>
          <w:szCs w:val="24"/>
        </w:rPr>
        <w:fldChar w:fldCharType="separate"/>
      </w:r>
      <w:r w:rsidR="00D871FD">
        <w:rPr>
          <w:rFonts w:ascii="Arial" w:hAnsi="Arial" w:cs="Arial"/>
          <w:noProof/>
          <w:sz w:val="24"/>
          <w:szCs w:val="24"/>
        </w:rPr>
        <w:t>(</w:t>
      </w:r>
      <w:hyperlink w:anchor="_ENREF_22" w:tooltip="Sterne, 2001 #44" w:history="1">
        <w:r w:rsidR="00C06C90">
          <w:rPr>
            <w:rFonts w:ascii="Arial" w:hAnsi="Arial" w:cs="Arial"/>
            <w:noProof/>
            <w:sz w:val="24"/>
            <w:szCs w:val="24"/>
          </w:rPr>
          <w:t>22</w:t>
        </w:r>
      </w:hyperlink>
      <w:r w:rsidR="00D871FD">
        <w:rPr>
          <w:rFonts w:ascii="Arial" w:hAnsi="Arial" w:cs="Arial"/>
          <w:noProof/>
          <w:sz w:val="24"/>
          <w:szCs w:val="24"/>
        </w:rPr>
        <w:t>)</w:t>
      </w:r>
      <w:r w:rsidR="00C468D8">
        <w:rPr>
          <w:rFonts w:ascii="Arial" w:hAnsi="Arial" w:cs="Arial"/>
          <w:sz w:val="24"/>
          <w:szCs w:val="24"/>
        </w:rPr>
        <w:fldChar w:fldCharType="end"/>
      </w:r>
      <w:r>
        <w:rPr>
          <w:rFonts w:ascii="Arial" w:hAnsi="Arial" w:cs="Arial"/>
          <w:sz w:val="24"/>
          <w:szCs w:val="24"/>
        </w:rPr>
        <w:t xml:space="preserve">. This analogy to a recent movie is not to make statistics sexy, nor to suggest that statisticians are sadists, but more in the spirit of the expression’s original meaning. The smaller the value of P the </w:t>
      </w:r>
      <w:r>
        <w:rPr>
          <w:rFonts w:ascii="Arial" w:hAnsi="Arial" w:cs="Arial"/>
          <w:sz w:val="24"/>
          <w:szCs w:val="24"/>
        </w:rPr>
        <w:lastRenderedPageBreak/>
        <w:t>stronger the evidence to contradict the null hypothesis of no true treatment difference. We can think of P&lt;0.000001 as “pure white” and P=0.</w:t>
      </w:r>
      <w:r w:rsidR="005B0495">
        <w:rPr>
          <w:rFonts w:ascii="Arial" w:hAnsi="Arial" w:cs="Arial"/>
          <w:sz w:val="24"/>
          <w:szCs w:val="24"/>
        </w:rPr>
        <w:t>99</w:t>
      </w:r>
      <w:r>
        <w:rPr>
          <w:rFonts w:ascii="Arial" w:hAnsi="Arial" w:cs="Arial"/>
          <w:sz w:val="24"/>
          <w:szCs w:val="24"/>
        </w:rPr>
        <w:t xml:space="preserve"> as “pure black” with a trend of increasingly darkening greyness in-between those extreme. Table </w:t>
      </w:r>
      <w:r w:rsidR="00D466EA">
        <w:rPr>
          <w:rFonts w:ascii="Arial" w:hAnsi="Arial" w:cs="Arial"/>
          <w:sz w:val="24"/>
          <w:szCs w:val="24"/>
        </w:rPr>
        <w:t>5</w:t>
      </w:r>
      <w:r>
        <w:rPr>
          <w:rFonts w:ascii="Arial" w:hAnsi="Arial" w:cs="Arial"/>
          <w:sz w:val="24"/>
          <w:szCs w:val="24"/>
        </w:rPr>
        <w:t xml:space="preserve"> summarises a useful vocabulary that might be applied to interpreting P-values.</w:t>
      </w:r>
    </w:p>
    <w:p w14:paraId="177E2023" w14:textId="77777777" w:rsidR="001C52BE" w:rsidRDefault="001C52BE" w:rsidP="000B71EF">
      <w:pPr>
        <w:spacing w:after="0" w:line="360" w:lineRule="auto"/>
        <w:rPr>
          <w:rFonts w:ascii="Arial" w:hAnsi="Arial" w:cs="Arial"/>
          <w:sz w:val="24"/>
          <w:szCs w:val="24"/>
        </w:rPr>
      </w:pPr>
    </w:p>
    <w:p w14:paraId="5CA3AA04" w14:textId="77777777" w:rsidR="00C06C90" w:rsidRDefault="00C06C90" w:rsidP="000B71EF">
      <w:pPr>
        <w:spacing w:after="0" w:line="360" w:lineRule="auto"/>
        <w:rPr>
          <w:rFonts w:ascii="Arial" w:hAnsi="Arial" w:cs="Arial"/>
          <w:sz w:val="24"/>
          <w:szCs w:val="24"/>
        </w:rPr>
      </w:pPr>
      <w:r>
        <w:rPr>
          <w:rFonts w:ascii="Arial" w:hAnsi="Arial" w:cs="Arial"/>
          <w:sz w:val="24"/>
          <w:szCs w:val="24"/>
        </w:rPr>
        <w:t>A brief history of the P-value and its variety of interpretations is provided in the appendix.</w:t>
      </w:r>
    </w:p>
    <w:p w14:paraId="0DBE4A5A" w14:textId="77777777" w:rsidR="00C06C90" w:rsidRDefault="00C06C90" w:rsidP="000B71EF">
      <w:pPr>
        <w:spacing w:after="0" w:line="360" w:lineRule="auto"/>
        <w:rPr>
          <w:rFonts w:ascii="Arial" w:hAnsi="Arial" w:cs="Arial"/>
          <w:sz w:val="24"/>
          <w:szCs w:val="24"/>
        </w:rPr>
      </w:pPr>
    </w:p>
    <w:p w14:paraId="58370B94" w14:textId="77777777" w:rsidR="000B71EF" w:rsidRDefault="000B71EF" w:rsidP="000B71EF">
      <w:pPr>
        <w:spacing w:after="0" w:line="360" w:lineRule="auto"/>
        <w:rPr>
          <w:rFonts w:ascii="Arial" w:hAnsi="Arial" w:cs="Arial"/>
          <w:sz w:val="24"/>
          <w:szCs w:val="24"/>
        </w:rPr>
      </w:pPr>
    </w:p>
    <w:p w14:paraId="52C3FF09" w14:textId="77777777" w:rsidR="00D452B5" w:rsidRPr="00D452B5" w:rsidRDefault="00D452B5" w:rsidP="000B71EF">
      <w:pPr>
        <w:spacing w:after="0" w:line="360" w:lineRule="auto"/>
        <w:rPr>
          <w:rFonts w:ascii="Arial" w:hAnsi="Arial" w:cs="Arial"/>
          <w:b/>
          <w:sz w:val="24"/>
          <w:szCs w:val="24"/>
        </w:rPr>
      </w:pPr>
      <w:r w:rsidRPr="00D452B5">
        <w:rPr>
          <w:rFonts w:ascii="Arial" w:hAnsi="Arial" w:cs="Arial"/>
          <w:b/>
          <w:sz w:val="24"/>
          <w:szCs w:val="24"/>
        </w:rPr>
        <w:t>“A P-value is no Substitute for a Brain”</w:t>
      </w:r>
    </w:p>
    <w:p w14:paraId="441BE70B" w14:textId="77777777" w:rsidR="00275862" w:rsidRDefault="00275862" w:rsidP="000B71EF">
      <w:pPr>
        <w:spacing w:after="0" w:line="360" w:lineRule="auto"/>
        <w:rPr>
          <w:rFonts w:ascii="Arial" w:hAnsi="Arial" w:cs="Arial"/>
          <w:sz w:val="24"/>
          <w:szCs w:val="24"/>
        </w:rPr>
      </w:pPr>
    </w:p>
    <w:p w14:paraId="7D7B649D" w14:textId="77777777" w:rsidR="000B71EF" w:rsidRDefault="00D452B5" w:rsidP="000B71EF">
      <w:pPr>
        <w:spacing w:after="0" w:line="360" w:lineRule="auto"/>
        <w:rPr>
          <w:rFonts w:ascii="Arial" w:hAnsi="Arial" w:cs="Arial"/>
          <w:sz w:val="24"/>
          <w:szCs w:val="24"/>
        </w:rPr>
      </w:pPr>
      <w:r>
        <w:rPr>
          <w:rFonts w:ascii="Arial" w:hAnsi="Arial" w:cs="Arial"/>
          <w:sz w:val="24"/>
          <w:szCs w:val="24"/>
        </w:rPr>
        <w:t>The above quote</w:t>
      </w:r>
      <w:r w:rsidR="00C468D8">
        <w:rPr>
          <w:rFonts w:ascii="Arial" w:hAnsi="Arial" w:cs="Arial"/>
          <w:sz w:val="24"/>
          <w:szCs w:val="24"/>
        </w:rPr>
        <w:t xml:space="preserve"> </w:t>
      </w:r>
      <w:r w:rsidR="00C468D8">
        <w:rPr>
          <w:rFonts w:ascii="Arial" w:hAnsi="Arial" w:cs="Arial"/>
          <w:sz w:val="24"/>
          <w:szCs w:val="24"/>
        </w:rPr>
        <w:fldChar w:fldCharType="begin"/>
      </w:r>
      <w:r w:rsidR="00C06C90">
        <w:rPr>
          <w:rFonts w:ascii="Arial" w:hAnsi="Arial" w:cs="Arial"/>
          <w:sz w:val="24"/>
          <w:szCs w:val="24"/>
        </w:rPr>
        <w:instrText xml:space="preserve"> ADDIN EN.CITE &lt;EndNote&gt;&lt;Cite&gt;&lt;Author&gt;Stone&lt;/Author&gt;&lt;Year&gt;2010&lt;/Year&gt;&lt;RecNum&gt;24&lt;/RecNum&gt;&lt;DisplayText&gt;(23)&lt;/DisplayText&gt;&lt;record&gt;&lt;rec-number&gt;24&lt;/rec-number&gt;&lt;foreign-keys&gt;&lt;key app="EN" db-id="eaz5sewevp5dfxewrdrvzv52xsv2tsf22rzr"&gt;24&lt;/key&gt;&lt;/foreign-keys&gt;&lt;ref-type name="Journal Article"&gt;17&lt;/ref-type&gt;&lt;contributors&gt;&lt;authors&gt;&lt;author&gt;Stone, Gregg W.&lt;/author&gt;&lt;author&gt;Pocock, Stuart J.&lt;/author&gt;&lt;/authors&gt;&lt;/contributors&gt;&lt;titles&gt;&lt;title&gt;Randomized Trials, Statistics, and Clinical Inference&lt;/title&gt;&lt;secondary-title&gt;Journal of the American College of Cardiology&lt;/secondary-title&gt;&lt;/titles&gt;&lt;periodical&gt;&lt;full-title&gt;Journal of the American College of Cardiology&lt;/full-title&gt;&lt;/periodical&gt;&lt;pages&gt;428-431&lt;/pages&gt;&lt;volume&gt;55&lt;/volume&gt;&lt;number&gt;5&lt;/number&gt;&lt;dates&gt;&lt;year&gt;2010&lt;/year&gt;&lt;/dates&gt;&lt;isbn&gt;0735-1097&lt;/isbn&gt;&lt;call-num&gt;22&lt;/call-num&gt;&lt;urls&gt;&lt;related-urls&gt;&lt;url&gt;http://dx.doi.org/10.1016/j.jacc.2009.06.066&lt;/url&gt;&lt;/related-urls&gt;&lt;/urls&gt;&lt;electronic-resource-num&gt;10.1016/j.jacc.2009.06.066&lt;/electronic-resource-num&gt;&lt;/record&gt;&lt;/Cite&gt;&lt;/EndNote&gt;</w:instrText>
      </w:r>
      <w:r w:rsidR="00C468D8">
        <w:rPr>
          <w:rFonts w:ascii="Arial" w:hAnsi="Arial" w:cs="Arial"/>
          <w:sz w:val="24"/>
          <w:szCs w:val="24"/>
        </w:rPr>
        <w:fldChar w:fldCharType="separate"/>
      </w:r>
      <w:r w:rsidR="00C06C90">
        <w:rPr>
          <w:rFonts w:ascii="Arial" w:hAnsi="Arial" w:cs="Arial"/>
          <w:noProof/>
          <w:sz w:val="24"/>
          <w:szCs w:val="24"/>
        </w:rPr>
        <w:t>(</w:t>
      </w:r>
      <w:hyperlink w:anchor="_ENREF_23" w:tooltip="Stone, 2010 #24" w:history="1">
        <w:r w:rsidR="00C06C90">
          <w:rPr>
            <w:rFonts w:ascii="Arial" w:hAnsi="Arial" w:cs="Arial"/>
            <w:noProof/>
            <w:sz w:val="24"/>
            <w:szCs w:val="24"/>
          </w:rPr>
          <w:t>23</w:t>
        </w:r>
      </w:hyperlink>
      <w:r w:rsidR="00C06C90">
        <w:rPr>
          <w:rFonts w:ascii="Arial" w:hAnsi="Arial" w:cs="Arial"/>
          <w:noProof/>
          <w:sz w:val="24"/>
          <w:szCs w:val="24"/>
        </w:rPr>
        <w:t>)</w:t>
      </w:r>
      <w:r w:rsidR="00C468D8">
        <w:rPr>
          <w:rFonts w:ascii="Arial" w:hAnsi="Arial" w:cs="Arial"/>
          <w:sz w:val="24"/>
          <w:szCs w:val="24"/>
        </w:rPr>
        <w:fldChar w:fldCharType="end"/>
      </w:r>
      <w:r>
        <w:rPr>
          <w:rFonts w:ascii="Arial" w:hAnsi="Arial" w:cs="Arial"/>
          <w:sz w:val="24"/>
          <w:szCs w:val="24"/>
        </w:rPr>
        <w:t xml:space="preserve"> is to remind </w:t>
      </w:r>
      <w:r w:rsidR="000B71EF">
        <w:rPr>
          <w:rFonts w:ascii="Arial" w:hAnsi="Arial" w:cs="Arial"/>
          <w:sz w:val="24"/>
          <w:szCs w:val="24"/>
        </w:rPr>
        <w:t>us all that interpretation of a seemingly “positive” trial rests on more than just a significant P-value: 1) it is good practice</w:t>
      </w:r>
      <w:r w:rsidR="00DF6FAE">
        <w:rPr>
          <w:rFonts w:ascii="Arial" w:hAnsi="Arial" w:cs="Arial"/>
          <w:sz w:val="24"/>
          <w:szCs w:val="24"/>
        </w:rPr>
        <w:t xml:space="preserve"> to</w:t>
      </w:r>
      <w:r w:rsidR="000B71EF">
        <w:rPr>
          <w:rFonts w:ascii="Arial" w:hAnsi="Arial" w:cs="Arial"/>
          <w:sz w:val="24"/>
          <w:szCs w:val="24"/>
        </w:rPr>
        <w:t xml:space="preserve"> give the </w:t>
      </w:r>
      <w:r w:rsidR="000B71EF" w:rsidRPr="000B71EF">
        <w:rPr>
          <w:rFonts w:ascii="Arial" w:hAnsi="Arial" w:cs="Arial"/>
          <w:b/>
          <w:sz w:val="24"/>
          <w:szCs w:val="24"/>
        </w:rPr>
        <w:t>actual P-value</w:t>
      </w:r>
      <w:r w:rsidR="000B71EF">
        <w:rPr>
          <w:rFonts w:ascii="Arial" w:hAnsi="Arial" w:cs="Arial"/>
          <w:sz w:val="24"/>
          <w:szCs w:val="24"/>
        </w:rPr>
        <w:t xml:space="preserve"> </w:t>
      </w:r>
      <w:proofErr w:type="spellStart"/>
      <w:r w:rsidR="000B71EF">
        <w:rPr>
          <w:rFonts w:ascii="Arial" w:hAnsi="Arial" w:cs="Arial"/>
          <w:sz w:val="24"/>
          <w:szCs w:val="24"/>
        </w:rPr>
        <w:t>ie</w:t>
      </w:r>
      <w:proofErr w:type="spellEnd"/>
      <w:r w:rsidR="000B71EF">
        <w:rPr>
          <w:rFonts w:ascii="Arial" w:hAnsi="Arial" w:cs="Arial"/>
          <w:sz w:val="24"/>
          <w:szCs w:val="24"/>
        </w:rPr>
        <w:t xml:space="preserve">. P=0.042 rather than P&lt;0.05 or crudely “significant” </w:t>
      </w:r>
      <w:r w:rsidR="000B71EF" w:rsidRPr="000B71EF">
        <w:rPr>
          <w:rFonts w:ascii="Arial" w:hAnsi="Arial" w:cs="Arial"/>
          <w:b/>
          <w:sz w:val="24"/>
          <w:szCs w:val="24"/>
        </w:rPr>
        <w:t>or</w:t>
      </w:r>
      <w:r w:rsidR="000B71EF">
        <w:rPr>
          <w:rFonts w:ascii="Arial" w:hAnsi="Arial" w:cs="Arial"/>
          <w:sz w:val="24"/>
          <w:szCs w:val="24"/>
        </w:rPr>
        <w:t xml:space="preserve"> P=0.061 rather than “not significant”.</w:t>
      </w:r>
    </w:p>
    <w:p w14:paraId="01CFD027" w14:textId="77777777" w:rsidR="000B71EF" w:rsidRDefault="000B71EF" w:rsidP="000B71EF">
      <w:pPr>
        <w:spacing w:after="0" w:line="360" w:lineRule="auto"/>
        <w:rPr>
          <w:rFonts w:ascii="Arial" w:hAnsi="Arial" w:cs="Arial"/>
          <w:sz w:val="24"/>
          <w:szCs w:val="24"/>
        </w:rPr>
      </w:pPr>
    </w:p>
    <w:p w14:paraId="1C71180D" w14:textId="77777777" w:rsidR="000B71EF" w:rsidRDefault="000B71EF" w:rsidP="000B71EF">
      <w:pPr>
        <w:spacing w:after="0" w:line="360" w:lineRule="auto"/>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it</w:t>
      </w:r>
      <w:proofErr w:type="gramEnd"/>
      <w:r>
        <w:rPr>
          <w:rFonts w:ascii="Arial" w:hAnsi="Arial" w:cs="Arial"/>
          <w:sz w:val="24"/>
          <w:szCs w:val="24"/>
        </w:rPr>
        <w:t xml:space="preserve"> is useful to recognise the </w:t>
      </w:r>
      <w:r w:rsidRPr="0075515B">
        <w:rPr>
          <w:rFonts w:ascii="Arial" w:hAnsi="Arial" w:cs="Arial"/>
          <w:b/>
          <w:sz w:val="24"/>
          <w:szCs w:val="24"/>
        </w:rPr>
        <w:t>link between the P-value and the 95% CI</w:t>
      </w:r>
      <w:r>
        <w:rPr>
          <w:rFonts w:ascii="Arial" w:hAnsi="Arial" w:cs="Arial"/>
          <w:sz w:val="24"/>
          <w:szCs w:val="24"/>
        </w:rPr>
        <w:t xml:space="preserve"> for the treatment difference. If the latter includes no difference (</w:t>
      </w:r>
      <w:proofErr w:type="spellStart"/>
      <w:r>
        <w:rPr>
          <w:rFonts w:ascii="Arial" w:hAnsi="Arial" w:cs="Arial"/>
          <w:sz w:val="24"/>
          <w:szCs w:val="24"/>
        </w:rPr>
        <w:t>ie</w:t>
      </w:r>
      <w:proofErr w:type="spellEnd"/>
      <w:r>
        <w:rPr>
          <w:rFonts w:ascii="Arial" w:hAnsi="Arial" w:cs="Arial"/>
          <w:sz w:val="24"/>
          <w:szCs w:val="24"/>
        </w:rPr>
        <w:t xml:space="preserve">. 0 on an absolute scale </w:t>
      </w:r>
      <w:proofErr w:type="spellStart"/>
      <w:r>
        <w:rPr>
          <w:rFonts w:ascii="Arial" w:hAnsi="Arial" w:cs="Arial"/>
          <w:sz w:val="24"/>
          <w:szCs w:val="24"/>
        </w:rPr>
        <w:t>eg</w:t>
      </w:r>
      <w:proofErr w:type="spellEnd"/>
      <w:r>
        <w:rPr>
          <w:rFonts w:ascii="Arial" w:hAnsi="Arial" w:cs="Arial"/>
          <w:sz w:val="24"/>
          <w:szCs w:val="24"/>
        </w:rPr>
        <w:t>. % or mean difference, 1 on a ratio scale</w:t>
      </w:r>
      <w:r w:rsidR="0075515B">
        <w:rPr>
          <w:rFonts w:ascii="Arial" w:hAnsi="Arial" w:cs="Arial"/>
          <w:sz w:val="24"/>
          <w:szCs w:val="24"/>
        </w:rPr>
        <w:t xml:space="preserve"> </w:t>
      </w:r>
      <w:proofErr w:type="spellStart"/>
      <w:r w:rsidR="0075515B">
        <w:rPr>
          <w:rFonts w:ascii="Arial" w:hAnsi="Arial" w:cs="Arial"/>
          <w:sz w:val="24"/>
          <w:szCs w:val="24"/>
        </w:rPr>
        <w:t>eg</w:t>
      </w:r>
      <w:proofErr w:type="spellEnd"/>
      <w:r w:rsidR="0075515B">
        <w:rPr>
          <w:rFonts w:ascii="Arial" w:hAnsi="Arial" w:cs="Arial"/>
          <w:sz w:val="24"/>
          <w:szCs w:val="24"/>
        </w:rPr>
        <w:t xml:space="preserve">. </w:t>
      </w:r>
      <w:proofErr w:type="gramStart"/>
      <w:r w:rsidR="0075515B">
        <w:rPr>
          <w:rFonts w:ascii="Arial" w:hAnsi="Arial" w:cs="Arial"/>
          <w:sz w:val="24"/>
          <w:szCs w:val="24"/>
        </w:rPr>
        <w:t>relative</w:t>
      </w:r>
      <w:proofErr w:type="gramEnd"/>
      <w:r w:rsidR="0075515B">
        <w:rPr>
          <w:rFonts w:ascii="Arial" w:hAnsi="Arial" w:cs="Arial"/>
          <w:sz w:val="24"/>
          <w:szCs w:val="24"/>
        </w:rPr>
        <w:t xml:space="preserve"> risk or hazard ratio) then we know P is greater than 0.05. Conversely, if the 95% CI is wholly one side of the null value, then we know P&lt;0.05.</w:t>
      </w:r>
    </w:p>
    <w:p w14:paraId="39B460D3" w14:textId="77777777" w:rsidR="0075515B" w:rsidRDefault="0075515B" w:rsidP="000B71EF">
      <w:pPr>
        <w:spacing w:after="0" w:line="360" w:lineRule="auto"/>
        <w:rPr>
          <w:rFonts w:ascii="Arial" w:hAnsi="Arial" w:cs="Arial"/>
          <w:sz w:val="24"/>
          <w:szCs w:val="24"/>
        </w:rPr>
      </w:pPr>
    </w:p>
    <w:p w14:paraId="57F34EAD" w14:textId="77777777" w:rsidR="0075515B" w:rsidRDefault="0075515B" w:rsidP="0075515B">
      <w:pPr>
        <w:spacing w:after="0" w:line="360" w:lineRule="auto"/>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it</w:t>
      </w:r>
      <w:proofErr w:type="gramEnd"/>
      <w:r>
        <w:rPr>
          <w:rFonts w:ascii="Arial" w:hAnsi="Arial" w:cs="Arial"/>
          <w:sz w:val="24"/>
          <w:szCs w:val="24"/>
        </w:rPr>
        <w:t xml:space="preserve"> is best if we always use </w:t>
      </w:r>
      <w:r w:rsidRPr="0075515B">
        <w:rPr>
          <w:rFonts w:ascii="Arial" w:hAnsi="Arial" w:cs="Arial"/>
          <w:b/>
          <w:sz w:val="24"/>
          <w:szCs w:val="24"/>
        </w:rPr>
        <w:t>two-sided P-values</w:t>
      </w:r>
      <w:r>
        <w:rPr>
          <w:rFonts w:ascii="Arial" w:hAnsi="Arial" w:cs="Arial"/>
          <w:sz w:val="24"/>
          <w:szCs w:val="24"/>
        </w:rPr>
        <w:t xml:space="preserve">. That is, under the null hypothesis P is the probability of getting a difference </w:t>
      </w:r>
      <w:r w:rsidRPr="0075515B">
        <w:rPr>
          <w:rFonts w:ascii="Arial" w:hAnsi="Arial" w:cs="Arial"/>
          <w:b/>
          <w:sz w:val="24"/>
          <w:szCs w:val="24"/>
        </w:rPr>
        <w:t>in either direction</w:t>
      </w:r>
      <w:r>
        <w:rPr>
          <w:rFonts w:ascii="Arial" w:hAnsi="Arial" w:cs="Arial"/>
          <w:sz w:val="24"/>
          <w:szCs w:val="24"/>
        </w:rPr>
        <w:t xml:space="preserve"> as big as (or bigger) than that observed. Occasionally, people will argue that they are only interested in one direction of treatment effect (new treatment superior) and hence should be allowed to halve the P-value in a one-sided test. For instance, the </w:t>
      </w:r>
      <w:proofErr w:type="spellStart"/>
      <w:r>
        <w:rPr>
          <w:rFonts w:ascii="Arial" w:hAnsi="Arial" w:cs="Arial"/>
          <w:sz w:val="24"/>
          <w:szCs w:val="24"/>
        </w:rPr>
        <w:t>Corevalve</w:t>
      </w:r>
      <w:proofErr w:type="spellEnd"/>
      <w:r>
        <w:rPr>
          <w:rFonts w:ascii="Arial" w:hAnsi="Arial" w:cs="Arial"/>
          <w:sz w:val="24"/>
          <w:szCs w:val="24"/>
        </w:rPr>
        <w:t xml:space="preserve"> trial</w:t>
      </w:r>
      <w:r w:rsidR="00C468D8">
        <w:rPr>
          <w:rFonts w:ascii="Arial" w:hAnsi="Arial" w:cs="Arial"/>
          <w:sz w:val="24"/>
          <w:szCs w:val="24"/>
        </w:rPr>
        <w:t xml:space="preserve"> </w:t>
      </w:r>
      <w:r w:rsidR="00C468D8">
        <w:rPr>
          <w:rFonts w:ascii="Arial" w:hAnsi="Arial" w:cs="Arial"/>
          <w:sz w:val="24"/>
          <w:szCs w:val="24"/>
        </w:rPr>
        <w:fldChar w:fldCharType="begin"/>
      </w:r>
      <w:r w:rsidR="00C06C90">
        <w:rPr>
          <w:rFonts w:ascii="Arial" w:hAnsi="Arial" w:cs="Arial"/>
          <w:sz w:val="24"/>
          <w:szCs w:val="24"/>
        </w:rPr>
        <w:instrText xml:space="preserve"> ADDIN EN.CITE &lt;EndNote&gt;&lt;Cite&gt;&lt;Author&gt;Adams&lt;/Author&gt;&lt;Year&gt;2014&lt;/Year&gt;&lt;RecNum&gt;19&lt;/RecNum&gt;&lt;DisplayText&gt;(24)&lt;/DisplayText&gt;&lt;record&gt;&lt;rec-number&gt;19&lt;/rec-number&gt;&lt;foreign-keys&gt;&lt;key app="EN" db-id="eaz5sewevp5dfxewrdrvzv52xsv2tsf22rzr"&gt;19&lt;/key&gt;&lt;/foreign-keys&gt;&lt;ref-type name="Journal Article"&gt;17&lt;/ref-type&gt;&lt;contributors&gt;&lt;authors&gt;&lt;author&gt;Adams, David H.&lt;/author&gt;&lt;author&gt;Popma, Jeffrey J.&lt;/author&gt;&lt;author&gt;Reardon, Michael J.&lt;/author&gt;&lt;author&gt;Yakubov, Steven J.&lt;/author&gt;&lt;author&gt;Coselli, Joseph S.&lt;/author&gt;&lt;author&gt;Deeb, G. Michael&lt;/author&gt;&lt;author&gt;Gleason, Thomas G.&lt;/author&gt;&lt;author&gt;Buchbinder, Maurice&lt;/author&gt;&lt;author&gt;Hermiller, James&lt;/author&gt;&lt;author&gt;Kleiman, Neal S.&lt;/author&gt;&lt;author&gt;Chetcuti, Stan&lt;/author&gt;&lt;author&gt;Heiser, John&lt;/author&gt;&lt;author&gt;Merhi, William&lt;/author&gt;&lt;author&gt;Zorn, George&lt;/author&gt;&lt;author&gt;Tadros, Peter&lt;/author&gt;&lt;author&gt;Robinson, Newell&lt;/author&gt;&lt;author&gt;Petrossian, George&lt;/author&gt;&lt;author&gt;Hughes, G. Chad&lt;/author&gt;&lt;author&gt;Harrison, J. Kevin&lt;/author&gt;&lt;author&gt;Conte, John&lt;/author&gt;&lt;author&gt;Maini, Brijeshwar&lt;/author&gt;&lt;author&gt;Mumtaz, Mubashir&lt;/author&gt;&lt;author&gt;Chenoweth, Sharla&lt;/author&gt;&lt;author&gt;Oh, Jae K.&lt;/author&gt;&lt;/authors&gt;&lt;/contributors&gt;&lt;titles&gt;&lt;title&gt;Transcatheter Aortic-Valve Replacement with a Self-Expanding Prosthesis&lt;/title&gt;&lt;secondary-title&gt;New England Journal of Medicine&lt;/secondary-title&gt;&lt;/titles&gt;&lt;periodical&gt;&lt;full-title&gt;New England Journal of Medicine&lt;/full-title&gt;&lt;/periodical&gt;&lt;pages&gt;1790-1798&lt;/pages&gt;&lt;volume&gt;370&lt;/volume&gt;&lt;number&gt;19&lt;/number&gt;&lt;dates&gt;&lt;year&gt;2014&lt;/year&gt;&lt;/dates&gt;&lt;accession-num&gt;24678937&lt;/accession-num&gt;&lt;call-num&gt;18&lt;/call-num&gt;&lt;urls&gt;&lt;related-urls&gt;&lt;url&gt;http://www.nejm.org/doi/full/10.1056/NEJMoa1400590&lt;/url&gt;&lt;/related-urls&gt;&lt;/urls&gt;&lt;electronic-resource-num&gt;doi:10.1056/NEJMoa1400590&lt;/electronic-resource-num&gt;&lt;/record&gt;&lt;/Cite&gt;&lt;/EndNote&gt;</w:instrText>
      </w:r>
      <w:r w:rsidR="00C468D8">
        <w:rPr>
          <w:rFonts w:ascii="Arial" w:hAnsi="Arial" w:cs="Arial"/>
          <w:sz w:val="24"/>
          <w:szCs w:val="24"/>
        </w:rPr>
        <w:fldChar w:fldCharType="separate"/>
      </w:r>
      <w:r w:rsidR="00C06C90">
        <w:rPr>
          <w:rFonts w:ascii="Arial" w:hAnsi="Arial" w:cs="Arial"/>
          <w:noProof/>
          <w:sz w:val="24"/>
          <w:szCs w:val="24"/>
        </w:rPr>
        <w:t>(</w:t>
      </w:r>
      <w:hyperlink w:anchor="_ENREF_24" w:tooltip="Adams, 2014 #19" w:history="1">
        <w:r w:rsidR="00C06C90">
          <w:rPr>
            <w:rFonts w:ascii="Arial" w:hAnsi="Arial" w:cs="Arial"/>
            <w:noProof/>
            <w:sz w:val="24"/>
            <w:szCs w:val="24"/>
          </w:rPr>
          <w:t>24</w:t>
        </w:r>
      </w:hyperlink>
      <w:r w:rsidR="00C06C90">
        <w:rPr>
          <w:rFonts w:ascii="Arial" w:hAnsi="Arial" w:cs="Arial"/>
          <w:noProof/>
          <w:sz w:val="24"/>
          <w:szCs w:val="24"/>
        </w:rPr>
        <w:t>)</w:t>
      </w:r>
      <w:r w:rsidR="00C468D8">
        <w:rPr>
          <w:rFonts w:ascii="Arial" w:hAnsi="Arial" w:cs="Arial"/>
          <w:sz w:val="24"/>
          <w:szCs w:val="24"/>
        </w:rPr>
        <w:fldChar w:fldCharType="end"/>
      </w:r>
      <w:r>
        <w:rPr>
          <w:rFonts w:ascii="Arial" w:hAnsi="Arial" w:cs="Arial"/>
          <w:sz w:val="24"/>
          <w:szCs w:val="24"/>
        </w:rPr>
        <w:t xml:space="preserve"> claimed one-sided P=0.04 for lower mortality on transcatheter aortic valve replacement versus surgery, rather than the conventional two-sided P=0.08. This practice is to be avoided since it produces an inconsistency across trial reports and makes it a bit too easy to achieve</w:t>
      </w:r>
      <w:r w:rsidR="00DF6FAE">
        <w:rPr>
          <w:rFonts w:ascii="Arial" w:hAnsi="Arial" w:cs="Arial"/>
          <w:sz w:val="24"/>
          <w:szCs w:val="24"/>
        </w:rPr>
        <w:t xml:space="preserve"> P</w:t>
      </w:r>
      <w:r>
        <w:rPr>
          <w:rFonts w:ascii="Arial" w:hAnsi="Arial" w:cs="Arial"/>
          <w:sz w:val="24"/>
          <w:szCs w:val="24"/>
        </w:rPr>
        <w:t>&lt;0.05.</w:t>
      </w:r>
    </w:p>
    <w:p w14:paraId="2C1E1C63" w14:textId="77777777" w:rsidR="00DA45DD" w:rsidRDefault="00DA45DD" w:rsidP="0075515B">
      <w:pPr>
        <w:spacing w:after="0" w:line="360" w:lineRule="auto"/>
        <w:rPr>
          <w:rFonts w:ascii="Arial" w:hAnsi="Arial" w:cs="Arial"/>
          <w:sz w:val="24"/>
          <w:szCs w:val="24"/>
        </w:rPr>
      </w:pPr>
    </w:p>
    <w:p w14:paraId="1A33DE21" w14:textId="77777777" w:rsidR="0075515B" w:rsidRDefault="0075515B" w:rsidP="0075515B">
      <w:pPr>
        <w:spacing w:after="0" w:line="360" w:lineRule="auto"/>
        <w:rPr>
          <w:rFonts w:ascii="Arial" w:hAnsi="Arial" w:cs="Arial"/>
          <w:sz w:val="24"/>
          <w:szCs w:val="24"/>
        </w:rPr>
      </w:pPr>
      <w:r>
        <w:rPr>
          <w:rFonts w:ascii="Arial" w:hAnsi="Arial" w:cs="Arial"/>
          <w:sz w:val="24"/>
          <w:szCs w:val="24"/>
        </w:rPr>
        <w:t>4) A small P-value clarifies that an observe</w:t>
      </w:r>
      <w:r w:rsidR="00DA45DD">
        <w:rPr>
          <w:rFonts w:ascii="Arial" w:hAnsi="Arial" w:cs="Arial"/>
          <w:sz w:val="24"/>
          <w:szCs w:val="24"/>
        </w:rPr>
        <w:t>d treatment difference appears greater than could be attributed to chance, but this does</w:t>
      </w:r>
      <w:r w:rsidR="00C06C90">
        <w:rPr>
          <w:rFonts w:ascii="Arial" w:hAnsi="Arial" w:cs="Arial"/>
          <w:sz w:val="24"/>
          <w:szCs w:val="24"/>
        </w:rPr>
        <w:t xml:space="preserve"> not</w:t>
      </w:r>
      <w:r w:rsidR="00DA45DD">
        <w:rPr>
          <w:rFonts w:ascii="Arial" w:hAnsi="Arial" w:cs="Arial"/>
          <w:sz w:val="24"/>
          <w:szCs w:val="24"/>
        </w:rPr>
        <w:t xml:space="preserve"> automatically mean that a real </w:t>
      </w:r>
      <w:r w:rsidR="00DA45DD">
        <w:rPr>
          <w:rFonts w:ascii="Arial" w:hAnsi="Arial" w:cs="Arial"/>
          <w:sz w:val="24"/>
          <w:szCs w:val="24"/>
        </w:rPr>
        <w:lastRenderedPageBreak/>
        <w:t>treatment effect is occurring. The</w:t>
      </w:r>
      <w:r w:rsidR="00DF6FAE">
        <w:rPr>
          <w:rFonts w:ascii="Arial" w:hAnsi="Arial" w:cs="Arial"/>
          <w:sz w:val="24"/>
          <w:szCs w:val="24"/>
        </w:rPr>
        <w:t>r</w:t>
      </w:r>
      <w:r w:rsidR="00DA45DD">
        <w:rPr>
          <w:rFonts w:ascii="Arial" w:hAnsi="Arial" w:cs="Arial"/>
          <w:sz w:val="24"/>
          <w:szCs w:val="24"/>
        </w:rPr>
        <w:t xml:space="preserve">e may be </w:t>
      </w:r>
      <w:r w:rsidR="00DA45DD" w:rsidRPr="00DA45DD">
        <w:rPr>
          <w:rFonts w:ascii="Arial" w:hAnsi="Arial" w:cs="Arial"/>
          <w:b/>
          <w:sz w:val="24"/>
          <w:szCs w:val="24"/>
        </w:rPr>
        <w:t>biases in the study design and conduct</w:t>
      </w:r>
      <w:r w:rsidR="00CE729A">
        <w:rPr>
          <w:rFonts w:ascii="Arial" w:hAnsi="Arial" w:cs="Arial"/>
          <w:sz w:val="24"/>
          <w:szCs w:val="24"/>
        </w:rPr>
        <w:t xml:space="preserve">, </w:t>
      </w:r>
      <w:proofErr w:type="spellStart"/>
      <w:r w:rsidR="00CE729A">
        <w:rPr>
          <w:rFonts w:ascii="Arial" w:hAnsi="Arial" w:cs="Arial"/>
          <w:sz w:val="24"/>
          <w:szCs w:val="24"/>
        </w:rPr>
        <w:t>eg</w:t>
      </w:r>
      <w:proofErr w:type="spellEnd"/>
      <w:r w:rsidR="00CE729A">
        <w:rPr>
          <w:rFonts w:ascii="Arial" w:hAnsi="Arial" w:cs="Arial"/>
          <w:sz w:val="24"/>
          <w:szCs w:val="24"/>
        </w:rPr>
        <w:t xml:space="preserve">. </w:t>
      </w:r>
      <w:proofErr w:type="gramStart"/>
      <w:r w:rsidR="00485908">
        <w:rPr>
          <w:rFonts w:ascii="Arial" w:hAnsi="Arial" w:cs="Arial"/>
          <w:sz w:val="24"/>
          <w:szCs w:val="24"/>
        </w:rPr>
        <w:t>randomisation</w:t>
      </w:r>
      <w:proofErr w:type="gramEnd"/>
      <w:r w:rsidR="00DA45DD">
        <w:rPr>
          <w:rFonts w:ascii="Arial" w:hAnsi="Arial" w:cs="Arial"/>
          <w:sz w:val="24"/>
          <w:szCs w:val="24"/>
        </w:rPr>
        <w:t xml:space="preserve"> could be absent or flawed, lack of appropriate blinding, incomplete follow-up, which contribute wholly or in part, to the apparent treatment difference</w:t>
      </w:r>
      <w:r w:rsidR="00275862">
        <w:rPr>
          <w:rFonts w:ascii="Arial" w:hAnsi="Arial" w:cs="Arial"/>
          <w:sz w:val="24"/>
          <w:szCs w:val="24"/>
        </w:rPr>
        <w:t>. These issues contribute to why regulators often require two trials be conducted to demonstrate a reassuring consistency of findings in two different settings.</w:t>
      </w:r>
    </w:p>
    <w:p w14:paraId="52DD5B7F" w14:textId="77777777" w:rsidR="00DA45DD" w:rsidRDefault="00DA45DD" w:rsidP="0075515B">
      <w:pPr>
        <w:spacing w:after="0" w:line="360" w:lineRule="auto"/>
        <w:rPr>
          <w:rFonts w:ascii="Arial" w:hAnsi="Arial" w:cs="Arial"/>
          <w:sz w:val="24"/>
          <w:szCs w:val="24"/>
        </w:rPr>
      </w:pPr>
    </w:p>
    <w:p w14:paraId="110C0A3B" w14:textId="77777777" w:rsidR="00DA45DD" w:rsidRDefault="00DA45DD" w:rsidP="0075515B">
      <w:pPr>
        <w:spacing w:after="0" w:line="360" w:lineRule="auto"/>
        <w:rPr>
          <w:rFonts w:ascii="Arial" w:hAnsi="Arial" w:cs="Arial"/>
          <w:sz w:val="24"/>
          <w:szCs w:val="24"/>
        </w:rPr>
      </w:pPr>
      <w:r>
        <w:rPr>
          <w:rFonts w:ascii="Arial" w:hAnsi="Arial" w:cs="Arial"/>
          <w:sz w:val="24"/>
          <w:szCs w:val="24"/>
        </w:rPr>
        <w:t>5) There is an important dis</w:t>
      </w:r>
      <w:r w:rsidR="00DF6FAE">
        <w:rPr>
          <w:rFonts w:ascii="Arial" w:hAnsi="Arial" w:cs="Arial"/>
          <w:sz w:val="24"/>
          <w:szCs w:val="24"/>
        </w:rPr>
        <w:t>tinct</w:t>
      </w:r>
      <w:r>
        <w:rPr>
          <w:rFonts w:ascii="Arial" w:hAnsi="Arial" w:cs="Arial"/>
          <w:sz w:val="24"/>
          <w:szCs w:val="24"/>
        </w:rPr>
        <w:t>ion between statistical significance and clinical relevance of a treatment effect. Here the magnitude of treatment difference and its CI are a guide as to whether the benefit of a new treatment is sufficiently great to merit its use in clinical practice.</w:t>
      </w:r>
    </w:p>
    <w:p w14:paraId="15F12CEA" w14:textId="77777777" w:rsidR="00DA45DD" w:rsidRDefault="00DA45DD" w:rsidP="0075515B">
      <w:pPr>
        <w:spacing w:after="0" w:line="360" w:lineRule="auto"/>
        <w:rPr>
          <w:rFonts w:ascii="Arial" w:hAnsi="Arial" w:cs="Arial"/>
          <w:sz w:val="24"/>
          <w:szCs w:val="24"/>
        </w:rPr>
      </w:pPr>
    </w:p>
    <w:p w14:paraId="6054B851" w14:textId="77777777" w:rsidR="00DA45DD" w:rsidRDefault="00A16043" w:rsidP="00A16043">
      <w:pPr>
        <w:spacing w:after="0" w:line="360" w:lineRule="auto"/>
        <w:rPr>
          <w:rFonts w:ascii="Arial" w:hAnsi="Arial" w:cs="Arial"/>
          <w:sz w:val="24"/>
          <w:szCs w:val="24"/>
        </w:rPr>
      </w:pPr>
      <w:r w:rsidRPr="00A16043">
        <w:rPr>
          <w:rFonts w:ascii="Arial" w:hAnsi="Arial" w:cs="Arial"/>
          <w:sz w:val="24"/>
          <w:szCs w:val="24"/>
        </w:rPr>
        <w:t>6)</w:t>
      </w:r>
      <w:r>
        <w:rPr>
          <w:rFonts w:ascii="Arial" w:hAnsi="Arial" w:cs="Arial"/>
          <w:sz w:val="24"/>
          <w:szCs w:val="24"/>
        </w:rPr>
        <w:t xml:space="preserve"> </w:t>
      </w:r>
      <w:r w:rsidR="00DA45DD" w:rsidRPr="00A16043">
        <w:rPr>
          <w:rFonts w:ascii="Arial" w:hAnsi="Arial" w:cs="Arial"/>
          <w:sz w:val="24"/>
          <w:szCs w:val="24"/>
        </w:rPr>
        <w:t>For a small trial to reach a statistical significant treatment effect the magnitude of treatment difference needs to be very large. For instance, a trial of acetylcysteine vs placebo to prevent contras</w:t>
      </w:r>
      <w:r w:rsidR="00DF6FAE" w:rsidRPr="00A16043">
        <w:rPr>
          <w:rFonts w:ascii="Arial" w:hAnsi="Arial" w:cs="Arial"/>
          <w:sz w:val="24"/>
          <w:szCs w:val="24"/>
        </w:rPr>
        <w:t>t</w:t>
      </w:r>
      <w:r w:rsidR="00DA45DD" w:rsidRPr="00A16043">
        <w:rPr>
          <w:rFonts w:ascii="Arial" w:hAnsi="Arial" w:cs="Arial"/>
          <w:sz w:val="24"/>
          <w:szCs w:val="24"/>
        </w:rPr>
        <w:t xml:space="preserve">-induced nephropathy </w:t>
      </w:r>
      <w:r w:rsidR="00C06C90">
        <w:rPr>
          <w:rFonts w:ascii="Arial" w:hAnsi="Arial" w:cs="Arial"/>
          <w:sz w:val="24"/>
          <w:szCs w:val="24"/>
        </w:rPr>
        <w:fldChar w:fldCharType="begin"/>
      </w:r>
      <w:r w:rsidR="00C06C90">
        <w:rPr>
          <w:rFonts w:ascii="Arial" w:hAnsi="Arial" w:cs="Arial"/>
          <w:sz w:val="24"/>
          <w:szCs w:val="24"/>
        </w:rPr>
        <w:instrText xml:space="preserve"> ADDIN EN.CITE &lt;EndNote&gt;&lt;Cite&gt;&lt;Author&gt;Tepel&lt;/Author&gt;&lt;Year&gt;2000&lt;/Year&gt;&lt;RecNum&gt;110&lt;/RecNum&gt;&lt;DisplayText&gt;(25)&lt;/DisplayText&gt;&lt;record&gt;&lt;rec-number&gt;110&lt;/rec-number&gt;&lt;foreign-keys&gt;&lt;key app="EN" db-id="eaz5sewevp5dfxewrdrvzv52xsv2tsf22rzr"&gt;110&lt;/key&gt;&lt;/foreign-keys&gt;&lt;ref-type name="Journal Article"&gt;17&lt;/ref-type&gt;&lt;contributors&gt;&lt;authors&gt;&lt;author&gt;Tepel, Martin&lt;/author&gt;&lt;author&gt;van der Giet, Marcus&lt;/author&gt;&lt;author&gt;Schwarzfeld, Carola&lt;/author&gt;&lt;author&gt;Laufer, Ulf&lt;/author&gt;&lt;author&gt;Liermann, Dieter&lt;/author&gt;&lt;author&gt;Zidek, Walter&lt;/author&gt;&lt;/authors&gt;&lt;/contributors&gt;&lt;titles&gt;&lt;title&gt;Prevention of Radiographic-Contrast-Agent–Induced Reductions in Renal Function by Acetylcysteine&lt;/title&gt;&lt;secondary-title&gt;New England Journal of Medicine&lt;/secondary-title&gt;&lt;/titles&gt;&lt;periodical&gt;&lt;full-title&gt;New England Journal of Medicine&lt;/full-title&gt;&lt;/periodical&gt;&lt;pages&gt;180-184&lt;/pages&gt;&lt;volume&gt;343&lt;/volume&gt;&lt;number&gt;3&lt;/number&gt;&lt;dates&gt;&lt;year&gt;2000&lt;/year&gt;&lt;/dates&gt;&lt;accession-num&gt;10900277&lt;/accession-num&gt;&lt;urls&gt;&lt;related-urls&gt;&lt;url&gt;http://www.nejm.org/doi/full/10.1056/NEJM200007203430304&lt;/url&gt;&lt;/related-urls&gt;&lt;/urls&gt;&lt;electronic-resource-num&gt;doi:10.1056/NEJM200007203430304&lt;/electronic-resource-num&gt;&lt;/record&gt;&lt;/Cite&gt;&lt;/EndNote&gt;</w:instrText>
      </w:r>
      <w:r w:rsidR="00C06C90">
        <w:rPr>
          <w:rFonts w:ascii="Arial" w:hAnsi="Arial" w:cs="Arial"/>
          <w:sz w:val="24"/>
          <w:szCs w:val="24"/>
        </w:rPr>
        <w:fldChar w:fldCharType="separate"/>
      </w:r>
      <w:r w:rsidR="00C06C90">
        <w:rPr>
          <w:rFonts w:ascii="Arial" w:hAnsi="Arial" w:cs="Arial"/>
          <w:noProof/>
          <w:sz w:val="24"/>
          <w:szCs w:val="24"/>
        </w:rPr>
        <w:t>(</w:t>
      </w:r>
      <w:hyperlink w:anchor="_ENREF_25" w:tooltip="Tepel, 2000 #110" w:history="1">
        <w:r w:rsidR="00C06C90">
          <w:rPr>
            <w:rFonts w:ascii="Arial" w:hAnsi="Arial" w:cs="Arial"/>
            <w:noProof/>
            <w:sz w:val="24"/>
            <w:szCs w:val="24"/>
          </w:rPr>
          <w:t>25</w:t>
        </w:r>
      </w:hyperlink>
      <w:r w:rsidR="00C06C90">
        <w:rPr>
          <w:rFonts w:ascii="Arial" w:hAnsi="Arial" w:cs="Arial"/>
          <w:noProof/>
          <w:sz w:val="24"/>
          <w:szCs w:val="24"/>
        </w:rPr>
        <w:t>)</w:t>
      </w:r>
      <w:r w:rsidR="00C06C90">
        <w:rPr>
          <w:rFonts w:ascii="Arial" w:hAnsi="Arial" w:cs="Arial"/>
          <w:sz w:val="24"/>
          <w:szCs w:val="24"/>
        </w:rPr>
        <w:fldChar w:fldCharType="end"/>
      </w:r>
      <w:r w:rsidR="00C06C90">
        <w:rPr>
          <w:rFonts w:ascii="Arial" w:hAnsi="Arial" w:cs="Arial"/>
          <w:sz w:val="24"/>
          <w:szCs w:val="24"/>
        </w:rPr>
        <w:t xml:space="preserve"> </w:t>
      </w:r>
      <w:r w:rsidR="00DA45DD" w:rsidRPr="00A16043">
        <w:rPr>
          <w:rFonts w:ascii="Arial" w:hAnsi="Arial" w:cs="Arial"/>
          <w:sz w:val="24"/>
          <w:szCs w:val="24"/>
        </w:rPr>
        <w:t xml:space="preserve">reported 1 out of 41 and 9 out of 42 acute reductions in renal failure, P=0.01. This finding has a risk ratio =0.11 with a very wide 95% CI </w:t>
      </w:r>
      <w:r w:rsidR="00EF2A4B">
        <w:rPr>
          <w:rFonts w:ascii="Arial" w:hAnsi="Arial" w:cs="Arial"/>
          <w:sz w:val="24"/>
          <w:szCs w:val="24"/>
        </w:rPr>
        <w:t xml:space="preserve">0.015 </w:t>
      </w:r>
      <w:r w:rsidR="00DA45DD" w:rsidRPr="00A16043">
        <w:rPr>
          <w:rFonts w:ascii="Arial" w:hAnsi="Arial" w:cs="Arial"/>
          <w:sz w:val="24"/>
          <w:szCs w:val="24"/>
        </w:rPr>
        <w:t xml:space="preserve">to </w:t>
      </w:r>
      <w:r w:rsidR="00EF2A4B">
        <w:rPr>
          <w:rFonts w:ascii="Arial" w:hAnsi="Arial" w:cs="Arial"/>
          <w:sz w:val="24"/>
          <w:szCs w:val="24"/>
        </w:rPr>
        <w:t>0.859</w:t>
      </w:r>
      <w:r w:rsidR="00DA45DD" w:rsidRPr="00A16043">
        <w:rPr>
          <w:rFonts w:ascii="Arial" w:hAnsi="Arial" w:cs="Arial"/>
          <w:sz w:val="24"/>
          <w:szCs w:val="24"/>
        </w:rPr>
        <w:t>. The observed result is “too good to be true”. A comparable small trial with a non-significant finding would doubtless not have been published in a major journal. Thus, p</w:t>
      </w:r>
      <w:r w:rsidR="007B39DE" w:rsidRPr="00A16043">
        <w:rPr>
          <w:rFonts w:ascii="Arial" w:hAnsi="Arial" w:cs="Arial"/>
          <w:sz w:val="24"/>
          <w:szCs w:val="24"/>
        </w:rPr>
        <w:t xml:space="preserve">ublication bias, </w:t>
      </w:r>
      <w:proofErr w:type="spellStart"/>
      <w:r w:rsidR="007B39DE" w:rsidRPr="00A16043">
        <w:rPr>
          <w:rFonts w:ascii="Arial" w:hAnsi="Arial" w:cs="Arial"/>
          <w:sz w:val="24"/>
          <w:szCs w:val="24"/>
        </w:rPr>
        <w:t>ie</w:t>
      </w:r>
      <w:proofErr w:type="spellEnd"/>
      <w:r w:rsidR="007B39DE" w:rsidRPr="00A16043">
        <w:rPr>
          <w:rFonts w:ascii="Arial" w:hAnsi="Arial" w:cs="Arial"/>
          <w:sz w:val="24"/>
          <w:szCs w:val="24"/>
        </w:rPr>
        <w:t xml:space="preserve">. </w:t>
      </w:r>
      <w:proofErr w:type="gramStart"/>
      <w:r w:rsidR="007B39DE" w:rsidRPr="00A16043">
        <w:rPr>
          <w:rFonts w:ascii="Arial" w:hAnsi="Arial" w:cs="Arial"/>
          <w:sz w:val="24"/>
          <w:szCs w:val="24"/>
        </w:rPr>
        <w:t>the</w:t>
      </w:r>
      <w:proofErr w:type="gramEnd"/>
      <w:r w:rsidR="007B39DE" w:rsidRPr="00A16043">
        <w:rPr>
          <w:rFonts w:ascii="Arial" w:hAnsi="Arial" w:cs="Arial"/>
          <w:sz w:val="24"/>
          <w:szCs w:val="24"/>
        </w:rPr>
        <w:t xml:space="preserve"> tendency for published trials to exaggerate treatment effects, is accentuated when trials are small.</w:t>
      </w:r>
    </w:p>
    <w:p w14:paraId="2D2FD4D1" w14:textId="77777777" w:rsidR="00A16043" w:rsidRDefault="00A16043" w:rsidP="00A16043">
      <w:pPr>
        <w:spacing w:after="0" w:line="360" w:lineRule="auto"/>
        <w:rPr>
          <w:rFonts w:ascii="Arial" w:hAnsi="Arial" w:cs="Arial"/>
          <w:sz w:val="24"/>
          <w:szCs w:val="24"/>
        </w:rPr>
      </w:pPr>
    </w:p>
    <w:p w14:paraId="1F042427" w14:textId="77777777" w:rsidR="00C06C90" w:rsidRDefault="00C06C90" w:rsidP="00A16043">
      <w:pPr>
        <w:spacing w:after="0" w:line="360" w:lineRule="auto"/>
        <w:rPr>
          <w:rFonts w:ascii="Arial" w:hAnsi="Arial" w:cs="Arial"/>
          <w:sz w:val="24"/>
          <w:szCs w:val="24"/>
        </w:rPr>
      </w:pPr>
      <w:r>
        <w:rPr>
          <w:rFonts w:ascii="Arial" w:hAnsi="Arial" w:cs="Arial"/>
          <w:sz w:val="24"/>
          <w:szCs w:val="24"/>
        </w:rPr>
        <w:t xml:space="preserve">7) In this article, we concentrate on interpreting P-values (and confidence intervals) for trials whose purpose is to determine if one treatment is superior to another. For non-inferiority trials, with the goal of seeing if a new treatment is as good as control, interpretation is somewhat different, as explained in the last article in this series. </w:t>
      </w:r>
    </w:p>
    <w:p w14:paraId="7CEBB7EB" w14:textId="77777777" w:rsidR="00C06C90" w:rsidRDefault="00C06C90" w:rsidP="00A16043">
      <w:pPr>
        <w:spacing w:after="0" w:line="360" w:lineRule="auto"/>
        <w:rPr>
          <w:rFonts w:ascii="Arial" w:hAnsi="Arial" w:cs="Arial"/>
          <w:sz w:val="24"/>
          <w:szCs w:val="24"/>
        </w:rPr>
      </w:pPr>
    </w:p>
    <w:p w14:paraId="79FBA4B5" w14:textId="77777777" w:rsidR="00A16043" w:rsidRPr="00F66747" w:rsidRDefault="00F66747" w:rsidP="00A16043">
      <w:pPr>
        <w:spacing w:after="0" w:line="360" w:lineRule="auto"/>
        <w:rPr>
          <w:rFonts w:ascii="Arial" w:hAnsi="Arial" w:cs="Arial"/>
          <w:b/>
          <w:sz w:val="24"/>
          <w:szCs w:val="24"/>
        </w:rPr>
      </w:pPr>
      <w:r w:rsidRPr="00F66747">
        <w:rPr>
          <w:rFonts w:ascii="Arial" w:hAnsi="Arial" w:cs="Arial"/>
          <w:b/>
          <w:sz w:val="24"/>
          <w:szCs w:val="24"/>
        </w:rPr>
        <w:t>The Simplest Statistical Test</w:t>
      </w:r>
    </w:p>
    <w:p w14:paraId="45EABB26" w14:textId="77777777" w:rsidR="00F66747" w:rsidRDefault="00F66747" w:rsidP="00A16043">
      <w:pPr>
        <w:spacing w:after="0" w:line="360" w:lineRule="auto"/>
        <w:rPr>
          <w:rFonts w:ascii="Arial" w:hAnsi="Arial" w:cs="Arial"/>
          <w:sz w:val="24"/>
          <w:szCs w:val="24"/>
        </w:rPr>
      </w:pPr>
    </w:p>
    <w:p w14:paraId="591A8356" w14:textId="77777777" w:rsidR="00F66747" w:rsidRDefault="00F66747" w:rsidP="00A16043">
      <w:pPr>
        <w:spacing w:after="0" w:line="360" w:lineRule="auto"/>
        <w:rPr>
          <w:rFonts w:ascii="Arial" w:hAnsi="Arial" w:cs="Arial"/>
          <w:sz w:val="24"/>
          <w:szCs w:val="24"/>
        </w:rPr>
      </w:pPr>
      <w:r>
        <w:rPr>
          <w:rFonts w:ascii="Arial" w:hAnsi="Arial" w:cs="Arial"/>
          <w:sz w:val="24"/>
          <w:szCs w:val="24"/>
        </w:rPr>
        <w:t xml:space="preserve">This article does not provide the statistical calculations or programs required to obtain P values. Suffice it to say that for the three types of outcome data, binary, time-to-event and quantitative, the most common tests used are chi-squared, </w:t>
      </w:r>
      <w:proofErr w:type="spellStart"/>
      <w:r>
        <w:rPr>
          <w:rFonts w:ascii="Arial" w:hAnsi="Arial" w:cs="Arial"/>
          <w:sz w:val="24"/>
          <w:szCs w:val="24"/>
        </w:rPr>
        <w:t>logrank</w:t>
      </w:r>
      <w:proofErr w:type="spellEnd"/>
      <w:r>
        <w:rPr>
          <w:rFonts w:ascii="Arial" w:hAnsi="Arial" w:cs="Arial"/>
          <w:sz w:val="24"/>
          <w:szCs w:val="24"/>
        </w:rPr>
        <w:t xml:space="preserve"> and two-sample t-test or ANCOVA respectively.</w:t>
      </w:r>
      <w:r w:rsidR="002D4B94">
        <w:rPr>
          <w:rFonts w:ascii="Arial" w:hAnsi="Arial" w:cs="Arial"/>
          <w:sz w:val="24"/>
          <w:szCs w:val="24"/>
        </w:rPr>
        <w:t xml:space="preserve"> B</w:t>
      </w:r>
      <w:r>
        <w:rPr>
          <w:rFonts w:ascii="Arial" w:hAnsi="Arial" w:cs="Arial"/>
          <w:sz w:val="24"/>
          <w:szCs w:val="24"/>
        </w:rPr>
        <w:t xml:space="preserve">ut for trials with 1:1 randomisation and a binary or time-to-event outcome there does exist a quick alternative </w:t>
      </w:r>
      <w:r w:rsidR="00C468D8">
        <w:rPr>
          <w:rFonts w:ascii="Arial" w:hAnsi="Arial" w:cs="Arial"/>
          <w:sz w:val="24"/>
          <w:szCs w:val="24"/>
        </w:rPr>
        <w:fldChar w:fldCharType="begin"/>
      </w:r>
      <w:r w:rsidR="00C06C90">
        <w:rPr>
          <w:rFonts w:ascii="Arial" w:hAnsi="Arial" w:cs="Arial"/>
          <w:sz w:val="24"/>
          <w:szCs w:val="24"/>
        </w:rPr>
        <w:instrText xml:space="preserve"> ADDIN EN.CITE &lt;EndNote&gt;&lt;Cite&gt;&lt;Author&gt;Pocock&lt;/Author&gt;&lt;Year&gt;2006&lt;/Year&gt;&lt;RecNum&gt;45&lt;/RecNum&gt;&lt;DisplayText&gt;(26)&lt;/DisplayText&gt;&lt;record&gt;&lt;rec-number&gt;45&lt;/rec-number&gt;&lt;foreign-keys&gt;&lt;key app="EN" db-id="eaz5sewevp5dfxewrdrvzv52xsv2tsf22rzr"&gt;45&lt;/key&gt;&lt;/foreign-keys&gt;&lt;ref-type name="Journal Article"&gt;17&lt;/ref-type&gt;&lt;contributors&gt;&lt;authors&gt;&lt;author&gt;Pocock, S. J.&lt;/author&gt;&lt;/authors&gt;&lt;/contributors&gt;&lt;auth-address&gt;Medical Statistics Unit, London School of Hygiene and Tropical Medicine, London WC1E 7HT. Stuart.Pocock@lshtm.ac.uk&lt;/auth-address&gt;&lt;titles&gt;&lt;title&gt;The simplest statistical test: how to check for a difference between treatments&lt;/title&gt;&lt;secondary-title&gt;BMJ&lt;/secondary-title&gt;&lt;alt-title&gt;BMJ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ed.)&lt;/abbr-1&gt;&lt;/alt-periodical&gt;&lt;pages&gt;1256-8&lt;/pages&gt;&lt;volume&gt;332&lt;/volume&gt;&lt;number&gt;7552&lt;/number&gt;&lt;edition&gt;2006/06/01&lt;/edition&gt;&lt;keywords&gt;&lt;keyword&gt;Chi-Square Distribution&lt;/keyword&gt;&lt;keyword&gt;*Data Interpretation, Statistical&lt;/keyword&gt;&lt;keyword&gt;Meta-Analysis as Topic&lt;/keyword&gt;&lt;keyword&gt;Proportional Hazards Models&lt;/keyword&gt;&lt;keyword&gt;Randomized Controlled Trials as Topic/*statistics &amp;amp; numerical data&lt;/keyword&gt;&lt;/keywords&gt;&lt;dates&gt;&lt;year&gt;2006&lt;/year&gt;&lt;pub-dates&gt;&lt;date&gt;May 27&lt;/date&gt;&lt;/pub-dates&gt;&lt;/dates&gt;&lt;isbn&gt;0959-535x&lt;/isbn&gt;&lt;accession-num&gt;16735336&lt;/accession-num&gt;&lt;call-num&gt;23&lt;/call-num&gt;&lt;urls&gt;&lt;/urls&gt;&lt;custom2&gt;Pmc1471979&lt;/custom2&gt;&lt;electronic-resource-num&gt;10.1136/bmj.332.7552.1256&lt;/electronic-resource-num&gt;&lt;remote-database-provider&gt;Nlm&lt;/remote-database-provider&gt;&lt;language&gt;eng&lt;/language&gt;&lt;/record&gt;&lt;/Cite&gt;&lt;/EndNote&gt;</w:instrText>
      </w:r>
      <w:r w:rsidR="00C468D8">
        <w:rPr>
          <w:rFonts w:ascii="Arial" w:hAnsi="Arial" w:cs="Arial"/>
          <w:sz w:val="24"/>
          <w:szCs w:val="24"/>
        </w:rPr>
        <w:fldChar w:fldCharType="separate"/>
      </w:r>
      <w:r w:rsidR="00C06C90">
        <w:rPr>
          <w:rFonts w:ascii="Arial" w:hAnsi="Arial" w:cs="Arial"/>
          <w:noProof/>
          <w:sz w:val="24"/>
          <w:szCs w:val="24"/>
        </w:rPr>
        <w:t>(</w:t>
      </w:r>
      <w:hyperlink w:anchor="_ENREF_26" w:tooltip="Pocock, 2006 #45" w:history="1">
        <w:r w:rsidR="00C06C90">
          <w:rPr>
            <w:rFonts w:ascii="Arial" w:hAnsi="Arial" w:cs="Arial"/>
            <w:noProof/>
            <w:sz w:val="24"/>
            <w:szCs w:val="24"/>
          </w:rPr>
          <w:t>26</w:t>
        </w:r>
      </w:hyperlink>
      <w:r w:rsidR="00C06C90">
        <w:rPr>
          <w:rFonts w:ascii="Arial" w:hAnsi="Arial" w:cs="Arial"/>
          <w:noProof/>
          <w:sz w:val="24"/>
          <w:szCs w:val="24"/>
        </w:rPr>
        <w:t>)</w:t>
      </w:r>
      <w:r w:rsidR="00C468D8">
        <w:rPr>
          <w:rFonts w:ascii="Arial" w:hAnsi="Arial" w:cs="Arial"/>
          <w:sz w:val="24"/>
          <w:szCs w:val="24"/>
        </w:rPr>
        <w:fldChar w:fldCharType="end"/>
      </w:r>
      <w:r w:rsidR="00C468D8">
        <w:rPr>
          <w:rFonts w:ascii="Arial" w:hAnsi="Arial" w:cs="Arial"/>
          <w:sz w:val="24"/>
          <w:szCs w:val="24"/>
        </w:rPr>
        <w:t xml:space="preserve"> </w:t>
      </w:r>
      <w:r>
        <w:rPr>
          <w:rFonts w:ascii="Arial" w:hAnsi="Arial" w:cs="Arial"/>
          <w:sz w:val="24"/>
          <w:szCs w:val="24"/>
        </w:rPr>
        <w:t xml:space="preserve">which </w:t>
      </w:r>
      <w:r>
        <w:rPr>
          <w:rFonts w:ascii="Arial" w:hAnsi="Arial" w:cs="Arial"/>
          <w:sz w:val="24"/>
          <w:szCs w:val="24"/>
        </w:rPr>
        <w:lastRenderedPageBreak/>
        <w:t>can be used by the inquisitive reader who is “dying to know” if a result is statistically significant. The test is so simple that most statisticians do not know about it!</w:t>
      </w:r>
    </w:p>
    <w:p w14:paraId="692D4E9C" w14:textId="77777777" w:rsidR="00F66747" w:rsidRDefault="00F66747" w:rsidP="00A16043">
      <w:pPr>
        <w:spacing w:after="0" w:line="360" w:lineRule="auto"/>
        <w:rPr>
          <w:rFonts w:ascii="Arial" w:hAnsi="Arial" w:cs="Arial"/>
          <w:sz w:val="24"/>
          <w:szCs w:val="24"/>
        </w:rPr>
      </w:pPr>
      <w:r>
        <w:rPr>
          <w:rFonts w:ascii="Arial" w:hAnsi="Arial" w:cs="Arial"/>
          <w:sz w:val="24"/>
          <w:szCs w:val="24"/>
        </w:rPr>
        <w:t>All you need to use is the number of patients in each treatment group who have the primary endpoint. Then the difference divided by the square root of the sum is approximately a standardised normal deviate which can readily be converted into a P-value.</w:t>
      </w:r>
      <w:r w:rsidR="002D4B94">
        <w:rPr>
          <w:rFonts w:ascii="Arial" w:hAnsi="Arial" w:cs="Arial"/>
          <w:sz w:val="24"/>
          <w:szCs w:val="24"/>
        </w:rPr>
        <w:t xml:space="preserve"> </w:t>
      </w:r>
      <w:r>
        <w:rPr>
          <w:rFonts w:ascii="Arial" w:hAnsi="Arial" w:cs="Arial"/>
          <w:sz w:val="24"/>
          <w:szCs w:val="24"/>
        </w:rPr>
        <w:t xml:space="preserve">See Table </w:t>
      </w:r>
      <w:r w:rsidR="00D466EA">
        <w:rPr>
          <w:rFonts w:ascii="Arial" w:hAnsi="Arial" w:cs="Arial"/>
          <w:sz w:val="24"/>
          <w:szCs w:val="24"/>
        </w:rPr>
        <w:t>6</w:t>
      </w:r>
      <w:r>
        <w:rPr>
          <w:rFonts w:ascii="Arial" w:hAnsi="Arial" w:cs="Arial"/>
          <w:sz w:val="24"/>
          <w:szCs w:val="24"/>
        </w:rPr>
        <w:t xml:space="preserve"> for how it works for four of the trials we have already discussed. In each case this simple test agrees well with the more complex calculations used in the trial publication.</w:t>
      </w:r>
    </w:p>
    <w:p w14:paraId="0A2DA4BF" w14:textId="77777777" w:rsidR="00996F14" w:rsidRDefault="00996F14" w:rsidP="00A16043">
      <w:pPr>
        <w:spacing w:after="0" w:line="360" w:lineRule="auto"/>
        <w:rPr>
          <w:rFonts w:ascii="Arial" w:hAnsi="Arial" w:cs="Arial"/>
          <w:sz w:val="24"/>
          <w:szCs w:val="24"/>
        </w:rPr>
      </w:pPr>
    </w:p>
    <w:p w14:paraId="1415E059" w14:textId="77777777" w:rsidR="00EF2A4B" w:rsidRDefault="00EF2A4B" w:rsidP="00A16043">
      <w:pPr>
        <w:spacing w:after="0" w:line="360" w:lineRule="auto"/>
        <w:rPr>
          <w:rFonts w:ascii="Arial" w:hAnsi="Arial" w:cs="Arial"/>
          <w:b/>
          <w:sz w:val="24"/>
          <w:szCs w:val="24"/>
        </w:rPr>
      </w:pPr>
      <w:r w:rsidRPr="00275862">
        <w:rPr>
          <w:rFonts w:ascii="Arial" w:hAnsi="Arial" w:cs="Arial"/>
          <w:b/>
          <w:sz w:val="24"/>
          <w:szCs w:val="24"/>
        </w:rPr>
        <w:t>Concluding remarks</w:t>
      </w:r>
    </w:p>
    <w:p w14:paraId="264C6936" w14:textId="77777777" w:rsidR="00275862" w:rsidRPr="00275862" w:rsidRDefault="00275862" w:rsidP="00A16043">
      <w:pPr>
        <w:spacing w:after="0" w:line="360" w:lineRule="auto"/>
        <w:rPr>
          <w:rFonts w:ascii="Arial" w:hAnsi="Arial" w:cs="Arial"/>
          <w:b/>
          <w:sz w:val="24"/>
          <w:szCs w:val="24"/>
        </w:rPr>
      </w:pPr>
    </w:p>
    <w:p w14:paraId="5C6CFCE7" w14:textId="77777777" w:rsidR="00996F14" w:rsidRDefault="00AB273E" w:rsidP="00EF2A4B">
      <w:pPr>
        <w:spacing w:after="0" w:line="360" w:lineRule="auto"/>
        <w:rPr>
          <w:rFonts w:ascii="Arial" w:hAnsi="Arial" w:cs="Arial"/>
          <w:sz w:val="24"/>
          <w:szCs w:val="24"/>
        </w:rPr>
      </w:pPr>
      <w:r>
        <w:rPr>
          <w:rFonts w:ascii="Arial" w:hAnsi="Arial" w:cs="Arial"/>
          <w:sz w:val="24"/>
          <w:szCs w:val="24"/>
        </w:rPr>
        <w:t>We have</w:t>
      </w:r>
      <w:r w:rsidR="00EF2A4B">
        <w:rPr>
          <w:rFonts w:ascii="Arial" w:hAnsi="Arial" w:cs="Arial"/>
          <w:sz w:val="24"/>
          <w:szCs w:val="24"/>
        </w:rPr>
        <w:t xml:space="preserve"> covered the essentials of statistical analysis </w:t>
      </w:r>
      <w:r>
        <w:rPr>
          <w:rFonts w:ascii="Arial" w:hAnsi="Arial" w:cs="Arial"/>
          <w:sz w:val="24"/>
          <w:szCs w:val="24"/>
        </w:rPr>
        <w:t xml:space="preserve">and reporting </w:t>
      </w:r>
      <w:r w:rsidR="00EF2A4B">
        <w:rPr>
          <w:rFonts w:ascii="Arial" w:hAnsi="Arial" w:cs="Arial"/>
          <w:sz w:val="24"/>
          <w:szCs w:val="24"/>
        </w:rPr>
        <w:t>in this article,</w:t>
      </w:r>
      <w:r>
        <w:rPr>
          <w:rFonts w:ascii="Arial" w:hAnsi="Arial" w:cs="Arial"/>
          <w:sz w:val="24"/>
          <w:szCs w:val="24"/>
        </w:rPr>
        <w:t xml:space="preserve"> and the key aspects are summarised in the Central Illustration. N</w:t>
      </w:r>
      <w:r w:rsidR="00EF2A4B">
        <w:rPr>
          <w:rFonts w:ascii="Arial" w:hAnsi="Arial" w:cs="Arial"/>
          <w:sz w:val="24"/>
          <w:szCs w:val="24"/>
        </w:rPr>
        <w:t xml:space="preserve">ext week we tackle a variety of more complex statistical challenges that are often faced in the reporting of clinical trials. These include </w:t>
      </w:r>
      <w:r>
        <w:rPr>
          <w:rFonts w:ascii="Arial" w:hAnsi="Arial" w:cs="Arial"/>
          <w:sz w:val="24"/>
          <w:szCs w:val="24"/>
        </w:rPr>
        <w:t xml:space="preserve">multiplicity of data, covariate adjustment, subgroup analysis, assessing individual benefits and risk, analysis by intention to treat and alternatives, the interpretation of surprises (both good and bad) </w:t>
      </w:r>
      <w:r w:rsidR="00EF2A4B">
        <w:rPr>
          <w:rFonts w:ascii="Arial" w:hAnsi="Arial" w:cs="Arial"/>
          <w:sz w:val="24"/>
          <w:szCs w:val="24"/>
        </w:rPr>
        <w:t xml:space="preserve">and </w:t>
      </w:r>
      <w:r>
        <w:rPr>
          <w:rFonts w:ascii="Arial" w:hAnsi="Arial" w:cs="Arial"/>
          <w:sz w:val="24"/>
          <w:szCs w:val="24"/>
        </w:rPr>
        <w:t xml:space="preserve">enhancing </w:t>
      </w:r>
      <w:r w:rsidR="00EF2A4B">
        <w:rPr>
          <w:rFonts w:ascii="Arial" w:hAnsi="Arial" w:cs="Arial"/>
          <w:sz w:val="24"/>
          <w:szCs w:val="24"/>
        </w:rPr>
        <w:t xml:space="preserve">the </w:t>
      </w:r>
      <w:r>
        <w:rPr>
          <w:rFonts w:ascii="Arial" w:hAnsi="Arial" w:cs="Arial"/>
          <w:sz w:val="24"/>
          <w:szCs w:val="24"/>
        </w:rPr>
        <w:t xml:space="preserve">overall </w:t>
      </w:r>
      <w:r w:rsidR="00EF2A4B">
        <w:rPr>
          <w:rFonts w:ascii="Arial" w:hAnsi="Arial" w:cs="Arial"/>
          <w:sz w:val="24"/>
          <w:szCs w:val="24"/>
        </w:rPr>
        <w:t>quality of clinical trial reports.</w:t>
      </w:r>
    </w:p>
    <w:p w14:paraId="5C2F2446" w14:textId="77777777" w:rsidR="00996F14" w:rsidRDefault="00996F14" w:rsidP="00A16043">
      <w:pPr>
        <w:spacing w:after="0" w:line="360" w:lineRule="auto"/>
        <w:rPr>
          <w:rFonts w:ascii="Arial" w:hAnsi="Arial" w:cs="Arial"/>
          <w:sz w:val="24"/>
          <w:szCs w:val="24"/>
        </w:rPr>
      </w:pPr>
    </w:p>
    <w:p w14:paraId="178F8306" w14:textId="77777777" w:rsidR="00C06C90" w:rsidRDefault="00C06C90">
      <w:pPr>
        <w:rPr>
          <w:rFonts w:ascii="Arial" w:hAnsi="Arial" w:cs="Arial"/>
          <w:sz w:val="24"/>
          <w:szCs w:val="24"/>
        </w:rPr>
      </w:pPr>
      <w:r>
        <w:rPr>
          <w:rFonts w:ascii="Arial" w:hAnsi="Arial" w:cs="Arial"/>
          <w:sz w:val="24"/>
          <w:szCs w:val="24"/>
        </w:rPr>
        <w:br w:type="page"/>
      </w:r>
    </w:p>
    <w:p w14:paraId="77A23EBD" w14:textId="77777777" w:rsidR="00D452B5" w:rsidRDefault="00C06C90" w:rsidP="000B71EF">
      <w:pPr>
        <w:spacing w:after="0" w:line="360" w:lineRule="auto"/>
        <w:rPr>
          <w:rFonts w:ascii="Arial" w:hAnsi="Arial" w:cs="Arial"/>
          <w:sz w:val="24"/>
          <w:szCs w:val="24"/>
        </w:rPr>
      </w:pPr>
      <w:r>
        <w:rPr>
          <w:rFonts w:ascii="Arial" w:hAnsi="Arial" w:cs="Arial"/>
          <w:sz w:val="24"/>
          <w:szCs w:val="24"/>
        </w:rPr>
        <w:lastRenderedPageBreak/>
        <w:t>Appendix</w:t>
      </w:r>
    </w:p>
    <w:p w14:paraId="264DD664" w14:textId="77777777" w:rsidR="00C06C90" w:rsidRDefault="00C06C90" w:rsidP="000B71EF">
      <w:pPr>
        <w:spacing w:after="0" w:line="360" w:lineRule="auto"/>
        <w:rPr>
          <w:rFonts w:ascii="Arial" w:hAnsi="Arial" w:cs="Arial"/>
          <w:sz w:val="24"/>
          <w:szCs w:val="24"/>
        </w:rPr>
      </w:pPr>
    </w:p>
    <w:p w14:paraId="13268C61" w14:textId="77777777" w:rsidR="00C06C90" w:rsidRDefault="00C06C90" w:rsidP="00C06C90">
      <w:pPr>
        <w:spacing w:after="0" w:line="360" w:lineRule="auto"/>
        <w:rPr>
          <w:rFonts w:ascii="Arial" w:hAnsi="Arial" w:cs="Arial"/>
          <w:b/>
          <w:sz w:val="24"/>
          <w:szCs w:val="24"/>
        </w:rPr>
      </w:pPr>
      <w:r w:rsidRPr="001C52BE">
        <w:rPr>
          <w:rFonts w:ascii="Arial" w:hAnsi="Arial" w:cs="Arial"/>
          <w:b/>
          <w:sz w:val="24"/>
          <w:szCs w:val="24"/>
        </w:rPr>
        <w:t>A Brief History of the P-value</w:t>
      </w:r>
    </w:p>
    <w:p w14:paraId="48E414BE" w14:textId="77777777" w:rsidR="00C06C90" w:rsidRDefault="00C06C90" w:rsidP="00C06C90">
      <w:pPr>
        <w:spacing w:after="0" w:line="360" w:lineRule="auto"/>
        <w:rPr>
          <w:rFonts w:ascii="Arial" w:hAnsi="Arial" w:cs="Arial"/>
          <w:b/>
          <w:sz w:val="24"/>
          <w:szCs w:val="24"/>
        </w:rPr>
      </w:pPr>
    </w:p>
    <w:p w14:paraId="70FC9D01" w14:textId="77777777" w:rsidR="00C06C90" w:rsidRDefault="00C06C90" w:rsidP="00C06C90">
      <w:pPr>
        <w:spacing w:after="0" w:line="360" w:lineRule="auto"/>
        <w:rPr>
          <w:rFonts w:ascii="Arial" w:hAnsi="Arial" w:cs="Arial"/>
          <w:sz w:val="24"/>
          <w:szCs w:val="24"/>
        </w:rPr>
      </w:pPr>
      <w:r>
        <w:rPr>
          <w:rFonts w:ascii="Arial" w:hAnsi="Arial" w:cs="Arial"/>
          <w:sz w:val="24"/>
          <w:szCs w:val="24"/>
        </w:rPr>
        <w:t>The first extensive documentation of P-values was by Karl Pearson in 1914 with his Tables for Statisticians. These were very detailed tables of P-values with no focus on any particular cut-off values. R A Fisher realized the need for more compact tables which were easier to use and in 1925 his text “Statistical Methods for Research Workers”</w:t>
      </w:r>
      <w:r>
        <w:rPr>
          <w:rFonts w:ascii="Arial" w:hAnsi="Arial" w:cs="Arial"/>
          <w:sz w:val="24"/>
          <w:szCs w:val="24"/>
        </w:rPr>
        <w:fldChar w:fldCharType="begin"/>
      </w:r>
      <w:r>
        <w:rPr>
          <w:rFonts w:ascii="Arial" w:hAnsi="Arial" w:cs="Arial"/>
          <w:sz w:val="24"/>
          <w:szCs w:val="24"/>
        </w:rPr>
        <w:instrText xml:space="preserve"> ADDIN EN.CITE &lt;EndNote&gt;&lt;Cite&gt;&lt;Author&gt;Fisher&lt;/Author&gt;&lt;Year&gt;1925&lt;/Year&gt;&lt;RecNum&gt;33&lt;/RecNum&gt;&lt;DisplayText&gt;(27)&lt;/DisplayText&gt;&lt;record&gt;&lt;rec-number&gt;33&lt;/rec-number&gt;&lt;foreign-keys&gt;&lt;key app="EN" db-id="eaz5sewevp5dfxewrdrvzv52xsv2tsf22rzr"&gt;33&lt;/key&gt;&lt;/foreign-keys&gt;&lt;ref-type name="Book"&gt;6&lt;/ref-type&gt;&lt;contributors&gt;&lt;authors&gt;&lt;author&gt;Fisher, R.A.&lt;/author&gt;&lt;/authors&gt;&lt;/contributors&gt;&lt;titles&gt;&lt;title&gt;Statistical Methods For Research Workers&lt;/title&gt;&lt;/titles&gt;&lt;dates&gt;&lt;year&gt;1925&lt;/year&gt;&lt;/dates&gt;&lt;publisher&gt;Cosmo Publications&lt;/publisher&gt;&lt;isbn&gt;9788130701332&lt;/isbn&gt;&lt;urls&gt;&lt;related-urls&gt;&lt;url&gt;https://books.google.co.uk/books?id=4bTttAJR5kEC&lt;/url&gt;&lt;/related-urls&gt;&lt;/urls&gt;&lt;/record&gt;&lt;/Cite&gt;&lt;/EndNote&gt;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27" w:tooltip="Fisher, 1925 #33" w:history="1">
        <w:r>
          <w:rPr>
            <w:rFonts w:ascii="Arial" w:hAnsi="Arial" w:cs="Arial"/>
            <w:noProof/>
            <w:sz w:val="24"/>
            <w:szCs w:val="24"/>
          </w:rPr>
          <w:t>27</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 xml:space="preserve"> focussed on specific selected values of P e.g. P=0.1, 0.05, 0.02, 0.01 and 0.001.  It has been suggested that “Fisher produced these tables of significance levels to save space and to avoid copyright problems with Pearson, whom he disliked”. The cut-off P=0.05 received no particular emphasis in the tables. </w:t>
      </w:r>
    </w:p>
    <w:p w14:paraId="2620235B" w14:textId="77777777" w:rsidR="00C06C90" w:rsidRDefault="00C06C90" w:rsidP="00C06C90">
      <w:pPr>
        <w:spacing w:after="0" w:line="360" w:lineRule="auto"/>
        <w:rPr>
          <w:rFonts w:ascii="Arial" w:hAnsi="Arial" w:cs="Arial"/>
          <w:sz w:val="24"/>
          <w:szCs w:val="24"/>
        </w:rPr>
      </w:pPr>
    </w:p>
    <w:p w14:paraId="39F9146E" w14:textId="77777777" w:rsidR="00C06C90" w:rsidRDefault="00C06C90" w:rsidP="00C06C90">
      <w:pPr>
        <w:spacing w:after="0" w:line="360" w:lineRule="auto"/>
        <w:rPr>
          <w:rFonts w:ascii="Arial" w:hAnsi="Arial" w:cs="Arial"/>
          <w:sz w:val="24"/>
          <w:szCs w:val="24"/>
        </w:rPr>
      </w:pPr>
      <w:r>
        <w:rPr>
          <w:rFonts w:ascii="Arial" w:hAnsi="Arial" w:cs="Arial"/>
          <w:sz w:val="24"/>
          <w:szCs w:val="24"/>
        </w:rPr>
        <w:t>However, Fisher’s writings on how to interpret P-values did put more emphasis on P&lt;0.05 than on any other cut-off. For instance he wrote “The value for which P=0.05 or 1 in 20 is convenient to take as a limit in judging whether a deviation ought to be significant or not”. He recognised though that one specific cut-off should not dominate: “If one in 20 does not seem high enough odds, we may if we prefer it, draw the line at 1 in 50 or 1 in 100. I prefer to set a low standard of significance at 5% and ignore entirely all results that fail to reach this level”. His interpretation is somewhat inclined towards P-values as decision tools, but he was wary, and slightly self-contradictory on this point. This next quote nicely tones down any emphasis on a cut-off: “When P is between 0.02 and 0.05 the result must be judged significant but barely so.  The data do not demonstrate this point beyond reasonable doubt”.</w:t>
      </w:r>
    </w:p>
    <w:p w14:paraId="2391868C" w14:textId="77777777" w:rsidR="00C06C90" w:rsidRDefault="00C06C90" w:rsidP="00C06C90">
      <w:pPr>
        <w:spacing w:after="0" w:line="360" w:lineRule="auto"/>
        <w:rPr>
          <w:rFonts w:ascii="Arial" w:hAnsi="Arial" w:cs="Arial"/>
          <w:sz w:val="24"/>
          <w:szCs w:val="24"/>
        </w:rPr>
      </w:pPr>
      <w:r>
        <w:rPr>
          <w:rFonts w:ascii="Arial" w:hAnsi="Arial" w:cs="Arial"/>
          <w:sz w:val="24"/>
          <w:szCs w:val="24"/>
        </w:rPr>
        <w:t xml:space="preserve">In 1933 Jerzy </w:t>
      </w:r>
      <w:proofErr w:type="spellStart"/>
      <w:r>
        <w:rPr>
          <w:rFonts w:ascii="Arial" w:hAnsi="Arial" w:cs="Arial"/>
          <w:sz w:val="24"/>
          <w:szCs w:val="24"/>
        </w:rPr>
        <w:t>Neyman</w:t>
      </w:r>
      <w:proofErr w:type="spellEnd"/>
      <w:r>
        <w:rPr>
          <w:rFonts w:ascii="Arial" w:hAnsi="Arial" w:cs="Arial"/>
          <w:sz w:val="24"/>
          <w:szCs w:val="24"/>
        </w:rPr>
        <w:t xml:space="preserve"> and </w:t>
      </w:r>
      <w:proofErr w:type="spellStart"/>
      <w:r>
        <w:rPr>
          <w:rFonts w:ascii="Arial" w:hAnsi="Arial" w:cs="Arial"/>
          <w:sz w:val="24"/>
          <w:szCs w:val="24"/>
        </w:rPr>
        <w:t>Egon</w:t>
      </w:r>
      <w:proofErr w:type="spellEnd"/>
      <w:r>
        <w:rPr>
          <w:rFonts w:ascii="Arial" w:hAnsi="Arial" w:cs="Arial"/>
          <w:sz w:val="24"/>
          <w:szCs w:val="24"/>
        </w:rPr>
        <w:t xml:space="preserve"> Pearson (son of Karl Pearson) produced a more decision-oriented approach to P-values. Their hypothesis testing formulation declared that </w:t>
      </w:r>
      <w:r w:rsidRPr="0018615F">
        <w:rPr>
          <w:rFonts w:ascii="Arial" w:hAnsi="Arial" w:cs="Arial"/>
          <w:b/>
          <w:sz w:val="24"/>
          <w:szCs w:val="24"/>
        </w:rPr>
        <w:t>P&lt;</w:t>
      </w:r>
      <w:r>
        <w:rPr>
          <w:rFonts w:ascii="Arial" w:hAnsi="Arial" w:cs="Arial"/>
          <w:b/>
          <w:sz w:val="24"/>
          <w:szCs w:val="24"/>
        </w:rPr>
        <w:t>0</w:t>
      </w:r>
      <w:r w:rsidRPr="0018615F">
        <w:rPr>
          <w:rFonts w:ascii="Arial" w:hAnsi="Arial" w:cs="Arial"/>
          <w:b/>
          <w:sz w:val="24"/>
          <w:szCs w:val="24"/>
        </w:rPr>
        <w:t>.05</w:t>
      </w:r>
      <w:r>
        <w:rPr>
          <w:rFonts w:ascii="Arial" w:hAnsi="Arial" w:cs="Arial"/>
          <w:sz w:val="24"/>
          <w:szCs w:val="24"/>
        </w:rPr>
        <w:t xml:space="preserve"> meant </w:t>
      </w:r>
      <w:r w:rsidRPr="0018615F">
        <w:rPr>
          <w:rFonts w:ascii="Arial" w:hAnsi="Arial" w:cs="Arial"/>
          <w:b/>
          <w:sz w:val="24"/>
          <w:szCs w:val="24"/>
        </w:rPr>
        <w:t>reject</w:t>
      </w:r>
      <w:r>
        <w:rPr>
          <w:rFonts w:ascii="Arial" w:hAnsi="Arial" w:cs="Arial"/>
          <w:sz w:val="24"/>
          <w:szCs w:val="24"/>
        </w:rPr>
        <w:t xml:space="preserve"> the null hypothesis of no treatment difference.</w:t>
      </w:r>
    </w:p>
    <w:p w14:paraId="20E36062" w14:textId="77777777" w:rsidR="00C06C90" w:rsidRDefault="00C06C90" w:rsidP="00C06C90">
      <w:pPr>
        <w:spacing w:after="0" w:line="360" w:lineRule="auto"/>
        <w:rPr>
          <w:rFonts w:ascii="Arial" w:hAnsi="Arial" w:cs="Arial"/>
          <w:sz w:val="24"/>
          <w:szCs w:val="24"/>
        </w:rPr>
      </w:pPr>
      <w:r w:rsidRPr="0018615F">
        <w:rPr>
          <w:rFonts w:ascii="Arial" w:hAnsi="Arial" w:cs="Arial"/>
          <w:b/>
          <w:sz w:val="24"/>
          <w:szCs w:val="24"/>
        </w:rPr>
        <w:t>P&gt;</w:t>
      </w:r>
      <w:r>
        <w:rPr>
          <w:rFonts w:ascii="Arial" w:hAnsi="Arial" w:cs="Arial"/>
          <w:b/>
          <w:sz w:val="24"/>
          <w:szCs w:val="24"/>
        </w:rPr>
        <w:t>0</w:t>
      </w:r>
      <w:r w:rsidRPr="0018615F">
        <w:rPr>
          <w:rFonts w:ascii="Arial" w:hAnsi="Arial" w:cs="Arial"/>
          <w:b/>
          <w:sz w:val="24"/>
          <w:szCs w:val="24"/>
        </w:rPr>
        <w:t>.05</w:t>
      </w:r>
      <w:r>
        <w:rPr>
          <w:rFonts w:ascii="Arial" w:hAnsi="Arial" w:cs="Arial"/>
          <w:sz w:val="24"/>
          <w:szCs w:val="24"/>
        </w:rPr>
        <w:t xml:space="preserve"> meant </w:t>
      </w:r>
      <w:r w:rsidRPr="0018615F">
        <w:rPr>
          <w:rFonts w:ascii="Arial" w:hAnsi="Arial" w:cs="Arial"/>
          <w:b/>
          <w:sz w:val="24"/>
          <w:szCs w:val="24"/>
        </w:rPr>
        <w:t>accept</w:t>
      </w:r>
      <w:r>
        <w:rPr>
          <w:rFonts w:ascii="Arial" w:hAnsi="Arial" w:cs="Arial"/>
          <w:sz w:val="24"/>
          <w:szCs w:val="24"/>
        </w:rPr>
        <w:t xml:space="preserve"> the null hypothesis. Part of their reasoning was to introduce a pre-declared alternative hypothesis regarding a specific magnitude of treatment difference. This led to the need to control two types of errors: falsely rejecting the null hypothesis (Type I error) and falsely accepting the null hypothesis (Type 2 error). The consequent power calculations have been the basis for determining the size of clinical trials and other studies (see next week).</w:t>
      </w:r>
    </w:p>
    <w:p w14:paraId="4DF559EE" w14:textId="77777777" w:rsidR="00C06C90" w:rsidRDefault="00C06C90" w:rsidP="00C06C90">
      <w:pPr>
        <w:spacing w:after="0" w:line="360" w:lineRule="auto"/>
        <w:rPr>
          <w:rFonts w:ascii="Arial" w:hAnsi="Arial" w:cs="Arial"/>
          <w:sz w:val="24"/>
          <w:szCs w:val="24"/>
        </w:rPr>
      </w:pPr>
    </w:p>
    <w:p w14:paraId="5887E07E" w14:textId="77777777" w:rsidR="00C06C90" w:rsidRDefault="00C06C90" w:rsidP="00C06C90">
      <w:pPr>
        <w:spacing w:after="0" w:line="360" w:lineRule="auto"/>
        <w:rPr>
          <w:rFonts w:ascii="Arial" w:hAnsi="Arial" w:cs="Arial"/>
          <w:sz w:val="24"/>
          <w:szCs w:val="24"/>
        </w:rPr>
      </w:pPr>
      <w:r>
        <w:rPr>
          <w:rFonts w:ascii="Arial" w:hAnsi="Arial" w:cs="Arial"/>
          <w:sz w:val="24"/>
          <w:szCs w:val="24"/>
        </w:rPr>
        <w:lastRenderedPageBreak/>
        <w:t>Unfortunately, it has had undesirable consequences for generating an unduly dogmatic interpretation of P-values, which has bedevilled clinical trials and much other quantitative research ever since. Fisher insightfully and robustly countered their alternative to his “strength of evidence” interpretation as follows: “the calculation is absurdly academic, for no scientific worker has a fixed level of significance at which he rejects hypotheses”. We wish to endorse Fisher’s arguments since year-in year-out we devote teaching time to undoing the damage people have encountered in their previous statistics teaching which has misguidedly emphasized this accept/reject philosophy of significance testing.</w:t>
      </w:r>
    </w:p>
    <w:p w14:paraId="6FBC243A" w14:textId="77777777" w:rsidR="00C06C90" w:rsidRDefault="00C06C90" w:rsidP="00C06C90">
      <w:pPr>
        <w:spacing w:after="0" w:line="360" w:lineRule="auto"/>
        <w:rPr>
          <w:rFonts w:ascii="Arial" w:hAnsi="Arial" w:cs="Arial"/>
          <w:sz w:val="24"/>
          <w:szCs w:val="24"/>
        </w:rPr>
      </w:pPr>
    </w:p>
    <w:p w14:paraId="1FC6B8D6" w14:textId="77777777" w:rsidR="00C06C90" w:rsidRDefault="00C06C90" w:rsidP="00C06C90">
      <w:pPr>
        <w:spacing w:after="0" w:line="360" w:lineRule="auto"/>
        <w:rPr>
          <w:rFonts w:ascii="Arial" w:hAnsi="Arial" w:cs="Arial"/>
          <w:sz w:val="24"/>
          <w:szCs w:val="24"/>
        </w:rPr>
      </w:pPr>
      <w:r>
        <w:rPr>
          <w:rFonts w:ascii="Arial" w:hAnsi="Arial" w:cs="Arial"/>
          <w:sz w:val="24"/>
          <w:szCs w:val="24"/>
        </w:rPr>
        <w:t xml:space="preserve">A key early text in expanding the appropriate use of significance tests and other statistical techniques was G W </w:t>
      </w:r>
      <w:proofErr w:type="spellStart"/>
      <w:r>
        <w:rPr>
          <w:rFonts w:ascii="Arial" w:hAnsi="Arial" w:cs="Arial"/>
          <w:sz w:val="24"/>
          <w:szCs w:val="24"/>
        </w:rPr>
        <w:t>Snedecor’s</w:t>
      </w:r>
      <w:proofErr w:type="spellEnd"/>
      <w:r>
        <w:rPr>
          <w:rFonts w:ascii="Arial" w:hAnsi="Arial" w:cs="Arial"/>
          <w:sz w:val="24"/>
          <w:szCs w:val="24"/>
        </w:rPr>
        <w:t xml:space="preserve"> “Statistical Methods” </w:t>
      </w:r>
      <w:r>
        <w:rPr>
          <w:rFonts w:ascii="Arial" w:hAnsi="Arial" w:cs="Arial"/>
          <w:sz w:val="24"/>
          <w:szCs w:val="24"/>
        </w:rPr>
        <w:fldChar w:fldCharType="begin"/>
      </w:r>
      <w:r>
        <w:rPr>
          <w:rFonts w:ascii="Arial" w:hAnsi="Arial" w:cs="Arial"/>
          <w:sz w:val="24"/>
          <w:szCs w:val="24"/>
        </w:rPr>
        <w:instrText xml:space="preserve"> ADDIN EN.CITE &lt;EndNote&gt;&lt;Cite&gt;&lt;Author&gt;Snedecor&lt;/Author&gt;&lt;Year&gt;1962&lt;/Year&gt;&lt;RecNum&gt;32&lt;/RecNum&gt;&lt;DisplayText&gt;(28)&lt;/DisplayText&gt;&lt;record&gt;&lt;rec-number&gt;32&lt;/rec-number&gt;&lt;foreign-keys&gt;&lt;key app="EN" db-id="eaz5sewevp5dfxewrdrvzv52xsv2tsf22rzr"&gt;32&lt;/key&gt;&lt;/foreign-keys&gt;&lt;ref-type name="Book"&gt;6&lt;/ref-type&gt;&lt;contributors&gt;&lt;authors&gt;&lt;author&gt;Snedecor, G.W.&lt;/author&gt;&lt;/authors&gt;&lt;/contributors&gt;&lt;titles&gt;&lt;title&gt;Statistical Methods&lt;/title&gt;&lt;/titles&gt;&lt;dates&gt;&lt;year&gt;1962&lt;/year&gt;&lt;/dates&gt;&lt;call-num&gt;20&lt;/call-num&gt;&lt;urls&gt;&lt;related-urls&gt;&lt;url&gt;https://books.google.co.uk/books?id=NCdCaztbH4UC&lt;/url&gt;&lt;/related-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28" w:tooltip="Snedecor, 1962 #32" w:history="1">
        <w:r>
          <w:rPr>
            <w:rFonts w:ascii="Arial" w:hAnsi="Arial" w:cs="Arial"/>
            <w:noProof/>
            <w:sz w:val="24"/>
            <w:szCs w:val="24"/>
          </w:rPr>
          <w:t>28</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 xml:space="preserve"> first published in 1940.  </w:t>
      </w:r>
      <w:proofErr w:type="spellStart"/>
      <w:r>
        <w:rPr>
          <w:rFonts w:ascii="Arial" w:hAnsi="Arial" w:cs="Arial"/>
          <w:sz w:val="24"/>
          <w:szCs w:val="24"/>
        </w:rPr>
        <w:t>Snedecor’s</w:t>
      </w:r>
      <w:proofErr w:type="spellEnd"/>
      <w:r>
        <w:rPr>
          <w:rFonts w:ascii="Arial" w:hAnsi="Arial" w:cs="Arial"/>
          <w:sz w:val="24"/>
          <w:szCs w:val="24"/>
        </w:rPr>
        <w:t xml:space="preserve"> proselytizing of Fisher’s ideas achieved much, his book being the most cited scientific text in the 1970s. Over several decades P-values took hold as the main method for comparing treatments in all kinds of experimental studies, especially in agriculture initially but increasingly in medical research as randomized clinical trials became the gold standard for evaluating new therapeutic interventions.</w:t>
      </w:r>
    </w:p>
    <w:p w14:paraId="25ADB5A5" w14:textId="77777777" w:rsidR="00C06C90" w:rsidRDefault="00C06C90" w:rsidP="00C06C90">
      <w:pPr>
        <w:spacing w:after="0" w:line="360" w:lineRule="auto"/>
        <w:rPr>
          <w:rFonts w:ascii="Arial" w:hAnsi="Arial" w:cs="Arial"/>
          <w:sz w:val="24"/>
          <w:szCs w:val="24"/>
        </w:rPr>
      </w:pPr>
    </w:p>
    <w:p w14:paraId="141E54DC" w14:textId="77777777" w:rsidR="00C06C90" w:rsidRDefault="00C06C90" w:rsidP="00C06C90">
      <w:pPr>
        <w:spacing w:after="0" w:line="360" w:lineRule="auto"/>
        <w:rPr>
          <w:rFonts w:ascii="Arial" w:hAnsi="Arial" w:cs="Arial"/>
          <w:sz w:val="24"/>
          <w:szCs w:val="24"/>
        </w:rPr>
      </w:pPr>
      <w:r>
        <w:rPr>
          <w:rFonts w:ascii="Arial" w:hAnsi="Arial" w:cs="Arial"/>
          <w:sz w:val="24"/>
          <w:szCs w:val="24"/>
        </w:rPr>
        <w:t xml:space="preserve">Irwin </w:t>
      </w:r>
      <w:proofErr w:type="spellStart"/>
      <w:r>
        <w:rPr>
          <w:rFonts w:ascii="Arial" w:hAnsi="Arial" w:cs="Arial"/>
          <w:sz w:val="24"/>
          <w:szCs w:val="24"/>
        </w:rPr>
        <w:t>Bross</w:t>
      </w:r>
      <w:proofErr w:type="spellEnd"/>
      <w:r>
        <w:rPr>
          <w:rFonts w:ascii="Arial" w:hAnsi="Arial" w:cs="Arial"/>
          <w:sz w:val="24"/>
          <w:szCs w:val="24"/>
        </w:rPr>
        <w:t xml:space="preserve"> in 1971 gave a valuable perspective on how the use of P-values seemed to be heading in some inappropriate directions and saw a “need for curtailing language games”</w:t>
      </w:r>
      <w:r w:rsidRPr="00C468D8">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ADDIN EN.CITE &lt;EndNote&gt;&lt;Cite&gt;&lt;Author&gt;Bross&lt;/Author&gt;&lt;Year&gt;1971&lt;/Year&gt;&lt;RecNum&gt;37&lt;/RecNum&gt;&lt;DisplayText&gt;(29)&lt;/DisplayText&gt;&lt;record&gt;&lt;rec-number&gt;37&lt;/rec-number&gt;&lt;foreign-keys&gt;&lt;key app="EN" db-id="eaz5sewevp5dfxewrdrvzv52xsv2tsf22rzr"&gt;37&lt;/key&gt;&lt;/foreign-keys&gt;&lt;ref-type name="Book"&gt;6&lt;/ref-type&gt;&lt;contributors&gt;&lt;authors&gt;&lt;author&gt;Bross, IDJ&lt;/author&gt;&lt;/authors&gt;&lt;tertiary-authors&gt;&lt;author&gt;Godambe VP, Sprott DA&lt;/author&gt;&lt;/tertiary-authors&gt;&lt;/contributors&gt;&lt;titles&gt;&lt;title&gt;Critical levels, statistical language, and scientific inference.&lt;/title&gt;&lt;secondary-title&gt;Foundations of statistical inference&lt;/secondary-title&gt;&lt;/titles&gt;&lt;dates&gt;&lt;year&gt;1971&lt;/year&gt;&lt;/dates&gt;&lt;pub-location&gt;Toronto, Canada&lt;/pub-location&gt;&lt;publisher&gt;Holt, Rinehart and Winston&lt;/publisher&gt;&lt;call-num&gt;21&lt;/call-num&gt;&lt;urls&gt;&lt;/urls&gt;&lt;/record&gt;&lt;/Cite&gt;&lt;/EndNote&gt;</w:instrText>
      </w:r>
      <w:r>
        <w:rPr>
          <w:rFonts w:ascii="Arial" w:hAnsi="Arial" w:cs="Arial"/>
          <w:sz w:val="24"/>
          <w:szCs w:val="24"/>
        </w:rPr>
        <w:fldChar w:fldCharType="separate"/>
      </w:r>
      <w:r>
        <w:rPr>
          <w:rFonts w:ascii="Arial" w:hAnsi="Arial" w:cs="Arial"/>
          <w:noProof/>
          <w:sz w:val="24"/>
          <w:szCs w:val="24"/>
        </w:rPr>
        <w:t>(</w:t>
      </w:r>
      <w:hyperlink w:anchor="_ENREF_29" w:tooltip="Bross, 1971 #37" w:history="1">
        <w:r>
          <w:rPr>
            <w:rFonts w:ascii="Arial" w:hAnsi="Arial" w:cs="Arial"/>
            <w:noProof/>
            <w:sz w:val="24"/>
            <w:szCs w:val="24"/>
          </w:rPr>
          <w:t>29</w:t>
        </w:r>
      </w:hyperlink>
      <w:r>
        <w:rPr>
          <w:rFonts w:ascii="Arial" w:hAnsi="Arial" w:cs="Arial"/>
          <w:noProof/>
          <w:sz w:val="24"/>
          <w:szCs w:val="24"/>
        </w:rPr>
        <w:t>)</w:t>
      </w:r>
      <w:r>
        <w:rPr>
          <w:rFonts w:ascii="Arial" w:hAnsi="Arial" w:cs="Arial"/>
          <w:sz w:val="24"/>
          <w:szCs w:val="24"/>
        </w:rPr>
        <w:fldChar w:fldCharType="end"/>
      </w:r>
      <w:r>
        <w:rPr>
          <w:rFonts w:ascii="Arial" w:hAnsi="Arial" w:cs="Arial"/>
          <w:sz w:val="24"/>
          <w:szCs w:val="24"/>
        </w:rPr>
        <w:t xml:space="preserve">. </w:t>
      </w:r>
      <w:proofErr w:type="spellStart"/>
      <w:r>
        <w:rPr>
          <w:rFonts w:ascii="Arial" w:hAnsi="Arial" w:cs="Arial"/>
          <w:sz w:val="24"/>
          <w:szCs w:val="24"/>
        </w:rPr>
        <w:t>Bross</w:t>
      </w:r>
      <w:proofErr w:type="spellEnd"/>
      <w:r>
        <w:rPr>
          <w:rFonts w:ascii="Arial" w:hAnsi="Arial" w:cs="Arial"/>
          <w:sz w:val="24"/>
          <w:szCs w:val="24"/>
        </w:rPr>
        <w:t xml:space="preserve"> did see merit in P&lt;0.05 as a point of reference: “if there were no 5% level firmly established some would stretch the level to 6% or 7%. Soon others would be stretching to 10% or 15%. Furthermore “the 5% level is a feasible level at which to do research work, i.e. to set up a study which will have a fair chance of picking up effects of scientific interest”. He appeared to adopt a more critical stance when stating “we continue to use P values nearly as absolute cut-offs, but with an eye to rethinking our position for values close to 0.05”. He was also wisely aware of the push for researchers to claim significance: “researchers tend to worry about P values slightly greater than 0.05 and why they deserve attention nonetheless. I cannot recall published research downplaying P values less than 0.05”.  How true! </w:t>
      </w:r>
    </w:p>
    <w:p w14:paraId="6AAA2E32" w14:textId="77777777" w:rsidR="00C06C90" w:rsidRDefault="00C06C90" w:rsidP="000B71EF">
      <w:pPr>
        <w:spacing w:after="0" w:line="360" w:lineRule="auto"/>
        <w:rPr>
          <w:rFonts w:ascii="Arial" w:hAnsi="Arial" w:cs="Arial"/>
          <w:sz w:val="24"/>
          <w:szCs w:val="24"/>
        </w:rPr>
      </w:pPr>
    </w:p>
    <w:p w14:paraId="1DBB2FCC" w14:textId="77777777" w:rsidR="00D452B5" w:rsidRDefault="00D452B5" w:rsidP="000B71EF">
      <w:pPr>
        <w:spacing w:after="0" w:line="360" w:lineRule="auto"/>
        <w:rPr>
          <w:rFonts w:ascii="Arial" w:hAnsi="Arial" w:cs="Arial"/>
          <w:sz w:val="24"/>
          <w:szCs w:val="24"/>
        </w:rPr>
      </w:pPr>
    </w:p>
    <w:p w14:paraId="04D4D55A" w14:textId="77777777" w:rsidR="00F175F7" w:rsidRDefault="00F175F7">
      <w:pPr>
        <w:rPr>
          <w:rFonts w:ascii="Arial" w:hAnsi="Arial" w:cs="Arial"/>
          <w:sz w:val="24"/>
          <w:szCs w:val="24"/>
        </w:rPr>
      </w:pPr>
      <w:r>
        <w:rPr>
          <w:rFonts w:ascii="Arial" w:hAnsi="Arial" w:cs="Arial"/>
          <w:sz w:val="24"/>
          <w:szCs w:val="24"/>
        </w:rPr>
        <w:br w:type="page"/>
      </w:r>
    </w:p>
    <w:p w14:paraId="74099511" w14:textId="77777777" w:rsidR="005D7501" w:rsidRPr="00F175F7" w:rsidRDefault="00F175F7" w:rsidP="00B31E73">
      <w:pPr>
        <w:spacing w:after="0" w:line="360" w:lineRule="auto"/>
        <w:rPr>
          <w:rFonts w:ascii="Arial" w:hAnsi="Arial" w:cs="Arial"/>
          <w:b/>
          <w:sz w:val="24"/>
          <w:szCs w:val="24"/>
        </w:rPr>
      </w:pPr>
      <w:r w:rsidRPr="00F175F7">
        <w:rPr>
          <w:rFonts w:ascii="Arial" w:hAnsi="Arial" w:cs="Arial"/>
          <w:b/>
          <w:sz w:val="24"/>
          <w:szCs w:val="24"/>
        </w:rPr>
        <w:lastRenderedPageBreak/>
        <w:t>References</w:t>
      </w:r>
    </w:p>
    <w:p w14:paraId="2EA88FEF" w14:textId="77777777" w:rsidR="00A16969" w:rsidRDefault="00A16969" w:rsidP="004419C4">
      <w:pPr>
        <w:spacing w:after="0" w:line="360" w:lineRule="auto"/>
        <w:rPr>
          <w:rFonts w:ascii="Arial" w:hAnsi="Arial" w:cs="Arial"/>
          <w:sz w:val="20"/>
          <w:szCs w:val="20"/>
        </w:rPr>
      </w:pPr>
    </w:p>
    <w:p w14:paraId="13A686E3" w14:textId="77777777" w:rsidR="00C06C90" w:rsidRPr="00C06C90" w:rsidRDefault="00A16969" w:rsidP="00C06C90">
      <w:pPr>
        <w:pStyle w:val="EndNoteBibliography"/>
        <w:spacing w:after="0"/>
        <w:ind w:left="720" w:hanging="720"/>
      </w:pPr>
      <w:r>
        <w:rPr>
          <w:rFonts w:ascii="Arial" w:hAnsi="Arial" w:cs="Arial"/>
          <w:sz w:val="20"/>
          <w:szCs w:val="20"/>
        </w:rPr>
        <w:fldChar w:fldCharType="begin"/>
      </w:r>
      <w:r>
        <w:rPr>
          <w:rFonts w:ascii="Arial" w:hAnsi="Arial" w:cs="Arial"/>
          <w:sz w:val="20"/>
          <w:szCs w:val="20"/>
        </w:rPr>
        <w:instrText xml:space="preserve"> ADDIN EN.REFLIST </w:instrText>
      </w:r>
      <w:r>
        <w:rPr>
          <w:rFonts w:ascii="Arial" w:hAnsi="Arial" w:cs="Arial"/>
          <w:sz w:val="20"/>
          <w:szCs w:val="20"/>
        </w:rPr>
        <w:fldChar w:fldCharType="separate"/>
      </w:r>
      <w:bookmarkStart w:id="0" w:name="_ENREF_1"/>
      <w:r w:rsidR="00C06C90" w:rsidRPr="00C06C90">
        <w:t>1.</w:t>
      </w:r>
      <w:r w:rsidR="00C06C90" w:rsidRPr="00C06C90">
        <w:tab/>
        <w:t>McMurray JJV, Packer M, Desai AS, et al. Angiotensin–Neprilysin Inhibition versus Enalapril in Heart Failure. New England Journal of Medicine 2014;371:993-1004.</w:t>
      </w:r>
      <w:bookmarkEnd w:id="0"/>
    </w:p>
    <w:p w14:paraId="76917BBE" w14:textId="77777777" w:rsidR="00C06C90" w:rsidRPr="00C06C90" w:rsidRDefault="00C06C90" w:rsidP="00C06C90">
      <w:pPr>
        <w:pStyle w:val="EndNoteBibliography"/>
        <w:spacing w:after="0"/>
        <w:ind w:left="720" w:hanging="720"/>
      </w:pPr>
      <w:bookmarkStart w:id="1" w:name="_ENREF_2"/>
      <w:r w:rsidRPr="00C06C90">
        <w:t>2.</w:t>
      </w:r>
      <w:r w:rsidRPr="00C06C90">
        <w:tab/>
        <w:t>Scirica BM, Bhatt DL, Braunwald E, et al. Saxagliptin and Cardiovascular Outcomes in Patients with Type 2 Diabetes Mellitus. New England Journal of Medicine 2013;369:1317-1326.</w:t>
      </w:r>
      <w:bookmarkEnd w:id="1"/>
    </w:p>
    <w:p w14:paraId="46451A97" w14:textId="77777777" w:rsidR="00C06C90" w:rsidRPr="00C06C90" w:rsidRDefault="00C06C90" w:rsidP="00C06C90">
      <w:pPr>
        <w:pStyle w:val="EndNoteBibliography"/>
        <w:spacing w:after="0"/>
        <w:ind w:left="720" w:hanging="720"/>
      </w:pPr>
      <w:bookmarkStart w:id="2" w:name="_ENREF_3"/>
      <w:r w:rsidRPr="00C06C90">
        <w:t>3.</w:t>
      </w:r>
      <w:r w:rsidRPr="00C06C90">
        <w:tab/>
        <w:t>Kjekshus J, Apetrei E, Barrios V, et al. Rosuvastatin in Older Patients with Systolic Heart Failure. New England Journal of Medicine 2007;357:2248-2261.</w:t>
      </w:r>
      <w:bookmarkEnd w:id="2"/>
    </w:p>
    <w:p w14:paraId="6419E25A" w14:textId="77777777" w:rsidR="00C06C90" w:rsidRPr="00C06C90" w:rsidRDefault="00C06C90" w:rsidP="00C06C90">
      <w:pPr>
        <w:pStyle w:val="EndNoteBibliography"/>
        <w:spacing w:after="0"/>
        <w:ind w:left="720" w:hanging="720"/>
      </w:pPr>
      <w:bookmarkStart w:id="3" w:name="_ENREF_4"/>
      <w:r w:rsidRPr="00C06C90">
        <w:t>4.</w:t>
      </w:r>
      <w:r w:rsidRPr="00C06C90">
        <w:tab/>
        <w:t>Rogers JK, Jhund PS, Perez A-C, et al. Effect of Rosuvastatin on Repeat Heart Failure HospitalizationsThe CORONA Trial (Controlled Rosuvastatin Multinational Trial in Heart Failure). JACC: Heart Failure 2014;2:289-297.</w:t>
      </w:r>
      <w:bookmarkEnd w:id="3"/>
    </w:p>
    <w:p w14:paraId="500D8C2F" w14:textId="77777777" w:rsidR="00C06C90" w:rsidRPr="00C06C90" w:rsidRDefault="00C06C90" w:rsidP="00C06C90">
      <w:pPr>
        <w:pStyle w:val="EndNoteBibliography"/>
        <w:spacing w:after="0"/>
        <w:ind w:left="720" w:hanging="720"/>
      </w:pPr>
      <w:bookmarkStart w:id="4" w:name="_ENREF_5"/>
      <w:r w:rsidRPr="00C06C90">
        <w:t>5.</w:t>
      </w:r>
      <w:r w:rsidRPr="00C06C90">
        <w:tab/>
        <w:t>Wallentin L, Becker RC, Budaj A, et al. Ticagrelor versus Clopidogrel in Patients with Acute Coronary Syndromes. New England Journal of Medicine 2009;361:1045-1057.</w:t>
      </w:r>
      <w:bookmarkEnd w:id="4"/>
    </w:p>
    <w:p w14:paraId="32C7B9B9" w14:textId="77777777" w:rsidR="00C06C90" w:rsidRPr="00C06C90" w:rsidRDefault="00C06C90" w:rsidP="00C06C90">
      <w:pPr>
        <w:pStyle w:val="EndNoteBibliography"/>
        <w:spacing w:after="0"/>
        <w:ind w:left="720" w:hanging="720"/>
      </w:pPr>
      <w:bookmarkStart w:id="5" w:name="_ENREF_6"/>
      <w:r w:rsidRPr="00C06C90">
        <w:t>6.</w:t>
      </w:r>
      <w:r w:rsidRPr="00C06C90">
        <w:tab/>
        <w:t>Pocock SJ, Clayton TC, Altman DG. Survival plots of time-to-event outcomes in clinical trials: good practice and pitfalls. The Lancet 2002;359:1686-1689.</w:t>
      </w:r>
      <w:bookmarkEnd w:id="5"/>
    </w:p>
    <w:p w14:paraId="332CAF19" w14:textId="77777777" w:rsidR="00C06C90" w:rsidRPr="00C06C90" w:rsidRDefault="00C06C90" w:rsidP="00C06C90">
      <w:pPr>
        <w:pStyle w:val="EndNoteBibliography"/>
        <w:spacing w:after="0"/>
        <w:ind w:left="720" w:hanging="720"/>
      </w:pPr>
      <w:bookmarkStart w:id="6" w:name="_ENREF_7"/>
      <w:r w:rsidRPr="00C06C90">
        <w:t>7.</w:t>
      </w:r>
      <w:r w:rsidRPr="00C06C90">
        <w:tab/>
        <w:t>Moher D, Hopewell S, Schulz KF, et al. CONSORT 2010 explanation and elaboration: updated guidelines for reporting parallel group randomised trials. BMJ 2010;340:c869.</w:t>
      </w:r>
      <w:bookmarkEnd w:id="6"/>
    </w:p>
    <w:p w14:paraId="54461119" w14:textId="77777777" w:rsidR="00C06C90" w:rsidRPr="00C06C90" w:rsidRDefault="00C06C90" w:rsidP="00C06C90">
      <w:pPr>
        <w:pStyle w:val="EndNoteBibliography"/>
        <w:spacing w:after="0"/>
        <w:ind w:left="720" w:hanging="720"/>
      </w:pPr>
      <w:bookmarkStart w:id="7" w:name="_ENREF_8"/>
      <w:r w:rsidRPr="00C06C90">
        <w:t>8.</w:t>
      </w:r>
      <w:r w:rsidRPr="00C06C90">
        <w:tab/>
        <w:t>Shahzad A, Kemp I, Mars C, et al. Unfractionated heparin versus bivalirudin in primary percutaneous coronary intervention (HEAT-PPCI): an open-label, single centre, randomised controlled trial. The Lancet;384:1849-1858.</w:t>
      </w:r>
      <w:bookmarkEnd w:id="7"/>
    </w:p>
    <w:p w14:paraId="1F0ABCB5" w14:textId="77777777" w:rsidR="00C06C90" w:rsidRPr="00C06C90" w:rsidRDefault="00C06C90" w:rsidP="00C06C90">
      <w:pPr>
        <w:pStyle w:val="EndNoteBibliography"/>
        <w:spacing w:after="0"/>
        <w:ind w:left="720" w:hanging="720"/>
      </w:pPr>
      <w:bookmarkStart w:id="8" w:name="_ENREF_9"/>
      <w:r w:rsidRPr="00C06C90">
        <w:t>9.</w:t>
      </w:r>
      <w:r w:rsidRPr="00C06C90">
        <w:tab/>
        <w:t>Bhatt DL, Stone GW, Mahaffey KW, et al. Effect of Platelet Inhibition with Cangrelor during PCI on Ischemic Events. New England Journal of Medicine 2013;368:1303-1313.</w:t>
      </w:r>
      <w:bookmarkEnd w:id="8"/>
    </w:p>
    <w:p w14:paraId="79F6304F" w14:textId="77777777" w:rsidR="00C06C90" w:rsidRPr="00C06C90" w:rsidRDefault="00C06C90" w:rsidP="00C06C90">
      <w:pPr>
        <w:pStyle w:val="EndNoteBibliography"/>
        <w:spacing w:after="0"/>
        <w:ind w:left="720" w:hanging="720"/>
      </w:pPr>
      <w:bookmarkStart w:id="9" w:name="_ENREF_10"/>
      <w:r w:rsidRPr="00C06C90">
        <w:t>10.</w:t>
      </w:r>
      <w:r w:rsidRPr="00C06C90">
        <w:tab/>
        <w:t>Bulpitt CJ. Confidence Intervals. The Lancet 1987;329:494-497.</w:t>
      </w:r>
      <w:bookmarkEnd w:id="9"/>
    </w:p>
    <w:p w14:paraId="74A84E9E" w14:textId="77777777" w:rsidR="00C06C90" w:rsidRPr="00C06C90" w:rsidRDefault="00C06C90" w:rsidP="00C06C90">
      <w:pPr>
        <w:pStyle w:val="EndNoteBibliography"/>
        <w:spacing w:after="0"/>
        <w:ind w:left="720" w:hanging="720"/>
      </w:pPr>
      <w:bookmarkStart w:id="10" w:name="_ENREF_11"/>
      <w:r w:rsidRPr="00C06C90">
        <w:t>11.</w:t>
      </w:r>
      <w:r w:rsidRPr="00C06C90">
        <w:tab/>
        <w:t>Altman D, Machin D, Bryant T, Gardner M. Statistics with confidence: confidence intervals and statistical guidelines: John Wiley &amp; Sons, 2013.</w:t>
      </w:r>
      <w:bookmarkEnd w:id="10"/>
    </w:p>
    <w:p w14:paraId="77DCF06B" w14:textId="77777777" w:rsidR="00C06C90" w:rsidRPr="00C06C90" w:rsidRDefault="00C06C90" w:rsidP="00C06C90">
      <w:pPr>
        <w:pStyle w:val="EndNoteBibliography"/>
        <w:spacing w:after="0"/>
        <w:ind w:left="720" w:hanging="720"/>
      </w:pPr>
      <w:bookmarkStart w:id="11" w:name="_ENREF_12"/>
      <w:r w:rsidRPr="00C06C90">
        <w:t>12.</w:t>
      </w:r>
      <w:r w:rsidRPr="00C06C90">
        <w:tab/>
        <w:t>Clark T, Bradburn M, Love S, Altman D. Survival analysis part I: basic concepts and first analyses. British journal of cancer 2003;89:232.</w:t>
      </w:r>
      <w:bookmarkEnd w:id="11"/>
    </w:p>
    <w:p w14:paraId="72001DCC" w14:textId="77777777" w:rsidR="00C06C90" w:rsidRPr="00C06C90" w:rsidRDefault="00C06C90" w:rsidP="00C06C90">
      <w:pPr>
        <w:pStyle w:val="EndNoteBibliography"/>
        <w:spacing w:after="0"/>
        <w:ind w:left="720" w:hanging="720"/>
      </w:pPr>
      <w:bookmarkStart w:id="12" w:name="_ENREF_13"/>
      <w:r w:rsidRPr="00C06C90">
        <w:t>13.</w:t>
      </w:r>
      <w:r w:rsidRPr="00C06C90">
        <w:tab/>
        <w:t>Farkouh ME, Domanski M, Sleeper LA, et al. Strategies for Multivessel Revascularization in Patients with Diabetes. New England Journal of Medicine 2012;367:2375-2384.</w:t>
      </w:r>
      <w:bookmarkEnd w:id="12"/>
    </w:p>
    <w:p w14:paraId="09840EBA" w14:textId="77777777" w:rsidR="00C06C90" w:rsidRPr="00C06C90" w:rsidRDefault="00C06C90" w:rsidP="00C06C90">
      <w:pPr>
        <w:pStyle w:val="EndNoteBibliography"/>
        <w:spacing w:after="0"/>
        <w:ind w:left="720" w:hanging="720"/>
      </w:pPr>
      <w:bookmarkStart w:id="13" w:name="_ENREF_14"/>
      <w:r w:rsidRPr="00C06C90">
        <w:t>14.</w:t>
      </w:r>
      <w:r w:rsidRPr="00C06C90">
        <w:tab/>
        <w:t>Wei L. The accelerated failure time model: a useful alternative to the Cox regression model in survival analysis. Statistics in medicine 1992;11:1871-1879.</w:t>
      </w:r>
      <w:bookmarkEnd w:id="13"/>
    </w:p>
    <w:p w14:paraId="2A35B38A" w14:textId="77777777" w:rsidR="00C06C90" w:rsidRPr="00C06C90" w:rsidRDefault="00C06C90" w:rsidP="00C06C90">
      <w:pPr>
        <w:pStyle w:val="EndNoteBibliography"/>
        <w:spacing w:after="0"/>
        <w:ind w:left="720" w:hanging="720"/>
      </w:pPr>
      <w:bookmarkStart w:id="14" w:name="_ENREF_15"/>
      <w:r w:rsidRPr="00C06C90">
        <w:t>15.</w:t>
      </w:r>
      <w:r w:rsidRPr="00C06C90">
        <w:tab/>
        <w:t>Zannad F, McMurray JJV, Krum H, et al. Eplerenone in Patients with Systolic Heart Failure and Mild Symptoms. New England Journal of Medicine 2011;364:11-21.</w:t>
      </w:r>
      <w:bookmarkEnd w:id="14"/>
    </w:p>
    <w:p w14:paraId="693570EC" w14:textId="77777777" w:rsidR="00C06C90" w:rsidRPr="00C06C90" w:rsidRDefault="00C06C90" w:rsidP="00C06C90">
      <w:pPr>
        <w:pStyle w:val="EndNoteBibliography"/>
        <w:spacing w:after="0"/>
        <w:ind w:left="720" w:hanging="720"/>
      </w:pPr>
      <w:bookmarkStart w:id="15" w:name="_ENREF_16"/>
      <w:r w:rsidRPr="00C06C90">
        <w:t>16.</w:t>
      </w:r>
      <w:r w:rsidRPr="00C06C90">
        <w:tab/>
        <w:t>Vickers AJ, Altman DG. Analysing controlled trials with baseline and follow up measurements. BMJ 2001;323:1123-1124.</w:t>
      </w:r>
      <w:bookmarkEnd w:id="15"/>
    </w:p>
    <w:p w14:paraId="423A0BFD" w14:textId="77777777" w:rsidR="00C06C90" w:rsidRPr="00C06C90" w:rsidRDefault="00C06C90" w:rsidP="00C06C90">
      <w:pPr>
        <w:pStyle w:val="EndNoteBibliography"/>
        <w:spacing w:after="0"/>
        <w:ind w:left="720" w:hanging="720"/>
      </w:pPr>
      <w:bookmarkStart w:id="16" w:name="_ENREF_17"/>
      <w:r w:rsidRPr="00C06C90">
        <w:t>17.</w:t>
      </w:r>
      <w:r w:rsidRPr="00C06C90">
        <w:tab/>
        <w:t>Bhatt DL, Kandzari DE, O'Neill WW, et al. A Controlled Trial of Renal Denervation for Resistant Hypertension. New England Journal of Medicine 2014;370:1393-1401.</w:t>
      </w:r>
      <w:bookmarkEnd w:id="16"/>
    </w:p>
    <w:p w14:paraId="47EAC539" w14:textId="77777777" w:rsidR="00C06C90" w:rsidRPr="00C06C90" w:rsidRDefault="00C06C90" w:rsidP="00C06C90">
      <w:pPr>
        <w:pStyle w:val="EndNoteBibliography"/>
        <w:spacing w:after="0"/>
        <w:ind w:left="720" w:hanging="720"/>
      </w:pPr>
      <w:bookmarkStart w:id="17" w:name="_ENREF_18"/>
      <w:r w:rsidRPr="00C06C90">
        <w:t>18.</w:t>
      </w:r>
      <w:r w:rsidRPr="00C06C90">
        <w:tab/>
        <w:t>Senn S. Change from baseline and analysis of covariance revisited. Statistics in Medicine 2006;25:4334-4344.</w:t>
      </w:r>
      <w:bookmarkEnd w:id="17"/>
    </w:p>
    <w:p w14:paraId="149CED28" w14:textId="77777777" w:rsidR="00C06C90" w:rsidRPr="00C06C90" w:rsidRDefault="00C06C90" w:rsidP="00C06C90">
      <w:pPr>
        <w:pStyle w:val="EndNoteBibliography"/>
        <w:spacing w:after="0"/>
        <w:ind w:left="720" w:hanging="720"/>
      </w:pPr>
      <w:bookmarkStart w:id="18" w:name="_ENREF_19"/>
      <w:r w:rsidRPr="00C06C90">
        <w:t>19.</w:t>
      </w:r>
      <w:r w:rsidRPr="00C06C90">
        <w:tab/>
        <w:t>Pocock SJ, Ware JH. Translating statistical findings into plain English. The Lancet;373:1926-1928.</w:t>
      </w:r>
      <w:bookmarkEnd w:id="18"/>
    </w:p>
    <w:p w14:paraId="6342DC04" w14:textId="77777777" w:rsidR="00C06C90" w:rsidRPr="00C06C90" w:rsidRDefault="00C06C90" w:rsidP="00C06C90">
      <w:pPr>
        <w:pStyle w:val="EndNoteBibliography"/>
        <w:spacing w:after="0"/>
        <w:ind w:left="720" w:hanging="720"/>
      </w:pPr>
      <w:bookmarkStart w:id="19" w:name="_ENREF_20"/>
      <w:r w:rsidRPr="00C06C90">
        <w:t>20.</w:t>
      </w:r>
      <w:r w:rsidRPr="00C06C90">
        <w:tab/>
        <w:t>Cannon CP, Blazing MA, Giugliano RP, et al. Ezetimibe Added to Statin Therapy after Acute Coronary Syndromes. New England Journal of Medicine 2015;372:2387-2397.</w:t>
      </w:r>
      <w:bookmarkEnd w:id="19"/>
    </w:p>
    <w:p w14:paraId="16FF600B" w14:textId="77777777" w:rsidR="00C06C90" w:rsidRPr="00C06C90" w:rsidRDefault="00C06C90" w:rsidP="00C06C90">
      <w:pPr>
        <w:pStyle w:val="EndNoteBibliography"/>
        <w:spacing w:after="0"/>
        <w:ind w:left="720" w:hanging="720"/>
      </w:pPr>
      <w:bookmarkStart w:id="20" w:name="_ENREF_21"/>
      <w:r w:rsidRPr="00C06C90">
        <w:t>21.</w:t>
      </w:r>
      <w:r w:rsidRPr="00C06C90">
        <w:tab/>
        <w:t>Gheorghiade M, Böhm M, Greene SJ, et al. Effect of aliskiren on postdischarge mortality and heart failure readmissions among patients hospitalized for heart failure: The astronaut randomized trial. JAMA 2013;309:1125-1135.</w:t>
      </w:r>
      <w:bookmarkEnd w:id="20"/>
    </w:p>
    <w:p w14:paraId="5E1450A0" w14:textId="77777777" w:rsidR="00C06C90" w:rsidRPr="00C06C90" w:rsidRDefault="00C06C90" w:rsidP="00C06C90">
      <w:pPr>
        <w:pStyle w:val="EndNoteBibliography"/>
        <w:spacing w:after="0"/>
        <w:ind w:left="720" w:hanging="720"/>
      </w:pPr>
      <w:bookmarkStart w:id="21" w:name="_ENREF_22"/>
      <w:r w:rsidRPr="00C06C90">
        <w:t>22.</w:t>
      </w:r>
      <w:r w:rsidRPr="00C06C90">
        <w:tab/>
        <w:t>Sterne JA, Davey Smith G. Sifting the evidence-what's wrong with significance tests? BMJ 2001;322:226-31.</w:t>
      </w:r>
      <w:bookmarkEnd w:id="21"/>
    </w:p>
    <w:p w14:paraId="4C65E0AB" w14:textId="77777777" w:rsidR="00C06C90" w:rsidRPr="00C06C90" w:rsidRDefault="00C06C90" w:rsidP="00C06C90">
      <w:pPr>
        <w:pStyle w:val="EndNoteBibliography"/>
        <w:spacing w:after="0"/>
        <w:ind w:left="720" w:hanging="720"/>
      </w:pPr>
      <w:bookmarkStart w:id="22" w:name="_ENREF_23"/>
      <w:r w:rsidRPr="00C06C90">
        <w:t>23.</w:t>
      </w:r>
      <w:r w:rsidRPr="00C06C90">
        <w:tab/>
        <w:t>Stone GW, Pocock SJ. Randomized Trials, Statistics, and Clinical Inference. Journal of the American College of Cardiology 2010;55:428-431.</w:t>
      </w:r>
      <w:bookmarkEnd w:id="22"/>
    </w:p>
    <w:p w14:paraId="7B68D217" w14:textId="77777777" w:rsidR="00C06C90" w:rsidRPr="00C06C90" w:rsidRDefault="00C06C90" w:rsidP="00C06C90">
      <w:pPr>
        <w:pStyle w:val="EndNoteBibliography"/>
        <w:spacing w:after="0"/>
        <w:ind w:left="720" w:hanging="720"/>
      </w:pPr>
      <w:bookmarkStart w:id="23" w:name="_ENREF_24"/>
      <w:r w:rsidRPr="00C06C90">
        <w:lastRenderedPageBreak/>
        <w:t>24.</w:t>
      </w:r>
      <w:r w:rsidRPr="00C06C90">
        <w:tab/>
        <w:t>Adams DH, Popma JJ, Reardon MJ, et al. Transcatheter Aortic-Valve Replacement with a Self-Expanding Prosthesis. New England Journal of Medicine 2014;370:1790-1798.</w:t>
      </w:r>
      <w:bookmarkEnd w:id="23"/>
    </w:p>
    <w:p w14:paraId="7F50B19D" w14:textId="77777777" w:rsidR="00C06C90" w:rsidRPr="00C06C90" w:rsidRDefault="00C06C90" w:rsidP="00C06C90">
      <w:pPr>
        <w:pStyle w:val="EndNoteBibliography"/>
        <w:spacing w:after="0"/>
        <w:ind w:left="720" w:hanging="720"/>
      </w:pPr>
      <w:bookmarkStart w:id="24" w:name="_ENREF_25"/>
      <w:r w:rsidRPr="00C06C90">
        <w:t>25.</w:t>
      </w:r>
      <w:r w:rsidRPr="00C06C90">
        <w:tab/>
        <w:t>Tepel M, van der Giet M, Schwarzfeld C, Laufer U, Liermann D, Zidek W. Prevention of Radiographic-Contrast-Agent–Induced Reductions in Renal Function by Acetylcysteine. New England Journal of Medicine 2000;343:180-184.</w:t>
      </w:r>
      <w:bookmarkEnd w:id="24"/>
    </w:p>
    <w:p w14:paraId="55BADE94" w14:textId="77777777" w:rsidR="00C06C90" w:rsidRPr="00C06C90" w:rsidRDefault="00C06C90" w:rsidP="00C06C90">
      <w:pPr>
        <w:pStyle w:val="EndNoteBibliography"/>
        <w:spacing w:after="0"/>
        <w:ind w:left="720" w:hanging="720"/>
      </w:pPr>
      <w:bookmarkStart w:id="25" w:name="_ENREF_26"/>
      <w:r w:rsidRPr="00C06C90">
        <w:t>26.</w:t>
      </w:r>
      <w:r w:rsidRPr="00C06C90">
        <w:tab/>
        <w:t>Pocock SJ. The simplest statistical test: how to check for a difference between treatments. BMJ 2006;332:1256-8.</w:t>
      </w:r>
      <w:bookmarkEnd w:id="25"/>
    </w:p>
    <w:p w14:paraId="7CF9A80E" w14:textId="77777777" w:rsidR="00C06C90" w:rsidRPr="00C06C90" w:rsidRDefault="00C06C90" w:rsidP="00C06C90">
      <w:pPr>
        <w:pStyle w:val="EndNoteBibliography"/>
        <w:spacing w:after="0"/>
        <w:ind w:left="720" w:hanging="720"/>
      </w:pPr>
      <w:bookmarkStart w:id="26" w:name="_ENREF_27"/>
      <w:r w:rsidRPr="00C06C90">
        <w:t>27.</w:t>
      </w:r>
      <w:r w:rsidRPr="00C06C90">
        <w:tab/>
        <w:t>Fisher RA. Statistical Methods For Research Workers: Cosmo Publications, 1925.</w:t>
      </w:r>
      <w:bookmarkEnd w:id="26"/>
    </w:p>
    <w:p w14:paraId="10B12E8E" w14:textId="77777777" w:rsidR="00C06C90" w:rsidRPr="00C06C90" w:rsidRDefault="00C06C90" w:rsidP="00C06C90">
      <w:pPr>
        <w:pStyle w:val="EndNoteBibliography"/>
        <w:spacing w:after="0"/>
        <w:ind w:left="720" w:hanging="720"/>
      </w:pPr>
      <w:bookmarkStart w:id="27" w:name="_ENREF_28"/>
      <w:r w:rsidRPr="00C06C90">
        <w:t>28.</w:t>
      </w:r>
      <w:r w:rsidRPr="00C06C90">
        <w:tab/>
        <w:t>Snedecor GW. Statistical Methods, 1962.</w:t>
      </w:r>
      <w:bookmarkEnd w:id="27"/>
    </w:p>
    <w:p w14:paraId="7853AEA9" w14:textId="77777777" w:rsidR="00C06C90" w:rsidRPr="00C06C90" w:rsidRDefault="00C06C90" w:rsidP="00C06C90">
      <w:pPr>
        <w:pStyle w:val="EndNoteBibliography"/>
        <w:ind w:left="720" w:hanging="720"/>
      </w:pPr>
      <w:bookmarkStart w:id="28" w:name="_ENREF_29"/>
      <w:r w:rsidRPr="00C06C90">
        <w:t>29.</w:t>
      </w:r>
      <w:r w:rsidRPr="00C06C90">
        <w:tab/>
        <w:t>Bross I. Critical levels, statistical language, and scientific inference. Toronto, Canada: Holt, Rinehart and Winston, 1971.</w:t>
      </w:r>
      <w:bookmarkEnd w:id="28"/>
    </w:p>
    <w:p w14:paraId="3D6088A0" w14:textId="77777777" w:rsidR="00513D32" w:rsidRDefault="00A16969" w:rsidP="00BA1D80">
      <w:pPr>
        <w:jc w:val="center"/>
        <w:rPr>
          <w:rFonts w:ascii="Arial" w:hAnsi="Arial" w:cs="Arial"/>
          <w:sz w:val="20"/>
          <w:szCs w:val="20"/>
        </w:rPr>
      </w:pPr>
      <w:r>
        <w:rPr>
          <w:rFonts w:ascii="Arial" w:hAnsi="Arial" w:cs="Arial"/>
          <w:sz w:val="20"/>
          <w:szCs w:val="20"/>
        </w:rPr>
        <w:fldChar w:fldCharType="end"/>
      </w:r>
    </w:p>
    <w:p w14:paraId="3B662616" w14:textId="77777777" w:rsidR="00513D32" w:rsidRDefault="00513D32">
      <w:pPr>
        <w:rPr>
          <w:rFonts w:ascii="Arial" w:hAnsi="Arial" w:cs="Arial"/>
          <w:sz w:val="20"/>
          <w:szCs w:val="20"/>
        </w:rPr>
      </w:pPr>
      <w:r>
        <w:rPr>
          <w:rFonts w:ascii="Arial" w:hAnsi="Arial" w:cs="Arial"/>
          <w:sz w:val="20"/>
          <w:szCs w:val="20"/>
        </w:rPr>
        <w:br w:type="page"/>
      </w:r>
    </w:p>
    <w:p w14:paraId="58CFEA2A" w14:textId="77777777" w:rsidR="00A834D0" w:rsidRDefault="00FC69FD" w:rsidP="00BA1D80">
      <w:pPr>
        <w:jc w:val="center"/>
      </w:pPr>
      <w:r w:rsidRPr="00FC69FD">
        <w:rPr>
          <w:rFonts w:ascii="Arial" w:hAnsi="Arial" w:cs="Arial"/>
          <w:sz w:val="20"/>
          <w:szCs w:val="20"/>
        </w:rPr>
        <w:lastRenderedPageBreak/>
        <w:t xml:space="preserve"> </w:t>
      </w:r>
      <w:r w:rsidR="00A834D0">
        <w:t>Table 1. Characteristics of the patients at baseline in the PARADIGM</w:t>
      </w:r>
      <w:r w:rsidR="008D6624">
        <w:t>-HF</w:t>
      </w:r>
      <w:r w:rsidR="00A834D0">
        <w:t xml:space="preserve"> trial*</w:t>
      </w:r>
    </w:p>
    <w:tbl>
      <w:tblPr>
        <w:tblW w:w="9214" w:type="dxa"/>
        <w:jc w:val="center"/>
        <w:tblLook w:val="04A0" w:firstRow="1" w:lastRow="0" w:firstColumn="1" w:lastColumn="0" w:noHBand="0" w:noVBand="1"/>
      </w:tblPr>
      <w:tblGrid>
        <w:gridCol w:w="5812"/>
        <w:gridCol w:w="1701"/>
        <w:gridCol w:w="1701"/>
      </w:tblGrid>
      <w:tr w:rsidR="00A834D0" w:rsidRPr="0064730D" w14:paraId="3273141F" w14:textId="77777777" w:rsidTr="0064730D">
        <w:trPr>
          <w:trHeight w:hRule="exact" w:val="618"/>
          <w:jc w:val="center"/>
        </w:trPr>
        <w:tc>
          <w:tcPr>
            <w:tcW w:w="5812" w:type="dxa"/>
            <w:tcBorders>
              <w:top w:val="nil"/>
              <w:left w:val="nil"/>
              <w:right w:val="nil"/>
            </w:tcBorders>
            <w:shd w:val="clear" w:color="auto" w:fill="auto"/>
            <w:noWrap/>
            <w:vAlign w:val="center"/>
            <w:hideMark/>
          </w:tcPr>
          <w:p w14:paraId="3B5734BC" w14:textId="77777777" w:rsidR="00A834D0" w:rsidRPr="00115AFE" w:rsidRDefault="00A834D0" w:rsidP="001A36EA">
            <w:pPr>
              <w:spacing w:after="0" w:line="480" w:lineRule="auto"/>
              <w:rPr>
                <w:rFonts w:ascii="Arial" w:eastAsia="Times New Roman" w:hAnsi="Arial" w:cs="Arial"/>
                <w:color w:val="000000"/>
                <w:sz w:val="18"/>
                <w:szCs w:val="18"/>
                <w:lang w:eastAsia="en-GB"/>
              </w:rPr>
            </w:pPr>
            <w:r w:rsidRPr="00115AFE">
              <w:rPr>
                <w:rFonts w:ascii="Arial" w:eastAsia="Times New Roman" w:hAnsi="Arial" w:cs="Arial"/>
                <w:sz w:val="18"/>
                <w:szCs w:val="18"/>
                <w:lang w:eastAsia="en-GB"/>
              </w:rPr>
              <w:t xml:space="preserve"> </w:t>
            </w:r>
            <w:r w:rsidRPr="00115AFE">
              <w:rPr>
                <w:rFonts w:ascii="Arial" w:eastAsia="Times New Roman" w:hAnsi="Arial" w:cs="Arial"/>
                <w:b/>
                <w:bCs/>
                <w:color w:val="333333"/>
                <w:sz w:val="18"/>
                <w:szCs w:val="18"/>
                <w:lang w:eastAsia="en-GB"/>
              </w:rPr>
              <w:t xml:space="preserve">Characteristic </w:t>
            </w:r>
            <w:r w:rsidRPr="00115AFE">
              <w:rPr>
                <w:rFonts w:ascii="Arial" w:eastAsia="Times New Roman" w:hAnsi="Arial" w:cs="Arial"/>
                <w:sz w:val="18"/>
                <w:szCs w:val="18"/>
                <w:lang w:eastAsia="en-GB"/>
              </w:rPr>
              <w:t xml:space="preserve"> </w:t>
            </w:r>
          </w:p>
        </w:tc>
        <w:tc>
          <w:tcPr>
            <w:tcW w:w="1701" w:type="dxa"/>
            <w:tcBorders>
              <w:top w:val="nil"/>
              <w:left w:val="nil"/>
              <w:right w:val="nil"/>
            </w:tcBorders>
            <w:shd w:val="clear" w:color="auto" w:fill="auto"/>
            <w:noWrap/>
            <w:vAlign w:val="center"/>
            <w:hideMark/>
          </w:tcPr>
          <w:p w14:paraId="1B8EE438" w14:textId="77777777" w:rsidR="00A834D0" w:rsidRPr="0064730D"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b/>
                <w:bCs/>
                <w:color w:val="333333"/>
                <w:sz w:val="18"/>
                <w:szCs w:val="18"/>
                <w:lang w:eastAsia="en-GB"/>
              </w:rPr>
              <w:t>LCZ696</w:t>
            </w:r>
          </w:p>
          <w:p w14:paraId="53D5FC9A"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b/>
                <w:bCs/>
                <w:color w:val="333333"/>
                <w:sz w:val="18"/>
                <w:szCs w:val="18"/>
                <w:lang w:eastAsia="en-GB"/>
              </w:rPr>
              <w:t>(N = 4187)</w:t>
            </w:r>
          </w:p>
        </w:tc>
        <w:tc>
          <w:tcPr>
            <w:tcW w:w="1701" w:type="dxa"/>
            <w:tcBorders>
              <w:top w:val="nil"/>
              <w:left w:val="nil"/>
              <w:right w:val="nil"/>
            </w:tcBorders>
            <w:shd w:val="clear" w:color="auto" w:fill="auto"/>
            <w:noWrap/>
            <w:vAlign w:val="center"/>
            <w:hideMark/>
          </w:tcPr>
          <w:p w14:paraId="53488BFE" w14:textId="77777777" w:rsidR="00A834D0" w:rsidRPr="0064730D"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b/>
                <w:bCs/>
                <w:color w:val="333333"/>
                <w:sz w:val="18"/>
                <w:szCs w:val="18"/>
                <w:lang w:eastAsia="en-GB"/>
              </w:rPr>
              <w:t>Enalapril</w:t>
            </w:r>
          </w:p>
          <w:p w14:paraId="212F6644"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b/>
                <w:bCs/>
                <w:color w:val="333333"/>
                <w:sz w:val="18"/>
                <w:szCs w:val="18"/>
                <w:lang w:eastAsia="en-GB"/>
              </w:rPr>
              <w:t>(N = 4212)</w:t>
            </w:r>
          </w:p>
        </w:tc>
      </w:tr>
      <w:tr w:rsidR="00A834D0" w:rsidRPr="00115AFE" w14:paraId="76F9A268"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03D7C5CD" w14:textId="77777777" w:rsidR="00A834D0" w:rsidRPr="00115AFE" w:rsidRDefault="00A834D0" w:rsidP="001A36EA">
            <w:pPr>
              <w:spacing w:after="0" w:line="480" w:lineRule="auto"/>
              <w:rPr>
                <w:rFonts w:ascii="Arial" w:eastAsia="Times New Roman" w:hAnsi="Arial" w:cs="Arial"/>
                <w:sz w:val="18"/>
                <w:szCs w:val="18"/>
                <w:lang w:eastAsia="en-GB"/>
              </w:rPr>
            </w:pPr>
            <w:r w:rsidRPr="00115AFE">
              <w:rPr>
                <w:rFonts w:ascii="Arial" w:eastAsia="Times New Roman" w:hAnsi="Arial" w:cs="Arial"/>
                <w:sz w:val="18"/>
                <w:szCs w:val="18"/>
                <w:lang w:eastAsia="en-GB"/>
              </w:rPr>
              <w:t xml:space="preserve"> </w:t>
            </w:r>
            <w:r w:rsidRPr="00115AFE">
              <w:rPr>
                <w:rFonts w:ascii="Arial" w:eastAsia="Times New Roman" w:hAnsi="Arial" w:cs="Arial"/>
                <w:color w:val="333333"/>
                <w:sz w:val="18"/>
                <w:szCs w:val="18"/>
                <w:lang w:eastAsia="en-GB"/>
              </w:rPr>
              <w:t xml:space="preserve">Age — </w:t>
            </w:r>
            <w:proofErr w:type="spellStart"/>
            <w:r w:rsidRPr="00115AFE">
              <w:rPr>
                <w:rFonts w:ascii="Arial" w:eastAsia="Times New Roman" w:hAnsi="Arial" w:cs="Arial"/>
                <w:color w:val="333333"/>
                <w:sz w:val="18"/>
                <w:szCs w:val="18"/>
                <w:lang w:eastAsia="en-GB"/>
              </w:rPr>
              <w:t>yr</w:t>
            </w:r>
            <w:proofErr w:type="spellEnd"/>
            <w:r w:rsidRPr="00115AFE">
              <w:rPr>
                <w:rFonts w:ascii="Arial" w:eastAsia="Times New Roman" w:hAnsi="Arial" w:cs="Arial"/>
                <w:color w:val="333333"/>
                <w:sz w:val="18"/>
                <w:szCs w:val="18"/>
                <w:lang w:eastAsia="en-GB"/>
              </w:rPr>
              <w:t xml:space="preserve">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07CC0977"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63.8±11.5</w:t>
            </w:r>
          </w:p>
        </w:tc>
        <w:tc>
          <w:tcPr>
            <w:tcW w:w="1701" w:type="dxa"/>
            <w:tcBorders>
              <w:top w:val="nil"/>
              <w:left w:val="nil"/>
              <w:bottom w:val="nil"/>
              <w:right w:val="nil"/>
            </w:tcBorders>
            <w:shd w:val="clear" w:color="auto" w:fill="auto"/>
            <w:noWrap/>
            <w:vAlign w:val="center"/>
            <w:hideMark/>
          </w:tcPr>
          <w:p w14:paraId="3993D25A"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63.8±11.3</w:t>
            </w:r>
          </w:p>
        </w:tc>
      </w:tr>
      <w:tr w:rsidR="00A834D0" w:rsidRPr="00115AFE" w14:paraId="7352EFA9"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61D85635" w14:textId="77777777" w:rsidR="00A834D0" w:rsidRPr="00115AFE" w:rsidRDefault="00A834D0" w:rsidP="001A36EA">
            <w:pPr>
              <w:spacing w:after="0" w:line="480" w:lineRule="auto"/>
              <w:rPr>
                <w:rFonts w:ascii="Arial" w:eastAsia="Times New Roman" w:hAnsi="Arial" w:cs="Arial"/>
                <w:sz w:val="18"/>
                <w:szCs w:val="18"/>
                <w:lang w:eastAsia="en-GB"/>
              </w:rPr>
            </w:pPr>
            <w:r w:rsidRPr="00115AFE">
              <w:rPr>
                <w:rFonts w:ascii="Arial" w:eastAsia="Times New Roman" w:hAnsi="Arial" w:cs="Arial"/>
                <w:sz w:val="18"/>
                <w:szCs w:val="18"/>
                <w:lang w:eastAsia="en-GB"/>
              </w:rPr>
              <w:t xml:space="preserve"> </w:t>
            </w:r>
            <w:r w:rsidRPr="00115AFE">
              <w:rPr>
                <w:rFonts w:ascii="Arial" w:eastAsia="Times New Roman" w:hAnsi="Arial" w:cs="Arial"/>
                <w:color w:val="333333"/>
                <w:sz w:val="18"/>
                <w:szCs w:val="18"/>
                <w:lang w:eastAsia="en-GB"/>
              </w:rPr>
              <w:t xml:space="preserve">Female sex — no. (%)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437014C8"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879 (21.0)</w:t>
            </w:r>
          </w:p>
        </w:tc>
        <w:tc>
          <w:tcPr>
            <w:tcW w:w="1701" w:type="dxa"/>
            <w:tcBorders>
              <w:top w:val="nil"/>
              <w:left w:val="nil"/>
              <w:bottom w:val="nil"/>
              <w:right w:val="nil"/>
            </w:tcBorders>
            <w:shd w:val="clear" w:color="auto" w:fill="auto"/>
            <w:noWrap/>
            <w:vAlign w:val="center"/>
            <w:hideMark/>
          </w:tcPr>
          <w:p w14:paraId="3DDA1B37"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953 (22.6)</w:t>
            </w:r>
          </w:p>
        </w:tc>
      </w:tr>
      <w:tr w:rsidR="00A834D0" w:rsidRPr="00115AFE" w14:paraId="234483B0"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4FC108B3" w14:textId="77777777" w:rsidR="00A834D0" w:rsidRPr="00115AFE" w:rsidRDefault="00A834D0" w:rsidP="001A36EA">
            <w:pPr>
              <w:spacing w:after="0" w:line="480" w:lineRule="auto"/>
              <w:rPr>
                <w:rFonts w:ascii="Arial" w:eastAsia="Times New Roman" w:hAnsi="Arial" w:cs="Arial"/>
                <w:sz w:val="18"/>
                <w:szCs w:val="18"/>
                <w:lang w:eastAsia="en-GB"/>
              </w:rPr>
            </w:pPr>
            <w:r w:rsidRPr="00115AFE">
              <w:rPr>
                <w:rFonts w:ascii="Arial" w:eastAsia="Times New Roman" w:hAnsi="Arial" w:cs="Arial"/>
                <w:sz w:val="18"/>
                <w:szCs w:val="18"/>
                <w:lang w:eastAsia="en-GB"/>
              </w:rPr>
              <w:t xml:space="preserve"> </w:t>
            </w:r>
            <w:r w:rsidRPr="0064730D">
              <w:rPr>
                <w:rFonts w:ascii="Arial" w:eastAsia="Times New Roman" w:hAnsi="Arial" w:cs="Arial"/>
                <w:color w:val="333333"/>
                <w:sz w:val="18"/>
                <w:szCs w:val="18"/>
                <w:lang w:eastAsia="en-GB"/>
              </w:rPr>
              <w:t>Race or ethnic group — no. (%)</w:t>
            </w:r>
          </w:p>
        </w:tc>
        <w:tc>
          <w:tcPr>
            <w:tcW w:w="1701" w:type="dxa"/>
            <w:tcBorders>
              <w:top w:val="nil"/>
              <w:left w:val="nil"/>
              <w:bottom w:val="nil"/>
              <w:right w:val="nil"/>
            </w:tcBorders>
            <w:shd w:val="clear" w:color="auto" w:fill="auto"/>
            <w:noWrap/>
            <w:vAlign w:val="center"/>
            <w:hideMark/>
          </w:tcPr>
          <w:p w14:paraId="3B77A0DB" w14:textId="77777777" w:rsidR="00A834D0" w:rsidRPr="00115AFE" w:rsidRDefault="00A834D0" w:rsidP="001A36EA">
            <w:pPr>
              <w:spacing w:after="0" w:line="480" w:lineRule="auto"/>
              <w:jc w:val="center"/>
              <w:rPr>
                <w:rFonts w:ascii="Arial" w:eastAsia="Times New Roman" w:hAnsi="Arial" w:cs="Arial"/>
                <w:color w:val="000000"/>
                <w:sz w:val="18"/>
                <w:szCs w:val="18"/>
                <w:lang w:eastAsia="en-GB"/>
              </w:rPr>
            </w:pPr>
          </w:p>
        </w:tc>
        <w:tc>
          <w:tcPr>
            <w:tcW w:w="1701" w:type="dxa"/>
            <w:tcBorders>
              <w:top w:val="nil"/>
              <w:left w:val="nil"/>
              <w:bottom w:val="nil"/>
              <w:right w:val="nil"/>
            </w:tcBorders>
            <w:shd w:val="clear" w:color="auto" w:fill="auto"/>
            <w:noWrap/>
            <w:vAlign w:val="center"/>
            <w:hideMark/>
          </w:tcPr>
          <w:p w14:paraId="7762C5A0" w14:textId="77777777" w:rsidR="00A834D0" w:rsidRPr="00115AFE" w:rsidRDefault="00A834D0" w:rsidP="001A36EA">
            <w:pPr>
              <w:spacing w:after="0" w:line="480" w:lineRule="auto"/>
              <w:jc w:val="center"/>
              <w:rPr>
                <w:rFonts w:ascii="Arial" w:eastAsia="Times New Roman" w:hAnsi="Arial" w:cs="Arial"/>
                <w:color w:val="000000"/>
                <w:sz w:val="18"/>
                <w:szCs w:val="18"/>
                <w:lang w:eastAsia="en-GB"/>
              </w:rPr>
            </w:pPr>
          </w:p>
        </w:tc>
      </w:tr>
      <w:tr w:rsidR="00A834D0" w:rsidRPr="00115AFE" w14:paraId="530F5AD7"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167CB475"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White</w:t>
            </w:r>
          </w:p>
        </w:tc>
        <w:tc>
          <w:tcPr>
            <w:tcW w:w="1701" w:type="dxa"/>
            <w:tcBorders>
              <w:top w:val="nil"/>
              <w:left w:val="nil"/>
              <w:bottom w:val="nil"/>
              <w:right w:val="nil"/>
            </w:tcBorders>
            <w:shd w:val="clear" w:color="auto" w:fill="auto"/>
            <w:noWrap/>
            <w:vAlign w:val="center"/>
            <w:hideMark/>
          </w:tcPr>
          <w:p w14:paraId="4923A4DA"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2763 (66.0)</w:t>
            </w:r>
          </w:p>
        </w:tc>
        <w:tc>
          <w:tcPr>
            <w:tcW w:w="1701" w:type="dxa"/>
            <w:tcBorders>
              <w:top w:val="nil"/>
              <w:left w:val="nil"/>
              <w:bottom w:val="nil"/>
              <w:right w:val="nil"/>
            </w:tcBorders>
            <w:shd w:val="clear" w:color="auto" w:fill="auto"/>
            <w:noWrap/>
            <w:vAlign w:val="center"/>
            <w:hideMark/>
          </w:tcPr>
          <w:p w14:paraId="77780972"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2781 (66.0)</w:t>
            </w:r>
          </w:p>
        </w:tc>
      </w:tr>
      <w:tr w:rsidR="00A834D0" w:rsidRPr="00115AFE" w14:paraId="2A8E0234"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0F1CD0D6"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64730D">
              <w:rPr>
                <w:rFonts w:ascii="Arial" w:eastAsia="Times New Roman" w:hAnsi="Arial" w:cs="Arial"/>
                <w:color w:val="333333"/>
                <w:sz w:val="18"/>
                <w:szCs w:val="18"/>
                <w:lang w:eastAsia="en-GB"/>
              </w:rPr>
              <w:t>Black</w:t>
            </w:r>
          </w:p>
        </w:tc>
        <w:tc>
          <w:tcPr>
            <w:tcW w:w="1701" w:type="dxa"/>
            <w:tcBorders>
              <w:top w:val="nil"/>
              <w:left w:val="nil"/>
              <w:bottom w:val="nil"/>
              <w:right w:val="nil"/>
            </w:tcBorders>
            <w:shd w:val="clear" w:color="auto" w:fill="auto"/>
            <w:noWrap/>
            <w:vAlign w:val="center"/>
            <w:hideMark/>
          </w:tcPr>
          <w:p w14:paraId="5F845657"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213 (5.1)</w:t>
            </w:r>
          </w:p>
        </w:tc>
        <w:tc>
          <w:tcPr>
            <w:tcW w:w="1701" w:type="dxa"/>
            <w:tcBorders>
              <w:top w:val="nil"/>
              <w:left w:val="nil"/>
              <w:bottom w:val="nil"/>
              <w:right w:val="nil"/>
            </w:tcBorders>
            <w:shd w:val="clear" w:color="auto" w:fill="auto"/>
            <w:noWrap/>
            <w:vAlign w:val="center"/>
            <w:hideMark/>
          </w:tcPr>
          <w:p w14:paraId="72F13513"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215 (5.1)</w:t>
            </w:r>
          </w:p>
        </w:tc>
      </w:tr>
      <w:tr w:rsidR="00A834D0" w:rsidRPr="00115AFE" w14:paraId="214C1D09"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24F758BD"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64730D">
              <w:rPr>
                <w:rFonts w:ascii="Arial" w:eastAsia="Times New Roman" w:hAnsi="Arial" w:cs="Arial"/>
                <w:color w:val="333333"/>
                <w:sz w:val="18"/>
                <w:szCs w:val="18"/>
                <w:lang w:eastAsia="en-GB"/>
              </w:rPr>
              <w:t>Asian</w:t>
            </w:r>
          </w:p>
        </w:tc>
        <w:tc>
          <w:tcPr>
            <w:tcW w:w="1701" w:type="dxa"/>
            <w:tcBorders>
              <w:top w:val="nil"/>
              <w:left w:val="nil"/>
              <w:bottom w:val="nil"/>
              <w:right w:val="nil"/>
            </w:tcBorders>
            <w:shd w:val="clear" w:color="auto" w:fill="auto"/>
            <w:noWrap/>
            <w:vAlign w:val="center"/>
            <w:hideMark/>
          </w:tcPr>
          <w:p w14:paraId="401407F4"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759 (18.1)</w:t>
            </w:r>
          </w:p>
        </w:tc>
        <w:tc>
          <w:tcPr>
            <w:tcW w:w="1701" w:type="dxa"/>
            <w:tcBorders>
              <w:top w:val="nil"/>
              <w:left w:val="nil"/>
              <w:bottom w:val="nil"/>
              <w:right w:val="nil"/>
            </w:tcBorders>
            <w:shd w:val="clear" w:color="auto" w:fill="auto"/>
            <w:noWrap/>
            <w:vAlign w:val="center"/>
            <w:hideMark/>
          </w:tcPr>
          <w:p w14:paraId="5B81E572"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750 (17.8)</w:t>
            </w:r>
          </w:p>
        </w:tc>
      </w:tr>
      <w:tr w:rsidR="00A834D0" w:rsidRPr="00115AFE" w14:paraId="1410ABC3"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000294DA"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64730D">
              <w:rPr>
                <w:rFonts w:ascii="Arial" w:eastAsia="Times New Roman" w:hAnsi="Arial" w:cs="Arial"/>
                <w:color w:val="333333"/>
                <w:sz w:val="18"/>
                <w:szCs w:val="18"/>
                <w:lang w:eastAsia="en-GB"/>
              </w:rPr>
              <w:t>Other</w:t>
            </w:r>
          </w:p>
        </w:tc>
        <w:tc>
          <w:tcPr>
            <w:tcW w:w="1701" w:type="dxa"/>
            <w:tcBorders>
              <w:top w:val="nil"/>
              <w:left w:val="nil"/>
              <w:bottom w:val="nil"/>
              <w:right w:val="nil"/>
            </w:tcBorders>
            <w:shd w:val="clear" w:color="auto" w:fill="auto"/>
            <w:noWrap/>
            <w:vAlign w:val="center"/>
            <w:hideMark/>
          </w:tcPr>
          <w:p w14:paraId="7E15139B"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452 (10.8)</w:t>
            </w:r>
          </w:p>
        </w:tc>
        <w:tc>
          <w:tcPr>
            <w:tcW w:w="1701" w:type="dxa"/>
            <w:tcBorders>
              <w:top w:val="nil"/>
              <w:left w:val="nil"/>
              <w:bottom w:val="nil"/>
              <w:right w:val="nil"/>
            </w:tcBorders>
            <w:shd w:val="clear" w:color="auto" w:fill="auto"/>
            <w:noWrap/>
            <w:vAlign w:val="center"/>
            <w:hideMark/>
          </w:tcPr>
          <w:p w14:paraId="099E2C28"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466 (11.1)</w:t>
            </w:r>
          </w:p>
        </w:tc>
      </w:tr>
      <w:tr w:rsidR="00A834D0" w:rsidRPr="00115AFE" w14:paraId="625BEF42"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5E9A1847" w14:textId="77777777" w:rsidR="00A834D0" w:rsidRPr="00115AFE" w:rsidRDefault="00A834D0" w:rsidP="001A36EA">
            <w:pPr>
              <w:spacing w:after="0" w:line="480" w:lineRule="auto"/>
              <w:rPr>
                <w:rFonts w:ascii="Arial" w:eastAsia="Times New Roman" w:hAnsi="Arial" w:cs="Arial"/>
                <w:sz w:val="18"/>
                <w:szCs w:val="18"/>
                <w:lang w:eastAsia="en-GB"/>
              </w:rPr>
            </w:pPr>
            <w:r w:rsidRPr="00115AFE">
              <w:rPr>
                <w:rFonts w:ascii="Arial" w:eastAsia="Times New Roman" w:hAnsi="Arial" w:cs="Arial"/>
                <w:sz w:val="18"/>
                <w:szCs w:val="18"/>
                <w:lang w:eastAsia="en-GB"/>
              </w:rPr>
              <w:t xml:space="preserve"> </w:t>
            </w:r>
            <w:r w:rsidRPr="00115AFE">
              <w:rPr>
                <w:rFonts w:ascii="Arial" w:eastAsia="Times New Roman" w:hAnsi="Arial" w:cs="Arial"/>
                <w:color w:val="333333"/>
                <w:sz w:val="18"/>
                <w:szCs w:val="18"/>
                <w:lang w:eastAsia="en-GB"/>
              </w:rPr>
              <w:t xml:space="preserve">Region — no. (%)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58A23DB9" w14:textId="77777777" w:rsidR="00A834D0" w:rsidRPr="00115AFE" w:rsidRDefault="00A834D0" w:rsidP="001A36EA">
            <w:pPr>
              <w:spacing w:after="0" w:line="480" w:lineRule="auto"/>
              <w:jc w:val="center"/>
              <w:rPr>
                <w:rFonts w:ascii="Arial" w:eastAsia="Times New Roman" w:hAnsi="Arial" w:cs="Arial"/>
                <w:color w:val="000000"/>
                <w:sz w:val="18"/>
                <w:szCs w:val="18"/>
                <w:lang w:eastAsia="en-GB"/>
              </w:rPr>
            </w:pPr>
          </w:p>
        </w:tc>
        <w:tc>
          <w:tcPr>
            <w:tcW w:w="1701" w:type="dxa"/>
            <w:tcBorders>
              <w:top w:val="nil"/>
              <w:left w:val="nil"/>
              <w:bottom w:val="nil"/>
              <w:right w:val="nil"/>
            </w:tcBorders>
            <w:shd w:val="clear" w:color="auto" w:fill="auto"/>
            <w:noWrap/>
            <w:vAlign w:val="center"/>
            <w:hideMark/>
          </w:tcPr>
          <w:p w14:paraId="6326CB8E" w14:textId="77777777" w:rsidR="00A834D0" w:rsidRPr="00115AFE" w:rsidRDefault="00A834D0" w:rsidP="001A36EA">
            <w:pPr>
              <w:spacing w:after="0" w:line="480" w:lineRule="auto"/>
              <w:jc w:val="center"/>
              <w:rPr>
                <w:rFonts w:ascii="Arial" w:eastAsia="Times New Roman" w:hAnsi="Arial" w:cs="Arial"/>
                <w:color w:val="000000"/>
                <w:sz w:val="18"/>
                <w:szCs w:val="18"/>
                <w:lang w:eastAsia="en-GB"/>
              </w:rPr>
            </w:pPr>
          </w:p>
        </w:tc>
      </w:tr>
      <w:tr w:rsidR="00A834D0" w:rsidRPr="00115AFE" w14:paraId="012BD59F"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7BF6ADA9"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64730D">
              <w:rPr>
                <w:rFonts w:ascii="Arial" w:eastAsia="Times New Roman" w:hAnsi="Arial" w:cs="Arial"/>
                <w:color w:val="333333"/>
                <w:sz w:val="18"/>
                <w:szCs w:val="18"/>
                <w:lang w:eastAsia="en-GB"/>
              </w:rPr>
              <w:t>North America</w:t>
            </w:r>
          </w:p>
        </w:tc>
        <w:tc>
          <w:tcPr>
            <w:tcW w:w="1701" w:type="dxa"/>
            <w:tcBorders>
              <w:top w:val="nil"/>
              <w:left w:val="nil"/>
              <w:bottom w:val="nil"/>
              <w:right w:val="nil"/>
            </w:tcBorders>
            <w:shd w:val="clear" w:color="auto" w:fill="auto"/>
            <w:noWrap/>
            <w:vAlign w:val="center"/>
            <w:hideMark/>
          </w:tcPr>
          <w:p w14:paraId="417121CF"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310 (7.4)</w:t>
            </w:r>
          </w:p>
        </w:tc>
        <w:tc>
          <w:tcPr>
            <w:tcW w:w="1701" w:type="dxa"/>
            <w:tcBorders>
              <w:top w:val="nil"/>
              <w:left w:val="nil"/>
              <w:bottom w:val="nil"/>
              <w:right w:val="nil"/>
            </w:tcBorders>
            <w:shd w:val="clear" w:color="auto" w:fill="auto"/>
            <w:noWrap/>
            <w:vAlign w:val="center"/>
            <w:hideMark/>
          </w:tcPr>
          <w:p w14:paraId="2C2ACDF4"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292 (6.9)</w:t>
            </w:r>
          </w:p>
        </w:tc>
      </w:tr>
      <w:tr w:rsidR="00A834D0" w:rsidRPr="00115AFE" w14:paraId="2A0D1C00"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09AEEF49"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64730D">
              <w:rPr>
                <w:rFonts w:ascii="Arial" w:eastAsia="Times New Roman" w:hAnsi="Arial" w:cs="Arial"/>
                <w:color w:val="333333"/>
                <w:sz w:val="18"/>
                <w:szCs w:val="18"/>
                <w:lang w:eastAsia="en-GB"/>
              </w:rPr>
              <w:t>Latin America</w:t>
            </w:r>
          </w:p>
        </w:tc>
        <w:tc>
          <w:tcPr>
            <w:tcW w:w="1701" w:type="dxa"/>
            <w:tcBorders>
              <w:top w:val="nil"/>
              <w:left w:val="nil"/>
              <w:bottom w:val="nil"/>
              <w:right w:val="nil"/>
            </w:tcBorders>
            <w:shd w:val="clear" w:color="auto" w:fill="auto"/>
            <w:noWrap/>
            <w:vAlign w:val="center"/>
            <w:hideMark/>
          </w:tcPr>
          <w:p w14:paraId="171E71AE"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713 (17.0)</w:t>
            </w:r>
          </w:p>
        </w:tc>
        <w:tc>
          <w:tcPr>
            <w:tcW w:w="1701" w:type="dxa"/>
            <w:tcBorders>
              <w:top w:val="nil"/>
              <w:left w:val="nil"/>
              <w:bottom w:val="nil"/>
              <w:right w:val="nil"/>
            </w:tcBorders>
            <w:shd w:val="clear" w:color="auto" w:fill="auto"/>
            <w:noWrap/>
            <w:vAlign w:val="center"/>
            <w:hideMark/>
          </w:tcPr>
          <w:p w14:paraId="05FBDAFF"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720 (17.1)</w:t>
            </w:r>
          </w:p>
        </w:tc>
      </w:tr>
      <w:tr w:rsidR="00A834D0" w:rsidRPr="00115AFE" w14:paraId="7B853A62"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53F80666"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64730D">
              <w:rPr>
                <w:rFonts w:ascii="Arial" w:eastAsia="Times New Roman" w:hAnsi="Arial" w:cs="Arial"/>
                <w:color w:val="333333"/>
                <w:sz w:val="18"/>
                <w:szCs w:val="18"/>
                <w:lang w:eastAsia="en-GB"/>
              </w:rPr>
              <w:t>Western Europe and other</w:t>
            </w:r>
          </w:p>
        </w:tc>
        <w:tc>
          <w:tcPr>
            <w:tcW w:w="1701" w:type="dxa"/>
            <w:tcBorders>
              <w:top w:val="nil"/>
              <w:left w:val="nil"/>
              <w:bottom w:val="nil"/>
              <w:right w:val="nil"/>
            </w:tcBorders>
            <w:shd w:val="clear" w:color="auto" w:fill="auto"/>
            <w:noWrap/>
            <w:vAlign w:val="center"/>
            <w:hideMark/>
          </w:tcPr>
          <w:p w14:paraId="6D1A69CE"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1026 (24.5)</w:t>
            </w:r>
          </w:p>
        </w:tc>
        <w:tc>
          <w:tcPr>
            <w:tcW w:w="1701" w:type="dxa"/>
            <w:tcBorders>
              <w:top w:val="nil"/>
              <w:left w:val="nil"/>
              <w:bottom w:val="nil"/>
              <w:right w:val="nil"/>
            </w:tcBorders>
            <w:shd w:val="clear" w:color="auto" w:fill="auto"/>
            <w:noWrap/>
            <w:vAlign w:val="center"/>
            <w:hideMark/>
          </w:tcPr>
          <w:p w14:paraId="2959F7D4"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1025 (24.3)</w:t>
            </w:r>
          </w:p>
        </w:tc>
      </w:tr>
      <w:tr w:rsidR="00A834D0" w:rsidRPr="00115AFE" w14:paraId="4CE5444B"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411DAE8C"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64730D">
              <w:rPr>
                <w:rFonts w:ascii="Arial" w:eastAsia="Times New Roman" w:hAnsi="Arial" w:cs="Arial"/>
                <w:color w:val="333333"/>
                <w:sz w:val="18"/>
                <w:szCs w:val="18"/>
                <w:lang w:eastAsia="en-GB"/>
              </w:rPr>
              <w:t>Central Europe</w:t>
            </w:r>
          </w:p>
        </w:tc>
        <w:tc>
          <w:tcPr>
            <w:tcW w:w="1701" w:type="dxa"/>
            <w:tcBorders>
              <w:top w:val="nil"/>
              <w:left w:val="nil"/>
              <w:bottom w:val="nil"/>
              <w:right w:val="nil"/>
            </w:tcBorders>
            <w:shd w:val="clear" w:color="auto" w:fill="auto"/>
            <w:noWrap/>
            <w:vAlign w:val="center"/>
            <w:hideMark/>
          </w:tcPr>
          <w:p w14:paraId="2ABE0EE5"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1393 (33.3)</w:t>
            </w:r>
          </w:p>
        </w:tc>
        <w:tc>
          <w:tcPr>
            <w:tcW w:w="1701" w:type="dxa"/>
            <w:tcBorders>
              <w:top w:val="nil"/>
              <w:left w:val="nil"/>
              <w:bottom w:val="nil"/>
              <w:right w:val="nil"/>
            </w:tcBorders>
            <w:shd w:val="clear" w:color="auto" w:fill="auto"/>
            <w:noWrap/>
            <w:vAlign w:val="center"/>
            <w:hideMark/>
          </w:tcPr>
          <w:p w14:paraId="584E3F75"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1433 (34.0)</w:t>
            </w:r>
          </w:p>
        </w:tc>
      </w:tr>
      <w:tr w:rsidR="00A834D0" w:rsidRPr="00115AFE" w14:paraId="609C8C60"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1279D474"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64730D">
              <w:rPr>
                <w:rFonts w:ascii="Arial" w:eastAsia="Times New Roman" w:hAnsi="Arial" w:cs="Arial"/>
                <w:color w:val="333333"/>
                <w:sz w:val="18"/>
                <w:szCs w:val="18"/>
                <w:lang w:eastAsia="en-GB"/>
              </w:rPr>
              <w:t>Asia–Pacific</w:t>
            </w:r>
          </w:p>
        </w:tc>
        <w:tc>
          <w:tcPr>
            <w:tcW w:w="1701" w:type="dxa"/>
            <w:tcBorders>
              <w:top w:val="nil"/>
              <w:left w:val="nil"/>
              <w:bottom w:val="nil"/>
              <w:right w:val="nil"/>
            </w:tcBorders>
            <w:shd w:val="clear" w:color="auto" w:fill="auto"/>
            <w:noWrap/>
            <w:vAlign w:val="center"/>
            <w:hideMark/>
          </w:tcPr>
          <w:p w14:paraId="66D82C7F"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745 (17.8)</w:t>
            </w:r>
          </w:p>
        </w:tc>
        <w:tc>
          <w:tcPr>
            <w:tcW w:w="1701" w:type="dxa"/>
            <w:tcBorders>
              <w:top w:val="nil"/>
              <w:left w:val="nil"/>
              <w:bottom w:val="nil"/>
              <w:right w:val="nil"/>
            </w:tcBorders>
            <w:shd w:val="clear" w:color="auto" w:fill="auto"/>
            <w:noWrap/>
            <w:vAlign w:val="center"/>
            <w:hideMark/>
          </w:tcPr>
          <w:p w14:paraId="0E2FF37C"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742 (17.6)</w:t>
            </w:r>
          </w:p>
        </w:tc>
      </w:tr>
      <w:tr w:rsidR="00A834D0" w:rsidRPr="00115AFE" w14:paraId="2B43EF78"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70C21EC8" w14:textId="77777777" w:rsidR="00A834D0" w:rsidRPr="00115AFE" w:rsidRDefault="00A834D0" w:rsidP="001A36EA">
            <w:pPr>
              <w:spacing w:after="0" w:line="480" w:lineRule="auto"/>
              <w:rPr>
                <w:rFonts w:ascii="Arial" w:eastAsia="Times New Roman" w:hAnsi="Arial" w:cs="Arial"/>
                <w:sz w:val="18"/>
                <w:szCs w:val="18"/>
                <w:lang w:eastAsia="en-GB"/>
              </w:rPr>
            </w:pPr>
            <w:r w:rsidRPr="00115AFE">
              <w:rPr>
                <w:rFonts w:ascii="Arial" w:eastAsia="Times New Roman" w:hAnsi="Arial" w:cs="Arial"/>
                <w:sz w:val="18"/>
                <w:szCs w:val="18"/>
                <w:lang w:eastAsia="en-GB"/>
              </w:rPr>
              <w:t xml:space="preserve"> </w:t>
            </w:r>
            <w:r w:rsidRPr="00115AFE">
              <w:rPr>
                <w:rFonts w:ascii="Arial" w:eastAsia="Times New Roman" w:hAnsi="Arial" w:cs="Arial"/>
                <w:color w:val="333333"/>
                <w:sz w:val="18"/>
                <w:szCs w:val="18"/>
                <w:lang w:eastAsia="en-GB"/>
              </w:rPr>
              <w:t xml:space="preserve">Systolic blood pressure — mm Hg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6223CBAD"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122±15</w:t>
            </w:r>
          </w:p>
        </w:tc>
        <w:tc>
          <w:tcPr>
            <w:tcW w:w="1701" w:type="dxa"/>
            <w:tcBorders>
              <w:top w:val="nil"/>
              <w:left w:val="nil"/>
              <w:bottom w:val="nil"/>
              <w:right w:val="nil"/>
            </w:tcBorders>
            <w:shd w:val="clear" w:color="auto" w:fill="auto"/>
            <w:noWrap/>
            <w:vAlign w:val="center"/>
            <w:hideMark/>
          </w:tcPr>
          <w:p w14:paraId="124990C7"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121±15</w:t>
            </w:r>
          </w:p>
        </w:tc>
      </w:tr>
      <w:tr w:rsidR="00A834D0" w:rsidRPr="00115AFE" w14:paraId="3258A72C"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6846ABE1" w14:textId="77777777" w:rsidR="00A834D0" w:rsidRPr="00115AFE" w:rsidRDefault="00A834D0" w:rsidP="001A36EA">
            <w:pPr>
              <w:spacing w:after="0" w:line="480" w:lineRule="auto"/>
              <w:rPr>
                <w:rFonts w:ascii="Arial" w:eastAsia="Times New Roman" w:hAnsi="Arial" w:cs="Arial"/>
                <w:sz w:val="18"/>
                <w:szCs w:val="18"/>
                <w:lang w:eastAsia="en-GB"/>
              </w:rPr>
            </w:pPr>
            <w:r w:rsidRPr="00115AFE">
              <w:rPr>
                <w:rFonts w:ascii="Arial" w:eastAsia="Times New Roman" w:hAnsi="Arial" w:cs="Arial"/>
                <w:sz w:val="18"/>
                <w:szCs w:val="18"/>
                <w:lang w:eastAsia="en-GB"/>
              </w:rPr>
              <w:t xml:space="preserve"> </w:t>
            </w:r>
            <w:r w:rsidRPr="00115AFE">
              <w:rPr>
                <w:rFonts w:ascii="Arial" w:eastAsia="Times New Roman" w:hAnsi="Arial" w:cs="Arial"/>
                <w:color w:val="333333"/>
                <w:sz w:val="18"/>
                <w:szCs w:val="18"/>
                <w:lang w:eastAsia="en-GB"/>
              </w:rPr>
              <w:t xml:space="preserve">Heart rate — beats/min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7A3CB60B"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72±12</w:t>
            </w:r>
          </w:p>
        </w:tc>
        <w:tc>
          <w:tcPr>
            <w:tcW w:w="1701" w:type="dxa"/>
            <w:tcBorders>
              <w:top w:val="nil"/>
              <w:left w:val="nil"/>
              <w:bottom w:val="nil"/>
              <w:right w:val="nil"/>
            </w:tcBorders>
            <w:shd w:val="clear" w:color="auto" w:fill="auto"/>
            <w:noWrap/>
            <w:vAlign w:val="center"/>
            <w:hideMark/>
          </w:tcPr>
          <w:p w14:paraId="0620C600"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73±12</w:t>
            </w:r>
          </w:p>
        </w:tc>
      </w:tr>
      <w:tr w:rsidR="00A834D0" w:rsidRPr="00115AFE" w14:paraId="37A82958"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0E120D2B" w14:textId="77777777" w:rsidR="00A834D0" w:rsidRPr="00115AFE" w:rsidRDefault="00A834D0" w:rsidP="001A36EA">
            <w:pPr>
              <w:spacing w:after="0" w:line="480" w:lineRule="auto"/>
              <w:rPr>
                <w:rFonts w:ascii="Arial" w:eastAsia="Times New Roman" w:hAnsi="Arial" w:cs="Arial"/>
                <w:sz w:val="18"/>
                <w:szCs w:val="18"/>
                <w:lang w:eastAsia="en-GB"/>
              </w:rPr>
            </w:pPr>
            <w:r w:rsidRPr="00115AFE">
              <w:rPr>
                <w:rFonts w:ascii="Arial" w:eastAsia="Times New Roman" w:hAnsi="Arial" w:cs="Arial"/>
                <w:sz w:val="18"/>
                <w:szCs w:val="18"/>
                <w:lang w:eastAsia="en-GB"/>
              </w:rPr>
              <w:t xml:space="preserve"> </w:t>
            </w:r>
            <w:r w:rsidR="00BA1D80" w:rsidRPr="0064730D">
              <w:rPr>
                <w:rFonts w:ascii="Arial" w:eastAsia="Times New Roman" w:hAnsi="Arial" w:cs="Arial"/>
                <w:color w:val="333333"/>
                <w:sz w:val="18"/>
                <w:szCs w:val="18"/>
                <w:lang w:eastAsia="en-GB"/>
              </w:rPr>
              <w:t>Body-mass index</w:t>
            </w:r>
          </w:p>
        </w:tc>
        <w:tc>
          <w:tcPr>
            <w:tcW w:w="1701" w:type="dxa"/>
            <w:tcBorders>
              <w:top w:val="nil"/>
              <w:left w:val="nil"/>
              <w:bottom w:val="nil"/>
              <w:right w:val="nil"/>
            </w:tcBorders>
            <w:shd w:val="clear" w:color="auto" w:fill="auto"/>
            <w:noWrap/>
            <w:vAlign w:val="center"/>
            <w:hideMark/>
          </w:tcPr>
          <w:p w14:paraId="658FD75A"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28.1±5.5</w:t>
            </w:r>
          </w:p>
        </w:tc>
        <w:tc>
          <w:tcPr>
            <w:tcW w:w="1701" w:type="dxa"/>
            <w:tcBorders>
              <w:top w:val="nil"/>
              <w:left w:val="nil"/>
              <w:bottom w:val="nil"/>
              <w:right w:val="nil"/>
            </w:tcBorders>
            <w:shd w:val="clear" w:color="auto" w:fill="auto"/>
            <w:noWrap/>
            <w:vAlign w:val="center"/>
            <w:hideMark/>
          </w:tcPr>
          <w:p w14:paraId="5A458264"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28.2±5.5</w:t>
            </w:r>
          </w:p>
        </w:tc>
      </w:tr>
      <w:tr w:rsidR="00A834D0" w:rsidRPr="00115AFE" w14:paraId="05057ACA"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4946E7D7" w14:textId="77777777" w:rsidR="00A834D0" w:rsidRPr="00115AFE" w:rsidRDefault="00A834D0" w:rsidP="001A36EA">
            <w:pPr>
              <w:spacing w:after="0" w:line="480" w:lineRule="auto"/>
              <w:rPr>
                <w:rFonts w:ascii="Arial" w:eastAsia="Times New Roman" w:hAnsi="Arial" w:cs="Arial"/>
                <w:sz w:val="18"/>
                <w:szCs w:val="18"/>
                <w:lang w:eastAsia="en-GB"/>
              </w:rPr>
            </w:pPr>
            <w:r w:rsidRPr="00115AFE">
              <w:rPr>
                <w:rFonts w:ascii="Arial" w:eastAsia="Times New Roman" w:hAnsi="Arial" w:cs="Arial"/>
                <w:sz w:val="18"/>
                <w:szCs w:val="18"/>
                <w:lang w:eastAsia="en-GB"/>
              </w:rPr>
              <w:t xml:space="preserve"> </w:t>
            </w:r>
            <w:r w:rsidRPr="00115AFE">
              <w:rPr>
                <w:rFonts w:ascii="Arial" w:eastAsia="Times New Roman" w:hAnsi="Arial" w:cs="Arial"/>
                <w:color w:val="333333"/>
                <w:sz w:val="18"/>
                <w:szCs w:val="18"/>
                <w:lang w:eastAsia="en-GB"/>
              </w:rPr>
              <w:t xml:space="preserve">Serum creatinine — mg/dl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4038F8E6"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1.13±0.3</w:t>
            </w:r>
          </w:p>
        </w:tc>
        <w:tc>
          <w:tcPr>
            <w:tcW w:w="1701" w:type="dxa"/>
            <w:tcBorders>
              <w:top w:val="nil"/>
              <w:left w:val="nil"/>
              <w:bottom w:val="nil"/>
              <w:right w:val="nil"/>
            </w:tcBorders>
            <w:shd w:val="clear" w:color="auto" w:fill="auto"/>
            <w:noWrap/>
            <w:vAlign w:val="center"/>
            <w:hideMark/>
          </w:tcPr>
          <w:p w14:paraId="64B16891"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1.12±0.3</w:t>
            </w:r>
          </w:p>
        </w:tc>
      </w:tr>
      <w:tr w:rsidR="00A834D0" w:rsidRPr="00115AFE" w14:paraId="0A41D38B"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3E445161" w14:textId="77777777" w:rsidR="00A834D0" w:rsidRPr="00115AFE" w:rsidRDefault="00A834D0" w:rsidP="001A36EA">
            <w:pPr>
              <w:spacing w:after="0" w:line="480" w:lineRule="auto"/>
              <w:rPr>
                <w:rFonts w:ascii="Arial" w:eastAsia="Times New Roman" w:hAnsi="Arial" w:cs="Arial"/>
                <w:sz w:val="18"/>
                <w:szCs w:val="18"/>
                <w:lang w:eastAsia="en-GB"/>
              </w:rPr>
            </w:pPr>
            <w:r w:rsidRPr="00115AFE">
              <w:rPr>
                <w:rFonts w:ascii="Arial" w:eastAsia="Times New Roman" w:hAnsi="Arial" w:cs="Arial"/>
                <w:sz w:val="18"/>
                <w:szCs w:val="18"/>
                <w:lang w:eastAsia="en-GB"/>
              </w:rPr>
              <w:t xml:space="preserve"> </w:t>
            </w:r>
            <w:r w:rsidRPr="00115AFE">
              <w:rPr>
                <w:rFonts w:ascii="Arial" w:eastAsia="Times New Roman" w:hAnsi="Arial" w:cs="Arial"/>
                <w:color w:val="333333"/>
                <w:sz w:val="18"/>
                <w:szCs w:val="18"/>
                <w:lang w:eastAsia="en-GB"/>
              </w:rPr>
              <w:t xml:space="preserve">Clinical features of heart failure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5DF2C057" w14:textId="77777777" w:rsidR="00A834D0" w:rsidRPr="00115AFE" w:rsidRDefault="00A834D0" w:rsidP="001A36EA">
            <w:pPr>
              <w:spacing w:after="0" w:line="480" w:lineRule="auto"/>
              <w:jc w:val="center"/>
              <w:rPr>
                <w:rFonts w:ascii="Arial" w:eastAsia="Times New Roman" w:hAnsi="Arial" w:cs="Arial"/>
                <w:color w:val="000000"/>
                <w:sz w:val="18"/>
                <w:szCs w:val="18"/>
                <w:lang w:eastAsia="en-GB"/>
              </w:rPr>
            </w:pPr>
          </w:p>
        </w:tc>
        <w:tc>
          <w:tcPr>
            <w:tcW w:w="1701" w:type="dxa"/>
            <w:tcBorders>
              <w:top w:val="nil"/>
              <w:left w:val="nil"/>
              <w:bottom w:val="nil"/>
              <w:right w:val="nil"/>
            </w:tcBorders>
            <w:shd w:val="clear" w:color="auto" w:fill="auto"/>
            <w:noWrap/>
            <w:vAlign w:val="center"/>
            <w:hideMark/>
          </w:tcPr>
          <w:p w14:paraId="44C9BC19" w14:textId="77777777" w:rsidR="00A834D0" w:rsidRPr="00115AFE" w:rsidRDefault="00A834D0" w:rsidP="001A36EA">
            <w:pPr>
              <w:spacing w:after="0" w:line="480" w:lineRule="auto"/>
              <w:jc w:val="center"/>
              <w:rPr>
                <w:rFonts w:ascii="Arial" w:eastAsia="Times New Roman" w:hAnsi="Arial" w:cs="Arial"/>
                <w:color w:val="000000"/>
                <w:sz w:val="18"/>
                <w:szCs w:val="18"/>
                <w:lang w:eastAsia="en-GB"/>
              </w:rPr>
            </w:pPr>
          </w:p>
        </w:tc>
      </w:tr>
      <w:tr w:rsidR="00A834D0" w:rsidRPr="00115AFE" w14:paraId="34F7F9C4"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1A5D216A"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Ischemic cardiomyopathy — no. (%)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01D78F8A"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2506 (59.9)</w:t>
            </w:r>
          </w:p>
        </w:tc>
        <w:tc>
          <w:tcPr>
            <w:tcW w:w="1701" w:type="dxa"/>
            <w:tcBorders>
              <w:top w:val="nil"/>
              <w:left w:val="nil"/>
              <w:bottom w:val="nil"/>
              <w:right w:val="nil"/>
            </w:tcBorders>
            <w:shd w:val="clear" w:color="auto" w:fill="auto"/>
            <w:noWrap/>
            <w:vAlign w:val="center"/>
            <w:hideMark/>
          </w:tcPr>
          <w:p w14:paraId="45AA652B"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2530 (60.1)</w:t>
            </w:r>
          </w:p>
        </w:tc>
      </w:tr>
      <w:tr w:rsidR="00A834D0" w:rsidRPr="00115AFE" w14:paraId="0502CA01"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2835A833"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Left ventricular ejection fraction — %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2D8277C2"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29.6±6.1</w:t>
            </w:r>
          </w:p>
        </w:tc>
        <w:tc>
          <w:tcPr>
            <w:tcW w:w="1701" w:type="dxa"/>
            <w:tcBorders>
              <w:top w:val="nil"/>
              <w:left w:val="nil"/>
              <w:bottom w:val="nil"/>
              <w:right w:val="nil"/>
            </w:tcBorders>
            <w:shd w:val="clear" w:color="auto" w:fill="auto"/>
            <w:noWrap/>
            <w:vAlign w:val="center"/>
            <w:hideMark/>
          </w:tcPr>
          <w:p w14:paraId="01390F0B"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29.4±6.3</w:t>
            </w:r>
          </w:p>
        </w:tc>
      </w:tr>
      <w:tr w:rsidR="00A834D0" w:rsidRPr="00115AFE" w14:paraId="391B26DD"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570C33E6"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Median B-type natriuretic peptide (IQR) — </w:t>
            </w:r>
            <w:proofErr w:type="spellStart"/>
            <w:r w:rsidRPr="00115AFE">
              <w:rPr>
                <w:rFonts w:ascii="Arial" w:eastAsia="Times New Roman" w:hAnsi="Arial" w:cs="Arial"/>
                <w:color w:val="333333"/>
                <w:sz w:val="18"/>
                <w:szCs w:val="18"/>
                <w:lang w:eastAsia="en-GB"/>
              </w:rPr>
              <w:t>pg</w:t>
            </w:r>
            <w:proofErr w:type="spellEnd"/>
            <w:r w:rsidRPr="00115AFE">
              <w:rPr>
                <w:rFonts w:ascii="Arial" w:eastAsia="Times New Roman" w:hAnsi="Arial" w:cs="Arial"/>
                <w:color w:val="333333"/>
                <w:sz w:val="18"/>
                <w:szCs w:val="18"/>
                <w:lang w:eastAsia="en-GB"/>
              </w:rPr>
              <w:t xml:space="preserve">/ml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0A2FD1FC"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255 (155–474)</w:t>
            </w:r>
          </w:p>
        </w:tc>
        <w:tc>
          <w:tcPr>
            <w:tcW w:w="1701" w:type="dxa"/>
            <w:tcBorders>
              <w:top w:val="nil"/>
              <w:left w:val="nil"/>
              <w:bottom w:val="nil"/>
              <w:right w:val="nil"/>
            </w:tcBorders>
            <w:shd w:val="clear" w:color="auto" w:fill="auto"/>
            <w:noWrap/>
            <w:vAlign w:val="center"/>
            <w:hideMark/>
          </w:tcPr>
          <w:p w14:paraId="67977973"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251 (153–465)</w:t>
            </w:r>
          </w:p>
        </w:tc>
      </w:tr>
      <w:tr w:rsidR="00A834D0" w:rsidRPr="00115AFE" w14:paraId="564AB5CD"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61AED050"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Median N-terminal pro–B-type natriuretic peptide (IQR) </w:t>
            </w:r>
            <w:r w:rsidRPr="00115AFE">
              <w:rPr>
                <w:rFonts w:ascii="Arial" w:eastAsia="Times New Roman" w:hAnsi="Arial" w:cs="Arial"/>
                <w:sz w:val="18"/>
                <w:szCs w:val="18"/>
                <w:lang w:eastAsia="en-GB"/>
              </w:rPr>
              <w:t xml:space="preserve"> </w:t>
            </w:r>
            <w:r w:rsidRPr="00115AFE">
              <w:rPr>
                <w:rFonts w:ascii="Arial" w:eastAsia="Times New Roman" w:hAnsi="Arial" w:cs="Arial"/>
                <w:color w:val="333333"/>
                <w:sz w:val="18"/>
                <w:szCs w:val="18"/>
                <w:lang w:eastAsia="en-GB"/>
              </w:rPr>
              <w:t xml:space="preserve">— </w:t>
            </w:r>
            <w:proofErr w:type="spellStart"/>
            <w:r w:rsidRPr="00115AFE">
              <w:rPr>
                <w:rFonts w:ascii="Arial" w:eastAsia="Times New Roman" w:hAnsi="Arial" w:cs="Arial"/>
                <w:color w:val="333333"/>
                <w:sz w:val="18"/>
                <w:szCs w:val="18"/>
                <w:lang w:eastAsia="en-GB"/>
              </w:rPr>
              <w:t>pg</w:t>
            </w:r>
            <w:proofErr w:type="spellEnd"/>
            <w:r w:rsidRPr="00115AFE">
              <w:rPr>
                <w:rFonts w:ascii="Arial" w:eastAsia="Times New Roman" w:hAnsi="Arial" w:cs="Arial"/>
                <w:color w:val="333333"/>
                <w:sz w:val="18"/>
                <w:szCs w:val="18"/>
                <w:lang w:eastAsia="en-GB"/>
              </w:rPr>
              <w:t xml:space="preserve">/ml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0A7A79B6"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1631 (885–3154)</w:t>
            </w:r>
          </w:p>
        </w:tc>
        <w:tc>
          <w:tcPr>
            <w:tcW w:w="1701" w:type="dxa"/>
            <w:tcBorders>
              <w:top w:val="nil"/>
              <w:left w:val="nil"/>
              <w:bottom w:val="nil"/>
              <w:right w:val="nil"/>
            </w:tcBorders>
            <w:shd w:val="clear" w:color="auto" w:fill="auto"/>
            <w:noWrap/>
            <w:vAlign w:val="center"/>
            <w:hideMark/>
          </w:tcPr>
          <w:p w14:paraId="179BFD22"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1594 (886–3305)</w:t>
            </w:r>
          </w:p>
        </w:tc>
      </w:tr>
      <w:tr w:rsidR="00A834D0" w:rsidRPr="00115AFE" w14:paraId="5CBE2B92"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0B2D5903" w14:textId="77777777" w:rsidR="00A834D0" w:rsidRPr="00115AFE" w:rsidRDefault="00A834D0" w:rsidP="001A36EA">
            <w:pPr>
              <w:spacing w:after="0" w:line="480" w:lineRule="auto"/>
              <w:rPr>
                <w:rFonts w:ascii="Arial" w:eastAsia="Times New Roman" w:hAnsi="Arial" w:cs="Arial"/>
                <w:sz w:val="18"/>
                <w:szCs w:val="18"/>
                <w:lang w:eastAsia="en-GB"/>
              </w:rPr>
            </w:pPr>
            <w:r w:rsidRPr="00115AFE">
              <w:rPr>
                <w:rFonts w:ascii="Arial" w:eastAsia="Times New Roman" w:hAnsi="Arial" w:cs="Arial"/>
                <w:sz w:val="18"/>
                <w:szCs w:val="18"/>
                <w:lang w:eastAsia="en-GB"/>
              </w:rPr>
              <w:t xml:space="preserve"> </w:t>
            </w:r>
            <w:r w:rsidRPr="00115AFE">
              <w:rPr>
                <w:rFonts w:ascii="Arial" w:eastAsia="Times New Roman" w:hAnsi="Arial" w:cs="Arial"/>
                <w:color w:val="333333"/>
                <w:sz w:val="18"/>
                <w:szCs w:val="18"/>
                <w:lang w:eastAsia="en-GB"/>
              </w:rPr>
              <w:t>N</w:t>
            </w:r>
            <w:r w:rsidRPr="0064730D">
              <w:rPr>
                <w:rFonts w:ascii="Arial" w:eastAsia="Times New Roman" w:hAnsi="Arial" w:cs="Arial"/>
                <w:color w:val="333333"/>
                <w:sz w:val="18"/>
                <w:szCs w:val="18"/>
                <w:lang w:eastAsia="en-GB"/>
              </w:rPr>
              <w:t>YHA functional class — no. (%)</w:t>
            </w:r>
          </w:p>
        </w:tc>
        <w:tc>
          <w:tcPr>
            <w:tcW w:w="1701" w:type="dxa"/>
            <w:tcBorders>
              <w:top w:val="nil"/>
              <w:left w:val="nil"/>
              <w:bottom w:val="nil"/>
              <w:right w:val="nil"/>
            </w:tcBorders>
            <w:shd w:val="clear" w:color="auto" w:fill="auto"/>
            <w:noWrap/>
            <w:vAlign w:val="center"/>
            <w:hideMark/>
          </w:tcPr>
          <w:p w14:paraId="65BC6BE7" w14:textId="77777777" w:rsidR="00A834D0" w:rsidRPr="00115AFE" w:rsidRDefault="00A834D0" w:rsidP="001A36EA">
            <w:pPr>
              <w:spacing w:after="0" w:line="480" w:lineRule="auto"/>
              <w:jc w:val="center"/>
              <w:rPr>
                <w:rFonts w:ascii="Arial" w:eastAsia="Times New Roman" w:hAnsi="Arial" w:cs="Arial"/>
                <w:color w:val="000000"/>
                <w:sz w:val="18"/>
                <w:szCs w:val="18"/>
                <w:lang w:eastAsia="en-GB"/>
              </w:rPr>
            </w:pPr>
          </w:p>
        </w:tc>
        <w:tc>
          <w:tcPr>
            <w:tcW w:w="1701" w:type="dxa"/>
            <w:tcBorders>
              <w:top w:val="nil"/>
              <w:left w:val="nil"/>
              <w:bottom w:val="nil"/>
              <w:right w:val="nil"/>
            </w:tcBorders>
            <w:shd w:val="clear" w:color="auto" w:fill="auto"/>
            <w:noWrap/>
            <w:vAlign w:val="center"/>
            <w:hideMark/>
          </w:tcPr>
          <w:p w14:paraId="08847661" w14:textId="77777777" w:rsidR="00A834D0" w:rsidRPr="00115AFE" w:rsidRDefault="00A834D0" w:rsidP="001A36EA">
            <w:pPr>
              <w:spacing w:after="0" w:line="480" w:lineRule="auto"/>
              <w:jc w:val="center"/>
              <w:rPr>
                <w:rFonts w:ascii="Arial" w:eastAsia="Times New Roman" w:hAnsi="Arial" w:cs="Arial"/>
                <w:color w:val="000000"/>
                <w:sz w:val="18"/>
                <w:szCs w:val="18"/>
                <w:lang w:eastAsia="en-GB"/>
              </w:rPr>
            </w:pPr>
          </w:p>
        </w:tc>
      </w:tr>
      <w:tr w:rsidR="00A834D0" w:rsidRPr="00115AFE" w14:paraId="02050934"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069A730F"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I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6E3CB2F4"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180 (4.3)</w:t>
            </w:r>
          </w:p>
        </w:tc>
        <w:tc>
          <w:tcPr>
            <w:tcW w:w="1701" w:type="dxa"/>
            <w:tcBorders>
              <w:top w:val="nil"/>
              <w:left w:val="nil"/>
              <w:bottom w:val="nil"/>
              <w:right w:val="nil"/>
            </w:tcBorders>
            <w:shd w:val="clear" w:color="auto" w:fill="auto"/>
            <w:noWrap/>
            <w:vAlign w:val="center"/>
            <w:hideMark/>
          </w:tcPr>
          <w:p w14:paraId="29AA36CC"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209 (5.0)</w:t>
            </w:r>
          </w:p>
        </w:tc>
      </w:tr>
      <w:tr w:rsidR="00A834D0" w:rsidRPr="00115AFE" w14:paraId="0E7C41B2"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163EC23F"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II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00AEA0C4"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2998 (71.6)</w:t>
            </w:r>
          </w:p>
        </w:tc>
        <w:tc>
          <w:tcPr>
            <w:tcW w:w="1701" w:type="dxa"/>
            <w:tcBorders>
              <w:top w:val="nil"/>
              <w:left w:val="nil"/>
              <w:bottom w:val="nil"/>
              <w:right w:val="nil"/>
            </w:tcBorders>
            <w:shd w:val="clear" w:color="auto" w:fill="auto"/>
            <w:noWrap/>
            <w:vAlign w:val="center"/>
            <w:hideMark/>
          </w:tcPr>
          <w:p w14:paraId="465A3A52"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2921 (69.3)</w:t>
            </w:r>
          </w:p>
        </w:tc>
      </w:tr>
      <w:tr w:rsidR="00A834D0" w:rsidRPr="00115AFE" w14:paraId="2DB33FB9"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4FF109CD"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III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6D11E9E4"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969 (23.1)</w:t>
            </w:r>
          </w:p>
        </w:tc>
        <w:tc>
          <w:tcPr>
            <w:tcW w:w="1701" w:type="dxa"/>
            <w:tcBorders>
              <w:top w:val="nil"/>
              <w:left w:val="nil"/>
              <w:bottom w:val="nil"/>
              <w:right w:val="nil"/>
            </w:tcBorders>
            <w:shd w:val="clear" w:color="auto" w:fill="auto"/>
            <w:noWrap/>
            <w:vAlign w:val="center"/>
            <w:hideMark/>
          </w:tcPr>
          <w:p w14:paraId="6346C9A9"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1049 (24.9)</w:t>
            </w:r>
          </w:p>
        </w:tc>
      </w:tr>
      <w:tr w:rsidR="00A834D0" w:rsidRPr="00115AFE" w14:paraId="376DE41A"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50A06230"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IV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33E3BE4E"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33 (0.8)</w:t>
            </w:r>
          </w:p>
        </w:tc>
        <w:tc>
          <w:tcPr>
            <w:tcW w:w="1701" w:type="dxa"/>
            <w:tcBorders>
              <w:top w:val="nil"/>
              <w:left w:val="nil"/>
              <w:bottom w:val="nil"/>
              <w:right w:val="nil"/>
            </w:tcBorders>
            <w:shd w:val="clear" w:color="auto" w:fill="auto"/>
            <w:noWrap/>
            <w:vAlign w:val="center"/>
            <w:hideMark/>
          </w:tcPr>
          <w:p w14:paraId="43087B45"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27 (0.6)</w:t>
            </w:r>
          </w:p>
        </w:tc>
      </w:tr>
      <w:tr w:rsidR="00A834D0" w:rsidRPr="00115AFE" w14:paraId="3A4D8FC5"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0DD491B7"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64730D">
              <w:rPr>
                <w:rFonts w:ascii="Arial" w:eastAsia="Times New Roman" w:hAnsi="Arial" w:cs="Arial"/>
                <w:color w:val="333333"/>
                <w:sz w:val="18"/>
                <w:szCs w:val="18"/>
                <w:lang w:eastAsia="en-GB"/>
              </w:rPr>
              <w:t>Missing data</w:t>
            </w:r>
          </w:p>
        </w:tc>
        <w:tc>
          <w:tcPr>
            <w:tcW w:w="1701" w:type="dxa"/>
            <w:tcBorders>
              <w:top w:val="nil"/>
              <w:left w:val="nil"/>
              <w:bottom w:val="nil"/>
              <w:right w:val="nil"/>
            </w:tcBorders>
            <w:shd w:val="clear" w:color="auto" w:fill="auto"/>
            <w:noWrap/>
            <w:vAlign w:val="center"/>
            <w:hideMark/>
          </w:tcPr>
          <w:p w14:paraId="2EE6CBE9"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7 (0.2)</w:t>
            </w:r>
          </w:p>
        </w:tc>
        <w:tc>
          <w:tcPr>
            <w:tcW w:w="1701" w:type="dxa"/>
            <w:tcBorders>
              <w:top w:val="nil"/>
              <w:left w:val="nil"/>
              <w:bottom w:val="nil"/>
              <w:right w:val="nil"/>
            </w:tcBorders>
            <w:shd w:val="clear" w:color="auto" w:fill="auto"/>
            <w:noWrap/>
            <w:vAlign w:val="center"/>
            <w:hideMark/>
          </w:tcPr>
          <w:p w14:paraId="6729667C"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6 (0.1)</w:t>
            </w:r>
          </w:p>
        </w:tc>
      </w:tr>
      <w:tr w:rsidR="00A834D0" w:rsidRPr="00115AFE" w14:paraId="430A9A02"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4C91418C" w14:textId="77777777" w:rsidR="00A834D0" w:rsidRPr="00115AFE" w:rsidRDefault="00A834D0" w:rsidP="001A36EA">
            <w:pPr>
              <w:spacing w:after="0" w:line="480" w:lineRule="auto"/>
              <w:rPr>
                <w:rFonts w:ascii="Arial" w:eastAsia="Times New Roman" w:hAnsi="Arial" w:cs="Arial"/>
                <w:sz w:val="18"/>
                <w:szCs w:val="18"/>
                <w:lang w:eastAsia="en-GB"/>
              </w:rPr>
            </w:pPr>
            <w:r w:rsidRPr="00115AFE">
              <w:rPr>
                <w:rFonts w:ascii="Arial" w:eastAsia="Times New Roman" w:hAnsi="Arial" w:cs="Arial"/>
                <w:sz w:val="18"/>
                <w:szCs w:val="18"/>
                <w:lang w:eastAsia="en-GB"/>
              </w:rPr>
              <w:t xml:space="preserve"> </w:t>
            </w:r>
            <w:r w:rsidRPr="00115AFE">
              <w:rPr>
                <w:rFonts w:ascii="Arial" w:eastAsia="Times New Roman" w:hAnsi="Arial" w:cs="Arial"/>
                <w:color w:val="333333"/>
                <w:sz w:val="18"/>
                <w:szCs w:val="18"/>
                <w:lang w:eastAsia="en-GB"/>
              </w:rPr>
              <w:t xml:space="preserve">Medical history — no. (%)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7B8C6E8C" w14:textId="77777777" w:rsidR="00A834D0" w:rsidRPr="00115AFE" w:rsidRDefault="00A834D0" w:rsidP="001A36EA">
            <w:pPr>
              <w:spacing w:after="0" w:line="480" w:lineRule="auto"/>
              <w:jc w:val="center"/>
              <w:rPr>
                <w:rFonts w:ascii="Arial" w:eastAsia="Times New Roman" w:hAnsi="Arial" w:cs="Arial"/>
                <w:color w:val="000000"/>
                <w:sz w:val="18"/>
                <w:szCs w:val="18"/>
                <w:lang w:eastAsia="en-GB"/>
              </w:rPr>
            </w:pPr>
          </w:p>
        </w:tc>
        <w:tc>
          <w:tcPr>
            <w:tcW w:w="1701" w:type="dxa"/>
            <w:tcBorders>
              <w:top w:val="nil"/>
              <w:left w:val="nil"/>
              <w:bottom w:val="nil"/>
              <w:right w:val="nil"/>
            </w:tcBorders>
            <w:shd w:val="clear" w:color="auto" w:fill="auto"/>
            <w:noWrap/>
            <w:vAlign w:val="center"/>
            <w:hideMark/>
          </w:tcPr>
          <w:p w14:paraId="5579F721" w14:textId="77777777" w:rsidR="00A834D0" w:rsidRPr="00115AFE" w:rsidRDefault="00A834D0" w:rsidP="001A36EA">
            <w:pPr>
              <w:spacing w:after="0" w:line="480" w:lineRule="auto"/>
              <w:jc w:val="center"/>
              <w:rPr>
                <w:rFonts w:ascii="Arial" w:eastAsia="Times New Roman" w:hAnsi="Arial" w:cs="Arial"/>
                <w:color w:val="000000"/>
                <w:sz w:val="18"/>
                <w:szCs w:val="18"/>
                <w:lang w:eastAsia="en-GB"/>
              </w:rPr>
            </w:pPr>
          </w:p>
        </w:tc>
      </w:tr>
      <w:tr w:rsidR="00A834D0" w:rsidRPr="00115AFE" w14:paraId="5D830C3D"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08C32395"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Hypertension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4138D156"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2969 (70.9)</w:t>
            </w:r>
          </w:p>
        </w:tc>
        <w:tc>
          <w:tcPr>
            <w:tcW w:w="1701" w:type="dxa"/>
            <w:tcBorders>
              <w:top w:val="nil"/>
              <w:left w:val="nil"/>
              <w:bottom w:val="nil"/>
              <w:right w:val="nil"/>
            </w:tcBorders>
            <w:shd w:val="clear" w:color="auto" w:fill="auto"/>
            <w:noWrap/>
            <w:vAlign w:val="center"/>
            <w:hideMark/>
          </w:tcPr>
          <w:p w14:paraId="3BC3B1A6"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2971 (70.5)</w:t>
            </w:r>
          </w:p>
        </w:tc>
      </w:tr>
      <w:tr w:rsidR="00A834D0" w:rsidRPr="00115AFE" w14:paraId="62063BFF"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07795F53"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Diabetes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564A9A7D"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1451 (34.7)</w:t>
            </w:r>
          </w:p>
        </w:tc>
        <w:tc>
          <w:tcPr>
            <w:tcW w:w="1701" w:type="dxa"/>
            <w:tcBorders>
              <w:top w:val="nil"/>
              <w:left w:val="nil"/>
              <w:bottom w:val="nil"/>
              <w:right w:val="nil"/>
            </w:tcBorders>
            <w:shd w:val="clear" w:color="auto" w:fill="auto"/>
            <w:noWrap/>
            <w:vAlign w:val="center"/>
            <w:hideMark/>
          </w:tcPr>
          <w:p w14:paraId="0715951D"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1456 (34.6)</w:t>
            </w:r>
          </w:p>
        </w:tc>
      </w:tr>
      <w:tr w:rsidR="00A834D0" w:rsidRPr="00115AFE" w14:paraId="3B0384F2"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243883E6"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Atrial fibrillation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2728D55D"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1517 (36.2)</w:t>
            </w:r>
          </w:p>
        </w:tc>
        <w:tc>
          <w:tcPr>
            <w:tcW w:w="1701" w:type="dxa"/>
            <w:tcBorders>
              <w:top w:val="nil"/>
              <w:left w:val="nil"/>
              <w:bottom w:val="nil"/>
              <w:right w:val="nil"/>
            </w:tcBorders>
            <w:shd w:val="clear" w:color="auto" w:fill="auto"/>
            <w:noWrap/>
            <w:vAlign w:val="center"/>
            <w:hideMark/>
          </w:tcPr>
          <w:p w14:paraId="648E1D36"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1574 (37.4)</w:t>
            </w:r>
          </w:p>
        </w:tc>
      </w:tr>
      <w:tr w:rsidR="00A834D0" w:rsidRPr="00115AFE" w14:paraId="558622E0"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11101A13"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Hospitalization for heart failure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31C4FC6E"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2607 (62.3)</w:t>
            </w:r>
          </w:p>
        </w:tc>
        <w:tc>
          <w:tcPr>
            <w:tcW w:w="1701" w:type="dxa"/>
            <w:tcBorders>
              <w:top w:val="nil"/>
              <w:left w:val="nil"/>
              <w:bottom w:val="nil"/>
              <w:right w:val="nil"/>
            </w:tcBorders>
            <w:shd w:val="clear" w:color="auto" w:fill="auto"/>
            <w:noWrap/>
            <w:vAlign w:val="center"/>
            <w:hideMark/>
          </w:tcPr>
          <w:p w14:paraId="6D14E445"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2667 (63.3)</w:t>
            </w:r>
          </w:p>
        </w:tc>
      </w:tr>
      <w:tr w:rsidR="00A834D0" w:rsidRPr="00115AFE" w14:paraId="0E547BFC"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15F4D64D"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Myocardial infarction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6CCE032A"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1818 (43.4)</w:t>
            </w:r>
          </w:p>
        </w:tc>
        <w:tc>
          <w:tcPr>
            <w:tcW w:w="1701" w:type="dxa"/>
            <w:tcBorders>
              <w:top w:val="nil"/>
              <w:left w:val="nil"/>
              <w:bottom w:val="nil"/>
              <w:right w:val="nil"/>
            </w:tcBorders>
            <w:shd w:val="clear" w:color="auto" w:fill="auto"/>
            <w:noWrap/>
            <w:vAlign w:val="center"/>
            <w:hideMark/>
          </w:tcPr>
          <w:p w14:paraId="365C4F21"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1816 (43.1)</w:t>
            </w:r>
          </w:p>
        </w:tc>
      </w:tr>
      <w:tr w:rsidR="00A834D0" w:rsidRPr="00115AFE" w14:paraId="7AF72DC0"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5A25219A"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Stroke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5D86ED7B"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355 (8.5)</w:t>
            </w:r>
          </w:p>
        </w:tc>
        <w:tc>
          <w:tcPr>
            <w:tcW w:w="1701" w:type="dxa"/>
            <w:tcBorders>
              <w:top w:val="nil"/>
              <w:left w:val="nil"/>
              <w:bottom w:val="nil"/>
              <w:right w:val="nil"/>
            </w:tcBorders>
            <w:shd w:val="clear" w:color="auto" w:fill="auto"/>
            <w:noWrap/>
            <w:vAlign w:val="center"/>
            <w:hideMark/>
          </w:tcPr>
          <w:p w14:paraId="1C516E0A"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370 (8.8)</w:t>
            </w:r>
          </w:p>
        </w:tc>
      </w:tr>
      <w:tr w:rsidR="00A834D0" w:rsidRPr="00115AFE" w14:paraId="621E2B4E"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77A320D3" w14:textId="77777777" w:rsidR="00A834D0" w:rsidRPr="00115AFE" w:rsidRDefault="00A834D0" w:rsidP="001A36EA">
            <w:pPr>
              <w:spacing w:after="0" w:line="480" w:lineRule="auto"/>
              <w:ind w:left="318"/>
              <w:rPr>
                <w:rFonts w:ascii="Arial" w:eastAsia="Times New Roman" w:hAnsi="Arial" w:cs="Arial"/>
                <w:sz w:val="18"/>
                <w:szCs w:val="18"/>
                <w:lang w:eastAsia="en-GB"/>
              </w:rPr>
            </w:pPr>
            <w:proofErr w:type="spellStart"/>
            <w:r w:rsidRPr="0064730D">
              <w:rPr>
                <w:rFonts w:ascii="Arial" w:eastAsia="Times New Roman" w:hAnsi="Arial" w:cs="Arial"/>
                <w:color w:val="333333"/>
                <w:sz w:val="18"/>
                <w:szCs w:val="18"/>
                <w:lang w:eastAsia="en-GB"/>
              </w:rPr>
              <w:t>Pretrial</w:t>
            </w:r>
            <w:proofErr w:type="spellEnd"/>
            <w:r w:rsidRPr="0064730D">
              <w:rPr>
                <w:rFonts w:ascii="Arial" w:eastAsia="Times New Roman" w:hAnsi="Arial" w:cs="Arial"/>
                <w:color w:val="333333"/>
                <w:sz w:val="18"/>
                <w:szCs w:val="18"/>
                <w:lang w:eastAsia="en-GB"/>
              </w:rPr>
              <w:t xml:space="preserve"> use of ACE inhibitor</w:t>
            </w:r>
          </w:p>
        </w:tc>
        <w:tc>
          <w:tcPr>
            <w:tcW w:w="1701" w:type="dxa"/>
            <w:tcBorders>
              <w:top w:val="nil"/>
              <w:left w:val="nil"/>
              <w:bottom w:val="nil"/>
              <w:right w:val="nil"/>
            </w:tcBorders>
            <w:shd w:val="clear" w:color="auto" w:fill="auto"/>
            <w:noWrap/>
            <w:vAlign w:val="center"/>
            <w:hideMark/>
          </w:tcPr>
          <w:p w14:paraId="482F2514"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3266 (78.0)</w:t>
            </w:r>
          </w:p>
        </w:tc>
        <w:tc>
          <w:tcPr>
            <w:tcW w:w="1701" w:type="dxa"/>
            <w:tcBorders>
              <w:top w:val="nil"/>
              <w:left w:val="nil"/>
              <w:bottom w:val="nil"/>
              <w:right w:val="nil"/>
            </w:tcBorders>
            <w:shd w:val="clear" w:color="auto" w:fill="auto"/>
            <w:noWrap/>
            <w:vAlign w:val="center"/>
            <w:hideMark/>
          </w:tcPr>
          <w:p w14:paraId="53AE55CB"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3266 (77.5)</w:t>
            </w:r>
          </w:p>
        </w:tc>
      </w:tr>
      <w:tr w:rsidR="00A834D0" w:rsidRPr="00115AFE" w14:paraId="2BCD297B"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3A703204" w14:textId="77777777" w:rsidR="00A834D0" w:rsidRPr="00115AFE" w:rsidRDefault="00A834D0" w:rsidP="001A36EA">
            <w:pPr>
              <w:spacing w:after="0" w:line="480" w:lineRule="auto"/>
              <w:ind w:left="318"/>
              <w:rPr>
                <w:rFonts w:ascii="Arial" w:eastAsia="Times New Roman" w:hAnsi="Arial" w:cs="Arial"/>
                <w:sz w:val="18"/>
                <w:szCs w:val="18"/>
                <w:lang w:eastAsia="en-GB"/>
              </w:rPr>
            </w:pPr>
            <w:proofErr w:type="spellStart"/>
            <w:r w:rsidRPr="0064730D">
              <w:rPr>
                <w:rFonts w:ascii="Arial" w:eastAsia="Times New Roman" w:hAnsi="Arial" w:cs="Arial"/>
                <w:color w:val="333333"/>
                <w:sz w:val="18"/>
                <w:szCs w:val="18"/>
                <w:lang w:eastAsia="en-GB"/>
              </w:rPr>
              <w:t>Pretrial</w:t>
            </w:r>
            <w:proofErr w:type="spellEnd"/>
            <w:r w:rsidRPr="0064730D">
              <w:rPr>
                <w:rFonts w:ascii="Arial" w:eastAsia="Times New Roman" w:hAnsi="Arial" w:cs="Arial"/>
                <w:color w:val="333333"/>
                <w:sz w:val="18"/>
                <w:szCs w:val="18"/>
                <w:lang w:eastAsia="en-GB"/>
              </w:rPr>
              <w:t xml:space="preserve"> use of ARB</w:t>
            </w:r>
          </w:p>
        </w:tc>
        <w:tc>
          <w:tcPr>
            <w:tcW w:w="1701" w:type="dxa"/>
            <w:tcBorders>
              <w:top w:val="nil"/>
              <w:left w:val="nil"/>
              <w:bottom w:val="nil"/>
              <w:right w:val="nil"/>
            </w:tcBorders>
            <w:shd w:val="clear" w:color="auto" w:fill="auto"/>
            <w:noWrap/>
            <w:vAlign w:val="center"/>
            <w:hideMark/>
          </w:tcPr>
          <w:p w14:paraId="7D3BA5C1"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929 (22.2)</w:t>
            </w:r>
          </w:p>
        </w:tc>
        <w:tc>
          <w:tcPr>
            <w:tcW w:w="1701" w:type="dxa"/>
            <w:tcBorders>
              <w:top w:val="nil"/>
              <w:left w:val="nil"/>
              <w:bottom w:val="nil"/>
              <w:right w:val="nil"/>
            </w:tcBorders>
            <w:shd w:val="clear" w:color="auto" w:fill="auto"/>
            <w:noWrap/>
            <w:vAlign w:val="center"/>
            <w:hideMark/>
          </w:tcPr>
          <w:p w14:paraId="7452E94D"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963 (22.9)</w:t>
            </w:r>
          </w:p>
        </w:tc>
      </w:tr>
      <w:tr w:rsidR="00A834D0" w:rsidRPr="00115AFE" w14:paraId="30850D56"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78BD2CEC" w14:textId="77777777" w:rsidR="00A834D0" w:rsidRPr="00115AFE" w:rsidRDefault="00A834D0" w:rsidP="001A36EA">
            <w:pPr>
              <w:spacing w:after="0" w:line="480" w:lineRule="auto"/>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lastRenderedPageBreak/>
              <w:t xml:space="preserve">Treatments at randomization — no. (%)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0C714064" w14:textId="77777777" w:rsidR="00A834D0" w:rsidRPr="00115AFE" w:rsidRDefault="00A834D0" w:rsidP="001A36EA">
            <w:pPr>
              <w:spacing w:after="0" w:line="480" w:lineRule="auto"/>
              <w:jc w:val="center"/>
              <w:rPr>
                <w:rFonts w:ascii="Arial" w:eastAsia="Times New Roman" w:hAnsi="Arial" w:cs="Arial"/>
                <w:color w:val="000000"/>
                <w:sz w:val="18"/>
                <w:szCs w:val="18"/>
                <w:lang w:eastAsia="en-GB"/>
              </w:rPr>
            </w:pPr>
          </w:p>
        </w:tc>
        <w:tc>
          <w:tcPr>
            <w:tcW w:w="1701" w:type="dxa"/>
            <w:tcBorders>
              <w:top w:val="nil"/>
              <w:left w:val="nil"/>
              <w:bottom w:val="nil"/>
              <w:right w:val="nil"/>
            </w:tcBorders>
            <w:shd w:val="clear" w:color="auto" w:fill="auto"/>
            <w:noWrap/>
            <w:vAlign w:val="center"/>
            <w:hideMark/>
          </w:tcPr>
          <w:p w14:paraId="6FBFEA1B" w14:textId="77777777" w:rsidR="00A834D0" w:rsidRPr="00115AFE" w:rsidRDefault="00A834D0" w:rsidP="001A36EA">
            <w:pPr>
              <w:spacing w:after="0" w:line="480" w:lineRule="auto"/>
              <w:jc w:val="center"/>
              <w:rPr>
                <w:rFonts w:ascii="Arial" w:eastAsia="Times New Roman" w:hAnsi="Arial" w:cs="Arial"/>
                <w:color w:val="000000"/>
                <w:sz w:val="18"/>
                <w:szCs w:val="18"/>
                <w:lang w:eastAsia="en-GB"/>
              </w:rPr>
            </w:pPr>
          </w:p>
        </w:tc>
      </w:tr>
      <w:tr w:rsidR="00A834D0" w:rsidRPr="00115AFE" w14:paraId="1A6EC1FA"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7B5D7C12"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Diuretic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4C6DCAF4"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3363 (80.3)</w:t>
            </w:r>
          </w:p>
        </w:tc>
        <w:tc>
          <w:tcPr>
            <w:tcW w:w="1701" w:type="dxa"/>
            <w:tcBorders>
              <w:top w:val="nil"/>
              <w:left w:val="nil"/>
              <w:bottom w:val="nil"/>
              <w:right w:val="nil"/>
            </w:tcBorders>
            <w:shd w:val="clear" w:color="auto" w:fill="auto"/>
            <w:noWrap/>
            <w:vAlign w:val="center"/>
            <w:hideMark/>
          </w:tcPr>
          <w:p w14:paraId="2B0FDBC4"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3375 (80.1)</w:t>
            </w:r>
          </w:p>
        </w:tc>
      </w:tr>
      <w:tr w:rsidR="00A834D0" w:rsidRPr="00115AFE" w14:paraId="3D3DE7DD"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26144A25"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Digitalis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736D3B5D"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1223 (29.2)</w:t>
            </w:r>
          </w:p>
        </w:tc>
        <w:tc>
          <w:tcPr>
            <w:tcW w:w="1701" w:type="dxa"/>
            <w:tcBorders>
              <w:top w:val="nil"/>
              <w:left w:val="nil"/>
              <w:bottom w:val="nil"/>
              <w:right w:val="nil"/>
            </w:tcBorders>
            <w:shd w:val="clear" w:color="auto" w:fill="auto"/>
            <w:noWrap/>
            <w:vAlign w:val="center"/>
            <w:hideMark/>
          </w:tcPr>
          <w:p w14:paraId="408B5B64"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1316 (31.2)</w:t>
            </w:r>
          </w:p>
        </w:tc>
      </w:tr>
      <w:tr w:rsidR="00A834D0" w:rsidRPr="00115AFE" w14:paraId="388EFD17"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0AF4EFA4"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Beta-blocker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719A1EB2"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3899 (93.1)</w:t>
            </w:r>
          </w:p>
        </w:tc>
        <w:tc>
          <w:tcPr>
            <w:tcW w:w="1701" w:type="dxa"/>
            <w:tcBorders>
              <w:top w:val="nil"/>
              <w:left w:val="nil"/>
              <w:bottom w:val="nil"/>
              <w:right w:val="nil"/>
            </w:tcBorders>
            <w:shd w:val="clear" w:color="auto" w:fill="auto"/>
            <w:noWrap/>
            <w:vAlign w:val="center"/>
            <w:hideMark/>
          </w:tcPr>
          <w:p w14:paraId="409894BD"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3912 (92.9)</w:t>
            </w:r>
          </w:p>
        </w:tc>
      </w:tr>
      <w:tr w:rsidR="00A834D0" w:rsidRPr="00115AFE" w14:paraId="79577D30"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60901A72"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Mineralocorticoid antagonist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13535F02"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2271 (54.2)</w:t>
            </w:r>
          </w:p>
        </w:tc>
        <w:tc>
          <w:tcPr>
            <w:tcW w:w="1701" w:type="dxa"/>
            <w:tcBorders>
              <w:top w:val="nil"/>
              <w:left w:val="nil"/>
              <w:bottom w:val="nil"/>
              <w:right w:val="nil"/>
            </w:tcBorders>
            <w:shd w:val="clear" w:color="auto" w:fill="auto"/>
            <w:noWrap/>
            <w:vAlign w:val="center"/>
            <w:hideMark/>
          </w:tcPr>
          <w:p w14:paraId="0070902B"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2400 (57.0)</w:t>
            </w:r>
          </w:p>
        </w:tc>
      </w:tr>
      <w:tr w:rsidR="00A834D0" w:rsidRPr="00115AFE" w14:paraId="0AAE8620"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2C6A83CA"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Implantable </w:t>
            </w:r>
            <w:proofErr w:type="spellStart"/>
            <w:r w:rsidRPr="00115AFE">
              <w:rPr>
                <w:rFonts w:ascii="Arial" w:eastAsia="Times New Roman" w:hAnsi="Arial" w:cs="Arial"/>
                <w:color w:val="333333"/>
                <w:sz w:val="18"/>
                <w:szCs w:val="18"/>
                <w:lang w:eastAsia="en-GB"/>
              </w:rPr>
              <w:t>cardioverter</w:t>
            </w:r>
            <w:proofErr w:type="spellEnd"/>
            <w:r w:rsidRPr="00115AFE">
              <w:rPr>
                <w:rFonts w:ascii="Arial" w:eastAsia="Times New Roman" w:hAnsi="Arial" w:cs="Arial"/>
                <w:color w:val="333333"/>
                <w:sz w:val="18"/>
                <w:szCs w:val="18"/>
                <w:lang w:eastAsia="en-GB"/>
              </w:rPr>
              <w:t>–defibrillator</w:t>
            </w:r>
          </w:p>
        </w:tc>
        <w:tc>
          <w:tcPr>
            <w:tcW w:w="1701" w:type="dxa"/>
            <w:tcBorders>
              <w:top w:val="nil"/>
              <w:left w:val="nil"/>
              <w:bottom w:val="nil"/>
              <w:right w:val="nil"/>
            </w:tcBorders>
            <w:shd w:val="clear" w:color="auto" w:fill="auto"/>
            <w:noWrap/>
            <w:vAlign w:val="center"/>
            <w:hideMark/>
          </w:tcPr>
          <w:p w14:paraId="0D4EAA3D"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623 (14.9)</w:t>
            </w:r>
          </w:p>
        </w:tc>
        <w:tc>
          <w:tcPr>
            <w:tcW w:w="1701" w:type="dxa"/>
            <w:tcBorders>
              <w:top w:val="nil"/>
              <w:left w:val="nil"/>
              <w:bottom w:val="nil"/>
              <w:right w:val="nil"/>
            </w:tcBorders>
            <w:shd w:val="clear" w:color="auto" w:fill="auto"/>
            <w:noWrap/>
            <w:vAlign w:val="center"/>
            <w:hideMark/>
          </w:tcPr>
          <w:p w14:paraId="1DE58F13"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620 (14.7)</w:t>
            </w:r>
          </w:p>
        </w:tc>
      </w:tr>
      <w:tr w:rsidR="00A834D0" w:rsidRPr="00115AFE" w14:paraId="17360B1A" w14:textId="77777777" w:rsidTr="0064730D">
        <w:trPr>
          <w:trHeight w:hRule="exact" w:val="340"/>
          <w:jc w:val="center"/>
        </w:trPr>
        <w:tc>
          <w:tcPr>
            <w:tcW w:w="5812" w:type="dxa"/>
            <w:tcBorders>
              <w:top w:val="nil"/>
              <w:left w:val="nil"/>
              <w:bottom w:val="nil"/>
              <w:right w:val="nil"/>
            </w:tcBorders>
            <w:shd w:val="clear" w:color="auto" w:fill="auto"/>
            <w:noWrap/>
            <w:vAlign w:val="center"/>
            <w:hideMark/>
          </w:tcPr>
          <w:p w14:paraId="645C3245" w14:textId="77777777" w:rsidR="00A834D0" w:rsidRPr="00115AFE" w:rsidRDefault="00A834D0" w:rsidP="001A36EA">
            <w:pPr>
              <w:spacing w:after="0" w:line="480" w:lineRule="auto"/>
              <w:ind w:left="318"/>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 xml:space="preserve">Cardiac resynchronization therapy </w:t>
            </w:r>
            <w:r w:rsidRPr="00115AFE">
              <w:rPr>
                <w:rFonts w:ascii="Arial" w:eastAsia="Times New Roman" w:hAnsi="Arial" w:cs="Arial"/>
                <w:sz w:val="18"/>
                <w:szCs w:val="18"/>
                <w:lang w:eastAsia="en-GB"/>
              </w:rPr>
              <w:t xml:space="preserve"> </w:t>
            </w:r>
          </w:p>
        </w:tc>
        <w:tc>
          <w:tcPr>
            <w:tcW w:w="1701" w:type="dxa"/>
            <w:tcBorders>
              <w:top w:val="nil"/>
              <w:left w:val="nil"/>
              <w:bottom w:val="nil"/>
              <w:right w:val="nil"/>
            </w:tcBorders>
            <w:shd w:val="clear" w:color="auto" w:fill="auto"/>
            <w:noWrap/>
            <w:vAlign w:val="center"/>
            <w:hideMark/>
          </w:tcPr>
          <w:p w14:paraId="40016732"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292 (7.0)</w:t>
            </w:r>
          </w:p>
        </w:tc>
        <w:tc>
          <w:tcPr>
            <w:tcW w:w="1701" w:type="dxa"/>
            <w:tcBorders>
              <w:top w:val="nil"/>
              <w:left w:val="nil"/>
              <w:bottom w:val="nil"/>
              <w:right w:val="nil"/>
            </w:tcBorders>
            <w:shd w:val="clear" w:color="auto" w:fill="auto"/>
            <w:noWrap/>
            <w:vAlign w:val="center"/>
            <w:hideMark/>
          </w:tcPr>
          <w:p w14:paraId="10E0B2BF" w14:textId="77777777" w:rsidR="00A834D0" w:rsidRPr="00115AFE" w:rsidRDefault="00A834D0" w:rsidP="001A36EA">
            <w:pPr>
              <w:spacing w:after="0" w:line="480" w:lineRule="auto"/>
              <w:jc w:val="center"/>
              <w:rPr>
                <w:rFonts w:ascii="Arial" w:eastAsia="Times New Roman" w:hAnsi="Arial" w:cs="Arial"/>
                <w:sz w:val="18"/>
                <w:szCs w:val="18"/>
                <w:lang w:eastAsia="en-GB"/>
              </w:rPr>
            </w:pPr>
            <w:r w:rsidRPr="00115AFE">
              <w:rPr>
                <w:rFonts w:ascii="Arial" w:eastAsia="Times New Roman" w:hAnsi="Arial" w:cs="Arial"/>
                <w:color w:val="333333"/>
                <w:sz w:val="18"/>
                <w:szCs w:val="18"/>
                <w:lang w:eastAsia="en-GB"/>
              </w:rPr>
              <w:t>282 (6.7)</w:t>
            </w:r>
          </w:p>
        </w:tc>
      </w:tr>
    </w:tbl>
    <w:p w14:paraId="0F54A363" w14:textId="77777777" w:rsidR="00A834D0" w:rsidRDefault="00A834D0" w:rsidP="00A834D0">
      <w:pPr>
        <w:autoSpaceDE w:val="0"/>
        <w:autoSpaceDN w:val="0"/>
        <w:adjustRightInd w:val="0"/>
        <w:spacing w:after="0" w:line="240" w:lineRule="auto"/>
        <w:rPr>
          <w:rFonts w:cstheme="minorHAnsi"/>
          <w:sz w:val="16"/>
          <w:szCs w:val="16"/>
        </w:rPr>
      </w:pPr>
    </w:p>
    <w:p w14:paraId="3D0CD69F" w14:textId="77777777" w:rsidR="00A834D0" w:rsidRPr="001A36EA" w:rsidRDefault="00A834D0" w:rsidP="00A834D0">
      <w:pPr>
        <w:autoSpaceDE w:val="0"/>
        <w:autoSpaceDN w:val="0"/>
        <w:adjustRightInd w:val="0"/>
        <w:spacing w:after="0" w:line="240" w:lineRule="auto"/>
        <w:rPr>
          <w:rFonts w:cstheme="minorHAnsi"/>
          <w:sz w:val="18"/>
          <w:szCs w:val="16"/>
        </w:rPr>
      </w:pPr>
      <w:r w:rsidRPr="001A36EA">
        <w:rPr>
          <w:rFonts w:cstheme="minorHAnsi"/>
          <w:sz w:val="18"/>
          <w:szCs w:val="16"/>
        </w:rPr>
        <w:t>* Plus–minus values are means ±SD. IQR denotes interquartile range.</w:t>
      </w:r>
    </w:p>
    <w:p w14:paraId="30925A72" w14:textId="77777777" w:rsidR="00BA1D80" w:rsidRPr="001A36EA" w:rsidRDefault="001A36EA" w:rsidP="00BA1D80">
      <w:pPr>
        <w:spacing w:after="0" w:line="240" w:lineRule="auto"/>
        <w:rPr>
          <w:sz w:val="20"/>
        </w:rPr>
      </w:pPr>
      <w:r w:rsidRPr="001A36EA">
        <w:rPr>
          <w:sz w:val="20"/>
        </w:rPr>
        <w:t>Source: McMurray JJV, Packer M, Desai AS, et al. Angiotensin–</w:t>
      </w:r>
      <w:proofErr w:type="spellStart"/>
      <w:r w:rsidRPr="001A36EA">
        <w:rPr>
          <w:sz w:val="20"/>
        </w:rPr>
        <w:t>Neprilysin</w:t>
      </w:r>
      <w:proofErr w:type="spellEnd"/>
      <w:r w:rsidRPr="001A36EA">
        <w:rPr>
          <w:sz w:val="20"/>
        </w:rPr>
        <w:t xml:space="preserve"> Inhibition versus Enalapril in Heart Failure. New England Journal of Medicine 2014</w:t>
      </w:r>
      <w:proofErr w:type="gramStart"/>
      <w:r w:rsidRPr="001A36EA">
        <w:rPr>
          <w:sz w:val="20"/>
        </w:rPr>
        <w:t>;371:993</w:t>
      </w:r>
      <w:proofErr w:type="gramEnd"/>
      <w:r w:rsidRPr="001A36EA">
        <w:rPr>
          <w:sz w:val="20"/>
        </w:rPr>
        <w:t>-1004</w:t>
      </w:r>
    </w:p>
    <w:p w14:paraId="79A4823B" w14:textId="77777777" w:rsidR="001A36EA" w:rsidRDefault="001A36EA" w:rsidP="00BA1D80">
      <w:pPr>
        <w:spacing w:after="0" w:line="240" w:lineRule="auto"/>
      </w:pPr>
    </w:p>
    <w:p w14:paraId="372501D4" w14:textId="77777777" w:rsidR="00FC69FD" w:rsidRDefault="0078555A" w:rsidP="00BA1D80">
      <w:pPr>
        <w:spacing w:after="0" w:line="240" w:lineRule="auto"/>
        <w:rPr>
          <w:rFonts w:ascii="Arial" w:hAnsi="Arial" w:cs="Arial"/>
          <w:sz w:val="24"/>
          <w:szCs w:val="24"/>
        </w:rPr>
      </w:pPr>
      <w:r>
        <w:t xml:space="preserve">Table 1 </w:t>
      </w:r>
      <w:r w:rsidR="0049161A">
        <w:t xml:space="preserve">Caption: </w:t>
      </w:r>
      <w:r w:rsidR="00A834D0">
        <w:t>Table summarising the characteristics at the baseline visit for patients in the PARADIGM</w:t>
      </w:r>
      <w:r w:rsidR="00850255">
        <w:t>-HF</w:t>
      </w:r>
      <w:r w:rsidR="00A834D0">
        <w:t xml:space="preserve"> trial</w:t>
      </w:r>
      <w:r w:rsidR="00BA1D80" w:rsidRPr="00BA1D80">
        <w:t xml:space="preserve"> </w:t>
      </w:r>
      <w:r w:rsidR="00BA1D80">
        <w:t>by treatment allocation</w:t>
      </w:r>
      <w:r w:rsidR="00A834D0">
        <w:t>.</w:t>
      </w:r>
    </w:p>
    <w:p w14:paraId="21C3E72D" w14:textId="77777777" w:rsidR="00461005" w:rsidRDefault="00FC69FD" w:rsidP="00BA1D80">
      <w:pPr>
        <w:jc w:val="center"/>
        <w:rPr>
          <w:rFonts w:ascii="Arial" w:hAnsi="Arial" w:cs="Arial"/>
          <w:sz w:val="20"/>
          <w:szCs w:val="20"/>
        </w:rPr>
      </w:pPr>
      <w:r>
        <w:rPr>
          <w:rFonts w:ascii="Arial" w:hAnsi="Arial" w:cs="Arial"/>
          <w:sz w:val="20"/>
          <w:szCs w:val="20"/>
        </w:rPr>
        <w:br w:type="page"/>
      </w:r>
      <w:r w:rsidR="00461005" w:rsidRPr="00461005">
        <w:rPr>
          <w:rFonts w:ascii="Arial" w:hAnsi="Arial" w:cs="Arial"/>
          <w:sz w:val="20"/>
          <w:szCs w:val="20"/>
        </w:rPr>
        <w:lastRenderedPageBreak/>
        <w:t>Table 2. Prespecified clinical endpoints in the SAVOR-TIMI53 trial</w:t>
      </w:r>
    </w:p>
    <w:tbl>
      <w:tblPr>
        <w:tblW w:w="8899" w:type="dxa"/>
        <w:tblLook w:val="04A0" w:firstRow="1" w:lastRow="0" w:firstColumn="1" w:lastColumn="0" w:noHBand="0" w:noVBand="1"/>
      </w:tblPr>
      <w:tblGrid>
        <w:gridCol w:w="3828"/>
        <w:gridCol w:w="1275"/>
        <w:gridCol w:w="1166"/>
        <w:gridCol w:w="1670"/>
        <w:gridCol w:w="960"/>
      </w:tblGrid>
      <w:tr w:rsidR="00F253FB" w:rsidRPr="005A76B0" w14:paraId="541FA38D" w14:textId="77777777" w:rsidTr="00F253FB">
        <w:trPr>
          <w:trHeight w:val="546"/>
        </w:trPr>
        <w:tc>
          <w:tcPr>
            <w:tcW w:w="3828" w:type="dxa"/>
            <w:tcBorders>
              <w:top w:val="nil"/>
              <w:left w:val="nil"/>
              <w:bottom w:val="nil"/>
              <w:right w:val="nil"/>
            </w:tcBorders>
            <w:shd w:val="clear" w:color="auto" w:fill="auto"/>
            <w:vAlign w:val="center"/>
            <w:hideMark/>
          </w:tcPr>
          <w:p w14:paraId="738875EC" w14:textId="77777777" w:rsidR="00461005" w:rsidRPr="005A76B0" w:rsidRDefault="00461005" w:rsidP="00BA1D80">
            <w:pPr>
              <w:spacing w:after="0" w:line="480" w:lineRule="auto"/>
              <w:rPr>
                <w:rFonts w:ascii="Arial" w:eastAsia="Times New Roman" w:hAnsi="Arial" w:cs="Arial"/>
                <w:b/>
                <w:sz w:val="18"/>
                <w:szCs w:val="18"/>
                <w:lang w:eastAsia="en-GB"/>
              </w:rPr>
            </w:pPr>
            <w:r w:rsidRPr="00F253FB">
              <w:rPr>
                <w:rFonts w:ascii="Arial" w:eastAsia="Times New Roman" w:hAnsi="Arial" w:cs="Arial"/>
                <w:b/>
                <w:sz w:val="18"/>
                <w:szCs w:val="18"/>
                <w:lang w:eastAsia="en-GB"/>
              </w:rPr>
              <w:t>Endpoint</w:t>
            </w:r>
          </w:p>
        </w:tc>
        <w:tc>
          <w:tcPr>
            <w:tcW w:w="1275" w:type="dxa"/>
            <w:tcBorders>
              <w:top w:val="nil"/>
              <w:left w:val="nil"/>
              <w:bottom w:val="nil"/>
              <w:right w:val="nil"/>
            </w:tcBorders>
            <w:shd w:val="clear" w:color="auto" w:fill="auto"/>
            <w:noWrap/>
            <w:vAlign w:val="center"/>
            <w:hideMark/>
          </w:tcPr>
          <w:p w14:paraId="5520D100" w14:textId="77777777" w:rsidR="00461005" w:rsidRPr="00F253FB" w:rsidRDefault="00461005" w:rsidP="00BA1D80">
            <w:pPr>
              <w:spacing w:after="0" w:line="480" w:lineRule="auto"/>
              <w:jc w:val="center"/>
              <w:rPr>
                <w:rFonts w:ascii="Arial" w:eastAsia="Times New Roman" w:hAnsi="Arial" w:cs="Arial"/>
                <w:b/>
                <w:sz w:val="18"/>
                <w:szCs w:val="18"/>
                <w:lang w:eastAsia="en-GB"/>
              </w:rPr>
            </w:pPr>
            <w:proofErr w:type="spellStart"/>
            <w:r w:rsidRPr="00F253FB">
              <w:rPr>
                <w:rFonts w:ascii="Arial" w:eastAsia="Times New Roman" w:hAnsi="Arial" w:cs="Arial"/>
                <w:b/>
                <w:sz w:val="18"/>
                <w:szCs w:val="18"/>
                <w:lang w:eastAsia="en-GB"/>
              </w:rPr>
              <w:t>Saxagliptin</w:t>
            </w:r>
            <w:proofErr w:type="spellEnd"/>
          </w:p>
          <w:p w14:paraId="66FEC6FD" w14:textId="77777777" w:rsidR="00461005" w:rsidRPr="005A76B0" w:rsidRDefault="00461005" w:rsidP="00BA1D80">
            <w:pPr>
              <w:spacing w:after="0" w:line="480" w:lineRule="auto"/>
              <w:jc w:val="center"/>
              <w:rPr>
                <w:rFonts w:ascii="Arial" w:eastAsia="Times New Roman" w:hAnsi="Arial" w:cs="Arial"/>
                <w:b/>
                <w:sz w:val="18"/>
                <w:szCs w:val="18"/>
                <w:lang w:eastAsia="en-GB"/>
              </w:rPr>
            </w:pPr>
            <w:r w:rsidRPr="00F253FB">
              <w:rPr>
                <w:rFonts w:ascii="Arial" w:eastAsia="Times New Roman" w:hAnsi="Arial" w:cs="Arial"/>
                <w:b/>
                <w:sz w:val="18"/>
                <w:szCs w:val="18"/>
                <w:lang w:eastAsia="en-GB"/>
              </w:rPr>
              <w:t>(N=8280)</w:t>
            </w:r>
          </w:p>
        </w:tc>
        <w:tc>
          <w:tcPr>
            <w:tcW w:w="1166" w:type="dxa"/>
            <w:tcBorders>
              <w:top w:val="nil"/>
              <w:left w:val="nil"/>
              <w:bottom w:val="nil"/>
              <w:right w:val="nil"/>
            </w:tcBorders>
            <w:shd w:val="clear" w:color="auto" w:fill="auto"/>
            <w:noWrap/>
            <w:vAlign w:val="center"/>
            <w:hideMark/>
          </w:tcPr>
          <w:p w14:paraId="5724B784" w14:textId="77777777" w:rsidR="00461005" w:rsidRPr="00F253FB" w:rsidRDefault="00461005" w:rsidP="00BA1D80">
            <w:pPr>
              <w:spacing w:after="0" w:line="480" w:lineRule="auto"/>
              <w:jc w:val="center"/>
              <w:rPr>
                <w:rFonts w:ascii="Arial" w:eastAsia="Times New Roman" w:hAnsi="Arial" w:cs="Arial"/>
                <w:b/>
                <w:sz w:val="18"/>
                <w:szCs w:val="18"/>
                <w:lang w:eastAsia="en-GB"/>
              </w:rPr>
            </w:pPr>
            <w:r w:rsidRPr="00F253FB">
              <w:rPr>
                <w:rFonts w:ascii="Arial" w:eastAsia="Times New Roman" w:hAnsi="Arial" w:cs="Arial"/>
                <w:b/>
                <w:sz w:val="18"/>
                <w:szCs w:val="18"/>
                <w:lang w:eastAsia="en-GB"/>
              </w:rPr>
              <w:t>Placebo</w:t>
            </w:r>
          </w:p>
          <w:p w14:paraId="36A13A77" w14:textId="77777777" w:rsidR="00461005" w:rsidRPr="005A76B0" w:rsidRDefault="00461005" w:rsidP="00BA1D80">
            <w:pPr>
              <w:spacing w:after="0" w:line="480" w:lineRule="auto"/>
              <w:jc w:val="center"/>
              <w:rPr>
                <w:rFonts w:ascii="Arial" w:eastAsia="Times New Roman" w:hAnsi="Arial" w:cs="Arial"/>
                <w:b/>
                <w:sz w:val="18"/>
                <w:szCs w:val="18"/>
                <w:lang w:eastAsia="en-GB"/>
              </w:rPr>
            </w:pPr>
            <w:r w:rsidRPr="00F253FB">
              <w:rPr>
                <w:rFonts w:ascii="Arial" w:eastAsia="Times New Roman" w:hAnsi="Arial" w:cs="Arial"/>
                <w:b/>
                <w:sz w:val="18"/>
                <w:szCs w:val="18"/>
                <w:lang w:eastAsia="en-GB"/>
              </w:rPr>
              <w:t>(N=8212)</w:t>
            </w:r>
          </w:p>
        </w:tc>
        <w:tc>
          <w:tcPr>
            <w:tcW w:w="1670" w:type="dxa"/>
            <w:tcBorders>
              <w:top w:val="nil"/>
              <w:left w:val="nil"/>
              <w:bottom w:val="nil"/>
              <w:right w:val="nil"/>
            </w:tcBorders>
            <w:shd w:val="clear" w:color="auto" w:fill="auto"/>
            <w:noWrap/>
            <w:vAlign w:val="center"/>
            <w:hideMark/>
          </w:tcPr>
          <w:p w14:paraId="624CB634" w14:textId="77777777" w:rsidR="00461005" w:rsidRPr="00F253FB" w:rsidRDefault="00461005" w:rsidP="00BA1D80">
            <w:pPr>
              <w:spacing w:after="0" w:line="480" w:lineRule="auto"/>
              <w:jc w:val="center"/>
              <w:rPr>
                <w:rFonts w:ascii="Arial" w:eastAsia="Times New Roman" w:hAnsi="Arial" w:cs="Arial"/>
                <w:b/>
                <w:sz w:val="18"/>
                <w:szCs w:val="18"/>
                <w:lang w:eastAsia="en-GB"/>
              </w:rPr>
            </w:pPr>
            <w:r w:rsidRPr="00F253FB">
              <w:rPr>
                <w:rFonts w:ascii="Arial" w:eastAsia="Times New Roman" w:hAnsi="Arial" w:cs="Arial"/>
                <w:b/>
                <w:sz w:val="18"/>
                <w:szCs w:val="18"/>
                <w:lang w:eastAsia="en-GB"/>
              </w:rPr>
              <w:t>Hazard Ratio</w:t>
            </w:r>
          </w:p>
          <w:p w14:paraId="33F6D3F7" w14:textId="77777777" w:rsidR="00461005" w:rsidRPr="005A76B0" w:rsidRDefault="00461005" w:rsidP="00BA1D80">
            <w:pPr>
              <w:spacing w:after="0" w:line="480" w:lineRule="auto"/>
              <w:jc w:val="center"/>
              <w:rPr>
                <w:rFonts w:ascii="Arial" w:eastAsia="Times New Roman" w:hAnsi="Arial" w:cs="Arial"/>
                <w:b/>
                <w:sz w:val="18"/>
                <w:szCs w:val="18"/>
                <w:lang w:eastAsia="en-GB"/>
              </w:rPr>
            </w:pPr>
            <w:r w:rsidRPr="00F253FB">
              <w:rPr>
                <w:rFonts w:ascii="Arial" w:eastAsia="Times New Roman" w:hAnsi="Arial" w:cs="Arial"/>
                <w:b/>
                <w:sz w:val="18"/>
                <w:szCs w:val="18"/>
                <w:lang w:eastAsia="en-GB"/>
              </w:rPr>
              <w:t>(95% CI)</w:t>
            </w:r>
          </w:p>
        </w:tc>
        <w:tc>
          <w:tcPr>
            <w:tcW w:w="960" w:type="dxa"/>
            <w:tcBorders>
              <w:top w:val="nil"/>
              <w:left w:val="nil"/>
              <w:bottom w:val="nil"/>
              <w:right w:val="nil"/>
            </w:tcBorders>
            <w:shd w:val="clear" w:color="auto" w:fill="auto"/>
            <w:noWrap/>
            <w:vAlign w:val="center"/>
            <w:hideMark/>
          </w:tcPr>
          <w:p w14:paraId="1F2E73DD" w14:textId="77777777" w:rsidR="00461005" w:rsidRPr="005A76B0" w:rsidRDefault="00461005" w:rsidP="00BA1D80">
            <w:pPr>
              <w:spacing w:after="0" w:line="480" w:lineRule="auto"/>
              <w:jc w:val="center"/>
              <w:rPr>
                <w:rFonts w:ascii="Arial" w:eastAsia="Times New Roman" w:hAnsi="Arial" w:cs="Arial"/>
                <w:b/>
                <w:sz w:val="18"/>
                <w:szCs w:val="18"/>
                <w:lang w:eastAsia="en-GB"/>
              </w:rPr>
            </w:pPr>
            <w:r w:rsidRPr="00F253FB">
              <w:rPr>
                <w:rFonts w:ascii="Arial" w:eastAsia="Times New Roman" w:hAnsi="Arial" w:cs="Arial"/>
                <w:b/>
                <w:sz w:val="18"/>
                <w:szCs w:val="18"/>
                <w:lang w:eastAsia="en-GB"/>
              </w:rPr>
              <w:t>P Value</w:t>
            </w:r>
          </w:p>
        </w:tc>
      </w:tr>
      <w:tr w:rsidR="00461005" w:rsidRPr="00F253FB" w14:paraId="03DB3810" w14:textId="77777777" w:rsidTr="00F253FB">
        <w:trPr>
          <w:trHeight w:val="270"/>
        </w:trPr>
        <w:tc>
          <w:tcPr>
            <w:tcW w:w="3828" w:type="dxa"/>
            <w:tcBorders>
              <w:top w:val="nil"/>
              <w:left w:val="nil"/>
              <w:bottom w:val="nil"/>
              <w:right w:val="nil"/>
            </w:tcBorders>
            <w:shd w:val="clear" w:color="auto" w:fill="auto"/>
          </w:tcPr>
          <w:p w14:paraId="5CD22FE3" w14:textId="77777777" w:rsidR="00461005" w:rsidRPr="00F253FB" w:rsidRDefault="00461005" w:rsidP="00BA1D80">
            <w:pPr>
              <w:spacing w:after="0" w:line="480" w:lineRule="auto"/>
              <w:rPr>
                <w:rFonts w:ascii="Arial" w:eastAsia="Times New Roman" w:hAnsi="Arial" w:cs="Arial"/>
                <w:b/>
                <w:sz w:val="18"/>
                <w:szCs w:val="18"/>
                <w:lang w:eastAsia="en-GB"/>
              </w:rPr>
            </w:pPr>
          </w:p>
        </w:tc>
        <w:tc>
          <w:tcPr>
            <w:tcW w:w="2441" w:type="dxa"/>
            <w:gridSpan w:val="2"/>
            <w:tcBorders>
              <w:top w:val="nil"/>
              <w:left w:val="nil"/>
              <w:bottom w:val="nil"/>
              <w:right w:val="nil"/>
            </w:tcBorders>
            <w:shd w:val="clear" w:color="auto" w:fill="auto"/>
            <w:noWrap/>
            <w:vAlign w:val="center"/>
          </w:tcPr>
          <w:p w14:paraId="0684053D" w14:textId="77777777" w:rsidR="00461005" w:rsidRPr="009427F8" w:rsidRDefault="00461005" w:rsidP="00BA1D80">
            <w:pPr>
              <w:spacing w:after="0" w:line="480" w:lineRule="auto"/>
              <w:jc w:val="center"/>
              <w:rPr>
                <w:rFonts w:ascii="Arial" w:eastAsia="Times New Roman" w:hAnsi="Arial" w:cs="Arial"/>
                <w:b/>
                <w:sz w:val="18"/>
                <w:szCs w:val="18"/>
                <w:vertAlign w:val="superscript"/>
                <w:lang w:eastAsia="en-GB"/>
              </w:rPr>
            </w:pPr>
            <w:r w:rsidRPr="00F253FB">
              <w:rPr>
                <w:rFonts w:ascii="Arial" w:eastAsia="Times New Roman" w:hAnsi="Arial" w:cs="Arial"/>
                <w:b/>
                <w:sz w:val="18"/>
                <w:szCs w:val="18"/>
                <w:lang w:eastAsia="en-GB"/>
              </w:rPr>
              <w:t>No. (%)</w:t>
            </w:r>
            <w:r w:rsidR="009427F8">
              <w:rPr>
                <w:rFonts w:ascii="Arial" w:eastAsia="Times New Roman" w:hAnsi="Arial" w:cs="Arial"/>
                <w:b/>
                <w:sz w:val="18"/>
                <w:szCs w:val="18"/>
                <w:vertAlign w:val="superscript"/>
                <w:lang w:eastAsia="en-GB"/>
              </w:rPr>
              <w:t>*</w:t>
            </w:r>
          </w:p>
        </w:tc>
        <w:tc>
          <w:tcPr>
            <w:tcW w:w="1670" w:type="dxa"/>
            <w:tcBorders>
              <w:top w:val="nil"/>
              <w:left w:val="nil"/>
              <w:bottom w:val="nil"/>
              <w:right w:val="nil"/>
            </w:tcBorders>
            <w:shd w:val="clear" w:color="auto" w:fill="auto"/>
            <w:noWrap/>
            <w:vAlign w:val="center"/>
          </w:tcPr>
          <w:p w14:paraId="11C9AC9C" w14:textId="77777777" w:rsidR="00461005" w:rsidRPr="00F253FB" w:rsidRDefault="00461005" w:rsidP="00BA1D80">
            <w:pPr>
              <w:spacing w:after="0" w:line="480" w:lineRule="auto"/>
              <w:jc w:val="center"/>
              <w:rPr>
                <w:rFonts w:ascii="Arial" w:eastAsia="Times New Roman" w:hAnsi="Arial" w:cs="Arial"/>
                <w:b/>
                <w:sz w:val="18"/>
                <w:szCs w:val="18"/>
                <w:lang w:eastAsia="en-GB"/>
              </w:rPr>
            </w:pPr>
          </w:p>
        </w:tc>
        <w:tc>
          <w:tcPr>
            <w:tcW w:w="960" w:type="dxa"/>
            <w:tcBorders>
              <w:top w:val="nil"/>
              <w:left w:val="nil"/>
              <w:bottom w:val="nil"/>
              <w:right w:val="nil"/>
            </w:tcBorders>
            <w:shd w:val="clear" w:color="auto" w:fill="auto"/>
            <w:noWrap/>
            <w:vAlign w:val="center"/>
          </w:tcPr>
          <w:p w14:paraId="00EFA009" w14:textId="77777777" w:rsidR="00461005" w:rsidRPr="00F253FB" w:rsidRDefault="00461005" w:rsidP="00BA1D80">
            <w:pPr>
              <w:spacing w:after="0" w:line="480" w:lineRule="auto"/>
              <w:jc w:val="center"/>
              <w:rPr>
                <w:rFonts w:ascii="Arial" w:eastAsia="Times New Roman" w:hAnsi="Arial" w:cs="Arial"/>
                <w:b/>
                <w:sz w:val="18"/>
                <w:szCs w:val="18"/>
                <w:lang w:eastAsia="en-GB"/>
              </w:rPr>
            </w:pPr>
          </w:p>
        </w:tc>
      </w:tr>
      <w:tr w:rsidR="00461005" w:rsidRPr="005A76B0" w14:paraId="79DE4341" w14:textId="77777777" w:rsidTr="00F253FB">
        <w:trPr>
          <w:trHeight w:val="300"/>
        </w:trPr>
        <w:tc>
          <w:tcPr>
            <w:tcW w:w="3828" w:type="dxa"/>
            <w:tcBorders>
              <w:top w:val="nil"/>
              <w:left w:val="nil"/>
              <w:bottom w:val="nil"/>
              <w:right w:val="nil"/>
            </w:tcBorders>
            <w:shd w:val="clear" w:color="auto" w:fill="auto"/>
            <w:hideMark/>
          </w:tcPr>
          <w:p w14:paraId="0C027989" w14:textId="77777777" w:rsidR="00461005" w:rsidRPr="005A76B0" w:rsidRDefault="00461005" w:rsidP="00BA1D80">
            <w:pPr>
              <w:spacing w:after="0" w:line="480" w:lineRule="auto"/>
              <w:ind w:left="176" w:hanging="176"/>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 xml:space="preserve">Cardiovascular death, myocardial infarction, or stroke: primary efficacy end point </w:t>
            </w:r>
            <w:r w:rsidRPr="005A76B0">
              <w:rPr>
                <w:rFonts w:ascii="Arial" w:eastAsia="Times New Roman" w:hAnsi="Arial" w:cs="Arial"/>
                <w:sz w:val="18"/>
                <w:szCs w:val="18"/>
                <w:lang w:eastAsia="en-GB"/>
              </w:rPr>
              <w:t xml:space="preserve"> </w:t>
            </w:r>
          </w:p>
        </w:tc>
        <w:tc>
          <w:tcPr>
            <w:tcW w:w="1275" w:type="dxa"/>
            <w:tcBorders>
              <w:top w:val="nil"/>
              <w:left w:val="nil"/>
              <w:bottom w:val="nil"/>
              <w:right w:val="nil"/>
            </w:tcBorders>
            <w:shd w:val="clear" w:color="auto" w:fill="auto"/>
            <w:noWrap/>
            <w:hideMark/>
          </w:tcPr>
          <w:p w14:paraId="55FD32D3"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613 (7.3)</w:t>
            </w:r>
          </w:p>
        </w:tc>
        <w:tc>
          <w:tcPr>
            <w:tcW w:w="1166" w:type="dxa"/>
            <w:tcBorders>
              <w:top w:val="nil"/>
              <w:left w:val="nil"/>
              <w:bottom w:val="nil"/>
              <w:right w:val="nil"/>
            </w:tcBorders>
            <w:shd w:val="clear" w:color="auto" w:fill="auto"/>
            <w:noWrap/>
            <w:hideMark/>
          </w:tcPr>
          <w:p w14:paraId="6D93B01B"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609 (7.2)</w:t>
            </w:r>
          </w:p>
        </w:tc>
        <w:tc>
          <w:tcPr>
            <w:tcW w:w="1670" w:type="dxa"/>
            <w:tcBorders>
              <w:top w:val="nil"/>
              <w:left w:val="nil"/>
              <w:bottom w:val="nil"/>
              <w:right w:val="nil"/>
            </w:tcBorders>
            <w:shd w:val="clear" w:color="auto" w:fill="auto"/>
            <w:noWrap/>
            <w:hideMark/>
          </w:tcPr>
          <w:p w14:paraId="55D7FDF5"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1.00 (0.89–1.12)</w:t>
            </w:r>
          </w:p>
        </w:tc>
        <w:tc>
          <w:tcPr>
            <w:tcW w:w="960" w:type="dxa"/>
            <w:tcBorders>
              <w:top w:val="nil"/>
              <w:left w:val="nil"/>
              <w:bottom w:val="nil"/>
              <w:right w:val="nil"/>
            </w:tcBorders>
            <w:shd w:val="clear" w:color="auto" w:fill="auto"/>
            <w:noWrap/>
            <w:hideMark/>
          </w:tcPr>
          <w:p w14:paraId="5A368D79"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0.99</w:t>
            </w:r>
          </w:p>
        </w:tc>
      </w:tr>
      <w:tr w:rsidR="00461005" w:rsidRPr="005A76B0" w14:paraId="6CADA558" w14:textId="77777777" w:rsidTr="00F253FB">
        <w:trPr>
          <w:trHeight w:val="465"/>
        </w:trPr>
        <w:tc>
          <w:tcPr>
            <w:tcW w:w="3828" w:type="dxa"/>
            <w:tcBorders>
              <w:top w:val="nil"/>
              <w:left w:val="nil"/>
              <w:bottom w:val="nil"/>
              <w:right w:val="nil"/>
            </w:tcBorders>
            <w:shd w:val="clear" w:color="auto" w:fill="auto"/>
            <w:hideMark/>
          </w:tcPr>
          <w:p w14:paraId="5EC70ED2" w14:textId="77777777" w:rsidR="00461005" w:rsidRPr="005A76B0" w:rsidRDefault="00461005" w:rsidP="00BA1D80">
            <w:pPr>
              <w:spacing w:after="0" w:line="480" w:lineRule="auto"/>
              <w:ind w:left="176" w:hanging="176"/>
              <w:rPr>
                <w:rFonts w:ascii="Arial" w:eastAsia="Times New Roman" w:hAnsi="Arial" w:cs="Arial"/>
                <w:color w:val="000000"/>
                <w:sz w:val="18"/>
                <w:szCs w:val="18"/>
                <w:lang w:eastAsia="en-GB"/>
              </w:rPr>
            </w:pPr>
            <w:r w:rsidRPr="005A76B0">
              <w:rPr>
                <w:rFonts w:ascii="Arial" w:eastAsia="Times New Roman" w:hAnsi="Arial" w:cs="Arial"/>
                <w:color w:val="000000"/>
                <w:sz w:val="18"/>
                <w:szCs w:val="18"/>
                <w:lang w:eastAsia="en-GB"/>
              </w:rPr>
              <w:t xml:space="preserve">Cardiovascular death, myocardial infarction, stroke, hospitalization for unstable angina, heart failure, or coronary </w:t>
            </w:r>
            <w:r w:rsidRPr="00F253FB">
              <w:rPr>
                <w:rFonts w:ascii="Arial" w:eastAsia="Times New Roman" w:hAnsi="Arial" w:cs="Arial"/>
                <w:color w:val="000000"/>
                <w:sz w:val="18"/>
                <w:szCs w:val="18"/>
                <w:lang w:eastAsia="en-GB"/>
              </w:rPr>
              <w:t>r</w:t>
            </w:r>
            <w:r w:rsidRPr="005A76B0">
              <w:rPr>
                <w:rFonts w:ascii="Arial" w:eastAsia="Times New Roman" w:hAnsi="Arial" w:cs="Arial"/>
                <w:color w:val="000000"/>
                <w:sz w:val="18"/>
                <w:szCs w:val="18"/>
                <w:lang w:eastAsia="en-GB"/>
              </w:rPr>
              <w:t>evascularization: secondary efficacy end point</w:t>
            </w:r>
          </w:p>
        </w:tc>
        <w:tc>
          <w:tcPr>
            <w:tcW w:w="1275" w:type="dxa"/>
            <w:tcBorders>
              <w:top w:val="nil"/>
              <w:left w:val="nil"/>
              <w:bottom w:val="nil"/>
              <w:right w:val="nil"/>
            </w:tcBorders>
            <w:shd w:val="clear" w:color="auto" w:fill="auto"/>
            <w:noWrap/>
            <w:hideMark/>
          </w:tcPr>
          <w:p w14:paraId="15907206"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1059 (12.8)</w:t>
            </w:r>
          </w:p>
        </w:tc>
        <w:tc>
          <w:tcPr>
            <w:tcW w:w="1166" w:type="dxa"/>
            <w:tcBorders>
              <w:top w:val="nil"/>
              <w:left w:val="nil"/>
              <w:bottom w:val="nil"/>
              <w:right w:val="nil"/>
            </w:tcBorders>
            <w:shd w:val="clear" w:color="auto" w:fill="auto"/>
            <w:noWrap/>
            <w:hideMark/>
          </w:tcPr>
          <w:p w14:paraId="6172FA96"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1034 (12.4)</w:t>
            </w:r>
          </w:p>
        </w:tc>
        <w:tc>
          <w:tcPr>
            <w:tcW w:w="1670" w:type="dxa"/>
            <w:tcBorders>
              <w:top w:val="nil"/>
              <w:left w:val="nil"/>
              <w:bottom w:val="nil"/>
              <w:right w:val="nil"/>
            </w:tcBorders>
            <w:shd w:val="clear" w:color="auto" w:fill="auto"/>
            <w:noWrap/>
            <w:hideMark/>
          </w:tcPr>
          <w:p w14:paraId="1304455B"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1.02 (0.94–1.11)</w:t>
            </w:r>
          </w:p>
        </w:tc>
        <w:tc>
          <w:tcPr>
            <w:tcW w:w="960" w:type="dxa"/>
            <w:tcBorders>
              <w:top w:val="nil"/>
              <w:left w:val="nil"/>
              <w:bottom w:val="nil"/>
              <w:right w:val="nil"/>
            </w:tcBorders>
            <w:shd w:val="clear" w:color="auto" w:fill="auto"/>
            <w:noWrap/>
            <w:hideMark/>
          </w:tcPr>
          <w:p w14:paraId="25E56703"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0.66</w:t>
            </w:r>
          </w:p>
        </w:tc>
      </w:tr>
      <w:tr w:rsidR="00461005" w:rsidRPr="005A76B0" w14:paraId="5295BADA" w14:textId="77777777" w:rsidTr="00F253FB">
        <w:trPr>
          <w:trHeight w:val="300"/>
        </w:trPr>
        <w:tc>
          <w:tcPr>
            <w:tcW w:w="3828" w:type="dxa"/>
            <w:tcBorders>
              <w:top w:val="nil"/>
              <w:left w:val="nil"/>
              <w:bottom w:val="nil"/>
              <w:right w:val="nil"/>
            </w:tcBorders>
            <w:shd w:val="clear" w:color="auto" w:fill="auto"/>
            <w:hideMark/>
          </w:tcPr>
          <w:p w14:paraId="5CAD1734" w14:textId="77777777" w:rsidR="00461005" w:rsidRPr="005A76B0" w:rsidRDefault="00461005" w:rsidP="00BA1D80">
            <w:pPr>
              <w:spacing w:after="0" w:line="480" w:lineRule="auto"/>
              <w:rPr>
                <w:rFonts w:ascii="Arial" w:eastAsia="Times New Roman" w:hAnsi="Arial" w:cs="Arial"/>
                <w:color w:val="000000"/>
                <w:sz w:val="18"/>
                <w:szCs w:val="18"/>
                <w:lang w:eastAsia="en-GB"/>
              </w:rPr>
            </w:pPr>
            <w:r w:rsidRPr="005A76B0">
              <w:rPr>
                <w:rFonts w:ascii="Arial" w:eastAsia="Times New Roman" w:hAnsi="Arial" w:cs="Arial"/>
                <w:color w:val="000000"/>
                <w:sz w:val="18"/>
                <w:szCs w:val="18"/>
                <w:lang w:eastAsia="en-GB"/>
              </w:rPr>
              <w:t>Death from any cause</w:t>
            </w:r>
          </w:p>
        </w:tc>
        <w:tc>
          <w:tcPr>
            <w:tcW w:w="1275" w:type="dxa"/>
            <w:tcBorders>
              <w:top w:val="nil"/>
              <w:left w:val="nil"/>
              <w:bottom w:val="nil"/>
              <w:right w:val="nil"/>
            </w:tcBorders>
            <w:shd w:val="clear" w:color="auto" w:fill="auto"/>
            <w:noWrap/>
            <w:hideMark/>
          </w:tcPr>
          <w:p w14:paraId="77601801"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420 (4.9)</w:t>
            </w:r>
          </w:p>
        </w:tc>
        <w:tc>
          <w:tcPr>
            <w:tcW w:w="1166" w:type="dxa"/>
            <w:tcBorders>
              <w:top w:val="nil"/>
              <w:left w:val="nil"/>
              <w:bottom w:val="nil"/>
              <w:right w:val="nil"/>
            </w:tcBorders>
            <w:shd w:val="clear" w:color="auto" w:fill="auto"/>
            <w:noWrap/>
            <w:hideMark/>
          </w:tcPr>
          <w:p w14:paraId="3C85D0B4"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378 (4.2)</w:t>
            </w:r>
          </w:p>
        </w:tc>
        <w:tc>
          <w:tcPr>
            <w:tcW w:w="1670" w:type="dxa"/>
            <w:tcBorders>
              <w:top w:val="nil"/>
              <w:left w:val="nil"/>
              <w:bottom w:val="nil"/>
              <w:right w:val="nil"/>
            </w:tcBorders>
            <w:shd w:val="clear" w:color="auto" w:fill="auto"/>
            <w:noWrap/>
            <w:hideMark/>
          </w:tcPr>
          <w:p w14:paraId="74A46A6B"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1.11 (0.96–1.27)</w:t>
            </w:r>
          </w:p>
        </w:tc>
        <w:tc>
          <w:tcPr>
            <w:tcW w:w="960" w:type="dxa"/>
            <w:tcBorders>
              <w:top w:val="nil"/>
              <w:left w:val="nil"/>
              <w:bottom w:val="nil"/>
              <w:right w:val="nil"/>
            </w:tcBorders>
            <w:shd w:val="clear" w:color="auto" w:fill="auto"/>
            <w:noWrap/>
            <w:hideMark/>
          </w:tcPr>
          <w:p w14:paraId="629393B0"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0.15</w:t>
            </w:r>
          </w:p>
        </w:tc>
      </w:tr>
      <w:tr w:rsidR="00461005" w:rsidRPr="005A76B0" w14:paraId="3AA9A16E" w14:textId="77777777" w:rsidTr="00F253FB">
        <w:trPr>
          <w:trHeight w:val="300"/>
        </w:trPr>
        <w:tc>
          <w:tcPr>
            <w:tcW w:w="3828" w:type="dxa"/>
            <w:tcBorders>
              <w:top w:val="nil"/>
              <w:left w:val="nil"/>
              <w:bottom w:val="nil"/>
              <w:right w:val="nil"/>
            </w:tcBorders>
            <w:shd w:val="clear" w:color="auto" w:fill="auto"/>
            <w:hideMark/>
          </w:tcPr>
          <w:p w14:paraId="552E16F5" w14:textId="77777777" w:rsidR="00461005" w:rsidRPr="005A76B0" w:rsidRDefault="00461005" w:rsidP="00BA1D80">
            <w:pPr>
              <w:spacing w:after="0" w:line="480" w:lineRule="auto"/>
              <w:rPr>
                <w:rFonts w:ascii="Arial" w:eastAsia="Times New Roman" w:hAnsi="Arial" w:cs="Arial"/>
                <w:color w:val="000000"/>
                <w:sz w:val="18"/>
                <w:szCs w:val="18"/>
                <w:lang w:eastAsia="en-GB"/>
              </w:rPr>
            </w:pPr>
            <w:r w:rsidRPr="005A76B0">
              <w:rPr>
                <w:rFonts w:ascii="Arial" w:eastAsia="Times New Roman" w:hAnsi="Arial" w:cs="Arial"/>
                <w:color w:val="000000"/>
                <w:sz w:val="18"/>
                <w:szCs w:val="18"/>
                <w:lang w:eastAsia="en-GB"/>
              </w:rPr>
              <w:t>Death from cardiovascular causes</w:t>
            </w:r>
          </w:p>
        </w:tc>
        <w:tc>
          <w:tcPr>
            <w:tcW w:w="1275" w:type="dxa"/>
            <w:tcBorders>
              <w:top w:val="nil"/>
              <w:left w:val="nil"/>
              <w:bottom w:val="nil"/>
              <w:right w:val="nil"/>
            </w:tcBorders>
            <w:shd w:val="clear" w:color="auto" w:fill="auto"/>
            <w:noWrap/>
            <w:hideMark/>
          </w:tcPr>
          <w:p w14:paraId="6433A612"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269 (3.2)</w:t>
            </w:r>
          </w:p>
        </w:tc>
        <w:tc>
          <w:tcPr>
            <w:tcW w:w="1166" w:type="dxa"/>
            <w:tcBorders>
              <w:top w:val="nil"/>
              <w:left w:val="nil"/>
              <w:bottom w:val="nil"/>
              <w:right w:val="nil"/>
            </w:tcBorders>
            <w:shd w:val="clear" w:color="auto" w:fill="auto"/>
            <w:noWrap/>
            <w:hideMark/>
          </w:tcPr>
          <w:p w14:paraId="2C76DE0D"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260 (2.9)</w:t>
            </w:r>
          </w:p>
        </w:tc>
        <w:tc>
          <w:tcPr>
            <w:tcW w:w="1670" w:type="dxa"/>
            <w:tcBorders>
              <w:top w:val="nil"/>
              <w:left w:val="nil"/>
              <w:bottom w:val="nil"/>
              <w:right w:val="nil"/>
            </w:tcBorders>
            <w:shd w:val="clear" w:color="auto" w:fill="auto"/>
            <w:noWrap/>
            <w:hideMark/>
          </w:tcPr>
          <w:p w14:paraId="67316692"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1.03 (0.87–1.22)</w:t>
            </w:r>
          </w:p>
        </w:tc>
        <w:tc>
          <w:tcPr>
            <w:tcW w:w="960" w:type="dxa"/>
            <w:tcBorders>
              <w:top w:val="nil"/>
              <w:left w:val="nil"/>
              <w:bottom w:val="nil"/>
              <w:right w:val="nil"/>
            </w:tcBorders>
            <w:shd w:val="clear" w:color="auto" w:fill="auto"/>
            <w:noWrap/>
            <w:hideMark/>
          </w:tcPr>
          <w:p w14:paraId="6D38E4AD"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0.72</w:t>
            </w:r>
          </w:p>
        </w:tc>
      </w:tr>
      <w:tr w:rsidR="00461005" w:rsidRPr="005A76B0" w14:paraId="5F33F43D" w14:textId="77777777" w:rsidTr="00F253FB">
        <w:trPr>
          <w:trHeight w:val="300"/>
        </w:trPr>
        <w:tc>
          <w:tcPr>
            <w:tcW w:w="3828" w:type="dxa"/>
            <w:tcBorders>
              <w:top w:val="nil"/>
              <w:left w:val="nil"/>
              <w:bottom w:val="nil"/>
              <w:right w:val="nil"/>
            </w:tcBorders>
            <w:shd w:val="clear" w:color="auto" w:fill="auto"/>
            <w:hideMark/>
          </w:tcPr>
          <w:p w14:paraId="18A2D80C" w14:textId="77777777" w:rsidR="00461005" w:rsidRPr="005A76B0" w:rsidRDefault="00461005" w:rsidP="00BA1D80">
            <w:pPr>
              <w:spacing w:after="0" w:line="480" w:lineRule="auto"/>
              <w:rPr>
                <w:rFonts w:ascii="Arial" w:eastAsia="Times New Roman" w:hAnsi="Arial" w:cs="Arial"/>
                <w:color w:val="000000"/>
                <w:sz w:val="18"/>
                <w:szCs w:val="18"/>
                <w:lang w:eastAsia="en-GB"/>
              </w:rPr>
            </w:pPr>
            <w:r w:rsidRPr="005A76B0">
              <w:rPr>
                <w:rFonts w:ascii="Arial" w:eastAsia="Times New Roman" w:hAnsi="Arial" w:cs="Arial"/>
                <w:color w:val="000000"/>
                <w:sz w:val="18"/>
                <w:szCs w:val="18"/>
                <w:lang w:eastAsia="en-GB"/>
              </w:rPr>
              <w:t>Myocardial infarction</w:t>
            </w:r>
          </w:p>
        </w:tc>
        <w:tc>
          <w:tcPr>
            <w:tcW w:w="1275" w:type="dxa"/>
            <w:tcBorders>
              <w:top w:val="nil"/>
              <w:left w:val="nil"/>
              <w:bottom w:val="nil"/>
              <w:right w:val="nil"/>
            </w:tcBorders>
            <w:shd w:val="clear" w:color="auto" w:fill="auto"/>
            <w:noWrap/>
            <w:hideMark/>
          </w:tcPr>
          <w:p w14:paraId="3A470B18"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265 (3.2)</w:t>
            </w:r>
          </w:p>
        </w:tc>
        <w:tc>
          <w:tcPr>
            <w:tcW w:w="1166" w:type="dxa"/>
            <w:tcBorders>
              <w:top w:val="nil"/>
              <w:left w:val="nil"/>
              <w:bottom w:val="nil"/>
              <w:right w:val="nil"/>
            </w:tcBorders>
            <w:shd w:val="clear" w:color="auto" w:fill="auto"/>
            <w:noWrap/>
            <w:hideMark/>
          </w:tcPr>
          <w:p w14:paraId="52815D2D"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278 (3.4)</w:t>
            </w:r>
          </w:p>
        </w:tc>
        <w:tc>
          <w:tcPr>
            <w:tcW w:w="1670" w:type="dxa"/>
            <w:tcBorders>
              <w:top w:val="nil"/>
              <w:left w:val="nil"/>
              <w:bottom w:val="nil"/>
              <w:right w:val="nil"/>
            </w:tcBorders>
            <w:shd w:val="clear" w:color="auto" w:fill="auto"/>
            <w:noWrap/>
            <w:hideMark/>
          </w:tcPr>
          <w:p w14:paraId="47E06FCC"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0.95 (0.80–1.12)</w:t>
            </w:r>
          </w:p>
        </w:tc>
        <w:tc>
          <w:tcPr>
            <w:tcW w:w="960" w:type="dxa"/>
            <w:tcBorders>
              <w:top w:val="nil"/>
              <w:left w:val="nil"/>
              <w:bottom w:val="nil"/>
              <w:right w:val="nil"/>
            </w:tcBorders>
            <w:shd w:val="clear" w:color="auto" w:fill="auto"/>
            <w:noWrap/>
            <w:hideMark/>
          </w:tcPr>
          <w:p w14:paraId="082DC6E5"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0.52</w:t>
            </w:r>
          </w:p>
        </w:tc>
      </w:tr>
      <w:tr w:rsidR="00461005" w:rsidRPr="005A76B0" w14:paraId="1C9B6E44" w14:textId="77777777" w:rsidTr="00F253FB">
        <w:trPr>
          <w:trHeight w:val="300"/>
        </w:trPr>
        <w:tc>
          <w:tcPr>
            <w:tcW w:w="3828" w:type="dxa"/>
            <w:tcBorders>
              <w:top w:val="nil"/>
              <w:left w:val="nil"/>
              <w:bottom w:val="nil"/>
              <w:right w:val="nil"/>
            </w:tcBorders>
            <w:shd w:val="clear" w:color="auto" w:fill="auto"/>
            <w:hideMark/>
          </w:tcPr>
          <w:p w14:paraId="672DB913" w14:textId="77777777" w:rsidR="00461005" w:rsidRPr="005A76B0" w:rsidRDefault="00461005" w:rsidP="00BA1D80">
            <w:pPr>
              <w:spacing w:after="0" w:line="480" w:lineRule="auto"/>
              <w:rPr>
                <w:rFonts w:ascii="Arial" w:eastAsia="Times New Roman" w:hAnsi="Arial" w:cs="Arial"/>
                <w:color w:val="000000"/>
                <w:sz w:val="18"/>
                <w:szCs w:val="18"/>
                <w:lang w:eastAsia="en-GB"/>
              </w:rPr>
            </w:pPr>
            <w:r w:rsidRPr="005A76B0">
              <w:rPr>
                <w:rFonts w:ascii="Arial" w:eastAsia="Times New Roman" w:hAnsi="Arial" w:cs="Arial"/>
                <w:color w:val="000000"/>
                <w:sz w:val="18"/>
                <w:szCs w:val="18"/>
                <w:lang w:eastAsia="en-GB"/>
              </w:rPr>
              <w:t>Ischemic stroke</w:t>
            </w:r>
          </w:p>
        </w:tc>
        <w:tc>
          <w:tcPr>
            <w:tcW w:w="1275" w:type="dxa"/>
            <w:tcBorders>
              <w:top w:val="nil"/>
              <w:left w:val="nil"/>
              <w:bottom w:val="nil"/>
              <w:right w:val="nil"/>
            </w:tcBorders>
            <w:shd w:val="clear" w:color="auto" w:fill="auto"/>
            <w:noWrap/>
            <w:hideMark/>
          </w:tcPr>
          <w:p w14:paraId="602203D6"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157 (1.9)</w:t>
            </w:r>
          </w:p>
        </w:tc>
        <w:tc>
          <w:tcPr>
            <w:tcW w:w="1166" w:type="dxa"/>
            <w:tcBorders>
              <w:top w:val="nil"/>
              <w:left w:val="nil"/>
              <w:bottom w:val="nil"/>
              <w:right w:val="nil"/>
            </w:tcBorders>
            <w:shd w:val="clear" w:color="auto" w:fill="auto"/>
            <w:noWrap/>
            <w:hideMark/>
          </w:tcPr>
          <w:p w14:paraId="13FA2533"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141 (1.7)</w:t>
            </w:r>
          </w:p>
        </w:tc>
        <w:tc>
          <w:tcPr>
            <w:tcW w:w="1670" w:type="dxa"/>
            <w:tcBorders>
              <w:top w:val="nil"/>
              <w:left w:val="nil"/>
              <w:bottom w:val="nil"/>
              <w:right w:val="nil"/>
            </w:tcBorders>
            <w:shd w:val="clear" w:color="auto" w:fill="auto"/>
            <w:noWrap/>
            <w:hideMark/>
          </w:tcPr>
          <w:p w14:paraId="7E71E40C"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1.11 (0.88–1.39)</w:t>
            </w:r>
          </w:p>
        </w:tc>
        <w:tc>
          <w:tcPr>
            <w:tcW w:w="960" w:type="dxa"/>
            <w:tcBorders>
              <w:top w:val="nil"/>
              <w:left w:val="nil"/>
              <w:bottom w:val="nil"/>
              <w:right w:val="nil"/>
            </w:tcBorders>
            <w:shd w:val="clear" w:color="auto" w:fill="auto"/>
            <w:noWrap/>
            <w:hideMark/>
          </w:tcPr>
          <w:p w14:paraId="7246AE59"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0.38</w:t>
            </w:r>
          </w:p>
        </w:tc>
      </w:tr>
      <w:tr w:rsidR="00461005" w:rsidRPr="005A76B0" w14:paraId="14071622" w14:textId="77777777" w:rsidTr="00F253FB">
        <w:trPr>
          <w:trHeight w:val="300"/>
        </w:trPr>
        <w:tc>
          <w:tcPr>
            <w:tcW w:w="3828" w:type="dxa"/>
            <w:tcBorders>
              <w:top w:val="nil"/>
              <w:left w:val="nil"/>
              <w:bottom w:val="nil"/>
              <w:right w:val="nil"/>
            </w:tcBorders>
            <w:shd w:val="clear" w:color="auto" w:fill="auto"/>
            <w:hideMark/>
          </w:tcPr>
          <w:p w14:paraId="11E1E9C4" w14:textId="77777777" w:rsidR="00461005" w:rsidRPr="005A76B0" w:rsidRDefault="00461005" w:rsidP="00BA1D80">
            <w:pPr>
              <w:spacing w:after="0" w:line="480" w:lineRule="auto"/>
              <w:rPr>
                <w:rFonts w:ascii="Arial" w:eastAsia="Times New Roman" w:hAnsi="Arial" w:cs="Arial"/>
                <w:color w:val="000000"/>
                <w:sz w:val="18"/>
                <w:szCs w:val="18"/>
                <w:lang w:eastAsia="en-GB"/>
              </w:rPr>
            </w:pPr>
            <w:r w:rsidRPr="005A76B0">
              <w:rPr>
                <w:rFonts w:ascii="Arial" w:eastAsia="Times New Roman" w:hAnsi="Arial" w:cs="Arial"/>
                <w:color w:val="000000"/>
                <w:sz w:val="18"/>
                <w:szCs w:val="18"/>
                <w:lang w:eastAsia="en-GB"/>
              </w:rPr>
              <w:t>Hospitalization for unstable angina</w:t>
            </w:r>
          </w:p>
        </w:tc>
        <w:tc>
          <w:tcPr>
            <w:tcW w:w="1275" w:type="dxa"/>
            <w:tcBorders>
              <w:top w:val="nil"/>
              <w:left w:val="nil"/>
              <w:bottom w:val="nil"/>
              <w:right w:val="nil"/>
            </w:tcBorders>
            <w:shd w:val="clear" w:color="auto" w:fill="auto"/>
            <w:noWrap/>
            <w:hideMark/>
          </w:tcPr>
          <w:p w14:paraId="22D1CD7C"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97 (1.2)</w:t>
            </w:r>
          </w:p>
        </w:tc>
        <w:tc>
          <w:tcPr>
            <w:tcW w:w="1166" w:type="dxa"/>
            <w:tcBorders>
              <w:top w:val="nil"/>
              <w:left w:val="nil"/>
              <w:bottom w:val="nil"/>
              <w:right w:val="nil"/>
            </w:tcBorders>
            <w:shd w:val="clear" w:color="auto" w:fill="auto"/>
            <w:noWrap/>
            <w:hideMark/>
          </w:tcPr>
          <w:p w14:paraId="65C4DA3F"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81 (1.0)</w:t>
            </w:r>
          </w:p>
        </w:tc>
        <w:tc>
          <w:tcPr>
            <w:tcW w:w="1670" w:type="dxa"/>
            <w:tcBorders>
              <w:top w:val="nil"/>
              <w:left w:val="nil"/>
              <w:bottom w:val="nil"/>
              <w:right w:val="nil"/>
            </w:tcBorders>
            <w:shd w:val="clear" w:color="auto" w:fill="auto"/>
            <w:noWrap/>
            <w:hideMark/>
          </w:tcPr>
          <w:p w14:paraId="4BF598AC"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1.19 (0.89–1.60)</w:t>
            </w:r>
          </w:p>
        </w:tc>
        <w:tc>
          <w:tcPr>
            <w:tcW w:w="960" w:type="dxa"/>
            <w:tcBorders>
              <w:top w:val="nil"/>
              <w:left w:val="nil"/>
              <w:bottom w:val="nil"/>
              <w:right w:val="nil"/>
            </w:tcBorders>
            <w:shd w:val="clear" w:color="auto" w:fill="auto"/>
            <w:noWrap/>
            <w:hideMark/>
          </w:tcPr>
          <w:p w14:paraId="27EEED01"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0.24</w:t>
            </w:r>
          </w:p>
        </w:tc>
      </w:tr>
      <w:tr w:rsidR="00461005" w:rsidRPr="005A76B0" w14:paraId="24F941C1" w14:textId="77777777" w:rsidTr="00F253FB">
        <w:trPr>
          <w:trHeight w:val="300"/>
        </w:trPr>
        <w:tc>
          <w:tcPr>
            <w:tcW w:w="3828" w:type="dxa"/>
            <w:tcBorders>
              <w:top w:val="nil"/>
              <w:left w:val="nil"/>
              <w:bottom w:val="nil"/>
              <w:right w:val="nil"/>
            </w:tcBorders>
            <w:shd w:val="clear" w:color="auto" w:fill="auto"/>
            <w:hideMark/>
          </w:tcPr>
          <w:p w14:paraId="6EE8D6DD" w14:textId="77777777" w:rsidR="00461005" w:rsidRPr="005A76B0" w:rsidRDefault="00461005" w:rsidP="00BA1D80">
            <w:pPr>
              <w:spacing w:after="0" w:line="480" w:lineRule="auto"/>
              <w:rPr>
                <w:rFonts w:ascii="Arial" w:eastAsia="Times New Roman" w:hAnsi="Arial" w:cs="Arial"/>
                <w:color w:val="000000"/>
                <w:sz w:val="18"/>
                <w:szCs w:val="18"/>
                <w:lang w:eastAsia="en-GB"/>
              </w:rPr>
            </w:pPr>
            <w:r w:rsidRPr="005A76B0">
              <w:rPr>
                <w:rFonts w:ascii="Arial" w:eastAsia="Times New Roman" w:hAnsi="Arial" w:cs="Arial"/>
                <w:color w:val="000000"/>
                <w:sz w:val="18"/>
                <w:szCs w:val="18"/>
                <w:lang w:eastAsia="en-GB"/>
              </w:rPr>
              <w:t>Hospitalization for heart failure</w:t>
            </w:r>
          </w:p>
        </w:tc>
        <w:tc>
          <w:tcPr>
            <w:tcW w:w="1275" w:type="dxa"/>
            <w:tcBorders>
              <w:top w:val="nil"/>
              <w:left w:val="nil"/>
              <w:bottom w:val="nil"/>
              <w:right w:val="nil"/>
            </w:tcBorders>
            <w:shd w:val="clear" w:color="auto" w:fill="auto"/>
            <w:noWrap/>
            <w:hideMark/>
          </w:tcPr>
          <w:p w14:paraId="7587C52F"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289 (3.5)</w:t>
            </w:r>
          </w:p>
        </w:tc>
        <w:tc>
          <w:tcPr>
            <w:tcW w:w="1166" w:type="dxa"/>
            <w:tcBorders>
              <w:top w:val="nil"/>
              <w:left w:val="nil"/>
              <w:bottom w:val="nil"/>
              <w:right w:val="nil"/>
            </w:tcBorders>
            <w:shd w:val="clear" w:color="auto" w:fill="auto"/>
            <w:noWrap/>
            <w:hideMark/>
          </w:tcPr>
          <w:p w14:paraId="74A4814D"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228 (2.8)</w:t>
            </w:r>
          </w:p>
        </w:tc>
        <w:tc>
          <w:tcPr>
            <w:tcW w:w="1670" w:type="dxa"/>
            <w:tcBorders>
              <w:top w:val="nil"/>
              <w:left w:val="nil"/>
              <w:bottom w:val="nil"/>
              <w:right w:val="nil"/>
            </w:tcBorders>
            <w:shd w:val="clear" w:color="auto" w:fill="auto"/>
            <w:noWrap/>
            <w:hideMark/>
          </w:tcPr>
          <w:p w14:paraId="66015018"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1.27 (1.07–1.51)</w:t>
            </w:r>
          </w:p>
        </w:tc>
        <w:tc>
          <w:tcPr>
            <w:tcW w:w="960" w:type="dxa"/>
            <w:tcBorders>
              <w:top w:val="nil"/>
              <w:left w:val="nil"/>
              <w:bottom w:val="nil"/>
              <w:right w:val="nil"/>
            </w:tcBorders>
            <w:shd w:val="clear" w:color="auto" w:fill="auto"/>
            <w:noWrap/>
            <w:hideMark/>
          </w:tcPr>
          <w:p w14:paraId="5B6AA2ED"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0.007</w:t>
            </w:r>
          </w:p>
        </w:tc>
      </w:tr>
      <w:tr w:rsidR="00461005" w:rsidRPr="005A76B0" w14:paraId="10EAD2FF" w14:textId="77777777" w:rsidTr="00F253FB">
        <w:trPr>
          <w:trHeight w:val="300"/>
        </w:trPr>
        <w:tc>
          <w:tcPr>
            <w:tcW w:w="3828" w:type="dxa"/>
            <w:tcBorders>
              <w:top w:val="nil"/>
              <w:left w:val="nil"/>
              <w:bottom w:val="nil"/>
              <w:right w:val="nil"/>
            </w:tcBorders>
            <w:shd w:val="clear" w:color="auto" w:fill="auto"/>
            <w:hideMark/>
          </w:tcPr>
          <w:p w14:paraId="095C52EC" w14:textId="77777777" w:rsidR="00461005" w:rsidRPr="005A76B0" w:rsidRDefault="00461005" w:rsidP="00BA1D80">
            <w:pPr>
              <w:spacing w:after="0" w:line="480" w:lineRule="auto"/>
              <w:rPr>
                <w:rFonts w:ascii="Arial" w:eastAsia="Times New Roman" w:hAnsi="Arial" w:cs="Arial"/>
                <w:color w:val="000000"/>
                <w:sz w:val="18"/>
                <w:szCs w:val="18"/>
                <w:lang w:eastAsia="en-GB"/>
              </w:rPr>
            </w:pPr>
            <w:r w:rsidRPr="005A76B0">
              <w:rPr>
                <w:rFonts w:ascii="Arial" w:eastAsia="Times New Roman" w:hAnsi="Arial" w:cs="Arial"/>
                <w:color w:val="000000"/>
                <w:sz w:val="18"/>
                <w:szCs w:val="18"/>
                <w:lang w:eastAsia="en-GB"/>
              </w:rPr>
              <w:t>Hospitalization for coronary revascularization</w:t>
            </w:r>
          </w:p>
        </w:tc>
        <w:tc>
          <w:tcPr>
            <w:tcW w:w="1275" w:type="dxa"/>
            <w:tcBorders>
              <w:top w:val="nil"/>
              <w:left w:val="nil"/>
              <w:bottom w:val="nil"/>
              <w:right w:val="nil"/>
            </w:tcBorders>
            <w:shd w:val="clear" w:color="auto" w:fill="auto"/>
            <w:noWrap/>
            <w:hideMark/>
          </w:tcPr>
          <w:p w14:paraId="35E5D7FD"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423 (5.2)</w:t>
            </w:r>
          </w:p>
        </w:tc>
        <w:tc>
          <w:tcPr>
            <w:tcW w:w="1166" w:type="dxa"/>
            <w:tcBorders>
              <w:top w:val="nil"/>
              <w:left w:val="nil"/>
              <w:bottom w:val="nil"/>
              <w:right w:val="nil"/>
            </w:tcBorders>
            <w:shd w:val="clear" w:color="auto" w:fill="auto"/>
            <w:noWrap/>
            <w:hideMark/>
          </w:tcPr>
          <w:p w14:paraId="4D9BDDD9"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459 (5.6)</w:t>
            </w:r>
          </w:p>
        </w:tc>
        <w:tc>
          <w:tcPr>
            <w:tcW w:w="1670" w:type="dxa"/>
            <w:tcBorders>
              <w:top w:val="nil"/>
              <w:left w:val="nil"/>
              <w:bottom w:val="nil"/>
              <w:right w:val="nil"/>
            </w:tcBorders>
            <w:shd w:val="clear" w:color="auto" w:fill="auto"/>
            <w:noWrap/>
            <w:hideMark/>
          </w:tcPr>
          <w:p w14:paraId="6F9ABEF9"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0.91 (0.80–1.04)</w:t>
            </w:r>
          </w:p>
        </w:tc>
        <w:tc>
          <w:tcPr>
            <w:tcW w:w="960" w:type="dxa"/>
            <w:tcBorders>
              <w:top w:val="nil"/>
              <w:left w:val="nil"/>
              <w:bottom w:val="nil"/>
              <w:right w:val="nil"/>
            </w:tcBorders>
            <w:shd w:val="clear" w:color="auto" w:fill="auto"/>
            <w:noWrap/>
            <w:hideMark/>
          </w:tcPr>
          <w:p w14:paraId="1E9D3AF0"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0.18</w:t>
            </w:r>
          </w:p>
        </w:tc>
      </w:tr>
      <w:tr w:rsidR="00461005" w:rsidRPr="005A76B0" w14:paraId="4E8342E0" w14:textId="77777777" w:rsidTr="00F253FB">
        <w:trPr>
          <w:trHeight w:val="465"/>
        </w:trPr>
        <w:tc>
          <w:tcPr>
            <w:tcW w:w="3828" w:type="dxa"/>
            <w:tcBorders>
              <w:top w:val="nil"/>
              <w:left w:val="nil"/>
              <w:bottom w:val="nil"/>
              <w:right w:val="nil"/>
            </w:tcBorders>
            <w:shd w:val="clear" w:color="auto" w:fill="auto"/>
            <w:hideMark/>
          </w:tcPr>
          <w:p w14:paraId="1BAD30E5" w14:textId="77777777" w:rsidR="00461005" w:rsidRPr="005A76B0" w:rsidRDefault="00461005" w:rsidP="00BA1D80">
            <w:pPr>
              <w:spacing w:after="0" w:line="480" w:lineRule="auto"/>
              <w:ind w:left="176" w:hanging="176"/>
              <w:rPr>
                <w:rFonts w:ascii="Arial" w:eastAsia="Times New Roman" w:hAnsi="Arial" w:cs="Arial"/>
                <w:color w:val="000000"/>
                <w:sz w:val="18"/>
                <w:szCs w:val="18"/>
                <w:lang w:eastAsia="en-GB"/>
              </w:rPr>
            </w:pPr>
            <w:r w:rsidRPr="005A76B0">
              <w:rPr>
                <w:rFonts w:ascii="Arial" w:eastAsia="Times New Roman" w:hAnsi="Arial" w:cs="Arial"/>
                <w:color w:val="000000"/>
                <w:sz w:val="18"/>
                <w:szCs w:val="18"/>
                <w:lang w:eastAsia="en-GB"/>
              </w:rPr>
              <w:t xml:space="preserve">Doubling of creatinine level, initiation of dialysis, renal transplantation, or creatinine &gt;6.0 mg/dl (530 </w:t>
            </w:r>
            <w:proofErr w:type="spellStart"/>
            <w:r w:rsidRPr="005A76B0">
              <w:rPr>
                <w:rFonts w:ascii="Arial" w:eastAsia="Times New Roman" w:hAnsi="Arial" w:cs="Arial"/>
                <w:color w:val="000000"/>
                <w:sz w:val="18"/>
                <w:szCs w:val="18"/>
                <w:lang w:eastAsia="en-GB"/>
              </w:rPr>
              <w:t>μmol</w:t>
            </w:r>
            <w:proofErr w:type="spellEnd"/>
            <w:r w:rsidRPr="005A76B0">
              <w:rPr>
                <w:rFonts w:ascii="Arial" w:eastAsia="Times New Roman" w:hAnsi="Arial" w:cs="Arial"/>
                <w:color w:val="000000"/>
                <w:sz w:val="18"/>
                <w:szCs w:val="18"/>
                <w:lang w:eastAsia="en-GB"/>
              </w:rPr>
              <w:t>/</w:t>
            </w:r>
            <w:proofErr w:type="spellStart"/>
            <w:r w:rsidRPr="005A76B0">
              <w:rPr>
                <w:rFonts w:ascii="Arial" w:eastAsia="Times New Roman" w:hAnsi="Arial" w:cs="Arial"/>
                <w:color w:val="000000"/>
                <w:sz w:val="18"/>
                <w:szCs w:val="18"/>
                <w:lang w:eastAsia="en-GB"/>
              </w:rPr>
              <w:t>liter</w:t>
            </w:r>
            <w:proofErr w:type="spellEnd"/>
            <w:r w:rsidRPr="005A76B0">
              <w:rPr>
                <w:rFonts w:ascii="Arial" w:eastAsia="Times New Roman" w:hAnsi="Arial" w:cs="Arial"/>
                <w:color w:val="000000"/>
                <w:sz w:val="18"/>
                <w:szCs w:val="18"/>
                <w:lang w:eastAsia="en-GB"/>
              </w:rPr>
              <w:t>)</w:t>
            </w:r>
          </w:p>
        </w:tc>
        <w:tc>
          <w:tcPr>
            <w:tcW w:w="1275" w:type="dxa"/>
            <w:tcBorders>
              <w:top w:val="nil"/>
              <w:left w:val="nil"/>
              <w:bottom w:val="nil"/>
              <w:right w:val="nil"/>
            </w:tcBorders>
            <w:shd w:val="clear" w:color="auto" w:fill="auto"/>
            <w:noWrap/>
            <w:hideMark/>
          </w:tcPr>
          <w:p w14:paraId="5E3973C4"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194 (2.2)</w:t>
            </w:r>
          </w:p>
        </w:tc>
        <w:tc>
          <w:tcPr>
            <w:tcW w:w="1166" w:type="dxa"/>
            <w:tcBorders>
              <w:top w:val="nil"/>
              <w:left w:val="nil"/>
              <w:bottom w:val="nil"/>
              <w:right w:val="nil"/>
            </w:tcBorders>
            <w:shd w:val="clear" w:color="auto" w:fill="auto"/>
            <w:noWrap/>
            <w:hideMark/>
          </w:tcPr>
          <w:p w14:paraId="5D1B1758"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178 (2.0)</w:t>
            </w:r>
          </w:p>
        </w:tc>
        <w:tc>
          <w:tcPr>
            <w:tcW w:w="1670" w:type="dxa"/>
            <w:tcBorders>
              <w:top w:val="nil"/>
              <w:left w:val="nil"/>
              <w:bottom w:val="nil"/>
              <w:right w:val="nil"/>
            </w:tcBorders>
            <w:shd w:val="clear" w:color="auto" w:fill="auto"/>
            <w:noWrap/>
            <w:hideMark/>
          </w:tcPr>
          <w:p w14:paraId="735B6F72"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1.08 (0.88–1.32)</w:t>
            </w:r>
          </w:p>
        </w:tc>
        <w:tc>
          <w:tcPr>
            <w:tcW w:w="960" w:type="dxa"/>
            <w:tcBorders>
              <w:top w:val="nil"/>
              <w:left w:val="nil"/>
              <w:bottom w:val="nil"/>
              <w:right w:val="nil"/>
            </w:tcBorders>
            <w:shd w:val="clear" w:color="auto" w:fill="auto"/>
            <w:noWrap/>
            <w:hideMark/>
          </w:tcPr>
          <w:p w14:paraId="15CF5882"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0.46</w:t>
            </w:r>
          </w:p>
        </w:tc>
      </w:tr>
      <w:tr w:rsidR="00461005" w:rsidRPr="005A76B0" w14:paraId="381249E6" w14:textId="77777777" w:rsidTr="00F253FB">
        <w:trPr>
          <w:trHeight w:val="300"/>
        </w:trPr>
        <w:tc>
          <w:tcPr>
            <w:tcW w:w="3828" w:type="dxa"/>
            <w:tcBorders>
              <w:top w:val="nil"/>
              <w:left w:val="nil"/>
              <w:bottom w:val="nil"/>
              <w:right w:val="nil"/>
            </w:tcBorders>
            <w:shd w:val="clear" w:color="auto" w:fill="auto"/>
            <w:hideMark/>
          </w:tcPr>
          <w:p w14:paraId="1CA96870" w14:textId="77777777" w:rsidR="00461005" w:rsidRPr="005A76B0" w:rsidRDefault="00461005" w:rsidP="00BA1D80">
            <w:pPr>
              <w:spacing w:after="0" w:line="480" w:lineRule="auto"/>
              <w:rPr>
                <w:rFonts w:ascii="Arial" w:eastAsia="Times New Roman" w:hAnsi="Arial" w:cs="Arial"/>
                <w:color w:val="000000"/>
                <w:sz w:val="18"/>
                <w:szCs w:val="18"/>
                <w:lang w:eastAsia="en-GB"/>
              </w:rPr>
            </w:pPr>
            <w:r w:rsidRPr="005A76B0">
              <w:rPr>
                <w:rFonts w:ascii="Arial" w:eastAsia="Times New Roman" w:hAnsi="Arial" w:cs="Arial"/>
                <w:color w:val="000000"/>
                <w:sz w:val="18"/>
                <w:szCs w:val="18"/>
                <w:lang w:eastAsia="en-GB"/>
              </w:rPr>
              <w:t xml:space="preserve">Hospitalization for </w:t>
            </w:r>
            <w:proofErr w:type="spellStart"/>
            <w:r w:rsidRPr="005A76B0">
              <w:rPr>
                <w:rFonts w:ascii="Arial" w:eastAsia="Times New Roman" w:hAnsi="Arial" w:cs="Arial"/>
                <w:color w:val="000000"/>
                <w:sz w:val="18"/>
                <w:szCs w:val="18"/>
                <w:lang w:eastAsia="en-GB"/>
              </w:rPr>
              <w:t>hypoglycemia</w:t>
            </w:r>
            <w:proofErr w:type="spellEnd"/>
          </w:p>
        </w:tc>
        <w:tc>
          <w:tcPr>
            <w:tcW w:w="1275" w:type="dxa"/>
            <w:tcBorders>
              <w:top w:val="nil"/>
              <w:left w:val="nil"/>
              <w:bottom w:val="nil"/>
              <w:right w:val="nil"/>
            </w:tcBorders>
            <w:shd w:val="clear" w:color="auto" w:fill="auto"/>
            <w:noWrap/>
            <w:hideMark/>
          </w:tcPr>
          <w:p w14:paraId="2A185B18"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53 (0.6)</w:t>
            </w:r>
          </w:p>
        </w:tc>
        <w:tc>
          <w:tcPr>
            <w:tcW w:w="1166" w:type="dxa"/>
            <w:tcBorders>
              <w:top w:val="nil"/>
              <w:left w:val="nil"/>
              <w:bottom w:val="nil"/>
              <w:right w:val="nil"/>
            </w:tcBorders>
            <w:shd w:val="clear" w:color="auto" w:fill="auto"/>
            <w:noWrap/>
            <w:hideMark/>
          </w:tcPr>
          <w:p w14:paraId="036B695C"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43 (0.5)</w:t>
            </w:r>
          </w:p>
        </w:tc>
        <w:tc>
          <w:tcPr>
            <w:tcW w:w="1670" w:type="dxa"/>
            <w:tcBorders>
              <w:top w:val="nil"/>
              <w:left w:val="nil"/>
              <w:bottom w:val="nil"/>
              <w:right w:val="nil"/>
            </w:tcBorders>
            <w:shd w:val="clear" w:color="auto" w:fill="auto"/>
            <w:noWrap/>
            <w:hideMark/>
          </w:tcPr>
          <w:p w14:paraId="4AB5A665"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1.22 (0.82–1.83)</w:t>
            </w:r>
          </w:p>
        </w:tc>
        <w:tc>
          <w:tcPr>
            <w:tcW w:w="960" w:type="dxa"/>
            <w:tcBorders>
              <w:top w:val="nil"/>
              <w:left w:val="nil"/>
              <w:bottom w:val="nil"/>
              <w:right w:val="nil"/>
            </w:tcBorders>
            <w:shd w:val="clear" w:color="auto" w:fill="auto"/>
            <w:noWrap/>
            <w:hideMark/>
          </w:tcPr>
          <w:p w14:paraId="35BD3E78" w14:textId="77777777" w:rsidR="00461005" w:rsidRPr="005A76B0" w:rsidRDefault="00461005" w:rsidP="00BA1D80">
            <w:pPr>
              <w:spacing w:after="0" w:line="480" w:lineRule="auto"/>
              <w:jc w:val="center"/>
              <w:rPr>
                <w:rFonts w:ascii="Arial" w:eastAsia="Times New Roman" w:hAnsi="Arial" w:cs="Arial"/>
                <w:sz w:val="18"/>
                <w:szCs w:val="18"/>
                <w:lang w:eastAsia="en-GB"/>
              </w:rPr>
            </w:pPr>
            <w:r w:rsidRPr="005A76B0">
              <w:rPr>
                <w:rFonts w:ascii="Arial" w:eastAsia="Times New Roman" w:hAnsi="Arial" w:cs="Arial"/>
                <w:color w:val="000000"/>
                <w:sz w:val="18"/>
                <w:szCs w:val="18"/>
                <w:lang w:eastAsia="en-GB"/>
              </w:rPr>
              <w:t>0.33</w:t>
            </w:r>
          </w:p>
        </w:tc>
      </w:tr>
    </w:tbl>
    <w:p w14:paraId="30A9E142" w14:textId="77777777" w:rsidR="00461005" w:rsidRDefault="00461005" w:rsidP="00461005"/>
    <w:p w14:paraId="00337F9D" w14:textId="0319D052" w:rsidR="001A36EA" w:rsidRPr="00461005" w:rsidRDefault="00461005" w:rsidP="00461005">
      <w:pPr>
        <w:rPr>
          <w:rFonts w:ascii="Arial" w:hAnsi="Arial" w:cs="Arial"/>
          <w:sz w:val="16"/>
          <w:szCs w:val="16"/>
        </w:rPr>
      </w:pPr>
      <w:r w:rsidRPr="00461005">
        <w:rPr>
          <w:rFonts w:ascii="Arial" w:hAnsi="Arial" w:cs="Arial"/>
          <w:sz w:val="16"/>
          <w:szCs w:val="16"/>
        </w:rPr>
        <w:t xml:space="preserve">* </w:t>
      </w:r>
      <w:r w:rsidR="009427F8">
        <w:rPr>
          <w:rFonts w:ascii="Arial" w:hAnsi="Arial" w:cs="Arial"/>
          <w:sz w:val="16"/>
          <w:szCs w:val="16"/>
        </w:rPr>
        <w:t>P</w:t>
      </w:r>
      <w:r w:rsidRPr="00461005">
        <w:rPr>
          <w:rFonts w:ascii="Arial" w:hAnsi="Arial" w:cs="Arial"/>
          <w:sz w:val="16"/>
          <w:szCs w:val="16"/>
        </w:rPr>
        <w:t>ercentages are 2-year Kaplan-Meier estimates.</w:t>
      </w:r>
      <w:r w:rsidR="001A36EA">
        <w:rPr>
          <w:rFonts w:ascii="Arial" w:hAnsi="Arial" w:cs="Arial"/>
          <w:sz w:val="16"/>
          <w:szCs w:val="16"/>
        </w:rPr>
        <w:t xml:space="preserve">  Source: </w:t>
      </w:r>
      <w:proofErr w:type="spellStart"/>
      <w:r w:rsidR="001A36EA" w:rsidRPr="001A36EA">
        <w:rPr>
          <w:rFonts w:ascii="Arial" w:hAnsi="Arial" w:cs="Arial"/>
          <w:sz w:val="16"/>
          <w:szCs w:val="16"/>
        </w:rPr>
        <w:t>Scirica</w:t>
      </w:r>
      <w:proofErr w:type="spellEnd"/>
      <w:r w:rsidR="001A36EA" w:rsidRPr="001A36EA">
        <w:rPr>
          <w:rFonts w:ascii="Arial" w:hAnsi="Arial" w:cs="Arial"/>
          <w:sz w:val="16"/>
          <w:szCs w:val="16"/>
        </w:rPr>
        <w:t xml:space="preserve"> BM, Bhatt DL, </w:t>
      </w:r>
      <w:proofErr w:type="spellStart"/>
      <w:r w:rsidR="001A36EA" w:rsidRPr="001A36EA">
        <w:rPr>
          <w:rFonts w:ascii="Arial" w:hAnsi="Arial" w:cs="Arial"/>
          <w:sz w:val="16"/>
          <w:szCs w:val="16"/>
        </w:rPr>
        <w:t>Braunwald</w:t>
      </w:r>
      <w:proofErr w:type="spellEnd"/>
      <w:r w:rsidR="001A36EA" w:rsidRPr="001A36EA">
        <w:rPr>
          <w:rFonts w:ascii="Arial" w:hAnsi="Arial" w:cs="Arial"/>
          <w:sz w:val="16"/>
          <w:szCs w:val="16"/>
        </w:rPr>
        <w:t xml:space="preserve"> E, et al. </w:t>
      </w:r>
      <w:proofErr w:type="spellStart"/>
      <w:r w:rsidR="001A36EA" w:rsidRPr="001A36EA">
        <w:rPr>
          <w:rFonts w:ascii="Arial" w:hAnsi="Arial" w:cs="Arial"/>
          <w:sz w:val="16"/>
          <w:szCs w:val="16"/>
        </w:rPr>
        <w:t>Saxagliptin</w:t>
      </w:r>
      <w:proofErr w:type="spellEnd"/>
      <w:r w:rsidR="001A36EA" w:rsidRPr="001A36EA">
        <w:rPr>
          <w:rFonts w:ascii="Arial" w:hAnsi="Arial" w:cs="Arial"/>
          <w:sz w:val="16"/>
          <w:szCs w:val="16"/>
        </w:rPr>
        <w:t xml:space="preserve"> and Cardiovascular Outcomes in Patients with Type 2 Diabetes Mellitus. New England Journal of Medicine 2013</w:t>
      </w:r>
      <w:proofErr w:type="gramStart"/>
      <w:r w:rsidR="001A36EA" w:rsidRPr="001A36EA">
        <w:rPr>
          <w:rFonts w:ascii="Arial" w:hAnsi="Arial" w:cs="Arial"/>
          <w:sz w:val="16"/>
          <w:szCs w:val="16"/>
        </w:rPr>
        <w:t>;369:1317</w:t>
      </w:r>
      <w:proofErr w:type="gramEnd"/>
      <w:r w:rsidR="001A36EA" w:rsidRPr="001A36EA">
        <w:rPr>
          <w:rFonts w:ascii="Arial" w:hAnsi="Arial" w:cs="Arial"/>
          <w:sz w:val="16"/>
          <w:szCs w:val="16"/>
        </w:rPr>
        <w:t>-1326.</w:t>
      </w:r>
    </w:p>
    <w:p w14:paraId="52B36D52" w14:textId="77777777" w:rsidR="00461005" w:rsidRDefault="00461005" w:rsidP="00461005"/>
    <w:p w14:paraId="4875C0FA" w14:textId="77777777" w:rsidR="00461005" w:rsidRDefault="0078555A" w:rsidP="00461005">
      <w:r>
        <w:t xml:space="preserve">Table 2 </w:t>
      </w:r>
      <w:r w:rsidR="00461005">
        <w:t>Caption: 2-year Kaplan-Meier estimates and hazard ratios (95% CIs) for prespecified clinical endpoints in the SAVOR-TIMI53 trial.</w:t>
      </w:r>
    </w:p>
    <w:p w14:paraId="6879050B" w14:textId="77777777" w:rsidR="00AB273E" w:rsidRDefault="00AB273E" w:rsidP="00FC69FD">
      <w:pPr>
        <w:spacing w:after="0" w:line="360" w:lineRule="auto"/>
        <w:rPr>
          <w:rFonts w:ascii="Arial" w:hAnsi="Arial" w:cs="Arial"/>
          <w:sz w:val="20"/>
          <w:szCs w:val="20"/>
        </w:rPr>
      </w:pPr>
    </w:p>
    <w:p w14:paraId="05C3691E" w14:textId="77777777" w:rsidR="00AB273E" w:rsidRPr="00C15105" w:rsidRDefault="00AB273E" w:rsidP="00FC69FD">
      <w:pPr>
        <w:spacing w:after="0" w:line="360" w:lineRule="auto"/>
        <w:rPr>
          <w:rFonts w:ascii="Arial" w:hAnsi="Arial" w:cs="Arial"/>
          <w:sz w:val="20"/>
          <w:szCs w:val="20"/>
        </w:rPr>
      </w:pPr>
    </w:p>
    <w:p w14:paraId="34A44983" w14:textId="77777777" w:rsidR="00FC69FD" w:rsidRDefault="00FC69FD" w:rsidP="00FC69FD">
      <w:pPr>
        <w:spacing w:after="0" w:line="360" w:lineRule="auto"/>
        <w:rPr>
          <w:rFonts w:ascii="Arial" w:hAnsi="Arial" w:cs="Arial"/>
          <w:sz w:val="24"/>
          <w:szCs w:val="24"/>
        </w:rPr>
      </w:pPr>
    </w:p>
    <w:p w14:paraId="1DA50779" w14:textId="77777777" w:rsidR="00FC69FD" w:rsidRDefault="00FC69FD" w:rsidP="00FC69FD">
      <w:pPr>
        <w:spacing w:after="0" w:line="360" w:lineRule="auto"/>
        <w:rPr>
          <w:rFonts w:ascii="Arial" w:hAnsi="Arial" w:cs="Arial"/>
          <w:sz w:val="24"/>
          <w:szCs w:val="24"/>
        </w:rPr>
      </w:pPr>
    </w:p>
    <w:p w14:paraId="5F1C8179" w14:textId="77777777" w:rsidR="00FC69FD" w:rsidRDefault="00FC69FD" w:rsidP="00FC69FD">
      <w:pPr>
        <w:spacing w:after="0" w:line="360" w:lineRule="auto"/>
        <w:rPr>
          <w:rFonts w:ascii="Arial" w:hAnsi="Arial" w:cs="Arial"/>
          <w:sz w:val="24"/>
          <w:szCs w:val="24"/>
        </w:rPr>
      </w:pPr>
    </w:p>
    <w:p w14:paraId="639FFAF6" w14:textId="77777777" w:rsidR="00FC69FD" w:rsidRDefault="00FC69FD" w:rsidP="00FC69FD">
      <w:pPr>
        <w:spacing w:after="0" w:line="360" w:lineRule="auto"/>
        <w:rPr>
          <w:rFonts w:ascii="Arial" w:hAnsi="Arial" w:cs="Arial"/>
          <w:sz w:val="24"/>
          <w:szCs w:val="24"/>
        </w:rPr>
      </w:pPr>
    </w:p>
    <w:p w14:paraId="0B6BA0D0" w14:textId="77777777" w:rsidR="00FC69FD" w:rsidRDefault="00FC69FD" w:rsidP="00FC69FD">
      <w:pPr>
        <w:spacing w:after="0" w:line="360" w:lineRule="auto"/>
        <w:rPr>
          <w:rFonts w:ascii="Arial" w:hAnsi="Arial" w:cs="Arial"/>
          <w:sz w:val="24"/>
          <w:szCs w:val="24"/>
        </w:rPr>
      </w:pPr>
    </w:p>
    <w:p w14:paraId="3B04FF30" w14:textId="77777777" w:rsidR="00FC69FD" w:rsidRDefault="00FC69FD" w:rsidP="00600AF5">
      <w:pPr>
        <w:spacing w:after="0" w:line="360" w:lineRule="auto"/>
        <w:jc w:val="center"/>
        <w:rPr>
          <w:rFonts w:ascii="Arial" w:hAnsi="Arial" w:cs="Arial"/>
          <w:sz w:val="20"/>
          <w:szCs w:val="20"/>
        </w:rPr>
      </w:pPr>
      <w:r w:rsidRPr="00720935">
        <w:rPr>
          <w:rFonts w:ascii="Arial" w:hAnsi="Arial" w:cs="Arial"/>
          <w:sz w:val="20"/>
          <w:szCs w:val="20"/>
        </w:rPr>
        <w:lastRenderedPageBreak/>
        <w:t>Table 3</w:t>
      </w:r>
      <w:r>
        <w:rPr>
          <w:rFonts w:ascii="Arial" w:hAnsi="Arial" w:cs="Arial"/>
          <w:sz w:val="20"/>
          <w:szCs w:val="20"/>
        </w:rPr>
        <w:t xml:space="preserve">. </w:t>
      </w:r>
      <w:r w:rsidRPr="00720935">
        <w:rPr>
          <w:rFonts w:ascii="Arial" w:hAnsi="Arial" w:cs="Arial"/>
          <w:sz w:val="20"/>
          <w:szCs w:val="20"/>
        </w:rPr>
        <w:t>Estimates based on the comparison of two percentages, illustrated by the primary outcome* of the CHAMPION-PHOENIX trial</w:t>
      </w:r>
    </w:p>
    <w:p w14:paraId="49BEB40C" w14:textId="77777777" w:rsidR="00FC69FD" w:rsidRPr="00720935" w:rsidRDefault="00FC69FD" w:rsidP="00FC69FD">
      <w:pPr>
        <w:spacing w:after="0" w:line="360" w:lineRule="auto"/>
        <w:rPr>
          <w:rFonts w:ascii="Arial" w:hAnsi="Arial" w:cs="Arial"/>
          <w:sz w:val="20"/>
          <w:szCs w:val="2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559"/>
        <w:gridCol w:w="2126"/>
      </w:tblGrid>
      <w:tr w:rsidR="00FC69FD" w:rsidRPr="003E6737" w14:paraId="1FDFEF14" w14:textId="77777777" w:rsidTr="00FC69FD">
        <w:tc>
          <w:tcPr>
            <w:tcW w:w="3369" w:type="dxa"/>
          </w:tcPr>
          <w:p w14:paraId="340E0182" w14:textId="77777777" w:rsidR="00FC69FD" w:rsidRPr="003E6737" w:rsidRDefault="00FC69FD" w:rsidP="00FC69FD">
            <w:pPr>
              <w:spacing w:line="360" w:lineRule="auto"/>
              <w:jc w:val="both"/>
              <w:rPr>
                <w:rFonts w:ascii="Arial" w:hAnsi="Arial" w:cs="Arial"/>
                <w:sz w:val="20"/>
                <w:szCs w:val="20"/>
              </w:rPr>
            </w:pPr>
          </w:p>
        </w:tc>
        <w:tc>
          <w:tcPr>
            <w:tcW w:w="1559" w:type="dxa"/>
          </w:tcPr>
          <w:p w14:paraId="185CA734" w14:textId="77777777" w:rsidR="00FC69FD" w:rsidRPr="00DF6FAE" w:rsidRDefault="00FC69FD" w:rsidP="00FC69FD">
            <w:pPr>
              <w:spacing w:line="360" w:lineRule="auto"/>
              <w:jc w:val="center"/>
              <w:rPr>
                <w:rFonts w:ascii="Arial" w:hAnsi="Arial" w:cs="Arial"/>
                <w:b/>
                <w:sz w:val="20"/>
                <w:szCs w:val="20"/>
              </w:rPr>
            </w:pPr>
            <w:r w:rsidRPr="00DF6FAE">
              <w:rPr>
                <w:rFonts w:ascii="Arial" w:hAnsi="Arial" w:cs="Arial"/>
                <w:b/>
                <w:sz w:val="20"/>
                <w:szCs w:val="20"/>
              </w:rPr>
              <w:t>cangrelor</w:t>
            </w:r>
          </w:p>
        </w:tc>
        <w:tc>
          <w:tcPr>
            <w:tcW w:w="2126" w:type="dxa"/>
          </w:tcPr>
          <w:p w14:paraId="35873A9A" w14:textId="77777777" w:rsidR="00FC69FD" w:rsidRPr="00DF6FAE" w:rsidRDefault="00FC69FD" w:rsidP="00FC69FD">
            <w:pPr>
              <w:spacing w:line="360" w:lineRule="auto"/>
              <w:jc w:val="center"/>
              <w:rPr>
                <w:rFonts w:ascii="Arial" w:hAnsi="Arial" w:cs="Arial"/>
                <w:b/>
                <w:sz w:val="20"/>
                <w:szCs w:val="20"/>
              </w:rPr>
            </w:pPr>
            <w:r w:rsidRPr="00DF6FAE">
              <w:rPr>
                <w:rFonts w:ascii="Arial" w:hAnsi="Arial" w:cs="Arial"/>
                <w:b/>
                <w:sz w:val="20"/>
                <w:szCs w:val="20"/>
              </w:rPr>
              <w:t>clopidogrel</w:t>
            </w:r>
          </w:p>
        </w:tc>
      </w:tr>
      <w:tr w:rsidR="00FC69FD" w:rsidRPr="003E6737" w14:paraId="35A82554" w14:textId="77777777" w:rsidTr="00FC69FD">
        <w:tc>
          <w:tcPr>
            <w:tcW w:w="3369" w:type="dxa"/>
          </w:tcPr>
          <w:p w14:paraId="6CE39087" w14:textId="77777777" w:rsidR="00FC69FD" w:rsidRPr="003E6737" w:rsidRDefault="00FC69FD" w:rsidP="00FC69FD">
            <w:pPr>
              <w:spacing w:line="360" w:lineRule="auto"/>
              <w:jc w:val="both"/>
              <w:rPr>
                <w:rFonts w:ascii="Arial" w:hAnsi="Arial" w:cs="Arial"/>
                <w:sz w:val="20"/>
                <w:szCs w:val="20"/>
              </w:rPr>
            </w:pPr>
            <w:r w:rsidRPr="003E6737">
              <w:rPr>
                <w:rFonts w:ascii="Arial" w:hAnsi="Arial" w:cs="Arial"/>
                <w:sz w:val="20"/>
                <w:szCs w:val="20"/>
              </w:rPr>
              <w:t xml:space="preserve">         no. of randomised patients</w:t>
            </w:r>
          </w:p>
        </w:tc>
        <w:tc>
          <w:tcPr>
            <w:tcW w:w="1559" w:type="dxa"/>
          </w:tcPr>
          <w:p w14:paraId="712C8912" w14:textId="77777777" w:rsidR="00FC69FD" w:rsidRPr="003E6737" w:rsidRDefault="00FC69FD" w:rsidP="00FC69FD">
            <w:pPr>
              <w:spacing w:line="360" w:lineRule="auto"/>
              <w:jc w:val="center"/>
              <w:rPr>
                <w:rFonts w:ascii="Arial" w:hAnsi="Arial" w:cs="Arial"/>
                <w:sz w:val="20"/>
                <w:szCs w:val="20"/>
              </w:rPr>
            </w:pPr>
            <w:r w:rsidRPr="003E6737">
              <w:rPr>
                <w:rFonts w:ascii="Arial" w:hAnsi="Arial" w:cs="Arial"/>
                <w:sz w:val="20"/>
                <w:szCs w:val="20"/>
              </w:rPr>
              <w:t>5470</w:t>
            </w:r>
          </w:p>
        </w:tc>
        <w:tc>
          <w:tcPr>
            <w:tcW w:w="2126" w:type="dxa"/>
          </w:tcPr>
          <w:p w14:paraId="54936575" w14:textId="77777777" w:rsidR="00FC69FD" w:rsidRPr="003E6737" w:rsidRDefault="00FC69FD" w:rsidP="00FC69FD">
            <w:pPr>
              <w:spacing w:line="360" w:lineRule="auto"/>
              <w:jc w:val="center"/>
              <w:rPr>
                <w:rFonts w:ascii="Arial" w:hAnsi="Arial" w:cs="Arial"/>
                <w:sz w:val="20"/>
                <w:szCs w:val="20"/>
              </w:rPr>
            </w:pPr>
            <w:r w:rsidRPr="003E6737">
              <w:rPr>
                <w:rFonts w:ascii="Arial" w:hAnsi="Arial" w:cs="Arial"/>
                <w:sz w:val="20"/>
                <w:szCs w:val="20"/>
              </w:rPr>
              <w:t>5469</w:t>
            </w:r>
          </w:p>
        </w:tc>
      </w:tr>
      <w:tr w:rsidR="00FC69FD" w:rsidRPr="003E6737" w14:paraId="1C1E6A1A" w14:textId="77777777" w:rsidTr="00FC69FD">
        <w:trPr>
          <w:trHeight w:val="323"/>
        </w:trPr>
        <w:tc>
          <w:tcPr>
            <w:tcW w:w="3369" w:type="dxa"/>
          </w:tcPr>
          <w:p w14:paraId="0EACC99B" w14:textId="77777777" w:rsidR="00FC69FD" w:rsidRPr="003E6737" w:rsidRDefault="00FC69FD" w:rsidP="00FC69FD">
            <w:pPr>
              <w:spacing w:line="360" w:lineRule="auto"/>
              <w:jc w:val="both"/>
              <w:rPr>
                <w:rFonts w:ascii="Arial" w:hAnsi="Arial" w:cs="Arial"/>
                <w:sz w:val="20"/>
                <w:szCs w:val="20"/>
              </w:rPr>
            </w:pPr>
            <w:r w:rsidRPr="003E6737">
              <w:rPr>
                <w:rFonts w:ascii="Arial" w:hAnsi="Arial" w:cs="Arial"/>
                <w:sz w:val="20"/>
                <w:szCs w:val="20"/>
              </w:rPr>
              <w:t xml:space="preserve">         </w:t>
            </w:r>
            <w:proofErr w:type="gramStart"/>
            <w:r w:rsidRPr="003E6737">
              <w:rPr>
                <w:rFonts w:ascii="Arial" w:hAnsi="Arial" w:cs="Arial"/>
                <w:sz w:val="20"/>
                <w:szCs w:val="20"/>
              </w:rPr>
              <w:t>no</w:t>
            </w:r>
            <w:proofErr w:type="gramEnd"/>
            <w:r w:rsidRPr="003E6737">
              <w:rPr>
                <w:rFonts w:ascii="Arial" w:hAnsi="Arial" w:cs="Arial"/>
                <w:sz w:val="20"/>
                <w:szCs w:val="20"/>
              </w:rPr>
              <w:t>. (%) with primary outcome</w:t>
            </w:r>
          </w:p>
        </w:tc>
        <w:tc>
          <w:tcPr>
            <w:tcW w:w="1559" w:type="dxa"/>
          </w:tcPr>
          <w:p w14:paraId="15BEFABB" w14:textId="77777777" w:rsidR="00FC69FD" w:rsidRPr="0078555A" w:rsidRDefault="00FC69FD" w:rsidP="00FC69FD">
            <w:pPr>
              <w:spacing w:line="360" w:lineRule="auto"/>
              <w:jc w:val="center"/>
              <w:rPr>
                <w:rFonts w:ascii="Arial" w:hAnsi="Arial" w:cs="Arial"/>
                <w:sz w:val="20"/>
                <w:szCs w:val="20"/>
              </w:rPr>
            </w:pPr>
            <w:r w:rsidRPr="003E6737">
              <w:rPr>
                <w:rFonts w:ascii="Arial" w:hAnsi="Arial" w:cs="Arial"/>
                <w:sz w:val="20"/>
                <w:szCs w:val="20"/>
              </w:rPr>
              <w:t>257 (4.698%</w:t>
            </w:r>
            <w:proofErr w:type="gramStart"/>
            <w:r w:rsidRPr="003E6737">
              <w:rPr>
                <w:rFonts w:ascii="Arial" w:hAnsi="Arial" w:cs="Arial"/>
                <w:sz w:val="20"/>
                <w:szCs w:val="20"/>
              </w:rPr>
              <w:t>)</w:t>
            </w:r>
            <w:r w:rsidR="0078555A" w:rsidRPr="0078555A">
              <w:rPr>
                <w:rFonts w:ascii="Arial" w:hAnsi="Arial" w:cs="Arial"/>
                <w:sz w:val="20"/>
                <w:szCs w:val="24"/>
              </w:rPr>
              <w:t>†</w:t>
            </w:r>
            <w:proofErr w:type="gramEnd"/>
          </w:p>
        </w:tc>
        <w:tc>
          <w:tcPr>
            <w:tcW w:w="2126" w:type="dxa"/>
          </w:tcPr>
          <w:p w14:paraId="5AA58CFB" w14:textId="77777777" w:rsidR="00FC69FD" w:rsidRPr="003E6737" w:rsidRDefault="00FC69FD" w:rsidP="00FC69FD">
            <w:pPr>
              <w:spacing w:line="360" w:lineRule="auto"/>
              <w:jc w:val="center"/>
              <w:rPr>
                <w:rFonts w:ascii="Arial" w:hAnsi="Arial" w:cs="Arial"/>
                <w:sz w:val="20"/>
                <w:szCs w:val="20"/>
              </w:rPr>
            </w:pPr>
            <w:r w:rsidRPr="003E6737">
              <w:rPr>
                <w:rFonts w:ascii="Arial" w:hAnsi="Arial" w:cs="Arial"/>
                <w:sz w:val="20"/>
                <w:szCs w:val="20"/>
              </w:rPr>
              <w:t>322 (5.888%</w:t>
            </w:r>
            <w:proofErr w:type="gramStart"/>
            <w:r w:rsidRPr="003E6737">
              <w:rPr>
                <w:rFonts w:ascii="Arial" w:hAnsi="Arial" w:cs="Arial"/>
                <w:sz w:val="20"/>
                <w:szCs w:val="20"/>
              </w:rPr>
              <w:t>)</w:t>
            </w:r>
            <w:r w:rsidR="004124F1" w:rsidRPr="0078555A">
              <w:rPr>
                <w:rFonts w:ascii="Arial" w:hAnsi="Arial" w:cs="Arial"/>
                <w:sz w:val="20"/>
                <w:szCs w:val="24"/>
              </w:rPr>
              <w:t>†</w:t>
            </w:r>
            <w:proofErr w:type="gramEnd"/>
          </w:p>
        </w:tc>
      </w:tr>
      <w:tr w:rsidR="00FC69FD" w:rsidRPr="003E6737" w14:paraId="4164092B" w14:textId="77777777" w:rsidTr="00FC69FD">
        <w:tc>
          <w:tcPr>
            <w:tcW w:w="3369" w:type="dxa"/>
          </w:tcPr>
          <w:p w14:paraId="55D93705" w14:textId="77777777" w:rsidR="00FC69FD" w:rsidRPr="003E6737" w:rsidRDefault="00FC69FD" w:rsidP="00FC69FD">
            <w:pPr>
              <w:spacing w:line="360" w:lineRule="auto"/>
              <w:jc w:val="right"/>
              <w:rPr>
                <w:rFonts w:ascii="Arial" w:hAnsi="Arial" w:cs="Arial"/>
                <w:sz w:val="20"/>
                <w:szCs w:val="20"/>
              </w:rPr>
            </w:pPr>
          </w:p>
        </w:tc>
        <w:tc>
          <w:tcPr>
            <w:tcW w:w="3685" w:type="dxa"/>
            <w:gridSpan w:val="2"/>
          </w:tcPr>
          <w:p w14:paraId="092090EA" w14:textId="77777777" w:rsidR="00FC69FD" w:rsidRPr="003E6737" w:rsidRDefault="00FC69FD" w:rsidP="00FC69FD">
            <w:pPr>
              <w:spacing w:line="360" w:lineRule="auto"/>
              <w:rPr>
                <w:rFonts w:ascii="Arial" w:hAnsi="Arial" w:cs="Arial"/>
                <w:sz w:val="20"/>
                <w:szCs w:val="20"/>
              </w:rPr>
            </w:pPr>
          </w:p>
        </w:tc>
      </w:tr>
      <w:tr w:rsidR="00FC69FD" w:rsidRPr="003E6737" w14:paraId="0D533368" w14:textId="77777777" w:rsidTr="00FC69FD">
        <w:tc>
          <w:tcPr>
            <w:tcW w:w="3369" w:type="dxa"/>
          </w:tcPr>
          <w:p w14:paraId="35C09E3F" w14:textId="77777777" w:rsidR="00FC69FD" w:rsidRPr="003E6737" w:rsidRDefault="00FC69FD" w:rsidP="00FC69FD">
            <w:pPr>
              <w:spacing w:line="360" w:lineRule="auto"/>
              <w:jc w:val="right"/>
              <w:rPr>
                <w:rFonts w:ascii="Arial" w:hAnsi="Arial" w:cs="Arial"/>
                <w:sz w:val="20"/>
                <w:szCs w:val="20"/>
              </w:rPr>
            </w:pPr>
          </w:p>
        </w:tc>
        <w:tc>
          <w:tcPr>
            <w:tcW w:w="3685" w:type="dxa"/>
            <w:gridSpan w:val="2"/>
          </w:tcPr>
          <w:p w14:paraId="3983B8BE" w14:textId="77777777" w:rsidR="00FC69FD" w:rsidRPr="003E6737" w:rsidRDefault="00FC69FD" w:rsidP="00FC69FD">
            <w:pPr>
              <w:spacing w:line="360" w:lineRule="auto"/>
              <w:rPr>
                <w:rFonts w:ascii="Arial" w:hAnsi="Arial" w:cs="Arial"/>
                <w:sz w:val="20"/>
                <w:szCs w:val="20"/>
              </w:rPr>
            </w:pPr>
            <w:r w:rsidRPr="00DF6FAE">
              <w:rPr>
                <w:rFonts w:ascii="Arial" w:hAnsi="Arial" w:cs="Arial"/>
                <w:b/>
                <w:sz w:val="20"/>
                <w:szCs w:val="20"/>
              </w:rPr>
              <w:t>relative risk</w:t>
            </w:r>
            <w:r w:rsidRPr="003E6737">
              <w:rPr>
                <w:rFonts w:ascii="Arial" w:hAnsi="Arial" w:cs="Arial"/>
                <w:sz w:val="20"/>
                <w:szCs w:val="20"/>
              </w:rPr>
              <w:t xml:space="preserve"> (95% CI)</w:t>
            </w:r>
          </w:p>
        </w:tc>
      </w:tr>
      <w:tr w:rsidR="00FC69FD" w:rsidRPr="003E6737" w14:paraId="6D392030" w14:textId="77777777" w:rsidTr="00FC69FD">
        <w:trPr>
          <w:trHeight w:val="680"/>
        </w:trPr>
        <w:tc>
          <w:tcPr>
            <w:tcW w:w="3369" w:type="dxa"/>
          </w:tcPr>
          <w:p w14:paraId="4BE7E337" w14:textId="77777777" w:rsidR="00FC69FD" w:rsidRPr="003E6737" w:rsidRDefault="00FC69FD" w:rsidP="00FC69FD">
            <w:pPr>
              <w:spacing w:line="360" w:lineRule="auto"/>
              <w:jc w:val="right"/>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0E771512" wp14:editId="09700EF6">
                      <wp:simplePos x="0" y="0"/>
                      <wp:positionH relativeFrom="column">
                        <wp:posOffset>1669415</wp:posOffset>
                      </wp:positionH>
                      <wp:positionV relativeFrom="paragraph">
                        <wp:posOffset>173355</wp:posOffset>
                      </wp:positionV>
                      <wp:extent cx="319405" cy="0"/>
                      <wp:effectExtent l="12065" t="12065" r="11430" b="698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934F4" id="_x0000_t32" coordsize="21600,21600" o:spt="32" o:oned="t" path="m,l21600,21600e" filled="f">
                      <v:path arrowok="t" fillok="f" o:connecttype="none"/>
                      <o:lock v:ext="edit" shapetype="t"/>
                    </v:shapetype>
                    <v:shape id="AutoShape 3" o:spid="_x0000_s1026" type="#_x0000_t32" style="position:absolute;margin-left:131.45pt;margin-top:13.65pt;width:2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qz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uw0iR&#10;HjR62nsdS6NpmM9gXAFhldra0CE9qlfzrOl3h5SuOqJaHoPfTgZys5CRvEsJF2egym74ohnEEMCP&#10;wzo2tg+QMAZ0jJqcbprwo0cUPk6zRZ7OMKJXV0KKa56xzn/mukfBKLHzloi285VWCoTXNotVyOHZ&#10;+cCKFNeEUFTpjZAy6i8VGkq8mE1mMcFpKVhwhjBn210lLTqQsEHxF1sEz32Y1XvFIljHCVtfbE+E&#10;PNtQXKqAB30BnYt1XpEfi3Sxnq/n+SifPKxHeVrXo6dNlY8eNtmnWT2tq6rOfgZqWV50gjGuArvr&#10;umb5363D5eGcF+22sLcxJO/R47yA7PU/ko7CBi3PW7HT7LS1V8FhQ2Pw5TWFJ3B/B/v+za9+AQAA&#10;//8DAFBLAwQUAAYACAAAACEAlKcXst0AAAAJAQAADwAAAGRycy9kb3ducmV2LnhtbEyPTU/DMAyG&#10;70j8h8hIXNCWNhVjK02nCYkDR7ZJXLPGtIXGqZp0Lfv1GHGAmz8evX5cbGfXiTMOofWkIV0mIJAq&#10;b1uqNRwPz4s1iBANWdN5Qg1fGGBbXl8VJrd+olc872MtOIRCbjQ0Mfa5lKFq0Jmw9D0S79794Ezk&#10;dqilHczE4a6TKklW0pmW+EJjenxqsPrcj04DhvE+TXYbVx9fLtPdm7p8TP1B69ubefcIIuIc/2D4&#10;0Wd1KNnp5EeyQXQa1EptGOXiIQPBQJZmCsTpdyDLQv7/oPwGAAD//wMAUEsBAi0AFAAGAAgAAAAh&#10;ALaDOJL+AAAA4QEAABMAAAAAAAAAAAAAAAAAAAAAAFtDb250ZW50X1R5cGVzXS54bWxQSwECLQAU&#10;AAYACAAAACEAOP0h/9YAAACUAQAACwAAAAAAAAAAAAAAAAAvAQAAX3JlbHMvLnJlbHNQSwECLQAU&#10;AAYACAAAACEAHUFasx4CAAA7BAAADgAAAAAAAAAAAAAAAAAuAgAAZHJzL2Uyb0RvYy54bWxQSwEC&#10;LQAUAAYACAAAACEAlKcXst0AAAAJAQAADwAAAAAAAAAAAAAAAAB4BAAAZHJzL2Rvd25yZXYueG1s&#10;UEsFBgAAAAAEAAQA8wAAAIIFAAAAAA==&#10;"/>
                  </w:pict>
                </mc:Fallback>
              </mc:AlternateContent>
            </w:r>
            <w:r w:rsidRPr="003E6737">
              <w:rPr>
                <w:rFonts w:ascii="Arial" w:hAnsi="Arial" w:cs="Arial"/>
                <w:sz w:val="20"/>
                <w:szCs w:val="20"/>
              </w:rPr>
              <w:t xml:space="preserve">                                  4.698</w:t>
            </w:r>
          </w:p>
          <w:p w14:paraId="1A0484EE" w14:textId="77777777" w:rsidR="00FC69FD" w:rsidRPr="003E6737" w:rsidRDefault="00FC69FD" w:rsidP="00FC69FD">
            <w:pPr>
              <w:spacing w:line="360" w:lineRule="auto"/>
              <w:jc w:val="right"/>
              <w:rPr>
                <w:rFonts w:ascii="Arial" w:hAnsi="Arial" w:cs="Arial"/>
                <w:sz w:val="20"/>
                <w:szCs w:val="20"/>
              </w:rPr>
            </w:pPr>
            <w:r w:rsidRPr="003E6737">
              <w:rPr>
                <w:rFonts w:ascii="Arial" w:hAnsi="Arial" w:cs="Arial"/>
                <w:sz w:val="20"/>
                <w:szCs w:val="20"/>
              </w:rPr>
              <w:t xml:space="preserve">                                  5.888</w:t>
            </w:r>
          </w:p>
        </w:tc>
        <w:tc>
          <w:tcPr>
            <w:tcW w:w="3685" w:type="dxa"/>
            <w:gridSpan w:val="2"/>
            <w:vAlign w:val="center"/>
          </w:tcPr>
          <w:p w14:paraId="3A6C7108" w14:textId="77777777" w:rsidR="00FC69FD" w:rsidRPr="003E6737" w:rsidRDefault="00FC69FD" w:rsidP="00FC69FD">
            <w:pPr>
              <w:spacing w:line="360" w:lineRule="auto"/>
              <w:rPr>
                <w:rFonts w:ascii="Arial" w:hAnsi="Arial" w:cs="Arial"/>
                <w:sz w:val="20"/>
                <w:szCs w:val="20"/>
              </w:rPr>
            </w:pPr>
            <w:r w:rsidRPr="003E6737">
              <w:rPr>
                <w:rFonts w:ascii="Arial" w:eastAsiaTheme="minorEastAsia" w:hAnsi="Arial" w:cs="Arial"/>
                <w:sz w:val="20"/>
                <w:szCs w:val="20"/>
              </w:rPr>
              <w:t>= 0.798        (</w:t>
            </w:r>
            <w:r>
              <w:rPr>
                <w:rFonts w:ascii="Arial" w:eastAsiaTheme="minorEastAsia" w:hAnsi="Arial" w:cs="Arial"/>
                <w:sz w:val="20"/>
                <w:szCs w:val="20"/>
              </w:rPr>
              <w:t>0.680, 0.936</w:t>
            </w:r>
            <w:r w:rsidRPr="003E6737">
              <w:rPr>
                <w:rFonts w:ascii="Arial" w:eastAsiaTheme="minorEastAsia" w:hAnsi="Arial" w:cs="Arial"/>
                <w:sz w:val="20"/>
                <w:szCs w:val="20"/>
              </w:rPr>
              <w:t>)</w:t>
            </w:r>
          </w:p>
        </w:tc>
      </w:tr>
      <w:tr w:rsidR="00FC69FD" w:rsidRPr="003E6737" w14:paraId="5C77E5C4" w14:textId="77777777" w:rsidTr="00FC69FD">
        <w:tc>
          <w:tcPr>
            <w:tcW w:w="3369" w:type="dxa"/>
          </w:tcPr>
          <w:p w14:paraId="4394BAF0" w14:textId="77777777" w:rsidR="00FC69FD" w:rsidRPr="003E6737" w:rsidRDefault="00FC69FD" w:rsidP="00FC69FD">
            <w:pPr>
              <w:spacing w:line="360" w:lineRule="auto"/>
              <w:jc w:val="right"/>
              <w:rPr>
                <w:rFonts w:ascii="Arial" w:hAnsi="Arial" w:cs="Arial"/>
                <w:sz w:val="20"/>
                <w:szCs w:val="20"/>
              </w:rPr>
            </w:pPr>
          </w:p>
        </w:tc>
        <w:tc>
          <w:tcPr>
            <w:tcW w:w="3685" w:type="dxa"/>
            <w:gridSpan w:val="2"/>
          </w:tcPr>
          <w:p w14:paraId="3BD45970" w14:textId="77777777" w:rsidR="00FC69FD" w:rsidRPr="003E6737" w:rsidRDefault="00FC69FD" w:rsidP="00FC69FD">
            <w:pPr>
              <w:spacing w:line="360" w:lineRule="auto"/>
              <w:rPr>
                <w:rFonts w:ascii="Arial" w:hAnsi="Arial" w:cs="Arial"/>
                <w:sz w:val="20"/>
                <w:szCs w:val="20"/>
              </w:rPr>
            </w:pPr>
          </w:p>
        </w:tc>
      </w:tr>
      <w:tr w:rsidR="00FC69FD" w:rsidRPr="003E6737" w14:paraId="2885492F" w14:textId="77777777" w:rsidTr="00FC69FD">
        <w:tc>
          <w:tcPr>
            <w:tcW w:w="3369" w:type="dxa"/>
          </w:tcPr>
          <w:p w14:paraId="7EB6865D" w14:textId="77777777" w:rsidR="00FC69FD" w:rsidRPr="003E6737" w:rsidRDefault="00FC69FD" w:rsidP="00FC69FD">
            <w:pPr>
              <w:spacing w:line="360" w:lineRule="auto"/>
              <w:jc w:val="right"/>
              <w:rPr>
                <w:rFonts w:ascii="Arial" w:hAnsi="Arial" w:cs="Arial"/>
                <w:sz w:val="20"/>
                <w:szCs w:val="20"/>
              </w:rPr>
            </w:pPr>
          </w:p>
        </w:tc>
        <w:tc>
          <w:tcPr>
            <w:tcW w:w="3685" w:type="dxa"/>
            <w:gridSpan w:val="2"/>
          </w:tcPr>
          <w:p w14:paraId="3B4D88C9" w14:textId="77777777" w:rsidR="00FC69FD" w:rsidRPr="003E6737" w:rsidRDefault="00FC69FD" w:rsidP="00FC69FD">
            <w:pPr>
              <w:spacing w:line="360" w:lineRule="auto"/>
              <w:rPr>
                <w:rFonts w:ascii="Arial" w:hAnsi="Arial" w:cs="Arial"/>
                <w:sz w:val="20"/>
                <w:szCs w:val="20"/>
              </w:rPr>
            </w:pPr>
            <w:r w:rsidRPr="00DF6FAE">
              <w:rPr>
                <w:rFonts w:ascii="Arial" w:hAnsi="Arial" w:cs="Arial"/>
                <w:b/>
                <w:sz w:val="20"/>
                <w:szCs w:val="20"/>
              </w:rPr>
              <w:t>relative risk reduction</w:t>
            </w:r>
            <w:r>
              <w:rPr>
                <w:rFonts w:ascii="Arial" w:hAnsi="Arial" w:cs="Arial"/>
                <w:sz w:val="20"/>
                <w:szCs w:val="20"/>
              </w:rPr>
              <w:t xml:space="preserve"> (95% CI)</w:t>
            </w:r>
          </w:p>
        </w:tc>
      </w:tr>
      <w:tr w:rsidR="00FC69FD" w:rsidRPr="003E6737" w14:paraId="6794FFD2" w14:textId="77777777" w:rsidTr="00FC69FD">
        <w:tc>
          <w:tcPr>
            <w:tcW w:w="3369" w:type="dxa"/>
          </w:tcPr>
          <w:p w14:paraId="1C555277" w14:textId="77777777" w:rsidR="00FC69FD" w:rsidRPr="003E6737" w:rsidRDefault="00FC69FD" w:rsidP="00FC69FD">
            <w:pPr>
              <w:spacing w:line="360" w:lineRule="auto"/>
              <w:jc w:val="right"/>
              <w:rPr>
                <w:rFonts w:ascii="Arial" w:hAnsi="Arial" w:cs="Arial"/>
                <w:sz w:val="20"/>
                <w:szCs w:val="20"/>
              </w:rPr>
            </w:pPr>
            <w:r w:rsidRPr="003E6737">
              <w:rPr>
                <w:rFonts w:ascii="Arial" w:hAnsi="Arial" w:cs="Arial"/>
                <w:sz w:val="20"/>
                <w:szCs w:val="20"/>
              </w:rPr>
              <w:t xml:space="preserve">                         (1-0.798)x100</w:t>
            </w:r>
          </w:p>
        </w:tc>
        <w:tc>
          <w:tcPr>
            <w:tcW w:w="3685" w:type="dxa"/>
            <w:gridSpan w:val="2"/>
          </w:tcPr>
          <w:p w14:paraId="10495029" w14:textId="77777777" w:rsidR="00FC69FD" w:rsidRPr="003E6737" w:rsidRDefault="00FC69FD" w:rsidP="00FC69FD">
            <w:pPr>
              <w:spacing w:line="360" w:lineRule="auto"/>
              <w:rPr>
                <w:rFonts w:ascii="Arial" w:hAnsi="Arial" w:cs="Arial"/>
                <w:sz w:val="20"/>
                <w:szCs w:val="20"/>
              </w:rPr>
            </w:pPr>
            <w:r w:rsidRPr="003E6737">
              <w:rPr>
                <w:rFonts w:ascii="Arial" w:hAnsi="Arial" w:cs="Arial"/>
                <w:sz w:val="20"/>
                <w:szCs w:val="20"/>
              </w:rPr>
              <w:t>= 20.2%     (</w:t>
            </w:r>
            <w:r>
              <w:rPr>
                <w:rFonts w:ascii="Arial" w:hAnsi="Arial" w:cs="Arial"/>
                <w:sz w:val="20"/>
                <w:szCs w:val="20"/>
              </w:rPr>
              <w:t>6.4%, 32.0%</w:t>
            </w:r>
            <w:r w:rsidRPr="003E6737">
              <w:rPr>
                <w:rFonts w:ascii="Arial" w:hAnsi="Arial" w:cs="Arial"/>
                <w:sz w:val="20"/>
                <w:szCs w:val="20"/>
              </w:rPr>
              <w:t>)</w:t>
            </w:r>
          </w:p>
        </w:tc>
      </w:tr>
      <w:tr w:rsidR="00FC69FD" w:rsidRPr="003E6737" w14:paraId="343B0CEC" w14:textId="77777777" w:rsidTr="00FC69FD">
        <w:tc>
          <w:tcPr>
            <w:tcW w:w="3369" w:type="dxa"/>
          </w:tcPr>
          <w:p w14:paraId="5A270DB4" w14:textId="77777777" w:rsidR="00FC69FD" w:rsidRPr="003E6737" w:rsidRDefault="00FC69FD" w:rsidP="00FC69FD">
            <w:pPr>
              <w:spacing w:line="360" w:lineRule="auto"/>
              <w:jc w:val="right"/>
              <w:rPr>
                <w:rFonts w:ascii="Arial" w:hAnsi="Arial" w:cs="Arial"/>
                <w:sz w:val="20"/>
                <w:szCs w:val="20"/>
              </w:rPr>
            </w:pPr>
          </w:p>
        </w:tc>
        <w:tc>
          <w:tcPr>
            <w:tcW w:w="3685" w:type="dxa"/>
            <w:gridSpan w:val="2"/>
          </w:tcPr>
          <w:p w14:paraId="27459A3E" w14:textId="77777777" w:rsidR="00FC69FD" w:rsidRPr="003E6737" w:rsidRDefault="00FC69FD" w:rsidP="00FC69FD">
            <w:pPr>
              <w:spacing w:line="360" w:lineRule="auto"/>
              <w:rPr>
                <w:rFonts w:ascii="Arial" w:hAnsi="Arial" w:cs="Arial"/>
                <w:sz w:val="20"/>
                <w:szCs w:val="20"/>
              </w:rPr>
            </w:pPr>
          </w:p>
        </w:tc>
      </w:tr>
      <w:tr w:rsidR="00FC69FD" w:rsidRPr="003E6737" w14:paraId="2FE4D9DF" w14:textId="77777777" w:rsidTr="00FC69FD">
        <w:tc>
          <w:tcPr>
            <w:tcW w:w="3369" w:type="dxa"/>
          </w:tcPr>
          <w:p w14:paraId="586B8FC0" w14:textId="77777777" w:rsidR="00FC69FD" w:rsidRPr="003E6737" w:rsidRDefault="00FC69FD" w:rsidP="00FC69FD">
            <w:pPr>
              <w:spacing w:line="360" w:lineRule="auto"/>
              <w:jc w:val="right"/>
              <w:rPr>
                <w:rFonts w:ascii="Arial" w:hAnsi="Arial" w:cs="Arial"/>
                <w:sz w:val="20"/>
                <w:szCs w:val="20"/>
              </w:rPr>
            </w:pPr>
          </w:p>
        </w:tc>
        <w:tc>
          <w:tcPr>
            <w:tcW w:w="3685" w:type="dxa"/>
            <w:gridSpan w:val="2"/>
          </w:tcPr>
          <w:p w14:paraId="3176A6AC" w14:textId="77777777" w:rsidR="00FC69FD" w:rsidRPr="003E6737" w:rsidRDefault="00FC69FD" w:rsidP="00FC69FD">
            <w:pPr>
              <w:spacing w:line="360" w:lineRule="auto"/>
              <w:rPr>
                <w:rFonts w:ascii="Arial" w:hAnsi="Arial" w:cs="Arial"/>
                <w:sz w:val="20"/>
                <w:szCs w:val="20"/>
              </w:rPr>
            </w:pPr>
            <w:r w:rsidRPr="00DF6FAE">
              <w:rPr>
                <w:rFonts w:ascii="Arial" w:hAnsi="Arial" w:cs="Arial"/>
                <w:b/>
                <w:sz w:val="20"/>
                <w:szCs w:val="20"/>
              </w:rPr>
              <w:t>relative odds</w:t>
            </w:r>
            <w:r>
              <w:rPr>
                <w:rFonts w:ascii="Arial" w:hAnsi="Arial" w:cs="Arial"/>
                <w:sz w:val="20"/>
                <w:szCs w:val="20"/>
              </w:rPr>
              <w:t xml:space="preserve"> (95% CI)</w:t>
            </w:r>
          </w:p>
        </w:tc>
      </w:tr>
      <w:tr w:rsidR="00FC69FD" w:rsidRPr="003E6737" w14:paraId="007899BA" w14:textId="77777777" w:rsidTr="00FC69FD">
        <w:trPr>
          <w:trHeight w:val="284"/>
        </w:trPr>
        <w:tc>
          <w:tcPr>
            <w:tcW w:w="3369" w:type="dxa"/>
          </w:tcPr>
          <w:p w14:paraId="7986FB21" w14:textId="77777777" w:rsidR="00FC69FD" w:rsidRPr="003E6737" w:rsidRDefault="00FC69FD" w:rsidP="00FC69FD">
            <w:pPr>
              <w:spacing w:line="360" w:lineRule="auto"/>
              <w:jc w:val="right"/>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2AFAA86B" wp14:editId="6D1BDB6C">
                      <wp:simplePos x="0" y="0"/>
                      <wp:positionH relativeFrom="column">
                        <wp:posOffset>956945</wp:posOffset>
                      </wp:positionH>
                      <wp:positionV relativeFrom="paragraph">
                        <wp:posOffset>183515</wp:posOffset>
                      </wp:positionV>
                      <wp:extent cx="1040765" cy="0"/>
                      <wp:effectExtent l="13970" t="12700" r="1206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97BEB" id="AutoShape 2" o:spid="_x0000_s1026" type="#_x0000_t32" style="position:absolute;margin-left:75.35pt;margin-top:14.45pt;width:8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GD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NJmM9gXAFhldra0CE9qlfzrOl3h5SuOqJaHoPfTgZys5CRvEsJF2egym74ohnEEMCP&#10;wzo2tg+QMAZ0jDs53XbCjx5R+Jilefowm2JEr76EFNdEY53/zHWPglFi5y0RbecrrRRsXtssliGH&#10;Z+cDLVJcE0JVpTdCyigAqdBQ4sV0Mo0JTkvBgjOEOdvuKmnRgQQJxV/sETz3YVbvFYtgHSdsfbE9&#10;EfJsQ3GpAh40BnQu1lkjPxbpYj1fz/NRPpmtR3la16OnTZWPZpvsYVp/qquqzn4GalledIIxrgK7&#10;q16z/O/0cHk5Z6XdFHsbQ/IePc4LyF7/I+m42bDMsyx2mp229rpxkGgMvjyn8Abu72DfP/rVLwAA&#10;AP//AwBQSwMEFAAGAAgAAAAhAO09PW7dAAAACQEAAA8AAABkcnMvZG93bnJldi54bWxMj01PwzAM&#10;hu9I/IfISFwQS1rYV2k6TUgcOLJN4po1XltonKpJ17JfjxEHOL72o9eP883kWnHGPjSeNCQzBQKp&#10;9LahSsNh/3K/AhGiIWtaT6jhCwNsiuur3GTWj/SG512sBJdQyIyGOsYukzKUNToTZr5D4t3J985E&#10;jn0lbW9GLnetTJVaSGca4gu16fC5xvJzNzgNGIZ5orZrVx1eL+Pde3r5GLu91rc30/YJRMQp/sHw&#10;o8/qULDT0Q9kg2g5z9WSUQ3pag2CgYfkcQHi+DuQRS7/f1B8AwAA//8DAFBLAQItABQABgAIAAAA&#10;IQC2gziS/gAAAOEBAAATAAAAAAAAAAAAAAAAAAAAAABbQ29udGVudF9UeXBlc10ueG1sUEsBAi0A&#10;FAAGAAgAAAAhADj9If/WAAAAlAEAAAsAAAAAAAAAAAAAAAAALwEAAF9yZWxzLy5yZWxzUEsBAi0A&#10;FAAGAAgAAAAhAHpwQYMfAgAAPAQAAA4AAAAAAAAAAAAAAAAALgIAAGRycy9lMm9Eb2MueG1sUEsB&#10;Ai0AFAAGAAgAAAAhAO09PW7dAAAACQEAAA8AAAAAAAAAAAAAAAAAeQQAAGRycy9kb3ducmV2Lnht&#10;bFBLBQYAAAAABAAEAPMAAACDBQAAAAA=&#10;"/>
                  </w:pict>
                </mc:Fallback>
              </mc:AlternateContent>
            </w:r>
            <w:r w:rsidRPr="003E6737">
              <w:rPr>
                <w:rFonts w:ascii="Arial" w:hAnsi="Arial" w:cs="Arial"/>
                <w:sz w:val="20"/>
                <w:szCs w:val="20"/>
              </w:rPr>
              <w:t xml:space="preserve">                     4.698÷(100-4.698)</w:t>
            </w:r>
          </w:p>
          <w:p w14:paraId="4A5D06E4" w14:textId="77777777" w:rsidR="00FC69FD" w:rsidRPr="003E6737" w:rsidRDefault="00FC69FD" w:rsidP="00FC69FD">
            <w:pPr>
              <w:spacing w:line="360" w:lineRule="auto"/>
              <w:jc w:val="right"/>
              <w:rPr>
                <w:rFonts w:ascii="Arial" w:hAnsi="Arial" w:cs="Arial"/>
                <w:sz w:val="20"/>
                <w:szCs w:val="20"/>
              </w:rPr>
            </w:pPr>
            <w:r w:rsidRPr="003E6737">
              <w:rPr>
                <w:rFonts w:ascii="Arial" w:hAnsi="Arial" w:cs="Arial"/>
                <w:sz w:val="20"/>
                <w:szCs w:val="20"/>
              </w:rPr>
              <w:t xml:space="preserve">                         5.888÷(100-5.888)</w:t>
            </w:r>
          </w:p>
        </w:tc>
        <w:tc>
          <w:tcPr>
            <w:tcW w:w="3685" w:type="dxa"/>
            <w:gridSpan w:val="2"/>
            <w:vAlign w:val="center"/>
          </w:tcPr>
          <w:p w14:paraId="6DDE33DD" w14:textId="77777777" w:rsidR="00FC69FD" w:rsidRPr="003E6737" w:rsidRDefault="00FC69FD" w:rsidP="00FC69FD">
            <w:pPr>
              <w:spacing w:line="360" w:lineRule="auto"/>
              <w:rPr>
                <w:rFonts w:ascii="Arial" w:hAnsi="Arial" w:cs="Arial"/>
                <w:sz w:val="20"/>
                <w:szCs w:val="20"/>
              </w:rPr>
            </w:pPr>
            <w:r w:rsidRPr="003E6737">
              <w:rPr>
                <w:rFonts w:ascii="Arial" w:hAnsi="Arial" w:cs="Arial"/>
                <w:sz w:val="20"/>
                <w:szCs w:val="20"/>
              </w:rPr>
              <w:t>= 0.788      (</w:t>
            </w:r>
            <w:r>
              <w:rPr>
                <w:rFonts w:ascii="Arial" w:hAnsi="Arial" w:cs="Arial"/>
                <w:sz w:val="20"/>
                <w:szCs w:val="20"/>
              </w:rPr>
              <w:t>0.666, 0.932</w:t>
            </w:r>
            <w:r w:rsidRPr="003E6737">
              <w:rPr>
                <w:rFonts w:ascii="Arial" w:hAnsi="Arial" w:cs="Arial"/>
                <w:sz w:val="20"/>
                <w:szCs w:val="20"/>
              </w:rPr>
              <w:t>)</w:t>
            </w:r>
          </w:p>
        </w:tc>
      </w:tr>
      <w:tr w:rsidR="00FC69FD" w:rsidRPr="003E6737" w14:paraId="3298CE7E" w14:textId="77777777" w:rsidTr="00FC69FD">
        <w:tc>
          <w:tcPr>
            <w:tcW w:w="3369" w:type="dxa"/>
          </w:tcPr>
          <w:p w14:paraId="2DAE328A" w14:textId="77777777" w:rsidR="00FC69FD" w:rsidRPr="003E6737" w:rsidRDefault="00FC69FD" w:rsidP="00FC69FD">
            <w:pPr>
              <w:spacing w:line="360" w:lineRule="auto"/>
              <w:jc w:val="right"/>
              <w:rPr>
                <w:rFonts w:ascii="Arial" w:hAnsi="Arial" w:cs="Arial"/>
                <w:sz w:val="20"/>
                <w:szCs w:val="20"/>
              </w:rPr>
            </w:pPr>
          </w:p>
        </w:tc>
        <w:tc>
          <w:tcPr>
            <w:tcW w:w="3685" w:type="dxa"/>
            <w:gridSpan w:val="2"/>
          </w:tcPr>
          <w:p w14:paraId="0ED593EE" w14:textId="77777777" w:rsidR="00FC69FD" w:rsidRPr="003E6737" w:rsidRDefault="00FC69FD" w:rsidP="00FC69FD">
            <w:pPr>
              <w:spacing w:line="360" w:lineRule="auto"/>
              <w:rPr>
                <w:rFonts w:ascii="Arial" w:hAnsi="Arial" w:cs="Arial"/>
                <w:sz w:val="20"/>
                <w:szCs w:val="20"/>
              </w:rPr>
            </w:pPr>
          </w:p>
        </w:tc>
      </w:tr>
      <w:tr w:rsidR="00FC69FD" w:rsidRPr="003E6737" w14:paraId="23568624" w14:textId="77777777" w:rsidTr="00FC69FD">
        <w:tc>
          <w:tcPr>
            <w:tcW w:w="3369" w:type="dxa"/>
          </w:tcPr>
          <w:p w14:paraId="2B367C5F" w14:textId="77777777" w:rsidR="00FC69FD" w:rsidRPr="003E6737" w:rsidRDefault="00FC69FD" w:rsidP="00FC69FD">
            <w:pPr>
              <w:spacing w:line="360" w:lineRule="auto"/>
              <w:jc w:val="right"/>
              <w:rPr>
                <w:rFonts w:ascii="Arial" w:hAnsi="Arial" w:cs="Arial"/>
                <w:sz w:val="20"/>
                <w:szCs w:val="20"/>
              </w:rPr>
            </w:pPr>
          </w:p>
        </w:tc>
        <w:tc>
          <w:tcPr>
            <w:tcW w:w="3685" w:type="dxa"/>
            <w:gridSpan w:val="2"/>
          </w:tcPr>
          <w:p w14:paraId="644E1A5E" w14:textId="77777777" w:rsidR="00FC69FD" w:rsidRPr="003E6737" w:rsidRDefault="00FC69FD" w:rsidP="0049161A">
            <w:pPr>
              <w:spacing w:line="360" w:lineRule="auto"/>
              <w:rPr>
                <w:rFonts w:ascii="Arial" w:hAnsi="Arial" w:cs="Arial"/>
                <w:sz w:val="20"/>
                <w:szCs w:val="20"/>
              </w:rPr>
            </w:pPr>
            <w:r w:rsidRPr="00DF6FAE">
              <w:rPr>
                <w:rFonts w:ascii="Arial" w:hAnsi="Arial" w:cs="Arial"/>
                <w:b/>
                <w:sz w:val="20"/>
                <w:szCs w:val="20"/>
              </w:rPr>
              <w:t>difference in percentages</w:t>
            </w:r>
            <w:r>
              <w:rPr>
                <w:rFonts w:ascii="Arial" w:hAnsi="Arial" w:cs="Arial"/>
                <w:sz w:val="20"/>
                <w:szCs w:val="20"/>
              </w:rPr>
              <w:t xml:space="preserve"> (95% CI)</w:t>
            </w:r>
          </w:p>
        </w:tc>
      </w:tr>
      <w:tr w:rsidR="00FC69FD" w:rsidRPr="003E6737" w14:paraId="6323C26E" w14:textId="77777777" w:rsidTr="00FC69FD">
        <w:tc>
          <w:tcPr>
            <w:tcW w:w="3369" w:type="dxa"/>
          </w:tcPr>
          <w:p w14:paraId="4964EA25" w14:textId="77777777" w:rsidR="00FC69FD" w:rsidRPr="003E6737" w:rsidRDefault="00FC69FD" w:rsidP="00FC69FD">
            <w:pPr>
              <w:spacing w:line="360" w:lineRule="auto"/>
              <w:jc w:val="right"/>
              <w:rPr>
                <w:rFonts w:ascii="Arial" w:hAnsi="Arial" w:cs="Arial"/>
                <w:sz w:val="20"/>
                <w:szCs w:val="20"/>
              </w:rPr>
            </w:pPr>
            <w:r w:rsidRPr="003E6737">
              <w:rPr>
                <w:rFonts w:ascii="Arial" w:hAnsi="Arial" w:cs="Arial"/>
                <w:sz w:val="20"/>
                <w:szCs w:val="20"/>
              </w:rPr>
              <w:t xml:space="preserve">                           4.698-5.888</w:t>
            </w:r>
          </w:p>
        </w:tc>
        <w:tc>
          <w:tcPr>
            <w:tcW w:w="3685" w:type="dxa"/>
            <w:gridSpan w:val="2"/>
          </w:tcPr>
          <w:p w14:paraId="3F7769D4" w14:textId="77777777" w:rsidR="00FC69FD" w:rsidRPr="003E6737" w:rsidRDefault="00FC69FD" w:rsidP="00FC69FD">
            <w:pPr>
              <w:spacing w:line="360" w:lineRule="auto"/>
              <w:rPr>
                <w:rFonts w:ascii="Arial" w:hAnsi="Arial" w:cs="Arial"/>
                <w:sz w:val="20"/>
                <w:szCs w:val="20"/>
              </w:rPr>
            </w:pPr>
            <w:r w:rsidRPr="003E6737">
              <w:rPr>
                <w:rFonts w:ascii="Arial" w:hAnsi="Arial" w:cs="Arial"/>
                <w:sz w:val="20"/>
                <w:szCs w:val="20"/>
              </w:rPr>
              <w:t>= -1.19%     (-</w:t>
            </w:r>
            <w:r>
              <w:rPr>
                <w:rFonts w:ascii="Arial" w:hAnsi="Arial" w:cs="Arial"/>
                <w:sz w:val="20"/>
                <w:szCs w:val="20"/>
              </w:rPr>
              <w:t xml:space="preserve">0.35%, </w:t>
            </w:r>
            <w:r w:rsidRPr="003E6737">
              <w:rPr>
                <w:rFonts w:ascii="Arial" w:hAnsi="Arial" w:cs="Arial"/>
                <w:sz w:val="20"/>
                <w:szCs w:val="20"/>
              </w:rPr>
              <w:t>-</w:t>
            </w:r>
            <w:r>
              <w:rPr>
                <w:rFonts w:ascii="Arial" w:hAnsi="Arial" w:cs="Arial"/>
                <w:sz w:val="20"/>
                <w:szCs w:val="20"/>
              </w:rPr>
              <w:t>2.03%</w:t>
            </w:r>
            <w:r w:rsidRPr="003E6737">
              <w:rPr>
                <w:rFonts w:ascii="Arial" w:hAnsi="Arial" w:cs="Arial"/>
                <w:sz w:val="20"/>
                <w:szCs w:val="20"/>
              </w:rPr>
              <w:t>)</w:t>
            </w:r>
          </w:p>
        </w:tc>
      </w:tr>
      <w:tr w:rsidR="00FC69FD" w:rsidRPr="003E6737" w14:paraId="29BA332D" w14:textId="77777777" w:rsidTr="00FC69FD">
        <w:tc>
          <w:tcPr>
            <w:tcW w:w="3369" w:type="dxa"/>
          </w:tcPr>
          <w:p w14:paraId="6DE6DCAF" w14:textId="77777777" w:rsidR="00FC69FD" w:rsidRPr="003E6737" w:rsidRDefault="00FC69FD" w:rsidP="00FC69FD">
            <w:pPr>
              <w:spacing w:line="360" w:lineRule="auto"/>
              <w:jc w:val="right"/>
              <w:rPr>
                <w:rFonts w:ascii="Arial" w:hAnsi="Arial" w:cs="Arial"/>
                <w:sz w:val="20"/>
                <w:szCs w:val="20"/>
              </w:rPr>
            </w:pPr>
          </w:p>
        </w:tc>
        <w:tc>
          <w:tcPr>
            <w:tcW w:w="3685" w:type="dxa"/>
            <w:gridSpan w:val="2"/>
          </w:tcPr>
          <w:p w14:paraId="4CAD26E6" w14:textId="77777777" w:rsidR="00FC69FD" w:rsidRPr="003E6737" w:rsidRDefault="00FC69FD" w:rsidP="00FC69FD">
            <w:pPr>
              <w:spacing w:line="360" w:lineRule="auto"/>
              <w:rPr>
                <w:rFonts w:ascii="Arial" w:hAnsi="Arial" w:cs="Arial"/>
                <w:sz w:val="20"/>
                <w:szCs w:val="20"/>
              </w:rPr>
            </w:pPr>
          </w:p>
        </w:tc>
      </w:tr>
      <w:tr w:rsidR="00FC69FD" w:rsidRPr="003E6737" w14:paraId="1248761B" w14:textId="77777777" w:rsidTr="00FC69FD">
        <w:tc>
          <w:tcPr>
            <w:tcW w:w="3369" w:type="dxa"/>
          </w:tcPr>
          <w:p w14:paraId="674A1538" w14:textId="77777777" w:rsidR="00FC69FD" w:rsidRPr="003E6737" w:rsidRDefault="00FC69FD" w:rsidP="00FC69FD">
            <w:pPr>
              <w:spacing w:line="360" w:lineRule="auto"/>
              <w:jc w:val="right"/>
              <w:rPr>
                <w:rFonts w:ascii="Arial" w:hAnsi="Arial" w:cs="Arial"/>
                <w:sz w:val="20"/>
                <w:szCs w:val="20"/>
              </w:rPr>
            </w:pPr>
          </w:p>
        </w:tc>
        <w:tc>
          <w:tcPr>
            <w:tcW w:w="3685" w:type="dxa"/>
            <w:gridSpan w:val="2"/>
          </w:tcPr>
          <w:p w14:paraId="201CF750" w14:textId="77777777" w:rsidR="00FC69FD" w:rsidRPr="003E6737" w:rsidRDefault="00FC69FD" w:rsidP="00FC69FD">
            <w:pPr>
              <w:spacing w:line="360" w:lineRule="auto"/>
              <w:rPr>
                <w:rFonts w:ascii="Arial" w:hAnsi="Arial" w:cs="Arial"/>
                <w:sz w:val="20"/>
                <w:szCs w:val="20"/>
              </w:rPr>
            </w:pPr>
            <w:r w:rsidRPr="00DF6FAE">
              <w:rPr>
                <w:rFonts w:ascii="Arial" w:hAnsi="Arial" w:cs="Arial"/>
                <w:b/>
                <w:sz w:val="20"/>
                <w:szCs w:val="20"/>
              </w:rPr>
              <w:t>number needed to treat</w:t>
            </w:r>
            <w:r>
              <w:rPr>
                <w:rFonts w:ascii="Arial" w:hAnsi="Arial" w:cs="Arial"/>
                <w:sz w:val="20"/>
                <w:szCs w:val="20"/>
              </w:rPr>
              <w:t xml:space="preserve"> (95% CI)</w:t>
            </w:r>
          </w:p>
        </w:tc>
      </w:tr>
      <w:tr w:rsidR="00FC69FD" w:rsidRPr="003E6737" w14:paraId="7D8F4ADA" w14:textId="77777777" w:rsidTr="00FC69FD">
        <w:tc>
          <w:tcPr>
            <w:tcW w:w="3369" w:type="dxa"/>
          </w:tcPr>
          <w:p w14:paraId="00E7AC93" w14:textId="77777777" w:rsidR="00FC69FD" w:rsidRPr="003E6737" w:rsidRDefault="00FC69FD" w:rsidP="00FC69FD">
            <w:pPr>
              <w:spacing w:line="360" w:lineRule="auto"/>
              <w:jc w:val="right"/>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60BDB42B" wp14:editId="68B5D23A">
                      <wp:simplePos x="0" y="0"/>
                      <wp:positionH relativeFrom="column">
                        <wp:posOffset>1719580</wp:posOffset>
                      </wp:positionH>
                      <wp:positionV relativeFrom="paragraph">
                        <wp:posOffset>175895</wp:posOffset>
                      </wp:positionV>
                      <wp:extent cx="302260" cy="0"/>
                      <wp:effectExtent l="5080" t="13970" r="6985" b="508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8EC33" id="AutoShape 4" o:spid="_x0000_s1026" type="#_x0000_t32" style="position:absolute;margin-left:135.4pt;margin-top:13.85pt;width:23.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CE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UGoSTp&#10;QaKng1OhMsr8eAZtc4gq5c74BulJvupnRb9bJFXZEtnwEPx21pCb+IzoXYq/WA1F9sMXxSCGAH6Y&#10;1ak2vYeEKaBTkOR8k4SfHKLw8SFO0zkIR0dXRPIxTxvrPnPVI28U2DpDRNO6UkkJuiuThCrk+Gyd&#10;Z0XyMcEXlWorui7I30k0FHg5S2chwapOMO/0YdY0+7Iz6Ej8AoVfaBE892FGHSQLYC0nbHO1HRHd&#10;xYbinfR40BfQuVqXDfmxjJebxWaRTbJ0vplkcVVNnrZlNplvk0+z6qEqyyr56aklWd4Kxrj07MZt&#10;TbK/24bru7ns2W1fb2OI3qOHeQHZ8T+QDsJ6LS9bsVfsvDOj4LCgIfj6mPwLuL+Dff/k178AAAD/&#10;/wMAUEsDBBQABgAIAAAAIQDBtbsZ3gAAAAkBAAAPAAAAZHJzL2Rvd25yZXYueG1sTI/NTsMwEITv&#10;SLyDtUhcUGsn/LSEOFWFxIEjbSWubrxNAvE6ip0m9OnZikO57c6OZr7NV5NrxRH70HjSkMwVCKTS&#10;24YqDbvt22wJIkRD1rSeUMMPBlgV11e5yawf6QOPm1gJDqGQGQ11jF0mZShrdCbMfYfEt4PvnYm8&#10;9pW0vRk53LUyVepJOtMQN9Smw9cay+/N4DRgGB4TtX521e79NN59pqevsdtqfXszrV9ARJzixQxn&#10;fEaHgpn2fiAbRKshXShGj+dhAYIN98nyAcT+T5BFLv9/UPwCAAD//wMAUEsBAi0AFAAGAAgAAAAh&#10;ALaDOJL+AAAA4QEAABMAAAAAAAAAAAAAAAAAAAAAAFtDb250ZW50X1R5cGVzXS54bWxQSwECLQAU&#10;AAYACAAAACEAOP0h/9YAAACUAQAACwAAAAAAAAAAAAAAAAAvAQAAX3JlbHMvLnJlbHNQSwECLQAU&#10;AAYACAAAACEARVDghB0CAAA6BAAADgAAAAAAAAAAAAAAAAAuAgAAZHJzL2Uyb0RvYy54bWxQSwEC&#10;LQAUAAYACAAAACEAwbW7Gd4AAAAJAQAADwAAAAAAAAAAAAAAAAB3BAAAZHJzL2Rvd25yZXYueG1s&#10;UEsFBgAAAAAEAAQA8wAAAIIFAAAAAA==&#10;"/>
                  </w:pict>
                </mc:Fallback>
              </mc:AlternateContent>
            </w:r>
            <w:r w:rsidRPr="003E6737">
              <w:rPr>
                <w:rFonts w:ascii="Arial" w:hAnsi="Arial" w:cs="Arial"/>
                <w:sz w:val="20"/>
                <w:szCs w:val="20"/>
              </w:rPr>
              <w:t xml:space="preserve">                                  100</w:t>
            </w:r>
          </w:p>
          <w:p w14:paraId="52D430CF" w14:textId="77777777" w:rsidR="00FC69FD" w:rsidRPr="003E6737" w:rsidRDefault="00FC69FD" w:rsidP="00FC69FD">
            <w:pPr>
              <w:spacing w:line="360" w:lineRule="auto"/>
              <w:jc w:val="right"/>
              <w:rPr>
                <w:rFonts w:ascii="Arial" w:hAnsi="Arial" w:cs="Arial"/>
                <w:sz w:val="20"/>
                <w:szCs w:val="20"/>
              </w:rPr>
            </w:pPr>
            <w:r w:rsidRPr="003E6737">
              <w:rPr>
                <w:rFonts w:ascii="Arial" w:hAnsi="Arial" w:cs="Arial"/>
                <w:sz w:val="20"/>
                <w:szCs w:val="20"/>
              </w:rPr>
              <w:t xml:space="preserve">                                  1.19</w:t>
            </w:r>
          </w:p>
        </w:tc>
        <w:tc>
          <w:tcPr>
            <w:tcW w:w="3685" w:type="dxa"/>
            <w:gridSpan w:val="2"/>
            <w:vAlign w:val="center"/>
          </w:tcPr>
          <w:p w14:paraId="316151E3" w14:textId="77777777" w:rsidR="00FC69FD" w:rsidRPr="003E6737" w:rsidRDefault="00FC69FD" w:rsidP="00FC69FD">
            <w:pPr>
              <w:spacing w:line="360" w:lineRule="auto"/>
              <w:rPr>
                <w:rFonts w:ascii="Arial" w:hAnsi="Arial" w:cs="Arial"/>
                <w:sz w:val="20"/>
                <w:szCs w:val="20"/>
              </w:rPr>
            </w:pPr>
            <w:r w:rsidRPr="003E6737">
              <w:rPr>
                <w:rFonts w:ascii="Arial" w:hAnsi="Arial" w:cs="Arial"/>
                <w:sz w:val="20"/>
                <w:szCs w:val="20"/>
              </w:rPr>
              <w:t>= 84.0        (</w:t>
            </w:r>
            <w:r>
              <w:rPr>
                <w:rFonts w:ascii="Arial" w:hAnsi="Arial" w:cs="Arial"/>
                <w:sz w:val="20"/>
                <w:szCs w:val="20"/>
              </w:rPr>
              <w:t>49.3</w:t>
            </w:r>
            <w:r w:rsidRPr="003E6737">
              <w:rPr>
                <w:rFonts w:ascii="Arial" w:hAnsi="Arial" w:cs="Arial"/>
                <w:sz w:val="20"/>
                <w:szCs w:val="20"/>
              </w:rPr>
              <w:t xml:space="preserve">, </w:t>
            </w:r>
            <w:r>
              <w:rPr>
                <w:rFonts w:ascii="Arial" w:hAnsi="Arial" w:cs="Arial"/>
                <w:sz w:val="20"/>
                <w:szCs w:val="20"/>
              </w:rPr>
              <w:t>285.7</w:t>
            </w:r>
            <w:r w:rsidRPr="003E6737">
              <w:rPr>
                <w:rFonts w:ascii="Arial" w:hAnsi="Arial" w:cs="Arial"/>
                <w:sz w:val="20"/>
                <w:szCs w:val="20"/>
              </w:rPr>
              <w:t>)</w:t>
            </w:r>
          </w:p>
        </w:tc>
      </w:tr>
    </w:tbl>
    <w:p w14:paraId="7D3781C8" w14:textId="77777777" w:rsidR="004124F1" w:rsidRDefault="00FC69FD" w:rsidP="004124F1">
      <w:pPr>
        <w:spacing w:after="0" w:line="360" w:lineRule="auto"/>
        <w:rPr>
          <w:rFonts w:ascii="Arial" w:hAnsi="Arial" w:cs="Arial"/>
          <w:sz w:val="20"/>
          <w:szCs w:val="20"/>
        </w:rPr>
      </w:pPr>
      <w:r>
        <w:rPr>
          <w:rFonts w:ascii="Arial" w:hAnsi="Arial" w:cs="Arial"/>
          <w:sz w:val="24"/>
          <w:szCs w:val="24"/>
        </w:rPr>
        <w:br w:type="textWrapping" w:clear="all"/>
      </w:r>
    </w:p>
    <w:p w14:paraId="557AC7C5" w14:textId="77777777" w:rsidR="00FC69FD" w:rsidRDefault="004124F1" w:rsidP="00FC69FD">
      <w:pPr>
        <w:spacing w:after="0" w:line="360" w:lineRule="auto"/>
        <w:rPr>
          <w:rFonts w:ascii="Arial" w:hAnsi="Arial" w:cs="Arial"/>
          <w:sz w:val="20"/>
          <w:szCs w:val="20"/>
        </w:rPr>
      </w:pPr>
      <w:r w:rsidRPr="004124F1">
        <w:rPr>
          <w:rFonts w:ascii="Arial" w:hAnsi="Arial" w:cs="Arial"/>
          <w:sz w:val="20"/>
          <w:szCs w:val="20"/>
        </w:rPr>
        <w:t>*</w:t>
      </w:r>
      <w:r>
        <w:rPr>
          <w:rFonts w:ascii="Arial" w:hAnsi="Arial" w:cs="Arial"/>
          <w:sz w:val="20"/>
          <w:szCs w:val="20"/>
        </w:rPr>
        <w:t>primary composite outcome is death, myocardial infarction, ischaemia driven revascularisation or stent thrombosis within 48 hours of randomisation</w:t>
      </w:r>
      <w:r w:rsidR="009A706C">
        <w:rPr>
          <w:rFonts w:ascii="Arial" w:hAnsi="Arial" w:cs="Arial"/>
          <w:sz w:val="20"/>
          <w:szCs w:val="20"/>
        </w:rPr>
        <w:t xml:space="preserve">;  </w:t>
      </w:r>
      <w:r w:rsidRPr="0078555A">
        <w:rPr>
          <w:rFonts w:ascii="Arial" w:hAnsi="Arial" w:cs="Arial"/>
          <w:sz w:val="20"/>
          <w:szCs w:val="24"/>
        </w:rPr>
        <w:t>†</w:t>
      </w:r>
      <w:r w:rsidR="00FC69FD" w:rsidRPr="00720935">
        <w:rPr>
          <w:rFonts w:ascii="Arial" w:hAnsi="Arial" w:cs="Arial"/>
          <w:sz w:val="20"/>
          <w:szCs w:val="20"/>
        </w:rPr>
        <w:t xml:space="preserve"> in the middle of all numerical calculations, any values (</w:t>
      </w:r>
      <w:proofErr w:type="spellStart"/>
      <w:r w:rsidR="00FC69FD" w:rsidRPr="00720935">
        <w:rPr>
          <w:rFonts w:ascii="Arial" w:hAnsi="Arial" w:cs="Arial"/>
          <w:sz w:val="20"/>
          <w:szCs w:val="20"/>
        </w:rPr>
        <w:t>eg</w:t>
      </w:r>
      <w:proofErr w:type="spellEnd"/>
      <w:r w:rsidR="00FC69FD" w:rsidRPr="00720935">
        <w:rPr>
          <w:rFonts w:ascii="Arial" w:hAnsi="Arial" w:cs="Arial"/>
          <w:sz w:val="20"/>
          <w:szCs w:val="20"/>
        </w:rPr>
        <w:t xml:space="preserve">. percentages) should be precise, </w:t>
      </w:r>
      <w:proofErr w:type="spellStart"/>
      <w:r w:rsidR="00FC69FD" w:rsidRPr="00720935">
        <w:rPr>
          <w:rFonts w:ascii="Arial" w:hAnsi="Arial" w:cs="Arial"/>
          <w:sz w:val="20"/>
          <w:szCs w:val="20"/>
        </w:rPr>
        <w:t>eg</w:t>
      </w:r>
      <w:proofErr w:type="spellEnd"/>
      <w:r w:rsidR="00FC69FD" w:rsidRPr="00720935">
        <w:rPr>
          <w:rFonts w:ascii="Arial" w:hAnsi="Arial" w:cs="Arial"/>
          <w:sz w:val="20"/>
          <w:szCs w:val="20"/>
        </w:rPr>
        <w:t xml:space="preserve">. </w:t>
      </w:r>
      <w:proofErr w:type="gramStart"/>
      <w:r w:rsidR="00FC69FD" w:rsidRPr="00720935">
        <w:rPr>
          <w:rFonts w:ascii="Arial" w:hAnsi="Arial" w:cs="Arial"/>
          <w:sz w:val="20"/>
          <w:szCs w:val="20"/>
        </w:rPr>
        <w:t>to</w:t>
      </w:r>
      <w:proofErr w:type="gramEnd"/>
      <w:r w:rsidR="00FC69FD" w:rsidRPr="00720935">
        <w:rPr>
          <w:rFonts w:ascii="Arial" w:hAnsi="Arial" w:cs="Arial"/>
          <w:sz w:val="20"/>
          <w:szCs w:val="20"/>
        </w:rPr>
        <w:t xml:space="preserve"> 3 or more decimal place. Only at the final step should values be rounded for convenience of expression</w:t>
      </w:r>
    </w:p>
    <w:p w14:paraId="624EC2FB" w14:textId="77777777" w:rsidR="00FC69FD" w:rsidRDefault="00FC69FD" w:rsidP="00FC69FD">
      <w:pPr>
        <w:spacing w:after="0" w:line="360" w:lineRule="auto"/>
        <w:rPr>
          <w:rFonts w:ascii="Arial" w:hAnsi="Arial" w:cs="Arial"/>
          <w:sz w:val="20"/>
          <w:szCs w:val="20"/>
        </w:rPr>
      </w:pPr>
    </w:p>
    <w:p w14:paraId="029AFF0A" w14:textId="77777777" w:rsidR="00FC69FD" w:rsidRPr="009A706C" w:rsidRDefault="009A706C" w:rsidP="00FC69FD">
      <w:pPr>
        <w:spacing w:after="0" w:line="360" w:lineRule="auto"/>
        <w:rPr>
          <w:rFonts w:ascii="Arial" w:hAnsi="Arial" w:cs="Arial"/>
          <w:sz w:val="20"/>
          <w:szCs w:val="24"/>
        </w:rPr>
      </w:pPr>
      <w:r w:rsidRPr="009A706C">
        <w:rPr>
          <w:rFonts w:ascii="Arial" w:hAnsi="Arial" w:cs="Arial"/>
          <w:sz w:val="20"/>
          <w:szCs w:val="24"/>
        </w:rPr>
        <w:t>Table 3 Caption:</w:t>
      </w:r>
      <w:r>
        <w:rPr>
          <w:rFonts w:ascii="Arial" w:hAnsi="Arial" w:cs="Arial"/>
          <w:sz w:val="20"/>
          <w:szCs w:val="24"/>
        </w:rPr>
        <w:t xml:space="preserve"> Number and percentage of patients with a primary outcome (</w:t>
      </w:r>
      <w:r>
        <w:rPr>
          <w:rFonts w:ascii="Arial" w:hAnsi="Arial" w:cs="Arial"/>
          <w:sz w:val="20"/>
          <w:szCs w:val="20"/>
        </w:rPr>
        <w:t>death, myocardial infarction, ischaemia driven revascularisation or stent thrombosis within 48 hours of randomisation</w:t>
      </w:r>
      <w:r>
        <w:rPr>
          <w:rFonts w:ascii="Arial" w:hAnsi="Arial" w:cs="Arial"/>
          <w:sz w:val="20"/>
          <w:szCs w:val="24"/>
        </w:rPr>
        <w:t xml:space="preserve">) </w:t>
      </w:r>
      <w:r w:rsidR="00737956">
        <w:rPr>
          <w:rFonts w:ascii="Arial" w:hAnsi="Arial" w:cs="Arial"/>
          <w:sz w:val="20"/>
          <w:szCs w:val="24"/>
        </w:rPr>
        <w:t xml:space="preserve">in CHAMPION-PHOENIX trial </w:t>
      </w:r>
      <w:r>
        <w:rPr>
          <w:rFonts w:ascii="Arial" w:hAnsi="Arial" w:cs="Arial"/>
          <w:sz w:val="20"/>
          <w:szCs w:val="24"/>
        </w:rPr>
        <w:t xml:space="preserve">along with various estimates of treatment effect. </w:t>
      </w:r>
    </w:p>
    <w:p w14:paraId="0F36CCAC" w14:textId="77777777" w:rsidR="00FC69FD" w:rsidRDefault="00FC69FD" w:rsidP="00FC69FD">
      <w:pPr>
        <w:spacing w:after="0" w:line="360" w:lineRule="auto"/>
        <w:rPr>
          <w:rFonts w:ascii="Arial" w:hAnsi="Arial" w:cs="Arial"/>
          <w:sz w:val="24"/>
          <w:szCs w:val="24"/>
        </w:rPr>
      </w:pPr>
    </w:p>
    <w:p w14:paraId="44569224" w14:textId="77777777" w:rsidR="00FC69FD" w:rsidRDefault="00FC69FD" w:rsidP="00FC69FD">
      <w:pPr>
        <w:spacing w:after="0" w:line="360" w:lineRule="auto"/>
        <w:rPr>
          <w:rFonts w:ascii="Arial" w:hAnsi="Arial" w:cs="Arial"/>
          <w:sz w:val="24"/>
          <w:szCs w:val="24"/>
        </w:rPr>
      </w:pPr>
    </w:p>
    <w:p w14:paraId="48314DA3" w14:textId="77777777" w:rsidR="009A706C" w:rsidRDefault="009A706C">
      <w:pPr>
        <w:rPr>
          <w:rFonts w:ascii="Arial" w:hAnsi="Arial" w:cs="Arial"/>
          <w:sz w:val="20"/>
          <w:szCs w:val="20"/>
        </w:rPr>
      </w:pPr>
      <w:r>
        <w:rPr>
          <w:rFonts w:ascii="Arial" w:hAnsi="Arial" w:cs="Arial"/>
          <w:sz w:val="20"/>
          <w:szCs w:val="20"/>
        </w:rPr>
        <w:br w:type="page"/>
      </w:r>
    </w:p>
    <w:p w14:paraId="267C48E6" w14:textId="77777777" w:rsidR="006E0687" w:rsidRDefault="00D466EA" w:rsidP="00600AF5">
      <w:pPr>
        <w:jc w:val="center"/>
        <w:rPr>
          <w:rFonts w:ascii="Arial" w:hAnsi="Arial" w:cs="Arial"/>
          <w:sz w:val="20"/>
          <w:szCs w:val="20"/>
        </w:rPr>
      </w:pPr>
      <w:r>
        <w:rPr>
          <w:rFonts w:ascii="Arial" w:hAnsi="Arial" w:cs="Arial"/>
          <w:sz w:val="20"/>
          <w:szCs w:val="20"/>
        </w:rPr>
        <w:lastRenderedPageBreak/>
        <w:t>Table 4: Six month results from the SYMPLICITY HTN-3 trial</w:t>
      </w:r>
    </w:p>
    <w:p w14:paraId="09055B80" w14:textId="77777777" w:rsidR="006E0687" w:rsidRDefault="006E068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019"/>
        <w:gridCol w:w="2693"/>
      </w:tblGrid>
      <w:tr w:rsidR="006E0687" w:rsidRPr="006E0687" w14:paraId="706D81AB" w14:textId="77777777" w:rsidTr="00D466EA">
        <w:tc>
          <w:tcPr>
            <w:tcW w:w="3510" w:type="dxa"/>
          </w:tcPr>
          <w:p w14:paraId="2D93FCF7" w14:textId="77777777" w:rsidR="006E0687" w:rsidRPr="006E0687" w:rsidRDefault="006E0687" w:rsidP="006E0687">
            <w:pPr>
              <w:spacing w:line="480" w:lineRule="auto"/>
              <w:rPr>
                <w:rFonts w:ascii="Arial" w:hAnsi="Arial" w:cs="Arial"/>
                <w:sz w:val="20"/>
                <w:szCs w:val="20"/>
              </w:rPr>
            </w:pPr>
          </w:p>
        </w:tc>
        <w:tc>
          <w:tcPr>
            <w:tcW w:w="4712" w:type="dxa"/>
            <w:gridSpan w:val="2"/>
          </w:tcPr>
          <w:p w14:paraId="215C63CD" w14:textId="77777777" w:rsidR="006E0687" w:rsidRPr="006E0687" w:rsidRDefault="006E0687" w:rsidP="006E0687">
            <w:pPr>
              <w:spacing w:line="480" w:lineRule="auto"/>
              <w:jc w:val="center"/>
              <w:rPr>
                <w:rFonts w:ascii="Arial" w:hAnsi="Arial" w:cs="Arial"/>
                <w:sz w:val="20"/>
                <w:szCs w:val="20"/>
              </w:rPr>
            </w:pPr>
            <w:r w:rsidRPr="006E0687">
              <w:rPr>
                <w:rFonts w:ascii="Arial" w:hAnsi="Arial" w:cs="Arial"/>
                <w:sz w:val="20"/>
                <w:szCs w:val="20"/>
              </w:rPr>
              <w:t>Mean Treatment Difference (95% CI), mmHg</w:t>
            </w:r>
          </w:p>
        </w:tc>
      </w:tr>
      <w:tr w:rsidR="006E0687" w:rsidRPr="006E0687" w14:paraId="29EAC960" w14:textId="77777777" w:rsidTr="00D466EA">
        <w:tc>
          <w:tcPr>
            <w:tcW w:w="3510" w:type="dxa"/>
          </w:tcPr>
          <w:p w14:paraId="341460ED" w14:textId="77777777" w:rsidR="006E0687" w:rsidRPr="006E0687" w:rsidRDefault="006E0687" w:rsidP="006E0687">
            <w:pPr>
              <w:spacing w:line="480" w:lineRule="auto"/>
              <w:rPr>
                <w:rFonts w:ascii="Arial" w:hAnsi="Arial" w:cs="Arial"/>
                <w:sz w:val="20"/>
                <w:szCs w:val="20"/>
              </w:rPr>
            </w:pPr>
            <w:r w:rsidRPr="006E0687">
              <w:rPr>
                <w:rFonts w:ascii="Arial" w:hAnsi="Arial" w:cs="Arial"/>
                <w:sz w:val="20"/>
                <w:szCs w:val="20"/>
              </w:rPr>
              <w:t>SBP at 6 months</w:t>
            </w:r>
          </w:p>
        </w:tc>
        <w:tc>
          <w:tcPr>
            <w:tcW w:w="2019" w:type="dxa"/>
          </w:tcPr>
          <w:p w14:paraId="0CD73BD8" w14:textId="77777777" w:rsidR="006E0687" w:rsidRPr="006E0687" w:rsidRDefault="006E0687" w:rsidP="00D466EA">
            <w:pPr>
              <w:spacing w:line="480" w:lineRule="auto"/>
              <w:jc w:val="right"/>
              <w:rPr>
                <w:rFonts w:ascii="Arial" w:hAnsi="Arial" w:cs="Arial"/>
                <w:sz w:val="20"/>
                <w:szCs w:val="20"/>
              </w:rPr>
            </w:pPr>
            <w:r w:rsidRPr="006E0687">
              <w:rPr>
                <w:rFonts w:ascii="Arial" w:hAnsi="Arial" w:cs="Arial"/>
                <w:sz w:val="20"/>
                <w:szCs w:val="20"/>
              </w:rPr>
              <w:t>-4.20</w:t>
            </w:r>
          </w:p>
        </w:tc>
        <w:tc>
          <w:tcPr>
            <w:tcW w:w="2693" w:type="dxa"/>
          </w:tcPr>
          <w:p w14:paraId="381F757B" w14:textId="77777777" w:rsidR="006E0687" w:rsidRPr="006E0687" w:rsidRDefault="006E0687" w:rsidP="00D466EA">
            <w:pPr>
              <w:spacing w:line="480" w:lineRule="auto"/>
              <w:rPr>
                <w:rFonts w:ascii="Arial" w:hAnsi="Arial" w:cs="Arial"/>
                <w:sz w:val="20"/>
                <w:szCs w:val="20"/>
              </w:rPr>
            </w:pPr>
            <w:r w:rsidRPr="006E0687">
              <w:rPr>
                <w:rFonts w:ascii="Arial" w:hAnsi="Arial" w:cs="Arial"/>
                <w:sz w:val="20"/>
                <w:szCs w:val="20"/>
              </w:rPr>
              <w:t>(-9.17, +0.77)</w:t>
            </w:r>
          </w:p>
        </w:tc>
      </w:tr>
      <w:tr w:rsidR="006E0687" w:rsidRPr="006E0687" w14:paraId="4696105C" w14:textId="77777777" w:rsidTr="00D466EA">
        <w:tc>
          <w:tcPr>
            <w:tcW w:w="3510" w:type="dxa"/>
          </w:tcPr>
          <w:p w14:paraId="2F3C2B9D" w14:textId="77777777" w:rsidR="006E0687" w:rsidRPr="006E0687" w:rsidRDefault="006E0687" w:rsidP="006E0687">
            <w:pPr>
              <w:spacing w:line="480" w:lineRule="auto"/>
              <w:rPr>
                <w:rFonts w:ascii="Arial" w:hAnsi="Arial" w:cs="Arial"/>
                <w:sz w:val="20"/>
                <w:szCs w:val="20"/>
              </w:rPr>
            </w:pPr>
            <w:r w:rsidRPr="006E0687">
              <w:rPr>
                <w:rFonts w:ascii="Arial" w:hAnsi="Arial" w:cs="Arial"/>
                <w:sz w:val="20"/>
                <w:szCs w:val="20"/>
              </w:rPr>
              <w:t>6 month change in SBP</w:t>
            </w:r>
          </w:p>
        </w:tc>
        <w:tc>
          <w:tcPr>
            <w:tcW w:w="2019" w:type="dxa"/>
          </w:tcPr>
          <w:p w14:paraId="3261E14E" w14:textId="77777777" w:rsidR="006E0687" w:rsidRPr="006E0687" w:rsidRDefault="006E0687" w:rsidP="00D466EA">
            <w:pPr>
              <w:spacing w:line="480" w:lineRule="auto"/>
              <w:jc w:val="right"/>
              <w:rPr>
                <w:rFonts w:ascii="Arial" w:hAnsi="Arial" w:cs="Arial"/>
                <w:sz w:val="20"/>
                <w:szCs w:val="20"/>
              </w:rPr>
            </w:pPr>
            <w:r w:rsidRPr="006E0687">
              <w:rPr>
                <w:rFonts w:ascii="Arial" w:hAnsi="Arial" w:cs="Arial"/>
                <w:sz w:val="20"/>
                <w:szCs w:val="20"/>
              </w:rPr>
              <w:t>-4.07</w:t>
            </w:r>
          </w:p>
        </w:tc>
        <w:tc>
          <w:tcPr>
            <w:tcW w:w="2693" w:type="dxa"/>
          </w:tcPr>
          <w:p w14:paraId="700D3ACF" w14:textId="77777777" w:rsidR="006E0687" w:rsidRPr="006E0687" w:rsidRDefault="006E0687" w:rsidP="00D466EA">
            <w:pPr>
              <w:spacing w:line="480" w:lineRule="auto"/>
              <w:rPr>
                <w:rFonts w:ascii="Arial" w:hAnsi="Arial" w:cs="Arial"/>
                <w:sz w:val="20"/>
                <w:szCs w:val="20"/>
              </w:rPr>
            </w:pPr>
            <w:r w:rsidRPr="006E0687">
              <w:rPr>
                <w:rFonts w:ascii="Arial" w:hAnsi="Arial" w:cs="Arial"/>
                <w:sz w:val="20"/>
                <w:szCs w:val="20"/>
              </w:rPr>
              <w:t>(-8.63, +0.49)</w:t>
            </w:r>
          </w:p>
        </w:tc>
      </w:tr>
      <w:tr w:rsidR="006E0687" w:rsidRPr="006E0687" w14:paraId="00E5164F" w14:textId="77777777" w:rsidTr="00D466EA">
        <w:trPr>
          <w:trHeight w:val="572"/>
        </w:trPr>
        <w:tc>
          <w:tcPr>
            <w:tcW w:w="3510" w:type="dxa"/>
          </w:tcPr>
          <w:p w14:paraId="05FE6853" w14:textId="77777777" w:rsidR="006E0687" w:rsidRPr="006E0687" w:rsidRDefault="006E0687" w:rsidP="006E0687">
            <w:pPr>
              <w:spacing w:line="480" w:lineRule="auto"/>
              <w:rPr>
                <w:rFonts w:ascii="Arial" w:hAnsi="Arial" w:cs="Arial"/>
                <w:sz w:val="20"/>
                <w:szCs w:val="20"/>
              </w:rPr>
            </w:pPr>
            <w:r w:rsidRPr="006E0687">
              <w:rPr>
                <w:rFonts w:ascii="Arial" w:hAnsi="Arial" w:cs="Arial"/>
                <w:sz w:val="20"/>
                <w:szCs w:val="20"/>
              </w:rPr>
              <w:t xml:space="preserve">6 month change </w:t>
            </w:r>
            <w:r w:rsidR="00D466EA">
              <w:rPr>
                <w:rFonts w:ascii="Arial" w:hAnsi="Arial" w:cs="Arial"/>
                <w:sz w:val="20"/>
                <w:szCs w:val="20"/>
              </w:rPr>
              <w:t xml:space="preserve">in SBP </w:t>
            </w:r>
            <w:r w:rsidRPr="006E0687">
              <w:rPr>
                <w:rFonts w:ascii="Arial" w:hAnsi="Arial" w:cs="Arial"/>
                <w:sz w:val="20"/>
                <w:szCs w:val="20"/>
              </w:rPr>
              <w:t xml:space="preserve">adjusted for baseline </w:t>
            </w:r>
            <w:r w:rsidR="00D466EA">
              <w:rPr>
                <w:rFonts w:ascii="Arial" w:hAnsi="Arial" w:cs="Arial"/>
                <w:sz w:val="20"/>
                <w:szCs w:val="20"/>
              </w:rPr>
              <w:t xml:space="preserve">SBP </w:t>
            </w:r>
            <w:r w:rsidRPr="006E0687">
              <w:rPr>
                <w:rFonts w:ascii="Arial" w:hAnsi="Arial" w:cs="Arial"/>
                <w:sz w:val="20"/>
                <w:szCs w:val="20"/>
              </w:rPr>
              <w:t>using ANCOVA</w:t>
            </w:r>
            <w:r w:rsidR="00D466EA">
              <w:rPr>
                <w:rFonts w:ascii="Arial" w:hAnsi="Arial" w:cs="Arial"/>
                <w:sz w:val="20"/>
                <w:szCs w:val="20"/>
              </w:rPr>
              <w:t>*</w:t>
            </w:r>
          </w:p>
        </w:tc>
        <w:tc>
          <w:tcPr>
            <w:tcW w:w="2019" w:type="dxa"/>
          </w:tcPr>
          <w:p w14:paraId="0BF4F5E6" w14:textId="77777777" w:rsidR="006E0687" w:rsidRPr="006E0687" w:rsidRDefault="006E0687" w:rsidP="00D466EA">
            <w:pPr>
              <w:spacing w:line="480" w:lineRule="auto"/>
              <w:jc w:val="right"/>
              <w:rPr>
                <w:rFonts w:ascii="Arial" w:hAnsi="Arial" w:cs="Arial"/>
                <w:sz w:val="20"/>
                <w:szCs w:val="20"/>
              </w:rPr>
            </w:pPr>
            <w:r w:rsidRPr="006E0687">
              <w:rPr>
                <w:rFonts w:ascii="Arial" w:hAnsi="Arial" w:cs="Arial"/>
                <w:sz w:val="20"/>
                <w:szCs w:val="20"/>
              </w:rPr>
              <w:t>-4.11</w:t>
            </w:r>
          </w:p>
        </w:tc>
        <w:tc>
          <w:tcPr>
            <w:tcW w:w="2693" w:type="dxa"/>
          </w:tcPr>
          <w:p w14:paraId="4F8A1F71" w14:textId="77777777" w:rsidR="006E0687" w:rsidRPr="006E0687" w:rsidRDefault="006E0687" w:rsidP="00D466EA">
            <w:pPr>
              <w:spacing w:line="480" w:lineRule="auto"/>
              <w:rPr>
                <w:rFonts w:ascii="Arial" w:hAnsi="Arial" w:cs="Arial"/>
                <w:sz w:val="20"/>
                <w:szCs w:val="20"/>
              </w:rPr>
            </w:pPr>
            <w:r w:rsidRPr="006E0687">
              <w:rPr>
                <w:rFonts w:ascii="Arial" w:hAnsi="Arial" w:cs="Arial"/>
                <w:sz w:val="20"/>
                <w:szCs w:val="20"/>
              </w:rPr>
              <w:t>(-8.44, +0.22)</w:t>
            </w:r>
          </w:p>
        </w:tc>
      </w:tr>
    </w:tbl>
    <w:p w14:paraId="6F958985" w14:textId="77777777" w:rsidR="00D466EA" w:rsidRDefault="00D466EA">
      <w:pPr>
        <w:rPr>
          <w:rFonts w:ascii="Arial" w:hAnsi="Arial" w:cs="Arial"/>
          <w:sz w:val="20"/>
          <w:szCs w:val="20"/>
        </w:rPr>
      </w:pPr>
    </w:p>
    <w:p w14:paraId="56C9B5B1" w14:textId="77777777" w:rsidR="006E0687" w:rsidRDefault="00D466EA">
      <w:pPr>
        <w:rPr>
          <w:rFonts w:ascii="Arial" w:hAnsi="Arial" w:cs="Arial"/>
          <w:sz w:val="20"/>
          <w:szCs w:val="20"/>
        </w:rPr>
      </w:pPr>
      <w:r>
        <w:rPr>
          <w:rFonts w:ascii="Arial" w:hAnsi="Arial" w:cs="Arial"/>
          <w:sz w:val="20"/>
          <w:szCs w:val="20"/>
        </w:rPr>
        <w:t>* ANCOVA: analysis of covariance</w:t>
      </w:r>
    </w:p>
    <w:p w14:paraId="134C2EC8" w14:textId="77777777" w:rsidR="006E0687" w:rsidRDefault="006E0687">
      <w:pPr>
        <w:rPr>
          <w:rFonts w:ascii="Arial" w:hAnsi="Arial" w:cs="Arial"/>
          <w:sz w:val="20"/>
          <w:szCs w:val="20"/>
        </w:rPr>
      </w:pPr>
    </w:p>
    <w:p w14:paraId="6CAB5C36" w14:textId="77777777" w:rsidR="006E0687" w:rsidRDefault="00AF14DA">
      <w:pPr>
        <w:rPr>
          <w:rFonts w:ascii="Arial" w:hAnsi="Arial" w:cs="Arial"/>
          <w:sz w:val="20"/>
          <w:szCs w:val="20"/>
        </w:rPr>
      </w:pPr>
      <w:r>
        <w:rPr>
          <w:rFonts w:ascii="Arial" w:hAnsi="Arial" w:cs="Arial"/>
          <w:sz w:val="20"/>
          <w:szCs w:val="20"/>
        </w:rPr>
        <w:t xml:space="preserve">Table 4 Caption: Three different methods of analysing six month systolic blood pressure results from the SYMPLICITY HTN-3 Trial of renal denervation versus a sham procedure. </w:t>
      </w:r>
    </w:p>
    <w:p w14:paraId="04FD6E3E" w14:textId="77777777" w:rsidR="00AF14DA" w:rsidRDefault="00AF14DA">
      <w:pPr>
        <w:rPr>
          <w:rFonts w:ascii="Arial" w:hAnsi="Arial" w:cs="Arial"/>
          <w:sz w:val="20"/>
          <w:szCs w:val="20"/>
        </w:rPr>
      </w:pPr>
      <w:r>
        <w:rPr>
          <w:rFonts w:ascii="Arial" w:hAnsi="Arial" w:cs="Arial"/>
          <w:sz w:val="20"/>
          <w:szCs w:val="20"/>
        </w:rPr>
        <w:br w:type="page"/>
      </w:r>
    </w:p>
    <w:p w14:paraId="097B0649" w14:textId="77777777" w:rsidR="00FC69FD" w:rsidRDefault="00FC69FD" w:rsidP="00FC69FD">
      <w:pPr>
        <w:spacing w:after="0" w:line="360" w:lineRule="auto"/>
        <w:rPr>
          <w:rFonts w:ascii="Arial" w:hAnsi="Arial" w:cs="Arial"/>
          <w:sz w:val="20"/>
          <w:szCs w:val="20"/>
        </w:rPr>
      </w:pPr>
      <w:r w:rsidRPr="00C15105">
        <w:rPr>
          <w:rFonts w:ascii="Arial" w:hAnsi="Arial" w:cs="Arial"/>
          <w:sz w:val="20"/>
          <w:szCs w:val="20"/>
        </w:rPr>
        <w:lastRenderedPageBreak/>
        <w:t xml:space="preserve">Table </w:t>
      </w:r>
      <w:r w:rsidR="00D466EA">
        <w:rPr>
          <w:rFonts w:ascii="Arial" w:hAnsi="Arial" w:cs="Arial"/>
          <w:sz w:val="20"/>
          <w:szCs w:val="20"/>
        </w:rPr>
        <w:t>5</w:t>
      </w:r>
      <w:r w:rsidRPr="00C15105">
        <w:rPr>
          <w:rFonts w:ascii="Arial" w:hAnsi="Arial" w:cs="Arial"/>
          <w:sz w:val="20"/>
          <w:szCs w:val="20"/>
        </w:rPr>
        <w:t>. A Useful Language for Interpreting P-values</w:t>
      </w:r>
    </w:p>
    <w:p w14:paraId="4FACD61E" w14:textId="77777777" w:rsidR="00FC69FD" w:rsidRDefault="00FC69FD" w:rsidP="00FC69FD">
      <w:pPr>
        <w:spacing w:after="0" w:line="360" w:lineRule="auto"/>
        <w:rPr>
          <w:rFonts w:ascii="Arial" w:hAnsi="Arial" w:cs="Arial"/>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686"/>
      </w:tblGrid>
      <w:tr w:rsidR="00FC69FD" w14:paraId="272EC8BC" w14:textId="77777777" w:rsidTr="00A968C1">
        <w:tc>
          <w:tcPr>
            <w:tcW w:w="2268" w:type="dxa"/>
          </w:tcPr>
          <w:p w14:paraId="349F0E32" w14:textId="77777777" w:rsidR="00FC69FD" w:rsidRDefault="00FC69FD" w:rsidP="00A968C1">
            <w:pPr>
              <w:spacing w:line="480" w:lineRule="auto"/>
              <w:rPr>
                <w:rFonts w:ascii="Arial" w:hAnsi="Arial" w:cs="Arial"/>
                <w:sz w:val="20"/>
                <w:szCs w:val="20"/>
              </w:rPr>
            </w:pPr>
            <w:r>
              <w:rPr>
                <w:rFonts w:ascii="Arial" w:hAnsi="Arial" w:cs="Arial"/>
                <w:sz w:val="20"/>
                <w:szCs w:val="20"/>
              </w:rPr>
              <w:t>P&lt;0.001</w:t>
            </w:r>
          </w:p>
        </w:tc>
        <w:tc>
          <w:tcPr>
            <w:tcW w:w="3686" w:type="dxa"/>
          </w:tcPr>
          <w:p w14:paraId="54F07113" w14:textId="77777777" w:rsidR="00FC69FD" w:rsidRDefault="00FC69FD" w:rsidP="00A968C1">
            <w:pPr>
              <w:spacing w:line="480" w:lineRule="auto"/>
              <w:rPr>
                <w:rFonts w:ascii="Arial" w:hAnsi="Arial" w:cs="Arial"/>
                <w:sz w:val="20"/>
                <w:szCs w:val="20"/>
              </w:rPr>
            </w:pPr>
            <w:r>
              <w:rPr>
                <w:rFonts w:ascii="Arial" w:hAnsi="Arial" w:cs="Arial"/>
                <w:sz w:val="20"/>
                <w:szCs w:val="20"/>
              </w:rPr>
              <w:t>overwhelming evidence</w:t>
            </w:r>
          </w:p>
        </w:tc>
      </w:tr>
      <w:tr w:rsidR="00FC69FD" w14:paraId="1D4302A5" w14:textId="77777777" w:rsidTr="00A968C1">
        <w:tc>
          <w:tcPr>
            <w:tcW w:w="2268" w:type="dxa"/>
          </w:tcPr>
          <w:p w14:paraId="48D79E2D" w14:textId="77777777" w:rsidR="00FC69FD" w:rsidRDefault="00FC69FD" w:rsidP="00A968C1">
            <w:pPr>
              <w:spacing w:line="480" w:lineRule="auto"/>
              <w:rPr>
                <w:rFonts w:ascii="Arial" w:hAnsi="Arial" w:cs="Arial"/>
                <w:sz w:val="20"/>
                <w:szCs w:val="20"/>
              </w:rPr>
            </w:pPr>
            <w:r>
              <w:rPr>
                <w:rFonts w:ascii="Arial" w:hAnsi="Arial" w:cs="Arial"/>
                <w:sz w:val="20"/>
                <w:szCs w:val="20"/>
              </w:rPr>
              <w:t>0.001≤P&lt;0.01</w:t>
            </w:r>
          </w:p>
        </w:tc>
        <w:tc>
          <w:tcPr>
            <w:tcW w:w="3686" w:type="dxa"/>
          </w:tcPr>
          <w:p w14:paraId="12DC01F0" w14:textId="77777777" w:rsidR="00FC69FD" w:rsidRDefault="00FC69FD" w:rsidP="00A968C1">
            <w:pPr>
              <w:spacing w:line="480" w:lineRule="auto"/>
              <w:rPr>
                <w:rFonts w:ascii="Arial" w:hAnsi="Arial" w:cs="Arial"/>
                <w:sz w:val="20"/>
                <w:szCs w:val="20"/>
              </w:rPr>
            </w:pPr>
            <w:r>
              <w:rPr>
                <w:rFonts w:ascii="Arial" w:hAnsi="Arial" w:cs="Arial"/>
                <w:sz w:val="20"/>
                <w:szCs w:val="20"/>
              </w:rPr>
              <w:t>strong evidence</w:t>
            </w:r>
          </w:p>
        </w:tc>
      </w:tr>
      <w:tr w:rsidR="00FC69FD" w14:paraId="329E3456" w14:textId="77777777" w:rsidTr="00A968C1">
        <w:tc>
          <w:tcPr>
            <w:tcW w:w="2268" w:type="dxa"/>
          </w:tcPr>
          <w:p w14:paraId="2EC93F19" w14:textId="77777777" w:rsidR="00FC69FD" w:rsidRDefault="00FC69FD" w:rsidP="00A968C1">
            <w:pPr>
              <w:spacing w:line="480" w:lineRule="auto"/>
              <w:rPr>
                <w:rFonts w:ascii="Arial" w:hAnsi="Arial" w:cs="Arial"/>
                <w:sz w:val="20"/>
                <w:szCs w:val="20"/>
              </w:rPr>
            </w:pPr>
            <w:r>
              <w:rPr>
                <w:rFonts w:ascii="Arial" w:hAnsi="Arial" w:cs="Arial"/>
                <w:sz w:val="20"/>
                <w:szCs w:val="20"/>
              </w:rPr>
              <w:t>0.01≤P&lt;0.05</w:t>
            </w:r>
          </w:p>
        </w:tc>
        <w:tc>
          <w:tcPr>
            <w:tcW w:w="3686" w:type="dxa"/>
          </w:tcPr>
          <w:p w14:paraId="79865CAC" w14:textId="77777777" w:rsidR="00FC69FD" w:rsidRDefault="00FC69FD" w:rsidP="00A968C1">
            <w:pPr>
              <w:spacing w:line="480" w:lineRule="auto"/>
              <w:rPr>
                <w:rFonts w:ascii="Arial" w:hAnsi="Arial" w:cs="Arial"/>
                <w:sz w:val="20"/>
                <w:szCs w:val="20"/>
              </w:rPr>
            </w:pPr>
            <w:r>
              <w:rPr>
                <w:rFonts w:ascii="Arial" w:hAnsi="Arial" w:cs="Arial"/>
                <w:sz w:val="20"/>
                <w:szCs w:val="20"/>
              </w:rPr>
              <w:t>some evidence</w:t>
            </w:r>
          </w:p>
        </w:tc>
      </w:tr>
      <w:tr w:rsidR="00FC69FD" w14:paraId="28C30764" w14:textId="77777777" w:rsidTr="00A968C1">
        <w:tc>
          <w:tcPr>
            <w:tcW w:w="2268" w:type="dxa"/>
          </w:tcPr>
          <w:p w14:paraId="7A4A98D6" w14:textId="77777777" w:rsidR="00FC69FD" w:rsidRDefault="00FC69FD" w:rsidP="00A968C1">
            <w:pPr>
              <w:spacing w:line="480" w:lineRule="auto"/>
              <w:rPr>
                <w:rFonts w:ascii="Arial" w:hAnsi="Arial" w:cs="Arial"/>
                <w:sz w:val="20"/>
                <w:szCs w:val="20"/>
              </w:rPr>
            </w:pPr>
            <w:r>
              <w:rPr>
                <w:rFonts w:ascii="Arial" w:hAnsi="Arial" w:cs="Arial"/>
                <w:sz w:val="20"/>
                <w:szCs w:val="20"/>
              </w:rPr>
              <w:t>0.05≤P&lt;0.10</w:t>
            </w:r>
          </w:p>
        </w:tc>
        <w:tc>
          <w:tcPr>
            <w:tcW w:w="3686" w:type="dxa"/>
          </w:tcPr>
          <w:p w14:paraId="1AD64287" w14:textId="77777777" w:rsidR="00FC69FD" w:rsidRDefault="00FC69FD" w:rsidP="00A968C1">
            <w:pPr>
              <w:spacing w:line="480" w:lineRule="auto"/>
              <w:rPr>
                <w:rFonts w:ascii="Arial" w:hAnsi="Arial" w:cs="Arial"/>
                <w:sz w:val="20"/>
                <w:szCs w:val="20"/>
              </w:rPr>
            </w:pPr>
            <w:r>
              <w:rPr>
                <w:rFonts w:ascii="Arial" w:hAnsi="Arial" w:cs="Arial"/>
                <w:sz w:val="20"/>
                <w:szCs w:val="20"/>
              </w:rPr>
              <w:t>insufficient evidence</w:t>
            </w:r>
          </w:p>
        </w:tc>
      </w:tr>
      <w:tr w:rsidR="00FC69FD" w14:paraId="1813C1BE" w14:textId="77777777" w:rsidTr="00A968C1">
        <w:tc>
          <w:tcPr>
            <w:tcW w:w="2268" w:type="dxa"/>
          </w:tcPr>
          <w:p w14:paraId="5CFF52B4" w14:textId="77777777" w:rsidR="00FC69FD" w:rsidRDefault="00FC69FD" w:rsidP="00A968C1">
            <w:pPr>
              <w:spacing w:line="480" w:lineRule="auto"/>
              <w:rPr>
                <w:rFonts w:ascii="Arial" w:hAnsi="Arial" w:cs="Arial"/>
                <w:sz w:val="20"/>
                <w:szCs w:val="20"/>
              </w:rPr>
            </w:pPr>
            <w:r>
              <w:rPr>
                <w:rFonts w:ascii="Arial" w:hAnsi="Arial" w:cs="Arial"/>
                <w:sz w:val="20"/>
                <w:szCs w:val="20"/>
              </w:rPr>
              <w:t>0.10≤P</w:t>
            </w:r>
          </w:p>
        </w:tc>
        <w:tc>
          <w:tcPr>
            <w:tcW w:w="3686" w:type="dxa"/>
          </w:tcPr>
          <w:p w14:paraId="4A14B941" w14:textId="77777777" w:rsidR="00FC69FD" w:rsidRDefault="00FC69FD" w:rsidP="00A968C1">
            <w:pPr>
              <w:spacing w:line="480" w:lineRule="auto"/>
              <w:rPr>
                <w:rFonts w:ascii="Arial" w:hAnsi="Arial" w:cs="Arial"/>
                <w:sz w:val="20"/>
                <w:szCs w:val="20"/>
              </w:rPr>
            </w:pPr>
            <w:r>
              <w:rPr>
                <w:rFonts w:ascii="Arial" w:hAnsi="Arial" w:cs="Arial"/>
                <w:sz w:val="20"/>
                <w:szCs w:val="20"/>
              </w:rPr>
              <w:t>no evidence</w:t>
            </w:r>
          </w:p>
        </w:tc>
      </w:tr>
    </w:tbl>
    <w:p w14:paraId="48FC424E" w14:textId="77777777" w:rsidR="00FC69FD" w:rsidRPr="00C15105" w:rsidRDefault="00FC69FD" w:rsidP="00FC69FD">
      <w:pPr>
        <w:spacing w:after="0" w:line="360" w:lineRule="auto"/>
        <w:rPr>
          <w:rFonts w:ascii="Arial" w:hAnsi="Arial" w:cs="Arial"/>
          <w:sz w:val="20"/>
          <w:szCs w:val="20"/>
        </w:rPr>
      </w:pPr>
    </w:p>
    <w:p w14:paraId="10889197" w14:textId="77777777" w:rsidR="00FC69FD" w:rsidRDefault="00FC69FD" w:rsidP="00FC69FD">
      <w:pPr>
        <w:spacing w:after="0" w:line="360" w:lineRule="auto"/>
        <w:rPr>
          <w:rFonts w:ascii="Arial" w:hAnsi="Arial" w:cs="Arial"/>
          <w:b/>
          <w:sz w:val="20"/>
          <w:szCs w:val="20"/>
        </w:rPr>
      </w:pPr>
    </w:p>
    <w:p w14:paraId="62460CDE" w14:textId="77777777" w:rsidR="009E19F7" w:rsidRDefault="00D466EA" w:rsidP="00FC69FD">
      <w:pPr>
        <w:spacing w:after="0" w:line="360" w:lineRule="auto"/>
        <w:rPr>
          <w:rFonts w:ascii="Arial" w:hAnsi="Arial" w:cs="Arial"/>
          <w:sz w:val="20"/>
          <w:szCs w:val="20"/>
        </w:rPr>
      </w:pPr>
      <w:r>
        <w:rPr>
          <w:rFonts w:ascii="Arial" w:hAnsi="Arial" w:cs="Arial"/>
          <w:sz w:val="20"/>
          <w:szCs w:val="20"/>
        </w:rPr>
        <w:t>Table 5</w:t>
      </w:r>
      <w:r w:rsidR="009E19F7" w:rsidRPr="009E19F7">
        <w:rPr>
          <w:rFonts w:ascii="Arial" w:hAnsi="Arial" w:cs="Arial"/>
          <w:sz w:val="20"/>
          <w:szCs w:val="20"/>
        </w:rPr>
        <w:t xml:space="preserve"> Caption</w:t>
      </w:r>
      <w:r w:rsidR="009E19F7">
        <w:rPr>
          <w:rFonts w:ascii="Arial" w:hAnsi="Arial" w:cs="Arial"/>
          <w:sz w:val="20"/>
          <w:szCs w:val="20"/>
        </w:rPr>
        <w:t>: A useful language for interpret</w:t>
      </w:r>
      <w:r w:rsidR="006E0687">
        <w:rPr>
          <w:rFonts w:ascii="Arial" w:hAnsi="Arial" w:cs="Arial"/>
          <w:sz w:val="20"/>
          <w:szCs w:val="20"/>
        </w:rPr>
        <w:t>ing p-values</w:t>
      </w:r>
    </w:p>
    <w:p w14:paraId="346897A3" w14:textId="77777777" w:rsidR="00737956" w:rsidRPr="009E19F7" w:rsidRDefault="00737956" w:rsidP="00FC69FD">
      <w:pPr>
        <w:spacing w:after="0" w:line="360" w:lineRule="auto"/>
        <w:rPr>
          <w:rFonts w:ascii="Arial" w:hAnsi="Arial" w:cs="Arial"/>
          <w:sz w:val="20"/>
          <w:szCs w:val="20"/>
        </w:rPr>
      </w:pPr>
    </w:p>
    <w:p w14:paraId="2B8E0CC7" w14:textId="77777777" w:rsidR="005D7275" w:rsidRDefault="005D7275">
      <w:pPr>
        <w:rPr>
          <w:rFonts w:ascii="Arial" w:hAnsi="Arial" w:cs="Arial"/>
          <w:sz w:val="20"/>
          <w:szCs w:val="20"/>
        </w:rPr>
      </w:pPr>
      <w:r>
        <w:rPr>
          <w:rFonts w:ascii="Arial" w:hAnsi="Arial" w:cs="Arial"/>
          <w:sz w:val="20"/>
          <w:szCs w:val="20"/>
        </w:rPr>
        <w:br w:type="page"/>
      </w:r>
    </w:p>
    <w:p w14:paraId="038CE97E" w14:textId="77777777" w:rsidR="00A968C1" w:rsidRPr="000431BD" w:rsidRDefault="00FC69FD" w:rsidP="00FC69FD">
      <w:pPr>
        <w:spacing w:after="0" w:line="360" w:lineRule="auto"/>
        <w:rPr>
          <w:rFonts w:ascii="Arial" w:hAnsi="Arial" w:cs="Arial"/>
          <w:sz w:val="20"/>
          <w:szCs w:val="20"/>
        </w:rPr>
      </w:pPr>
      <w:r w:rsidRPr="000431BD">
        <w:rPr>
          <w:rFonts w:ascii="Arial" w:hAnsi="Arial" w:cs="Arial"/>
          <w:sz w:val="20"/>
          <w:szCs w:val="20"/>
        </w:rPr>
        <w:lastRenderedPageBreak/>
        <w:t xml:space="preserve">Table </w:t>
      </w:r>
      <w:r w:rsidR="00D466EA">
        <w:rPr>
          <w:rFonts w:ascii="Arial" w:hAnsi="Arial" w:cs="Arial"/>
          <w:sz w:val="20"/>
          <w:szCs w:val="20"/>
        </w:rPr>
        <w:t>6</w:t>
      </w:r>
      <w:r w:rsidR="00A968C1">
        <w:rPr>
          <w:rFonts w:ascii="Arial" w:hAnsi="Arial" w:cs="Arial"/>
          <w:sz w:val="20"/>
          <w:szCs w:val="20"/>
        </w:rPr>
        <w:t>. The Simplest Statistical Test*</w:t>
      </w:r>
    </w:p>
    <w:p w14:paraId="4FE626EB" w14:textId="77777777" w:rsidR="00FC69FD" w:rsidRDefault="00FC69FD" w:rsidP="00FC69FD">
      <w:pPr>
        <w:spacing w:after="0" w:line="360" w:lineRule="auto"/>
        <w:rPr>
          <w:rFonts w:ascii="Arial" w:hAnsi="Arial" w:cs="Arial"/>
          <w:sz w:val="20"/>
          <w:szCs w:val="20"/>
        </w:rPr>
      </w:pPr>
    </w:p>
    <w:p w14:paraId="4B6FDC4A" w14:textId="77777777" w:rsidR="00FC69FD" w:rsidRDefault="00FC69FD" w:rsidP="00A968C1">
      <w:pPr>
        <w:spacing w:after="0" w:line="480" w:lineRule="auto"/>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b are the numbers having an outcome event in the two treatment groups</w:t>
      </w:r>
    </w:p>
    <w:p w14:paraId="1D62D156" w14:textId="77777777" w:rsidR="00FC69FD" w:rsidRDefault="00EC4A4D" w:rsidP="00A968C1">
      <w:pPr>
        <w:spacing w:after="0" w:line="480" w:lineRule="auto"/>
        <w:rPr>
          <w:rFonts w:ascii="Arial" w:eastAsiaTheme="minorEastAsia" w:hAnsi="Arial" w:cs="Arial"/>
          <w:sz w:val="20"/>
          <w:szCs w:val="20"/>
        </w:rPr>
      </w:pPr>
      <m:oMath>
        <m:f>
          <m:fPr>
            <m:ctrlPr>
              <w:rPr>
                <w:rFonts w:ascii="Cambria Math" w:hAnsi="Cambria Math" w:cs="Arial"/>
                <w:i/>
                <w:sz w:val="28"/>
                <w:szCs w:val="28"/>
              </w:rPr>
            </m:ctrlPr>
          </m:fPr>
          <m:num>
            <m:r>
              <w:rPr>
                <w:rFonts w:ascii="Cambria Math" w:hAnsi="Cambria Math" w:cs="Arial"/>
                <w:sz w:val="28"/>
                <w:szCs w:val="28"/>
              </w:rPr>
              <m:t>a-b</m:t>
            </m:r>
          </m:num>
          <m:den>
            <m:rad>
              <m:radPr>
                <m:degHide m:val="1"/>
                <m:ctrlPr>
                  <w:rPr>
                    <w:rFonts w:ascii="Cambria Math" w:hAnsi="Cambria Math" w:cs="Arial"/>
                    <w:i/>
                    <w:sz w:val="28"/>
                    <w:szCs w:val="28"/>
                  </w:rPr>
                </m:ctrlPr>
              </m:radPr>
              <m:deg/>
              <m:e>
                <m:r>
                  <w:rPr>
                    <w:rFonts w:ascii="Cambria Math" w:hAnsi="Cambria Math" w:cs="Arial"/>
                    <w:sz w:val="28"/>
                    <w:szCs w:val="28"/>
                  </w:rPr>
                  <m:t>a+b</m:t>
                </m:r>
              </m:e>
            </m:rad>
          </m:den>
        </m:f>
      </m:oMath>
      <w:r w:rsidR="00FC69FD">
        <w:rPr>
          <w:rFonts w:ascii="Arial" w:eastAsiaTheme="minorEastAsia" w:hAnsi="Arial" w:cs="Arial"/>
          <w:sz w:val="20"/>
          <w:szCs w:val="20"/>
        </w:rPr>
        <w:t xml:space="preserve"> </w:t>
      </w:r>
      <w:r w:rsidR="00A968C1">
        <w:rPr>
          <w:rFonts w:ascii="Arial" w:eastAsiaTheme="minorEastAsia" w:hAnsi="Arial" w:cs="Arial"/>
          <w:sz w:val="20"/>
          <w:szCs w:val="20"/>
        </w:rPr>
        <w:t xml:space="preserve"> </w:t>
      </w:r>
      <w:proofErr w:type="gramStart"/>
      <w:r w:rsidR="00FC69FD">
        <w:rPr>
          <w:rFonts w:ascii="Arial" w:eastAsiaTheme="minorEastAsia" w:hAnsi="Arial" w:cs="Arial"/>
          <w:sz w:val="20"/>
          <w:szCs w:val="20"/>
        </w:rPr>
        <w:t>is</w:t>
      </w:r>
      <w:proofErr w:type="gramEnd"/>
      <w:r w:rsidR="00FC69FD">
        <w:rPr>
          <w:rFonts w:ascii="Arial" w:eastAsiaTheme="minorEastAsia" w:hAnsi="Arial" w:cs="Arial"/>
          <w:sz w:val="20"/>
          <w:szCs w:val="20"/>
        </w:rPr>
        <w:t xml:space="preserve"> approximately a standardised normal deviate, z</w:t>
      </w:r>
    </w:p>
    <w:p w14:paraId="73058A89" w14:textId="77777777" w:rsidR="00FC69FD" w:rsidRDefault="00FC69FD" w:rsidP="00A968C1">
      <w:pPr>
        <w:spacing w:after="0" w:line="480" w:lineRule="auto"/>
        <w:rPr>
          <w:rFonts w:ascii="Arial" w:eastAsiaTheme="minorEastAsia" w:hAnsi="Arial" w:cs="Arial"/>
          <w:sz w:val="20"/>
          <w:szCs w:val="20"/>
        </w:rPr>
      </w:pPr>
      <w:r>
        <w:rPr>
          <w:rFonts w:ascii="Arial" w:eastAsiaTheme="minorEastAsia" w:hAnsi="Arial" w:cs="Arial"/>
          <w:sz w:val="20"/>
          <w:szCs w:val="20"/>
        </w:rPr>
        <w:t>The larger is z, the smaller is P. Here are some useful values: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tblGrid>
      <w:tr w:rsidR="00FC69FD" w14:paraId="40FBF084" w14:textId="77777777" w:rsidTr="00FC69FD">
        <w:tc>
          <w:tcPr>
            <w:tcW w:w="1134" w:type="dxa"/>
          </w:tcPr>
          <w:p w14:paraId="36A08FBF" w14:textId="77777777" w:rsidR="00FC69FD" w:rsidRPr="00E6696F" w:rsidRDefault="00FC69FD" w:rsidP="00A968C1">
            <w:pPr>
              <w:spacing w:line="480" w:lineRule="auto"/>
              <w:jc w:val="center"/>
              <w:rPr>
                <w:rFonts w:ascii="Arial" w:hAnsi="Arial" w:cs="Arial"/>
                <w:b/>
                <w:sz w:val="20"/>
                <w:szCs w:val="20"/>
              </w:rPr>
            </w:pPr>
            <w:r w:rsidRPr="00E6696F">
              <w:rPr>
                <w:rFonts w:ascii="Arial" w:hAnsi="Arial" w:cs="Arial"/>
                <w:b/>
                <w:sz w:val="20"/>
                <w:szCs w:val="20"/>
              </w:rPr>
              <w:t>Z</w:t>
            </w:r>
          </w:p>
        </w:tc>
        <w:tc>
          <w:tcPr>
            <w:tcW w:w="1134" w:type="dxa"/>
          </w:tcPr>
          <w:p w14:paraId="48B77478" w14:textId="77777777" w:rsidR="00FC69FD" w:rsidRPr="00E6696F" w:rsidRDefault="00FC69FD" w:rsidP="00A968C1">
            <w:pPr>
              <w:spacing w:line="480" w:lineRule="auto"/>
              <w:jc w:val="center"/>
              <w:rPr>
                <w:rFonts w:ascii="Arial" w:hAnsi="Arial" w:cs="Arial"/>
                <w:b/>
                <w:sz w:val="20"/>
                <w:szCs w:val="20"/>
              </w:rPr>
            </w:pPr>
            <w:r w:rsidRPr="00E6696F">
              <w:rPr>
                <w:rFonts w:ascii="Arial" w:hAnsi="Arial" w:cs="Arial"/>
                <w:b/>
                <w:sz w:val="20"/>
                <w:szCs w:val="20"/>
              </w:rPr>
              <w:t>P</w:t>
            </w:r>
          </w:p>
        </w:tc>
      </w:tr>
      <w:tr w:rsidR="00FC69FD" w14:paraId="37FB8AA4" w14:textId="77777777" w:rsidTr="00FC69FD">
        <w:tc>
          <w:tcPr>
            <w:tcW w:w="1134" w:type="dxa"/>
          </w:tcPr>
          <w:p w14:paraId="1C46D863"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1.64</w:t>
            </w:r>
          </w:p>
        </w:tc>
        <w:tc>
          <w:tcPr>
            <w:tcW w:w="1134" w:type="dxa"/>
          </w:tcPr>
          <w:p w14:paraId="64E81F09"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0.1</w:t>
            </w:r>
          </w:p>
        </w:tc>
      </w:tr>
      <w:tr w:rsidR="00FC69FD" w14:paraId="131E41B5" w14:textId="77777777" w:rsidTr="00FC69FD">
        <w:tc>
          <w:tcPr>
            <w:tcW w:w="1134" w:type="dxa"/>
          </w:tcPr>
          <w:p w14:paraId="48027E69"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1.96</w:t>
            </w:r>
          </w:p>
        </w:tc>
        <w:tc>
          <w:tcPr>
            <w:tcW w:w="1134" w:type="dxa"/>
          </w:tcPr>
          <w:p w14:paraId="22B84AE7"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0.05</w:t>
            </w:r>
          </w:p>
        </w:tc>
      </w:tr>
      <w:tr w:rsidR="00FC69FD" w14:paraId="5C19FB4D" w14:textId="77777777" w:rsidTr="00FC69FD">
        <w:tc>
          <w:tcPr>
            <w:tcW w:w="1134" w:type="dxa"/>
          </w:tcPr>
          <w:p w14:paraId="0ACB82AA"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2.58</w:t>
            </w:r>
          </w:p>
        </w:tc>
        <w:tc>
          <w:tcPr>
            <w:tcW w:w="1134" w:type="dxa"/>
          </w:tcPr>
          <w:p w14:paraId="3C60794B"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0.01</w:t>
            </w:r>
          </w:p>
        </w:tc>
      </w:tr>
      <w:tr w:rsidR="00FC69FD" w14:paraId="177C7AB0" w14:textId="77777777" w:rsidTr="00FC69FD">
        <w:tc>
          <w:tcPr>
            <w:tcW w:w="1134" w:type="dxa"/>
          </w:tcPr>
          <w:p w14:paraId="6BCA96A1"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2.81</w:t>
            </w:r>
          </w:p>
        </w:tc>
        <w:tc>
          <w:tcPr>
            <w:tcW w:w="1134" w:type="dxa"/>
          </w:tcPr>
          <w:p w14:paraId="5601A0A3"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0.005</w:t>
            </w:r>
          </w:p>
        </w:tc>
      </w:tr>
      <w:tr w:rsidR="00FC69FD" w14:paraId="74C243FF" w14:textId="77777777" w:rsidTr="00FC69FD">
        <w:tc>
          <w:tcPr>
            <w:tcW w:w="1134" w:type="dxa"/>
          </w:tcPr>
          <w:p w14:paraId="1D7B73E0"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3.29</w:t>
            </w:r>
          </w:p>
        </w:tc>
        <w:tc>
          <w:tcPr>
            <w:tcW w:w="1134" w:type="dxa"/>
          </w:tcPr>
          <w:p w14:paraId="24192C39"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0.001</w:t>
            </w:r>
          </w:p>
        </w:tc>
      </w:tr>
      <w:tr w:rsidR="00FC69FD" w14:paraId="343A00F4" w14:textId="77777777" w:rsidTr="00FC69FD">
        <w:tc>
          <w:tcPr>
            <w:tcW w:w="1134" w:type="dxa"/>
          </w:tcPr>
          <w:p w14:paraId="5BB77DCE"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3.48</w:t>
            </w:r>
          </w:p>
        </w:tc>
        <w:tc>
          <w:tcPr>
            <w:tcW w:w="1134" w:type="dxa"/>
          </w:tcPr>
          <w:p w14:paraId="29621E88"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0.0005</w:t>
            </w:r>
          </w:p>
        </w:tc>
      </w:tr>
      <w:tr w:rsidR="00FC69FD" w14:paraId="12BB1271" w14:textId="77777777" w:rsidTr="00FC69FD">
        <w:tc>
          <w:tcPr>
            <w:tcW w:w="1134" w:type="dxa"/>
          </w:tcPr>
          <w:p w14:paraId="3043574D"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3.89</w:t>
            </w:r>
          </w:p>
        </w:tc>
        <w:tc>
          <w:tcPr>
            <w:tcW w:w="1134" w:type="dxa"/>
          </w:tcPr>
          <w:p w14:paraId="2278E377"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0.0001</w:t>
            </w:r>
          </w:p>
        </w:tc>
      </w:tr>
    </w:tbl>
    <w:p w14:paraId="2DBF3419" w14:textId="77777777" w:rsidR="00A968C1" w:rsidRDefault="00A968C1" w:rsidP="00A968C1">
      <w:pPr>
        <w:spacing w:after="0" w:line="480" w:lineRule="auto"/>
        <w:rPr>
          <w:rFonts w:ascii="Arial" w:hAnsi="Arial" w:cs="Arial"/>
          <w:b/>
          <w:sz w:val="20"/>
          <w:szCs w:val="20"/>
        </w:rPr>
      </w:pPr>
    </w:p>
    <w:p w14:paraId="1B3E5BA8" w14:textId="77777777" w:rsidR="00FC69FD" w:rsidRDefault="00FC69FD" w:rsidP="00A968C1">
      <w:pPr>
        <w:spacing w:after="0" w:line="480" w:lineRule="auto"/>
        <w:rPr>
          <w:rFonts w:ascii="Arial" w:hAnsi="Arial" w:cs="Arial"/>
          <w:sz w:val="20"/>
          <w:szCs w:val="20"/>
        </w:rPr>
      </w:pPr>
      <w:r w:rsidRPr="00FE1995">
        <w:rPr>
          <w:rFonts w:ascii="Arial" w:hAnsi="Arial" w:cs="Arial"/>
          <w:b/>
          <w:sz w:val="20"/>
          <w:szCs w:val="20"/>
        </w:rPr>
        <w:t>Four Examples</w:t>
      </w:r>
      <w:r>
        <w:rPr>
          <w:rFonts w:ascii="Arial" w:hAnsi="Arial" w:cs="Arial"/>
          <w:sz w:val="20"/>
          <w:szCs w:val="20"/>
        </w:rPr>
        <w:t>:</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26"/>
        <w:gridCol w:w="1701"/>
        <w:gridCol w:w="1843"/>
        <w:gridCol w:w="1190"/>
        <w:gridCol w:w="2354"/>
      </w:tblGrid>
      <w:tr w:rsidR="00FC69FD" w14:paraId="065BA833" w14:textId="77777777" w:rsidTr="00850255">
        <w:tc>
          <w:tcPr>
            <w:tcW w:w="1701" w:type="dxa"/>
          </w:tcPr>
          <w:p w14:paraId="424EF4D4" w14:textId="77777777" w:rsidR="00FC69FD" w:rsidRPr="00FE1995" w:rsidRDefault="00FC69FD" w:rsidP="00A968C1">
            <w:pPr>
              <w:spacing w:line="480" w:lineRule="auto"/>
              <w:rPr>
                <w:rFonts w:ascii="Arial" w:hAnsi="Arial" w:cs="Arial"/>
                <w:b/>
                <w:sz w:val="20"/>
                <w:szCs w:val="20"/>
              </w:rPr>
            </w:pPr>
            <w:r w:rsidRPr="00FE1995">
              <w:rPr>
                <w:rFonts w:ascii="Arial" w:hAnsi="Arial" w:cs="Arial"/>
                <w:b/>
                <w:sz w:val="20"/>
                <w:szCs w:val="20"/>
              </w:rPr>
              <w:t>Trial</w:t>
            </w:r>
          </w:p>
        </w:tc>
        <w:tc>
          <w:tcPr>
            <w:tcW w:w="2627" w:type="dxa"/>
            <w:gridSpan w:val="2"/>
          </w:tcPr>
          <w:p w14:paraId="6A1336B7" w14:textId="77777777" w:rsidR="00FC69FD" w:rsidRDefault="00FC69FD" w:rsidP="00A968C1">
            <w:pPr>
              <w:spacing w:line="480" w:lineRule="auto"/>
              <w:rPr>
                <w:rFonts w:ascii="Arial" w:hAnsi="Arial" w:cs="Arial"/>
                <w:sz w:val="20"/>
                <w:szCs w:val="20"/>
              </w:rPr>
            </w:pPr>
            <w:r w:rsidRPr="00FE1995">
              <w:rPr>
                <w:rFonts w:ascii="Arial" w:hAnsi="Arial" w:cs="Arial"/>
                <w:b/>
                <w:sz w:val="20"/>
                <w:szCs w:val="20"/>
              </w:rPr>
              <w:t>no. of patients</w:t>
            </w:r>
            <w:r>
              <w:rPr>
                <w:rFonts w:ascii="Arial" w:hAnsi="Arial" w:cs="Arial"/>
                <w:b/>
                <w:sz w:val="20"/>
                <w:szCs w:val="20"/>
              </w:rPr>
              <w:t xml:space="preserve"> </w:t>
            </w:r>
            <w:r w:rsidRPr="00FE1995">
              <w:rPr>
                <w:rFonts w:ascii="Arial" w:hAnsi="Arial" w:cs="Arial"/>
                <w:b/>
                <w:sz w:val="20"/>
                <w:szCs w:val="20"/>
              </w:rPr>
              <w:t>with event</w:t>
            </w:r>
          </w:p>
        </w:tc>
        <w:tc>
          <w:tcPr>
            <w:tcW w:w="1843" w:type="dxa"/>
          </w:tcPr>
          <w:p w14:paraId="7E26F22E" w14:textId="77777777" w:rsidR="00FC69FD" w:rsidRPr="006935E5" w:rsidRDefault="00FC69FD" w:rsidP="00A968C1">
            <w:pPr>
              <w:spacing w:line="480" w:lineRule="auto"/>
              <w:rPr>
                <w:rFonts w:ascii="Arial" w:hAnsi="Arial" w:cs="Arial"/>
                <w:b/>
                <w:sz w:val="20"/>
                <w:szCs w:val="20"/>
              </w:rPr>
            </w:pPr>
          </w:p>
          <w:p w14:paraId="3725B789" w14:textId="77777777" w:rsidR="00FC69FD" w:rsidRPr="006935E5" w:rsidRDefault="00FC69FD" w:rsidP="00A968C1">
            <w:pPr>
              <w:spacing w:line="480" w:lineRule="auto"/>
              <w:jc w:val="center"/>
              <w:rPr>
                <w:rFonts w:ascii="Arial" w:hAnsi="Arial" w:cs="Arial"/>
                <w:b/>
                <w:sz w:val="20"/>
                <w:szCs w:val="20"/>
              </w:rPr>
            </w:pPr>
            <w:r w:rsidRPr="006935E5">
              <w:rPr>
                <w:rFonts w:ascii="Arial" w:hAnsi="Arial" w:cs="Arial"/>
                <w:b/>
                <w:sz w:val="20"/>
                <w:szCs w:val="20"/>
              </w:rPr>
              <w:t>Z</w:t>
            </w:r>
          </w:p>
        </w:tc>
        <w:tc>
          <w:tcPr>
            <w:tcW w:w="1190" w:type="dxa"/>
          </w:tcPr>
          <w:p w14:paraId="3CFEE11B" w14:textId="77777777" w:rsidR="00FC69FD" w:rsidRPr="006935E5" w:rsidRDefault="00FC69FD" w:rsidP="00A968C1">
            <w:pPr>
              <w:spacing w:line="480" w:lineRule="auto"/>
              <w:rPr>
                <w:rFonts w:ascii="Arial" w:hAnsi="Arial" w:cs="Arial"/>
                <w:b/>
                <w:sz w:val="20"/>
                <w:szCs w:val="20"/>
              </w:rPr>
            </w:pPr>
          </w:p>
          <w:p w14:paraId="190E9696" w14:textId="77777777" w:rsidR="00FC69FD" w:rsidRPr="006935E5" w:rsidRDefault="00FC69FD" w:rsidP="00A968C1">
            <w:pPr>
              <w:spacing w:line="480" w:lineRule="auto"/>
              <w:jc w:val="center"/>
              <w:rPr>
                <w:rFonts w:ascii="Arial" w:hAnsi="Arial" w:cs="Arial"/>
                <w:b/>
                <w:sz w:val="20"/>
                <w:szCs w:val="20"/>
              </w:rPr>
            </w:pPr>
            <w:r w:rsidRPr="006935E5">
              <w:rPr>
                <w:rFonts w:ascii="Arial" w:hAnsi="Arial" w:cs="Arial"/>
                <w:b/>
                <w:sz w:val="20"/>
                <w:szCs w:val="20"/>
              </w:rPr>
              <w:t>P</w:t>
            </w:r>
          </w:p>
        </w:tc>
        <w:tc>
          <w:tcPr>
            <w:tcW w:w="2354" w:type="dxa"/>
          </w:tcPr>
          <w:p w14:paraId="5FB3C0CC" w14:textId="77777777" w:rsidR="00FC69FD" w:rsidRPr="006935E5" w:rsidRDefault="00FC69FD" w:rsidP="00A968C1">
            <w:pPr>
              <w:spacing w:line="480" w:lineRule="auto"/>
              <w:jc w:val="center"/>
              <w:rPr>
                <w:rFonts w:ascii="Arial" w:hAnsi="Arial" w:cs="Arial"/>
                <w:b/>
                <w:sz w:val="20"/>
                <w:szCs w:val="20"/>
              </w:rPr>
            </w:pPr>
          </w:p>
          <w:p w14:paraId="0DF836D1" w14:textId="77777777" w:rsidR="00FC69FD" w:rsidRPr="006935E5" w:rsidRDefault="00FC69FD" w:rsidP="00A968C1">
            <w:pPr>
              <w:spacing w:line="480" w:lineRule="auto"/>
              <w:rPr>
                <w:rFonts w:ascii="Arial" w:hAnsi="Arial" w:cs="Arial"/>
                <w:b/>
                <w:sz w:val="20"/>
                <w:szCs w:val="20"/>
              </w:rPr>
            </w:pPr>
            <w:r w:rsidRPr="006935E5">
              <w:rPr>
                <w:rFonts w:ascii="Arial" w:hAnsi="Arial" w:cs="Arial"/>
                <w:b/>
                <w:sz w:val="20"/>
                <w:szCs w:val="20"/>
              </w:rPr>
              <w:t>interpretation</w:t>
            </w:r>
          </w:p>
        </w:tc>
      </w:tr>
      <w:tr w:rsidR="00FC69FD" w14:paraId="2A826466" w14:textId="77777777" w:rsidTr="00850255">
        <w:tc>
          <w:tcPr>
            <w:tcW w:w="1701" w:type="dxa"/>
          </w:tcPr>
          <w:p w14:paraId="05506FD1" w14:textId="77777777" w:rsidR="00FC69FD" w:rsidRDefault="00FC69FD" w:rsidP="00A968C1">
            <w:pPr>
              <w:spacing w:line="480" w:lineRule="auto"/>
              <w:rPr>
                <w:rFonts w:ascii="Arial" w:hAnsi="Arial" w:cs="Arial"/>
                <w:sz w:val="20"/>
                <w:szCs w:val="20"/>
              </w:rPr>
            </w:pPr>
          </w:p>
        </w:tc>
        <w:tc>
          <w:tcPr>
            <w:tcW w:w="926" w:type="dxa"/>
          </w:tcPr>
          <w:p w14:paraId="79DE5CBF" w14:textId="77777777" w:rsidR="00FC69FD" w:rsidRPr="006935E5" w:rsidRDefault="00FC69FD" w:rsidP="00A968C1">
            <w:pPr>
              <w:spacing w:line="480" w:lineRule="auto"/>
              <w:jc w:val="center"/>
              <w:rPr>
                <w:rFonts w:ascii="Arial" w:hAnsi="Arial" w:cs="Arial"/>
                <w:b/>
                <w:sz w:val="20"/>
                <w:szCs w:val="20"/>
              </w:rPr>
            </w:pPr>
            <w:r w:rsidRPr="006935E5">
              <w:rPr>
                <w:rFonts w:ascii="Arial" w:hAnsi="Arial" w:cs="Arial"/>
                <w:b/>
                <w:sz w:val="20"/>
                <w:szCs w:val="20"/>
              </w:rPr>
              <w:t>control</w:t>
            </w:r>
          </w:p>
          <w:p w14:paraId="6298F196" w14:textId="77777777" w:rsidR="00FC69FD" w:rsidRPr="006935E5" w:rsidRDefault="00FC69FD" w:rsidP="00A968C1">
            <w:pPr>
              <w:spacing w:line="480" w:lineRule="auto"/>
              <w:jc w:val="center"/>
              <w:rPr>
                <w:rFonts w:ascii="Arial" w:hAnsi="Arial" w:cs="Arial"/>
                <w:b/>
                <w:sz w:val="20"/>
                <w:szCs w:val="20"/>
              </w:rPr>
            </w:pPr>
            <w:r w:rsidRPr="006935E5">
              <w:rPr>
                <w:rFonts w:ascii="Arial" w:hAnsi="Arial" w:cs="Arial"/>
                <w:b/>
                <w:sz w:val="20"/>
                <w:szCs w:val="20"/>
              </w:rPr>
              <w:t>(a)</w:t>
            </w:r>
          </w:p>
        </w:tc>
        <w:tc>
          <w:tcPr>
            <w:tcW w:w="1701" w:type="dxa"/>
          </w:tcPr>
          <w:p w14:paraId="2078FE68" w14:textId="77777777" w:rsidR="00FC69FD" w:rsidRPr="006935E5" w:rsidRDefault="00FC69FD" w:rsidP="00A968C1">
            <w:pPr>
              <w:spacing w:line="480" w:lineRule="auto"/>
              <w:rPr>
                <w:rFonts w:ascii="Arial" w:hAnsi="Arial" w:cs="Arial"/>
                <w:b/>
                <w:sz w:val="20"/>
                <w:szCs w:val="20"/>
              </w:rPr>
            </w:pPr>
            <w:r>
              <w:rPr>
                <w:rFonts w:ascii="Arial" w:hAnsi="Arial" w:cs="Arial"/>
                <w:b/>
                <w:sz w:val="20"/>
                <w:szCs w:val="20"/>
              </w:rPr>
              <w:t>n</w:t>
            </w:r>
            <w:r w:rsidRPr="006935E5">
              <w:rPr>
                <w:rFonts w:ascii="Arial" w:hAnsi="Arial" w:cs="Arial"/>
                <w:b/>
                <w:sz w:val="20"/>
                <w:szCs w:val="20"/>
              </w:rPr>
              <w:t>ew</w:t>
            </w:r>
            <w:r>
              <w:rPr>
                <w:rFonts w:ascii="Arial" w:hAnsi="Arial" w:cs="Arial"/>
                <w:b/>
                <w:sz w:val="20"/>
                <w:szCs w:val="20"/>
              </w:rPr>
              <w:t xml:space="preserve"> </w:t>
            </w:r>
            <w:r w:rsidRPr="006935E5">
              <w:rPr>
                <w:rFonts w:ascii="Arial" w:hAnsi="Arial" w:cs="Arial"/>
                <w:b/>
                <w:sz w:val="20"/>
                <w:szCs w:val="20"/>
              </w:rPr>
              <w:t>treatment</w:t>
            </w:r>
          </w:p>
          <w:p w14:paraId="5CC4995F" w14:textId="77777777" w:rsidR="00FC69FD" w:rsidRPr="006935E5" w:rsidRDefault="00FC69FD" w:rsidP="00A968C1">
            <w:pPr>
              <w:spacing w:line="480" w:lineRule="auto"/>
              <w:jc w:val="center"/>
              <w:rPr>
                <w:rFonts w:ascii="Arial" w:hAnsi="Arial" w:cs="Arial"/>
                <w:b/>
                <w:sz w:val="20"/>
                <w:szCs w:val="20"/>
              </w:rPr>
            </w:pPr>
            <w:r w:rsidRPr="006935E5">
              <w:rPr>
                <w:rFonts w:ascii="Arial" w:hAnsi="Arial" w:cs="Arial"/>
                <w:b/>
                <w:sz w:val="20"/>
                <w:szCs w:val="20"/>
              </w:rPr>
              <w:t>(b)</w:t>
            </w:r>
          </w:p>
        </w:tc>
        <w:tc>
          <w:tcPr>
            <w:tcW w:w="1843" w:type="dxa"/>
          </w:tcPr>
          <w:p w14:paraId="7D3CB730" w14:textId="77777777" w:rsidR="00FC69FD" w:rsidRPr="00A968C1" w:rsidRDefault="00EC4A4D" w:rsidP="00A968C1">
            <w:pPr>
              <w:spacing w:line="480" w:lineRule="auto"/>
              <w:jc w:val="center"/>
              <w:rPr>
                <w:rFonts w:ascii="Arial" w:eastAsiaTheme="minorEastAsia" w:hAnsi="Arial" w:cs="Arial"/>
                <w:b/>
              </w:rPr>
            </w:pPr>
            <m:oMathPara>
              <m:oMath>
                <m:f>
                  <m:fPr>
                    <m:ctrlPr>
                      <w:rPr>
                        <w:rFonts w:ascii="Cambria Math" w:eastAsiaTheme="minorEastAsia" w:hAnsi="Cambria Math" w:cs="Arial"/>
                        <w:b/>
                        <w:i/>
                      </w:rPr>
                    </m:ctrlPr>
                  </m:fPr>
                  <m:num>
                    <m:r>
                      <m:rPr>
                        <m:sty m:val="bi"/>
                      </m:rPr>
                      <w:rPr>
                        <w:rFonts w:ascii="Cambria Math" w:eastAsiaTheme="minorEastAsia" w:hAnsi="Cambria Math" w:cs="Arial"/>
                      </w:rPr>
                      <m:t>a-b</m:t>
                    </m:r>
                  </m:num>
                  <m:den>
                    <m:rad>
                      <m:radPr>
                        <m:degHide m:val="1"/>
                        <m:ctrlPr>
                          <w:rPr>
                            <w:rFonts w:ascii="Cambria Math" w:eastAsiaTheme="minorEastAsia" w:hAnsi="Cambria Math" w:cs="Arial"/>
                            <w:b/>
                            <w:i/>
                          </w:rPr>
                        </m:ctrlPr>
                      </m:radPr>
                      <m:deg/>
                      <m:e>
                        <m:r>
                          <m:rPr>
                            <m:sty m:val="bi"/>
                          </m:rPr>
                          <w:rPr>
                            <w:rFonts w:ascii="Cambria Math" w:eastAsiaTheme="minorEastAsia" w:hAnsi="Cambria Math" w:cs="Arial"/>
                          </w:rPr>
                          <m:t>a+b</m:t>
                        </m:r>
                      </m:e>
                    </m:rad>
                  </m:den>
                </m:f>
              </m:oMath>
            </m:oMathPara>
          </w:p>
        </w:tc>
        <w:tc>
          <w:tcPr>
            <w:tcW w:w="1190" w:type="dxa"/>
          </w:tcPr>
          <w:p w14:paraId="1D4C98F0" w14:textId="77777777" w:rsidR="00FC69FD" w:rsidRPr="006935E5" w:rsidRDefault="00FC69FD" w:rsidP="00A968C1">
            <w:pPr>
              <w:spacing w:line="480" w:lineRule="auto"/>
              <w:jc w:val="center"/>
              <w:rPr>
                <w:rFonts w:ascii="Arial" w:hAnsi="Arial" w:cs="Arial"/>
                <w:b/>
                <w:sz w:val="20"/>
                <w:szCs w:val="20"/>
              </w:rPr>
            </w:pPr>
          </w:p>
        </w:tc>
        <w:tc>
          <w:tcPr>
            <w:tcW w:w="2354" w:type="dxa"/>
          </w:tcPr>
          <w:p w14:paraId="1E93E344" w14:textId="77777777" w:rsidR="00FC69FD" w:rsidRPr="006935E5" w:rsidRDefault="00FC69FD" w:rsidP="00A968C1">
            <w:pPr>
              <w:spacing w:line="480" w:lineRule="auto"/>
              <w:rPr>
                <w:rFonts w:ascii="Arial" w:hAnsi="Arial" w:cs="Arial"/>
                <w:b/>
                <w:sz w:val="20"/>
                <w:szCs w:val="20"/>
              </w:rPr>
            </w:pPr>
          </w:p>
        </w:tc>
      </w:tr>
      <w:tr w:rsidR="00FC69FD" w14:paraId="164CEFB9" w14:textId="77777777" w:rsidTr="00850255">
        <w:tc>
          <w:tcPr>
            <w:tcW w:w="1701" w:type="dxa"/>
          </w:tcPr>
          <w:p w14:paraId="67525579" w14:textId="77777777" w:rsidR="00FC69FD" w:rsidRDefault="00FC69FD" w:rsidP="00A968C1">
            <w:pPr>
              <w:spacing w:line="480" w:lineRule="auto"/>
              <w:rPr>
                <w:rFonts w:ascii="Arial" w:hAnsi="Arial" w:cs="Arial"/>
                <w:sz w:val="20"/>
                <w:szCs w:val="20"/>
              </w:rPr>
            </w:pPr>
            <w:r>
              <w:rPr>
                <w:rFonts w:ascii="Arial" w:hAnsi="Arial" w:cs="Arial"/>
                <w:sz w:val="20"/>
                <w:szCs w:val="20"/>
              </w:rPr>
              <w:t>PARADIGM</w:t>
            </w:r>
            <w:r w:rsidR="00850255">
              <w:rPr>
                <w:rFonts w:ascii="Arial" w:hAnsi="Arial" w:cs="Arial"/>
                <w:sz w:val="20"/>
                <w:szCs w:val="20"/>
              </w:rPr>
              <w:t>-HF</w:t>
            </w:r>
          </w:p>
        </w:tc>
        <w:tc>
          <w:tcPr>
            <w:tcW w:w="926" w:type="dxa"/>
          </w:tcPr>
          <w:p w14:paraId="5CA5FA8B"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1117</w:t>
            </w:r>
          </w:p>
        </w:tc>
        <w:tc>
          <w:tcPr>
            <w:tcW w:w="1701" w:type="dxa"/>
          </w:tcPr>
          <w:p w14:paraId="66897C70"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914</w:t>
            </w:r>
          </w:p>
        </w:tc>
        <w:tc>
          <w:tcPr>
            <w:tcW w:w="1843" w:type="dxa"/>
          </w:tcPr>
          <w:p w14:paraId="4377BBA4"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4.50</w:t>
            </w:r>
          </w:p>
        </w:tc>
        <w:tc>
          <w:tcPr>
            <w:tcW w:w="1190" w:type="dxa"/>
          </w:tcPr>
          <w:p w14:paraId="63664C15" w14:textId="77777777" w:rsidR="00FC69FD" w:rsidRDefault="00FC69FD" w:rsidP="00A968C1">
            <w:pPr>
              <w:spacing w:line="480" w:lineRule="auto"/>
              <w:rPr>
                <w:rFonts w:ascii="Arial" w:hAnsi="Arial" w:cs="Arial"/>
                <w:sz w:val="20"/>
                <w:szCs w:val="20"/>
              </w:rPr>
            </w:pPr>
            <w:r>
              <w:rPr>
                <w:rFonts w:ascii="Arial" w:hAnsi="Arial" w:cs="Arial"/>
                <w:sz w:val="20"/>
                <w:szCs w:val="20"/>
              </w:rPr>
              <w:t>P&lt;0.00001</w:t>
            </w:r>
          </w:p>
        </w:tc>
        <w:tc>
          <w:tcPr>
            <w:tcW w:w="2354" w:type="dxa"/>
          </w:tcPr>
          <w:p w14:paraId="6681A2BC" w14:textId="77777777" w:rsidR="00FC69FD" w:rsidRDefault="00FC69FD" w:rsidP="00A968C1">
            <w:pPr>
              <w:spacing w:line="480" w:lineRule="auto"/>
              <w:rPr>
                <w:rFonts w:ascii="Arial" w:hAnsi="Arial" w:cs="Arial"/>
                <w:sz w:val="20"/>
                <w:szCs w:val="20"/>
              </w:rPr>
            </w:pPr>
            <w:r>
              <w:rPr>
                <w:rFonts w:ascii="Arial" w:hAnsi="Arial" w:cs="Arial"/>
                <w:sz w:val="20"/>
                <w:szCs w:val="20"/>
              </w:rPr>
              <w:t>overwhelming evidence</w:t>
            </w:r>
          </w:p>
        </w:tc>
      </w:tr>
      <w:tr w:rsidR="00FC69FD" w14:paraId="4626F862" w14:textId="77777777" w:rsidTr="00850255">
        <w:trPr>
          <w:trHeight w:val="592"/>
        </w:trPr>
        <w:tc>
          <w:tcPr>
            <w:tcW w:w="1701" w:type="dxa"/>
          </w:tcPr>
          <w:p w14:paraId="2095557D" w14:textId="77777777" w:rsidR="00FC69FD" w:rsidRDefault="00FC69FD" w:rsidP="00A968C1">
            <w:pPr>
              <w:spacing w:line="480" w:lineRule="auto"/>
              <w:rPr>
                <w:rFonts w:ascii="Arial" w:hAnsi="Arial" w:cs="Arial"/>
                <w:sz w:val="20"/>
                <w:szCs w:val="20"/>
              </w:rPr>
            </w:pPr>
            <w:r>
              <w:rPr>
                <w:rFonts w:ascii="Arial" w:hAnsi="Arial" w:cs="Arial"/>
                <w:sz w:val="20"/>
                <w:szCs w:val="20"/>
              </w:rPr>
              <w:t>CHAMPION-</w:t>
            </w:r>
          </w:p>
          <w:p w14:paraId="1BFD689D" w14:textId="77777777" w:rsidR="00FC69FD" w:rsidRDefault="00FC69FD" w:rsidP="00A968C1">
            <w:pPr>
              <w:spacing w:line="480" w:lineRule="auto"/>
              <w:rPr>
                <w:rFonts w:ascii="Arial" w:hAnsi="Arial" w:cs="Arial"/>
                <w:sz w:val="20"/>
                <w:szCs w:val="20"/>
              </w:rPr>
            </w:pPr>
            <w:r>
              <w:rPr>
                <w:rFonts w:ascii="Arial" w:hAnsi="Arial" w:cs="Arial"/>
                <w:sz w:val="20"/>
                <w:szCs w:val="20"/>
              </w:rPr>
              <w:t>PHOENIX</w:t>
            </w:r>
          </w:p>
        </w:tc>
        <w:tc>
          <w:tcPr>
            <w:tcW w:w="926" w:type="dxa"/>
          </w:tcPr>
          <w:p w14:paraId="63A31E75"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322</w:t>
            </w:r>
          </w:p>
        </w:tc>
        <w:tc>
          <w:tcPr>
            <w:tcW w:w="1701" w:type="dxa"/>
          </w:tcPr>
          <w:p w14:paraId="03D45D07"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257</w:t>
            </w:r>
          </w:p>
        </w:tc>
        <w:tc>
          <w:tcPr>
            <w:tcW w:w="1843" w:type="dxa"/>
          </w:tcPr>
          <w:p w14:paraId="050185F3"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2.70</w:t>
            </w:r>
          </w:p>
        </w:tc>
        <w:tc>
          <w:tcPr>
            <w:tcW w:w="1190" w:type="dxa"/>
          </w:tcPr>
          <w:p w14:paraId="267C7BCB" w14:textId="77777777" w:rsidR="00FC69FD" w:rsidRDefault="00FC69FD" w:rsidP="00A968C1">
            <w:pPr>
              <w:spacing w:line="480" w:lineRule="auto"/>
              <w:rPr>
                <w:rFonts w:ascii="Arial" w:hAnsi="Arial" w:cs="Arial"/>
                <w:sz w:val="20"/>
                <w:szCs w:val="20"/>
              </w:rPr>
            </w:pPr>
            <w:r>
              <w:rPr>
                <w:rFonts w:ascii="Arial" w:hAnsi="Arial" w:cs="Arial"/>
                <w:sz w:val="20"/>
                <w:szCs w:val="20"/>
              </w:rPr>
              <w:t>P=0.007</w:t>
            </w:r>
          </w:p>
        </w:tc>
        <w:tc>
          <w:tcPr>
            <w:tcW w:w="2354" w:type="dxa"/>
          </w:tcPr>
          <w:p w14:paraId="10A5DD49" w14:textId="77777777" w:rsidR="00FC69FD" w:rsidRDefault="00FC69FD" w:rsidP="00A968C1">
            <w:pPr>
              <w:spacing w:line="480" w:lineRule="auto"/>
              <w:rPr>
                <w:rFonts w:ascii="Arial" w:hAnsi="Arial" w:cs="Arial"/>
                <w:sz w:val="20"/>
                <w:szCs w:val="20"/>
              </w:rPr>
            </w:pPr>
            <w:r>
              <w:rPr>
                <w:rFonts w:ascii="Arial" w:hAnsi="Arial" w:cs="Arial"/>
                <w:sz w:val="20"/>
                <w:szCs w:val="20"/>
              </w:rPr>
              <w:t>strong evidence</w:t>
            </w:r>
          </w:p>
        </w:tc>
      </w:tr>
      <w:tr w:rsidR="00FC69FD" w14:paraId="0612FBA4" w14:textId="77777777" w:rsidTr="00850255">
        <w:tc>
          <w:tcPr>
            <w:tcW w:w="1701" w:type="dxa"/>
          </w:tcPr>
          <w:p w14:paraId="6013B0A6" w14:textId="77777777" w:rsidR="00FC69FD" w:rsidRDefault="00FC69FD" w:rsidP="00A968C1">
            <w:pPr>
              <w:spacing w:line="480" w:lineRule="auto"/>
              <w:rPr>
                <w:rFonts w:ascii="Arial" w:hAnsi="Arial" w:cs="Arial"/>
                <w:sz w:val="20"/>
                <w:szCs w:val="20"/>
              </w:rPr>
            </w:pPr>
            <w:r>
              <w:rPr>
                <w:rFonts w:ascii="Arial" w:hAnsi="Arial" w:cs="Arial"/>
                <w:sz w:val="20"/>
                <w:szCs w:val="20"/>
              </w:rPr>
              <w:t>IMPROVE-IT</w:t>
            </w:r>
          </w:p>
        </w:tc>
        <w:tc>
          <w:tcPr>
            <w:tcW w:w="926" w:type="dxa"/>
          </w:tcPr>
          <w:p w14:paraId="6E6CC378"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2742</w:t>
            </w:r>
          </w:p>
        </w:tc>
        <w:tc>
          <w:tcPr>
            <w:tcW w:w="1701" w:type="dxa"/>
          </w:tcPr>
          <w:p w14:paraId="5D93B366"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2572</w:t>
            </w:r>
          </w:p>
        </w:tc>
        <w:tc>
          <w:tcPr>
            <w:tcW w:w="1843" w:type="dxa"/>
          </w:tcPr>
          <w:p w14:paraId="065643F9"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2.33</w:t>
            </w:r>
          </w:p>
        </w:tc>
        <w:tc>
          <w:tcPr>
            <w:tcW w:w="1190" w:type="dxa"/>
          </w:tcPr>
          <w:p w14:paraId="367A5ADC" w14:textId="77777777" w:rsidR="00FC69FD" w:rsidRDefault="00FC69FD" w:rsidP="00A968C1">
            <w:pPr>
              <w:spacing w:line="480" w:lineRule="auto"/>
              <w:rPr>
                <w:rFonts w:ascii="Arial" w:hAnsi="Arial" w:cs="Arial"/>
                <w:sz w:val="20"/>
                <w:szCs w:val="20"/>
              </w:rPr>
            </w:pPr>
            <w:r>
              <w:rPr>
                <w:rFonts w:ascii="Arial" w:hAnsi="Arial" w:cs="Arial"/>
                <w:sz w:val="20"/>
                <w:szCs w:val="20"/>
              </w:rPr>
              <w:t>P=0.02</w:t>
            </w:r>
          </w:p>
        </w:tc>
        <w:tc>
          <w:tcPr>
            <w:tcW w:w="2354" w:type="dxa"/>
          </w:tcPr>
          <w:p w14:paraId="0EFC74A1" w14:textId="77777777" w:rsidR="00FC69FD" w:rsidRDefault="00FC69FD" w:rsidP="00A968C1">
            <w:pPr>
              <w:spacing w:line="480" w:lineRule="auto"/>
              <w:rPr>
                <w:rFonts w:ascii="Arial" w:hAnsi="Arial" w:cs="Arial"/>
                <w:sz w:val="20"/>
                <w:szCs w:val="20"/>
              </w:rPr>
            </w:pPr>
            <w:r>
              <w:rPr>
                <w:rFonts w:ascii="Arial" w:hAnsi="Arial" w:cs="Arial"/>
                <w:sz w:val="20"/>
                <w:szCs w:val="20"/>
              </w:rPr>
              <w:t>some evidence</w:t>
            </w:r>
          </w:p>
        </w:tc>
      </w:tr>
      <w:tr w:rsidR="00FC69FD" w14:paraId="1C83D6E7" w14:textId="77777777" w:rsidTr="00850255">
        <w:tc>
          <w:tcPr>
            <w:tcW w:w="1701" w:type="dxa"/>
          </w:tcPr>
          <w:p w14:paraId="214C6A11" w14:textId="77777777" w:rsidR="00FC69FD" w:rsidRDefault="00FC69FD" w:rsidP="00A968C1">
            <w:pPr>
              <w:spacing w:line="480" w:lineRule="auto"/>
              <w:rPr>
                <w:rFonts w:ascii="Arial" w:hAnsi="Arial" w:cs="Arial"/>
                <w:sz w:val="20"/>
                <w:szCs w:val="20"/>
              </w:rPr>
            </w:pPr>
            <w:r>
              <w:rPr>
                <w:rFonts w:ascii="Arial" w:hAnsi="Arial" w:cs="Arial"/>
                <w:sz w:val="20"/>
                <w:szCs w:val="20"/>
              </w:rPr>
              <w:t>ASTRONAUT</w:t>
            </w:r>
          </w:p>
        </w:tc>
        <w:tc>
          <w:tcPr>
            <w:tcW w:w="926" w:type="dxa"/>
          </w:tcPr>
          <w:p w14:paraId="0B8DDD74"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214</w:t>
            </w:r>
          </w:p>
        </w:tc>
        <w:tc>
          <w:tcPr>
            <w:tcW w:w="1701" w:type="dxa"/>
          </w:tcPr>
          <w:p w14:paraId="5C75655C"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201</w:t>
            </w:r>
          </w:p>
        </w:tc>
        <w:tc>
          <w:tcPr>
            <w:tcW w:w="1843" w:type="dxa"/>
          </w:tcPr>
          <w:p w14:paraId="1EBE596F" w14:textId="77777777" w:rsidR="00FC69FD" w:rsidRDefault="00FC69FD" w:rsidP="00A968C1">
            <w:pPr>
              <w:spacing w:line="480" w:lineRule="auto"/>
              <w:jc w:val="center"/>
              <w:rPr>
                <w:rFonts w:ascii="Arial" w:hAnsi="Arial" w:cs="Arial"/>
                <w:sz w:val="20"/>
                <w:szCs w:val="20"/>
              </w:rPr>
            </w:pPr>
            <w:r>
              <w:rPr>
                <w:rFonts w:ascii="Arial" w:hAnsi="Arial" w:cs="Arial"/>
                <w:sz w:val="20"/>
                <w:szCs w:val="20"/>
              </w:rPr>
              <w:t>0.64</w:t>
            </w:r>
          </w:p>
        </w:tc>
        <w:tc>
          <w:tcPr>
            <w:tcW w:w="1190" w:type="dxa"/>
          </w:tcPr>
          <w:p w14:paraId="0779B718" w14:textId="77777777" w:rsidR="00FC69FD" w:rsidRDefault="00FC69FD" w:rsidP="00A968C1">
            <w:pPr>
              <w:spacing w:line="480" w:lineRule="auto"/>
              <w:rPr>
                <w:rFonts w:ascii="Arial" w:hAnsi="Arial" w:cs="Arial"/>
                <w:sz w:val="20"/>
                <w:szCs w:val="20"/>
              </w:rPr>
            </w:pPr>
            <w:r>
              <w:rPr>
                <w:rFonts w:ascii="Arial" w:hAnsi="Arial" w:cs="Arial"/>
                <w:sz w:val="20"/>
                <w:szCs w:val="20"/>
              </w:rPr>
              <w:t>P=0.52</w:t>
            </w:r>
          </w:p>
        </w:tc>
        <w:tc>
          <w:tcPr>
            <w:tcW w:w="2354" w:type="dxa"/>
          </w:tcPr>
          <w:p w14:paraId="6371B6EF" w14:textId="77777777" w:rsidR="00FC69FD" w:rsidRDefault="00FC69FD" w:rsidP="00A968C1">
            <w:pPr>
              <w:spacing w:line="480" w:lineRule="auto"/>
              <w:rPr>
                <w:rFonts w:ascii="Arial" w:hAnsi="Arial" w:cs="Arial"/>
                <w:sz w:val="20"/>
                <w:szCs w:val="20"/>
              </w:rPr>
            </w:pPr>
            <w:r>
              <w:rPr>
                <w:rFonts w:ascii="Arial" w:hAnsi="Arial" w:cs="Arial"/>
                <w:sz w:val="20"/>
                <w:szCs w:val="20"/>
              </w:rPr>
              <w:t>no evidence</w:t>
            </w:r>
          </w:p>
        </w:tc>
      </w:tr>
    </w:tbl>
    <w:p w14:paraId="08D81ADD" w14:textId="77777777" w:rsidR="00FC69FD" w:rsidRPr="00C02DE6" w:rsidRDefault="00FC69FD" w:rsidP="00FC69FD">
      <w:pPr>
        <w:spacing w:after="0" w:line="360" w:lineRule="auto"/>
        <w:rPr>
          <w:rFonts w:ascii="Arial" w:hAnsi="Arial" w:cs="Arial"/>
          <w:sz w:val="20"/>
          <w:szCs w:val="20"/>
        </w:rPr>
      </w:pPr>
    </w:p>
    <w:p w14:paraId="658B3393" w14:textId="77777777" w:rsidR="00FC69FD" w:rsidRPr="00FE1995" w:rsidRDefault="00FC69FD" w:rsidP="00FC69FD">
      <w:pPr>
        <w:spacing w:after="0" w:line="360" w:lineRule="auto"/>
        <w:rPr>
          <w:rFonts w:ascii="Arial" w:hAnsi="Arial" w:cs="Arial"/>
          <w:sz w:val="20"/>
          <w:szCs w:val="20"/>
        </w:rPr>
      </w:pPr>
      <w:r w:rsidRPr="00FE1995">
        <w:rPr>
          <w:rFonts w:ascii="Arial" w:hAnsi="Arial" w:cs="Arial"/>
          <w:sz w:val="20"/>
          <w:szCs w:val="20"/>
        </w:rPr>
        <w:t xml:space="preserve">*Only suitable for trials with 1:1 randomisation. Most reliable when proportions having events are small. Should be confirmed by the more complex test, </w:t>
      </w:r>
      <w:proofErr w:type="spellStart"/>
      <w:r w:rsidRPr="00FE1995">
        <w:rPr>
          <w:rFonts w:ascii="Arial" w:hAnsi="Arial" w:cs="Arial"/>
          <w:sz w:val="20"/>
          <w:szCs w:val="20"/>
        </w:rPr>
        <w:t>eg</w:t>
      </w:r>
      <w:proofErr w:type="spellEnd"/>
      <w:r w:rsidRPr="00FE1995">
        <w:rPr>
          <w:rFonts w:ascii="Arial" w:hAnsi="Arial" w:cs="Arial"/>
          <w:sz w:val="20"/>
          <w:szCs w:val="20"/>
        </w:rPr>
        <w:t xml:space="preserve">. </w:t>
      </w:r>
      <w:proofErr w:type="spellStart"/>
      <w:proofErr w:type="gramStart"/>
      <w:r w:rsidRPr="00FE1995">
        <w:rPr>
          <w:rFonts w:ascii="Arial" w:hAnsi="Arial" w:cs="Arial"/>
          <w:sz w:val="20"/>
          <w:szCs w:val="20"/>
        </w:rPr>
        <w:t>logrank</w:t>
      </w:r>
      <w:proofErr w:type="spellEnd"/>
      <w:proofErr w:type="gramEnd"/>
    </w:p>
    <w:p w14:paraId="28467D73" w14:textId="77777777" w:rsidR="00FC69FD" w:rsidRDefault="00FC69FD" w:rsidP="00FC69FD">
      <w:pPr>
        <w:spacing w:after="0" w:line="360" w:lineRule="auto"/>
        <w:rPr>
          <w:rFonts w:ascii="Arial" w:hAnsi="Arial" w:cs="Arial"/>
          <w:sz w:val="24"/>
          <w:szCs w:val="24"/>
        </w:rPr>
      </w:pPr>
    </w:p>
    <w:p w14:paraId="33475F99" w14:textId="77777777" w:rsidR="00FC69FD" w:rsidRDefault="00FC69FD" w:rsidP="00FC69FD">
      <w:pPr>
        <w:spacing w:after="0" w:line="360" w:lineRule="auto"/>
        <w:rPr>
          <w:rFonts w:ascii="Arial" w:hAnsi="Arial" w:cs="Arial"/>
          <w:sz w:val="24"/>
          <w:szCs w:val="24"/>
        </w:rPr>
      </w:pPr>
    </w:p>
    <w:p w14:paraId="542B3A9C" w14:textId="77777777" w:rsidR="00FC69FD" w:rsidRDefault="00FC69FD" w:rsidP="00FC69FD">
      <w:pPr>
        <w:spacing w:after="0" w:line="360" w:lineRule="auto"/>
        <w:rPr>
          <w:rFonts w:ascii="Arial" w:hAnsi="Arial" w:cs="Arial"/>
          <w:sz w:val="24"/>
          <w:szCs w:val="24"/>
        </w:rPr>
      </w:pPr>
    </w:p>
    <w:p w14:paraId="19745E32" w14:textId="77777777" w:rsidR="005D7275" w:rsidRDefault="005D7275">
      <w:pPr>
        <w:rPr>
          <w:rFonts w:ascii="Arial" w:hAnsi="Arial" w:cs="Arial"/>
          <w:sz w:val="20"/>
          <w:szCs w:val="20"/>
        </w:rPr>
      </w:pPr>
      <w:r>
        <w:rPr>
          <w:rFonts w:ascii="Arial" w:hAnsi="Arial" w:cs="Arial"/>
          <w:sz w:val="20"/>
          <w:szCs w:val="20"/>
        </w:rPr>
        <w:br w:type="page"/>
      </w:r>
    </w:p>
    <w:p w14:paraId="204E70BE" w14:textId="653647AB" w:rsidR="00FC69FD" w:rsidRPr="00B765F8" w:rsidRDefault="00FC69FD" w:rsidP="00FC69FD">
      <w:pPr>
        <w:spacing w:after="0" w:line="360" w:lineRule="auto"/>
        <w:rPr>
          <w:rFonts w:ascii="Arial" w:hAnsi="Arial" w:cs="Arial"/>
          <w:sz w:val="20"/>
          <w:szCs w:val="20"/>
        </w:rPr>
      </w:pPr>
      <w:r>
        <w:rPr>
          <w:rFonts w:ascii="Arial" w:hAnsi="Arial" w:cs="Arial"/>
          <w:sz w:val="20"/>
          <w:szCs w:val="20"/>
        </w:rPr>
        <w:lastRenderedPageBreak/>
        <w:t>F</w:t>
      </w:r>
      <w:r w:rsidRPr="00B765F8">
        <w:rPr>
          <w:rFonts w:ascii="Arial" w:hAnsi="Arial" w:cs="Arial"/>
          <w:sz w:val="20"/>
          <w:szCs w:val="20"/>
        </w:rPr>
        <w:t>igure1. Kaplan-Meier Estimates of the</w:t>
      </w:r>
      <w:r w:rsidR="009427F8">
        <w:rPr>
          <w:rFonts w:ascii="Arial" w:hAnsi="Arial" w:cs="Arial"/>
          <w:sz w:val="20"/>
          <w:szCs w:val="20"/>
        </w:rPr>
        <w:t xml:space="preserve"> Cumulative Incidence over</w:t>
      </w:r>
      <w:r w:rsidR="003205DD">
        <w:rPr>
          <w:rFonts w:ascii="Arial" w:hAnsi="Arial" w:cs="Arial"/>
          <w:sz w:val="20"/>
          <w:szCs w:val="20"/>
        </w:rPr>
        <w:t xml:space="preserve"> </w:t>
      </w:r>
      <w:r w:rsidRPr="00B765F8">
        <w:rPr>
          <w:rFonts w:ascii="Arial" w:hAnsi="Arial" w:cs="Arial"/>
          <w:sz w:val="20"/>
          <w:szCs w:val="20"/>
        </w:rPr>
        <w:t xml:space="preserve">Time </w:t>
      </w:r>
      <w:r w:rsidR="009427F8">
        <w:rPr>
          <w:rFonts w:ascii="Arial" w:hAnsi="Arial" w:cs="Arial"/>
          <w:sz w:val="20"/>
          <w:szCs w:val="20"/>
        </w:rPr>
        <w:t xml:space="preserve">of </w:t>
      </w:r>
      <w:r w:rsidRPr="00B765F8">
        <w:rPr>
          <w:rFonts w:ascii="Arial" w:hAnsi="Arial" w:cs="Arial"/>
          <w:sz w:val="20"/>
          <w:szCs w:val="20"/>
        </w:rPr>
        <w:t>the First Adjudicated Occurrence of the Primary Efficacy End Point in the PLATO trial</w:t>
      </w:r>
    </w:p>
    <w:p w14:paraId="7C47F4EC" w14:textId="77777777" w:rsidR="00FC69FD" w:rsidRDefault="00FC69FD" w:rsidP="00FC69FD">
      <w:pPr>
        <w:spacing w:after="0" w:line="360" w:lineRule="auto"/>
        <w:rPr>
          <w:rFonts w:ascii="Arial" w:hAnsi="Arial" w:cs="Arial"/>
          <w:sz w:val="24"/>
          <w:szCs w:val="24"/>
        </w:rPr>
      </w:pPr>
    </w:p>
    <w:p w14:paraId="6F8C0202" w14:textId="77777777" w:rsidR="00FC69FD" w:rsidRDefault="00B215FB" w:rsidP="00FC69FD">
      <w:pPr>
        <w:spacing w:after="0" w:line="360" w:lineRule="auto"/>
        <w:jc w:val="center"/>
        <w:rPr>
          <w:rFonts w:ascii="Arial" w:hAnsi="Arial" w:cs="Arial"/>
          <w:sz w:val="24"/>
          <w:szCs w:val="24"/>
        </w:rPr>
      </w:pPr>
      <w:r>
        <w:rPr>
          <w:rFonts w:ascii="Arial" w:hAnsi="Arial" w:cs="Arial"/>
          <w:noProof/>
          <w:sz w:val="24"/>
          <w:szCs w:val="24"/>
          <w:lang w:eastAsia="en-GB"/>
        </w:rPr>
        <w:drawing>
          <wp:inline distT="0" distB="0" distL="0" distR="0" wp14:anchorId="224ED789" wp14:editId="45AF5BCA">
            <wp:extent cx="3740513" cy="268163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to K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0513" cy="2681636"/>
                    </a:xfrm>
                    <a:prstGeom prst="rect">
                      <a:avLst/>
                    </a:prstGeom>
                  </pic:spPr>
                </pic:pic>
              </a:graphicData>
            </a:graphic>
          </wp:inline>
        </w:drawing>
      </w:r>
    </w:p>
    <w:p w14:paraId="693605BA" w14:textId="77777777" w:rsidR="00997705" w:rsidRDefault="00997705" w:rsidP="001A36EA">
      <w:pPr>
        <w:spacing w:after="0" w:line="360" w:lineRule="auto"/>
        <w:rPr>
          <w:rFonts w:ascii="Arial" w:hAnsi="Arial" w:cs="Arial"/>
          <w:sz w:val="20"/>
          <w:szCs w:val="24"/>
        </w:rPr>
      </w:pPr>
    </w:p>
    <w:p w14:paraId="5886AC47" w14:textId="77777777" w:rsidR="001A36EA" w:rsidRPr="00997705" w:rsidRDefault="001A36EA" w:rsidP="001A36EA">
      <w:pPr>
        <w:spacing w:after="0" w:line="360" w:lineRule="auto"/>
        <w:rPr>
          <w:rFonts w:ascii="Arial" w:hAnsi="Arial" w:cs="Arial"/>
          <w:sz w:val="20"/>
          <w:szCs w:val="24"/>
        </w:rPr>
      </w:pPr>
      <w:r w:rsidRPr="00997705">
        <w:rPr>
          <w:rFonts w:ascii="Arial" w:hAnsi="Arial" w:cs="Arial"/>
          <w:sz w:val="20"/>
          <w:szCs w:val="24"/>
        </w:rPr>
        <w:t xml:space="preserve">Source: </w:t>
      </w:r>
      <w:proofErr w:type="spellStart"/>
      <w:r w:rsidR="00997705" w:rsidRPr="00997705">
        <w:rPr>
          <w:rFonts w:ascii="Arial" w:hAnsi="Arial" w:cs="Arial"/>
          <w:sz w:val="20"/>
          <w:szCs w:val="24"/>
        </w:rPr>
        <w:t>Wallentin</w:t>
      </w:r>
      <w:proofErr w:type="spellEnd"/>
      <w:r w:rsidR="00997705" w:rsidRPr="00997705">
        <w:rPr>
          <w:rFonts w:ascii="Arial" w:hAnsi="Arial" w:cs="Arial"/>
          <w:sz w:val="20"/>
          <w:szCs w:val="24"/>
        </w:rPr>
        <w:t xml:space="preserve"> L, Becker RC, </w:t>
      </w:r>
      <w:proofErr w:type="spellStart"/>
      <w:r w:rsidR="00997705" w:rsidRPr="00997705">
        <w:rPr>
          <w:rFonts w:ascii="Arial" w:hAnsi="Arial" w:cs="Arial"/>
          <w:sz w:val="20"/>
          <w:szCs w:val="24"/>
        </w:rPr>
        <w:t>Budaj</w:t>
      </w:r>
      <w:proofErr w:type="spellEnd"/>
      <w:r w:rsidR="00997705" w:rsidRPr="00997705">
        <w:rPr>
          <w:rFonts w:ascii="Arial" w:hAnsi="Arial" w:cs="Arial"/>
          <w:sz w:val="20"/>
          <w:szCs w:val="24"/>
        </w:rPr>
        <w:t xml:space="preserve"> A, et al. Ticagrelor versus Clopidogrel in Patients with Acute Coronary Syndromes. New England Journal of Medicine 2009</w:t>
      </w:r>
      <w:proofErr w:type="gramStart"/>
      <w:r w:rsidR="00997705" w:rsidRPr="00997705">
        <w:rPr>
          <w:rFonts w:ascii="Arial" w:hAnsi="Arial" w:cs="Arial"/>
          <w:sz w:val="20"/>
          <w:szCs w:val="24"/>
        </w:rPr>
        <w:t>;361:1045</w:t>
      </w:r>
      <w:proofErr w:type="gramEnd"/>
      <w:r w:rsidR="00997705" w:rsidRPr="00997705">
        <w:rPr>
          <w:rFonts w:ascii="Arial" w:hAnsi="Arial" w:cs="Arial"/>
          <w:sz w:val="20"/>
          <w:szCs w:val="24"/>
        </w:rPr>
        <w:t>-1057.</w:t>
      </w:r>
    </w:p>
    <w:p w14:paraId="418BF55C" w14:textId="77777777" w:rsidR="00FC69FD" w:rsidRDefault="00FC69FD" w:rsidP="00FC69FD">
      <w:pPr>
        <w:spacing w:after="0" w:line="360" w:lineRule="auto"/>
        <w:rPr>
          <w:rFonts w:ascii="Arial" w:hAnsi="Arial" w:cs="Arial"/>
          <w:b/>
          <w:sz w:val="24"/>
          <w:szCs w:val="24"/>
        </w:rPr>
      </w:pPr>
    </w:p>
    <w:p w14:paraId="3150B4E5" w14:textId="77777777" w:rsidR="00FC69FD" w:rsidRPr="00B765F8" w:rsidRDefault="004124F1" w:rsidP="00FC69FD">
      <w:pPr>
        <w:spacing w:after="0" w:line="360" w:lineRule="auto"/>
        <w:rPr>
          <w:rFonts w:ascii="Arial" w:hAnsi="Arial" w:cs="Arial"/>
          <w:sz w:val="20"/>
          <w:szCs w:val="20"/>
        </w:rPr>
      </w:pPr>
      <w:r>
        <w:rPr>
          <w:rFonts w:ascii="Arial" w:hAnsi="Arial" w:cs="Arial"/>
          <w:sz w:val="20"/>
          <w:szCs w:val="20"/>
        </w:rPr>
        <w:t xml:space="preserve">Figure 1 </w:t>
      </w:r>
      <w:r w:rsidR="0049161A" w:rsidRPr="0049161A">
        <w:rPr>
          <w:rFonts w:ascii="Arial" w:hAnsi="Arial" w:cs="Arial"/>
          <w:sz w:val="20"/>
          <w:szCs w:val="20"/>
        </w:rPr>
        <w:t xml:space="preserve">Caption: Cumulative incidence of </w:t>
      </w:r>
      <w:r w:rsidR="0049161A">
        <w:rPr>
          <w:rFonts w:ascii="Arial" w:hAnsi="Arial" w:cs="Arial"/>
          <w:sz w:val="20"/>
          <w:szCs w:val="20"/>
        </w:rPr>
        <w:t>t</w:t>
      </w:r>
      <w:r w:rsidR="00FC69FD" w:rsidRPr="00B765F8">
        <w:rPr>
          <w:rFonts w:ascii="Arial" w:hAnsi="Arial" w:cs="Arial"/>
          <w:sz w:val="20"/>
          <w:szCs w:val="20"/>
        </w:rPr>
        <w:t xml:space="preserve">he primary end point – a composite of death from vascular causes, myocardial infarction, or stroke – </w:t>
      </w:r>
      <w:r w:rsidR="0049161A">
        <w:rPr>
          <w:rFonts w:ascii="Arial" w:hAnsi="Arial" w:cs="Arial"/>
          <w:sz w:val="20"/>
          <w:szCs w:val="20"/>
        </w:rPr>
        <w:t xml:space="preserve">was </w:t>
      </w:r>
      <w:r w:rsidR="00FC69FD" w:rsidRPr="00B765F8">
        <w:rPr>
          <w:rFonts w:ascii="Arial" w:hAnsi="Arial" w:cs="Arial"/>
          <w:sz w:val="20"/>
          <w:szCs w:val="20"/>
        </w:rPr>
        <w:t xml:space="preserve">significantly </w:t>
      </w:r>
      <w:r w:rsidR="0049161A">
        <w:rPr>
          <w:rFonts w:ascii="Arial" w:hAnsi="Arial" w:cs="Arial"/>
          <w:sz w:val="20"/>
          <w:szCs w:val="20"/>
        </w:rPr>
        <w:t>lower</w:t>
      </w:r>
      <w:r w:rsidR="00FC69FD" w:rsidRPr="00B765F8">
        <w:rPr>
          <w:rFonts w:ascii="Arial" w:hAnsi="Arial" w:cs="Arial"/>
          <w:sz w:val="20"/>
          <w:szCs w:val="20"/>
        </w:rPr>
        <w:t xml:space="preserve"> in the ticagrelor group than in the clopidogrel group (9.8% vs 11.7% at 12 months; hazard ratio, 0.84; 95% confidence interval, 0.77 to 0.92; P&lt;0.001).</w:t>
      </w:r>
    </w:p>
    <w:p w14:paraId="0038934E" w14:textId="77777777" w:rsidR="00FC69FD" w:rsidRDefault="00FC69FD" w:rsidP="00FC69FD">
      <w:pPr>
        <w:spacing w:after="0" w:line="360" w:lineRule="auto"/>
        <w:rPr>
          <w:rFonts w:ascii="Arial" w:hAnsi="Arial" w:cs="Arial"/>
          <w:sz w:val="24"/>
          <w:szCs w:val="24"/>
        </w:rPr>
      </w:pPr>
    </w:p>
    <w:p w14:paraId="1577D036" w14:textId="77777777" w:rsidR="00FC69FD" w:rsidRDefault="00FC69FD" w:rsidP="00FC69FD">
      <w:pPr>
        <w:spacing w:after="0" w:line="360" w:lineRule="auto"/>
        <w:rPr>
          <w:rFonts w:ascii="Arial" w:hAnsi="Arial" w:cs="Arial"/>
          <w:sz w:val="24"/>
          <w:szCs w:val="24"/>
        </w:rPr>
      </w:pPr>
    </w:p>
    <w:p w14:paraId="307B55ED" w14:textId="77777777" w:rsidR="00FC69FD" w:rsidRDefault="00FC69FD" w:rsidP="00FC69FD">
      <w:pPr>
        <w:spacing w:after="0" w:line="360" w:lineRule="auto"/>
        <w:rPr>
          <w:rFonts w:ascii="Arial" w:hAnsi="Arial" w:cs="Arial"/>
          <w:sz w:val="24"/>
          <w:szCs w:val="24"/>
        </w:rPr>
      </w:pPr>
    </w:p>
    <w:p w14:paraId="069C30AF" w14:textId="77777777" w:rsidR="00FC69FD" w:rsidRDefault="00FC69FD" w:rsidP="00FC69FD">
      <w:pPr>
        <w:spacing w:after="0" w:line="360" w:lineRule="auto"/>
        <w:rPr>
          <w:rFonts w:ascii="Arial" w:hAnsi="Arial" w:cs="Arial"/>
          <w:sz w:val="24"/>
          <w:szCs w:val="24"/>
        </w:rPr>
      </w:pPr>
    </w:p>
    <w:p w14:paraId="31046F7C" w14:textId="77777777" w:rsidR="00FC69FD" w:rsidRDefault="00FC69FD" w:rsidP="00FC69FD">
      <w:pPr>
        <w:spacing w:after="0" w:line="360" w:lineRule="auto"/>
        <w:rPr>
          <w:rFonts w:ascii="Arial" w:hAnsi="Arial" w:cs="Arial"/>
          <w:sz w:val="24"/>
          <w:szCs w:val="24"/>
        </w:rPr>
      </w:pPr>
    </w:p>
    <w:p w14:paraId="1235AD95" w14:textId="77777777" w:rsidR="00FC69FD" w:rsidRDefault="00FC69FD" w:rsidP="00FC69FD">
      <w:pPr>
        <w:spacing w:after="0" w:line="360" w:lineRule="auto"/>
        <w:rPr>
          <w:rFonts w:ascii="Arial" w:hAnsi="Arial" w:cs="Arial"/>
          <w:sz w:val="24"/>
          <w:szCs w:val="24"/>
        </w:rPr>
      </w:pPr>
    </w:p>
    <w:p w14:paraId="3050F62F" w14:textId="77777777" w:rsidR="00FC69FD" w:rsidRDefault="00FC69FD" w:rsidP="00FC69FD">
      <w:pPr>
        <w:spacing w:after="0" w:line="360" w:lineRule="auto"/>
        <w:rPr>
          <w:rFonts w:ascii="Arial" w:hAnsi="Arial" w:cs="Arial"/>
          <w:sz w:val="24"/>
          <w:szCs w:val="24"/>
        </w:rPr>
      </w:pPr>
    </w:p>
    <w:p w14:paraId="2D0146BC" w14:textId="77777777" w:rsidR="00FC69FD" w:rsidRDefault="00FC69FD" w:rsidP="00FC69FD">
      <w:pPr>
        <w:spacing w:after="0" w:line="360" w:lineRule="auto"/>
        <w:rPr>
          <w:rFonts w:ascii="Arial" w:hAnsi="Arial" w:cs="Arial"/>
          <w:sz w:val="24"/>
          <w:szCs w:val="24"/>
        </w:rPr>
      </w:pPr>
    </w:p>
    <w:p w14:paraId="25037616" w14:textId="77777777" w:rsidR="00FC69FD" w:rsidRDefault="00FC69FD" w:rsidP="00FC69FD">
      <w:pPr>
        <w:spacing w:after="0" w:line="360" w:lineRule="auto"/>
        <w:rPr>
          <w:rFonts w:ascii="Arial" w:hAnsi="Arial" w:cs="Arial"/>
          <w:sz w:val="24"/>
          <w:szCs w:val="24"/>
        </w:rPr>
      </w:pPr>
    </w:p>
    <w:p w14:paraId="10D5F107" w14:textId="77777777" w:rsidR="00FC69FD" w:rsidRDefault="00FC69FD" w:rsidP="00FC69FD">
      <w:pPr>
        <w:spacing w:after="0" w:line="360" w:lineRule="auto"/>
        <w:rPr>
          <w:rFonts w:ascii="Arial" w:hAnsi="Arial" w:cs="Arial"/>
          <w:sz w:val="24"/>
          <w:szCs w:val="24"/>
        </w:rPr>
      </w:pPr>
    </w:p>
    <w:p w14:paraId="7A8C5482" w14:textId="77777777" w:rsidR="00FC69FD" w:rsidRDefault="00FC69FD" w:rsidP="00FC69FD">
      <w:pPr>
        <w:spacing w:after="0" w:line="360" w:lineRule="auto"/>
        <w:rPr>
          <w:rFonts w:ascii="Arial" w:hAnsi="Arial" w:cs="Arial"/>
          <w:sz w:val="24"/>
          <w:szCs w:val="24"/>
        </w:rPr>
      </w:pPr>
    </w:p>
    <w:p w14:paraId="7492FD8E" w14:textId="77777777" w:rsidR="00FC69FD" w:rsidRDefault="00FC69FD" w:rsidP="00FC69FD">
      <w:pPr>
        <w:spacing w:after="0" w:line="360" w:lineRule="auto"/>
        <w:rPr>
          <w:rFonts w:ascii="Arial" w:hAnsi="Arial" w:cs="Arial"/>
          <w:sz w:val="24"/>
          <w:szCs w:val="24"/>
        </w:rPr>
      </w:pPr>
    </w:p>
    <w:p w14:paraId="46161404" w14:textId="77777777" w:rsidR="00B215FB" w:rsidRDefault="00B215FB">
      <w:pPr>
        <w:rPr>
          <w:rFonts w:ascii="Arial" w:hAnsi="Arial" w:cs="Arial"/>
          <w:sz w:val="20"/>
          <w:szCs w:val="20"/>
        </w:rPr>
      </w:pPr>
      <w:r>
        <w:rPr>
          <w:rFonts w:ascii="Arial" w:hAnsi="Arial" w:cs="Arial"/>
          <w:sz w:val="20"/>
          <w:szCs w:val="20"/>
        </w:rPr>
        <w:br w:type="page"/>
      </w:r>
    </w:p>
    <w:p w14:paraId="580AB8CA" w14:textId="77777777" w:rsidR="00FC69FD" w:rsidRDefault="00FC69FD" w:rsidP="00FC69FD">
      <w:pPr>
        <w:spacing w:after="0" w:line="360" w:lineRule="auto"/>
        <w:rPr>
          <w:rFonts w:ascii="Arial" w:hAnsi="Arial" w:cs="Arial"/>
          <w:sz w:val="20"/>
          <w:szCs w:val="20"/>
        </w:rPr>
      </w:pPr>
      <w:r w:rsidRPr="002021B3">
        <w:rPr>
          <w:rFonts w:ascii="Arial" w:hAnsi="Arial" w:cs="Arial"/>
          <w:sz w:val="20"/>
          <w:szCs w:val="20"/>
        </w:rPr>
        <w:lastRenderedPageBreak/>
        <w:t>Figure 2. Systolic blood pressure during run-in and after randomisation in the PARADIGM</w:t>
      </w:r>
      <w:r w:rsidR="00A968C1">
        <w:rPr>
          <w:rFonts w:ascii="Arial" w:hAnsi="Arial" w:cs="Arial"/>
          <w:sz w:val="20"/>
          <w:szCs w:val="20"/>
        </w:rPr>
        <w:t>-HF</w:t>
      </w:r>
      <w:r w:rsidRPr="002021B3">
        <w:rPr>
          <w:rFonts w:ascii="Arial" w:hAnsi="Arial" w:cs="Arial"/>
          <w:sz w:val="20"/>
          <w:szCs w:val="20"/>
        </w:rPr>
        <w:t xml:space="preserve"> trial</w:t>
      </w:r>
    </w:p>
    <w:p w14:paraId="2E600755" w14:textId="77777777" w:rsidR="00FC69FD" w:rsidRDefault="00FC69FD" w:rsidP="00FC69FD">
      <w:pPr>
        <w:spacing w:after="0" w:line="360" w:lineRule="auto"/>
        <w:rPr>
          <w:rFonts w:ascii="Arial" w:hAnsi="Arial" w:cs="Arial"/>
          <w:sz w:val="24"/>
          <w:szCs w:val="24"/>
        </w:rPr>
      </w:pPr>
      <w:r>
        <w:rPr>
          <w:rFonts w:ascii="Arial" w:hAnsi="Arial" w:cs="Arial"/>
          <w:noProof/>
          <w:sz w:val="24"/>
          <w:szCs w:val="24"/>
          <w:lang w:eastAsia="en-GB"/>
        </w:rPr>
        <w:drawing>
          <wp:inline distT="0" distB="0" distL="0" distR="0" wp14:anchorId="736136FC" wp14:editId="7387633F">
            <wp:extent cx="5990302" cy="435634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digm.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91814" cy="4357442"/>
                    </a:xfrm>
                    <a:prstGeom prst="rect">
                      <a:avLst/>
                    </a:prstGeom>
                  </pic:spPr>
                </pic:pic>
              </a:graphicData>
            </a:graphic>
          </wp:inline>
        </w:drawing>
      </w:r>
    </w:p>
    <w:p w14:paraId="35061B93" w14:textId="77777777" w:rsidR="00FC69FD" w:rsidRDefault="00FC69FD" w:rsidP="00F47E37">
      <w:pPr>
        <w:spacing w:after="0" w:line="360" w:lineRule="auto"/>
        <w:rPr>
          <w:rFonts w:ascii="Arial" w:hAnsi="Arial" w:cs="Arial"/>
          <w:sz w:val="24"/>
          <w:szCs w:val="24"/>
        </w:rPr>
      </w:pPr>
    </w:p>
    <w:p w14:paraId="465CAC1F" w14:textId="77777777" w:rsidR="00F47E37" w:rsidRDefault="00F47E37" w:rsidP="00F47E37">
      <w:pPr>
        <w:spacing w:after="0" w:line="360" w:lineRule="auto"/>
        <w:rPr>
          <w:rFonts w:ascii="Arial" w:hAnsi="Arial" w:cs="Arial"/>
          <w:sz w:val="24"/>
          <w:szCs w:val="24"/>
        </w:rPr>
      </w:pPr>
    </w:p>
    <w:p w14:paraId="6C43F34E" w14:textId="77777777" w:rsidR="00FC69FD" w:rsidRPr="00F253FB" w:rsidRDefault="004124F1" w:rsidP="00F253FB">
      <w:pPr>
        <w:spacing w:after="0" w:line="360" w:lineRule="auto"/>
        <w:rPr>
          <w:rFonts w:ascii="Arial" w:hAnsi="Arial" w:cs="Arial"/>
          <w:sz w:val="20"/>
          <w:szCs w:val="20"/>
        </w:rPr>
      </w:pPr>
      <w:r>
        <w:rPr>
          <w:rFonts w:ascii="Arial" w:hAnsi="Arial" w:cs="Arial"/>
          <w:sz w:val="20"/>
          <w:szCs w:val="20"/>
        </w:rPr>
        <w:t xml:space="preserve">Figure 2 </w:t>
      </w:r>
      <w:r w:rsidR="00A968C1" w:rsidRPr="00E36B37">
        <w:rPr>
          <w:rFonts w:ascii="Arial" w:hAnsi="Arial" w:cs="Arial"/>
          <w:sz w:val="20"/>
          <w:szCs w:val="20"/>
        </w:rPr>
        <w:t>Caption: Mean systolic blood pressure by visit and treatment group and overall mean difference (95% CI) in the PARADIGM-HF trial.</w:t>
      </w:r>
    </w:p>
    <w:p w14:paraId="05D9F392" w14:textId="77777777" w:rsidR="00FC69FD" w:rsidRDefault="00FC69FD" w:rsidP="00FC69FD">
      <w:pPr>
        <w:spacing w:after="0" w:line="360" w:lineRule="auto"/>
        <w:ind w:left="720"/>
        <w:rPr>
          <w:rFonts w:ascii="Arial" w:hAnsi="Arial" w:cs="Arial"/>
          <w:sz w:val="24"/>
          <w:szCs w:val="24"/>
        </w:rPr>
      </w:pPr>
    </w:p>
    <w:p w14:paraId="1561E1D0" w14:textId="77777777" w:rsidR="00FC69FD" w:rsidRDefault="00FC69FD" w:rsidP="00FC69FD">
      <w:pPr>
        <w:spacing w:after="0" w:line="360" w:lineRule="auto"/>
        <w:ind w:left="720"/>
        <w:rPr>
          <w:rFonts w:ascii="Arial" w:hAnsi="Arial" w:cs="Arial"/>
          <w:sz w:val="24"/>
          <w:szCs w:val="24"/>
        </w:rPr>
      </w:pPr>
    </w:p>
    <w:p w14:paraId="67209DC2" w14:textId="77777777" w:rsidR="00FC69FD" w:rsidRDefault="00FC69FD" w:rsidP="00FC69FD">
      <w:pPr>
        <w:spacing w:after="0" w:line="360" w:lineRule="auto"/>
        <w:ind w:left="720"/>
        <w:rPr>
          <w:rFonts w:ascii="Arial" w:hAnsi="Arial" w:cs="Arial"/>
          <w:sz w:val="24"/>
          <w:szCs w:val="24"/>
        </w:rPr>
      </w:pPr>
    </w:p>
    <w:p w14:paraId="69511A54" w14:textId="77777777" w:rsidR="00FC69FD" w:rsidRDefault="00FC69FD" w:rsidP="00FC69FD">
      <w:pPr>
        <w:spacing w:after="0" w:line="360" w:lineRule="auto"/>
        <w:ind w:left="720"/>
        <w:rPr>
          <w:rFonts w:ascii="Arial" w:hAnsi="Arial" w:cs="Arial"/>
          <w:sz w:val="24"/>
          <w:szCs w:val="24"/>
        </w:rPr>
      </w:pPr>
    </w:p>
    <w:p w14:paraId="676BF635" w14:textId="77777777" w:rsidR="00FC69FD" w:rsidRDefault="00FC69FD" w:rsidP="00FC69FD">
      <w:pPr>
        <w:spacing w:after="0" w:line="360" w:lineRule="auto"/>
        <w:ind w:left="720"/>
        <w:rPr>
          <w:rFonts w:ascii="Arial" w:hAnsi="Arial" w:cs="Arial"/>
          <w:sz w:val="24"/>
          <w:szCs w:val="24"/>
        </w:rPr>
      </w:pPr>
    </w:p>
    <w:p w14:paraId="33D14C76" w14:textId="77777777" w:rsidR="00FC69FD" w:rsidRDefault="00FC69FD" w:rsidP="00FC69FD">
      <w:pPr>
        <w:spacing w:after="0" w:line="360" w:lineRule="auto"/>
        <w:ind w:left="720"/>
        <w:rPr>
          <w:rFonts w:ascii="Arial" w:hAnsi="Arial" w:cs="Arial"/>
          <w:sz w:val="24"/>
          <w:szCs w:val="24"/>
        </w:rPr>
      </w:pPr>
    </w:p>
    <w:p w14:paraId="7F6F1258" w14:textId="77777777" w:rsidR="00FC69FD" w:rsidRDefault="00FC69FD" w:rsidP="00FC69FD">
      <w:pPr>
        <w:spacing w:after="0" w:line="360" w:lineRule="auto"/>
        <w:ind w:left="720"/>
        <w:rPr>
          <w:rFonts w:ascii="Arial" w:hAnsi="Arial" w:cs="Arial"/>
          <w:sz w:val="24"/>
          <w:szCs w:val="24"/>
        </w:rPr>
      </w:pPr>
    </w:p>
    <w:p w14:paraId="631FC51C" w14:textId="77777777" w:rsidR="00FC69FD" w:rsidRDefault="00FC69FD" w:rsidP="00FC69FD">
      <w:pPr>
        <w:rPr>
          <w:rFonts w:ascii="Arial" w:hAnsi="Arial" w:cs="Arial"/>
          <w:sz w:val="20"/>
          <w:szCs w:val="20"/>
        </w:rPr>
      </w:pPr>
      <w:r>
        <w:rPr>
          <w:rFonts w:ascii="Arial" w:hAnsi="Arial" w:cs="Arial"/>
          <w:sz w:val="20"/>
          <w:szCs w:val="20"/>
        </w:rPr>
        <w:br w:type="page"/>
      </w:r>
    </w:p>
    <w:p w14:paraId="54D9A8D9" w14:textId="77777777" w:rsidR="00FC69FD" w:rsidRDefault="00FC69FD" w:rsidP="00FC69FD">
      <w:pPr>
        <w:spacing w:after="0" w:line="360" w:lineRule="auto"/>
        <w:rPr>
          <w:rFonts w:ascii="Arial" w:hAnsi="Arial" w:cs="Arial"/>
          <w:sz w:val="20"/>
          <w:szCs w:val="20"/>
        </w:rPr>
      </w:pPr>
      <w:r w:rsidRPr="004419C4">
        <w:rPr>
          <w:rFonts w:ascii="Arial" w:hAnsi="Arial" w:cs="Arial"/>
          <w:sz w:val="20"/>
          <w:szCs w:val="20"/>
        </w:rPr>
        <w:lastRenderedPageBreak/>
        <w:t>Figure 3. Trial Profile of the HEAT-PPCI trial</w:t>
      </w:r>
    </w:p>
    <w:p w14:paraId="3D2F7954" w14:textId="77777777" w:rsidR="00FC69FD" w:rsidRDefault="00B215FB" w:rsidP="00FC69FD">
      <w:pPr>
        <w:spacing w:after="0" w:line="360" w:lineRule="auto"/>
        <w:rPr>
          <w:rFonts w:ascii="Arial" w:hAnsi="Arial" w:cs="Arial"/>
          <w:sz w:val="20"/>
          <w:szCs w:val="20"/>
        </w:rPr>
      </w:pPr>
      <w:r>
        <w:rPr>
          <w:rFonts w:ascii="Arial" w:hAnsi="Arial" w:cs="Arial"/>
          <w:noProof/>
          <w:sz w:val="20"/>
          <w:szCs w:val="20"/>
          <w:lang w:eastAsia="en-GB"/>
        </w:rPr>
        <w:drawing>
          <wp:inline distT="0" distB="0" distL="0" distR="0" wp14:anchorId="2BF751E9" wp14:editId="4A0E3262">
            <wp:extent cx="5731510" cy="747903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tpci_t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479030"/>
                    </a:xfrm>
                    <a:prstGeom prst="rect">
                      <a:avLst/>
                    </a:prstGeom>
                  </pic:spPr>
                </pic:pic>
              </a:graphicData>
            </a:graphic>
          </wp:inline>
        </w:drawing>
      </w:r>
    </w:p>
    <w:p w14:paraId="614E65F4" w14:textId="6E68567E" w:rsidR="00E36B37" w:rsidRPr="006F4A82" w:rsidRDefault="006F4A82" w:rsidP="00FC69FD">
      <w:pPr>
        <w:rPr>
          <w:rFonts w:ascii="Arial" w:hAnsi="Arial" w:cs="Arial"/>
          <w:sz w:val="20"/>
          <w:szCs w:val="20"/>
        </w:rPr>
      </w:pPr>
      <w:r w:rsidRPr="006F4A82">
        <w:rPr>
          <w:rFonts w:ascii="Arial" w:hAnsi="Arial" w:cs="Arial"/>
          <w:sz w:val="20"/>
          <w:szCs w:val="20"/>
        </w:rPr>
        <w:t xml:space="preserve">Source: </w:t>
      </w:r>
      <w:proofErr w:type="spellStart"/>
      <w:r w:rsidRPr="006F4A82">
        <w:rPr>
          <w:rFonts w:ascii="Arial" w:hAnsi="Arial" w:cs="Arial"/>
          <w:sz w:val="20"/>
          <w:szCs w:val="20"/>
        </w:rPr>
        <w:t>Shahzad</w:t>
      </w:r>
      <w:proofErr w:type="spellEnd"/>
      <w:r w:rsidRPr="006F4A82">
        <w:rPr>
          <w:rFonts w:ascii="Arial" w:hAnsi="Arial" w:cs="Arial"/>
          <w:sz w:val="20"/>
          <w:szCs w:val="20"/>
        </w:rPr>
        <w:t xml:space="preserve"> A, Kemp I, Mars C, et al. Unfractionated heparin versus </w:t>
      </w:r>
      <w:proofErr w:type="spellStart"/>
      <w:r w:rsidRPr="006F4A82">
        <w:rPr>
          <w:rFonts w:ascii="Arial" w:hAnsi="Arial" w:cs="Arial"/>
          <w:sz w:val="20"/>
          <w:szCs w:val="20"/>
        </w:rPr>
        <w:t>bivalirudin</w:t>
      </w:r>
      <w:proofErr w:type="spellEnd"/>
      <w:r w:rsidRPr="006F4A82">
        <w:rPr>
          <w:rFonts w:ascii="Arial" w:hAnsi="Arial" w:cs="Arial"/>
          <w:sz w:val="20"/>
          <w:szCs w:val="20"/>
        </w:rPr>
        <w:t xml:space="preserve"> in primary percutaneous coronary intervention (HEAT-PPCI): an open-label, single centre, randomised controlled trial. The Lancet;</w:t>
      </w:r>
      <w:r w:rsidR="003205DD">
        <w:rPr>
          <w:rFonts w:ascii="Arial" w:hAnsi="Arial" w:cs="Arial"/>
          <w:sz w:val="20"/>
          <w:szCs w:val="20"/>
        </w:rPr>
        <w:t xml:space="preserve"> </w:t>
      </w:r>
      <w:r w:rsidRPr="006F4A82">
        <w:rPr>
          <w:rFonts w:ascii="Arial" w:hAnsi="Arial" w:cs="Arial"/>
          <w:sz w:val="20"/>
          <w:szCs w:val="20"/>
        </w:rPr>
        <w:t>384:1849-1858.</w:t>
      </w:r>
    </w:p>
    <w:p w14:paraId="17AA24B3" w14:textId="77777777" w:rsidR="00E36B37" w:rsidRDefault="004124F1" w:rsidP="00FC69FD">
      <w:pPr>
        <w:rPr>
          <w:rFonts w:ascii="Arial" w:hAnsi="Arial" w:cs="Arial"/>
          <w:sz w:val="20"/>
          <w:szCs w:val="20"/>
        </w:rPr>
      </w:pPr>
      <w:r>
        <w:rPr>
          <w:rFonts w:ascii="Arial" w:hAnsi="Arial" w:cs="Arial"/>
          <w:sz w:val="20"/>
          <w:szCs w:val="20"/>
        </w:rPr>
        <w:t xml:space="preserve">Figure 3 </w:t>
      </w:r>
      <w:r w:rsidR="00E36B37">
        <w:rPr>
          <w:rFonts w:ascii="Arial" w:hAnsi="Arial" w:cs="Arial"/>
          <w:sz w:val="20"/>
          <w:szCs w:val="20"/>
        </w:rPr>
        <w:t xml:space="preserve">Caption: Trial profile for HEAT-PPCI </w:t>
      </w:r>
      <w:r w:rsidR="008B29D3">
        <w:rPr>
          <w:rFonts w:ascii="Arial" w:hAnsi="Arial" w:cs="Arial"/>
          <w:sz w:val="20"/>
          <w:szCs w:val="20"/>
        </w:rPr>
        <w:t xml:space="preserve">summarising the </w:t>
      </w:r>
      <w:r w:rsidR="008B29D3" w:rsidRPr="008B29D3">
        <w:rPr>
          <w:rFonts w:ascii="Arial" w:hAnsi="Arial" w:cs="Arial"/>
          <w:sz w:val="20"/>
          <w:szCs w:val="24"/>
        </w:rPr>
        <w:t xml:space="preserve">flow of patients through the trial from the pre-randomisation </w:t>
      </w:r>
      <w:r w:rsidR="008B29D3">
        <w:rPr>
          <w:rFonts w:ascii="Arial" w:hAnsi="Arial" w:cs="Arial"/>
          <w:sz w:val="20"/>
          <w:szCs w:val="24"/>
        </w:rPr>
        <w:t xml:space="preserve">recruitment period </w:t>
      </w:r>
      <w:r w:rsidR="008B29D3" w:rsidRPr="008B29D3">
        <w:rPr>
          <w:rFonts w:ascii="Arial" w:hAnsi="Arial" w:cs="Arial"/>
          <w:sz w:val="20"/>
          <w:szCs w:val="24"/>
        </w:rPr>
        <w:t>to the post-randomisation follow-up</w:t>
      </w:r>
      <w:r w:rsidR="008B29D3">
        <w:rPr>
          <w:rFonts w:ascii="Arial" w:hAnsi="Arial" w:cs="Arial"/>
          <w:sz w:val="20"/>
          <w:szCs w:val="24"/>
        </w:rPr>
        <w:t xml:space="preserve"> and analysis. </w:t>
      </w:r>
    </w:p>
    <w:p w14:paraId="754E9F72" w14:textId="77777777" w:rsidR="009427F8" w:rsidRDefault="008B29D3">
      <w:pPr>
        <w:rPr>
          <w:rFonts w:ascii="Arial" w:hAnsi="Arial" w:cs="Arial"/>
          <w:sz w:val="20"/>
          <w:szCs w:val="20"/>
        </w:rPr>
      </w:pPr>
      <w:r>
        <w:rPr>
          <w:rFonts w:ascii="Arial" w:hAnsi="Arial" w:cs="Arial"/>
          <w:sz w:val="20"/>
          <w:szCs w:val="20"/>
        </w:rPr>
        <w:br w:type="page"/>
      </w:r>
      <w:r w:rsidR="009427F8">
        <w:rPr>
          <w:rFonts w:ascii="Arial" w:hAnsi="Arial" w:cs="Arial"/>
          <w:sz w:val="20"/>
          <w:szCs w:val="20"/>
        </w:rPr>
        <w:lastRenderedPageBreak/>
        <w:t>Figure 4</w:t>
      </w:r>
      <w:r w:rsidR="009427F8" w:rsidRPr="009427F8">
        <w:rPr>
          <w:rFonts w:ascii="Arial" w:hAnsi="Arial" w:cs="Arial"/>
          <w:sz w:val="20"/>
          <w:szCs w:val="20"/>
        </w:rPr>
        <w:t xml:space="preserve"> </w:t>
      </w:r>
      <w:r w:rsidR="009427F8" w:rsidRPr="00B765F8">
        <w:rPr>
          <w:rFonts w:ascii="Arial" w:hAnsi="Arial" w:cs="Arial"/>
          <w:sz w:val="20"/>
          <w:szCs w:val="20"/>
        </w:rPr>
        <w:t>Kaplan-Meier Estimates of the</w:t>
      </w:r>
      <w:r w:rsidR="009427F8">
        <w:rPr>
          <w:rFonts w:ascii="Arial" w:hAnsi="Arial" w:cs="Arial"/>
          <w:sz w:val="20"/>
          <w:szCs w:val="20"/>
        </w:rPr>
        <w:t xml:space="preserve"> Cumulative Incidence over </w:t>
      </w:r>
      <w:r w:rsidR="009427F8" w:rsidRPr="00B765F8">
        <w:rPr>
          <w:rFonts w:ascii="Arial" w:hAnsi="Arial" w:cs="Arial"/>
          <w:sz w:val="20"/>
          <w:szCs w:val="20"/>
        </w:rPr>
        <w:t xml:space="preserve">Time </w:t>
      </w:r>
      <w:r w:rsidR="009427F8">
        <w:rPr>
          <w:rFonts w:ascii="Arial" w:hAnsi="Arial" w:cs="Arial"/>
          <w:sz w:val="20"/>
          <w:szCs w:val="20"/>
        </w:rPr>
        <w:t xml:space="preserve">of </w:t>
      </w:r>
      <w:r w:rsidR="009427F8" w:rsidRPr="00B765F8">
        <w:rPr>
          <w:rFonts w:ascii="Arial" w:hAnsi="Arial" w:cs="Arial"/>
          <w:sz w:val="20"/>
          <w:szCs w:val="20"/>
        </w:rPr>
        <w:t xml:space="preserve">the </w:t>
      </w:r>
      <w:r w:rsidR="009427F8">
        <w:rPr>
          <w:rFonts w:ascii="Arial" w:hAnsi="Arial" w:cs="Arial"/>
          <w:sz w:val="20"/>
          <w:szCs w:val="20"/>
        </w:rPr>
        <w:t xml:space="preserve">Primary </w:t>
      </w:r>
      <w:r w:rsidR="00976B59">
        <w:rPr>
          <w:rFonts w:ascii="Arial" w:hAnsi="Arial" w:cs="Arial"/>
          <w:sz w:val="20"/>
          <w:szCs w:val="20"/>
        </w:rPr>
        <w:t xml:space="preserve">Efficacy </w:t>
      </w:r>
      <w:r w:rsidR="009427F8">
        <w:rPr>
          <w:rFonts w:ascii="Arial" w:hAnsi="Arial" w:cs="Arial"/>
          <w:sz w:val="20"/>
          <w:szCs w:val="20"/>
        </w:rPr>
        <w:t xml:space="preserve">Endpoint </w:t>
      </w:r>
      <w:r w:rsidR="00976B59">
        <w:rPr>
          <w:rFonts w:ascii="Arial" w:hAnsi="Arial" w:cs="Arial"/>
          <w:sz w:val="20"/>
          <w:szCs w:val="20"/>
        </w:rPr>
        <w:t xml:space="preserve">in the FREEDOM </w:t>
      </w:r>
      <w:r w:rsidR="009427F8" w:rsidRPr="00B765F8">
        <w:rPr>
          <w:rFonts w:ascii="Arial" w:hAnsi="Arial" w:cs="Arial"/>
          <w:sz w:val="20"/>
          <w:szCs w:val="20"/>
        </w:rPr>
        <w:t>trial</w:t>
      </w:r>
      <w:bookmarkStart w:id="29" w:name="_GoBack"/>
      <w:bookmarkEnd w:id="29"/>
    </w:p>
    <w:p w14:paraId="6447CFFF" w14:textId="77777777" w:rsidR="009427F8" w:rsidRDefault="007A6122" w:rsidP="00864297">
      <w:pPr>
        <w:jc w:val="center"/>
        <w:rPr>
          <w:rFonts w:ascii="Arial" w:hAnsi="Arial" w:cs="Arial"/>
          <w:sz w:val="20"/>
          <w:szCs w:val="20"/>
        </w:rPr>
      </w:pPr>
      <w:r>
        <w:rPr>
          <w:rFonts w:ascii="Arial" w:hAnsi="Arial" w:cs="Arial"/>
          <w:noProof/>
          <w:sz w:val="20"/>
          <w:szCs w:val="20"/>
          <w:lang w:eastAsia="en-GB"/>
        </w:rPr>
        <w:drawing>
          <wp:inline distT="0" distB="0" distL="0" distR="0" wp14:anchorId="1DAFB22B" wp14:editId="7852E9EB">
            <wp:extent cx="4464723" cy="3156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EEDOM 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243" cy="3164812"/>
                    </a:xfrm>
                    <a:prstGeom prst="rect">
                      <a:avLst/>
                    </a:prstGeom>
                  </pic:spPr>
                </pic:pic>
              </a:graphicData>
            </a:graphic>
          </wp:inline>
        </w:drawing>
      </w:r>
    </w:p>
    <w:p w14:paraId="320365F2" w14:textId="77777777" w:rsidR="009427F8" w:rsidRDefault="009427F8">
      <w:pPr>
        <w:rPr>
          <w:rFonts w:ascii="Arial" w:hAnsi="Arial" w:cs="Arial"/>
          <w:sz w:val="20"/>
          <w:szCs w:val="20"/>
        </w:rPr>
      </w:pPr>
    </w:p>
    <w:p w14:paraId="476AB581" w14:textId="77777777" w:rsidR="00C12A7E" w:rsidRDefault="00C12A7E">
      <w:pPr>
        <w:rPr>
          <w:noProof/>
        </w:rPr>
      </w:pPr>
      <w:r>
        <w:rPr>
          <w:rFonts w:ascii="Arial" w:hAnsi="Arial" w:cs="Arial"/>
          <w:sz w:val="20"/>
          <w:szCs w:val="20"/>
        </w:rPr>
        <w:t xml:space="preserve">Source: </w:t>
      </w:r>
      <w:r w:rsidRPr="00C06C90">
        <w:rPr>
          <w:noProof/>
        </w:rPr>
        <w:t>Tepel M, van der Giet M, Schwarzfeld C, Laufer U, Liermann D, Zidek W. Prevention of Radiographic-Contrast-Agent–Induced Reductions in Renal Function by Acetylcysteine. New England Journal of Medicine 2000;343:180-184.</w:t>
      </w:r>
    </w:p>
    <w:p w14:paraId="63C1DF5E" w14:textId="77777777" w:rsidR="00C12A7E" w:rsidRDefault="00C12A7E">
      <w:pPr>
        <w:rPr>
          <w:noProof/>
        </w:rPr>
      </w:pPr>
    </w:p>
    <w:p w14:paraId="1FA2FA42" w14:textId="77777777" w:rsidR="00C12A7E" w:rsidRDefault="00C12A7E">
      <w:pPr>
        <w:rPr>
          <w:rFonts w:ascii="Arial" w:hAnsi="Arial" w:cs="Arial"/>
          <w:sz w:val="20"/>
          <w:szCs w:val="20"/>
        </w:rPr>
      </w:pPr>
      <w:r>
        <w:rPr>
          <w:noProof/>
        </w:rPr>
        <w:t>Figure 4 caption: Kaplan-Meier estimates of the cumulative incidence of the primary efficacy endpoint (death, myocardial infarction or stroke) by treatment group in the FREEDOM trial.</w:t>
      </w:r>
      <w:r>
        <w:rPr>
          <w:rFonts w:ascii="Arial" w:hAnsi="Arial" w:cs="Arial"/>
          <w:sz w:val="20"/>
          <w:szCs w:val="20"/>
        </w:rPr>
        <w:br w:type="page"/>
      </w:r>
    </w:p>
    <w:p w14:paraId="4A677909" w14:textId="4F524A02" w:rsidR="00FC69FD" w:rsidRDefault="00FC69FD" w:rsidP="006F4A82">
      <w:pPr>
        <w:rPr>
          <w:rFonts w:ascii="Arial" w:hAnsi="Arial" w:cs="Arial"/>
          <w:sz w:val="20"/>
          <w:szCs w:val="20"/>
        </w:rPr>
      </w:pPr>
      <w:r w:rsidRPr="004419C4">
        <w:rPr>
          <w:rFonts w:ascii="Arial" w:hAnsi="Arial" w:cs="Arial"/>
          <w:sz w:val="20"/>
          <w:szCs w:val="20"/>
        </w:rPr>
        <w:lastRenderedPageBreak/>
        <w:t xml:space="preserve">Figure </w:t>
      </w:r>
      <w:r w:rsidR="009427F8">
        <w:rPr>
          <w:rFonts w:ascii="Arial" w:hAnsi="Arial" w:cs="Arial"/>
          <w:sz w:val="20"/>
          <w:szCs w:val="20"/>
        </w:rPr>
        <w:t>5</w:t>
      </w:r>
      <w:r w:rsidRPr="004419C4">
        <w:rPr>
          <w:rFonts w:ascii="Arial" w:hAnsi="Arial" w:cs="Arial"/>
          <w:sz w:val="20"/>
          <w:szCs w:val="20"/>
        </w:rPr>
        <w:t>. Time to Primary Event in the EMPHASIS</w:t>
      </w:r>
      <w:r w:rsidR="00E36B37">
        <w:rPr>
          <w:rFonts w:ascii="Arial" w:hAnsi="Arial" w:cs="Arial"/>
          <w:sz w:val="20"/>
          <w:szCs w:val="20"/>
        </w:rPr>
        <w:t>-HF</w:t>
      </w:r>
      <w:r w:rsidRPr="004419C4">
        <w:rPr>
          <w:rFonts w:ascii="Arial" w:hAnsi="Arial" w:cs="Arial"/>
          <w:sz w:val="20"/>
          <w:szCs w:val="20"/>
        </w:rPr>
        <w:t xml:space="preserve"> trial</w:t>
      </w:r>
    </w:p>
    <w:p w14:paraId="7E9B3DE9" w14:textId="77777777" w:rsidR="00FC69FD" w:rsidRDefault="00FC69FD" w:rsidP="00FC69FD">
      <w:pPr>
        <w:spacing w:after="0" w:line="360" w:lineRule="auto"/>
        <w:rPr>
          <w:rFonts w:ascii="Arial" w:hAnsi="Arial" w:cs="Arial"/>
          <w:sz w:val="20"/>
          <w:szCs w:val="20"/>
        </w:rPr>
      </w:pPr>
      <w:r>
        <w:rPr>
          <w:rFonts w:ascii="Arial" w:hAnsi="Arial" w:cs="Arial"/>
          <w:noProof/>
          <w:sz w:val="20"/>
          <w:szCs w:val="20"/>
          <w:lang w:eastAsia="en-GB"/>
        </w:rPr>
        <w:drawing>
          <wp:inline distT="0" distB="0" distL="0" distR="0" wp14:anchorId="1FE4D575" wp14:editId="28DDB15D">
            <wp:extent cx="6044520" cy="4397071"/>
            <wp:effectExtent l="19050" t="0" r="0" b="0"/>
            <wp:docPr id="36" name="Picture 36" descr="H:\My Documents\GroupWise\emp_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My Documents\GroupWise\emp_aft.png"/>
                    <pic:cNvPicPr>
                      <a:picLocks noChangeAspect="1" noChangeArrowheads="1"/>
                    </pic:cNvPicPr>
                  </pic:nvPicPr>
                  <pic:blipFill>
                    <a:blip r:embed="rId13" cstate="print"/>
                    <a:srcRect/>
                    <a:stretch>
                      <a:fillRect/>
                    </a:stretch>
                  </pic:blipFill>
                  <pic:spPr bwMode="auto">
                    <a:xfrm>
                      <a:off x="0" y="0"/>
                      <a:ext cx="6051512" cy="4402157"/>
                    </a:xfrm>
                    <a:prstGeom prst="rect">
                      <a:avLst/>
                    </a:prstGeom>
                    <a:noFill/>
                    <a:ln w="9525">
                      <a:noFill/>
                      <a:miter lim="800000"/>
                      <a:headEnd/>
                      <a:tailEnd/>
                    </a:ln>
                  </pic:spPr>
                </pic:pic>
              </a:graphicData>
            </a:graphic>
          </wp:inline>
        </w:drawing>
      </w:r>
    </w:p>
    <w:p w14:paraId="24A30636" w14:textId="77777777" w:rsidR="00FC69FD" w:rsidRDefault="00FC69FD" w:rsidP="00FC69FD">
      <w:pPr>
        <w:spacing w:after="0" w:line="360" w:lineRule="auto"/>
        <w:rPr>
          <w:rFonts w:ascii="Arial" w:hAnsi="Arial" w:cs="Arial"/>
          <w:sz w:val="20"/>
          <w:szCs w:val="20"/>
        </w:rPr>
      </w:pPr>
    </w:p>
    <w:p w14:paraId="1D32151E" w14:textId="22EE04F9" w:rsidR="00FC69FD" w:rsidRDefault="004124F1" w:rsidP="00FC69FD">
      <w:pPr>
        <w:spacing w:after="0" w:line="360" w:lineRule="auto"/>
        <w:rPr>
          <w:rFonts w:ascii="Arial" w:hAnsi="Arial" w:cs="Arial"/>
          <w:sz w:val="20"/>
          <w:szCs w:val="20"/>
        </w:rPr>
      </w:pPr>
      <w:r>
        <w:rPr>
          <w:rFonts w:ascii="Arial" w:hAnsi="Arial" w:cs="Arial"/>
          <w:sz w:val="20"/>
          <w:szCs w:val="20"/>
        </w:rPr>
        <w:t xml:space="preserve">Figure </w:t>
      </w:r>
      <w:r w:rsidR="009427F8">
        <w:rPr>
          <w:rFonts w:ascii="Arial" w:hAnsi="Arial" w:cs="Arial"/>
          <w:sz w:val="20"/>
          <w:szCs w:val="20"/>
        </w:rPr>
        <w:t>5</w:t>
      </w:r>
      <w:r>
        <w:rPr>
          <w:rFonts w:ascii="Arial" w:hAnsi="Arial" w:cs="Arial"/>
          <w:sz w:val="20"/>
          <w:szCs w:val="20"/>
        </w:rPr>
        <w:t xml:space="preserve"> </w:t>
      </w:r>
      <w:r w:rsidR="00E36B37">
        <w:rPr>
          <w:rFonts w:ascii="Arial" w:hAnsi="Arial" w:cs="Arial"/>
          <w:sz w:val="20"/>
          <w:szCs w:val="20"/>
        </w:rPr>
        <w:t>Caption: Kaplan-Meier cumulative incidence of cardiovascular (CV) death or hospitalisation for heart failure (HF) in the EMPHASIS-HF tria</w:t>
      </w:r>
      <w:r w:rsidR="008B29D3">
        <w:rPr>
          <w:rFonts w:ascii="Arial" w:hAnsi="Arial" w:cs="Arial"/>
          <w:sz w:val="20"/>
          <w:szCs w:val="20"/>
        </w:rPr>
        <w:t>l. T</w:t>
      </w:r>
      <w:r w:rsidR="004252E8" w:rsidRPr="008B29D3">
        <w:rPr>
          <w:rFonts w:ascii="Arial" w:hAnsi="Arial" w:cs="Arial"/>
          <w:sz w:val="20"/>
          <w:szCs w:val="20"/>
        </w:rPr>
        <w:t>he eplerenone and placebo groups reach 10% incidence at 0.84 years and 0.40 years respectively, a time ratio of 2.10.  20% incidence occurs at 2.02 years and 1.09 years respectively, a time ratio of 1.86.</w:t>
      </w:r>
    </w:p>
    <w:p w14:paraId="2560EF06" w14:textId="77777777" w:rsidR="008B29D3" w:rsidRPr="008B29D3" w:rsidRDefault="008B29D3" w:rsidP="00FC69FD">
      <w:pPr>
        <w:spacing w:after="0" w:line="360" w:lineRule="auto"/>
        <w:rPr>
          <w:rFonts w:ascii="Arial" w:hAnsi="Arial" w:cs="Arial"/>
          <w:sz w:val="20"/>
          <w:szCs w:val="20"/>
        </w:rPr>
      </w:pPr>
    </w:p>
    <w:p w14:paraId="12BE8BD4" w14:textId="77777777" w:rsidR="00FC69FD" w:rsidRDefault="00FC69FD" w:rsidP="00FC69FD">
      <w:pPr>
        <w:spacing w:after="0" w:line="360" w:lineRule="auto"/>
        <w:rPr>
          <w:rFonts w:ascii="Arial" w:hAnsi="Arial" w:cs="Arial"/>
          <w:sz w:val="20"/>
          <w:szCs w:val="20"/>
        </w:rPr>
      </w:pPr>
    </w:p>
    <w:p w14:paraId="330704E8" w14:textId="77777777" w:rsidR="00FC69FD" w:rsidRDefault="00FC69FD" w:rsidP="00FC69FD">
      <w:pPr>
        <w:spacing w:after="0" w:line="360" w:lineRule="auto"/>
        <w:rPr>
          <w:rFonts w:ascii="Arial" w:hAnsi="Arial" w:cs="Arial"/>
          <w:sz w:val="20"/>
          <w:szCs w:val="20"/>
        </w:rPr>
      </w:pPr>
    </w:p>
    <w:p w14:paraId="2F53F74C" w14:textId="77777777" w:rsidR="00FC69FD" w:rsidRDefault="00FC69FD" w:rsidP="00FC69FD">
      <w:pPr>
        <w:spacing w:after="0" w:line="360" w:lineRule="auto"/>
        <w:rPr>
          <w:rFonts w:ascii="Arial" w:hAnsi="Arial" w:cs="Arial"/>
          <w:sz w:val="20"/>
          <w:szCs w:val="20"/>
        </w:rPr>
      </w:pPr>
    </w:p>
    <w:p w14:paraId="4342EF3B" w14:textId="77777777" w:rsidR="00FC69FD" w:rsidRDefault="00FC69FD" w:rsidP="00FC69FD">
      <w:pPr>
        <w:spacing w:after="0" w:line="360" w:lineRule="auto"/>
        <w:rPr>
          <w:rFonts w:ascii="Arial" w:hAnsi="Arial" w:cs="Arial"/>
          <w:sz w:val="20"/>
          <w:szCs w:val="20"/>
        </w:rPr>
      </w:pPr>
    </w:p>
    <w:p w14:paraId="79E0955A" w14:textId="77777777" w:rsidR="00FC69FD" w:rsidRDefault="00FC69FD" w:rsidP="00FC69FD">
      <w:pPr>
        <w:spacing w:after="0" w:line="360" w:lineRule="auto"/>
        <w:rPr>
          <w:rFonts w:ascii="Arial" w:hAnsi="Arial" w:cs="Arial"/>
          <w:sz w:val="20"/>
          <w:szCs w:val="20"/>
        </w:rPr>
      </w:pPr>
    </w:p>
    <w:p w14:paraId="37CEA59E" w14:textId="77777777" w:rsidR="00FC69FD" w:rsidRDefault="00FC69FD" w:rsidP="00FC69FD">
      <w:pPr>
        <w:spacing w:after="0" w:line="360" w:lineRule="auto"/>
        <w:rPr>
          <w:rFonts w:ascii="Arial" w:hAnsi="Arial" w:cs="Arial"/>
          <w:sz w:val="20"/>
          <w:szCs w:val="20"/>
        </w:rPr>
      </w:pPr>
    </w:p>
    <w:p w14:paraId="0DB4650F" w14:textId="77777777" w:rsidR="00FC69FD" w:rsidRDefault="00FC69FD" w:rsidP="00FC69FD">
      <w:pPr>
        <w:spacing w:after="0" w:line="360" w:lineRule="auto"/>
        <w:rPr>
          <w:rFonts w:ascii="Arial" w:hAnsi="Arial" w:cs="Arial"/>
          <w:sz w:val="20"/>
          <w:szCs w:val="20"/>
        </w:rPr>
      </w:pPr>
    </w:p>
    <w:p w14:paraId="5C95AEF0" w14:textId="77777777" w:rsidR="00FC69FD" w:rsidRDefault="00FC69FD" w:rsidP="00FC69FD">
      <w:pPr>
        <w:spacing w:after="0" w:line="360" w:lineRule="auto"/>
        <w:rPr>
          <w:rFonts w:ascii="Arial" w:hAnsi="Arial" w:cs="Arial"/>
          <w:sz w:val="20"/>
          <w:szCs w:val="20"/>
        </w:rPr>
      </w:pPr>
    </w:p>
    <w:p w14:paraId="756519C1" w14:textId="77777777" w:rsidR="00FC69FD" w:rsidRDefault="00FC69FD" w:rsidP="00FC69FD">
      <w:pPr>
        <w:spacing w:after="0" w:line="360" w:lineRule="auto"/>
        <w:rPr>
          <w:rFonts w:ascii="Arial" w:hAnsi="Arial" w:cs="Arial"/>
          <w:sz w:val="20"/>
          <w:szCs w:val="20"/>
        </w:rPr>
      </w:pPr>
    </w:p>
    <w:p w14:paraId="429A08E2" w14:textId="77777777" w:rsidR="00FC69FD" w:rsidRDefault="00FC69FD" w:rsidP="00FC69FD">
      <w:pPr>
        <w:spacing w:after="0" w:line="360" w:lineRule="auto"/>
        <w:rPr>
          <w:rFonts w:ascii="Arial" w:hAnsi="Arial" w:cs="Arial"/>
          <w:sz w:val="20"/>
          <w:szCs w:val="20"/>
        </w:rPr>
      </w:pPr>
    </w:p>
    <w:p w14:paraId="2A53A50A" w14:textId="77777777" w:rsidR="00FC69FD" w:rsidRDefault="00FC69FD" w:rsidP="00FC69FD">
      <w:pPr>
        <w:spacing w:after="0" w:line="360" w:lineRule="auto"/>
        <w:rPr>
          <w:rFonts w:ascii="Arial" w:hAnsi="Arial" w:cs="Arial"/>
          <w:sz w:val="20"/>
          <w:szCs w:val="20"/>
        </w:rPr>
      </w:pPr>
    </w:p>
    <w:p w14:paraId="65EF296D" w14:textId="77777777" w:rsidR="00FC69FD" w:rsidRDefault="00FC69FD" w:rsidP="00FC69FD">
      <w:pPr>
        <w:spacing w:after="0" w:line="360" w:lineRule="auto"/>
        <w:rPr>
          <w:rFonts w:ascii="Arial" w:hAnsi="Arial" w:cs="Arial"/>
          <w:sz w:val="20"/>
          <w:szCs w:val="20"/>
        </w:rPr>
      </w:pPr>
    </w:p>
    <w:p w14:paraId="23152EAA" w14:textId="77777777" w:rsidR="00FC69FD" w:rsidRDefault="00FC69FD" w:rsidP="00FC69FD">
      <w:pPr>
        <w:spacing w:after="0" w:line="360" w:lineRule="auto"/>
        <w:rPr>
          <w:rFonts w:ascii="Arial" w:hAnsi="Arial" w:cs="Arial"/>
          <w:sz w:val="20"/>
          <w:szCs w:val="20"/>
        </w:rPr>
      </w:pPr>
    </w:p>
    <w:p w14:paraId="7EABF117" w14:textId="20417A8F" w:rsidR="00FC69FD" w:rsidRDefault="00FC69FD" w:rsidP="00FC69FD">
      <w:pPr>
        <w:spacing w:after="0" w:line="360" w:lineRule="auto"/>
        <w:rPr>
          <w:rFonts w:ascii="Arial" w:hAnsi="Arial" w:cs="Arial"/>
          <w:sz w:val="20"/>
          <w:szCs w:val="20"/>
        </w:rPr>
      </w:pPr>
      <w:r>
        <w:rPr>
          <w:rFonts w:ascii="Arial" w:hAnsi="Arial" w:cs="Arial"/>
          <w:sz w:val="20"/>
          <w:szCs w:val="20"/>
        </w:rPr>
        <w:lastRenderedPageBreak/>
        <w:t xml:space="preserve">Figure </w:t>
      </w:r>
      <w:r w:rsidR="009427F8">
        <w:rPr>
          <w:rFonts w:ascii="Arial" w:hAnsi="Arial" w:cs="Arial"/>
          <w:sz w:val="20"/>
          <w:szCs w:val="20"/>
        </w:rPr>
        <w:t>6</w:t>
      </w:r>
      <w:r>
        <w:rPr>
          <w:rFonts w:ascii="Arial" w:hAnsi="Arial" w:cs="Arial"/>
          <w:sz w:val="20"/>
          <w:szCs w:val="20"/>
        </w:rPr>
        <w:t>. Analysis of Covariance for Change in SBP in the SYMPLICITY 3 trial</w:t>
      </w:r>
    </w:p>
    <w:p w14:paraId="254D0E8C" w14:textId="77777777" w:rsidR="00FC69FD" w:rsidRDefault="00FC69FD" w:rsidP="00FC69FD">
      <w:pPr>
        <w:spacing w:after="0" w:line="360" w:lineRule="auto"/>
        <w:rPr>
          <w:rFonts w:ascii="Arial" w:hAnsi="Arial" w:cs="Arial"/>
          <w:sz w:val="20"/>
          <w:szCs w:val="20"/>
        </w:rPr>
      </w:pPr>
      <w:r>
        <w:rPr>
          <w:rFonts w:ascii="Arial" w:hAnsi="Arial" w:cs="Arial"/>
          <w:noProof/>
          <w:sz w:val="20"/>
          <w:szCs w:val="20"/>
          <w:lang w:eastAsia="en-GB"/>
        </w:rPr>
        <w:drawing>
          <wp:inline distT="0" distB="0" distL="0" distR="0" wp14:anchorId="5BE9F7AD" wp14:editId="39CF9F36">
            <wp:extent cx="4967831" cy="3612768"/>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cova.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69593" cy="3614049"/>
                    </a:xfrm>
                    <a:prstGeom prst="rect">
                      <a:avLst/>
                    </a:prstGeom>
                  </pic:spPr>
                </pic:pic>
              </a:graphicData>
            </a:graphic>
          </wp:inline>
        </w:drawing>
      </w:r>
    </w:p>
    <w:p w14:paraId="1833C8D5" w14:textId="77777777" w:rsidR="00C87706" w:rsidRDefault="00C87706" w:rsidP="004419C4">
      <w:pPr>
        <w:spacing w:after="0" w:line="360" w:lineRule="auto"/>
        <w:rPr>
          <w:rFonts w:ascii="Arial" w:hAnsi="Arial" w:cs="Arial"/>
          <w:sz w:val="20"/>
          <w:szCs w:val="20"/>
        </w:rPr>
      </w:pPr>
    </w:p>
    <w:p w14:paraId="15AC6128" w14:textId="77777777" w:rsidR="004124F1" w:rsidRDefault="004124F1" w:rsidP="004419C4">
      <w:pPr>
        <w:spacing w:after="0" w:line="360" w:lineRule="auto"/>
        <w:rPr>
          <w:rFonts w:ascii="Arial" w:hAnsi="Arial" w:cs="Arial"/>
          <w:sz w:val="20"/>
          <w:szCs w:val="20"/>
        </w:rPr>
      </w:pPr>
    </w:p>
    <w:p w14:paraId="111803D7" w14:textId="0B0778F9" w:rsidR="004124F1" w:rsidRDefault="004124F1" w:rsidP="004419C4">
      <w:pPr>
        <w:spacing w:after="0" w:line="360" w:lineRule="auto"/>
        <w:rPr>
          <w:rFonts w:ascii="Arial" w:hAnsi="Arial" w:cs="Arial"/>
          <w:sz w:val="24"/>
          <w:szCs w:val="24"/>
        </w:rPr>
      </w:pPr>
      <w:r>
        <w:rPr>
          <w:rFonts w:ascii="Arial" w:hAnsi="Arial" w:cs="Arial"/>
          <w:sz w:val="20"/>
          <w:szCs w:val="20"/>
        </w:rPr>
        <w:t xml:space="preserve">Figure </w:t>
      </w:r>
      <w:r w:rsidR="009427F8">
        <w:rPr>
          <w:rFonts w:ascii="Arial" w:hAnsi="Arial" w:cs="Arial"/>
          <w:sz w:val="20"/>
          <w:szCs w:val="20"/>
        </w:rPr>
        <w:t>6</w:t>
      </w:r>
      <w:r>
        <w:rPr>
          <w:rFonts w:ascii="Arial" w:hAnsi="Arial" w:cs="Arial"/>
          <w:sz w:val="20"/>
          <w:szCs w:val="20"/>
        </w:rPr>
        <w:t xml:space="preserve"> Caption: </w:t>
      </w:r>
      <w:r w:rsidRPr="004124F1">
        <w:rPr>
          <w:rFonts w:ascii="Arial" w:hAnsi="Arial" w:cs="Arial"/>
          <w:sz w:val="20"/>
          <w:szCs w:val="20"/>
        </w:rPr>
        <w:t xml:space="preserve">Individual 6 month change in systolic blood pressure (SBP) by baseline SBP by treatment group from the SYMPLICITY 3 trial. The two drawn parallel regression lines show the anticipated regression to the mean, </w:t>
      </w:r>
      <w:proofErr w:type="spellStart"/>
      <w:r w:rsidRPr="004124F1">
        <w:rPr>
          <w:rFonts w:ascii="Arial" w:hAnsi="Arial" w:cs="Arial"/>
          <w:sz w:val="20"/>
          <w:szCs w:val="20"/>
        </w:rPr>
        <w:t>ie</w:t>
      </w:r>
      <w:proofErr w:type="spellEnd"/>
      <w:r w:rsidRPr="004124F1">
        <w:rPr>
          <w:rFonts w:ascii="Arial" w:hAnsi="Arial" w:cs="Arial"/>
          <w:sz w:val="20"/>
          <w:szCs w:val="20"/>
        </w:rPr>
        <w:t xml:space="preserve">. </w:t>
      </w:r>
      <w:proofErr w:type="gramStart"/>
      <w:r w:rsidRPr="004124F1">
        <w:rPr>
          <w:rFonts w:ascii="Arial" w:hAnsi="Arial" w:cs="Arial"/>
          <w:sz w:val="20"/>
          <w:szCs w:val="20"/>
        </w:rPr>
        <w:t>patients</w:t>
      </w:r>
      <w:proofErr w:type="gramEnd"/>
      <w:r w:rsidRPr="004124F1">
        <w:rPr>
          <w:rFonts w:ascii="Arial" w:hAnsi="Arial" w:cs="Arial"/>
          <w:sz w:val="20"/>
          <w:szCs w:val="20"/>
        </w:rPr>
        <w:t xml:space="preserve"> </w:t>
      </w:r>
      <w:r w:rsidR="0032355B">
        <w:rPr>
          <w:rFonts w:ascii="Arial" w:hAnsi="Arial" w:cs="Arial"/>
          <w:sz w:val="20"/>
          <w:szCs w:val="20"/>
        </w:rPr>
        <w:t xml:space="preserve">with a higher </w:t>
      </w:r>
      <w:r w:rsidRPr="004124F1">
        <w:rPr>
          <w:rFonts w:ascii="Arial" w:hAnsi="Arial" w:cs="Arial"/>
          <w:sz w:val="20"/>
          <w:szCs w:val="20"/>
        </w:rPr>
        <w:t xml:space="preserve">baseline SBP (in both treatment groups) </w:t>
      </w:r>
      <w:r w:rsidR="00F61B1E">
        <w:rPr>
          <w:rFonts w:ascii="Arial" w:hAnsi="Arial" w:cs="Arial"/>
          <w:sz w:val="20"/>
          <w:szCs w:val="20"/>
        </w:rPr>
        <w:t>te</w:t>
      </w:r>
      <w:r w:rsidRPr="004124F1">
        <w:rPr>
          <w:rFonts w:ascii="Arial" w:hAnsi="Arial" w:cs="Arial"/>
          <w:sz w:val="20"/>
          <w:szCs w:val="20"/>
        </w:rPr>
        <w:t xml:space="preserve">nd to have </w:t>
      </w:r>
      <w:r w:rsidR="0032355B">
        <w:rPr>
          <w:rFonts w:ascii="Arial" w:hAnsi="Arial" w:cs="Arial"/>
          <w:sz w:val="20"/>
          <w:szCs w:val="20"/>
        </w:rPr>
        <w:t>a greater blood p</w:t>
      </w:r>
      <w:r w:rsidRPr="004124F1">
        <w:rPr>
          <w:rFonts w:ascii="Arial" w:hAnsi="Arial" w:cs="Arial"/>
          <w:sz w:val="20"/>
          <w:szCs w:val="20"/>
        </w:rPr>
        <w:t xml:space="preserve">ressure reduction compared with those </w:t>
      </w:r>
      <w:r w:rsidR="00F61B1E">
        <w:rPr>
          <w:rFonts w:ascii="Arial" w:hAnsi="Arial" w:cs="Arial"/>
          <w:sz w:val="20"/>
          <w:szCs w:val="20"/>
        </w:rPr>
        <w:t>nearer the minimum inclusion criteria of 160 mmHg</w:t>
      </w:r>
      <w:r w:rsidRPr="004124F1">
        <w:rPr>
          <w:rFonts w:ascii="Arial" w:hAnsi="Arial" w:cs="Arial"/>
          <w:sz w:val="20"/>
          <w:szCs w:val="20"/>
        </w:rPr>
        <w:t>. The vertical distance between the two regression lines is 4.11 mmHg, the mean treatment effect adjusted for baseline.</w:t>
      </w:r>
    </w:p>
    <w:p w14:paraId="61580D72" w14:textId="77777777" w:rsidR="0032355B" w:rsidRDefault="0032355B">
      <w:pPr>
        <w:rPr>
          <w:rFonts w:ascii="Arial" w:hAnsi="Arial" w:cs="Arial"/>
          <w:sz w:val="20"/>
          <w:szCs w:val="20"/>
        </w:rPr>
      </w:pPr>
      <w:r>
        <w:rPr>
          <w:rFonts w:ascii="Arial" w:hAnsi="Arial" w:cs="Arial"/>
          <w:sz w:val="20"/>
          <w:szCs w:val="20"/>
        </w:rPr>
        <w:br w:type="page"/>
      </w:r>
    </w:p>
    <w:p w14:paraId="0A08AD0D" w14:textId="77777777" w:rsidR="0032355B" w:rsidRDefault="0032355B" w:rsidP="004419C4">
      <w:pPr>
        <w:spacing w:after="0" w:line="360" w:lineRule="auto"/>
        <w:rPr>
          <w:rFonts w:ascii="Arial" w:hAnsi="Arial" w:cs="Arial"/>
          <w:sz w:val="20"/>
          <w:szCs w:val="20"/>
        </w:rPr>
      </w:pPr>
      <w:r>
        <w:rPr>
          <w:rFonts w:ascii="Arial" w:hAnsi="Arial" w:cs="Arial"/>
          <w:sz w:val="20"/>
          <w:szCs w:val="20"/>
        </w:rPr>
        <w:lastRenderedPageBreak/>
        <w:t>Central Illustration of Topics Covered</w:t>
      </w:r>
    </w:p>
    <w:p w14:paraId="09E38F03" w14:textId="77777777" w:rsidR="0032355B" w:rsidRDefault="0032355B" w:rsidP="004419C4">
      <w:pPr>
        <w:spacing w:after="0" w:line="360" w:lineRule="auto"/>
        <w:rPr>
          <w:rFonts w:ascii="Arial" w:hAnsi="Arial" w:cs="Arial"/>
          <w:sz w:val="20"/>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3"/>
      </w:tblGrid>
      <w:tr w:rsidR="0032355B" w14:paraId="25FD44E5" w14:textId="77777777" w:rsidTr="0032355B">
        <w:trPr>
          <w:trHeight w:val="1725"/>
        </w:trPr>
        <w:tc>
          <w:tcPr>
            <w:tcW w:w="3969" w:type="dxa"/>
          </w:tcPr>
          <w:p w14:paraId="79F21DE9" w14:textId="77777777" w:rsidR="0032355B" w:rsidRDefault="0032355B" w:rsidP="004419C4">
            <w:pPr>
              <w:spacing w:line="360" w:lineRule="auto"/>
              <w:rPr>
                <w:rFonts w:ascii="Arial" w:hAnsi="Arial" w:cs="Arial"/>
                <w:sz w:val="20"/>
                <w:szCs w:val="20"/>
              </w:rPr>
            </w:pPr>
            <w:r>
              <w:rPr>
                <w:rFonts w:ascii="Arial" w:hAnsi="Arial" w:cs="Arial"/>
                <w:sz w:val="20"/>
                <w:szCs w:val="20"/>
              </w:rPr>
              <w:t>Displaying Results in Tables and Figures</w:t>
            </w:r>
          </w:p>
        </w:tc>
        <w:tc>
          <w:tcPr>
            <w:tcW w:w="5103" w:type="dxa"/>
          </w:tcPr>
          <w:p w14:paraId="587259D8" w14:textId="77777777" w:rsidR="0032355B" w:rsidRDefault="0032355B" w:rsidP="0032355B">
            <w:pPr>
              <w:pStyle w:val="ListParagraph"/>
              <w:numPr>
                <w:ilvl w:val="0"/>
                <w:numId w:val="5"/>
              </w:numPr>
              <w:spacing w:line="360" w:lineRule="auto"/>
              <w:rPr>
                <w:rFonts w:ascii="Arial" w:hAnsi="Arial" w:cs="Arial"/>
                <w:sz w:val="20"/>
                <w:szCs w:val="20"/>
              </w:rPr>
            </w:pPr>
            <w:r>
              <w:rPr>
                <w:rFonts w:ascii="Arial" w:hAnsi="Arial" w:cs="Arial"/>
                <w:sz w:val="20"/>
                <w:szCs w:val="20"/>
              </w:rPr>
              <w:t>main types of Tables and Figures</w:t>
            </w:r>
          </w:p>
          <w:p w14:paraId="35EDAA62" w14:textId="77777777" w:rsidR="0032355B" w:rsidRDefault="0032355B" w:rsidP="0032355B">
            <w:pPr>
              <w:pStyle w:val="ListParagraph"/>
              <w:numPr>
                <w:ilvl w:val="0"/>
                <w:numId w:val="5"/>
              </w:numPr>
              <w:spacing w:line="360" w:lineRule="auto"/>
              <w:rPr>
                <w:rFonts w:ascii="Arial" w:hAnsi="Arial" w:cs="Arial"/>
                <w:sz w:val="20"/>
                <w:szCs w:val="20"/>
              </w:rPr>
            </w:pPr>
            <w:r>
              <w:rPr>
                <w:rFonts w:ascii="Arial" w:hAnsi="Arial" w:cs="Arial"/>
                <w:sz w:val="20"/>
                <w:szCs w:val="20"/>
              </w:rPr>
              <w:t>guidance on what to include</w:t>
            </w:r>
          </w:p>
          <w:p w14:paraId="79AE2F30" w14:textId="77777777" w:rsidR="0032355B" w:rsidRDefault="0032355B" w:rsidP="0032355B">
            <w:pPr>
              <w:pStyle w:val="ListParagraph"/>
              <w:numPr>
                <w:ilvl w:val="0"/>
                <w:numId w:val="5"/>
              </w:numPr>
              <w:spacing w:line="360" w:lineRule="auto"/>
              <w:rPr>
                <w:rFonts w:ascii="Arial" w:hAnsi="Arial" w:cs="Arial"/>
                <w:sz w:val="20"/>
                <w:szCs w:val="20"/>
              </w:rPr>
            </w:pPr>
            <w:r>
              <w:rPr>
                <w:rFonts w:ascii="Arial" w:hAnsi="Arial" w:cs="Arial"/>
                <w:sz w:val="20"/>
                <w:szCs w:val="20"/>
              </w:rPr>
              <w:t>Kaplan-Meier plots</w:t>
            </w:r>
          </w:p>
          <w:p w14:paraId="2A55507B" w14:textId="77777777" w:rsidR="0032355B" w:rsidRPr="0032355B" w:rsidRDefault="0032355B" w:rsidP="0032355B">
            <w:pPr>
              <w:pStyle w:val="ListParagraph"/>
              <w:numPr>
                <w:ilvl w:val="0"/>
                <w:numId w:val="5"/>
              </w:numPr>
              <w:spacing w:line="360" w:lineRule="auto"/>
              <w:rPr>
                <w:rFonts w:ascii="Arial" w:hAnsi="Arial" w:cs="Arial"/>
                <w:sz w:val="20"/>
                <w:szCs w:val="20"/>
              </w:rPr>
            </w:pPr>
            <w:r>
              <w:rPr>
                <w:rFonts w:ascii="Arial" w:hAnsi="Arial" w:cs="Arial"/>
                <w:sz w:val="20"/>
                <w:szCs w:val="20"/>
              </w:rPr>
              <w:t>trial profile</w:t>
            </w:r>
          </w:p>
        </w:tc>
      </w:tr>
      <w:tr w:rsidR="0032355B" w14:paraId="4E06094F" w14:textId="77777777" w:rsidTr="0032355B">
        <w:trPr>
          <w:trHeight w:val="2118"/>
        </w:trPr>
        <w:tc>
          <w:tcPr>
            <w:tcW w:w="3969" w:type="dxa"/>
          </w:tcPr>
          <w:p w14:paraId="0048C03D" w14:textId="77777777" w:rsidR="0032355B" w:rsidRDefault="0032355B" w:rsidP="004419C4">
            <w:pPr>
              <w:spacing w:line="360" w:lineRule="auto"/>
              <w:rPr>
                <w:rFonts w:ascii="Arial" w:hAnsi="Arial" w:cs="Arial"/>
                <w:sz w:val="20"/>
                <w:szCs w:val="20"/>
              </w:rPr>
            </w:pPr>
            <w:r>
              <w:rPr>
                <w:rFonts w:ascii="Arial" w:hAnsi="Arial" w:cs="Arial"/>
                <w:sz w:val="20"/>
                <w:szCs w:val="20"/>
              </w:rPr>
              <w:t>Estimates of Treatment Effect</w:t>
            </w:r>
          </w:p>
        </w:tc>
        <w:tc>
          <w:tcPr>
            <w:tcW w:w="5103" w:type="dxa"/>
          </w:tcPr>
          <w:p w14:paraId="02039CBC" w14:textId="77777777" w:rsidR="0032355B" w:rsidRDefault="0032355B" w:rsidP="0032355B">
            <w:pPr>
              <w:pStyle w:val="ListParagraph"/>
              <w:numPr>
                <w:ilvl w:val="0"/>
                <w:numId w:val="6"/>
              </w:numPr>
              <w:spacing w:line="360" w:lineRule="auto"/>
              <w:rPr>
                <w:rFonts w:ascii="Arial" w:hAnsi="Arial" w:cs="Arial"/>
                <w:sz w:val="20"/>
                <w:szCs w:val="20"/>
              </w:rPr>
            </w:pPr>
            <w:r>
              <w:rPr>
                <w:rFonts w:ascii="Arial" w:hAnsi="Arial" w:cs="Arial"/>
                <w:sz w:val="20"/>
                <w:szCs w:val="20"/>
              </w:rPr>
              <w:t>relative risk and relative odds</w:t>
            </w:r>
          </w:p>
          <w:p w14:paraId="5FA09118" w14:textId="77777777" w:rsidR="0032355B" w:rsidRDefault="0032355B" w:rsidP="0032355B">
            <w:pPr>
              <w:pStyle w:val="ListParagraph"/>
              <w:numPr>
                <w:ilvl w:val="0"/>
                <w:numId w:val="6"/>
              </w:numPr>
              <w:spacing w:line="360" w:lineRule="auto"/>
              <w:rPr>
                <w:rFonts w:ascii="Arial" w:hAnsi="Arial" w:cs="Arial"/>
                <w:sz w:val="20"/>
                <w:szCs w:val="20"/>
              </w:rPr>
            </w:pPr>
            <w:r>
              <w:rPr>
                <w:rFonts w:ascii="Arial" w:hAnsi="Arial" w:cs="Arial"/>
                <w:sz w:val="20"/>
                <w:szCs w:val="20"/>
              </w:rPr>
              <w:t>difference in percentages</w:t>
            </w:r>
          </w:p>
          <w:p w14:paraId="2DEB21CC" w14:textId="77777777" w:rsidR="0032355B" w:rsidRDefault="0032355B" w:rsidP="0032355B">
            <w:pPr>
              <w:pStyle w:val="ListParagraph"/>
              <w:numPr>
                <w:ilvl w:val="0"/>
                <w:numId w:val="6"/>
              </w:numPr>
              <w:spacing w:line="360" w:lineRule="auto"/>
              <w:rPr>
                <w:rFonts w:ascii="Arial" w:hAnsi="Arial" w:cs="Arial"/>
                <w:sz w:val="20"/>
                <w:szCs w:val="20"/>
              </w:rPr>
            </w:pPr>
            <w:r>
              <w:rPr>
                <w:rFonts w:ascii="Arial" w:hAnsi="Arial" w:cs="Arial"/>
                <w:sz w:val="20"/>
                <w:szCs w:val="20"/>
              </w:rPr>
              <w:t>number needed to treat</w:t>
            </w:r>
          </w:p>
          <w:p w14:paraId="307C4BBA" w14:textId="77777777" w:rsidR="0032355B" w:rsidRDefault="0032355B" w:rsidP="0032355B">
            <w:pPr>
              <w:pStyle w:val="ListParagraph"/>
              <w:numPr>
                <w:ilvl w:val="0"/>
                <w:numId w:val="6"/>
              </w:numPr>
              <w:spacing w:line="360" w:lineRule="auto"/>
              <w:rPr>
                <w:rFonts w:ascii="Arial" w:hAnsi="Arial" w:cs="Arial"/>
                <w:sz w:val="20"/>
                <w:szCs w:val="20"/>
              </w:rPr>
            </w:pPr>
            <w:r>
              <w:rPr>
                <w:rFonts w:ascii="Arial" w:hAnsi="Arial" w:cs="Arial"/>
                <w:sz w:val="20"/>
                <w:szCs w:val="20"/>
              </w:rPr>
              <w:t>hazard ratio for time-to-event data</w:t>
            </w:r>
          </w:p>
          <w:p w14:paraId="2B71F663" w14:textId="77777777" w:rsidR="0032355B" w:rsidRPr="0032355B" w:rsidRDefault="0032355B" w:rsidP="0032355B">
            <w:pPr>
              <w:pStyle w:val="ListParagraph"/>
              <w:numPr>
                <w:ilvl w:val="0"/>
                <w:numId w:val="6"/>
              </w:numPr>
              <w:spacing w:line="360" w:lineRule="auto"/>
              <w:rPr>
                <w:rFonts w:ascii="Arial" w:hAnsi="Arial" w:cs="Arial"/>
                <w:sz w:val="20"/>
                <w:szCs w:val="20"/>
              </w:rPr>
            </w:pPr>
            <w:r>
              <w:rPr>
                <w:rFonts w:ascii="Arial" w:hAnsi="Arial" w:cs="Arial"/>
                <w:sz w:val="20"/>
                <w:szCs w:val="20"/>
              </w:rPr>
              <w:t>ANCOVA for quantitative data</w:t>
            </w:r>
          </w:p>
        </w:tc>
      </w:tr>
      <w:tr w:rsidR="0032355B" w14:paraId="30CAB819" w14:textId="77777777" w:rsidTr="0032355B">
        <w:trPr>
          <w:trHeight w:val="2134"/>
        </w:trPr>
        <w:tc>
          <w:tcPr>
            <w:tcW w:w="3969" w:type="dxa"/>
          </w:tcPr>
          <w:p w14:paraId="589FF144" w14:textId="77777777" w:rsidR="0032355B" w:rsidRDefault="0032355B" w:rsidP="004419C4">
            <w:pPr>
              <w:spacing w:line="360" w:lineRule="auto"/>
              <w:rPr>
                <w:rFonts w:ascii="Arial" w:hAnsi="Arial" w:cs="Arial"/>
                <w:sz w:val="20"/>
                <w:szCs w:val="20"/>
              </w:rPr>
            </w:pPr>
            <w:r>
              <w:rPr>
                <w:rFonts w:ascii="Arial" w:hAnsi="Arial" w:cs="Arial"/>
                <w:sz w:val="20"/>
                <w:szCs w:val="20"/>
              </w:rPr>
              <w:t>Confidence Intervals</w:t>
            </w:r>
          </w:p>
        </w:tc>
        <w:tc>
          <w:tcPr>
            <w:tcW w:w="5103" w:type="dxa"/>
          </w:tcPr>
          <w:p w14:paraId="0AF7A82E" w14:textId="77777777" w:rsidR="0032355B" w:rsidRDefault="0032355B" w:rsidP="0032355B">
            <w:pPr>
              <w:pStyle w:val="ListParagraph"/>
              <w:numPr>
                <w:ilvl w:val="0"/>
                <w:numId w:val="6"/>
              </w:numPr>
              <w:spacing w:line="360" w:lineRule="auto"/>
              <w:rPr>
                <w:rFonts w:ascii="Arial" w:hAnsi="Arial" w:cs="Arial"/>
                <w:sz w:val="20"/>
                <w:szCs w:val="20"/>
              </w:rPr>
            </w:pPr>
            <w:r>
              <w:rPr>
                <w:rFonts w:ascii="Arial" w:hAnsi="Arial" w:cs="Arial"/>
                <w:sz w:val="20"/>
                <w:szCs w:val="20"/>
              </w:rPr>
              <w:t>their value in expressing uncertainty</w:t>
            </w:r>
          </w:p>
          <w:p w14:paraId="59FBA475" w14:textId="77777777" w:rsidR="0032355B" w:rsidRDefault="0032355B" w:rsidP="0032355B">
            <w:pPr>
              <w:pStyle w:val="ListParagraph"/>
              <w:numPr>
                <w:ilvl w:val="0"/>
                <w:numId w:val="6"/>
              </w:numPr>
              <w:spacing w:line="360" w:lineRule="auto"/>
              <w:rPr>
                <w:rFonts w:ascii="Arial" w:hAnsi="Arial" w:cs="Arial"/>
                <w:sz w:val="20"/>
                <w:szCs w:val="20"/>
              </w:rPr>
            </w:pPr>
            <w:r>
              <w:rPr>
                <w:rFonts w:ascii="Arial" w:hAnsi="Arial" w:cs="Arial"/>
                <w:sz w:val="20"/>
                <w:szCs w:val="20"/>
              </w:rPr>
              <w:t>convention of the two-sided 95% confidence interval (CI)</w:t>
            </w:r>
          </w:p>
          <w:p w14:paraId="25E0FBBD" w14:textId="77777777" w:rsidR="0032355B" w:rsidRDefault="0032355B" w:rsidP="0032355B">
            <w:pPr>
              <w:pStyle w:val="ListParagraph"/>
              <w:numPr>
                <w:ilvl w:val="0"/>
                <w:numId w:val="6"/>
              </w:numPr>
              <w:spacing w:line="360" w:lineRule="auto"/>
              <w:rPr>
                <w:rFonts w:ascii="Arial" w:hAnsi="Arial" w:cs="Arial"/>
                <w:sz w:val="20"/>
                <w:szCs w:val="20"/>
              </w:rPr>
            </w:pPr>
            <w:r>
              <w:rPr>
                <w:rFonts w:ascii="Arial" w:hAnsi="Arial" w:cs="Arial"/>
                <w:sz w:val="20"/>
                <w:szCs w:val="20"/>
              </w:rPr>
              <w:t>connection between CIs and P-values</w:t>
            </w:r>
          </w:p>
          <w:p w14:paraId="43265654" w14:textId="77777777" w:rsidR="0032355B" w:rsidRPr="0032355B" w:rsidRDefault="0032355B" w:rsidP="006E0687">
            <w:pPr>
              <w:pStyle w:val="ListParagraph"/>
              <w:numPr>
                <w:ilvl w:val="0"/>
                <w:numId w:val="6"/>
              </w:numPr>
              <w:spacing w:line="360" w:lineRule="auto"/>
              <w:rPr>
                <w:rFonts w:ascii="Arial" w:hAnsi="Arial" w:cs="Arial"/>
                <w:sz w:val="20"/>
                <w:szCs w:val="20"/>
              </w:rPr>
            </w:pPr>
            <w:r>
              <w:rPr>
                <w:rFonts w:ascii="Arial" w:hAnsi="Arial" w:cs="Arial"/>
                <w:sz w:val="20"/>
                <w:szCs w:val="20"/>
              </w:rPr>
              <w:t>larger trials produce tighter CIs</w:t>
            </w:r>
          </w:p>
        </w:tc>
      </w:tr>
      <w:tr w:rsidR="0032355B" w14:paraId="3A64E36A" w14:textId="77777777" w:rsidTr="0032355B">
        <w:trPr>
          <w:trHeight w:val="1363"/>
        </w:trPr>
        <w:tc>
          <w:tcPr>
            <w:tcW w:w="3969" w:type="dxa"/>
          </w:tcPr>
          <w:p w14:paraId="6C0559EA" w14:textId="77777777" w:rsidR="0032355B" w:rsidRDefault="0032355B" w:rsidP="004419C4">
            <w:pPr>
              <w:spacing w:line="360" w:lineRule="auto"/>
              <w:rPr>
                <w:rFonts w:ascii="Arial" w:hAnsi="Arial" w:cs="Arial"/>
                <w:sz w:val="20"/>
                <w:szCs w:val="20"/>
              </w:rPr>
            </w:pPr>
            <w:r>
              <w:rPr>
                <w:rFonts w:ascii="Arial" w:hAnsi="Arial" w:cs="Arial"/>
                <w:sz w:val="20"/>
                <w:szCs w:val="20"/>
              </w:rPr>
              <w:t>Interpreting P-values</w:t>
            </w:r>
          </w:p>
        </w:tc>
        <w:tc>
          <w:tcPr>
            <w:tcW w:w="5103" w:type="dxa"/>
          </w:tcPr>
          <w:p w14:paraId="2457671C" w14:textId="77777777" w:rsidR="0032355B" w:rsidRDefault="0032355B" w:rsidP="0032355B">
            <w:pPr>
              <w:pStyle w:val="ListParagraph"/>
              <w:numPr>
                <w:ilvl w:val="0"/>
                <w:numId w:val="7"/>
              </w:numPr>
              <w:spacing w:line="360" w:lineRule="auto"/>
              <w:rPr>
                <w:rFonts w:ascii="Arial" w:hAnsi="Arial" w:cs="Arial"/>
                <w:sz w:val="20"/>
                <w:szCs w:val="20"/>
              </w:rPr>
            </w:pPr>
            <w:r>
              <w:rPr>
                <w:rFonts w:ascii="Arial" w:hAnsi="Arial" w:cs="Arial"/>
                <w:sz w:val="20"/>
                <w:szCs w:val="20"/>
              </w:rPr>
              <w:t>their role in assessing strength of evidence</w:t>
            </w:r>
          </w:p>
          <w:p w14:paraId="481B75D0" w14:textId="77777777" w:rsidR="0032355B" w:rsidRDefault="0032355B" w:rsidP="0032355B">
            <w:pPr>
              <w:pStyle w:val="ListParagraph"/>
              <w:numPr>
                <w:ilvl w:val="0"/>
                <w:numId w:val="7"/>
              </w:numPr>
              <w:spacing w:line="360" w:lineRule="auto"/>
              <w:rPr>
                <w:rFonts w:ascii="Arial" w:hAnsi="Arial" w:cs="Arial"/>
                <w:sz w:val="20"/>
                <w:szCs w:val="20"/>
              </w:rPr>
            </w:pPr>
            <w:r>
              <w:rPr>
                <w:rFonts w:ascii="Arial" w:hAnsi="Arial" w:cs="Arial"/>
                <w:sz w:val="20"/>
                <w:szCs w:val="20"/>
              </w:rPr>
              <w:t>misguided reliance on P&lt;0.05</w:t>
            </w:r>
          </w:p>
          <w:p w14:paraId="608381D4" w14:textId="77777777" w:rsidR="0032355B" w:rsidRDefault="0032355B" w:rsidP="0032355B">
            <w:pPr>
              <w:pStyle w:val="ListParagraph"/>
              <w:numPr>
                <w:ilvl w:val="0"/>
                <w:numId w:val="7"/>
              </w:numPr>
              <w:spacing w:line="360" w:lineRule="auto"/>
              <w:rPr>
                <w:rFonts w:ascii="Arial" w:hAnsi="Arial" w:cs="Arial"/>
                <w:sz w:val="20"/>
                <w:szCs w:val="20"/>
              </w:rPr>
            </w:pPr>
            <w:r>
              <w:rPr>
                <w:rFonts w:ascii="Arial" w:hAnsi="Arial" w:cs="Arial"/>
                <w:sz w:val="20"/>
                <w:szCs w:val="20"/>
              </w:rPr>
              <w:t>a vocabulary for interpreting P-values</w:t>
            </w:r>
          </w:p>
          <w:p w14:paraId="301896FB" w14:textId="77777777" w:rsidR="0032355B" w:rsidRPr="0032355B" w:rsidRDefault="0032355B" w:rsidP="0032355B">
            <w:pPr>
              <w:pStyle w:val="ListParagraph"/>
              <w:numPr>
                <w:ilvl w:val="0"/>
                <w:numId w:val="7"/>
              </w:numPr>
              <w:spacing w:line="360" w:lineRule="auto"/>
              <w:rPr>
                <w:rFonts w:ascii="Arial" w:hAnsi="Arial" w:cs="Arial"/>
                <w:sz w:val="20"/>
                <w:szCs w:val="20"/>
              </w:rPr>
            </w:pPr>
            <w:r>
              <w:rPr>
                <w:rFonts w:ascii="Arial" w:hAnsi="Arial" w:cs="Arial"/>
                <w:sz w:val="20"/>
                <w:szCs w:val="20"/>
              </w:rPr>
              <w:t>the simplest statistical test</w:t>
            </w:r>
          </w:p>
        </w:tc>
      </w:tr>
    </w:tbl>
    <w:p w14:paraId="4B75373E" w14:textId="77777777" w:rsidR="0032355B" w:rsidRDefault="0032355B" w:rsidP="004419C4">
      <w:pPr>
        <w:spacing w:after="0" w:line="360" w:lineRule="auto"/>
        <w:rPr>
          <w:rFonts w:ascii="Arial" w:hAnsi="Arial" w:cs="Arial"/>
          <w:sz w:val="20"/>
          <w:szCs w:val="20"/>
        </w:rPr>
      </w:pPr>
    </w:p>
    <w:p w14:paraId="6AD52847" w14:textId="4D396A96" w:rsidR="00A7130D" w:rsidRDefault="00A7130D">
      <w:pPr>
        <w:rPr>
          <w:rFonts w:ascii="Arial" w:hAnsi="Arial" w:cs="Arial"/>
          <w:sz w:val="20"/>
          <w:szCs w:val="20"/>
        </w:rPr>
      </w:pPr>
    </w:p>
    <w:sectPr w:rsidR="00A7130D" w:rsidSect="00F515B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87ECB" w14:textId="77777777" w:rsidR="00E028CD" w:rsidRDefault="00E028CD" w:rsidP="00E2729F">
      <w:pPr>
        <w:spacing w:after="0" w:line="240" w:lineRule="auto"/>
      </w:pPr>
      <w:r>
        <w:separator/>
      </w:r>
    </w:p>
  </w:endnote>
  <w:endnote w:type="continuationSeparator" w:id="0">
    <w:p w14:paraId="411DD2ED" w14:textId="77777777" w:rsidR="00E028CD" w:rsidRDefault="00E028CD" w:rsidP="00E2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8988"/>
      <w:docPartObj>
        <w:docPartGallery w:val="Page Numbers (Bottom of Page)"/>
        <w:docPartUnique/>
      </w:docPartObj>
    </w:sdtPr>
    <w:sdtEndPr/>
    <w:sdtContent>
      <w:p w14:paraId="78C2D95C" w14:textId="77777777" w:rsidR="00E028CD" w:rsidRDefault="00E028CD">
        <w:pPr>
          <w:pStyle w:val="Footer"/>
          <w:jc w:val="right"/>
        </w:pPr>
        <w:r>
          <w:fldChar w:fldCharType="begin"/>
        </w:r>
        <w:r>
          <w:instrText xml:space="preserve"> PAGE   \* MERGEFORMAT </w:instrText>
        </w:r>
        <w:r>
          <w:fldChar w:fldCharType="separate"/>
        </w:r>
        <w:r w:rsidR="00EC4A4D">
          <w:rPr>
            <w:noProof/>
          </w:rPr>
          <w:t>36</w:t>
        </w:r>
        <w:r>
          <w:rPr>
            <w:noProof/>
          </w:rPr>
          <w:fldChar w:fldCharType="end"/>
        </w:r>
      </w:p>
    </w:sdtContent>
  </w:sdt>
  <w:p w14:paraId="6619A404" w14:textId="77777777" w:rsidR="00E028CD" w:rsidRDefault="00E02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C1BEA" w14:textId="77777777" w:rsidR="00E028CD" w:rsidRDefault="00E028CD" w:rsidP="00E2729F">
      <w:pPr>
        <w:spacing w:after="0" w:line="240" w:lineRule="auto"/>
      </w:pPr>
      <w:r>
        <w:separator/>
      </w:r>
    </w:p>
  </w:footnote>
  <w:footnote w:type="continuationSeparator" w:id="0">
    <w:p w14:paraId="4F617AF3" w14:textId="77777777" w:rsidR="00E028CD" w:rsidRDefault="00E028CD" w:rsidP="00E27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77BA5"/>
    <w:multiLevelType w:val="hybridMultilevel"/>
    <w:tmpl w:val="965CD0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7D64F5"/>
    <w:multiLevelType w:val="hybridMultilevel"/>
    <w:tmpl w:val="A8BA69AC"/>
    <w:lvl w:ilvl="0" w:tplc="B33A4AD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6EE5AD7"/>
    <w:multiLevelType w:val="hybridMultilevel"/>
    <w:tmpl w:val="76F0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CD3357"/>
    <w:multiLevelType w:val="hybridMultilevel"/>
    <w:tmpl w:val="D436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EA05DF"/>
    <w:multiLevelType w:val="hybridMultilevel"/>
    <w:tmpl w:val="A20E6B6E"/>
    <w:lvl w:ilvl="0" w:tplc="E842DEE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1C543C"/>
    <w:multiLevelType w:val="multilevel"/>
    <w:tmpl w:val="7476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63543A"/>
    <w:multiLevelType w:val="hybridMultilevel"/>
    <w:tmpl w:val="7CC043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F7C1359"/>
    <w:multiLevelType w:val="hybridMultilevel"/>
    <w:tmpl w:val="BC7C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mer College Card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az5sewevp5dfxewrdrvzv52xsv2tsf22rzr&quot;&gt;TC journal articles&lt;record-ids&gt;&lt;item&gt;8&lt;/item&gt;&lt;item&gt;9&lt;/item&gt;&lt;item&gt;10&lt;/item&gt;&lt;item&gt;11&lt;/item&gt;&lt;item&gt;14&lt;/item&gt;&lt;item&gt;15&lt;/item&gt;&lt;item&gt;17&lt;/item&gt;&lt;item&gt;18&lt;/item&gt;&lt;item&gt;19&lt;/item&gt;&lt;item&gt;20&lt;/item&gt;&lt;item&gt;21&lt;/item&gt;&lt;item&gt;22&lt;/item&gt;&lt;item&gt;23&lt;/item&gt;&lt;item&gt;24&lt;/item&gt;&lt;item&gt;25&lt;/item&gt;&lt;item&gt;29&lt;/item&gt;&lt;item&gt;32&lt;/item&gt;&lt;item&gt;33&lt;/item&gt;&lt;item&gt;37&lt;/item&gt;&lt;item&gt;44&lt;/item&gt;&lt;item&gt;45&lt;/item&gt;&lt;item&gt;47&lt;/item&gt;&lt;item&gt;54&lt;/item&gt;&lt;item&gt;105&lt;/item&gt;&lt;item&gt;106&lt;/item&gt;&lt;item&gt;107&lt;/item&gt;&lt;item&gt;108&lt;/item&gt;&lt;item&gt;109&lt;/item&gt;&lt;item&gt;110&lt;/item&gt;&lt;/record-ids&gt;&lt;/item&gt;&lt;/Libraries&gt;"/>
  </w:docVars>
  <w:rsids>
    <w:rsidRoot w:val="00E2729F"/>
    <w:rsid w:val="00000980"/>
    <w:rsid w:val="00015ED3"/>
    <w:rsid w:val="000201E9"/>
    <w:rsid w:val="00026ED1"/>
    <w:rsid w:val="000431BD"/>
    <w:rsid w:val="000804BC"/>
    <w:rsid w:val="00091918"/>
    <w:rsid w:val="000924B0"/>
    <w:rsid w:val="000A4873"/>
    <w:rsid w:val="000B71EF"/>
    <w:rsid w:val="000C5C6C"/>
    <w:rsid w:val="000E2622"/>
    <w:rsid w:val="000E4D04"/>
    <w:rsid w:val="00102A3D"/>
    <w:rsid w:val="00146527"/>
    <w:rsid w:val="00163091"/>
    <w:rsid w:val="001A36EA"/>
    <w:rsid w:val="001A3A63"/>
    <w:rsid w:val="001B25D6"/>
    <w:rsid w:val="001B326C"/>
    <w:rsid w:val="001B56E9"/>
    <w:rsid w:val="001C42CE"/>
    <w:rsid w:val="001C52BE"/>
    <w:rsid w:val="001E63DE"/>
    <w:rsid w:val="001F2AB4"/>
    <w:rsid w:val="002021B3"/>
    <w:rsid w:val="00204028"/>
    <w:rsid w:val="00222BA0"/>
    <w:rsid w:val="002259DB"/>
    <w:rsid w:val="002453D8"/>
    <w:rsid w:val="00266380"/>
    <w:rsid w:val="00275862"/>
    <w:rsid w:val="00282A22"/>
    <w:rsid w:val="002C68D9"/>
    <w:rsid w:val="002D4B94"/>
    <w:rsid w:val="002D59FB"/>
    <w:rsid w:val="002F0AC8"/>
    <w:rsid w:val="002F4AFB"/>
    <w:rsid w:val="003205DD"/>
    <w:rsid w:val="00322745"/>
    <w:rsid w:val="0032355B"/>
    <w:rsid w:val="00336A5E"/>
    <w:rsid w:val="00340546"/>
    <w:rsid w:val="00342A2A"/>
    <w:rsid w:val="00346493"/>
    <w:rsid w:val="00371500"/>
    <w:rsid w:val="0038019F"/>
    <w:rsid w:val="00387CA4"/>
    <w:rsid w:val="003B2C70"/>
    <w:rsid w:val="003C5955"/>
    <w:rsid w:val="003C721D"/>
    <w:rsid w:val="003D4216"/>
    <w:rsid w:val="003E6737"/>
    <w:rsid w:val="004124F1"/>
    <w:rsid w:val="004252E8"/>
    <w:rsid w:val="00433D6E"/>
    <w:rsid w:val="004419C4"/>
    <w:rsid w:val="00461005"/>
    <w:rsid w:val="0048577C"/>
    <w:rsid w:val="00485908"/>
    <w:rsid w:val="0049161A"/>
    <w:rsid w:val="004A0B25"/>
    <w:rsid w:val="004B6A9E"/>
    <w:rsid w:val="00513D32"/>
    <w:rsid w:val="005163FE"/>
    <w:rsid w:val="00520CBB"/>
    <w:rsid w:val="005325ED"/>
    <w:rsid w:val="00547752"/>
    <w:rsid w:val="00586530"/>
    <w:rsid w:val="005B0495"/>
    <w:rsid w:val="005D5D2E"/>
    <w:rsid w:val="005D663B"/>
    <w:rsid w:val="005D7275"/>
    <w:rsid w:val="005D7501"/>
    <w:rsid w:val="005E7ACB"/>
    <w:rsid w:val="00600AF5"/>
    <w:rsid w:val="00622363"/>
    <w:rsid w:val="00640A4E"/>
    <w:rsid w:val="0064730D"/>
    <w:rsid w:val="006620CD"/>
    <w:rsid w:val="006759B1"/>
    <w:rsid w:val="00681379"/>
    <w:rsid w:val="0068424F"/>
    <w:rsid w:val="006857D5"/>
    <w:rsid w:val="006935E5"/>
    <w:rsid w:val="006C412F"/>
    <w:rsid w:val="006E0687"/>
    <w:rsid w:val="006E1D74"/>
    <w:rsid w:val="006F4A82"/>
    <w:rsid w:val="00715C7B"/>
    <w:rsid w:val="00720935"/>
    <w:rsid w:val="00737956"/>
    <w:rsid w:val="00743029"/>
    <w:rsid w:val="007515A9"/>
    <w:rsid w:val="0075515B"/>
    <w:rsid w:val="00755C4D"/>
    <w:rsid w:val="007665BA"/>
    <w:rsid w:val="00774119"/>
    <w:rsid w:val="0078555A"/>
    <w:rsid w:val="0078637D"/>
    <w:rsid w:val="00791C71"/>
    <w:rsid w:val="00793111"/>
    <w:rsid w:val="007A6122"/>
    <w:rsid w:val="007B2A97"/>
    <w:rsid w:val="007B39DE"/>
    <w:rsid w:val="007C0CA9"/>
    <w:rsid w:val="007D38E9"/>
    <w:rsid w:val="007F1E76"/>
    <w:rsid w:val="00850255"/>
    <w:rsid w:val="00864297"/>
    <w:rsid w:val="00865FE8"/>
    <w:rsid w:val="0089106D"/>
    <w:rsid w:val="008934D8"/>
    <w:rsid w:val="008A0635"/>
    <w:rsid w:val="008B29D3"/>
    <w:rsid w:val="008D6624"/>
    <w:rsid w:val="008E1D89"/>
    <w:rsid w:val="008E769B"/>
    <w:rsid w:val="00913A07"/>
    <w:rsid w:val="0092013F"/>
    <w:rsid w:val="0092242D"/>
    <w:rsid w:val="00923899"/>
    <w:rsid w:val="009427F8"/>
    <w:rsid w:val="00976B59"/>
    <w:rsid w:val="00996F14"/>
    <w:rsid w:val="00997705"/>
    <w:rsid w:val="009A12E4"/>
    <w:rsid w:val="009A5740"/>
    <w:rsid w:val="009A706C"/>
    <w:rsid w:val="009B13DD"/>
    <w:rsid w:val="009C73FB"/>
    <w:rsid w:val="009E19F7"/>
    <w:rsid w:val="009F10F4"/>
    <w:rsid w:val="00A16043"/>
    <w:rsid w:val="00A16969"/>
    <w:rsid w:val="00A17764"/>
    <w:rsid w:val="00A64C92"/>
    <w:rsid w:val="00A665DF"/>
    <w:rsid w:val="00A7130D"/>
    <w:rsid w:val="00A834D0"/>
    <w:rsid w:val="00A907B2"/>
    <w:rsid w:val="00A93DA3"/>
    <w:rsid w:val="00A968C1"/>
    <w:rsid w:val="00AB273E"/>
    <w:rsid w:val="00AB30AE"/>
    <w:rsid w:val="00AB4DCA"/>
    <w:rsid w:val="00AC17F2"/>
    <w:rsid w:val="00AE1B69"/>
    <w:rsid w:val="00AE2AA5"/>
    <w:rsid w:val="00AE4387"/>
    <w:rsid w:val="00AE5351"/>
    <w:rsid w:val="00AF14DA"/>
    <w:rsid w:val="00AF5E64"/>
    <w:rsid w:val="00B215FB"/>
    <w:rsid w:val="00B31E73"/>
    <w:rsid w:val="00B32DFC"/>
    <w:rsid w:val="00B35380"/>
    <w:rsid w:val="00B765F8"/>
    <w:rsid w:val="00BA113A"/>
    <w:rsid w:val="00BA117C"/>
    <w:rsid w:val="00BA1D80"/>
    <w:rsid w:val="00BC244B"/>
    <w:rsid w:val="00BD62C6"/>
    <w:rsid w:val="00BE7E0F"/>
    <w:rsid w:val="00C02DE6"/>
    <w:rsid w:val="00C06C90"/>
    <w:rsid w:val="00C12A7E"/>
    <w:rsid w:val="00C142BA"/>
    <w:rsid w:val="00C15105"/>
    <w:rsid w:val="00C15B87"/>
    <w:rsid w:val="00C43B2C"/>
    <w:rsid w:val="00C468D8"/>
    <w:rsid w:val="00C526F6"/>
    <w:rsid w:val="00C62566"/>
    <w:rsid w:val="00C87706"/>
    <w:rsid w:val="00C9152F"/>
    <w:rsid w:val="00C949DE"/>
    <w:rsid w:val="00C9747D"/>
    <w:rsid w:val="00CB0A9C"/>
    <w:rsid w:val="00CC53BF"/>
    <w:rsid w:val="00CC676C"/>
    <w:rsid w:val="00CE729A"/>
    <w:rsid w:val="00D452B5"/>
    <w:rsid w:val="00D466EA"/>
    <w:rsid w:val="00D871FD"/>
    <w:rsid w:val="00DA1676"/>
    <w:rsid w:val="00DA45DD"/>
    <w:rsid w:val="00DA512A"/>
    <w:rsid w:val="00DC740E"/>
    <w:rsid w:val="00DF5B1E"/>
    <w:rsid w:val="00DF6FAE"/>
    <w:rsid w:val="00E028CD"/>
    <w:rsid w:val="00E04AA9"/>
    <w:rsid w:val="00E2729F"/>
    <w:rsid w:val="00E36B37"/>
    <w:rsid w:val="00E5452B"/>
    <w:rsid w:val="00E55F9A"/>
    <w:rsid w:val="00E55FDC"/>
    <w:rsid w:val="00E6696F"/>
    <w:rsid w:val="00E733A3"/>
    <w:rsid w:val="00E928A7"/>
    <w:rsid w:val="00EB2BA8"/>
    <w:rsid w:val="00EC4A4D"/>
    <w:rsid w:val="00EE4D3B"/>
    <w:rsid w:val="00EF2A4B"/>
    <w:rsid w:val="00F015F7"/>
    <w:rsid w:val="00F04AAB"/>
    <w:rsid w:val="00F175F7"/>
    <w:rsid w:val="00F22164"/>
    <w:rsid w:val="00F241F2"/>
    <w:rsid w:val="00F253FB"/>
    <w:rsid w:val="00F47E37"/>
    <w:rsid w:val="00F515B9"/>
    <w:rsid w:val="00F61B1E"/>
    <w:rsid w:val="00F62036"/>
    <w:rsid w:val="00F66747"/>
    <w:rsid w:val="00F96B1E"/>
    <w:rsid w:val="00FA4EBA"/>
    <w:rsid w:val="00FC69FD"/>
    <w:rsid w:val="00FC78D2"/>
    <w:rsid w:val="00FE1995"/>
    <w:rsid w:val="00FE471D"/>
    <w:rsid w:val="00FF49DE"/>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1D8F"/>
  <w15:docId w15:val="{4875357A-A570-488A-9962-C640A837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72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729F"/>
  </w:style>
  <w:style w:type="paragraph" w:styleId="Footer">
    <w:name w:val="footer"/>
    <w:basedOn w:val="Normal"/>
    <w:link w:val="FooterChar"/>
    <w:uiPriority w:val="99"/>
    <w:unhideWhenUsed/>
    <w:rsid w:val="00E27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9F"/>
  </w:style>
  <w:style w:type="paragraph" w:styleId="ListParagraph">
    <w:name w:val="List Paragraph"/>
    <w:basedOn w:val="Normal"/>
    <w:uiPriority w:val="34"/>
    <w:qFormat/>
    <w:rsid w:val="002453D8"/>
    <w:pPr>
      <w:ind w:left="720"/>
      <w:contextualSpacing/>
    </w:pPr>
  </w:style>
  <w:style w:type="table" w:styleId="TableGrid">
    <w:name w:val="Table Grid"/>
    <w:basedOn w:val="TableNormal"/>
    <w:uiPriority w:val="59"/>
    <w:rsid w:val="0068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30AE"/>
    <w:rPr>
      <w:color w:val="808080"/>
    </w:rPr>
  </w:style>
  <w:style w:type="paragraph" w:styleId="BalloonText">
    <w:name w:val="Balloon Text"/>
    <w:basedOn w:val="Normal"/>
    <w:link w:val="BalloonTextChar"/>
    <w:uiPriority w:val="99"/>
    <w:semiHidden/>
    <w:unhideWhenUsed/>
    <w:rsid w:val="00AB3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0AE"/>
    <w:rPr>
      <w:rFonts w:ascii="Tahoma" w:hAnsi="Tahoma" w:cs="Tahoma"/>
      <w:sz w:val="16"/>
      <w:szCs w:val="16"/>
    </w:rPr>
  </w:style>
  <w:style w:type="paragraph" w:customStyle="1" w:styleId="EndNoteBibliographyTitle">
    <w:name w:val="EndNote Bibliography Title"/>
    <w:basedOn w:val="Normal"/>
    <w:link w:val="EndNoteBibliographyTitleChar"/>
    <w:rsid w:val="00A1696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16969"/>
    <w:rPr>
      <w:rFonts w:ascii="Calibri" w:hAnsi="Calibri" w:cs="Calibri"/>
      <w:noProof/>
      <w:lang w:val="en-US"/>
    </w:rPr>
  </w:style>
  <w:style w:type="paragraph" w:customStyle="1" w:styleId="EndNoteBibliography">
    <w:name w:val="EndNote Bibliography"/>
    <w:basedOn w:val="Normal"/>
    <w:link w:val="EndNoteBibliographyChar"/>
    <w:rsid w:val="00A1696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16969"/>
    <w:rPr>
      <w:rFonts w:ascii="Calibri" w:hAnsi="Calibri" w:cs="Calibri"/>
      <w:noProof/>
      <w:lang w:val="en-US"/>
    </w:rPr>
  </w:style>
  <w:style w:type="character" w:styleId="Hyperlink">
    <w:name w:val="Hyperlink"/>
    <w:basedOn w:val="DefaultParagraphFont"/>
    <w:uiPriority w:val="99"/>
    <w:unhideWhenUsed/>
    <w:rsid w:val="00A16969"/>
    <w:rPr>
      <w:color w:val="0000FF" w:themeColor="hyperlink"/>
      <w:u w:val="single"/>
    </w:rPr>
  </w:style>
  <w:style w:type="character" w:styleId="Emphasis">
    <w:name w:val="Emphasis"/>
    <w:basedOn w:val="DefaultParagraphFont"/>
    <w:uiPriority w:val="20"/>
    <w:qFormat/>
    <w:rsid w:val="00A7130D"/>
    <w:rPr>
      <w:i/>
      <w:iCs/>
    </w:rPr>
  </w:style>
  <w:style w:type="character" w:styleId="HTMLCite">
    <w:name w:val="HTML Cite"/>
    <w:basedOn w:val="DefaultParagraphFont"/>
    <w:uiPriority w:val="99"/>
    <w:semiHidden/>
    <w:unhideWhenUsed/>
    <w:rsid w:val="00A7130D"/>
    <w:rPr>
      <w:i/>
      <w:iCs/>
    </w:rPr>
  </w:style>
  <w:style w:type="character" w:customStyle="1" w:styleId="cit-source">
    <w:name w:val="cit-source"/>
    <w:basedOn w:val="DefaultParagraphFont"/>
    <w:rsid w:val="00A7130D"/>
  </w:style>
  <w:style w:type="character" w:customStyle="1" w:styleId="cit-pub-date">
    <w:name w:val="cit-pub-date"/>
    <w:basedOn w:val="DefaultParagraphFont"/>
    <w:rsid w:val="00A7130D"/>
  </w:style>
  <w:style w:type="character" w:styleId="CommentReference">
    <w:name w:val="annotation reference"/>
    <w:basedOn w:val="DefaultParagraphFont"/>
    <w:uiPriority w:val="99"/>
    <w:semiHidden/>
    <w:unhideWhenUsed/>
    <w:rsid w:val="00E028CD"/>
    <w:rPr>
      <w:sz w:val="16"/>
      <w:szCs w:val="16"/>
    </w:rPr>
  </w:style>
  <w:style w:type="paragraph" w:styleId="CommentText">
    <w:name w:val="annotation text"/>
    <w:basedOn w:val="Normal"/>
    <w:link w:val="CommentTextChar"/>
    <w:uiPriority w:val="99"/>
    <w:semiHidden/>
    <w:unhideWhenUsed/>
    <w:rsid w:val="00E028CD"/>
    <w:pPr>
      <w:spacing w:line="240" w:lineRule="auto"/>
    </w:pPr>
    <w:rPr>
      <w:sz w:val="20"/>
      <w:szCs w:val="20"/>
    </w:rPr>
  </w:style>
  <w:style w:type="character" w:customStyle="1" w:styleId="CommentTextChar">
    <w:name w:val="Comment Text Char"/>
    <w:basedOn w:val="DefaultParagraphFont"/>
    <w:link w:val="CommentText"/>
    <w:uiPriority w:val="99"/>
    <w:semiHidden/>
    <w:rsid w:val="00E028CD"/>
    <w:rPr>
      <w:sz w:val="20"/>
      <w:szCs w:val="20"/>
    </w:rPr>
  </w:style>
  <w:style w:type="paragraph" w:styleId="CommentSubject">
    <w:name w:val="annotation subject"/>
    <w:basedOn w:val="CommentText"/>
    <w:next w:val="CommentText"/>
    <w:link w:val="CommentSubjectChar"/>
    <w:uiPriority w:val="99"/>
    <w:semiHidden/>
    <w:unhideWhenUsed/>
    <w:rsid w:val="00E028CD"/>
    <w:rPr>
      <w:b/>
      <w:bCs/>
    </w:rPr>
  </w:style>
  <w:style w:type="character" w:customStyle="1" w:styleId="CommentSubjectChar">
    <w:name w:val="Comment Subject Char"/>
    <w:basedOn w:val="CommentTextChar"/>
    <w:link w:val="CommentSubject"/>
    <w:uiPriority w:val="99"/>
    <w:semiHidden/>
    <w:rsid w:val="00E028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5848">
      <w:bodyDiv w:val="1"/>
      <w:marLeft w:val="0"/>
      <w:marRight w:val="0"/>
      <w:marTop w:val="0"/>
      <w:marBottom w:val="0"/>
      <w:divBdr>
        <w:top w:val="none" w:sz="0" w:space="0" w:color="auto"/>
        <w:left w:val="none" w:sz="0" w:space="0" w:color="auto"/>
        <w:bottom w:val="none" w:sz="0" w:space="0" w:color="auto"/>
        <w:right w:val="none" w:sz="0" w:space="0" w:color="auto"/>
      </w:divBdr>
      <w:divsChild>
        <w:div w:id="372921066">
          <w:marLeft w:val="0"/>
          <w:marRight w:val="0"/>
          <w:marTop w:val="150"/>
          <w:marBottom w:val="0"/>
          <w:divBdr>
            <w:top w:val="none" w:sz="0" w:space="0" w:color="auto"/>
            <w:left w:val="none" w:sz="0" w:space="0" w:color="auto"/>
            <w:bottom w:val="none" w:sz="0" w:space="0" w:color="auto"/>
            <w:right w:val="none" w:sz="0" w:space="0" w:color="auto"/>
          </w:divBdr>
          <w:divsChild>
            <w:div w:id="519514305">
              <w:marLeft w:val="0"/>
              <w:marRight w:val="0"/>
              <w:marTop w:val="0"/>
              <w:marBottom w:val="0"/>
              <w:divBdr>
                <w:top w:val="none" w:sz="0" w:space="0" w:color="auto"/>
                <w:left w:val="none" w:sz="0" w:space="0" w:color="auto"/>
                <w:bottom w:val="none" w:sz="0" w:space="0" w:color="auto"/>
                <w:right w:val="none" w:sz="0" w:space="0" w:color="auto"/>
              </w:divBdr>
              <w:divsChild>
                <w:div w:id="88889468">
                  <w:marLeft w:val="0"/>
                  <w:marRight w:val="0"/>
                  <w:marTop w:val="0"/>
                  <w:marBottom w:val="0"/>
                  <w:divBdr>
                    <w:top w:val="none" w:sz="0" w:space="0" w:color="auto"/>
                    <w:left w:val="none" w:sz="0" w:space="0" w:color="auto"/>
                    <w:bottom w:val="none" w:sz="0" w:space="0" w:color="auto"/>
                    <w:right w:val="none" w:sz="0" w:space="0" w:color="auto"/>
                  </w:divBdr>
                  <w:divsChild>
                    <w:div w:id="893003896">
                      <w:marLeft w:val="0"/>
                      <w:marRight w:val="0"/>
                      <w:marTop w:val="168"/>
                      <w:marBottom w:val="0"/>
                      <w:divBdr>
                        <w:top w:val="none" w:sz="0" w:space="0" w:color="auto"/>
                        <w:left w:val="none" w:sz="0" w:space="0" w:color="auto"/>
                        <w:bottom w:val="none" w:sz="0" w:space="0" w:color="auto"/>
                        <w:right w:val="none" w:sz="0" w:space="0" w:color="auto"/>
                      </w:divBdr>
                      <w:divsChild>
                        <w:div w:id="14660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61800">
      <w:bodyDiv w:val="1"/>
      <w:marLeft w:val="0"/>
      <w:marRight w:val="0"/>
      <w:marTop w:val="0"/>
      <w:marBottom w:val="0"/>
      <w:divBdr>
        <w:top w:val="none" w:sz="0" w:space="0" w:color="auto"/>
        <w:left w:val="none" w:sz="0" w:space="0" w:color="auto"/>
        <w:bottom w:val="none" w:sz="0" w:space="0" w:color="auto"/>
        <w:right w:val="none" w:sz="0" w:space="0" w:color="auto"/>
      </w:divBdr>
    </w:div>
    <w:div w:id="9785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art.Pocock@LSHTM.ac.uk"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54A82-6A0A-47A8-BE30-537D27E0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15882</Words>
  <Characters>90534</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106204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Josenir Astarci</dc:creator>
  <cp:keywords/>
  <dc:description/>
  <cp:lastModifiedBy>Tim Collier</cp:lastModifiedBy>
  <cp:revision>4</cp:revision>
  <cp:lastPrinted>2015-10-07T10:55:00Z</cp:lastPrinted>
  <dcterms:created xsi:type="dcterms:W3CDTF">2015-10-12T09:28:00Z</dcterms:created>
  <dcterms:modified xsi:type="dcterms:W3CDTF">2015-10-12T09:54:00Z</dcterms:modified>
</cp:coreProperties>
</file>