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6A886" w14:textId="77777777" w:rsidR="00F702F7" w:rsidRPr="009D4EEE" w:rsidRDefault="00F702F7" w:rsidP="00680B02">
      <w:pPr>
        <w:jc w:val="both"/>
        <w:rPr>
          <w:rFonts w:ascii="Calibri" w:hAnsi="Calibri" w:cs="Arial"/>
          <w:b/>
          <w:lang w:val="en-GB"/>
        </w:rPr>
      </w:pPr>
      <w:r w:rsidRPr="009D4EEE">
        <w:rPr>
          <w:rFonts w:ascii="Calibri" w:hAnsi="Calibri" w:cs="Arial"/>
          <w:b/>
          <w:lang w:val="en-GB"/>
        </w:rPr>
        <w:t>Article Title:</w:t>
      </w:r>
    </w:p>
    <w:p w14:paraId="3F543E10" w14:textId="6BC4DBCE" w:rsidR="00F702F7" w:rsidRDefault="00022C59" w:rsidP="00680B02">
      <w:pPr>
        <w:jc w:val="both"/>
        <w:rPr>
          <w:rFonts w:ascii="Calibri" w:hAnsi="Calibri" w:cs="Arial"/>
          <w:lang w:val="en-GB"/>
        </w:rPr>
      </w:pPr>
      <w:r w:rsidRPr="00022C59">
        <w:rPr>
          <w:rFonts w:ascii="Calibri" w:hAnsi="Calibri" w:cs="Arial"/>
          <w:lang w:val="en-GB"/>
        </w:rPr>
        <w:t>Burke–Fahn–Marsden dystonia severity, Gross Motor, Manual Ability, and Communication Function Classification scales in childhood hyperkinetic movement disorders including cerebral palsy: a Rosetta Stone study</w:t>
      </w:r>
    </w:p>
    <w:p w14:paraId="7A314CB1" w14:textId="77777777" w:rsidR="00022C59" w:rsidRPr="009D4EEE" w:rsidRDefault="00022C59" w:rsidP="00680B02">
      <w:pPr>
        <w:jc w:val="both"/>
        <w:rPr>
          <w:rFonts w:ascii="Calibri" w:hAnsi="Calibri" w:cs="Arial"/>
          <w:lang w:val="en-GB"/>
        </w:rPr>
      </w:pPr>
    </w:p>
    <w:p w14:paraId="1DDDB76B" w14:textId="77777777" w:rsidR="00F702F7" w:rsidRPr="00B80E5B" w:rsidRDefault="00F702F7" w:rsidP="00680B02">
      <w:pPr>
        <w:jc w:val="both"/>
        <w:rPr>
          <w:rFonts w:ascii="Calibri" w:hAnsi="Calibri" w:cs="Arial"/>
          <w:lang w:val="en-GB"/>
        </w:rPr>
      </w:pPr>
      <w:r w:rsidRPr="00B80E5B">
        <w:rPr>
          <w:rFonts w:ascii="Calibri" w:hAnsi="Calibri" w:cs="Arial"/>
          <w:b/>
          <w:lang w:val="en-GB"/>
        </w:rPr>
        <w:t>Authors:</w:t>
      </w:r>
    </w:p>
    <w:p w14:paraId="5DD241E9" w14:textId="499324F7" w:rsidR="00F702F7" w:rsidRPr="00B80E5B" w:rsidRDefault="00F702F7" w:rsidP="00680B02">
      <w:pPr>
        <w:jc w:val="both"/>
        <w:rPr>
          <w:rFonts w:ascii="Calibri" w:hAnsi="Calibri" w:cs="Arial"/>
          <w:vertAlign w:val="superscript"/>
          <w:lang w:val="en-GB"/>
        </w:rPr>
      </w:pPr>
      <w:r w:rsidRPr="00B80E5B">
        <w:rPr>
          <w:rFonts w:ascii="Calibri" w:hAnsi="Calibri" w:cs="Arial"/>
          <w:lang w:val="en-GB"/>
        </w:rPr>
        <w:t>Markus C Elze</w:t>
      </w:r>
      <w:r w:rsidRPr="00B80E5B">
        <w:rPr>
          <w:rFonts w:ascii="Calibri" w:hAnsi="Calibri" w:cs="Arial"/>
          <w:vertAlign w:val="superscript"/>
          <w:lang w:val="en-GB"/>
        </w:rPr>
        <w:t>a</w:t>
      </w:r>
      <w:r w:rsidR="00B46FE7">
        <w:rPr>
          <w:rFonts w:ascii="Calibri" w:hAnsi="Calibri" w:cs="Arial"/>
          <w:vertAlign w:val="superscript"/>
          <w:lang w:val="en-GB"/>
        </w:rPr>
        <w:t>,b</w:t>
      </w:r>
      <w:r w:rsidRPr="00B80E5B">
        <w:rPr>
          <w:rFonts w:ascii="Calibri" w:hAnsi="Calibri" w:cs="Arial"/>
          <w:vertAlign w:val="superscript"/>
          <w:lang w:val="en-GB"/>
        </w:rPr>
        <w:t>*</w:t>
      </w:r>
      <w:r w:rsidRPr="00B80E5B">
        <w:rPr>
          <w:rFonts w:ascii="Calibri" w:eastAsia="MS Gothi" w:hAnsi="Calibri" w:cs="Arial"/>
          <w:vertAlign w:val="superscript"/>
          <w:lang w:val="en-GB"/>
        </w:rPr>
        <w:t>†</w:t>
      </w:r>
      <w:r w:rsidRPr="00B80E5B">
        <w:rPr>
          <w:rFonts w:ascii="Calibri" w:hAnsi="Calibri" w:cs="Arial"/>
          <w:lang w:val="en-GB"/>
        </w:rPr>
        <w:t>, Hortensia Gimeno</w:t>
      </w:r>
      <w:r w:rsidR="00B46FE7">
        <w:rPr>
          <w:rFonts w:ascii="Calibri" w:hAnsi="Calibri" w:cs="Arial"/>
          <w:vertAlign w:val="superscript"/>
          <w:lang w:val="en-GB"/>
        </w:rPr>
        <w:t>c</w:t>
      </w:r>
      <w:r w:rsidRPr="00B80E5B">
        <w:rPr>
          <w:rFonts w:ascii="Calibri" w:hAnsi="Calibri" w:cs="Arial"/>
          <w:vertAlign w:val="superscript"/>
          <w:lang w:val="en-GB"/>
        </w:rPr>
        <w:t>,</w:t>
      </w:r>
      <w:r w:rsidR="00B46FE7">
        <w:rPr>
          <w:rFonts w:ascii="Calibri" w:hAnsi="Calibri" w:cs="Arial"/>
          <w:vertAlign w:val="superscript"/>
          <w:lang w:val="en-GB"/>
        </w:rPr>
        <w:t>d</w:t>
      </w:r>
      <w:r w:rsidRPr="00B80E5B">
        <w:rPr>
          <w:rFonts w:ascii="Calibri" w:hAnsi="Calibri" w:cs="Arial"/>
          <w:vertAlign w:val="superscript"/>
          <w:lang w:val="en-GB"/>
        </w:rPr>
        <w:t>*</w:t>
      </w:r>
      <w:r w:rsidRPr="00B80E5B">
        <w:rPr>
          <w:rFonts w:ascii="Calibri" w:eastAsia="MS Gothi" w:hAnsi="Calibri" w:cs="Arial"/>
          <w:vertAlign w:val="superscript"/>
          <w:lang w:val="en-GB"/>
        </w:rPr>
        <w:t>†</w:t>
      </w:r>
      <w:r w:rsidRPr="00B80E5B">
        <w:rPr>
          <w:rFonts w:ascii="Calibri" w:hAnsi="Calibri" w:cs="Arial"/>
          <w:lang w:val="en-GB"/>
        </w:rPr>
        <w:t>, Kylee Tustin</w:t>
      </w:r>
      <w:r w:rsidR="00B46FE7">
        <w:rPr>
          <w:rFonts w:ascii="Calibri" w:hAnsi="Calibri" w:cs="Arial"/>
          <w:vertAlign w:val="superscript"/>
          <w:lang w:val="en-GB"/>
        </w:rPr>
        <w:t>c</w:t>
      </w:r>
      <w:r w:rsidRPr="00B80E5B">
        <w:rPr>
          <w:rFonts w:ascii="Calibri" w:hAnsi="Calibri" w:cs="Arial"/>
          <w:lang w:val="en-GB"/>
        </w:rPr>
        <w:t>, Lesley Baker</w:t>
      </w:r>
      <w:r w:rsidR="00B46FE7">
        <w:rPr>
          <w:rFonts w:ascii="Calibri" w:hAnsi="Calibri" w:cs="Arial"/>
          <w:vertAlign w:val="superscript"/>
          <w:lang w:val="en-GB"/>
        </w:rPr>
        <w:t>c</w:t>
      </w:r>
      <w:r w:rsidRPr="00B80E5B">
        <w:rPr>
          <w:rFonts w:ascii="Calibri" w:hAnsi="Calibri" w:cs="Arial"/>
          <w:lang w:val="en-GB"/>
        </w:rPr>
        <w:t>, Daniel E Lumsden</w:t>
      </w:r>
      <w:r w:rsidR="00B46FE7">
        <w:rPr>
          <w:rFonts w:ascii="Calibri" w:hAnsi="Calibri" w:cs="Arial"/>
          <w:vertAlign w:val="superscript"/>
          <w:lang w:val="en-GB"/>
        </w:rPr>
        <w:t>c</w:t>
      </w:r>
      <w:r w:rsidRPr="00B80E5B">
        <w:rPr>
          <w:rFonts w:ascii="Calibri" w:hAnsi="Calibri" w:cs="Arial"/>
          <w:lang w:val="en-GB"/>
        </w:rPr>
        <w:t>, Jane L Hutton</w:t>
      </w:r>
      <w:r w:rsidRPr="00B80E5B">
        <w:rPr>
          <w:rFonts w:ascii="Calibri" w:hAnsi="Calibri" w:cs="Arial"/>
          <w:vertAlign w:val="superscript"/>
          <w:lang w:val="en-GB"/>
        </w:rPr>
        <w:t>a</w:t>
      </w:r>
      <w:r w:rsidRPr="00B80E5B">
        <w:rPr>
          <w:rFonts w:ascii="Calibri" w:hAnsi="Calibri" w:cs="Arial"/>
          <w:lang w:val="en-GB"/>
        </w:rPr>
        <w:t>, Jean-Pierre</w:t>
      </w:r>
      <w:r w:rsidR="002B7D58">
        <w:rPr>
          <w:rFonts w:ascii="Calibri" w:hAnsi="Calibri" w:cs="Arial"/>
          <w:lang w:val="en-GB"/>
        </w:rPr>
        <w:t xml:space="preserve"> S-M</w:t>
      </w:r>
      <w:r w:rsidRPr="00B80E5B">
        <w:rPr>
          <w:rFonts w:ascii="Calibri" w:hAnsi="Calibri" w:cs="Arial"/>
          <w:lang w:val="en-GB"/>
        </w:rPr>
        <w:t xml:space="preserve"> Lin</w:t>
      </w:r>
      <w:r w:rsidR="00B46FE7">
        <w:rPr>
          <w:rFonts w:ascii="Calibri" w:hAnsi="Calibri" w:cs="Arial"/>
          <w:vertAlign w:val="superscript"/>
          <w:lang w:val="en-GB"/>
        </w:rPr>
        <w:t>c</w:t>
      </w:r>
      <w:r w:rsidRPr="00B80E5B">
        <w:rPr>
          <w:rFonts w:ascii="Calibri" w:hAnsi="Calibri" w:cs="Arial"/>
          <w:vertAlign w:val="superscript"/>
          <w:lang w:val="en-GB"/>
        </w:rPr>
        <w:t>*</w:t>
      </w:r>
    </w:p>
    <w:p w14:paraId="663770C4" w14:textId="77777777" w:rsidR="00F702F7" w:rsidRPr="00B80E5B" w:rsidRDefault="00F702F7" w:rsidP="00680B02">
      <w:pPr>
        <w:jc w:val="both"/>
        <w:rPr>
          <w:rFonts w:ascii="Calibri" w:hAnsi="Calibri" w:cs="Arial"/>
          <w:lang w:val="en-GB"/>
        </w:rPr>
      </w:pPr>
    </w:p>
    <w:p w14:paraId="77EE0955" w14:textId="77777777" w:rsidR="00F702F7" w:rsidRPr="00B80E5B" w:rsidRDefault="00F702F7" w:rsidP="00680B02">
      <w:pPr>
        <w:jc w:val="both"/>
        <w:rPr>
          <w:rFonts w:ascii="Calibri" w:hAnsi="Calibri" w:cs="Arial"/>
          <w:lang w:val="en-GB"/>
        </w:rPr>
      </w:pPr>
      <w:r w:rsidRPr="00B80E5B">
        <w:rPr>
          <w:rFonts w:ascii="Calibri" w:hAnsi="Calibri" w:cs="Arial"/>
          <w:b/>
          <w:lang w:val="en-GB"/>
        </w:rPr>
        <w:t>Affiliations:</w:t>
      </w:r>
    </w:p>
    <w:p w14:paraId="01E904EF" w14:textId="77777777" w:rsidR="00F702F7" w:rsidRDefault="00F702F7" w:rsidP="00680B02">
      <w:pPr>
        <w:jc w:val="both"/>
        <w:rPr>
          <w:rFonts w:ascii="Calibri" w:hAnsi="Calibri" w:cs="Arial"/>
          <w:lang w:val="en-GB"/>
        </w:rPr>
      </w:pPr>
      <w:r w:rsidRPr="00B80E5B">
        <w:rPr>
          <w:rFonts w:ascii="Calibri" w:hAnsi="Calibri" w:cs="Arial"/>
          <w:vertAlign w:val="superscript"/>
          <w:lang w:val="en-GB"/>
        </w:rPr>
        <w:t>a</w:t>
      </w:r>
      <w:r w:rsidRPr="00B80E5B">
        <w:rPr>
          <w:rFonts w:ascii="Calibri" w:hAnsi="Calibri" w:cs="Arial"/>
          <w:lang w:val="en-GB"/>
        </w:rPr>
        <w:t>Department of Statistics, University of Warwick, Coventry, UK</w:t>
      </w:r>
    </w:p>
    <w:p w14:paraId="636EEC76" w14:textId="77777777" w:rsidR="00B46FE7" w:rsidRPr="00B80E5B" w:rsidRDefault="00B46FE7" w:rsidP="00680B02">
      <w:pPr>
        <w:jc w:val="both"/>
        <w:rPr>
          <w:rFonts w:ascii="Calibri" w:hAnsi="Calibri" w:cs="Arial"/>
          <w:lang w:val="en-GB"/>
        </w:rPr>
      </w:pPr>
      <w:r w:rsidRPr="00B46FE7">
        <w:rPr>
          <w:rFonts w:ascii="Calibri" w:hAnsi="Calibri" w:cs="Arial"/>
          <w:vertAlign w:val="superscript"/>
          <w:lang w:val="en-GB"/>
        </w:rPr>
        <w:t>b</w:t>
      </w:r>
      <w:r w:rsidRPr="00B80E5B">
        <w:rPr>
          <w:rFonts w:ascii="Calibri" w:hAnsi="Calibri" w:cs="Arial"/>
          <w:lang w:val="en-GB"/>
        </w:rPr>
        <w:t xml:space="preserve">Department of </w:t>
      </w:r>
      <w:r w:rsidRPr="00B46FE7">
        <w:rPr>
          <w:rFonts w:ascii="Calibri" w:hAnsi="Calibri" w:cs="Arial"/>
          <w:lang w:val="en-GB"/>
        </w:rPr>
        <w:t>Medical Statistics</w:t>
      </w:r>
      <w:r w:rsidRPr="00B80E5B">
        <w:rPr>
          <w:rFonts w:ascii="Calibri" w:hAnsi="Calibri" w:cs="Arial"/>
          <w:lang w:val="en-GB"/>
        </w:rPr>
        <w:t xml:space="preserve">, </w:t>
      </w:r>
      <w:r w:rsidRPr="00B46FE7">
        <w:rPr>
          <w:rFonts w:ascii="Calibri" w:hAnsi="Calibri" w:cs="Arial"/>
          <w:lang w:val="en-GB"/>
        </w:rPr>
        <w:t>London School of Hygiene &amp; Tropical Medicine</w:t>
      </w:r>
      <w:r w:rsidRPr="00B80E5B">
        <w:rPr>
          <w:rFonts w:ascii="Calibri" w:hAnsi="Calibri" w:cs="Arial"/>
          <w:lang w:val="en-GB"/>
        </w:rPr>
        <w:t xml:space="preserve">, </w:t>
      </w:r>
      <w:r>
        <w:rPr>
          <w:rFonts w:ascii="Calibri" w:hAnsi="Calibri" w:cs="Arial"/>
          <w:lang w:val="en-GB"/>
        </w:rPr>
        <w:t>London</w:t>
      </w:r>
      <w:r w:rsidRPr="00B80E5B">
        <w:rPr>
          <w:rFonts w:ascii="Calibri" w:hAnsi="Calibri" w:cs="Arial"/>
          <w:lang w:val="en-GB"/>
        </w:rPr>
        <w:t>, UK</w:t>
      </w:r>
    </w:p>
    <w:p w14:paraId="31724815" w14:textId="77777777" w:rsidR="00F702F7" w:rsidRPr="00B80E5B" w:rsidRDefault="00B46FE7" w:rsidP="00680B02">
      <w:pPr>
        <w:jc w:val="both"/>
        <w:rPr>
          <w:rFonts w:ascii="Calibri" w:hAnsi="Calibri" w:cs="Arial"/>
          <w:lang w:val="en-GB"/>
        </w:rPr>
      </w:pPr>
      <w:r>
        <w:rPr>
          <w:rFonts w:ascii="Calibri" w:hAnsi="Calibri" w:cs="Arial"/>
          <w:vertAlign w:val="superscript"/>
          <w:lang w:val="en-GB"/>
        </w:rPr>
        <w:t>c</w:t>
      </w:r>
      <w:r w:rsidR="00F702F7" w:rsidRPr="00B80E5B">
        <w:rPr>
          <w:rFonts w:ascii="Calibri" w:hAnsi="Calibri" w:cs="Arial"/>
          <w:lang w:val="en-GB"/>
        </w:rPr>
        <w:t>Complex Motor Disorders Service, Evelina London Children's Hospital, Guy’s and St Thomas’ NHS Foundation Trust, London, UK</w:t>
      </w:r>
    </w:p>
    <w:p w14:paraId="0844169D" w14:textId="1301DD4A" w:rsidR="00F702F7" w:rsidRPr="00B80E5B" w:rsidRDefault="00B46FE7" w:rsidP="00680B02">
      <w:pPr>
        <w:jc w:val="both"/>
        <w:rPr>
          <w:rFonts w:ascii="Calibri" w:hAnsi="Calibri" w:cs="Arial"/>
          <w:lang w:val="en-GB"/>
        </w:rPr>
      </w:pPr>
      <w:r>
        <w:rPr>
          <w:rFonts w:ascii="Calibri" w:hAnsi="Calibri" w:cs="Arial"/>
          <w:vertAlign w:val="superscript"/>
          <w:lang w:val="en-GB"/>
        </w:rPr>
        <w:t>d</w:t>
      </w:r>
      <w:r w:rsidR="00F702F7" w:rsidRPr="00B80E5B">
        <w:rPr>
          <w:rFonts w:ascii="Calibri" w:hAnsi="Calibri" w:cs="Arial"/>
          <w:lang w:val="en-GB"/>
        </w:rPr>
        <w:t xml:space="preserve">Institute of </w:t>
      </w:r>
      <w:r w:rsidR="002B7D58" w:rsidRPr="002B7D58">
        <w:rPr>
          <w:rFonts w:ascii="Calibri" w:hAnsi="Calibri" w:cs="Arial"/>
          <w:lang w:val="en-GB"/>
        </w:rPr>
        <w:t>Psychiatry, Psychology &amp; Neuroscience</w:t>
      </w:r>
      <w:r w:rsidR="00F702F7" w:rsidRPr="00B80E5B">
        <w:rPr>
          <w:rFonts w:ascii="Calibri" w:hAnsi="Calibri" w:cs="Arial"/>
          <w:lang w:val="en-GB"/>
        </w:rPr>
        <w:t>, Department</w:t>
      </w:r>
      <w:r w:rsidR="002B7D58">
        <w:rPr>
          <w:rFonts w:ascii="Calibri" w:hAnsi="Calibri" w:cs="Arial"/>
          <w:lang w:val="en-GB"/>
        </w:rPr>
        <w:t xml:space="preserve"> of </w:t>
      </w:r>
      <w:r w:rsidR="002B7D58" w:rsidRPr="00B80E5B">
        <w:rPr>
          <w:rFonts w:ascii="Calibri" w:hAnsi="Calibri" w:cs="Arial"/>
          <w:lang w:val="en-GB"/>
        </w:rPr>
        <w:t>Psychology</w:t>
      </w:r>
      <w:r w:rsidR="00F702F7" w:rsidRPr="00B80E5B">
        <w:rPr>
          <w:rFonts w:ascii="Calibri" w:hAnsi="Calibri" w:cs="Arial"/>
          <w:lang w:val="en-GB"/>
        </w:rPr>
        <w:t>, King’s College London, London, UK</w:t>
      </w:r>
    </w:p>
    <w:p w14:paraId="3724355D" w14:textId="77777777" w:rsidR="00F702F7" w:rsidRPr="00B80E5B" w:rsidRDefault="00F702F7" w:rsidP="00680B02">
      <w:pPr>
        <w:jc w:val="both"/>
        <w:rPr>
          <w:rFonts w:ascii="Calibri" w:eastAsia="MS Gothi" w:hAnsi="Calibri" w:cs="Arial"/>
          <w:vertAlign w:val="superscript"/>
          <w:lang w:val="en-GB"/>
        </w:rPr>
      </w:pPr>
    </w:p>
    <w:p w14:paraId="032010B3" w14:textId="77777777" w:rsidR="00F702F7" w:rsidRPr="009D4EEE" w:rsidRDefault="00F702F7" w:rsidP="00680B02">
      <w:pPr>
        <w:jc w:val="both"/>
        <w:rPr>
          <w:rFonts w:ascii="Calibri" w:hAnsi="Calibri" w:cs="Arial"/>
          <w:lang w:val="en-GB"/>
        </w:rPr>
      </w:pPr>
      <w:r w:rsidRPr="00B80E5B">
        <w:rPr>
          <w:rFonts w:ascii="Calibri" w:eastAsia="MS Gothi" w:hAnsi="Calibri" w:cs="Arial"/>
          <w:vertAlign w:val="superscript"/>
          <w:lang w:val="en-GB"/>
        </w:rPr>
        <w:t>†</w:t>
      </w:r>
      <w:r w:rsidRPr="00B80E5B">
        <w:rPr>
          <w:rFonts w:ascii="Calibri" w:hAnsi="Calibri" w:cs="Arial"/>
          <w:lang w:val="en-GB"/>
        </w:rPr>
        <w:t>These authors contributed equally t</w:t>
      </w:r>
      <w:r w:rsidRPr="009D4EEE">
        <w:rPr>
          <w:rFonts w:ascii="Calibri" w:hAnsi="Calibri" w:cs="Arial"/>
          <w:lang w:val="en-GB"/>
        </w:rPr>
        <w:t>o this work</w:t>
      </w:r>
    </w:p>
    <w:p w14:paraId="002D4353" w14:textId="77777777" w:rsidR="00F702F7" w:rsidRPr="009D4EEE" w:rsidRDefault="00F702F7" w:rsidP="00680B02">
      <w:pPr>
        <w:jc w:val="both"/>
        <w:rPr>
          <w:rFonts w:ascii="Calibri" w:hAnsi="Calibri" w:cs="Arial"/>
          <w:lang w:val="en-GB"/>
        </w:rPr>
      </w:pPr>
    </w:p>
    <w:p w14:paraId="637C85A5" w14:textId="11583B19" w:rsidR="00F702F7" w:rsidRPr="009D4EEE" w:rsidRDefault="00F702F7" w:rsidP="00680B02">
      <w:pPr>
        <w:spacing w:line="360" w:lineRule="auto"/>
        <w:jc w:val="both"/>
        <w:rPr>
          <w:rFonts w:ascii="Calibri" w:hAnsi="Calibri" w:cs="Arial"/>
          <w:lang w:val="en-GB"/>
        </w:rPr>
      </w:pPr>
      <w:r w:rsidRPr="009D4EEE">
        <w:rPr>
          <w:rFonts w:ascii="Calibri" w:hAnsi="Calibri" w:cs="Arial"/>
          <w:vertAlign w:val="superscript"/>
          <w:lang w:val="en-GB"/>
        </w:rPr>
        <w:t>*</w:t>
      </w:r>
      <w:r w:rsidR="009A0EF4">
        <w:rPr>
          <w:rFonts w:ascii="Calibri" w:hAnsi="Calibri" w:cs="Arial"/>
          <w:lang w:val="en-GB"/>
        </w:rPr>
        <w:t>Corresponding Author</w:t>
      </w:r>
      <w:r w:rsidRPr="009D4EEE">
        <w:rPr>
          <w:rFonts w:ascii="Calibri" w:hAnsi="Calibri" w:cs="Arial"/>
          <w:lang w:val="en-GB"/>
        </w:rPr>
        <w:t>:</w:t>
      </w:r>
    </w:p>
    <w:p w14:paraId="3B1FE826" w14:textId="77777777" w:rsidR="00F702F7" w:rsidRPr="009D4EEE" w:rsidRDefault="00F702F7" w:rsidP="00680B02">
      <w:pPr>
        <w:spacing w:line="360" w:lineRule="auto"/>
        <w:jc w:val="both"/>
        <w:rPr>
          <w:rFonts w:ascii="Calibri" w:hAnsi="Calibri" w:cs="Arial"/>
          <w:lang w:val="en-GB"/>
        </w:rPr>
      </w:pPr>
      <w:r w:rsidRPr="009D4EEE">
        <w:rPr>
          <w:rFonts w:ascii="Calibri" w:hAnsi="Calibri" w:cs="Arial"/>
          <w:lang w:val="en-GB"/>
        </w:rPr>
        <w:t>m.elze@warwick.ac.uk</w:t>
      </w:r>
    </w:p>
    <w:p w14:paraId="67478256" w14:textId="77777777" w:rsidR="00F702F7" w:rsidRPr="009D4EEE" w:rsidRDefault="00F702F7" w:rsidP="00680B02">
      <w:pPr>
        <w:spacing w:line="360" w:lineRule="auto"/>
        <w:jc w:val="both"/>
        <w:rPr>
          <w:rFonts w:ascii="Calibri" w:hAnsi="Calibri" w:cs="Arial"/>
          <w:lang w:val="en-GB"/>
        </w:rPr>
      </w:pPr>
      <w:r w:rsidRPr="009D4EEE">
        <w:rPr>
          <w:rFonts w:ascii="Calibri" w:hAnsi="Calibri" w:cs="Arial"/>
          <w:lang w:val="en-GB"/>
        </w:rPr>
        <w:t>Department of Statistics, University of Warwick, Coventry, CV4 7AL, UK</w:t>
      </w:r>
    </w:p>
    <w:p w14:paraId="3D6005C5" w14:textId="77777777" w:rsidR="00F702F7" w:rsidRPr="009D4EEE" w:rsidRDefault="00F702F7" w:rsidP="00680B02">
      <w:pPr>
        <w:spacing w:line="360" w:lineRule="auto"/>
        <w:jc w:val="both"/>
        <w:rPr>
          <w:rFonts w:ascii="Calibri" w:hAnsi="Calibri" w:cs="Arial"/>
          <w:lang w:val="en-GB"/>
        </w:rPr>
      </w:pPr>
      <w:r w:rsidRPr="009D4EEE">
        <w:rPr>
          <w:rFonts w:ascii="Calibri" w:hAnsi="Calibri" w:cs="Arial"/>
          <w:lang w:val="en-GB"/>
        </w:rPr>
        <w:t>Tel:  +44 (0)24 76 528 357</w:t>
      </w:r>
    </w:p>
    <w:p w14:paraId="27CA18F4" w14:textId="77777777" w:rsidR="00F702F7" w:rsidRPr="009D4EEE" w:rsidRDefault="00F702F7" w:rsidP="00680B02">
      <w:pPr>
        <w:spacing w:line="360" w:lineRule="auto"/>
        <w:jc w:val="both"/>
        <w:rPr>
          <w:rFonts w:ascii="Calibri" w:hAnsi="Calibri" w:cs="Arial"/>
          <w:lang w:val="en-GB"/>
        </w:rPr>
      </w:pPr>
      <w:r w:rsidRPr="009D4EEE">
        <w:rPr>
          <w:rFonts w:ascii="Calibri" w:hAnsi="Calibri" w:cs="Arial"/>
          <w:lang w:val="en-GB"/>
        </w:rPr>
        <w:t>Fax: +44 (0)24 76 524 532</w:t>
      </w:r>
    </w:p>
    <w:p w14:paraId="0F2C1FEF" w14:textId="77777777" w:rsidR="00F702F7" w:rsidRPr="009D4EEE" w:rsidRDefault="00F702F7" w:rsidP="00680B02">
      <w:pPr>
        <w:jc w:val="both"/>
        <w:rPr>
          <w:rFonts w:ascii="Calibri" w:hAnsi="Calibri" w:cs="Arial"/>
          <w:lang w:val="en-GB"/>
        </w:rPr>
      </w:pPr>
    </w:p>
    <w:p w14:paraId="2F9DFF1D" w14:textId="77777777" w:rsidR="00F702F7" w:rsidRPr="009D4EEE" w:rsidDel="00CB20BA" w:rsidRDefault="00F702F7" w:rsidP="009B34BE">
      <w:pPr>
        <w:jc w:val="both"/>
        <w:rPr>
          <w:rFonts w:ascii="Calibri" w:hAnsi="Calibri" w:cs="Arial"/>
          <w:lang w:val="en-GB"/>
        </w:rPr>
      </w:pPr>
      <w:bookmarkStart w:id="0" w:name="_GoBack"/>
      <w:bookmarkEnd w:id="0"/>
      <w:r w:rsidRPr="009D4EEE">
        <w:rPr>
          <w:rFonts w:ascii="Calibri" w:hAnsi="Calibri" w:cs="Arial"/>
          <w:b/>
          <w:lang w:val="en-GB"/>
        </w:rPr>
        <w:t>Running Title</w:t>
      </w:r>
      <w:r w:rsidRPr="009D4EEE">
        <w:rPr>
          <w:rFonts w:ascii="Calibri" w:hAnsi="Calibri" w:cs="Arial"/>
          <w:lang w:val="en-GB"/>
        </w:rPr>
        <w:t xml:space="preserve">: </w:t>
      </w:r>
      <w:r w:rsidRPr="00104885">
        <w:rPr>
          <w:rFonts w:ascii="Calibri" w:hAnsi="Calibri" w:cs="Arial"/>
          <w:lang w:val="en-GB"/>
        </w:rPr>
        <w:t>Linking impairment</w:t>
      </w:r>
      <w:r w:rsidR="000223F8">
        <w:rPr>
          <w:rFonts w:ascii="Calibri" w:hAnsi="Calibri" w:cs="Arial"/>
          <w:lang w:val="en-GB"/>
        </w:rPr>
        <w:t xml:space="preserve"> </w:t>
      </w:r>
      <w:r w:rsidRPr="00104885">
        <w:rPr>
          <w:rFonts w:ascii="Calibri" w:hAnsi="Calibri" w:cs="Arial"/>
          <w:lang w:val="en-GB"/>
        </w:rPr>
        <w:t>&amp;</w:t>
      </w:r>
      <w:r w:rsidR="000223F8">
        <w:rPr>
          <w:rFonts w:ascii="Calibri" w:hAnsi="Calibri" w:cs="Arial"/>
          <w:lang w:val="en-GB"/>
        </w:rPr>
        <w:t xml:space="preserve"> </w:t>
      </w:r>
      <w:r w:rsidRPr="00104885">
        <w:rPr>
          <w:rFonts w:ascii="Calibri" w:hAnsi="Calibri" w:cs="Arial"/>
          <w:lang w:val="en-GB"/>
        </w:rPr>
        <w:t xml:space="preserve">function in </w:t>
      </w:r>
      <w:r w:rsidR="00784E2B">
        <w:rPr>
          <w:rFonts w:ascii="Calibri" w:hAnsi="Calibri" w:cs="Arial"/>
          <w:lang w:val="en-GB"/>
        </w:rPr>
        <w:t xml:space="preserve">childhood </w:t>
      </w:r>
      <w:r>
        <w:rPr>
          <w:rFonts w:ascii="Calibri" w:hAnsi="Calibri" w:cs="Arial"/>
          <w:lang w:val="en-GB"/>
        </w:rPr>
        <w:t>HMDs</w:t>
      </w:r>
    </w:p>
    <w:p w14:paraId="5B50B6A7" w14:textId="77777777" w:rsidR="00F702F7" w:rsidRPr="009D4EEE" w:rsidRDefault="00F702F7" w:rsidP="00B2628E">
      <w:pPr>
        <w:jc w:val="both"/>
        <w:rPr>
          <w:rFonts w:ascii="Calibri" w:hAnsi="Calibri" w:cs="Arial"/>
          <w:b/>
          <w:lang w:val="en-GB"/>
        </w:rPr>
      </w:pPr>
      <w:r w:rsidRPr="009D4EEE">
        <w:rPr>
          <w:rFonts w:ascii="Calibri" w:hAnsi="Calibri" w:cs="Arial"/>
          <w:lang w:val="en-GB"/>
        </w:rPr>
        <w:br w:type="page"/>
      </w:r>
      <w:r w:rsidRPr="009D4EEE">
        <w:rPr>
          <w:rFonts w:ascii="Calibri" w:hAnsi="Calibri" w:cs="Arial"/>
          <w:b/>
          <w:lang w:val="en-GB"/>
        </w:rPr>
        <w:lastRenderedPageBreak/>
        <w:t>ABSTRACT</w:t>
      </w:r>
    </w:p>
    <w:p w14:paraId="427C0A92" w14:textId="77777777" w:rsidR="00F702F7" w:rsidRPr="00104885" w:rsidRDefault="00F702F7" w:rsidP="00104885">
      <w:pPr>
        <w:jc w:val="both"/>
        <w:rPr>
          <w:rFonts w:ascii="Calibri" w:hAnsi="Calibri" w:cs="Arial"/>
          <w:b/>
          <w:lang w:val="en-GB"/>
        </w:rPr>
      </w:pPr>
      <w:r>
        <w:rPr>
          <w:rFonts w:ascii="Calibri" w:hAnsi="Calibri" w:cs="Arial"/>
          <w:b/>
          <w:lang w:val="en-GB"/>
        </w:rPr>
        <w:t>Aim</w:t>
      </w:r>
    </w:p>
    <w:p w14:paraId="2BAE5E14" w14:textId="5EA17168" w:rsidR="00F702F7" w:rsidRPr="00104885" w:rsidRDefault="00F702F7" w:rsidP="00104885">
      <w:pPr>
        <w:jc w:val="both"/>
        <w:rPr>
          <w:rFonts w:ascii="Calibri" w:hAnsi="Calibri" w:cs="Arial"/>
          <w:lang w:val="en-GB"/>
        </w:rPr>
      </w:pPr>
      <w:r w:rsidRPr="00104885">
        <w:rPr>
          <w:rFonts w:ascii="Calibri" w:hAnsi="Calibri" w:cs="Arial"/>
          <w:lang w:val="en-GB"/>
        </w:rPr>
        <w:t>Hyperkinetic movement disorders</w:t>
      </w:r>
      <w:r>
        <w:rPr>
          <w:rFonts w:ascii="Calibri" w:hAnsi="Calibri" w:cs="Arial"/>
          <w:lang w:val="en-GB"/>
        </w:rPr>
        <w:t xml:space="preserve"> (HMD)</w:t>
      </w:r>
      <w:r w:rsidRPr="00104885">
        <w:rPr>
          <w:rFonts w:ascii="Calibri" w:hAnsi="Calibri" w:cs="Arial"/>
          <w:lang w:val="en-GB"/>
        </w:rPr>
        <w:t xml:space="preserve"> can be assessed using impairment-based scales or functional classifications. The Burke-Fahn-Marsden Dystonia Rating Scale-</w:t>
      </w:r>
      <w:r>
        <w:rPr>
          <w:rFonts w:ascii="Calibri" w:hAnsi="Calibri" w:cs="Arial"/>
          <w:lang w:val="en-GB"/>
        </w:rPr>
        <w:t>Movement</w:t>
      </w:r>
      <w:r w:rsidRPr="00104885">
        <w:rPr>
          <w:rFonts w:ascii="Calibri" w:hAnsi="Calibri" w:cs="Arial"/>
          <w:lang w:val="en-GB"/>
        </w:rPr>
        <w:t xml:space="preserve"> (BFM-M) evaluate</w:t>
      </w:r>
      <w:r>
        <w:rPr>
          <w:rFonts w:ascii="Calibri" w:hAnsi="Calibri" w:cs="Arial"/>
          <w:lang w:val="en-GB"/>
        </w:rPr>
        <w:t>s dystonia impairment,</w:t>
      </w:r>
      <w:r w:rsidRPr="00104885">
        <w:rPr>
          <w:rFonts w:ascii="Calibri" w:hAnsi="Calibri" w:cs="Arial"/>
          <w:lang w:val="en-GB"/>
        </w:rPr>
        <w:t xml:space="preserve"> but may not reflect functional ability. The Gross Motor Function Classification System (GMFCS), Manual Ability Classification System (MACS) and Communication Function Classification System (CFCS) </w:t>
      </w:r>
      <w:r>
        <w:rPr>
          <w:rFonts w:ascii="Calibri" w:hAnsi="Calibri" w:cs="Arial"/>
          <w:lang w:val="en-GB"/>
        </w:rPr>
        <w:t>are</w:t>
      </w:r>
      <w:r w:rsidRPr="00104885">
        <w:rPr>
          <w:rFonts w:ascii="Calibri" w:hAnsi="Calibri" w:cs="Arial"/>
          <w:lang w:val="en-GB"/>
        </w:rPr>
        <w:t xml:space="preserve"> widely used in the cerebral palsy literature to classify functional ability. </w:t>
      </w:r>
    </w:p>
    <w:p w14:paraId="5B5BF357" w14:textId="77777777" w:rsidR="00F702F7" w:rsidRPr="00104885" w:rsidRDefault="00F702F7" w:rsidP="00104885">
      <w:pPr>
        <w:jc w:val="both"/>
        <w:rPr>
          <w:rFonts w:ascii="Calibri" w:hAnsi="Calibri" w:cs="Arial"/>
          <w:lang w:val="en-GB"/>
        </w:rPr>
      </w:pPr>
    </w:p>
    <w:p w14:paraId="719334C8" w14:textId="77777777" w:rsidR="00F702F7" w:rsidRDefault="007624A6" w:rsidP="00104885">
      <w:pPr>
        <w:jc w:val="both"/>
        <w:rPr>
          <w:rFonts w:ascii="Calibri" w:hAnsi="Calibri" w:cs="Arial"/>
          <w:lang w:val="en-GB"/>
        </w:rPr>
      </w:pPr>
      <w:r>
        <w:rPr>
          <w:rFonts w:ascii="Calibri" w:hAnsi="Calibri" w:cs="Arial"/>
          <w:lang w:val="en-GB"/>
        </w:rPr>
        <w:t>We</w:t>
      </w:r>
      <w:r w:rsidR="00F702F7" w:rsidRPr="009846C9">
        <w:rPr>
          <w:rFonts w:ascii="Calibri" w:hAnsi="Calibri" w:cs="Arial"/>
          <w:lang w:val="en-GB"/>
        </w:rPr>
        <w:t xml:space="preserve"> explore the concordance of </w:t>
      </w:r>
      <w:r>
        <w:rPr>
          <w:rFonts w:ascii="Calibri" w:hAnsi="Calibri" w:cs="Arial"/>
          <w:lang w:val="en-GB"/>
        </w:rPr>
        <w:t xml:space="preserve">these </w:t>
      </w:r>
      <w:r w:rsidR="00F702F7" w:rsidRPr="009846C9">
        <w:rPr>
          <w:rFonts w:ascii="Calibri" w:hAnsi="Calibri" w:cs="Arial"/>
          <w:lang w:val="en-GB"/>
        </w:rPr>
        <w:t xml:space="preserve">three </w:t>
      </w:r>
      <w:r w:rsidR="00F702F7">
        <w:rPr>
          <w:rFonts w:ascii="Calibri" w:hAnsi="Calibri" w:cs="Arial"/>
          <w:lang w:val="en-GB"/>
        </w:rPr>
        <w:t>functional</w:t>
      </w:r>
      <w:r w:rsidR="00F702F7" w:rsidRPr="009846C9">
        <w:rPr>
          <w:rFonts w:ascii="Calibri" w:hAnsi="Calibri" w:cs="Arial"/>
          <w:lang w:val="en-GB"/>
        </w:rPr>
        <w:t xml:space="preserve"> scales in a large sample of </w:t>
      </w:r>
      <w:r w:rsidR="00F702F7">
        <w:rPr>
          <w:rFonts w:ascii="Calibri" w:hAnsi="Calibri" w:cs="Arial"/>
          <w:lang w:val="en-GB"/>
        </w:rPr>
        <w:t>paediatric</w:t>
      </w:r>
      <w:r w:rsidR="00F702F7" w:rsidRPr="009846C9">
        <w:rPr>
          <w:rFonts w:ascii="Calibri" w:hAnsi="Calibri" w:cs="Arial"/>
          <w:lang w:val="en-GB"/>
        </w:rPr>
        <w:t xml:space="preserve"> </w:t>
      </w:r>
      <w:r w:rsidR="00F702F7">
        <w:rPr>
          <w:rFonts w:ascii="Calibri" w:hAnsi="Calibri" w:cs="Arial"/>
          <w:lang w:val="en-GB"/>
        </w:rPr>
        <w:t>HMDs</w:t>
      </w:r>
      <w:r w:rsidR="00F702F7" w:rsidRPr="009846C9">
        <w:rPr>
          <w:rFonts w:ascii="Calibri" w:hAnsi="Calibri" w:cs="Arial"/>
          <w:lang w:val="en-GB"/>
        </w:rPr>
        <w:t xml:space="preserve"> and </w:t>
      </w:r>
      <w:r w:rsidR="00F702F7">
        <w:rPr>
          <w:rFonts w:ascii="Calibri" w:hAnsi="Calibri" w:cs="Arial"/>
          <w:lang w:val="en-GB"/>
        </w:rPr>
        <w:t xml:space="preserve">the </w:t>
      </w:r>
      <w:r w:rsidR="00F702F7" w:rsidRPr="009846C9">
        <w:rPr>
          <w:rFonts w:ascii="Calibri" w:hAnsi="Calibri" w:cs="Arial"/>
          <w:lang w:val="en-GB"/>
        </w:rPr>
        <w:t>impact of dystonia severity on these scales.</w:t>
      </w:r>
    </w:p>
    <w:p w14:paraId="375CD73D" w14:textId="77777777" w:rsidR="00F702F7" w:rsidRPr="00104885" w:rsidRDefault="00F702F7" w:rsidP="00104885">
      <w:pPr>
        <w:jc w:val="both"/>
        <w:rPr>
          <w:rFonts w:ascii="Calibri" w:hAnsi="Calibri" w:cs="Arial"/>
          <w:b/>
          <w:lang w:val="en-GB"/>
        </w:rPr>
      </w:pPr>
    </w:p>
    <w:p w14:paraId="7FBA1F4A" w14:textId="77777777" w:rsidR="00F702F7" w:rsidRPr="00104885" w:rsidRDefault="00F702F7" w:rsidP="00104885">
      <w:pPr>
        <w:jc w:val="both"/>
        <w:rPr>
          <w:rFonts w:ascii="Calibri" w:hAnsi="Calibri" w:cs="Arial"/>
          <w:b/>
          <w:lang w:val="en-GB"/>
        </w:rPr>
      </w:pPr>
      <w:r w:rsidRPr="00104885">
        <w:rPr>
          <w:rFonts w:ascii="Calibri" w:hAnsi="Calibri" w:cs="Arial"/>
          <w:b/>
          <w:lang w:val="en-GB"/>
        </w:rPr>
        <w:t>Method</w:t>
      </w:r>
    </w:p>
    <w:p w14:paraId="224F5BD0" w14:textId="7B781D1A" w:rsidR="00F702F7" w:rsidRPr="00104885" w:rsidRDefault="00F702F7" w:rsidP="00104885">
      <w:pPr>
        <w:jc w:val="both"/>
        <w:rPr>
          <w:rFonts w:ascii="Calibri" w:hAnsi="Calibri" w:cs="Arial"/>
          <w:lang w:val="en-GB"/>
        </w:rPr>
      </w:pPr>
      <w:r w:rsidRPr="00104885">
        <w:rPr>
          <w:rFonts w:ascii="Calibri" w:hAnsi="Calibri" w:cs="Arial"/>
          <w:lang w:val="en-GB"/>
        </w:rPr>
        <w:t xml:space="preserve">Children with </w:t>
      </w:r>
      <w:r>
        <w:rPr>
          <w:rFonts w:ascii="Calibri" w:hAnsi="Calibri" w:cs="Arial"/>
          <w:lang w:val="en-GB"/>
        </w:rPr>
        <w:t>HMDs</w:t>
      </w:r>
      <w:r w:rsidRPr="00104885">
        <w:rPr>
          <w:rFonts w:ascii="Calibri" w:hAnsi="Calibri" w:cs="Arial"/>
          <w:lang w:val="en-GB"/>
        </w:rPr>
        <w:t xml:space="preserve"> (n=161</w:t>
      </w:r>
      <w:r>
        <w:rPr>
          <w:rFonts w:ascii="Calibri" w:hAnsi="Calibri" w:cs="Arial"/>
          <w:lang w:val="en-GB"/>
        </w:rPr>
        <w:t xml:space="preserve">, </w:t>
      </w:r>
      <w:r w:rsidRPr="006C01C9">
        <w:rPr>
          <w:rFonts w:ascii="Calibri" w:hAnsi="Calibri" w:cs="Arial"/>
          <w:lang w:val="en-GB"/>
        </w:rPr>
        <w:t>median age 10</w:t>
      </w:r>
      <w:r>
        <w:rPr>
          <w:rFonts w:ascii="Calibri" w:hAnsi="Calibri" w:cs="Arial"/>
          <w:lang w:val="en-GB"/>
        </w:rPr>
        <w:t>y</w:t>
      </w:r>
      <w:r w:rsidRPr="006C01C9">
        <w:rPr>
          <w:rFonts w:ascii="Calibri" w:hAnsi="Calibri" w:cs="Arial"/>
          <w:lang w:val="en-GB"/>
        </w:rPr>
        <w:t>3</w:t>
      </w:r>
      <w:r>
        <w:rPr>
          <w:rFonts w:ascii="Calibri" w:hAnsi="Calibri" w:cs="Arial"/>
          <w:lang w:val="en-GB"/>
        </w:rPr>
        <w:t>mo</w:t>
      </w:r>
      <w:r w:rsidR="00095CC9">
        <w:rPr>
          <w:rFonts w:ascii="Calibri" w:hAnsi="Calibri" w:cs="Arial"/>
          <w:lang w:val="en-GB"/>
        </w:rPr>
        <w:t>,</w:t>
      </w:r>
      <w:r w:rsidR="00095CC9" w:rsidRPr="006C01C9">
        <w:rPr>
          <w:rFonts w:ascii="Calibri" w:hAnsi="Calibri" w:cs="Arial"/>
          <w:lang w:val="en-GB"/>
        </w:rPr>
        <w:t xml:space="preserve"> </w:t>
      </w:r>
      <w:r w:rsidR="00095CC9">
        <w:rPr>
          <w:rFonts w:ascii="Calibri" w:hAnsi="Calibri" w:cs="Arial"/>
          <w:lang w:val="en-GB"/>
        </w:rPr>
        <w:t>range 2y6mo-21y</w:t>
      </w:r>
      <w:r w:rsidRPr="00104885">
        <w:rPr>
          <w:rFonts w:ascii="Calibri" w:hAnsi="Calibri" w:cs="Arial"/>
          <w:lang w:val="en-GB"/>
        </w:rPr>
        <w:t>) were assessed using</w:t>
      </w:r>
      <w:r>
        <w:rPr>
          <w:rFonts w:ascii="Calibri" w:hAnsi="Calibri" w:cs="Arial"/>
          <w:lang w:val="en-GB"/>
        </w:rPr>
        <w:t xml:space="preserve"> </w:t>
      </w:r>
      <w:r w:rsidRPr="00104885">
        <w:rPr>
          <w:rFonts w:ascii="Calibri" w:hAnsi="Calibri" w:cs="Arial"/>
          <w:lang w:val="en-GB"/>
        </w:rPr>
        <w:t>BFM-M</w:t>
      </w:r>
      <w:r>
        <w:rPr>
          <w:rFonts w:ascii="Calibri" w:hAnsi="Calibri" w:cs="Arial"/>
          <w:lang w:val="en-GB"/>
        </w:rPr>
        <w:t>,</w:t>
      </w:r>
      <w:r w:rsidRPr="00104885">
        <w:rPr>
          <w:rFonts w:ascii="Calibri" w:hAnsi="Calibri" w:cs="Arial"/>
          <w:lang w:val="en-GB"/>
        </w:rPr>
        <w:t xml:space="preserve"> GMFCS, MACS and CFCS </w:t>
      </w:r>
      <w:r w:rsidR="007624A6">
        <w:rPr>
          <w:rFonts w:ascii="Calibri" w:hAnsi="Calibri" w:cs="Arial"/>
          <w:lang w:val="en-GB"/>
        </w:rPr>
        <w:t xml:space="preserve">in </w:t>
      </w:r>
      <w:r w:rsidR="007624A6" w:rsidRPr="00104885">
        <w:rPr>
          <w:rFonts w:ascii="Calibri" w:hAnsi="Calibri" w:cs="Arial"/>
          <w:lang w:val="en-GB"/>
        </w:rPr>
        <w:t>2007-2013</w:t>
      </w:r>
      <w:r w:rsidRPr="00104885">
        <w:rPr>
          <w:rFonts w:ascii="Calibri" w:hAnsi="Calibri" w:cs="Arial"/>
          <w:lang w:val="en-GB"/>
        </w:rPr>
        <w:t xml:space="preserve">. </w:t>
      </w:r>
      <w:r w:rsidR="007624A6">
        <w:rPr>
          <w:rFonts w:ascii="Calibri" w:hAnsi="Calibri" w:cs="Arial"/>
          <w:lang w:val="en-GB"/>
        </w:rPr>
        <w:t>This cross-sectional study contrasts the information provided by these scales.</w:t>
      </w:r>
    </w:p>
    <w:p w14:paraId="5981ECD7" w14:textId="77777777" w:rsidR="00F702F7" w:rsidRPr="00104885" w:rsidRDefault="00F702F7" w:rsidP="00104885">
      <w:pPr>
        <w:jc w:val="both"/>
        <w:rPr>
          <w:rFonts w:ascii="Calibri" w:hAnsi="Calibri" w:cs="Arial"/>
          <w:b/>
          <w:lang w:val="en-GB"/>
        </w:rPr>
      </w:pPr>
    </w:p>
    <w:p w14:paraId="6867C95F" w14:textId="77777777" w:rsidR="00F702F7" w:rsidRPr="00104885" w:rsidRDefault="00F702F7" w:rsidP="00104885">
      <w:pPr>
        <w:jc w:val="both"/>
        <w:rPr>
          <w:rFonts w:ascii="Calibri" w:hAnsi="Calibri" w:cs="Arial"/>
          <w:b/>
          <w:lang w:val="en-GB"/>
        </w:rPr>
      </w:pPr>
      <w:r w:rsidRPr="00104885">
        <w:rPr>
          <w:rFonts w:ascii="Calibri" w:hAnsi="Calibri" w:cs="Arial"/>
          <w:b/>
          <w:lang w:val="en-GB"/>
        </w:rPr>
        <w:t>Results</w:t>
      </w:r>
    </w:p>
    <w:p w14:paraId="70A53679" w14:textId="4C23FBB2" w:rsidR="00F702F7" w:rsidRPr="00104885" w:rsidRDefault="00F702F7" w:rsidP="00104885">
      <w:pPr>
        <w:jc w:val="both"/>
        <w:rPr>
          <w:rFonts w:ascii="Calibri" w:hAnsi="Calibri" w:cs="Arial"/>
          <w:lang w:val="en-GB"/>
        </w:rPr>
      </w:pPr>
      <w:r w:rsidRPr="00104885">
        <w:rPr>
          <w:rFonts w:ascii="Calibri" w:hAnsi="Calibri" w:cs="Arial"/>
          <w:lang w:val="en-GB"/>
        </w:rPr>
        <w:t xml:space="preserve">All </w:t>
      </w:r>
      <w:r>
        <w:rPr>
          <w:rFonts w:ascii="Calibri" w:hAnsi="Calibri" w:cs="Arial"/>
          <w:lang w:val="en-GB"/>
        </w:rPr>
        <w:t xml:space="preserve">four </w:t>
      </w:r>
      <w:r w:rsidRPr="00104885">
        <w:rPr>
          <w:rFonts w:ascii="Calibri" w:hAnsi="Calibri" w:cs="Arial"/>
          <w:lang w:val="en-GB"/>
        </w:rPr>
        <w:t xml:space="preserve">scales </w:t>
      </w:r>
      <w:r>
        <w:rPr>
          <w:rFonts w:ascii="Calibri" w:hAnsi="Calibri" w:cs="Arial"/>
          <w:lang w:val="en-GB"/>
        </w:rPr>
        <w:t>were strongly associated</w:t>
      </w:r>
      <w:r w:rsidRPr="00104885">
        <w:rPr>
          <w:rFonts w:ascii="Calibri" w:hAnsi="Calibri" w:cs="Arial"/>
          <w:lang w:val="en-GB"/>
        </w:rPr>
        <w:t xml:space="preserve"> (</w:t>
      </w:r>
      <w:r>
        <w:rPr>
          <w:rFonts w:ascii="Calibri" w:hAnsi="Calibri" w:cs="Arial"/>
          <w:lang w:val="en-GB"/>
        </w:rPr>
        <w:t xml:space="preserve">all </w:t>
      </w:r>
      <w:r w:rsidRPr="009D4EEE">
        <w:rPr>
          <w:rFonts w:ascii="Calibri" w:hAnsi="Calibri" w:cs="Arial"/>
          <w:lang w:val="en-GB"/>
        </w:rPr>
        <w:t>r</w:t>
      </w:r>
      <w:r>
        <w:rPr>
          <w:rFonts w:ascii="Calibri" w:hAnsi="Calibri" w:cs="Arial"/>
          <w:vertAlign w:val="subscript"/>
          <w:lang w:val="en-GB"/>
        </w:rPr>
        <w:t>s</w:t>
      </w:r>
      <w:r w:rsidRPr="009846C9">
        <w:rPr>
          <w:rFonts w:ascii="Calibri" w:hAnsi="Calibri" w:cs="Arial"/>
          <w:lang w:val="en-GB"/>
        </w:rPr>
        <w:t>&gt;</w:t>
      </w:r>
      <w:r>
        <w:rPr>
          <w:rFonts w:ascii="Calibri" w:hAnsi="Calibri" w:cs="Arial"/>
          <w:lang w:val="en-GB"/>
        </w:rPr>
        <w:t xml:space="preserve">0.72, </w:t>
      </w:r>
      <w:r w:rsidRPr="00104885">
        <w:rPr>
          <w:rFonts w:ascii="Calibri" w:hAnsi="Calibri" w:cs="Arial"/>
          <w:lang w:val="en-GB"/>
        </w:rPr>
        <w:t xml:space="preserve">p&lt;0.00001), with worse dystonia severity implying worse function. Secondary dystonias </w:t>
      </w:r>
      <w:r>
        <w:rPr>
          <w:rFonts w:ascii="Calibri" w:hAnsi="Calibri" w:cs="Arial"/>
          <w:lang w:val="en-GB"/>
        </w:rPr>
        <w:t>had worse</w:t>
      </w:r>
      <w:r w:rsidRPr="00104885">
        <w:rPr>
          <w:rFonts w:ascii="Calibri" w:hAnsi="Calibri" w:cs="Arial"/>
          <w:lang w:val="en-GB"/>
        </w:rPr>
        <w:t xml:space="preserve"> dystonia and </w:t>
      </w:r>
      <w:r>
        <w:rPr>
          <w:rFonts w:ascii="Calibri" w:hAnsi="Calibri" w:cs="Arial"/>
          <w:lang w:val="en-GB"/>
        </w:rPr>
        <w:t>less</w:t>
      </w:r>
      <w:r w:rsidRPr="00104885">
        <w:rPr>
          <w:rFonts w:ascii="Calibri" w:hAnsi="Calibri" w:cs="Arial"/>
          <w:lang w:val="en-GB"/>
        </w:rPr>
        <w:t xml:space="preserve"> function than primary dystonia</w:t>
      </w:r>
      <w:r>
        <w:rPr>
          <w:rFonts w:ascii="Calibri" w:hAnsi="Calibri" w:cs="Arial"/>
          <w:lang w:val="en-GB"/>
        </w:rPr>
        <w:t>s</w:t>
      </w:r>
      <w:r w:rsidRPr="00104885">
        <w:rPr>
          <w:rFonts w:ascii="Calibri" w:hAnsi="Calibri" w:cs="Arial"/>
          <w:lang w:val="en-GB"/>
        </w:rPr>
        <w:t xml:space="preserve"> (p&lt;0.00001).  </w:t>
      </w:r>
      <w:r>
        <w:rPr>
          <w:rFonts w:ascii="Calibri" w:hAnsi="Calibri" w:cs="Arial"/>
          <w:lang w:val="en-GB"/>
        </w:rPr>
        <w:t xml:space="preserve">A </w:t>
      </w:r>
      <w:r w:rsidR="007B2E32">
        <w:rPr>
          <w:rFonts w:ascii="Calibri" w:hAnsi="Calibri" w:cs="Arial"/>
          <w:lang w:val="en-GB"/>
        </w:rPr>
        <w:t>longer</w:t>
      </w:r>
      <w:r w:rsidR="007B2E32" w:rsidRPr="00104885">
        <w:rPr>
          <w:rFonts w:ascii="Calibri" w:hAnsi="Calibri" w:cs="Arial"/>
          <w:lang w:val="en-GB"/>
        </w:rPr>
        <w:t xml:space="preserve"> </w:t>
      </w:r>
      <w:r w:rsidRPr="00104885">
        <w:rPr>
          <w:rFonts w:ascii="Calibri" w:hAnsi="Calibri" w:cs="Arial"/>
          <w:lang w:val="en-GB"/>
        </w:rPr>
        <w:t xml:space="preserve">proportion of life lived </w:t>
      </w:r>
      <w:r w:rsidR="007B2E32">
        <w:rPr>
          <w:rFonts w:ascii="Calibri" w:hAnsi="Calibri" w:cs="Arial"/>
          <w:lang w:val="en-GB"/>
        </w:rPr>
        <w:t>before the onset of initial dystonia symptoms</w:t>
      </w:r>
      <w:r w:rsidRPr="00104885">
        <w:rPr>
          <w:rFonts w:ascii="Calibri" w:hAnsi="Calibri" w:cs="Arial"/>
          <w:lang w:val="en-GB"/>
        </w:rPr>
        <w:t xml:space="preserve"> </w:t>
      </w:r>
      <w:r>
        <w:rPr>
          <w:rFonts w:ascii="Calibri" w:hAnsi="Calibri" w:cs="Arial"/>
          <w:lang w:val="en-GB"/>
        </w:rPr>
        <w:t xml:space="preserve">is associated </w:t>
      </w:r>
      <w:r w:rsidRPr="00104885">
        <w:rPr>
          <w:rFonts w:ascii="Calibri" w:hAnsi="Calibri" w:cs="Arial"/>
          <w:lang w:val="en-GB"/>
        </w:rPr>
        <w:t>with less severe dystonia (</w:t>
      </w:r>
      <w:r w:rsidRPr="009D4EEE">
        <w:rPr>
          <w:rFonts w:ascii="Calibri" w:hAnsi="Calibri" w:cs="Arial"/>
          <w:lang w:val="en-GB"/>
        </w:rPr>
        <w:t>r</w:t>
      </w:r>
      <w:r>
        <w:rPr>
          <w:rFonts w:ascii="Calibri" w:hAnsi="Calibri" w:cs="Arial"/>
          <w:vertAlign w:val="subscript"/>
          <w:lang w:val="en-GB"/>
        </w:rPr>
        <w:t>s</w:t>
      </w:r>
      <w:r w:rsidRPr="009D4EEE">
        <w:rPr>
          <w:rFonts w:ascii="Calibri" w:hAnsi="Calibri" w:cs="Arial"/>
          <w:lang w:val="en-GB"/>
        </w:rPr>
        <w:t>=0.42</w:t>
      </w:r>
      <w:r>
        <w:rPr>
          <w:rFonts w:ascii="Calibri" w:hAnsi="Calibri" w:cs="Arial"/>
          <w:lang w:val="en-GB"/>
        </w:rPr>
        <w:t xml:space="preserve">, </w:t>
      </w:r>
      <w:r w:rsidRPr="00104885">
        <w:rPr>
          <w:rFonts w:ascii="Calibri" w:hAnsi="Calibri" w:cs="Arial"/>
          <w:lang w:val="en-GB"/>
        </w:rPr>
        <w:t>p&lt;0.00001).</w:t>
      </w:r>
    </w:p>
    <w:p w14:paraId="0D27AE8E" w14:textId="77777777" w:rsidR="00F702F7" w:rsidRPr="00104885" w:rsidRDefault="007624A6" w:rsidP="007624A6">
      <w:pPr>
        <w:tabs>
          <w:tab w:val="left" w:pos="1080"/>
        </w:tabs>
        <w:jc w:val="both"/>
        <w:rPr>
          <w:rFonts w:ascii="Calibri" w:hAnsi="Calibri" w:cs="Arial"/>
          <w:b/>
          <w:lang w:val="en-GB"/>
        </w:rPr>
      </w:pPr>
      <w:r>
        <w:rPr>
          <w:rFonts w:ascii="Calibri" w:hAnsi="Calibri" w:cs="Arial"/>
          <w:b/>
          <w:lang w:val="en-GB"/>
        </w:rPr>
        <w:tab/>
      </w:r>
    </w:p>
    <w:p w14:paraId="466034F5" w14:textId="77777777" w:rsidR="00F702F7" w:rsidRPr="00104885" w:rsidRDefault="00F702F7" w:rsidP="00104885">
      <w:pPr>
        <w:jc w:val="both"/>
        <w:rPr>
          <w:rFonts w:ascii="Calibri" w:hAnsi="Calibri" w:cs="Arial"/>
          <w:b/>
          <w:lang w:val="en-GB"/>
        </w:rPr>
      </w:pPr>
      <w:r w:rsidRPr="00104885">
        <w:rPr>
          <w:rFonts w:ascii="Calibri" w:hAnsi="Calibri" w:cs="Arial"/>
          <w:b/>
          <w:lang w:val="en-GB"/>
        </w:rPr>
        <w:t>Interpretation</w:t>
      </w:r>
    </w:p>
    <w:p w14:paraId="73DC7DC2" w14:textId="62E76AB7" w:rsidR="00F702F7" w:rsidRPr="00104885" w:rsidRDefault="00F702F7" w:rsidP="00104885">
      <w:pPr>
        <w:jc w:val="both"/>
        <w:rPr>
          <w:rFonts w:ascii="Calibri" w:hAnsi="Calibri" w:cs="Arial"/>
          <w:lang w:val="en-GB"/>
        </w:rPr>
      </w:pPr>
      <w:r w:rsidRPr="00104885">
        <w:rPr>
          <w:rFonts w:ascii="Calibri" w:hAnsi="Calibri" w:cs="Arial"/>
          <w:lang w:val="en-GB"/>
        </w:rPr>
        <w:t xml:space="preserve">BFM-M is strongly linked with GMFCS, MACS and CFCS, irrespective of aetiology. Each scale offers interrelated, but complementary information and was applicable to all aetiologies. </w:t>
      </w:r>
      <w:r>
        <w:rPr>
          <w:rFonts w:ascii="Calibri" w:hAnsi="Calibri" w:cs="Arial"/>
          <w:lang w:val="en-GB"/>
        </w:rPr>
        <w:t xml:space="preserve">Movement disorders including </w:t>
      </w:r>
      <w:r w:rsidR="005F30D7">
        <w:rPr>
          <w:rFonts w:ascii="Calibri" w:hAnsi="Calibri" w:cs="Arial"/>
          <w:lang w:val="en-GB"/>
        </w:rPr>
        <w:t>CP</w:t>
      </w:r>
      <w:r>
        <w:rPr>
          <w:rFonts w:ascii="Calibri" w:hAnsi="Calibri" w:cs="Arial"/>
          <w:lang w:val="en-GB"/>
        </w:rPr>
        <w:t xml:space="preserve"> can be effectively evaluated using these scales.</w:t>
      </w:r>
    </w:p>
    <w:p w14:paraId="6CD164C0" w14:textId="77777777" w:rsidR="00F702F7" w:rsidRPr="009D4EEE" w:rsidRDefault="00F702F7" w:rsidP="00104885">
      <w:pPr>
        <w:jc w:val="both"/>
        <w:rPr>
          <w:rFonts w:ascii="Calibri" w:hAnsi="Calibri" w:cs="Arial"/>
          <w:lang w:val="en-GB"/>
        </w:rPr>
      </w:pPr>
      <w:r w:rsidRPr="00104885">
        <w:rPr>
          <w:rFonts w:ascii="Calibri" w:hAnsi="Calibri" w:cs="Arial"/>
          <w:b/>
          <w:lang w:val="en-GB"/>
        </w:rPr>
        <w:tab/>
      </w:r>
    </w:p>
    <w:p w14:paraId="3812FB88" w14:textId="77777777" w:rsidR="00F702F7" w:rsidRPr="009D4EEE" w:rsidRDefault="00F702F7" w:rsidP="00680B02">
      <w:pPr>
        <w:jc w:val="both"/>
        <w:rPr>
          <w:rFonts w:ascii="Calibri" w:hAnsi="Calibri" w:cs="Arial"/>
          <w:lang w:val="en-GB"/>
        </w:rPr>
      </w:pPr>
      <w:r w:rsidRPr="009D4EEE">
        <w:rPr>
          <w:rFonts w:ascii="Calibri" w:hAnsi="Calibri" w:cs="Arial"/>
          <w:lang w:val="en-GB"/>
        </w:rPr>
        <w:tab/>
      </w:r>
    </w:p>
    <w:p w14:paraId="4B486BE5" w14:textId="77777777" w:rsidR="00F702F7" w:rsidRPr="009D4EEE" w:rsidRDefault="00F702F7" w:rsidP="00680B02">
      <w:pPr>
        <w:jc w:val="both"/>
        <w:rPr>
          <w:rFonts w:ascii="Calibri" w:hAnsi="Calibri" w:cs="Arial"/>
          <w:lang w:val="en-GB"/>
        </w:rPr>
      </w:pPr>
    </w:p>
    <w:p w14:paraId="346001B7" w14:textId="77777777" w:rsidR="00F702F7" w:rsidRPr="009D4EEE" w:rsidRDefault="00F702F7" w:rsidP="00680B02">
      <w:pPr>
        <w:jc w:val="both"/>
        <w:rPr>
          <w:rFonts w:ascii="Calibri" w:hAnsi="Calibri" w:cs="Arial"/>
          <w:lang w:val="en-GB"/>
        </w:rPr>
      </w:pPr>
      <w:r w:rsidRPr="009D4EEE">
        <w:rPr>
          <w:rFonts w:ascii="Calibri" w:hAnsi="Calibri" w:cs="Arial"/>
          <w:b/>
          <w:lang w:val="en-GB"/>
        </w:rPr>
        <w:t>WHAT THIS PAPER ADDS</w:t>
      </w:r>
    </w:p>
    <w:p w14:paraId="622E94EE" w14:textId="64E9C0C9" w:rsidR="00F702F7" w:rsidRPr="00104885" w:rsidRDefault="00F702F7" w:rsidP="00104885">
      <w:pPr>
        <w:pStyle w:val="MediumGrid1-Accent21"/>
        <w:numPr>
          <w:ilvl w:val="0"/>
          <w:numId w:val="1"/>
        </w:numPr>
        <w:jc w:val="both"/>
        <w:rPr>
          <w:rFonts w:ascii="Calibri" w:hAnsi="Calibri" w:cs="Arial"/>
          <w:lang w:val="en-GB"/>
        </w:rPr>
      </w:pPr>
      <w:r w:rsidRPr="00104885">
        <w:rPr>
          <w:rFonts w:ascii="Calibri" w:hAnsi="Calibri" w:cs="Arial"/>
          <w:lang w:val="en-GB"/>
        </w:rPr>
        <w:t>GMFCS, MACS and CFCS</w:t>
      </w:r>
      <w:r>
        <w:rPr>
          <w:rFonts w:ascii="Calibri" w:hAnsi="Calibri" w:cs="Arial"/>
          <w:lang w:val="en-GB"/>
        </w:rPr>
        <w:t xml:space="preserve"> strongly associated</w:t>
      </w:r>
      <w:r w:rsidRPr="00104885">
        <w:rPr>
          <w:rFonts w:ascii="Calibri" w:hAnsi="Calibri" w:cs="Arial"/>
          <w:lang w:val="en-GB"/>
        </w:rPr>
        <w:t xml:space="preserve"> in hyperkinetic movement disorders. </w:t>
      </w:r>
    </w:p>
    <w:p w14:paraId="30146B4B" w14:textId="7695C9A4" w:rsidR="00F702F7" w:rsidRPr="00104885" w:rsidRDefault="00F702F7" w:rsidP="00104885">
      <w:pPr>
        <w:pStyle w:val="MediumGrid1-Accent21"/>
        <w:numPr>
          <w:ilvl w:val="0"/>
          <w:numId w:val="1"/>
        </w:numPr>
        <w:jc w:val="both"/>
        <w:rPr>
          <w:rFonts w:ascii="Calibri" w:hAnsi="Calibri" w:cs="Arial"/>
          <w:lang w:val="en-GB"/>
        </w:rPr>
      </w:pPr>
      <w:r w:rsidRPr="00104885">
        <w:rPr>
          <w:rFonts w:ascii="Calibri" w:hAnsi="Calibri" w:cs="Arial"/>
          <w:lang w:val="en-GB"/>
        </w:rPr>
        <w:t xml:space="preserve">Dystonia impairment shows strong association with all </w:t>
      </w:r>
      <w:r>
        <w:rPr>
          <w:rFonts w:ascii="Calibri" w:hAnsi="Calibri" w:cs="Arial"/>
          <w:lang w:val="en-GB"/>
        </w:rPr>
        <w:t>3 functional</w:t>
      </w:r>
      <w:r w:rsidRPr="00104885">
        <w:rPr>
          <w:rFonts w:ascii="Calibri" w:hAnsi="Calibri" w:cs="Arial"/>
          <w:lang w:val="en-GB"/>
        </w:rPr>
        <w:t xml:space="preserve"> scales.</w:t>
      </w:r>
    </w:p>
    <w:p w14:paraId="1A64E740" w14:textId="741D0A89" w:rsidR="00F702F7" w:rsidRPr="00104885" w:rsidRDefault="00F702F7" w:rsidP="00104885">
      <w:pPr>
        <w:pStyle w:val="MediumGrid1-Accent21"/>
        <w:numPr>
          <w:ilvl w:val="0"/>
          <w:numId w:val="1"/>
        </w:numPr>
        <w:jc w:val="both"/>
        <w:rPr>
          <w:rFonts w:ascii="Calibri" w:hAnsi="Calibri" w:cs="Arial"/>
          <w:lang w:val="en-GB"/>
        </w:rPr>
      </w:pPr>
      <w:r w:rsidRPr="00104885">
        <w:rPr>
          <w:rFonts w:ascii="Calibri" w:hAnsi="Calibri" w:cs="Arial"/>
          <w:lang w:val="en-GB"/>
        </w:rPr>
        <w:t>The scales relationship</w:t>
      </w:r>
      <w:r>
        <w:rPr>
          <w:rFonts w:ascii="Calibri" w:hAnsi="Calibri" w:cs="Arial"/>
          <w:lang w:val="en-GB"/>
        </w:rPr>
        <w:t>s</w:t>
      </w:r>
      <w:r w:rsidRPr="00104885">
        <w:rPr>
          <w:rFonts w:ascii="Calibri" w:hAnsi="Calibri" w:cs="Arial"/>
          <w:lang w:val="en-GB"/>
        </w:rPr>
        <w:t xml:space="preserve"> </w:t>
      </w:r>
      <w:r>
        <w:rPr>
          <w:rFonts w:ascii="Calibri" w:hAnsi="Calibri" w:cs="Arial"/>
          <w:lang w:val="en-GB"/>
        </w:rPr>
        <w:t>are</w:t>
      </w:r>
      <w:r w:rsidRPr="00104885">
        <w:rPr>
          <w:rFonts w:ascii="Calibri" w:hAnsi="Calibri" w:cs="Arial"/>
          <w:lang w:val="en-GB"/>
        </w:rPr>
        <w:t xml:space="preserve"> consistent for CP and non-CP aetiologies</w:t>
      </w:r>
      <w:r w:rsidR="0083276B">
        <w:rPr>
          <w:rFonts w:ascii="Calibri" w:hAnsi="Calibri" w:cs="Arial"/>
          <w:lang w:val="en-GB"/>
        </w:rPr>
        <w:t>.</w:t>
      </w:r>
    </w:p>
    <w:p w14:paraId="2C085546" w14:textId="6B65849F" w:rsidR="00F702F7" w:rsidRPr="00104885" w:rsidRDefault="00F702F7" w:rsidP="00104885">
      <w:pPr>
        <w:pStyle w:val="MediumGrid1-Accent21"/>
        <w:numPr>
          <w:ilvl w:val="0"/>
          <w:numId w:val="1"/>
        </w:numPr>
        <w:jc w:val="both"/>
        <w:rPr>
          <w:rFonts w:ascii="Calibri" w:hAnsi="Calibri" w:cs="Arial"/>
          <w:lang w:val="en-GB"/>
        </w:rPr>
      </w:pPr>
      <w:r w:rsidRPr="00104885">
        <w:rPr>
          <w:rFonts w:ascii="Calibri" w:hAnsi="Calibri" w:cs="Arial"/>
          <w:lang w:val="en-GB"/>
        </w:rPr>
        <w:t>All aetiological groups share common patterns of impairment and function</w:t>
      </w:r>
      <w:r>
        <w:rPr>
          <w:rFonts w:ascii="Calibri" w:hAnsi="Calibri" w:cs="Arial"/>
          <w:lang w:val="en-GB"/>
        </w:rPr>
        <w:t>.</w:t>
      </w:r>
    </w:p>
    <w:p w14:paraId="3D0DC61F" w14:textId="2FA5A522" w:rsidR="00C5790D" w:rsidRPr="00104885" w:rsidRDefault="00F702F7" w:rsidP="00151176">
      <w:pPr>
        <w:pStyle w:val="MediumGrid1-Accent21"/>
        <w:numPr>
          <w:ilvl w:val="0"/>
          <w:numId w:val="1"/>
        </w:numPr>
        <w:jc w:val="both"/>
        <w:rPr>
          <w:rFonts w:ascii="Calibri" w:hAnsi="Calibri" w:cs="Arial"/>
          <w:lang w:val="en-GB"/>
        </w:rPr>
      </w:pPr>
      <w:r w:rsidRPr="00104885">
        <w:rPr>
          <w:rFonts w:ascii="Calibri" w:hAnsi="Calibri" w:cs="Arial"/>
          <w:lang w:val="en-GB"/>
        </w:rPr>
        <w:t xml:space="preserve">Secondary dystonias have </w:t>
      </w:r>
      <w:r>
        <w:rPr>
          <w:rFonts w:ascii="Calibri" w:hAnsi="Calibri" w:cs="Arial"/>
          <w:lang w:val="en-GB"/>
        </w:rPr>
        <w:t>greater</w:t>
      </w:r>
      <w:r w:rsidRPr="00104885">
        <w:rPr>
          <w:rFonts w:ascii="Calibri" w:hAnsi="Calibri" w:cs="Arial"/>
          <w:lang w:val="en-GB"/>
        </w:rPr>
        <w:t xml:space="preserve"> impairment</w:t>
      </w:r>
      <w:r>
        <w:rPr>
          <w:rFonts w:ascii="Calibri" w:hAnsi="Calibri" w:cs="Arial"/>
          <w:lang w:val="en-GB"/>
        </w:rPr>
        <w:t xml:space="preserve"> and lower</w:t>
      </w:r>
      <w:r w:rsidRPr="00104885">
        <w:rPr>
          <w:rFonts w:ascii="Calibri" w:hAnsi="Calibri" w:cs="Arial"/>
          <w:lang w:val="en-GB"/>
        </w:rPr>
        <w:t xml:space="preserve"> functional ability</w:t>
      </w:r>
      <w:r>
        <w:rPr>
          <w:rFonts w:ascii="Calibri" w:hAnsi="Calibri" w:cs="Arial"/>
          <w:lang w:val="en-GB"/>
        </w:rPr>
        <w:t>.</w:t>
      </w:r>
    </w:p>
    <w:p w14:paraId="098331E3" w14:textId="77777777" w:rsidR="00F702F7" w:rsidRPr="009D4EEE" w:rsidRDefault="00F702F7" w:rsidP="00680B02">
      <w:pPr>
        <w:jc w:val="both"/>
        <w:rPr>
          <w:rFonts w:ascii="Calibri" w:hAnsi="Calibri" w:cs="Arial"/>
          <w:lang w:val="en-GB"/>
        </w:rPr>
      </w:pPr>
    </w:p>
    <w:p w14:paraId="091D7D9A" w14:textId="60C582CF" w:rsidR="00F702F7" w:rsidRPr="009D4EEE" w:rsidRDefault="00F702F7" w:rsidP="00763C89">
      <w:pPr>
        <w:autoSpaceDE w:val="0"/>
        <w:autoSpaceDN w:val="0"/>
        <w:adjustRightInd w:val="0"/>
        <w:spacing w:line="360" w:lineRule="auto"/>
        <w:jc w:val="both"/>
        <w:rPr>
          <w:rFonts w:ascii="Calibri" w:hAnsi="Calibri" w:cs="Arial"/>
          <w:lang w:val="en-GB"/>
        </w:rPr>
      </w:pPr>
      <w:r w:rsidRPr="009D4EEE">
        <w:rPr>
          <w:rFonts w:ascii="Calibri" w:hAnsi="Calibri" w:cs="Arial"/>
          <w:b/>
          <w:highlight w:val="yellow"/>
          <w:lang w:val="en-GB"/>
        </w:rPr>
        <w:br w:type="page"/>
      </w:r>
      <w:r w:rsidRPr="009D4EEE">
        <w:rPr>
          <w:rFonts w:ascii="Calibri" w:hAnsi="Calibri" w:cs="Arial"/>
          <w:lang w:val="en-GB"/>
        </w:rPr>
        <w:lastRenderedPageBreak/>
        <w:t xml:space="preserve">Hyperkinetic movement disorders (HMD) are </w:t>
      </w:r>
      <w:r w:rsidR="005954AD">
        <w:rPr>
          <w:rFonts w:ascii="Calibri" w:hAnsi="Calibri" w:cs="Arial"/>
          <w:lang w:val="en-GB"/>
        </w:rPr>
        <w:t xml:space="preserve">defined by the Taskforce in Childhood Movement Disorders as any unwanted excess movement. They are </w:t>
      </w:r>
      <w:r w:rsidRPr="009D4EEE">
        <w:rPr>
          <w:rFonts w:ascii="Calibri" w:hAnsi="Calibri" w:cs="Arial"/>
          <w:lang w:val="en-GB"/>
        </w:rPr>
        <w:t>characterised by excessive involuntary movements including dystonia, chorea, athetosis, and myoclonus arising from many aetiologies including congenital, acquired, neurodegenerative and genetic disorders</w:t>
      </w:r>
      <w:r w:rsidR="00AE085D">
        <w:rPr>
          <w:rFonts w:ascii="Calibri" w:hAnsi="Calibri"/>
          <w:b/>
          <w:color w:val="FF0000"/>
          <w:vertAlign w:val="superscript"/>
          <w:lang w:val="en-GB"/>
        </w:rPr>
        <w:t>1</w:t>
      </w:r>
      <w:r w:rsidRPr="009D4EEE">
        <w:rPr>
          <w:rFonts w:ascii="Calibri" w:hAnsi="Calibri" w:cs="Arial"/>
          <w:lang w:val="en-GB"/>
        </w:rPr>
        <w:t>. The most common cause of HMD</w:t>
      </w:r>
      <w:r>
        <w:rPr>
          <w:rFonts w:ascii="Calibri" w:hAnsi="Calibri" w:cs="Arial"/>
          <w:lang w:val="en-GB"/>
        </w:rPr>
        <w:t>s</w:t>
      </w:r>
      <w:r w:rsidRPr="009D4EEE">
        <w:rPr>
          <w:rFonts w:ascii="Calibri" w:hAnsi="Calibri" w:cs="Arial"/>
          <w:lang w:val="en-GB"/>
        </w:rPr>
        <w:t xml:space="preserve"> in children is dyskinetic cerebral palsy (CP) and the impact of dystonia on the lives of children is often very disabling</w:t>
      </w:r>
      <w:r w:rsidR="005954AD">
        <w:rPr>
          <w:rFonts w:ascii="Calibri" w:hAnsi="Calibri" w:cs="Arial"/>
          <w:lang w:val="en-GB"/>
        </w:rPr>
        <w:t xml:space="preserve">. </w:t>
      </w:r>
      <w:r w:rsidR="00EF1F5E">
        <w:rPr>
          <w:rFonts w:ascii="Calibri" w:hAnsi="Calibri" w:cs="Arial"/>
          <w:lang w:val="en-GB"/>
        </w:rPr>
        <w:t>W</w:t>
      </w:r>
      <w:r w:rsidR="00EF1F5E" w:rsidRPr="009D4EEE">
        <w:rPr>
          <w:rFonts w:ascii="Calibri" w:hAnsi="Calibri" w:cs="Arial"/>
          <w:lang w:val="en-GB"/>
        </w:rPr>
        <w:t xml:space="preserve">orsening </w:t>
      </w:r>
      <w:r w:rsidR="00EF1F5E">
        <w:rPr>
          <w:rFonts w:ascii="Calibri" w:hAnsi="Calibri" w:cs="Arial"/>
          <w:lang w:val="en-GB"/>
        </w:rPr>
        <w:t xml:space="preserve">symptoms of dystonic-choreoathetosis were reported by </w:t>
      </w:r>
      <w:r w:rsidR="00AB7B55">
        <w:rPr>
          <w:rFonts w:ascii="Calibri" w:hAnsi="Calibri" w:cs="Arial"/>
          <w:lang w:val="en-GB"/>
        </w:rPr>
        <w:t>primary physicians or patients</w:t>
      </w:r>
      <w:r w:rsidR="00EF1F5E">
        <w:rPr>
          <w:rFonts w:ascii="Calibri" w:hAnsi="Calibri" w:cs="Arial"/>
          <w:lang w:val="en-GB"/>
        </w:rPr>
        <w:t xml:space="preserve"> </w:t>
      </w:r>
      <w:r w:rsidR="00EF1F5E" w:rsidRPr="009D4EEE">
        <w:rPr>
          <w:rFonts w:ascii="Calibri" w:hAnsi="Calibri" w:cs="Arial"/>
          <w:lang w:val="en-GB"/>
        </w:rPr>
        <w:t>in two thirds and remain</w:t>
      </w:r>
      <w:r w:rsidR="00EF1F5E">
        <w:rPr>
          <w:rFonts w:ascii="Calibri" w:hAnsi="Calibri" w:cs="Arial"/>
          <w:lang w:val="en-GB"/>
        </w:rPr>
        <w:t xml:space="preserve">ed </w:t>
      </w:r>
      <w:r w:rsidR="00EF1F5E" w:rsidRPr="009D4EEE">
        <w:rPr>
          <w:rFonts w:ascii="Calibri" w:hAnsi="Calibri" w:cs="Arial"/>
          <w:lang w:val="en-GB"/>
        </w:rPr>
        <w:t>s</w:t>
      </w:r>
      <w:r w:rsidR="00EF1F5E">
        <w:rPr>
          <w:rFonts w:ascii="Calibri" w:hAnsi="Calibri" w:cs="Arial"/>
          <w:lang w:val="en-GB"/>
        </w:rPr>
        <w:t>evere</w:t>
      </w:r>
      <w:r w:rsidR="00EF1F5E" w:rsidRPr="009D4EEE">
        <w:rPr>
          <w:rFonts w:ascii="Calibri" w:hAnsi="Calibri" w:cs="Arial"/>
          <w:lang w:val="en-GB"/>
        </w:rPr>
        <w:t xml:space="preserve"> in the remaining third of </w:t>
      </w:r>
      <w:r w:rsidR="00EF1F5E">
        <w:rPr>
          <w:rFonts w:ascii="Calibri" w:hAnsi="Calibri" w:cs="Arial"/>
          <w:lang w:val="en-GB"/>
        </w:rPr>
        <w:t>279 children</w:t>
      </w:r>
      <w:r w:rsidR="00210802">
        <w:rPr>
          <w:rFonts w:ascii="Calibri" w:hAnsi="Calibri" w:cs="Arial"/>
          <w:lang w:val="en-GB"/>
        </w:rPr>
        <w:t xml:space="preserve"> referred to the </w:t>
      </w:r>
      <w:r w:rsidR="00210802" w:rsidRPr="006C01C9">
        <w:rPr>
          <w:rFonts w:ascii="Calibri" w:hAnsi="Calibri" w:cs="Arial"/>
          <w:lang w:val="en-GB"/>
        </w:rPr>
        <w:t>Complex Motor Disord</w:t>
      </w:r>
      <w:r w:rsidR="00210802" w:rsidRPr="009D4EEE">
        <w:rPr>
          <w:rFonts w:ascii="Calibri" w:hAnsi="Calibri" w:cs="Arial"/>
          <w:lang w:val="en-GB"/>
        </w:rPr>
        <w:t>ers Service (CMDS)</w:t>
      </w:r>
      <w:r w:rsidR="00EF1F5E">
        <w:rPr>
          <w:rFonts w:ascii="Calibri" w:hAnsi="Calibri" w:cs="Arial"/>
          <w:lang w:val="en-GB"/>
        </w:rPr>
        <w:t>,</w:t>
      </w:r>
      <w:r w:rsidR="00EF1F5E" w:rsidRPr="009D4EEE">
        <w:rPr>
          <w:rFonts w:ascii="Calibri" w:hAnsi="Calibri" w:cs="Arial"/>
          <w:lang w:val="en-GB"/>
        </w:rPr>
        <w:t xml:space="preserve"> irrespective of the cause</w:t>
      </w:r>
      <w:r w:rsidR="00EF1F5E">
        <w:rPr>
          <w:rFonts w:ascii="Calibri" w:hAnsi="Calibri" w:cs="Arial"/>
          <w:lang w:val="en-GB"/>
        </w:rPr>
        <w:t xml:space="preserve"> or management at the time of referral</w:t>
      </w:r>
      <w:r w:rsidR="00A45FD3">
        <w:rPr>
          <w:rFonts w:ascii="Calibri" w:hAnsi="Calibri"/>
          <w:b/>
          <w:color w:val="FF0000"/>
          <w:vertAlign w:val="superscript"/>
          <w:lang w:val="en-GB"/>
        </w:rPr>
        <w:t>2</w:t>
      </w:r>
      <w:r w:rsidR="00EF1F5E" w:rsidRPr="009D4EEE">
        <w:rPr>
          <w:rFonts w:ascii="Calibri" w:hAnsi="Calibri" w:cs="Arial"/>
          <w:lang w:val="en-GB"/>
        </w:rPr>
        <w:t>.</w:t>
      </w:r>
      <w:r w:rsidR="00EF1F5E">
        <w:rPr>
          <w:rFonts w:ascii="Calibri" w:hAnsi="Calibri" w:cs="Arial"/>
          <w:lang w:val="en-GB"/>
        </w:rPr>
        <w:t xml:space="preserve"> </w:t>
      </w:r>
      <w:r w:rsidR="00566C55">
        <w:rPr>
          <w:rFonts w:ascii="Calibri" w:hAnsi="Calibri" w:cs="Arial"/>
          <w:lang w:val="en-GB"/>
        </w:rPr>
        <w:t xml:space="preserve">Dyskinetic CP is further divided </w:t>
      </w:r>
      <w:r w:rsidR="00E65626">
        <w:rPr>
          <w:rFonts w:ascii="Calibri" w:hAnsi="Calibri" w:cs="Arial"/>
          <w:lang w:val="en-GB"/>
        </w:rPr>
        <w:t>i</w:t>
      </w:r>
      <w:r w:rsidR="00566C55">
        <w:rPr>
          <w:rFonts w:ascii="Calibri" w:hAnsi="Calibri" w:cs="Arial"/>
          <w:lang w:val="en-GB"/>
        </w:rPr>
        <w:t xml:space="preserve">nto </w:t>
      </w:r>
      <w:r w:rsidR="00E65626">
        <w:rPr>
          <w:rFonts w:ascii="Calibri" w:hAnsi="Calibri" w:cs="Arial"/>
          <w:lang w:val="en-GB"/>
        </w:rPr>
        <w:t xml:space="preserve">dystonia and/or </w:t>
      </w:r>
      <w:r w:rsidR="008F02E1">
        <w:rPr>
          <w:rFonts w:ascii="Calibri" w:hAnsi="Calibri" w:cs="Arial"/>
          <w:lang w:val="en-GB"/>
        </w:rPr>
        <w:t>choreoathetoid</w:t>
      </w:r>
      <w:r w:rsidR="00DB2093">
        <w:rPr>
          <w:rFonts w:ascii="Calibri" w:hAnsi="Calibri" w:cs="Arial"/>
          <w:lang w:val="en-GB"/>
        </w:rPr>
        <w:t xml:space="preserve"> </w:t>
      </w:r>
      <w:r w:rsidR="00566C55">
        <w:rPr>
          <w:rFonts w:ascii="Calibri" w:hAnsi="Calibri" w:cs="Arial"/>
          <w:lang w:val="en-GB"/>
        </w:rPr>
        <w:t>according to the Surveillance of Cerebral Palsy in Europe (SCPE)</w:t>
      </w:r>
      <w:r w:rsidR="00A45FD3">
        <w:rPr>
          <w:rFonts w:ascii="Calibri" w:hAnsi="Calibri"/>
          <w:b/>
          <w:color w:val="FF0000"/>
          <w:vertAlign w:val="superscript"/>
          <w:lang w:val="en-GB"/>
        </w:rPr>
        <w:t>3</w:t>
      </w:r>
      <w:r w:rsidR="00566C55">
        <w:rPr>
          <w:rFonts w:ascii="Calibri" w:hAnsi="Calibri" w:cs="Arial"/>
          <w:lang w:val="en-GB"/>
        </w:rPr>
        <w:t xml:space="preserve">. Both classifications are often used in the literature and for the purposes of this paper, the term hyperkinetic movement disorders will be used globally to refer to children and young people with dystonia, chorea, athetosis or any other unwanted excess movement independent of aetiology. </w:t>
      </w:r>
      <w:r w:rsidRPr="005F72C1">
        <w:rPr>
          <w:rFonts w:ascii="Calibri" w:hAnsi="Calibri" w:cs="Arial"/>
          <w:lang w:val="en-GB"/>
        </w:rPr>
        <w:t>It is important to have reliable means of measuring the severity of the hyperkinetic impairment and functional disability that can be used across all aetiologies for epidemiological, radiological, neurophysiological and therapeutic evaluation.</w:t>
      </w:r>
    </w:p>
    <w:p w14:paraId="4B682FE5" w14:textId="77777777" w:rsidR="00F702F7" w:rsidRDefault="00F702F7" w:rsidP="009E2DC8">
      <w:pPr>
        <w:autoSpaceDE w:val="0"/>
        <w:autoSpaceDN w:val="0"/>
        <w:adjustRightInd w:val="0"/>
        <w:spacing w:line="360" w:lineRule="auto"/>
        <w:jc w:val="both"/>
        <w:rPr>
          <w:rFonts w:ascii="Calibri" w:hAnsi="Calibri" w:cs="Arial"/>
          <w:lang w:val="en-GB"/>
        </w:rPr>
      </w:pPr>
    </w:p>
    <w:p w14:paraId="16F85C71" w14:textId="180710C3" w:rsidR="008B788A" w:rsidRDefault="00500B3A" w:rsidP="009E2DC8">
      <w:pPr>
        <w:autoSpaceDE w:val="0"/>
        <w:autoSpaceDN w:val="0"/>
        <w:adjustRightInd w:val="0"/>
        <w:spacing w:line="360" w:lineRule="auto"/>
        <w:jc w:val="both"/>
        <w:rPr>
          <w:rFonts w:ascii="Calibri" w:hAnsi="Calibri" w:cs="Arial"/>
          <w:lang w:val="en-GB"/>
        </w:rPr>
      </w:pPr>
      <w:r w:rsidRPr="00500B3A">
        <w:rPr>
          <w:rFonts w:ascii="Calibri" w:hAnsi="Calibri" w:cs="Arial"/>
          <w:lang w:val="en-GB"/>
        </w:rPr>
        <w:t>Dystonia has often been classified on the basis of aetiology. Primary dystonias are those in which dystonia is the only neurological feature, with normal neuroimaging. "Primary-Plus" dystonia describe</w:t>
      </w:r>
      <w:r w:rsidR="000F231E">
        <w:rPr>
          <w:rFonts w:ascii="Calibri" w:hAnsi="Calibri" w:cs="Arial"/>
          <w:lang w:val="en-GB"/>
        </w:rPr>
        <w:t>s</w:t>
      </w:r>
      <w:r w:rsidRPr="00500B3A">
        <w:rPr>
          <w:rFonts w:ascii="Calibri" w:hAnsi="Calibri" w:cs="Arial"/>
          <w:lang w:val="en-GB"/>
        </w:rPr>
        <w:t xml:space="preserve"> primary dystonias wit</w:t>
      </w:r>
      <w:r w:rsidR="000F231E">
        <w:rPr>
          <w:rFonts w:ascii="Calibri" w:hAnsi="Calibri" w:cs="Arial"/>
          <w:lang w:val="en-GB"/>
        </w:rPr>
        <w:t>h additional movement disorders</w:t>
      </w:r>
      <w:r w:rsidRPr="00500B3A">
        <w:rPr>
          <w:rFonts w:ascii="Calibri" w:hAnsi="Calibri" w:cs="Arial"/>
          <w:lang w:val="en-GB"/>
        </w:rPr>
        <w:t xml:space="preserve"> </w:t>
      </w:r>
      <w:r w:rsidR="000F231E">
        <w:rPr>
          <w:rFonts w:ascii="Calibri" w:hAnsi="Calibri" w:cs="Arial"/>
          <w:lang w:val="en-GB"/>
        </w:rPr>
        <w:t>(</w:t>
      </w:r>
      <w:r w:rsidRPr="00500B3A">
        <w:rPr>
          <w:rFonts w:ascii="Calibri" w:hAnsi="Calibri" w:cs="Arial"/>
          <w:lang w:val="en-GB"/>
        </w:rPr>
        <w:t>e.g Myoclonus-dystonia</w:t>
      </w:r>
      <w:r w:rsidR="000F231E">
        <w:rPr>
          <w:rFonts w:ascii="Calibri" w:hAnsi="Calibri" w:cs="Arial"/>
          <w:lang w:val="en-GB"/>
        </w:rPr>
        <w:t>=</w:t>
      </w:r>
      <w:r w:rsidRPr="00500B3A">
        <w:rPr>
          <w:rFonts w:ascii="Calibri" w:hAnsi="Calibri" w:cs="Arial"/>
          <w:lang w:val="en-GB"/>
        </w:rPr>
        <w:t xml:space="preserve">. Secondary dystonias are symptomatic disorders, arising due to a structural or metabolic perturbation of the brain. We </w:t>
      </w:r>
      <w:r w:rsidR="000F231E">
        <w:rPr>
          <w:rFonts w:ascii="Calibri" w:hAnsi="Calibri" w:cs="Arial"/>
          <w:lang w:val="en-GB"/>
        </w:rPr>
        <w:t>further</w:t>
      </w:r>
      <w:r w:rsidRPr="00500B3A">
        <w:rPr>
          <w:rFonts w:ascii="Calibri" w:hAnsi="Calibri" w:cs="Arial"/>
          <w:lang w:val="en-GB"/>
        </w:rPr>
        <w:t xml:space="preserve"> sub-divide these into those due to a static injury to the brain and those due to an underlying progressive condition (e.g. </w:t>
      </w:r>
      <w:r w:rsidR="00690898" w:rsidRPr="00500B3A">
        <w:rPr>
          <w:rFonts w:ascii="Calibri" w:hAnsi="Calibri" w:cs="Arial"/>
          <w:lang w:val="en-GB"/>
        </w:rPr>
        <w:t>neuronal</w:t>
      </w:r>
      <w:r w:rsidRPr="00500B3A">
        <w:rPr>
          <w:rFonts w:ascii="Calibri" w:hAnsi="Calibri" w:cs="Arial"/>
          <w:lang w:val="en-GB"/>
        </w:rPr>
        <w:t xml:space="preserve"> degeneration with brain iron accumulation).</w:t>
      </w:r>
    </w:p>
    <w:p w14:paraId="73C7EE66" w14:textId="77777777" w:rsidR="00500B3A" w:rsidRPr="009D4EEE" w:rsidRDefault="00500B3A" w:rsidP="009E2DC8">
      <w:pPr>
        <w:autoSpaceDE w:val="0"/>
        <w:autoSpaceDN w:val="0"/>
        <w:adjustRightInd w:val="0"/>
        <w:spacing w:line="360" w:lineRule="auto"/>
        <w:jc w:val="both"/>
        <w:rPr>
          <w:rFonts w:ascii="Calibri" w:hAnsi="Calibri" w:cs="Arial"/>
          <w:lang w:val="en-GB"/>
        </w:rPr>
      </w:pPr>
    </w:p>
    <w:p w14:paraId="50FF2707" w14:textId="3D484361" w:rsidR="00F702F7" w:rsidRDefault="00F702F7" w:rsidP="009E2DC8">
      <w:pPr>
        <w:autoSpaceDE w:val="0"/>
        <w:autoSpaceDN w:val="0"/>
        <w:adjustRightInd w:val="0"/>
        <w:spacing w:line="360" w:lineRule="auto"/>
        <w:jc w:val="both"/>
        <w:rPr>
          <w:rFonts w:ascii="Calibri" w:hAnsi="Calibri" w:cs="Arial"/>
          <w:lang w:val="en-GB"/>
        </w:rPr>
      </w:pPr>
      <w:r w:rsidRPr="005F72C1">
        <w:rPr>
          <w:rFonts w:ascii="Calibri" w:hAnsi="Calibri" w:cs="Arial"/>
          <w:lang w:val="en-GB"/>
        </w:rPr>
        <w:t>HMDs present with varying impairment severity, functional capacity, participation, independence, care provision, and Quality of Life. Clinical presentations may evolve over time and differentiation of the different movement disorders poses clinical challenges</w:t>
      </w:r>
      <w:r w:rsidR="00107CDE">
        <w:rPr>
          <w:rFonts w:ascii="Calibri" w:hAnsi="Calibri"/>
          <w:b/>
          <w:color w:val="FF0000"/>
          <w:vertAlign w:val="superscript"/>
          <w:lang w:val="en-GB"/>
        </w:rPr>
        <w:t>4</w:t>
      </w:r>
      <w:r w:rsidRPr="005F72C1">
        <w:rPr>
          <w:rFonts w:ascii="Calibri" w:hAnsi="Calibri" w:cs="Arial"/>
          <w:lang w:val="en-GB"/>
        </w:rPr>
        <w:t>. The use of aetiological categories to describe cohorts of children with HMD</w:t>
      </w:r>
      <w:r>
        <w:rPr>
          <w:rFonts w:ascii="Calibri" w:hAnsi="Calibri" w:cs="Arial"/>
          <w:lang w:val="en-GB"/>
        </w:rPr>
        <w:t>s</w:t>
      </w:r>
      <w:r w:rsidRPr="005F72C1">
        <w:rPr>
          <w:rFonts w:ascii="Calibri" w:hAnsi="Calibri" w:cs="Arial"/>
          <w:lang w:val="en-GB"/>
        </w:rPr>
        <w:t xml:space="preserve"> provides little informa</w:t>
      </w:r>
      <w:r w:rsidR="00AE085D">
        <w:rPr>
          <w:rFonts w:ascii="Calibri" w:hAnsi="Calibri" w:cs="Arial"/>
          <w:lang w:val="en-GB"/>
        </w:rPr>
        <w:t>tion on functional limitations</w:t>
      </w:r>
      <w:r w:rsidR="00107CDE">
        <w:rPr>
          <w:rFonts w:ascii="Calibri" w:hAnsi="Calibri"/>
          <w:b/>
          <w:color w:val="FF0000"/>
          <w:vertAlign w:val="superscript"/>
          <w:lang w:val="en-GB"/>
        </w:rPr>
        <w:t>5</w:t>
      </w:r>
      <w:r w:rsidRPr="005F72C1">
        <w:rPr>
          <w:rFonts w:ascii="Calibri" w:hAnsi="Calibri" w:cs="Arial"/>
          <w:lang w:val="en-GB"/>
        </w:rPr>
        <w:t>.</w:t>
      </w:r>
    </w:p>
    <w:p w14:paraId="6789186C" w14:textId="77777777" w:rsidR="00F702F7" w:rsidRPr="009D4EEE" w:rsidRDefault="00F702F7" w:rsidP="009E2DC8">
      <w:pPr>
        <w:autoSpaceDE w:val="0"/>
        <w:autoSpaceDN w:val="0"/>
        <w:adjustRightInd w:val="0"/>
        <w:spacing w:line="360" w:lineRule="auto"/>
        <w:jc w:val="both"/>
        <w:rPr>
          <w:rFonts w:ascii="Calibri" w:hAnsi="Calibri" w:cs="Arial"/>
          <w:lang w:val="en-GB"/>
        </w:rPr>
      </w:pPr>
    </w:p>
    <w:p w14:paraId="32416E8B" w14:textId="275BF5F1" w:rsidR="009C3CEA" w:rsidRDefault="00F702F7" w:rsidP="00C05033">
      <w:pPr>
        <w:autoSpaceDE w:val="0"/>
        <w:autoSpaceDN w:val="0"/>
        <w:adjustRightInd w:val="0"/>
        <w:spacing w:line="360" w:lineRule="auto"/>
        <w:jc w:val="both"/>
        <w:rPr>
          <w:highlight w:val="yellow"/>
        </w:rPr>
      </w:pPr>
      <w:r w:rsidRPr="009D4EEE">
        <w:rPr>
          <w:rFonts w:ascii="Calibri" w:hAnsi="Calibri" w:cs="Arial"/>
          <w:lang w:val="en-GB"/>
        </w:rPr>
        <w:lastRenderedPageBreak/>
        <w:t>Interventions for children with HMD</w:t>
      </w:r>
      <w:r>
        <w:rPr>
          <w:rFonts w:ascii="Calibri" w:hAnsi="Calibri" w:cs="Arial"/>
          <w:lang w:val="en-GB"/>
        </w:rPr>
        <w:t>s</w:t>
      </w:r>
      <w:r w:rsidRPr="009D4EEE">
        <w:rPr>
          <w:rFonts w:ascii="Calibri" w:hAnsi="Calibri" w:cs="Arial"/>
          <w:lang w:val="en-GB"/>
        </w:rPr>
        <w:t xml:space="preserve"> are frequently evaluated using impairment scales developed for adults. The Burke-Fahn-Marsden Dystonia Rating Scale-</w:t>
      </w:r>
      <w:r>
        <w:rPr>
          <w:rFonts w:ascii="Calibri" w:hAnsi="Calibri" w:cs="Arial"/>
          <w:lang w:val="en-GB"/>
        </w:rPr>
        <w:t>Movement</w:t>
      </w:r>
      <w:r w:rsidRPr="009D4EEE">
        <w:rPr>
          <w:rFonts w:ascii="Calibri" w:hAnsi="Calibri" w:cs="Arial"/>
          <w:lang w:val="en-GB"/>
        </w:rPr>
        <w:t xml:space="preserve"> (BFM-M) has been </w:t>
      </w:r>
      <w:r w:rsidRPr="00115CA9">
        <w:rPr>
          <w:rFonts w:ascii="Calibri" w:hAnsi="Calibri" w:cs="Arial"/>
          <w:lang w:val="en-GB"/>
        </w:rPr>
        <w:t>used as the primary outcome measure in many studies evaluating the role of DBS for paediatric dystonia</w:t>
      </w:r>
      <w:r w:rsidR="00107CDE">
        <w:rPr>
          <w:rFonts w:ascii="Calibri" w:hAnsi="Calibri"/>
          <w:b/>
          <w:color w:val="FF0000"/>
          <w:vertAlign w:val="superscript"/>
          <w:lang w:val="en-GB"/>
        </w:rPr>
        <w:t>4</w:t>
      </w:r>
      <w:r w:rsidR="00AE085D" w:rsidRPr="00322FFA">
        <w:rPr>
          <w:rFonts w:ascii="Calibri" w:hAnsi="Calibri"/>
          <w:b/>
          <w:color w:val="FF0000"/>
          <w:vertAlign w:val="superscript"/>
          <w:lang w:val="en-GB"/>
        </w:rPr>
        <w:t>,</w:t>
      </w:r>
      <w:r w:rsidR="00107CDE">
        <w:rPr>
          <w:rFonts w:ascii="Calibri" w:hAnsi="Calibri"/>
          <w:b/>
          <w:color w:val="FF0000"/>
          <w:vertAlign w:val="superscript"/>
          <w:lang w:val="en-GB"/>
        </w:rPr>
        <w:t>6</w:t>
      </w:r>
      <w:r w:rsidR="00AE085D" w:rsidRPr="00322FFA">
        <w:rPr>
          <w:rFonts w:ascii="Calibri" w:hAnsi="Calibri"/>
          <w:b/>
          <w:color w:val="FF0000"/>
          <w:vertAlign w:val="superscript"/>
          <w:lang w:val="en-GB"/>
        </w:rPr>
        <w:t>-</w:t>
      </w:r>
      <w:r w:rsidR="00F948A2">
        <w:rPr>
          <w:rFonts w:ascii="Calibri" w:hAnsi="Calibri"/>
          <w:b/>
          <w:color w:val="FF0000"/>
          <w:vertAlign w:val="superscript"/>
          <w:lang w:val="en-GB"/>
        </w:rPr>
        <w:t>13</w:t>
      </w:r>
      <w:r w:rsidRPr="00115CA9">
        <w:rPr>
          <w:rFonts w:ascii="Calibri" w:hAnsi="Calibri" w:cs="Arial"/>
          <w:lang w:val="en-GB"/>
        </w:rPr>
        <w:t>, but has</w:t>
      </w:r>
      <w:r w:rsidRPr="00791F76">
        <w:rPr>
          <w:rFonts w:ascii="Calibri" w:hAnsi="Calibri" w:cs="Arial"/>
          <w:lang w:val="en-GB"/>
        </w:rPr>
        <w:t xml:space="preserve"> been reported as having limited</w:t>
      </w:r>
      <w:r w:rsidRPr="009D4EEE">
        <w:rPr>
          <w:rFonts w:ascii="Calibri" w:hAnsi="Calibri" w:cs="Arial"/>
          <w:lang w:val="en-GB"/>
        </w:rPr>
        <w:t xml:space="preserve"> sensitivity when applied to children</w:t>
      </w:r>
      <w:r w:rsidR="009D12C1">
        <w:rPr>
          <w:rFonts w:ascii="Calibri" w:hAnsi="Calibri"/>
          <w:b/>
          <w:color w:val="FF0000"/>
          <w:vertAlign w:val="superscript"/>
          <w:lang w:val="en-GB"/>
        </w:rPr>
        <w:t>16</w:t>
      </w:r>
      <w:r w:rsidRPr="009D4EEE">
        <w:rPr>
          <w:rFonts w:ascii="Calibri" w:hAnsi="Calibri" w:cs="Arial"/>
          <w:lang w:val="en-GB"/>
        </w:rPr>
        <w:t xml:space="preserve">. Such scales rate the presence and severity of involuntary movements, </w:t>
      </w:r>
      <w:r w:rsidR="00FA09AD">
        <w:rPr>
          <w:rFonts w:ascii="Calibri" w:hAnsi="Calibri" w:cs="Arial"/>
          <w:lang w:val="en-GB"/>
        </w:rPr>
        <w:t>but confuse</w:t>
      </w:r>
      <w:r w:rsidRPr="009D4EEE">
        <w:rPr>
          <w:rFonts w:ascii="Calibri" w:hAnsi="Calibri" w:cs="Arial"/>
          <w:lang w:val="en-GB"/>
        </w:rPr>
        <w:t xml:space="preserve"> symptoms with disabilities while ignoring the contribution of other co-existing </w:t>
      </w:r>
      <w:r w:rsidRPr="00AE085D">
        <w:rPr>
          <w:rFonts w:ascii="Calibri" w:hAnsi="Calibri" w:cs="Arial"/>
          <w:lang w:val="en-GB"/>
        </w:rPr>
        <w:t>impairments to functional difficulties</w:t>
      </w:r>
      <w:r w:rsidR="00AE085D" w:rsidRPr="00322FFA">
        <w:rPr>
          <w:rFonts w:ascii="Calibri" w:hAnsi="Calibri"/>
          <w:b/>
          <w:color w:val="FF0000"/>
          <w:vertAlign w:val="superscript"/>
          <w:lang w:val="en-GB"/>
        </w:rPr>
        <w:t>1</w:t>
      </w:r>
      <w:r w:rsidRPr="00322FFA">
        <w:rPr>
          <w:rFonts w:ascii="Calibri" w:hAnsi="Calibri"/>
          <w:b/>
          <w:color w:val="FF0000"/>
          <w:vertAlign w:val="superscript"/>
          <w:lang w:val="en-GB"/>
        </w:rPr>
        <w:t>,</w:t>
      </w:r>
      <w:r w:rsidR="00107CDE">
        <w:rPr>
          <w:rFonts w:ascii="Calibri" w:hAnsi="Calibri"/>
          <w:b/>
          <w:color w:val="FF0000"/>
          <w:vertAlign w:val="superscript"/>
          <w:lang w:val="en-GB"/>
        </w:rPr>
        <w:t>5</w:t>
      </w:r>
      <w:r w:rsidRPr="00AE085D">
        <w:rPr>
          <w:rFonts w:ascii="Calibri" w:hAnsi="Calibri" w:cs="Arial"/>
          <w:lang w:val="en-GB"/>
        </w:rPr>
        <w:t>.</w:t>
      </w:r>
      <w:r w:rsidR="008B788A">
        <w:rPr>
          <w:rFonts w:ascii="Calibri" w:hAnsi="Calibri" w:cs="Arial"/>
          <w:lang w:val="en-GB"/>
        </w:rPr>
        <w:t xml:space="preserve"> </w:t>
      </w:r>
      <w:r w:rsidR="00591866" w:rsidRPr="00591866">
        <w:rPr>
          <w:rFonts w:ascii="Calibri" w:hAnsi="Calibri" w:cs="Arial"/>
          <w:lang w:val="en-GB"/>
        </w:rPr>
        <w:t>The BFM-M score might be equal for two children</w:t>
      </w:r>
      <w:r w:rsidR="00591866">
        <w:rPr>
          <w:rFonts w:ascii="Calibri" w:hAnsi="Calibri" w:cs="Arial"/>
          <w:lang w:val="en-GB"/>
        </w:rPr>
        <w:t>,</w:t>
      </w:r>
      <w:r w:rsidR="00591866" w:rsidRPr="00591866">
        <w:rPr>
          <w:rFonts w:ascii="Calibri" w:hAnsi="Calibri" w:cs="Arial"/>
          <w:lang w:val="en-GB"/>
        </w:rPr>
        <w:t xml:space="preserve"> but may represent severe manual and cervical dystonia in one child and severe truncal and lower limb dystonia in another with very different functional consequences. The total BFM-M scores quoted in all the literature do not allow more detailed understanding of how the individual subject is actually affected, partly because it was an aim of the BFM-M to establish some sort of equivalence between dystonia severity in one part of the body and another for the purposes of group analysis. </w:t>
      </w:r>
      <w:r w:rsidR="008B788A">
        <w:rPr>
          <w:rFonts w:ascii="Calibri" w:hAnsi="Calibri" w:cs="Arial"/>
          <w:lang w:val="en-GB"/>
        </w:rPr>
        <w:t>The BFM-M ranges from 0-120</w:t>
      </w:r>
      <w:r w:rsidR="001B5C03">
        <w:rPr>
          <w:rFonts w:ascii="Calibri" w:hAnsi="Calibri" w:cs="Arial"/>
          <w:lang w:val="en-GB"/>
        </w:rPr>
        <w:t xml:space="preserve"> </w:t>
      </w:r>
      <w:r w:rsidR="008B788A">
        <w:rPr>
          <w:rFonts w:ascii="Calibri" w:hAnsi="Calibri" w:cs="Arial"/>
          <w:lang w:val="en-GB"/>
        </w:rPr>
        <w:t xml:space="preserve">and is scored by the rater </w:t>
      </w:r>
      <w:r w:rsidR="00981899">
        <w:rPr>
          <w:rFonts w:ascii="Calibri" w:hAnsi="Calibri" w:cs="Arial"/>
          <w:lang w:val="en-GB"/>
        </w:rPr>
        <w:t xml:space="preserve">from standardised </w:t>
      </w:r>
      <w:r w:rsidR="00591866">
        <w:rPr>
          <w:rFonts w:ascii="Calibri" w:hAnsi="Calibri" w:cs="Arial"/>
          <w:lang w:val="en-GB"/>
        </w:rPr>
        <w:t>video clips,</w:t>
      </w:r>
      <w:r w:rsidR="00981899">
        <w:rPr>
          <w:rFonts w:ascii="Calibri" w:hAnsi="Calibri" w:cs="Arial"/>
          <w:lang w:val="en-GB"/>
        </w:rPr>
        <w:t xml:space="preserve"> </w:t>
      </w:r>
      <w:r w:rsidR="008B788A">
        <w:rPr>
          <w:rFonts w:ascii="Calibri" w:hAnsi="Calibri" w:cs="Arial"/>
          <w:lang w:val="en-GB"/>
        </w:rPr>
        <w:t>whilst the disability scale (BFM-D) ranges from 1-30 and measures patient/carer reported disability score.</w:t>
      </w:r>
      <w:r w:rsidRPr="00AE085D">
        <w:rPr>
          <w:rFonts w:ascii="Calibri" w:hAnsi="Calibri" w:cs="Arial"/>
          <w:lang w:val="en-GB"/>
        </w:rPr>
        <w:t xml:space="preserve"> </w:t>
      </w:r>
      <w:r w:rsidR="001B5C03">
        <w:rPr>
          <w:rFonts w:ascii="Calibri" w:hAnsi="Calibri" w:cs="Arial"/>
          <w:lang w:val="en-GB"/>
        </w:rPr>
        <w:t xml:space="preserve">Higher values indicate </w:t>
      </w:r>
      <w:r w:rsidR="00646737">
        <w:rPr>
          <w:rFonts w:ascii="Calibri" w:hAnsi="Calibri" w:cs="Arial"/>
          <w:lang w:val="en-GB"/>
        </w:rPr>
        <w:t xml:space="preserve">more </w:t>
      </w:r>
      <w:r w:rsidR="001B5C03">
        <w:rPr>
          <w:rFonts w:ascii="Calibri" w:hAnsi="Calibri" w:cs="Arial"/>
          <w:lang w:val="en-GB"/>
        </w:rPr>
        <w:t>sever</w:t>
      </w:r>
      <w:r w:rsidR="00646737">
        <w:rPr>
          <w:rFonts w:ascii="Calibri" w:hAnsi="Calibri" w:cs="Arial"/>
          <w:lang w:val="en-GB"/>
        </w:rPr>
        <w:t xml:space="preserve">e </w:t>
      </w:r>
      <w:r w:rsidR="009317F8">
        <w:rPr>
          <w:rFonts w:ascii="Calibri" w:hAnsi="Calibri" w:cs="Arial"/>
          <w:lang w:val="en-GB"/>
        </w:rPr>
        <w:t>dystonia</w:t>
      </w:r>
      <w:r w:rsidR="001B5C03">
        <w:rPr>
          <w:rFonts w:ascii="Calibri" w:hAnsi="Calibri" w:cs="Arial"/>
          <w:lang w:val="en-GB"/>
        </w:rPr>
        <w:t xml:space="preserve"> in both cases.</w:t>
      </w:r>
    </w:p>
    <w:p w14:paraId="133A9594" w14:textId="77777777" w:rsidR="009C3CEA" w:rsidRPr="008D7501" w:rsidRDefault="009C3CEA" w:rsidP="00C05033">
      <w:pPr>
        <w:autoSpaceDE w:val="0"/>
        <w:autoSpaceDN w:val="0"/>
        <w:adjustRightInd w:val="0"/>
        <w:spacing w:line="360" w:lineRule="auto"/>
        <w:jc w:val="both"/>
        <w:rPr>
          <w:rFonts w:ascii="Calibri" w:hAnsi="Calibri" w:cs="Arial"/>
          <w:lang w:val="en-GB"/>
        </w:rPr>
      </w:pPr>
    </w:p>
    <w:p w14:paraId="49890264" w14:textId="20A068C8" w:rsidR="009C3CEA" w:rsidRDefault="00981899" w:rsidP="00C05033">
      <w:pPr>
        <w:autoSpaceDE w:val="0"/>
        <w:autoSpaceDN w:val="0"/>
        <w:adjustRightInd w:val="0"/>
        <w:spacing w:line="360" w:lineRule="auto"/>
        <w:jc w:val="both"/>
        <w:rPr>
          <w:rFonts w:ascii="Calibri" w:hAnsi="Calibri" w:cs="Arial"/>
          <w:lang w:val="en-GB"/>
        </w:rPr>
      </w:pPr>
      <w:r w:rsidRPr="008D7501">
        <w:rPr>
          <w:rFonts w:ascii="Calibri" w:hAnsi="Calibri" w:cs="Arial"/>
          <w:lang w:val="en-GB"/>
        </w:rPr>
        <w:t>D</w:t>
      </w:r>
      <w:r w:rsidR="009C3CEA" w:rsidRPr="008D7501">
        <w:rPr>
          <w:rFonts w:ascii="Calibri" w:hAnsi="Calibri" w:cs="Arial"/>
          <w:lang w:val="en-GB"/>
        </w:rPr>
        <w:t xml:space="preserve">espite the many limitations of a scale developed for primary dystonias and with limited reliability testing available, </w:t>
      </w:r>
      <w:r w:rsidRPr="008D7501">
        <w:rPr>
          <w:rFonts w:ascii="Calibri" w:hAnsi="Calibri" w:cs="Arial"/>
          <w:lang w:val="en-GB"/>
        </w:rPr>
        <w:t>use of the BFM-M is</w:t>
      </w:r>
      <w:r w:rsidR="009C3CEA" w:rsidRPr="008D7501">
        <w:rPr>
          <w:rFonts w:ascii="Calibri" w:hAnsi="Calibri" w:cs="Arial"/>
          <w:lang w:val="en-GB"/>
        </w:rPr>
        <w:t xml:space="preserve"> a practice guideline requirement for interventional studies</w:t>
      </w:r>
      <w:r w:rsidRPr="008D7501">
        <w:rPr>
          <w:rFonts w:ascii="Calibri" w:hAnsi="Calibri" w:cs="Arial"/>
          <w:lang w:val="en-GB"/>
        </w:rPr>
        <w:t xml:space="preserve"> in dystonia</w:t>
      </w:r>
      <w:r w:rsidR="009C3CEA" w:rsidRPr="008D7501">
        <w:rPr>
          <w:rFonts w:ascii="Calibri" w:hAnsi="Calibri" w:cs="Arial"/>
          <w:lang w:val="en-GB"/>
        </w:rPr>
        <w:t xml:space="preserve"> (UK national commissioning) and is often the main primary outcome measure </w:t>
      </w:r>
      <w:r w:rsidRPr="008D7501">
        <w:rPr>
          <w:rFonts w:ascii="Calibri" w:hAnsi="Calibri" w:cs="Arial"/>
          <w:lang w:val="en-GB"/>
        </w:rPr>
        <w:t>in dystonia studies</w:t>
      </w:r>
      <w:r w:rsidR="009D12C1">
        <w:rPr>
          <w:rFonts w:ascii="Calibri" w:hAnsi="Calibri"/>
          <w:b/>
          <w:color w:val="FF0000"/>
          <w:vertAlign w:val="superscript"/>
          <w:lang w:val="en-GB"/>
        </w:rPr>
        <w:t>17</w:t>
      </w:r>
      <w:r w:rsidR="009C3CEA" w:rsidRPr="008D7501">
        <w:rPr>
          <w:rFonts w:ascii="Calibri" w:hAnsi="Calibri" w:cs="Arial"/>
          <w:lang w:val="en-GB"/>
        </w:rPr>
        <w:t xml:space="preserve">. </w:t>
      </w:r>
      <w:r w:rsidRPr="008D7501">
        <w:rPr>
          <w:rFonts w:ascii="Calibri" w:hAnsi="Calibri" w:cs="Arial"/>
          <w:lang w:val="en-GB"/>
        </w:rPr>
        <w:t>In</w:t>
      </w:r>
      <w:r w:rsidR="009C3CEA" w:rsidRPr="008D7501">
        <w:rPr>
          <w:rFonts w:ascii="Calibri" w:hAnsi="Calibri" w:cs="Arial"/>
          <w:lang w:val="en-GB"/>
        </w:rPr>
        <w:t xml:space="preserve"> dystonia research</w:t>
      </w:r>
      <w:r w:rsidRPr="008D7501">
        <w:rPr>
          <w:rFonts w:ascii="Calibri" w:hAnsi="Calibri" w:cs="Arial"/>
          <w:lang w:val="en-GB"/>
        </w:rPr>
        <w:t>,</w:t>
      </w:r>
      <w:r w:rsidR="009C3CEA" w:rsidRPr="008D7501">
        <w:rPr>
          <w:rFonts w:ascii="Calibri" w:hAnsi="Calibri" w:cs="Arial"/>
          <w:lang w:val="en-GB"/>
        </w:rPr>
        <w:t xml:space="preserve"> the BFM-M </w:t>
      </w:r>
      <w:r w:rsidRPr="008D7501">
        <w:rPr>
          <w:rFonts w:ascii="Calibri" w:hAnsi="Calibri" w:cs="Arial"/>
          <w:lang w:val="en-GB"/>
        </w:rPr>
        <w:t>is</w:t>
      </w:r>
      <w:r w:rsidR="009C3CEA" w:rsidRPr="008D7501">
        <w:rPr>
          <w:rFonts w:ascii="Calibri" w:hAnsi="Calibri" w:cs="Arial"/>
          <w:lang w:val="en-GB"/>
        </w:rPr>
        <w:t xml:space="preserve"> a gold standard against all </w:t>
      </w:r>
      <w:r w:rsidR="002F50B0">
        <w:rPr>
          <w:rFonts w:ascii="Calibri" w:hAnsi="Calibri" w:cs="Arial"/>
          <w:lang w:val="en-GB"/>
        </w:rPr>
        <w:t>measures</w:t>
      </w:r>
      <w:r w:rsidR="009C3CEA" w:rsidRPr="008D7501">
        <w:rPr>
          <w:rFonts w:ascii="Calibri" w:hAnsi="Calibri" w:cs="Arial"/>
          <w:lang w:val="en-GB"/>
        </w:rPr>
        <w:t xml:space="preserve"> of dystonia change must be compared. </w:t>
      </w:r>
      <w:r w:rsidRPr="008D7501">
        <w:rPr>
          <w:rFonts w:ascii="Calibri" w:hAnsi="Calibri" w:cs="Arial"/>
          <w:lang w:val="en-GB"/>
        </w:rPr>
        <w:t>Additional measures to</w:t>
      </w:r>
      <w:r w:rsidR="009C3CEA" w:rsidRPr="008D7501">
        <w:rPr>
          <w:rFonts w:ascii="Calibri" w:hAnsi="Calibri" w:cs="Arial"/>
          <w:lang w:val="en-GB"/>
        </w:rPr>
        <w:t xml:space="preserve"> the BFM-M </w:t>
      </w:r>
      <w:r w:rsidRPr="008D7501">
        <w:rPr>
          <w:rFonts w:ascii="Calibri" w:hAnsi="Calibri" w:cs="Arial"/>
          <w:lang w:val="en-GB"/>
        </w:rPr>
        <w:t>have also</w:t>
      </w:r>
      <w:r w:rsidR="009C3CEA" w:rsidRPr="008D7501">
        <w:rPr>
          <w:rFonts w:ascii="Calibri" w:hAnsi="Calibri" w:cs="Arial"/>
          <w:lang w:val="en-GB"/>
        </w:rPr>
        <w:t xml:space="preserve"> capture</w:t>
      </w:r>
      <w:r w:rsidRPr="008D7501">
        <w:rPr>
          <w:rFonts w:ascii="Calibri" w:hAnsi="Calibri" w:cs="Arial"/>
          <w:lang w:val="en-GB"/>
        </w:rPr>
        <w:t>d</w:t>
      </w:r>
      <w:r w:rsidR="009C3CEA" w:rsidRPr="008D7501">
        <w:rPr>
          <w:rFonts w:ascii="Calibri" w:hAnsi="Calibri" w:cs="Arial"/>
          <w:lang w:val="en-GB"/>
        </w:rPr>
        <w:t xml:space="preserve"> </w:t>
      </w:r>
      <w:r w:rsidRPr="008D7501">
        <w:rPr>
          <w:rFonts w:ascii="Calibri" w:hAnsi="Calibri" w:cs="Arial"/>
          <w:lang w:val="en-GB"/>
        </w:rPr>
        <w:t xml:space="preserve">meaningful clinical </w:t>
      </w:r>
      <w:r w:rsidR="009C3CEA" w:rsidRPr="008D7501">
        <w:rPr>
          <w:rFonts w:ascii="Calibri" w:hAnsi="Calibri" w:cs="Arial"/>
          <w:lang w:val="en-GB"/>
        </w:rPr>
        <w:t xml:space="preserve">change over time following </w:t>
      </w:r>
      <w:r w:rsidRPr="008D7501">
        <w:rPr>
          <w:rFonts w:ascii="Calibri" w:hAnsi="Calibri" w:cs="Arial"/>
          <w:lang w:val="en-GB"/>
        </w:rPr>
        <w:t>important interventions</w:t>
      </w:r>
      <w:r w:rsidR="002B45F7">
        <w:rPr>
          <w:rFonts w:ascii="Calibri" w:hAnsi="Calibri" w:cs="Arial"/>
          <w:lang w:val="en-GB"/>
        </w:rPr>
        <w:t>,</w:t>
      </w:r>
      <w:r w:rsidRPr="008D7501">
        <w:rPr>
          <w:rFonts w:ascii="Calibri" w:hAnsi="Calibri" w:cs="Arial"/>
          <w:lang w:val="en-GB"/>
        </w:rPr>
        <w:t xml:space="preserve"> such as </w:t>
      </w:r>
      <w:r w:rsidR="009C3CEA" w:rsidRPr="008D7501">
        <w:rPr>
          <w:rFonts w:ascii="Calibri" w:hAnsi="Calibri" w:cs="Arial"/>
          <w:lang w:val="en-GB"/>
        </w:rPr>
        <w:t>deep brain stimulation</w:t>
      </w:r>
      <w:r w:rsidR="00190B2B" w:rsidRPr="008D7501">
        <w:rPr>
          <w:rFonts w:ascii="Calibri" w:hAnsi="Calibri" w:cs="Arial"/>
          <w:lang w:val="en-GB"/>
        </w:rPr>
        <w:t>, despite little or no changes in the BFM-M</w:t>
      </w:r>
      <w:r w:rsidR="009D12C1">
        <w:rPr>
          <w:rFonts w:ascii="Calibri" w:hAnsi="Calibri"/>
          <w:b/>
          <w:color w:val="FF0000"/>
          <w:vertAlign w:val="superscript"/>
          <w:lang w:val="en-GB"/>
        </w:rPr>
        <w:t>14</w:t>
      </w:r>
      <w:r w:rsidR="00CB03D1">
        <w:rPr>
          <w:rFonts w:ascii="Calibri" w:hAnsi="Calibri"/>
          <w:b/>
          <w:color w:val="FF0000"/>
          <w:vertAlign w:val="superscript"/>
          <w:lang w:val="en-GB"/>
        </w:rPr>
        <w:t>,</w:t>
      </w:r>
      <w:r w:rsidR="009D12C1">
        <w:rPr>
          <w:rFonts w:ascii="Calibri" w:hAnsi="Calibri"/>
          <w:b/>
          <w:color w:val="FF0000"/>
          <w:vertAlign w:val="superscript"/>
          <w:lang w:val="en-GB"/>
        </w:rPr>
        <w:t>15</w:t>
      </w:r>
      <w:r w:rsidR="00CB03D1">
        <w:rPr>
          <w:rFonts w:ascii="Calibri" w:hAnsi="Calibri"/>
          <w:b/>
          <w:color w:val="FF0000"/>
          <w:vertAlign w:val="superscript"/>
          <w:lang w:val="en-GB"/>
        </w:rPr>
        <w:t>,</w:t>
      </w:r>
      <w:r w:rsidR="009D12C1">
        <w:rPr>
          <w:rFonts w:ascii="Calibri" w:hAnsi="Calibri"/>
          <w:b/>
          <w:color w:val="FF0000"/>
          <w:vertAlign w:val="superscript"/>
          <w:lang w:val="en-GB"/>
        </w:rPr>
        <w:t>17</w:t>
      </w:r>
      <w:r w:rsidR="009C3CEA" w:rsidRPr="008D7501">
        <w:rPr>
          <w:rFonts w:ascii="Calibri" w:hAnsi="Calibri" w:cs="Arial"/>
          <w:lang w:val="en-GB"/>
        </w:rPr>
        <w:t>.</w:t>
      </w:r>
      <w:r w:rsidR="00190B2B" w:rsidRPr="008D7501">
        <w:rPr>
          <w:rFonts w:ascii="Calibri" w:hAnsi="Calibri" w:cs="Arial"/>
          <w:lang w:val="en-GB"/>
        </w:rPr>
        <w:t xml:space="preserve"> </w:t>
      </w:r>
    </w:p>
    <w:p w14:paraId="4C0E9B48" w14:textId="77777777" w:rsidR="00D70470" w:rsidRPr="008D7501" w:rsidRDefault="00D70470" w:rsidP="00C05033">
      <w:pPr>
        <w:autoSpaceDE w:val="0"/>
        <w:autoSpaceDN w:val="0"/>
        <w:adjustRightInd w:val="0"/>
        <w:spacing w:line="360" w:lineRule="auto"/>
        <w:jc w:val="both"/>
        <w:rPr>
          <w:rFonts w:ascii="Calibri" w:hAnsi="Calibri" w:cs="Arial"/>
          <w:lang w:val="en-GB"/>
        </w:rPr>
      </w:pPr>
    </w:p>
    <w:p w14:paraId="63CED5F5" w14:textId="4276A14D" w:rsidR="00F702F7" w:rsidRDefault="00F702F7" w:rsidP="00791F76">
      <w:pPr>
        <w:autoSpaceDE w:val="0"/>
        <w:autoSpaceDN w:val="0"/>
        <w:adjustRightInd w:val="0"/>
        <w:spacing w:line="360" w:lineRule="auto"/>
        <w:jc w:val="both"/>
        <w:rPr>
          <w:rFonts w:ascii="Calibri" w:hAnsi="Calibri" w:cs="Arial"/>
          <w:lang w:val="en-GB" w:eastAsia="en-GB"/>
        </w:rPr>
      </w:pPr>
      <w:r w:rsidRPr="00FD4B1C">
        <w:rPr>
          <w:rFonts w:ascii="Calibri" w:hAnsi="Calibri" w:cs="Arial"/>
          <w:lang w:val="en-GB"/>
        </w:rPr>
        <w:t xml:space="preserve">Hidecker </w:t>
      </w:r>
      <w:r w:rsidR="00EF2F40" w:rsidRPr="00EF2F40">
        <w:rPr>
          <w:rFonts w:ascii="Calibri" w:hAnsi="Calibri" w:cs="Arial"/>
          <w:i/>
          <w:lang w:val="en-GB"/>
        </w:rPr>
        <w:t>et al</w:t>
      </w:r>
      <w:r w:rsidRPr="00FD4B1C">
        <w:rPr>
          <w:rFonts w:ascii="Calibri" w:hAnsi="Calibri" w:cs="Arial"/>
          <w:lang w:val="en-GB"/>
        </w:rPr>
        <w:t>.</w:t>
      </w:r>
      <w:r w:rsidR="009D12C1">
        <w:rPr>
          <w:rFonts w:ascii="Calibri" w:hAnsi="Calibri"/>
          <w:b/>
          <w:color w:val="FF0000"/>
          <w:vertAlign w:val="superscript"/>
          <w:lang w:val="en-GB"/>
        </w:rPr>
        <w:t>18</w:t>
      </w:r>
      <w:r w:rsidRPr="00FD4B1C">
        <w:rPr>
          <w:rFonts w:ascii="Calibri" w:hAnsi="Calibri" w:cs="Arial"/>
          <w:lang w:val="en-GB"/>
        </w:rPr>
        <w:t xml:space="preserve"> have advocated the need for functional profiling of children with</w:t>
      </w:r>
      <w:r w:rsidRPr="009D4EEE">
        <w:rPr>
          <w:rFonts w:ascii="Calibri" w:hAnsi="Calibri" w:cs="Arial"/>
          <w:lang w:val="en-GB"/>
        </w:rPr>
        <w:t xml:space="preserve"> CP and we believe this is also a priority for children with HMD</w:t>
      </w:r>
      <w:r>
        <w:rPr>
          <w:rFonts w:ascii="Calibri" w:hAnsi="Calibri" w:cs="Arial"/>
          <w:lang w:val="en-GB"/>
        </w:rPr>
        <w:t>s</w:t>
      </w:r>
      <w:r w:rsidRPr="009D4EEE">
        <w:rPr>
          <w:rFonts w:ascii="Calibri" w:hAnsi="Calibri" w:cs="Arial"/>
          <w:lang w:val="en-GB"/>
        </w:rPr>
        <w:t xml:space="preserve">. Two functional classification systems have been </w:t>
      </w:r>
      <w:r w:rsidRPr="009D4EEE">
        <w:rPr>
          <w:rFonts w:ascii="Calibri" w:hAnsi="Calibri" w:cs="Arial"/>
          <w:lang w:val="en-GB" w:eastAsia="en-GB"/>
        </w:rPr>
        <w:t>widely adopted in paediatric CP research and are increasingly incorporated into CP registry data sets to describe the severity of motor disability</w:t>
      </w:r>
      <w:r w:rsidRPr="009D4EEE">
        <w:rPr>
          <w:rFonts w:ascii="Calibri" w:hAnsi="Calibri" w:cs="Arial"/>
          <w:lang w:val="en-GB"/>
        </w:rPr>
        <w:t>: the Gross Motor Function</w:t>
      </w:r>
      <w:r w:rsidR="00836D40">
        <w:rPr>
          <w:rFonts w:ascii="Calibri" w:hAnsi="Calibri" w:cs="Arial"/>
          <w:lang w:val="en-GB"/>
        </w:rPr>
        <w:t xml:space="preserve"> Classification System</w:t>
      </w:r>
      <w:r w:rsidR="009D12C1">
        <w:rPr>
          <w:rFonts w:ascii="Calibri" w:hAnsi="Calibri"/>
          <w:b/>
          <w:color w:val="FF0000"/>
          <w:vertAlign w:val="superscript"/>
          <w:lang w:val="en-GB"/>
        </w:rPr>
        <w:t>19</w:t>
      </w:r>
      <w:r w:rsidR="00836D40">
        <w:rPr>
          <w:rFonts w:ascii="Calibri" w:hAnsi="Calibri" w:cs="Arial"/>
          <w:lang w:val="en-GB"/>
        </w:rPr>
        <w:t xml:space="preserve"> (GMFCS)</w:t>
      </w:r>
      <w:r w:rsidRPr="009D4EEE">
        <w:rPr>
          <w:rFonts w:ascii="Calibri" w:hAnsi="Calibri" w:cs="Arial"/>
          <w:lang w:val="en-GB"/>
        </w:rPr>
        <w:t xml:space="preserve"> and the Manual Abilit</w:t>
      </w:r>
      <w:r w:rsidR="00836D40">
        <w:rPr>
          <w:rFonts w:ascii="Calibri" w:hAnsi="Calibri" w:cs="Arial"/>
          <w:lang w:val="en-GB"/>
        </w:rPr>
        <w:t>y Classification System</w:t>
      </w:r>
      <w:r w:rsidR="009D12C1">
        <w:rPr>
          <w:rFonts w:ascii="Calibri" w:hAnsi="Calibri"/>
          <w:b/>
          <w:color w:val="FF0000"/>
          <w:vertAlign w:val="superscript"/>
          <w:lang w:val="en-GB"/>
        </w:rPr>
        <w:t>20</w:t>
      </w:r>
      <w:r w:rsidR="00836D40">
        <w:rPr>
          <w:rFonts w:ascii="Calibri" w:hAnsi="Calibri" w:cs="Arial"/>
          <w:lang w:val="en-GB"/>
        </w:rPr>
        <w:t xml:space="preserve"> (MACS)</w:t>
      </w:r>
      <w:r w:rsidRPr="009D4EEE">
        <w:rPr>
          <w:rFonts w:ascii="Calibri" w:hAnsi="Calibri" w:cs="Arial"/>
          <w:lang w:val="en-GB"/>
        </w:rPr>
        <w:t xml:space="preserve">. A third classification system, the Communication Function Classification System (CFCS), has </w:t>
      </w:r>
      <w:r w:rsidRPr="009D4EEE">
        <w:rPr>
          <w:rFonts w:ascii="Calibri" w:hAnsi="Calibri" w:cs="Arial"/>
          <w:lang w:val="en-GB"/>
        </w:rPr>
        <w:lastRenderedPageBreak/>
        <w:t>been more recently developed</w:t>
      </w:r>
      <w:r w:rsidR="009D12C1">
        <w:rPr>
          <w:rFonts w:ascii="Calibri" w:hAnsi="Calibri"/>
          <w:b/>
          <w:color w:val="FF0000"/>
          <w:vertAlign w:val="superscript"/>
          <w:lang w:val="en-GB"/>
        </w:rPr>
        <w:t>21</w:t>
      </w:r>
      <w:r w:rsidRPr="009D4EEE">
        <w:rPr>
          <w:rFonts w:ascii="Calibri" w:hAnsi="Calibri" w:cs="Arial"/>
          <w:lang w:val="en-GB"/>
        </w:rPr>
        <w:t xml:space="preserve">. </w:t>
      </w:r>
      <w:r w:rsidRPr="00791F76">
        <w:rPr>
          <w:rFonts w:ascii="Calibri" w:hAnsi="Calibri" w:cs="Arial"/>
          <w:lang w:val="en-GB" w:eastAsia="en-GB"/>
        </w:rPr>
        <w:t xml:space="preserve">The reliability </w:t>
      </w:r>
      <w:r>
        <w:rPr>
          <w:rFonts w:ascii="Calibri" w:hAnsi="Calibri" w:cs="Arial"/>
          <w:lang w:val="en-GB" w:eastAsia="en-GB"/>
        </w:rPr>
        <w:t>and</w:t>
      </w:r>
      <w:r w:rsidRPr="00791F76">
        <w:rPr>
          <w:rFonts w:ascii="Calibri" w:hAnsi="Calibri" w:cs="Arial"/>
          <w:lang w:val="en-GB" w:eastAsia="en-GB"/>
        </w:rPr>
        <w:t xml:space="preserve"> </w:t>
      </w:r>
      <w:r>
        <w:rPr>
          <w:rFonts w:ascii="Calibri" w:hAnsi="Calibri" w:cs="Arial"/>
          <w:lang w:val="en-GB" w:eastAsia="en-GB"/>
        </w:rPr>
        <w:t xml:space="preserve">utility </w:t>
      </w:r>
      <w:r w:rsidRPr="00791F76">
        <w:rPr>
          <w:rFonts w:ascii="Calibri" w:hAnsi="Calibri" w:cs="Arial"/>
          <w:lang w:val="en-GB" w:eastAsia="en-GB"/>
        </w:rPr>
        <w:t>of each classification system; clinical applicability as tools for research, and their uptake has recently been reviewed</w:t>
      </w:r>
      <w:r w:rsidR="009D12C1">
        <w:rPr>
          <w:rFonts w:ascii="Calibri" w:hAnsi="Calibri"/>
          <w:b/>
          <w:color w:val="FF0000"/>
          <w:vertAlign w:val="superscript"/>
          <w:lang w:val="en-GB"/>
        </w:rPr>
        <w:t>22</w:t>
      </w:r>
      <w:r w:rsidRPr="00791F76">
        <w:rPr>
          <w:rFonts w:ascii="Calibri" w:hAnsi="Calibri" w:cs="Arial"/>
          <w:lang w:val="en-GB" w:eastAsia="en-GB"/>
        </w:rPr>
        <w:t xml:space="preserve">. </w:t>
      </w:r>
    </w:p>
    <w:p w14:paraId="10F2F465" w14:textId="77777777" w:rsidR="00F702F7" w:rsidRPr="00791F76" w:rsidRDefault="00F702F7" w:rsidP="00791F76">
      <w:pPr>
        <w:autoSpaceDE w:val="0"/>
        <w:autoSpaceDN w:val="0"/>
        <w:adjustRightInd w:val="0"/>
        <w:spacing w:line="360" w:lineRule="auto"/>
        <w:jc w:val="both"/>
        <w:rPr>
          <w:rFonts w:ascii="Calibri" w:hAnsi="Calibri" w:cs="Arial"/>
          <w:lang w:val="en-GB" w:eastAsia="en-GB"/>
        </w:rPr>
      </w:pPr>
    </w:p>
    <w:p w14:paraId="539678BE" w14:textId="1A908F23" w:rsidR="00F702F7" w:rsidRDefault="00F702F7" w:rsidP="00791F76">
      <w:pPr>
        <w:autoSpaceDE w:val="0"/>
        <w:autoSpaceDN w:val="0"/>
        <w:adjustRightInd w:val="0"/>
        <w:spacing w:line="360" w:lineRule="auto"/>
        <w:jc w:val="both"/>
        <w:rPr>
          <w:rFonts w:ascii="Calibri" w:hAnsi="Calibri" w:cs="Arial"/>
          <w:lang w:val="en-GB" w:eastAsia="en-GB"/>
        </w:rPr>
      </w:pPr>
      <w:r w:rsidRPr="00791F76">
        <w:rPr>
          <w:rFonts w:ascii="Calibri" w:hAnsi="Calibri" w:cs="Arial"/>
          <w:lang w:val="en-GB" w:eastAsia="en-GB"/>
        </w:rPr>
        <w:t>These classification systems have been increasingly adopted in descriptive and interventional studies involving children with CP, though the dystonic/</w:t>
      </w:r>
      <w:r w:rsidR="00DB2093">
        <w:rPr>
          <w:rFonts w:ascii="Calibri" w:hAnsi="Calibri" w:cs="Arial"/>
          <w:lang w:val="en-GB" w:eastAsia="en-GB"/>
        </w:rPr>
        <w:t>choreathetoid</w:t>
      </w:r>
      <w:r w:rsidRPr="00791F76">
        <w:rPr>
          <w:rFonts w:ascii="Calibri" w:hAnsi="Calibri" w:cs="Arial"/>
          <w:lang w:val="en-GB" w:eastAsia="en-GB"/>
        </w:rPr>
        <w:t xml:space="preserve"> CP sub-group is not always well-described in terms of movement disorder characteristics or distribution of involvement </w:t>
      </w:r>
      <w:r w:rsidR="00791F76" w:rsidRPr="00791F76">
        <w:rPr>
          <w:rFonts w:ascii="Calibri" w:hAnsi="Calibri" w:cs="Arial"/>
          <w:lang w:val="en-GB" w:eastAsia="en-GB"/>
        </w:rPr>
        <w:t xml:space="preserve">and </w:t>
      </w:r>
      <w:r w:rsidRPr="00791F76">
        <w:rPr>
          <w:rFonts w:ascii="Calibri" w:hAnsi="Calibri" w:cs="Arial"/>
          <w:lang w:val="en-GB" w:eastAsia="en-GB"/>
        </w:rPr>
        <w:t>remains probably under-</w:t>
      </w:r>
      <w:r w:rsidRPr="00115CA9">
        <w:rPr>
          <w:rFonts w:ascii="Calibri" w:hAnsi="Calibri" w:cs="Arial"/>
          <w:lang w:val="en-GB" w:eastAsia="en-GB"/>
        </w:rPr>
        <w:t>reported</w:t>
      </w:r>
      <w:r w:rsidR="009D12C1">
        <w:rPr>
          <w:rFonts w:ascii="Calibri" w:hAnsi="Calibri"/>
          <w:b/>
          <w:color w:val="FF0000"/>
          <w:vertAlign w:val="superscript"/>
          <w:lang w:val="en-GB"/>
        </w:rPr>
        <w:t>23</w:t>
      </w:r>
      <w:r w:rsidRPr="00836D40">
        <w:rPr>
          <w:rFonts w:ascii="Calibri" w:hAnsi="Calibri"/>
          <w:b/>
          <w:color w:val="FF0000"/>
          <w:vertAlign w:val="superscript"/>
          <w:lang w:val="en-GB"/>
        </w:rPr>
        <w:t>,</w:t>
      </w:r>
      <w:r w:rsidR="009D12C1">
        <w:rPr>
          <w:rFonts w:ascii="Calibri" w:hAnsi="Calibri"/>
          <w:b/>
          <w:color w:val="FF0000"/>
          <w:vertAlign w:val="superscript"/>
          <w:lang w:val="en-GB"/>
        </w:rPr>
        <w:t>24</w:t>
      </w:r>
      <w:r w:rsidRPr="00115CA9">
        <w:rPr>
          <w:rFonts w:ascii="Calibri" w:hAnsi="Calibri" w:cs="Arial"/>
          <w:lang w:val="en-GB" w:eastAsia="en-GB"/>
        </w:rPr>
        <w:t>, making</w:t>
      </w:r>
      <w:r w:rsidRPr="00791F76">
        <w:rPr>
          <w:rFonts w:ascii="Calibri" w:hAnsi="Calibri" w:cs="Arial"/>
          <w:lang w:val="en-GB" w:eastAsia="en-GB"/>
        </w:rPr>
        <w:t xml:space="preserve"> it difficult to ascertain trends specifically related to the dystonic/</w:t>
      </w:r>
      <w:r w:rsidR="00DB2093">
        <w:rPr>
          <w:rFonts w:ascii="Calibri" w:hAnsi="Calibri" w:cs="Arial"/>
          <w:lang w:val="en-GB" w:eastAsia="en-GB"/>
        </w:rPr>
        <w:t>choreathetoid</w:t>
      </w:r>
      <w:r w:rsidR="00DB2093" w:rsidRPr="00791F76">
        <w:rPr>
          <w:rFonts w:ascii="Calibri" w:hAnsi="Calibri" w:cs="Arial"/>
          <w:lang w:val="en-GB" w:eastAsia="en-GB"/>
        </w:rPr>
        <w:t xml:space="preserve"> </w:t>
      </w:r>
      <w:r w:rsidRPr="00791F76">
        <w:rPr>
          <w:rFonts w:ascii="Calibri" w:hAnsi="Calibri" w:cs="Arial"/>
          <w:lang w:val="en-GB" w:eastAsia="en-GB"/>
        </w:rPr>
        <w:t>CP sub-group.</w:t>
      </w:r>
    </w:p>
    <w:p w14:paraId="4EA2F7C0" w14:textId="77777777" w:rsidR="00F702F7" w:rsidRPr="00791F76" w:rsidRDefault="00F702F7" w:rsidP="00791F76">
      <w:pPr>
        <w:autoSpaceDE w:val="0"/>
        <w:autoSpaceDN w:val="0"/>
        <w:adjustRightInd w:val="0"/>
        <w:spacing w:line="360" w:lineRule="auto"/>
        <w:jc w:val="both"/>
        <w:rPr>
          <w:rFonts w:ascii="Calibri" w:hAnsi="Calibri" w:cs="Arial"/>
          <w:lang w:val="en-GB" w:eastAsia="en-GB"/>
        </w:rPr>
      </w:pPr>
    </w:p>
    <w:p w14:paraId="5D075BB6" w14:textId="0AC4D637" w:rsidR="00F702F7" w:rsidRPr="009D4EEE" w:rsidRDefault="00F702F7" w:rsidP="00791F76">
      <w:pPr>
        <w:autoSpaceDE w:val="0"/>
        <w:autoSpaceDN w:val="0"/>
        <w:adjustRightInd w:val="0"/>
        <w:spacing w:line="360" w:lineRule="auto"/>
        <w:jc w:val="both"/>
        <w:rPr>
          <w:rFonts w:ascii="Calibri" w:hAnsi="Calibri" w:cs="Arial"/>
          <w:lang w:val="en-GB" w:eastAsia="en-GB"/>
        </w:rPr>
      </w:pPr>
      <w:r w:rsidRPr="00D1787C">
        <w:rPr>
          <w:rFonts w:ascii="Calibri" w:hAnsi="Calibri" w:cs="Arial"/>
          <w:lang w:val="en-GB" w:eastAsia="en-GB"/>
        </w:rPr>
        <w:t>Recently, these classification</w:t>
      </w:r>
      <w:r w:rsidRPr="00791F76">
        <w:rPr>
          <w:rFonts w:ascii="Calibri" w:hAnsi="Calibri" w:cs="Arial"/>
          <w:lang w:val="en-GB" w:eastAsia="en-GB"/>
        </w:rPr>
        <w:t xml:space="preserve"> systems have been used</w:t>
      </w:r>
      <w:r w:rsidRPr="009D4EEE">
        <w:rPr>
          <w:rFonts w:ascii="Calibri" w:hAnsi="Calibri" w:cs="Arial"/>
          <w:lang w:val="en-GB" w:eastAsia="en-GB"/>
        </w:rPr>
        <w:t xml:space="preserve"> in studies of</w:t>
      </w:r>
      <w:r w:rsidRPr="009D4EEE">
        <w:rPr>
          <w:rFonts w:ascii="Calibri" w:hAnsi="Calibri" w:cs="Arial"/>
          <w:lang w:val="en-GB"/>
        </w:rPr>
        <w:t xml:space="preserve"> children with dystonic </w:t>
      </w:r>
      <w:r w:rsidRPr="00AE085D">
        <w:rPr>
          <w:rFonts w:ascii="Calibri" w:hAnsi="Calibri" w:cs="Arial"/>
          <w:lang w:val="en-GB"/>
        </w:rPr>
        <w:t>movement d</w:t>
      </w:r>
      <w:r w:rsidR="00836D40">
        <w:rPr>
          <w:rFonts w:ascii="Calibri" w:hAnsi="Calibri" w:cs="Arial"/>
          <w:lang w:val="en-GB"/>
        </w:rPr>
        <w:t>isorders of non-CP aetiologies</w:t>
      </w:r>
      <w:r w:rsidR="00A45FD3">
        <w:rPr>
          <w:rFonts w:ascii="Calibri" w:hAnsi="Calibri"/>
          <w:b/>
          <w:color w:val="FF0000"/>
          <w:vertAlign w:val="superscript"/>
          <w:lang w:val="en-GB"/>
        </w:rPr>
        <w:t>2</w:t>
      </w:r>
      <w:r w:rsidR="00836D40">
        <w:rPr>
          <w:rFonts w:ascii="Calibri" w:hAnsi="Calibri"/>
          <w:b/>
          <w:color w:val="FF0000"/>
          <w:vertAlign w:val="superscript"/>
          <w:lang w:val="en-GB"/>
        </w:rPr>
        <w:t>,</w:t>
      </w:r>
      <w:r w:rsidR="00107CDE">
        <w:rPr>
          <w:rFonts w:ascii="Calibri" w:hAnsi="Calibri"/>
          <w:b/>
          <w:color w:val="FF0000"/>
          <w:vertAlign w:val="superscript"/>
          <w:lang w:val="en-GB"/>
        </w:rPr>
        <w:t>5</w:t>
      </w:r>
      <w:r w:rsidR="00836D40">
        <w:rPr>
          <w:rFonts w:ascii="Calibri" w:hAnsi="Calibri"/>
          <w:b/>
          <w:color w:val="FF0000"/>
          <w:vertAlign w:val="superscript"/>
          <w:lang w:val="en-GB"/>
        </w:rPr>
        <w:t>,</w:t>
      </w:r>
      <w:r w:rsidR="009D12C1">
        <w:rPr>
          <w:rFonts w:ascii="Calibri" w:hAnsi="Calibri"/>
          <w:b/>
          <w:color w:val="FF0000"/>
          <w:vertAlign w:val="superscript"/>
          <w:lang w:val="en-GB"/>
        </w:rPr>
        <w:t>14</w:t>
      </w:r>
      <w:r w:rsidR="00836D40">
        <w:rPr>
          <w:rFonts w:ascii="Calibri" w:hAnsi="Calibri"/>
          <w:b/>
          <w:color w:val="FF0000"/>
          <w:vertAlign w:val="superscript"/>
          <w:lang w:val="en-GB"/>
        </w:rPr>
        <w:t>,</w:t>
      </w:r>
      <w:r w:rsidR="009D12C1">
        <w:rPr>
          <w:rFonts w:ascii="Calibri" w:hAnsi="Calibri"/>
          <w:b/>
          <w:color w:val="FF0000"/>
          <w:vertAlign w:val="superscript"/>
          <w:lang w:val="en-GB"/>
        </w:rPr>
        <w:t>15</w:t>
      </w:r>
      <w:r w:rsidRPr="00AE085D">
        <w:rPr>
          <w:rFonts w:ascii="Calibri" w:hAnsi="Calibri" w:cs="Arial"/>
          <w:lang w:val="en-GB"/>
        </w:rPr>
        <w:t>.</w:t>
      </w:r>
      <w:r w:rsidRPr="009D4EEE">
        <w:rPr>
          <w:rFonts w:ascii="Calibri" w:hAnsi="Calibri" w:cs="Arial"/>
          <w:lang w:val="en-GB"/>
        </w:rPr>
        <w:t xml:space="preserve"> These </w:t>
      </w:r>
      <w:r>
        <w:rPr>
          <w:rFonts w:ascii="Calibri" w:hAnsi="Calibri" w:cs="Arial"/>
          <w:lang w:val="en-GB"/>
        </w:rPr>
        <w:t xml:space="preserve">classifications </w:t>
      </w:r>
      <w:r w:rsidRPr="009D4EEE">
        <w:rPr>
          <w:rFonts w:ascii="Calibri" w:hAnsi="Calibri" w:cs="Arial"/>
          <w:lang w:val="en-GB"/>
        </w:rPr>
        <w:t xml:space="preserve">may offer useful and internationally </w:t>
      </w:r>
      <w:r w:rsidRPr="009D4EEE">
        <w:rPr>
          <w:rFonts w:ascii="Calibri" w:hAnsi="Calibri" w:cs="Arial"/>
          <w:lang w:val="en-GB" w:eastAsia="en-GB"/>
        </w:rPr>
        <w:t>recognised way</w:t>
      </w:r>
      <w:r>
        <w:rPr>
          <w:rFonts w:ascii="Calibri" w:hAnsi="Calibri" w:cs="Arial"/>
          <w:lang w:val="en-GB" w:eastAsia="en-GB"/>
        </w:rPr>
        <w:t>s</w:t>
      </w:r>
      <w:r w:rsidRPr="009D4EEE">
        <w:rPr>
          <w:rFonts w:ascii="Calibri" w:hAnsi="Calibri" w:cs="Arial"/>
          <w:lang w:val="en-GB" w:eastAsia="en-GB"/>
        </w:rPr>
        <w:t xml:space="preserve"> of describing functional ability in children with HMD</w:t>
      </w:r>
      <w:r>
        <w:rPr>
          <w:rFonts w:ascii="Calibri" w:hAnsi="Calibri" w:cs="Arial"/>
          <w:lang w:val="en-GB" w:eastAsia="en-GB"/>
        </w:rPr>
        <w:t>s</w:t>
      </w:r>
      <w:r w:rsidRPr="009D4EEE">
        <w:rPr>
          <w:rFonts w:ascii="Calibri" w:hAnsi="Calibri" w:cs="Arial"/>
          <w:lang w:val="en-GB" w:eastAsia="en-GB"/>
        </w:rPr>
        <w:t>.</w:t>
      </w:r>
    </w:p>
    <w:p w14:paraId="7E564295" w14:textId="77777777" w:rsidR="00F702F7" w:rsidRPr="009D4EEE" w:rsidRDefault="00F702F7" w:rsidP="00410EB3">
      <w:pPr>
        <w:autoSpaceDE w:val="0"/>
        <w:autoSpaceDN w:val="0"/>
        <w:adjustRightInd w:val="0"/>
        <w:spacing w:line="360" w:lineRule="auto"/>
        <w:jc w:val="both"/>
        <w:rPr>
          <w:rFonts w:ascii="Calibri" w:hAnsi="Calibri" w:cs="Arial"/>
          <w:lang w:val="en-GB" w:eastAsia="en-GB"/>
        </w:rPr>
      </w:pPr>
    </w:p>
    <w:p w14:paraId="4E455CCB" w14:textId="7705C2D9" w:rsidR="00F702F7" w:rsidRPr="009D4EEE" w:rsidRDefault="00F702F7" w:rsidP="009E2DC8">
      <w:pPr>
        <w:autoSpaceDE w:val="0"/>
        <w:autoSpaceDN w:val="0"/>
        <w:adjustRightInd w:val="0"/>
        <w:spacing w:line="360" w:lineRule="auto"/>
        <w:jc w:val="both"/>
        <w:rPr>
          <w:rFonts w:ascii="Calibri" w:hAnsi="Calibri" w:cs="Arial"/>
          <w:lang w:val="en-GB"/>
        </w:rPr>
      </w:pPr>
      <w:r w:rsidRPr="009D4EEE">
        <w:rPr>
          <w:rFonts w:ascii="Calibri" w:hAnsi="Calibri" w:cs="Arial"/>
          <w:lang w:val="en-GB"/>
        </w:rPr>
        <w:t xml:space="preserve">Although </w:t>
      </w:r>
      <w:r>
        <w:rPr>
          <w:rFonts w:ascii="Calibri" w:hAnsi="Calibri" w:cs="Arial"/>
          <w:lang w:val="en-GB"/>
        </w:rPr>
        <w:t xml:space="preserve">to date </w:t>
      </w:r>
      <w:r w:rsidRPr="009D4EEE">
        <w:rPr>
          <w:rFonts w:ascii="Calibri" w:hAnsi="Calibri" w:cs="Arial"/>
          <w:lang w:val="en-GB"/>
        </w:rPr>
        <w:t>two studies have applied the three class</w:t>
      </w:r>
      <w:r w:rsidR="00836D40">
        <w:rPr>
          <w:rFonts w:ascii="Calibri" w:hAnsi="Calibri" w:cs="Arial"/>
          <w:lang w:val="en-GB"/>
        </w:rPr>
        <w:t xml:space="preserve">ification systems, in one study </w:t>
      </w:r>
      <w:r w:rsidRPr="009D4EEE">
        <w:rPr>
          <w:rFonts w:ascii="Calibri" w:hAnsi="Calibri" w:cs="Arial"/>
          <w:lang w:val="en-GB"/>
        </w:rPr>
        <w:t>dyskinetic CP cases are not differentiated</w:t>
      </w:r>
      <w:r w:rsidR="009D12C1">
        <w:rPr>
          <w:rFonts w:ascii="Calibri" w:hAnsi="Calibri"/>
          <w:b/>
          <w:color w:val="FF0000"/>
          <w:vertAlign w:val="superscript"/>
          <w:lang w:val="en-GB"/>
        </w:rPr>
        <w:t>18</w:t>
      </w:r>
      <w:r w:rsidRPr="009D4EEE">
        <w:rPr>
          <w:rFonts w:ascii="Calibri" w:hAnsi="Calibri" w:cs="Arial"/>
          <w:lang w:val="en-GB"/>
        </w:rPr>
        <w:t xml:space="preserve"> and the other involves only one child with dystonic CP in a sample of 20 children</w:t>
      </w:r>
      <w:r w:rsidR="009D12C1">
        <w:rPr>
          <w:rFonts w:ascii="Calibri" w:hAnsi="Calibri"/>
          <w:b/>
          <w:color w:val="FF0000"/>
          <w:vertAlign w:val="superscript"/>
          <w:lang w:val="en-GB"/>
        </w:rPr>
        <w:t>25</w:t>
      </w:r>
      <w:r w:rsidRPr="009D4EEE">
        <w:rPr>
          <w:rFonts w:ascii="Calibri" w:hAnsi="Calibri" w:cs="Arial"/>
          <w:lang w:val="en-GB"/>
        </w:rPr>
        <w:t xml:space="preserve"> </w:t>
      </w:r>
      <w:r>
        <w:rPr>
          <w:rFonts w:ascii="Calibri" w:hAnsi="Calibri" w:cs="Arial"/>
          <w:lang w:val="en-GB"/>
        </w:rPr>
        <w:t xml:space="preserve">posing </w:t>
      </w:r>
      <w:r w:rsidRPr="009D4EEE">
        <w:rPr>
          <w:rFonts w:ascii="Calibri" w:hAnsi="Calibri" w:cs="Arial"/>
          <w:lang w:val="en-GB"/>
        </w:rPr>
        <w:t>difficulties in applying these results to dystonic/</w:t>
      </w:r>
      <w:r w:rsidR="00DB2093">
        <w:rPr>
          <w:rFonts w:ascii="Calibri" w:hAnsi="Calibri" w:cs="Arial"/>
          <w:lang w:val="en-GB"/>
        </w:rPr>
        <w:t>choreathetoid</w:t>
      </w:r>
      <w:r w:rsidR="00DB2093" w:rsidRPr="009D4EEE">
        <w:rPr>
          <w:rFonts w:ascii="Calibri" w:hAnsi="Calibri" w:cs="Arial"/>
          <w:lang w:val="en-GB"/>
        </w:rPr>
        <w:t xml:space="preserve"> </w:t>
      </w:r>
      <w:r w:rsidRPr="009D4EEE">
        <w:rPr>
          <w:rFonts w:ascii="Calibri" w:hAnsi="Calibri" w:cs="Arial"/>
          <w:lang w:val="en-GB"/>
        </w:rPr>
        <w:t xml:space="preserve">CP. </w:t>
      </w:r>
    </w:p>
    <w:p w14:paraId="5605AB97" w14:textId="77777777" w:rsidR="00F702F7" w:rsidRPr="009D4EEE" w:rsidRDefault="00F702F7" w:rsidP="009E2DC8">
      <w:pPr>
        <w:autoSpaceDE w:val="0"/>
        <w:autoSpaceDN w:val="0"/>
        <w:adjustRightInd w:val="0"/>
        <w:spacing w:line="360" w:lineRule="auto"/>
        <w:jc w:val="both"/>
        <w:rPr>
          <w:rFonts w:ascii="Calibri" w:hAnsi="Calibri" w:cs="Arial"/>
          <w:lang w:val="en-GB" w:eastAsia="en-GB"/>
        </w:rPr>
      </w:pPr>
    </w:p>
    <w:p w14:paraId="3294A383" w14:textId="7A33B1C6" w:rsidR="00F702F7" w:rsidRPr="009D4EEE" w:rsidRDefault="00F702F7" w:rsidP="009E2DC8">
      <w:pPr>
        <w:autoSpaceDE w:val="0"/>
        <w:autoSpaceDN w:val="0"/>
        <w:adjustRightInd w:val="0"/>
        <w:spacing w:line="360" w:lineRule="auto"/>
        <w:jc w:val="both"/>
        <w:rPr>
          <w:rFonts w:ascii="Calibri" w:hAnsi="Calibri" w:cs="Arial"/>
          <w:lang w:val="en-GB"/>
        </w:rPr>
      </w:pPr>
      <w:r w:rsidRPr="009D4EEE">
        <w:rPr>
          <w:rFonts w:ascii="Calibri" w:hAnsi="Calibri" w:cs="Arial"/>
          <w:lang w:val="en-GB"/>
        </w:rPr>
        <w:t xml:space="preserve">A number of studies that include children with </w:t>
      </w:r>
      <w:r>
        <w:rPr>
          <w:rFonts w:ascii="Calibri" w:hAnsi="Calibri" w:cs="Arial"/>
          <w:lang w:val="en-GB"/>
        </w:rPr>
        <w:t xml:space="preserve">dyskinetic (dystonia and/or </w:t>
      </w:r>
      <w:r w:rsidR="008F02E1">
        <w:rPr>
          <w:rFonts w:ascii="Calibri" w:hAnsi="Calibri" w:cs="Arial"/>
          <w:lang w:val="en-GB"/>
        </w:rPr>
        <w:t>choreoathetoid</w:t>
      </w:r>
      <w:r>
        <w:rPr>
          <w:rFonts w:ascii="Calibri" w:hAnsi="Calibri" w:cs="Arial"/>
          <w:lang w:val="en-GB"/>
        </w:rPr>
        <w:t>)</w:t>
      </w:r>
      <w:r w:rsidRPr="009D4EEE">
        <w:rPr>
          <w:rFonts w:ascii="Calibri" w:hAnsi="Calibri" w:cs="Arial"/>
          <w:lang w:val="en-GB"/>
        </w:rPr>
        <w:t xml:space="preserve"> CP have evaluated concordance between </w:t>
      </w:r>
      <w:r w:rsidRPr="00115CA9">
        <w:rPr>
          <w:rFonts w:ascii="Calibri" w:hAnsi="Calibri" w:cs="Arial"/>
          <w:lang w:val="en-GB"/>
        </w:rPr>
        <w:t>gross mot</w:t>
      </w:r>
      <w:r w:rsidR="00836D40">
        <w:rPr>
          <w:rFonts w:ascii="Calibri" w:hAnsi="Calibri" w:cs="Arial"/>
          <w:lang w:val="en-GB"/>
        </w:rPr>
        <w:t>or ability and manual function</w:t>
      </w:r>
      <w:r w:rsidR="009D12C1">
        <w:rPr>
          <w:rFonts w:ascii="Calibri" w:hAnsi="Calibri"/>
          <w:b/>
          <w:color w:val="FF0000"/>
          <w:vertAlign w:val="superscript"/>
          <w:lang w:val="en-GB"/>
        </w:rPr>
        <w:t>20</w:t>
      </w:r>
      <w:r w:rsidR="00836D40">
        <w:rPr>
          <w:rFonts w:ascii="Calibri" w:hAnsi="Calibri"/>
          <w:b/>
          <w:color w:val="FF0000"/>
          <w:vertAlign w:val="superscript"/>
          <w:lang w:val="en-GB"/>
        </w:rPr>
        <w:t>,</w:t>
      </w:r>
      <w:r w:rsidR="009D12C1">
        <w:rPr>
          <w:rFonts w:ascii="Calibri" w:hAnsi="Calibri"/>
          <w:b/>
          <w:color w:val="FF0000"/>
          <w:vertAlign w:val="superscript"/>
          <w:lang w:val="en-GB"/>
        </w:rPr>
        <w:t>25</w:t>
      </w:r>
      <w:r w:rsidR="00836D40">
        <w:rPr>
          <w:rFonts w:ascii="Calibri" w:hAnsi="Calibri"/>
          <w:b/>
          <w:color w:val="FF0000"/>
          <w:vertAlign w:val="superscript"/>
          <w:lang w:val="en-GB"/>
        </w:rPr>
        <w:t>-</w:t>
      </w:r>
      <w:r w:rsidR="009D12C1">
        <w:rPr>
          <w:rFonts w:ascii="Calibri" w:hAnsi="Calibri"/>
          <w:b/>
          <w:color w:val="FF0000"/>
          <w:vertAlign w:val="superscript"/>
          <w:lang w:val="en-GB"/>
        </w:rPr>
        <w:t>30</w:t>
      </w:r>
      <w:r w:rsidRPr="00115CA9">
        <w:rPr>
          <w:rFonts w:ascii="Calibri" w:hAnsi="Calibri" w:cs="Arial"/>
          <w:lang w:val="en-GB"/>
        </w:rPr>
        <w:t xml:space="preserve">. The studies presenting GMFCS and MACS levels for different CP phenotypes suggest that children with dyskinetic CP typically have severe functional impairment, with 68-75% cases classified as </w:t>
      </w:r>
      <w:r w:rsidR="00836D40">
        <w:rPr>
          <w:rFonts w:ascii="Calibri" w:hAnsi="Calibri" w:cs="Arial"/>
          <w:lang w:val="en-GB"/>
        </w:rPr>
        <w:t>GMFCS and MACS levels IV and V</w:t>
      </w:r>
      <w:r w:rsidR="009D12C1">
        <w:rPr>
          <w:rFonts w:ascii="Calibri" w:hAnsi="Calibri"/>
          <w:b/>
          <w:color w:val="FF0000"/>
          <w:vertAlign w:val="superscript"/>
          <w:lang w:val="en-GB"/>
        </w:rPr>
        <w:t>27</w:t>
      </w:r>
      <w:r w:rsidR="00836D40">
        <w:rPr>
          <w:rFonts w:ascii="Calibri" w:hAnsi="Calibri"/>
          <w:b/>
          <w:color w:val="FF0000"/>
          <w:vertAlign w:val="superscript"/>
          <w:lang w:val="en-GB"/>
        </w:rPr>
        <w:t>,</w:t>
      </w:r>
      <w:r w:rsidR="009D12C1">
        <w:rPr>
          <w:rFonts w:ascii="Calibri" w:hAnsi="Calibri"/>
          <w:b/>
          <w:color w:val="FF0000"/>
          <w:vertAlign w:val="superscript"/>
          <w:lang w:val="en-GB"/>
        </w:rPr>
        <w:t>29</w:t>
      </w:r>
      <w:r w:rsidR="00836D40">
        <w:rPr>
          <w:rFonts w:ascii="Calibri" w:hAnsi="Calibri"/>
          <w:b/>
          <w:color w:val="FF0000"/>
          <w:vertAlign w:val="superscript"/>
          <w:lang w:val="en-GB"/>
        </w:rPr>
        <w:t>,</w:t>
      </w:r>
      <w:r w:rsidR="009D12C1">
        <w:rPr>
          <w:rFonts w:ascii="Calibri" w:hAnsi="Calibri"/>
          <w:b/>
          <w:color w:val="FF0000"/>
          <w:vertAlign w:val="superscript"/>
          <w:lang w:val="en-GB"/>
        </w:rPr>
        <w:t>30</w:t>
      </w:r>
      <w:r w:rsidRPr="00115CA9">
        <w:rPr>
          <w:rFonts w:ascii="Calibri" w:hAnsi="Calibri" w:cs="Arial"/>
          <w:lang w:val="en-GB"/>
        </w:rPr>
        <w:t xml:space="preserve">.  Although these scales demonstrate a strong positive </w:t>
      </w:r>
      <w:r w:rsidR="00680B02" w:rsidRPr="00115CA9">
        <w:rPr>
          <w:rFonts w:ascii="Calibri" w:hAnsi="Calibri" w:cs="Arial"/>
          <w:lang w:val="en-GB"/>
        </w:rPr>
        <w:t>relationship</w:t>
      </w:r>
      <w:r w:rsidRPr="00115CA9">
        <w:rPr>
          <w:rFonts w:ascii="Calibri" w:hAnsi="Calibri" w:cs="Arial"/>
          <w:lang w:val="en-GB"/>
        </w:rPr>
        <w:t>, particularly in dyskinetic CP, the use of both scales has been advocated since each scale offers information about different domains</w:t>
      </w:r>
      <w:r w:rsidRPr="009D4EEE">
        <w:rPr>
          <w:rFonts w:ascii="Calibri" w:hAnsi="Calibri" w:cs="Arial"/>
          <w:lang w:val="en-GB"/>
        </w:rPr>
        <w:t xml:space="preserve"> of function and the strength of concordance reduces in cases with less severe functional limitation. </w:t>
      </w:r>
    </w:p>
    <w:p w14:paraId="0B51A266" w14:textId="77777777" w:rsidR="00F702F7" w:rsidRPr="009D4EEE" w:rsidRDefault="00F702F7" w:rsidP="009E2DC8">
      <w:pPr>
        <w:autoSpaceDE w:val="0"/>
        <w:autoSpaceDN w:val="0"/>
        <w:adjustRightInd w:val="0"/>
        <w:spacing w:line="360" w:lineRule="auto"/>
        <w:jc w:val="both"/>
        <w:rPr>
          <w:rFonts w:ascii="Calibri" w:hAnsi="Calibri" w:cs="Arial"/>
          <w:lang w:val="en-GB"/>
        </w:rPr>
      </w:pPr>
    </w:p>
    <w:p w14:paraId="55CFD34F" w14:textId="6FA209EA" w:rsidR="00F702F7" w:rsidRDefault="00F702F7" w:rsidP="009E2DC8">
      <w:pPr>
        <w:autoSpaceDE w:val="0"/>
        <w:autoSpaceDN w:val="0"/>
        <w:adjustRightInd w:val="0"/>
        <w:spacing w:line="360" w:lineRule="auto"/>
        <w:jc w:val="both"/>
        <w:rPr>
          <w:rFonts w:ascii="Calibri" w:hAnsi="Calibri" w:cs="Arial"/>
          <w:lang w:val="en-GB"/>
        </w:rPr>
      </w:pPr>
      <w:r w:rsidRPr="00857965">
        <w:rPr>
          <w:rFonts w:ascii="Calibri" w:hAnsi="Calibri" w:cs="Arial"/>
          <w:lang w:val="en-GB"/>
        </w:rPr>
        <w:t xml:space="preserve">Majnemer </w:t>
      </w:r>
      <w:r w:rsidR="00EF2F40" w:rsidRPr="00EF2F40">
        <w:rPr>
          <w:rFonts w:ascii="Calibri" w:hAnsi="Calibri" w:cs="Arial"/>
          <w:i/>
          <w:lang w:val="en-GB"/>
        </w:rPr>
        <w:t>et al</w:t>
      </w:r>
      <w:r w:rsidRPr="00857965">
        <w:rPr>
          <w:rFonts w:ascii="Calibri" w:hAnsi="Calibri" w:cs="Arial"/>
          <w:lang w:val="en-GB"/>
        </w:rPr>
        <w:t>.</w:t>
      </w:r>
      <w:r w:rsidR="009D12C1">
        <w:rPr>
          <w:rFonts w:ascii="Calibri" w:hAnsi="Calibri"/>
          <w:b/>
          <w:color w:val="FF0000"/>
          <w:vertAlign w:val="superscript"/>
          <w:lang w:val="en-GB"/>
        </w:rPr>
        <w:t>26</w:t>
      </w:r>
      <w:r w:rsidRPr="00857965">
        <w:rPr>
          <w:rFonts w:ascii="Calibri" w:hAnsi="Calibri" w:cs="Arial"/>
          <w:lang w:val="en-GB"/>
        </w:rPr>
        <w:t xml:space="preserve"> point out that the association between manual ability and gross</w:t>
      </w:r>
      <w:r w:rsidRPr="009D4EEE">
        <w:rPr>
          <w:rFonts w:ascii="Calibri" w:hAnsi="Calibri" w:cs="Arial"/>
          <w:lang w:val="en-GB"/>
        </w:rPr>
        <w:t xml:space="preserve"> motor ability remains unclear in specific subtypes of CP, including </w:t>
      </w:r>
      <w:r>
        <w:rPr>
          <w:rFonts w:ascii="Calibri" w:hAnsi="Calibri" w:cs="Arial"/>
          <w:lang w:val="en-GB"/>
        </w:rPr>
        <w:t>dyskinetic</w:t>
      </w:r>
      <w:r w:rsidRPr="009D4EEE">
        <w:rPr>
          <w:rFonts w:ascii="Calibri" w:hAnsi="Calibri" w:cs="Arial"/>
          <w:lang w:val="en-GB"/>
        </w:rPr>
        <w:t xml:space="preserve"> CP. </w:t>
      </w:r>
      <w:r>
        <w:rPr>
          <w:rFonts w:ascii="Calibri" w:hAnsi="Calibri" w:cs="Arial"/>
          <w:lang w:val="en-GB"/>
        </w:rPr>
        <w:t>M</w:t>
      </w:r>
      <w:r w:rsidRPr="00230138">
        <w:rPr>
          <w:rFonts w:ascii="Calibri" w:hAnsi="Calibri" w:cs="Arial"/>
          <w:lang w:val="en-GB"/>
        </w:rPr>
        <w:t>ore focused research on the dyskinetic CP phenotype</w:t>
      </w:r>
      <w:r>
        <w:rPr>
          <w:rFonts w:ascii="Calibri" w:hAnsi="Calibri" w:cs="Arial"/>
          <w:lang w:val="en-GB"/>
        </w:rPr>
        <w:t>s</w:t>
      </w:r>
      <w:r w:rsidRPr="00230138">
        <w:rPr>
          <w:rFonts w:ascii="Calibri" w:hAnsi="Calibri" w:cs="Arial"/>
          <w:lang w:val="en-GB"/>
        </w:rPr>
        <w:t xml:space="preserve"> is needed to ascertain which existing and emerging CP research evidence can be meaningfully applied to this patient population.</w:t>
      </w:r>
    </w:p>
    <w:p w14:paraId="20EA56A4" w14:textId="77777777" w:rsidR="00F702F7" w:rsidRPr="009D4EEE" w:rsidRDefault="00F702F7" w:rsidP="009E2DC8">
      <w:pPr>
        <w:autoSpaceDE w:val="0"/>
        <w:autoSpaceDN w:val="0"/>
        <w:adjustRightInd w:val="0"/>
        <w:spacing w:line="360" w:lineRule="auto"/>
        <w:jc w:val="both"/>
        <w:rPr>
          <w:rFonts w:ascii="Calibri" w:hAnsi="Calibri" w:cs="Arial"/>
          <w:lang w:val="en-GB"/>
        </w:rPr>
      </w:pPr>
      <w:r w:rsidRPr="009D4EEE">
        <w:rPr>
          <w:rFonts w:ascii="Calibri" w:hAnsi="Calibri" w:cs="Arial"/>
          <w:lang w:val="en-GB"/>
        </w:rPr>
        <w:t xml:space="preserve">  </w:t>
      </w:r>
    </w:p>
    <w:p w14:paraId="590A9C5B" w14:textId="77777777" w:rsidR="00F702F7" w:rsidRPr="009D4EEE" w:rsidRDefault="00F702F7" w:rsidP="009E2DC8">
      <w:pPr>
        <w:spacing w:line="360" w:lineRule="auto"/>
        <w:jc w:val="both"/>
        <w:rPr>
          <w:rFonts w:ascii="Calibri" w:hAnsi="Calibri" w:cs="Arial"/>
          <w:lang w:val="en-GB"/>
        </w:rPr>
      </w:pPr>
      <w:r w:rsidRPr="009D4EEE">
        <w:rPr>
          <w:rFonts w:ascii="Calibri" w:hAnsi="Calibri" w:cs="Arial"/>
          <w:lang w:val="en-GB"/>
        </w:rPr>
        <w:lastRenderedPageBreak/>
        <w:t xml:space="preserve">Although the GMFCS and MACS have not been validated for children with movement disorders other than CP, we believe the use of “equivalent” scale scores could provide clinicians with a meaningful taxonomy for describing the motor severity and functional ability of children and young people with dystonia </w:t>
      </w:r>
      <w:r w:rsidRPr="009D4EEE">
        <w:rPr>
          <w:rFonts w:ascii="Calibri" w:hAnsi="Calibri" w:cs="Arial"/>
          <w:lang w:eastAsia="en-US"/>
        </w:rPr>
        <w:t>and other HMD</w:t>
      </w:r>
      <w:r>
        <w:rPr>
          <w:rFonts w:ascii="Calibri" w:hAnsi="Calibri" w:cs="Arial"/>
          <w:lang w:eastAsia="en-US"/>
        </w:rPr>
        <w:t>s</w:t>
      </w:r>
      <w:r w:rsidRPr="009D4EEE">
        <w:rPr>
          <w:rFonts w:ascii="Calibri" w:hAnsi="Calibri" w:cs="Arial"/>
          <w:lang w:val="en-GB"/>
        </w:rPr>
        <w:t xml:space="preserve">. </w:t>
      </w:r>
    </w:p>
    <w:p w14:paraId="071D338B" w14:textId="77777777" w:rsidR="00F702F7" w:rsidRPr="009D4EEE" w:rsidRDefault="00F702F7" w:rsidP="009E2DC8">
      <w:pPr>
        <w:autoSpaceDE w:val="0"/>
        <w:autoSpaceDN w:val="0"/>
        <w:adjustRightInd w:val="0"/>
        <w:spacing w:line="360" w:lineRule="auto"/>
        <w:jc w:val="both"/>
        <w:rPr>
          <w:rFonts w:ascii="Calibri" w:hAnsi="Calibri" w:cs="Arial"/>
          <w:lang w:val="en-GB"/>
        </w:rPr>
      </w:pPr>
    </w:p>
    <w:p w14:paraId="064EFEDE" w14:textId="2BB27424" w:rsidR="00F702F7" w:rsidRDefault="00B83ACA" w:rsidP="009E2DC8">
      <w:pPr>
        <w:spacing w:line="360" w:lineRule="auto"/>
        <w:jc w:val="both"/>
        <w:rPr>
          <w:rFonts w:ascii="Calibri" w:hAnsi="Calibri" w:cs="Arial"/>
          <w:lang w:val="en-GB"/>
        </w:rPr>
      </w:pPr>
      <w:r>
        <w:rPr>
          <w:rFonts w:ascii="Calibri" w:hAnsi="Calibri" w:cs="Arial"/>
          <w:lang w:val="en-GB"/>
        </w:rPr>
        <w:t>This is the first</w:t>
      </w:r>
      <w:r w:rsidR="00F702F7" w:rsidRPr="00230138">
        <w:rPr>
          <w:rFonts w:ascii="Calibri" w:hAnsi="Calibri" w:cs="Arial"/>
          <w:lang w:val="en-GB"/>
        </w:rPr>
        <w:t xml:space="preserve"> stud</w:t>
      </w:r>
      <w:r>
        <w:rPr>
          <w:rFonts w:ascii="Calibri" w:hAnsi="Calibri" w:cs="Arial"/>
          <w:lang w:val="en-GB"/>
        </w:rPr>
        <w:t>y</w:t>
      </w:r>
      <w:r w:rsidR="00F702F7" w:rsidRPr="00230138">
        <w:rPr>
          <w:rFonts w:ascii="Calibri" w:hAnsi="Calibri" w:cs="Arial"/>
          <w:lang w:val="en-GB"/>
        </w:rPr>
        <w:t xml:space="preserve"> specifically describing the functional profile of children with HMD</w:t>
      </w:r>
      <w:r w:rsidR="00F702F7">
        <w:rPr>
          <w:rFonts w:ascii="Calibri" w:hAnsi="Calibri" w:cs="Arial"/>
          <w:lang w:val="en-GB"/>
        </w:rPr>
        <w:t>s</w:t>
      </w:r>
      <w:r w:rsidR="00F702F7" w:rsidRPr="00230138">
        <w:rPr>
          <w:rFonts w:ascii="Calibri" w:hAnsi="Calibri" w:cs="Arial"/>
          <w:lang w:val="en-GB"/>
        </w:rPr>
        <w:t xml:space="preserve"> of varying aetiology, including dystonic-choreoathetoid CP, using these three internationally recognised functional scales and their relationship with the Burke-Fahn-Marsden dystonia impairment rating scale (BFM-M).</w:t>
      </w:r>
    </w:p>
    <w:p w14:paraId="781E5CEB" w14:textId="77777777" w:rsidR="0061720B" w:rsidRDefault="0061720B" w:rsidP="009E2DC8">
      <w:pPr>
        <w:spacing w:line="360" w:lineRule="auto"/>
        <w:jc w:val="both"/>
        <w:rPr>
          <w:rFonts w:ascii="Calibri" w:hAnsi="Calibri" w:cs="Arial"/>
          <w:lang w:val="en-GB"/>
        </w:rPr>
      </w:pPr>
    </w:p>
    <w:p w14:paraId="3FDFAD64" w14:textId="24776C7A" w:rsidR="0061720B" w:rsidRDefault="009A0EF4" w:rsidP="009E2DC8">
      <w:pPr>
        <w:spacing w:after="200" w:line="360" w:lineRule="auto"/>
        <w:jc w:val="both"/>
        <w:rPr>
          <w:rFonts w:ascii="Calibri" w:hAnsi="Calibri" w:cs="Arial"/>
          <w:lang w:val="en-GB"/>
        </w:rPr>
      </w:pPr>
      <w:r w:rsidRPr="009A0EF4">
        <w:rPr>
          <w:rFonts w:ascii="Calibri" w:hAnsi="Calibri" w:cs="Arial"/>
          <w:lang w:val="en-GB"/>
        </w:rPr>
        <w:t>We present a ‘Rosetta Stone’ of scales allowing the cross-interpretation of these interdependent scales and the BFM-M. The ‘Rosetta’ Stone dating back to 196 BC, was re-discovered in 1799 by Pierre-Francois Bouchard near the town of Rashid during the Napoleonic expedition. It contained a text chiselled out of the stone in three main languages: Ancient Egyptian Hieroglyphs, Demotic Script (the Egyptian used for documents) and Ancient Greek. This allowed researchers to decipher Egyptian hieroglyphs. Similar to that historical precedent, we aim to link motor scales in different branches of clinical neuroscience to allow a comparative interpretation of the meaning of these scales to each other and between different movement disorders and CP aetiologies.</w:t>
      </w:r>
    </w:p>
    <w:p w14:paraId="14895146" w14:textId="77777777" w:rsidR="009A0EF4" w:rsidRDefault="009A0EF4" w:rsidP="009E2DC8">
      <w:pPr>
        <w:spacing w:after="200" w:line="360" w:lineRule="auto"/>
        <w:jc w:val="both"/>
        <w:rPr>
          <w:rFonts w:ascii="Calibri" w:hAnsi="Calibri" w:cs="Arial"/>
          <w:lang w:val="en-GB"/>
        </w:rPr>
      </w:pPr>
    </w:p>
    <w:p w14:paraId="139934E3" w14:textId="77777777" w:rsidR="00F702F7" w:rsidRPr="009D4EEE" w:rsidRDefault="00F702F7" w:rsidP="009E2DC8">
      <w:pPr>
        <w:spacing w:after="200" w:line="360" w:lineRule="auto"/>
        <w:jc w:val="both"/>
        <w:rPr>
          <w:rFonts w:ascii="Calibri" w:hAnsi="Calibri" w:cs="Arial"/>
          <w:lang w:val="en-GB"/>
        </w:rPr>
      </w:pPr>
      <w:r w:rsidRPr="009D4EEE">
        <w:rPr>
          <w:rFonts w:ascii="Calibri" w:hAnsi="Calibri" w:cs="Arial"/>
          <w:lang w:val="en-GB"/>
        </w:rPr>
        <w:t>We hypothesised:</w:t>
      </w:r>
      <w:r>
        <w:rPr>
          <w:rFonts w:ascii="Calibri" w:hAnsi="Calibri" w:cs="Arial"/>
          <w:lang w:val="en-GB"/>
        </w:rPr>
        <w:t xml:space="preserve"> </w:t>
      </w:r>
    </w:p>
    <w:p w14:paraId="778EB2DE" w14:textId="59D396CA" w:rsidR="00F702F7" w:rsidRPr="009D4EEE" w:rsidRDefault="00A43B3D" w:rsidP="00E07B09">
      <w:pPr>
        <w:numPr>
          <w:ilvl w:val="0"/>
          <w:numId w:val="15"/>
        </w:numPr>
        <w:spacing w:after="200" w:line="360" w:lineRule="auto"/>
        <w:contextualSpacing/>
        <w:jc w:val="both"/>
        <w:rPr>
          <w:rFonts w:ascii="Calibri" w:hAnsi="Calibri" w:cs="Arial"/>
          <w:lang w:val="en-GB"/>
        </w:rPr>
      </w:pPr>
      <w:r>
        <w:rPr>
          <w:rFonts w:ascii="Calibri" w:hAnsi="Calibri" w:cs="Arial"/>
          <w:lang w:val="en-GB"/>
        </w:rPr>
        <w:t>A positive association between the three functional scales</w:t>
      </w:r>
      <w:r w:rsidR="004D6E61">
        <w:rPr>
          <w:rFonts w:ascii="Calibri" w:hAnsi="Calibri" w:cs="Arial"/>
          <w:lang w:val="en-GB"/>
        </w:rPr>
        <w:t xml:space="preserve"> (</w:t>
      </w:r>
      <w:r w:rsidR="004D6E61" w:rsidRPr="009D4EEE">
        <w:rPr>
          <w:rFonts w:ascii="Calibri" w:hAnsi="Calibri" w:cs="Arial"/>
          <w:lang w:val="en-GB"/>
        </w:rPr>
        <w:t>GMFCS/MACS/CFCS</w:t>
      </w:r>
      <w:r w:rsidR="004D6E61">
        <w:rPr>
          <w:rFonts w:ascii="Calibri" w:hAnsi="Calibri" w:cs="Arial"/>
          <w:lang w:val="en-GB"/>
        </w:rPr>
        <w:t>)</w:t>
      </w:r>
      <w:r>
        <w:rPr>
          <w:rFonts w:ascii="Calibri" w:hAnsi="Calibri" w:cs="Arial"/>
          <w:lang w:val="en-GB"/>
        </w:rPr>
        <w:t xml:space="preserve"> </w:t>
      </w:r>
      <w:r w:rsidR="004D6E61">
        <w:rPr>
          <w:rFonts w:ascii="Calibri" w:hAnsi="Calibri" w:cs="Arial"/>
          <w:lang w:val="en-GB"/>
        </w:rPr>
        <w:t>indicating that worse function on one scale is associated with worse function on the others</w:t>
      </w:r>
      <w:r w:rsidR="002A1E87">
        <w:rPr>
          <w:rFonts w:ascii="Calibri" w:hAnsi="Calibri" w:cs="Arial"/>
          <w:lang w:val="en-GB"/>
        </w:rPr>
        <w:t>.</w:t>
      </w:r>
    </w:p>
    <w:p w14:paraId="3870D6A6" w14:textId="77777777" w:rsidR="00F702F7" w:rsidRPr="009D4EEE" w:rsidRDefault="00F702F7" w:rsidP="00E07B09">
      <w:pPr>
        <w:numPr>
          <w:ilvl w:val="0"/>
          <w:numId w:val="15"/>
        </w:numPr>
        <w:spacing w:after="200" w:line="360" w:lineRule="auto"/>
        <w:contextualSpacing/>
        <w:jc w:val="both"/>
        <w:rPr>
          <w:rFonts w:ascii="Calibri" w:hAnsi="Calibri" w:cs="Arial"/>
          <w:lang w:val="en-GB"/>
        </w:rPr>
      </w:pPr>
      <w:r w:rsidRPr="009D4EEE">
        <w:rPr>
          <w:rFonts w:ascii="Calibri" w:hAnsi="Calibri" w:cs="Arial"/>
          <w:lang w:val="en-GB"/>
        </w:rPr>
        <w:t xml:space="preserve">A positive </w:t>
      </w:r>
      <w:r>
        <w:rPr>
          <w:rFonts w:ascii="Calibri" w:hAnsi="Calibri" w:cs="Arial"/>
          <w:lang w:val="en-GB"/>
        </w:rPr>
        <w:t>association</w:t>
      </w:r>
      <w:r w:rsidRPr="009D4EEE">
        <w:rPr>
          <w:rFonts w:ascii="Calibri" w:hAnsi="Calibri" w:cs="Arial"/>
          <w:lang w:val="en-GB"/>
        </w:rPr>
        <w:t xml:space="preserve"> between dystonia severity (higher BFM–M score) and more severe functional disability (higher GMFCS/MACS/CFCS score).</w:t>
      </w:r>
    </w:p>
    <w:p w14:paraId="5BE77CA3" w14:textId="6499ED4C" w:rsidR="00F702F7" w:rsidRPr="009D4EEE" w:rsidRDefault="00F702F7" w:rsidP="00E07B09">
      <w:pPr>
        <w:numPr>
          <w:ilvl w:val="0"/>
          <w:numId w:val="15"/>
        </w:numPr>
        <w:spacing w:after="200" w:line="360" w:lineRule="auto"/>
        <w:contextualSpacing/>
        <w:jc w:val="both"/>
        <w:rPr>
          <w:rFonts w:ascii="Calibri" w:hAnsi="Calibri" w:cs="Arial"/>
          <w:lang w:val="en-GB"/>
        </w:rPr>
      </w:pPr>
      <w:r w:rsidRPr="009D4EEE">
        <w:rPr>
          <w:rFonts w:ascii="Calibri" w:hAnsi="Calibri" w:cs="Arial"/>
          <w:lang w:val="en-GB"/>
        </w:rPr>
        <w:t>Worse dystonia severity and functional impairment for secondary dystonias compared to primary dystonias</w:t>
      </w:r>
      <w:r w:rsidR="00A731DF">
        <w:rPr>
          <w:rFonts w:ascii="Calibri" w:hAnsi="Calibri" w:cs="Arial"/>
          <w:lang w:val="en-GB"/>
        </w:rPr>
        <w:t xml:space="preserve"> and for those patients with longer proportion of life lived with dystonia</w:t>
      </w:r>
      <w:r w:rsidRPr="009D4EEE">
        <w:rPr>
          <w:rFonts w:ascii="Calibri" w:hAnsi="Calibri" w:cs="Arial"/>
          <w:lang w:val="en-GB"/>
        </w:rPr>
        <w:t>.</w:t>
      </w:r>
    </w:p>
    <w:p w14:paraId="5AA56D5A" w14:textId="77777777" w:rsidR="00F702F7" w:rsidRDefault="00F702F7" w:rsidP="009E2DC8">
      <w:pPr>
        <w:spacing w:after="200" w:line="360" w:lineRule="auto"/>
        <w:jc w:val="both"/>
        <w:rPr>
          <w:rFonts w:ascii="Calibri" w:hAnsi="Calibri" w:cs="Arial"/>
          <w:lang w:val="en-GB"/>
        </w:rPr>
      </w:pPr>
    </w:p>
    <w:p w14:paraId="7FF1487C" w14:textId="77777777" w:rsidR="00F702F7" w:rsidRPr="009D4EEE" w:rsidRDefault="00F702F7" w:rsidP="009E2DC8">
      <w:pPr>
        <w:spacing w:after="200" w:line="360" w:lineRule="auto"/>
        <w:jc w:val="both"/>
        <w:rPr>
          <w:rFonts w:ascii="Calibri" w:hAnsi="Calibri" w:cs="Arial"/>
          <w:b/>
          <w:lang w:val="en-GB"/>
        </w:rPr>
      </w:pPr>
      <w:r w:rsidRPr="009D4EEE">
        <w:rPr>
          <w:rFonts w:ascii="Calibri" w:hAnsi="Calibri" w:cs="Arial"/>
          <w:b/>
          <w:lang w:val="en-GB"/>
        </w:rPr>
        <w:br w:type="page"/>
      </w:r>
      <w:r w:rsidRPr="009D4EEE">
        <w:rPr>
          <w:rFonts w:ascii="Calibri" w:hAnsi="Calibri" w:cs="Arial"/>
          <w:b/>
          <w:lang w:val="en-GB"/>
        </w:rPr>
        <w:lastRenderedPageBreak/>
        <w:t>METHOD</w:t>
      </w:r>
    </w:p>
    <w:p w14:paraId="6676C20B" w14:textId="77777777" w:rsidR="00F702F7" w:rsidRPr="009D4EEE" w:rsidRDefault="00F702F7" w:rsidP="009E2DC8">
      <w:pPr>
        <w:spacing w:line="360" w:lineRule="auto"/>
        <w:jc w:val="both"/>
        <w:rPr>
          <w:rFonts w:ascii="Calibri" w:hAnsi="Calibri" w:cs="Arial"/>
          <w:b/>
          <w:lang w:val="en-GB"/>
        </w:rPr>
      </w:pPr>
      <w:r w:rsidRPr="009D4EEE">
        <w:rPr>
          <w:rFonts w:ascii="Calibri" w:hAnsi="Calibri" w:cs="Arial"/>
          <w:b/>
          <w:lang w:val="en-GB"/>
        </w:rPr>
        <w:t>Participants</w:t>
      </w:r>
    </w:p>
    <w:p w14:paraId="74FF09B8" w14:textId="688E4639" w:rsidR="00F702F7" w:rsidRDefault="00F702F7" w:rsidP="009E2DC8">
      <w:pPr>
        <w:spacing w:line="360" w:lineRule="auto"/>
        <w:jc w:val="both"/>
        <w:rPr>
          <w:rFonts w:ascii="Calibri" w:hAnsi="Calibri" w:cs="Arial"/>
          <w:lang w:val="en-GB"/>
        </w:rPr>
      </w:pPr>
      <w:r w:rsidRPr="009D4EEE">
        <w:rPr>
          <w:rFonts w:ascii="Calibri" w:hAnsi="Calibri" w:cs="Arial"/>
          <w:lang w:val="en-GB"/>
        </w:rPr>
        <w:t>The participants were</w:t>
      </w:r>
      <w:r w:rsidR="00EE3C2B">
        <w:rPr>
          <w:rFonts w:ascii="Calibri" w:hAnsi="Calibri" w:cs="Arial"/>
          <w:lang w:val="en-GB"/>
        </w:rPr>
        <w:t xml:space="preserve"> a convenience sample of</w:t>
      </w:r>
      <w:r w:rsidRPr="009D4EEE">
        <w:rPr>
          <w:rFonts w:ascii="Calibri" w:hAnsi="Calibri" w:cs="Arial"/>
          <w:lang w:val="en-GB"/>
        </w:rPr>
        <w:t xml:space="preserve"> 161 children and young </w:t>
      </w:r>
      <w:r w:rsidRPr="006C01C9">
        <w:rPr>
          <w:rFonts w:ascii="Calibri" w:hAnsi="Calibri" w:cs="Arial"/>
          <w:lang w:val="en-GB"/>
        </w:rPr>
        <w:t>adults (median age 10</w:t>
      </w:r>
      <w:r w:rsidR="000B016D">
        <w:rPr>
          <w:rFonts w:ascii="Calibri" w:hAnsi="Calibri" w:cs="Arial"/>
          <w:lang w:val="en-GB"/>
        </w:rPr>
        <w:t>y</w:t>
      </w:r>
      <w:r w:rsidRPr="006C01C9">
        <w:rPr>
          <w:rFonts w:ascii="Calibri" w:hAnsi="Calibri" w:cs="Arial"/>
          <w:lang w:val="en-GB"/>
        </w:rPr>
        <w:t>3mo</w:t>
      </w:r>
      <w:r w:rsidR="000B016D">
        <w:rPr>
          <w:rFonts w:ascii="Calibri" w:hAnsi="Calibri" w:cs="Arial"/>
          <w:lang w:val="en-GB"/>
        </w:rPr>
        <w:t>,</w:t>
      </w:r>
      <w:r w:rsidRPr="006C01C9">
        <w:rPr>
          <w:rFonts w:ascii="Calibri" w:hAnsi="Calibri" w:cs="Arial"/>
          <w:lang w:val="en-GB"/>
        </w:rPr>
        <w:t xml:space="preserve"> </w:t>
      </w:r>
      <w:r w:rsidR="00F01104">
        <w:rPr>
          <w:rFonts w:ascii="Calibri" w:hAnsi="Calibri" w:cs="Arial"/>
          <w:lang w:val="en-GB"/>
        </w:rPr>
        <w:t>range 2y6mo-21y</w:t>
      </w:r>
      <w:r w:rsidRPr="006C01C9">
        <w:rPr>
          <w:rFonts w:ascii="Calibri" w:hAnsi="Calibri" w:cs="Arial"/>
          <w:lang w:val="en-GB"/>
        </w:rPr>
        <w:t>) referred to the Complex Motor Disord</w:t>
      </w:r>
      <w:r w:rsidRPr="009D4EEE">
        <w:rPr>
          <w:rFonts w:ascii="Calibri" w:hAnsi="Calibri" w:cs="Arial"/>
          <w:lang w:val="en-GB"/>
        </w:rPr>
        <w:t>ers Service (CMDS) at Evelina L</w:t>
      </w:r>
      <w:r w:rsidR="000B016D">
        <w:rPr>
          <w:rFonts w:ascii="Calibri" w:hAnsi="Calibri" w:cs="Arial"/>
          <w:lang w:val="en-GB"/>
        </w:rPr>
        <w:t>ondon Children’s Hospital</w:t>
      </w:r>
      <w:r w:rsidRPr="009D4EEE">
        <w:rPr>
          <w:rFonts w:ascii="Calibri" w:hAnsi="Calibri" w:cs="Arial"/>
          <w:lang w:val="en-GB"/>
        </w:rPr>
        <w:t xml:space="preserve"> for assessment and management of their movement disorder (Table S1). All patients with data available were included from 2007</w:t>
      </w:r>
      <w:r w:rsidR="000B016D">
        <w:rPr>
          <w:rFonts w:ascii="Calibri" w:hAnsi="Calibri" w:cs="Arial"/>
          <w:lang w:val="en-GB"/>
        </w:rPr>
        <w:t xml:space="preserve"> to </w:t>
      </w:r>
      <w:r w:rsidRPr="009D4EEE">
        <w:rPr>
          <w:rFonts w:ascii="Calibri" w:hAnsi="Calibri" w:cs="Arial"/>
          <w:lang w:val="en-GB"/>
        </w:rPr>
        <w:t xml:space="preserve">2013. Insufficient information meant 3 </w:t>
      </w:r>
      <w:r w:rsidR="00DF31C1">
        <w:rPr>
          <w:rFonts w:ascii="Calibri" w:hAnsi="Calibri" w:cs="Arial"/>
          <w:lang w:val="en-GB"/>
        </w:rPr>
        <w:t>children</w:t>
      </w:r>
      <w:r w:rsidR="00DF31C1" w:rsidRPr="009D4EEE">
        <w:rPr>
          <w:rFonts w:ascii="Calibri" w:hAnsi="Calibri" w:cs="Arial"/>
          <w:lang w:val="en-GB"/>
        </w:rPr>
        <w:t xml:space="preserve"> </w:t>
      </w:r>
      <w:r w:rsidRPr="009D4EEE">
        <w:rPr>
          <w:rFonts w:ascii="Calibri" w:hAnsi="Calibri" w:cs="Arial"/>
          <w:lang w:val="en-GB"/>
        </w:rPr>
        <w:t xml:space="preserve">could not be categorised with the CFCS. </w:t>
      </w:r>
    </w:p>
    <w:p w14:paraId="7724BCFE" w14:textId="77777777" w:rsidR="00F702F7" w:rsidRPr="009D4EEE" w:rsidRDefault="00F702F7" w:rsidP="009E2DC8">
      <w:pPr>
        <w:spacing w:line="360" w:lineRule="auto"/>
        <w:jc w:val="both"/>
        <w:rPr>
          <w:rFonts w:ascii="Calibri" w:hAnsi="Calibri" w:cs="Arial"/>
          <w:b/>
          <w:lang w:val="en-GB"/>
        </w:rPr>
      </w:pPr>
    </w:p>
    <w:p w14:paraId="577364DE" w14:textId="77777777" w:rsidR="00F702F7" w:rsidRPr="009D4EEE" w:rsidRDefault="00F702F7" w:rsidP="009E2DC8">
      <w:pPr>
        <w:spacing w:line="360" w:lineRule="auto"/>
        <w:jc w:val="both"/>
        <w:rPr>
          <w:rFonts w:ascii="Calibri" w:hAnsi="Calibri" w:cs="Arial"/>
          <w:b/>
          <w:lang w:val="en-GB"/>
        </w:rPr>
      </w:pPr>
      <w:r w:rsidRPr="009D4EEE">
        <w:rPr>
          <w:rFonts w:ascii="Calibri" w:hAnsi="Calibri" w:cs="Arial"/>
          <w:b/>
          <w:lang w:val="en-GB"/>
        </w:rPr>
        <w:t>Measures</w:t>
      </w:r>
    </w:p>
    <w:p w14:paraId="00F17796" w14:textId="77777777" w:rsidR="00F702F7" w:rsidRPr="009D4EEE" w:rsidRDefault="00F702F7" w:rsidP="007343B8">
      <w:pPr>
        <w:spacing w:line="360" w:lineRule="auto"/>
        <w:jc w:val="both"/>
        <w:rPr>
          <w:rFonts w:ascii="Calibri" w:hAnsi="Calibri" w:cs="Arial"/>
          <w:b/>
          <w:lang w:val="en-GB"/>
        </w:rPr>
      </w:pPr>
      <w:r w:rsidRPr="009D4EEE">
        <w:rPr>
          <w:rFonts w:ascii="Calibri" w:hAnsi="Calibri" w:cs="Arial"/>
          <w:b/>
          <w:lang w:val="en-GB"/>
        </w:rPr>
        <w:t>Functional classification</w:t>
      </w:r>
    </w:p>
    <w:p w14:paraId="4A856E4A" w14:textId="69470D00" w:rsidR="00F702F7" w:rsidRDefault="00F702F7" w:rsidP="009E2DC8">
      <w:pPr>
        <w:spacing w:line="360" w:lineRule="auto"/>
        <w:jc w:val="both"/>
        <w:rPr>
          <w:rFonts w:ascii="Calibri" w:hAnsi="Calibri" w:cs="Arial"/>
          <w:lang w:val="en-GB"/>
        </w:rPr>
      </w:pPr>
      <w:r w:rsidRPr="00230138">
        <w:rPr>
          <w:rFonts w:ascii="Calibri" w:hAnsi="Calibri" w:cs="Arial"/>
          <w:lang w:val="en-GB"/>
        </w:rPr>
        <w:t>The three functional classification systems, GMFCS</w:t>
      </w:r>
      <w:r w:rsidR="009D12C1">
        <w:rPr>
          <w:rFonts w:ascii="Calibri" w:hAnsi="Calibri"/>
          <w:b/>
          <w:color w:val="FF0000"/>
          <w:vertAlign w:val="superscript"/>
          <w:lang w:val="en-GB"/>
        </w:rPr>
        <w:t>19</w:t>
      </w:r>
      <w:r w:rsidRPr="00230138">
        <w:rPr>
          <w:rFonts w:ascii="Calibri" w:hAnsi="Calibri" w:cs="Arial"/>
          <w:lang w:val="en-GB"/>
        </w:rPr>
        <w:t>, MACS</w:t>
      </w:r>
      <w:r w:rsidR="009D12C1">
        <w:rPr>
          <w:rFonts w:ascii="Calibri" w:hAnsi="Calibri"/>
          <w:b/>
          <w:color w:val="FF0000"/>
          <w:vertAlign w:val="superscript"/>
          <w:lang w:val="en-GB"/>
        </w:rPr>
        <w:t>20</w:t>
      </w:r>
      <w:r w:rsidRPr="00230138">
        <w:rPr>
          <w:rFonts w:ascii="Calibri" w:hAnsi="Calibri" w:cs="Arial"/>
          <w:lang w:val="en-GB"/>
        </w:rPr>
        <w:t xml:space="preserve"> and CFCS</w:t>
      </w:r>
      <w:r w:rsidR="009D12C1">
        <w:rPr>
          <w:rFonts w:ascii="Calibri" w:hAnsi="Calibri"/>
          <w:b/>
          <w:color w:val="FF0000"/>
          <w:vertAlign w:val="superscript"/>
          <w:lang w:val="en-GB"/>
        </w:rPr>
        <w:t>21</w:t>
      </w:r>
      <w:r w:rsidRPr="00230138">
        <w:rPr>
          <w:rFonts w:ascii="Calibri" w:hAnsi="Calibri" w:cs="Arial"/>
          <w:lang w:val="en-GB"/>
        </w:rPr>
        <w:t>, are all ordinal rating scales comprised of five levels (I-V)</w:t>
      </w:r>
      <w:r>
        <w:rPr>
          <w:rFonts w:ascii="Calibri" w:hAnsi="Calibri" w:cs="Arial"/>
          <w:lang w:val="en-GB"/>
        </w:rPr>
        <w:t>.</w:t>
      </w:r>
      <w:r w:rsidRPr="00230138">
        <w:rPr>
          <w:rFonts w:ascii="Calibri" w:hAnsi="Calibri" w:cs="Arial"/>
          <w:lang w:val="en-GB"/>
        </w:rPr>
        <w:t xml:space="preserve"> </w:t>
      </w:r>
      <w:r>
        <w:rPr>
          <w:rFonts w:ascii="Calibri" w:hAnsi="Calibri" w:cs="Arial"/>
          <w:lang w:val="en-GB"/>
        </w:rPr>
        <w:t>H</w:t>
      </w:r>
      <w:r w:rsidRPr="00230138">
        <w:rPr>
          <w:rFonts w:ascii="Calibri" w:hAnsi="Calibri" w:cs="Arial"/>
          <w:lang w:val="en-GB"/>
        </w:rPr>
        <w:t xml:space="preserve">igher levels reflect more severe functional disability </w:t>
      </w:r>
      <w:r w:rsidR="00357FE5">
        <w:rPr>
          <w:rFonts w:ascii="Calibri" w:hAnsi="Calibri" w:cs="Arial"/>
          <w:lang w:val="en-GB"/>
        </w:rPr>
        <w:t>(</w:t>
      </w:r>
      <w:r w:rsidRPr="00230138">
        <w:rPr>
          <w:rFonts w:ascii="Calibri" w:hAnsi="Calibri" w:cs="Arial"/>
          <w:lang w:val="en-GB"/>
        </w:rPr>
        <w:t>Table S2</w:t>
      </w:r>
      <w:r w:rsidR="00357FE5">
        <w:rPr>
          <w:rFonts w:ascii="Calibri" w:hAnsi="Calibri" w:cs="Arial"/>
          <w:lang w:val="en-GB"/>
        </w:rPr>
        <w:t>)</w:t>
      </w:r>
      <w:r w:rsidRPr="00230138">
        <w:rPr>
          <w:rFonts w:ascii="Calibri" w:hAnsi="Calibri" w:cs="Arial"/>
          <w:lang w:val="en-GB"/>
        </w:rPr>
        <w:t>.  Emphasis is on usual performance at home, school, and in community settings.</w:t>
      </w:r>
    </w:p>
    <w:p w14:paraId="7BE4DA95" w14:textId="77777777" w:rsidR="00F702F7" w:rsidRPr="009D4EEE" w:rsidRDefault="00F702F7" w:rsidP="009E2DC8">
      <w:pPr>
        <w:spacing w:line="360" w:lineRule="auto"/>
        <w:jc w:val="both"/>
        <w:rPr>
          <w:rFonts w:ascii="Calibri" w:hAnsi="Calibri" w:cs="Arial"/>
          <w:lang w:val="en-GB"/>
        </w:rPr>
      </w:pPr>
    </w:p>
    <w:p w14:paraId="15A2794C" w14:textId="77777777" w:rsidR="00F702F7" w:rsidRPr="009D4EEE" w:rsidRDefault="00F702F7" w:rsidP="009E2DC8">
      <w:pPr>
        <w:spacing w:line="360" w:lineRule="auto"/>
        <w:jc w:val="both"/>
        <w:rPr>
          <w:rFonts w:ascii="Calibri" w:hAnsi="Calibri" w:cs="Arial"/>
          <w:lang w:val="en-GB"/>
        </w:rPr>
      </w:pPr>
      <w:r w:rsidRPr="009D4EEE">
        <w:rPr>
          <w:rFonts w:ascii="Calibri" w:hAnsi="Calibri" w:cs="Arial"/>
          <w:lang w:val="en-GB"/>
        </w:rPr>
        <w:t xml:space="preserve">The GMFCS describes self-initiated gross motor function of children and young people with CP. Distinctions between levels are based on differences in functional abilities for independent sitting and walking and the need for assistive technology or wheeled mobility. </w:t>
      </w:r>
    </w:p>
    <w:p w14:paraId="15141322" w14:textId="77777777" w:rsidR="00F702F7" w:rsidRPr="009D4EEE" w:rsidDel="00063251" w:rsidRDefault="00F702F7" w:rsidP="009E2DC8">
      <w:pPr>
        <w:spacing w:line="360" w:lineRule="auto"/>
        <w:jc w:val="both"/>
        <w:rPr>
          <w:rFonts w:ascii="Calibri" w:hAnsi="Calibri" w:cs="Arial"/>
          <w:lang w:val="en-GB"/>
        </w:rPr>
      </w:pPr>
    </w:p>
    <w:p w14:paraId="3E2EAD82" w14:textId="77777777" w:rsidR="00F702F7" w:rsidRPr="009D4EEE" w:rsidRDefault="00F702F7" w:rsidP="009E2DC8">
      <w:pPr>
        <w:spacing w:line="360" w:lineRule="auto"/>
        <w:jc w:val="both"/>
        <w:rPr>
          <w:rFonts w:ascii="Calibri" w:hAnsi="Calibri" w:cs="Arial"/>
          <w:lang w:val="en-GB"/>
        </w:rPr>
      </w:pPr>
      <w:r w:rsidRPr="009D4EEE">
        <w:rPr>
          <w:rFonts w:ascii="Calibri" w:hAnsi="Calibri" w:cs="Arial"/>
          <w:lang w:val="en-GB"/>
        </w:rPr>
        <w:t>The MACS classifies how children with CP handle objects in everyday life. Differences between levels are based on the child’s self-initiated ability to handle objects and their need for assistance or adaptation</w:t>
      </w:r>
      <w:r>
        <w:rPr>
          <w:rFonts w:ascii="Calibri" w:hAnsi="Calibri" w:cs="Arial"/>
          <w:lang w:val="en-GB"/>
        </w:rPr>
        <w:t>s to perform manual activities.</w:t>
      </w:r>
    </w:p>
    <w:p w14:paraId="1FC329DF" w14:textId="77777777" w:rsidR="00F702F7" w:rsidRPr="009D4EEE" w:rsidRDefault="00F702F7" w:rsidP="009E2DC8">
      <w:pPr>
        <w:spacing w:line="360" w:lineRule="auto"/>
        <w:jc w:val="both"/>
        <w:rPr>
          <w:rFonts w:ascii="Calibri" w:hAnsi="Calibri" w:cs="Arial"/>
          <w:lang w:val="en-GB"/>
        </w:rPr>
      </w:pPr>
    </w:p>
    <w:p w14:paraId="1D2A1B18" w14:textId="77777777" w:rsidR="00F702F7" w:rsidRPr="009D4EEE" w:rsidRDefault="00F702F7" w:rsidP="009E2DC8">
      <w:pPr>
        <w:spacing w:line="360" w:lineRule="auto"/>
        <w:jc w:val="both"/>
        <w:rPr>
          <w:rFonts w:ascii="Calibri" w:hAnsi="Calibri" w:cs="Arial"/>
          <w:lang w:val="en-GB"/>
        </w:rPr>
      </w:pPr>
      <w:r w:rsidRPr="009D4EEE">
        <w:rPr>
          <w:rFonts w:ascii="Calibri" w:hAnsi="Calibri" w:cs="Arial"/>
          <w:lang w:val="en-GB"/>
        </w:rPr>
        <w:t>The CFCS classifies how easily and effectively children with CP communicate in everyday life. Differences between levels are based on the child’s ability to adopt ‘sender’ and ‘receiver’ roles, the pace of communication and the familiarity of communication partners. All methods of communication a</w:t>
      </w:r>
      <w:r w:rsidR="00F81147">
        <w:rPr>
          <w:rFonts w:ascii="Calibri" w:hAnsi="Calibri" w:cs="Arial"/>
          <w:lang w:val="en-GB"/>
        </w:rPr>
        <w:t>re considered.</w:t>
      </w:r>
    </w:p>
    <w:p w14:paraId="735E1B57" w14:textId="77777777" w:rsidR="00F702F7" w:rsidRPr="009D4EEE" w:rsidRDefault="00F702F7" w:rsidP="009E2DC8">
      <w:pPr>
        <w:spacing w:line="360" w:lineRule="auto"/>
        <w:jc w:val="both"/>
        <w:rPr>
          <w:rFonts w:ascii="Calibri" w:hAnsi="Calibri" w:cs="Arial"/>
          <w:lang w:val="en-GB"/>
        </w:rPr>
      </w:pPr>
    </w:p>
    <w:p w14:paraId="7C4BDE93" w14:textId="1D93C80F" w:rsidR="00F702F7" w:rsidRPr="009D4EEE" w:rsidRDefault="00EA28B2" w:rsidP="007343B8">
      <w:pPr>
        <w:spacing w:line="360" w:lineRule="auto"/>
        <w:jc w:val="both"/>
        <w:rPr>
          <w:rFonts w:ascii="Calibri" w:hAnsi="Calibri" w:cs="Arial"/>
          <w:lang w:val="en-GB"/>
        </w:rPr>
      </w:pPr>
      <w:r>
        <w:rPr>
          <w:rFonts w:ascii="Calibri" w:hAnsi="Calibri" w:cs="Arial"/>
          <w:lang w:val="en-GB"/>
        </w:rPr>
        <w:t xml:space="preserve">This </w:t>
      </w:r>
      <w:r w:rsidRPr="00EA28B2">
        <w:rPr>
          <w:rFonts w:ascii="Calibri" w:hAnsi="Calibri" w:cs="Arial"/>
          <w:lang w:val="en-GB"/>
        </w:rPr>
        <w:t xml:space="preserve">cross-sectional </w:t>
      </w:r>
      <w:r>
        <w:rPr>
          <w:rFonts w:ascii="Calibri" w:hAnsi="Calibri" w:cs="Arial"/>
          <w:lang w:val="en-GB"/>
        </w:rPr>
        <w:t xml:space="preserve">study compares and contrasts the patient’s status at the time of </w:t>
      </w:r>
      <w:r w:rsidRPr="009D4EEE">
        <w:rPr>
          <w:rFonts w:ascii="Calibri" w:hAnsi="Calibri" w:cs="Arial"/>
          <w:lang w:val="en-GB"/>
        </w:rPr>
        <w:t xml:space="preserve">initial multidisciplinary </w:t>
      </w:r>
      <w:r>
        <w:rPr>
          <w:rFonts w:ascii="Calibri" w:hAnsi="Calibri" w:cs="Arial"/>
          <w:lang w:val="en-GB"/>
        </w:rPr>
        <w:t xml:space="preserve">team </w:t>
      </w:r>
      <w:r w:rsidRPr="009D4EEE">
        <w:rPr>
          <w:rFonts w:ascii="Calibri" w:hAnsi="Calibri" w:cs="Arial"/>
          <w:lang w:val="en-GB"/>
        </w:rPr>
        <w:t>assessment</w:t>
      </w:r>
      <w:r>
        <w:rPr>
          <w:rFonts w:ascii="Calibri" w:hAnsi="Calibri" w:cs="Arial"/>
          <w:lang w:val="en-GB"/>
        </w:rPr>
        <w:t xml:space="preserve">. </w:t>
      </w:r>
      <w:r w:rsidR="00F702F7" w:rsidRPr="009D4EEE">
        <w:rPr>
          <w:rFonts w:ascii="Calibri" w:hAnsi="Calibri" w:cs="Arial"/>
          <w:lang w:val="en-GB"/>
        </w:rPr>
        <w:t>Patients were classified using GMFCS and MACS by an occupational therapist (HG) and/or a physical therapist (KT) at the time of initial assessment</w:t>
      </w:r>
      <w:r w:rsidR="00F702F7">
        <w:rPr>
          <w:rFonts w:ascii="Calibri" w:hAnsi="Calibri" w:cs="Arial"/>
          <w:lang w:val="en-GB"/>
        </w:rPr>
        <w:t>.</w:t>
      </w:r>
      <w:r w:rsidR="00F702F7" w:rsidRPr="009D4EEE">
        <w:rPr>
          <w:rFonts w:ascii="Calibri" w:hAnsi="Calibri" w:cs="Arial"/>
          <w:lang w:val="en-GB"/>
        </w:rPr>
        <w:t xml:space="preserve"> CFCS levels were retrospectively classified by the team’s </w:t>
      </w:r>
      <w:r w:rsidR="00594562" w:rsidRPr="009D4EEE">
        <w:rPr>
          <w:rFonts w:ascii="Calibri" w:hAnsi="Calibri" w:cs="Arial"/>
          <w:lang w:val="en-GB"/>
        </w:rPr>
        <w:t xml:space="preserve">occupational therapist </w:t>
      </w:r>
      <w:r w:rsidR="00F702F7" w:rsidRPr="009D4EEE">
        <w:rPr>
          <w:rFonts w:ascii="Calibri" w:hAnsi="Calibri" w:cs="Arial"/>
          <w:lang w:val="en-GB"/>
        </w:rPr>
        <w:t xml:space="preserve">(HG), speech </w:t>
      </w:r>
      <w:r w:rsidR="00F702F7" w:rsidRPr="009D4EEE">
        <w:rPr>
          <w:rFonts w:ascii="Calibri" w:hAnsi="Calibri" w:cs="Arial"/>
          <w:lang w:val="en-GB"/>
        </w:rPr>
        <w:lastRenderedPageBreak/>
        <w:t>and language therapist (LB) and neurology consultant (JPL) using comprehensive reports and a standard questionnaire completed at time of assessment. All assessors have several years of experience with paediat</w:t>
      </w:r>
      <w:r w:rsidR="00F702F7">
        <w:rPr>
          <w:rFonts w:ascii="Calibri" w:hAnsi="Calibri" w:cs="Arial"/>
          <w:lang w:val="en-GB"/>
        </w:rPr>
        <w:t>ric HMDs.</w:t>
      </w:r>
    </w:p>
    <w:p w14:paraId="05A6A4EB" w14:textId="77777777" w:rsidR="00F702F7" w:rsidRPr="009D4EEE" w:rsidRDefault="00F702F7" w:rsidP="009E2DC8">
      <w:pPr>
        <w:spacing w:line="360" w:lineRule="auto"/>
        <w:jc w:val="both"/>
        <w:rPr>
          <w:rFonts w:ascii="Calibri" w:hAnsi="Calibri" w:cs="Arial"/>
          <w:lang w:val="en-GB"/>
        </w:rPr>
      </w:pPr>
    </w:p>
    <w:p w14:paraId="6511740E" w14:textId="77777777" w:rsidR="00F702F7" w:rsidRPr="009D4EEE" w:rsidRDefault="00F702F7" w:rsidP="009E2DC8">
      <w:pPr>
        <w:spacing w:line="360" w:lineRule="auto"/>
        <w:jc w:val="both"/>
        <w:rPr>
          <w:rFonts w:ascii="Calibri" w:hAnsi="Calibri" w:cs="Arial"/>
          <w:lang w:val="en-GB"/>
        </w:rPr>
      </w:pPr>
    </w:p>
    <w:p w14:paraId="699E2F20" w14:textId="77777777" w:rsidR="00F702F7" w:rsidRPr="009D4EEE" w:rsidRDefault="00F702F7" w:rsidP="007343B8">
      <w:pPr>
        <w:spacing w:line="360" w:lineRule="auto"/>
        <w:jc w:val="both"/>
        <w:rPr>
          <w:rFonts w:ascii="Calibri" w:hAnsi="Calibri" w:cs="Arial"/>
          <w:b/>
          <w:lang w:val="en-GB"/>
        </w:rPr>
      </w:pPr>
      <w:r w:rsidRPr="009D4EEE">
        <w:rPr>
          <w:rFonts w:ascii="Calibri" w:hAnsi="Calibri" w:cs="Arial"/>
          <w:b/>
          <w:lang w:val="en-GB"/>
        </w:rPr>
        <w:t>Dystonia severity rating</w:t>
      </w:r>
    </w:p>
    <w:p w14:paraId="7482C9FF" w14:textId="58D98E0A" w:rsidR="009E269F" w:rsidRDefault="00F702F7" w:rsidP="009E2DC8">
      <w:pPr>
        <w:tabs>
          <w:tab w:val="left" w:pos="426"/>
        </w:tabs>
        <w:spacing w:line="360" w:lineRule="auto"/>
        <w:jc w:val="both"/>
        <w:rPr>
          <w:rFonts w:ascii="Calibri" w:hAnsi="Calibri" w:cs="Arial"/>
          <w:lang w:val="en-GB"/>
        </w:rPr>
      </w:pPr>
      <w:r w:rsidRPr="00864A8F">
        <w:rPr>
          <w:rFonts w:ascii="Calibri" w:hAnsi="Calibri" w:cs="Arial"/>
          <w:lang w:val="en-GB"/>
        </w:rPr>
        <w:t>The BFM-M was used to evaluate dystonia severity</w:t>
      </w:r>
      <w:r w:rsidR="009E269F" w:rsidRPr="00864A8F">
        <w:rPr>
          <w:rFonts w:ascii="Calibri" w:hAnsi="Calibri" w:cs="Arial"/>
          <w:lang w:val="en-GB"/>
        </w:rPr>
        <w:t xml:space="preserve"> following the published protocol</w:t>
      </w:r>
      <w:r w:rsidR="009D12C1">
        <w:rPr>
          <w:rFonts w:ascii="Calibri" w:hAnsi="Calibri"/>
          <w:b/>
          <w:color w:val="FF0000"/>
          <w:vertAlign w:val="superscript"/>
          <w:lang w:val="en-GB"/>
        </w:rPr>
        <w:t>31</w:t>
      </w:r>
      <w:r w:rsidRPr="00864A8F">
        <w:rPr>
          <w:rFonts w:ascii="Calibri" w:hAnsi="Calibri" w:cs="Arial"/>
          <w:lang w:val="en-GB"/>
        </w:rPr>
        <w:t xml:space="preserve">. </w:t>
      </w:r>
      <w:r w:rsidR="009E269F" w:rsidRPr="00864A8F">
        <w:rPr>
          <w:rFonts w:ascii="Calibri" w:hAnsi="Calibri" w:cs="Arial"/>
          <w:lang w:val="en-GB"/>
        </w:rPr>
        <w:t>The</w:t>
      </w:r>
      <w:r w:rsidR="009E269F">
        <w:rPr>
          <w:rFonts w:ascii="Calibri" w:hAnsi="Calibri" w:cs="Arial"/>
          <w:lang w:val="en-GB"/>
        </w:rPr>
        <w:t xml:space="preserve"> scale rates dystonia severity both at rest and</w:t>
      </w:r>
      <w:r w:rsidR="006A7039">
        <w:rPr>
          <w:rFonts w:ascii="Calibri" w:hAnsi="Calibri" w:cs="Arial"/>
          <w:lang w:val="en-GB"/>
        </w:rPr>
        <w:t xml:space="preserve"> with action</w:t>
      </w:r>
      <w:r w:rsidR="004555A6">
        <w:rPr>
          <w:rFonts w:ascii="Calibri" w:hAnsi="Calibri" w:cs="Arial"/>
          <w:lang w:val="en-GB"/>
        </w:rPr>
        <w:t>, t</w:t>
      </w:r>
      <w:r w:rsidR="006A7039">
        <w:rPr>
          <w:rFonts w:ascii="Calibri" w:hAnsi="Calibri" w:cs="Arial"/>
          <w:lang w:val="en-GB"/>
        </w:rPr>
        <w:t xml:space="preserve">he most severe state being dystonia at rest. </w:t>
      </w:r>
      <w:r w:rsidR="009E269F">
        <w:rPr>
          <w:rFonts w:ascii="Calibri" w:hAnsi="Calibri" w:cs="Arial"/>
          <w:lang w:val="en-GB"/>
        </w:rPr>
        <w:t xml:space="preserve">Scores are </w:t>
      </w:r>
      <w:r w:rsidRPr="00CF318E">
        <w:rPr>
          <w:rFonts w:ascii="Calibri" w:hAnsi="Calibri" w:cs="Arial"/>
          <w:lang w:val="en-GB"/>
        </w:rPr>
        <w:t xml:space="preserve">obtained from </w:t>
      </w:r>
      <w:r w:rsidR="009E269F">
        <w:rPr>
          <w:rFonts w:ascii="Calibri" w:hAnsi="Calibri" w:cs="Arial"/>
          <w:lang w:val="en-GB"/>
        </w:rPr>
        <w:t xml:space="preserve">individual assessment scores of each of nine body regions </w:t>
      </w:r>
      <w:r w:rsidRPr="00CF318E">
        <w:rPr>
          <w:rFonts w:ascii="Calibri" w:hAnsi="Calibri" w:cs="Arial"/>
          <w:lang w:val="en-GB"/>
        </w:rPr>
        <w:t xml:space="preserve">in terms of severity and also provoking factors such as speaking, writing, and walking. </w:t>
      </w:r>
      <w:r w:rsidR="009E269F">
        <w:rPr>
          <w:rFonts w:ascii="Calibri" w:hAnsi="Calibri" w:cs="Arial"/>
          <w:lang w:val="en-GB"/>
        </w:rPr>
        <w:t xml:space="preserve">Both severity and provoking factors are rated from 0-4 with higher scores denoting </w:t>
      </w:r>
      <w:r w:rsidR="0032564D">
        <w:rPr>
          <w:rFonts w:ascii="Calibri" w:hAnsi="Calibri" w:cs="Arial"/>
          <w:lang w:val="en-GB"/>
        </w:rPr>
        <w:t xml:space="preserve">more severe </w:t>
      </w:r>
      <w:r w:rsidR="009E269F" w:rsidRPr="004555A6">
        <w:rPr>
          <w:rFonts w:ascii="Calibri" w:hAnsi="Calibri" w:cs="Arial"/>
          <w:lang w:val="en-GB"/>
        </w:rPr>
        <w:t>dystonia.</w:t>
      </w:r>
      <w:r w:rsidR="006A7039" w:rsidRPr="004555A6">
        <w:rPr>
          <w:rFonts w:ascii="Calibri" w:hAnsi="Calibri" w:cs="Arial"/>
          <w:lang w:val="en-GB"/>
        </w:rPr>
        <w:t xml:space="preserve"> The individual region results for provoking and severity factors are</w:t>
      </w:r>
      <w:r w:rsidR="006A7039">
        <w:rPr>
          <w:rFonts w:ascii="Calibri" w:hAnsi="Calibri" w:cs="Arial"/>
          <w:lang w:val="en-GB"/>
        </w:rPr>
        <w:t xml:space="preserve"> multiplied to give a </w:t>
      </w:r>
      <w:r w:rsidR="0032564D">
        <w:rPr>
          <w:rFonts w:ascii="Calibri" w:hAnsi="Calibri" w:cs="Arial"/>
          <w:lang w:val="en-GB"/>
        </w:rPr>
        <w:t>score</w:t>
      </w:r>
      <w:r w:rsidR="006A7039">
        <w:rPr>
          <w:rFonts w:ascii="Calibri" w:hAnsi="Calibri" w:cs="Arial"/>
          <w:lang w:val="en-GB"/>
        </w:rPr>
        <w:t xml:space="preserve"> for that particular region. </w:t>
      </w:r>
      <w:r w:rsidR="0032564D">
        <w:rPr>
          <w:rFonts w:ascii="Calibri" w:hAnsi="Calibri" w:cs="Arial"/>
          <w:lang w:val="en-GB"/>
        </w:rPr>
        <w:t>The</w:t>
      </w:r>
      <w:r w:rsidR="006A7039">
        <w:rPr>
          <w:rFonts w:ascii="Calibri" w:hAnsi="Calibri" w:cs="Arial"/>
          <w:lang w:val="en-GB"/>
        </w:rPr>
        <w:t xml:space="preserve"> total BFM-M raw score range</w:t>
      </w:r>
      <w:r w:rsidR="006E375D">
        <w:rPr>
          <w:rFonts w:ascii="Calibri" w:hAnsi="Calibri" w:cs="Arial"/>
          <w:lang w:val="en-GB"/>
        </w:rPr>
        <w:t>s</w:t>
      </w:r>
      <w:r w:rsidR="006A7039" w:rsidRPr="00CF318E">
        <w:rPr>
          <w:rFonts w:ascii="Calibri" w:hAnsi="Calibri" w:cs="Arial"/>
          <w:lang w:val="en-GB"/>
        </w:rPr>
        <w:t xml:space="preserve"> from 0 to 120</w:t>
      </w:r>
      <w:r w:rsidR="006E375D">
        <w:rPr>
          <w:rFonts w:ascii="Calibri" w:hAnsi="Calibri" w:cs="Arial"/>
          <w:lang w:val="en-GB"/>
        </w:rPr>
        <w:t xml:space="preserve">, a </w:t>
      </w:r>
      <w:r w:rsidR="006A7039">
        <w:rPr>
          <w:rFonts w:ascii="Calibri" w:hAnsi="Calibri" w:cs="Arial"/>
          <w:lang w:val="en-GB"/>
        </w:rPr>
        <w:t xml:space="preserve">higher </w:t>
      </w:r>
      <w:r w:rsidR="006E375D">
        <w:rPr>
          <w:rFonts w:ascii="Calibri" w:hAnsi="Calibri" w:cs="Arial"/>
          <w:lang w:val="en-GB"/>
        </w:rPr>
        <w:t>score denoting</w:t>
      </w:r>
      <w:r w:rsidR="006A7039">
        <w:rPr>
          <w:rFonts w:ascii="Calibri" w:hAnsi="Calibri" w:cs="Arial"/>
          <w:lang w:val="en-GB"/>
        </w:rPr>
        <w:t xml:space="preserve"> more severe dystonia.</w:t>
      </w:r>
    </w:p>
    <w:p w14:paraId="12CD07BA" w14:textId="77777777" w:rsidR="00F702F7" w:rsidRPr="00CF318E" w:rsidRDefault="00F702F7" w:rsidP="009E2DC8">
      <w:pPr>
        <w:tabs>
          <w:tab w:val="left" w:pos="426"/>
        </w:tabs>
        <w:spacing w:line="360" w:lineRule="auto"/>
        <w:jc w:val="both"/>
        <w:rPr>
          <w:rFonts w:ascii="Calibri" w:hAnsi="Calibri" w:cs="Arial"/>
          <w:lang w:val="en-GB"/>
        </w:rPr>
      </w:pPr>
    </w:p>
    <w:p w14:paraId="5EAE1D5F" w14:textId="1ACB97BA" w:rsidR="00F702F7" w:rsidRPr="009D4EEE" w:rsidRDefault="00F702F7" w:rsidP="009E2DC8">
      <w:pPr>
        <w:tabs>
          <w:tab w:val="left" w:pos="426"/>
        </w:tabs>
        <w:spacing w:line="360" w:lineRule="auto"/>
        <w:jc w:val="both"/>
        <w:rPr>
          <w:rFonts w:ascii="Calibri" w:hAnsi="Calibri" w:cs="Arial"/>
          <w:lang w:val="en-GB"/>
        </w:rPr>
      </w:pPr>
      <w:r w:rsidRPr="00CF318E">
        <w:rPr>
          <w:rFonts w:ascii="Calibri" w:hAnsi="Calibri" w:cs="Arial"/>
          <w:lang w:val="en-GB"/>
        </w:rPr>
        <w:t>The BFM-M was administered and subsequently scored from video by CMDS therapists with reference to the original guidelines</w:t>
      </w:r>
      <w:r w:rsidR="009D12C1">
        <w:rPr>
          <w:rFonts w:ascii="Calibri" w:hAnsi="Calibri"/>
          <w:b/>
          <w:color w:val="FF0000"/>
          <w:vertAlign w:val="superscript"/>
          <w:lang w:val="en-GB"/>
        </w:rPr>
        <w:t>31</w:t>
      </w:r>
      <w:r w:rsidRPr="00CF318E">
        <w:rPr>
          <w:rFonts w:ascii="Calibri" w:hAnsi="Calibri" w:cs="Arial"/>
          <w:lang w:val="en-GB"/>
        </w:rPr>
        <w:t>. Assessors were not blinded. The baseline scores for some of the participants in this sample have been previously reported in</w:t>
      </w:r>
      <w:r w:rsidRPr="009D4EEE">
        <w:rPr>
          <w:rFonts w:ascii="Calibri" w:hAnsi="Calibri" w:cs="Arial"/>
          <w:lang w:val="en-GB"/>
        </w:rPr>
        <w:t xml:space="preserve"> interventional </w:t>
      </w:r>
      <w:r w:rsidR="00836D40">
        <w:rPr>
          <w:rFonts w:ascii="Calibri" w:hAnsi="Calibri" w:cs="Arial"/>
          <w:lang w:val="en-GB"/>
        </w:rPr>
        <w:t>studies by our group</w:t>
      </w:r>
      <w:r w:rsidR="00107CDE">
        <w:rPr>
          <w:rFonts w:ascii="Calibri" w:hAnsi="Calibri"/>
          <w:b/>
          <w:color w:val="FF0000"/>
          <w:vertAlign w:val="superscript"/>
          <w:lang w:val="en-GB"/>
        </w:rPr>
        <w:t>5</w:t>
      </w:r>
      <w:r w:rsidR="00836D40" w:rsidRPr="00836D40">
        <w:rPr>
          <w:rFonts w:ascii="Calibri" w:hAnsi="Calibri"/>
          <w:b/>
          <w:color w:val="FF0000"/>
          <w:vertAlign w:val="superscript"/>
          <w:lang w:val="en-GB"/>
        </w:rPr>
        <w:t>,</w:t>
      </w:r>
      <w:r w:rsidR="00F948A2">
        <w:rPr>
          <w:rFonts w:ascii="Calibri" w:hAnsi="Calibri"/>
          <w:b/>
          <w:color w:val="FF0000"/>
          <w:vertAlign w:val="superscript"/>
          <w:lang w:val="en-GB"/>
        </w:rPr>
        <w:t>11</w:t>
      </w:r>
      <w:r w:rsidRPr="00836D40">
        <w:rPr>
          <w:rFonts w:ascii="Calibri" w:hAnsi="Calibri"/>
          <w:b/>
          <w:color w:val="FF0000"/>
          <w:vertAlign w:val="superscript"/>
          <w:lang w:val="en-GB"/>
        </w:rPr>
        <w:t>,</w:t>
      </w:r>
      <w:r w:rsidR="009D12C1">
        <w:rPr>
          <w:rFonts w:ascii="Calibri" w:hAnsi="Calibri"/>
          <w:b/>
          <w:color w:val="FF0000"/>
          <w:vertAlign w:val="superscript"/>
          <w:lang w:val="en-GB"/>
        </w:rPr>
        <w:t>15</w:t>
      </w:r>
      <w:r w:rsidRPr="00115CA9">
        <w:rPr>
          <w:rFonts w:ascii="Calibri" w:hAnsi="Calibri" w:cs="Arial"/>
          <w:lang w:val="en-GB"/>
        </w:rPr>
        <w:t xml:space="preserve">. </w:t>
      </w:r>
    </w:p>
    <w:p w14:paraId="58A9A532" w14:textId="77777777" w:rsidR="00F702F7" w:rsidRPr="009D4EEE" w:rsidRDefault="00F702F7" w:rsidP="009E2DC8">
      <w:pPr>
        <w:spacing w:line="360" w:lineRule="auto"/>
        <w:jc w:val="both"/>
        <w:rPr>
          <w:rFonts w:ascii="Calibri" w:hAnsi="Calibri" w:cs="Arial"/>
          <w:b/>
          <w:lang w:val="en-GB"/>
        </w:rPr>
      </w:pPr>
    </w:p>
    <w:p w14:paraId="7F334747" w14:textId="77777777" w:rsidR="00F702F7" w:rsidRPr="009D4EEE" w:rsidRDefault="00F702F7" w:rsidP="009E2DC8">
      <w:pPr>
        <w:spacing w:line="360" w:lineRule="auto"/>
        <w:jc w:val="both"/>
        <w:rPr>
          <w:rFonts w:ascii="Calibri" w:hAnsi="Calibri" w:cs="Arial"/>
          <w:b/>
          <w:lang w:val="en-GB"/>
        </w:rPr>
      </w:pPr>
      <w:r w:rsidRPr="009D4EEE">
        <w:rPr>
          <w:rFonts w:ascii="Calibri" w:hAnsi="Calibri" w:cs="Arial"/>
          <w:b/>
          <w:lang w:val="en-GB"/>
        </w:rPr>
        <w:t>Aetiological classification</w:t>
      </w:r>
    </w:p>
    <w:p w14:paraId="6D426002" w14:textId="7D82D340" w:rsidR="00F702F7" w:rsidRPr="009D4EEE" w:rsidRDefault="00F702F7" w:rsidP="009E2DC8">
      <w:pPr>
        <w:spacing w:line="360" w:lineRule="auto"/>
        <w:jc w:val="both"/>
        <w:rPr>
          <w:rFonts w:ascii="Calibri" w:hAnsi="Calibri" w:cs="Arial"/>
          <w:lang w:val="en-GB"/>
        </w:rPr>
      </w:pPr>
      <w:r w:rsidRPr="009D4EEE">
        <w:rPr>
          <w:rFonts w:ascii="Calibri" w:hAnsi="Calibri" w:cs="Arial"/>
          <w:lang w:val="en-GB"/>
        </w:rPr>
        <w:t xml:space="preserve">Children were categorised </w:t>
      </w:r>
      <w:r w:rsidRPr="00B61346">
        <w:rPr>
          <w:rFonts w:ascii="Calibri" w:hAnsi="Calibri" w:cs="Arial"/>
          <w:lang w:val="en-GB"/>
        </w:rPr>
        <w:t>by a paediatric neurologist</w:t>
      </w:r>
      <w:r w:rsidR="0032564D">
        <w:rPr>
          <w:rFonts w:ascii="Calibri" w:hAnsi="Calibri" w:cs="Arial"/>
          <w:lang w:val="en-GB"/>
        </w:rPr>
        <w:t xml:space="preserve"> (J</w:t>
      </w:r>
      <w:r>
        <w:rPr>
          <w:rFonts w:ascii="Calibri" w:hAnsi="Calibri" w:cs="Arial"/>
          <w:lang w:val="en-GB"/>
        </w:rPr>
        <w:t>PL)</w:t>
      </w:r>
      <w:r w:rsidRPr="00B61346">
        <w:rPr>
          <w:rFonts w:ascii="Calibri" w:hAnsi="Calibri" w:cs="Arial"/>
          <w:lang w:val="en-GB"/>
        </w:rPr>
        <w:t xml:space="preserve"> </w:t>
      </w:r>
      <w:r w:rsidRPr="009D4EEE">
        <w:rPr>
          <w:rFonts w:ascii="Calibri" w:hAnsi="Calibri" w:cs="Arial"/>
          <w:lang w:val="en-GB"/>
        </w:rPr>
        <w:t>into four main groups: (i)primary</w:t>
      </w:r>
      <w:r>
        <w:rPr>
          <w:rFonts w:ascii="Calibri" w:hAnsi="Calibri" w:cs="Arial"/>
          <w:lang w:val="en-GB"/>
        </w:rPr>
        <w:t xml:space="preserve"> dystonia</w:t>
      </w:r>
      <w:r w:rsidRPr="009D4EEE">
        <w:rPr>
          <w:rFonts w:ascii="Calibri" w:hAnsi="Calibri" w:cs="Arial"/>
          <w:lang w:val="en-GB"/>
        </w:rPr>
        <w:t>, (ii)primary-plus</w:t>
      </w:r>
      <w:r>
        <w:rPr>
          <w:rFonts w:ascii="Calibri" w:hAnsi="Calibri" w:cs="Arial"/>
          <w:lang w:val="en-GB"/>
        </w:rPr>
        <w:t xml:space="preserve"> dystonia</w:t>
      </w:r>
      <w:r w:rsidRPr="009D4EEE">
        <w:rPr>
          <w:rFonts w:ascii="Calibri" w:hAnsi="Calibri" w:cs="Arial"/>
          <w:lang w:val="en-GB"/>
        </w:rPr>
        <w:t>, (iii)secondary</w:t>
      </w:r>
      <w:r>
        <w:rPr>
          <w:rFonts w:ascii="Calibri" w:hAnsi="Calibri" w:cs="Arial"/>
          <w:lang w:val="en-GB"/>
        </w:rPr>
        <w:t xml:space="preserve"> HMD</w:t>
      </w:r>
      <w:r w:rsidRPr="009D4EEE">
        <w:rPr>
          <w:rFonts w:ascii="Calibri" w:hAnsi="Calibri" w:cs="Arial"/>
          <w:lang w:val="en-GB"/>
        </w:rPr>
        <w:t>-static and (iv)secondary</w:t>
      </w:r>
      <w:r>
        <w:rPr>
          <w:rFonts w:ascii="Calibri" w:hAnsi="Calibri" w:cs="Arial"/>
          <w:lang w:val="en-GB"/>
        </w:rPr>
        <w:t xml:space="preserve"> HMD</w:t>
      </w:r>
      <w:r w:rsidRPr="009D4EEE">
        <w:rPr>
          <w:rFonts w:ascii="Calibri" w:hAnsi="Calibri" w:cs="Arial"/>
          <w:lang w:val="en-GB"/>
        </w:rPr>
        <w:t>-</w:t>
      </w:r>
      <w:r w:rsidRPr="00AE085D">
        <w:rPr>
          <w:rFonts w:ascii="Calibri" w:hAnsi="Calibri" w:cs="Arial"/>
          <w:lang w:val="en-GB"/>
        </w:rPr>
        <w:t>progressive. This is reported more fully in our previous publications</w:t>
      </w:r>
      <w:r w:rsidR="00A45FD3">
        <w:rPr>
          <w:rFonts w:ascii="Calibri" w:hAnsi="Calibri"/>
          <w:b/>
          <w:color w:val="FF0000"/>
          <w:vertAlign w:val="superscript"/>
          <w:lang w:val="en-GB"/>
        </w:rPr>
        <w:t>2</w:t>
      </w:r>
      <w:r w:rsidR="00836D40">
        <w:rPr>
          <w:rFonts w:ascii="Calibri" w:hAnsi="Calibri"/>
          <w:b/>
          <w:color w:val="FF0000"/>
          <w:vertAlign w:val="superscript"/>
          <w:lang w:val="en-GB"/>
        </w:rPr>
        <w:t>,</w:t>
      </w:r>
      <w:r w:rsidR="00107CDE">
        <w:rPr>
          <w:rFonts w:ascii="Calibri" w:hAnsi="Calibri"/>
          <w:b/>
          <w:color w:val="FF0000"/>
          <w:vertAlign w:val="superscript"/>
          <w:lang w:val="en-GB"/>
        </w:rPr>
        <w:t>5</w:t>
      </w:r>
      <w:r w:rsidR="00836D40">
        <w:rPr>
          <w:rFonts w:ascii="Calibri" w:hAnsi="Calibri"/>
          <w:b/>
          <w:color w:val="FF0000"/>
          <w:vertAlign w:val="superscript"/>
          <w:lang w:val="en-GB"/>
        </w:rPr>
        <w:t>,</w:t>
      </w:r>
      <w:r w:rsidR="009D12C1">
        <w:rPr>
          <w:rFonts w:ascii="Calibri" w:hAnsi="Calibri"/>
          <w:b/>
          <w:color w:val="FF0000"/>
          <w:vertAlign w:val="superscript"/>
          <w:lang w:val="en-GB"/>
        </w:rPr>
        <w:t>15</w:t>
      </w:r>
      <w:r w:rsidRPr="00115CA9">
        <w:rPr>
          <w:rFonts w:ascii="Calibri" w:hAnsi="Calibri" w:cs="Arial"/>
          <w:lang w:val="en-GB"/>
        </w:rPr>
        <w:t>.</w:t>
      </w:r>
      <w:r w:rsidR="005A4BC0">
        <w:rPr>
          <w:rFonts w:ascii="Calibri" w:hAnsi="Calibri" w:cs="Arial"/>
          <w:lang w:val="en-GB"/>
        </w:rPr>
        <w:t xml:space="preserve"> The typical level of functional ability varied between the different aetiological classifications</w:t>
      </w:r>
      <w:r w:rsidR="008366D7">
        <w:rPr>
          <w:rFonts w:ascii="Calibri" w:hAnsi="Calibri" w:cs="Arial"/>
          <w:lang w:val="en-GB"/>
        </w:rPr>
        <w:t xml:space="preserve">, but both </w:t>
      </w:r>
      <w:r w:rsidR="00F806C2">
        <w:rPr>
          <w:rFonts w:ascii="Calibri" w:hAnsi="Calibri" w:cs="Arial"/>
          <w:lang w:val="en-GB"/>
        </w:rPr>
        <w:t>lesser and greater functional abilities are represented for all aetiological classifications</w:t>
      </w:r>
      <w:r w:rsidR="005A4BC0">
        <w:rPr>
          <w:rFonts w:ascii="Calibri" w:hAnsi="Calibri" w:cs="Arial"/>
          <w:lang w:val="en-GB"/>
        </w:rPr>
        <w:t xml:space="preserve"> </w:t>
      </w:r>
      <w:r w:rsidR="005A4BC0" w:rsidRPr="009D4EEE">
        <w:rPr>
          <w:rFonts w:ascii="Calibri" w:hAnsi="Calibri" w:cs="Arial"/>
          <w:lang w:val="en-GB"/>
        </w:rPr>
        <w:t>(Table S1)</w:t>
      </w:r>
      <w:r w:rsidR="005A4BC0">
        <w:rPr>
          <w:rFonts w:ascii="Calibri" w:hAnsi="Calibri" w:cs="Arial"/>
          <w:lang w:val="en-GB"/>
        </w:rPr>
        <w:t>.</w:t>
      </w:r>
    </w:p>
    <w:p w14:paraId="266A1840" w14:textId="77777777" w:rsidR="00F702F7" w:rsidRPr="00430F36" w:rsidRDefault="00F702F7" w:rsidP="00430F36">
      <w:pPr>
        <w:tabs>
          <w:tab w:val="left" w:pos="426"/>
        </w:tabs>
        <w:spacing w:line="360" w:lineRule="auto"/>
        <w:jc w:val="both"/>
        <w:rPr>
          <w:rFonts w:ascii="Calibri" w:hAnsi="Calibri" w:cs="Arial"/>
          <w:lang w:val="en-GB"/>
        </w:rPr>
      </w:pPr>
    </w:p>
    <w:p w14:paraId="4F311BE7" w14:textId="2438373A" w:rsidR="009E269F" w:rsidRPr="00430F36" w:rsidRDefault="00C05033" w:rsidP="00430F36">
      <w:pPr>
        <w:spacing w:line="360" w:lineRule="auto"/>
        <w:jc w:val="both"/>
        <w:rPr>
          <w:rFonts w:ascii="Calibri" w:hAnsi="Calibri" w:cs="Arial"/>
          <w:b/>
          <w:lang w:val="en-GB"/>
        </w:rPr>
      </w:pPr>
      <w:r w:rsidRPr="00430F36">
        <w:rPr>
          <w:rFonts w:ascii="Calibri" w:hAnsi="Calibri" w:cs="Arial"/>
          <w:b/>
          <w:lang w:val="en-GB"/>
        </w:rPr>
        <w:t>Proporti</w:t>
      </w:r>
      <w:r w:rsidR="007D37ED">
        <w:rPr>
          <w:rFonts w:ascii="Calibri" w:hAnsi="Calibri" w:cs="Arial"/>
          <w:b/>
          <w:lang w:val="en-GB"/>
        </w:rPr>
        <w:t>on of life lived with dystonia</w:t>
      </w:r>
    </w:p>
    <w:p w14:paraId="2A083FCA" w14:textId="6C918182" w:rsidR="009E269F" w:rsidRPr="00430F36" w:rsidRDefault="00430F36" w:rsidP="00430F36">
      <w:pPr>
        <w:tabs>
          <w:tab w:val="left" w:pos="426"/>
        </w:tabs>
        <w:spacing w:line="360" w:lineRule="auto"/>
        <w:jc w:val="both"/>
        <w:rPr>
          <w:rFonts w:ascii="Calibri" w:hAnsi="Calibri" w:cs="Arial"/>
          <w:lang w:val="en-GB"/>
        </w:rPr>
      </w:pPr>
      <w:r>
        <w:rPr>
          <w:rFonts w:ascii="Calibri" w:hAnsi="Calibri" w:cs="Arial"/>
          <w:lang w:val="en-GB"/>
        </w:rPr>
        <w:t xml:space="preserve">The </w:t>
      </w:r>
      <w:r w:rsidR="007D37ED">
        <w:rPr>
          <w:rFonts w:ascii="Calibri" w:hAnsi="Calibri" w:cs="Arial"/>
          <w:lang w:val="en-GB"/>
        </w:rPr>
        <w:t>p</w:t>
      </w:r>
      <w:r w:rsidRPr="00430F36">
        <w:rPr>
          <w:rFonts w:ascii="Calibri" w:hAnsi="Calibri" w:cs="Arial"/>
          <w:lang w:val="en-GB"/>
        </w:rPr>
        <w:t>roportion of life lived with dystonia</w:t>
      </w:r>
      <w:r w:rsidR="007D37ED">
        <w:rPr>
          <w:rFonts w:ascii="Calibri" w:hAnsi="Calibri" w:cs="Arial"/>
          <w:lang w:val="en-GB"/>
        </w:rPr>
        <w:t xml:space="preserve"> (PLD)</w:t>
      </w:r>
      <w:r w:rsidR="00C05033" w:rsidRPr="00430F36">
        <w:rPr>
          <w:rFonts w:ascii="Calibri" w:hAnsi="Calibri" w:cs="Arial"/>
          <w:lang w:val="en-GB"/>
        </w:rPr>
        <w:t xml:space="preserve"> is the duration of dystonia divided by the age of the child at the time of assessment. </w:t>
      </w:r>
      <w:r w:rsidR="00F174A0" w:rsidRPr="00430F36">
        <w:rPr>
          <w:rFonts w:ascii="Calibri" w:hAnsi="Calibri" w:cs="Arial"/>
          <w:lang w:val="en-GB"/>
        </w:rPr>
        <w:t>T</w:t>
      </w:r>
      <w:r w:rsidR="00C05033" w:rsidRPr="00430F36">
        <w:rPr>
          <w:rFonts w:ascii="Calibri" w:hAnsi="Calibri" w:cs="Arial"/>
          <w:lang w:val="en-GB"/>
        </w:rPr>
        <w:t xml:space="preserve">he </w:t>
      </w:r>
      <w:r w:rsidR="007D37ED">
        <w:rPr>
          <w:rFonts w:ascii="Calibri" w:hAnsi="Calibri" w:cs="Arial"/>
          <w:lang w:val="en-GB"/>
        </w:rPr>
        <w:t>PLD ranges from 0 to 1 with values close to 0 indicating a very recent onset of dystonia while values close to 1 indicate the child has lived with dystonia for almost all of his/her life.</w:t>
      </w:r>
    </w:p>
    <w:p w14:paraId="1983FE2E" w14:textId="77777777" w:rsidR="00C05033" w:rsidRPr="00430F36" w:rsidRDefault="00C05033" w:rsidP="00430F36">
      <w:pPr>
        <w:tabs>
          <w:tab w:val="left" w:pos="426"/>
        </w:tabs>
        <w:spacing w:line="360" w:lineRule="auto"/>
        <w:jc w:val="both"/>
        <w:rPr>
          <w:rFonts w:ascii="Calibri" w:hAnsi="Calibri" w:cs="Arial"/>
          <w:lang w:val="en-GB"/>
        </w:rPr>
      </w:pPr>
    </w:p>
    <w:p w14:paraId="77BADD5C" w14:textId="77777777" w:rsidR="00F702F7" w:rsidRPr="009D4EEE" w:rsidRDefault="00F702F7" w:rsidP="009E2DC8">
      <w:pPr>
        <w:spacing w:line="360" w:lineRule="auto"/>
        <w:jc w:val="both"/>
        <w:rPr>
          <w:rFonts w:ascii="Calibri" w:hAnsi="Calibri" w:cs="Arial"/>
          <w:b/>
          <w:lang w:val="en-GB"/>
        </w:rPr>
      </w:pPr>
      <w:r w:rsidRPr="009D4EEE">
        <w:rPr>
          <w:rFonts w:ascii="Calibri" w:hAnsi="Calibri" w:cs="Arial"/>
          <w:b/>
          <w:lang w:val="en-GB"/>
        </w:rPr>
        <w:t>Ethics and informed consent</w:t>
      </w:r>
    </w:p>
    <w:p w14:paraId="56CB0A88" w14:textId="77777777" w:rsidR="00F702F7" w:rsidRPr="009D4EEE" w:rsidRDefault="00F702F7" w:rsidP="009E2DC8">
      <w:pPr>
        <w:spacing w:line="360" w:lineRule="auto"/>
        <w:jc w:val="both"/>
        <w:rPr>
          <w:rFonts w:ascii="Calibri" w:hAnsi="Calibri" w:cs="Arial"/>
          <w:lang w:val="en-GB"/>
        </w:rPr>
      </w:pPr>
      <w:r w:rsidRPr="009D4EEE">
        <w:rPr>
          <w:rFonts w:ascii="Calibri" w:hAnsi="Calibri" w:cs="Arial"/>
          <w:lang w:val="en-GB"/>
        </w:rPr>
        <w:t xml:space="preserve">This study was registered as an audit with Guy’s and St Thomas’ NHS Trust. Consultation with the chair of the local Research Ethics Committee determined ethics approval was not required given data </w:t>
      </w:r>
      <w:r>
        <w:rPr>
          <w:rFonts w:ascii="Calibri" w:hAnsi="Calibri" w:cs="Arial"/>
          <w:lang w:val="en-GB"/>
        </w:rPr>
        <w:t>fall</w:t>
      </w:r>
      <w:r w:rsidRPr="009D4EEE">
        <w:rPr>
          <w:rFonts w:ascii="Calibri" w:hAnsi="Calibri" w:cs="Arial"/>
          <w:lang w:val="en-GB"/>
        </w:rPr>
        <w:t xml:space="preserve"> into the category of “research involving previously collected, non-identifiable information”. Since data </w:t>
      </w:r>
      <w:r>
        <w:rPr>
          <w:rFonts w:ascii="Calibri" w:hAnsi="Calibri" w:cs="Arial"/>
          <w:lang w:val="en-GB"/>
        </w:rPr>
        <w:t xml:space="preserve">were </w:t>
      </w:r>
      <w:r w:rsidRPr="009D4EEE">
        <w:rPr>
          <w:rFonts w:ascii="Calibri" w:hAnsi="Calibri" w:cs="Arial"/>
          <w:lang w:val="en-GB"/>
        </w:rPr>
        <w:t xml:space="preserve">permanently anonymised, consent was neither required nor obtained. </w:t>
      </w:r>
    </w:p>
    <w:p w14:paraId="465FE3D7" w14:textId="77777777" w:rsidR="00F702F7" w:rsidRPr="009D4EEE" w:rsidRDefault="00F702F7" w:rsidP="009E2DC8">
      <w:pPr>
        <w:tabs>
          <w:tab w:val="left" w:pos="426"/>
        </w:tabs>
        <w:spacing w:line="360" w:lineRule="auto"/>
        <w:jc w:val="both"/>
        <w:rPr>
          <w:rFonts w:ascii="Calibri" w:hAnsi="Calibri" w:cs="Arial"/>
          <w:lang w:val="en-GB"/>
        </w:rPr>
      </w:pPr>
    </w:p>
    <w:p w14:paraId="67B4802D" w14:textId="77777777" w:rsidR="00F702F7" w:rsidRPr="009D4EEE" w:rsidRDefault="00F702F7" w:rsidP="009E2DC8">
      <w:pPr>
        <w:spacing w:line="360" w:lineRule="auto"/>
        <w:jc w:val="both"/>
        <w:rPr>
          <w:rFonts w:ascii="Calibri" w:hAnsi="Calibri" w:cs="Arial"/>
          <w:b/>
          <w:lang w:val="en-GB"/>
        </w:rPr>
      </w:pPr>
      <w:r w:rsidRPr="009D4EEE">
        <w:rPr>
          <w:rFonts w:ascii="Calibri" w:hAnsi="Calibri" w:cs="Arial"/>
          <w:b/>
          <w:lang w:val="en-GB"/>
        </w:rPr>
        <w:t>Statistical analysis</w:t>
      </w:r>
    </w:p>
    <w:p w14:paraId="12A62CB8" w14:textId="77777777" w:rsidR="00F702F7" w:rsidRPr="009D4EEE" w:rsidRDefault="00F702F7" w:rsidP="009E2DC8">
      <w:pPr>
        <w:spacing w:line="360" w:lineRule="auto"/>
        <w:jc w:val="both"/>
        <w:rPr>
          <w:rFonts w:ascii="Calibri" w:hAnsi="Calibri" w:cs="Arial"/>
          <w:lang w:val="en-GB"/>
        </w:rPr>
      </w:pPr>
      <w:r w:rsidRPr="009D4EEE">
        <w:rPr>
          <w:rFonts w:ascii="Calibri" w:hAnsi="Calibri" w:cs="Arial"/>
          <w:lang w:val="en-GB"/>
        </w:rPr>
        <w:t xml:space="preserve">Data analysis was performed using the R language for statistical computing, version 3.01. Differences in BFM-M between two levels of a categorical variable were assessed using the Mann–Whitney–Wilcoxon test. Overall relationships between BFM-M and categorical variables were evaluated with the Kruskal-Wallis </w:t>
      </w:r>
      <w:r>
        <w:rPr>
          <w:rFonts w:ascii="Calibri" w:hAnsi="Calibri" w:cs="Arial"/>
          <w:lang w:val="en-GB"/>
        </w:rPr>
        <w:t>r</w:t>
      </w:r>
      <w:r w:rsidRPr="009D4EEE">
        <w:rPr>
          <w:rFonts w:ascii="Calibri" w:hAnsi="Calibri" w:cs="Arial"/>
          <w:lang w:val="en-GB"/>
        </w:rPr>
        <w:t xml:space="preserve">ank </w:t>
      </w:r>
      <w:r>
        <w:rPr>
          <w:rFonts w:ascii="Calibri" w:hAnsi="Calibri" w:cs="Arial"/>
          <w:lang w:val="en-GB"/>
        </w:rPr>
        <w:t>s</w:t>
      </w:r>
      <w:r w:rsidRPr="009D4EEE">
        <w:rPr>
          <w:rFonts w:ascii="Calibri" w:hAnsi="Calibri" w:cs="Arial"/>
          <w:lang w:val="en-GB"/>
        </w:rPr>
        <w:t xml:space="preserve">um </w:t>
      </w:r>
      <w:r>
        <w:rPr>
          <w:rFonts w:ascii="Calibri" w:hAnsi="Calibri" w:cs="Arial"/>
          <w:lang w:val="en-GB"/>
        </w:rPr>
        <w:t>t</w:t>
      </w:r>
      <w:r w:rsidRPr="009D4EEE">
        <w:rPr>
          <w:rFonts w:ascii="Calibri" w:hAnsi="Calibri" w:cs="Arial"/>
          <w:lang w:val="en-GB"/>
        </w:rPr>
        <w:t xml:space="preserve">est and proportion variation explained (R²).  Relationships between two categorical variables were assessed using </w:t>
      </w:r>
      <w:r w:rsidRPr="006C01C9">
        <w:rPr>
          <w:rFonts w:ascii="Calibri" w:hAnsi="Calibri" w:cs="Arial"/>
          <w:lang w:val="en-GB"/>
        </w:rPr>
        <w:t>Pearson's chi-squared test</w:t>
      </w:r>
      <w:r>
        <w:rPr>
          <w:rFonts w:ascii="Calibri" w:hAnsi="Calibri" w:cs="Arial"/>
          <w:lang w:val="en-GB"/>
        </w:rPr>
        <w:t xml:space="preserve"> </w:t>
      </w:r>
      <w:r w:rsidRPr="009D4EEE">
        <w:rPr>
          <w:rFonts w:ascii="Calibri" w:hAnsi="Calibri" w:cs="Arial"/>
          <w:lang w:val="en-GB"/>
        </w:rPr>
        <w:t>and Pearson residuals. Spearman correlations (r</w:t>
      </w:r>
      <w:r w:rsidRPr="009D4EEE">
        <w:rPr>
          <w:rFonts w:ascii="Calibri" w:hAnsi="Calibri" w:cs="Arial"/>
          <w:vertAlign w:val="subscript"/>
          <w:lang w:val="en-GB"/>
        </w:rPr>
        <w:t>s</w:t>
      </w:r>
      <w:r w:rsidRPr="009D4EEE">
        <w:rPr>
          <w:rFonts w:ascii="Calibri" w:hAnsi="Calibri" w:cs="Arial"/>
          <w:lang w:val="en-GB"/>
        </w:rPr>
        <w:t>) were also provided as an estimate of the strength of the association between variables.</w:t>
      </w:r>
    </w:p>
    <w:p w14:paraId="0C0E57AD" w14:textId="77777777" w:rsidR="00F702F7" w:rsidRPr="009D4EEE" w:rsidRDefault="00F702F7" w:rsidP="009E2DC8">
      <w:pPr>
        <w:spacing w:line="360" w:lineRule="auto"/>
        <w:jc w:val="both"/>
        <w:rPr>
          <w:rFonts w:ascii="Calibri" w:hAnsi="Calibri" w:cs="Arial"/>
          <w:lang w:val="en-GB"/>
        </w:rPr>
      </w:pPr>
    </w:p>
    <w:p w14:paraId="1D46509B" w14:textId="0B683F6A" w:rsidR="00F702F7" w:rsidRPr="009D4EEE" w:rsidRDefault="00F702F7" w:rsidP="009E2DC8">
      <w:pPr>
        <w:spacing w:line="360" w:lineRule="auto"/>
        <w:jc w:val="both"/>
        <w:rPr>
          <w:rFonts w:ascii="Calibri" w:hAnsi="Calibri" w:cs="Arial"/>
          <w:lang w:val="en-GB"/>
        </w:rPr>
      </w:pPr>
      <w:r w:rsidRPr="009D4EEE">
        <w:rPr>
          <w:rFonts w:ascii="Calibri" w:hAnsi="Calibri" w:cs="Arial"/>
          <w:lang w:val="en-GB"/>
        </w:rPr>
        <w:t>Due to the number of statistical tests performed, multiple testing correction was deemed appropriate</w:t>
      </w:r>
      <w:r w:rsidR="0039190F">
        <w:rPr>
          <w:rFonts w:ascii="Calibri" w:hAnsi="Calibri" w:cs="Arial"/>
          <w:lang w:val="en-GB"/>
        </w:rPr>
        <w:t>.</w:t>
      </w:r>
      <w:r w:rsidRPr="009D4EEE">
        <w:rPr>
          <w:rFonts w:ascii="Calibri" w:hAnsi="Calibri" w:cs="Arial"/>
          <w:lang w:val="en-GB"/>
        </w:rPr>
        <w:t xml:space="preserve"> </w:t>
      </w:r>
      <w:r w:rsidR="0039190F">
        <w:rPr>
          <w:rFonts w:ascii="Calibri" w:hAnsi="Calibri" w:cs="Arial"/>
          <w:lang w:val="en-GB"/>
        </w:rPr>
        <w:t>O</w:t>
      </w:r>
      <w:r w:rsidRPr="009D4EEE">
        <w:rPr>
          <w:rFonts w:ascii="Calibri" w:hAnsi="Calibri" w:cs="Arial"/>
          <w:lang w:val="en-GB"/>
        </w:rPr>
        <w:t>ur</w:t>
      </w:r>
      <w:r w:rsidR="0039190F">
        <w:rPr>
          <w:rFonts w:ascii="Calibri" w:hAnsi="Calibri" w:cs="Arial"/>
          <w:lang w:val="en-GB"/>
        </w:rPr>
        <w:t xml:space="preserve"> 3</w:t>
      </w:r>
      <w:r>
        <w:rPr>
          <w:rFonts w:ascii="Calibri" w:hAnsi="Calibri" w:cs="Arial"/>
          <w:lang w:val="en-GB"/>
        </w:rPr>
        <w:t xml:space="preserve"> </w:t>
      </w:r>
      <w:r w:rsidRPr="009D4EEE">
        <w:rPr>
          <w:rFonts w:ascii="Calibri" w:hAnsi="Calibri" w:cs="Arial"/>
          <w:lang w:val="en-GB"/>
        </w:rPr>
        <w:t>key hypotheses</w:t>
      </w:r>
      <w:r w:rsidR="0039190F">
        <w:rPr>
          <w:rFonts w:ascii="Calibri" w:hAnsi="Calibri" w:cs="Arial"/>
          <w:lang w:val="en-GB"/>
        </w:rPr>
        <w:t xml:space="preserve"> as outlined in the Introduction translate to 10 statistical test</w:t>
      </w:r>
      <w:r w:rsidR="00B70EA8">
        <w:rPr>
          <w:rFonts w:ascii="Calibri" w:hAnsi="Calibri" w:cs="Arial"/>
          <w:lang w:val="en-GB"/>
        </w:rPr>
        <w:t>s</w:t>
      </w:r>
      <w:r w:rsidRPr="009D4EEE">
        <w:rPr>
          <w:rFonts w:ascii="Calibri" w:hAnsi="Calibri" w:cs="Arial"/>
          <w:lang w:val="en-GB"/>
        </w:rPr>
        <w:t xml:space="preserve">: </w:t>
      </w:r>
      <w:r w:rsidR="0039190F">
        <w:rPr>
          <w:rFonts w:ascii="Calibri" w:hAnsi="Calibri" w:cs="Arial"/>
          <w:lang w:val="en-GB"/>
        </w:rPr>
        <w:t xml:space="preserve">6 tests of the </w:t>
      </w:r>
      <w:r w:rsidRPr="009D4EEE">
        <w:rPr>
          <w:rFonts w:ascii="Calibri" w:hAnsi="Calibri" w:cs="Arial"/>
          <w:lang w:val="en-GB"/>
        </w:rPr>
        <w:t>pairwise association between the four scales</w:t>
      </w:r>
      <w:r w:rsidR="0039190F">
        <w:rPr>
          <w:rFonts w:ascii="Calibri" w:hAnsi="Calibri" w:cs="Arial"/>
          <w:lang w:val="en-GB"/>
        </w:rPr>
        <w:t xml:space="preserve"> and 4 tests</w:t>
      </w:r>
      <w:r w:rsidR="0039190F" w:rsidRPr="009D4EEE">
        <w:rPr>
          <w:rFonts w:ascii="Calibri" w:hAnsi="Calibri" w:cs="Arial"/>
          <w:lang w:val="en-GB"/>
        </w:rPr>
        <w:t xml:space="preserve"> link</w:t>
      </w:r>
      <w:r w:rsidR="0039190F">
        <w:rPr>
          <w:rFonts w:ascii="Calibri" w:hAnsi="Calibri" w:cs="Arial"/>
          <w:lang w:val="en-GB"/>
        </w:rPr>
        <w:t>ing</w:t>
      </w:r>
      <w:r w:rsidR="0039190F" w:rsidRPr="009D4EEE">
        <w:rPr>
          <w:rFonts w:ascii="Calibri" w:hAnsi="Calibri" w:cs="Arial"/>
          <w:lang w:val="en-GB"/>
        </w:rPr>
        <w:t xml:space="preserve"> </w:t>
      </w:r>
      <w:r w:rsidRPr="009D4EEE">
        <w:rPr>
          <w:rFonts w:ascii="Calibri" w:hAnsi="Calibri" w:cs="Arial"/>
          <w:lang w:val="en-GB"/>
        </w:rPr>
        <w:t xml:space="preserve">BFM-M </w:t>
      </w:r>
      <w:r w:rsidR="0039190F">
        <w:rPr>
          <w:rFonts w:ascii="Calibri" w:hAnsi="Calibri" w:cs="Arial"/>
          <w:lang w:val="en-GB"/>
        </w:rPr>
        <w:t>to</w:t>
      </w:r>
      <w:r w:rsidR="0039190F" w:rsidRPr="009D4EEE">
        <w:rPr>
          <w:rFonts w:ascii="Calibri" w:hAnsi="Calibri" w:cs="Arial"/>
          <w:lang w:val="en-GB"/>
        </w:rPr>
        <w:t xml:space="preserve"> </w:t>
      </w:r>
      <w:r w:rsidRPr="009D4EEE">
        <w:rPr>
          <w:rFonts w:ascii="Calibri" w:hAnsi="Calibri" w:cs="Arial"/>
          <w:lang w:val="en-GB"/>
        </w:rPr>
        <w:t xml:space="preserve">aetiology, CP status </w:t>
      </w:r>
      <w:r w:rsidR="00CC6D0B">
        <w:rPr>
          <w:rFonts w:ascii="Calibri" w:hAnsi="Calibri" w:cs="Arial"/>
          <w:lang w:val="en-GB"/>
        </w:rPr>
        <w:t>a</w:t>
      </w:r>
      <w:r w:rsidRPr="009D4EEE">
        <w:rPr>
          <w:rFonts w:ascii="Calibri" w:hAnsi="Calibri" w:cs="Arial"/>
          <w:lang w:val="en-GB"/>
        </w:rPr>
        <w:t xml:space="preserve">nd proportion of life lived with dystonia (PLD). To achieve an overall family-wise error rate of 0.05 for these 10 </w:t>
      </w:r>
      <w:r w:rsidR="0039190F">
        <w:rPr>
          <w:rFonts w:ascii="Calibri" w:hAnsi="Calibri" w:cs="Arial"/>
          <w:lang w:val="en-GB"/>
        </w:rPr>
        <w:t>tests</w:t>
      </w:r>
      <w:r w:rsidRPr="009D4EEE">
        <w:rPr>
          <w:rFonts w:ascii="Calibri" w:hAnsi="Calibri" w:cs="Arial"/>
          <w:lang w:val="en-GB"/>
        </w:rPr>
        <w:t>, the Holm–Bonferroni method</w:t>
      </w:r>
      <w:r w:rsidRPr="00A33285">
        <w:rPr>
          <w:rFonts w:ascii="Calibri" w:hAnsi="Calibri"/>
          <w:b/>
          <w:color w:val="FF0000"/>
          <w:vertAlign w:val="superscript"/>
          <w:lang w:val="en-GB"/>
        </w:rPr>
        <w:t xml:space="preserve"> </w:t>
      </w:r>
      <w:r>
        <w:rPr>
          <w:rFonts w:ascii="Calibri" w:hAnsi="Calibri" w:cs="Arial"/>
          <w:lang w:val="en-GB"/>
        </w:rPr>
        <w:t>was applied</w:t>
      </w:r>
      <w:r w:rsidRPr="009D4EEE">
        <w:rPr>
          <w:rFonts w:ascii="Calibri" w:hAnsi="Calibri" w:cs="Arial"/>
          <w:lang w:val="en-GB"/>
        </w:rPr>
        <w:t xml:space="preserve">. Corrected p-values are given once in the Results section; uncorrected p-values are used elsewhere to facilitate comparisons with other publications. Sensitivity analyses were performed for all conclusions presented here to ensure that individual </w:t>
      </w:r>
      <w:r>
        <w:rPr>
          <w:rFonts w:ascii="Calibri" w:hAnsi="Calibri" w:cs="Arial"/>
          <w:lang w:val="en-GB"/>
        </w:rPr>
        <w:t>observations</w:t>
      </w:r>
      <w:r w:rsidRPr="009D4EEE">
        <w:rPr>
          <w:rFonts w:ascii="Calibri" w:hAnsi="Calibri" w:cs="Arial"/>
          <w:lang w:val="en-GB"/>
        </w:rPr>
        <w:t xml:space="preserve"> did not have an </w:t>
      </w:r>
      <w:r w:rsidR="0056483A">
        <w:rPr>
          <w:rFonts w:ascii="Calibri" w:hAnsi="Calibri" w:cs="Arial"/>
          <w:lang w:val="en-GB"/>
        </w:rPr>
        <w:t>undue</w:t>
      </w:r>
      <w:r w:rsidR="0056483A" w:rsidRPr="009D4EEE">
        <w:rPr>
          <w:rFonts w:ascii="Calibri" w:hAnsi="Calibri" w:cs="Arial"/>
          <w:lang w:val="en-GB"/>
        </w:rPr>
        <w:t xml:space="preserve"> </w:t>
      </w:r>
      <w:r w:rsidRPr="009D4EEE">
        <w:rPr>
          <w:rFonts w:ascii="Calibri" w:hAnsi="Calibri" w:cs="Arial"/>
          <w:lang w:val="en-GB"/>
        </w:rPr>
        <w:t>impact.</w:t>
      </w:r>
      <w:r w:rsidR="00680444">
        <w:rPr>
          <w:rFonts w:ascii="Calibri" w:hAnsi="Calibri" w:cs="Arial"/>
          <w:lang w:val="en-GB"/>
        </w:rPr>
        <w:t xml:space="preserve"> To detect potential sources of bias, regression by sequential patient ID and year was </w:t>
      </w:r>
      <w:r w:rsidR="00195056">
        <w:rPr>
          <w:rFonts w:ascii="Calibri" w:hAnsi="Calibri" w:cs="Arial"/>
          <w:lang w:val="en-GB"/>
        </w:rPr>
        <w:t>done</w:t>
      </w:r>
      <w:r w:rsidR="00680444">
        <w:rPr>
          <w:rFonts w:ascii="Calibri" w:hAnsi="Calibri" w:cs="Arial"/>
          <w:lang w:val="en-GB"/>
        </w:rPr>
        <w:t>.</w:t>
      </w:r>
    </w:p>
    <w:p w14:paraId="2D8F0C19" w14:textId="77777777" w:rsidR="000B016D" w:rsidRDefault="000B016D" w:rsidP="000B016D">
      <w:pPr>
        <w:tabs>
          <w:tab w:val="left" w:pos="3733"/>
        </w:tabs>
        <w:spacing w:after="200" w:line="360" w:lineRule="auto"/>
        <w:jc w:val="both"/>
        <w:rPr>
          <w:rFonts w:ascii="Calibri" w:hAnsi="Calibri" w:cs="Arial"/>
          <w:b/>
          <w:lang w:val="en-GB"/>
        </w:rPr>
      </w:pPr>
      <w:r>
        <w:rPr>
          <w:rFonts w:ascii="Calibri" w:hAnsi="Calibri" w:cs="Arial"/>
          <w:b/>
          <w:lang w:val="en-GB"/>
        </w:rPr>
        <w:tab/>
      </w:r>
    </w:p>
    <w:p w14:paraId="63CFE0FD" w14:textId="77777777" w:rsidR="00F702F7" w:rsidRPr="009D4EEE" w:rsidRDefault="00F702F7" w:rsidP="009E2DC8">
      <w:pPr>
        <w:spacing w:after="200" w:line="360" w:lineRule="auto"/>
        <w:jc w:val="both"/>
        <w:rPr>
          <w:rFonts w:ascii="Calibri" w:hAnsi="Calibri" w:cs="Arial"/>
          <w:b/>
          <w:lang w:val="en-GB"/>
        </w:rPr>
      </w:pPr>
      <w:r w:rsidRPr="000B016D">
        <w:rPr>
          <w:rFonts w:ascii="Calibri" w:hAnsi="Calibri" w:cs="Arial"/>
          <w:lang w:val="en-GB"/>
        </w:rPr>
        <w:br w:type="page"/>
      </w:r>
      <w:r w:rsidRPr="009D4EEE">
        <w:rPr>
          <w:rFonts w:ascii="Calibri" w:hAnsi="Calibri" w:cs="Arial"/>
          <w:b/>
          <w:lang w:val="en-GB"/>
        </w:rPr>
        <w:lastRenderedPageBreak/>
        <w:t>RESULTS</w:t>
      </w:r>
    </w:p>
    <w:p w14:paraId="38F735CF" w14:textId="77777777" w:rsidR="00F702F7" w:rsidRDefault="00F702F7" w:rsidP="009E2DC8">
      <w:pPr>
        <w:spacing w:line="360" w:lineRule="auto"/>
        <w:jc w:val="both"/>
        <w:rPr>
          <w:rFonts w:ascii="Calibri" w:hAnsi="Calibri" w:cs="Arial"/>
          <w:lang w:val="en-GB"/>
        </w:rPr>
      </w:pPr>
      <w:r w:rsidRPr="00583142">
        <w:rPr>
          <w:rFonts w:ascii="Calibri" w:hAnsi="Calibri" w:cs="Arial"/>
          <w:lang w:val="en-GB"/>
        </w:rPr>
        <w:t>Of the 161 children included, 26</w:t>
      </w:r>
      <w:r>
        <w:rPr>
          <w:rFonts w:ascii="Calibri" w:hAnsi="Calibri" w:cs="Arial"/>
          <w:lang w:val="en-GB"/>
        </w:rPr>
        <w:t xml:space="preserve"> </w:t>
      </w:r>
      <w:r w:rsidRPr="00583142">
        <w:rPr>
          <w:rFonts w:ascii="Calibri" w:hAnsi="Calibri" w:cs="Arial"/>
          <w:lang w:val="en-GB"/>
        </w:rPr>
        <w:t>(16%) young people were classified as primary and 9</w:t>
      </w:r>
      <w:r>
        <w:rPr>
          <w:rFonts w:ascii="Calibri" w:hAnsi="Calibri" w:cs="Arial"/>
          <w:lang w:val="en-GB"/>
        </w:rPr>
        <w:t xml:space="preserve"> </w:t>
      </w:r>
      <w:r w:rsidRPr="00583142">
        <w:rPr>
          <w:rFonts w:ascii="Calibri" w:hAnsi="Calibri" w:cs="Arial"/>
          <w:lang w:val="en-GB"/>
        </w:rPr>
        <w:t xml:space="preserve">(6%) as primary-plus dystonias. </w:t>
      </w:r>
      <w:r>
        <w:rPr>
          <w:rFonts w:ascii="Calibri" w:hAnsi="Calibri" w:cs="Arial"/>
          <w:lang w:val="en-GB"/>
        </w:rPr>
        <w:t xml:space="preserve">The </w:t>
      </w:r>
      <w:r w:rsidRPr="00583142">
        <w:rPr>
          <w:rFonts w:ascii="Calibri" w:hAnsi="Calibri" w:cs="Arial"/>
          <w:lang w:val="en-GB"/>
        </w:rPr>
        <w:t>125</w:t>
      </w:r>
      <w:r>
        <w:rPr>
          <w:rFonts w:ascii="Calibri" w:hAnsi="Calibri" w:cs="Arial"/>
          <w:lang w:val="en-GB"/>
        </w:rPr>
        <w:t xml:space="preserve"> s</w:t>
      </w:r>
      <w:r w:rsidRPr="00583142">
        <w:rPr>
          <w:rFonts w:ascii="Calibri" w:hAnsi="Calibri" w:cs="Arial"/>
          <w:lang w:val="en-GB"/>
        </w:rPr>
        <w:t xml:space="preserve">econdary </w:t>
      </w:r>
      <w:r>
        <w:rPr>
          <w:rFonts w:ascii="Calibri" w:hAnsi="Calibri" w:cs="Arial"/>
          <w:lang w:val="en-GB"/>
        </w:rPr>
        <w:t>HMDs</w:t>
      </w:r>
      <w:r w:rsidRPr="00583142">
        <w:rPr>
          <w:rFonts w:ascii="Calibri" w:hAnsi="Calibri" w:cs="Arial"/>
          <w:lang w:val="en-GB"/>
        </w:rPr>
        <w:t xml:space="preserve"> (78%) </w:t>
      </w:r>
      <w:r>
        <w:rPr>
          <w:rFonts w:ascii="Calibri" w:hAnsi="Calibri" w:cs="Arial"/>
          <w:lang w:val="en-GB"/>
        </w:rPr>
        <w:t xml:space="preserve">consisted of </w:t>
      </w:r>
      <w:r w:rsidRPr="00583142">
        <w:rPr>
          <w:rFonts w:ascii="Calibri" w:hAnsi="Calibri" w:cs="Arial"/>
          <w:lang w:val="en-GB"/>
        </w:rPr>
        <w:t>99 static</w:t>
      </w:r>
      <w:r>
        <w:rPr>
          <w:rFonts w:ascii="Calibri" w:hAnsi="Calibri" w:cs="Arial"/>
          <w:lang w:val="en-GB"/>
        </w:rPr>
        <w:t xml:space="preserve"> (</w:t>
      </w:r>
      <w:r w:rsidRPr="00583142">
        <w:rPr>
          <w:rFonts w:ascii="Calibri" w:hAnsi="Calibri" w:cs="Arial"/>
          <w:lang w:val="en-GB"/>
        </w:rPr>
        <w:t>61%), including 75</w:t>
      </w:r>
      <w:r>
        <w:rPr>
          <w:rFonts w:ascii="Calibri" w:hAnsi="Calibri" w:cs="Arial"/>
          <w:lang w:val="en-GB"/>
        </w:rPr>
        <w:t xml:space="preserve"> dyskinetic</w:t>
      </w:r>
      <w:r w:rsidRPr="00583142">
        <w:rPr>
          <w:rFonts w:ascii="Calibri" w:hAnsi="Calibri" w:cs="Arial"/>
          <w:lang w:val="en-GB"/>
        </w:rPr>
        <w:t xml:space="preserve"> </w:t>
      </w:r>
      <w:r>
        <w:rPr>
          <w:rFonts w:ascii="Calibri" w:hAnsi="Calibri" w:cs="Arial"/>
          <w:lang w:val="en-GB"/>
        </w:rPr>
        <w:t>CP (</w:t>
      </w:r>
      <w:r w:rsidRPr="00583142">
        <w:rPr>
          <w:rFonts w:ascii="Calibri" w:hAnsi="Calibri" w:cs="Arial"/>
          <w:lang w:val="en-GB"/>
        </w:rPr>
        <w:t>47%)</w:t>
      </w:r>
      <w:r>
        <w:rPr>
          <w:rFonts w:ascii="Calibri" w:hAnsi="Calibri" w:cs="Arial"/>
          <w:lang w:val="en-GB"/>
        </w:rPr>
        <w:t xml:space="preserve">, and </w:t>
      </w:r>
      <w:r w:rsidRPr="00583142">
        <w:rPr>
          <w:rFonts w:ascii="Calibri" w:hAnsi="Calibri" w:cs="Arial"/>
          <w:lang w:val="en-GB"/>
        </w:rPr>
        <w:t>26</w:t>
      </w:r>
      <w:r>
        <w:rPr>
          <w:rFonts w:ascii="Calibri" w:hAnsi="Calibri" w:cs="Arial"/>
          <w:lang w:val="en-GB"/>
        </w:rPr>
        <w:t xml:space="preserve"> progressive (</w:t>
      </w:r>
      <w:r w:rsidRPr="00583142">
        <w:rPr>
          <w:rFonts w:ascii="Calibri" w:hAnsi="Calibri" w:cs="Arial"/>
          <w:lang w:val="en-GB"/>
        </w:rPr>
        <w:t>16%)</w:t>
      </w:r>
      <w:r>
        <w:rPr>
          <w:rFonts w:ascii="Calibri" w:hAnsi="Calibri" w:cs="Arial"/>
          <w:lang w:val="en-GB"/>
        </w:rPr>
        <w:t xml:space="preserve"> subtypes</w:t>
      </w:r>
      <w:r w:rsidRPr="00583142">
        <w:rPr>
          <w:rFonts w:ascii="Calibri" w:hAnsi="Calibri" w:cs="Arial"/>
          <w:lang w:val="en-GB"/>
        </w:rPr>
        <w:t>.</w:t>
      </w:r>
      <w:r>
        <w:rPr>
          <w:rFonts w:ascii="Calibri" w:hAnsi="Calibri" w:cs="Arial"/>
          <w:lang w:val="en-GB"/>
        </w:rPr>
        <w:t xml:space="preserve"> </w:t>
      </w:r>
      <w:r w:rsidRPr="00583142">
        <w:rPr>
          <w:rFonts w:ascii="Calibri" w:hAnsi="Calibri" w:cs="Arial"/>
          <w:lang w:val="en-GB"/>
        </w:rPr>
        <w:t xml:space="preserve">Demographic characteristics are shown in Table S1. </w:t>
      </w:r>
    </w:p>
    <w:p w14:paraId="7ED80F40" w14:textId="77777777" w:rsidR="00F702F7" w:rsidRDefault="00F702F7" w:rsidP="009E2DC8">
      <w:pPr>
        <w:spacing w:line="360" w:lineRule="auto"/>
        <w:jc w:val="both"/>
        <w:rPr>
          <w:rFonts w:ascii="Calibri" w:hAnsi="Calibri" w:cs="Arial"/>
          <w:lang w:val="en-GB"/>
        </w:rPr>
      </w:pPr>
    </w:p>
    <w:p w14:paraId="41CE0E46" w14:textId="77777777" w:rsidR="00F702F7" w:rsidRPr="009D4EEE" w:rsidRDefault="00F702F7" w:rsidP="009E2DC8">
      <w:pPr>
        <w:spacing w:line="360" w:lineRule="auto"/>
        <w:jc w:val="both"/>
        <w:rPr>
          <w:rFonts w:ascii="Calibri" w:hAnsi="Calibri" w:cs="Arial"/>
          <w:b/>
          <w:lang w:val="en-GB"/>
        </w:rPr>
      </w:pPr>
      <w:r w:rsidRPr="009D4EEE">
        <w:rPr>
          <w:rFonts w:ascii="Calibri" w:hAnsi="Calibri" w:cs="Arial"/>
          <w:b/>
          <w:lang w:val="en-GB"/>
        </w:rPr>
        <w:t xml:space="preserve">Relationship </w:t>
      </w:r>
      <w:r>
        <w:rPr>
          <w:rFonts w:ascii="Calibri" w:hAnsi="Calibri" w:cs="Arial"/>
          <w:b/>
          <w:lang w:val="en-GB"/>
        </w:rPr>
        <w:t>between</w:t>
      </w:r>
      <w:r w:rsidRPr="009D4EEE">
        <w:rPr>
          <w:rFonts w:ascii="Calibri" w:hAnsi="Calibri" w:cs="Arial"/>
          <w:b/>
          <w:lang w:val="en-GB"/>
        </w:rPr>
        <w:t xml:space="preserve"> paediatric functional profile scales</w:t>
      </w:r>
    </w:p>
    <w:p w14:paraId="19066F5F" w14:textId="0DBE255F" w:rsidR="00F702F7" w:rsidRPr="009D4EEE" w:rsidRDefault="00F702F7" w:rsidP="009E2DC8">
      <w:pPr>
        <w:spacing w:line="360" w:lineRule="auto"/>
        <w:jc w:val="both"/>
        <w:rPr>
          <w:rFonts w:ascii="Calibri" w:hAnsi="Calibri" w:cs="Arial"/>
          <w:lang w:val="en-GB"/>
        </w:rPr>
      </w:pPr>
      <w:r w:rsidRPr="009D4EEE">
        <w:rPr>
          <w:rFonts w:ascii="Calibri" w:hAnsi="Calibri" w:cs="Arial"/>
          <w:lang w:val="en-GB"/>
        </w:rPr>
        <w:t xml:space="preserve">There </w:t>
      </w:r>
      <w:r>
        <w:rPr>
          <w:rFonts w:ascii="Calibri" w:hAnsi="Calibri" w:cs="Arial"/>
          <w:lang w:val="en-GB"/>
        </w:rPr>
        <w:t>were</w:t>
      </w:r>
      <w:r w:rsidRPr="009D4EEE">
        <w:rPr>
          <w:rFonts w:ascii="Calibri" w:hAnsi="Calibri" w:cs="Arial"/>
          <w:lang w:val="en-GB"/>
        </w:rPr>
        <w:t xml:space="preserve"> significant positive associations between all three scales: GMFCS and MACS (r</w:t>
      </w:r>
      <w:r w:rsidRPr="009D4EEE">
        <w:rPr>
          <w:rFonts w:ascii="Calibri" w:hAnsi="Calibri" w:cs="Arial"/>
          <w:vertAlign w:val="subscript"/>
          <w:lang w:val="en-GB"/>
        </w:rPr>
        <w:t>s</w:t>
      </w:r>
      <w:r w:rsidRPr="009D4EEE">
        <w:rPr>
          <w:rFonts w:ascii="Calibri" w:hAnsi="Calibri" w:cs="Arial"/>
          <w:lang w:val="en-GB"/>
        </w:rPr>
        <w:t>=0.896), GMFCS and CFCS (r</w:t>
      </w:r>
      <w:r w:rsidRPr="009D4EEE">
        <w:rPr>
          <w:rFonts w:ascii="Calibri" w:hAnsi="Calibri" w:cs="Arial"/>
          <w:vertAlign w:val="subscript"/>
          <w:lang w:val="en-GB"/>
        </w:rPr>
        <w:t>s</w:t>
      </w:r>
      <w:r w:rsidRPr="009D4EEE">
        <w:rPr>
          <w:rFonts w:ascii="Calibri" w:hAnsi="Calibri" w:cs="Arial"/>
          <w:lang w:val="en-GB"/>
        </w:rPr>
        <w:t>=0.724), MACS and CFCS (r</w:t>
      </w:r>
      <w:r w:rsidRPr="009D4EEE">
        <w:rPr>
          <w:rFonts w:ascii="Calibri" w:hAnsi="Calibri" w:cs="Arial"/>
          <w:vertAlign w:val="subscript"/>
          <w:lang w:val="en-GB"/>
        </w:rPr>
        <w:t>s</w:t>
      </w:r>
      <w:r w:rsidRPr="009D4EEE">
        <w:rPr>
          <w:rFonts w:ascii="Calibri" w:hAnsi="Calibri" w:cs="Arial"/>
          <w:lang w:val="en-GB"/>
        </w:rPr>
        <w:t>=0.725) (Table 1, all p&lt;0.00001, Holm–Bonferroni corrected: all p&lt;0.00001). These relationships persist</w:t>
      </w:r>
      <w:r>
        <w:rPr>
          <w:rFonts w:ascii="Calibri" w:hAnsi="Calibri" w:cs="Arial"/>
          <w:lang w:val="en-GB"/>
        </w:rPr>
        <w:t>ed</w:t>
      </w:r>
      <w:r w:rsidRPr="009D4EEE">
        <w:rPr>
          <w:rFonts w:ascii="Calibri" w:hAnsi="Calibri" w:cs="Arial"/>
          <w:lang w:val="en-GB"/>
        </w:rPr>
        <w:t xml:space="preserve"> when looking at individual patient subgroups including patients with a diagnosis of CP only or other specific disease aetiologies (Tables S3-S6), but </w:t>
      </w:r>
      <w:r>
        <w:rPr>
          <w:rFonts w:ascii="Calibri" w:hAnsi="Calibri" w:cs="Arial"/>
          <w:lang w:val="en-GB"/>
        </w:rPr>
        <w:t>did</w:t>
      </w:r>
      <w:r w:rsidRPr="009D4EEE">
        <w:rPr>
          <w:rFonts w:ascii="Calibri" w:hAnsi="Calibri" w:cs="Arial"/>
          <w:lang w:val="en-GB"/>
        </w:rPr>
        <w:t xml:space="preserve"> not reach significance for all subgroups due to the reduced numbers of patients.</w:t>
      </w:r>
    </w:p>
    <w:p w14:paraId="26EB3E1E" w14:textId="77777777" w:rsidR="00F702F7" w:rsidRPr="009D4EEE" w:rsidRDefault="00F702F7" w:rsidP="009E2DC8">
      <w:pPr>
        <w:spacing w:line="360" w:lineRule="auto"/>
        <w:jc w:val="both"/>
        <w:rPr>
          <w:rFonts w:ascii="Calibri" w:hAnsi="Calibri" w:cs="Arial"/>
          <w:lang w:val="en-GB"/>
        </w:rPr>
      </w:pPr>
    </w:p>
    <w:p w14:paraId="29BADDFD" w14:textId="77777777" w:rsidR="00F702F7" w:rsidRPr="009D4EEE" w:rsidRDefault="00F702F7" w:rsidP="009E2DC8">
      <w:pPr>
        <w:spacing w:line="360" w:lineRule="auto"/>
        <w:jc w:val="both"/>
        <w:rPr>
          <w:rFonts w:ascii="Calibri" w:hAnsi="Calibri" w:cs="Arial"/>
          <w:lang w:val="en-GB"/>
        </w:rPr>
      </w:pPr>
      <w:r w:rsidRPr="009D4EEE">
        <w:rPr>
          <w:rFonts w:ascii="Calibri" w:hAnsi="Calibri" w:cs="Arial"/>
          <w:lang w:val="en-GB"/>
        </w:rPr>
        <w:t xml:space="preserve">Equivalent GMFCS and MACS levels </w:t>
      </w:r>
      <w:r>
        <w:rPr>
          <w:rFonts w:ascii="Calibri" w:hAnsi="Calibri" w:cs="Arial"/>
          <w:lang w:val="en-GB"/>
        </w:rPr>
        <w:t>were</w:t>
      </w:r>
      <w:r w:rsidRPr="009D4EEE">
        <w:rPr>
          <w:rFonts w:ascii="Calibri" w:hAnsi="Calibri" w:cs="Arial"/>
          <w:lang w:val="en-GB"/>
        </w:rPr>
        <w:t xml:space="preserve"> found in 71% of participants </w:t>
      </w:r>
      <w:r w:rsidRPr="00F8459C">
        <w:rPr>
          <w:rFonts w:ascii="Calibri" w:hAnsi="Calibri" w:cs="Arial"/>
          <w:lang w:val="en-GB"/>
        </w:rPr>
        <w:t>(Table S7).  Stronge</w:t>
      </w:r>
      <w:r w:rsidRPr="009D4EEE">
        <w:rPr>
          <w:rFonts w:ascii="Calibri" w:hAnsi="Calibri" w:cs="Arial"/>
          <w:lang w:val="en-GB"/>
        </w:rPr>
        <w:t xml:space="preserve">r concordance </w:t>
      </w:r>
      <w:r>
        <w:rPr>
          <w:rFonts w:ascii="Calibri" w:hAnsi="Calibri" w:cs="Arial"/>
          <w:lang w:val="en-GB"/>
        </w:rPr>
        <w:t>was</w:t>
      </w:r>
      <w:r w:rsidRPr="009D4EEE">
        <w:rPr>
          <w:rFonts w:ascii="Calibri" w:hAnsi="Calibri" w:cs="Arial"/>
          <w:lang w:val="en-GB"/>
        </w:rPr>
        <w:t xml:space="preserve"> seen in patients with more severe functional disability (GMFCS &amp; MACS both level V n=83, 52%</w:t>
      </w:r>
      <w:r>
        <w:rPr>
          <w:rFonts w:ascii="Calibri" w:hAnsi="Calibri" w:cs="Arial"/>
          <w:lang w:val="en-GB"/>
        </w:rPr>
        <w:t>;</w:t>
      </w:r>
      <w:r w:rsidRPr="009D4EEE">
        <w:rPr>
          <w:rFonts w:ascii="Calibri" w:hAnsi="Calibri" w:cs="Arial"/>
          <w:lang w:val="en-GB"/>
        </w:rPr>
        <w:t xml:space="preserve"> both level IV n=15, 9%), while there </w:t>
      </w:r>
      <w:r>
        <w:rPr>
          <w:rFonts w:ascii="Calibri" w:hAnsi="Calibri" w:cs="Arial"/>
          <w:lang w:val="en-GB"/>
        </w:rPr>
        <w:t>was</w:t>
      </w:r>
      <w:r w:rsidRPr="009D4EEE">
        <w:rPr>
          <w:rFonts w:ascii="Calibri" w:hAnsi="Calibri" w:cs="Arial"/>
          <w:lang w:val="en-GB"/>
        </w:rPr>
        <w:t xml:space="preserve"> greater variation in GMFCS and MACS levels I-III. </w:t>
      </w:r>
    </w:p>
    <w:p w14:paraId="00E30BA1" w14:textId="77777777" w:rsidR="00F702F7" w:rsidRPr="009D4EEE" w:rsidRDefault="00F702F7" w:rsidP="009E2DC8">
      <w:pPr>
        <w:spacing w:line="360" w:lineRule="auto"/>
        <w:jc w:val="both"/>
        <w:rPr>
          <w:rFonts w:ascii="Calibri" w:hAnsi="Calibri" w:cs="Arial"/>
          <w:lang w:val="en-GB"/>
        </w:rPr>
      </w:pPr>
    </w:p>
    <w:p w14:paraId="2141D55D" w14:textId="1081E3F7" w:rsidR="00F702F7" w:rsidRPr="009D4EEE" w:rsidRDefault="00F702F7" w:rsidP="009E2DC8">
      <w:pPr>
        <w:spacing w:line="360" w:lineRule="auto"/>
        <w:jc w:val="both"/>
        <w:rPr>
          <w:rFonts w:ascii="Calibri" w:hAnsi="Calibri" w:cs="Arial"/>
          <w:lang w:val="en-GB"/>
        </w:rPr>
      </w:pPr>
      <w:r w:rsidRPr="009D4EEE">
        <w:rPr>
          <w:rFonts w:ascii="Calibri" w:hAnsi="Calibri" w:cs="Arial"/>
          <w:lang w:val="en-GB"/>
        </w:rPr>
        <w:t xml:space="preserve">Only 20% of patients </w:t>
      </w:r>
      <w:r>
        <w:rPr>
          <w:rFonts w:ascii="Calibri" w:hAnsi="Calibri" w:cs="Arial"/>
          <w:lang w:val="en-GB"/>
        </w:rPr>
        <w:t>had</w:t>
      </w:r>
      <w:r w:rsidRPr="009D4EEE">
        <w:rPr>
          <w:rFonts w:ascii="Calibri" w:hAnsi="Calibri" w:cs="Arial"/>
          <w:lang w:val="en-GB"/>
        </w:rPr>
        <w:t xml:space="preserve"> identical GMFCS, MACS and CFCS levels. While a positive relationship </w:t>
      </w:r>
      <w:r>
        <w:rPr>
          <w:rFonts w:ascii="Calibri" w:hAnsi="Calibri" w:cs="Arial"/>
          <w:lang w:val="en-GB"/>
        </w:rPr>
        <w:t>was</w:t>
      </w:r>
      <w:r w:rsidRPr="009D4EEE">
        <w:rPr>
          <w:rFonts w:ascii="Calibri" w:hAnsi="Calibri" w:cs="Arial"/>
          <w:lang w:val="en-GB"/>
        </w:rPr>
        <w:t xml:space="preserve"> noted between CFCS and other scales, CFCS ratings tend to be somewhat lower </w:t>
      </w:r>
      <w:r w:rsidR="00CB6A87">
        <w:rPr>
          <w:rFonts w:ascii="Calibri" w:hAnsi="Calibri" w:cs="Arial"/>
          <w:lang w:val="en-GB"/>
        </w:rPr>
        <w:t xml:space="preserve">(i.e. higher functional ability) </w:t>
      </w:r>
      <w:r w:rsidRPr="009D4EEE">
        <w:rPr>
          <w:rFonts w:ascii="Calibri" w:hAnsi="Calibri" w:cs="Arial"/>
          <w:lang w:val="en-GB"/>
        </w:rPr>
        <w:t>than both GMFCS and MACS</w:t>
      </w:r>
      <w:r>
        <w:rPr>
          <w:rFonts w:ascii="Calibri" w:hAnsi="Calibri" w:cs="Arial"/>
          <w:lang w:val="en-GB"/>
        </w:rPr>
        <w:t xml:space="preserve"> </w:t>
      </w:r>
      <w:r w:rsidRPr="009D4EEE">
        <w:rPr>
          <w:rFonts w:ascii="Calibri" w:hAnsi="Calibri" w:cs="Arial"/>
          <w:lang w:val="en-GB"/>
        </w:rPr>
        <w:t xml:space="preserve">– 60% of patients </w:t>
      </w:r>
      <w:r>
        <w:rPr>
          <w:rFonts w:ascii="Calibri" w:hAnsi="Calibri" w:cs="Arial"/>
          <w:lang w:val="en-GB"/>
        </w:rPr>
        <w:t>had</w:t>
      </w:r>
      <w:r w:rsidRPr="009D4EEE">
        <w:rPr>
          <w:rFonts w:ascii="Calibri" w:hAnsi="Calibri" w:cs="Arial"/>
          <w:lang w:val="en-GB"/>
        </w:rPr>
        <w:t xml:space="preserve"> lower CFCS</w:t>
      </w:r>
      <w:r w:rsidR="00CB6A87">
        <w:rPr>
          <w:rFonts w:ascii="Calibri" w:hAnsi="Calibri" w:cs="Arial"/>
          <w:lang w:val="en-GB"/>
        </w:rPr>
        <w:t xml:space="preserve"> scores </w:t>
      </w:r>
      <w:r w:rsidR="00CB6A87" w:rsidRPr="009D4EEE">
        <w:rPr>
          <w:rFonts w:ascii="Calibri" w:hAnsi="Calibri" w:cs="Arial"/>
          <w:lang w:val="en-GB"/>
        </w:rPr>
        <w:t>than</w:t>
      </w:r>
      <w:r w:rsidRPr="009D4EEE">
        <w:rPr>
          <w:rFonts w:ascii="Calibri" w:hAnsi="Calibri" w:cs="Arial"/>
          <w:lang w:val="en-GB"/>
        </w:rPr>
        <w:t xml:space="preserve"> GMFCS </w:t>
      </w:r>
      <w:r w:rsidR="00CB6A87">
        <w:rPr>
          <w:rFonts w:ascii="Calibri" w:hAnsi="Calibri" w:cs="Arial"/>
          <w:lang w:val="en-GB"/>
        </w:rPr>
        <w:t>scores</w:t>
      </w:r>
      <w:r w:rsidRPr="009D4EEE">
        <w:rPr>
          <w:rFonts w:ascii="Calibri" w:hAnsi="Calibri" w:cs="Arial"/>
          <w:lang w:val="en-GB"/>
        </w:rPr>
        <w:t xml:space="preserve"> and 6</w:t>
      </w:r>
      <w:r>
        <w:rPr>
          <w:rFonts w:ascii="Calibri" w:hAnsi="Calibri" w:cs="Arial"/>
          <w:lang w:val="en-GB"/>
        </w:rPr>
        <w:t>9</w:t>
      </w:r>
      <w:r w:rsidRPr="009D4EEE">
        <w:rPr>
          <w:rFonts w:ascii="Calibri" w:hAnsi="Calibri" w:cs="Arial"/>
          <w:lang w:val="en-GB"/>
        </w:rPr>
        <w:t xml:space="preserve">% </w:t>
      </w:r>
      <w:r>
        <w:rPr>
          <w:rFonts w:ascii="Calibri" w:hAnsi="Calibri" w:cs="Arial"/>
          <w:lang w:val="en-GB"/>
        </w:rPr>
        <w:t>had</w:t>
      </w:r>
      <w:r w:rsidRPr="009D4EEE">
        <w:rPr>
          <w:rFonts w:ascii="Calibri" w:hAnsi="Calibri" w:cs="Arial"/>
          <w:lang w:val="en-GB"/>
        </w:rPr>
        <w:t xml:space="preserve"> lower CFCS </w:t>
      </w:r>
      <w:r w:rsidR="00CB6A87">
        <w:rPr>
          <w:rFonts w:ascii="Calibri" w:hAnsi="Calibri" w:cs="Arial"/>
          <w:lang w:val="en-GB"/>
        </w:rPr>
        <w:t>scores</w:t>
      </w:r>
      <w:r w:rsidR="00CB6A87" w:rsidRPr="009D4EEE">
        <w:rPr>
          <w:rFonts w:ascii="Calibri" w:hAnsi="Calibri" w:cs="Arial"/>
          <w:lang w:val="en-GB"/>
        </w:rPr>
        <w:t xml:space="preserve"> </w:t>
      </w:r>
      <w:r w:rsidRPr="009D4EEE">
        <w:rPr>
          <w:rFonts w:ascii="Calibri" w:hAnsi="Calibri" w:cs="Arial"/>
          <w:lang w:val="en-GB"/>
        </w:rPr>
        <w:t xml:space="preserve">than MACS </w:t>
      </w:r>
      <w:r w:rsidR="00CB6A87">
        <w:rPr>
          <w:rFonts w:ascii="Calibri" w:hAnsi="Calibri" w:cs="Arial"/>
          <w:lang w:val="en-GB"/>
        </w:rPr>
        <w:t>scores</w:t>
      </w:r>
      <w:r w:rsidRPr="009D4EEE">
        <w:rPr>
          <w:rFonts w:ascii="Calibri" w:hAnsi="Calibri" w:cs="Arial"/>
          <w:lang w:val="en-GB"/>
        </w:rPr>
        <w:t xml:space="preserve">. </w:t>
      </w:r>
    </w:p>
    <w:p w14:paraId="75A31B43" w14:textId="77777777" w:rsidR="00F702F7" w:rsidRPr="009D4EEE" w:rsidRDefault="00F702F7" w:rsidP="009E2DC8">
      <w:pPr>
        <w:spacing w:line="360" w:lineRule="auto"/>
        <w:jc w:val="both"/>
        <w:rPr>
          <w:rFonts w:ascii="Calibri" w:hAnsi="Calibri" w:cs="Arial"/>
          <w:lang w:val="en-GB"/>
        </w:rPr>
      </w:pPr>
    </w:p>
    <w:p w14:paraId="0D59D3D0" w14:textId="77777777" w:rsidR="00F702F7" w:rsidRPr="009D4EEE" w:rsidRDefault="00F702F7" w:rsidP="009E2DC8">
      <w:pPr>
        <w:spacing w:line="360" w:lineRule="auto"/>
        <w:jc w:val="both"/>
        <w:rPr>
          <w:rFonts w:ascii="Calibri" w:hAnsi="Calibri" w:cs="Arial"/>
          <w:b/>
          <w:lang w:val="en-GB"/>
        </w:rPr>
      </w:pPr>
      <w:r w:rsidRPr="009D4EEE">
        <w:rPr>
          <w:rFonts w:ascii="Calibri" w:hAnsi="Calibri" w:cs="Arial"/>
          <w:b/>
          <w:lang w:val="en-GB"/>
        </w:rPr>
        <w:t>Linking impairment and functional profile scales</w:t>
      </w:r>
    </w:p>
    <w:p w14:paraId="4A1F952C" w14:textId="7B18DDE5" w:rsidR="00F702F7" w:rsidRPr="009D4EEE" w:rsidRDefault="00F702F7" w:rsidP="009E2DC8">
      <w:pPr>
        <w:spacing w:line="360" w:lineRule="auto"/>
        <w:jc w:val="both"/>
        <w:rPr>
          <w:rFonts w:ascii="Calibri" w:hAnsi="Calibri" w:cs="Arial"/>
          <w:lang w:val="en-GB"/>
        </w:rPr>
      </w:pPr>
      <w:r w:rsidRPr="009D4EEE">
        <w:rPr>
          <w:rFonts w:ascii="Calibri" w:hAnsi="Calibri" w:cs="Arial"/>
          <w:lang w:val="en-GB"/>
        </w:rPr>
        <w:t xml:space="preserve">BFM-M scores </w:t>
      </w:r>
      <w:r>
        <w:rPr>
          <w:rFonts w:ascii="Calibri" w:hAnsi="Calibri" w:cs="Arial"/>
          <w:lang w:val="en-GB"/>
        </w:rPr>
        <w:t>were</w:t>
      </w:r>
      <w:r w:rsidRPr="009D4EEE">
        <w:rPr>
          <w:rFonts w:ascii="Calibri" w:hAnsi="Calibri" w:cs="Arial"/>
          <w:lang w:val="en-GB"/>
        </w:rPr>
        <w:t xml:space="preserve"> strongly associated with the GMFCS (r</w:t>
      </w:r>
      <w:r w:rsidRPr="009D4EEE">
        <w:rPr>
          <w:rFonts w:ascii="Calibri" w:hAnsi="Calibri" w:cs="Arial"/>
          <w:vertAlign w:val="subscript"/>
          <w:lang w:val="en-GB"/>
        </w:rPr>
        <w:t>s</w:t>
      </w:r>
      <w:r w:rsidRPr="009D4EEE">
        <w:rPr>
          <w:rFonts w:ascii="Calibri" w:hAnsi="Calibri" w:cs="Arial"/>
          <w:lang w:val="en-GB"/>
        </w:rPr>
        <w:t>=0.843), MACS (r</w:t>
      </w:r>
      <w:r w:rsidRPr="009D4EEE">
        <w:rPr>
          <w:rFonts w:ascii="Calibri" w:hAnsi="Calibri" w:cs="Arial"/>
          <w:vertAlign w:val="subscript"/>
          <w:lang w:val="en-GB"/>
        </w:rPr>
        <w:t>s</w:t>
      </w:r>
      <w:r w:rsidRPr="009D4EEE">
        <w:rPr>
          <w:rFonts w:ascii="Calibri" w:hAnsi="Calibri" w:cs="Arial"/>
          <w:lang w:val="en-GB"/>
        </w:rPr>
        <w:t>=0.83</w:t>
      </w:r>
      <w:r>
        <w:rPr>
          <w:rFonts w:ascii="Calibri" w:hAnsi="Calibri" w:cs="Arial"/>
          <w:lang w:val="en-GB"/>
        </w:rPr>
        <w:t>9</w:t>
      </w:r>
      <w:r w:rsidRPr="009D4EEE">
        <w:rPr>
          <w:rFonts w:ascii="Calibri" w:hAnsi="Calibri" w:cs="Arial"/>
          <w:lang w:val="en-GB"/>
        </w:rPr>
        <w:t>) and CFCS (r</w:t>
      </w:r>
      <w:r w:rsidRPr="009D4EEE">
        <w:rPr>
          <w:rFonts w:ascii="Calibri" w:hAnsi="Calibri" w:cs="Arial"/>
          <w:vertAlign w:val="subscript"/>
          <w:lang w:val="en-GB"/>
        </w:rPr>
        <w:t>s</w:t>
      </w:r>
      <w:r w:rsidRPr="009D4EEE">
        <w:rPr>
          <w:rFonts w:ascii="Calibri" w:hAnsi="Calibri" w:cs="Arial"/>
          <w:lang w:val="en-GB"/>
        </w:rPr>
        <w:t>=0.745) scales (</w:t>
      </w:r>
      <w:r w:rsidR="00912809">
        <w:rPr>
          <w:rFonts w:ascii="Calibri" w:hAnsi="Calibri" w:cs="Arial"/>
          <w:lang w:val="en-GB"/>
        </w:rPr>
        <w:t>Fig.</w:t>
      </w:r>
      <w:r w:rsidRPr="009D4EEE">
        <w:rPr>
          <w:rFonts w:ascii="Calibri" w:hAnsi="Calibri" w:cs="Arial"/>
          <w:lang w:val="en-GB"/>
        </w:rPr>
        <w:t xml:space="preserve"> 1</w:t>
      </w:r>
      <w:r>
        <w:rPr>
          <w:rFonts w:ascii="Calibri" w:hAnsi="Calibri" w:cs="Arial"/>
          <w:lang w:val="en-GB"/>
        </w:rPr>
        <w:t>a-c</w:t>
      </w:r>
      <w:r w:rsidRPr="009D4EEE">
        <w:rPr>
          <w:rFonts w:ascii="Calibri" w:hAnsi="Calibri" w:cs="Arial"/>
          <w:lang w:val="en-GB"/>
        </w:rPr>
        <w:t xml:space="preserve">, Table </w:t>
      </w:r>
      <w:r>
        <w:rPr>
          <w:rFonts w:ascii="Calibri" w:hAnsi="Calibri" w:cs="Arial"/>
          <w:lang w:val="en-GB"/>
        </w:rPr>
        <w:t>2</w:t>
      </w:r>
      <w:r w:rsidRPr="009D4EEE">
        <w:rPr>
          <w:rFonts w:ascii="Calibri" w:hAnsi="Calibri" w:cs="Arial"/>
          <w:lang w:val="en-GB"/>
        </w:rPr>
        <w:t xml:space="preserve">, all p&lt;0.00001, Holm–Bonferroni corrected: all p&lt;0.00001). The relationship between BFM-M and GMFCS </w:t>
      </w:r>
      <w:r>
        <w:rPr>
          <w:rFonts w:ascii="Calibri" w:hAnsi="Calibri" w:cs="Arial"/>
          <w:lang w:val="en-GB"/>
        </w:rPr>
        <w:t>was</w:t>
      </w:r>
      <w:r w:rsidRPr="009D4EEE">
        <w:rPr>
          <w:rFonts w:ascii="Calibri" w:hAnsi="Calibri" w:cs="Arial"/>
          <w:lang w:val="en-GB"/>
        </w:rPr>
        <w:t xml:space="preserve"> roughly linear, with median BFM-M values for each GMFCS level of 2</w:t>
      </w:r>
      <w:r>
        <w:rPr>
          <w:rFonts w:ascii="Calibri" w:hAnsi="Calibri" w:cs="Arial"/>
          <w:lang w:val="en-GB"/>
        </w:rPr>
        <w:t>4</w:t>
      </w:r>
      <w:r w:rsidRPr="009D4EEE">
        <w:rPr>
          <w:rFonts w:ascii="Calibri" w:hAnsi="Calibri" w:cs="Arial"/>
          <w:lang w:val="en-GB"/>
        </w:rPr>
        <w:t xml:space="preserve">, 48, 62, 82, and </w:t>
      </w:r>
      <w:r>
        <w:rPr>
          <w:rFonts w:ascii="Calibri" w:hAnsi="Calibri" w:cs="Arial"/>
          <w:lang w:val="en-GB"/>
        </w:rPr>
        <w:t>102</w:t>
      </w:r>
      <w:r w:rsidRPr="009D4EEE">
        <w:rPr>
          <w:rFonts w:ascii="Calibri" w:hAnsi="Calibri" w:cs="Arial"/>
          <w:lang w:val="en-GB"/>
        </w:rPr>
        <w:t>, respectively. Both MACS and CFCS display</w:t>
      </w:r>
      <w:r>
        <w:rPr>
          <w:rFonts w:ascii="Calibri" w:hAnsi="Calibri" w:cs="Arial"/>
          <w:lang w:val="en-GB"/>
        </w:rPr>
        <w:t>ed</w:t>
      </w:r>
      <w:r w:rsidRPr="009D4EEE">
        <w:rPr>
          <w:rFonts w:ascii="Calibri" w:hAnsi="Calibri" w:cs="Arial"/>
          <w:lang w:val="en-GB"/>
        </w:rPr>
        <w:t xml:space="preserve"> non-linear relationships with BFM-M: </w:t>
      </w:r>
      <w:r>
        <w:rPr>
          <w:rFonts w:ascii="Calibri" w:hAnsi="Calibri" w:cs="Arial"/>
          <w:lang w:val="en-GB"/>
        </w:rPr>
        <w:t xml:space="preserve">the association between BFM-M and </w:t>
      </w:r>
      <w:r w:rsidRPr="009D4EEE">
        <w:rPr>
          <w:rFonts w:ascii="Calibri" w:hAnsi="Calibri" w:cs="Arial"/>
          <w:lang w:val="en-GB"/>
        </w:rPr>
        <w:t xml:space="preserve">MACS </w:t>
      </w:r>
      <w:r>
        <w:rPr>
          <w:rFonts w:ascii="Calibri" w:hAnsi="Calibri" w:cs="Arial"/>
          <w:lang w:val="en-GB"/>
        </w:rPr>
        <w:t>followed</w:t>
      </w:r>
      <w:r w:rsidRPr="009D4EEE">
        <w:rPr>
          <w:rFonts w:ascii="Calibri" w:hAnsi="Calibri" w:cs="Arial"/>
          <w:lang w:val="en-GB"/>
        </w:rPr>
        <w:t xml:space="preserve"> a super-linear relationship with little difference between the lower MACS levels giving medians for levels I-V of 12, 38, 41, 7</w:t>
      </w:r>
      <w:r>
        <w:rPr>
          <w:rFonts w:ascii="Calibri" w:hAnsi="Calibri" w:cs="Arial"/>
          <w:lang w:val="en-GB"/>
        </w:rPr>
        <w:t>6</w:t>
      </w:r>
      <w:r w:rsidRPr="009D4EEE">
        <w:rPr>
          <w:rFonts w:ascii="Calibri" w:hAnsi="Calibri" w:cs="Arial"/>
          <w:lang w:val="en-GB"/>
        </w:rPr>
        <w:t>, and 10</w:t>
      </w:r>
      <w:r>
        <w:rPr>
          <w:rFonts w:ascii="Calibri" w:hAnsi="Calibri" w:cs="Arial"/>
          <w:lang w:val="en-GB"/>
        </w:rPr>
        <w:t>2</w:t>
      </w:r>
      <w:r w:rsidRPr="009D4EEE">
        <w:rPr>
          <w:rFonts w:ascii="Calibri" w:hAnsi="Calibri" w:cs="Arial"/>
          <w:lang w:val="en-GB"/>
        </w:rPr>
        <w:t xml:space="preserve">, respectively. The CFCS scale </w:t>
      </w:r>
      <w:r w:rsidRPr="009D4EEE">
        <w:rPr>
          <w:rFonts w:ascii="Calibri" w:hAnsi="Calibri" w:cs="Arial"/>
          <w:lang w:val="en-GB"/>
        </w:rPr>
        <w:lastRenderedPageBreak/>
        <w:t>ha</w:t>
      </w:r>
      <w:r>
        <w:rPr>
          <w:rFonts w:ascii="Calibri" w:hAnsi="Calibri" w:cs="Arial"/>
          <w:lang w:val="en-GB"/>
        </w:rPr>
        <w:t xml:space="preserve">d </w:t>
      </w:r>
      <w:r w:rsidRPr="009D4EEE">
        <w:rPr>
          <w:rFonts w:ascii="Calibri" w:hAnsi="Calibri" w:cs="Arial"/>
          <w:lang w:val="en-GB"/>
        </w:rPr>
        <w:t>a sub-linear relationship with the BFM-M giving medians of 34, 50, 89, 100, and 106 for levels I-V respectively. Again, these relationships persist</w:t>
      </w:r>
      <w:r>
        <w:rPr>
          <w:rFonts w:ascii="Calibri" w:hAnsi="Calibri" w:cs="Arial"/>
          <w:lang w:val="en-GB"/>
        </w:rPr>
        <w:t>ed</w:t>
      </w:r>
      <w:r w:rsidRPr="009D4EEE">
        <w:rPr>
          <w:rFonts w:ascii="Calibri" w:hAnsi="Calibri" w:cs="Arial"/>
          <w:lang w:val="en-GB"/>
        </w:rPr>
        <w:t xml:space="preserve"> when looking at individual subgroups of patients, such as CP</w:t>
      </w:r>
      <w:r>
        <w:rPr>
          <w:rFonts w:ascii="Calibri" w:hAnsi="Calibri" w:cs="Arial"/>
          <w:lang w:val="en-GB"/>
        </w:rPr>
        <w:t>,</w:t>
      </w:r>
      <w:r w:rsidRPr="009D4EEE">
        <w:rPr>
          <w:rFonts w:ascii="Calibri" w:hAnsi="Calibri" w:cs="Arial"/>
          <w:lang w:val="en-GB"/>
        </w:rPr>
        <w:t xml:space="preserve"> or particular disease aetiologies (</w:t>
      </w:r>
      <w:r w:rsidR="00912809">
        <w:rPr>
          <w:rFonts w:ascii="Calibri" w:hAnsi="Calibri" w:cs="Arial"/>
          <w:lang w:val="en-GB"/>
        </w:rPr>
        <w:t>Fig.</w:t>
      </w:r>
      <w:r w:rsidRPr="009D4EEE">
        <w:rPr>
          <w:rFonts w:ascii="Calibri" w:hAnsi="Calibri" w:cs="Arial"/>
          <w:lang w:val="en-GB"/>
        </w:rPr>
        <w:t xml:space="preserve"> S1), but </w:t>
      </w:r>
      <w:r w:rsidR="00594562">
        <w:rPr>
          <w:rFonts w:ascii="Calibri" w:hAnsi="Calibri" w:cs="Arial"/>
          <w:lang w:val="en-GB"/>
        </w:rPr>
        <w:t>were</w:t>
      </w:r>
      <w:r>
        <w:rPr>
          <w:rFonts w:ascii="Calibri" w:hAnsi="Calibri" w:cs="Arial"/>
          <w:lang w:val="en-GB"/>
        </w:rPr>
        <w:t xml:space="preserve"> </w:t>
      </w:r>
      <w:r w:rsidRPr="009D4EEE">
        <w:rPr>
          <w:rFonts w:ascii="Calibri" w:hAnsi="Calibri" w:cs="Arial"/>
          <w:lang w:val="en-GB"/>
        </w:rPr>
        <w:t xml:space="preserve">not </w:t>
      </w:r>
      <w:r>
        <w:rPr>
          <w:rFonts w:ascii="Calibri" w:hAnsi="Calibri" w:cs="Arial"/>
          <w:lang w:val="en-GB"/>
        </w:rPr>
        <w:t>always</w:t>
      </w:r>
      <w:r w:rsidRPr="009D4EEE">
        <w:rPr>
          <w:rFonts w:ascii="Calibri" w:hAnsi="Calibri" w:cs="Arial"/>
          <w:lang w:val="en-GB"/>
        </w:rPr>
        <w:t xml:space="preserve"> significant for all subgroups due to the reduced number of patients.</w:t>
      </w:r>
    </w:p>
    <w:p w14:paraId="38AAA52E" w14:textId="4A94CAFE" w:rsidR="00F702F7" w:rsidRPr="009D4EEE" w:rsidRDefault="0073205D" w:rsidP="0073205D">
      <w:pPr>
        <w:tabs>
          <w:tab w:val="left" w:pos="3031"/>
        </w:tabs>
        <w:spacing w:line="360" w:lineRule="auto"/>
        <w:jc w:val="both"/>
        <w:rPr>
          <w:rFonts w:ascii="Calibri" w:hAnsi="Calibri" w:cs="Arial"/>
          <w:lang w:val="en-GB"/>
        </w:rPr>
      </w:pPr>
      <w:r>
        <w:rPr>
          <w:rFonts w:ascii="Calibri" w:hAnsi="Calibri" w:cs="Arial"/>
          <w:lang w:val="en-GB"/>
        </w:rPr>
        <w:tab/>
      </w:r>
    </w:p>
    <w:p w14:paraId="058FBAA5" w14:textId="77777777" w:rsidR="00F702F7" w:rsidRPr="009D4EEE" w:rsidRDefault="00F702F7" w:rsidP="009E2DC8">
      <w:pPr>
        <w:spacing w:line="360" w:lineRule="auto"/>
        <w:jc w:val="both"/>
        <w:rPr>
          <w:rFonts w:ascii="Calibri" w:hAnsi="Calibri" w:cs="Arial"/>
          <w:b/>
          <w:lang w:val="en-GB"/>
        </w:rPr>
      </w:pPr>
      <w:r w:rsidRPr="009D4EEE">
        <w:rPr>
          <w:rFonts w:ascii="Calibri" w:hAnsi="Calibri" w:cs="Arial"/>
          <w:b/>
          <w:lang w:val="en-GB"/>
        </w:rPr>
        <w:t>Impact of aetiology on disease severity</w:t>
      </w:r>
    </w:p>
    <w:p w14:paraId="75F7F2C0" w14:textId="6E09E5AA" w:rsidR="003A3355" w:rsidRPr="009D4EEE" w:rsidRDefault="00F702F7" w:rsidP="003A3355">
      <w:pPr>
        <w:spacing w:line="360" w:lineRule="auto"/>
        <w:jc w:val="both"/>
        <w:rPr>
          <w:rFonts w:ascii="Calibri" w:hAnsi="Calibri" w:cs="Arial"/>
          <w:lang w:val="en-GB"/>
        </w:rPr>
      </w:pPr>
      <w:r w:rsidRPr="009D4EEE">
        <w:rPr>
          <w:rFonts w:ascii="Calibri" w:hAnsi="Calibri" w:cs="Arial"/>
          <w:lang w:val="en-GB"/>
        </w:rPr>
        <w:t xml:space="preserve">BFM-M scores </w:t>
      </w:r>
      <w:r>
        <w:rPr>
          <w:rFonts w:ascii="Calibri" w:hAnsi="Calibri" w:cs="Arial"/>
          <w:lang w:val="en-GB"/>
        </w:rPr>
        <w:t>were</w:t>
      </w:r>
      <w:r w:rsidRPr="009D4EEE">
        <w:rPr>
          <w:rFonts w:ascii="Calibri" w:hAnsi="Calibri" w:cs="Arial"/>
          <w:lang w:val="en-GB"/>
        </w:rPr>
        <w:t xml:space="preserve"> strongly associated with disease aetiology (p&lt;0.00001, Holm–Bonferroni corrected: p&lt;0.00001, </w:t>
      </w:r>
      <w:r w:rsidR="00912809">
        <w:rPr>
          <w:rFonts w:ascii="Calibri" w:hAnsi="Calibri" w:cs="Arial"/>
          <w:lang w:val="en-GB"/>
        </w:rPr>
        <w:t>Fig.</w:t>
      </w:r>
      <w:r w:rsidRPr="009D4EEE">
        <w:rPr>
          <w:rFonts w:ascii="Calibri" w:hAnsi="Calibri" w:cs="Arial"/>
          <w:lang w:val="en-GB"/>
        </w:rPr>
        <w:t xml:space="preserve"> </w:t>
      </w:r>
      <w:r>
        <w:rPr>
          <w:rFonts w:ascii="Calibri" w:hAnsi="Calibri" w:cs="Arial"/>
          <w:lang w:val="en-GB"/>
        </w:rPr>
        <w:t>1d-e</w:t>
      </w:r>
      <w:r w:rsidRPr="009D4EEE">
        <w:rPr>
          <w:rFonts w:ascii="Calibri" w:hAnsi="Calibri" w:cs="Arial"/>
          <w:lang w:val="en-GB"/>
        </w:rPr>
        <w:t>). Primary/primary-plus patients show</w:t>
      </w:r>
      <w:r>
        <w:rPr>
          <w:rFonts w:ascii="Calibri" w:hAnsi="Calibri" w:cs="Arial"/>
          <w:lang w:val="en-GB"/>
        </w:rPr>
        <w:t xml:space="preserve">ed </w:t>
      </w:r>
      <w:r w:rsidRPr="009D4EEE">
        <w:rPr>
          <w:rFonts w:ascii="Calibri" w:hAnsi="Calibri" w:cs="Arial"/>
          <w:lang w:val="en-GB"/>
        </w:rPr>
        <w:t>significantly lower BFM-M scores (median 3</w:t>
      </w:r>
      <w:r>
        <w:rPr>
          <w:rFonts w:ascii="Calibri" w:hAnsi="Calibri" w:cs="Arial"/>
          <w:lang w:val="en-GB"/>
        </w:rPr>
        <w:t>8</w:t>
      </w:r>
      <w:r w:rsidRPr="009D4EEE">
        <w:rPr>
          <w:rFonts w:ascii="Calibri" w:hAnsi="Calibri" w:cs="Arial"/>
          <w:lang w:val="en-GB"/>
        </w:rPr>
        <w:t>, interquartile range (IQR) 1</w:t>
      </w:r>
      <w:r>
        <w:rPr>
          <w:rFonts w:ascii="Calibri" w:hAnsi="Calibri" w:cs="Arial"/>
          <w:lang w:val="en-GB"/>
        </w:rPr>
        <w:t>8</w:t>
      </w:r>
      <w:r w:rsidRPr="009D4EEE">
        <w:rPr>
          <w:rFonts w:ascii="Calibri" w:hAnsi="Calibri" w:cs="Arial"/>
          <w:lang w:val="en-GB"/>
        </w:rPr>
        <w:t xml:space="preserve">-58) than patients with secondary </w:t>
      </w:r>
      <w:r>
        <w:rPr>
          <w:rFonts w:ascii="Calibri" w:hAnsi="Calibri" w:cs="Arial"/>
          <w:lang w:val="en-GB"/>
        </w:rPr>
        <w:t>HMDs</w:t>
      </w:r>
      <w:r w:rsidRPr="009D4EEE">
        <w:rPr>
          <w:rFonts w:ascii="Calibri" w:hAnsi="Calibri" w:cs="Arial"/>
          <w:lang w:val="en-GB"/>
        </w:rPr>
        <w:t xml:space="preserve"> (median 97, IQR 80-107). No significant difference</w:t>
      </w:r>
      <w:r>
        <w:rPr>
          <w:rFonts w:ascii="Calibri" w:hAnsi="Calibri" w:cs="Arial"/>
          <w:lang w:val="en-GB"/>
        </w:rPr>
        <w:t>s</w:t>
      </w:r>
      <w:r w:rsidRPr="009D4EEE">
        <w:rPr>
          <w:rFonts w:ascii="Calibri" w:hAnsi="Calibri" w:cs="Arial"/>
          <w:lang w:val="en-GB"/>
        </w:rPr>
        <w:t xml:space="preserve"> in BFM-M scores</w:t>
      </w:r>
      <w:r>
        <w:rPr>
          <w:rFonts w:ascii="Calibri" w:hAnsi="Calibri" w:cs="Arial"/>
          <w:lang w:val="en-GB"/>
        </w:rPr>
        <w:t xml:space="preserve"> were</w:t>
      </w:r>
      <w:r w:rsidRPr="009D4EEE">
        <w:rPr>
          <w:rFonts w:ascii="Calibri" w:hAnsi="Calibri" w:cs="Arial"/>
          <w:lang w:val="en-GB"/>
        </w:rPr>
        <w:t xml:space="preserve"> </w:t>
      </w:r>
      <w:r>
        <w:rPr>
          <w:rFonts w:ascii="Calibri" w:hAnsi="Calibri" w:cs="Arial"/>
          <w:lang w:val="en-GB"/>
        </w:rPr>
        <w:t>found</w:t>
      </w:r>
      <w:r w:rsidRPr="009D4EEE">
        <w:rPr>
          <w:rFonts w:ascii="Calibri" w:hAnsi="Calibri" w:cs="Arial"/>
          <w:lang w:val="en-GB"/>
        </w:rPr>
        <w:t xml:space="preserve"> between the primary and primary-plus subgroups (p=0.</w:t>
      </w:r>
      <w:r>
        <w:rPr>
          <w:rFonts w:ascii="Calibri" w:hAnsi="Calibri" w:cs="Arial"/>
          <w:lang w:val="en-GB"/>
        </w:rPr>
        <w:t>637</w:t>
      </w:r>
      <w:r w:rsidRPr="009D4EEE">
        <w:rPr>
          <w:rFonts w:ascii="Calibri" w:hAnsi="Calibri" w:cs="Arial"/>
          <w:lang w:val="en-GB"/>
        </w:rPr>
        <w:t>) or between the secondary-static and secondary-progressive subgroups (</w:t>
      </w:r>
      <w:r>
        <w:rPr>
          <w:rFonts w:ascii="Calibri" w:hAnsi="Calibri" w:cs="Arial"/>
          <w:lang w:val="en-GB"/>
        </w:rPr>
        <w:t>p</w:t>
      </w:r>
      <w:r w:rsidRPr="009D4EEE">
        <w:rPr>
          <w:rFonts w:ascii="Calibri" w:hAnsi="Calibri" w:cs="Arial"/>
          <w:lang w:val="en-GB"/>
        </w:rPr>
        <w:t>=0.4</w:t>
      </w:r>
      <w:r>
        <w:rPr>
          <w:rFonts w:ascii="Calibri" w:hAnsi="Calibri" w:cs="Arial"/>
          <w:lang w:val="en-GB"/>
        </w:rPr>
        <w:t>96</w:t>
      </w:r>
      <w:r w:rsidRPr="009D4EEE">
        <w:rPr>
          <w:rFonts w:ascii="Calibri" w:hAnsi="Calibri" w:cs="Arial"/>
          <w:lang w:val="en-GB"/>
        </w:rPr>
        <w:t xml:space="preserve">). In the secondary-static subgroup, there </w:t>
      </w:r>
      <w:r>
        <w:rPr>
          <w:rFonts w:ascii="Calibri" w:hAnsi="Calibri" w:cs="Arial"/>
          <w:lang w:val="en-GB"/>
        </w:rPr>
        <w:t>was</w:t>
      </w:r>
      <w:r w:rsidRPr="009D4EEE">
        <w:rPr>
          <w:rFonts w:ascii="Calibri" w:hAnsi="Calibri" w:cs="Arial"/>
          <w:lang w:val="en-GB"/>
        </w:rPr>
        <w:t xml:space="preserve"> no significant difference in BFM-M between patients with</w:t>
      </w:r>
      <w:r>
        <w:rPr>
          <w:rFonts w:ascii="Calibri" w:hAnsi="Calibri" w:cs="Arial"/>
          <w:lang w:val="en-GB"/>
        </w:rPr>
        <w:t xml:space="preserve"> or </w:t>
      </w:r>
      <w:r w:rsidRPr="009D4EEE">
        <w:rPr>
          <w:rFonts w:ascii="Calibri" w:hAnsi="Calibri" w:cs="Arial"/>
          <w:lang w:val="en-GB"/>
        </w:rPr>
        <w:t>without CP (p=0.</w:t>
      </w:r>
      <w:r>
        <w:rPr>
          <w:rFonts w:ascii="Calibri" w:hAnsi="Calibri" w:cs="Arial"/>
          <w:lang w:val="en-GB"/>
        </w:rPr>
        <w:t xml:space="preserve">288, </w:t>
      </w:r>
      <w:r w:rsidR="00912809">
        <w:rPr>
          <w:rFonts w:ascii="Calibri" w:hAnsi="Calibri" w:cs="Arial"/>
          <w:lang w:val="en-GB"/>
        </w:rPr>
        <w:t>Fig.</w:t>
      </w:r>
      <w:r>
        <w:rPr>
          <w:rFonts w:ascii="Calibri" w:hAnsi="Calibri" w:cs="Arial"/>
          <w:lang w:val="en-GB"/>
        </w:rPr>
        <w:t xml:space="preserve"> 1f</w:t>
      </w:r>
      <w:r w:rsidRPr="009D4EEE">
        <w:rPr>
          <w:rFonts w:ascii="Calibri" w:hAnsi="Calibri" w:cs="Arial"/>
          <w:lang w:val="en-GB"/>
        </w:rPr>
        <w:t>).</w:t>
      </w:r>
      <w:r w:rsidR="003A3355">
        <w:rPr>
          <w:rFonts w:ascii="Calibri" w:hAnsi="Calibri" w:cs="Arial"/>
          <w:lang w:val="en-GB"/>
        </w:rPr>
        <w:t xml:space="preserve"> More data is ideally required to fully confirm equal</w:t>
      </w:r>
      <w:r w:rsidR="007878F9">
        <w:rPr>
          <w:rFonts w:ascii="Calibri" w:hAnsi="Calibri" w:cs="Arial"/>
          <w:lang w:val="en-GB"/>
        </w:rPr>
        <w:t>ity</w:t>
      </w:r>
      <w:r w:rsidR="003A3355">
        <w:rPr>
          <w:rFonts w:ascii="Calibri" w:hAnsi="Calibri" w:cs="Arial"/>
          <w:lang w:val="en-GB"/>
        </w:rPr>
        <w:t xml:space="preserve"> of distribution of primary dystonia severity against the GMFCS. </w:t>
      </w:r>
    </w:p>
    <w:p w14:paraId="4428B366" w14:textId="77777777" w:rsidR="00F702F7" w:rsidRPr="009D4EEE" w:rsidRDefault="00F702F7" w:rsidP="009E2DC8">
      <w:pPr>
        <w:spacing w:line="360" w:lineRule="auto"/>
        <w:jc w:val="both"/>
        <w:rPr>
          <w:rFonts w:ascii="Calibri" w:hAnsi="Calibri" w:cs="Arial"/>
          <w:lang w:val="en-GB"/>
        </w:rPr>
      </w:pPr>
    </w:p>
    <w:p w14:paraId="68772F70" w14:textId="77777777" w:rsidR="00F702F7" w:rsidRPr="009D4EEE" w:rsidRDefault="00F702F7" w:rsidP="009E2DC8">
      <w:pPr>
        <w:spacing w:line="360" w:lineRule="auto"/>
        <w:jc w:val="both"/>
        <w:rPr>
          <w:rFonts w:ascii="Calibri" w:hAnsi="Calibri" w:cs="Arial"/>
          <w:lang w:val="en-GB"/>
        </w:rPr>
      </w:pPr>
    </w:p>
    <w:p w14:paraId="3F63BE4B" w14:textId="77777777" w:rsidR="00F702F7" w:rsidRPr="009D4EEE" w:rsidRDefault="00F702F7" w:rsidP="00FD4052">
      <w:pPr>
        <w:spacing w:line="360" w:lineRule="auto"/>
        <w:jc w:val="both"/>
        <w:rPr>
          <w:rFonts w:ascii="Calibri" w:hAnsi="Calibri" w:cs="Arial"/>
          <w:b/>
          <w:lang w:val="en-GB"/>
        </w:rPr>
      </w:pPr>
      <w:r w:rsidRPr="009D4EEE">
        <w:rPr>
          <w:rFonts w:ascii="Calibri" w:hAnsi="Calibri" w:cs="Arial"/>
          <w:b/>
          <w:lang w:val="en-GB"/>
        </w:rPr>
        <w:t>Impact of proportion of life lived with dystonia</w:t>
      </w:r>
      <w:r>
        <w:rPr>
          <w:rFonts w:ascii="Calibri" w:hAnsi="Calibri" w:cs="Arial"/>
          <w:b/>
          <w:lang w:val="en-GB"/>
        </w:rPr>
        <w:t xml:space="preserve"> (PLD)</w:t>
      </w:r>
      <w:r w:rsidRPr="009D4EEE">
        <w:rPr>
          <w:rFonts w:ascii="Calibri" w:hAnsi="Calibri" w:cs="Arial"/>
          <w:b/>
          <w:lang w:val="en-GB"/>
        </w:rPr>
        <w:t xml:space="preserve"> on disease severity</w:t>
      </w:r>
    </w:p>
    <w:p w14:paraId="70881E95" w14:textId="39EC7416" w:rsidR="00F702F7" w:rsidRPr="009D4EEE" w:rsidRDefault="00F702F7" w:rsidP="009E2DC8">
      <w:pPr>
        <w:spacing w:line="360" w:lineRule="auto"/>
        <w:jc w:val="both"/>
        <w:rPr>
          <w:rFonts w:ascii="Calibri" w:hAnsi="Calibri" w:cs="Arial"/>
          <w:lang w:val="en-GB"/>
        </w:rPr>
      </w:pPr>
      <w:r w:rsidRPr="009D4EEE">
        <w:rPr>
          <w:rFonts w:ascii="Calibri" w:hAnsi="Calibri" w:cs="Arial"/>
          <w:lang w:val="en-GB"/>
        </w:rPr>
        <w:t xml:space="preserve">There </w:t>
      </w:r>
      <w:r>
        <w:rPr>
          <w:rFonts w:ascii="Calibri" w:hAnsi="Calibri" w:cs="Arial"/>
          <w:lang w:val="en-GB"/>
        </w:rPr>
        <w:t>was</w:t>
      </w:r>
      <w:r w:rsidRPr="009D4EEE">
        <w:rPr>
          <w:rFonts w:ascii="Calibri" w:hAnsi="Calibri" w:cs="Arial"/>
          <w:lang w:val="en-GB"/>
        </w:rPr>
        <w:t xml:space="preserve"> an overall association between PLD and BFM-M scores for 156/161 cases in whom PLD was available (r</w:t>
      </w:r>
      <w:r w:rsidRPr="009D4EEE">
        <w:rPr>
          <w:rFonts w:ascii="Calibri" w:hAnsi="Calibri" w:cs="Arial"/>
          <w:vertAlign w:val="subscript"/>
          <w:lang w:val="en-GB"/>
        </w:rPr>
        <w:t>s</w:t>
      </w:r>
      <w:r w:rsidRPr="009D4EEE">
        <w:rPr>
          <w:rFonts w:ascii="Calibri" w:hAnsi="Calibri" w:cs="Arial"/>
          <w:lang w:val="en-GB"/>
        </w:rPr>
        <w:t xml:space="preserve">=0.423, p&lt;0.00001, Holm–Bonferroni corrected: p&lt;0.00001, </w:t>
      </w:r>
      <w:r w:rsidR="00912809">
        <w:rPr>
          <w:rFonts w:ascii="Calibri" w:hAnsi="Calibri" w:cs="Arial"/>
          <w:lang w:val="en-GB"/>
        </w:rPr>
        <w:t>Fig.</w:t>
      </w:r>
      <w:r w:rsidRPr="009D4EEE">
        <w:rPr>
          <w:rFonts w:ascii="Calibri" w:hAnsi="Calibri" w:cs="Arial"/>
          <w:lang w:val="en-GB"/>
        </w:rPr>
        <w:t xml:space="preserve"> </w:t>
      </w:r>
      <w:r>
        <w:rPr>
          <w:rFonts w:ascii="Calibri" w:hAnsi="Calibri" w:cs="Arial"/>
          <w:lang w:val="en-GB"/>
        </w:rPr>
        <w:t>2</w:t>
      </w:r>
      <w:r w:rsidRPr="009D4EEE">
        <w:rPr>
          <w:rFonts w:ascii="Calibri" w:hAnsi="Calibri" w:cs="Arial"/>
          <w:lang w:val="en-GB"/>
        </w:rPr>
        <w:t>)</w:t>
      </w:r>
      <w:r>
        <w:rPr>
          <w:rFonts w:ascii="Calibri" w:hAnsi="Calibri" w:cs="Arial"/>
          <w:lang w:val="en-GB"/>
        </w:rPr>
        <w:t>. L</w:t>
      </w:r>
      <w:r w:rsidRPr="009D4EEE">
        <w:rPr>
          <w:rFonts w:ascii="Calibri" w:hAnsi="Calibri" w:cs="Arial"/>
          <w:lang w:val="en-GB"/>
        </w:rPr>
        <w:t xml:space="preserve">onger PLD </w:t>
      </w:r>
      <w:r>
        <w:rPr>
          <w:rFonts w:ascii="Calibri" w:hAnsi="Calibri" w:cs="Arial"/>
          <w:lang w:val="en-GB"/>
        </w:rPr>
        <w:t>was</w:t>
      </w:r>
      <w:r w:rsidRPr="009D4EEE">
        <w:rPr>
          <w:rFonts w:ascii="Calibri" w:hAnsi="Calibri" w:cs="Arial"/>
          <w:lang w:val="en-GB"/>
        </w:rPr>
        <w:t xml:space="preserve"> associated with worse dystonia. This relationship </w:t>
      </w:r>
      <w:r>
        <w:rPr>
          <w:rFonts w:ascii="Calibri" w:hAnsi="Calibri" w:cs="Arial"/>
          <w:lang w:val="en-GB"/>
        </w:rPr>
        <w:t>was</w:t>
      </w:r>
      <w:r w:rsidRPr="009D4EEE">
        <w:rPr>
          <w:rFonts w:ascii="Calibri" w:hAnsi="Calibri" w:cs="Arial"/>
          <w:lang w:val="en-GB"/>
        </w:rPr>
        <w:t xml:space="preserve"> weaker when looking at subgroups of primary and primary-plus (r</w:t>
      </w:r>
      <w:r w:rsidRPr="009D4EEE">
        <w:rPr>
          <w:rFonts w:ascii="Calibri" w:hAnsi="Calibri" w:cs="Arial"/>
          <w:vertAlign w:val="subscript"/>
          <w:lang w:val="en-GB"/>
        </w:rPr>
        <w:t>s</w:t>
      </w:r>
      <w:r w:rsidRPr="009D4EEE">
        <w:rPr>
          <w:rFonts w:ascii="Calibri" w:hAnsi="Calibri" w:cs="Arial"/>
          <w:lang w:val="en-GB"/>
        </w:rPr>
        <w:t>=0.187, p=0.2</w:t>
      </w:r>
      <w:r>
        <w:rPr>
          <w:rFonts w:ascii="Calibri" w:hAnsi="Calibri" w:cs="Arial"/>
          <w:lang w:val="en-GB"/>
        </w:rPr>
        <w:t>83</w:t>
      </w:r>
      <w:r w:rsidRPr="009D4EEE">
        <w:rPr>
          <w:rFonts w:ascii="Calibri" w:hAnsi="Calibri" w:cs="Arial"/>
          <w:lang w:val="en-GB"/>
        </w:rPr>
        <w:t>), secondary-static (r</w:t>
      </w:r>
      <w:r w:rsidRPr="009D4EEE">
        <w:rPr>
          <w:rFonts w:ascii="Calibri" w:hAnsi="Calibri" w:cs="Arial"/>
          <w:vertAlign w:val="subscript"/>
          <w:lang w:val="en-GB"/>
        </w:rPr>
        <w:t>s</w:t>
      </w:r>
      <w:r w:rsidRPr="009D4EEE">
        <w:rPr>
          <w:rFonts w:ascii="Calibri" w:hAnsi="Calibri" w:cs="Arial"/>
          <w:lang w:val="en-GB"/>
        </w:rPr>
        <w:t>=0.1</w:t>
      </w:r>
      <w:r>
        <w:rPr>
          <w:rFonts w:ascii="Calibri" w:hAnsi="Calibri" w:cs="Arial"/>
          <w:lang w:val="en-GB"/>
        </w:rPr>
        <w:t>24</w:t>
      </w:r>
      <w:r w:rsidRPr="009D4EEE">
        <w:rPr>
          <w:rFonts w:ascii="Calibri" w:hAnsi="Calibri" w:cs="Arial"/>
          <w:lang w:val="en-GB"/>
        </w:rPr>
        <w:t>, p=0.</w:t>
      </w:r>
      <w:r>
        <w:rPr>
          <w:rFonts w:ascii="Calibri" w:hAnsi="Calibri" w:cs="Arial"/>
          <w:lang w:val="en-GB"/>
        </w:rPr>
        <w:t>226</w:t>
      </w:r>
      <w:r w:rsidRPr="009D4EEE">
        <w:rPr>
          <w:rFonts w:ascii="Calibri" w:hAnsi="Calibri" w:cs="Arial"/>
          <w:lang w:val="en-GB"/>
        </w:rPr>
        <w:t xml:space="preserve">) and secondary-progressive </w:t>
      </w:r>
      <w:r>
        <w:rPr>
          <w:rFonts w:ascii="Calibri" w:hAnsi="Calibri" w:cs="Arial"/>
          <w:lang w:val="en-GB"/>
        </w:rPr>
        <w:t>HMDs</w:t>
      </w:r>
      <w:r w:rsidRPr="009D4EEE">
        <w:rPr>
          <w:rFonts w:ascii="Calibri" w:hAnsi="Calibri" w:cs="Arial"/>
          <w:lang w:val="en-GB"/>
        </w:rPr>
        <w:t xml:space="preserve"> (r</w:t>
      </w:r>
      <w:r w:rsidRPr="009D4EEE">
        <w:rPr>
          <w:rFonts w:ascii="Calibri" w:hAnsi="Calibri" w:cs="Arial"/>
          <w:vertAlign w:val="subscript"/>
          <w:lang w:val="en-GB"/>
        </w:rPr>
        <w:t>s</w:t>
      </w:r>
      <w:r w:rsidRPr="009D4EEE">
        <w:rPr>
          <w:rFonts w:ascii="Calibri" w:hAnsi="Calibri" w:cs="Arial"/>
          <w:lang w:val="en-GB"/>
        </w:rPr>
        <w:t>=0.226, p=0.288).</w:t>
      </w:r>
      <w:r>
        <w:rPr>
          <w:rFonts w:ascii="Calibri" w:hAnsi="Calibri" w:cs="Arial"/>
          <w:lang w:val="en-GB"/>
        </w:rPr>
        <w:t xml:space="preserve"> A similar relationship of longer PLD indicating worse functional ability was found for GMFCS, MACS, and CFCS (Fig. S2).</w:t>
      </w:r>
    </w:p>
    <w:p w14:paraId="310A2414" w14:textId="77777777" w:rsidR="00F702F7" w:rsidRPr="009D4EEE" w:rsidRDefault="00F702F7" w:rsidP="009E2DC8">
      <w:pPr>
        <w:spacing w:line="360" w:lineRule="auto"/>
        <w:jc w:val="both"/>
        <w:rPr>
          <w:rFonts w:ascii="Calibri" w:hAnsi="Calibri" w:cs="Arial"/>
          <w:lang w:val="en-GB"/>
        </w:rPr>
      </w:pPr>
    </w:p>
    <w:p w14:paraId="6D16E71C" w14:textId="77777777" w:rsidR="00F702F7" w:rsidRPr="009D4EEE" w:rsidRDefault="00F702F7" w:rsidP="009E2DC8">
      <w:pPr>
        <w:spacing w:after="200" w:line="276" w:lineRule="auto"/>
        <w:jc w:val="both"/>
        <w:rPr>
          <w:rFonts w:ascii="Calibri" w:hAnsi="Calibri" w:cs="Arial"/>
          <w:b/>
          <w:lang w:val="en-GB"/>
        </w:rPr>
      </w:pPr>
      <w:r w:rsidRPr="009D4EEE">
        <w:rPr>
          <w:rFonts w:ascii="Calibri" w:hAnsi="Calibri" w:cs="Arial"/>
          <w:lang w:val="en-GB"/>
        </w:rPr>
        <w:br w:type="page"/>
      </w:r>
      <w:r w:rsidRPr="009D4EEE">
        <w:rPr>
          <w:rFonts w:ascii="Calibri" w:hAnsi="Calibri" w:cs="Arial"/>
          <w:b/>
          <w:lang w:val="en-GB"/>
        </w:rPr>
        <w:lastRenderedPageBreak/>
        <w:t>DISCUSSION</w:t>
      </w:r>
    </w:p>
    <w:p w14:paraId="22AD00D4" w14:textId="77777777" w:rsidR="00F702F7" w:rsidRPr="009D4EEE" w:rsidRDefault="00F702F7" w:rsidP="009E2DC8">
      <w:pPr>
        <w:autoSpaceDE w:val="0"/>
        <w:autoSpaceDN w:val="0"/>
        <w:adjustRightInd w:val="0"/>
        <w:spacing w:line="360" w:lineRule="auto"/>
        <w:jc w:val="both"/>
        <w:rPr>
          <w:rFonts w:ascii="Calibri" w:hAnsi="Calibri" w:cs="Arial"/>
          <w:lang w:val="en-GB"/>
        </w:rPr>
      </w:pPr>
      <w:r w:rsidRPr="009D4EEE">
        <w:rPr>
          <w:rFonts w:ascii="Calibri" w:hAnsi="Calibri" w:cs="Arial"/>
          <w:lang w:val="en-GB"/>
        </w:rPr>
        <w:t xml:space="preserve">Intervention outcomes for children with dystonia and other hyperkinetic movement disorders are </w:t>
      </w:r>
      <w:r>
        <w:rPr>
          <w:rFonts w:ascii="Calibri" w:hAnsi="Calibri" w:cs="Arial"/>
          <w:lang w:val="en-GB"/>
        </w:rPr>
        <w:t>mostly</w:t>
      </w:r>
      <w:r w:rsidRPr="009D4EEE">
        <w:rPr>
          <w:rFonts w:ascii="Calibri" w:hAnsi="Calibri" w:cs="Arial"/>
          <w:lang w:val="en-GB"/>
        </w:rPr>
        <w:t xml:space="preserve"> described using impairment-based dystonia rating scales, such as the BFM-M.  However, without additional information, the individual scores of such scales allow only limited inferences about an individual’s functional status.  </w:t>
      </w:r>
    </w:p>
    <w:p w14:paraId="62058EF8" w14:textId="77777777" w:rsidR="00F702F7" w:rsidRPr="009D4EEE" w:rsidRDefault="00F702F7" w:rsidP="009E2DC8">
      <w:pPr>
        <w:autoSpaceDE w:val="0"/>
        <w:autoSpaceDN w:val="0"/>
        <w:adjustRightInd w:val="0"/>
        <w:spacing w:line="360" w:lineRule="auto"/>
        <w:jc w:val="both"/>
        <w:rPr>
          <w:rFonts w:ascii="Calibri" w:hAnsi="Calibri" w:cs="Arial"/>
          <w:lang w:val="en-GB"/>
        </w:rPr>
      </w:pPr>
    </w:p>
    <w:p w14:paraId="0A4AA4A7" w14:textId="72B69933" w:rsidR="00F702F7" w:rsidRPr="009D4EEE" w:rsidRDefault="00F702F7" w:rsidP="009E2DC8">
      <w:pPr>
        <w:autoSpaceDE w:val="0"/>
        <w:autoSpaceDN w:val="0"/>
        <w:adjustRightInd w:val="0"/>
        <w:spacing w:line="360" w:lineRule="auto"/>
        <w:jc w:val="both"/>
        <w:rPr>
          <w:rFonts w:ascii="Calibri" w:hAnsi="Calibri" w:cs="Arial"/>
          <w:lang w:val="en-GB"/>
        </w:rPr>
      </w:pPr>
      <w:r w:rsidRPr="009D4EEE">
        <w:rPr>
          <w:rFonts w:ascii="Calibri" w:hAnsi="Calibri" w:cs="Arial"/>
          <w:lang w:val="en-GB"/>
        </w:rPr>
        <w:t xml:space="preserve">The use of functional classification scales, such as the GMFCS, MACS, and CFCS, provides a common language to describe the motor severity and function of both patients and research participants.  These scales require no formal clinician training, are quick, cost-effective and simple to apply. </w:t>
      </w:r>
      <w:r>
        <w:rPr>
          <w:rFonts w:ascii="Calibri" w:hAnsi="Calibri" w:cs="Arial"/>
          <w:lang w:val="en-GB"/>
        </w:rPr>
        <w:t>They</w:t>
      </w:r>
      <w:r w:rsidRPr="009D4EEE">
        <w:rPr>
          <w:rFonts w:ascii="Calibri" w:hAnsi="Calibri" w:cs="Arial"/>
          <w:lang w:val="en-GB"/>
        </w:rPr>
        <w:t xml:space="preserve"> help to contextualise BFM-M scores and facilitate</w:t>
      </w:r>
      <w:r w:rsidR="005952B4">
        <w:rPr>
          <w:rFonts w:ascii="Calibri" w:hAnsi="Calibri" w:cs="Arial"/>
          <w:lang w:val="en-GB"/>
        </w:rPr>
        <w:t>d</w:t>
      </w:r>
      <w:r w:rsidRPr="009D4EEE">
        <w:rPr>
          <w:rFonts w:ascii="Calibri" w:hAnsi="Calibri" w:cs="Arial"/>
          <w:lang w:val="en-GB"/>
        </w:rPr>
        <w:t xml:space="preserve"> the interpretation of research results by providing a clearer </w:t>
      </w:r>
      <w:r w:rsidR="005952B4">
        <w:rPr>
          <w:rFonts w:ascii="Calibri" w:hAnsi="Calibri" w:cs="Arial"/>
          <w:lang w:val="en-GB"/>
        </w:rPr>
        <w:t>understanding</w:t>
      </w:r>
      <w:r w:rsidRPr="009D4EEE">
        <w:rPr>
          <w:rFonts w:ascii="Calibri" w:hAnsi="Calibri" w:cs="Arial"/>
          <w:lang w:val="en-GB"/>
        </w:rPr>
        <w:t xml:space="preserve"> of the functional capabilities of study participants.</w:t>
      </w:r>
      <w:r>
        <w:rPr>
          <w:rFonts w:ascii="Calibri" w:hAnsi="Calibri" w:cs="Arial"/>
          <w:lang w:val="en-GB"/>
        </w:rPr>
        <w:t xml:space="preserve"> </w:t>
      </w:r>
      <w:r w:rsidRPr="009D4EEE">
        <w:rPr>
          <w:rFonts w:ascii="Calibri" w:hAnsi="Calibri" w:cs="Arial"/>
          <w:lang w:val="en-GB"/>
        </w:rPr>
        <w:t xml:space="preserve">By focusing on function and reflecting </w:t>
      </w:r>
      <w:r>
        <w:rPr>
          <w:rFonts w:ascii="Calibri" w:hAnsi="Calibri" w:cs="Arial"/>
          <w:lang w:val="en-GB"/>
        </w:rPr>
        <w:t xml:space="preserve">on </w:t>
      </w:r>
      <w:r w:rsidRPr="009D4EEE">
        <w:rPr>
          <w:rFonts w:ascii="Calibri" w:hAnsi="Calibri" w:cs="Arial"/>
          <w:lang w:val="en-GB"/>
        </w:rPr>
        <w:t>usual performance in everyday environments, these classification systems provide meaningful information that goes beyond aetiology and impairment as strongly advocated by the international classification system of fun</w:t>
      </w:r>
      <w:r w:rsidR="00AE085D">
        <w:rPr>
          <w:rFonts w:ascii="Calibri" w:hAnsi="Calibri" w:cs="Arial"/>
          <w:lang w:val="en-GB"/>
        </w:rPr>
        <w:t>ctioning, disability and health.</w:t>
      </w:r>
    </w:p>
    <w:p w14:paraId="6C9B4500" w14:textId="77777777" w:rsidR="00F702F7" w:rsidRPr="009D4EEE" w:rsidRDefault="00F702F7" w:rsidP="009E2DC8">
      <w:pPr>
        <w:autoSpaceDE w:val="0"/>
        <w:autoSpaceDN w:val="0"/>
        <w:adjustRightInd w:val="0"/>
        <w:spacing w:line="360" w:lineRule="auto"/>
        <w:jc w:val="both"/>
        <w:rPr>
          <w:rFonts w:ascii="Calibri" w:hAnsi="Calibri" w:cs="Arial"/>
          <w:lang w:val="en-GB"/>
        </w:rPr>
      </w:pPr>
    </w:p>
    <w:p w14:paraId="1BB302E5" w14:textId="77777777" w:rsidR="00EF4F35" w:rsidRPr="009D4EEE" w:rsidRDefault="00EF4F35" w:rsidP="00EF4F35">
      <w:pPr>
        <w:spacing w:line="360" w:lineRule="auto"/>
        <w:jc w:val="both"/>
        <w:rPr>
          <w:rFonts w:ascii="Calibri" w:hAnsi="Calibri" w:cs="Arial"/>
          <w:b/>
          <w:lang w:val="en-GB"/>
        </w:rPr>
      </w:pPr>
      <w:r w:rsidRPr="009D4EEE">
        <w:rPr>
          <w:rFonts w:ascii="Calibri" w:hAnsi="Calibri" w:cs="Arial"/>
          <w:b/>
          <w:lang w:val="en-GB"/>
        </w:rPr>
        <w:t xml:space="preserve">Relationship </w:t>
      </w:r>
      <w:r>
        <w:rPr>
          <w:rFonts w:ascii="Calibri" w:hAnsi="Calibri" w:cs="Arial"/>
          <w:b/>
          <w:lang w:val="en-GB"/>
        </w:rPr>
        <w:t>between</w:t>
      </w:r>
      <w:r w:rsidRPr="009D4EEE">
        <w:rPr>
          <w:rFonts w:ascii="Calibri" w:hAnsi="Calibri" w:cs="Arial"/>
          <w:b/>
          <w:lang w:val="en-GB"/>
        </w:rPr>
        <w:t xml:space="preserve"> functional scales</w:t>
      </w:r>
    </w:p>
    <w:p w14:paraId="3D82C244" w14:textId="28C69060" w:rsidR="00F702F7" w:rsidRPr="009D4EEE" w:rsidRDefault="00F702F7" w:rsidP="009E2DC8">
      <w:pPr>
        <w:autoSpaceDE w:val="0"/>
        <w:autoSpaceDN w:val="0"/>
        <w:adjustRightInd w:val="0"/>
        <w:spacing w:line="360" w:lineRule="auto"/>
        <w:jc w:val="both"/>
        <w:rPr>
          <w:rFonts w:ascii="Calibri" w:hAnsi="Calibri" w:cs="Arial"/>
          <w:lang w:val="en-GB"/>
        </w:rPr>
      </w:pPr>
      <w:r w:rsidRPr="00CF318E">
        <w:rPr>
          <w:rFonts w:ascii="Calibri" w:hAnsi="Calibri" w:cs="Arial"/>
          <w:lang w:val="en-GB"/>
        </w:rPr>
        <w:t>As found in other studies</w:t>
      </w:r>
      <w:r w:rsidR="009D12C1">
        <w:rPr>
          <w:rFonts w:ascii="Calibri" w:hAnsi="Calibri"/>
          <w:b/>
          <w:color w:val="FF0000"/>
          <w:vertAlign w:val="superscript"/>
          <w:lang w:val="en-GB"/>
        </w:rPr>
        <w:t>21</w:t>
      </w:r>
      <w:r w:rsidRPr="00CF318E">
        <w:rPr>
          <w:rFonts w:ascii="Calibri" w:hAnsi="Calibri" w:cs="Arial"/>
          <w:vertAlign w:val="superscript"/>
          <w:lang w:val="en-GB"/>
        </w:rPr>
        <w:t>,</w:t>
      </w:r>
      <w:r w:rsidR="009D12C1">
        <w:rPr>
          <w:rFonts w:ascii="Calibri" w:hAnsi="Calibri"/>
          <w:b/>
          <w:color w:val="FF0000"/>
          <w:vertAlign w:val="superscript"/>
          <w:lang w:val="en-GB"/>
        </w:rPr>
        <w:t>26</w:t>
      </w:r>
      <w:r w:rsidRPr="00CF318E">
        <w:rPr>
          <w:rFonts w:ascii="Calibri" w:hAnsi="Calibri" w:cs="Arial"/>
          <w:lang w:val="en-GB"/>
        </w:rPr>
        <w:t>, GMFCS and MACS exhibited greater</w:t>
      </w:r>
      <w:r w:rsidRPr="009D4EEE">
        <w:rPr>
          <w:rFonts w:ascii="Calibri" w:hAnsi="Calibri" w:cs="Arial"/>
          <w:lang w:val="en-GB"/>
        </w:rPr>
        <w:t xml:space="preserve"> concordance in less functionally able children</w:t>
      </w:r>
      <w:r>
        <w:rPr>
          <w:rFonts w:ascii="Calibri" w:hAnsi="Calibri" w:cs="Arial"/>
          <w:lang w:val="en-GB"/>
        </w:rPr>
        <w:t>:</w:t>
      </w:r>
      <w:r w:rsidRPr="009D4EEE">
        <w:rPr>
          <w:rFonts w:ascii="Calibri" w:hAnsi="Calibri" w:cs="Arial"/>
          <w:lang w:val="en-GB"/>
        </w:rPr>
        <w:t xml:space="preserve"> </w:t>
      </w:r>
      <w:r w:rsidRPr="009D4EEE">
        <w:rPr>
          <w:rFonts w:ascii="Calibri" w:hAnsi="Calibri" w:cs="Arial"/>
          <w:color w:val="1A1A1A"/>
          <w:szCs w:val="26"/>
          <w:lang w:val="en-GB"/>
        </w:rPr>
        <w:t>93% of children rated GMFCS V were also rated MACS V</w:t>
      </w:r>
      <w:r>
        <w:rPr>
          <w:rFonts w:ascii="Calibri" w:hAnsi="Calibri" w:cs="Arial"/>
          <w:color w:val="1A1A1A"/>
          <w:szCs w:val="26"/>
          <w:lang w:val="en-GB"/>
        </w:rPr>
        <w:t>.</w:t>
      </w:r>
      <w:r w:rsidRPr="009D4EEE">
        <w:rPr>
          <w:rFonts w:ascii="Calibri" w:hAnsi="Calibri" w:cs="Arial"/>
          <w:color w:val="1A1A1A"/>
          <w:szCs w:val="26"/>
          <w:lang w:val="en-GB"/>
        </w:rPr>
        <w:t xml:space="preserve"> </w:t>
      </w:r>
      <w:r>
        <w:rPr>
          <w:rFonts w:ascii="Calibri" w:hAnsi="Calibri" w:cs="Arial"/>
          <w:color w:val="1A1A1A"/>
          <w:szCs w:val="26"/>
          <w:lang w:val="en-GB"/>
        </w:rPr>
        <w:t>A</w:t>
      </w:r>
      <w:r w:rsidRPr="009D4EEE">
        <w:rPr>
          <w:rFonts w:ascii="Calibri" w:hAnsi="Calibri" w:cs="Arial"/>
          <w:color w:val="1A1A1A"/>
          <w:szCs w:val="26"/>
          <w:lang w:val="en-GB"/>
        </w:rPr>
        <w:t xml:space="preserve"> greater discordance</w:t>
      </w:r>
      <w:r w:rsidRPr="009D4EEE">
        <w:rPr>
          <w:rFonts w:ascii="Calibri" w:hAnsi="Calibri" w:cs="Arial"/>
          <w:lang w:val="en-GB"/>
        </w:rPr>
        <w:t xml:space="preserve"> was seen in more able children (levels I-III).  Virtually all children (98%) classified GMFCS and MACS levels V were rated CFCS III-V. Of those rated GMFCS IV/V, </w:t>
      </w:r>
      <w:r w:rsidR="00EE67AF">
        <w:rPr>
          <w:rFonts w:ascii="Calibri" w:hAnsi="Calibri" w:cs="Arial"/>
          <w:lang w:val="en-GB"/>
        </w:rPr>
        <w:t>10</w:t>
      </w:r>
      <w:r w:rsidRPr="009D4EEE">
        <w:rPr>
          <w:rFonts w:ascii="Calibri" w:hAnsi="Calibri" w:cs="Arial"/>
          <w:lang w:val="en-GB"/>
        </w:rPr>
        <w:t xml:space="preserve">% could make themselves understood to unfamiliar others, at </w:t>
      </w:r>
      <w:r w:rsidRPr="00857965">
        <w:rPr>
          <w:rFonts w:ascii="Calibri" w:hAnsi="Calibri" w:cs="Arial"/>
          <w:lang w:val="en-GB"/>
        </w:rPr>
        <w:t xml:space="preserve">least to some extent (CFCS I-II). This is a </w:t>
      </w:r>
      <w:r w:rsidR="005E74A6">
        <w:rPr>
          <w:rFonts w:ascii="Calibri" w:hAnsi="Calibri" w:cs="Arial"/>
          <w:lang w:val="en-GB"/>
        </w:rPr>
        <w:t>lower</w:t>
      </w:r>
      <w:r w:rsidR="005E74A6" w:rsidRPr="00857965">
        <w:rPr>
          <w:rFonts w:ascii="Calibri" w:hAnsi="Calibri" w:cs="Arial"/>
          <w:lang w:val="en-GB"/>
        </w:rPr>
        <w:t xml:space="preserve"> </w:t>
      </w:r>
      <w:r w:rsidRPr="00857965">
        <w:rPr>
          <w:rFonts w:ascii="Calibri" w:hAnsi="Calibri" w:cs="Arial"/>
          <w:lang w:val="en-GB"/>
        </w:rPr>
        <w:t>proportion</w:t>
      </w:r>
      <w:r w:rsidR="00836D40">
        <w:rPr>
          <w:rFonts w:ascii="Calibri" w:hAnsi="Calibri" w:cs="Arial"/>
          <w:lang w:val="en-GB"/>
        </w:rPr>
        <w:t xml:space="preserve"> than the 25% found by Hidecker</w:t>
      </w:r>
      <w:r w:rsidR="009D12C1">
        <w:rPr>
          <w:rFonts w:ascii="Calibri" w:hAnsi="Calibri"/>
          <w:b/>
          <w:color w:val="FF0000"/>
          <w:vertAlign w:val="superscript"/>
          <w:lang w:val="en-GB"/>
        </w:rPr>
        <w:t>18</w:t>
      </w:r>
      <w:r w:rsidRPr="009D4EEE">
        <w:rPr>
          <w:rFonts w:ascii="Calibri" w:hAnsi="Calibri" w:cs="Arial"/>
          <w:lang w:val="en-GB"/>
        </w:rPr>
        <w:t>.</w:t>
      </w:r>
      <w:r>
        <w:rPr>
          <w:rFonts w:ascii="Calibri" w:hAnsi="Calibri" w:cs="Arial"/>
          <w:lang w:val="en-GB"/>
        </w:rPr>
        <w:t xml:space="preserve"> </w:t>
      </w:r>
      <w:r w:rsidRPr="009D4EEE">
        <w:rPr>
          <w:rFonts w:ascii="Calibri" w:hAnsi="Calibri" w:cs="Arial"/>
          <w:lang w:val="en-GB"/>
        </w:rPr>
        <w:t xml:space="preserve">Only 32 (20%) of the 158 children for whom all scales were available had the same classification level for all 3 scales. This is similar to </w:t>
      </w:r>
      <w:r>
        <w:rPr>
          <w:rFonts w:ascii="Calibri" w:hAnsi="Calibri" w:cs="Arial"/>
          <w:lang w:val="en-GB"/>
        </w:rPr>
        <w:t>other studies</w:t>
      </w:r>
      <w:r w:rsidR="009D12C1">
        <w:rPr>
          <w:rFonts w:ascii="Calibri" w:hAnsi="Calibri"/>
          <w:b/>
          <w:color w:val="FF0000"/>
          <w:vertAlign w:val="superscript"/>
          <w:lang w:val="en-GB"/>
        </w:rPr>
        <w:t>18</w:t>
      </w:r>
      <w:r w:rsidRPr="009D4EEE">
        <w:rPr>
          <w:rFonts w:ascii="Calibri" w:hAnsi="Calibri" w:cs="Arial"/>
          <w:lang w:val="en-GB"/>
        </w:rPr>
        <w:t xml:space="preserve">, though as previous studies do not differentiate dyskinetic CP cases, </w:t>
      </w:r>
      <w:r>
        <w:rPr>
          <w:rFonts w:ascii="Calibri" w:hAnsi="Calibri" w:cs="Arial"/>
          <w:lang w:val="en-GB"/>
        </w:rPr>
        <w:t>it is</w:t>
      </w:r>
      <w:r w:rsidRPr="009D4EEE">
        <w:rPr>
          <w:rFonts w:ascii="Calibri" w:hAnsi="Calibri" w:cs="Arial"/>
          <w:lang w:val="en-GB"/>
        </w:rPr>
        <w:t xml:space="preserve"> difficult to make direct comparisons with our results. </w:t>
      </w:r>
    </w:p>
    <w:p w14:paraId="5C637195" w14:textId="77777777" w:rsidR="00F702F7" w:rsidRPr="009D4EEE" w:rsidRDefault="00F702F7" w:rsidP="009E2DC8">
      <w:pPr>
        <w:autoSpaceDE w:val="0"/>
        <w:autoSpaceDN w:val="0"/>
        <w:adjustRightInd w:val="0"/>
        <w:spacing w:line="360" w:lineRule="auto"/>
        <w:jc w:val="both"/>
        <w:rPr>
          <w:rFonts w:ascii="Calibri" w:hAnsi="Calibri" w:cs="Arial"/>
          <w:lang w:val="en-GB"/>
        </w:rPr>
      </w:pPr>
    </w:p>
    <w:p w14:paraId="6E095AE3" w14:textId="064F7227" w:rsidR="00F702F7" w:rsidRPr="009D4EEE" w:rsidRDefault="00F702F7" w:rsidP="009E2DC8">
      <w:pPr>
        <w:autoSpaceDE w:val="0"/>
        <w:autoSpaceDN w:val="0"/>
        <w:adjustRightInd w:val="0"/>
        <w:spacing w:line="360" w:lineRule="auto"/>
        <w:jc w:val="both"/>
        <w:rPr>
          <w:rFonts w:ascii="Calibri" w:hAnsi="Calibri" w:cs="Arial"/>
          <w:lang w:val="en-GB"/>
        </w:rPr>
      </w:pPr>
      <w:r w:rsidRPr="009D4EEE">
        <w:rPr>
          <w:rFonts w:ascii="Calibri" w:hAnsi="Calibri" w:cs="Arial"/>
          <w:lang w:val="en-GB"/>
        </w:rPr>
        <w:t>We found a very strong relationship between GMFCS and MACS (r</w:t>
      </w:r>
      <w:r w:rsidRPr="009D4EEE">
        <w:rPr>
          <w:rFonts w:ascii="Calibri" w:hAnsi="Calibri" w:cs="Arial"/>
          <w:vertAlign w:val="subscript"/>
          <w:lang w:val="en-GB"/>
        </w:rPr>
        <w:t>s</w:t>
      </w:r>
      <w:r w:rsidRPr="009D4EEE">
        <w:rPr>
          <w:rFonts w:ascii="Calibri" w:hAnsi="Calibri" w:cs="Arial"/>
          <w:lang w:val="en-GB"/>
        </w:rPr>
        <w:t>=0.896) and strong associations between GMFCS and CFCS (r</w:t>
      </w:r>
      <w:r w:rsidRPr="009D4EEE">
        <w:rPr>
          <w:rFonts w:ascii="Calibri" w:hAnsi="Calibri" w:cs="Arial"/>
          <w:vertAlign w:val="subscript"/>
          <w:lang w:val="en-GB"/>
        </w:rPr>
        <w:t>s</w:t>
      </w:r>
      <w:r w:rsidRPr="009D4EEE">
        <w:rPr>
          <w:rFonts w:ascii="Calibri" w:hAnsi="Calibri" w:cs="Arial"/>
          <w:lang w:val="en-GB"/>
        </w:rPr>
        <w:t>=0.724) and MACS and CFCS (r</w:t>
      </w:r>
      <w:r w:rsidRPr="009D4EEE">
        <w:rPr>
          <w:rFonts w:ascii="Calibri" w:hAnsi="Calibri" w:cs="Arial"/>
          <w:vertAlign w:val="subscript"/>
          <w:lang w:val="en-GB"/>
        </w:rPr>
        <w:t>s</w:t>
      </w:r>
      <w:r w:rsidRPr="009D4EEE">
        <w:rPr>
          <w:rFonts w:ascii="Calibri" w:hAnsi="Calibri" w:cs="Arial"/>
          <w:lang w:val="en-GB"/>
        </w:rPr>
        <w:t xml:space="preserve">=0.725). This suggests the three classifications offer related, complementary information. Given correlation coefficients are highly influenced by sample characteristics, the homogeneity of our study sample may explain the higher correlation seen in our study compared to studies </w:t>
      </w:r>
      <w:r w:rsidRPr="009D4EEE">
        <w:rPr>
          <w:rFonts w:ascii="Calibri" w:hAnsi="Calibri" w:cs="Arial"/>
          <w:lang w:val="en-GB"/>
        </w:rPr>
        <w:lastRenderedPageBreak/>
        <w:t>investigating children with all types of CP</w:t>
      </w:r>
      <w:r>
        <w:rPr>
          <w:rFonts w:ascii="Calibri" w:hAnsi="Calibri" w:cs="Arial"/>
          <w:lang w:val="en-GB"/>
        </w:rPr>
        <w:t>,</w:t>
      </w:r>
      <w:r w:rsidRPr="009D4EEE">
        <w:rPr>
          <w:rFonts w:ascii="Calibri" w:hAnsi="Calibri" w:cs="Arial"/>
          <w:lang w:val="en-GB"/>
        </w:rPr>
        <w:t xml:space="preserve"> as strong correlations between GMFCS and MACS </w:t>
      </w:r>
      <w:r w:rsidRPr="00831A07">
        <w:rPr>
          <w:rFonts w:ascii="Calibri" w:hAnsi="Calibri" w:cs="Arial"/>
          <w:lang w:val="en-GB"/>
        </w:rPr>
        <w:t>have been specifically noted in the dyskinetic CP subgroup</w:t>
      </w:r>
      <w:r w:rsidR="009D12C1">
        <w:rPr>
          <w:rFonts w:ascii="Calibri" w:hAnsi="Calibri"/>
          <w:b/>
          <w:color w:val="FF0000"/>
          <w:vertAlign w:val="superscript"/>
          <w:lang w:val="en-GB"/>
        </w:rPr>
        <w:t>18</w:t>
      </w:r>
      <w:r w:rsidR="00836D40">
        <w:rPr>
          <w:rFonts w:ascii="Calibri" w:hAnsi="Calibri"/>
          <w:b/>
          <w:color w:val="FF0000"/>
          <w:vertAlign w:val="superscript"/>
          <w:lang w:val="en-GB"/>
        </w:rPr>
        <w:t>,</w:t>
      </w:r>
      <w:r w:rsidR="009D12C1">
        <w:rPr>
          <w:rFonts w:ascii="Calibri" w:hAnsi="Calibri"/>
          <w:b/>
          <w:color w:val="FF0000"/>
          <w:vertAlign w:val="superscript"/>
          <w:lang w:val="en-GB"/>
        </w:rPr>
        <w:t>26</w:t>
      </w:r>
      <w:r w:rsidRPr="00831A07">
        <w:rPr>
          <w:rFonts w:ascii="Calibri" w:hAnsi="Calibri" w:cs="Arial"/>
          <w:lang w:val="en-GB"/>
        </w:rPr>
        <w:t>.</w:t>
      </w:r>
    </w:p>
    <w:p w14:paraId="77F096AB" w14:textId="77777777" w:rsidR="00F702F7" w:rsidRPr="009D4EEE" w:rsidRDefault="00F702F7" w:rsidP="009E2DC8">
      <w:pPr>
        <w:autoSpaceDE w:val="0"/>
        <w:autoSpaceDN w:val="0"/>
        <w:adjustRightInd w:val="0"/>
        <w:spacing w:line="360" w:lineRule="auto"/>
        <w:jc w:val="both"/>
        <w:rPr>
          <w:rFonts w:ascii="Calibri" w:hAnsi="Calibri" w:cs="Arial"/>
          <w:lang w:val="en-GB"/>
        </w:rPr>
      </w:pPr>
    </w:p>
    <w:p w14:paraId="63D12703" w14:textId="77777777" w:rsidR="00EF4F35" w:rsidRPr="009D4EEE" w:rsidRDefault="00EF4F35" w:rsidP="00EF4F35">
      <w:pPr>
        <w:spacing w:line="360" w:lineRule="auto"/>
        <w:jc w:val="both"/>
        <w:rPr>
          <w:rFonts w:ascii="Calibri" w:hAnsi="Calibri" w:cs="Arial"/>
          <w:b/>
          <w:lang w:val="en-GB"/>
        </w:rPr>
      </w:pPr>
      <w:r>
        <w:rPr>
          <w:rFonts w:ascii="Calibri" w:hAnsi="Calibri" w:cs="Arial"/>
          <w:b/>
          <w:lang w:val="en-GB"/>
        </w:rPr>
        <w:t>Linking functional and disability scales</w:t>
      </w:r>
    </w:p>
    <w:p w14:paraId="69D298E5" w14:textId="73038AD8" w:rsidR="00F702F7" w:rsidRPr="009D4EEE" w:rsidRDefault="00F702F7" w:rsidP="001D588E">
      <w:pPr>
        <w:autoSpaceDE w:val="0"/>
        <w:autoSpaceDN w:val="0"/>
        <w:adjustRightInd w:val="0"/>
        <w:spacing w:line="360" w:lineRule="auto"/>
        <w:jc w:val="both"/>
        <w:rPr>
          <w:rFonts w:ascii="Calibri" w:hAnsi="Calibri" w:cs="Arial"/>
          <w:lang w:val="en-GB"/>
        </w:rPr>
      </w:pPr>
      <w:r w:rsidRPr="009D4EEE">
        <w:rPr>
          <w:rFonts w:ascii="Calibri" w:hAnsi="Calibri" w:cs="Arial"/>
          <w:lang w:val="en-GB"/>
        </w:rPr>
        <w:t>We found a strong relationship between dystonia severity, as measured by the BFM-M, and both GMFCS (r</w:t>
      </w:r>
      <w:r w:rsidRPr="009D4EEE">
        <w:rPr>
          <w:rFonts w:ascii="Calibri" w:hAnsi="Calibri" w:cs="Arial"/>
          <w:vertAlign w:val="subscript"/>
          <w:lang w:val="en-GB"/>
        </w:rPr>
        <w:t>s</w:t>
      </w:r>
      <w:r w:rsidRPr="009D4EEE">
        <w:rPr>
          <w:rFonts w:ascii="Calibri" w:hAnsi="Calibri" w:cs="Arial"/>
          <w:lang w:val="en-GB"/>
        </w:rPr>
        <w:t>=0.843) and MACS (r</w:t>
      </w:r>
      <w:r w:rsidRPr="009D4EEE">
        <w:rPr>
          <w:rFonts w:ascii="Calibri" w:hAnsi="Calibri" w:cs="Arial"/>
          <w:vertAlign w:val="subscript"/>
          <w:lang w:val="en-GB"/>
        </w:rPr>
        <w:t>s</w:t>
      </w:r>
      <w:r w:rsidRPr="009D4EEE">
        <w:rPr>
          <w:rFonts w:ascii="Calibri" w:hAnsi="Calibri" w:cs="Arial"/>
          <w:lang w:val="en-GB"/>
        </w:rPr>
        <w:t xml:space="preserve">=0.838).  The relationship was only slightly weaker </w:t>
      </w:r>
      <w:r>
        <w:rPr>
          <w:rFonts w:ascii="Calibri" w:hAnsi="Calibri" w:cs="Arial"/>
          <w:lang w:val="en-GB"/>
        </w:rPr>
        <w:t>for</w:t>
      </w:r>
      <w:r w:rsidRPr="009D4EEE">
        <w:rPr>
          <w:rFonts w:ascii="Calibri" w:hAnsi="Calibri" w:cs="Arial"/>
          <w:lang w:val="en-GB"/>
        </w:rPr>
        <w:t xml:space="preserve"> the CFCS (r</w:t>
      </w:r>
      <w:r w:rsidRPr="009D4EEE">
        <w:rPr>
          <w:rFonts w:ascii="Calibri" w:hAnsi="Calibri" w:cs="Arial"/>
          <w:vertAlign w:val="subscript"/>
          <w:lang w:val="en-GB"/>
        </w:rPr>
        <w:t>s</w:t>
      </w:r>
      <w:r w:rsidRPr="009D4EEE">
        <w:rPr>
          <w:rFonts w:ascii="Calibri" w:hAnsi="Calibri" w:cs="Arial"/>
          <w:lang w:val="en-GB"/>
        </w:rPr>
        <w:t>=0.745</w:t>
      </w:r>
      <w:r w:rsidR="001D588E" w:rsidRPr="009D4EEE">
        <w:rPr>
          <w:rFonts w:ascii="Calibri" w:hAnsi="Calibri" w:cs="Arial"/>
          <w:lang w:val="en-GB"/>
        </w:rPr>
        <w:t>)</w:t>
      </w:r>
      <w:r w:rsidR="001D588E">
        <w:rPr>
          <w:rFonts w:ascii="Calibri" w:hAnsi="Calibri" w:cs="Arial"/>
          <w:lang w:val="en-GB"/>
        </w:rPr>
        <w:t xml:space="preserve">. As </w:t>
      </w:r>
      <w:r w:rsidR="00F85B44">
        <w:rPr>
          <w:rFonts w:ascii="Calibri" w:hAnsi="Calibri" w:cs="Arial"/>
          <w:lang w:val="en-GB"/>
        </w:rPr>
        <w:t xml:space="preserve">the CFCS considers all forms of communication including </w:t>
      </w:r>
      <w:r w:rsidR="001D588E" w:rsidRPr="001D588E">
        <w:rPr>
          <w:rFonts w:ascii="Calibri" w:hAnsi="Calibri" w:cs="Arial"/>
          <w:lang w:val="en-GB"/>
        </w:rPr>
        <w:t>augmentative and alternative communication</w:t>
      </w:r>
      <w:r w:rsidR="001D588E">
        <w:rPr>
          <w:rFonts w:ascii="Calibri" w:hAnsi="Calibri" w:cs="Arial"/>
          <w:lang w:val="en-GB"/>
        </w:rPr>
        <w:t xml:space="preserve"> (AAC), this finding</w:t>
      </w:r>
      <w:r w:rsidRPr="009D4EEE">
        <w:rPr>
          <w:rFonts w:ascii="Calibri" w:hAnsi="Calibri" w:cs="Arial"/>
          <w:lang w:val="en-GB"/>
        </w:rPr>
        <w:t xml:space="preserve"> might reflect the impact of non-motor factors, such as cognition, on communication function.</w:t>
      </w:r>
      <w:r w:rsidR="00A52592">
        <w:rPr>
          <w:rFonts w:ascii="Calibri" w:hAnsi="Calibri" w:cs="Arial"/>
          <w:lang w:val="en-GB"/>
        </w:rPr>
        <w:t xml:space="preserve"> Further</w:t>
      </w:r>
      <w:r w:rsidR="0080613B">
        <w:rPr>
          <w:rFonts w:ascii="Calibri" w:hAnsi="Calibri" w:cs="Arial"/>
          <w:lang w:val="en-GB"/>
        </w:rPr>
        <w:t>more</w:t>
      </w:r>
      <w:r w:rsidR="00A52592">
        <w:rPr>
          <w:rFonts w:ascii="Calibri" w:hAnsi="Calibri" w:cs="Arial"/>
          <w:lang w:val="en-GB"/>
        </w:rPr>
        <w:t xml:space="preserve">, </w:t>
      </w:r>
      <w:r w:rsidR="0080613B">
        <w:rPr>
          <w:rFonts w:ascii="Calibri" w:hAnsi="Calibri" w:cs="Arial"/>
          <w:lang w:val="en-GB"/>
        </w:rPr>
        <w:t xml:space="preserve">the </w:t>
      </w:r>
      <w:r w:rsidR="00A52592">
        <w:rPr>
          <w:rFonts w:ascii="Calibri" w:hAnsi="Calibri" w:cs="Arial"/>
          <w:lang w:val="en-GB"/>
        </w:rPr>
        <w:t>ability to access assistive technology is compromised in children and young people with dystonia and has been reported as one of the key concerns</w:t>
      </w:r>
      <w:r w:rsidR="00107CDE">
        <w:rPr>
          <w:rFonts w:ascii="Calibri" w:hAnsi="Calibri"/>
          <w:b/>
          <w:color w:val="FF0000"/>
          <w:vertAlign w:val="superscript"/>
          <w:lang w:val="en-GB"/>
        </w:rPr>
        <w:t>5</w:t>
      </w:r>
      <w:r w:rsidR="0080613B">
        <w:rPr>
          <w:rFonts w:ascii="Calibri" w:hAnsi="Calibri" w:cs="Arial"/>
          <w:lang w:val="en-GB"/>
        </w:rPr>
        <w:t>,</w:t>
      </w:r>
      <w:r w:rsidR="00A52592">
        <w:rPr>
          <w:rFonts w:ascii="Calibri" w:hAnsi="Calibri" w:cs="Arial"/>
          <w:lang w:val="en-GB"/>
        </w:rPr>
        <w:t xml:space="preserve"> which is likely to affect access to communication. </w:t>
      </w:r>
    </w:p>
    <w:p w14:paraId="4F407E3B" w14:textId="77777777" w:rsidR="00F702F7" w:rsidRPr="009D4EEE" w:rsidRDefault="00F702F7" w:rsidP="009E2DC8">
      <w:pPr>
        <w:autoSpaceDE w:val="0"/>
        <w:autoSpaceDN w:val="0"/>
        <w:adjustRightInd w:val="0"/>
        <w:spacing w:line="360" w:lineRule="auto"/>
        <w:jc w:val="both"/>
        <w:rPr>
          <w:rFonts w:ascii="Calibri" w:hAnsi="Calibri" w:cs="Arial"/>
          <w:lang w:val="en-GB"/>
        </w:rPr>
      </w:pPr>
    </w:p>
    <w:p w14:paraId="78376CA1" w14:textId="3A860F1A" w:rsidR="00F702F7" w:rsidRPr="009D4EEE" w:rsidRDefault="00F702F7" w:rsidP="009E2DC8">
      <w:pPr>
        <w:widowControl w:val="0"/>
        <w:autoSpaceDE w:val="0"/>
        <w:autoSpaceDN w:val="0"/>
        <w:adjustRightInd w:val="0"/>
        <w:spacing w:line="360" w:lineRule="auto"/>
        <w:jc w:val="both"/>
        <w:rPr>
          <w:rFonts w:ascii="Calibri" w:hAnsi="Calibri" w:cs="Arial"/>
          <w:lang w:val="en-GB"/>
        </w:rPr>
      </w:pPr>
      <w:r w:rsidRPr="009D4EEE">
        <w:rPr>
          <w:rFonts w:ascii="Calibri" w:hAnsi="Calibri" w:cs="Arial"/>
          <w:lang w:val="en-GB"/>
        </w:rPr>
        <w:t xml:space="preserve">Although there seems to be a remarkable segregation of BFM-M scores by primary vs secondary aetiology, the GMFCS and MACS levels are also very informative. The BFM-M discriminated surprisingly well </w:t>
      </w:r>
      <w:r>
        <w:rPr>
          <w:rFonts w:ascii="Calibri" w:hAnsi="Calibri" w:cs="Arial"/>
          <w:lang w:val="en-GB"/>
        </w:rPr>
        <w:t>between</w:t>
      </w:r>
      <w:r w:rsidRPr="009D4EEE">
        <w:rPr>
          <w:rFonts w:ascii="Calibri" w:hAnsi="Calibri" w:cs="Arial"/>
          <w:lang w:val="en-GB"/>
        </w:rPr>
        <w:t xml:space="preserve"> GMFCS level</w:t>
      </w:r>
      <w:r>
        <w:rPr>
          <w:rFonts w:ascii="Calibri" w:hAnsi="Calibri" w:cs="Arial"/>
          <w:lang w:val="en-GB"/>
        </w:rPr>
        <w:t>s</w:t>
      </w:r>
      <w:r w:rsidRPr="009D4EEE">
        <w:rPr>
          <w:rFonts w:ascii="Calibri" w:hAnsi="Calibri" w:cs="Arial"/>
          <w:lang w:val="en-GB"/>
        </w:rPr>
        <w:t xml:space="preserve"> (</w:t>
      </w:r>
      <w:r w:rsidR="00912809">
        <w:rPr>
          <w:rFonts w:ascii="Calibri" w:hAnsi="Calibri" w:cs="Arial"/>
          <w:lang w:val="en-GB"/>
        </w:rPr>
        <w:t>Fig.</w:t>
      </w:r>
      <w:r w:rsidRPr="009D4EEE">
        <w:rPr>
          <w:rFonts w:ascii="Calibri" w:hAnsi="Calibri" w:cs="Arial"/>
          <w:lang w:val="en-GB"/>
        </w:rPr>
        <w:t xml:space="preserve"> 1a), with a split of the BFM-M into 5 blocks of approximately equal size corresponding to each GMFCS level. This link between impairment and </w:t>
      </w:r>
      <w:r>
        <w:rPr>
          <w:rFonts w:ascii="Calibri" w:hAnsi="Calibri" w:cs="Arial"/>
          <w:lang w:val="en-GB"/>
        </w:rPr>
        <w:t xml:space="preserve">gross motor </w:t>
      </w:r>
      <w:r w:rsidRPr="009D4EEE">
        <w:rPr>
          <w:rFonts w:ascii="Calibri" w:hAnsi="Calibri" w:cs="Arial"/>
          <w:lang w:val="en-GB"/>
        </w:rPr>
        <w:t>function supports the discriminative validity of this impairment-based measure</w:t>
      </w:r>
      <w:r>
        <w:rPr>
          <w:rFonts w:ascii="Calibri" w:hAnsi="Calibri" w:cs="Arial"/>
          <w:lang w:val="en-GB"/>
        </w:rPr>
        <w:t xml:space="preserve"> </w:t>
      </w:r>
      <w:r w:rsidRPr="00F0436A">
        <w:rPr>
          <w:rFonts w:ascii="Calibri" w:hAnsi="Calibri" w:cs="Arial"/>
          <w:lang w:val="en-GB"/>
        </w:rPr>
        <w:t>in all children with dystonic movement disorders</w:t>
      </w:r>
      <w:r w:rsidRPr="009D4EEE">
        <w:rPr>
          <w:rFonts w:ascii="Calibri" w:hAnsi="Calibri" w:cs="Arial"/>
          <w:lang w:val="en-GB"/>
        </w:rPr>
        <w:t xml:space="preserve">. This clear discriminative pattern is not seen using the other scales: a non-linear relationship </w:t>
      </w:r>
      <w:r>
        <w:rPr>
          <w:rFonts w:ascii="Calibri" w:hAnsi="Calibri" w:cs="Arial"/>
          <w:lang w:val="en-GB"/>
        </w:rPr>
        <w:t>exists</w:t>
      </w:r>
      <w:r w:rsidRPr="009D4EEE">
        <w:rPr>
          <w:rFonts w:ascii="Calibri" w:hAnsi="Calibri" w:cs="Arial"/>
          <w:lang w:val="en-GB"/>
        </w:rPr>
        <w:t xml:space="preserve"> between MACS and BFM-M as well as between CFCS and BFM-M (</w:t>
      </w:r>
      <w:r w:rsidR="00912809">
        <w:rPr>
          <w:rFonts w:ascii="Calibri" w:hAnsi="Calibri" w:cs="Arial"/>
          <w:lang w:val="en-GB"/>
        </w:rPr>
        <w:t>Fig.</w:t>
      </w:r>
      <w:r w:rsidRPr="009D4EEE">
        <w:rPr>
          <w:rFonts w:ascii="Calibri" w:hAnsi="Calibri" w:cs="Arial"/>
          <w:lang w:val="en-GB"/>
        </w:rPr>
        <w:t xml:space="preserve"> 1</w:t>
      </w:r>
      <w:r>
        <w:rPr>
          <w:rFonts w:ascii="Calibri" w:hAnsi="Calibri" w:cs="Arial"/>
          <w:lang w:val="en-GB"/>
        </w:rPr>
        <w:t>b</w:t>
      </w:r>
      <w:r w:rsidR="00912809">
        <w:rPr>
          <w:rFonts w:ascii="Calibri" w:hAnsi="Calibri" w:cs="Arial"/>
          <w:lang w:val="en-GB"/>
        </w:rPr>
        <w:t>-</w:t>
      </w:r>
      <w:r>
        <w:rPr>
          <w:rFonts w:ascii="Calibri" w:hAnsi="Calibri" w:cs="Arial"/>
          <w:lang w:val="en-GB"/>
        </w:rPr>
        <w:t>c</w:t>
      </w:r>
      <w:r w:rsidR="002B5034" w:rsidRPr="009D4EEE">
        <w:rPr>
          <w:rFonts w:ascii="Calibri" w:hAnsi="Calibri" w:cs="Arial"/>
          <w:lang w:val="en-GB"/>
        </w:rPr>
        <w:t>)</w:t>
      </w:r>
      <w:r w:rsidR="002B5034">
        <w:rPr>
          <w:rFonts w:ascii="Calibri" w:hAnsi="Calibri" w:cs="Arial"/>
          <w:lang w:val="en-GB"/>
        </w:rPr>
        <w:t xml:space="preserve">. </w:t>
      </w:r>
      <w:r w:rsidRPr="009D4EEE">
        <w:rPr>
          <w:rFonts w:ascii="Calibri" w:hAnsi="Calibri" w:cs="Arial"/>
          <w:lang w:val="en-GB"/>
        </w:rPr>
        <w:t xml:space="preserve">MACS levels I-III share similar BFM-M profiles and CFCS levels III-V share similar BFM-M profiles. </w:t>
      </w:r>
      <w:r w:rsidR="007572FB">
        <w:rPr>
          <w:rFonts w:ascii="Calibri" w:hAnsi="Calibri" w:cs="Arial"/>
          <w:lang w:val="en-GB"/>
        </w:rPr>
        <w:t xml:space="preserve">This </w:t>
      </w:r>
      <w:r w:rsidR="00B84679">
        <w:rPr>
          <w:rFonts w:ascii="Calibri" w:hAnsi="Calibri" w:cs="Arial"/>
          <w:lang w:val="en-GB"/>
        </w:rPr>
        <w:t>is</w:t>
      </w:r>
      <w:r w:rsidR="007572FB" w:rsidRPr="009D4EEE">
        <w:rPr>
          <w:rFonts w:ascii="Calibri" w:hAnsi="Calibri" w:cs="Arial"/>
          <w:lang w:val="en-GB"/>
        </w:rPr>
        <w:t xml:space="preserve"> possibly due </w:t>
      </w:r>
      <w:r w:rsidR="007572FB">
        <w:rPr>
          <w:rFonts w:ascii="Calibri" w:hAnsi="Calibri" w:cs="Arial"/>
          <w:lang w:val="en-GB"/>
        </w:rPr>
        <w:t xml:space="preserve">to the MACS providing additional information </w:t>
      </w:r>
      <w:r w:rsidR="00C73B10">
        <w:rPr>
          <w:rFonts w:ascii="Calibri" w:hAnsi="Calibri" w:cs="Arial"/>
          <w:lang w:val="en-GB"/>
        </w:rPr>
        <w:t>about how</w:t>
      </w:r>
      <w:r w:rsidR="00F32E0B">
        <w:rPr>
          <w:rFonts w:ascii="Calibri" w:hAnsi="Calibri" w:cs="Arial"/>
          <w:lang w:val="en-GB"/>
        </w:rPr>
        <w:t xml:space="preserve"> objects can be handled </w:t>
      </w:r>
      <w:r w:rsidR="007572FB">
        <w:rPr>
          <w:rFonts w:ascii="Calibri" w:hAnsi="Calibri" w:cs="Arial"/>
          <w:lang w:val="en-GB"/>
        </w:rPr>
        <w:t xml:space="preserve">for the less severe cases (BFM-M less than approximately 60) and the CFCS allowing more in-depth assessments of the </w:t>
      </w:r>
      <w:r w:rsidR="00F32E0B">
        <w:rPr>
          <w:rFonts w:ascii="Calibri" w:hAnsi="Calibri" w:cs="Arial"/>
          <w:lang w:val="en-GB"/>
        </w:rPr>
        <w:t xml:space="preserve">communication with familiar partners for </w:t>
      </w:r>
      <w:r w:rsidR="007572FB">
        <w:rPr>
          <w:rFonts w:ascii="Calibri" w:hAnsi="Calibri" w:cs="Arial"/>
          <w:lang w:val="en-GB"/>
        </w:rPr>
        <w:t>more severe cases (BFM-M more than approximately 80)</w:t>
      </w:r>
      <w:r w:rsidR="007572FB" w:rsidRPr="009D4EEE">
        <w:rPr>
          <w:rFonts w:ascii="Calibri" w:hAnsi="Calibri" w:cs="Arial"/>
          <w:lang w:val="en-GB"/>
        </w:rPr>
        <w:t>.</w:t>
      </w:r>
    </w:p>
    <w:p w14:paraId="014F5C78" w14:textId="77777777" w:rsidR="00F702F7" w:rsidRPr="009D4EEE" w:rsidRDefault="00F702F7" w:rsidP="009E2DC8">
      <w:pPr>
        <w:widowControl w:val="0"/>
        <w:autoSpaceDE w:val="0"/>
        <w:autoSpaceDN w:val="0"/>
        <w:adjustRightInd w:val="0"/>
        <w:spacing w:line="360" w:lineRule="auto"/>
        <w:jc w:val="both"/>
        <w:rPr>
          <w:rFonts w:ascii="Calibri" w:hAnsi="Calibri" w:cs="Arial"/>
          <w:lang w:val="en-GB"/>
        </w:rPr>
      </w:pPr>
    </w:p>
    <w:p w14:paraId="5C9B245C" w14:textId="77777777" w:rsidR="00F702F7" w:rsidRPr="009D4EEE" w:rsidRDefault="00F702F7" w:rsidP="009E2DC8">
      <w:pPr>
        <w:widowControl w:val="0"/>
        <w:autoSpaceDE w:val="0"/>
        <w:autoSpaceDN w:val="0"/>
        <w:adjustRightInd w:val="0"/>
        <w:spacing w:line="360" w:lineRule="auto"/>
        <w:jc w:val="both"/>
        <w:rPr>
          <w:rFonts w:ascii="Calibri" w:hAnsi="Calibri" w:cs="Arial"/>
          <w:lang w:val="en-GB"/>
        </w:rPr>
      </w:pPr>
      <w:r w:rsidRPr="009D4EEE">
        <w:rPr>
          <w:rFonts w:ascii="Calibri" w:hAnsi="Calibri" w:cs="Arial"/>
          <w:lang w:val="en-GB"/>
        </w:rPr>
        <w:t xml:space="preserve">A moderate association was found between PLD and dystonia severity (BFM-M) (Spearman correlation 0.423; p&lt;0.001). This link became </w:t>
      </w:r>
      <w:r>
        <w:rPr>
          <w:rFonts w:ascii="Calibri" w:hAnsi="Calibri" w:cs="Arial"/>
          <w:lang w:val="en-GB"/>
        </w:rPr>
        <w:t xml:space="preserve">much </w:t>
      </w:r>
      <w:r w:rsidRPr="009D4EEE">
        <w:rPr>
          <w:rFonts w:ascii="Calibri" w:hAnsi="Calibri" w:cs="Arial"/>
          <w:lang w:val="en-GB"/>
        </w:rPr>
        <w:t>weaker within aetiological subgroups</w:t>
      </w:r>
      <w:r w:rsidR="002C0A02" w:rsidRPr="009D4EEE">
        <w:rPr>
          <w:rFonts w:ascii="Calibri" w:hAnsi="Calibri" w:cs="Arial"/>
          <w:lang w:val="en-GB"/>
        </w:rPr>
        <w:t>.</w:t>
      </w:r>
      <w:r w:rsidRPr="009D4EEE">
        <w:rPr>
          <w:rFonts w:ascii="Calibri" w:hAnsi="Calibri" w:cs="Arial"/>
          <w:lang w:val="en-GB"/>
        </w:rPr>
        <w:t xml:space="preserve"> Thus, either aetiology or PLD can be used as a predictor of dystonia severity.</w:t>
      </w:r>
    </w:p>
    <w:p w14:paraId="46CEC32D" w14:textId="77777777" w:rsidR="00F702F7" w:rsidRPr="009D4EEE" w:rsidRDefault="00F702F7" w:rsidP="009E2DC8">
      <w:pPr>
        <w:autoSpaceDE w:val="0"/>
        <w:autoSpaceDN w:val="0"/>
        <w:adjustRightInd w:val="0"/>
        <w:spacing w:line="360" w:lineRule="auto"/>
        <w:jc w:val="both"/>
        <w:rPr>
          <w:rFonts w:ascii="Calibri" w:hAnsi="Calibri" w:cs="Arial"/>
          <w:lang w:val="en-GB"/>
        </w:rPr>
      </w:pPr>
    </w:p>
    <w:p w14:paraId="05226DEB" w14:textId="77777777" w:rsidR="00D45D06" w:rsidRPr="009D4EEE" w:rsidRDefault="00D45D06" w:rsidP="00D45D06">
      <w:pPr>
        <w:spacing w:line="360" w:lineRule="auto"/>
        <w:jc w:val="both"/>
        <w:rPr>
          <w:rFonts w:ascii="Calibri" w:hAnsi="Calibri" w:cs="Arial"/>
          <w:b/>
          <w:lang w:val="en-GB"/>
        </w:rPr>
      </w:pPr>
      <w:r>
        <w:rPr>
          <w:rFonts w:ascii="Calibri" w:hAnsi="Calibri" w:cs="Arial"/>
          <w:b/>
          <w:lang w:val="en-GB"/>
        </w:rPr>
        <w:t>Limitations and conclusion</w:t>
      </w:r>
    </w:p>
    <w:p w14:paraId="14DF7850" w14:textId="5DF14B60" w:rsidR="00F702F7" w:rsidRDefault="00F702F7" w:rsidP="009E2DC8">
      <w:pPr>
        <w:autoSpaceDE w:val="0"/>
        <w:autoSpaceDN w:val="0"/>
        <w:adjustRightInd w:val="0"/>
        <w:spacing w:line="360" w:lineRule="auto"/>
        <w:jc w:val="both"/>
        <w:rPr>
          <w:rFonts w:ascii="Calibri" w:hAnsi="Calibri" w:cs="Arial"/>
          <w:lang w:val="en-GB"/>
        </w:rPr>
      </w:pPr>
      <w:r w:rsidRPr="009D4EEE">
        <w:rPr>
          <w:rFonts w:ascii="Calibri" w:hAnsi="Calibri" w:cs="Arial"/>
          <w:lang w:val="en-GB"/>
        </w:rPr>
        <w:lastRenderedPageBreak/>
        <w:t xml:space="preserve">It is important to acknowledge the limitations of this study. Generalisation of results is limited by the inclusion of </w:t>
      </w:r>
      <w:r>
        <w:rPr>
          <w:rFonts w:ascii="Calibri" w:hAnsi="Calibri" w:cs="Arial"/>
          <w:lang w:val="en-GB"/>
        </w:rPr>
        <w:t>children</w:t>
      </w:r>
      <w:r w:rsidRPr="009D4EEE">
        <w:rPr>
          <w:rFonts w:ascii="Calibri" w:hAnsi="Calibri" w:cs="Arial"/>
          <w:lang w:val="en-GB"/>
        </w:rPr>
        <w:t xml:space="preserve"> referred to a specialist movement disorder service rather than a random sample taken from a wider HMD population. This raises the potential for selection bias given the sample is likely comprised of patients with more severe functional difficulties for which specialist intervention is being sought.  Indeed, 52% of our patients were categorised as levels V for GMFCS and MACS. However, our results are in line with the </w:t>
      </w:r>
      <w:r w:rsidR="00836D40">
        <w:rPr>
          <w:rFonts w:ascii="Calibri" w:hAnsi="Calibri" w:cs="Arial"/>
          <w:lang w:val="en-GB"/>
        </w:rPr>
        <w:t>findings of other studies</w:t>
      </w:r>
      <w:r w:rsidR="009D12C1">
        <w:rPr>
          <w:rFonts w:ascii="Calibri" w:hAnsi="Calibri"/>
          <w:b/>
          <w:color w:val="FF0000"/>
          <w:vertAlign w:val="superscript"/>
          <w:lang w:val="en-GB"/>
        </w:rPr>
        <w:t>18</w:t>
      </w:r>
      <w:r w:rsidR="00836D40" w:rsidRPr="001D3041">
        <w:rPr>
          <w:rFonts w:ascii="Calibri" w:hAnsi="Calibri"/>
          <w:b/>
          <w:color w:val="FF0000"/>
          <w:vertAlign w:val="superscript"/>
          <w:lang w:val="en-GB"/>
        </w:rPr>
        <w:t>,</w:t>
      </w:r>
      <w:r w:rsidR="009D12C1">
        <w:rPr>
          <w:rFonts w:ascii="Calibri" w:hAnsi="Calibri"/>
          <w:b/>
          <w:color w:val="FF0000"/>
          <w:vertAlign w:val="superscript"/>
          <w:lang w:val="en-GB"/>
        </w:rPr>
        <w:t>26</w:t>
      </w:r>
      <w:r w:rsidR="009A7F9F" w:rsidRPr="001D3041">
        <w:rPr>
          <w:rFonts w:ascii="Calibri" w:hAnsi="Calibri"/>
          <w:b/>
          <w:color w:val="FF0000"/>
          <w:vertAlign w:val="superscript"/>
          <w:lang w:val="en-GB"/>
        </w:rPr>
        <w:t>,</w:t>
      </w:r>
      <w:r w:rsidR="009D12C1">
        <w:rPr>
          <w:rFonts w:ascii="Calibri" w:hAnsi="Calibri"/>
          <w:b/>
          <w:color w:val="FF0000"/>
          <w:vertAlign w:val="superscript"/>
          <w:lang w:val="en-GB"/>
        </w:rPr>
        <w:t>30</w:t>
      </w:r>
      <w:r w:rsidRPr="00831A07">
        <w:rPr>
          <w:rFonts w:ascii="Calibri" w:hAnsi="Calibri" w:cs="Arial"/>
          <w:lang w:val="en-GB"/>
        </w:rPr>
        <w:t>. Other limitations include the use</w:t>
      </w:r>
      <w:r w:rsidRPr="009D4EEE">
        <w:rPr>
          <w:rFonts w:ascii="Calibri" w:hAnsi="Calibri" w:cs="Arial"/>
          <w:lang w:val="en-GB"/>
        </w:rPr>
        <w:t xml:space="preserve"> of functional classification scales validated only for CP</w:t>
      </w:r>
      <w:r w:rsidR="00D4640C">
        <w:rPr>
          <w:rFonts w:ascii="Calibri" w:hAnsi="Calibri" w:cs="Arial"/>
          <w:lang w:val="en-GB"/>
        </w:rPr>
        <w:t>,</w:t>
      </w:r>
      <w:r w:rsidRPr="009D4EEE">
        <w:rPr>
          <w:rFonts w:ascii="Calibri" w:hAnsi="Calibri" w:cs="Arial"/>
          <w:lang w:val="en-GB"/>
        </w:rPr>
        <w:t xml:space="preserve"> the retrospective assignment of CFCS scores based on clinical documentation</w:t>
      </w:r>
      <w:r w:rsidR="00D4640C">
        <w:rPr>
          <w:rFonts w:ascii="Calibri" w:hAnsi="Calibri" w:cs="Arial"/>
          <w:lang w:val="en-GB"/>
        </w:rPr>
        <w:t xml:space="preserve"> and the </w:t>
      </w:r>
      <w:r w:rsidR="00BE5586">
        <w:rPr>
          <w:rFonts w:ascii="Calibri" w:hAnsi="Calibri" w:cs="Arial"/>
          <w:lang w:val="en-GB"/>
        </w:rPr>
        <w:t xml:space="preserve">use of the BFM-M in the </w:t>
      </w:r>
      <w:r w:rsidR="00D4640C">
        <w:rPr>
          <w:rFonts w:ascii="Calibri" w:hAnsi="Calibri" w:cs="Arial"/>
          <w:lang w:val="en-GB"/>
        </w:rPr>
        <w:t>heterogeneous group of secondary dystonia patients</w:t>
      </w:r>
      <w:r w:rsidRPr="009D4EEE">
        <w:rPr>
          <w:rFonts w:ascii="Calibri" w:hAnsi="Calibri" w:cs="Arial"/>
          <w:lang w:val="en-GB"/>
        </w:rPr>
        <w:t xml:space="preserve">.  </w:t>
      </w:r>
    </w:p>
    <w:p w14:paraId="5C17416B" w14:textId="77777777" w:rsidR="00F702F7" w:rsidRPr="009D4EEE" w:rsidRDefault="00F702F7" w:rsidP="009E2DC8">
      <w:pPr>
        <w:autoSpaceDE w:val="0"/>
        <w:autoSpaceDN w:val="0"/>
        <w:adjustRightInd w:val="0"/>
        <w:spacing w:line="360" w:lineRule="auto"/>
        <w:jc w:val="both"/>
        <w:rPr>
          <w:rFonts w:ascii="Calibri" w:hAnsi="Calibri" w:cs="Arial"/>
          <w:lang w:val="en-GB"/>
        </w:rPr>
      </w:pPr>
    </w:p>
    <w:p w14:paraId="397F179D" w14:textId="727D64B7" w:rsidR="00F702F7" w:rsidRPr="009D4EEE" w:rsidRDefault="009A0EF4" w:rsidP="009E2DC8">
      <w:pPr>
        <w:autoSpaceDE w:val="0"/>
        <w:autoSpaceDN w:val="0"/>
        <w:adjustRightInd w:val="0"/>
        <w:spacing w:line="360" w:lineRule="auto"/>
        <w:jc w:val="both"/>
        <w:rPr>
          <w:rFonts w:ascii="Calibri" w:hAnsi="Calibri" w:cs="Arial"/>
          <w:lang w:val="en-GB"/>
        </w:rPr>
      </w:pPr>
      <w:r w:rsidRPr="009A0EF4">
        <w:rPr>
          <w:rFonts w:ascii="Calibri" w:hAnsi="Calibri" w:cs="Arial"/>
          <w:lang w:val="en-GB"/>
        </w:rPr>
        <w:t>The consistency of results when these scales are applied to different aetiologies and when comparing CP with non-CP diagnoses suggests that GMFCS, MACS, and CFCS equivalent scores, as operationally defined disability levels, can be applied to children without CP. Even though comparisons between different aetiological groups should be interpreted with caution, certain management strategies, such as deep brain stimulation, require the same surgical technique irrespectively of aetiology. However not all cases of dystonia respond similarly to DBS because of differences in functional motor and dystonia severity, PLD and aetiology. We need to understand what children with dystonia share in common, and thus we need to use scales commonly applied to CP side-by-side with those used in non-CP movement disorders. This work broadly suggests that a drop of 20 BFM-M points are required to improve the GMFCS by 1 ordinal point.</w:t>
      </w:r>
    </w:p>
    <w:p w14:paraId="5BB9B309" w14:textId="77777777" w:rsidR="00F702F7" w:rsidRPr="009D4EEE" w:rsidRDefault="00F702F7" w:rsidP="009E2DC8">
      <w:pPr>
        <w:autoSpaceDE w:val="0"/>
        <w:autoSpaceDN w:val="0"/>
        <w:adjustRightInd w:val="0"/>
        <w:spacing w:line="360" w:lineRule="auto"/>
        <w:jc w:val="both"/>
        <w:rPr>
          <w:rFonts w:ascii="Calibri" w:hAnsi="Calibri" w:cs="Arial"/>
          <w:lang w:val="en-GB"/>
        </w:rPr>
      </w:pPr>
    </w:p>
    <w:p w14:paraId="7E16384F" w14:textId="18222E18" w:rsidR="00F702F7" w:rsidRPr="009D4EEE" w:rsidRDefault="00F702F7" w:rsidP="009E2DC8">
      <w:pPr>
        <w:autoSpaceDE w:val="0"/>
        <w:autoSpaceDN w:val="0"/>
        <w:adjustRightInd w:val="0"/>
        <w:spacing w:line="360" w:lineRule="auto"/>
        <w:jc w:val="both"/>
        <w:rPr>
          <w:rFonts w:ascii="Calibri" w:hAnsi="Calibri" w:cs="Arial"/>
          <w:lang w:val="en-GB"/>
        </w:rPr>
      </w:pPr>
      <w:r w:rsidRPr="009D4EEE">
        <w:rPr>
          <w:rFonts w:ascii="Calibri" w:hAnsi="Calibri" w:cs="Arial"/>
          <w:lang w:val="en-GB"/>
        </w:rPr>
        <w:t xml:space="preserve">Dystonia rating scales alone </w:t>
      </w:r>
      <w:r>
        <w:rPr>
          <w:rFonts w:ascii="Calibri" w:hAnsi="Calibri" w:cs="Arial"/>
          <w:lang w:val="en-GB"/>
        </w:rPr>
        <w:t>do not</w:t>
      </w:r>
      <w:r w:rsidRPr="009D4EEE">
        <w:rPr>
          <w:rFonts w:ascii="Calibri" w:hAnsi="Calibri" w:cs="Arial"/>
          <w:lang w:val="en-GB"/>
        </w:rPr>
        <w:t xml:space="preserve"> provide us with a clear understanding of the child’s functional ability or </w:t>
      </w:r>
      <w:r>
        <w:rPr>
          <w:rFonts w:ascii="Calibri" w:hAnsi="Calibri" w:cs="Arial"/>
          <w:lang w:val="en-GB"/>
        </w:rPr>
        <w:t xml:space="preserve">functional </w:t>
      </w:r>
      <w:r w:rsidRPr="009D4EEE">
        <w:rPr>
          <w:rFonts w:ascii="Calibri" w:hAnsi="Calibri" w:cs="Arial"/>
          <w:lang w:val="en-GB"/>
        </w:rPr>
        <w:t xml:space="preserve">motor severity, since they measure at impairment level and </w:t>
      </w:r>
      <w:r>
        <w:rPr>
          <w:rFonts w:ascii="Calibri" w:hAnsi="Calibri" w:cs="Arial"/>
          <w:lang w:val="en-GB"/>
        </w:rPr>
        <w:t xml:space="preserve">they can potentially </w:t>
      </w:r>
      <w:r w:rsidRPr="009D4EEE">
        <w:rPr>
          <w:rFonts w:ascii="Calibri" w:hAnsi="Calibri" w:cs="Arial"/>
          <w:lang w:val="en-GB"/>
        </w:rPr>
        <w:t xml:space="preserve">fail to capture significant improvements in quality of life or achievement </w:t>
      </w:r>
      <w:r w:rsidR="00836D40">
        <w:rPr>
          <w:rFonts w:ascii="Calibri" w:hAnsi="Calibri" w:cs="Arial"/>
          <w:lang w:val="en-GB"/>
        </w:rPr>
        <w:t>of goals set by patients</w:t>
      </w:r>
      <w:r w:rsidR="00107CDE">
        <w:rPr>
          <w:rFonts w:ascii="Calibri" w:hAnsi="Calibri"/>
          <w:b/>
          <w:color w:val="FF0000"/>
          <w:vertAlign w:val="superscript"/>
          <w:lang w:val="en-GB"/>
        </w:rPr>
        <w:t>5</w:t>
      </w:r>
      <w:r w:rsidR="00F35CAB" w:rsidRPr="009B0AC5">
        <w:rPr>
          <w:rFonts w:ascii="Calibri" w:hAnsi="Calibri"/>
          <w:b/>
          <w:color w:val="FF0000"/>
          <w:vertAlign w:val="superscript"/>
          <w:lang w:val="en-GB"/>
        </w:rPr>
        <w:t>,</w:t>
      </w:r>
      <w:r w:rsidR="009D12C1">
        <w:rPr>
          <w:rFonts w:ascii="Calibri" w:hAnsi="Calibri"/>
          <w:b/>
          <w:color w:val="FF0000"/>
          <w:vertAlign w:val="superscript"/>
          <w:lang w:val="en-GB"/>
        </w:rPr>
        <w:t>14</w:t>
      </w:r>
      <w:r w:rsidR="00F35CAB" w:rsidRPr="009B0AC5">
        <w:rPr>
          <w:rFonts w:ascii="Calibri" w:hAnsi="Calibri"/>
          <w:b/>
          <w:color w:val="FF0000"/>
          <w:vertAlign w:val="superscript"/>
          <w:lang w:val="en-GB"/>
        </w:rPr>
        <w:t>,</w:t>
      </w:r>
      <w:r w:rsidR="009D12C1">
        <w:rPr>
          <w:rFonts w:ascii="Calibri" w:hAnsi="Calibri"/>
          <w:b/>
          <w:color w:val="FF0000"/>
          <w:vertAlign w:val="superscript"/>
          <w:lang w:val="en-GB"/>
        </w:rPr>
        <w:t>15</w:t>
      </w:r>
      <w:r w:rsidRPr="00AE085D">
        <w:rPr>
          <w:rFonts w:ascii="Calibri" w:hAnsi="Calibri" w:cs="Arial"/>
          <w:lang w:val="en-GB"/>
        </w:rPr>
        <w:t xml:space="preserve"> </w:t>
      </w:r>
      <w:r w:rsidR="00C32568">
        <w:rPr>
          <w:rFonts w:ascii="Calibri" w:hAnsi="Calibri" w:cs="Arial"/>
          <w:lang w:val="en-GB"/>
        </w:rPr>
        <w:t>prior to</w:t>
      </w:r>
      <w:r w:rsidRPr="00AE085D">
        <w:rPr>
          <w:rFonts w:ascii="Calibri" w:hAnsi="Calibri" w:cs="Arial"/>
          <w:lang w:val="en-GB"/>
        </w:rPr>
        <w:t xml:space="preserve"> interventions such as DBS.</w:t>
      </w:r>
      <w:r w:rsidRPr="009D4EEE">
        <w:rPr>
          <w:rFonts w:ascii="Calibri" w:hAnsi="Calibri" w:cs="Arial"/>
          <w:lang w:val="en-GB"/>
        </w:rPr>
        <w:t xml:space="preserve"> The ability of the BFM-M scale to discriminate between GMFCS levels in this sample offers the possibility to compare samples across different studies and arguably supports the premise that higher scores on the BFM-M reflect more significant disability.</w:t>
      </w:r>
      <w:r>
        <w:rPr>
          <w:rFonts w:ascii="Calibri" w:hAnsi="Calibri" w:cs="Arial"/>
          <w:lang w:val="en-GB"/>
        </w:rPr>
        <w:t xml:space="preserve"> </w:t>
      </w:r>
      <w:r w:rsidRPr="00DD52B0">
        <w:rPr>
          <w:rFonts w:ascii="Calibri" w:hAnsi="Calibri" w:cs="Arial"/>
          <w:lang w:val="en-GB"/>
        </w:rPr>
        <w:t xml:space="preserve">However, the similarity between MACS I-III in terms of BFM-M scores indicates that non-motor components such as </w:t>
      </w:r>
      <w:r>
        <w:rPr>
          <w:rFonts w:ascii="Calibri" w:hAnsi="Calibri" w:cs="Arial"/>
          <w:lang w:val="en-GB"/>
        </w:rPr>
        <w:t xml:space="preserve">cognition, </w:t>
      </w:r>
      <w:r w:rsidRPr="00DD52B0">
        <w:rPr>
          <w:rFonts w:ascii="Calibri" w:hAnsi="Calibri" w:cs="Arial"/>
          <w:lang w:val="en-GB"/>
        </w:rPr>
        <w:t xml:space="preserve">process skills and planning are required for functional daily life activities and cannot be explained by </w:t>
      </w:r>
      <w:r>
        <w:rPr>
          <w:rFonts w:ascii="Calibri" w:hAnsi="Calibri" w:cs="Arial"/>
          <w:lang w:val="en-GB"/>
        </w:rPr>
        <w:lastRenderedPageBreak/>
        <w:t>motor deficits</w:t>
      </w:r>
      <w:r w:rsidRPr="00DD52B0">
        <w:rPr>
          <w:rFonts w:ascii="Calibri" w:hAnsi="Calibri" w:cs="Arial"/>
          <w:lang w:val="en-GB"/>
        </w:rPr>
        <w:t xml:space="preserve"> alone.</w:t>
      </w:r>
      <w:r w:rsidR="00DC4627">
        <w:rPr>
          <w:rFonts w:ascii="Calibri" w:hAnsi="Calibri" w:cs="Arial"/>
          <w:lang w:val="en-GB"/>
        </w:rPr>
        <w:t xml:space="preserve"> </w:t>
      </w:r>
      <w:r w:rsidR="00DC4627" w:rsidRPr="00703E44">
        <w:rPr>
          <w:rFonts w:ascii="Calibri" w:hAnsi="Calibri" w:cs="Arial"/>
          <w:lang w:val="en-GB"/>
        </w:rPr>
        <w:t>It is clear as the literature matures that even primary dystonias have a nu</w:t>
      </w:r>
      <w:r w:rsidR="00564A23">
        <w:rPr>
          <w:rFonts w:ascii="Calibri" w:hAnsi="Calibri" w:cs="Arial"/>
          <w:lang w:val="en-GB"/>
        </w:rPr>
        <w:t>mber of non-motor consequences</w:t>
      </w:r>
      <w:r w:rsidR="009D12C1">
        <w:rPr>
          <w:rFonts w:ascii="Calibri" w:hAnsi="Calibri"/>
          <w:b/>
          <w:color w:val="FF0000"/>
          <w:vertAlign w:val="superscript"/>
          <w:lang w:val="en-GB"/>
        </w:rPr>
        <w:t>32</w:t>
      </w:r>
      <w:r w:rsidR="00DC4627" w:rsidRPr="00703E44">
        <w:rPr>
          <w:rFonts w:ascii="Calibri" w:hAnsi="Calibri" w:cs="Arial"/>
          <w:lang w:val="en-GB"/>
        </w:rPr>
        <w:t xml:space="preserve"> though this information is only now percolating into the adult literature.</w:t>
      </w:r>
      <w:r w:rsidR="00DC4627">
        <w:t xml:space="preserve"> </w:t>
      </w:r>
    </w:p>
    <w:p w14:paraId="357B18F3" w14:textId="77777777" w:rsidR="00F702F7" w:rsidRPr="009D4EEE" w:rsidRDefault="00F702F7" w:rsidP="009E2DC8">
      <w:pPr>
        <w:autoSpaceDE w:val="0"/>
        <w:autoSpaceDN w:val="0"/>
        <w:adjustRightInd w:val="0"/>
        <w:spacing w:line="360" w:lineRule="auto"/>
        <w:jc w:val="both"/>
        <w:rPr>
          <w:rFonts w:ascii="Calibri" w:hAnsi="Calibri" w:cs="Arial"/>
          <w:lang w:val="en-GB"/>
        </w:rPr>
      </w:pPr>
    </w:p>
    <w:p w14:paraId="4E78EBA2" w14:textId="0734FD73" w:rsidR="00F702F7" w:rsidRPr="009D4EEE" w:rsidRDefault="00F702F7" w:rsidP="0063522C">
      <w:pPr>
        <w:spacing w:line="360" w:lineRule="auto"/>
        <w:jc w:val="both"/>
        <w:rPr>
          <w:rFonts w:ascii="Calibri" w:hAnsi="Calibri" w:cs="Arial"/>
          <w:lang w:val="en-GB"/>
        </w:rPr>
      </w:pPr>
      <w:r>
        <w:rPr>
          <w:rFonts w:ascii="Calibri" w:hAnsi="Calibri" w:cs="Arial"/>
          <w:lang w:val="en-GB"/>
        </w:rPr>
        <w:t>T</w:t>
      </w:r>
      <w:r w:rsidRPr="009D4EEE">
        <w:rPr>
          <w:rFonts w:ascii="Calibri" w:hAnsi="Calibri" w:cs="Arial"/>
          <w:lang w:val="en-GB"/>
        </w:rPr>
        <w:t xml:space="preserve">his </w:t>
      </w:r>
      <w:r w:rsidRPr="00DE779C">
        <w:rPr>
          <w:rFonts w:ascii="Calibri" w:hAnsi="Calibri" w:cs="Arial"/>
          <w:lang w:val="en-GB"/>
        </w:rPr>
        <w:t>‘Rosetta Stone’ scales study</w:t>
      </w:r>
      <w:r w:rsidRPr="009D4EEE">
        <w:rPr>
          <w:rFonts w:ascii="Calibri" w:hAnsi="Calibri" w:cs="Arial"/>
          <w:lang w:val="en-GB"/>
        </w:rPr>
        <w:t xml:space="preserve"> provides a descriptive report of the functional profile of a sample of children with HMD</w:t>
      </w:r>
      <w:r>
        <w:rPr>
          <w:rFonts w:ascii="Calibri" w:hAnsi="Calibri" w:cs="Arial"/>
          <w:lang w:val="en-GB"/>
        </w:rPr>
        <w:t>s</w:t>
      </w:r>
      <w:r w:rsidR="00F368D0">
        <w:rPr>
          <w:rFonts w:ascii="Calibri" w:hAnsi="Calibri" w:cs="Arial"/>
          <w:lang w:val="en-GB"/>
        </w:rPr>
        <w:t xml:space="preserve"> allowing a comparative understanding of the value of each scale </w:t>
      </w:r>
      <w:r w:rsidR="00127CF8">
        <w:rPr>
          <w:rFonts w:ascii="Calibri" w:hAnsi="Calibri" w:cs="Arial"/>
          <w:lang w:val="en-GB"/>
        </w:rPr>
        <w:t>in relation to the other scales</w:t>
      </w:r>
      <w:r w:rsidRPr="009D4EEE">
        <w:rPr>
          <w:rFonts w:ascii="Calibri" w:hAnsi="Calibri" w:cs="Arial"/>
          <w:lang w:val="en-GB"/>
        </w:rPr>
        <w:t>. The results show that children with secondary</w:t>
      </w:r>
      <w:r>
        <w:rPr>
          <w:rFonts w:ascii="Calibri" w:hAnsi="Calibri" w:cs="Arial"/>
          <w:lang w:val="en-GB"/>
        </w:rPr>
        <w:t xml:space="preserve"> HMDs</w:t>
      </w:r>
      <w:r w:rsidRPr="009D4EEE">
        <w:rPr>
          <w:rFonts w:ascii="Calibri" w:hAnsi="Calibri" w:cs="Arial"/>
          <w:lang w:val="en-GB"/>
        </w:rPr>
        <w:t xml:space="preserve"> are typically more severely functionally impaired than children with primary dystonias. We support the use of these functional scales in</w:t>
      </w:r>
      <w:r>
        <w:rPr>
          <w:rFonts w:ascii="Calibri" w:hAnsi="Calibri" w:cs="Arial"/>
          <w:lang w:val="en-GB"/>
        </w:rPr>
        <w:t xml:space="preserve"> all</w:t>
      </w:r>
      <w:r w:rsidRPr="009D4EEE">
        <w:rPr>
          <w:rFonts w:ascii="Calibri" w:hAnsi="Calibri" w:cs="Arial"/>
          <w:lang w:val="en-GB"/>
        </w:rPr>
        <w:t xml:space="preserve"> children with HMD</w:t>
      </w:r>
      <w:r>
        <w:rPr>
          <w:rFonts w:ascii="Calibri" w:hAnsi="Calibri" w:cs="Arial"/>
          <w:lang w:val="en-GB"/>
        </w:rPr>
        <w:t>s</w:t>
      </w:r>
      <w:r w:rsidRPr="009D4EEE">
        <w:rPr>
          <w:rFonts w:ascii="Calibri" w:hAnsi="Calibri" w:cs="Arial"/>
          <w:lang w:val="en-GB"/>
        </w:rPr>
        <w:t xml:space="preserve"> regardless of aetiology. This will allow not only descriptive reports on functional profiles for these children, but could also provide us with a common language for clinical practice and interpretation of research outcomes in children. We advocate the use of all three functional classification systems together with the BFM-M for cases of </w:t>
      </w:r>
      <w:r w:rsidRPr="00BA3B2B">
        <w:rPr>
          <w:rFonts w:ascii="Calibri" w:hAnsi="Calibri" w:cs="Arial"/>
          <w:lang w:val="en-GB"/>
        </w:rPr>
        <w:t xml:space="preserve">hyperkinetic </w:t>
      </w:r>
      <w:r w:rsidR="00594562">
        <w:rPr>
          <w:rFonts w:ascii="Calibri" w:hAnsi="Calibri" w:cs="Arial"/>
          <w:lang w:val="en-GB"/>
        </w:rPr>
        <w:t>movement disorders.</w:t>
      </w:r>
    </w:p>
    <w:p w14:paraId="0FF47906" w14:textId="77777777" w:rsidR="00F702F7" w:rsidRPr="009D4EEE" w:rsidRDefault="00F702F7" w:rsidP="009E2DC8">
      <w:pPr>
        <w:spacing w:line="360" w:lineRule="auto"/>
        <w:jc w:val="both"/>
        <w:rPr>
          <w:rFonts w:ascii="Calibri" w:hAnsi="Calibri" w:cs="Arial"/>
          <w:lang w:val="en-GB"/>
        </w:rPr>
      </w:pPr>
    </w:p>
    <w:p w14:paraId="30D3A67C" w14:textId="77777777" w:rsidR="00F702F7" w:rsidRPr="009D4EEE" w:rsidRDefault="00F702F7" w:rsidP="009E2DC8">
      <w:pPr>
        <w:jc w:val="both"/>
        <w:rPr>
          <w:rFonts w:ascii="Calibri" w:hAnsi="Calibri" w:cs="Arial"/>
          <w:b/>
          <w:lang w:val="en-GB"/>
        </w:rPr>
      </w:pPr>
      <w:r>
        <w:rPr>
          <w:rFonts w:ascii="Calibri" w:hAnsi="Calibri" w:cs="Arial"/>
          <w:b/>
          <w:lang w:val="en-GB"/>
        </w:rPr>
        <w:br w:type="page"/>
      </w:r>
      <w:r w:rsidRPr="009D4EEE">
        <w:rPr>
          <w:rFonts w:ascii="Calibri" w:hAnsi="Calibri" w:cs="Arial"/>
          <w:b/>
          <w:lang w:val="en-GB"/>
        </w:rPr>
        <w:lastRenderedPageBreak/>
        <w:t>ACKNOWLEDGEMENTS</w:t>
      </w:r>
    </w:p>
    <w:p w14:paraId="130F38FA" w14:textId="6258B7B4" w:rsidR="00127CF8" w:rsidRDefault="00127CF8" w:rsidP="005F59A7">
      <w:pPr>
        <w:autoSpaceDE w:val="0"/>
        <w:autoSpaceDN w:val="0"/>
        <w:adjustRightInd w:val="0"/>
        <w:spacing w:line="360" w:lineRule="auto"/>
        <w:jc w:val="both"/>
        <w:rPr>
          <w:rFonts w:ascii="Calibri" w:hAnsi="Calibri" w:cs="Arial"/>
          <w:lang w:val="en-GB"/>
        </w:rPr>
      </w:pPr>
      <w:r>
        <w:rPr>
          <w:rFonts w:ascii="Calibri" w:hAnsi="Calibri" w:cs="Arial"/>
          <w:lang w:val="en-GB"/>
        </w:rPr>
        <w:t>We thank the children, families and referring clinicians for their participation in or work.</w:t>
      </w:r>
    </w:p>
    <w:p w14:paraId="22A525C8" w14:textId="2B867B5F" w:rsidR="00F702F7" w:rsidRPr="009D4EEE" w:rsidRDefault="00F702F7" w:rsidP="005F59A7">
      <w:pPr>
        <w:autoSpaceDE w:val="0"/>
        <w:autoSpaceDN w:val="0"/>
        <w:adjustRightInd w:val="0"/>
        <w:spacing w:line="360" w:lineRule="auto"/>
        <w:jc w:val="both"/>
        <w:rPr>
          <w:rFonts w:ascii="Calibri" w:hAnsi="Calibri" w:cs="Arial"/>
          <w:lang w:val="en-GB"/>
        </w:rPr>
      </w:pPr>
      <w:r>
        <w:rPr>
          <w:rFonts w:ascii="Calibri" w:hAnsi="Calibri" w:cs="Arial"/>
          <w:lang w:val="en-GB"/>
        </w:rPr>
        <w:t>This study was</w:t>
      </w:r>
      <w:r w:rsidRPr="009D4EEE">
        <w:rPr>
          <w:rFonts w:ascii="Calibri" w:hAnsi="Calibri" w:cs="Arial"/>
          <w:lang w:val="en-GB"/>
        </w:rPr>
        <w:t xml:space="preserve"> supported by the Dystonia Society UK (09.2013).</w:t>
      </w:r>
      <w:r w:rsidR="00720B78">
        <w:rPr>
          <w:rFonts w:ascii="Calibri" w:hAnsi="Calibri" w:cs="Arial"/>
          <w:lang w:val="en-GB"/>
        </w:rPr>
        <w:t xml:space="preserve"> </w:t>
      </w:r>
      <w:r w:rsidRPr="009D4EEE">
        <w:rPr>
          <w:rFonts w:ascii="Calibri" w:hAnsi="Calibri" w:cs="Arial"/>
          <w:lang w:val="en-GB"/>
        </w:rPr>
        <w:t>Markus C Elze is supported by the University of Warwick’s Chancellor's Scholarship and a PhD Fellowship from the German National Academic Foundation.</w:t>
      </w:r>
      <w:r w:rsidR="00720B78">
        <w:rPr>
          <w:rFonts w:ascii="Calibri" w:hAnsi="Calibri" w:cs="Arial"/>
          <w:lang w:val="en-GB"/>
        </w:rPr>
        <w:t xml:space="preserve"> </w:t>
      </w:r>
      <w:r w:rsidRPr="009D4EEE">
        <w:rPr>
          <w:rFonts w:ascii="Calibri" w:hAnsi="Calibri" w:cs="Arial"/>
          <w:lang w:val="en-GB"/>
        </w:rPr>
        <w:t xml:space="preserve">Hortensia Gimeno is </w:t>
      </w:r>
      <w:r w:rsidR="00127CF8">
        <w:rPr>
          <w:rFonts w:ascii="Calibri" w:hAnsi="Calibri" w:cs="Arial"/>
          <w:lang w:val="en-GB"/>
        </w:rPr>
        <w:t xml:space="preserve">currently </w:t>
      </w:r>
      <w:r w:rsidRPr="009D4EEE">
        <w:rPr>
          <w:rFonts w:ascii="Calibri" w:hAnsi="Calibri" w:cs="Arial"/>
          <w:lang w:val="en-GB"/>
        </w:rPr>
        <w:t xml:space="preserve">funded by a National </w:t>
      </w:r>
      <w:r>
        <w:rPr>
          <w:rFonts w:ascii="Calibri" w:hAnsi="Calibri" w:cs="Arial"/>
          <w:lang w:val="en-GB"/>
        </w:rPr>
        <w:t>Institute for Health Research (NIHR/HEE Clinical Doctoral Research Fellowship, CDRF-2013-04-039</w:t>
      </w:r>
      <w:r w:rsidRPr="009D4EEE">
        <w:rPr>
          <w:rFonts w:ascii="Calibri" w:hAnsi="Calibri" w:cs="Arial"/>
          <w:lang w:val="en-GB"/>
        </w:rPr>
        <w:t xml:space="preserve"> Clinical Academic Fellowship</w:t>
      </w:r>
      <w:r w:rsidR="00B81F98">
        <w:rPr>
          <w:rFonts w:ascii="Calibri" w:hAnsi="Calibri" w:cs="Arial"/>
          <w:lang w:val="en-GB"/>
        </w:rPr>
        <w:t>)</w:t>
      </w:r>
      <w:r w:rsidRPr="009D4EEE">
        <w:rPr>
          <w:rFonts w:ascii="Calibri" w:hAnsi="Calibri" w:cs="Arial"/>
          <w:lang w:val="en-GB"/>
        </w:rPr>
        <w:t xml:space="preserve">. </w:t>
      </w:r>
      <w:r w:rsidRPr="00831A07">
        <w:rPr>
          <w:rFonts w:ascii="Calibri" w:hAnsi="Calibri" w:cs="Arial"/>
          <w:lang w:val="en-GB"/>
        </w:rPr>
        <w:t>This article presents independent research funded by the National Institute for Health Research (NIHR). The views ex</w:t>
      </w:r>
      <w:r>
        <w:rPr>
          <w:rFonts w:ascii="Calibri" w:hAnsi="Calibri" w:cs="Arial"/>
          <w:lang w:val="en-GB"/>
        </w:rPr>
        <w:t>pressed are those of the author</w:t>
      </w:r>
      <w:r w:rsidRPr="00831A07">
        <w:rPr>
          <w:rFonts w:ascii="Calibri" w:hAnsi="Calibri" w:cs="Arial"/>
          <w:lang w:val="en-GB"/>
        </w:rPr>
        <w:t>s and not necessarily those of the NHS, the NIHR or the Department of Health.</w:t>
      </w:r>
      <w:r w:rsidR="00720B78">
        <w:rPr>
          <w:rFonts w:ascii="Calibri" w:hAnsi="Calibri" w:cs="Arial"/>
          <w:lang w:val="en-GB"/>
        </w:rPr>
        <w:t xml:space="preserve"> </w:t>
      </w:r>
      <w:r w:rsidR="00127CF8">
        <w:rPr>
          <w:rFonts w:ascii="Calibri" w:hAnsi="Calibri" w:cs="Arial"/>
          <w:lang w:val="en-GB"/>
        </w:rPr>
        <w:t xml:space="preserve">Daniel Lumsden was supported by Dystonia Society UK grants 01/2011 and </w:t>
      </w:r>
      <w:r w:rsidR="00127CF8" w:rsidRPr="009D4EEE">
        <w:rPr>
          <w:rFonts w:ascii="Calibri" w:hAnsi="Calibri" w:cs="Arial"/>
          <w:lang w:val="en-GB"/>
        </w:rPr>
        <w:t>Action Medical Research GN2097</w:t>
      </w:r>
      <w:r w:rsidR="00127CF8">
        <w:rPr>
          <w:rFonts w:ascii="Calibri" w:hAnsi="Calibri" w:cs="Arial"/>
          <w:lang w:val="en-GB"/>
        </w:rPr>
        <w:t>.</w:t>
      </w:r>
      <w:r w:rsidR="00720B78">
        <w:rPr>
          <w:rFonts w:ascii="Calibri" w:hAnsi="Calibri" w:cs="Arial"/>
          <w:lang w:val="en-GB"/>
        </w:rPr>
        <w:t xml:space="preserve"> </w:t>
      </w:r>
      <w:r w:rsidRPr="009D4EEE">
        <w:rPr>
          <w:rFonts w:ascii="Calibri" w:hAnsi="Calibri" w:cs="Arial"/>
          <w:lang w:val="en-GB"/>
        </w:rPr>
        <w:t>Jean-Pierre Lin has held grants from the Guy’s and St Thomas Charity New Services and Innovation Grant G060708; the Dystonia Society UK Grants 01/2011 and 0</w:t>
      </w:r>
      <w:r w:rsidR="00127CF8">
        <w:rPr>
          <w:rFonts w:ascii="Calibri" w:hAnsi="Calibri" w:cs="Arial"/>
          <w:lang w:val="en-GB"/>
        </w:rPr>
        <w:t>9</w:t>
      </w:r>
      <w:r w:rsidRPr="009D4EEE">
        <w:rPr>
          <w:rFonts w:ascii="Calibri" w:hAnsi="Calibri" w:cs="Arial"/>
          <w:lang w:val="en-GB"/>
        </w:rPr>
        <w:t xml:space="preserve">/2013 and Action Medical Research GN2097. </w:t>
      </w:r>
    </w:p>
    <w:p w14:paraId="34A725E6" w14:textId="77777777" w:rsidR="00D34115" w:rsidRPr="009D4EEE" w:rsidRDefault="00D34115" w:rsidP="00797C2A">
      <w:pPr>
        <w:spacing w:line="360" w:lineRule="auto"/>
        <w:jc w:val="both"/>
        <w:rPr>
          <w:rFonts w:ascii="Calibri" w:hAnsi="Calibri" w:cs="Arial"/>
          <w:lang w:val="en-GB"/>
        </w:rPr>
      </w:pPr>
    </w:p>
    <w:p w14:paraId="0B65C3E5" w14:textId="77777777" w:rsidR="00F702F7" w:rsidRPr="009D4EEE" w:rsidRDefault="00F702F7" w:rsidP="00797C2A">
      <w:pPr>
        <w:spacing w:line="360" w:lineRule="auto"/>
        <w:jc w:val="both"/>
        <w:rPr>
          <w:rFonts w:ascii="Calibri" w:hAnsi="Calibri" w:cs="Arial"/>
          <w:lang w:val="en-GB"/>
        </w:rPr>
      </w:pPr>
      <w:r w:rsidRPr="009D4EEE">
        <w:rPr>
          <w:rFonts w:ascii="Calibri" w:hAnsi="Calibri" w:cs="Arial"/>
          <w:b/>
          <w:lang w:val="en-GB"/>
        </w:rPr>
        <w:t>DISCLOSURES</w:t>
      </w:r>
    </w:p>
    <w:p w14:paraId="5A18EBC7" w14:textId="77777777" w:rsidR="00F702F7" w:rsidRDefault="00F702F7" w:rsidP="009E2DC8">
      <w:pPr>
        <w:spacing w:line="360" w:lineRule="auto"/>
        <w:jc w:val="both"/>
        <w:rPr>
          <w:rFonts w:ascii="Calibri" w:hAnsi="Calibri" w:cs="Arial"/>
          <w:lang w:val="en-GB"/>
        </w:rPr>
      </w:pPr>
      <w:r w:rsidRPr="009D4EEE">
        <w:rPr>
          <w:rFonts w:ascii="Calibri" w:hAnsi="Calibri" w:cs="Arial"/>
          <w:lang w:val="en-GB"/>
        </w:rPr>
        <w:t xml:space="preserve">Jean-Pierre Lin has acted as a consultant for Medtronic Ltd. The Complex Motor Disorders Service has benefited from unrestricted educational grants by Medtronic Ltd to present work at international conferences. </w:t>
      </w:r>
    </w:p>
    <w:p w14:paraId="091A04FE" w14:textId="77777777" w:rsidR="00997873" w:rsidRDefault="00997873" w:rsidP="009E2DC8">
      <w:pPr>
        <w:spacing w:line="360" w:lineRule="auto"/>
        <w:jc w:val="both"/>
        <w:rPr>
          <w:rFonts w:ascii="Calibri" w:hAnsi="Calibri" w:cs="Arial"/>
          <w:lang w:val="en-GB"/>
        </w:rPr>
      </w:pPr>
    </w:p>
    <w:p w14:paraId="463E33A1" w14:textId="70547E3F" w:rsidR="00997873" w:rsidRPr="009D4EEE" w:rsidRDefault="00127CF8" w:rsidP="009E2DC8">
      <w:pPr>
        <w:spacing w:line="360" w:lineRule="auto"/>
        <w:jc w:val="both"/>
        <w:rPr>
          <w:rFonts w:ascii="Calibri" w:hAnsi="Calibri" w:cs="Arial"/>
          <w:lang w:val="en-GB"/>
        </w:rPr>
      </w:pPr>
      <w:r>
        <w:rPr>
          <w:rFonts w:ascii="Calibri" w:hAnsi="Calibri" w:cs="Arial"/>
          <w:lang w:val="en-GB"/>
        </w:rPr>
        <w:t>No</w:t>
      </w:r>
      <w:r w:rsidR="00997873" w:rsidRPr="00997873">
        <w:rPr>
          <w:rFonts w:ascii="Calibri" w:hAnsi="Calibri" w:cs="Arial"/>
          <w:lang w:val="en-GB"/>
        </w:rPr>
        <w:t xml:space="preserve"> funders had </w:t>
      </w:r>
      <w:r>
        <w:rPr>
          <w:rFonts w:ascii="Calibri" w:hAnsi="Calibri" w:cs="Arial"/>
          <w:lang w:val="en-GB"/>
        </w:rPr>
        <w:t>any</w:t>
      </w:r>
      <w:r w:rsidR="00997873" w:rsidRPr="00997873">
        <w:rPr>
          <w:rFonts w:ascii="Calibri" w:hAnsi="Calibri" w:cs="Arial"/>
          <w:lang w:val="en-GB"/>
        </w:rPr>
        <w:t xml:space="preserve"> involvement in study design, data collection, data analysis, manuscript preparation </w:t>
      </w:r>
      <w:r w:rsidR="000B016D">
        <w:rPr>
          <w:rFonts w:ascii="Calibri" w:hAnsi="Calibri" w:cs="Arial"/>
          <w:lang w:val="en-GB"/>
        </w:rPr>
        <w:t>and</w:t>
      </w:r>
      <w:r w:rsidR="00997873" w:rsidRPr="00997873">
        <w:rPr>
          <w:rFonts w:ascii="Calibri" w:hAnsi="Calibri" w:cs="Arial"/>
          <w:lang w:val="en-GB"/>
        </w:rPr>
        <w:t xml:space="preserve"> publication decisions.</w:t>
      </w:r>
    </w:p>
    <w:p w14:paraId="5B4F7989" w14:textId="77777777" w:rsidR="00F702F7" w:rsidRDefault="00F702F7" w:rsidP="009E2DC8">
      <w:pPr>
        <w:spacing w:line="360" w:lineRule="auto"/>
        <w:jc w:val="both"/>
        <w:rPr>
          <w:rFonts w:ascii="Calibri" w:hAnsi="Calibri" w:cs="Arial"/>
          <w:lang w:val="en-GB"/>
        </w:rPr>
      </w:pPr>
    </w:p>
    <w:p w14:paraId="12F652A4" w14:textId="77777777" w:rsidR="00F702F7" w:rsidRPr="009D4EEE" w:rsidRDefault="00F702F7" w:rsidP="009E2DC8">
      <w:pPr>
        <w:spacing w:line="360" w:lineRule="auto"/>
        <w:jc w:val="both"/>
        <w:rPr>
          <w:rFonts w:ascii="Calibri" w:hAnsi="Calibri" w:cs="Arial"/>
          <w:lang w:val="en-GB"/>
        </w:rPr>
      </w:pPr>
      <w:r>
        <w:rPr>
          <w:rFonts w:ascii="Calibri" w:hAnsi="Calibri" w:cs="Arial"/>
          <w:lang w:val="en-GB"/>
        </w:rPr>
        <w:t>Supplementary material is available online.</w:t>
      </w:r>
    </w:p>
    <w:p w14:paraId="0ECD1734" w14:textId="77777777" w:rsidR="00635371" w:rsidRPr="00D037BA" w:rsidRDefault="00F702F7" w:rsidP="00635371">
      <w:pPr>
        <w:spacing w:after="200" w:line="276" w:lineRule="auto"/>
        <w:jc w:val="both"/>
        <w:rPr>
          <w:rFonts w:ascii="Calibri" w:hAnsi="Calibri" w:cs="Arial"/>
          <w:b/>
          <w:lang w:val="en-GB"/>
        </w:rPr>
      </w:pPr>
      <w:r w:rsidRPr="009D4EEE">
        <w:rPr>
          <w:rFonts w:ascii="Calibri" w:hAnsi="Calibri" w:cs="Arial"/>
          <w:lang w:val="en-GB"/>
        </w:rPr>
        <w:br w:type="page"/>
      </w:r>
      <w:r w:rsidR="00635371" w:rsidRPr="00D037BA">
        <w:rPr>
          <w:rFonts w:ascii="Calibri" w:hAnsi="Calibri" w:cs="Arial"/>
          <w:b/>
          <w:lang w:val="en-GB"/>
        </w:rPr>
        <w:lastRenderedPageBreak/>
        <w:t>REFERENCES</w:t>
      </w:r>
    </w:p>
    <w:p w14:paraId="6CFFCD27" w14:textId="77777777" w:rsidR="00635371" w:rsidRPr="005D770F" w:rsidRDefault="00635371" w:rsidP="00635371">
      <w:pPr>
        <w:spacing w:line="480" w:lineRule="auto"/>
        <w:jc w:val="both"/>
        <w:rPr>
          <w:rFonts w:ascii="Calibri" w:hAnsi="Calibri"/>
          <w:lang w:val="en-GB"/>
        </w:rPr>
      </w:pPr>
      <w:r w:rsidRPr="00D037BA">
        <w:rPr>
          <w:rFonts w:ascii="Calibri" w:hAnsi="Calibri"/>
          <w:b/>
          <w:color w:val="FF0000"/>
          <w:vertAlign w:val="superscript"/>
          <w:lang w:val="en-GB"/>
        </w:rPr>
        <w:t>1</w:t>
      </w:r>
      <w:r w:rsidRPr="00D037BA">
        <w:rPr>
          <w:rFonts w:ascii="Calibri" w:hAnsi="Calibri"/>
          <w:lang w:val="en-GB"/>
        </w:rPr>
        <w:t xml:space="preserve"> Sanger TD, Chen D, Fehlings DL, Hallett M, Lang AE, Mink JW, </w:t>
      </w:r>
      <w:r w:rsidRPr="00D037BA">
        <w:rPr>
          <w:rFonts w:ascii="Calibri" w:hAnsi="Calibri"/>
          <w:i/>
          <w:lang w:val="en-GB"/>
        </w:rPr>
        <w:t>et al</w:t>
      </w:r>
      <w:r w:rsidRPr="00D037BA">
        <w:rPr>
          <w:rFonts w:ascii="Calibri" w:hAnsi="Calibri"/>
          <w:lang w:val="en-GB"/>
        </w:rPr>
        <w:t xml:space="preserve">. Definition and classification of hyperkinetic movements in childhood. </w:t>
      </w:r>
      <w:r w:rsidRPr="005D770F">
        <w:rPr>
          <w:rFonts w:ascii="Calibri" w:hAnsi="Calibri"/>
          <w:lang w:val="en-GB"/>
        </w:rPr>
        <w:t>Movement disorders 2010; 25(11):1538-1549.</w:t>
      </w:r>
    </w:p>
    <w:p w14:paraId="2FC80402" w14:textId="77777777" w:rsidR="00FA1BC5" w:rsidRPr="00D037BA" w:rsidRDefault="00FA1BC5" w:rsidP="00FA1BC5">
      <w:pPr>
        <w:spacing w:line="480" w:lineRule="auto"/>
        <w:jc w:val="both"/>
        <w:rPr>
          <w:rFonts w:ascii="Calibri" w:hAnsi="Calibri"/>
          <w:lang w:val="en-GB"/>
        </w:rPr>
      </w:pPr>
    </w:p>
    <w:p w14:paraId="274E81D7" w14:textId="77777777" w:rsidR="00FA1BC5" w:rsidRPr="00D037BA" w:rsidRDefault="00FA1BC5" w:rsidP="00FA1BC5">
      <w:pPr>
        <w:spacing w:line="480" w:lineRule="auto"/>
        <w:jc w:val="both"/>
        <w:rPr>
          <w:rFonts w:ascii="Calibri" w:hAnsi="Calibri"/>
          <w:lang w:val="en-GB"/>
        </w:rPr>
      </w:pPr>
      <w:r>
        <w:rPr>
          <w:rFonts w:ascii="Calibri" w:hAnsi="Calibri"/>
          <w:b/>
          <w:color w:val="FF0000"/>
          <w:vertAlign w:val="superscript"/>
          <w:lang w:val="en-GB"/>
        </w:rPr>
        <w:t>2</w:t>
      </w:r>
      <w:r w:rsidRPr="00D037BA">
        <w:rPr>
          <w:rFonts w:ascii="Calibri" w:hAnsi="Calibri"/>
          <w:lang w:val="en-GB"/>
        </w:rPr>
        <w:t xml:space="preserve"> Lin JP, Lumsden DE, Gimeno H, Kaminska M. The impact and prognosis for dystonia in childhood including dystonic cerebral palsy: a clinical and demographic tertiary cohort study. Journal of Neurology, Neurosurgery &amp; Psychiatry 2014; 85(11):1239-1244.</w:t>
      </w:r>
    </w:p>
    <w:p w14:paraId="240914AE" w14:textId="77777777" w:rsidR="002F70D2" w:rsidRPr="005D770F" w:rsidRDefault="002F70D2" w:rsidP="002F70D2">
      <w:pPr>
        <w:autoSpaceDE w:val="0"/>
        <w:autoSpaceDN w:val="0"/>
        <w:adjustRightInd w:val="0"/>
        <w:spacing w:line="360" w:lineRule="auto"/>
        <w:jc w:val="both"/>
        <w:rPr>
          <w:rFonts w:ascii="Calibri" w:hAnsi="Calibri" w:cs="Arial"/>
          <w:lang w:val="en-GB"/>
        </w:rPr>
      </w:pPr>
    </w:p>
    <w:p w14:paraId="0B6B11E2" w14:textId="2F69F913" w:rsidR="002F70D2" w:rsidRPr="0028305C" w:rsidRDefault="00FA1BC5" w:rsidP="002F70D2">
      <w:pPr>
        <w:spacing w:line="360" w:lineRule="auto"/>
        <w:jc w:val="both"/>
        <w:rPr>
          <w:rFonts w:ascii="Calibri" w:hAnsi="Calibri" w:cs="Arial"/>
          <w:lang w:val="en-GB"/>
        </w:rPr>
      </w:pPr>
      <w:r w:rsidRPr="00F4512C">
        <w:rPr>
          <w:rFonts w:ascii="Calibri" w:hAnsi="Calibri"/>
          <w:b/>
          <w:color w:val="FF0000"/>
          <w:vertAlign w:val="superscript"/>
          <w:lang w:val="de-DE"/>
        </w:rPr>
        <w:t>3</w:t>
      </w:r>
      <w:r w:rsidR="002F70D2" w:rsidRPr="00F4512C">
        <w:rPr>
          <w:rFonts w:ascii="Calibri" w:hAnsi="Calibri" w:cs="Arial"/>
          <w:lang w:val="de-DE"/>
        </w:rPr>
        <w:t xml:space="preserve"> Himmelmann K, McManus V, Hagberg G, Uvebrant P, Krägeloh-Mann I, Cans C, et al. </w:t>
      </w:r>
      <w:r w:rsidR="002F70D2" w:rsidRPr="0028305C">
        <w:rPr>
          <w:rFonts w:ascii="Calibri" w:hAnsi="Calibri" w:cs="Arial"/>
          <w:lang w:val="en-GB"/>
        </w:rPr>
        <w:t>Dyskinetic cerebral palsy in Europe: trends in prevalence and severity. Archives of disease in childhood. 2009 Dec;94(12):921-926.</w:t>
      </w:r>
    </w:p>
    <w:p w14:paraId="4FE3B941" w14:textId="77777777" w:rsidR="00635371" w:rsidRPr="00D037BA" w:rsidRDefault="00635371" w:rsidP="00635371">
      <w:pPr>
        <w:spacing w:line="480" w:lineRule="auto"/>
        <w:jc w:val="both"/>
        <w:rPr>
          <w:rFonts w:ascii="Calibri" w:hAnsi="Calibri"/>
          <w:lang w:val="en-GB"/>
        </w:rPr>
      </w:pPr>
    </w:p>
    <w:p w14:paraId="6E46DF2F" w14:textId="0F169876" w:rsidR="00635371" w:rsidRPr="00D037BA" w:rsidRDefault="00107CDE" w:rsidP="00635371">
      <w:pPr>
        <w:spacing w:line="480" w:lineRule="auto"/>
        <w:jc w:val="both"/>
        <w:rPr>
          <w:rFonts w:ascii="Calibri" w:hAnsi="Calibri"/>
          <w:lang w:val="en-GB"/>
        </w:rPr>
      </w:pPr>
      <w:r w:rsidRPr="00D037BA">
        <w:rPr>
          <w:rFonts w:ascii="Calibri" w:hAnsi="Calibri"/>
          <w:b/>
          <w:color w:val="FF0000"/>
          <w:vertAlign w:val="superscript"/>
          <w:lang w:val="en-GB"/>
        </w:rPr>
        <w:t>4</w:t>
      </w:r>
      <w:r w:rsidR="00635371" w:rsidRPr="00D037BA">
        <w:rPr>
          <w:rFonts w:ascii="Calibri" w:hAnsi="Calibri"/>
          <w:lang w:val="en-GB"/>
        </w:rPr>
        <w:t xml:space="preserve"> Mink JW. Special concerns in defining, studying, and treating dystonia in children. Movement disorders 2013; 28(7):921-925.</w:t>
      </w:r>
    </w:p>
    <w:p w14:paraId="2FECEF7B" w14:textId="77777777" w:rsidR="00635371" w:rsidRPr="00D037BA" w:rsidRDefault="00635371" w:rsidP="00635371">
      <w:pPr>
        <w:spacing w:line="480" w:lineRule="auto"/>
        <w:jc w:val="both"/>
        <w:rPr>
          <w:rFonts w:ascii="Calibri" w:hAnsi="Calibri"/>
          <w:lang w:val="en-GB"/>
        </w:rPr>
      </w:pPr>
    </w:p>
    <w:p w14:paraId="2FAC209E" w14:textId="65D5FCF3" w:rsidR="00635371" w:rsidRPr="00D037BA" w:rsidRDefault="00107CDE" w:rsidP="00635371">
      <w:pPr>
        <w:spacing w:line="480" w:lineRule="auto"/>
        <w:jc w:val="both"/>
        <w:rPr>
          <w:rFonts w:ascii="Calibri" w:hAnsi="Calibri"/>
          <w:lang w:val="en-GB"/>
        </w:rPr>
      </w:pPr>
      <w:r w:rsidRPr="00D037BA">
        <w:rPr>
          <w:rFonts w:ascii="Calibri" w:hAnsi="Calibri"/>
          <w:b/>
          <w:color w:val="FF0000"/>
          <w:vertAlign w:val="superscript"/>
          <w:lang w:val="en-GB"/>
        </w:rPr>
        <w:t>5</w:t>
      </w:r>
      <w:r w:rsidR="00635371" w:rsidRPr="00D037BA">
        <w:rPr>
          <w:rFonts w:ascii="Calibri" w:hAnsi="Calibri"/>
          <w:lang w:val="en-GB"/>
        </w:rPr>
        <w:t xml:space="preserve"> Gimeno H, Gordon A, Tustin K, Lin JPP. Functional priorities in daily life for children and young people with dystonic movement disorders and their families. European Journal of Paediatric Neurology 2013; 17(2):161-168.</w:t>
      </w:r>
    </w:p>
    <w:p w14:paraId="796C2C8E" w14:textId="77777777" w:rsidR="00635371" w:rsidRPr="00D037BA" w:rsidRDefault="00635371" w:rsidP="00635371">
      <w:pPr>
        <w:spacing w:line="480" w:lineRule="auto"/>
        <w:jc w:val="both"/>
        <w:rPr>
          <w:rFonts w:ascii="Calibri" w:hAnsi="Calibri"/>
          <w:lang w:val="en-GB"/>
        </w:rPr>
      </w:pPr>
    </w:p>
    <w:p w14:paraId="45F637A6" w14:textId="444B3076" w:rsidR="00635371" w:rsidRPr="00D037BA" w:rsidRDefault="00107CDE" w:rsidP="00635371">
      <w:pPr>
        <w:spacing w:line="480" w:lineRule="auto"/>
        <w:jc w:val="both"/>
        <w:rPr>
          <w:rFonts w:ascii="Calibri" w:hAnsi="Calibri"/>
          <w:lang w:val="en-GB"/>
        </w:rPr>
      </w:pPr>
      <w:r w:rsidRPr="00D037BA">
        <w:rPr>
          <w:rFonts w:ascii="Calibri" w:hAnsi="Calibri"/>
          <w:b/>
          <w:color w:val="FF0000"/>
          <w:vertAlign w:val="superscript"/>
          <w:lang w:val="en-GB"/>
        </w:rPr>
        <w:t>6</w:t>
      </w:r>
      <w:r w:rsidR="00635371" w:rsidRPr="00D037BA">
        <w:rPr>
          <w:rFonts w:ascii="Calibri" w:hAnsi="Calibri"/>
          <w:lang w:val="en-GB"/>
        </w:rPr>
        <w:t xml:space="preserve"> Ostrem JL, Starr PA. Treatment of dystonia with deep brain stimulation. Neurotherapeutics: the journal of the American Society for Experimental NeuroTherapeutics 2008; 5(2):320-330.</w:t>
      </w:r>
    </w:p>
    <w:p w14:paraId="11C1C315" w14:textId="77777777" w:rsidR="00635371" w:rsidRPr="00D037BA" w:rsidRDefault="00635371" w:rsidP="00635371">
      <w:pPr>
        <w:spacing w:line="480" w:lineRule="auto"/>
        <w:jc w:val="both"/>
        <w:rPr>
          <w:rFonts w:ascii="Calibri" w:hAnsi="Calibri"/>
          <w:lang w:val="en-GB"/>
        </w:rPr>
      </w:pPr>
    </w:p>
    <w:p w14:paraId="5165C60F" w14:textId="6F10479D" w:rsidR="00635371" w:rsidRPr="00D037BA" w:rsidRDefault="00107CDE" w:rsidP="00635371">
      <w:pPr>
        <w:spacing w:line="480" w:lineRule="auto"/>
        <w:jc w:val="both"/>
        <w:rPr>
          <w:rFonts w:ascii="Calibri" w:hAnsi="Calibri"/>
          <w:lang w:val="en-GB"/>
        </w:rPr>
      </w:pPr>
      <w:r w:rsidRPr="00D037BA">
        <w:rPr>
          <w:rFonts w:ascii="Calibri" w:hAnsi="Calibri"/>
          <w:b/>
          <w:color w:val="FF0000"/>
          <w:vertAlign w:val="superscript"/>
          <w:lang w:val="en-GB"/>
        </w:rPr>
        <w:lastRenderedPageBreak/>
        <w:t>7</w:t>
      </w:r>
      <w:r w:rsidR="00635371" w:rsidRPr="00D037BA">
        <w:rPr>
          <w:rFonts w:ascii="Calibri" w:hAnsi="Calibri"/>
          <w:lang w:val="en-GB"/>
        </w:rPr>
        <w:t xml:space="preserve"> Marks WA, Honeycutt J, Acosta F, Reed M, Bailey L, Pomykal A, </w:t>
      </w:r>
      <w:r w:rsidR="00635371" w:rsidRPr="00D037BA">
        <w:rPr>
          <w:rFonts w:ascii="Calibri" w:hAnsi="Calibri"/>
          <w:i/>
          <w:lang w:val="en-GB"/>
        </w:rPr>
        <w:t>et al</w:t>
      </w:r>
      <w:r w:rsidR="00635371" w:rsidRPr="00D037BA">
        <w:rPr>
          <w:rFonts w:ascii="Calibri" w:hAnsi="Calibri"/>
          <w:lang w:val="en-GB"/>
        </w:rPr>
        <w:t>. Dystonia due to cerebral palsy responds to deep brain stimulation of the globus pallidus internus. Movement Disorders 2011; 26(9):1748-1751.</w:t>
      </w:r>
    </w:p>
    <w:p w14:paraId="486C0796" w14:textId="77777777" w:rsidR="00635371" w:rsidRPr="00D037BA" w:rsidRDefault="00635371" w:rsidP="00635371">
      <w:pPr>
        <w:spacing w:line="480" w:lineRule="auto"/>
        <w:jc w:val="both"/>
        <w:rPr>
          <w:rFonts w:ascii="Calibri" w:hAnsi="Calibri"/>
          <w:lang w:val="en-GB"/>
        </w:rPr>
      </w:pPr>
    </w:p>
    <w:p w14:paraId="736BF309" w14:textId="11A0E20D" w:rsidR="00635371" w:rsidRPr="00D037BA" w:rsidRDefault="00107CDE" w:rsidP="00635371">
      <w:pPr>
        <w:spacing w:line="480" w:lineRule="auto"/>
        <w:jc w:val="both"/>
        <w:rPr>
          <w:rFonts w:ascii="Calibri" w:hAnsi="Calibri"/>
          <w:lang w:val="en-GB"/>
        </w:rPr>
      </w:pPr>
      <w:r w:rsidRPr="00D037BA">
        <w:rPr>
          <w:rFonts w:ascii="Calibri" w:hAnsi="Calibri"/>
          <w:b/>
          <w:color w:val="FF0000"/>
          <w:vertAlign w:val="superscript"/>
          <w:lang w:val="en-GB"/>
        </w:rPr>
        <w:t>8</w:t>
      </w:r>
      <w:r w:rsidR="00635371" w:rsidRPr="00D037BA">
        <w:rPr>
          <w:rFonts w:ascii="Calibri" w:hAnsi="Calibri"/>
          <w:lang w:val="en-GB"/>
        </w:rPr>
        <w:t xml:space="preserve"> Marks W, Bailey L, Reed M, Pomykal A, Mercer M, Macomber D, </w:t>
      </w:r>
      <w:r w:rsidR="00635371" w:rsidRPr="00D037BA">
        <w:rPr>
          <w:rFonts w:ascii="Calibri" w:hAnsi="Calibri"/>
          <w:i/>
          <w:lang w:val="en-GB"/>
        </w:rPr>
        <w:t>et al</w:t>
      </w:r>
      <w:r w:rsidR="00635371" w:rsidRPr="00D037BA">
        <w:rPr>
          <w:rFonts w:ascii="Calibri" w:hAnsi="Calibri"/>
          <w:lang w:val="en-GB"/>
        </w:rPr>
        <w:t>. Pallidal Stimulation in Children. Journal of Child Neurology 2013; 28(7):840-848.</w:t>
      </w:r>
    </w:p>
    <w:p w14:paraId="0F578F8B" w14:textId="77777777" w:rsidR="00635371" w:rsidRPr="00D037BA" w:rsidRDefault="00635371" w:rsidP="00635371">
      <w:pPr>
        <w:spacing w:line="480" w:lineRule="auto"/>
        <w:jc w:val="both"/>
        <w:rPr>
          <w:rFonts w:ascii="Calibri" w:hAnsi="Calibri"/>
          <w:lang w:val="en-GB"/>
        </w:rPr>
      </w:pPr>
    </w:p>
    <w:p w14:paraId="2D2A70EF" w14:textId="5B413327" w:rsidR="00635371" w:rsidRPr="00D037BA" w:rsidRDefault="00107CDE" w:rsidP="00635371">
      <w:pPr>
        <w:spacing w:line="480" w:lineRule="auto"/>
        <w:jc w:val="both"/>
        <w:rPr>
          <w:rFonts w:ascii="Calibri" w:hAnsi="Calibri"/>
          <w:lang w:val="en-GB"/>
        </w:rPr>
      </w:pPr>
      <w:r w:rsidRPr="00D037BA">
        <w:rPr>
          <w:rFonts w:ascii="Calibri" w:hAnsi="Calibri"/>
          <w:b/>
          <w:color w:val="FF0000"/>
          <w:vertAlign w:val="superscript"/>
          <w:lang w:val="en-GB"/>
        </w:rPr>
        <w:t>9</w:t>
      </w:r>
      <w:r w:rsidR="00635371" w:rsidRPr="00D037BA">
        <w:rPr>
          <w:rFonts w:ascii="Calibri" w:hAnsi="Calibri"/>
          <w:b/>
          <w:color w:val="FF0000"/>
          <w:lang w:val="en-GB"/>
        </w:rPr>
        <w:t xml:space="preserve"> </w:t>
      </w:r>
      <w:r w:rsidR="00635371" w:rsidRPr="00D037BA">
        <w:rPr>
          <w:rFonts w:ascii="Calibri" w:hAnsi="Calibri"/>
          <w:lang w:val="en-GB"/>
        </w:rPr>
        <w:t xml:space="preserve">Koy A, Hellmich M, Pauls KA, Marks W, Lin JP, Fricke O, Timmermann L. </w:t>
      </w:r>
      <w:hyperlink r:id="rId8" w:history="1">
        <w:r w:rsidR="00635371" w:rsidRPr="00D037BA">
          <w:rPr>
            <w:rFonts w:ascii="Calibri" w:hAnsi="Calibri"/>
            <w:lang w:val="en-GB"/>
          </w:rPr>
          <w:t>Effects of deep brain stimulation in dyskinetic cerebral palsy: a meta-analysis.</w:t>
        </w:r>
      </w:hyperlink>
      <w:r w:rsidR="00635371" w:rsidRPr="00D037BA">
        <w:rPr>
          <w:rFonts w:ascii="Calibri" w:hAnsi="Calibri"/>
          <w:lang w:val="en-GB"/>
        </w:rPr>
        <w:t xml:space="preserve"> Movement Disorders 2013; 28(5):647-54.</w:t>
      </w:r>
    </w:p>
    <w:p w14:paraId="503B4575" w14:textId="77777777" w:rsidR="00635371" w:rsidRPr="00D037BA" w:rsidRDefault="00635371" w:rsidP="00635371">
      <w:pPr>
        <w:spacing w:line="480" w:lineRule="auto"/>
        <w:jc w:val="both"/>
        <w:rPr>
          <w:rFonts w:ascii="Calibri" w:hAnsi="Calibri"/>
          <w:lang w:val="en-GB"/>
        </w:rPr>
      </w:pPr>
    </w:p>
    <w:p w14:paraId="0CE48208" w14:textId="0C66BB8D" w:rsidR="00635371" w:rsidRPr="00D037BA" w:rsidRDefault="00107CDE" w:rsidP="00635371">
      <w:pPr>
        <w:spacing w:line="480" w:lineRule="auto"/>
        <w:jc w:val="both"/>
        <w:rPr>
          <w:rFonts w:ascii="Calibri" w:hAnsi="Calibri"/>
          <w:lang w:val="en-GB"/>
        </w:rPr>
      </w:pPr>
      <w:r w:rsidRPr="005D770F">
        <w:rPr>
          <w:rFonts w:ascii="Calibri" w:hAnsi="Calibri"/>
          <w:b/>
          <w:color w:val="FF0000"/>
          <w:vertAlign w:val="superscript"/>
          <w:lang w:val="en-GB"/>
        </w:rPr>
        <w:t>10</w:t>
      </w:r>
      <w:r w:rsidR="00635371" w:rsidRPr="005D770F">
        <w:rPr>
          <w:rFonts w:ascii="Calibri" w:hAnsi="Calibri"/>
          <w:b/>
          <w:color w:val="FF0000"/>
          <w:lang w:val="en-GB"/>
        </w:rPr>
        <w:t xml:space="preserve"> </w:t>
      </w:r>
      <w:r w:rsidR="00635371" w:rsidRPr="005D770F">
        <w:rPr>
          <w:rFonts w:ascii="Calibri" w:hAnsi="Calibri"/>
          <w:lang w:val="en-GB"/>
        </w:rPr>
        <w:t xml:space="preserve">Koy A, Pauls KA, Flossdorf P, Becker J, Schönau E, Maarouf M, Liebig T, Fricke O, Fink GR, Timmermann L. </w:t>
      </w:r>
      <w:hyperlink r:id="rId9" w:history="1">
        <w:r w:rsidR="00635371" w:rsidRPr="00D037BA">
          <w:rPr>
            <w:rFonts w:ascii="Calibri" w:hAnsi="Calibri"/>
            <w:lang w:val="en-GB"/>
          </w:rPr>
          <w:t>Young Adults with Dyskinetic Cerebral Palsy Improve Subjectively on Pallidal Stimulation, but not in Formal Dystonia, Gait, Speech and Swallowing Testing.</w:t>
        </w:r>
      </w:hyperlink>
      <w:r w:rsidR="00635371" w:rsidRPr="00D037BA">
        <w:rPr>
          <w:rFonts w:ascii="Calibri" w:hAnsi="Calibri"/>
          <w:lang w:val="en-GB"/>
        </w:rPr>
        <w:t xml:space="preserve"> Eur Neurol 2014; 72(5-6):340-8.</w:t>
      </w:r>
    </w:p>
    <w:p w14:paraId="355D2F4B" w14:textId="77777777" w:rsidR="00635371" w:rsidRPr="00D037BA" w:rsidRDefault="00635371" w:rsidP="00635371">
      <w:pPr>
        <w:spacing w:line="480" w:lineRule="auto"/>
        <w:jc w:val="both"/>
        <w:rPr>
          <w:rFonts w:ascii="Calibri" w:hAnsi="Calibri"/>
          <w:b/>
          <w:color w:val="FF0000"/>
          <w:vertAlign w:val="superscript"/>
          <w:lang w:val="en-GB"/>
        </w:rPr>
      </w:pPr>
      <w:r w:rsidRPr="00D037BA">
        <w:rPr>
          <w:rFonts w:ascii="Calibri" w:hAnsi="Calibri"/>
          <w:b/>
          <w:color w:val="FF0000"/>
          <w:vertAlign w:val="superscript"/>
          <w:lang w:val="en-GB"/>
        </w:rPr>
        <w:t xml:space="preserve"> </w:t>
      </w:r>
    </w:p>
    <w:p w14:paraId="52EC2789" w14:textId="35B8709B" w:rsidR="00635371" w:rsidRPr="00D037BA" w:rsidRDefault="00F948A2" w:rsidP="00635371">
      <w:pPr>
        <w:spacing w:line="480" w:lineRule="auto"/>
        <w:jc w:val="both"/>
        <w:rPr>
          <w:rFonts w:ascii="Calibri" w:hAnsi="Calibri"/>
          <w:lang w:val="en-GB"/>
        </w:rPr>
      </w:pPr>
      <w:r w:rsidRPr="00D037BA">
        <w:rPr>
          <w:rFonts w:ascii="Calibri" w:hAnsi="Calibri"/>
          <w:b/>
          <w:color w:val="FF0000"/>
          <w:vertAlign w:val="superscript"/>
          <w:lang w:val="en-GB"/>
        </w:rPr>
        <w:t>11</w:t>
      </w:r>
      <w:r w:rsidR="00635371" w:rsidRPr="00D037BA">
        <w:rPr>
          <w:rFonts w:ascii="Calibri" w:hAnsi="Calibri"/>
          <w:lang w:val="en-GB"/>
        </w:rPr>
        <w:t xml:space="preserve"> Lumsden DE, Kaminska M, Gimeno H, Tustin K, Baker L, Perides S, </w:t>
      </w:r>
      <w:r w:rsidR="00635371" w:rsidRPr="00D037BA">
        <w:rPr>
          <w:rFonts w:ascii="Calibri" w:hAnsi="Calibri"/>
          <w:i/>
          <w:lang w:val="en-GB"/>
        </w:rPr>
        <w:t>et al</w:t>
      </w:r>
      <w:r w:rsidR="00635371" w:rsidRPr="00D037BA">
        <w:rPr>
          <w:rFonts w:ascii="Calibri" w:hAnsi="Calibri"/>
          <w:lang w:val="en-GB"/>
        </w:rPr>
        <w:t>. Proportion of life lived with dystonia inversely correlates with response to pallidal deep brain stimulation in both primary and secondary childhood dystonia. Developmental Medicine and Child Neurology 2013; 55(6):567-574.</w:t>
      </w:r>
    </w:p>
    <w:p w14:paraId="48B5A410" w14:textId="77777777" w:rsidR="00635371" w:rsidRPr="00D037BA" w:rsidRDefault="00635371" w:rsidP="00635371">
      <w:pPr>
        <w:spacing w:line="480" w:lineRule="auto"/>
        <w:jc w:val="both"/>
        <w:rPr>
          <w:rFonts w:ascii="Calibri" w:hAnsi="Calibri"/>
          <w:lang w:val="en-GB"/>
        </w:rPr>
      </w:pPr>
    </w:p>
    <w:p w14:paraId="7B63C5DD" w14:textId="674C71E9" w:rsidR="00635371" w:rsidRPr="00D037BA" w:rsidRDefault="00F948A2" w:rsidP="00635371">
      <w:pPr>
        <w:spacing w:line="480" w:lineRule="auto"/>
        <w:jc w:val="both"/>
        <w:rPr>
          <w:rFonts w:ascii="Calibri" w:hAnsi="Calibri"/>
          <w:lang w:val="en-GB"/>
        </w:rPr>
      </w:pPr>
      <w:r w:rsidRPr="00D037BA">
        <w:rPr>
          <w:rFonts w:ascii="Calibri" w:hAnsi="Calibri"/>
          <w:b/>
          <w:color w:val="FF0000"/>
          <w:vertAlign w:val="superscript"/>
          <w:lang w:val="en-GB"/>
        </w:rPr>
        <w:t>12</w:t>
      </w:r>
      <w:r w:rsidR="00635371" w:rsidRPr="00D037BA">
        <w:rPr>
          <w:rFonts w:ascii="Calibri" w:hAnsi="Calibri"/>
          <w:lang w:val="en-GB"/>
        </w:rPr>
        <w:t xml:space="preserve"> FitzGerald JJ, Rosendal F, de Pennington N, Joint C, Forrow B, Fletcher C, </w:t>
      </w:r>
      <w:r w:rsidR="00635371" w:rsidRPr="00D037BA">
        <w:rPr>
          <w:rFonts w:ascii="Calibri" w:hAnsi="Calibri"/>
          <w:i/>
          <w:lang w:val="en-GB"/>
        </w:rPr>
        <w:t>et al</w:t>
      </w:r>
      <w:r w:rsidR="00635371" w:rsidRPr="00D037BA">
        <w:rPr>
          <w:rFonts w:ascii="Calibri" w:hAnsi="Calibri"/>
          <w:lang w:val="en-GB"/>
        </w:rPr>
        <w:t>. Long-term outcome of deep brain stimulation in generalised dystonia: a series of 60 cases. Journal of Neurology, Neurosurgery &amp; Psychiatry 2014; 85(12):1371-1376.</w:t>
      </w:r>
    </w:p>
    <w:p w14:paraId="3DAA9723" w14:textId="77777777" w:rsidR="00635371" w:rsidRPr="00D037BA" w:rsidRDefault="00635371" w:rsidP="00635371">
      <w:pPr>
        <w:spacing w:line="480" w:lineRule="auto"/>
        <w:jc w:val="both"/>
        <w:rPr>
          <w:rFonts w:ascii="Calibri" w:hAnsi="Calibri"/>
          <w:lang w:val="en-GB"/>
        </w:rPr>
      </w:pPr>
    </w:p>
    <w:p w14:paraId="5474EA43" w14:textId="0071B991" w:rsidR="00635371" w:rsidRPr="00D037BA" w:rsidRDefault="00F948A2" w:rsidP="00635371">
      <w:pPr>
        <w:spacing w:line="480" w:lineRule="auto"/>
        <w:jc w:val="both"/>
        <w:rPr>
          <w:rFonts w:ascii="Calibri" w:hAnsi="Calibri"/>
          <w:lang w:val="en-GB"/>
        </w:rPr>
      </w:pPr>
      <w:r w:rsidRPr="00D037BA">
        <w:rPr>
          <w:rFonts w:ascii="Calibri" w:hAnsi="Calibri"/>
          <w:b/>
          <w:color w:val="FF0000"/>
          <w:vertAlign w:val="superscript"/>
          <w:lang w:val="en-GB"/>
        </w:rPr>
        <w:t>13</w:t>
      </w:r>
      <w:r w:rsidR="00635371" w:rsidRPr="00D037BA">
        <w:rPr>
          <w:rFonts w:ascii="Calibri" w:hAnsi="Calibri"/>
          <w:lang w:val="en-GB"/>
        </w:rPr>
        <w:t xml:space="preserve"> Szyszko TA, Dunn JT, O'Doherty MJ, Reed L, Lin JP. Role of 18F-FDG PET imaging in paediatric primary dystonia and dystonia arising from neurodegeneration with brain iron accumulation. Nuclear Medicine Communications 2015; epub ahead of print.</w:t>
      </w:r>
    </w:p>
    <w:p w14:paraId="244BF04C" w14:textId="77777777" w:rsidR="00635371" w:rsidRPr="00D037BA" w:rsidRDefault="00635371" w:rsidP="00635371">
      <w:pPr>
        <w:spacing w:line="480" w:lineRule="auto"/>
        <w:jc w:val="both"/>
        <w:rPr>
          <w:rFonts w:ascii="Calibri" w:hAnsi="Calibri"/>
          <w:lang w:val="en-GB"/>
        </w:rPr>
      </w:pPr>
    </w:p>
    <w:p w14:paraId="3E191A7F" w14:textId="09425870" w:rsidR="002F70D2" w:rsidRPr="00D037BA" w:rsidRDefault="009D12C1" w:rsidP="002F70D2">
      <w:pPr>
        <w:spacing w:line="480" w:lineRule="auto"/>
        <w:jc w:val="both"/>
        <w:rPr>
          <w:rFonts w:ascii="Calibri" w:hAnsi="Calibri"/>
          <w:lang w:val="en-GB"/>
        </w:rPr>
      </w:pPr>
      <w:r w:rsidRPr="00D037BA">
        <w:rPr>
          <w:rFonts w:ascii="Calibri" w:hAnsi="Calibri"/>
          <w:b/>
          <w:color w:val="FF0000"/>
          <w:vertAlign w:val="superscript"/>
          <w:lang w:val="en-GB"/>
        </w:rPr>
        <w:t>14</w:t>
      </w:r>
      <w:r w:rsidR="002F70D2" w:rsidRPr="00D037BA">
        <w:rPr>
          <w:rFonts w:ascii="Calibri" w:hAnsi="Calibri"/>
          <w:lang w:val="en-GB"/>
        </w:rPr>
        <w:t xml:space="preserve"> Gimeno H, Tustin K, Selway R, Lin JPP. Beyond the Burke-Fahn-Marsden Dystonia Rating Scale: deep brain stimulation in childhood secondary dystonia. European Journal of Paediatric Neurology 2012; 16(5):501-508.</w:t>
      </w:r>
    </w:p>
    <w:p w14:paraId="641A40B8" w14:textId="77777777" w:rsidR="002F70D2" w:rsidRPr="00D037BA" w:rsidRDefault="002F70D2" w:rsidP="002F70D2">
      <w:pPr>
        <w:spacing w:line="480" w:lineRule="auto"/>
        <w:jc w:val="both"/>
        <w:rPr>
          <w:rFonts w:ascii="Calibri" w:hAnsi="Calibri"/>
          <w:lang w:val="en-GB"/>
        </w:rPr>
      </w:pPr>
    </w:p>
    <w:p w14:paraId="5E31B0BA" w14:textId="7F9C832A" w:rsidR="002F70D2" w:rsidRPr="00D037BA" w:rsidRDefault="009D12C1" w:rsidP="002F70D2">
      <w:pPr>
        <w:spacing w:line="480" w:lineRule="auto"/>
        <w:jc w:val="both"/>
        <w:rPr>
          <w:rFonts w:ascii="Calibri" w:hAnsi="Calibri"/>
          <w:lang w:val="en-GB"/>
        </w:rPr>
      </w:pPr>
      <w:r w:rsidRPr="005D770F">
        <w:rPr>
          <w:rFonts w:ascii="Calibri" w:hAnsi="Calibri"/>
          <w:b/>
          <w:color w:val="FF0000"/>
          <w:vertAlign w:val="superscript"/>
          <w:lang w:val="en-GB"/>
        </w:rPr>
        <w:t>15</w:t>
      </w:r>
      <w:r w:rsidR="002F70D2" w:rsidRPr="005D770F">
        <w:rPr>
          <w:rFonts w:ascii="Calibri" w:hAnsi="Calibri"/>
          <w:lang w:val="en-GB"/>
        </w:rPr>
        <w:t xml:space="preserve"> Gimeno H, Tustin K, Lumsden D, Ashkan K, Selway R, Lin JPP. </w:t>
      </w:r>
      <w:r w:rsidR="002F70D2" w:rsidRPr="00D037BA">
        <w:rPr>
          <w:rFonts w:ascii="Calibri" w:hAnsi="Calibri"/>
          <w:lang w:val="en-GB"/>
        </w:rPr>
        <w:t>Evaluation of functional goal outcomes using the Canadian Occupational Performance Measure (COPM) following Deep Brain Stimulation (DBS) in childhood dystonia. European Journal of Paediatric Neurology 2014; 18(3):308-316.</w:t>
      </w:r>
    </w:p>
    <w:p w14:paraId="3355C043" w14:textId="77777777" w:rsidR="002F70D2" w:rsidRPr="00D037BA" w:rsidRDefault="002F70D2" w:rsidP="002F70D2">
      <w:pPr>
        <w:spacing w:line="480" w:lineRule="auto"/>
        <w:jc w:val="both"/>
        <w:rPr>
          <w:rFonts w:ascii="Calibri" w:hAnsi="Calibri"/>
          <w:lang w:val="en-GB"/>
        </w:rPr>
      </w:pPr>
    </w:p>
    <w:p w14:paraId="104E52ED" w14:textId="39A1B0EC" w:rsidR="00635371" w:rsidRPr="00D037BA" w:rsidRDefault="009D12C1" w:rsidP="00635371">
      <w:pPr>
        <w:spacing w:line="480" w:lineRule="auto"/>
        <w:jc w:val="both"/>
        <w:rPr>
          <w:rFonts w:ascii="Calibri" w:hAnsi="Calibri"/>
          <w:lang w:val="en-GB"/>
        </w:rPr>
      </w:pPr>
      <w:r w:rsidRPr="005D770F">
        <w:rPr>
          <w:rFonts w:ascii="Calibri" w:hAnsi="Calibri"/>
          <w:b/>
          <w:color w:val="FF0000"/>
          <w:vertAlign w:val="superscript"/>
          <w:lang w:val="en-GB"/>
        </w:rPr>
        <w:t>16</w:t>
      </w:r>
      <w:r w:rsidR="00635371" w:rsidRPr="005D770F">
        <w:rPr>
          <w:rFonts w:ascii="Calibri" w:hAnsi="Calibri"/>
          <w:lang w:val="en-GB"/>
        </w:rPr>
        <w:t xml:space="preserve"> Monbaliu E, Ortibus E, Roelens F, Desloovere K, Deklerck J, Prinzie P, </w:t>
      </w:r>
      <w:r w:rsidR="00635371" w:rsidRPr="005D770F">
        <w:rPr>
          <w:rFonts w:ascii="Calibri" w:hAnsi="Calibri"/>
          <w:i/>
          <w:lang w:val="en-GB"/>
        </w:rPr>
        <w:t>et al</w:t>
      </w:r>
      <w:r w:rsidR="00635371" w:rsidRPr="005D770F">
        <w:rPr>
          <w:rFonts w:ascii="Calibri" w:hAnsi="Calibri"/>
          <w:lang w:val="en-GB"/>
        </w:rPr>
        <w:t xml:space="preserve">. </w:t>
      </w:r>
      <w:r w:rsidR="00635371" w:rsidRPr="00D037BA">
        <w:rPr>
          <w:rFonts w:ascii="Calibri" w:hAnsi="Calibri"/>
          <w:lang w:val="en-GB"/>
        </w:rPr>
        <w:t>Rating scales for dystonia in cerebral palsy: reliability and validity. Developmental Medicine &amp; Child Neurology 2010; 52(6):570-575.</w:t>
      </w:r>
    </w:p>
    <w:p w14:paraId="19F02116" w14:textId="77777777" w:rsidR="007A5DEF" w:rsidRPr="00D037BA" w:rsidRDefault="007A5DEF" w:rsidP="007A5DEF">
      <w:pPr>
        <w:spacing w:line="360" w:lineRule="auto"/>
        <w:jc w:val="both"/>
        <w:rPr>
          <w:rFonts w:ascii="Calibri" w:hAnsi="Calibri" w:cs="Arial"/>
          <w:lang w:val="en-GB"/>
        </w:rPr>
      </w:pPr>
    </w:p>
    <w:p w14:paraId="2C32096F" w14:textId="344DE006" w:rsidR="007A5DEF" w:rsidRPr="00D037BA" w:rsidRDefault="009D12C1" w:rsidP="007A5DEF">
      <w:pPr>
        <w:spacing w:line="360" w:lineRule="auto"/>
        <w:jc w:val="both"/>
        <w:rPr>
          <w:rFonts w:ascii="Calibri" w:hAnsi="Calibri" w:cs="Arial"/>
          <w:lang w:val="en-GB"/>
        </w:rPr>
      </w:pPr>
      <w:r w:rsidRPr="00D037BA">
        <w:rPr>
          <w:rFonts w:ascii="Calibri" w:hAnsi="Calibri"/>
          <w:b/>
          <w:color w:val="FF0000"/>
          <w:vertAlign w:val="superscript"/>
          <w:lang w:val="en-GB"/>
        </w:rPr>
        <w:t>17</w:t>
      </w:r>
      <w:r w:rsidR="007A5DEF" w:rsidRPr="00D037BA">
        <w:rPr>
          <w:rFonts w:ascii="Calibri" w:hAnsi="Calibri"/>
          <w:b/>
          <w:color w:val="FF0000"/>
          <w:vertAlign w:val="superscript"/>
          <w:lang w:val="en-GB"/>
        </w:rPr>
        <w:t xml:space="preserve"> </w:t>
      </w:r>
      <w:r w:rsidR="007A5DEF" w:rsidRPr="00D037BA">
        <w:rPr>
          <w:rFonts w:ascii="Calibri" w:hAnsi="Calibri" w:cs="Arial"/>
          <w:lang w:val="en-GB"/>
        </w:rPr>
        <w:t>Lumsden DE, Gimeno H, Tustin K, Kaminska M, Lin JP. Interventional studies in childhood dystonia do not address the concerns of children and their carers. European Journal of Paediatric Neurology 2015; 19(3): 327-336.</w:t>
      </w:r>
    </w:p>
    <w:p w14:paraId="27D0143B" w14:textId="77777777" w:rsidR="00635371" w:rsidRPr="00D037BA" w:rsidRDefault="00635371" w:rsidP="00635371">
      <w:pPr>
        <w:spacing w:line="480" w:lineRule="auto"/>
        <w:jc w:val="both"/>
        <w:rPr>
          <w:rFonts w:ascii="Calibri" w:hAnsi="Calibri"/>
          <w:lang w:val="en-GB"/>
        </w:rPr>
      </w:pPr>
    </w:p>
    <w:p w14:paraId="74A4F5DF" w14:textId="5CF873EF" w:rsidR="00635371" w:rsidRPr="00D037BA" w:rsidRDefault="009D12C1" w:rsidP="00635371">
      <w:pPr>
        <w:spacing w:line="480" w:lineRule="auto"/>
        <w:jc w:val="both"/>
        <w:rPr>
          <w:rFonts w:ascii="Calibri" w:hAnsi="Calibri"/>
          <w:lang w:val="en-GB"/>
        </w:rPr>
      </w:pPr>
      <w:r w:rsidRPr="00D037BA">
        <w:rPr>
          <w:rFonts w:ascii="Calibri" w:hAnsi="Calibri"/>
          <w:b/>
          <w:color w:val="FF0000"/>
          <w:vertAlign w:val="superscript"/>
          <w:lang w:val="en-GB"/>
        </w:rPr>
        <w:t>18</w:t>
      </w:r>
      <w:r w:rsidR="00635371" w:rsidRPr="00D037BA">
        <w:rPr>
          <w:rFonts w:ascii="Calibri" w:hAnsi="Calibri"/>
          <w:lang w:val="en-GB"/>
        </w:rPr>
        <w:t xml:space="preserve"> Hidecker MJCJ, Ho NTT, Dodge N, Hurvitz EA, Slaughter J, Workinger MSS, </w:t>
      </w:r>
      <w:r w:rsidR="00635371" w:rsidRPr="00D037BA">
        <w:rPr>
          <w:rFonts w:ascii="Calibri" w:hAnsi="Calibri"/>
          <w:i/>
          <w:lang w:val="en-GB"/>
        </w:rPr>
        <w:t>et al</w:t>
      </w:r>
      <w:r w:rsidR="00635371" w:rsidRPr="00D037BA">
        <w:rPr>
          <w:rFonts w:ascii="Calibri" w:hAnsi="Calibri"/>
          <w:lang w:val="en-GB"/>
        </w:rPr>
        <w:t xml:space="preserve">. Inter-relationships of functional status in cerebral palsy: analyzing gross motor function, manual </w:t>
      </w:r>
      <w:r w:rsidR="00635371" w:rsidRPr="00D037BA">
        <w:rPr>
          <w:rFonts w:ascii="Calibri" w:hAnsi="Calibri"/>
          <w:lang w:val="en-GB"/>
        </w:rPr>
        <w:lastRenderedPageBreak/>
        <w:t>ability, and communication function classification systems in children. Developmental Medicine and Child Neurology 2012; 54(8):737-742.</w:t>
      </w:r>
    </w:p>
    <w:p w14:paraId="77794F10" w14:textId="77777777" w:rsidR="00635371" w:rsidRPr="00D037BA" w:rsidRDefault="00635371" w:rsidP="00635371">
      <w:pPr>
        <w:spacing w:line="480" w:lineRule="auto"/>
        <w:jc w:val="both"/>
        <w:rPr>
          <w:rFonts w:ascii="Calibri" w:hAnsi="Calibri"/>
          <w:lang w:val="en-GB"/>
        </w:rPr>
      </w:pPr>
    </w:p>
    <w:p w14:paraId="03DB1E1D" w14:textId="2CB9F6DE" w:rsidR="00635371" w:rsidRPr="00D037BA" w:rsidRDefault="00635371" w:rsidP="00635371">
      <w:pPr>
        <w:spacing w:line="480" w:lineRule="auto"/>
        <w:jc w:val="both"/>
        <w:rPr>
          <w:rFonts w:ascii="Calibri" w:hAnsi="Calibri"/>
          <w:lang w:val="en-GB"/>
        </w:rPr>
      </w:pPr>
      <w:r w:rsidRPr="00D037BA">
        <w:rPr>
          <w:rFonts w:ascii="Calibri" w:hAnsi="Calibri"/>
          <w:b/>
          <w:color w:val="FF0000"/>
          <w:vertAlign w:val="superscript"/>
          <w:lang w:val="en-GB"/>
        </w:rPr>
        <w:t xml:space="preserve"> </w:t>
      </w:r>
      <w:r w:rsidR="009D12C1" w:rsidRPr="00D037BA">
        <w:rPr>
          <w:rFonts w:ascii="Calibri" w:hAnsi="Calibri"/>
          <w:b/>
          <w:color w:val="FF0000"/>
          <w:vertAlign w:val="superscript"/>
          <w:lang w:val="en-GB"/>
        </w:rPr>
        <w:t>19</w:t>
      </w:r>
      <w:r w:rsidRPr="00D037BA">
        <w:rPr>
          <w:rFonts w:ascii="Calibri" w:hAnsi="Calibri"/>
          <w:b/>
          <w:color w:val="FF0000"/>
          <w:lang w:val="en-GB"/>
        </w:rPr>
        <w:t xml:space="preserve"> </w:t>
      </w:r>
      <w:r w:rsidRPr="00D037BA">
        <w:rPr>
          <w:rFonts w:ascii="Calibri" w:hAnsi="Calibri"/>
          <w:lang w:val="en-GB"/>
        </w:rPr>
        <w:t>Palisano R, Rosenbaum P, Walter S, Russell D, Wood E, Galuppi B. Development and reliability of a system to classify gross motor function in children with cerebral palsy. Developmental Medicine &amp; Child Neurology 1997; 39(4):214-223.</w:t>
      </w:r>
    </w:p>
    <w:p w14:paraId="081EF769" w14:textId="77777777" w:rsidR="00635371" w:rsidRPr="00D037BA" w:rsidRDefault="00635371" w:rsidP="00635371">
      <w:pPr>
        <w:spacing w:line="480" w:lineRule="auto"/>
        <w:jc w:val="both"/>
        <w:rPr>
          <w:rFonts w:ascii="Calibri" w:hAnsi="Calibri"/>
          <w:lang w:val="en-GB"/>
        </w:rPr>
      </w:pPr>
    </w:p>
    <w:p w14:paraId="27062574" w14:textId="55E009C3" w:rsidR="00635371" w:rsidRPr="00D037BA" w:rsidRDefault="009D12C1" w:rsidP="00635371">
      <w:pPr>
        <w:spacing w:line="480" w:lineRule="auto"/>
        <w:jc w:val="both"/>
        <w:rPr>
          <w:rFonts w:ascii="Calibri" w:hAnsi="Calibri"/>
          <w:lang w:val="en-GB"/>
        </w:rPr>
      </w:pPr>
      <w:r w:rsidRPr="00D037BA">
        <w:rPr>
          <w:rFonts w:ascii="Calibri" w:hAnsi="Calibri"/>
          <w:b/>
          <w:color w:val="FF0000"/>
          <w:vertAlign w:val="superscript"/>
          <w:lang w:val="en-GB"/>
        </w:rPr>
        <w:t>20</w:t>
      </w:r>
      <w:r w:rsidR="00635371" w:rsidRPr="00D037BA">
        <w:rPr>
          <w:rFonts w:ascii="Calibri" w:hAnsi="Calibri"/>
          <w:color w:val="FF0000"/>
          <w:lang w:val="en-GB"/>
        </w:rPr>
        <w:t xml:space="preserve"> </w:t>
      </w:r>
      <w:r w:rsidR="00635371" w:rsidRPr="00D037BA">
        <w:rPr>
          <w:rFonts w:ascii="Calibri" w:hAnsi="Calibri"/>
          <w:lang w:val="en-GB"/>
        </w:rPr>
        <w:t xml:space="preserve">Eliasson ACC, Krumlinde-Sundholm L, Rösblad B, Beckung E, Arner M, Ohrvall AMM, </w:t>
      </w:r>
      <w:r w:rsidR="00635371" w:rsidRPr="00D037BA">
        <w:rPr>
          <w:rFonts w:ascii="Calibri" w:hAnsi="Calibri"/>
          <w:i/>
          <w:lang w:val="en-GB"/>
        </w:rPr>
        <w:t>et al</w:t>
      </w:r>
      <w:r w:rsidR="00635371" w:rsidRPr="00D037BA">
        <w:rPr>
          <w:rFonts w:ascii="Calibri" w:hAnsi="Calibri"/>
          <w:lang w:val="en-GB"/>
        </w:rPr>
        <w:t>. The Manual Ability Classification System (MACS) for children with cerebral palsy: scale development and evidence of validity and reliability. Developmental Medicine and Child Neurology 2006; 48(7):549-554.</w:t>
      </w:r>
    </w:p>
    <w:p w14:paraId="31D7905C" w14:textId="77777777" w:rsidR="00635371" w:rsidRPr="00D037BA" w:rsidRDefault="00635371" w:rsidP="00635371">
      <w:pPr>
        <w:spacing w:line="480" w:lineRule="auto"/>
        <w:jc w:val="both"/>
        <w:rPr>
          <w:rFonts w:ascii="Calibri" w:hAnsi="Calibri"/>
          <w:lang w:val="en-GB"/>
        </w:rPr>
      </w:pPr>
    </w:p>
    <w:p w14:paraId="35C9DC42" w14:textId="6E3DF7E5" w:rsidR="00635371" w:rsidRPr="00D037BA" w:rsidRDefault="009D12C1" w:rsidP="00635371">
      <w:pPr>
        <w:spacing w:line="480" w:lineRule="auto"/>
        <w:jc w:val="both"/>
        <w:rPr>
          <w:rFonts w:ascii="Calibri" w:hAnsi="Calibri"/>
          <w:lang w:val="en-GB"/>
        </w:rPr>
      </w:pPr>
      <w:r w:rsidRPr="00D037BA">
        <w:rPr>
          <w:rFonts w:ascii="Calibri" w:hAnsi="Calibri"/>
          <w:b/>
          <w:color w:val="FF0000"/>
          <w:vertAlign w:val="superscript"/>
          <w:lang w:val="en-GB"/>
        </w:rPr>
        <w:t>21</w:t>
      </w:r>
      <w:r w:rsidR="00635371" w:rsidRPr="00D037BA">
        <w:rPr>
          <w:rFonts w:ascii="Calibri" w:hAnsi="Calibri"/>
          <w:lang w:val="en-GB"/>
        </w:rPr>
        <w:t xml:space="preserve"> Hidecker MJCJ, Paneth N, Rosenbaum PL, Kent RD, Lillie J, Eulenberg JB, </w:t>
      </w:r>
      <w:r w:rsidR="00635371" w:rsidRPr="00D037BA">
        <w:rPr>
          <w:rFonts w:ascii="Calibri" w:hAnsi="Calibri"/>
          <w:i/>
          <w:lang w:val="en-GB"/>
        </w:rPr>
        <w:t>et al</w:t>
      </w:r>
      <w:r w:rsidR="00635371" w:rsidRPr="00D037BA">
        <w:rPr>
          <w:rFonts w:ascii="Calibri" w:hAnsi="Calibri"/>
          <w:lang w:val="en-GB"/>
        </w:rPr>
        <w:t>. Developing and validating the Communication Function Classification System for individuals with cerebral palsy. Developmental Medicine and Child Neurology 2011; 53(8):704-710.</w:t>
      </w:r>
    </w:p>
    <w:p w14:paraId="1C13AAB8" w14:textId="77777777" w:rsidR="00635371" w:rsidRPr="00D037BA" w:rsidRDefault="00635371" w:rsidP="00635371">
      <w:pPr>
        <w:spacing w:line="480" w:lineRule="auto"/>
        <w:jc w:val="both"/>
        <w:rPr>
          <w:rFonts w:ascii="Calibri" w:hAnsi="Calibri"/>
          <w:lang w:val="en-GB"/>
        </w:rPr>
      </w:pPr>
    </w:p>
    <w:p w14:paraId="3989070C" w14:textId="6BE83312" w:rsidR="00635371" w:rsidRPr="00D037BA" w:rsidRDefault="009D12C1" w:rsidP="00635371">
      <w:pPr>
        <w:spacing w:line="480" w:lineRule="auto"/>
        <w:jc w:val="both"/>
        <w:rPr>
          <w:rFonts w:ascii="Calibri" w:hAnsi="Calibri"/>
          <w:lang w:val="en-GB"/>
        </w:rPr>
      </w:pPr>
      <w:r w:rsidRPr="00D037BA">
        <w:rPr>
          <w:rFonts w:ascii="Calibri" w:hAnsi="Calibri"/>
          <w:b/>
          <w:color w:val="FF0000"/>
          <w:vertAlign w:val="superscript"/>
          <w:lang w:val="en-GB"/>
        </w:rPr>
        <w:t>22</w:t>
      </w:r>
      <w:r w:rsidR="00635371" w:rsidRPr="00D037BA">
        <w:rPr>
          <w:rFonts w:ascii="Calibri" w:hAnsi="Calibri"/>
          <w:lang w:val="en-GB"/>
        </w:rPr>
        <w:t xml:space="preserve"> Rosenbaum P, Eliasson ACC, Hidecker MJCJ, Palisano RJ. Classification in Childhood Disability: Focusing on Function in the 21st Century. Journal of child neurology 2014; 29(8):1036-1045.</w:t>
      </w:r>
    </w:p>
    <w:p w14:paraId="58E025A9" w14:textId="77777777" w:rsidR="00635371" w:rsidRPr="00D037BA" w:rsidRDefault="00635371" w:rsidP="00635371">
      <w:pPr>
        <w:spacing w:line="480" w:lineRule="auto"/>
        <w:jc w:val="both"/>
        <w:rPr>
          <w:rFonts w:ascii="Calibri" w:hAnsi="Calibri"/>
          <w:lang w:val="en-GB"/>
        </w:rPr>
      </w:pPr>
    </w:p>
    <w:p w14:paraId="2A11971E" w14:textId="63641A45" w:rsidR="00635371" w:rsidRPr="00D037BA" w:rsidRDefault="009D12C1" w:rsidP="00635371">
      <w:pPr>
        <w:spacing w:line="480" w:lineRule="auto"/>
        <w:jc w:val="both"/>
        <w:rPr>
          <w:rFonts w:ascii="Calibri" w:hAnsi="Calibri"/>
          <w:lang w:val="en-GB"/>
        </w:rPr>
      </w:pPr>
      <w:r w:rsidRPr="00D037BA">
        <w:rPr>
          <w:rFonts w:ascii="Calibri" w:hAnsi="Calibri"/>
          <w:b/>
          <w:color w:val="FF0000"/>
          <w:vertAlign w:val="superscript"/>
          <w:lang w:val="en-GB"/>
        </w:rPr>
        <w:t>23</w:t>
      </w:r>
      <w:r w:rsidR="00635371" w:rsidRPr="00D037BA">
        <w:rPr>
          <w:rFonts w:ascii="Calibri" w:hAnsi="Calibri"/>
          <w:lang w:val="en-GB"/>
        </w:rPr>
        <w:t xml:space="preserve"> Gainsborough M, Surman G, Maestri G, Colver A, Cans C, on behalf of the Surveillance of Cerebral Palsy in Europe collaborative group. Validity and reliability of the guidelines of the Surveillance of Cerebral Palsy in Europe for the classification of cerebral palsy. Developmental Medicine &amp; Child Neurology 2008; 50(11):828-831.</w:t>
      </w:r>
    </w:p>
    <w:p w14:paraId="7FDF21C0" w14:textId="77777777" w:rsidR="00635371" w:rsidRPr="00D037BA" w:rsidRDefault="00635371" w:rsidP="00635371">
      <w:pPr>
        <w:spacing w:line="480" w:lineRule="auto"/>
        <w:jc w:val="both"/>
        <w:rPr>
          <w:rFonts w:ascii="Calibri" w:hAnsi="Calibri"/>
          <w:lang w:val="en-GB"/>
        </w:rPr>
      </w:pPr>
    </w:p>
    <w:p w14:paraId="2E1ECA5F" w14:textId="54C127C9" w:rsidR="00635371" w:rsidRPr="00D037BA" w:rsidRDefault="009D12C1" w:rsidP="00635371">
      <w:pPr>
        <w:spacing w:line="480" w:lineRule="auto"/>
        <w:jc w:val="both"/>
        <w:rPr>
          <w:rFonts w:ascii="Calibri" w:hAnsi="Calibri"/>
          <w:lang w:val="en-GB"/>
        </w:rPr>
      </w:pPr>
      <w:r w:rsidRPr="00D037BA">
        <w:rPr>
          <w:rFonts w:ascii="Calibri" w:hAnsi="Calibri"/>
          <w:b/>
          <w:color w:val="FF0000"/>
          <w:vertAlign w:val="superscript"/>
          <w:lang w:val="en-GB"/>
        </w:rPr>
        <w:t>24</w:t>
      </w:r>
      <w:r w:rsidR="00635371" w:rsidRPr="00D037BA">
        <w:rPr>
          <w:rFonts w:ascii="Calibri" w:hAnsi="Calibri"/>
          <w:lang w:val="en-GB"/>
        </w:rPr>
        <w:t xml:space="preserve"> Lin JP. The contribution of spasticity to the movement disorder of cerebral palsy using pathway analysis: does spasticity matter? Developmental Medicine &amp; Child Neurology 2011; 53(1):7-9.</w:t>
      </w:r>
    </w:p>
    <w:p w14:paraId="6E466FA8" w14:textId="77777777" w:rsidR="00635371" w:rsidRPr="00D037BA" w:rsidRDefault="00635371" w:rsidP="00635371">
      <w:pPr>
        <w:spacing w:line="480" w:lineRule="auto"/>
        <w:jc w:val="both"/>
        <w:rPr>
          <w:rFonts w:ascii="Calibri" w:hAnsi="Calibri"/>
          <w:lang w:val="en-GB"/>
        </w:rPr>
      </w:pPr>
    </w:p>
    <w:p w14:paraId="1469C7A9" w14:textId="6B93BAF4" w:rsidR="00635371" w:rsidRPr="00D037BA" w:rsidRDefault="009D12C1" w:rsidP="00635371">
      <w:pPr>
        <w:spacing w:line="480" w:lineRule="auto"/>
        <w:jc w:val="both"/>
        <w:rPr>
          <w:rFonts w:ascii="Calibri" w:hAnsi="Calibri"/>
          <w:lang w:val="en-GB"/>
        </w:rPr>
      </w:pPr>
      <w:r w:rsidRPr="00D037BA">
        <w:rPr>
          <w:rFonts w:ascii="Calibri" w:hAnsi="Calibri"/>
          <w:b/>
          <w:color w:val="FF0000"/>
          <w:vertAlign w:val="superscript"/>
          <w:lang w:val="en-GB"/>
        </w:rPr>
        <w:t>25</w:t>
      </w:r>
      <w:r w:rsidR="00635371" w:rsidRPr="00D037BA">
        <w:rPr>
          <w:rFonts w:ascii="Calibri" w:hAnsi="Calibri"/>
          <w:lang w:val="en-GB"/>
        </w:rPr>
        <w:t xml:space="preserve"> Randall M, Harvey A, Imms C, Reid S, Lee KJ, Reddihough D. Reliable classification of functional profiles and movement disorders of children with cerebral palsy. Physical &amp; occupational therapy in pediatrics 2013; 33(3):342-352.</w:t>
      </w:r>
    </w:p>
    <w:p w14:paraId="391D65BA" w14:textId="77777777" w:rsidR="00635371" w:rsidRPr="00D037BA" w:rsidRDefault="00635371" w:rsidP="00635371">
      <w:pPr>
        <w:spacing w:line="480" w:lineRule="auto"/>
        <w:jc w:val="both"/>
        <w:rPr>
          <w:rFonts w:ascii="Calibri" w:hAnsi="Calibri"/>
          <w:lang w:val="en-GB"/>
        </w:rPr>
      </w:pPr>
    </w:p>
    <w:p w14:paraId="37D4676A" w14:textId="1981A712" w:rsidR="00635371" w:rsidRPr="00D037BA" w:rsidRDefault="009D12C1" w:rsidP="00635371">
      <w:pPr>
        <w:spacing w:line="480" w:lineRule="auto"/>
        <w:jc w:val="both"/>
        <w:rPr>
          <w:rFonts w:ascii="Calibri" w:hAnsi="Calibri"/>
          <w:lang w:val="en-GB"/>
        </w:rPr>
      </w:pPr>
      <w:r w:rsidRPr="00D037BA">
        <w:rPr>
          <w:rFonts w:ascii="Calibri" w:hAnsi="Calibri"/>
          <w:b/>
          <w:color w:val="FF0000"/>
          <w:vertAlign w:val="superscript"/>
          <w:lang w:val="en-GB"/>
        </w:rPr>
        <w:t>26</w:t>
      </w:r>
      <w:r w:rsidR="00635371" w:rsidRPr="00D037BA">
        <w:rPr>
          <w:rFonts w:ascii="Calibri" w:hAnsi="Calibri"/>
          <w:lang w:val="en-GB"/>
        </w:rPr>
        <w:t xml:space="preserve"> Majnemer A, Shikako-Thomas K, Shevell M, Poulin C, Lach L, Law M, </w:t>
      </w:r>
      <w:r w:rsidR="00635371" w:rsidRPr="00D037BA">
        <w:rPr>
          <w:rFonts w:ascii="Calibri" w:hAnsi="Calibri"/>
          <w:i/>
          <w:lang w:val="en-GB"/>
        </w:rPr>
        <w:t>et al</w:t>
      </w:r>
      <w:r w:rsidR="00635371" w:rsidRPr="00D037BA">
        <w:rPr>
          <w:rFonts w:ascii="Calibri" w:hAnsi="Calibri"/>
          <w:lang w:val="en-GB"/>
        </w:rPr>
        <w:t>. The Relationship Between Manual Ability and Ambulation in Adolescents with Cerebral Palsy. Phys Occup Ther Pediatr 2013; 33(2):243-252.</w:t>
      </w:r>
    </w:p>
    <w:p w14:paraId="6A9014FD" w14:textId="77777777" w:rsidR="00635371" w:rsidRPr="00D037BA" w:rsidRDefault="00635371" w:rsidP="00635371">
      <w:pPr>
        <w:spacing w:line="480" w:lineRule="auto"/>
        <w:jc w:val="both"/>
        <w:rPr>
          <w:rFonts w:ascii="Calibri" w:hAnsi="Calibri"/>
          <w:lang w:val="en-GB"/>
        </w:rPr>
      </w:pPr>
    </w:p>
    <w:p w14:paraId="348212B1" w14:textId="71F6EE63" w:rsidR="00635371" w:rsidRPr="00D037BA" w:rsidRDefault="009D12C1" w:rsidP="00635371">
      <w:pPr>
        <w:spacing w:line="480" w:lineRule="auto"/>
        <w:jc w:val="both"/>
        <w:rPr>
          <w:rFonts w:ascii="Calibri" w:hAnsi="Calibri"/>
          <w:lang w:val="en-GB"/>
        </w:rPr>
      </w:pPr>
      <w:r w:rsidRPr="00F4512C">
        <w:rPr>
          <w:rFonts w:ascii="Calibri" w:hAnsi="Calibri"/>
          <w:b/>
          <w:color w:val="FF0000"/>
          <w:vertAlign w:val="superscript"/>
          <w:lang w:val="de-DE"/>
        </w:rPr>
        <w:t>27</w:t>
      </w:r>
      <w:r w:rsidR="00F35CAB" w:rsidRPr="00F4512C">
        <w:rPr>
          <w:rFonts w:ascii="Calibri" w:hAnsi="Calibri"/>
          <w:lang w:val="de-DE"/>
        </w:rPr>
        <w:t xml:space="preserve"> Oskoui M, Majnemer A, Dagenais L, Shevell MI. </w:t>
      </w:r>
      <w:r w:rsidR="00635371" w:rsidRPr="00D037BA">
        <w:rPr>
          <w:rFonts w:ascii="Calibri" w:hAnsi="Calibri"/>
          <w:lang w:val="en-GB"/>
        </w:rPr>
        <w:t>The Relationship Between Gross Motor Function and Manual Ability in Cerebral Palsy. Journal of Child Neurology 2013; 28(12):1646-1652.</w:t>
      </w:r>
    </w:p>
    <w:p w14:paraId="7D13CF89" w14:textId="77777777" w:rsidR="00635371" w:rsidRPr="00D037BA" w:rsidRDefault="00635371" w:rsidP="00635371">
      <w:pPr>
        <w:spacing w:line="480" w:lineRule="auto"/>
        <w:jc w:val="both"/>
        <w:rPr>
          <w:rFonts w:ascii="Calibri" w:hAnsi="Calibri"/>
          <w:lang w:val="en-GB"/>
        </w:rPr>
      </w:pPr>
    </w:p>
    <w:p w14:paraId="7C0DC6A8" w14:textId="38EF3E5F" w:rsidR="00635371" w:rsidRPr="00D037BA" w:rsidRDefault="009D12C1" w:rsidP="00635371">
      <w:pPr>
        <w:spacing w:line="480" w:lineRule="auto"/>
        <w:jc w:val="both"/>
        <w:rPr>
          <w:rFonts w:ascii="Calibri" w:hAnsi="Calibri"/>
          <w:lang w:val="en-GB"/>
        </w:rPr>
      </w:pPr>
      <w:r w:rsidRPr="00D037BA">
        <w:rPr>
          <w:rFonts w:ascii="Calibri" w:hAnsi="Calibri"/>
          <w:b/>
          <w:color w:val="FF0000"/>
          <w:vertAlign w:val="superscript"/>
          <w:lang w:val="en-GB"/>
        </w:rPr>
        <w:t>28</w:t>
      </w:r>
      <w:r w:rsidR="00635371" w:rsidRPr="00D037BA">
        <w:rPr>
          <w:rFonts w:ascii="Calibri" w:hAnsi="Calibri"/>
          <w:lang w:val="en-GB"/>
        </w:rPr>
        <w:t xml:space="preserve"> Dobson F, Morris ME, Baker R, Graham HK. Unilateral cerebral palsy: a population-based study of gait and motor function. Developmental Medicine &amp; Child Neurology 2011; 53(5):429-435.</w:t>
      </w:r>
    </w:p>
    <w:p w14:paraId="378B2008" w14:textId="77777777" w:rsidR="00635371" w:rsidRPr="00D037BA" w:rsidRDefault="00635371" w:rsidP="00635371">
      <w:pPr>
        <w:spacing w:line="480" w:lineRule="auto"/>
        <w:jc w:val="both"/>
        <w:rPr>
          <w:rFonts w:ascii="Calibri" w:hAnsi="Calibri"/>
          <w:lang w:val="en-GB"/>
        </w:rPr>
      </w:pPr>
    </w:p>
    <w:p w14:paraId="6F589644" w14:textId="4BB32130" w:rsidR="00635371" w:rsidRPr="00D037BA" w:rsidRDefault="009D12C1" w:rsidP="00635371">
      <w:pPr>
        <w:spacing w:line="480" w:lineRule="auto"/>
        <w:jc w:val="both"/>
        <w:rPr>
          <w:rFonts w:ascii="Calibri" w:hAnsi="Calibri"/>
          <w:lang w:val="en-GB"/>
        </w:rPr>
      </w:pPr>
      <w:r w:rsidRPr="00D037BA">
        <w:rPr>
          <w:rFonts w:ascii="Calibri" w:hAnsi="Calibri"/>
          <w:b/>
          <w:color w:val="FF0000"/>
          <w:vertAlign w:val="superscript"/>
          <w:lang w:val="en-GB"/>
        </w:rPr>
        <w:t>29</w:t>
      </w:r>
      <w:r w:rsidR="00635371" w:rsidRPr="00D037BA">
        <w:rPr>
          <w:rFonts w:ascii="Calibri" w:hAnsi="Calibri"/>
          <w:lang w:val="en-GB"/>
        </w:rPr>
        <w:t xml:space="preserve"> Öhrvall AM, Eliasson AC, Löwing K, Ödman P, Krumlinde-Sundholm L. Self-care and mobility skills in children with cerebral palsy, related to their manual ability and gross motor function classifications. Developmental Medicine &amp; Child Neurology 2010; 52(11):1048-1055.</w:t>
      </w:r>
    </w:p>
    <w:p w14:paraId="348993DB" w14:textId="77777777" w:rsidR="00635371" w:rsidRPr="00D037BA" w:rsidRDefault="00635371" w:rsidP="00635371">
      <w:pPr>
        <w:spacing w:line="480" w:lineRule="auto"/>
        <w:jc w:val="both"/>
        <w:rPr>
          <w:rFonts w:ascii="Calibri" w:hAnsi="Calibri"/>
          <w:lang w:val="en-GB"/>
        </w:rPr>
      </w:pPr>
    </w:p>
    <w:p w14:paraId="1CFA1ACB" w14:textId="6D3D1C48" w:rsidR="00635371" w:rsidRPr="00D037BA" w:rsidRDefault="009D12C1" w:rsidP="00635371">
      <w:pPr>
        <w:spacing w:line="480" w:lineRule="auto"/>
        <w:jc w:val="both"/>
        <w:rPr>
          <w:rFonts w:ascii="Calibri" w:hAnsi="Calibri"/>
          <w:lang w:val="en-GB"/>
        </w:rPr>
      </w:pPr>
      <w:r w:rsidRPr="00D037BA">
        <w:rPr>
          <w:rFonts w:ascii="Calibri" w:hAnsi="Calibri"/>
          <w:b/>
          <w:color w:val="FF0000"/>
          <w:vertAlign w:val="superscript"/>
          <w:lang w:val="en-GB"/>
        </w:rPr>
        <w:t>30</w:t>
      </w:r>
      <w:r w:rsidR="00635371" w:rsidRPr="00D037BA">
        <w:rPr>
          <w:rFonts w:ascii="Calibri" w:hAnsi="Calibri"/>
          <w:lang w:val="en-GB"/>
        </w:rPr>
        <w:t xml:space="preserve"> Carnahan KD, Arner M, Hägglund G. Association between gross motor function (GMFCS) and manual ability (MACS) in children with cerebral palsy. A population-based study of 359 children. BMC Musculoskeletal Disorders 2007; 8(1):50+.</w:t>
      </w:r>
    </w:p>
    <w:p w14:paraId="41E2963E" w14:textId="77777777" w:rsidR="00635371" w:rsidRPr="00D037BA" w:rsidRDefault="00635371" w:rsidP="00635371">
      <w:pPr>
        <w:spacing w:line="480" w:lineRule="auto"/>
        <w:jc w:val="both"/>
        <w:rPr>
          <w:rFonts w:ascii="Calibri" w:hAnsi="Calibri"/>
          <w:lang w:val="en-GB"/>
        </w:rPr>
      </w:pPr>
    </w:p>
    <w:p w14:paraId="2CAAA0B7" w14:textId="5C3B4134" w:rsidR="00635371" w:rsidRPr="00D037BA" w:rsidRDefault="009D12C1" w:rsidP="00635371">
      <w:pPr>
        <w:spacing w:line="480" w:lineRule="auto"/>
        <w:jc w:val="both"/>
        <w:rPr>
          <w:rFonts w:ascii="Calibri" w:hAnsi="Calibri"/>
          <w:lang w:val="en-GB"/>
        </w:rPr>
      </w:pPr>
      <w:r w:rsidRPr="00D037BA">
        <w:rPr>
          <w:rFonts w:ascii="Calibri" w:hAnsi="Calibri"/>
          <w:b/>
          <w:color w:val="FF0000"/>
          <w:vertAlign w:val="superscript"/>
          <w:lang w:val="en-GB"/>
        </w:rPr>
        <w:t>31</w:t>
      </w:r>
      <w:r w:rsidR="00635371" w:rsidRPr="00D037BA">
        <w:rPr>
          <w:rFonts w:ascii="Calibri" w:hAnsi="Calibri"/>
          <w:lang w:val="en-GB"/>
        </w:rPr>
        <w:t xml:space="preserve"> Burke RE, Fahn S, Marsden CD, Bressman SB, Moskowitz C, Friedman J. Validity and reliability of a rating scale for the primary torsion dystonias. Neurology 1985; 35(1):73.</w:t>
      </w:r>
    </w:p>
    <w:p w14:paraId="00B18424" w14:textId="77777777" w:rsidR="00DD6579" w:rsidRPr="00D037BA" w:rsidRDefault="00DD6579" w:rsidP="00DD6579">
      <w:pPr>
        <w:spacing w:line="360" w:lineRule="auto"/>
        <w:jc w:val="both"/>
        <w:rPr>
          <w:rFonts w:ascii="Calibri" w:hAnsi="Calibri" w:cs="Arial"/>
          <w:lang w:val="en-GB"/>
        </w:rPr>
      </w:pPr>
    </w:p>
    <w:p w14:paraId="3526F913" w14:textId="13EB16D8" w:rsidR="00DD6579" w:rsidRPr="005D770F" w:rsidRDefault="009D12C1" w:rsidP="00DD6579">
      <w:pPr>
        <w:spacing w:line="360" w:lineRule="auto"/>
        <w:jc w:val="both"/>
        <w:rPr>
          <w:rFonts w:ascii="Calibri" w:hAnsi="Calibri" w:cs="Arial"/>
          <w:lang w:val="en-GB"/>
        </w:rPr>
      </w:pPr>
      <w:r w:rsidRPr="00D037BA">
        <w:rPr>
          <w:rFonts w:ascii="Calibri" w:hAnsi="Calibri"/>
          <w:b/>
          <w:color w:val="FF0000"/>
          <w:vertAlign w:val="superscript"/>
          <w:lang w:val="en-GB"/>
        </w:rPr>
        <w:t>32</w:t>
      </w:r>
      <w:r w:rsidR="00564A23" w:rsidRPr="00D037BA">
        <w:rPr>
          <w:rFonts w:ascii="Calibri" w:hAnsi="Calibri"/>
          <w:lang w:val="en-GB"/>
        </w:rPr>
        <w:t xml:space="preserve"> </w:t>
      </w:r>
      <w:r w:rsidR="00DD6579" w:rsidRPr="00D037BA">
        <w:rPr>
          <w:rFonts w:ascii="Calibri" w:hAnsi="Calibri" w:cs="Arial"/>
          <w:lang w:val="en-GB"/>
        </w:rPr>
        <w:t xml:space="preserve">Klingelhoefer L, Martino D, Martinez-Martin P, Sauerbier A, Rizos A, Jost W, et al. Nonmotor symptoms and focal cervical dystonia: Observations from 102 patients. </w:t>
      </w:r>
      <w:r w:rsidR="00DD6579" w:rsidRPr="005D770F">
        <w:rPr>
          <w:rFonts w:ascii="Calibri" w:hAnsi="Calibri" w:cs="Arial"/>
          <w:lang w:val="en-GB"/>
        </w:rPr>
        <w:t>Basal Ganglia 2014;</w:t>
      </w:r>
      <w:r w:rsidR="00564A23" w:rsidRPr="005D770F">
        <w:rPr>
          <w:rFonts w:ascii="Calibri" w:hAnsi="Calibri" w:cs="Arial"/>
          <w:lang w:val="en-GB"/>
        </w:rPr>
        <w:t xml:space="preserve"> </w:t>
      </w:r>
      <w:r w:rsidR="00DD6579" w:rsidRPr="005D770F">
        <w:rPr>
          <w:rFonts w:ascii="Calibri" w:hAnsi="Calibri" w:cs="Arial"/>
          <w:lang w:val="en-GB"/>
        </w:rPr>
        <w:t>4(3-4):</w:t>
      </w:r>
      <w:r w:rsidR="00564A23" w:rsidRPr="005D770F">
        <w:rPr>
          <w:rFonts w:ascii="Calibri" w:hAnsi="Calibri" w:cs="Arial"/>
          <w:lang w:val="en-GB"/>
        </w:rPr>
        <w:t xml:space="preserve"> </w:t>
      </w:r>
      <w:r w:rsidR="00DD6579" w:rsidRPr="005D770F">
        <w:rPr>
          <w:rFonts w:ascii="Calibri" w:hAnsi="Calibri" w:cs="Arial"/>
          <w:lang w:val="en-GB"/>
        </w:rPr>
        <w:t>117-120.</w:t>
      </w:r>
    </w:p>
    <w:p w14:paraId="28E45E4E" w14:textId="6313915C" w:rsidR="00635371" w:rsidRPr="0028305C" w:rsidRDefault="00635371" w:rsidP="0028305C">
      <w:pPr>
        <w:autoSpaceDE w:val="0"/>
        <w:autoSpaceDN w:val="0"/>
        <w:adjustRightInd w:val="0"/>
        <w:spacing w:line="360" w:lineRule="auto"/>
        <w:jc w:val="both"/>
        <w:rPr>
          <w:rFonts w:ascii="Calibri" w:hAnsi="Calibri" w:cs="Arial"/>
          <w:lang w:val="en-GB"/>
        </w:rPr>
      </w:pPr>
      <w:r w:rsidRPr="0028305C">
        <w:rPr>
          <w:rFonts w:ascii="Calibri" w:hAnsi="Calibri" w:cs="Arial"/>
          <w:lang w:val="en-GB"/>
        </w:rPr>
        <w:br w:type="page"/>
      </w:r>
    </w:p>
    <w:p w14:paraId="5C02974C" w14:textId="77777777" w:rsidR="009E6A8A" w:rsidRDefault="009E6A8A">
      <w:pPr>
        <w:rPr>
          <w:rFonts w:ascii="Calibri" w:hAnsi="Calibri" w:cs="Arial"/>
          <w:lang w:val="en-GB"/>
        </w:rPr>
      </w:pPr>
    </w:p>
    <w:tbl>
      <w:tblPr>
        <w:tblW w:w="7505" w:type="dxa"/>
        <w:jc w:val="center"/>
        <w:tblLayout w:type="fixed"/>
        <w:tblLook w:val="04A0" w:firstRow="1" w:lastRow="0" w:firstColumn="1" w:lastColumn="0" w:noHBand="0" w:noVBand="1"/>
      </w:tblPr>
      <w:tblGrid>
        <w:gridCol w:w="959"/>
        <w:gridCol w:w="794"/>
        <w:gridCol w:w="56"/>
        <w:gridCol w:w="907"/>
        <w:gridCol w:w="907"/>
        <w:gridCol w:w="907"/>
        <w:gridCol w:w="907"/>
        <w:gridCol w:w="907"/>
        <w:gridCol w:w="209"/>
        <w:gridCol w:w="698"/>
        <w:gridCol w:w="254"/>
      </w:tblGrid>
      <w:tr w:rsidR="009E6A8A" w:rsidRPr="004450EB" w14:paraId="4C3155BA" w14:textId="77777777">
        <w:trPr>
          <w:trHeight w:val="300"/>
          <w:jc w:val="center"/>
        </w:trPr>
        <w:tc>
          <w:tcPr>
            <w:tcW w:w="959" w:type="dxa"/>
            <w:tcBorders>
              <w:top w:val="nil"/>
              <w:left w:val="nil"/>
              <w:bottom w:val="nil"/>
              <w:right w:val="nil"/>
            </w:tcBorders>
            <w:shd w:val="clear" w:color="auto" w:fill="auto"/>
            <w:noWrap/>
            <w:vAlign w:val="bottom"/>
          </w:tcPr>
          <w:p w14:paraId="6A732AF4" w14:textId="77777777" w:rsidR="009E6A8A" w:rsidRPr="004450EB" w:rsidRDefault="009E6A8A" w:rsidP="001E4EF7">
            <w:pPr>
              <w:rPr>
                <w:rFonts w:ascii="Calibri" w:eastAsia="Times New Roman" w:hAnsi="Calibri" w:cs="Times New Roman"/>
                <w:color w:val="000000"/>
                <w:lang w:eastAsia="en-GB"/>
              </w:rPr>
            </w:pPr>
          </w:p>
        </w:tc>
        <w:tc>
          <w:tcPr>
            <w:tcW w:w="794" w:type="dxa"/>
            <w:tcBorders>
              <w:top w:val="nil"/>
              <w:left w:val="nil"/>
              <w:bottom w:val="nil"/>
              <w:right w:val="nil"/>
            </w:tcBorders>
            <w:shd w:val="clear" w:color="auto" w:fill="auto"/>
            <w:noWrap/>
            <w:vAlign w:val="bottom"/>
          </w:tcPr>
          <w:p w14:paraId="5F43C581" w14:textId="77777777" w:rsidR="009E6A8A" w:rsidRPr="004450EB" w:rsidRDefault="009E6A8A" w:rsidP="001E4EF7">
            <w:pPr>
              <w:rPr>
                <w:rFonts w:ascii="Calibri" w:eastAsia="Times New Roman" w:hAnsi="Calibri" w:cs="Times New Roman"/>
                <w:color w:val="000000"/>
                <w:lang w:eastAsia="en-GB"/>
              </w:rPr>
            </w:pPr>
          </w:p>
        </w:tc>
        <w:tc>
          <w:tcPr>
            <w:tcW w:w="4800" w:type="dxa"/>
            <w:gridSpan w:val="7"/>
            <w:tcBorders>
              <w:top w:val="nil"/>
              <w:left w:val="nil"/>
              <w:bottom w:val="nil"/>
              <w:right w:val="nil"/>
            </w:tcBorders>
            <w:shd w:val="clear" w:color="auto" w:fill="auto"/>
            <w:noWrap/>
            <w:vAlign w:val="bottom"/>
          </w:tcPr>
          <w:p w14:paraId="45FCD129" w14:textId="77777777" w:rsidR="009E6A8A" w:rsidRPr="004450EB" w:rsidRDefault="009E6A8A" w:rsidP="001E4EF7">
            <w:pPr>
              <w:jc w:val="center"/>
              <w:rPr>
                <w:rFonts w:ascii="Calibri" w:eastAsia="Times New Roman" w:hAnsi="Calibri" w:cs="Times New Roman"/>
                <w:b/>
                <w:color w:val="000000"/>
                <w:lang w:eastAsia="en-GB"/>
              </w:rPr>
            </w:pPr>
            <w:r w:rsidRPr="004450EB">
              <w:rPr>
                <w:rFonts w:ascii="Calibri" w:eastAsia="Times New Roman" w:hAnsi="Calibri" w:cs="Times New Roman"/>
                <w:b/>
                <w:color w:val="000000"/>
                <w:lang w:eastAsia="en-GB"/>
              </w:rPr>
              <w:t>GMFCS</w:t>
            </w:r>
          </w:p>
        </w:tc>
        <w:tc>
          <w:tcPr>
            <w:tcW w:w="952" w:type="dxa"/>
            <w:gridSpan w:val="2"/>
            <w:tcBorders>
              <w:top w:val="nil"/>
              <w:left w:val="nil"/>
              <w:bottom w:val="nil"/>
              <w:right w:val="nil"/>
            </w:tcBorders>
            <w:shd w:val="clear" w:color="auto" w:fill="auto"/>
            <w:noWrap/>
            <w:vAlign w:val="bottom"/>
          </w:tcPr>
          <w:p w14:paraId="0EF0EFEF" w14:textId="77777777" w:rsidR="009E6A8A" w:rsidRPr="004450EB" w:rsidRDefault="009E6A8A" w:rsidP="001E4EF7">
            <w:pPr>
              <w:rPr>
                <w:rFonts w:ascii="Calibri" w:eastAsia="Times New Roman" w:hAnsi="Calibri" w:cs="Times New Roman"/>
                <w:color w:val="000000"/>
                <w:lang w:eastAsia="en-GB"/>
              </w:rPr>
            </w:pPr>
          </w:p>
        </w:tc>
      </w:tr>
      <w:tr w:rsidR="009E6A8A" w:rsidRPr="004450EB" w14:paraId="1F5F377F" w14:textId="77777777">
        <w:trPr>
          <w:gridAfter w:val="1"/>
          <w:wAfter w:w="254" w:type="dxa"/>
          <w:trHeight w:val="300"/>
          <w:jc w:val="center"/>
        </w:trPr>
        <w:tc>
          <w:tcPr>
            <w:tcW w:w="959" w:type="dxa"/>
            <w:tcBorders>
              <w:top w:val="nil"/>
              <w:left w:val="nil"/>
              <w:right w:val="nil"/>
            </w:tcBorders>
            <w:shd w:val="clear" w:color="auto" w:fill="auto"/>
            <w:noWrap/>
            <w:vAlign w:val="bottom"/>
          </w:tcPr>
          <w:p w14:paraId="1BB2995D" w14:textId="77777777" w:rsidR="009E6A8A" w:rsidRPr="004450EB" w:rsidRDefault="009E6A8A" w:rsidP="001E4EF7">
            <w:pPr>
              <w:rPr>
                <w:rFonts w:ascii="Calibri" w:eastAsia="Times New Roman" w:hAnsi="Calibri" w:cs="Times New Roman"/>
                <w:color w:val="000000"/>
                <w:lang w:eastAsia="en-GB"/>
              </w:rPr>
            </w:pPr>
          </w:p>
        </w:tc>
        <w:tc>
          <w:tcPr>
            <w:tcW w:w="850" w:type="dxa"/>
            <w:gridSpan w:val="2"/>
            <w:tcBorders>
              <w:top w:val="nil"/>
              <w:left w:val="nil"/>
              <w:bottom w:val="nil"/>
              <w:right w:val="nil"/>
            </w:tcBorders>
            <w:shd w:val="clear" w:color="auto" w:fill="auto"/>
            <w:noWrap/>
            <w:vAlign w:val="bottom"/>
          </w:tcPr>
          <w:p w14:paraId="2DB241A1" w14:textId="77777777" w:rsidR="009E6A8A" w:rsidRPr="00926483" w:rsidRDefault="009E6A8A" w:rsidP="001E4EF7">
            <w:pPr>
              <w:rPr>
                <w:rFonts w:ascii="Calibri" w:eastAsia="Times New Roman" w:hAnsi="Calibri" w:cs="Times New Roman"/>
                <w:b/>
                <w:color w:val="000000"/>
                <w:lang w:eastAsia="en-GB"/>
              </w:rPr>
            </w:pPr>
          </w:p>
        </w:tc>
        <w:tc>
          <w:tcPr>
            <w:tcW w:w="907" w:type="dxa"/>
            <w:tcBorders>
              <w:top w:val="nil"/>
              <w:left w:val="single" w:sz="4" w:space="0" w:color="auto"/>
              <w:bottom w:val="single" w:sz="4" w:space="0" w:color="auto"/>
              <w:right w:val="single" w:sz="4" w:space="0" w:color="auto"/>
            </w:tcBorders>
            <w:shd w:val="clear" w:color="auto" w:fill="auto"/>
            <w:noWrap/>
            <w:vAlign w:val="bottom"/>
          </w:tcPr>
          <w:p w14:paraId="2A8C83D9"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w:t>
            </w:r>
          </w:p>
        </w:tc>
        <w:tc>
          <w:tcPr>
            <w:tcW w:w="907" w:type="dxa"/>
            <w:tcBorders>
              <w:top w:val="nil"/>
              <w:left w:val="nil"/>
              <w:bottom w:val="single" w:sz="4" w:space="0" w:color="auto"/>
              <w:right w:val="single" w:sz="4" w:space="0" w:color="auto"/>
            </w:tcBorders>
            <w:shd w:val="clear" w:color="auto" w:fill="auto"/>
            <w:noWrap/>
            <w:vAlign w:val="bottom"/>
          </w:tcPr>
          <w:p w14:paraId="6BAAE4CF"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II</w:t>
            </w:r>
          </w:p>
        </w:tc>
        <w:tc>
          <w:tcPr>
            <w:tcW w:w="907" w:type="dxa"/>
            <w:tcBorders>
              <w:top w:val="nil"/>
              <w:left w:val="nil"/>
              <w:bottom w:val="single" w:sz="4" w:space="0" w:color="auto"/>
              <w:right w:val="single" w:sz="4" w:space="0" w:color="auto"/>
            </w:tcBorders>
            <w:shd w:val="clear" w:color="auto" w:fill="auto"/>
            <w:noWrap/>
            <w:vAlign w:val="bottom"/>
          </w:tcPr>
          <w:p w14:paraId="1618D642"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III</w:t>
            </w:r>
          </w:p>
        </w:tc>
        <w:tc>
          <w:tcPr>
            <w:tcW w:w="907" w:type="dxa"/>
            <w:tcBorders>
              <w:top w:val="nil"/>
              <w:left w:val="nil"/>
              <w:bottom w:val="single" w:sz="4" w:space="0" w:color="auto"/>
              <w:right w:val="single" w:sz="4" w:space="0" w:color="auto"/>
            </w:tcBorders>
            <w:shd w:val="clear" w:color="auto" w:fill="auto"/>
            <w:noWrap/>
            <w:vAlign w:val="bottom"/>
          </w:tcPr>
          <w:p w14:paraId="51E05B98"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IV</w:t>
            </w:r>
          </w:p>
        </w:tc>
        <w:tc>
          <w:tcPr>
            <w:tcW w:w="907" w:type="dxa"/>
            <w:tcBorders>
              <w:top w:val="nil"/>
              <w:left w:val="nil"/>
              <w:bottom w:val="single" w:sz="4" w:space="0" w:color="auto"/>
              <w:right w:val="single" w:sz="12" w:space="0" w:color="auto"/>
            </w:tcBorders>
            <w:shd w:val="clear" w:color="auto" w:fill="auto"/>
            <w:noWrap/>
            <w:vAlign w:val="bottom"/>
          </w:tcPr>
          <w:p w14:paraId="2726CA36"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V</w:t>
            </w:r>
          </w:p>
        </w:tc>
        <w:tc>
          <w:tcPr>
            <w:tcW w:w="907" w:type="dxa"/>
            <w:gridSpan w:val="2"/>
            <w:tcBorders>
              <w:top w:val="nil"/>
              <w:left w:val="single" w:sz="12" w:space="0" w:color="auto"/>
              <w:bottom w:val="single" w:sz="4" w:space="0" w:color="auto"/>
              <w:right w:val="nil"/>
            </w:tcBorders>
            <w:shd w:val="clear" w:color="auto" w:fill="auto"/>
            <w:noWrap/>
            <w:vAlign w:val="bottom"/>
          </w:tcPr>
          <w:p w14:paraId="162833FD"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Totals</w:t>
            </w:r>
          </w:p>
        </w:tc>
      </w:tr>
      <w:tr w:rsidR="009E6A8A" w:rsidRPr="004450EB" w14:paraId="1AA26E1E" w14:textId="77777777">
        <w:trPr>
          <w:gridAfter w:val="1"/>
          <w:wAfter w:w="254" w:type="dxa"/>
          <w:trHeight w:val="300"/>
          <w:jc w:val="center"/>
        </w:trPr>
        <w:tc>
          <w:tcPr>
            <w:tcW w:w="959" w:type="dxa"/>
            <w:vMerge w:val="restart"/>
            <w:tcBorders>
              <w:top w:val="nil"/>
              <w:left w:val="nil"/>
              <w:bottom w:val="nil"/>
              <w:right w:val="nil"/>
            </w:tcBorders>
            <w:shd w:val="clear" w:color="auto" w:fill="auto"/>
            <w:noWrap/>
            <w:textDirection w:val="btLr"/>
            <w:vAlign w:val="bottom"/>
          </w:tcPr>
          <w:p w14:paraId="22E0BAA9" w14:textId="77777777" w:rsidR="009E6A8A" w:rsidRPr="004450EB" w:rsidRDefault="009E6A8A" w:rsidP="001E4EF7">
            <w:pPr>
              <w:jc w:val="center"/>
              <w:rPr>
                <w:rFonts w:ascii="Calibri" w:eastAsia="Times New Roman" w:hAnsi="Calibri" w:cs="Times New Roman"/>
                <w:b/>
                <w:color w:val="000000"/>
                <w:lang w:eastAsia="en-GB"/>
              </w:rPr>
            </w:pPr>
            <w:r w:rsidRPr="004450EB">
              <w:rPr>
                <w:rFonts w:ascii="Calibri" w:eastAsia="Times New Roman" w:hAnsi="Calibri" w:cs="Times New Roman"/>
                <w:b/>
                <w:color w:val="000000"/>
                <w:lang w:eastAsia="en-GB"/>
              </w:rPr>
              <w:t>MACS</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265AFBA"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w:t>
            </w:r>
          </w:p>
        </w:tc>
        <w:tc>
          <w:tcPr>
            <w:tcW w:w="907" w:type="dxa"/>
            <w:tcBorders>
              <w:top w:val="nil"/>
              <w:left w:val="nil"/>
              <w:bottom w:val="single" w:sz="4" w:space="0" w:color="auto"/>
              <w:right w:val="single" w:sz="4" w:space="0" w:color="auto"/>
            </w:tcBorders>
            <w:shd w:val="clear" w:color="000000" w:fill="95B3D7"/>
            <w:noWrap/>
            <w:vAlign w:val="bottom"/>
          </w:tcPr>
          <w:p w14:paraId="32132D3E"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5</w:t>
            </w:r>
            <w:r w:rsidRPr="00926483">
              <w:rPr>
                <w:rFonts w:ascii="Calibri" w:eastAsia="Times New Roman" w:hAnsi="Calibri" w:cs="Times New Roman"/>
                <w:b/>
                <w:color w:val="000000"/>
                <w:lang w:eastAsia="en-GB"/>
              </w:rPr>
              <w:br/>
              <w:t>(3%)</w:t>
            </w:r>
          </w:p>
        </w:tc>
        <w:tc>
          <w:tcPr>
            <w:tcW w:w="907" w:type="dxa"/>
            <w:tcBorders>
              <w:top w:val="nil"/>
              <w:left w:val="nil"/>
              <w:bottom w:val="single" w:sz="4" w:space="0" w:color="auto"/>
              <w:right w:val="single" w:sz="4" w:space="0" w:color="auto"/>
            </w:tcBorders>
            <w:shd w:val="clear" w:color="auto" w:fill="auto"/>
            <w:noWrap/>
            <w:vAlign w:val="bottom"/>
          </w:tcPr>
          <w:p w14:paraId="24BB5F9E"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000000" w:fill="DCE6F1"/>
            <w:noWrap/>
            <w:vAlign w:val="bottom"/>
          </w:tcPr>
          <w:p w14:paraId="434FFDCD"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6EC86D4C"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12" w:space="0" w:color="auto"/>
            </w:tcBorders>
            <w:shd w:val="clear" w:color="auto" w:fill="auto"/>
            <w:noWrap/>
            <w:vAlign w:val="bottom"/>
          </w:tcPr>
          <w:p w14:paraId="1A15F5EC"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gridSpan w:val="2"/>
            <w:tcBorders>
              <w:top w:val="single" w:sz="4" w:space="0" w:color="auto"/>
              <w:left w:val="single" w:sz="12" w:space="0" w:color="auto"/>
              <w:bottom w:val="single" w:sz="4" w:space="0" w:color="auto"/>
              <w:right w:val="nil"/>
            </w:tcBorders>
            <w:shd w:val="clear" w:color="000000" w:fill="FBFDF8"/>
            <w:noWrap/>
            <w:vAlign w:val="bottom"/>
          </w:tcPr>
          <w:p w14:paraId="57881535"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4%</w:t>
            </w:r>
            <w:r>
              <w:rPr>
                <w:rFonts w:ascii="Calibri" w:eastAsia="Times New Roman" w:hAnsi="Calibri" w:cs="Times New Roman"/>
                <w:color w:val="000000"/>
                <w:lang w:eastAsia="en-GB"/>
              </w:rPr>
              <w:t>)</w:t>
            </w:r>
          </w:p>
        </w:tc>
      </w:tr>
      <w:tr w:rsidR="009E6A8A" w:rsidRPr="004450EB" w14:paraId="78F95611" w14:textId="77777777">
        <w:trPr>
          <w:gridAfter w:val="1"/>
          <w:wAfter w:w="254" w:type="dxa"/>
          <w:trHeight w:val="300"/>
          <w:jc w:val="center"/>
        </w:trPr>
        <w:tc>
          <w:tcPr>
            <w:tcW w:w="959" w:type="dxa"/>
            <w:vMerge/>
            <w:tcBorders>
              <w:top w:val="nil"/>
              <w:left w:val="nil"/>
              <w:bottom w:val="nil"/>
              <w:right w:val="nil"/>
            </w:tcBorders>
            <w:vAlign w:val="center"/>
          </w:tcPr>
          <w:p w14:paraId="646742E6" w14:textId="77777777" w:rsidR="009E6A8A" w:rsidRPr="004450EB" w:rsidRDefault="009E6A8A" w:rsidP="001E4EF7">
            <w:pPr>
              <w:rPr>
                <w:rFonts w:ascii="Calibri" w:eastAsia="Times New Roman" w:hAnsi="Calibri" w:cs="Times New Roman"/>
                <w:color w:val="000000"/>
                <w:lang w:eastAsia="en-GB"/>
              </w:rPr>
            </w:pPr>
          </w:p>
        </w:tc>
        <w:tc>
          <w:tcPr>
            <w:tcW w:w="850" w:type="dxa"/>
            <w:gridSpan w:val="2"/>
            <w:tcBorders>
              <w:top w:val="nil"/>
              <w:left w:val="nil"/>
              <w:bottom w:val="single" w:sz="4" w:space="0" w:color="auto"/>
              <w:right w:val="single" w:sz="4" w:space="0" w:color="auto"/>
            </w:tcBorders>
            <w:shd w:val="clear" w:color="auto" w:fill="auto"/>
            <w:noWrap/>
            <w:vAlign w:val="center"/>
          </w:tcPr>
          <w:p w14:paraId="687E4EC3"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II</w:t>
            </w:r>
          </w:p>
        </w:tc>
        <w:tc>
          <w:tcPr>
            <w:tcW w:w="907" w:type="dxa"/>
            <w:tcBorders>
              <w:top w:val="nil"/>
              <w:left w:val="nil"/>
              <w:bottom w:val="single" w:sz="4" w:space="0" w:color="auto"/>
              <w:right w:val="single" w:sz="4" w:space="0" w:color="auto"/>
            </w:tcBorders>
            <w:shd w:val="clear" w:color="000000" w:fill="DCE6F1"/>
            <w:noWrap/>
            <w:vAlign w:val="bottom"/>
          </w:tcPr>
          <w:p w14:paraId="50A08D8B"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5%</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000000" w:fill="95B3D7"/>
            <w:noWrap/>
            <w:vAlign w:val="bottom"/>
          </w:tcPr>
          <w:p w14:paraId="3A62ED41"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11</w:t>
            </w:r>
            <w:r w:rsidRPr="00926483">
              <w:rPr>
                <w:rFonts w:ascii="Calibri" w:eastAsia="Times New Roman" w:hAnsi="Calibri" w:cs="Times New Roman"/>
                <w:b/>
                <w:color w:val="000000"/>
                <w:lang w:eastAsia="en-GB"/>
              </w:rPr>
              <w:br/>
              <w:t>(7%)</w:t>
            </w:r>
          </w:p>
        </w:tc>
        <w:tc>
          <w:tcPr>
            <w:tcW w:w="907" w:type="dxa"/>
            <w:tcBorders>
              <w:top w:val="nil"/>
              <w:left w:val="nil"/>
              <w:bottom w:val="single" w:sz="4" w:space="0" w:color="auto"/>
              <w:right w:val="single" w:sz="4" w:space="0" w:color="auto"/>
            </w:tcBorders>
            <w:shd w:val="clear" w:color="auto" w:fill="auto"/>
            <w:noWrap/>
            <w:vAlign w:val="bottom"/>
          </w:tcPr>
          <w:p w14:paraId="0034B5B4"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012B5AC4"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12" w:space="0" w:color="auto"/>
            </w:tcBorders>
            <w:shd w:val="clear" w:color="000000" w:fill="E6B8B7"/>
            <w:noWrap/>
            <w:vAlign w:val="bottom"/>
          </w:tcPr>
          <w:p w14:paraId="7745B04C"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gridSpan w:val="2"/>
            <w:tcBorders>
              <w:top w:val="single" w:sz="4" w:space="0" w:color="auto"/>
              <w:left w:val="single" w:sz="12" w:space="0" w:color="auto"/>
              <w:bottom w:val="single" w:sz="4" w:space="0" w:color="auto"/>
              <w:right w:val="nil"/>
            </w:tcBorders>
            <w:shd w:val="clear" w:color="000000" w:fill="F2F7EA"/>
            <w:noWrap/>
            <w:vAlign w:val="bottom"/>
          </w:tcPr>
          <w:p w14:paraId="47894A6F"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21</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13%</w:t>
            </w:r>
            <w:r>
              <w:rPr>
                <w:rFonts w:ascii="Calibri" w:eastAsia="Times New Roman" w:hAnsi="Calibri" w:cs="Times New Roman"/>
                <w:color w:val="000000"/>
                <w:lang w:eastAsia="en-GB"/>
              </w:rPr>
              <w:t>)</w:t>
            </w:r>
          </w:p>
        </w:tc>
      </w:tr>
      <w:tr w:rsidR="009E6A8A" w:rsidRPr="004450EB" w14:paraId="5B49DB92" w14:textId="77777777">
        <w:trPr>
          <w:gridAfter w:val="1"/>
          <w:wAfter w:w="254" w:type="dxa"/>
          <w:trHeight w:val="300"/>
          <w:jc w:val="center"/>
        </w:trPr>
        <w:tc>
          <w:tcPr>
            <w:tcW w:w="959" w:type="dxa"/>
            <w:vMerge/>
            <w:tcBorders>
              <w:top w:val="nil"/>
              <w:left w:val="nil"/>
              <w:bottom w:val="nil"/>
              <w:right w:val="nil"/>
            </w:tcBorders>
            <w:vAlign w:val="center"/>
          </w:tcPr>
          <w:p w14:paraId="1067D0E6" w14:textId="77777777" w:rsidR="009E6A8A" w:rsidRPr="004450EB" w:rsidRDefault="009E6A8A" w:rsidP="001E4EF7">
            <w:pPr>
              <w:rPr>
                <w:rFonts w:ascii="Calibri" w:eastAsia="Times New Roman" w:hAnsi="Calibri" w:cs="Times New Roman"/>
                <w:color w:val="000000"/>
                <w:lang w:eastAsia="en-GB"/>
              </w:rPr>
            </w:pPr>
          </w:p>
        </w:tc>
        <w:tc>
          <w:tcPr>
            <w:tcW w:w="850" w:type="dxa"/>
            <w:gridSpan w:val="2"/>
            <w:tcBorders>
              <w:top w:val="nil"/>
              <w:left w:val="nil"/>
              <w:bottom w:val="single" w:sz="4" w:space="0" w:color="auto"/>
              <w:right w:val="single" w:sz="4" w:space="0" w:color="auto"/>
            </w:tcBorders>
            <w:shd w:val="clear" w:color="auto" w:fill="auto"/>
            <w:noWrap/>
            <w:vAlign w:val="center"/>
          </w:tcPr>
          <w:p w14:paraId="79C5D1CE"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III</w:t>
            </w:r>
          </w:p>
        </w:tc>
        <w:tc>
          <w:tcPr>
            <w:tcW w:w="907" w:type="dxa"/>
            <w:tcBorders>
              <w:top w:val="nil"/>
              <w:left w:val="nil"/>
              <w:bottom w:val="single" w:sz="4" w:space="0" w:color="auto"/>
              <w:right w:val="single" w:sz="4" w:space="0" w:color="auto"/>
            </w:tcBorders>
            <w:shd w:val="clear" w:color="000000" w:fill="DCE6F1"/>
            <w:noWrap/>
            <w:vAlign w:val="bottom"/>
          </w:tcPr>
          <w:p w14:paraId="350ECC44"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6%</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000000" w:fill="DCE6F1"/>
            <w:noWrap/>
            <w:vAlign w:val="bottom"/>
          </w:tcPr>
          <w:p w14:paraId="13BF0D12"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4%</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23652024"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1</w:t>
            </w:r>
            <w:r w:rsidRPr="00926483">
              <w:rPr>
                <w:rFonts w:ascii="Calibri" w:eastAsia="Times New Roman" w:hAnsi="Calibri" w:cs="Times New Roman"/>
                <w:b/>
                <w:color w:val="000000"/>
                <w:lang w:eastAsia="en-GB"/>
              </w:rPr>
              <w:br/>
              <w:t>(1%)</w:t>
            </w:r>
          </w:p>
        </w:tc>
        <w:tc>
          <w:tcPr>
            <w:tcW w:w="907" w:type="dxa"/>
            <w:tcBorders>
              <w:top w:val="nil"/>
              <w:left w:val="nil"/>
              <w:bottom w:val="single" w:sz="4" w:space="0" w:color="auto"/>
              <w:right w:val="single" w:sz="4" w:space="0" w:color="auto"/>
            </w:tcBorders>
            <w:shd w:val="clear" w:color="000000" w:fill="DCE6F1"/>
            <w:noWrap/>
            <w:vAlign w:val="bottom"/>
          </w:tcPr>
          <w:p w14:paraId="798ECC2F"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12" w:space="0" w:color="auto"/>
            </w:tcBorders>
            <w:shd w:val="clear" w:color="000000" w:fill="E6B8B7"/>
            <w:noWrap/>
            <w:vAlign w:val="bottom"/>
          </w:tcPr>
          <w:p w14:paraId="763C0F5F"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w:t>
            </w:r>
            <w:r>
              <w:rPr>
                <w:rFonts w:ascii="Calibri" w:eastAsia="Times New Roman" w:hAnsi="Calibri" w:cs="Times New Roman"/>
                <w:color w:val="000000"/>
                <w:lang w:eastAsia="en-GB"/>
              </w:rPr>
              <w:t>)</w:t>
            </w:r>
          </w:p>
        </w:tc>
        <w:tc>
          <w:tcPr>
            <w:tcW w:w="907" w:type="dxa"/>
            <w:gridSpan w:val="2"/>
            <w:tcBorders>
              <w:top w:val="single" w:sz="4" w:space="0" w:color="auto"/>
              <w:left w:val="single" w:sz="12" w:space="0" w:color="auto"/>
              <w:bottom w:val="single" w:sz="4" w:space="0" w:color="auto"/>
              <w:right w:val="nil"/>
            </w:tcBorders>
            <w:shd w:val="clear" w:color="000000" w:fill="F3F7EB"/>
            <w:noWrap/>
            <w:vAlign w:val="bottom"/>
          </w:tcPr>
          <w:p w14:paraId="7926A9B7"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12%</w:t>
            </w:r>
            <w:r>
              <w:rPr>
                <w:rFonts w:ascii="Calibri" w:eastAsia="Times New Roman" w:hAnsi="Calibri" w:cs="Times New Roman"/>
                <w:color w:val="000000"/>
                <w:lang w:eastAsia="en-GB"/>
              </w:rPr>
              <w:t>)</w:t>
            </w:r>
          </w:p>
        </w:tc>
      </w:tr>
      <w:tr w:rsidR="009E6A8A" w:rsidRPr="004450EB" w14:paraId="6820F3AD" w14:textId="77777777">
        <w:trPr>
          <w:gridAfter w:val="1"/>
          <w:wAfter w:w="254" w:type="dxa"/>
          <w:trHeight w:val="315"/>
          <w:jc w:val="center"/>
        </w:trPr>
        <w:tc>
          <w:tcPr>
            <w:tcW w:w="959" w:type="dxa"/>
            <w:vMerge/>
            <w:tcBorders>
              <w:top w:val="nil"/>
              <w:left w:val="nil"/>
              <w:bottom w:val="nil"/>
              <w:right w:val="nil"/>
            </w:tcBorders>
            <w:vAlign w:val="center"/>
          </w:tcPr>
          <w:p w14:paraId="3B796740" w14:textId="77777777" w:rsidR="009E6A8A" w:rsidRPr="004450EB" w:rsidRDefault="009E6A8A" w:rsidP="001E4EF7">
            <w:pPr>
              <w:rPr>
                <w:rFonts w:ascii="Calibri" w:eastAsia="Times New Roman" w:hAnsi="Calibri" w:cs="Times New Roman"/>
                <w:color w:val="000000"/>
                <w:lang w:eastAsia="en-GB"/>
              </w:rPr>
            </w:pPr>
          </w:p>
        </w:tc>
        <w:tc>
          <w:tcPr>
            <w:tcW w:w="850" w:type="dxa"/>
            <w:gridSpan w:val="2"/>
            <w:tcBorders>
              <w:top w:val="nil"/>
              <w:left w:val="nil"/>
              <w:bottom w:val="single" w:sz="4" w:space="0" w:color="auto"/>
              <w:right w:val="single" w:sz="4" w:space="0" w:color="auto"/>
            </w:tcBorders>
            <w:shd w:val="clear" w:color="auto" w:fill="auto"/>
            <w:noWrap/>
            <w:vAlign w:val="center"/>
          </w:tcPr>
          <w:p w14:paraId="3B7ADBB7"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IV</w:t>
            </w:r>
          </w:p>
        </w:tc>
        <w:tc>
          <w:tcPr>
            <w:tcW w:w="907" w:type="dxa"/>
            <w:tcBorders>
              <w:top w:val="nil"/>
              <w:left w:val="nil"/>
              <w:bottom w:val="single" w:sz="4" w:space="0" w:color="auto"/>
              <w:right w:val="single" w:sz="4" w:space="0" w:color="auto"/>
            </w:tcBorders>
            <w:shd w:val="clear" w:color="auto" w:fill="auto"/>
            <w:noWrap/>
            <w:vAlign w:val="bottom"/>
          </w:tcPr>
          <w:p w14:paraId="734BD0AC"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3E91447B"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2%</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65FCEF09"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2%</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000000" w:fill="95B3D7"/>
            <w:noWrap/>
            <w:vAlign w:val="bottom"/>
          </w:tcPr>
          <w:p w14:paraId="336B09A2"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15</w:t>
            </w:r>
            <w:r w:rsidRPr="00926483">
              <w:rPr>
                <w:rFonts w:ascii="Calibri" w:eastAsia="Times New Roman" w:hAnsi="Calibri" w:cs="Times New Roman"/>
                <w:b/>
                <w:color w:val="000000"/>
                <w:lang w:eastAsia="en-GB"/>
              </w:rPr>
              <w:br/>
              <w:t>(9%)</w:t>
            </w:r>
          </w:p>
        </w:tc>
        <w:tc>
          <w:tcPr>
            <w:tcW w:w="907" w:type="dxa"/>
            <w:tcBorders>
              <w:top w:val="nil"/>
              <w:left w:val="nil"/>
              <w:bottom w:val="single" w:sz="4" w:space="0" w:color="auto"/>
              <w:right w:val="single" w:sz="12" w:space="0" w:color="auto"/>
            </w:tcBorders>
            <w:shd w:val="clear" w:color="000000" w:fill="E6B8B7"/>
            <w:noWrap/>
            <w:vAlign w:val="bottom"/>
          </w:tcPr>
          <w:p w14:paraId="2C5D4BC4"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2%</w:t>
            </w:r>
            <w:r>
              <w:rPr>
                <w:rFonts w:ascii="Calibri" w:eastAsia="Times New Roman" w:hAnsi="Calibri" w:cs="Times New Roman"/>
                <w:color w:val="000000"/>
                <w:lang w:eastAsia="en-GB"/>
              </w:rPr>
              <w:t>)</w:t>
            </w:r>
          </w:p>
        </w:tc>
        <w:tc>
          <w:tcPr>
            <w:tcW w:w="907" w:type="dxa"/>
            <w:gridSpan w:val="2"/>
            <w:tcBorders>
              <w:top w:val="single" w:sz="4" w:space="0" w:color="auto"/>
              <w:left w:val="single" w:sz="12" w:space="0" w:color="auto"/>
              <w:bottom w:val="single" w:sz="4" w:space="0" w:color="auto"/>
              <w:right w:val="nil"/>
            </w:tcBorders>
            <w:shd w:val="clear" w:color="000000" w:fill="EFF5E5"/>
            <w:noWrap/>
            <w:vAlign w:val="bottom"/>
          </w:tcPr>
          <w:p w14:paraId="123075B9"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26</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16%</w:t>
            </w:r>
            <w:r>
              <w:rPr>
                <w:rFonts w:ascii="Calibri" w:eastAsia="Times New Roman" w:hAnsi="Calibri" w:cs="Times New Roman"/>
                <w:color w:val="000000"/>
                <w:lang w:eastAsia="en-GB"/>
              </w:rPr>
              <w:t>)</w:t>
            </w:r>
          </w:p>
        </w:tc>
      </w:tr>
      <w:tr w:rsidR="009E6A8A" w:rsidRPr="004450EB" w14:paraId="38C73129" w14:textId="77777777">
        <w:trPr>
          <w:gridAfter w:val="1"/>
          <w:wAfter w:w="254" w:type="dxa"/>
          <w:trHeight w:val="315"/>
          <w:jc w:val="center"/>
        </w:trPr>
        <w:tc>
          <w:tcPr>
            <w:tcW w:w="959" w:type="dxa"/>
            <w:vMerge/>
            <w:tcBorders>
              <w:top w:val="nil"/>
              <w:left w:val="nil"/>
              <w:bottom w:val="nil"/>
              <w:right w:val="nil"/>
            </w:tcBorders>
            <w:vAlign w:val="center"/>
          </w:tcPr>
          <w:p w14:paraId="533119E6" w14:textId="77777777" w:rsidR="009E6A8A" w:rsidRPr="004450EB" w:rsidRDefault="009E6A8A" w:rsidP="001E4EF7">
            <w:pPr>
              <w:rPr>
                <w:rFonts w:ascii="Calibri" w:eastAsia="Times New Roman" w:hAnsi="Calibri" w:cs="Times New Roman"/>
                <w:color w:val="000000"/>
                <w:lang w:eastAsia="en-GB"/>
              </w:rPr>
            </w:pPr>
          </w:p>
        </w:tc>
        <w:tc>
          <w:tcPr>
            <w:tcW w:w="850" w:type="dxa"/>
            <w:gridSpan w:val="2"/>
            <w:tcBorders>
              <w:top w:val="nil"/>
              <w:left w:val="nil"/>
              <w:bottom w:val="single" w:sz="12" w:space="0" w:color="auto"/>
              <w:right w:val="single" w:sz="4" w:space="0" w:color="auto"/>
            </w:tcBorders>
            <w:shd w:val="clear" w:color="auto" w:fill="auto"/>
            <w:noWrap/>
            <w:vAlign w:val="center"/>
          </w:tcPr>
          <w:p w14:paraId="1DBB7588"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V</w:t>
            </w:r>
          </w:p>
        </w:tc>
        <w:tc>
          <w:tcPr>
            <w:tcW w:w="907" w:type="dxa"/>
            <w:tcBorders>
              <w:top w:val="nil"/>
              <w:left w:val="nil"/>
              <w:bottom w:val="single" w:sz="12" w:space="0" w:color="auto"/>
              <w:right w:val="single" w:sz="4" w:space="0" w:color="auto"/>
            </w:tcBorders>
            <w:shd w:val="clear" w:color="000000" w:fill="E6B8B7"/>
            <w:noWrap/>
            <w:vAlign w:val="bottom"/>
          </w:tcPr>
          <w:p w14:paraId="3B98A83D"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tcBorders>
              <w:top w:val="nil"/>
              <w:left w:val="nil"/>
              <w:bottom w:val="single" w:sz="12" w:space="0" w:color="auto"/>
              <w:right w:val="single" w:sz="4" w:space="0" w:color="auto"/>
            </w:tcBorders>
            <w:shd w:val="clear" w:color="000000" w:fill="E6B8B7"/>
            <w:noWrap/>
            <w:vAlign w:val="bottom"/>
          </w:tcPr>
          <w:p w14:paraId="6A7B1116"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tcBorders>
              <w:top w:val="nil"/>
              <w:left w:val="nil"/>
              <w:bottom w:val="single" w:sz="12" w:space="0" w:color="auto"/>
              <w:right w:val="single" w:sz="4" w:space="0" w:color="auto"/>
            </w:tcBorders>
            <w:shd w:val="clear" w:color="auto" w:fill="auto"/>
            <w:noWrap/>
            <w:vAlign w:val="bottom"/>
          </w:tcPr>
          <w:p w14:paraId="0E4B6C89"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w:t>
            </w:r>
            <w:r>
              <w:rPr>
                <w:rFonts w:ascii="Calibri" w:eastAsia="Times New Roman" w:hAnsi="Calibri" w:cs="Times New Roman"/>
                <w:color w:val="000000"/>
                <w:lang w:eastAsia="en-GB"/>
              </w:rPr>
              <w:t>)</w:t>
            </w:r>
          </w:p>
        </w:tc>
        <w:tc>
          <w:tcPr>
            <w:tcW w:w="907" w:type="dxa"/>
            <w:tcBorders>
              <w:top w:val="nil"/>
              <w:left w:val="nil"/>
              <w:bottom w:val="single" w:sz="12" w:space="0" w:color="auto"/>
              <w:right w:val="single" w:sz="4" w:space="0" w:color="auto"/>
            </w:tcBorders>
            <w:shd w:val="clear" w:color="000000" w:fill="E6B8B7"/>
            <w:noWrap/>
            <w:vAlign w:val="bottom"/>
          </w:tcPr>
          <w:p w14:paraId="7E8F7AB0"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2%</w:t>
            </w:r>
            <w:r>
              <w:rPr>
                <w:rFonts w:ascii="Calibri" w:eastAsia="Times New Roman" w:hAnsi="Calibri" w:cs="Times New Roman"/>
                <w:color w:val="000000"/>
                <w:lang w:eastAsia="en-GB"/>
              </w:rPr>
              <w:t>)</w:t>
            </w:r>
          </w:p>
        </w:tc>
        <w:tc>
          <w:tcPr>
            <w:tcW w:w="907" w:type="dxa"/>
            <w:tcBorders>
              <w:top w:val="nil"/>
              <w:left w:val="nil"/>
              <w:bottom w:val="single" w:sz="12" w:space="0" w:color="auto"/>
              <w:right w:val="single" w:sz="12" w:space="0" w:color="auto"/>
            </w:tcBorders>
            <w:shd w:val="clear" w:color="000000" w:fill="95B3D7"/>
            <w:noWrap/>
            <w:vAlign w:val="bottom"/>
          </w:tcPr>
          <w:p w14:paraId="6162B79C"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83</w:t>
            </w:r>
            <w:r w:rsidRPr="00926483">
              <w:rPr>
                <w:rFonts w:ascii="Calibri" w:eastAsia="Times New Roman" w:hAnsi="Calibri" w:cs="Times New Roman"/>
                <w:b/>
                <w:color w:val="000000"/>
                <w:lang w:eastAsia="en-GB"/>
              </w:rPr>
              <w:br/>
              <w:t>(52%)</w:t>
            </w:r>
          </w:p>
        </w:tc>
        <w:tc>
          <w:tcPr>
            <w:tcW w:w="907" w:type="dxa"/>
            <w:gridSpan w:val="2"/>
            <w:tcBorders>
              <w:top w:val="single" w:sz="4" w:space="0" w:color="auto"/>
              <w:left w:val="single" w:sz="12" w:space="0" w:color="auto"/>
              <w:bottom w:val="single" w:sz="12" w:space="0" w:color="auto"/>
              <w:right w:val="nil"/>
            </w:tcBorders>
            <w:shd w:val="clear" w:color="000000" w:fill="C9DBA6"/>
            <w:noWrap/>
            <w:vAlign w:val="bottom"/>
          </w:tcPr>
          <w:p w14:paraId="232AB750"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87</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54%</w:t>
            </w:r>
            <w:r>
              <w:rPr>
                <w:rFonts w:ascii="Calibri" w:eastAsia="Times New Roman" w:hAnsi="Calibri" w:cs="Times New Roman"/>
                <w:color w:val="000000"/>
                <w:lang w:eastAsia="en-GB"/>
              </w:rPr>
              <w:t>)</w:t>
            </w:r>
          </w:p>
        </w:tc>
      </w:tr>
      <w:tr w:rsidR="009E6A8A" w:rsidRPr="004450EB" w14:paraId="3371B19F" w14:textId="77777777">
        <w:trPr>
          <w:gridAfter w:val="1"/>
          <w:wAfter w:w="254" w:type="dxa"/>
          <w:trHeight w:val="300"/>
          <w:jc w:val="center"/>
        </w:trPr>
        <w:tc>
          <w:tcPr>
            <w:tcW w:w="959" w:type="dxa"/>
            <w:tcBorders>
              <w:left w:val="nil"/>
              <w:bottom w:val="nil"/>
              <w:right w:val="nil"/>
            </w:tcBorders>
            <w:shd w:val="clear" w:color="auto" w:fill="auto"/>
            <w:noWrap/>
            <w:vAlign w:val="bottom"/>
          </w:tcPr>
          <w:p w14:paraId="4CB5B51B" w14:textId="77777777" w:rsidR="009E6A8A" w:rsidRPr="004450EB" w:rsidRDefault="009E6A8A" w:rsidP="001E4EF7">
            <w:pPr>
              <w:rPr>
                <w:rFonts w:ascii="Calibri" w:eastAsia="Times New Roman" w:hAnsi="Calibri" w:cs="Times New Roman"/>
                <w:color w:val="000000"/>
                <w:lang w:eastAsia="en-GB"/>
              </w:rPr>
            </w:pPr>
            <w:r w:rsidRPr="004450EB">
              <w:rPr>
                <w:rFonts w:ascii="Calibri" w:eastAsia="Times New Roman" w:hAnsi="Calibri" w:cs="Times New Roman"/>
                <w:color w:val="000000"/>
                <w:lang w:eastAsia="en-GB"/>
              </w:rPr>
              <w:t> </w:t>
            </w:r>
          </w:p>
        </w:tc>
        <w:tc>
          <w:tcPr>
            <w:tcW w:w="850" w:type="dxa"/>
            <w:gridSpan w:val="2"/>
            <w:tcBorders>
              <w:top w:val="single" w:sz="12" w:space="0" w:color="auto"/>
              <w:left w:val="nil"/>
              <w:bottom w:val="nil"/>
              <w:right w:val="single" w:sz="4" w:space="0" w:color="auto"/>
            </w:tcBorders>
            <w:shd w:val="clear" w:color="auto" w:fill="auto"/>
            <w:noWrap/>
            <w:vAlign w:val="center"/>
          </w:tcPr>
          <w:p w14:paraId="71F1A406"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Totals</w:t>
            </w:r>
          </w:p>
        </w:tc>
        <w:tc>
          <w:tcPr>
            <w:tcW w:w="907" w:type="dxa"/>
            <w:tcBorders>
              <w:top w:val="single" w:sz="12" w:space="0" w:color="auto"/>
              <w:left w:val="single" w:sz="4" w:space="0" w:color="auto"/>
              <w:bottom w:val="nil"/>
              <w:right w:val="single" w:sz="4" w:space="0" w:color="auto"/>
            </w:tcBorders>
            <w:shd w:val="clear" w:color="000000" w:fill="F2F6E9"/>
            <w:noWrap/>
            <w:vAlign w:val="bottom"/>
          </w:tcPr>
          <w:p w14:paraId="5E2E6480"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22</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14%</w:t>
            </w:r>
            <w:r>
              <w:rPr>
                <w:rFonts w:ascii="Calibri" w:eastAsia="Times New Roman" w:hAnsi="Calibri" w:cs="Times New Roman"/>
                <w:color w:val="000000"/>
                <w:lang w:eastAsia="en-GB"/>
              </w:rPr>
              <w:t>)</w:t>
            </w:r>
          </w:p>
        </w:tc>
        <w:tc>
          <w:tcPr>
            <w:tcW w:w="907" w:type="dxa"/>
            <w:tcBorders>
              <w:top w:val="single" w:sz="12" w:space="0" w:color="auto"/>
              <w:left w:val="single" w:sz="4" w:space="0" w:color="auto"/>
              <w:bottom w:val="nil"/>
              <w:right w:val="single" w:sz="4" w:space="0" w:color="auto"/>
            </w:tcBorders>
            <w:shd w:val="clear" w:color="000000" w:fill="F3F7EB"/>
            <w:noWrap/>
            <w:vAlign w:val="bottom"/>
          </w:tcPr>
          <w:p w14:paraId="34D2791D"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12%</w:t>
            </w:r>
            <w:r>
              <w:rPr>
                <w:rFonts w:ascii="Calibri" w:eastAsia="Times New Roman" w:hAnsi="Calibri" w:cs="Times New Roman"/>
                <w:color w:val="000000"/>
                <w:lang w:eastAsia="en-GB"/>
              </w:rPr>
              <w:t>)</w:t>
            </w:r>
          </w:p>
        </w:tc>
        <w:tc>
          <w:tcPr>
            <w:tcW w:w="907" w:type="dxa"/>
            <w:tcBorders>
              <w:top w:val="single" w:sz="12" w:space="0" w:color="auto"/>
              <w:left w:val="single" w:sz="4" w:space="0" w:color="auto"/>
              <w:bottom w:val="nil"/>
              <w:right w:val="single" w:sz="4" w:space="0" w:color="auto"/>
            </w:tcBorders>
            <w:shd w:val="clear" w:color="000000" w:fill="FAFCF6"/>
            <w:noWrap/>
            <w:vAlign w:val="bottom"/>
          </w:tcPr>
          <w:p w14:paraId="097D159F"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6%</w:t>
            </w:r>
            <w:r>
              <w:rPr>
                <w:rFonts w:ascii="Calibri" w:eastAsia="Times New Roman" w:hAnsi="Calibri" w:cs="Times New Roman"/>
                <w:color w:val="000000"/>
                <w:lang w:eastAsia="en-GB"/>
              </w:rPr>
              <w:t>)</w:t>
            </w:r>
          </w:p>
        </w:tc>
        <w:tc>
          <w:tcPr>
            <w:tcW w:w="907" w:type="dxa"/>
            <w:tcBorders>
              <w:top w:val="single" w:sz="12" w:space="0" w:color="auto"/>
              <w:left w:val="single" w:sz="4" w:space="0" w:color="auto"/>
              <w:bottom w:val="nil"/>
              <w:right w:val="single" w:sz="4" w:space="0" w:color="auto"/>
            </w:tcBorders>
            <w:shd w:val="clear" w:color="000000" w:fill="F2F7EA"/>
            <w:noWrap/>
            <w:vAlign w:val="bottom"/>
          </w:tcPr>
          <w:p w14:paraId="1EB31E33"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21</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13%</w:t>
            </w:r>
            <w:r>
              <w:rPr>
                <w:rFonts w:ascii="Calibri" w:eastAsia="Times New Roman" w:hAnsi="Calibri" w:cs="Times New Roman"/>
                <w:color w:val="000000"/>
                <w:lang w:eastAsia="en-GB"/>
              </w:rPr>
              <w:t>)</w:t>
            </w:r>
          </w:p>
        </w:tc>
        <w:tc>
          <w:tcPr>
            <w:tcW w:w="907" w:type="dxa"/>
            <w:tcBorders>
              <w:top w:val="single" w:sz="12" w:space="0" w:color="auto"/>
              <w:left w:val="single" w:sz="4" w:space="0" w:color="auto"/>
              <w:bottom w:val="nil"/>
              <w:right w:val="single" w:sz="12" w:space="0" w:color="auto"/>
            </w:tcBorders>
            <w:shd w:val="clear" w:color="000000" w:fill="C8DAA4"/>
            <w:noWrap/>
            <w:vAlign w:val="bottom"/>
          </w:tcPr>
          <w:p w14:paraId="589A4F29"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89</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55%</w:t>
            </w:r>
            <w:r>
              <w:rPr>
                <w:rFonts w:ascii="Calibri" w:eastAsia="Times New Roman" w:hAnsi="Calibri" w:cs="Times New Roman"/>
                <w:color w:val="000000"/>
                <w:lang w:eastAsia="en-GB"/>
              </w:rPr>
              <w:t>)</w:t>
            </w:r>
          </w:p>
        </w:tc>
        <w:tc>
          <w:tcPr>
            <w:tcW w:w="907" w:type="dxa"/>
            <w:gridSpan w:val="2"/>
            <w:tcBorders>
              <w:top w:val="single" w:sz="12" w:space="0" w:color="auto"/>
              <w:left w:val="single" w:sz="12" w:space="0" w:color="auto"/>
              <w:bottom w:val="nil"/>
              <w:right w:val="nil"/>
            </w:tcBorders>
            <w:shd w:val="clear" w:color="000000" w:fill="9BBB59"/>
            <w:noWrap/>
            <w:vAlign w:val="bottom"/>
          </w:tcPr>
          <w:p w14:paraId="32DBC06C"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161</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100%</w:t>
            </w:r>
            <w:r>
              <w:rPr>
                <w:rFonts w:ascii="Calibri" w:eastAsia="Times New Roman" w:hAnsi="Calibri" w:cs="Times New Roman"/>
                <w:color w:val="000000"/>
                <w:lang w:eastAsia="en-GB"/>
              </w:rPr>
              <w:t>)</w:t>
            </w:r>
          </w:p>
        </w:tc>
      </w:tr>
    </w:tbl>
    <w:p w14:paraId="2BB7F80E" w14:textId="77777777" w:rsidR="009E6A8A" w:rsidRDefault="009E6A8A" w:rsidP="009E6A8A">
      <w:pPr>
        <w:pStyle w:val="NoSpacing"/>
      </w:pPr>
    </w:p>
    <w:tbl>
      <w:tblPr>
        <w:tblW w:w="7755" w:type="dxa"/>
        <w:jc w:val="center"/>
        <w:tblLook w:val="04A0" w:firstRow="1" w:lastRow="0" w:firstColumn="1" w:lastColumn="0" w:noHBand="0" w:noVBand="1"/>
      </w:tblPr>
      <w:tblGrid>
        <w:gridCol w:w="960"/>
        <w:gridCol w:w="821"/>
        <w:gridCol w:w="241"/>
        <w:gridCol w:w="666"/>
        <w:gridCol w:w="907"/>
        <w:gridCol w:w="907"/>
        <w:gridCol w:w="907"/>
        <w:gridCol w:w="907"/>
        <w:gridCol w:w="506"/>
        <w:gridCol w:w="401"/>
        <w:gridCol w:w="559"/>
      </w:tblGrid>
      <w:tr w:rsidR="009E6A8A" w:rsidRPr="004450EB" w14:paraId="43CF2AC2" w14:textId="77777777">
        <w:trPr>
          <w:trHeight w:val="300"/>
          <w:jc w:val="center"/>
        </w:trPr>
        <w:tc>
          <w:tcPr>
            <w:tcW w:w="960" w:type="dxa"/>
            <w:tcBorders>
              <w:top w:val="nil"/>
              <w:left w:val="nil"/>
              <w:bottom w:val="nil"/>
              <w:right w:val="nil"/>
            </w:tcBorders>
            <w:shd w:val="clear" w:color="auto" w:fill="auto"/>
            <w:noWrap/>
            <w:vAlign w:val="bottom"/>
          </w:tcPr>
          <w:p w14:paraId="4BB3FC04" w14:textId="77777777" w:rsidR="009E6A8A" w:rsidRPr="004450EB" w:rsidRDefault="009E6A8A" w:rsidP="001E4EF7">
            <w:pPr>
              <w:rPr>
                <w:rFonts w:ascii="Calibri" w:eastAsia="Times New Roman" w:hAnsi="Calibri" w:cs="Times New Roman"/>
                <w:color w:val="000000"/>
                <w:lang w:eastAsia="en-GB"/>
              </w:rPr>
            </w:pPr>
          </w:p>
        </w:tc>
        <w:tc>
          <w:tcPr>
            <w:tcW w:w="1035" w:type="dxa"/>
            <w:gridSpan w:val="2"/>
            <w:tcBorders>
              <w:top w:val="nil"/>
              <w:left w:val="nil"/>
              <w:bottom w:val="nil"/>
              <w:right w:val="nil"/>
            </w:tcBorders>
            <w:shd w:val="clear" w:color="auto" w:fill="auto"/>
            <w:noWrap/>
            <w:vAlign w:val="bottom"/>
          </w:tcPr>
          <w:p w14:paraId="52D7F181" w14:textId="77777777" w:rsidR="009E6A8A" w:rsidRPr="004450EB" w:rsidRDefault="009E6A8A" w:rsidP="001E4EF7">
            <w:pPr>
              <w:rPr>
                <w:rFonts w:ascii="Calibri" w:eastAsia="Times New Roman" w:hAnsi="Calibri" w:cs="Times New Roman"/>
                <w:color w:val="000000"/>
                <w:lang w:eastAsia="en-GB"/>
              </w:rPr>
            </w:pPr>
          </w:p>
        </w:tc>
        <w:tc>
          <w:tcPr>
            <w:tcW w:w="4800" w:type="dxa"/>
            <w:gridSpan w:val="6"/>
            <w:tcBorders>
              <w:top w:val="nil"/>
              <w:left w:val="nil"/>
              <w:bottom w:val="nil"/>
              <w:right w:val="nil"/>
            </w:tcBorders>
            <w:shd w:val="clear" w:color="auto" w:fill="auto"/>
            <w:noWrap/>
            <w:vAlign w:val="bottom"/>
          </w:tcPr>
          <w:p w14:paraId="4158C9B7" w14:textId="77777777" w:rsidR="009E6A8A" w:rsidRPr="004450EB" w:rsidRDefault="009E6A8A" w:rsidP="001E4EF7">
            <w:pPr>
              <w:jc w:val="center"/>
              <w:rPr>
                <w:rFonts w:ascii="Calibri" w:eastAsia="Times New Roman" w:hAnsi="Calibri" w:cs="Times New Roman"/>
                <w:b/>
                <w:color w:val="000000"/>
                <w:lang w:eastAsia="en-GB"/>
              </w:rPr>
            </w:pPr>
            <w:r w:rsidRPr="004450EB">
              <w:rPr>
                <w:rFonts w:ascii="Calibri" w:eastAsia="Times New Roman" w:hAnsi="Calibri" w:cs="Times New Roman"/>
                <w:b/>
                <w:color w:val="000000"/>
                <w:lang w:eastAsia="en-GB"/>
              </w:rPr>
              <w:t>GMFCS</w:t>
            </w:r>
          </w:p>
        </w:tc>
        <w:tc>
          <w:tcPr>
            <w:tcW w:w="960" w:type="dxa"/>
            <w:gridSpan w:val="2"/>
            <w:tcBorders>
              <w:top w:val="nil"/>
              <w:left w:val="nil"/>
              <w:bottom w:val="nil"/>
              <w:right w:val="nil"/>
            </w:tcBorders>
            <w:shd w:val="clear" w:color="auto" w:fill="auto"/>
            <w:noWrap/>
            <w:vAlign w:val="bottom"/>
          </w:tcPr>
          <w:p w14:paraId="063F41E2" w14:textId="77777777" w:rsidR="009E6A8A" w:rsidRPr="004450EB" w:rsidRDefault="009E6A8A" w:rsidP="001E4EF7">
            <w:pPr>
              <w:rPr>
                <w:rFonts w:ascii="Calibri" w:eastAsia="Times New Roman" w:hAnsi="Calibri" w:cs="Times New Roman"/>
                <w:color w:val="000000"/>
                <w:lang w:eastAsia="en-GB"/>
              </w:rPr>
            </w:pPr>
          </w:p>
        </w:tc>
      </w:tr>
      <w:tr w:rsidR="009E6A8A" w:rsidRPr="004450EB" w14:paraId="2F631D7B" w14:textId="77777777">
        <w:trPr>
          <w:gridAfter w:val="1"/>
          <w:wAfter w:w="559" w:type="dxa"/>
          <w:trHeight w:val="300"/>
          <w:jc w:val="center"/>
        </w:trPr>
        <w:tc>
          <w:tcPr>
            <w:tcW w:w="960" w:type="dxa"/>
            <w:tcBorders>
              <w:top w:val="nil"/>
              <w:left w:val="nil"/>
              <w:right w:val="nil"/>
            </w:tcBorders>
            <w:shd w:val="clear" w:color="auto" w:fill="auto"/>
            <w:noWrap/>
            <w:vAlign w:val="bottom"/>
          </w:tcPr>
          <w:p w14:paraId="7DA81C08" w14:textId="77777777" w:rsidR="009E6A8A" w:rsidRPr="004450EB" w:rsidRDefault="009E6A8A" w:rsidP="001E4EF7">
            <w:pPr>
              <w:rPr>
                <w:rFonts w:ascii="Calibri" w:eastAsia="Times New Roman" w:hAnsi="Calibri" w:cs="Times New Roman"/>
                <w:color w:val="000000"/>
                <w:lang w:eastAsia="en-GB"/>
              </w:rPr>
            </w:pPr>
          </w:p>
        </w:tc>
        <w:tc>
          <w:tcPr>
            <w:tcW w:w="794" w:type="dxa"/>
            <w:tcBorders>
              <w:top w:val="nil"/>
              <w:left w:val="nil"/>
              <w:bottom w:val="nil"/>
              <w:right w:val="nil"/>
            </w:tcBorders>
            <w:shd w:val="clear" w:color="auto" w:fill="auto"/>
            <w:noWrap/>
            <w:vAlign w:val="bottom"/>
          </w:tcPr>
          <w:p w14:paraId="35484AA7" w14:textId="77777777" w:rsidR="009E6A8A" w:rsidRPr="00926483" w:rsidRDefault="009E6A8A" w:rsidP="001E4EF7">
            <w:pPr>
              <w:rPr>
                <w:rFonts w:ascii="Calibri" w:eastAsia="Times New Roman" w:hAnsi="Calibri" w:cs="Times New Roman"/>
                <w:b/>
                <w:color w:val="000000"/>
                <w:lang w:eastAsia="en-GB"/>
              </w:rPr>
            </w:pPr>
          </w:p>
        </w:tc>
        <w:tc>
          <w:tcPr>
            <w:tcW w:w="907" w:type="dxa"/>
            <w:gridSpan w:val="2"/>
            <w:tcBorders>
              <w:top w:val="nil"/>
              <w:left w:val="single" w:sz="4" w:space="0" w:color="auto"/>
              <w:bottom w:val="single" w:sz="4" w:space="0" w:color="auto"/>
              <w:right w:val="single" w:sz="4" w:space="0" w:color="auto"/>
            </w:tcBorders>
            <w:shd w:val="clear" w:color="auto" w:fill="auto"/>
            <w:noWrap/>
            <w:vAlign w:val="bottom"/>
          </w:tcPr>
          <w:p w14:paraId="3164CA4D"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w:t>
            </w:r>
          </w:p>
        </w:tc>
        <w:tc>
          <w:tcPr>
            <w:tcW w:w="907" w:type="dxa"/>
            <w:tcBorders>
              <w:top w:val="nil"/>
              <w:left w:val="nil"/>
              <w:bottom w:val="single" w:sz="4" w:space="0" w:color="auto"/>
              <w:right w:val="single" w:sz="4" w:space="0" w:color="auto"/>
            </w:tcBorders>
            <w:shd w:val="clear" w:color="auto" w:fill="auto"/>
            <w:noWrap/>
            <w:vAlign w:val="bottom"/>
          </w:tcPr>
          <w:p w14:paraId="02B1B974"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II</w:t>
            </w:r>
          </w:p>
        </w:tc>
        <w:tc>
          <w:tcPr>
            <w:tcW w:w="907" w:type="dxa"/>
            <w:tcBorders>
              <w:top w:val="nil"/>
              <w:left w:val="nil"/>
              <w:bottom w:val="single" w:sz="4" w:space="0" w:color="auto"/>
              <w:right w:val="single" w:sz="4" w:space="0" w:color="auto"/>
            </w:tcBorders>
            <w:shd w:val="clear" w:color="auto" w:fill="auto"/>
            <w:noWrap/>
            <w:vAlign w:val="bottom"/>
          </w:tcPr>
          <w:p w14:paraId="77244392"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III</w:t>
            </w:r>
          </w:p>
        </w:tc>
        <w:tc>
          <w:tcPr>
            <w:tcW w:w="907" w:type="dxa"/>
            <w:tcBorders>
              <w:top w:val="nil"/>
              <w:left w:val="nil"/>
              <w:bottom w:val="single" w:sz="4" w:space="0" w:color="auto"/>
              <w:right w:val="single" w:sz="4" w:space="0" w:color="auto"/>
            </w:tcBorders>
            <w:shd w:val="clear" w:color="auto" w:fill="auto"/>
            <w:noWrap/>
            <w:vAlign w:val="bottom"/>
          </w:tcPr>
          <w:p w14:paraId="45412D3B"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IV</w:t>
            </w:r>
          </w:p>
        </w:tc>
        <w:tc>
          <w:tcPr>
            <w:tcW w:w="907" w:type="dxa"/>
            <w:tcBorders>
              <w:top w:val="nil"/>
              <w:left w:val="nil"/>
              <w:bottom w:val="single" w:sz="4" w:space="0" w:color="auto"/>
              <w:right w:val="single" w:sz="12" w:space="0" w:color="auto"/>
            </w:tcBorders>
            <w:shd w:val="clear" w:color="auto" w:fill="auto"/>
            <w:noWrap/>
            <w:vAlign w:val="bottom"/>
          </w:tcPr>
          <w:p w14:paraId="7070FE48"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V</w:t>
            </w:r>
          </w:p>
        </w:tc>
        <w:tc>
          <w:tcPr>
            <w:tcW w:w="907" w:type="dxa"/>
            <w:gridSpan w:val="2"/>
            <w:tcBorders>
              <w:top w:val="nil"/>
              <w:left w:val="single" w:sz="12" w:space="0" w:color="auto"/>
              <w:bottom w:val="single" w:sz="4" w:space="0" w:color="auto"/>
              <w:right w:val="nil"/>
            </w:tcBorders>
            <w:shd w:val="clear" w:color="auto" w:fill="auto"/>
            <w:noWrap/>
            <w:vAlign w:val="bottom"/>
          </w:tcPr>
          <w:p w14:paraId="39D805CB"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Totals</w:t>
            </w:r>
          </w:p>
        </w:tc>
      </w:tr>
      <w:tr w:rsidR="009E6A8A" w:rsidRPr="004450EB" w14:paraId="4D5D15E8" w14:textId="77777777">
        <w:trPr>
          <w:gridAfter w:val="1"/>
          <w:wAfter w:w="559" w:type="dxa"/>
          <w:trHeight w:val="300"/>
          <w:jc w:val="center"/>
        </w:trPr>
        <w:tc>
          <w:tcPr>
            <w:tcW w:w="960" w:type="dxa"/>
            <w:vMerge w:val="restart"/>
            <w:tcBorders>
              <w:top w:val="nil"/>
              <w:left w:val="nil"/>
              <w:bottom w:val="nil"/>
              <w:right w:val="nil"/>
            </w:tcBorders>
            <w:shd w:val="clear" w:color="auto" w:fill="auto"/>
            <w:noWrap/>
            <w:textDirection w:val="btLr"/>
            <w:vAlign w:val="bottom"/>
          </w:tcPr>
          <w:p w14:paraId="086EBE45" w14:textId="77777777" w:rsidR="009E6A8A" w:rsidRPr="004450EB" w:rsidRDefault="009E6A8A" w:rsidP="001E4EF7">
            <w:pPr>
              <w:jc w:val="center"/>
              <w:rPr>
                <w:rFonts w:ascii="Calibri" w:eastAsia="Times New Roman" w:hAnsi="Calibri" w:cs="Times New Roman"/>
                <w:b/>
                <w:color w:val="000000"/>
                <w:lang w:eastAsia="en-GB"/>
              </w:rPr>
            </w:pPr>
            <w:r w:rsidRPr="004450EB">
              <w:rPr>
                <w:rFonts w:ascii="Calibri" w:eastAsia="Times New Roman" w:hAnsi="Calibri" w:cs="Times New Roman"/>
                <w:b/>
                <w:color w:val="000000"/>
                <w:lang w:eastAsia="en-GB"/>
              </w:rPr>
              <w:t>CFCS</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1B861497"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w:t>
            </w:r>
          </w:p>
        </w:tc>
        <w:tc>
          <w:tcPr>
            <w:tcW w:w="907" w:type="dxa"/>
            <w:gridSpan w:val="2"/>
            <w:tcBorders>
              <w:top w:val="nil"/>
              <w:left w:val="nil"/>
              <w:bottom w:val="single" w:sz="4" w:space="0" w:color="auto"/>
              <w:right w:val="single" w:sz="4" w:space="0" w:color="auto"/>
            </w:tcBorders>
            <w:shd w:val="clear" w:color="000000" w:fill="95B3D7"/>
            <w:noWrap/>
            <w:vAlign w:val="bottom"/>
          </w:tcPr>
          <w:p w14:paraId="01D0AF30"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12</w:t>
            </w:r>
            <w:r w:rsidRPr="00926483">
              <w:rPr>
                <w:rFonts w:ascii="Calibri" w:eastAsia="Times New Roman" w:hAnsi="Calibri" w:cs="Times New Roman"/>
                <w:b/>
                <w:color w:val="000000"/>
                <w:lang w:eastAsia="en-GB"/>
              </w:rPr>
              <w:br/>
              <w:t>(8%)</w:t>
            </w:r>
          </w:p>
        </w:tc>
        <w:tc>
          <w:tcPr>
            <w:tcW w:w="907" w:type="dxa"/>
            <w:tcBorders>
              <w:top w:val="nil"/>
              <w:left w:val="nil"/>
              <w:bottom w:val="single" w:sz="4" w:space="0" w:color="auto"/>
              <w:right w:val="single" w:sz="4" w:space="0" w:color="auto"/>
            </w:tcBorders>
            <w:shd w:val="clear" w:color="000000" w:fill="DCE6F1"/>
            <w:noWrap/>
            <w:vAlign w:val="bottom"/>
          </w:tcPr>
          <w:p w14:paraId="3DDD7F1B"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5</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75621144"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2</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4E3D421B"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12" w:space="0" w:color="auto"/>
            </w:tcBorders>
            <w:shd w:val="clear" w:color="000000" w:fill="E6B8B7"/>
            <w:noWrap/>
            <w:vAlign w:val="bottom"/>
          </w:tcPr>
          <w:p w14:paraId="1F1DEEEF"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gridSpan w:val="2"/>
            <w:tcBorders>
              <w:top w:val="single" w:sz="4" w:space="0" w:color="auto"/>
              <w:left w:val="single" w:sz="12" w:space="0" w:color="auto"/>
              <w:bottom w:val="single" w:sz="4" w:space="0" w:color="auto"/>
              <w:right w:val="nil"/>
            </w:tcBorders>
            <w:shd w:val="clear" w:color="000000" w:fill="F0F5E5"/>
            <w:noWrap/>
            <w:vAlign w:val="bottom"/>
          </w:tcPr>
          <w:p w14:paraId="5A641A98"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25</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16</w:t>
            </w:r>
            <w:r>
              <w:rPr>
                <w:rFonts w:ascii="Calibri" w:eastAsia="Times New Roman" w:hAnsi="Calibri" w:cs="Times New Roman"/>
                <w:color w:val="000000"/>
                <w:lang w:eastAsia="en-GB"/>
              </w:rPr>
              <w:t>%)</w:t>
            </w:r>
          </w:p>
        </w:tc>
      </w:tr>
      <w:tr w:rsidR="009E6A8A" w:rsidRPr="004450EB" w14:paraId="050A9C62" w14:textId="77777777">
        <w:trPr>
          <w:gridAfter w:val="1"/>
          <w:wAfter w:w="559" w:type="dxa"/>
          <w:trHeight w:val="300"/>
          <w:jc w:val="center"/>
        </w:trPr>
        <w:tc>
          <w:tcPr>
            <w:tcW w:w="960" w:type="dxa"/>
            <w:vMerge/>
            <w:tcBorders>
              <w:top w:val="nil"/>
              <w:left w:val="nil"/>
              <w:bottom w:val="nil"/>
              <w:right w:val="nil"/>
            </w:tcBorders>
            <w:vAlign w:val="center"/>
          </w:tcPr>
          <w:p w14:paraId="071E3336" w14:textId="77777777" w:rsidR="009E6A8A" w:rsidRPr="004450EB" w:rsidRDefault="009E6A8A" w:rsidP="001E4EF7">
            <w:pPr>
              <w:rPr>
                <w:rFonts w:ascii="Calibri" w:eastAsia="Times New Roman" w:hAnsi="Calibri" w:cs="Times New Roman"/>
                <w:color w:val="000000"/>
                <w:lang w:eastAsia="en-GB"/>
              </w:rPr>
            </w:pPr>
          </w:p>
        </w:tc>
        <w:tc>
          <w:tcPr>
            <w:tcW w:w="794" w:type="dxa"/>
            <w:tcBorders>
              <w:top w:val="nil"/>
              <w:left w:val="nil"/>
              <w:bottom w:val="single" w:sz="4" w:space="0" w:color="auto"/>
              <w:right w:val="single" w:sz="4" w:space="0" w:color="auto"/>
            </w:tcBorders>
            <w:shd w:val="clear" w:color="auto" w:fill="auto"/>
            <w:noWrap/>
            <w:vAlign w:val="center"/>
          </w:tcPr>
          <w:p w14:paraId="2C9F4E7F"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II</w:t>
            </w:r>
          </w:p>
        </w:tc>
        <w:tc>
          <w:tcPr>
            <w:tcW w:w="907" w:type="dxa"/>
            <w:gridSpan w:val="2"/>
            <w:tcBorders>
              <w:top w:val="nil"/>
              <w:left w:val="nil"/>
              <w:bottom w:val="single" w:sz="4" w:space="0" w:color="auto"/>
              <w:right w:val="single" w:sz="4" w:space="0" w:color="auto"/>
            </w:tcBorders>
            <w:shd w:val="clear" w:color="000000" w:fill="DCE6F1"/>
            <w:noWrap/>
            <w:vAlign w:val="bottom"/>
          </w:tcPr>
          <w:p w14:paraId="76933A98"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5</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093BDEF8"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6</w:t>
            </w:r>
            <w:r w:rsidRPr="00926483">
              <w:rPr>
                <w:rFonts w:ascii="Calibri" w:eastAsia="Times New Roman" w:hAnsi="Calibri" w:cs="Times New Roman"/>
                <w:b/>
                <w:color w:val="000000"/>
                <w:lang w:eastAsia="en-GB"/>
              </w:rPr>
              <w:br/>
              <w:t>(4%)</w:t>
            </w:r>
          </w:p>
        </w:tc>
        <w:tc>
          <w:tcPr>
            <w:tcW w:w="907" w:type="dxa"/>
            <w:tcBorders>
              <w:top w:val="nil"/>
              <w:left w:val="nil"/>
              <w:bottom w:val="single" w:sz="4" w:space="0" w:color="auto"/>
              <w:right w:val="single" w:sz="4" w:space="0" w:color="auto"/>
            </w:tcBorders>
            <w:shd w:val="clear" w:color="auto" w:fill="auto"/>
            <w:noWrap/>
            <w:vAlign w:val="bottom"/>
          </w:tcPr>
          <w:p w14:paraId="58E58C69"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2</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79487A73"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4</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12" w:space="0" w:color="auto"/>
            </w:tcBorders>
            <w:shd w:val="clear" w:color="000000" w:fill="E6B8B7"/>
            <w:noWrap/>
            <w:vAlign w:val="bottom"/>
          </w:tcPr>
          <w:p w14:paraId="6C8E739A"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2</w:t>
            </w:r>
            <w:r>
              <w:rPr>
                <w:rFonts w:ascii="Calibri" w:eastAsia="Times New Roman" w:hAnsi="Calibri" w:cs="Times New Roman"/>
                <w:color w:val="000000"/>
                <w:lang w:eastAsia="en-GB"/>
              </w:rPr>
              <w:t>%)</w:t>
            </w:r>
          </w:p>
        </w:tc>
        <w:tc>
          <w:tcPr>
            <w:tcW w:w="907" w:type="dxa"/>
            <w:gridSpan w:val="2"/>
            <w:tcBorders>
              <w:top w:val="single" w:sz="4" w:space="0" w:color="auto"/>
              <w:left w:val="single" w:sz="12" w:space="0" w:color="auto"/>
              <w:bottom w:val="single" w:sz="4" w:space="0" w:color="auto"/>
              <w:right w:val="nil"/>
            </w:tcBorders>
            <w:shd w:val="clear" w:color="000000" w:fill="EFF4E4"/>
            <w:noWrap/>
            <w:vAlign w:val="bottom"/>
          </w:tcPr>
          <w:p w14:paraId="2FF5D574"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26</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16</w:t>
            </w:r>
            <w:r>
              <w:rPr>
                <w:rFonts w:ascii="Calibri" w:eastAsia="Times New Roman" w:hAnsi="Calibri" w:cs="Times New Roman"/>
                <w:color w:val="000000"/>
                <w:lang w:eastAsia="en-GB"/>
              </w:rPr>
              <w:t>%)</w:t>
            </w:r>
          </w:p>
        </w:tc>
      </w:tr>
      <w:tr w:rsidR="009E6A8A" w:rsidRPr="004450EB" w14:paraId="0852F821" w14:textId="77777777">
        <w:trPr>
          <w:gridAfter w:val="1"/>
          <w:wAfter w:w="559" w:type="dxa"/>
          <w:trHeight w:val="315"/>
          <w:jc w:val="center"/>
        </w:trPr>
        <w:tc>
          <w:tcPr>
            <w:tcW w:w="960" w:type="dxa"/>
            <w:vMerge/>
            <w:tcBorders>
              <w:top w:val="nil"/>
              <w:left w:val="nil"/>
              <w:bottom w:val="nil"/>
              <w:right w:val="nil"/>
            </w:tcBorders>
            <w:vAlign w:val="center"/>
          </w:tcPr>
          <w:p w14:paraId="031E1BE5" w14:textId="77777777" w:rsidR="009E6A8A" w:rsidRPr="004450EB" w:rsidRDefault="009E6A8A" w:rsidP="001E4EF7">
            <w:pPr>
              <w:rPr>
                <w:rFonts w:ascii="Calibri" w:eastAsia="Times New Roman" w:hAnsi="Calibri" w:cs="Times New Roman"/>
                <w:color w:val="000000"/>
                <w:lang w:eastAsia="en-GB"/>
              </w:rPr>
            </w:pPr>
          </w:p>
        </w:tc>
        <w:tc>
          <w:tcPr>
            <w:tcW w:w="794" w:type="dxa"/>
            <w:tcBorders>
              <w:top w:val="nil"/>
              <w:left w:val="nil"/>
              <w:bottom w:val="single" w:sz="4" w:space="0" w:color="auto"/>
              <w:right w:val="single" w:sz="4" w:space="0" w:color="auto"/>
            </w:tcBorders>
            <w:shd w:val="clear" w:color="auto" w:fill="auto"/>
            <w:noWrap/>
            <w:vAlign w:val="center"/>
          </w:tcPr>
          <w:p w14:paraId="3520CDD3"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III</w:t>
            </w:r>
          </w:p>
        </w:tc>
        <w:tc>
          <w:tcPr>
            <w:tcW w:w="907" w:type="dxa"/>
            <w:gridSpan w:val="2"/>
            <w:tcBorders>
              <w:top w:val="nil"/>
              <w:left w:val="nil"/>
              <w:bottom w:val="single" w:sz="4" w:space="0" w:color="auto"/>
              <w:right w:val="single" w:sz="4" w:space="0" w:color="auto"/>
            </w:tcBorders>
            <w:shd w:val="clear" w:color="000000" w:fill="E6B8B7"/>
            <w:noWrap/>
            <w:vAlign w:val="bottom"/>
          </w:tcPr>
          <w:p w14:paraId="4684E2E2"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7300D0AA"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2</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0151FE6D"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2</w:t>
            </w:r>
            <w:r w:rsidRPr="00926483">
              <w:rPr>
                <w:rFonts w:ascii="Calibri" w:eastAsia="Times New Roman" w:hAnsi="Calibri" w:cs="Times New Roman"/>
                <w:b/>
                <w:color w:val="000000"/>
                <w:lang w:eastAsia="en-GB"/>
              </w:rPr>
              <w:br/>
              <w:t>(1%)</w:t>
            </w:r>
          </w:p>
        </w:tc>
        <w:tc>
          <w:tcPr>
            <w:tcW w:w="907" w:type="dxa"/>
            <w:tcBorders>
              <w:top w:val="nil"/>
              <w:left w:val="nil"/>
              <w:bottom w:val="single" w:sz="4" w:space="0" w:color="auto"/>
              <w:right w:val="single" w:sz="4" w:space="0" w:color="auto"/>
            </w:tcBorders>
            <w:shd w:val="clear" w:color="auto" w:fill="auto"/>
            <w:noWrap/>
            <w:vAlign w:val="bottom"/>
          </w:tcPr>
          <w:p w14:paraId="419A4808"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5</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12" w:space="0" w:color="auto"/>
            </w:tcBorders>
            <w:shd w:val="clear" w:color="auto" w:fill="auto"/>
            <w:noWrap/>
            <w:vAlign w:val="bottom"/>
          </w:tcPr>
          <w:p w14:paraId="56CA29BB"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23</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15</w:t>
            </w:r>
            <w:r>
              <w:rPr>
                <w:rFonts w:ascii="Calibri" w:eastAsia="Times New Roman" w:hAnsi="Calibri" w:cs="Times New Roman"/>
                <w:color w:val="000000"/>
                <w:lang w:eastAsia="en-GB"/>
              </w:rPr>
              <w:t>%)</w:t>
            </w:r>
          </w:p>
        </w:tc>
        <w:tc>
          <w:tcPr>
            <w:tcW w:w="907" w:type="dxa"/>
            <w:gridSpan w:val="2"/>
            <w:tcBorders>
              <w:top w:val="single" w:sz="4" w:space="0" w:color="auto"/>
              <w:left w:val="single" w:sz="12" w:space="0" w:color="auto"/>
              <w:bottom w:val="single" w:sz="4" w:space="0" w:color="auto"/>
              <w:right w:val="nil"/>
            </w:tcBorders>
            <w:shd w:val="clear" w:color="000000" w:fill="E9F0DA"/>
            <w:noWrap/>
            <w:vAlign w:val="bottom"/>
          </w:tcPr>
          <w:p w14:paraId="24AFD389"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36</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23</w:t>
            </w:r>
            <w:r>
              <w:rPr>
                <w:rFonts w:ascii="Calibri" w:eastAsia="Times New Roman" w:hAnsi="Calibri" w:cs="Times New Roman"/>
                <w:color w:val="000000"/>
                <w:lang w:eastAsia="en-GB"/>
              </w:rPr>
              <w:t>%)</w:t>
            </w:r>
          </w:p>
        </w:tc>
      </w:tr>
      <w:tr w:rsidR="009E6A8A" w:rsidRPr="004450EB" w14:paraId="45AE105C" w14:textId="77777777">
        <w:trPr>
          <w:gridAfter w:val="1"/>
          <w:wAfter w:w="559" w:type="dxa"/>
          <w:trHeight w:val="300"/>
          <w:jc w:val="center"/>
        </w:trPr>
        <w:tc>
          <w:tcPr>
            <w:tcW w:w="960" w:type="dxa"/>
            <w:vMerge/>
            <w:tcBorders>
              <w:top w:val="nil"/>
              <w:left w:val="nil"/>
              <w:bottom w:val="nil"/>
              <w:right w:val="nil"/>
            </w:tcBorders>
            <w:vAlign w:val="center"/>
          </w:tcPr>
          <w:p w14:paraId="7205B6CB" w14:textId="77777777" w:rsidR="009E6A8A" w:rsidRPr="004450EB" w:rsidRDefault="009E6A8A" w:rsidP="001E4EF7">
            <w:pPr>
              <w:rPr>
                <w:rFonts w:ascii="Calibri" w:eastAsia="Times New Roman" w:hAnsi="Calibri" w:cs="Times New Roman"/>
                <w:color w:val="000000"/>
                <w:lang w:eastAsia="en-GB"/>
              </w:rPr>
            </w:pPr>
          </w:p>
        </w:tc>
        <w:tc>
          <w:tcPr>
            <w:tcW w:w="794" w:type="dxa"/>
            <w:tcBorders>
              <w:top w:val="nil"/>
              <w:left w:val="nil"/>
              <w:bottom w:val="single" w:sz="4" w:space="0" w:color="auto"/>
              <w:right w:val="single" w:sz="4" w:space="0" w:color="auto"/>
            </w:tcBorders>
            <w:shd w:val="clear" w:color="auto" w:fill="auto"/>
            <w:noWrap/>
            <w:vAlign w:val="center"/>
          </w:tcPr>
          <w:p w14:paraId="60427B69"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IV</w:t>
            </w:r>
          </w:p>
        </w:tc>
        <w:tc>
          <w:tcPr>
            <w:tcW w:w="907" w:type="dxa"/>
            <w:gridSpan w:val="2"/>
            <w:tcBorders>
              <w:top w:val="nil"/>
              <w:left w:val="nil"/>
              <w:bottom w:val="single" w:sz="4" w:space="0" w:color="auto"/>
              <w:right w:val="single" w:sz="4" w:space="0" w:color="auto"/>
            </w:tcBorders>
            <w:shd w:val="clear" w:color="000000" w:fill="E6B8B7"/>
            <w:noWrap/>
            <w:vAlign w:val="bottom"/>
          </w:tcPr>
          <w:p w14:paraId="71855A1C"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23DEE4C0"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2</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38FA67E7"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7970CDB3"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5</w:t>
            </w:r>
            <w:r w:rsidRPr="00926483">
              <w:rPr>
                <w:rFonts w:ascii="Calibri" w:eastAsia="Times New Roman" w:hAnsi="Calibri" w:cs="Times New Roman"/>
                <w:b/>
                <w:color w:val="000000"/>
                <w:lang w:eastAsia="en-GB"/>
              </w:rPr>
              <w:br/>
              <w:t>(3%)</w:t>
            </w:r>
          </w:p>
        </w:tc>
        <w:tc>
          <w:tcPr>
            <w:tcW w:w="907" w:type="dxa"/>
            <w:tcBorders>
              <w:top w:val="nil"/>
              <w:left w:val="nil"/>
              <w:bottom w:val="single" w:sz="4" w:space="0" w:color="auto"/>
              <w:right w:val="single" w:sz="12" w:space="0" w:color="auto"/>
            </w:tcBorders>
            <w:shd w:val="clear" w:color="000000" w:fill="DCE6F1"/>
            <w:noWrap/>
            <w:vAlign w:val="bottom"/>
          </w:tcPr>
          <w:p w14:paraId="7790427C"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39</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25</w:t>
            </w:r>
            <w:r>
              <w:rPr>
                <w:rFonts w:ascii="Calibri" w:eastAsia="Times New Roman" w:hAnsi="Calibri" w:cs="Times New Roman"/>
                <w:color w:val="000000"/>
                <w:lang w:eastAsia="en-GB"/>
              </w:rPr>
              <w:t>%)</w:t>
            </w:r>
          </w:p>
        </w:tc>
        <w:tc>
          <w:tcPr>
            <w:tcW w:w="907" w:type="dxa"/>
            <w:gridSpan w:val="2"/>
            <w:tcBorders>
              <w:top w:val="single" w:sz="4" w:space="0" w:color="auto"/>
              <w:left w:val="single" w:sz="12" w:space="0" w:color="auto"/>
              <w:bottom w:val="single" w:sz="4" w:space="0" w:color="auto"/>
              <w:right w:val="nil"/>
            </w:tcBorders>
            <w:shd w:val="clear" w:color="000000" w:fill="E0EACC"/>
            <w:noWrap/>
            <w:vAlign w:val="bottom"/>
          </w:tcPr>
          <w:p w14:paraId="745395FD"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49</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31</w:t>
            </w:r>
            <w:r>
              <w:rPr>
                <w:rFonts w:ascii="Calibri" w:eastAsia="Times New Roman" w:hAnsi="Calibri" w:cs="Times New Roman"/>
                <w:color w:val="000000"/>
                <w:lang w:eastAsia="en-GB"/>
              </w:rPr>
              <w:t>%)</w:t>
            </w:r>
          </w:p>
        </w:tc>
      </w:tr>
      <w:tr w:rsidR="009E6A8A" w:rsidRPr="004450EB" w14:paraId="3628C910" w14:textId="77777777">
        <w:trPr>
          <w:gridAfter w:val="1"/>
          <w:wAfter w:w="559" w:type="dxa"/>
          <w:trHeight w:val="315"/>
          <w:jc w:val="center"/>
        </w:trPr>
        <w:tc>
          <w:tcPr>
            <w:tcW w:w="960" w:type="dxa"/>
            <w:vMerge/>
            <w:tcBorders>
              <w:top w:val="nil"/>
              <w:left w:val="nil"/>
              <w:bottom w:val="nil"/>
              <w:right w:val="nil"/>
            </w:tcBorders>
            <w:vAlign w:val="center"/>
          </w:tcPr>
          <w:p w14:paraId="41B6603B" w14:textId="77777777" w:rsidR="009E6A8A" w:rsidRPr="004450EB" w:rsidRDefault="009E6A8A" w:rsidP="001E4EF7">
            <w:pPr>
              <w:rPr>
                <w:rFonts w:ascii="Calibri" w:eastAsia="Times New Roman" w:hAnsi="Calibri" w:cs="Times New Roman"/>
                <w:color w:val="000000"/>
                <w:lang w:eastAsia="en-GB"/>
              </w:rPr>
            </w:pPr>
          </w:p>
        </w:tc>
        <w:tc>
          <w:tcPr>
            <w:tcW w:w="794" w:type="dxa"/>
            <w:tcBorders>
              <w:top w:val="nil"/>
              <w:left w:val="nil"/>
              <w:bottom w:val="single" w:sz="12" w:space="0" w:color="auto"/>
              <w:right w:val="single" w:sz="4" w:space="0" w:color="auto"/>
            </w:tcBorders>
            <w:shd w:val="clear" w:color="auto" w:fill="auto"/>
            <w:noWrap/>
            <w:vAlign w:val="center"/>
          </w:tcPr>
          <w:p w14:paraId="0C9683DD"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V</w:t>
            </w:r>
          </w:p>
        </w:tc>
        <w:tc>
          <w:tcPr>
            <w:tcW w:w="907" w:type="dxa"/>
            <w:gridSpan w:val="2"/>
            <w:tcBorders>
              <w:top w:val="nil"/>
              <w:left w:val="nil"/>
              <w:bottom w:val="single" w:sz="12" w:space="0" w:color="auto"/>
              <w:right w:val="single" w:sz="4" w:space="0" w:color="auto"/>
            </w:tcBorders>
            <w:shd w:val="clear" w:color="auto" w:fill="auto"/>
            <w:noWrap/>
            <w:vAlign w:val="bottom"/>
          </w:tcPr>
          <w:p w14:paraId="054D7341"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tcBorders>
              <w:top w:val="nil"/>
              <w:left w:val="nil"/>
              <w:bottom w:val="single" w:sz="12" w:space="0" w:color="auto"/>
              <w:right w:val="single" w:sz="4" w:space="0" w:color="auto"/>
            </w:tcBorders>
            <w:shd w:val="clear" w:color="auto" w:fill="auto"/>
            <w:noWrap/>
            <w:vAlign w:val="bottom"/>
          </w:tcPr>
          <w:p w14:paraId="074B4069"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tcBorders>
              <w:top w:val="nil"/>
              <w:left w:val="nil"/>
              <w:bottom w:val="single" w:sz="12" w:space="0" w:color="auto"/>
              <w:right w:val="single" w:sz="4" w:space="0" w:color="auto"/>
            </w:tcBorders>
            <w:shd w:val="clear" w:color="auto" w:fill="auto"/>
            <w:noWrap/>
            <w:vAlign w:val="bottom"/>
          </w:tcPr>
          <w:p w14:paraId="6CF2ADAB"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tcBorders>
              <w:top w:val="nil"/>
              <w:left w:val="nil"/>
              <w:bottom w:val="single" w:sz="12" w:space="0" w:color="auto"/>
              <w:right w:val="single" w:sz="4" w:space="0" w:color="auto"/>
            </w:tcBorders>
            <w:shd w:val="clear" w:color="auto" w:fill="auto"/>
            <w:noWrap/>
            <w:vAlign w:val="bottom"/>
          </w:tcPr>
          <w:p w14:paraId="34FD7BCC"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tcBorders>
              <w:top w:val="nil"/>
              <w:left w:val="nil"/>
              <w:bottom w:val="single" w:sz="12" w:space="0" w:color="auto"/>
              <w:right w:val="single" w:sz="12" w:space="0" w:color="auto"/>
            </w:tcBorders>
            <w:shd w:val="clear" w:color="000000" w:fill="DCE6F1"/>
            <w:noWrap/>
            <w:vAlign w:val="bottom"/>
          </w:tcPr>
          <w:p w14:paraId="7B83128E"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22</w:t>
            </w:r>
            <w:r w:rsidRPr="00926483">
              <w:rPr>
                <w:rFonts w:ascii="Calibri" w:eastAsia="Times New Roman" w:hAnsi="Calibri" w:cs="Times New Roman"/>
                <w:b/>
                <w:color w:val="000000"/>
                <w:lang w:eastAsia="en-GB"/>
              </w:rPr>
              <w:br/>
              <w:t>(14%)</w:t>
            </w:r>
          </w:p>
        </w:tc>
        <w:tc>
          <w:tcPr>
            <w:tcW w:w="907" w:type="dxa"/>
            <w:gridSpan w:val="2"/>
            <w:tcBorders>
              <w:top w:val="single" w:sz="4" w:space="0" w:color="auto"/>
              <w:left w:val="single" w:sz="12" w:space="0" w:color="auto"/>
              <w:bottom w:val="single" w:sz="12" w:space="0" w:color="auto"/>
              <w:right w:val="nil"/>
            </w:tcBorders>
            <w:shd w:val="clear" w:color="000000" w:fill="F2F6E8"/>
            <w:noWrap/>
            <w:vAlign w:val="bottom"/>
          </w:tcPr>
          <w:p w14:paraId="6E6BBC6E"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22</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14</w:t>
            </w:r>
            <w:r>
              <w:rPr>
                <w:rFonts w:ascii="Calibri" w:eastAsia="Times New Roman" w:hAnsi="Calibri" w:cs="Times New Roman"/>
                <w:color w:val="000000"/>
                <w:lang w:eastAsia="en-GB"/>
              </w:rPr>
              <w:t>%)</w:t>
            </w:r>
          </w:p>
        </w:tc>
      </w:tr>
      <w:tr w:rsidR="009E6A8A" w:rsidRPr="004450EB" w14:paraId="30D97CB0" w14:textId="77777777">
        <w:trPr>
          <w:gridAfter w:val="1"/>
          <w:wAfter w:w="559" w:type="dxa"/>
          <w:trHeight w:val="300"/>
          <w:jc w:val="center"/>
        </w:trPr>
        <w:tc>
          <w:tcPr>
            <w:tcW w:w="960" w:type="dxa"/>
            <w:tcBorders>
              <w:left w:val="nil"/>
              <w:bottom w:val="nil"/>
              <w:right w:val="nil"/>
            </w:tcBorders>
            <w:shd w:val="clear" w:color="auto" w:fill="auto"/>
            <w:noWrap/>
            <w:vAlign w:val="bottom"/>
          </w:tcPr>
          <w:p w14:paraId="55B64374" w14:textId="77777777" w:rsidR="009E6A8A" w:rsidRPr="004450EB" w:rsidRDefault="009E6A8A" w:rsidP="001E4EF7">
            <w:pPr>
              <w:rPr>
                <w:rFonts w:ascii="Calibri" w:eastAsia="Times New Roman" w:hAnsi="Calibri" w:cs="Times New Roman"/>
                <w:color w:val="000000"/>
                <w:lang w:eastAsia="en-GB"/>
              </w:rPr>
            </w:pPr>
            <w:r w:rsidRPr="004450EB">
              <w:rPr>
                <w:rFonts w:ascii="Calibri" w:eastAsia="Times New Roman" w:hAnsi="Calibri" w:cs="Times New Roman"/>
                <w:color w:val="000000"/>
                <w:lang w:eastAsia="en-GB"/>
              </w:rPr>
              <w:t> </w:t>
            </w:r>
          </w:p>
        </w:tc>
        <w:tc>
          <w:tcPr>
            <w:tcW w:w="794" w:type="dxa"/>
            <w:tcBorders>
              <w:top w:val="single" w:sz="12" w:space="0" w:color="auto"/>
              <w:left w:val="nil"/>
              <w:bottom w:val="nil"/>
              <w:right w:val="single" w:sz="4" w:space="0" w:color="auto"/>
            </w:tcBorders>
            <w:shd w:val="clear" w:color="auto" w:fill="auto"/>
            <w:noWrap/>
            <w:vAlign w:val="center"/>
          </w:tcPr>
          <w:p w14:paraId="4C468E69"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Totals</w:t>
            </w:r>
          </w:p>
        </w:tc>
        <w:tc>
          <w:tcPr>
            <w:tcW w:w="907" w:type="dxa"/>
            <w:gridSpan w:val="2"/>
            <w:tcBorders>
              <w:top w:val="single" w:sz="12" w:space="0" w:color="auto"/>
              <w:left w:val="single" w:sz="4" w:space="0" w:color="auto"/>
              <w:bottom w:val="nil"/>
              <w:right w:val="single" w:sz="4" w:space="0" w:color="auto"/>
            </w:tcBorders>
            <w:shd w:val="clear" w:color="000000" w:fill="F2F6E8"/>
            <w:noWrap/>
            <w:vAlign w:val="bottom"/>
          </w:tcPr>
          <w:p w14:paraId="49D220BE"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22</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14</w:t>
            </w:r>
            <w:r>
              <w:rPr>
                <w:rFonts w:ascii="Calibri" w:eastAsia="Times New Roman" w:hAnsi="Calibri" w:cs="Times New Roman"/>
                <w:color w:val="000000"/>
                <w:lang w:eastAsia="en-GB"/>
              </w:rPr>
              <w:t>%)</w:t>
            </w:r>
          </w:p>
        </w:tc>
        <w:tc>
          <w:tcPr>
            <w:tcW w:w="907" w:type="dxa"/>
            <w:tcBorders>
              <w:top w:val="single" w:sz="12" w:space="0" w:color="auto"/>
              <w:left w:val="single" w:sz="4" w:space="0" w:color="auto"/>
              <w:bottom w:val="nil"/>
              <w:right w:val="single" w:sz="4" w:space="0" w:color="auto"/>
            </w:tcBorders>
            <w:shd w:val="clear" w:color="000000" w:fill="F3F7EA"/>
            <w:noWrap/>
            <w:vAlign w:val="bottom"/>
          </w:tcPr>
          <w:p w14:paraId="1D3F079F"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13</w:t>
            </w:r>
            <w:r>
              <w:rPr>
                <w:rFonts w:ascii="Calibri" w:eastAsia="Times New Roman" w:hAnsi="Calibri" w:cs="Times New Roman"/>
                <w:color w:val="000000"/>
                <w:lang w:eastAsia="en-GB"/>
              </w:rPr>
              <w:t>%)</w:t>
            </w:r>
          </w:p>
        </w:tc>
        <w:tc>
          <w:tcPr>
            <w:tcW w:w="907" w:type="dxa"/>
            <w:tcBorders>
              <w:top w:val="single" w:sz="12" w:space="0" w:color="auto"/>
              <w:left w:val="single" w:sz="4" w:space="0" w:color="auto"/>
              <w:bottom w:val="nil"/>
              <w:right w:val="single" w:sz="4" w:space="0" w:color="auto"/>
            </w:tcBorders>
            <w:shd w:val="clear" w:color="000000" w:fill="FAFCF6"/>
            <w:noWrap/>
            <w:vAlign w:val="bottom"/>
          </w:tcPr>
          <w:p w14:paraId="16141623"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6</w:t>
            </w:r>
            <w:r>
              <w:rPr>
                <w:rFonts w:ascii="Calibri" w:eastAsia="Times New Roman" w:hAnsi="Calibri" w:cs="Times New Roman"/>
                <w:color w:val="000000"/>
                <w:lang w:eastAsia="en-GB"/>
              </w:rPr>
              <w:t>%)</w:t>
            </w:r>
          </w:p>
        </w:tc>
        <w:tc>
          <w:tcPr>
            <w:tcW w:w="907" w:type="dxa"/>
            <w:tcBorders>
              <w:top w:val="single" w:sz="12" w:space="0" w:color="auto"/>
              <w:left w:val="single" w:sz="4" w:space="0" w:color="auto"/>
              <w:bottom w:val="nil"/>
              <w:right w:val="single" w:sz="4" w:space="0" w:color="auto"/>
            </w:tcBorders>
            <w:shd w:val="clear" w:color="000000" w:fill="F2F6E9"/>
            <w:noWrap/>
            <w:vAlign w:val="bottom"/>
          </w:tcPr>
          <w:p w14:paraId="1BA1F91C"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21</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13</w:t>
            </w:r>
            <w:r>
              <w:rPr>
                <w:rFonts w:ascii="Calibri" w:eastAsia="Times New Roman" w:hAnsi="Calibri" w:cs="Times New Roman"/>
                <w:color w:val="000000"/>
                <w:lang w:eastAsia="en-GB"/>
              </w:rPr>
              <w:t>%)</w:t>
            </w:r>
          </w:p>
        </w:tc>
        <w:tc>
          <w:tcPr>
            <w:tcW w:w="907" w:type="dxa"/>
            <w:tcBorders>
              <w:top w:val="single" w:sz="12" w:space="0" w:color="auto"/>
              <w:left w:val="single" w:sz="4" w:space="0" w:color="auto"/>
              <w:bottom w:val="nil"/>
              <w:right w:val="single" w:sz="12" w:space="0" w:color="auto"/>
            </w:tcBorders>
            <w:shd w:val="clear" w:color="000000" w:fill="C7D9A2"/>
            <w:noWrap/>
            <w:vAlign w:val="bottom"/>
          </w:tcPr>
          <w:p w14:paraId="2FDE6A16"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89</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56</w:t>
            </w:r>
            <w:r>
              <w:rPr>
                <w:rFonts w:ascii="Calibri" w:eastAsia="Times New Roman" w:hAnsi="Calibri" w:cs="Times New Roman"/>
                <w:color w:val="000000"/>
                <w:lang w:eastAsia="en-GB"/>
              </w:rPr>
              <w:t>%)</w:t>
            </w:r>
          </w:p>
        </w:tc>
        <w:tc>
          <w:tcPr>
            <w:tcW w:w="907" w:type="dxa"/>
            <w:gridSpan w:val="2"/>
            <w:tcBorders>
              <w:top w:val="single" w:sz="12" w:space="0" w:color="auto"/>
              <w:left w:val="single" w:sz="12" w:space="0" w:color="auto"/>
              <w:bottom w:val="nil"/>
              <w:right w:val="nil"/>
            </w:tcBorders>
            <w:shd w:val="clear" w:color="000000" w:fill="9BBB59"/>
            <w:noWrap/>
            <w:vAlign w:val="bottom"/>
          </w:tcPr>
          <w:p w14:paraId="02988957"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158</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100</w:t>
            </w:r>
            <w:r>
              <w:rPr>
                <w:rFonts w:ascii="Calibri" w:eastAsia="Times New Roman" w:hAnsi="Calibri" w:cs="Times New Roman"/>
                <w:color w:val="000000"/>
                <w:lang w:eastAsia="en-GB"/>
              </w:rPr>
              <w:t>%)</w:t>
            </w:r>
          </w:p>
        </w:tc>
      </w:tr>
    </w:tbl>
    <w:p w14:paraId="22913A9E" w14:textId="77777777" w:rsidR="009E6A8A" w:rsidRDefault="009E6A8A" w:rsidP="009E6A8A">
      <w:pPr>
        <w:pStyle w:val="NoSpacing"/>
      </w:pPr>
    </w:p>
    <w:tbl>
      <w:tblPr>
        <w:tblW w:w="7755" w:type="dxa"/>
        <w:jc w:val="center"/>
        <w:tblLook w:val="04A0" w:firstRow="1" w:lastRow="0" w:firstColumn="1" w:lastColumn="0" w:noHBand="0" w:noVBand="1"/>
      </w:tblPr>
      <w:tblGrid>
        <w:gridCol w:w="960"/>
        <w:gridCol w:w="821"/>
        <w:gridCol w:w="241"/>
        <w:gridCol w:w="666"/>
        <w:gridCol w:w="907"/>
        <w:gridCol w:w="907"/>
        <w:gridCol w:w="907"/>
        <w:gridCol w:w="907"/>
        <w:gridCol w:w="506"/>
        <w:gridCol w:w="401"/>
        <w:gridCol w:w="559"/>
      </w:tblGrid>
      <w:tr w:rsidR="009E6A8A" w:rsidRPr="004450EB" w14:paraId="50B712F5" w14:textId="77777777">
        <w:trPr>
          <w:trHeight w:val="300"/>
          <w:jc w:val="center"/>
        </w:trPr>
        <w:tc>
          <w:tcPr>
            <w:tcW w:w="960" w:type="dxa"/>
            <w:tcBorders>
              <w:top w:val="nil"/>
              <w:left w:val="nil"/>
              <w:bottom w:val="nil"/>
              <w:right w:val="nil"/>
            </w:tcBorders>
            <w:shd w:val="clear" w:color="auto" w:fill="auto"/>
            <w:noWrap/>
            <w:vAlign w:val="bottom"/>
          </w:tcPr>
          <w:p w14:paraId="38827F3D" w14:textId="77777777" w:rsidR="009E6A8A" w:rsidRPr="004450EB" w:rsidRDefault="009E6A8A" w:rsidP="001E4EF7">
            <w:pPr>
              <w:rPr>
                <w:rFonts w:ascii="Calibri" w:eastAsia="Times New Roman" w:hAnsi="Calibri" w:cs="Times New Roman"/>
                <w:color w:val="000000"/>
                <w:lang w:eastAsia="en-GB"/>
              </w:rPr>
            </w:pPr>
          </w:p>
        </w:tc>
        <w:tc>
          <w:tcPr>
            <w:tcW w:w="1035" w:type="dxa"/>
            <w:gridSpan w:val="2"/>
            <w:tcBorders>
              <w:top w:val="nil"/>
              <w:left w:val="nil"/>
              <w:bottom w:val="nil"/>
              <w:right w:val="nil"/>
            </w:tcBorders>
            <w:shd w:val="clear" w:color="auto" w:fill="auto"/>
            <w:noWrap/>
            <w:vAlign w:val="bottom"/>
          </w:tcPr>
          <w:p w14:paraId="015817B6" w14:textId="77777777" w:rsidR="009E6A8A" w:rsidRPr="004450EB" w:rsidRDefault="009E6A8A" w:rsidP="001E4EF7">
            <w:pPr>
              <w:rPr>
                <w:rFonts w:ascii="Calibri" w:eastAsia="Times New Roman" w:hAnsi="Calibri" w:cs="Times New Roman"/>
                <w:color w:val="000000"/>
                <w:lang w:eastAsia="en-GB"/>
              </w:rPr>
            </w:pPr>
          </w:p>
        </w:tc>
        <w:tc>
          <w:tcPr>
            <w:tcW w:w="4800" w:type="dxa"/>
            <w:gridSpan w:val="6"/>
            <w:tcBorders>
              <w:top w:val="nil"/>
              <w:left w:val="nil"/>
              <w:bottom w:val="nil"/>
              <w:right w:val="nil"/>
            </w:tcBorders>
            <w:shd w:val="clear" w:color="auto" w:fill="auto"/>
            <w:noWrap/>
            <w:vAlign w:val="bottom"/>
          </w:tcPr>
          <w:p w14:paraId="2B925EB6" w14:textId="77777777" w:rsidR="009E6A8A" w:rsidRPr="004450EB" w:rsidRDefault="009E6A8A" w:rsidP="001E4EF7">
            <w:pPr>
              <w:jc w:val="center"/>
              <w:rPr>
                <w:rFonts w:ascii="Calibri" w:eastAsia="Times New Roman" w:hAnsi="Calibri" w:cs="Times New Roman"/>
                <w:b/>
                <w:color w:val="000000"/>
                <w:lang w:eastAsia="en-GB"/>
              </w:rPr>
            </w:pPr>
            <w:r w:rsidRPr="004450EB">
              <w:rPr>
                <w:rFonts w:ascii="Calibri" w:eastAsia="Times New Roman" w:hAnsi="Calibri" w:cs="Times New Roman"/>
                <w:b/>
                <w:color w:val="000000"/>
                <w:lang w:eastAsia="en-GB"/>
              </w:rPr>
              <w:t>MACS</w:t>
            </w:r>
          </w:p>
        </w:tc>
        <w:tc>
          <w:tcPr>
            <w:tcW w:w="960" w:type="dxa"/>
            <w:gridSpan w:val="2"/>
            <w:tcBorders>
              <w:top w:val="nil"/>
              <w:left w:val="nil"/>
              <w:bottom w:val="nil"/>
              <w:right w:val="nil"/>
            </w:tcBorders>
            <w:shd w:val="clear" w:color="auto" w:fill="auto"/>
            <w:noWrap/>
            <w:vAlign w:val="bottom"/>
          </w:tcPr>
          <w:p w14:paraId="29482B6F" w14:textId="77777777" w:rsidR="009E6A8A" w:rsidRPr="004450EB" w:rsidRDefault="009E6A8A" w:rsidP="001E4EF7">
            <w:pPr>
              <w:rPr>
                <w:rFonts w:ascii="Calibri" w:eastAsia="Times New Roman" w:hAnsi="Calibri" w:cs="Times New Roman"/>
                <w:color w:val="000000"/>
                <w:lang w:eastAsia="en-GB"/>
              </w:rPr>
            </w:pPr>
          </w:p>
        </w:tc>
      </w:tr>
      <w:tr w:rsidR="009E6A8A" w:rsidRPr="004450EB" w14:paraId="748C22AE" w14:textId="77777777">
        <w:trPr>
          <w:gridAfter w:val="1"/>
          <w:wAfter w:w="559" w:type="dxa"/>
          <w:trHeight w:val="300"/>
          <w:jc w:val="center"/>
        </w:trPr>
        <w:tc>
          <w:tcPr>
            <w:tcW w:w="960" w:type="dxa"/>
            <w:tcBorders>
              <w:top w:val="nil"/>
              <w:left w:val="nil"/>
              <w:right w:val="nil"/>
            </w:tcBorders>
            <w:shd w:val="clear" w:color="auto" w:fill="auto"/>
            <w:noWrap/>
            <w:vAlign w:val="bottom"/>
          </w:tcPr>
          <w:p w14:paraId="1A5F2A18" w14:textId="77777777" w:rsidR="009E6A8A" w:rsidRPr="004450EB" w:rsidRDefault="009E6A8A" w:rsidP="001E4EF7">
            <w:pPr>
              <w:rPr>
                <w:rFonts w:ascii="Calibri" w:eastAsia="Times New Roman" w:hAnsi="Calibri" w:cs="Times New Roman"/>
                <w:color w:val="000000"/>
                <w:lang w:eastAsia="en-GB"/>
              </w:rPr>
            </w:pPr>
          </w:p>
        </w:tc>
        <w:tc>
          <w:tcPr>
            <w:tcW w:w="794" w:type="dxa"/>
            <w:tcBorders>
              <w:top w:val="nil"/>
              <w:left w:val="nil"/>
              <w:bottom w:val="nil"/>
              <w:right w:val="nil"/>
            </w:tcBorders>
            <w:shd w:val="clear" w:color="auto" w:fill="auto"/>
            <w:noWrap/>
            <w:vAlign w:val="bottom"/>
          </w:tcPr>
          <w:p w14:paraId="4FDE97DC" w14:textId="77777777" w:rsidR="009E6A8A" w:rsidRPr="00926483" w:rsidRDefault="009E6A8A" w:rsidP="001E4EF7">
            <w:pPr>
              <w:rPr>
                <w:rFonts w:ascii="Calibri" w:eastAsia="Times New Roman" w:hAnsi="Calibri" w:cs="Times New Roman"/>
                <w:b/>
                <w:color w:val="000000"/>
                <w:lang w:eastAsia="en-GB"/>
              </w:rPr>
            </w:pPr>
          </w:p>
        </w:tc>
        <w:tc>
          <w:tcPr>
            <w:tcW w:w="907" w:type="dxa"/>
            <w:gridSpan w:val="2"/>
            <w:tcBorders>
              <w:top w:val="nil"/>
              <w:left w:val="single" w:sz="4" w:space="0" w:color="auto"/>
              <w:bottom w:val="single" w:sz="4" w:space="0" w:color="auto"/>
              <w:right w:val="single" w:sz="4" w:space="0" w:color="auto"/>
            </w:tcBorders>
            <w:shd w:val="clear" w:color="auto" w:fill="auto"/>
            <w:noWrap/>
            <w:vAlign w:val="bottom"/>
          </w:tcPr>
          <w:p w14:paraId="2974B528"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w:t>
            </w:r>
          </w:p>
        </w:tc>
        <w:tc>
          <w:tcPr>
            <w:tcW w:w="907" w:type="dxa"/>
            <w:tcBorders>
              <w:top w:val="nil"/>
              <w:left w:val="nil"/>
              <w:bottom w:val="single" w:sz="4" w:space="0" w:color="auto"/>
              <w:right w:val="single" w:sz="4" w:space="0" w:color="auto"/>
            </w:tcBorders>
            <w:shd w:val="clear" w:color="auto" w:fill="auto"/>
            <w:noWrap/>
            <w:vAlign w:val="bottom"/>
          </w:tcPr>
          <w:p w14:paraId="7D567806"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II</w:t>
            </w:r>
          </w:p>
        </w:tc>
        <w:tc>
          <w:tcPr>
            <w:tcW w:w="907" w:type="dxa"/>
            <w:tcBorders>
              <w:top w:val="nil"/>
              <w:left w:val="nil"/>
              <w:bottom w:val="single" w:sz="4" w:space="0" w:color="auto"/>
              <w:right w:val="single" w:sz="4" w:space="0" w:color="auto"/>
            </w:tcBorders>
            <w:shd w:val="clear" w:color="auto" w:fill="auto"/>
            <w:noWrap/>
            <w:vAlign w:val="bottom"/>
          </w:tcPr>
          <w:p w14:paraId="79477CBB"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III</w:t>
            </w:r>
          </w:p>
        </w:tc>
        <w:tc>
          <w:tcPr>
            <w:tcW w:w="907" w:type="dxa"/>
            <w:tcBorders>
              <w:top w:val="nil"/>
              <w:left w:val="nil"/>
              <w:bottom w:val="single" w:sz="4" w:space="0" w:color="auto"/>
              <w:right w:val="single" w:sz="4" w:space="0" w:color="auto"/>
            </w:tcBorders>
            <w:shd w:val="clear" w:color="auto" w:fill="auto"/>
            <w:noWrap/>
            <w:vAlign w:val="bottom"/>
          </w:tcPr>
          <w:p w14:paraId="46890A32"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IV</w:t>
            </w:r>
          </w:p>
        </w:tc>
        <w:tc>
          <w:tcPr>
            <w:tcW w:w="907" w:type="dxa"/>
            <w:tcBorders>
              <w:top w:val="nil"/>
              <w:left w:val="nil"/>
              <w:bottom w:val="single" w:sz="4" w:space="0" w:color="auto"/>
              <w:right w:val="single" w:sz="12" w:space="0" w:color="auto"/>
            </w:tcBorders>
            <w:shd w:val="clear" w:color="auto" w:fill="auto"/>
            <w:noWrap/>
            <w:vAlign w:val="bottom"/>
          </w:tcPr>
          <w:p w14:paraId="1258E82C"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V</w:t>
            </w:r>
          </w:p>
        </w:tc>
        <w:tc>
          <w:tcPr>
            <w:tcW w:w="907" w:type="dxa"/>
            <w:gridSpan w:val="2"/>
            <w:tcBorders>
              <w:top w:val="nil"/>
              <w:left w:val="single" w:sz="12" w:space="0" w:color="auto"/>
              <w:bottom w:val="single" w:sz="4" w:space="0" w:color="auto"/>
              <w:right w:val="nil"/>
            </w:tcBorders>
            <w:shd w:val="clear" w:color="auto" w:fill="auto"/>
            <w:noWrap/>
            <w:vAlign w:val="bottom"/>
          </w:tcPr>
          <w:p w14:paraId="77CFA8D0" w14:textId="77777777" w:rsidR="009E6A8A" w:rsidRPr="00926483" w:rsidRDefault="009E6A8A" w:rsidP="001E4EF7">
            <w:pPr>
              <w:jc w:val="center"/>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Totals</w:t>
            </w:r>
          </w:p>
        </w:tc>
      </w:tr>
      <w:tr w:rsidR="009E6A8A" w:rsidRPr="004450EB" w14:paraId="03539948" w14:textId="77777777">
        <w:trPr>
          <w:gridAfter w:val="1"/>
          <w:wAfter w:w="559" w:type="dxa"/>
          <w:trHeight w:val="300"/>
          <w:jc w:val="center"/>
        </w:trPr>
        <w:tc>
          <w:tcPr>
            <w:tcW w:w="960" w:type="dxa"/>
            <w:vMerge w:val="restart"/>
            <w:tcBorders>
              <w:top w:val="nil"/>
              <w:left w:val="nil"/>
              <w:bottom w:val="nil"/>
              <w:right w:val="nil"/>
            </w:tcBorders>
            <w:shd w:val="clear" w:color="auto" w:fill="auto"/>
            <w:noWrap/>
            <w:textDirection w:val="btLr"/>
            <w:vAlign w:val="bottom"/>
          </w:tcPr>
          <w:p w14:paraId="3F1B5570" w14:textId="77777777" w:rsidR="009E6A8A" w:rsidRPr="004450EB" w:rsidRDefault="009E6A8A" w:rsidP="001E4EF7">
            <w:pPr>
              <w:jc w:val="center"/>
              <w:rPr>
                <w:rFonts w:ascii="Calibri" w:eastAsia="Times New Roman" w:hAnsi="Calibri" w:cs="Times New Roman"/>
                <w:b/>
                <w:color w:val="000000"/>
                <w:lang w:eastAsia="en-GB"/>
              </w:rPr>
            </w:pPr>
            <w:r w:rsidRPr="004450EB">
              <w:rPr>
                <w:rFonts w:ascii="Calibri" w:eastAsia="Times New Roman" w:hAnsi="Calibri" w:cs="Times New Roman"/>
                <w:b/>
                <w:color w:val="000000"/>
                <w:lang w:eastAsia="en-GB"/>
              </w:rPr>
              <w:t>CFCS</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16A976A4"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w:t>
            </w:r>
          </w:p>
        </w:tc>
        <w:tc>
          <w:tcPr>
            <w:tcW w:w="907" w:type="dxa"/>
            <w:gridSpan w:val="2"/>
            <w:tcBorders>
              <w:top w:val="nil"/>
              <w:left w:val="nil"/>
              <w:bottom w:val="single" w:sz="4" w:space="0" w:color="auto"/>
              <w:right w:val="single" w:sz="4" w:space="0" w:color="auto"/>
            </w:tcBorders>
            <w:shd w:val="clear" w:color="000000" w:fill="95B3D7"/>
            <w:noWrap/>
            <w:vAlign w:val="bottom"/>
          </w:tcPr>
          <w:p w14:paraId="7E3939F5"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6</w:t>
            </w:r>
            <w:r w:rsidRPr="00926483">
              <w:rPr>
                <w:rFonts w:ascii="Calibri" w:eastAsia="Times New Roman" w:hAnsi="Calibri" w:cs="Times New Roman"/>
                <w:b/>
                <w:color w:val="000000"/>
                <w:lang w:eastAsia="en-GB"/>
              </w:rPr>
              <w:br/>
              <w:t>(4%)</w:t>
            </w:r>
          </w:p>
        </w:tc>
        <w:tc>
          <w:tcPr>
            <w:tcW w:w="907" w:type="dxa"/>
            <w:tcBorders>
              <w:top w:val="nil"/>
              <w:left w:val="nil"/>
              <w:bottom w:val="single" w:sz="4" w:space="0" w:color="auto"/>
              <w:right w:val="single" w:sz="4" w:space="0" w:color="auto"/>
            </w:tcBorders>
            <w:shd w:val="clear" w:color="000000" w:fill="DCE6F1"/>
            <w:noWrap/>
            <w:vAlign w:val="bottom"/>
          </w:tcPr>
          <w:p w14:paraId="747157AC"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6</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000000" w:fill="DCE6F1"/>
            <w:noWrap/>
            <w:vAlign w:val="bottom"/>
          </w:tcPr>
          <w:p w14:paraId="3B3D6270"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4</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3CF62D64"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12" w:space="0" w:color="auto"/>
            </w:tcBorders>
            <w:shd w:val="clear" w:color="000000" w:fill="E6B8B7"/>
            <w:noWrap/>
            <w:vAlign w:val="bottom"/>
          </w:tcPr>
          <w:p w14:paraId="4B3832D7"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gridSpan w:val="2"/>
            <w:tcBorders>
              <w:top w:val="single" w:sz="4" w:space="0" w:color="auto"/>
              <w:left w:val="single" w:sz="12" w:space="0" w:color="auto"/>
              <w:bottom w:val="single" w:sz="4" w:space="0" w:color="auto"/>
              <w:right w:val="nil"/>
            </w:tcBorders>
            <w:shd w:val="clear" w:color="000000" w:fill="F0F5E5"/>
            <w:noWrap/>
            <w:vAlign w:val="bottom"/>
          </w:tcPr>
          <w:p w14:paraId="46032FF5"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25</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16</w:t>
            </w:r>
            <w:r>
              <w:rPr>
                <w:rFonts w:ascii="Calibri" w:eastAsia="Times New Roman" w:hAnsi="Calibri" w:cs="Times New Roman"/>
                <w:color w:val="000000"/>
                <w:lang w:eastAsia="en-GB"/>
              </w:rPr>
              <w:t>%)</w:t>
            </w:r>
          </w:p>
        </w:tc>
      </w:tr>
      <w:tr w:rsidR="009E6A8A" w:rsidRPr="004450EB" w14:paraId="2495E7C7" w14:textId="77777777">
        <w:trPr>
          <w:gridAfter w:val="1"/>
          <w:wAfter w:w="559" w:type="dxa"/>
          <w:trHeight w:val="300"/>
          <w:jc w:val="center"/>
        </w:trPr>
        <w:tc>
          <w:tcPr>
            <w:tcW w:w="960" w:type="dxa"/>
            <w:vMerge/>
            <w:tcBorders>
              <w:top w:val="nil"/>
              <w:left w:val="nil"/>
              <w:bottom w:val="nil"/>
              <w:right w:val="nil"/>
            </w:tcBorders>
            <w:vAlign w:val="center"/>
          </w:tcPr>
          <w:p w14:paraId="392C1960" w14:textId="77777777" w:rsidR="009E6A8A" w:rsidRPr="004450EB" w:rsidRDefault="009E6A8A" w:rsidP="001E4EF7">
            <w:pPr>
              <w:rPr>
                <w:rFonts w:ascii="Calibri" w:eastAsia="Times New Roman" w:hAnsi="Calibri" w:cs="Times New Roman"/>
                <w:color w:val="000000"/>
                <w:lang w:eastAsia="en-GB"/>
              </w:rPr>
            </w:pPr>
          </w:p>
        </w:tc>
        <w:tc>
          <w:tcPr>
            <w:tcW w:w="794" w:type="dxa"/>
            <w:tcBorders>
              <w:top w:val="nil"/>
              <w:left w:val="nil"/>
              <w:bottom w:val="single" w:sz="4" w:space="0" w:color="auto"/>
              <w:right w:val="single" w:sz="4" w:space="0" w:color="auto"/>
            </w:tcBorders>
            <w:shd w:val="clear" w:color="auto" w:fill="auto"/>
            <w:noWrap/>
            <w:vAlign w:val="center"/>
          </w:tcPr>
          <w:p w14:paraId="6BD656E2"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II</w:t>
            </w:r>
          </w:p>
        </w:tc>
        <w:tc>
          <w:tcPr>
            <w:tcW w:w="907" w:type="dxa"/>
            <w:gridSpan w:val="2"/>
            <w:tcBorders>
              <w:top w:val="nil"/>
              <w:left w:val="nil"/>
              <w:bottom w:val="single" w:sz="4" w:space="0" w:color="auto"/>
              <w:right w:val="single" w:sz="4" w:space="0" w:color="auto"/>
            </w:tcBorders>
            <w:shd w:val="clear" w:color="auto" w:fill="auto"/>
            <w:noWrap/>
            <w:vAlign w:val="bottom"/>
          </w:tcPr>
          <w:p w14:paraId="18D0193C"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0264D377"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6</w:t>
            </w:r>
            <w:r w:rsidRPr="00926483">
              <w:rPr>
                <w:rFonts w:ascii="Calibri" w:eastAsia="Times New Roman" w:hAnsi="Calibri" w:cs="Times New Roman"/>
                <w:b/>
                <w:color w:val="000000"/>
                <w:lang w:eastAsia="en-GB"/>
              </w:rPr>
              <w:br/>
              <w:t>(4%)</w:t>
            </w:r>
          </w:p>
        </w:tc>
        <w:tc>
          <w:tcPr>
            <w:tcW w:w="907" w:type="dxa"/>
            <w:tcBorders>
              <w:top w:val="nil"/>
              <w:left w:val="nil"/>
              <w:bottom w:val="single" w:sz="4" w:space="0" w:color="auto"/>
              <w:right w:val="single" w:sz="4" w:space="0" w:color="auto"/>
            </w:tcBorders>
            <w:shd w:val="clear" w:color="000000" w:fill="DCE6F1"/>
            <w:noWrap/>
            <w:vAlign w:val="bottom"/>
          </w:tcPr>
          <w:p w14:paraId="71112656"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6</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39F8B498"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5</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12" w:space="0" w:color="auto"/>
            </w:tcBorders>
            <w:shd w:val="clear" w:color="000000" w:fill="E6B8B7"/>
            <w:noWrap/>
            <w:vAlign w:val="bottom"/>
          </w:tcPr>
          <w:p w14:paraId="153505A9"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w:t>
            </w:r>
            <w:r>
              <w:rPr>
                <w:rFonts w:ascii="Calibri" w:eastAsia="Times New Roman" w:hAnsi="Calibri" w:cs="Times New Roman"/>
                <w:color w:val="000000"/>
                <w:lang w:eastAsia="en-GB"/>
              </w:rPr>
              <w:t>%)</w:t>
            </w:r>
          </w:p>
        </w:tc>
        <w:tc>
          <w:tcPr>
            <w:tcW w:w="907" w:type="dxa"/>
            <w:gridSpan w:val="2"/>
            <w:tcBorders>
              <w:top w:val="single" w:sz="4" w:space="0" w:color="auto"/>
              <w:left w:val="single" w:sz="12" w:space="0" w:color="auto"/>
              <w:bottom w:val="single" w:sz="4" w:space="0" w:color="auto"/>
              <w:right w:val="nil"/>
            </w:tcBorders>
            <w:shd w:val="clear" w:color="000000" w:fill="EFF4E4"/>
            <w:noWrap/>
            <w:vAlign w:val="bottom"/>
          </w:tcPr>
          <w:p w14:paraId="2E26E116"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26</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16</w:t>
            </w:r>
            <w:r>
              <w:rPr>
                <w:rFonts w:ascii="Calibri" w:eastAsia="Times New Roman" w:hAnsi="Calibri" w:cs="Times New Roman"/>
                <w:color w:val="000000"/>
                <w:lang w:eastAsia="en-GB"/>
              </w:rPr>
              <w:t>%)</w:t>
            </w:r>
          </w:p>
        </w:tc>
      </w:tr>
      <w:tr w:rsidR="009E6A8A" w:rsidRPr="004450EB" w14:paraId="1B2F1D94" w14:textId="77777777">
        <w:trPr>
          <w:gridAfter w:val="1"/>
          <w:wAfter w:w="559" w:type="dxa"/>
          <w:trHeight w:val="315"/>
          <w:jc w:val="center"/>
        </w:trPr>
        <w:tc>
          <w:tcPr>
            <w:tcW w:w="960" w:type="dxa"/>
            <w:vMerge/>
            <w:tcBorders>
              <w:top w:val="nil"/>
              <w:left w:val="nil"/>
              <w:bottom w:val="nil"/>
              <w:right w:val="nil"/>
            </w:tcBorders>
            <w:vAlign w:val="center"/>
          </w:tcPr>
          <w:p w14:paraId="25E98E84" w14:textId="77777777" w:rsidR="009E6A8A" w:rsidRPr="004450EB" w:rsidRDefault="009E6A8A" w:rsidP="001E4EF7">
            <w:pPr>
              <w:rPr>
                <w:rFonts w:ascii="Calibri" w:eastAsia="Times New Roman" w:hAnsi="Calibri" w:cs="Times New Roman"/>
                <w:color w:val="000000"/>
                <w:lang w:eastAsia="en-GB"/>
              </w:rPr>
            </w:pPr>
          </w:p>
        </w:tc>
        <w:tc>
          <w:tcPr>
            <w:tcW w:w="794" w:type="dxa"/>
            <w:tcBorders>
              <w:top w:val="nil"/>
              <w:left w:val="nil"/>
              <w:bottom w:val="single" w:sz="4" w:space="0" w:color="auto"/>
              <w:right w:val="single" w:sz="4" w:space="0" w:color="auto"/>
            </w:tcBorders>
            <w:shd w:val="clear" w:color="auto" w:fill="auto"/>
            <w:noWrap/>
            <w:vAlign w:val="center"/>
          </w:tcPr>
          <w:p w14:paraId="0C0D33E6"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III</w:t>
            </w:r>
          </w:p>
        </w:tc>
        <w:tc>
          <w:tcPr>
            <w:tcW w:w="907" w:type="dxa"/>
            <w:gridSpan w:val="2"/>
            <w:tcBorders>
              <w:top w:val="nil"/>
              <w:left w:val="nil"/>
              <w:bottom w:val="single" w:sz="4" w:space="0" w:color="auto"/>
              <w:right w:val="single" w:sz="4" w:space="0" w:color="auto"/>
            </w:tcBorders>
            <w:shd w:val="clear" w:color="auto" w:fill="auto"/>
            <w:noWrap/>
            <w:vAlign w:val="bottom"/>
          </w:tcPr>
          <w:p w14:paraId="718CBF24"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3F8DB7F2"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3AD6A019"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1</w:t>
            </w:r>
            <w:r w:rsidRPr="00926483">
              <w:rPr>
                <w:rFonts w:ascii="Calibri" w:eastAsia="Times New Roman" w:hAnsi="Calibri" w:cs="Times New Roman"/>
                <w:b/>
                <w:color w:val="000000"/>
                <w:lang w:eastAsia="en-GB"/>
              </w:rPr>
              <w:br/>
              <w:t>(1%)</w:t>
            </w:r>
          </w:p>
        </w:tc>
        <w:tc>
          <w:tcPr>
            <w:tcW w:w="907" w:type="dxa"/>
            <w:tcBorders>
              <w:top w:val="nil"/>
              <w:left w:val="nil"/>
              <w:bottom w:val="single" w:sz="4" w:space="0" w:color="auto"/>
              <w:right w:val="single" w:sz="4" w:space="0" w:color="auto"/>
            </w:tcBorders>
            <w:shd w:val="clear" w:color="auto" w:fill="auto"/>
            <w:noWrap/>
            <w:vAlign w:val="bottom"/>
          </w:tcPr>
          <w:p w14:paraId="56C8A91C"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6</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12" w:space="0" w:color="auto"/>
            </w:tcBorders>
            <w:shd w:val="clear" w:color="auto" w:fill="auto"/>
            <w:noWrap/>
            <w:vAlign w:val="bottom"/>
          </w:tcPr>
          <w:p w14:paraId="6B0C82B1"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23</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15</w:t>
            </w:r>
            <w:r>
              <w:rPr>
                <w:rFonts w:ascii="Calibri" w:eastAsia="Times New Roman" w:hAnsi="Calibri" w:cs="Times New Roman"/>
                <w:color w:val="000000"/>
                <w:lang w:eastAsia="en-GB"/>
              </w:rPr>
              <w:t>%)</w:t>
            </w:r>
          </w:p>
        </w:tc>
        <w:tc>
          <w:tcPr>
            <w:tcW w:w="907" w:type="dxa"/>
            <w:gridSpan w:val="2"/>
            <w:tcBorders>
              <w:top w:val="single" w:sz="4" w:space="0" w:color="auto"/>
              <w:left w:val="single" w:sz="12" w:space="0" w:color="auto"/>
              <w:bottom w:val="single" w:sz="4" w:space="0" w:color="auto"/>
              <w:right w:val="nil"/>
            </w:tcBorders>
            <w:shd w:val="clear" w:color="000000" w:fill="E9F0DA"/>
            <w:noWrap/>
            <w:vAlign w:val="bottom"/>
          </w:tcPr>
          <w:p w14:paraId="59FEB33D"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36</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23</w:t>
            </w:r>
            <w:r>
              <w:rPr>
                <w:rFonts w:ascii="Calibri" w:eastAsia="Times New Roman" w:hAnsi="Calibri" w:cs="Times New Roman"/>
                <w:color w:val="000000"/>
                <w:lang w:eastAsia="en-GB"/>
              </w:rPr>
              <w:t>%)</w:t>
            </w:r>
          </w:p>
        </w:tc>
      </w:tr>
      <w:tr w:rsidR="009E6A8A" w:rsidRPr="004450EB" w14:paraId="42BE81C4" w14:textId="77777777">
        <w:trPr>
          <w:gridAfter w:val="1"/>
          <w:wAfter w:w="559" w:type="dxa"/>
          <w:trHeight w:val="300"/>
          <w:jc w:val="center"/>
        </w:trPr>
        <w:tc>
          <w:tcPr>
            <w:tcW w:w="960" w:type="dxa"/>
            <w:vMerge/>
            <w:tcBorders>
              <w:top w:val="nil"/>
              <w:left w:val="nil"/>
              <w:bottom w:val="nil"/>
              <w:right w:val="nil"/>
            </w:tcBorders>
            <w:vAlign w:val="center"/>
          </w:tcPr>
          <w:p w14:paraId="798E7840" w14:textId="77777777" w:rsidR="009E6A8A" w:rsidRPr="004450EB" w:rsidRDefault="009E6A8A" w:rsidP="001E4EF7">
            <w:pPr>
              <w:rPr>
                <w:rFonts w:ascii="Calibri" w:eastAsia="Times New Roman" w:hAnsi="Calibri" w:cs="Times New Roman"/>
                <w:color w:val="000000"/>
                <w:lang w:eastAsia="en-GB"/>
              </w:rPr>
            </w:pPr>
          </w:p>
        </w:tc>
        <w:tc>
          <w:tcPr>
            <w:tcW w:w="794" w:type="dxa"/>
            <w:tcBorders>
              <w:top w:val="nil"/>
              <w:left w:val="nil"/>
              <w:bottom w:val="single" w:sz="4" w:space="0" w:color="auto"/>
              <w:right w:val="single" w:sz="4" w:space="0" w:color="auto"/>
            </w:tcBorders>
            <w:shd w:val="clear" w:color="auto" w:fill="auto"/>
            <w:noWrap/>
            <w:vAlign w:val="center"/>
          </w:tcPr>
          <w:p w14:paraId="69A82602"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IV</w:t>
            </w:r>
          </w:p>
        </w:tc>
        <w:tc>
          <w:tcPr>
            <w:tcW w:w="907" w:type="dxa"/>
            <w:gridSpan w:val="2"/>
            <w:tcBorders>
              <w:top w:val="nil"/>
              <w:left w:val="nil"/>
              <w:bottom w:val="single" w:sz="4" w:space="0" w:color="auto"/>
              <w:right w:val="single" w:sz="4" w:space="0" w:color="auto"/>
            </w:tcBorders>
            <w:shd w:val="clear" w:color="auto" w:fill="auto"/>
            <w:noWrap/>
            <w:vAlign w:val="bottom"/>
          </w:tcPr>
          <w:p w14:paraId="72C7172E"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5AD13499"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2</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26DBB936"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w:t>
            </w:r>
            <w:r>
              <w:rPr>
                <w:rFonts w:ascii="Calibri" w:eastAsia="Times New Roman" w:hAnsi="Calibri" w:cs="Times New Roman"/>
                <w:color w:val="000000"/>
                <w:lang w:eastAsia="en-GB"/>
              </w:rPr>
              <w:t>%)</w:t>
            </w:r>
          </w:p>
        </w:tc>
        <w:tc>
          <w:tcPr>
            <w:tcW w:w="907" w:type="dxa"/>
            <w:tcBorders>
              <w:top w:val="nil"/>
              <w:left w:val="nil"/>
              <w:bottom w:val="single" w:sz="4" w:space="0" w:color="auto"/>
              <w:right w:val="single" w:sz="4" w:space="0" w:color="auto"/>
            </w:tcBorders>
            <w:shd w:val="clear" w:color="auto" w:fill="auto"/>
            <w:noWrap/>
            <w:vAlign w:val="bottom"/>
          </w:tcPr>
          <w:p w14:paraId="565D081C"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6</w:t>
            </w:r>
            <w:r w:rsidRPr="00926483">
              <w:rPr>
                <w:rFonts w:ascii="Calibri" w:eastAsia="Times New Roman" w:hAnsi="Calibri" w:cs="Times New Roman"/>
                <w:b/>
                <w:color w:val="000000"/>
                <w:lang w:eastAsia="en-GB"/>
              </w:rPr>
              <w:br/>
              <w:t>(4%)</w:t>
            </w:r>
          </w:p>
        </w:tc>
        <w:tc>
          <w:tcPr>
            <w:tcW w:w="907" w:type="dxa"/>
            <w:tcBorders>
              <w:top w:val="nil"/>
              <w:left w:val="nil"/>
              <w:bottom w:val="single" w:sz="4" w:space="0" w:color="auto"/>
              <w:right w:val="single" w:sz="12" w:space="0" w:color="auto"/>
            </w:tcBorders>
            <w:shd w:val="clear" w:color="000000" w:fill="DCE6F1"/>
            <w:noWrap/>
            <w:vAlign w:val="bottom"/>
          </w:tcPr>
          <w:p w14:paraId="4A0CFC8D"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38</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24</w:t>
            </w:r>
            <w:r>
              <w:rPr>
                <w:rFonts w:ascii="Calibri" w:eastAsia="Times New Roman" w:hAnsi="Calibri" w:cs="Times New Roman"/>
                <w:color w:val="000000"/>
                <w:lang w:eastAsia="en-GB"/>
              </w:rPr>
              <w:t>%)</w:t>
            </w:r>
          </w:p>
        </w:tc>
        <w:tc>
          <w:tcPr>
            <w:tcW w:w="907" w:type="dxa"/>
            <w:gridSpan w:val="2"/>
            <w:tcBorders>
              <w:top w:val="single" w:sz="4" w:space="0" w:color="auto"/>
              <w:left w:val="single" w:sz="12" w:space="0" w:color="auto"/>
              <w:bottom w:val="single" w:sz="4" w:space="0" w:color="auto"/>
              <w:right w:val="nil"/>
            </w:tcBorders>
            <w:shd w:val="clear" w:color="000000" w:fill="E0EACC"/>
            <w:noWrap/>
            <w:vAlign w:val="bottom"/>
          </w:tcPr>
          <w:p w14:paraId="6F419A04"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49</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31</w:t>
            </w:r>
            <w:r>
              <w:rPr>
                <w:rFonts w:ascii="Calibri" w:eastAsia="Times New Roman" w:hAnsi="Calibri" w:cs="Times New Roman"/>
                <w:color w:val="000000"/>
                <w:lang w:eastAsia="en-GB"/>
              </w:rPr>
              <w:t>%)</w:t>
            </w:r>
          </w:p>
        </w:tc>
      </w:tr>
      <w:tr w:rsidR="009E6A8A" w:rsidRPr="004450EB" w14:paraId="2953BCC1" w14:textId="77777777">
        <w:trPr>
          <w:gridAfter w:val="1"/>
          <w:wAfter w:w="559" w:type="dxa"/>
          <w:trHeight w:val="315"/>
          <w:jc w:val="center"/>
        </w:trPr>
        <w:tc>
          <w:tcPr>
            <w:tcW w:w="960" w:type="dxa"/>
            <w:vMerge/>
            <w:tcBorders>
              <w:top w:val="nil"/>
              <w:left w:val="nil"/>
              <w:bottom w:val="nil"/>
              <w:right w:val="nil"/>
            </w:tcBorders>
            <w:vAlign w:val="center"/>
          </w:tcPr>
          <w:p w14:paraId="21850EDA" w14:textId="77777777" w:rsidR="009E6A8A" w:rsidRPr="004450EB" w:rsidRDefault="009E6A8A" w:rsidP="001E4EF7">
            <w:pPr>
              <w:rPr>
                <w:rFonts w:ascii="Calibri" w:eastAsia="Times New Roman" w:hAnsi="Calibri" w:cs="Times New Roman"/>
                <w:color w:val="000000"/>
                <w:lang w:eastAsia="en-GB"/>
              </w:rPr>
            </w:pPr>
          </w:p>
        </w:tc>
        <w:tc>
          <w:tcPr>
            <w:tcW w:w="794" w:type="dxa"/>
            <w:tcBorders>
              <w:top w:val="nil"/>
              <w:left w:val="nil"/>
              <w:bottom w:val="single" w:sz="12" w:space="0" w:color="auto"/>
              <w:right w:val="single" w:sz="4" w:space="0" w:color="auto"/>
            </w:tcBorders>
            <w:shd w:val="clear" w:color="auto" w:fill="auto"/>
            <w:noWrap/>
            <w:vAlign w:val="center"/>
          </w:tcPr>
          <w:p w14:paraId="08978216"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V</w:t>
            </w:r>
          </w:p>
        </w:tc>
        <w:tc>
          <w:tcPr>
            <w:tcW w:w="907" w:type="dxa"/>
            <w:gridSpan w:val="2"/>
            <w:tcBorders>
              <w:top w:val="nil"/>
              <w:left w:val="nil"/>
              <w:bottom w:val="single" w:sz="12" w:space="0" w:color="auto"/>
              <w:right w:val="single" w:sz="4" w:space="0" w:color="auto"/>
            </w:tcBorders>
            <w:shd w:val="clear" w:color="auto" w:fill="auto"/>
            <w:noWrap/>
            <w:vAlign w:val="bottom"/>
          </w:tcPr>
          <w:p w14:paraId="37664502"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tcBorders>
              <w:top w:val="nil"/>
              <w:left w:val="nil"/>
              <w:bottom w:val="single" w:sz="12" w:space="0" w:color="auto"/>
              <w:right w:val="single" w:sz="4" w:space="0" w:color="auto"/>
            </w:tcBorders>
            <w:shd w:val="clear" w:color="auto" w:fill="auto"/>
            <w:noWrap/>
            <w:vAlign w:val="bottom"/>
          </w:tcPr>
          <w:p w14:paraId="69722E59"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tcBorders>
              <w:top w:val="nil"/>
              <w:left w:val="nil"/>
              <w:bottom w:val="single" w:sz="12" w:space="0" w:color="auto"/>
              <w:right w:val="single" w:sz="4" w:space="0" w:color="auto"/>
            </w:tcBorders>
            <w:shd w:val="clear" w:color="auto" w:fill="auto"/>
            <w:noWrap/>
            <w:vAlign w:val="bottom"/>
          </w:tcPr>
          <w:p w14:paraId="5C68F741"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tcBorders>
              <w:top w:val="nil"/>
              <w:left w:val="nil"/>
              <w:bottom w:val="single" w:sz="12" w:space="0" w:color="auto"/>
              <w:right w:val="single" w:sz="4" w:space="0" w:color="auto"/>
            </w:tcBorders>
            <w:shd w:val="clear" w:color="auto" w:fill="auto"/>
            <w:noWrap/>
            <w:vAlign w:val="bottom"/>
          </w:tcPr>
          <w:p w14:paraId="41E25A2C"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0</w:t>
            </w:r>
            <w:r>
              <w:rPr>
                <w:rFonts w:ascii="Calibri" w:eastAsia="Times New Roman" w:hAnsi="Calibri" w:cs="Times New Roman"/>
                <w:color w:val="000000"/>
                <w:lang w:eastAsia="en-GB"/>
              </w:rPr>
              <w:t>%)</w:t>
            </w:r>
          </w:p>
        </w:tc>
        <w:tc>
          <w:tcPr>
            <w:tcW w:w="907" w:type="dxa"/>
            <w:tcBorders>
              <w:top w:val="nil"/>
              <w:left w:val="nil"/>
              <w:bottom w:val="single" w:sz="12" w:space="0" w:color="auto"/>
              <w:right w:val="single" w:sz="12" w:space="0" w:color="auto"/>
            </w:tcBorders>
            <w:shd w:val="clear" w:color="000000" w:fill="DCE6F1"/>
            <w:noWrap/>
            <w:vAlign w:val="bottom"/>
          </w:tcPr>
          <w:p w14:paraId="23AA107E"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22</w:t>
            </w:r>
            <w:r w:rsidRPr="00926483">
              <w:rPr>
                <w:rFonts w:ascii="Calibri" w:eastAsia="Times New Roman" w:hAnsi="Calibri" w:cs="Times New Roman"/>
                <w:b/>
                <w:color w:val="000000"/>
                <w:lang w:eastAsia="en-GB"/>
              </w:rPr>
              <w:br/>
              <w:t>(14%)</w:t>
            </w:r>
          </w:p>
        </w:tc>
        <w:tc>
          <w:tcPr>
            <w:tcW w:w="907" w:type="dxa"/>
            <w:gridSpan w:val="2"/>
            <w:tcBorders>
              <w:top w:val="single" w:sz="4" w:space="0" w:color="auto"/>
              <w:left w:val="single" w:sz="12" w:space="0" w:color="auto"/>
              <w:bottom w:val="single" w:sz="12" w:space="0" w:color="auto"/>
              <w:right w:val="nil"/>
            </w:tcBorders>
            <w:shd w:val="clear" w:color="000000" w:fill="F2F6E8"/>
            <w:noWrap/>
            <w:vAlign w:val="bottom"/>
          </w:tcPr>
          <w:p w14:paraId="4E4788B1"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22</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14</w:t>
            </w:r>
            <w:r>
              <w:rPr>
                <w:rFonts w:ascii="Calibri" w:eastAsia="Times New Roman" w:hAnsi="Calibri" w:cs="Times New Roman"/>
                <w:color w:val="000000"/>
                <w:lang w:eastAsia="en-GB"/>
              </w:rPr>
              <w:t>%)</w:t>
            </w:r>
          </w:p>
        </w:tc>
      </w:tr>
      <w:tr w:rsidR="009E6A8A" w:rsidRPr="004450EB" w14:paraId="08E705FF" w14:textId="77777777">
        <w:trPr>
          <w:gridAfter w:val="1"/>
          <w:wAfter w:w="559" w:type="dxa"/>
          <w:trHeight w:val="300"/>
          <w:jc w:val="center"/>
        </w:trPr>
        <w:tc>
          <w:tcPr>
            <w:tcW w:w="960" w:type="dxa"/>
            <w:tcBorders>
              <w:left w:val="nil"/>
              <w:bottom w:val="nil"/>
              <w:right w:val="nil"/>
            </w:tcBorders>
            <w:shd w:val="clear" w:color="auto" w:fill="auto"/>
            <w:noWrap/>
            <w:vAlign w:val="bottom"/>
          </w:tcPr>
          <w:p w14:paraId="0C7CF269" w14:textId="77777777" w:rsidR="009E6A8A" w:rsidRPr="004450EB" w:rsidRDefault="009E6A8A" w:rsidP="001E4EF7">
            <w:pPr>
              <w:rPr>
                <w:rFonts w:ascii="Calibri" w:eastAsia="Times New Roman" w:hAnsi="Calibri" w:cs="Times New Roman"/>
                <w:color w:val="000000"/>
                <w:lang w:eastAsia="en-GB"/>
              </w:rPr>
            </w:pPr>
            <w:r w:rsidRPr="004450EB">
              <w:rPr>
                <w:rFonts w:ascii="Calibri" w:eastAsia="Times New Roman" w:hAnsi="Calibri" w:cs="Times New Roman"/>
                <w:color w:val="000000"/>
                <w:lang w:eastAsia="en-GB"/>
              </w:rPr>
              <w:t> </w:t>
            </w:r>
          </w:p>
        </w:tc>
        <w:tc>
          <w:tcPr>
            <w:tcW w:w="794" w:type="dxa"/>
            <w:tcBorders>
              <w:top w:val="single" w:sz="12" w:space="0" w:color="auto"/>
              <w:left w:val="nil"/>
              <w:bottom w:val="nil"/>
              <w:right w:val="single" w:sz="4" w:space="0" w:color="auto"/>
            </w:tcBorders>
            <w:shd w:val="clear" w:color="auto" w:fill="auto"/>
            <w:noWrap/>
            <w:vAlign w:val="center"/>
          </w:tcPr>
          <w:p w14:paraId="306C65C3" w14:textId="77777777" w:rsidR="009E6A8A" w:rsidRPr="00926483" w:rsidRDefault="009E6A8A" w:rsidP="001E4EF7">
            <w:pPr>
              <w:jc w:val="right"/>
              <w:rPr>
                <w:rFonts w:ascii="Calibri" w:eastAsia="Times New Roman" w:hAnsi="Calibri" w:cs="Times New Roman"/>
                <w:b/>
                <w:color w:val="000000"/>
                <w:lang w:eastAsia="en-GB"/>
              </w:rPr>
            </w:pPr>
            <w:r w:rsidRPr="00926483">
              <w:rPr>
                <w:rFonts w:ascii="Calibri" w:eastAsia="Times New Roman" w:hAnsi="Calibri" w:cs="Times New Roman"/>
                <w:b/>
                <w:color w:val="000000"/>
                <w:lang w:eastAsia="en-GB"/>
              </w:rPr>
              <w:t>Totals</w:t>
            </w:r>
          </w:p>
        </w:tc>
        <w:tc>
          <w:tcPr>
            <w:tcW w:w="907" w:type="dxa"/>
            <w:gridSpan w:val="2"/>
            <w:tcBorders>
              <w:top w:val="single" w:sz="12" w:space="0" w:color="auto"/>
              <w:left w:val="single" w:sz="4" w:space="0" w:color="auto"/>
              <w:bottom w:val="nil"/>
              <w:right w:val="single" w:sz="4" w:space="0" w:color="auto"/>
            </w:tcBorders>
            <w:shd w:val="clear" w:color="000000" w:fill="FBFCF8"/>
            <w:noWrap/>
            <w:vAlign w:val="bottom"/>
          </w:tcPr>
          <w:p w14:paraId="4988A57C"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4</w:t>
            </w:r>
            <w:r>
              <w:rPr>
                <w:rFonts w:ascii="Calibri" w:eastAsia="Times New Roman" w:hAnsi="Calibri" w:cs="Times New Roman"/>
                <w:color w:val="000000"/>
                <w:lang w:eastAsia="en-GB"/>
              </w:rPr>
              <w:t>%)</w:t>
            </w:r>
          </w:p>
        </w:tc>
        <w:tc>
          <w:tcPr>
            <w:tcW w:w="907" w:type="dxa"/>
            <w:tcBorders>
              <w:top w:val="single" w:sz="12" w:space="0" w:color="auto"/>
              <w:left w:val="single" w:sz="4" w:space="0" w:color="auto"/>
              <w:bottom w:val="nil"/>
              <w:right w:val="single" w:sz="4" w:space="0" w:color="auto"/>
            </w:tcBorders>
            <w:shd w:val="clear" w:color="000000" w:fill="F2F6E9"/>
            <w:noWrap/>
            <w:vAlign w:val="bottom"/>
          </w:tcPr>
          <w:p w14:paraId="1A415001"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21</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13</w:t>
            </w:r>
            <w:r>
              <w:rPr>
                <w:rFonts w:ascii="Calibri" w:eastAsia="Times New Roman" w:hAnsi="Calibri" w:cs="Times New Roman"/>
                <w:color w:val="000000"/>
                <w:lang w:eastAsia="en-GB"/>
              </w:rPr>
              <w:t>%)</w:t>
            </w:r>
          </w:p>
        </w:tc>
        <w:tc>
          <w:tcPr>
            <w:tcW w:w="907" w:type="dxa"/>
            <w:tcBorders>
              <w:top w:val="single" w:sz="12" w:space="0" w:color="auto"/>
              <w:left w:val="single" w:sz="4" w:space="0" w:color="auto"/>
              <w:bottom w:val="nil"/>
              <w:right w:val="single" w:sz="4" w:space="0" w:color="auto"/>
            </w:tcBorders>
            <w:shd w:val="clear" w:color="000000" w:fill="F3F7EA"/>
            <w:noWrap/>
            <w:vAlign w:val="bottom"/>
          </w:tcPr>
          <w:p w14:paraId="56A6F48D"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20</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13</w:t>
            </w:r>
            <w:r>
              <w:rPr>
                <w:rFonts w:ascii="Calibri" w:eastAsia="Times New Roman" w:hAnsi="Calibri" w:cs="Times New Roman"/>
                <w:color w:val="000000"/>
                <w:lang w:eastAsia="en-GB"/>
              </w:rPr>
              <w:t>%)</w:t>
            </w:r>
          </w:p>
        </w:tc>
        <w:tc>
          <w:tcPr>
            <w:tcW w:w="907" w:type="dxa"/>
            <w:tcBorders>
              <w:top w:val="single" w:sz="12" w:space="0" w:color="auto"/>
              <w:left w:val="single" w:sz="4" w:space="0" w:color="auto"/>
              <w:bottom w:val="nil"/>
              <w:right w:val="single" w:sz="4" w:space="0" w:color="auto"/>
            </w:tcBorders>
            <w:shd w:val="clear" w:color="000000" w:fill="EFF4E4"/>
            <w:noWrap/>
            <w:vAlign w:val="bottom"/>
          </w:tcPr>
          <w:p w14:paraId="5E00BC48"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26</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16</w:t>
            </w:r>
            <w:r>
              <w:rPr>
                <w:rFonts w:ascii="Calibri" w:eastAsia="Times New Roman" w:hAnsi="Calibri" w:cs="Times New Roman"/>
                <w:color w:val="000000"/>
                <w:lang w:eastAsia="en-GB"/>
              </w:rPr>
              <w:t>%)</w:t>
            </w:r>
          </w:p>
        </w:tc>
        <w:tc>
          <w:tcPr>
            <w:tcW w:w="907" w:type="dxa"/>
            <w:tcBorders>
              <w:top w:val="single" w:sz="12" w:space="0" w:color="auto"/>
              <w:left w:val="single" w:sz="4" w:space="0" w:color="auto"/>
              <w:bottom w:val="nil"/>
              <w:right w:val="single" w:sz="12" w:space="0" w:color="auto"/>
            </w:tcBorders>
            <w:shd w:val="clear" w:color="000000" w:fill="C8DAA4"/>
            <w:noWrap/>
            <w:vAlign w:val="bottom"/>
          </w:tcPr>
          <w:p w14:paraId="5D44080C"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87</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55</w:t>
            </w:r>
            <w:r>
              <w:rPr>
                <w:rFonts w:ascii="Calibri" w:eastAsia="Times New Roman" w:hAnsi="Calibri" w:cs="Times New Roman"/>
                <w:color w:val="000000"/>
                <w:lang w:eastAsia="en-GB"/>
              </w:rPr>
              <w:t>%)</w:t>
            </w:r>
          </w:p>
        </w:tc>
        <w:tc>
          <w:tcPr>
            <w:tcW w:w="907" w:type="dxa"/>
            <w:gridSpan w:val="2"/>
            <w:tcBorders>
              <w:top w:val="single" w:sz="12" w:space="0" w:color="auto"/>
              <w:left w:val="single" w:sz="12" w:space="0" w:color="auto"/>
              <w:bottom w:val="nil"/>
              <w:right w:val="nil"/>
            </w:tcBorders>
            <w:shd w:val="clear" w:color="000000" w:fill="9BBB59"/>
            <w:noWrap/>
            <w:vAlign w:val="bottom"/>
          </w:tcPr>
          <w:p w14:paraId="15F591CC" w14:textId="77777777" w:rsidR="009E6A8A" w:rsidRPr="004450EB" w:rsidRDefault="009E6A8A" w:rsidP="001E4EF7">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158</w:t>
            </w:r>
            <w:r>
              <w:rPr>
                <w:rFonts w:ascii="Calibri" w:eastAsia="Times New Roman" w:hAnsi="Calibri" w:cs="Times New Roman"/>
                <w:color w:val="000000"/>
                <w:lang w:eastAsia="en-GB"/>
              </w:rPr>
              <w:br/>
              <w:t>(</w:t>
            </w:r>
            <w:r w:rsidRPr="004450EB">
              <w:rPr>
                <w:rFonts w:ascii="Calibri" w:eastAsia="Times New Roman" w:hAnsi="Calibri" w:cs="Times New Roman"/>
                <w:color w:val="000000"/>
                <w:lang w:eastAsia="en-GB"/>
              </w:rPr>
              <w:t>100</w:t>
            </w:r>
            <w:r>
              <w:rPr>
                <w:rFonts w:ascii="Calibri" w:eastAsia="Times New Roman" w:hAnsi="Calibri" w:cs="Times New Roman"/>
                <w:color w:val="000000"/>
                <w:lang w:eastAsia="en-GB"/>
              </w:rPr>
              <w:t>%)</w:t>
            </w:r>
          </w:p>
        </w:tc>
      </w:tr>
    </w:tbl>
    <w:p w14:paraId="21DDB4AC" w14:textId="77777777" w:rsidR="009E6A8A" w:rsidRDefault="009E6A8A" w:rsidP="009E6A8A">
      <w:pPr>
        <w:pStyle w:val="NoSpacing"/>
      </w:pPr>
    </w:p>
    <w:p w14:paraId="5168E454" w14:textId="77777777" w:rsidR="009E6A8A" w:rsidRDefault="009E6A8A" w:rsidP="009E6A8A">
      <w:pPr>
        <w:pStyle w:val="NoSpacing"/>
        <w:jc w:val="both"/>
      </w:pPr>
      <w:r>
        <w:t xml:space="preserve">Table 1. Cross-tabulation of GMFCS and MACS (top), GMFCS and CFCS (middle) and MACS and CFCS (bottom) for 161 patients (CFCS data was unavailable for 3 patients). Quantities are given as number </w:t>
      </w:r>
      <w:r>
        <w:lastRenderedPageBreak/>
        <w:t xml:space="preserve">of patients and percentages out of total. Light blue (red) shading indicates significantly more (fewer) patients than expected in a cell (Pearson residual </w:t>
      </w:r>
      <w:r w:rsidRPr="00ED54A9">
        <w:t>≥</w:t>
      </w:r>
      <w:r>
        <w:t xml:space="preserve"> 2 (</w:t>
      </w:r>
      <w:r w:rsidRPr="00ED54A9">
        <w:t>≤</w:t>
      </w:r>
      <w:r>
        <w:t xml:space="preserve"> </w:t>
      </w:r>
      <w:r w:rsidRPr="00F87430">
        <w:t xml:space="preserve">- </w:t>
      </w:r>
      <w:r>
        <w:t xml:space="preserve">2)). Dark blue shading indicates much more patients than expected (Pearson residual </w:t>
      </w:r>
      <w:r w:rsidRPr="00ED54A9">
        <w:t>≥</w:t>
      </w:r>
      <w:r>
        <w:t xml:space="preserve"> 4). Green shadings in Totals are proportional to the percent out of total.</w:t>
      </w:r>
      <w:r w:rsidR="00926483">
        <w:t xml:space="preserve"> </w:t>
      </w:r>
      <w:r w:rsidR="00E31EFD">
        <w:t xml:space="preserve">To facilitate finding diagonal cells, they have been bolded. </w:t>
      </w:r>
    </w:p>
    <w:p w14:paraId="400C4D0C" w14:textId="77777777" w:rsidR="009E6A8A" w:rsidRDefault="009E6A8A">
      <w:pPr>
        <w:rPr>
          <w:rFonts w:ascii="Calibri" w:hAnsi="Calibri" w:cs="Arial"/>
          <w:lang w:val="en-GB"/>
        </w:rPr>
      </w:pPr>
      <w:r>
        <w:rPr>
          <w:rFonts w:ascii="Calibri" w:hAnsi="Calibri" w:cs="Arial"/>
          <w:lang w:val="en-GB"/>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802"/>
        <w:gridCol w:w="2744"/>
      </w:tblGrid>
      <w:tr w:rsidR="009E6A8A" w14:paraId="456700E6" w14:textId="77777777">
        <w:trPr>
          <w:jc w:val="center"/>
        </w:trPr>
        <w:tc>
          <w:tcPr>
            <w:tcW w:w="0" w:type="auto"/>
          </w:tcPr>
          <w:p w14:paraId="32F499BB" w14:textId="77777777" w:rsidR="009E6A8A" w:rsidRPr="003742CC" w:rsidRDefault="009E6A8A" w:rsidP="001E4EF7">
            <w:pPr>
              <w:rPr>
                <w:b/>
                <w:lang w:val="en-GB"/>
              </w:rPr>
            </w:pPr>
          </w:p>
        </w:tc>
        <w:tc>
          <w:tcPr>
            <w:tcW w:w="0" w:type="auto"/>
          </w:tcPr>
          <w:p w14:paraId="6CBA62A3" w14:textId="77777777" w:rsidR="009E6A8A" w:rsidRPr="009B0AC5" w:rsidRDefault="00F35CAB" w:rsidP="001E4EF7">
            <w:pPr>
              <w:rPr>
                <w:b/>
                <w:lang w:val="en-GB"/>
              </w:rPr>
            </w:pPr>
            <w:r w:rsidRPr="009B0AC5">
              <w:rPr>
                <w:b/>
                <w:lang w:val="en-GB"/>
              </w:rPr>
              <w:t>BFM-M median [range]</w:t>
            </w:r>
          </w:p>
        </w:tc>
      </w:tr>
      <w:tr w:rsidR="009E6A8A" w14:paraId="313DB70D" w14:textId="77777777">
        <w:trPr>
          <w:jc w:val="center"/>
        </w:trPr>
        <w:tc>
          <w:tcPr>
            <w:tcW w:w="0" w:type="auto"/>
          </w:tcPr>
          <w:p w14:paraId="1B9A50CC" w14:textId="77777777" w:rsidR="009E6A8A" w:rsidRPr="00496C6F" w:rsidRDefault="009E6A8A" w:rsidP="001E4EF7">
            <w:pPr>
              <w:rPr>
                <w:b/>
              </w:rPr>
            </w:pPr>
            <w:r w:rsidRPr="00496C6F">
              <w:rPr>
                <w:b/>
              </w:rPr>
              <w:t xml:space="preserve">GMFCS = I </w:t>
            </w:r>
            <w:r w:rsidRPr="00496C6F">
              <w:t>(n=22, 14%)</w:t>
            </w:r>
          </w:p>
        </w:tc>
        <w:tc>
          <w:tcPr>
            <w:tcW w:w="0" w:type="auto"/>
          </w:tcPr>
          <w:p w14:paraId="0A1A6267" w14:textId="77777777" w:rsidR="009E6A8A" w:rsidRPr="00ED0001" w:rsidRDefault="009E6A8A" w:rsidP="001E4EF7">
            <w:r w:rsidRPr="00ED0001">
              <w:t xml:space="preserve"> 24 [2-66]</w:t>
            </w:r>
          </w:p>
        </w:tc>
      </w:tr>
      <w:tr w:rsidR="009E6A8A" w14:paraId="73736441" w14:textId="77777777">
        <w:trPr>
          <w:jc w:val="center"/>
        </w:trPr>
        <w:tc>
          <w:tcPr>
            <w:tcW w:w="0" w:type="auto"/>
          </w:tcPr>
          <w:p w14:paraId="27A438F4" w14:textId="77777777" w:rsidR="009E6A8A" w:rsidRPr="00496C6F" w:rsidRDefault="009E6A8A" w:rsidP="001E4EF7">
            <w:pPr>
              <w:rPr>
                <w:b/>
              </w:rPr>
            </w:pPr>
            <w:r w:rsidRPr="00496C6F">
              <w:rPr>
                <w:b/>
              </w:rPr>
              <w:t xml:space="preserve">GMFCS = II </w:t>
            </w:r>
            <w:r w:rsidRPr="00496C6F">
              <w:t>(n=20, 12%)</w:t>
            </w:r>
          </w:p>
        </w:tc>
        <w:tc>
          <w:tcPr>
            <w:tcW w:w="0" w:type="auto"/>
          </w:tcPr>
          <w:p w14:paraId="6229AA33" w14:textId="77777777" w:rsidR="009E6A8A" w:rsidRPr="00ED0001" w:rsidRDefault="009E6A8A" w:rsidP="001E4EF7">
            <w:r w:rsidRPr="00ED0001">
              <w:t xml:space="preserve"> 48 [6-68]</w:t>
            </w:r>
          </w:p>
        </w:tc>
      </w:tr>
      <w:tr w:rsidR="009E6A8A" w14:paraId="42FDDE6F" w14:textId="77777777">
        <w:trPr>
          <w:jc w:val="center"/>
        </w:trPr>
        <w:tc>
          <w:tcPr>
            <w:tcW w:w="0" w:type="auto"/>
          </w:tcPr>
          <w:p w14:paraId="2CDA09E0" w14:textId="77777777" w:rsidR="009E6A8A" w:rsidRPr="00496C6F" w:rsidRDefault="009E6A8A" w:rsidP="001E4EF7">
            <w:pPr>
              <w:rPr>
                <w:b/>
              </w:rPr>
            </w:pPr>
            <w:r w:rsidRPr="00496C6F">
              <w:rPr>
                <w:b/>
              </w:rPr>
              <w:t xml:space="preserve">GMFCS = III </w:t>
            </w:r>
            <w:r w:rsidRPr="00496C6F">
              <w:t>(n=9, 6%)</w:t>
            </w:r>
          </w:p>
        </w:tc>
        <w:tc>
          <w:tcPr>
            <w:tcW w:w="0" w:type="auto"/>
          </w:tcPr>
          <w:p w14:paraId="43B99E62" w14:textId="77777777" w:rsidR="009E6A8A" w:rsidRPr="00ED0001" w:rsidRDefault="009E6A8A" w:rsidP="001E4EF7">
            <w:r w:rsidRPr="00ED0001">
              <w:t xml:space="preserve"> 62 [32-85]</w:t>
            </w:r>
          </w:p>
        </w:tc>
      </w:tr>
      <w:tr w:rsidR="009E6A8A" w14:paraId="41AB12C8" w14:textId="77777777">
        <w:trPr>
          <w:jc w:val="center"/>
        </w:trPr>
        <w:tc>
          <w:tcPr>
            <w:tcW w:w="0" w:type="auto"/>
          </w:tcPr>
          <w:p w14:paraId="204B1115" w14:textId="77777777" w:rsidR="009E6A8A" w:rsidRPr="00496C6F" w:rsidRDefault="009E6A8A" w:rsidP="001E4EF7">
            <w:pPr>
              <w:rPr>
                <w:b/>
              </w:rPr>
            </w:pPr>
            <w:r w:rsidRPr="00496C6F">
              <w:rPr>
                <w:b/>
              </w:rPr>
              <w:t xml:space="preserve">GMFCS = IV </w:t>
            </w:r>
            <w:r w:rsidRPr="00496C6F">
              <w:t>(n=21, 13%)</w:t>
            </w:r>
          </w:p>
        </w:tc>
        <w:tc>
          <w:tcPr>
            <w:tcW w:w="0" w:type="auto"/>
          </w:tcPr>
          <w:p w14:paraId="7ADB146A" w14:textId="77777777" w:rsidR="009E6A8A" w:rsidRPr="00ED0001" w:rsidRDefault="009E6A8A" w:rsidP="001E4EF7">
            <w:r w:rsidRPr="00ED0001">
              <w:t xml:space="preserve"> 82 [64-104]</w:t>
            </w:r>
          </w:p>
        </w:tc>
      </w:tr>
      <w:tr w:rsidR="009E6A8A" w14:paraId="45C0411C" w14:textId="77777777">
        <w:trPr>
          <w:jc w:val="center"/>
        </w:trPr>
        <w:tc>
          <w:tcPr>
            <w:tcW w:w="0" w:type="auto"/>
          </w:tcPr>
          <w:p w14:paraId="5AFC4843" w14:textId="77777777" w:rsidR="009E6A8A" w:rsidRPr="00496C6F" w:rsidRDefault="009E6A8A" w:rsidP="001E4EF7">
            <w:pPr>
              <w:rPr>
                <w:b/>
              </w:rPr>
            </w:pPr>
            <w:r w:rsidRPr="00496C6F">
              <w:rPr>
                <w:b/>
              </w:rPr>
              <w:t xml:space="preserve">GMFCS = V </w:t>
            </w:r>
            <w:r w:rsidRPr="00496C6F">
              <w:t>(n=89, 55%)</w:t>
            </w:r>
          </w:p>
        </w:tc>
        <w:tc>
          <w:tcPr>
            <w:tcW w:w="0" w:type="auto"/>
          </w:tcPr>
          <w:p w14:paraId="1B6D28BB" w14:textId="77777777" w:rsidR="009E6A8A" w:rsidRDefault="009E6A8A" w:rsidP="001E4EF7">
            <w:r w:rsidRPr="00ED0001">
              <w:t xml:space="preserve"> 102 [60-120]</w:t>
            </w:r>
          </w:p>
        </w:tc>
      </w:tr>
    </w:tbl>
    <w:p w14:paraId="7B8EAB55" w14:textId="77777777" w:rsidR="009E6A8A" w:rsidRDefault="009E6A8A" w:rsidP="009E6A8A">
      <w:pPr>
        <w:rPr>
          <w:lang w:val="de-DE"/>
        </w:rPr>
      </w:pP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686"/>
        <w:gridCol w:w="2744"/>
      </w:tblGrid>
      <w:tr w:rsidR="009E6A8A" w14:paraId="0BBA76D2" w14:textId="77777777">
        <w:trPr>
          <w:jc w:val="center"/>
        </w:trPr>
        <w:tc>
          <w:tcPr>
            <w:tcW w:w="0" w:type="auto"/>
          </w:tcPr>
          <w:p w14:paraId="2B4FC5C1" w14:textId="77777777" w:rsidR="009E6A8A" w:rsidRPr="002F2A20" w:rsidRDefault="009E6A8A" w:rsidP="001E4EF7">
            <w:pPr>
              <w:rPr>
                <w:b/>
                <w:lang w:val="de-DE"/>
              </w:rPr>
            </w:pPr>
          </w:p>
        </w:tc>
        <w:tc>
          <w:tcPr>
            <w:tcW w:w="0" w:type="auto"/>
          </w:tcPr>
          <w:p w14:paraId="2E6249EB" w14:textId="77777777" w:rsidR="009E6A8A" w:rsidRPr="002F2A20" w:rsidRDefault="009E6A8A" w:rsidP="001E4EF7">
            <w:pPr>
              <w:rPr>
                <w:b/>
                <w:lang w:val="de-DE"/>
              </w:rPr>
            </w:pPr>
            <w:r>
              <w:rPr>
                <w:b/>
                <w:lang w:val="de-DE"/>
              </w:rPr>
              <w:t>BFM-M</w:t>
            </w:r>
            <w:r w:rsidRPr="002F2A20">
              <w:rPr>
                <w:b/>
                <w:lang w:val="de-DE"/>
              </w:rPr>
              <w:t xml:space="preserve"> median [range]</w:t>
            </w:r>
          </w:p>
        </w:tc>
      </w:tr>
      <w:tr w:rsidR="009E6A8A" w14:paraId="46C715B2" w14:textId="77777777">
        <w:trPr>
          <w:jc w:val="center"/>
        </w:trPr>
        <w:tc>
          <w:tcPr>
            <w:tcW w:w="0" w:type="auto"/>
          </w:tcPr>
          <w:p w14:paraId="0B6CFD7B" w14:textId="77777777" w:rsidR="009E6A8A" w:rsidRPr="00496C6F" w:rsidRDefault="009E6A8A" w:rsidP="001E4EF7">
            <w:pPr>
              <w:rPr>
                <w:b/>
              </w:rPr>
            </w:pPr>
            <w:r w:rsidRPr="00496C6F">
              <w:rPr>
                <w:b/>
              </w:rPr>
              <w:t xml:space="preserve">MACS = I </w:t>
            </w:r>
            <w:r w:rsidRPr="00496C6F">
              <w:t>(n=7, 4%)</w:t>
            </w:r>
          </w:p>
        </w:tc>
        <w:tc>
          <w:tcPr>
            <w:tcW w:w="0" w:type="auto"/>
          </w:tcPr>
          <w:p w14:paraId="6F450B15" w14:textId="77777777" w:rsidR="009E6A8A" w:rsidRPr="00357FB8" w:rsidRDefault="009E6A8A" w:rsidP="001E4EF7">
            <w:r w:rsidRPr="00357FB8">
              <w:t xml:space="preserve"> 12 [2-60]</w:t>
            </w:r>
          </w:p>
        </w:tc>
      </w:tr>
      <w:tr w:rsidR="009E6A8A" w14:paraId="78757CB0" w14:textId="77777777">
        <w:trPr>
          <w:jc w:val="center"/>
        </w:trPr>
        <w:tc>
          <w:tcPr>
            <w:tcW w:w="0" w:type="auto"/>
          </w:tcPr>
          <w:p w14:paraId="5E982B3F" w14:textId="77777777" w:rsidR="009E6A8A" w:rsidRPr="00496C6F" w:rsidRDefault="009E6A8A" w:rsidP="001E4EF7">
            <w:pPr>
              <w:rPr>
                <w:b/>
              </w:rPr>
            </w:pPr>
            <w:r w:rsidRPr="00496C6F">
              <w:rPr>
                <w:b/>
              </w:rPr>
              <w:t xml:space="preserve">MACS = II </w:t>
            </w:r>
            <w:r w:rsidRPr="00496C6F">
              <w:t>(n=21, 13%)</w:t>
            </w:r>
          </w:p>
        </w:tc>
        <w:tc>
          <w:tcPr>
            <w:tcW w:w="0" w:type="auto"/>
          </w:tcPr>
          <w:p w14:paraId="0EC00B12" w14:textId="77777777" w:rsidR="009E6A8A" w:rsidRPr="00357FB8" w:rsidRDefault="009E6A8A" w:rsidP="001E4EF7">
            <w:r w:rsidRPr="00357FB8">
              <w:t xml:space="preserve"> 38 [6-80]</w:t>
            </w:r>
          </w:p>
        </w:tc>
      </w:tr>
      <w:tr w:rsidR="009E6A8A" w14:paraId="6BE8147E" w14:textId="77777777">
        <w:trPr>
          <w:jc w:val="center"/>
        </w:trPr>
        <w:tc>
          <w:tcPr>
            <w:tcW w:w="0" w:type="auto"/>
          </w:tcPr>
          <w:p w14:paraId="4E3D7342" w14:textId="77777777" w:rsidR="009E6A8A" w:rsidRPr="00496C6F" w:rsidRDefault="009E6A8A" w:rsidP="001E4EF7">
            <w:pPr>
              <w:rPr>
                <w:b/>
              </w:rPr>
            </w:pPr>
            <w:r w:rsidRPr="00496C6F">
              <w:rPr>
                <w:b/>
              </w:rPr>
              <w:t xml:space="preserve">MACS = III </w:t>
            </w:r>
            <w:r w:rsidRPr="00496C6F">
              <w:t>(n=20, 12%)</w:t>
            </w:r>
          </w:p>
        </w:tc>
        <w:tc>
          <w:tcPr>
            <w:tcW w:w="0" w:type="auto"/>
          </w:tcPr>
          <w:p w14:paraId="267B869E" w14:textId="77777777" w:rsidR="009E6A8A" w:rsidRPr="00357FB8" w:rsidRDefault="009E6A8A" w:rsidP="001E4EF7">
            <w:r w:rsidRPr="00357FB8">
              <w:t xml:space="preserve"> 41 [2-86]</w:t>
            </w:r>
          </w:p>
        </w:tc>
      </w:tr>
      <w:tr w:rsidR="009E6A8A" w14:paraId="7752E50D" w14:textId="77777777">
        <w:trPr>
          <w:jc w:val="center"/>
        </w:trPr>
        <w:tc>
          <w:tcPr>
            <w:tcW w:w="0" w:type="auto"/>
          </w:tcPr>
          <w:p w14:paraId="41670F59" w14:textId="77777777" w:rsidR="009E6A8A" w:rsidRPr="00496C6F" w:rsidRDefault="009E6A8A" w:rsidP="001E4EF7">
            <w:pPr>
              <w:rPr>
                <w:b/>
              </w:rPr>
            </w:pPr>
            <w:r w:rsidRPr="00496C6F">
              <w:rPr>
                <w:b/>
              </w:rPr>
              <w:t xml:space="preserve">MACS = IV </w:t>
            </w:r>
            <w:r w:rsidRPr="00496C6F">
              <w:t>(n=26, 16%)</w:t>
            </w:r>
          </w:p>
        </w:tc>
        <w:tc>
          <w:tcPr>
            <w:tcW w:w="0" w:type="auto"/>
          </w:tcPr>
          <w:p w14:paraId="29C4A0A0" w14:textId="77777777" w:rsidR="009E6A8A" w:rsidRPr="00357FB8" w:rsidRDefault="009E6A8A" w:rsidP="001E4EF7">
            <w:r w:rsidRPr="00357FB8">
              <w:t xml:space="preserve"> 76 [20-104]</w:t>
            </w:r>
          </w:p>
        </w:tc>
      </w:tr>
      <w:tr w:rsidR="009E6A8A" w14:paraId="11AA7EF3" w14:textId="77777777">
        <w:trPr>
          <w:jc w:val="center"/>
        </w:trPr>
        <w:tc>
          <w:tcPr>
            <w:tcW w:w="0" w:type="auto"/>
          </w:tcPr>
          <w:p w14:paraId="422A1623" w14:textId="77777777" w:rsidR="009E6A8A" w:rsidRPr="00496C6F" w:rsidRDefault="009E6A8A" w:rsidP="001E4EF7">
            <w:pPr>
              <w:rPr>
                <w:b/>
              </w:rPr>
            </w:pPr>
            <w:r w:rsidRPr="00496C6F">
              <w:rPr>
                <w:b/>
              </w:rPr>
              <w:t xml:space="preserve">MACS = V </w:t>
            </w:r>
            <w:r w:rsidRPr="00496C6F">
              <w:t>(n=87, 54%)</w:t>
            </w:r>
          </w:p>
        </w:tc>
        <w:tc>
          <w:tcPr>
            <w:tcW w:w="0" w:type="auto"/>
          </w:tcPr>
          <w:p w14:paraId="63A024A3" w14:textId="77777777" w:rsidR="009E6A8A" w:rsidRDefault="009E6A8A" w:rsidP="001E4EF7">
            <w:r w:rsidRPr="00357FB8">
              <w:t xml:space="preserve"> 102 [60-120]</w:t>
            </w:r>
          </w:p>
        </w:tc>
      </w:tr>
    </w:tbl>
    <w:p w14:paraId="54D4DBCF" w14:textId="77777777" w:rsidR="009E6A8A" w:rsidRDefault="009E6A8A" w:rsidP="009E6A8A">
      <w:pPr>
        <w:rPr>
          <w:lang w:val="de-DE"/>
        </w:rPr>
      </w:pP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597"/>
        <w:gridCol w:w="2744"/>
      </w:tblGrid>
      <w:tr w:rsidR="009E6A8A" w14:paraId="36BE40E1" w14:textId="77777777">
        <w:trPr>
          <w:jc w:val="center"/>
        </w:trPr>
        <w:tc>
          <w:tcPr>
            <w:tcW w:w="0" w:type="auto"/>
          </w:tcPr>
          <w:p w14:paraId="0501827F" w14:textId="77777777" w:rsidR="009E6A8A" w:rsidRPr="002F2A20" w:rsidRDefault="009E6A8A" w:rsidP="001E4EF7">
            <w:pPr>
              <w:rPr>
                <w:b/>
                <w:lang w:val="de-DE"/>
              </w:rPr>
            </w:pPr>
          </w:p>
        </w:tc>
        <w:tc>
          <w:tcPr>
            <w:tcW w:w="0" w:type="auto"/>
          </w:tcPr>
          <w:p w14:paraId="25F80400" w14:textId="77777777" w:rsidR="009E6A8A" w:rsidRPr="002F2A20" w:rsidRDefault="009E6A8A" w:rsidP="001E4EF7">
            <w:pPr>
              <w:rPr>
                <w:b/>
                <w:lang w:val="de-DE"/>
              </w:rPr>
            </w:pPr>
            <w:r>
              <w:rPr>
                <w:b/>
                <w:lang w:val="de-DE"/>
              </w:rPr>
              <w:t>BFM-M</w:t>
            </w:r>
            <w:r w:rsidRPr="002F2A20">
              <w:rPr>
                <w:b/>
                <w:lang w:val="de-DE"/>
              </w:rPr>
              <w:t xml:space="preserve"> median [range]</w:t>
            </w:r>
          </w:p>
        </w:tc>
      </w:tr>
      <w:tr w:rsidR="009E6A8A" w14:paraId="165785B9" w14:textId="77777777">
        <w:trPr>
          <w:jc w:val="center"/>
        </w:trPr>
        <w:tc>
          <w:tcPr>
            <w:tcW w:w="0" w:type="auto"/>
          </w:tcPr>
          <w:p w14:paraId="3BCBB927" w14:textId="77777777" w:rsidR="009E6A8A" w:rsidRPr="00496C6F" w:rsidRDefault="009E6A8A" w:rsidP="001E4EF7">
            <w:pPr>
              <w:rPr>
                <w:b/>
              </w:rPr>
            </w:pPr>
            <w:r w:rsidRPr="00496C6F">
              <w:rPr>
                <w:b/>
              </w:rPr>
              <w:t xml:space="preserve">CFCS = I </w:t>
            </w:r>
            <w:r w:rsidRPr="00496C6F">
              <w:t>(n=25, 16%)</w:t>
            </w:r>
          </w:p>
        </w:tc>
        <w:tc>
          <w:tcPr>
            <w:tcW w:w="0" w:type="auto"/>
          </w:tcPr>
          <w:p w14:paraId="118AD69A" w14:textId="77777777" w:rsidR="009E6A8A" w:rsidRPr="00F808F9" w:rsidRDefault="009E6A8A" w:rsidP="001E4EF7">
            <w:r w:rsidRPr="00F808F9">
              <w:t xml:space="preserve"> 34 [2-80]</w:t>
            </w:r>
          </w:p>
        </w:tc>
      </w:tr>
      <w:tr w:rsidR="009E6A8A" w14:paraId="3B547785" w14:textId="77777777">
        <w:trPr>
          <w:jc w:val="center"/>
        </w:trPr>
        <w:tc>
          <w:tcPr>
            <w:tcW w:w="0" w:type="auto"/>
          </w:tcPr>
          <w:p w14:paraId="36B1D164" w14:textId="77777777" w:rsidR="009E6A8A" w:rsidRPr="00496C6F" w:rsidRDefault="009E6A8A" w:rsidP="001E4EF7">
            <w:pPr>
              <w:rPr>
                <w:b/>
              </w:rPr>
            </w:pPr>
            <w:r w:rsidRPr="00496C6F">
              <w:rPr>
                <w:b/>
              </w:rPr>
              <w:t xml:space="preserve">CFCS = II </w:t>
            </w:r>
            <w:r w:rsidRPr="00496C6F">
              <w:t>(n=26, 16%)</w:t>
            </w:r>
          </w:p>
        </w:tc>
        <w:tc>
          <w:tcPr>
            <w:tcW w:w="0" w:type="auto"/>
          </w:tcPr>
          <w:p w14:paraId="5EBAB23B" w14:textId="77777777" w:rsidR="009E6A8A" w:rsidRPr="00F808F9" w:rsidRDefault="009E6A8A" w:rsidP="001E4EF7">
            <w:r w:rsidRPr="00F808F9">
              <w:t xml:space="preserve"> 50 [6-94]</w:t>
            </w:r>
          </w:p>
        </w:tc>
      </w:tr>
      <w:tr w:rsidR="009E6A8A" w14:paraId="4435D069" w14:textId="77777777">
        <w:trPr>
          <w:jc w:val="center"/>
        </w:trPr>
        <w:tc>
          <w:tcPr>
            <w:tcW w:w="0" w:type="auto"/>
          </w:tcPr>
          <w:p w14:paraId="327A0D59" w14:textId="77777777" w:rsidR="009E6A8A" w:rsidRPr="00496C6F" w:rsidRDefault="009E6A8A" w:rsidP="001E4EF7">
            <w:pPr>
              <w:rPr>
                <w:b/>
              </w:rPr>
            </w:pPr>
            <w:r w:rsidRPr="00496C6F">
              <w:rPr>
                <w:b/>
              </w:rPr>
              <w:t xml:space="preserve">CFCS = III </w:t>
            </w:r>
            <w:r w:rsidRPr="00496C6F">
              <w:t>(n=36, 23%)</w:t>
            </w:r>
          </w:p>
        </w:tc>
        <w:tc>
          <w:tcPr>
            <w:tcW w:w="0" w:type="auto"/>
          </w:tcPr>
          <w:p w14:paraId="0F5ED59E" w14:textId="77777777" w:rsidR="009E6A8A" w:rsidRPr="00F808F9" w:rsidRDefault="009E6A8A" w:rsidP="001E4EF7">
            <w:r w:rsidRPr="00F808F9">
              <w:t xml:space="preserve"> 89 [45-114]</w:t>
            </w:r>
          </w:p>
        </w:tc>
      </w:tr>
      <w:tr w:rsidR="009E6A8A" w14:paraId="7625CC4F" w14:textId="77777777">
        <w:trPr>
          <w:jc w:val="center"/>
        </w:trPr>
        <w:tc>
          <w:tcPr>
            <w:tcW w:w="0" w:type="auto"/>
          </w:tcPr>
          <w:p w14:paraId="5F8926F5" w14:textId="77777777" w:rsidR="009E6A8A" w:rsidRPr="00496C6F" w:rsidRDefault="009E6A8A" w:rsidP="001E4EF7">
            <w:pPr>
              <w:rPr>
                <w:b/>
              </w:rPr>
            </w:pPr>
            <w:r w:rsidRPr="00496C6F">
              <w:rPr>
                <w:b/>
              </w:rPr>
              <w:t xml:space="preserve">CFCS = IV </w:t>
            </w:r>
            <w:r w:rsidRPr="00496C6F">
              <w:t>(n=49, 31%)</w:t>
            </w:r>
          </w:p>
        </w:tc>
        <w:tc>
          <w:tcPr>
            <w:tcW w:w="0" w:type="auto"/>
          </w:tcPr>
          <w:p w14:paraId="2BA8648A" w14:textId="77777777" w:rsidR="009E6A8A" w:rsidRPr="00F808F9" w:rsidRDefault="009E6A8A" w:rsidP="001E4EF7">
            <w:r w:rsidRPr="00F808F9">
              <w:t xml:space="preserve"> 100 [22-120]</w:t>
            </w:r>
          </w:p>
        </w:tc>
      </w:tr>
      <w:tr w:rsidR="009E6A8A" w14:paraId="01B574F6" w14:textId="77777777">
        <w:trPr>
          <w:jc w:val="center"/>
        </w:trPr>
        <w:tc>
          <w:tcPr>
            <w:tcW w:w="0" w:type="auto"/>
          </w:tcPr>
          <w:p w14:paraId="231BEC29" w14:textId="77777777" w:rsidR="009E6A8A" w:rsidRPr="00496C6F" w:rsidRDefault="009E6A8A" w:rsidP="001E4EF7">
            <w:pPr>
              <w:rPr>
                <w:b/>
              </w:rPr>
            </w:pPr>
            <w:r w:rsidRPr="00496C6F">
              <w:rPr>
                <w:b/>
              </w:rPr>
              <w:t xml:space="preserve">CFCS = V </w:t>
            </w:r>
            <w:r w:rsidRPr="00496C6F">
              <w:t>(n=22, 14%)</w:t>
            </w:r>
          </w:p>
        </w:tc>
        <w:tc>
          <w:tcPr>
            <w:tcW w:w="0" w:type="auto"/>
          </w:tcPr>
          <w:p w14:paraId="013FA54F" w14:textId="77777777" w:rsidR="009E6A8A" w:rsidRDefault="009E6A8A" w:rsidP="001E4EF7">
            <w:r w:rsidRPr="00F808F9">
              <w:t xml:space="preserve"> 106 [86-118]</w:t>
            </w:r>
          </w:p>
        </w:tc>
      </w:tr>
    </w:tbl>
    <w:p w14:paraId="2954A9C2" w14:textId="77777777" w:rsidR="009E6A8A" w:rsidRDefault="009E6A8A" w:rsidP="009E6A8A">
      <w:pPr>
        <w:rPr>
          <w:lang w:val="de-DE"/>
        </w:rPr>
      </w:pPr>
    </w:p>
    <w:p w14:paraId="300132C8" w14:textId="77777777" w:rsidR="009E6A8A" w:rsidRPr="00711091" w:rsidRDefault="009E6A8A" w:rsidP="009E6A8A">
      <w:pPr>
        <w:pStyle w:val="NoSpacing"/>
        <w:jc w:val="both"/>
      </w:pPr>
      <w:r>
        <w:t>Table 2</w:t>
      </w:r>
      <w:r w:rsidRPr="00711091">
        <w:t xml:space="preserve">. </w:t>
      </w:r>
      <w:r>
        <w:t>BFM-M medians and ranges</w:t>
      </w:r>
      <w:r w:rsidRPr="00711091">
        <w:t xml:space="preserve"> by GMFCS</w:t>
      </w:r>
      <w:r>
        <w:t xml:space="preserve"> (top)</w:t>
      </w:r>
      <w:r w:rsidRPr="00711091">
        <w:t>, MACS</w:t>
      </w:r>
      <w:r>
        <w:t xml:space="preserve"> (middle)</w:t>
      </w:r>
      <w:r w:rsidRPr="00711091">
        <w:t xml:space="preserve"> and CFCS</w:t>
      </w:r>
      <w:r>
        <w:t xml:space="preserve"> (bottom)</w:t>
      </w:r>
      <w:r w:rsidRPr="00711091">
        <w:t xml:space="preserve"> </w:t>
      </w:r>
      <w:r>
        <w:t>scores or equivalent</w:t>
      </w:r>
      <w:r w:rsidRPr="00711091">
        <w:t>.</w:t>
      </w:r>
    </w:p>
    <w:p w14:paraId="3905EFCC" w14:textId="77777777" w:rsidR="009E6A8A" w:rsidRPr="00EC30C3" w:rsidRDefault="009E6A8A" w:rsidP="009E6A8A"/>
    <w:p w14:paraId="33CD2BBB" w14:textId="77777777" w:rsidR="003742CC" w:rsidRDefault="003742CC">
      <w:pPr>
        <w:rPr>
          <w:rFonts w:ascii="Calibri" w:hAnsi="Calibri" w:cs="Arial"/>
          <w:lang w:val="en-GB"/>
        </w:rPr>
      </w:pPr>
      <w:r>
        <w:rPr>
          <w:rFonts w:ascii="Calibri" w:hAnsi="Calibri" w:cs="Arial"/>
          <w:lang w:val="en-GB"/>
        </w:rPr>
        <w:br w:type="page"/>
      </w:r>
    </w:p>
    <w:p w14:paraId="61137328" w14:textId="77777777" w:rsidR="003742CC" w:rsidRDefault="003742CC" w:rsidP="003742CC">
      <w:pPr>
        <w:pStyle w:val="NoSpacing"/>
        <w:jc w:val="center"/>
      </w:pPr>
      <w:r>
        <w:rPr>
          <w:noProof/>
          <w:lang w:eastAsia="en-GB"/>
        </w:rPr>
        <w:lastRenderedPageBreak/>
        <w:drawing>
          <wp:inline distT="0" distB="0" distL="0" distR="0" wp14:anchorId="2E0E7BEC" wp14:editId="7CB4DF27">
            <wp:extent cx="5753100" cy="3931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s\SkyDrive\MSc\PhD\DystoniaScales\Version Jan 2015\Figs\Figure 1+2.tiff"/>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753100" cy="3931285"/>
                    </a:xfrm>
                    <a:prstGeom prst="rect">
                      <a:avLst/>
                    </a:prstGeom>
                    <a:noFill/>
                    <a:ln>
                      <a:noFill/>
                    </a:ln>
                  </pic:spPr>
                </pic:pic>
              </a:graphicData>
            </a:graphic>
          </wp:inline>
        </w:drawing>
      </w:r>
    </w:p>
    <w:p w14:paraId="4235B7A6" w14:textId="77777777" w:rsidR="003742CC" w:rsidRPr="00711091" w:rsidRDefault="003742CC" w:rsidP="003742CC">
      <w:pPr>
        <w:pStyle w:val="NoSpacing"/>
      </w:pPr>
    </w:p>
    <w:p w14:paraId="21D32749" w14:textId="77777777" w:rsidR="003742CC" w:rsidRPr="00711091" w:rsidRDefault="003742CC" w:rsidP="003742CC">
      <w:pPr>
        <w:pStyle w:val="NoSpacing"/>
        <w:jc w:val="both"/>
      </w:pPr>
      <w:r w:rsidRPr="00711091">
        <w:t xml:space="preserve">Figure 1. Boxplots of </w:t>
      </w:r>
      <w:r>
        <w:t>BFM-M</w:t>
      </w:r>
      <w:r w:rsidRPr="00711091">
        <w:t xml:space="preserve"> by GMFCS</w:t>
      </w:r>
      <w:r>
        <w:t xml:space="preserve"> (a)</w:t>
      </w:r>
      <w:r w:rsidRPr="00711091">
        <w:t>, MACS</w:t>
      </w:r>
      <w:r>
        <w:t xml:space="preserve"> (b)</w:t>
      </w:r>
      <w:r w:rsidRPr="00711091">
        <w:t xml:space="preserve"> and CFCS</w:t>
      </w:r>
      <w:r>
        <w:t xml:space="preserve"> (c)</w:t>
      </w:r>
      <w:r w:rsidRPr="00711091">
        <w:t xml:space="preserve"> </w:t>
      </w:r>
      <w:r>
        <w:t>levels or equivalent and grouped by aetiological classification (d-e) and cerebral palsy status (f, secondary-static patients only)</w:t>
      </w:r>
      <w:r w:rsidRPr="00711091">
        <w:t>.</w:t>
      </w:r>
      <w:r>
        <w:t xml:space="preserve"> The p-values for the </w:t>
      </w:r>
      <w:r w:rsidRPr="00711091">
        <w:t>Mann–Whitney–Wilcoxon</w:t>
      </w:r>
      <w:r>
        <w:t xml:space="preserve"> test between two subgroups are shown at the bottom. Overall Kruskal-Wallis p-values for BFM-M versus functional scale are p&lt;0.00001 for GMFCS, MACS, CFCS, and </w:t>
      </w:r>
      <w:r w:rsidRPr="00476566">
        <w:t>aetiological classification</w:t>
      </w:r>
      <w:r>
        <w:t xml:space="preserve"> (both grouped and non-grouped)</w:t>
      </w:r>
      <w:r w:rsidRPr="00476566">
        <w:t xml:space="preserve"> and p=0.28650 for CP</w:t>
      </w:r>
      <w:r>
        <w:t>. The proportion of variation in the BFM-M explained by the categorical variable (R²) is also shown below each plot. In subfigures a-c, a</w:t>
      </w:r>
      <w:r w:rsidRPr="007548EF">
        <w:t xml:space="preserve">etiologies are indicated using symbols for </w:t>
      </w:r>
      <w:r w:rsidRPr="007548EF">
        <w:rPr>
          <w:rFonts w:cs="Arial"/>
        </w:rPr>
        <w:t xml:space="preserve">Primary and Primary-plus (red square </w:t>
      </w:r>
      <w:r w:rsidRPr="007548EF">
        <w:rPr>
          <w:rFonts w:ascii="Arial" w:hAnsi="Arial" w:cs="Arial"/>
          <w:color w:val="FF0000"/>
        </w:rPr>
        <w:t>■</w:t>
      </w:r>
      <w:r w:rsidRPr="007548EF">
        <w:rPr>
          <w:rFonts w:cs="Arial"/>
        </w:rPr>
        <w:t xml:space="preserve">), </w:t>
      </w:r>
      <w:r w:rsidRPr="007548EF">
        <w:t xml:space="preserve">Secondary-static (blue circle </w:t>
      </w:r>
      <w:r w:rsidRPr="007548EF">
        <w:rPr>
          <w:rFonts w:ascii="Times New Roman" w:hAnsi="Times New Roman" w:cs="Times New Roman"/>
          <w:color w:val="4F81BD" w:themeColor="accent1"/>
        </w:rPr>
        <w:t>●</w:t>
      </w:r>
      <w:r w:rsidRPr="007548EF">
        <w:t xml:space="preserve">), and </w:t>
      </w:r>
      <w:r w:rsidRPr="007548EF">
        <w:rPr>
          <w:rFonts w:cs="Arial"/>
        </w:rPr>
        <w:t xml:space="preserve">Secondary-progressive (green triangle </w:t>
      </w:r>
      <w:r w:rsidRPr="007548EF">
        <w:rPr>
          <w:rFonts w:ascii="Arial" w:hAnsi="Arial" w:cs="Arial"/>
          <w:color w:val="9BBB59" w:themeColor="accent3"/>
        </w:rPr>
        <w:t>▲</w:t>
      </w:r>
      <w:r w:rsidRPr="007548EF">
        <w:rPr>
          <w:rFonts w:cs="Arial"/>
        </w:rPr>
        <w:t>).</w:t>
      </w:r>
    </w:p>
    <w:p w14:paraId="3C96D60A" w14:textId="77777777" w:rsidR="003742CC" w:rsidRDefault="003742CC">
      <w:pPr>
        <w:rPr>
          <w:rFonts w:ascii="Calibri" w:hAnsi="Calibri" w:cs="Arial"/>
          <w:lang w:val="en-GB"/>
        </w:rPr>
      </w:pPr>
    </w:p>
    <w:p w14:paraId="019E1228" w14:textId="77777777" w:rsidR="003742CC" w:rsidRDefault="003742CC">
      <w:pPr>
        <w:rPr>
          <w:rFonts w:ascii="Calibri" w:hAnsi="Calibri" w:cs="Arial"/>
          <w:lang w:val="en-GB"/>
        </w:rPr>
      </w:pPr>
      <w:r>
        <w:rPr>
          <w:rFonts w:ascii="Calibri" w:hAnsi="Calibri" w:cs="Arial"/>
          <w:lang w:val="en-GB"/>
        </w:rPr>
        <w:br w:type="page"/>
      </w:r>
    </w:p>
    <w:p w14:paraId="282B37D0" w14:textId="77777777" w:rsidR="003742CC" w:rsidRPr="00A21C51" w:rsidRDefault="003742CC" w:rsidP="003742CC">
      <w:pPr>
        <w:pStyle w:val="NoSpacing"/>
        <w:jc w:val="center"/>
      </w:pPr>
      <w:r w:rsidRPr="00A21C51">
        <w:lastRenderedPageBreak/>
        <w:t xml:space="preserve">  </w:t>
      </w:r>
      <w:r w:rsidRPr="00A21C51">
        <w:rPr>
          <w:noProof/>
          <w:lang w:eastAsia="en-GB"/>
        </w:rPr>
        <w:drawing>
          <wp:inline distT="0" distB="0" distL="0" distR="0" wp14:anchorId="41E1D3E1" wp14:editId="0F8A2A32">
            <wp:extent cx="5486400" cy="548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s\SkyDrive\MSc\PhD\DystoniaScales\Plots\Paper\Figure S3.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86400" cy="5486400"/>
                    </a:xfrm>
                    <a:prstGeom prst="rect">
                      <a:avLst/>
                    </a:prstGeom>
                    <a:noFill/>
                    <a:ln>
                      <a:noFill/>
                    </a:ln>
                  </pic:spPr>
                </pic:pic>
              </a:graphicData>
            </a:graphic>
          </wp:inline>
        </w:drawing>
      </w:r>
    </w:p>
    <w:p w14:paraId="1D08F1A5" w14:textId="77777777" w:rsidR="003742CC" w:rsidRPr="00A21C51" w:rsidRDefault="003742CC" w:rsidP="003742CC">
      <w:pPr>
        <w:pStyle w:val="NoSpacing"/>
      </w:pPr>
    </w:p>
    <w:p w14:paraId="7B2B0611" w14:textId="77777777" w:rsidR="003742CC" w:rsidRPr="00A21C51" w:rsidRDefault="003742CC" w:rsidP="003742CC">
      <w:pPr>
        <w:pStyle w:val="NoSpacing"/>
        <w:jc w:val="both"/>
      </w:pPr>
      <w:r>
        <w:t>F</w:t>
      </w:r>
      <w:r w:rsidRPr="00A21C51">
        <w:t xml:space="preserve">igure </w:t>
      </w:r>
      <w:r>
        <w:t>2</w:t>
      </w:r>
      <w:r w:rsidRPr="00A21C51">
        <w:t>. Scatterplot of proportion of life lived with dystonia (PLD) versus BFM</w:t>
      </w:r>
      <w:r>
        <w:t>-M</w:t>
      </w:r>
      <w:r w:rsidRPr="00A21C51">
        <w:t xml:space="preserve">. Aetiologies are indicated using symbols for </w:t>
      </w:r>
      <w:r w:rsidRPr="00A21C51">
        <w:rPr>
          <w:rFonts w:cs="Arial"/>
        </w:rPr>
        <w:t xml:space="preserve">Primary and Primary-plus (red square </w:t>
      </w:r>
      <w:r w:rsidRPr="00A21C51">
        <w:rPr>
          <w:rFonts w:ascii="Arial" w:hAnsi="Arial" w:cs="Arial"/>
          <w:color w:val="FF0000"/>
        </w:rPr>
        <w:t>■</w:t>
      </w:r>
      <w:r w:rsidRPr="00A21C51">
        <w:rPr>
          <w:rFonts w:cs="Arial"/>
        </w:rPr>
        <w:t xml:space="preserve">), </w:t>
      </w:r>
      <w:r w:rsidRPr="00A21C51">
        <w:t xml:space="preserve">Secondary-static (blue circle </w:t>
      </w:r>
      <w:r w:rsidRPr="00A21C51">
        <w:rPr>
          <w:rFonts w:ascii="Times New Roman" w:hAnsi="Times New Roman" w:cs="Times New Roman"/>
          <w:color w:val="4F81BD" w:themeColor="accent1"/>
        </w:rPr>
        <w:t>●</w:t>
      </w:r>
      <w:r w:rsidRPr="00A21C51">
        <w:t xml:space="preserve">), and </w:t>
      </w:r>
      <w:r w:rsidRPr="00A21C51">
        <w:rPr>
          <w:rFonts w:cs="Arial"/>
        </w:rPr>
        <w:t xml:space="preserve">Secondary-progressive (green triangle </w:t>
      </w:r>
      <w:r w:rsidRPr="00A21C51">
        <w:rPr>
          <w:rFonts w:ascii="Arial" w:hAnsi="Arial" w:cs="Arial"/>
          <w:color w:val="9BBB59" w:themeColor="accent3"/>
        </w:rPr>
        <w:t>▲</w:t>
      </w:r>
      <w:r w:rsidRPr="00A21C51">
        <w:rPr>
          <w:rFonts w:cs="Arial"/>
        </w:rPr>
        <w:t xml:space="preserve">). </w:t>
      </w:r>
      <w:r>
        <w:rPr>
          <w:rFonts w:cs="Arial"/>
        </w:rPr>
        <w:t>LOESS curves are plotted in the respective colour</w:t>
      </w:r>
      <w:r w:rsidRPr="00B0436E">
        <w:rPr>
          <w:rFonts w:cs="Arial"/>
        </w:rPr>
        <w:t xml:space="preserve"> </w:t>
      </w:r>
      <w:r>
        <w:rPr>
          <w:rFonts w:cs="Arial"/>
        </w:rPr>
        <w:t xml:space="preserve">for each subgroup and the overall population (black). </w:t>
      </w:r>
      <w:r w:rsidRPr="00A21C51">
        <w:rPr>
          <w:rFonts w:cs="Arial"/>
        </w:rPr>
        <w:t>Correlations for each subgroup are indicated at the top, overall correlation is indicated at the bottom.</w:t>
      </w:r>
      <w:r>
        <w:rPr>
          <w:rFonts w:cs="Arial"/>
        </w:rPr>
        <w:t xml:space="preserve"> </w:t>
      </w:r>
    </w:p>
    <w:p w14:paraId="3C94A86F" w14:textId="77777777" w:rsidR="00AE085D" w:rsidRPr="00635371" w:rsidRDefault="003742CC" w:rsidP="00635371">
      <w:pPr>
        <w:rPr>
          <w:rFonts w:ascii="Calibri" w:hAnsi="Calibri" w:cs="Arial"/>
          <w:lang w:val="en-GB"/>
        </w:rPr>
      </w:pPr>
      <w:r>
        <w:rPr>
          <w:rFonts w:ascii="Calibri" w:hAnsi="Calibri" w:cs="Arial"/>
          <w:lang w:val="en-GB"/>
        </w:rPr>
        <w:t xml:space="preserve"> </w:t>
      </w:r>
    </w:p>
    <w:sectPr w:rsidR="00AE085D" w:rsidRPr="00635371" w:rsidSect="00680B02">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A7140" w14:textId="77777777" w:rsidR="00850B9C" w:rsidRDefault="00850B9C" w:rsidP="00680B02">
      <w:r>
        <w:separator/>
      </w:r>
    </w:p>
  </w:endnote>
  <w:endnote w:type="continuationSeparator" w:id="0">
    <w:p w14:paraId="32D5AFCB" w14:textId="77777777" w:rsidR="00850B9C" w:rsidRDefault="00850B9C" w:rsidP="00680B02">
      <w:r>
        <w:continuationSeparator/>
      </w:r>
    </w:p>
  </w:endnote>
  <w:endnote w:type="continuationNotice" w:id="1">
    <w:p w14:paraId="1F63EE96" w14:textId="77777777" w:rsidR="00850B9C" w:rsidRDefault="00850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0AB0A" w14:textId="77777777" w:rsidR="00D4640C" w:rsidRPr="00F20724" w:rsidRDefault="00D4640C" w:rsidP="00680B02">
    <w:pPr>
      <w:pStyle w:val="Footer"/>
      <w:jc w:val="right"/>
      <w:rPr>
        <w:rFonts w:ascii="Arial" w:hAnsi="Arial"/>
        <w:sz w:val="16"/>
      </w:rPr>
    </w:pPr>
    <w:r w:rsidRPr="00F20724">
      <w:rPr>
        <w:rStyle w:val="PageNumber"/>
        <w:rFonts w:ascii="Arial" w:hAnsi="Arial" w:cs="Cambria"/>
        <w:sz w:val="16"/>
      </w:rPr>
      <w:fldChar w:fldCharType="begin"/>
    </w:r>
    <w:r w:rsidRPr="00F20724">
      <w:rPr>
        <w:rStyle w:val="PageNumber"/>
        <w:rFonts w:ascii="Arial" w:hAnsi="Arial" w:cs="Cambria"/>
        <w:sz w:val="16"/>
      </w:rPr>
      <w:instrText xml:space="preserve"> PAGE </w:instrText>
    </w:r>
    <w:r w:rsidRPr="00F20724">
      <w:rPr>
        <w:rStyle w:val="PageNumber"/>
        <w:rFonts w:ascii="Arial" w:hAnsi="Arial" w:cs="Cambria"/>
        <w:sz w:val="16"/>
      </w:rPr>
      <w:fldChar w:fldCharType="separate"/>
    </w:r>
    <w:r w:rsidR="00022C59">
      <w:rPr>
        <w:rStyle w:val="PageNumber"/>
        <w:rFonts w:ascii="Arial" w:hAnsi="Arial" w:cs="Cambria"/>
        <w:noProof/>
        <w:sz w:val="16"/>
      </w:rPr>
      <w:t>1</w:t>
    </w:r>
    <w:r w:rsidRPr="00F20724">
      <w:rPr>
        <w:rStyle w:val="PageNumber"/>
        <w:rFonts w:ascii="Arial" w:hAnsi="Arial" w:cs="Cambri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376AA" w14:textId="77777777" w:rsidR="00850B9C" w:rsidRDefault="00850B9C" w:rsidP="00680B02">
      <w:r>
        <w:separator/>
      </w:r>
    </w:p>
  </w:footnote>
  <w:footnote w:type="continuationSeparator" w:id="0">
    <w:p w14:paraId="543C0885" w14:textId="77777777" w:rsidR="00850B9C" w:rsidRDefault="00850B9C" w:rsidP="00680B02">
      <w:r>
        <w:continuationSeparator/>
      </w:r>
    </w:p>
  </w:footnote>
  <w:footnote w:type="continuationNotice" w:id="1">
    <w:p w14:paraId="40FABD19" w14:textId="77777777" w:rsidR="00850B9C" w:rsidRDefault="00850B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F605172"/>
    <w:lvl w:ilvl="0">
      <w:start w:val="1"/>
      <w:numFmt w:val="bullet"/>
      <w:pStyle w:val="NoteLevel11"/>
      <w:lvlText w:val=""/>
      <w:lvlJc w:val="left"/>
      <w:pPr>
        <w:tabs>
          <w:tab w:val="num" w:pos="0"/>
        </w:tabs>
      </w:pPr>
      <w:rPr>
        <w:rFonts w:ascii="Symbol" w:hAnsi="Symbol" w:hint="default"/>
      </w:rPr>
    </w:lvl>
    <w:lvl w:ilvl="1">
      <w:start w:val="1"/>
      <w:numFmt w:val="bullet"/>
      <w:pStyle w:val="NoteLevel21"/>
      <w:lvlText w:val=""/>
      <w:lvlJc w:val="left"/>
      <w:pPr>
        <w:tabs>
          <w:tab w:val="num" w:pos="568"/>
        </w:tabs>
        <w:ind w:left="928"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FFFFFF7C"/>
    <w:multiLevelType w:val="singleLevel"/>
    <w:tmpl w:val="785CD3C6"/>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320A253A"/>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E86E5332"/>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461AA30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FAE261F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87EDEE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80A730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692C5A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E96FD4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A2B44558"/>
    <w:lvl w:ilvl="0">
      <w:start w:val="1"/>
      <w:numFmt w:val="bullet"/>
      <w:lvlText w:val=""/>
      <w:lvlJc w:val="left"/>
      <w:pPr>
        <w:tabs>
          <w:tab w:val="num" w:pos="360"/>
        </w:tabs>
        <w:ind w:left="360" w:hanging="360"/>
      </w:pPr>
      <w:rPr>
        <w:rFonts w:ascii="Symbol" w:hAnsi="Symbol" w:hint="default"/>
      </w:rPr>
    </w:lvl>
  </w:abstractNum>
  <w:abstractNum w:abstractNumId="11">
    <w:nsid w:val="044A437B"/>
    <w:multiLevelType w:val="hybridMultilevel"/>
    <w:tmpl w:val="0C56929A"/>
    <w:lvl w:ilvl="0" w:tplc="954038E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378F30B2"/>
    <w:multiLevelType w:val="hybridMultilevel"/>
    <w:tmpl w:val="417C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85584F"/>
    <w:multiLevelType w:val="hybridMultilevel"/>
    <w:tmpl w:val="D9FEA008"/>
    <w:lvl w:ilvl="0" w:tplc="A328E5A0">
      <w:numFmt w:val="decimal"/>
      <w:lvlText w:val="%1"/>
      <w:lvlJc w:val="left"/>
      <w:pPr>
        <w:ind w:left="440" w:hanging="360"/>
      </w:pPr>
      <w:rPr>
        <w:rFonts w:cs="Times New Roman" w:hint="default"/>
      </w:rPr>
    </w:lvl>
    <w:lvl w:ilvl="1" w:tplc="04090019" w:tentative="1">
      <w:start w:val="1"/>
      <w:numFmt w:val="lowerLetter"/>
      <w:lvlText w:val="%2."/>
      <w:lvlJc w:val="left"/>
      <w:pPr>
        <w:ind w:left="1160" w:hanging="360"/>
      </w:pPr>
      <w:rPr>
        <w:rFonts w:cs="Times New Roman"/>
      </w:rPr>
    </w:lvl>
    <w:lvl w:ilvl="2" w:tplc="0409001B" w:tentative="1">
      <w:start w:val="1"/>
      <w:numFmt w:val="lowerRoman"/>
      <w:lvlText w:val="%3."/>
      <w:lvlJc w:val="right"/>
      <w:pPr>
        <w:ind w:left="1880" w:hanging="180"/>
      </w:pPr>
      <w:rPr>
        <w:rFonts w:cs="Times New Roman"/>
      </w:rPr>
    </w:lvl>
    <w:lvl w:ilvl="3" w:tplc="0409000F" w:tentative="1">
      <w:start w:val="1"/>
      <w:numFmt w:val="decimal"/>
      <w:lvlText w:val="%4."/>
      <w:lvlJc w:val="left"/>
      <w:pPr>
        <w:ind w:left="2600" w:hanging="360"/>
      </w:pPr>
      <w:rPr>
        <w:rFonts w:cs="Times New Roman"/>
      </w:rPr>
    </w:lvl>
    <w:lvl w:ilvl="4" w:tplc="04090019" w:tentative="1">
      <w:start w:val="1"/>
      <w:numFmt w:val="lowerLetter"/>
      <w:lvlText w:val="%5."/>
      <w:lvlJc w:val="left"/>
      <w:pPr>
        <w:ind w:left="3320" w:hanging="360"/>
      </w:pPr>
      <w:rPr>
        <w:rFonts w:cs="Times New Roman"/>
      </w:rPr>
    </w:lvl>
    <w:lvl w:ilvl="5" w:tplc="0409001B" w:tentative="1">
      <w:start w:val="1"/>
      <w:numFmt w:val="lowerRoman"/>
      <w:lvlText w:val="%6."/>
      <w:lvlJc w:val="right"/>
      <w:pPr>
        <w:ind w:left="4040" w:hanging="180"/>
      </w:pPr>
      <w:rPr>
        <w:rFonts w:cs="Times New Roman"/>
      </w:rPr>
    </w:lvl>
    <w:lvl w:ilvl="6" w:tplc="0409000F" w:tentative="1">
      <w:start w:val="1"/>
      <w:numFmt w:val="decimal"/>
      <w:lvlText w:val="%7."/>
      <w:lvlJc w:val="left"/>
      <w:pPr>
        <w:ind w:left="4760" w:hanging="360"/>
      </w:pPr>
      <w:rPr>
        <w:rFonts w:cs="Times New Roman"/>
      </w:rPr>
    </w:lvl>
    <w:lvl w:ilvl="7" w:tplc="04090019" w:tentative="1">
      <w:start w:val="1"/>
      <w:numFmt w:val="lowerLetter"/>
      <w:lvlText w:val="%8."/>
      <w:lvlJc w:val="left"/>
      <w:pPr>
        <w:ind w:left="5480" w:hanging="360"/>
      </w:pPr>
      <w:rPr>
        <w:rFonts w:cs="Times New Roman"/>
      </w:rPr>
    </w:lvl>
    <w:lvl w:ilvl="8" w:tplc="0409001B" w:tentative="1">
      <w:start w:val="1"/>
      <w:numFmt w:val="lowerRoman"/>
      <w:lvlText w:val="%9."/>
      <w:lvlJc w:val="right"/>
      <w:pPr>
        <w:ind w:left="6200" w:hanging="180"/>
      </w:pPr>
      <w:rPr>
        <w:rFonts w:cs="Times New Roman"/>
      </w:rPr>
    </w:lvl>
  </w:abstractNum>
  <w:abstractNum w:abstractNumId="14">
    <w:nsid w:val="658D17FC"/>
    <w:multiLevelType w:val="hybridMultilevel"/>
    <w:tmpl w:val="A0929F36"/>
    <w:lvl w:ilvl="0" w:tplc="3AF09424">
      <w:start w:val="1"/>
      <w:numFmt w:val="lowerRoman"/>
      <w:lvlText w:val="(%1)"/>
      <w:lvlJc w:val="left"/>
      <w:pPr>
        <w:ind w:left="720" w:hanging="72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791F7C05"/>
    <w:multiLevelType w:val="hybridMultilevel"/>
    <w:tmpl w:val="3500D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0"/>
  </w:num>
  <w:num w:numId="4">
    <w:abstractNumId w:val="13"/>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53"/>
    <w:rsid w:val="000003EF"/>
    <w:rsid w:val="00006DAC"/>
    <w:rsid w:val="00015FD9"/>
    <w:rsid w:val="000223F8"/>
    <w:rsid w:val="00022C59"/>
    <w:rsid w:val="000231FE"/>
    <w:rsid w:val="000243AD"/>
    <w:rsid w:val="000258D9"/>
    <w:rsid w:val="0002592D"/>
    <w:rsid w:val="00026C71"/>
    <w:rsid w:val="000317F9"/>
    <w:rsid w:val="00042A51"/>
    <w:rsid w:val="00057C09"/>
    <w:rsid w:val="00063251"/>
    <w:rsid w:val="00065603"/>
    <w:rsid w:val="00071875"/>
    <w:rsid w:val="00095CC9"/>
    <w:rsid w:val="000A324C"/>
    <w:rsid w:val="000B016D"/>
    <w:rsid w:val="000C0E32"/>
    <w:rsid w:val="000D0DFF"/>
    <w:rsid w:val="000D2BB2"/>
    <w:rsid w:val="000F1219"/>
    <w:rsid w:val="000F231E"/>
    <w:rsid w:val="000F418B"/>
    <w:rsid w:val="000F62D4"/>
    <w:rsid w:val="00104885"/>
    <w:rsid w:val="00105F40"/>
    <w:rsid w:val="00107C05"/>
    <w:rsid w:val="00107CDE"/>
    <w:rsid w:val="00111BC1"/>
    <w:rsid w:val="00114EE8"/>
    <w:rsid w:val="00115876"/>
    <w:rsid w:val="00115CA9"/>
    <w:rsid w:val="00127CF8"/>
    <w:rsid w:val="00140936"/>
    <w:rsid w:val="00142429"/>
    <w:rsid w:val="00145F32"/>
    <w:rsid w:val="00151121"/>
    <w:rsid w:val="00151176"/>
    <w:rsid w:val="001527FA"/>
    <w:rsid w:val="0016477D"/>
    <w:rsid w:val="00165F07"/>
    <w:rsid w:val="001717A4"/>
    <w:rsid w:val="00176007"/>
    <w:rsid w:val="001770AF"/>
    <w:rsid w:val="001815D5"/>
    <w:rsid w:val="00190B2B"/>
    <w:rsid w:val="00191F92"/>
    <w:rsid w:val="00193B63"/>
    <w:rsid w:val="00195056"/>
    <w:rsid w:val="001B51E0"/>
    <w:rsid w:val="001B5C03"/>
    <w:rsid w:val="001C532A"/>
    <w:rsid w:val="001C53A0"/>
    <w:rsid w:val="001C6261"/>
    <w:rsid w:val="001D3041"/>
    <w:rsid w:val="001D5054"/>
    <w:rsid w:val="001D588E"/>
    <w:rsid w:val="001E27EE"/>
    <w:rsid w:val="001E4EF7"/>
    <w:rsid w:val="001F1A64"/>
    <w:rsid w:val="002050B8"/>
    <w:rsid w:val="00210802"/>
    <w:rsid w:val="00213C71"/>
    <w:rsid w:val="00221CF7"/>
    <w:rsid w:val="00222D15"/>
    <w:rsid w:val="0022571D"/>
    <w:rsid w:val="00230138"/>
    <w:rsid w:val="002478BF"/>
    <w:rsid w:val="00257926"/>
    <w:rsid w:val="00262B00"/>
    <w:rsid w:val="002668F6"/>
    <w:rsid w:val="00274114"/>
    <w:rsid w:val="002809A5"/>
    <w:rsid w:val="0028305C"/>
    <w:rsid w:val="002A1E87"/>
    <w:rsid w:val="002B1C41"/>
    <w:rsid w:val="002B45F7"/>
    <w:rsid w:val="002B5034"/>
    <w:rsid w:val="002B7D58"/>
    <w:rsid w:val="002C0A02"/>
    <w:rsid w:val="002C697C"/>
    <w:rsid w:val="002D1BCD"/>
    <w:rsid w:val="002E1E1A"/>
    <w:rsid w:val="002E57AA"/>
    <w:rsid w:val="002F1CE9"/>
    <w:rsid w:val="002F50B0"/>
    <w:rsid w:val="002F70D2"/>
    <w:rsid w:val="00317396"/>
    <w:rsid w:val="00322FFA"/>
    <w:rsid w:val="00324920"/>
    <w:rsid w:val="0032564D"/>
    <w:rsid w:val="00341444"/>
    <w:rsid w:val="00344252"/>
    <w:rsid w:val="0034783A"/>
    <w:rsid w:val="003530F4"/>
    <w:rsid w:val="00357FE5"/>
    <w:rsid w:val="0036076E"/>
    <w:rsid w:val="003742CC"/>
    <w:rsid w:val="00384B20"/>
    <w:rsid w:val="003877E7"/>
    <w:rsid w:val="0039190F"/>
    <w:rsid w:val="003A3355"/>
    <w:rsid w:val="003B4844"/>
    <w:rsid w:val="003C00E6"/>
    <w:rsid w:val="003E3C27"/>
    <w:rsid w:val="003E63BE"/>
    <w:rsid w:val="003F1B1C"/>
    <w:rsid w:val="0040773E"/>
    <w:rsid w:val="00407780"/>
    <w:rsid w:val="00410EB3"/>
    <w:rsid w:val="00430F36"/>
    <w:rsid w:val="004321DD"/>
    <w:rsid w:val="0043449A"/>
    <w:rsid w:val="004422E7"/>
    <w:rsid w:val="004555A6"/>
    <w:rsid w:val="00465B4F"/>
    <w:rsid w:val="00477C33"/>
    <w:rsid w:val="00480B2C"/>
    <w:rsid w:val="0049047B"/>
    <w:rsid w:val="00494E32"/>
    <w:rsid w:val="00496135"/>
    <w:rsid w:val="004A196A"/>
    <w:rsid w:val="004B48A9"/>
    <w:rsid w:val="004C4C2B"/>
    <w:rsid w:val="004C620C"/>
    <w:rsid w:val="004D6E61"/>
    <w:rsid w:val="004E22D3"/>
    <w:rsid w:val="005000CC"/>
    <w:rsid w:val="00500B3A"/>
    <w:rsid w:val="00504E82"/>
    <w:rsid w:val="00507849"/>
    <w:rsid w:val="00514897"/>
    <w:rsid w:val="005230DA"/>
    <w:rsid w:val="00525548"/>
    <w:rsid w:val="005354C5"/>
    <w:rsid w:val="00537B86"/>
    <w:rsid w:val="00540B4C"/>
    <w:rsid w:val="00540E04"/>
    <w:rsid w:val="0054182B"/>
    <w:rsid w:val="00544D39"/>
    <w:rsid w:val="00545CCB"/>
    <w:rsid w:val="00552515"/>
    <w:rsid w:val="0056483A"/>
    <w:rsid w:val="00564A23"/>
    <w:rsid w:val="00566C55"/>
    <w:rsid w:val="005710CB"/>
    <w:rsid w:val="00571BE7"/>
    <w:rsid w:val="0057615B"/>
    <w:rsid w:val="00583142"/>
    <w:rsid w:val="00586B01"/>
    <w:rsid w:val="00591866"/>
    <w:rsid w:val="00594562"/>
    <w:rsid w:val="005952B4"/>
    <w:rsid w:val="005954AD"/>
    <w:rsid w:val="0059610A"/>
    <w:rsid w:val="005A35EF"/>
    <w:rsid w:val="005A4BC0"/>
    <w:rsid w:val="005C33CD"/>
    <w:rsid w:val="005D770F"/>
    <w:rsid w:val="005E1215"/>
    <w:rsid w:val="005E74A6"/>
    <w:rsid w:val="005F1D85"/>
    <w:rsid w:val="005F30D7"/>
    <w:rsid w:val="005F3E15"/>
    <w:rsid w:val="005F59A7"/>
    <w:rsid w:val="005F72C1"/>
    <w:rsid w:val="006005C4"/>
    <w:rsid w:val="0061694E"/>
    <w:rsid w:val="0061720B"/>
    <w:rsid w:val="00626974"/>
    <w:rsid w:val="00630097"/>
    <w:rsid w:val="0063522C"/>
    <w:rsid w:val="00635371"/>
    <w:rsid w:val="00646737"/>
    <w:rsid w:val="00660FC2"/>
    <w:rsid w:val="006645B6"/>
    <w:rsid w:val="00672ED9"/>
    <w:rsid w:val="00680444"/>
    <w:rsid w:val="00680B02"/>
    <w:rsid w:val="00690898"/>
    <w:rsid w:val="006917E3"/>
    <w:rsid w:val="006920DF"/>
    <w:rsid w:val="006A7039"/>
    <w:rsid w:val="006B2D8F"/>
    <w:rsid w:val="006B4245"/>
    <w:rsid w:val="006C01C9"/>
    <w:rsid w:val="006C29E7"/>
    <w:rsid w:val="006C5732"/>
    <w:rsid w:val="006D1909"/>
    <w:rsid w:val="006D5285"/>
    <w:rsid w:val="006E13C0"/>
    <w:rsid w:val="006E2830"/>
    <w:rsid w:val="006E375D"/>
    <w:rsid w:val="006E6304"/>
    <w:rsid w:val="006F3B27"/>
    <w:rsid w:val="00703E44"/>
    <w:rsid w:val="00714AD2"/>
    <w:rsid w:val="00720B78"/>
    <w:rsid w:val="0073205D"/>
    <w:rsid w:val="007343B8"/>
    <w:rsid w:val="00744C80"/>
    <w:rsid w:val="00744EFB"/>
    <w:rsid w:val="00751E5C"/>
    <w:rsid w:val="00753F88"/>
    <w:rsid w:val="007567E3"/>
    <w:rsid w:val="007572FB"/>
    <w:rsid w:val="007624A6"/>
    <w:rsid w:val="00763C89"/>
    <w:rsid w:val="00782C2A"/>
    <w:rsid w:val="00784E2B"/>
    <w:rsid w:val="007878F9"/>
    <w:rsid w:val="00790293"/>
    <w:rsid w:val="00791F76"/>
    <w:rsid w:val="00797C2A"/>
    <w:rsid w:val="007A5DEF"/>
    <w:rsid w:val="007A7541"/>
    <w:rsid w:val="007B2C01"/>
    <w:rsid w:val="007B2E32"/>
    <w:rsid w:val="007B79C2"/>
    <w:rsid w:val="007C5DAD"/>
    <w:rsid w:val="007D0E70"/>
    <w:rsid w:val="007D2C45"/>
    <w:rsid w:val="007D37ED"/>
    <w:rsid w:val="007E09C0"/>
    <w:rsid w:val="007E21B0"/>
    <w:rsid w:val="007F4B53"/>
    <w:rsid w:val="007F6957"/>
    <w:rsid w:val="00801E7E"/>
    <w:rsid w:val="0080613B"/>
    <w:rsid w:val="00810B1F"/>
    <w:rsid w:val="008201C4"/>
    <w:rsid w:val="00823C73"/>
    <w:rsid w:val="008315B3"/>
    <w:rsid w:val="00831A07"/>
    <w:rsid w:val="0083276B"/>
    <w:rsid w:val="00832963"/>
    <w:rsid w:val="00834890"/>
    <w:rsid w:val="008366D7"/>
    <w:rsid w:val="00836D40"/>
    <w:rsid w:val="008434BD"/>
    <w:rsid w:val="00850B9C"/>
    <w:rsid w:val="00855AFC"/>
    <w:rsid w:val="00856EC5"/>
    <w:rsid w:val="00857965"/>
    <w:rsid w:val="00864A8F"/>
    <w:rsid w:val="008765D9"/>
    <w:rsid w:val="00877004"/>
    <w:rsid w:val="00890E15"/>
    <w:rsid w:val="00893547"/>
    <w:rsid w:val="008951E2"/>
    <w:rsid w:val="00895F8E"/>
    <w:rsid w:val="008969BC"/>
    <w:rsid w:val="008A10BC"/>
    <w:rsid w:val="008A1A86"/>
    <w:rsid w:val="008A7E5E"/>
    <w:rsid w:val="008B2338"/>
    <w:rsid w:val="008B51BE"/>
    <w:rsid w:val="008B64DF"/>
    <w:rsid w:val="008B788A"/>
    <w:rsid w:val="008D2175"/>
    <w:rsid w:val="008D7501"/>
    <w:rsid w:val="008D7F30"/>
    <w:rsid w:val="008E0525"/>
    <w:rsid w:val="008E3E8F"/>
    <w:rsid w:val="008F02E1"/>
    <w:rsid w:val="008F456A"/>
    <w:rsid w:val="008F55AD"/>
    <w:rsid w:val="009036F3"/>
    <w:rsid w:val="00912809"/>
    <w:rsid w:val="00926483"/>
    <w:rsid w:val="009317F8"/>
    <w:rsid w:val="0093630C"/>
    <w:rsid w:val="00941DFC"/>
    <w:rsid w:val="00943F88"/>
    <w:rsid w:val="00944E2E"/>
    <w:rsid w:val="009545F8"/>
    <w:rsid w:val="00965DF1"/>
    <w:rsid w:val="00975CBB"/>
    <w:rsid w:val="00981899"/>
    <w:rsid w:val="009846C9"/>
    <w:rsid w:val="00992B07"/>
    <w:rsid w:val="00997873"/>
    <w:rsid w:val="009A0EF4"/>
    <w:rsid w:val="009A6EE5"/>
    <w:rsid w:val="009A7F9F"/>
    <w:rsid w:val="009B0AC5"/>
    <w:rsid w:val="009B2385"/>
    <w:rsid w:val="009B34BE"/>
    <w:rsid w:val="009B37AC"/>
    <w:rsid w:val="009C3A8B"/>
    <w:rsid w:val="009C3CEA"/>
    <w:rsid w:val="009D12C1"/>
    <w:rsid w:val="009D4EEE"/>
    <w:rsid w:val="009E263B"/>
    <w:rsid w:val="009E269F"/>
    <w:rsid w:val="009E2DC8"/>
    <w:rsid w:val="009E47C7"/>
    <w:rsid w:val="009E6A8A"/>
    <w:rsid w:val="00A023EA"/>
    <w:rsid w:val="00A05D80"/>
    <w:rsid w:val="00A22963"/>
    <w:rsid w:val="00A23CA7"/>
    <w:rsid w:val="00A31999"/>
    <w:rsid w:val="00A33285"/>
    <w:rsid w:val="00A42FDB"/>
    <w:rsid w:val="00A43B3D"/>
    <w:rsid w:val="00A45FD3"/>
    <w:rsid w:val="00A5176C"/>
    <w:rsid w:val="00A52592"/>
    <w:rsid w:val="00A54B62"/>
    <w:rsid w:val="00A57954"/>
    <w:rsid w:val="00A63B19"/>
    <w:rsid w:val="00A64807"/>
    <w:rsid w:val="00A66535"/>
    <w:rsid w:val="00A731DF"/>
    <w:rsid w:val="00A91BF7"/>
    <w:rsid w:val="00A94621"/>
    <w:rsid w:val="00AA602C"/>
    <w:rsid w:val="00AB23BD"/>
    <w:rsid w:val="00AB5B38"/>
    <w:rsid w:val="00AB62C6"/>
    <w:rsid w:val="00AB7B55"/>
    <w:rsid w:val="00AC1C67"/>
    <w:rsid w:val="00AD1938"/>
    <w:rsid w:val="00AE085D"/>
    <w:rsid w:val="00AE6258"/>
    <w:rsid w:val="00AF489D"/>
    <w:rsid w:val="00B1242A"/>
    <w:rsid w:val="00B21FC9"/>
    <w:rsid w:val="00B2628E"/>
    <w:rsid w:val="00B2679C"/>
    <w:rsid w:val="00B27650"/>
    <w:rsid w:val="00B302D0"/>
    <w:rsid w:val="00B32711"/>
    <w:rsid w:val="00B401E2"/>
    <w:rsid w:val="00B42003"/>
    <w:rsid w:val="00B4516A"/>
    <w:rsid w:val="00B46FE7"/>
    <w:rsid w:val="00B4751F"/>
    <w:rsid w:val="00B51233"/>
    <w:rsid w:val="00B519A4"/>
    <w:rsid w:val="00B51D78"/>
    <w:rsid w:val="00B53A8F"/>
    <w:rsid w:val="00B55F21"/>
    <w:rsid w:val="00B61346"/>
    <w:rsid w:val="00B627C4"/>
    <w:rsid w:val="00B70A06"/>
    <w:rsid w:val="00B70EA8"/>
    <w:rsid w:val="00B74047"/>
    <w:rsid w:val="00B76FDC"/>
    <w:rsid w:val="00B80E5B"/>
    <w:rsid w:val="00B81A35"/>
    <w:rsid w:val="00B81F98"/>
    <w:rsid w:val="00B83ACA"/>
    <w:rsid w:val="00B84679"/>
    <w:rsid w:val="00B92924"/>
    <w:rsid w:val="00BA3B2B"/>
    <w:rsid w:val="00BB480B"/>
    <w:rsid w:val="00BC2CA4"/>
    <w:rsid w:val="00BC3AA7"/>
    <w:rsid w:val="00BC3F05"/>
    <w:rsid w:val="00BC4E34"/>
    <w:rsid w:val="00BC699A"/>
    <w:rsid w:val="00BD393A"/>
    <w:rsid w:val="00BE17AC"/>
    <w:rsid w:val="00BE41B3"/>
    <w:rsid w:val="00BE5586"/>
    <w:rsid w:val="00BF02C6"/>
    <w:rsid w:val="00BF37F4"/>
    <w:rsid w:val="00C01EEE"/>
    <w:rsid w:val="00C05033"/>
    <w:rsid w:val="00C16906"/>
    <w:rsid w:val="00C249B5"/>
    <w:rsid w:val="00C32568"/>
    <w:rsid w:val="00C4005E"/>
    <w:rsid w:val="00C47038"/>
    <w:rsid w:val="00C5790D"/>
    <w:rsid w:val="00C67DB2"/>
    <w:rsid w:val="00C73B10"/>
    <w:rsid w:val="00C92E72"/>
    <w:rsid w:val="00C97EBB"/>
    <w:rsid w:val="00CA0A1D"/>
    <w:rsid w:val="00CB00DD"/>
    <w:rsid w:val="00CB03D1"/>
    <w:rsid w:val="00CB20BA"/>
    <w:rsid w:val="00CB5087"/>
    <w:rsid w:val="00CB6A87"/>
    <w:rsid w:val="00CC1F9C"/>
    <w:rsid w:val="00CC3834"/>
    <w:rsid w:val="00CC6953"/>
    <w:rsid w:val="00CC6D0B"/>
    <w:rsid w:val="00CC73BF"/>
    <w:rsid w:val="00CD095D"/>
    <w:rsid w:val="00CD1DEB"/>
    <w:rsid w:val="00CD456D"/>
    <w:rsid w:val="00CD6B65"/>
    <w:rsid w:val="00CE5ABF"/>
    <w:rsid w:val="00CF318E"/>
    <w:rsid w:val="00D01099"/>
    <w:rsid w:val="00D037BA"/>
    <w:rsid w:val="00D04A7D"/>
    <w:rsid w:val="00D10A38"/>
    <w:rsid w:val="00D113D0"/>
    <w:rsid w:val="00D1787C"/>
    <w:rsid w:val="00D17C02"/>
    <w:rsid w:val="00D223C0"/>
    <w:rsid w:val="00D22746"/>
    <w:rsid w:val="00D25238"/>
    <w:rsid w:val="00D25908"/>
    <w:rsid w:val="00D30A7C"/>
    <w:rsid w:val="00D334FC"/>
    <w:rsid w:val="00D34115"/>
    <w:rsid w:val="00D36EAB"/>
    <w:rsid w:val="00D45D06"/>
    <w:rsid w:val="00D4640C"/>
    <w:rsid w:val="00D55275"/>
    <w:rsid w:val="00D62370"/>
    <w:rsid w:val="00D67100"/>
    <w:rsid w:val="00D70470"/>
    <w:rsid w:val="00D9275D"/>
    <w:rsid w:val="00D95EA4"/>
    <w:rsid w:val="00DA2AB5"/>
    <w:rsid w:val="00DA4D3D"/>
    <w:rsid w:val="00DA71E1"/>
    <w:rsid w:val="00DB11BE"/>
    <w:rsid w:val="00DB2093"/>
    <w:rsid w:val="00DC1A00"/>
    <w:rsid w:val="00DC4627"/>
    <w:rsid w:val="00DC5968"/>
    <w:rsid w:val="00DD52B0"/>
    <w:rsid w:val="00DD5AB1"/>
    <w:rsid w:val="00DD6579"/>
    <w:rsid w:val="00DE779C"/>
    <w:rsid w:val="00DF31C1"/>
    <w:rsid w:val="00DF4C82"/>
    <w:rsid w:val="00E07B09"/>
    <w:rsid w:val="00E12CA6"/>
    <w:rsid w:val="00E13DB6"/>
    <w:rsid w:val="00E31EFD"/>
    <w:rsid w:val="00E36833"/>
    <w:rsid w:val="00E37019"/>
    <w:rsid w:val="00E44684"/>
    <w:rsid w:val="00E51303"/>
    <w:rsid w:val="00E56578"/>
    <w:rsid w:val="00E56827"/>
    <w:rsid w:val="00E6274E"/>
    <w:rsid w:val="00E65626"/>
    <w:rsid w:val="00E724E7"/>
    <w:rsid w:val="00E72B00"/>
    <w:rsid w:val="00E73603"/>
    <w:rsid w:val="00E76AD1"/>
    <w:rsid w:val="00E86D8D"/>
    <w:rsid w:val="00EA27A1"/>
    <w:rsid w:val="00EA28B2"/>
    <w:rsid w:val="00EB7468"/>
    <w:rsid w:val="00EB7CE5"/>
    <w:rsid w:val="00EC0CE3"/>
    <w:rsid w:val="00EE3C2B"/>
    <w:rsid w:val="00EE669F"/>
    <w:rsid w:val="00EE67AF"/>
    <w:rsid w:val="00EF1F5E"/>
    <w:rsid w:val="00EF2F40"/>
    <w:rsid w:val="00EF4F35"/>
    <w:rsid w:val="00EF7002"/>
    <w:rsid w:val="00EF7407"/>
    <w:rsid w:val="00F0048C"/>
    <w:rsid w:val="00F01104"/>
    <w:rsid w:val="00F0436A"/>
    <w:rsid w:val="00F06C7B"/>
    <w:rsid w:val="00F174A0"/>
    <w:rsid w:val="00F20724"/>
    <w:rsid w:val="00F25886"/>
    <w:rsid w:val="00F27146"/>
    <w:rsid w:val="00F32E0B"/>
    <w:rsid w:val="00F35CAB"/>
    <w:rsid w:val="00F368D0"/>
    <w:rsid w:val="00F4512C"/>
    <w:rsid w:val="00F47FA1"/>
    <w:rsid w:val="00F568C0"/>
    <w:rsid w:val="00F60721"/>
    <w:rsid w:val="00F702F7"/>
    <w:rsid w:val="00F73467"/>
    <w:rsid w:val="00F7568E"/>
    <w:rsid w:val="00F806C2"/>
    <w:rsid w:val="00F81147"/>
    <w:rsid w:val="00F8459C"/>
    <w:rsid w:val="00F85B44"/>
    <w:rsid w:val="00F8704E"/>
    <w:rsid w:val="00F948A2"/>
    <w:rsid w:val="00FA09AD"/>
    <w:rsid w:val="00FA1BC5"/>
    <w:rsid w:val="00FC228C"/>
    <w:rsid w:val="00FC3E9D"/>
    <w:rsid w:val="00FC6663"/>
    <w:rsid w:val="00FD4052"/>
    <w:rsid w:val="00FD4B1C"/>
    <w:rsid w:val="00FD62F0"/>
    <w:rsid w:val="00FD6B23"/>
    <w:rsid w:val="00FE0FE7"/>
    <w:rsid w:val="00FF31A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0981A2"/>
  <w15:docId w15:val="{2B4D7D9F-DB2D-4DCB-B2DB-202674E4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258"/>
    <w:rPr>
      <w:rFonts w:ascii="Cambria" w:hAnsi="Cambria" w:cs="Cambr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pPr>
      <w:ind w:left="720"/>
      <w:contextualSpacing/>
    </w:pPr>
  </w:style>
  <w:style w:type="paragraph" w:styleId="Header">
    <w:name w:val="header"/>
    <w:basedOn w:val="Normal"/>
    <w:link w:val="HeaderChar"/>
    <w:pPr>
      <w:tabs>
        <w:tab w:val="center" w:pos="4536"/>
        <w:tab w:val="right" w:pos="9072"/>
      </w:tabs>
    </w:pPr>
    <w:rPr>
      <w:rFonts w:cs="Times New Roman"/>
    </w:rPr>
  </w:style>
  <w:style w:type="character" w:customStyle="1" w:styleId="HeaderChar">
    <w:name w:val="Header Char"/>
    <w:basedOn w:val="DefaultParagraphFont"/>
    <w:link w:val="Header"/>
    <w:locked/>
    <w:rPr>
      <w:rFonts w:ascii="Cambria" w:hAnsi="Cambria"/>
      <w:sz w:val="24"/>
      <w:lang w:val="en-US" w:eastAsia="ja-JP"/>
    </w:rPr>
  </w:style>
  <w:style w:type="paragraph" w:styleId="Footer">
    <w:name w:val="footer"/>
    <w:basedOn w:val="Normal"/>
    <w:link w:val="FooterChar"/>
    <w:uiPriority w:val="99"/>
    <w:pPr>
      <w:tabs>
        <w:tab w:val="center" w:pos="4536"/>
        <w:tab w:val="right" w:pos="9072"/>
      </w:tabs>
    </w:pPr>
    <w:rPr>
      <w:rFonts w:cs="Times New Roman"/>
    </w:rPr>
  </w:style>
  <w:style w:type="character" w:customStyle="1" w:styleId="FooterChar">
    <w:name w:val="Footer Char"/>
    <w:basedOn w:val="DefaultParagraphFont"/>
    <w:link w:val="Footer"/>
    <w:uiPriority w:val="99"/>
    <w:locked/>
    <w:rPr>
      <w:rFonts w:ascii="Cambria" w:hAnsi="Cambria"/>
      <w:sz w:val="24"/>
      <w:lang w:val="en-US" w:eastAsia="ja-JP"/>
    </w:rPr>
  </w:style>
  <w:style w:type="paragraph" w:styleId="BalloonText">
    <w:name w:val="Balloon Text"/>
    <w:basedOn w:val="Normal"/>
    <w:link w:val="BalloonTextChar"/>
    <w:uiPriority w:val="99"/>
    <w:semiHidden/>
    <w:rPr>
      <w:rFonts w:ascii="Calibri" w:hAnsi="Calibri" w:cs="Times New Roman"/>
      <w:sz w:val="18"/>
      <w:szCs w:val="18"/>
    </w:rPr>
  </w:style>
  <w:style w:type="character" w:customStyle="1" w:styleId="BalloonTextChar">
    <w:name w:val="Balloon Text Char"/>
    <w:basedOn w:val="DefaultParagraphFont"/>
    <w:link w:val="BalloonText"/>
    <w:uiPriority w:val="99"/>
    <w:semiHidden/>
    <w:locked/>
    <w:rPr>
      <w:rFonts w:ascii="Calibri" w:hAnsi="Calibri"/>
      <w:sz w:val="18"/>
      <w:lang w:val="en-US" w:eastAsia="ja-JP"/>
    </w:rPr>
  </w:style>
  <w:style w:type="character" w:styleId="CommentReference">
    <w:name w:val="annotation reference"/>
    <w:basedOn w:val="DefaultParagraphFont"/>
    <w:uiPriority w:val="99"/>
    <w:semiHidden/>
    <w:rPr>
      <w:rFonts w:cs="Times New Roman"/>
      <w:sz w:val="18"/>
    </w:rPr>
  </w:style>
  <w:style w:type="paragraph" w:styleId="CommentText">
    <w:name w:val="annotation text"/>
    <w:basedOn w:val="Normal"/>
    <w:link w:val="CommentTextChar1"/>
    <w:uiPriority w:val="99"/>
    <w:semiHidden/>
    <w:rPr>
      <w:rFonts w:cs="Times New Roman"/>
    </w:rPr>
  </w:style>
  <w:style w:type="character" w:customStyle="1" w:styleId="CommentTextChar">
    <w:name w:val="Comment Text Char"/>
    <w:basedOn w:val="DefaultParagraphFont"/>
    <w:uiPriority w:val="99"/>
    <w:semiHidden/>
    <w:locked/>
    <w:rPr>
      <w:rFonts w:ascii="Cambria" w:hAnsi="Cambria"/>
      <w:sz w:val="24"/>
      <w:lang w:val="en-US" w:eastAsia="ja-JP"/>
    </w:rPr>
  </w:style>
  <w:style w:type="character" w:customStyle="1" w:styleId="CommentTextChar1">
    <w:name w:val="Comment Text Char1"/>
    <w:link w:val="CommentText"/>
    <w:uiPriority w:val="99"/>
    <w:semiHidden/>
    <w:locked/>
    <w:rPr>
      <w:rFonts w:ascii="Cambria" w:hAnsi="Cambria"/>
      <w:sz w:val="24"/>
      <w:lang w:val="en-US" w:eastAsia="ja-JP"/>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1"/>
    <w:link w:val="CommentSubject"/>
    <w:uiPriority w:val="99"/>
    <w:semiHidden/>
    <w:locked/>
    <w:rPr>
      <w:rFonts w:ascii="Cambria" w:hAnsi="Cambria"/>
      <w:b/>
      <w:sz w:val="20"/>
      <w:lang w:val="en-US" w:eastAsia="ja-JP"/>
    </w:rPr>
  </w:style>
  <w:style w:type="paragraph" w:customStyle="1" w:styleId="NoteLevel11">
    <w:name w:val="Note Level 11"/>
    <w:basedOn w:val="Normal"/>
    <w:uiPriority w:val="99"/>
    <w:semiHidden/>
    <w:pPr>
      <w:keepNext/>
      <w:numPr>
        <w:numId w:val="3"/>
      </w:numPr>
      <w:contextualSpacing/>
      <w:outlineLvl w:val="0"/>
    </w:pPr>
    <w:rPr>
      <w:rFonts w:ascii="Verdana" w:eastAsia="MS Gothi" w:hAnsi="Verdana" w:cs="Times New Roman"/>
      <w:lang w:eastAsia="en-US"/>
    </w:rPr>
  </w:style>
  <w:style w:type="paragraph" w:customStyle="1" w:styleId="NoteLevel21">
    <w:name w:val="Note Level 21"/>
    <w:basedOn w:val="Normal"/>
    <w:uiPriority w:val="99"/>
    <w:pPr>
      <w:keepNext/>
      <w:numPr>
        <w:ilvl w:val="1"/>
        <w:numId w:val="3"/>
      </w:numPr>
      <w:contextualSpacing/>
      <w:outlineLvl w:val="1"/>
    </w:pPr>
    <w:rPr>
      <w:rFonts w:ascii="Verdana" w:eastAsia="MS Gothi" w:hAnsi="Verdana" w:cs="Times New Roman"/>
      <w:lang w:eastAsia="en-US"/>
    </w:rPr>
  </w:style>
  <w:style w:type="paragraph" w:customStyle="1" w:styleId="NoteLevel31">
    <w:name w:val="Note Level 31"/>
    <w:basedOn w:val="Normal"/>
    <w:uiPriority w:val="99"/>
    <w:semiHidden/>
    <w:pPr>
      <w:keepNext/>
      <w:numPr>
        <w:ilvl w:val="2"/>
        <w:numId w:val="3"/>
      </w:numPr>
      <w:contextualSpacing/>
      <w:outlineLvl w:val="2"/>
    </w:pPr>
    <w:rPr>
      <w:rFonts w:ascii="Verdana" w:eastAsia="MS Gothi" w:hAnsi="Verdana" w:cs="Times New Roman"/>
      <w:lang w:eastAsia="en-US"/>
    </w:rPr>
  </w:style>
  <w:style w:type="paragraph" w:customStyle="1" w:styleId="NoteLevel41">
    <w:name w:val="Note Level 41"/>
    <w:basedOn w:val="Normal"/>
    <w:uiPriority w:val="99"/>
    <w:semiHidden/>
    <w:pPr>
      <w:keepNext/>
      <w:numPr>
        <w:ilvl w:val="3"/>
        <w:numId w:val="3"/>
      </w:numPr>
      <w:contextualSpacing/>
      <w:outlineLvl w:val="3"/>
    </w:pPr>
    <w:rPr>
      <w:rFonts w:ascii="Verdana" w:eastAsia="MS Gothi" w:hAnsi="Verdana" w:cs="Times New Roman"/>
      <w:lang w:eastAsia="en-US"/>
    </w:rPr>
  </w:style>
  <w:style w:type="paragraph" w:customStyle="1" w:styleId="NoteLevel51">
    <w:name w:val="Note Level 51"/>
    <w:basedOn w:val="Normal"/>
    <w:uiPriority w:val="99"/>
    <w:semiHidden/>
    <w:pPr>
      <w:keepNext/>
      <w:numPr>
        <w:ilvl w:val="4"/>
        <w:numId w:val="3"/>
      </w:numPr>
      <w:contextualSpacing/>
      <w:outlineLvl w:val="4"/>
    </w:pPr>
    <w:rPr>
      <w:rFonts w:ascii="Verdana" w:eastAsia="MS Gothi" w:hAnsi="Verdana" w:cs="Times New Roman"/>
      <w:lang w:eastAsia="en-US"/>
    </w:rPr>
  </w:style>
  <w:style w:type="paragraph" w:customStyle="1" w:styleId="NoteLevel61">
    <w:name w:val="Note Level 61"/>
    <w:basedOn w:val="Normal"/>
    <w:uiPriority w:val="99"/>
    <w:semiHidden/>
    <w:pPr>
      <w:keepNext/>
      <w:numPr>
        <w:ilvl w:val="5"/>
        <w:numId w:val="3"/>
      </w:numPr>
      <w:contextualSpacing/>
      <w:outlineLvl w:val="5"/>
    </w:pPr>
    <w:rPr>
      <w:rFonts w:ascii="Verdana" w:eastAsia="MS Gothi" w:hAnsi="Verdana" w:cs="Times New Roman"/>
      <w:lang w:eastAsia="en-US"/>
    </w:rPr>
  </w:style>
  <w:style w:type="paragraph" w:customStyle="1" w:styleId="NoteLevel71">
    <w:name w:val="Note Level 71"/>
    <w:basedOn w:val="Normal"/>
    <w:uiPriority w:val="99"/>
    <w:semiHidden/>
    <w:pPr>
      <w:keepNext/>
      <w:numPr>
        <w:ilvl w:val="6"/>
        <w:numId w:val="3"/>
      </w:numPr>
      <w:contextualSpacing/>
      <w:outlineLvl w:val="6"/>
    </w:pPr>
    <w:rPr>
      <w:rFonts w:ascii="Verdana" w:eastAsia="MS Gothi" w:hAnsi="Verdana" w:cs="Times New Roman"/>
      <w:lang w:eastAsia="en-US"/>
    </w:rPr>
  </w:style>
  <w:style w:type="paragraph" w:customStyle="1" w:styleId="NoteLevel81">
    <w:name w:val="Note Level 81"/>
    <w:basedOn w:val="Normal"/>
    <w:uiPriority w:val="99"/>
    <w:semiHidden/>
    <w:pPr>
      <w:keepNext/>
      <w:numPr>
        <w:ilvl w:val="7"/>
        <w:numId w:val="3"/>
      </w:numPr>
      <w:contextualSpacing/>
      <w:outlineLvl w:val="7"/>
    </w:pPr>
    <w:rPr>
      <w:rFonts w:ascii="Verdana" w:eastAsia="MS Gothi" w:hAnsi="Verdana" w:cs="Times New Roman"/>
      <w:lang w:eastAsia="en-US"/>
    </w:rPr>
  </w:style>
  <w:style w:type="paragraph" w:customStyle="1" w:styleId="NoteLevel91">
    <w:name w:val="Note Level 91"/>
    <w:basedOn w:val="Normal"/>
    <w:uiPriority w:val="99"/>
    <w:semiHidden/>
    <w:pPr>
      <w:keepNext/>
      <w:numPr>
        <w:ilvl w:val="8"/>
        <w:numId w:val="3"/>
      </w:numPr>
      <w:contextualSpacing/>
      <w:outlineLvl w:val="8"/>
    </w:pPr>
    <w:rPr>
      <w:rFonts w:ascii="Verdana" w:eastAsia="MS Gothi" w:hAnsi="Verdana" w:cs="Times New Roman"/>
      <w:lang w:eastAsia="en-US"/>
    </w:rPr>
  </w:style>
  <w:style w:type="table" w:styleId="TableGrid">
    <w:name w:val="Table Grid"/>
    <w:basedOn w:val="TableNormal"/>
    <w:uiPriority w:val="5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rPr>
      <w:rFonts w:cs="Times New Roman"/>
    </w:rPr>
  </w:style>
  <w:style w:type="character" w:styleId="Hyperlink">
    <w:name w:val="Hyperlink"/>
    <w:basedOn w:val="DefaultParagraphFont"/>
    <w:uiPriority w:val="99"/>
    <w:semiHidden/>
    <w:rPr>
      <w:rFonts w:cs="Times New Roman"/>
      <w:color w:val="0000FF"/>
      <w:u w:val="single"/>
    </w:rPr>
  </w:style>
  <w:style w:type="character" w:styleId="FollowedHyperlink">
    <w:name w:val="FollowedHyperlink"/>
    <w:basedOn w:val="DefaultParagraphFont"/>
    <w:uiPriority w:val="99"/>
    <w:semiHidden/>
    <w:rPr>
      <w:rFonts w:cs="Times New Roman"/>
      <w:color w:val="800080"/>
      <w:u w:val="single"/>
    </w:rPr>
  </w:style>
  <w:style w:type="paragraph" w:customStyle="1" w:styleId="ColorfulShading-Accent11">
    <w:name w:val="Colorful Shading - Accent 11"/>
    <w:hidden/>
    <w:uiPriority w:val="71"/>
    <w:rsid w:val="00B53A8F"/>
    <w:rPr>
      <w:rFonts w:ascii="Cambria" w:hAnsi="Cambria" w:cs="Cambria"/>
      <w:sz w:val="24"/>
      <w:szCs w:val="24"/>
      <w:lang w:val="en-US" w:eastAsia="ja-JP"/>
    </w:rPr>
  </w:style>
  <w:style w:type="paragraph" w:styleId="Revision">
    <w:name w:val="Revision"/>
    <w:hidden/>
    <w:uiPriority w:val="71"/>
    <w:rsid w:val="009036F3"/>
    <w:rPr>
      <w:rFonts w:ascii="Cambria" w:hAnsi="Cambria" w:cs="Cambria"/>
      <w:sz w:val="24"/>
      <w:szCs w:val="24"/>
      <w:lang w:val="en-US" w:eastAsia="ja-JP"/>
    </w:rPr>
  </w:style>
  <w:style w:type="paragraph" w:styleId="NoSpacing">
    <w:name w:val="No Spacing"/>
    <w:uiPriority w:val="1"/>
    <w:qFormat/>
    <w:rsid w:val="009E6A8A"/>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80105">
      <w:bodyDiv w:val="1"/>
      <w:marLeft w:val="0"/>
      <w:marRight w:val="0"/>
      <w:marTop w:val="0"/>
      <w:marBottom w:val="0"/>
      <w:divBdr>
        <w:top w:val="none" w:sz="0" w:space="0" w:color="auto"/>
        <w:left w:val="none" w:sz="0" w:space="0" w:color="auto"/>
        <w:bottom w:val="none" w:sz="0" w:space="0" w:color="auto"/>
        <w:right w:val="none" w:sz="0" w:space="0" w:color="auto"/>
      </w:divBdr>
      <w:divsChild>
        <w:div w:id="479153708">
          <w:marLeft w:val="0"/>
          <w:marRight w:val="0"/>
          <w:marTop w:val="150"/>
          <w:marBottom w:val="150"/>
          <w:divBdr>
            <w:top w:val="none" w:sz="0" w:space="0" w:color="auto"/>
            <w:left w:val="none" w:sz="0" w:space="0" w:color="auto"/>
            <w:bottom w:val="none" w:sz="0" w:space="0" w:color="auto"/>
            <w:right w:val="none" w:sz="0" w:space="0" w:color="auto"/>
          </w:divBdr>
        </w:div>
      </w:divsChild>
    </w:div>
    <w:div w:id="90401057">
      <w:bodyDiv w:val="1"/>
      <w:marLeft w:val="0"/>
      <w:marRight w:val="0"/>
      <w:marTop w:val="0"/>
      <w:marBottom w:val="0"/>
      <w:divBdr>
        <w:top w:val="none" w:sz="0" w:space="0" w:color="auto"/>
        <w:left w:val="none" w:sz="0" w:space="0" w:color="auto"/>
        <w:bottom w:val="none" w:sz="0" w:space="0" w:color="auto"/>
        <w:right w:val="none" w:sz="0" w:space="0" w:color="auto"/>
      </w:divBdr>
      <w:divsChild>
        <w:div w:id="297956103">
          <w:marLeft w:val="0"/>
          <w:marRight w:val="0"/>
          <w:marTop w:val="150"/>
          <w:marBottom w:val="150"/>
          <w:divBdr>
            <w:top w:val="none" w:sz="0" w:space="0" w:color="auto"/>
            <w:left w:val="none" w:sz="0" w:space="0" w:color="auto"/>
            <w:bottom w:val="none" w:sz="0" w:space="0" w:color="auto"/>
            <w:right w:val="none" w:sz="0" w:space="0" w:color="auto"/>
          </w:divBdr>
        </w:div>
      </w:divsChild>
    </w:div>
    <w:div w:id="220948318">
      <w:bodyDiv w:val="1"/>
      <w:marLeft w:val="0"/>
      <w:marRight w:val="0"/>
      <w:marTop w:val="0"/>
      <w:marBottom w:val="0"/>
      <w:divBdr>
        <w:top w:val="none" w:sz="0" w:space="0" w:color="auto"/>
        <w:left w:val="none" w:sz="0" w:space="0" w:color="auto"/>
        <w:bottom w:val="none" w:sz="0" w:space="0" w:color="auto"/>
        <w:right w:val="none" w:sz="0" w:space="0" w:color="auto"/>
      </w:divBdr>
      <w:divsChild>
        <w:div w:id="1388802493">
          <w:marLeft w:val="0"/>
          <w:marRight w:val="0"/>
          <w:marTop w:val="150"/>
          <w:marBottom w:val="150"/>
          <w:divBdr>
            <w:top w:val="none" w:sz="0" w:space="0" w:color="auto"/>
            <w:left w:val="none" w:sz="0" w:space="0" w:color="auto"/>
            <w:bottom w:val="none" w:sz="0" w:space="0" w:color="auto"/>
            <w:right w:val="none" w:sz="0" w:space="0" w:color="auto"/>
          </w:divBdr>
        </w:div>
      </w:divsChild>
    </w:div>
    <w:div w:id="262880411">
      <w:bodyDiv w:val="1"/>
      <w:marLeft w:val="0"/>
      <w:marRight w:val="0"/>
      <w:marTop w:val="0"/>
      <w:marBottom w:val="0"/>
      <w:divBdr>
        <w:top w:val="none" w:sz="0" w:space="0" w:color="auto"/>
        <w:left w:val="none" w:sz="0" w:space="0" w:color="auto"/>
        <w:bottom w:val="none" w:sz="0" w:space="0" w:color="auto"/>
        <w:right w:val="none" w:sz="0" w:space="0" w:color="auto"/>
      </w:divBdr>
      <w:divsChild>
        <w:div w:id="1656757150">
          <w:marLeft w:val="0"/>
          <w:marRight w:val="0"/>
          <w:marTop w:val="150"/>
          <w:marBottom w:val="150"/>
          <w:divBdr>
            <w:top w:val="none" w:sz="0" w:space="0" w:color="auto"/>
            <w:left w:val="none" w:sz="0" w:space="0" w:color="auto"/>
            <w:bottom w:val="none" w:sz="0" w:space="0" w:color="auto"/>
            <w:right w:val="none" w:sz="0" w:space="0" w:color="auto"/>
          </w:divBdr>
        </w:div>
      </w:divsChild>
    </w:div>
    <w:div w:id="353119285">
      <w:bodyDiv w:val="1"/>
      <w:marLeft w:val="0"/>
      <w:marRight w:val="0"/>
      <w:marTop w:val="0"/>
      <w:marBottom w:val="0"/>
      <w:divBdr>
        <w:top w:val="none" w:sz="0" w:space="0" w:color="auto"/>
        <w:left w:val="none" w:sz="0" w:space="0" w:color="auto"/>
        <w:bottom w:val="none" w:sz="0" w:space="0" w:color="auto"/>
        <w:right w:val="none" w:sz="0" w:space="0" w:color="auto"/>
      </w:divBdr>
      <w:divsChild>
        <w:div w:id="1566451245">
          <w:marLeft w:val="0"/>
          <w:marRight w:val="0"/>
          <w:marTop w:val="150"/>
          <w:marBottom w:val="150"/>
          <w:divBdr>
            <w:top w:val="none" w:sz="0" w:space="0" w:color="auto"/>
            <w:left w:val="none" w:sz="0" w:space="0" w:color="auto"/>
            <w:bottom w:val="none" w:sz="0" w:space="0" w:color="auto"/>
            <w:right w:val="none" w:sz="0" w:space="0" w:color="auto"/>
          </w:divBdr>
        </w:div>
      </w:divsChild>
    </w:div>
    <w:div w:id="367876489">
      <w:bodyDiv w:val="1"/>
      <w:marLeft w:val="0"/>
      <w:marRight w:val="0"/>
      <w:marTop w:val="0"/>
      <w:marBottom w:val="0"/>
      <w:divBdr>
        <w:top w:val="none" w:sz="0" w:space="0" w:color="auto"/>
        <w:left w:val="none" w:sz="0" w:space="0" w:color="auto"/>
        <w:bottom w:val="none" w:sz="0" w:space="0" w:color="auto"/>
        <w:right w:val="none" w:sz="0" w:space="0" w:color="auto"/>
      </w:divBdr>
      <w:divsChild>
        <w:div w:id="536624400">
          <w:marLeft w:val="0"/>
          <w:marRight w:val="0"/>
          <w:marTop w:val="150"/>
          <w:marBottom w:val="150"/>
          <w:divBdr>
            <w:top w:val="none" w:sz="0" w:space="0" w:color="auto"/>
            <w:left w:val="none" w:sz="0" w:space="0" w:color="auto"/>
            <w:bottom w:val="none" w:sz="0" w:space="0" w:color="auto"/>
            <w:right w:val="none" w:sz="0" w:space="0" w:color="auto"/>
          </w:divBdr>
        </w:div>
      </w:divsChild>
    </w:div>
    <w:div w:id="379863571">
      <w:marLeft w:val="0"/>
      <w:marRight w:val="0"/>
      <w:marTop w:val="0"/>
      <w:marBottom w:val="0"/>
      <w:divBdr>
        <w:top w:val="none" w:sz="0" w:space="0" w:color="auto"/>
        <w:left w:val="none" w:sz="0" w:space="0" w:color="auto"/>
        <w:bottom w:val="none" w:sz="0" w:space="0" w:color="auto"/>
        <w:right w:val="none" w:sz="0" w:space="0" w:color="auto"/>
      </w:divBdr>
    </w:div>
    <w:div w:id="379863572">
      <w:marLeft w:val="0"/>
      <w:marRight w:val="0"/>
      <w:marTop w:val="0"/>
      <w:marBottom w:val="0"/>
      <w:divBdr>
        <w:top w:val="none" w:sz="0" w:space="0" w:color="auto"/>
        <w:left w:val="none" w:sz="0" w:space="0" w:color="auto"/>
        <w:bottom w:val="none" w:sz="0" w:space="0" w:color="auto"/>
        <w:right w:val="none" w:sz="0" w:space="0" w:color="auto"/>
      </w:divBdr>
    </w:div>
    <w:div w:id="379863573">
      <w:marLeft w:val="0"/>
      <w:marRight w:val="0"/>
      <w:marTop w:val="0"/>
      <w:marBottom w:val="0"/>
      <w:divBdr>
        <w:top w:val="none" w:sz="0" w:space="0" w:color="auto"/>
        <w:left w:val="none" w:sz="0" w:space="0" w:color="auto"/>
        <w:bottom w:val="none" w:sz="0" w:space="0" w:color="auto"/>
        <w:right w:val="none" w:sz="0" w:space="0" w:color="auto"/>
      </w:divBdr>
    </w:div>
    <w:div w:id="379863574">
      <w:marLeft w:val="0"/>
      <w:marRight w:val="0"/>
      <w:marTop w:val="0"/>
      <w:marBottom w:val="0"/>
      <w:divBdr>
        <w:top w:val="none" w:sz="0" w:space="0" w:color="auto"/>
        <w:left w:val="none" w:sz="0" w:space="0" w:color="auto"/>
        <w:bottom w:val="none" w:sz="0" w:space="0" w:color="auto"/>
        <w:right w:val="none" w:sz="0" w:space="0" w:color="auto"/>
      </w:divBdr>
    </w:div>
    <w:div w:id="379863575">
      <w:marLeft w:val="0"/>
      <w:marRight w:val="0"/>
      <w:marTop w:val="0"/>
      <w:marBottom w:val="0"/>
      <w:divBdr>
        <w:top w:val="none" w:sz="0" w:space="0" w:color="auto"/>
        <w:left w:val="none" w:sz="0" w:space="0" w:color="auto"/>
        <w:bottom w:val="none" w:sz="0" w:space="0" w:color="auto"/>
        <w:right w:val="none" w:sz="0" w:space="0" w:color="auto"/>
      </w:divBdr>
    </w:div>
    <w:div w:id="379863576">
      <w:marLeft w:val="0"/>
      <w:marRight w:val="0"/>
      <w:marTop w:val="0"/>
      <w:marBottom w:val="0"/>
      <w:divBdr>
        <w:top w:val="none" w:sz="0" w:space="0" w:color="auto"/>
        <w:left w:val="none" w:sz="0" w:space="0" w:color="auto"/>
        <w:bottom w:val="none" w:sz="0" w:space="0" w:color="auto"/>
        <w:right w:val="none" w:sz="0" w:space="0" w:color="auto"/>
      </w:divBdr>
    </w:div>
    <w:div w:id="397561642">
      <w:bodyDiv w:val="1"/>
      <w:marLeft w:val="0"/>
      <w:marRight w:val="0"/>
      <w:marTop w:val="0"/>
      <w:marBottom w:val="0"/>
      <w:divBdr>
        <w:top w:val="none" w:sz="0" w:space="0" w:color="auto"/>
        <w:left w:val="none" w:sz="0" w:space="0" w:color="auto"/>
        <w:bottom w:val="none" w:sz="0" w:space="0" w:color="auto"/>
        <w:right w:val="none" w:sz="0" w:space="0" w:color="auto"/>
      </w:divBdr>
      <w:divsChild>
        <w:div w:id="1050958384">
          <w:marLeft w:val="0"/>
          <w:marRight w:val="0"/>
          <w:marTop w:val="150"/>
          <w:marBottom w:val="150"/>
          <w:divBdr>
            <w:top w:val="none" w:sz="0" w:space="0" w:color="auto"/>
            <w:left w:val="none" w:sz="0" w:space="0" w:color="auto"/>
            <w:bottom w:val="none" w:sz="0" w:space="0" w:color="auto"/>
            <w:right w:val="none" w:sz="0" w:space="0" w:color="auto"/>
          </w:divBdr>
        </w:div>
      </w:divsChild>
    </w:div>
    <w:div w:id="398870720">
      <w:bodyDiv w:val="1"/>
      <w:marLeft w:val="0"/>
      <w:marRight w:val="0"/>
      <w:marTop w:val="0"/>
      <w:marBottom w:val="0"/>
      <w:divBdr>
        <w:top w:val="none" w:sz="0" w:space="0" w:color="auto"/>
        <w:left w:val="none" w:sz="0" w:space="0" w:color="auto"/>
        <w:bottom w:val="none" w:sz="0" w:space="0" w:color="auto"/>
        <w:right w:val="none" w:sz="0" w:space="0" w:color="auto"/>
      </w:divBdr>
      <w:divsChild>
        <w:div w:id="1083454034">
          <w:marLeft w:val="0"/>
          <w:marRight w:val="0"/>
          <w:marTop w:val="150"/>
          <w:marBottom w:val="150"/>
          <w:divBdr>
            <w:top w:val="none" w:sz="0" w:space="0" w:color="auto"/>
            <w:left w:val="none" w:sz="0" w:space="0" w:color="auto"/>
            <w:bottom w:val="none" w:sz="0" w:space="0" w:color="auto"/>
            <w:right w:val="none" w:sz="0" w:space="0" w:color="auto"/>
          </w:divBdr>
        </w:div>
      </w:divsChild>
    </w:div>
    <w:div w:id="4605401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06">
          <w:marLeft w:val="0"/>
          <w:marRight w:val="0"/>
          <w:marTop w:val="150"/>
          <w:marBottom w:val="150"/>
          <w:divBdr>
            <w:top w:val="none" w:sz="0" w:space="0" w:color="auto"/>
            <w:left w:val="none" w:sz="0" w:space="0" w:color="auto"/>
            <w:bottom w:val="none" w:sz="0" w:space="0" w:color="auto"/>
            <w:right w:val="none" w:sz="0" w:space="0" w:color="auto"/>
          </w:divBdr>
        </w:div>
      </w:divsChild>
    </w:div>
    <w:div w:id="463158173">
      <w:marLeft w:val="0"/>
      <w:marRight w:val="0"/>
      <w:marTop w:val="0"/>
      <w:marBottom w:val="0"/>
      <w:divBdr>
        <w:top w:val="none" w:sz="0" w:space="0" w:color="auto"/>
        <w:left w:val="none" w:sz="0" w:space="0" w:color="auto"/>
        <w:bottom w:val="none" w:sz="0" w:space="0" w:color="auto"/>
        <w:right w:val="none" w:sz="0" w:space="0" w:color="auto"/>
      </w:divBdr>
      <w:divsChild>
        <w:div w:id="463158206">
          <w:marLeft w:val="0"/>
          <w:marRight w:val="0"/>
          <w:marTop w:val="150"/>
          <w:marBottom w:val="150"/>
          <w:divBdr>
            <w:top w:val="none" w:sz="0" w:space="0" w:color="auto"/>
            <w:left w:val="none" w:sz="0" w:space="0" w:color="auto"/>
            <w:bottom w:val="none" w:sz="0" w:space="0" w:color="auto"/>
            <w:right w:val="none" w:sz="0" w:space="0" w:color="auto"/>
          </w:divBdr>
        </w:div>
      </w:divsChild>
    </w:div>
    <w:div w:id="463158176">
      <w:marLeft w:val="0"/>
      <w:marRight w:val="0"/>
      <w:marTop w:val="0"/>
      <w:marBottom w:val="0"/>
      <w:divBdr>
        <w:top w:val="none" w:sz="0" w:space="0" w:color="auto"/>
        <w:left w:val="none" w:sz="0" w:space="0" w:color="auto"/>
        <w:bottom w:val="none" w:sz="0" w:space="0" w:color="auto"/>
        <w:right w:val="none" w:sz="0" w:space="0" w:color="auto"/>
      </w:divBdr>
      <w:divsChild>
        <w:div w:id="463158211">
          <w:marLeft w:val="0"/>
          <w:marRight w:val="0"/>
          <w:marTop w:val="150"/>
          <w:marBottom w:val="150"/>
          <w:divBdr>
            <w:top w:val="none" w:sz="0" w:space="0" w:color="auto"/>
            <w:left w:val="none" w:sz="0" w:space="0" w:color="auto"/>
            <w:bottom w:val="none" w:sz="0" w:space="0" w:color="auto"/>
            <w:right w:val="none" w:sz="0" w:space="0" w:color="auto"/>
          </w:divBdr>
        </w:div>
      </w:divsChild>
    </w:div>
    <w:div w:id="463158177">
      <w:marLeft w:val="0"/>
      <w:marRight w:val="0"/>
      <w:marTop w:val="0"/>
      <w:marBottom w:val="0"/>
      <w:divBdr>
        <w:top w:val="none" w:sz="0" w:space="0" w:color="auto"/>
        <w:left w:val="none" w:sz="0" w:space="0" w:color="auto"/>
        <w:bottom w:val="none" w:sz="0" w:space="0" w:color="auto"/>
        <w:right w:val="none" w:sz="0" w:space="0" w:color="auto"/>
      </w:divBdr>
    </w:div>
    <w:div w:id="463158178">
      <w:marLeft w:val="0"/>
      <w:marRight w:val="0"/>
      <w:marTop w:val="0"/>
      <w:marBottom w:val="0"/>
      <w:divBdr>
        <w:top w:val="none" w:sz="0" w:space="0" w:color="auto"/>
        <w:left w:val="none" w:sz="0" w:space="0" w:color="auto"/>
        <w:bottom w:val="none" w:sz="0" w:space="0" w:color="auto"/>
        <w:right w:val="none" w:sz="0" w:space="0" w:color="auto"/>
      </w:divBdr>
    </w:div>
    <w:div w:id="463158179">
      <w:marLeft w:val="0"/>
      <w:marRight w:val="0"/>
      <w:marTop w:val="0"/>
      <w:marBottom w:val="0"/>
      <w:divBdr>
        <w:top w:val="none" w:sz="0" w:space="0" w:color="auto"/>
        <w:left w:val="none" w:sz="0" w:space="0" w:color="auto"/>
        <w:bottom w:val="none" w:sz="0" w:space="0" w:color="auto"/>
        <w:right w:val="none" w:sz="0" w:space="0" w:color="auto"/>
      </w:divBdr>
    </w:div>
    <w:div w:id="463158180">
      <w:marLeft w:val="0"/>
      <w:marRight w:val="0"/>
      <w:marTop w:val="0"/>
      <w:marBottom w:val="0"/>
      <w:divBdr>
        <w:top w:val="none" w:sz="0" w:space="0" w:color="auto"/>
        <w:left w:val="none" w:sz="0" w:space="0" w:color="auto"/>
        <w:bottom w:val="none" w:sz="0" w:space="0" w:color="auto"/>
        <w:right w:val="none" w:sz="0" w:space="0" w:color="auto"/>
      </w:divBdr>
    </w:div>
    <w:div w:id="463158181">
      <w:marLeft w:val="0"/>
      <w:marRight w:val="0"/>
      <w:marTop w:val="0"/>
      <w:marBottom w:val="0"/>
      <w:divBdr>
        <w:top w:val="none" w:sz="0" w:space="0" w:color="auto"/>
        <w:left w:val="none" w:sz="0" w:space="0" w:color="auto"/>
        <w:bottom w:val="none" w:sz="0" w:space="0" w:color="auto"/>
        <w:right w:val="none" w:sz="0" w:space="0" w:color="auto"/>
      </w:divBdr>
    </w:div>
    <w:div w:id="463158182">
      <w:marLeft w:val="0"/>
      <w:marRight w:val="0"/>
      <w:marTop w:val="0"/>
      <w:marBottom w:val="0"/>
      <w:divBdr>
        <w:top w:val="none" w:sz="0" w:space="0" w:color="auto"/>
        <w:left w:val="none" w:sz="0" w:space="0" w:color="auto"/>
        <w:bottom w:val="none" w:sz="0" w:space="0" w:color="auto"/>
        <w:right w:val="none" w:sz="0" w:space="0" w:color="auto"/>
      </w:divBdr>
    </w:div>
    <w:div w:id="463158183">
      <w:marLeft w:val="0"/>
      <w:marRight w:val="0"/>
      <w:marTop w:val="0"/>
      <w:marBottom w:val="0"/>
      <w:divBdr>
        <w:top w:val="none" w:sz="0" w:space="0" w:color="auto"/>
        <w:left w:val="none" w:sz="0" w:space="0" w:color="auto"/>
        <w:bottom w:val="none" w:sz="0" w:space="0" w:color="auto"/>
        <w:right w:val="none" w:sz="0" w:space="0" w:color="auto"/>
      </w:divBdr>
      <w:divsChild>
        <w:div w:id="463158198">
          <w:marLeft w:val="0"/>
          <w:marRight w:val="0"/>
          <w:marTop w:val="150"/>
          <w:marBottom w:val="150"/>
          <w:divBdr>
            <w:top w:val="none" w:sz="0" w:space="0" w:color="auto"/>
            <w:left w:val="none" w:sz="0" w:space="0" w:color="auto"/>
            <w:bottom w:val="none" w:sz="0" w:space="0" w:color="auto"/>
            <w:right w:val="none" w:sz="0" w:space="0" w:color="auto"/>
          </w:divBdr>
        </w:div>
      </w:divsChild>
    </w:div>
    <w:div w:id="463158184">
      <w:marLeft w:val="0"/>
      <w:marRight w:val="0"/>
      <w:marTop w:val="0"/>
      <w:marBottom w:val="0"/>
      <w:divBdr>
        <w:top w:val="none" w:sz="0" w:space="0" w:color="auto"/>
        <w:left w:val="none" w:sz="0" w:space="0" w:color="auto"/>
        <w:bottom w:val="none" w:sz="0" w:space="0" w:color="auto"/>
        <w:right w:val="none" w:sz="0" w:space="0" w:color="auto"/>
      </w:divBdr>
      <w:divsChild>
        <w:div w:id="463158201">
          <w:marLeft w:val="0"/>
          <w:marRight w:val="0"/>
          <w:marTop w:val="150"/>
          <w:marBottom w:val="150"/>
          <w:divBdr>
            <w:top w:val="none" w:sz="0" w:space="0" w:color="auto"/>
            <w:left w:val="none" w:sz="0" w:space="0" w:color="auto"/>
            <w:bottom w:val="none" w:sz="0" w:space="0" w:color="auto"/>
            <w:right w:val="none" w:sz="0" w:space="0" w:color="auto"/>
          </w:divBdr>
        </w:div>
      </w:divsChild>
    </w:div>
    <w:div w:id="463158186">
      <w:marLeft w:val="0"/>
      <w:marRight w:val="0"/>
      <w:marTop w:val="0"/>
      <w:marBottom w:val="0"/>
      <w:divBdr>
        <w:top w:val="none" w:sz="0" w:space="0" w:color="auto"/>
        <w:left w:val="none" w:sz="0" w:space="0" w:color="auto"/>
        <w:bottom w:val="none" w:sz="0" w:space="0" w:color="auto"/>
        <w:right w:val="none" w:sz="0" w:space="0" w:color="auto"/>
      </w:divBdr>
      <w:divsChild>
        <w:div w:id="463158192">
          <w:marLeft w:val="0"/>
          <w:marRight w:val="0"/>
          <w:marTop w:val="150"/>
          <w:marBottom w:val="150"/>
          <w:divBdr>
            <w:top w:val="none" w:sz="0" w:space="0" w:color="auto"/>
            <w:left w:val="none" w:sz="0" w:space="0" w:color="auto"/>
            <w:bottom w:val="none" w:sz="0" w:space="0" w:color="auto"/>
            <w:right w:val="none" w:sz="0" w:space="0" w:color="auto"/>
          </w:divBdr>
        </w:div>
      </w:divsChild>
    </w:div>
    <w:div w:id="463158188">
      <w:marLeft w:val="0"/>
      <w:marRight w:val="0"/>
      <w:marTop w:val="0"/>
      <w:marBottom w:val="0"/>
      <w:divBdr>
        <w:top w:val="none" w:sz="0" w:space="0" w:color="auto"/>
        <w:left w:val="none" w:sz="0" w:space="0" w:color="auto"/>
        <w:bottom w:val="none" w:sz="0" w:space="0" w:color="auto"/>
        <w:right w:val="none" w:sz="0" w:space="0" w:color="auto"/>
      </w:divBdr>
      <w:divsChild>
        <w:div w:id="463158205">
          <w:marLeft w:val="0"/>
          <w:marRight w:val="0"/>
          <w:marTop w:val="150"/>
          <w:marBottom w:val="150"/>
          <w:divBdr>
            <w:top w:val="none" w:sz="0" w:space="0" w:color="auto"/>
            <w:left w:val="none" w:sz="0" w:space="0" w:color="auto"/>
            <w:bottom w:val="none" w:sz="0" w:space="0" w:color="auto"/>
            <w:right w:val="none" w:sz="0" w:space="0" w:color="auto"/>
          </w:divBdr>
        </w:div>
      </w:divsChild>
    </w:div>
    <w:div w:id="463158189">
      <w:marLeft w:val="0"/>
      <w:marRight w:val="0"/>
      <w:marTop w:val="0"/>
      <w:marBottom w:val="0"/>
      <w:divBdr>
        <w:top w:val="none" w:sz="0" w:space="0" w:color="auto"/>
        <w:left w:val="none" w:sz="0" w:space="0" w:color="auto"/>
        <w:bottom w:val="none" w:sz="0" w:space="0" w:color="auto"/>
        <w:right w:val="none" w:sz="0" w:space="0" w:color="auto"/>
      </w:divBdr>
      <w:divsChild>
        <w:div w:id="463158175">
          <w:marLeft w:val="0"/>
          <w:marRight w:val="0"/>
          <w:marTop w:val="150"/>
          <w:marBottom w:val="150"/>
          <w:divBdr>
            <w:top w:val="none" w:sz="0" w:space="0" w:color="auto"/>
            <w:left w:val="none" w:sz="0" w:space="0" w:color="auto"/>
            <w:bottom w:val="none" w:sz="0" w:space="0" w:color="auto"/>
            <w:right w:val="none" w:sz="0" w:space="0" w:color="auto"/>
          </w:divBdr>
        </w:div>
      </w:divsChild>
    </w:div>
    <w:div w:id="463158193">
      <w:marLeft w:val="0"/>
      <w:marRight w:val="0"/>
      <w:marTop w:val="0"/>
      <w:marBottom w:val="0"/>
      <w:divBdr>
        <w:top w:val="none" w:sz="0" w:space="0" w:color="auto"/>
        <w:left w:val="none" w:sz="0" w:space="0" w:color="auto"/>
        <w:bottom w:val="none" w:sz="0" w:space="0" w:color="auto"/>
        <w:right w:val="none" w:sz="0" w:space="0" w:color="auto"/>
      </w:divBdr>
      <w:divsChild>
        <w:div w:id="463158187">
          <w:marLeft w:val="0"/>
          <w:marRight w:val="0"/>
          <w:marTop w:val="150"/>
          <w:marBottom w:val="150"/>
          <w:divBdr>
            <w:top w:val="none" w:sz="0" w:space="0" w:color="auto"/>
            <w:left w:val="none" w:sz="0" w:space="0" w:color="auto"/>
            <w:bottom w:val="none" w:sz="0" w:space="0" w:color="auto"/>
            <w:right w:val="none" w:sz="0" w:space="0" w:color="auto"/>
          </w:divBdr>
        </w:div>
      </w:divsChild>
    </w:div>
    <w:div w:id="463158194">
      <w:marLeft w:val="0"/>
      <w:marRight w:val="0"/>
      <w:marTop w:val="0"/>
      <w:marBottom w:val="0"/>
      <w:divBdr>
        <w:top w:val="none" w:sz="0" w:space="0" w:color="auto"/>
        <w:left w:val="none" w:sz="0" w:space="0" w:color="auto"/>
        <w:bottom w:val="none" w:sz="0" w:space="0" w:color="auto"/>
        <w:right w:val="none" w:sz="0" w:space="0" w:color="auto"/>
      </w:divBdr>
      <w:divsChild>
        <w:div w:id="463158202">
          <w:marLeft w:val="0"/>
          <w:marRight w:val="0"/>
          <w:marTop w:val="150"/>
          <w:marBottom w:val="150"/>
          <w:divBdr>
            <w:top w:val="none" w:sz="0" w:space="0" w:color="auto"/>
            <w:left w:val="none" w:sz="0" w:space="0" w:color="auto"/>
            <w:bottom w:val="none" w:sz="0" w:space="0" w:color="auto"/>
            <w:right w:val="none" w:sz="0" w:space="0" w:color="auto"/>
          </w:divBdr>
        </w:div>
      </w:divsChild>
    </w:div>
    <w:div w:id="463158196">
      <w:marLeft w:val="0"/>
      <w:marRight w:val="0"/>
      <w:marTop w:val="0"/>
      <w:marBottom w:val="0"/>
      <w:divBdr>
        <w:top w:val="none" w:sz="0" w:space="0" w:color="auto"/>
        <w:left w:val="none" w:sz="0" w:space="0" w:color="auto"/>
        <w:bottom w:val="none" w:sz="0" w:space="0" w:color="auto"/>
        <w:right w:val="none" w:sz="0" w:space="0" w:color="auto"/>
      </w:divBdr>
      <w:divsChild>
        <w:div w:id="463158204">
          <w:marLeft w:val="0"/>
          <w:marRight w:val="0"/>
          <w:marTop w:val="150"/>
          <w:marBottom w:val="150"/>
          <w:divBdr>
            <w:top w:val="none" w:sz="0" w:space="0" w:color="auto"/>
            <w:left w:val="none" w:sz="0" w:space="0" w:color="auto"/>
            <w:bottom w:val="none" w:sz="0" w:space="0" w:color="auto"/>
            <w:right w:val="none" w:sz="0" w:space="0" w:color="auto"/>
          </w:divBdr>
        </w:div>
      </w:divsChild>
    </w:div>
    <w:div w:id="463158197">
      <w:marLeft w:val="0"/>
      <w:marRight w:val="0"/>
      <w:marTop w:val="0"/>
      <w:marBottom w:val="0"/>
      <w:divBdr>
        <w:top w:val="none" w:sz="0" w:space="0" w:color="auto"/>
        <w:left w:val="none" w:sz="0" w:space="0" w:color="auto"/>
        <w:bottom w:val="none" w:sz="0" w:space="0" w:color="auto"/>
        <w:right w:val="none" w:sz="0" w:space="0" w:color="auto"/>
      </w:divBdr>
      <w:divsChild>
        <w:div w:id="463158185">
          <w:marLeft w:val="0"/>
          <w:marRight w:val="0"/>
          <w:marTop w:val="150"/>
          <w:marBottom w:val="150"/>
          <w:divBdr>
            <w:top w:val="none" w:sz="0" w:space="0" w:color="auto"/>
            <w:left w:val="none" w:sz="0" w:space="0" w:color="auto"/>
            <w:bottom w:val="none" w:sz="0" w:space="0" w:color="auto"/>
            <w:right w:val="none" w:sz="0" w:space="0" w:color="auto"/>
          </w:divBdr>
        </w:div>
      </w:divsChild>
    </w:div>
    <w:div w:id="463158199">
      <w:marLeft w:val="0"/>
      <w:marRight w:val="0"/>
      <w:marTop w:val="0"/>
      <w:marBottom w:val="0"/>
      <w:divBdr>
        <w:top w:val="none" w:sz="0" w:space="0" w:color="auto"/>
        <w:left w:val="none" w:sz="0" w:space="0" w:color="auto"/>
        <w:bottom w:val="none" w:sz="0" w:space="0" w:color="auto"/>
        <w:right w:val="none" w:sz="0" w:space="0" w:color="auto"/>
      </w:divBdr>
      <w:divsChild>
        <w:div w:id="463158172">
          <w:marLeft w:val="0"/>
          <w:marRight w:val="0"/>
          <w:marTop w:val="150"/>
          <w:marBottom w:val="150"/>
          <w:divBdr>
            <w:top w:val="none" w:sz="0" w:space="0" w:color="auto"/>
            <w:left w:val="none" w:sz="0" w:space="0" w:color="auto"/>
            <w:bottom w:val="none" w:sz="0" w:space="0" w:color="auto"/>
            <w:right w:val="none" w:sz="0" w:space="0" w:color="auto"/>
          </w:divBdr>
        </w:div>
      </w:divsChild>
    </w:div>
    <w:div w:id="463158200">
      <w:marLeft w:val="0"/>
      <w:marRight w:val="0"/>
      <w:marTop w:val="0"/>
      <w:marBottom w:val="0"/>
      <w:divBdr>
        <w:top w:val="none" w:sz="0" w:space="0" w:color="auto"/>
        <w:left w:val="none" w:sz="0" w:space="0" w:color="auto"/>
        <w:bottom w:val="none" w:sz="0" w:space="0" w:color="auto"/>
        <w:right w:val="none" w:sz="0" w:space="0" w:color="auto"/>
      </w:divBdr>
      <w:divsChild>
        <w:div w:id="463158210">
          <w:marLeft w:val="0"/>
          <w:marRight w:val="0"/>
          <w:marTop w:val="150"/>
          <w:marBottom w:val="150"/>
          <w:divBdr>
            <w:top w:val="none" w:sz="0" w:space="0" w:color="auto"/>
            <w:left w:val="none" w:sz="0" w:space="0" w:color="auto"/>
            <w:bottom w:val="none" w:sz="0" w:space="0" w:color="auto"/>
            <w:right w:val="none" w:sz="0" w:space="0" w:color="auto"/>
          </w:divBdr>
        </w:div>
      </w:divsChild>
    </w:div>
    <w:div w:id="463158207">
      <w:marLeft w:val="0"/>
      <w:marRight w:val="0"/>
      <w:marTop w:val="0"/>
      <w:marBottom w:val="0"/>
      <w:divBdr>
        <w:top w:val="none" w:sz="0" w:space="0" w:color="auto"/>
        <w:left w:val="none" w:sz="0" w:space="0" w:color="auto"/>
        <w:bottom w:val="none" w:sz="0" w:space="0" w:color="auto"/>
        <w:right w:val="none" w:sz="0" w:space="0" w:color="auto"/>
      </w:divBdr>
      <w:divsChild>
        <w:div w:id="463158209">
          <w:marLeft w:val="0"/>
          <w:marRight w:val="0"/>
          <w:marTop w:val="150"/>
          <w:marBottom w:val="150"/>
          <w:divBdr>
            <w:top w:val="none" w:sz="0" w:space="0" w:color="auto"/>
            <w:left w:val="none" w:sz="0" w:space="0" w:color="auto"/>
            <w:bottom w:val="none" w:sz="0" w:space="0" w:color="auto"/>
            <w:right w:val="none" w:sz="0" w:space="0" w:color="auto"/>
          </w:divBdr>
        </w:div>
      </w:divsChild>
    </w:div>
    <w:div w:id="463158214">
      <w:marLeft w:val="0"/>
      <w:marRight w:val="0"/>
      <w:marTop w:val="0"/>
      <w:marBottom w:val="0"/>
      <w:divBdr>
        <w:top w:val="none" w:sz="0" w:space="0" w:color="auto"/>
        <w:left w:val="none" w:sz="0" w:space="0" w:color="auto"/>
        <w:bottom w:val="none" w:sz="0" w:space="0" w:color="auto"/>
        <w:right w:val="none" w:sz="0" w:space="0" w:color="auto"/>
      </w:divBdr>
      <w:divsChild>
        <w:div w:id="463158213">
          <w:marLeft w:val="0"/>
          <w:marRight w:val="0"/>
          <w:marTop w:val="150"/>
          <w:marBottom w:val="150"/>
          <w:divBdr>
            <w:top w:val="none" w:sz="0" w:space="0" w:color="auto"/>
            <w:left w:val="none" w:sz="0" w:space="0" w:color="auto"/>
            <w:bottom w:val="none" w:sz="0" w:space="0" w:color="auto"/>
            <w:right w:val="none" w:sz="0" w:space="0" w:color="auto"/>
          </w:divBdr>
        </w:div>
      </w:divsChild>
    </w:div>
    <w:div w:id="463158215">
      <w:marLeft w:val="0"/>
      <w:marRight w:val="0"/>
      <w:marTop w:val="0"/>
      <w:marBottom w:val="0"/>
      <w:divBdr>
        <w:top w:val="none" w:sz="0" w:space="0" w:color="auto"/>
        <w:left w:val="none" w:sz="0" w:space="0" w:color="auto"/>
        <w:bottom w:val="none" w:sz="0" w:space="0" w:color="auto"/>
        <w:right w:val="none" w:sz="0" w:space="0" w:color="auto"/>
      </w:divBdr>
      <w:divsChild>
        <w:div w:id="463158195">
          <w:marLeft w:val="0"/>
          <w:marRight w:val="0"/>
          <w:marTop w:val="150"/>
          <w:marBottom w:val="150"/>
          <w:divBdr>
            <w:top w:val="none" w:sz="0" w:space="0" w:color="auto"/>
            <w:left w:val="none" w:sz="0" w:space="0" w:color="auto"/>
            <w:bottom w:val="none" w:sz="0" w:space="0" w:color="auto"/>
            <w:right w:val="none" w:sz="0" w:space="0" w:color="auto"/>
          </w:divBdr>
        </w:div>
      </w:divsChild>
    </w:div>
    <w:div w:id="463158217">
      <w:marLeft w:val="0"/>
      <w:marRight w:val="0"/>
      <w:marTop w:val="0"/>
      <w:marBottom w:val="0"/>
      <w:divBdr>
        <w:top w:val="none" w:sz="0" w:space="0" w:color="auto"/>
        <w:left w:val="none" w:sz="0" w:space="0" w:color="auto"/>
        <w:bottom w:val="none" w:sz="0" w:space="0" w:color="auto"/>
        <w:right w:val="none" w:sz="0" w:space="0" w:color="auto"/>
      </w:divBdr>
      <w:divsChild>
        <w:div w:id="463158191">
          <w:marLeft w:val="0"/>
          <w:marRight w:val="0"/>
          <w:marTop w:val="150"/>
          <w:marBottom w:val="150"/>
          <w:divBdr>
            <w:top w:val="none" w:sz="0" w:space="0" w:color="auto"/>
            <w:left w:val="none" w:sz="0" w:space="0" w:color="auto"/>
            <w:bottom w:val="none" w:sz="0" w:space="0" w:color="auto"/>
            <w:right w:val="none" w:sz="0" w:space="0" w:color="auto"/>
          </w:divBdr>
        </w:div>
      </w:divsChild>
    </w:div>
    <w:div w:id="463158218">
      <w:marLeft w:val="0"/>
      <w:marRight w:val="0"/>
      <w:marTop w:val="0"/>
      <w:marBottom w:val="0"/>
      <w:divBdr>
        <w:top w:val="none" w:sz="0" w:space="0" w:color="auto"/>
        <w:left w:val="none" w:sz="0" w:space="0" w:color="auto"/>
        <w:bottom w:val="none" w:sz="0" w:space="0" w:color="auto"/>
        <w:right w:val="none" w:sz="0" w:space="0" w:color="auto"/>
      </w:divBdr>
      <w:divsChild>
        <w:div w:id="463158212">
          <w:marLeft w:val="0"/>
          <w:marRight w:val="0"/>
          <w:marTop w:val="150"/>
          <w:marBottom w:val="150"/>
          <w:divBdr>
            <w:top w:val="none" w:sz="0" w:space="0" w:color="auto"/>
            <w:left w:val="none" w:sz="0" w:space="0" w:color="auto"/>
            <w:bottom w:val="none" w:sz="0" w:space="0" w:color="auto"/>
            <w:right w:val="none" w:sz="0" w:space="0" w:color="auto"/>
          </w:divBdr>
        </w:div>
      </w:divsChild>
    </w:div>
    <w:div w:id="463158219">
      <w:marLeft w:val="0"/>
      <w:marRight w:val="0"/>
      <w:marTop w:val="0"/>
      <w:marBottom w:val="0"/>
      <w:divBdr>
        <w:top w:val="none" w:sz="0" w:space="0" w:color="auto"/>
        <w:left w:val="none" w:sz="0" w:space="0" w:color="auto"/>
        <w:bottom w:val="none" w:sz="0" w:space="0" w:color="auto"/>
        <w:right w:val="none" w:sz="0" w:space="0" w:color="auto"/>
      </w:divBdr>
      <w:divsChild>
        <w:div w:id="463158190">
          <w:marLeft w:val="0"/>
          <w:marRight w:val="0"/>
          <w:marTop w:val="150"/>
          <w:marBottom w:val="150"/>
          <w:divBdr>
            <w:top w:val="none" w:sz="0" w:space="0" w:color="auto"/>
            <w:left w:val="none" w:sz="0" w:space="0" w:color="auto"/>
            <w:bottom w:val="none" w:sz="0" w:space="0" w:color="auto"/>
            <w:right w:val="none" w:sz="0" w:space="0" w:color="auto"/>
          </w:divBdr>
        </w:div>
      </w:divsChild>
    </w:div>
    <w:div w:id="463158220">
      <w:marLeft w:val="0"/>
      <w:marRight w:val="0"/>
      <w:marTop w:val="0"/>
      <w:marBottom w:val="0"/>
      <w:divBdr>
        <w:top w:val="none" w:sz="0" w:space="0" w:color="auto"/>
        <w:left w:val="none" w:sz="0" w:space="0" w:color="auto"/>
        <w:bottom w:val="none" w:sz="0" w:space="0" w:color="auto"/>
        <w:right w:val="none" w:sz="0" w:space="0" w:color="auto"/>
      </w:divBdr>
      <w:divsChild>
        <w:div w:id="463158216">
          <w:marLeft w:val="0"/>
          <w:marRight w:val="0"/>
          <w:marTop w:val="150"/>
          <w:marBottom w:val="150"/>
          <w:divBdr>
            <w:top w:val="none" w:sz="0" w:space="0" w:color="auto"/>
            <w:left w:val="none" w:sz="0" w:space="0" w:color="auto"/>
            <w:bottom w:val="none" w:sz="0" w:space="0" w:color="auto"/>
            <w:right w:val="none" w:sz="0" w:space="0" w:color="auto"/>
          </w:divBdr>
        </w:div>
      </w:divsChild>
    </w:div>
    <w:div w:id="463158221">
      <w:marLeft w:val="0"/>
      <w:marRight w:val="0"/>
      <w:marTop w:val="0"/>
      <w:marBottom w:val="0"/>
      <w:divBdr>
        <w:top w:val="none" w:sz="0" w:space="0" w:color="auto"/>
        <w:left w:val="none" w:sz="0" w:space="0" w:color="auto"/>
        <w:bottom w:val="none" w:sz="0" w:space="0" w:color="auto"/>
        <w:right w:val="none" w:sz="0" w:space="0" w:color="auto"/>
      </w:divBdr>
      <w:divsChild>
        <w:div w:id="463158208">
          <w:marLeft w:val="0"/>
          <w:marRight w:val="0"/>
          <w:marTop w:val="150"/>
          <w:marBottom w:val="150"/>
          <w:divBdr>
            <w:top w:val="none" w:sz="0" w:space="0" w:color="auto"/>
            <w:left w:val="none" w:sz="0" w:space="0" w:color="auto"/>
            <w:bottom w:val="none" w:sz="0" w:space="0" w:color="auto"/>
            <w:right w:val="none" w:sz="0" w:space="0" w:color="auto"/>
          </w:divBdr>
        </w:div>
      </w:divsChild>
    </w:div>
    <w:div w:id="463158222">
      <w:marLeft w:val="0"/>
      <w:marRight w:val="0"/>
      <w:marTop w:val="0"/>
      <w:marBottom w:val="0"/>
      <w:divBdr>
        <w:top w:val="none" w:sz="0" w:space="0" w:color="auto"/>
        <w:left w:val="none" w:sz="0" w:space="0" w:color="auto"/>
        <w:bottom w:val="none" w:sz="0" w:space="0" w:color="auto"/>
        <w:right w:val="none" w:sz="0" w:space="0" w:color="auto"/>
      </w:divBdr>
      <w:divsChild>
        <w:div w:id="463158203">
          <w:marLeft w:val="0"/>
          <w:marRight w:val="0"/>
          <w:marTop w:val="150"/>
          <w:marBottom w:val="150"/>
          <w:divBdr>
            <w:top w:val="none" w:sz="0" w:space="0" w:color="auto"/>
            <w:left w:val="none" w:sz="0" w:space="0" w:color="auto"/>
            <w:bottom w:val="none" w:sz="0" w:space="0" w:color="auto"/>
            <w:right w:val="none" w:sz="0" w:space="0" w:color="auto"/>
          </w:divBdr>
        </w:div>
      </w:divsChild>
    </w:div>
    <w:div w:id="463158223">
      <w:marLeft w:val="0"/>
      <w:marRight w:val="0"/>
      <w:marTop w:val="0"/>
      <w:marBottom w:val="0"/>
      <w:divBdr>
        <w:top w:val="none" w:sz="0" w:space="0" w:color="auto"/>
        <w:left w:val="none" w:sz="0" w:space="0" w:color="auto"/>
        <w:bottom w:val="none" w:sz="0" w:space="0" w:color="auto"/>
        <w:right w:val="none" w:sz="0" w:space="0" w:color="auto"/>
      </w:divBdr>
    </w:div>
    <w:div w:id="463158224">
      <w:marLeft w:val="0"/>
      <w:marRight w:val="0"/>
      <w:marTop w:val="0"/>
      <w:marBottom w:val="0"/>
      <w:divBdr>
        <w:top w:val="none" w:sz="0" w:space="0" w:color="auto"/>
        <w:left w:val="none" w:sz="0" w:space="0" w:color="auto"/>
        <w:bottom w:val="none" w:sz="0" w:space="0" w:color="auto"/>
        <w:right w:val="none" w:sz="0" w:space="0" w:color="auto"/>
      </w:divBdr>
      <w:divsChild>
        <w:div w:id="463158174">
          <w:marLeft w:val="0"/>
          <w:marRight w:val="0"/>
          <w:marTop w:val="150"/>
          <w:marBottom w:val="150"/>
          <w:divBdr>
            <w:top w:val="none" w:sz="0" w:space="0" w:color="auto"/>
            <w:left w:val="none" w:sz="0" w:space="0" w:color="auto"/>
            <w:bottom w:val="none" w:sz="0" w:space="0" w:color="auto"/>
            <w:right w:val="none" w:sz="0" w:space="0" w:color="auto"/>
          </w:divBdr>
        </w:div>
      </w:divsChild>
    </w:div>
    <w:div w:id="474420455">
      <w:bodyDiv w:val="1"/>
      <w:marLeft w:val="0"/>
      <w:marRight w:val="0"/>
      <w:marTop w:val="0"/>
      <w:marBottom w:val="0"/>
      <w:divBdr>
        <w:top w:val="none" w:sz="0" w:space="0" w:color="auto"/>
        <w:left w:val="none" w:sz="0" w:space="0" w:color="auto"/>
        <w:bottom w:val="none" w:sz="0" w:space="0" w:color="auto"/>
        <w:right w:val="none" w:sz="0" w:space="0" w:color="auto"/>
      </w:divBdr>
      <w:divsChild>
        <w:div w:id="794449947">
          <w:marLeft w:val="0"/>
          <w:marRight w:val="0"/>
          <w:marTop w:val="150"/>
          <w:marBottom w:val="150"/>
          <w:divBdr>
            <w:top w:val="none" w:sz="0" w:space="0" w:color="auto"/>
            <w:left w:val="none" w:sz="0" w:space="0" w:color="auto"/>
            <w:bottom w:val="none" w:sz="0" w:space="0" w:color="auto"/>
            <w:right w:val="none" w:sz="0" w:space="0" w:color="auto"/>
          </w:divBdr>
        </w:div>
      </w:divsChild>
    </w:div>
    <w:div w:id="515460416">
      <w:bodyDiv w:val="1"/>
      <w:marLeft w:val="0"/>
      <w:marRight w:val="0"/>
      <w:marTop w:val="0"/>
      <w:marBottom w:val="0"/>
      <w:divBdr>
        <w:top w:val="none" w:sz="0" w:space="0" w:color="auto"/>
        <w:left w:val="none" w:sz="0" w:space="0" w:color="auto"/>
        <w:bottom w:val="none" w:sz="0" w:space="0" w:color="auto"/>
        <w:right w:val="none" w:sz="0" w:space="0" w:color="auto"/>
      </w:divBdr>
      <w:divsChild>
        <w:div w:id="1260337440">
          <w:marLeft w:val="0"/>
          <w:marRight w:val="0"/>
          <w:marTop w:val="150"/>
          <w:marBottom w:val="150"/>
          <w:divBdr>
            <w:top w:val="none" w:sz="0" w:space="0" w:color="auto"/>
            <w:left w:val="none" w:sz="0" w:space="0" w:color="auto"/>
            <w:bottom w:val="none" w:sz="0" w:space="0" w:color="auto"/>
            <w:right w:val="none" w:sz="0" w:space="0" w:color="auto"/>
          </w:divBdr>
        </w:div>
      </w:divsChild>
    </w:div>
    <w:div w:id="518619000">
      <w:bodyDiv w:val="1"/>
      <w:marLeft w:val="0"/>
      <w:marRight w:val="0"/>
      <w:marTop w:val="0"/>
      <w:marBottom w:val="0"/>
      <w:divBdr>
        <w:top w:val="none" w:sz="0" w:space="0" w:color="auto"/>
        <w:left w:val="none" w:sz="0" w:space="0" w:color="auto"/>
        <w:bottom w:val="none" w:sz="0" w:space="0" w:color="auto"/>
        <w:right w:val="none" w:sz="0" w:space="0" w:color="auto"/>
      </w:divBdr>
      <w:divsChild>
        <w:div w:id="330302188">
          <w:marLeft w:val="0"/>
          <w:marRight w:val="0"/>
          <w:marTop w:val="150"/>
          <w:marBottom w:val="150"/>
          <w:divBdr>
            <w:top w:val="none" w:sz="0" w:space="0" w:color="auto"/>
            <w:left w:val="none" w:sz="0" w:space="0" w:color="auto"/>
            <w:bottom w:val="none" w:sz="0" w:space="0" w:color="auto"/>
            <w:right w:val="none" w:sz="0" w:space="0" w:color="auto"/>
          </w:divBdr>
        </w:div>
      </w:divsChild>
    </w:div>
    <w:div w:id="584612501">
      <w:bodyDiv w:val="1"/>
      <w:marLeft w:val="0"/>
      <w:marRight w:val="0"/>
      <w:marTop w:val="0"/>
      <w:marBottom w:val="0"/>
      <w:divBdr>
        <w:top w:val="none" w:sz="0" w:space="0" w:color="auto"/>
        <w:left w:val="none" w:sz="0" w:space="0" w:color="auto"/>
        <w:bottom w:val="none" w:sz="0" w:space="0" w:color="auto"/>
        <w:right w:val="none" w:sz="0" w:space="0" w:color="auto"/>
      </w:divBdr>
    </w:div>
    <w:div w:id="623315353">
      <w:bodyDiv w:val="1"/>
      <w:marLeft w:val="0"/>
      <w:marRight w:val="0"/>
      <w:marTop w:val="0"/>
      <w:marBottom w:val="0"/>
      <w:divBdr>
        <w:top w:val="none" w:sz="0" w:space="0" w:color="auto"/>
        <w:left w:val="none" w:sz="0" w:space="0" w:color="auto"/>
        <w:bottom w:val="none" w:sz="0" w:space="0" w:color="auto"/>
        <w:right w:val="none" w:sz="0" w:space="0" w:color="auto"/>
      </w:divBdr>
      <w:divsChild>
        <w:div w:id="285234760">
          <w:marLeft w:val="0"/>
          <w:marRight w:val="0"/>
          <w:marTop w:val="150"/>
          <w:marBottom w:val="150"/>
          <w:divBdr>
            <w:top w:val="none" w:sz="0" w:space="0" w:color="auto"/>
            <w:left w:val="none" w:sz="0" w:space="0" w:color="auto"/>
            <w:bottom w:val="none" w:sz="0" w:space="0" w:color="auto"/>
            <w:right w:val="none" w:sz="0" w:space="0" w:color="auto"/>
          </w:divBdr>
        </w:div>
      </w:divsChild>
    </w:div>
    <w:div w:id="807941281">
      <w:bodyDiv w:val="1"/>
      <w:marLeft w:val="0"/>
      <w:marRight w:val="0"/>
      <w:marTop w:val="0"/>
      <w:marBottom w:val="0"/>
      <w:divBdr>
        <w:top w:val="none" w:sz="0" w:space="0" w:color="auto"/>
        <w:left w:val="none" w:sz="0" w:space="0" w:color="auto"/>
        <w:bottom w:val="none" w:sz="0" w:space="0" w:color="auto"/>
        <w:right w:val="none" w:sz="0" w:space="0" w:color="auto"/>
      </w:divBdr>
      <w:divsChild>
        <w:div w:id="285233903">
          <w:marLeft w:val="0"/>
          <w:marRight w:val="0"/>
          <w:marTop w:val="150"/>
          <w:marBottom w:val="150"/>
          <w:divBdr>
            <w:top w:val="none" w:sz="0" w:space="0" w:color="auto"/>
            <w:left w:val="none" w:sz="0" w:space="0" w:color="auto"/>
            <w:bottom w:val="none" w:sz="0" w:space="0" w:color="auto"/>
            <w:right w:val="none" w:sz="0" w:space="0" w:color="auto"/>
          </w:divBdr>
        </w:div>
      </w:divsChild>
    </w:div>
    <w:div w:id="834757633">
      <w:bodyDiv w:val="1"/>
      <w:marLeft w:val="0"/>
      <w:marRight w:val="0"/>
      <w:marTop w:val="0"/>
      <w:marBottom w:val="0"/>
      <w:divBdr>
        <w:top w:val="none" w:sz="0" w:space="0" w:color="auto"/>
        <w:left w:val="none" w:sz="0" w:space="0" w:color="auto"/>
        <w:bottom w:val="none" w:sz="0" w:space="0" w:color="auto"/>
        <w:right w:val="none" w:sz="0" w:space="0" w:color="auto"/>
      </w:divBdr>
    </w:div>
    <w:div w:id="884752226">
      <w:bodyDiv w:val="1"/>
      <w:marLeft w:val="0"/>
      <w:marRight w:val="0"/>
      <w:marTop w:val="0"/>
      <w:marBottom w:val="0"/>
      <w:divBdr>
        <w:top w:val="none" w:sz="0" w:space="0" w:color="auto"/>
        <w:left w:val="none" w:sz="0" w:space="0" w:color="auto"/>
        <w:bottom w:val="none" w:sz="0" w:space="0" w:color="auto"/>
        <w:right w:val="none" w:sz="0" w:space="0" w:color="auto"/>
      </w:divBdr>
      <w:divsChild>
        <w:div w:id="475418718">
          <w:marLeft w:val="0"/>
          <w:marRight w:val="0"/>
          <w:marTop w:val="150"/>
          <w:marBottom w:val="150"/>
          <w:divBdr>
            <w:top w:val="none" w:sz="0" w:space="0" w:color="auto"/>
            <w:left w:val="none" w:sz="0" w:space="0" w:color="auto"/>
            <w:bottom w:val="none" w:sz="0" w:space="0" w:color="auto"/>
            <w:right w:val="none" w:sz="0" w:space="0" w:color="auto"/>
          </w:divBdr>
        </w:div>
      </w:divsChild>
    </w:div>
    <w:div w:id="892929355">
      <w:bodyDiv w:val="1"/>
      <w:marLeft w:val="0"/>
      <w:marRight w:val="0"/>
      <w:marTop w:val="0"/>
      <w:marBottom w:val="0"/>
      <w:divBdr>
        <w:top w:val="none" w:sz="0" w:space="0" w:color="auto"/>
        <w:left w:val="none" w:sz="0" w:space="0" w:color="auto"/>
        <w:bottom w:val="none" w:sz="0" w:space="0" w:color="auto"/>
        <w:right w:val="none" w:sz="0" w:space="0" w:color="auto"/>
      </w:divBdr>
      <w:divsChild>
        <w:div w:id="402601696">
          <w:marLeft w:val="0"/>
          <w:marRight w:val="0"/>
          <w:marTop w:val="150"/>
          <w:marBottom w:val="150"/>
          <w:divBdr>
            <w:top w:val="none" w:sz="0" w:space="0" w:color="auto"/>
            <w:left w:val="none" w:sz="0" w:space="0" w:color="auto"/>
            <w:bottom w:val="none" w:sz="0" w:space="0" w:color="auto"/>
            <w:right w:val="none" w:sz="0" w:space="0" w:color="auto"/>
          </w:divBdr>
        </w:div>
      </w:divsChild>
    </w:div>
    <w:div w:id="917710187">
      <w:bodyDiv w:val="1"/>
      <w:marLeft w:val="0"/>
      <w:marRight w:val="0"/>
      <w:marTop w:val="0"/>
      <w:marBottom w:val="0"/>
      <w:divBdr>
        <w:top w:val="none" w:sz="0" w:space="0" w:color="auto"/>
        <w:left w:val="none" w:sz="0" w:space="0" w:color="auto"/>
        <w:bottom w:val="none" w:sz="0" w:space="0" w:color="auto"/>
        <w:right w:val="none" w:sz="0" w:space="0" w:color="auto"/>
      </w:divBdr>
      <w:divsChild>
        <w:div w:id="1086653291">
          <w:marLeft w:val="0"/>
          <w:marRight w:val="0"/>
          <w:marTop w:val="150"/>
          <w:marBottom w:val="150"/>
          <w:divBdr>
            <w:top w:val="none" w:sz="0" w:space="0" w:color="auto"/>
            <w:left w:val="none" w:sz="0" w:space="0" w:color="auto"/>
            <w:bottom w:val="none" w:sz="0" w:space="0" w:color="auto"/>
            <w:right w:val="none" w:sz="0" w:space="0" w:color="auto"/>
          </w:divBdr>
        </w:div>
      </w:divsChild>
    </w:div>
    <w:div w:id="995766764">
      <w:bodyDiv w:val="1"/>
      <w:marLeft w:val="0"/>
      <w:marRight w:val="0"/>
      <w:marTop w:val="0"/>
      <w:marBottom w:val="0"/>
      <w:divBdr>
        <w:top w:val="none" w:sz="0" w:space="0" w:color="auto"/>
        <w:left w:val="none" w:sz="0" w:space="0" w:color="auto"/>
        <w:bottom w:val="none" w:sz="0" w:space="0" w:color="auto"/>
        <w:right w:val="none" w:sz="0" w:space="0" w:color="auto"/>
      </w:divBdr>
      <w:divsChild>
        <w:div w:id="1200162141">
          <w:marLeft w:val="0"/>
          <w:marRight w:val="0"/>
          <w:marTop w:val="150"/>
          <w:marBottom w:val="150"/>
          <w:divBdr>
            <w:top w:val="none" w:sz="0" w:space="0" w:color="auto"/>
            <w:left w:val="none" w:sz="0" w:space="0" w:color="auto"/>
            <w:bottom w:val="none" w:sz="0" w:space="0" w:color="auto"/>
            <w:right w:val="none" w:sz="0" w:space="0" w:color="auto"/>
          </w:divBdr>
        </w:div>
      </w:divsChild>
    </w:div>
    <w:div w:id="1032075998">
      <w:bodyDiv w:val="1"/>
      <w:marLeft w:val="0"/>
      <w:marRight w:val="0"/>
      <w:marTop w:val="0"/>
      <w:marBottom w:val="0"/>
      <w:divBdr>
        <w:top w:val="none" w:sz="0" w:space="0" w:color="auto"/>
        <w:left w:val="none" w:sz="0" w:space="0" w:color="auto"/>
        <w:bottom w:val="none" w:sz="0" w:space="0" w:color="auto"/>
        <w:right w:val="none" w:sz="0" w:space="0" w:color="auto"/>
      </w:divBdr>
      <w:divsChild>
        <w:div w:id="471795867">
          <w:marLeft w:val="0"/>
          <w:marRight w:val="0"/>
          <w:marTop w:val="150"/>
          <w:marBottom w:val="150"/>
          <w:divBdr>
            <w:top w:val="none" w:sz="0" w:space="0" w:color="auto"/>
            <w:left w:val="none" w:sz="0" w:space="0" w:color="auto"/>
            <w:bottom w:val="none" w:sz="0" w:space="0" w:color="auto"/>
            <w:right w:val="none" w:sz="0" w:space="0" w:color="auto"/>
          </w:divBdr>
        </w:div>
      </w:divsChild>
    </w:div>
    <w:div w:id="1057968262">
      <w:bodyDiv w:val="1"/>
      <w:marLeft w:val="0"/>
      <w:marRight w:val="0"/>
      <w:marTop w:val="0"/>
      <w:marBottom w:val="0"/>
      <w:divBdr>
        <w:top w:val="none" w:sz="0" w:space="0" w:color="auto"/>
        <w:left w:val="none" w:sz="0" w:space="0" w:color="auto"/>
        <w:bottom w:val="none" w:sz="0" w:space="0" w:color="auto"/>
        <w:right w:val="none" w:sz="0" w:space="0" w:color="auto"/>
      </w:divBdr>
      <w:divsChild>
        <w:div w:id="2127532">
          <w:marLeft w:val="0"/>
          <w:marRight w:val="0"/>
          <w:marTop w:val="150"/>
          <w:marBottom w:val="150"/>
          <w:divBdr>
            <w:top w:val="none" w:sz="0" w:space="0" w:color="auto"/>
            <w:left w:val="none" w:sz="0" w:space="0" w:color="auto"/>
            <w:bottom w:val="none" w:sz="0" w:space="0" w:color="auto"/>
            <w:right w:val="none" w:sz="0" w:space="0" w:color="auto"/>
          </w:divBdr>
        </w:div>
      </w:divsChild>
    </w:div>
    <w:div w:id="1081370228">
      <w:bodyDiv w:val="1"/>
      <w:marLeft w:val="0"/>
      <w:marRight w:val="0"/>
      <w:marTop w:val="0"/>
      <w:marBottom w:val="0"/>
      <w:divBdr>
        <w:top w:val="none" w:sz="0" w:space="0" w:color="auto"/>
        <w:left w:val="none" w:sz="0" w:space="0" w:color="auto"/>
        <w:bottom w:val="none" w:sz="0" w:space="0" w:color="auto"/>
        <w:right w:val="none" w:sz="0" w:space="0" w:color="auto"/>
      </w:divBdr>
      <w:divsChild>
        <w:div w:id="1560359758">
          <w:marLeft w:val="0"/>
          <w:marRight w:val="0"/>
          <w:marTop w:val="150"/>
          <w:marBottom w:val="150"/>
          <w:divBdr>
            <w:top w:val="none" w:sz="0" w:space="0" w:color="auto"/>
            <w:left w:val="none" w:sz="0" w:space="0" w:color="auto"/>
            <w:bottom w:val="none" w:sz="0" w:space="0" w:color="auto"/>
            <w:right w:val="none" w:sz="0" w:space="0" w:color="auto"/>
          </w:divBdr>
        </w:div>
      </w:divsChild>
    </w:div>
    <w:div w:id="1338536161">
      <w:bodyDiv w:val="1"/>
      <w:marLeft w:val="0"/>
      <w:marRight w:val="0"/>
      <w:marTop w:val="0"/>
      <w:marBottom w:val="0"/>
      <w:divBdr>
        <w:top w:val="none" w:sz="0" w:space="0" w:color="auto"/>
        <w:left w:val="none" w:sz="0" w:space="0" w:color="auto"/>
        <w:bottom w:val="none" w:sz="0" w:space="0" w:color="auto"/>
        <w:right w:val="none" w:sz="0" w:space="0" w:color="auto"/>
      </w:divBdr>
      <w:divsChild>
        <w:div w:id="641816421">
          <w:marLeft w:val="0"/>
          <w:marRight w:val="0"/>
          <w:marTop w:val="150"/>
          <w:marBottom w:val="150"/>
          <w:divBdr>
            <w:top w:val="none" w:sz="0" w:space="0" w:color="auto"/>
            <w:left w:val="none" w:sz="0" w:space="0" w:color="auto"/>
            <w:bottom w:val="none" w:sz="0" w:space="0" w:color="auto"/>
            <w:right w:val="none" w:sz="0" w:space="0" w:color="auto"/>
          </w:divBdr>
        </w:div>
      </w:divsChild>
    </w:div>
    <w:div w:id="1344939447">
      <w:bodyDiv w:val="1"/>
      <w:marLeft w:val="0"/>
      <w:marRight w:val="0"/>
      <w:marTop w:val="0"/>
      <w:marBottom w:val="0"/>
      <w:divBdr>
        <w:top w:val="none" w:sz="0" w:space="0" w:color="auto"/>
        <w:left w:val="none" w:sz="0" w:space="0" w:color="auto"/>
        <w:bottom w:val="none" w:sz="0" w:space="0" w:color="auto"/>
        <w:right w:val="none" w:sz="0" w:space="0" w:color="auto"/>
      </w:divBdr>
      <w:divsChild>
        <w:div w:id="198904141">
          <w:marLeft w:val="0"/>
          <w:marRight w:val="0"/>
          <w:marTop w:val="150"/>
          <w:marBottom w:val="150"/>
          <w:divBdr>
            <w:top w:val="none" w:sz="0" w:space="0" w:color="auto"/>
            <w:left w:val="none" w:sz="0" w:space="0" w:color="auto"/>
            <w:bottom w:val="none" w:sz="0" w:space="0" w:color="auto"/>
            <w:right w:val="none" w:sz="0" w:space="0" w:color="auto"/>
          </w:divBdr>
        </w:div>
      </w:divsChild>
    </w:div>
    <w:div w:id="1368482187">
      <w:bodyDiv w:val="1"/>
      <w:marLeft w:val="0"/>
      <w:marRight w:val="0"/>
      <w:marTop w:val="0"/>
      <w:marBottom w:val="0"/>
      <w:divBdr>
        <w:top w:val="none" w:sz="0" w:space="0" w:color="auto"/>
        <w:left w:val="none" w:sz="0" w:space="0" w:color="auto"/>
        <w:bottom w:val="none" w:sz="0" w:space="0" w:color="auto"/>
        <w:right w:val="none" w:sz="0" w:space="0" w:color="auto"/>
      </w:divBdr>
      <w:divsChild>
        <w:div w:id="1053962375">
          <w:marLeft w:val="0"/>
          <w:marRight w:val="0"/>
          <w:marTop w:val="150"/>
          <w:marBottom w:val="150"/>
          <w:divBdr>
            <w:top w:val="none" w:sz="0" w:space="0" w:color="auto"/>
            <w:left w:val="none" w:sz="0" w:space="0" w:color="auto"/>
            <w:bottom w:val="none" w:sz="0" w:space="0" w:color="auto"/>
            <w:right w:val="none" w:sz="0" w:space="0" w:color="auto"/>
          </w:divBdr>
        </w:div>
      </w:divsChild>
    </w:div>
    <w:div w:id="1421561299">
      <w:bodyDiv w:val="1"/>
      <w:marLeft w:val="0"/>
      <w:marRight w:val="0"/>
      <w:marTop w:val="0"/>
      <w:marBottom w:val="0"/>
      <w:divBdr>
        <w:top w:val="none" w:sz="0" w:space="0" w:color="auto"/>
        <w:left w:val="none" w:sz="0" w:space="0" w:color="auto"/>
        <w:bottom w:val="none" w:sz="0" w:space="0" w:color="auto"/>
        <w:right w:val="none" w:sz="0" w:space="0" w:color="auto"/>
      </w:divBdr>
      <w:divsChild>
        <w:div w:id="2009675665">
          <w:marLeft w:val="0"/>
          <w:marRight w:val="0"/>
          <w:marTop w:val="150"/>
          <w:marBottom w:val="150"/>
          <w:divBdr>
            <w:top w:val="none" w:sz="0" w:space="0" w:color="auto"/>
            <w:left w:val="none" w:sz="0" w:space="0" w:color="auto"/>
            <w:bottom w:val="none" w:sz="0" w:space="0" w:color="auto"/>
            <w:right w:val="none" w:sz="0" w:space="0" w:color="auto"/>
          </w:divBdr>
        </w:div>
      </w:divsChild>
    </w:div>
    <w:div w:id="1427380017">
      <w:bodyDiv w:val="1"/>
      <w:marLeft w:val="0"/>
      <w:marRight w:val="0"/>
      <w:marTop w:val="0"/>
      <w:marBottom w:val="0"/>
      <w:divBdr>
        <w:top w:val="none" w:sz="0" w:space="0" w:color="auto"/>
        <w:left w:val="none" w:sz="0" w:space="0" w:color="auto"/>
        <w:bottom w:val="none" w:sz="0" w:space="0" w:color="auto"/>
        <w:right w:val="none" w:sz="0" w:space="0" w:color="auto"/>
      </w:divBdr>
      <w:divsChild>
        <w:div w:id="1492870300">
          <w:marLeft w:val="0"/>
          <w:marRight w:val="0"/>
          <w:marTop w:val="150"/>
          <w:marBottom w:val="150"/>
          <w:divBdr>
            <w:top w:val="none" w:sz="0" w:space="0" w:color="auto"/>
            <w:left w:val="none" w:sz="0" w:space="0" w:color="auto"/>
            <w:bottom w:val="none" w:sz="0" w:space="0" w:color="auto"/>
            <w:right w:val="none" w:sz="0" w:space="0" w:color="auto"/>
          </w:divBdr>
        </w:div>
      </w:divsChild>
    </w:div>
    <w:div w:id="1467233873">
      <w:bodyDiv w:val="1"/>
      <w:marLeft w:val="0"/>
      <w:marRight w:val="0"/>
      <w:marTop w:val="0"/>
      <w:marBottom w:val="0"/>
      <w:divBdr>
        <w:top w:val="none" w:sz="0" w:space="0" w:color="auto"/>
        <w:left w:val="none" w:sz="0" w:space="0" w:color="auto"/>
        <w:bottom w:val="none" w:sz="0" w:space="0" w:color="auto"/>
        <w:right w:val="none" w:sz="0" w:space="0" w:color="auto"/>
      </w:divBdr>
    </w:div>
    <w:div w:id="1756239677">
      <w:bodyDiv w:val="1"/>
      <w:marLeft w:val="0"/>
      <w:marRight w:val="0"/>
      <w:marTop w:val="0"/>
      <w:marBottom w:val="0"/>
      <w:divBdr>
        <w:top w:val="none" w:sz="0" w:space="0" w:color="auto"/>
        <w:left w:val="none" w:sz="0" w:space="0" w:color="auto"/>
        <w:bottom w:val="none" w:sz="0" w:space="0" w:color="auto"/>
        <w:right w:val="none" w:sz="0" w:space="0" w:color="auto"/>
      </w:divBdr>
      <w:divsChild>
        <w:div w:id="1653943058">
          <w:marLeft w:val="0"/>
          <w:marRight w:val="0"/>
          <w:marTop w:val="150"/>
          <w:marBottom w:val="150"/>
          <w:divBdr>
            <w:top w:val="none" w:sz="0" w:space="0" w:color="auto"/>
            <w:left w:val="none" w:sz="0" w:space="0" w:color="auto"/>
            <w:bottom w:val="none" w:sz="0" w:space="0" w:color="auto"/>
            <w:right w:val="none" w:sz="0" w:space="0" w:color="auto"/>
          </w:divBdr>
        </w:div>
      </w:divsChild>
    </w:div>
    <w:div w:id="1795364626">
      <w:bodyDiv w:val="1"/>
      <w:marLeft w:val="0"/>
      <w:marRight w:val="0"/>
      <w:marTop w:val="0"/>
      <w:marBottom w:val="0"/>
      <w:divBdr>
        <w:top w:val="none" w:sz="0" w:space="0" w:color="auto"/>
        <w:left w:val="none" w:sz="0" w:space="0" w:color="auto"/>
        <w:bottom w:val="none" w:sz="0" w:space="0" w:color="auto"/>
        <w:right w:val="none" w:sz="0" w:space="0" w:color="auto"/>
      </w:divBdr>
      <w:divsChild>
        <w:div w:id="55789566">
          <w:marLeft w:val="0"/>
          <w:marRight w:val="0"/>
          <w:marTop w:val="150"/>
          <w:marBottom w:val="150"/>
          <w:divBdr>
            <w:top w:val="none" w:sz="0" w:space="0" w:color="auto"/>
            <w:left w:val="none" w:sz="0" w:space="0" w:color="auto"/>
            <w:bottom w:val="none" w:sz="0" w:space="0" w:color="auto"/>
            <w:right w:val="none" w:sz="0" w:space="0" w:color="auto"/>
          </w:divBdr>
        </w:div>
      </w:divsChild>
    </w:div>
    <w:div w:id="1798447962">
      <w:bodyDiv w:val="1"/>
      <w:marLeft w:val="0"/>
      <w:marRight w:val="0"/>
      <w:marTop w:val="0"/>
      <w:marBottom w:val="0"/>
      <w:divBdr>
        <w:top w:val="none" w:sz="0" w:space="0" w:color="auto"/>
        <w:left w:val="none" w:sz="0" w:space="0" w:color="auto"/>
        <w:bottom w:val="none" w:sz="0" w:space="0" w:color="auto"/>
        <w:right w:val="none" w:sz="0" w:space="0" w:color="auto"/>
      </w:divBdr>
      <w:divsChild>
        <w:div w:id="320040537">
          <w:marLeft w:val="0"/>
          <w:marRight w:val="0"/>
          <w:marTop w:val="150"/>
          <w:marBottom w:val="150"/>
          <w:divBdr>
            <w:top w:val="none" w:sz="0" w:space="0" w:color="auto"/>
            <w:left w:val="none" w:sz="0" w:space="0" w:color="auto"/>
            <w:bottom w:val="none" w:sz="0" w:space="0" w:color="auto"/>
            <w:right w:val="none" w:sz="0" w:space="0" w:color="auto"/>
          </w:divBdr>
        </w:div>
      </w:divsChild>
    </w:div>
    <w:div w:id="1839464456">
      <w:bodyDiv w:val="1"/>
      <w:marLeft w:val="0"/>
      <w:marRight w:val="0"/>
      <w:marTop w:val="0"/>
      <w:marBottom w:val="0"/>
      <w:divBdr>
        <w:top w:val="none" w:sz="0" w:space="0" w:color="auto"/>
        <w:left w:val="none" w:sz="0" w:space="0" w:color="auto"/>
        <w:bottom w:val="none" w:sz="0" w:space="0" w:color="auto"/>
        <w:right w:val="none" w:sz="0" w:space="0" w:color="auto"/>
      </w:divBdr>
      <w:divsChild>
        <w:div w:id="918828809">
          <w:marLeft w:val="0"/>
          <w:marRight w:val="0"/>
          <w:marTop w:val="150"/>
          <w:marBottom w:val="150"/>
          <w:divBdr>
            <w:top w:val="none" w:sz="0" w:space="0" w:color="auto"/>
            <w:left w:val="none" w:sz="0" w:space="0" w:color="auto"/>
            <w:bottom w:val="none" w:sz="0" w:space="0" w:color="auto"/>
            <w:right w:val="none" w:sz="0" w:space="0" w:color="auto"/>
          </w:divBdr>
        </w:div>
      </w:divsChild>
    </w:div>
    <w:div w:id="1853838291">
      <w:bodyDiv w:val="1"/>
      <w:marLeft w:val="0"/>
      <w:marRight w:val="0"/>
      <w:marTop w:val="0"/>
      <w:marBottom w:val="0"/>
      <w:divBdr>
        <w:top w:val="none" w:sz="0" w:space="0" w:color="auto"/>
        <w:left w:val="none" w:sz="0" w:space="0" w:color="auto"/>
        <w:bottom w:val="none" w:sz="0" w:space="0" w:color="auto"/>
        <w:right w:val="none" w:sz="0" w:space="0" w:color="auto"/>
      </w:divBdr>
      <w:divsChild>
        <w:div w:id="618222264">
          <w:marLeft w:val="0"/>
          <w:marRight w:val="0"/>
          <w:marTop w:val="150"/>
          <w:marBottom w:val="150"/>
          <w:divBdr>
            <w:top w:val="none" w:sz="0" w:space="0" w:color="auto"/>
            <w:left w:val="none" w:sz="0" w:space="0" w:color="auto"/>
            <w:bottom w:val="none" w:sz="0" w:space="0" w:color="auto"/>
            <w:right w:val="none" w:sz="0" w:space="0" w:color="auto"/>
          </w:divBdr>
        </w:div>
      </w:divsChild>
    </w:div>
    <w:div w:id="1872038199">
      <w:bodyDiv w:val="1"/>
      <w:marLeft w:val="0"/>
      <w:marRight w:val="0"/>
      <w:marTop w:val="0"/>
      <w:marBottom w:val="0"/>
      <w:divBdr>
        <w:top w:val="none" w:sz="0" w:space="0" w:color="auto"/>
        <w:left w:val="none" w:sz="0" w:space="0" w:color="auto"/>
        <w:bottom w:val="none" w:sz="0" w:space="0" w:color="auto"/>
        <w:right w:val="none" w:sz="0" w:space="0" w:color="auto"/>
      </w:divBdr>
      <w:divsChild>
        <w:div w:id="1607543814">
          <w:marLeft w:val="0"/>
          <w:marRight w:val="0"/>
          <w:marTop w:val="150"/>
          <w:marBottom w:val="150"/>
          <w:divBdr>
            <w:top w:val="none" w:sz="0" w:space="0" w:color="auto"/>
            <w:left w:val="none" w:sz="0" w:space="0" w:color="auto"/>
            <w:bottom w:val="none" w:sz="0" w:space="0" w:color="auto"/>
            <w:right w:val="none" w:sz="0" w:space="0" w:color="auto"/>
          </w:divBdr>
        </w:div>
      </w:divsChild>
    </w:div>
    <w:div w:id="1944531918">
      <w:bodyDiv w:val="1"/>
      <w:marLeft w:val="0"/>
      <w:marRight w:val="0"/>
      <w:marTop w:val="0"/>
      <w:marBottom w:val="0"/>
      <w:divBdr>
        <w:top w:val="none" w:sz="0" w:space="0" w:color="auto"/>
        <w:left w:val="none" w:sz="0" w:space="0" w:color="auto"/>
        <w:bottom w:val="none" w:sz="0" w:space="0" w:color="auto"/>
        <w:right w:val="none" w:sz="0" w:space="0" w:color="auto"/>
      </w:divBdr>
      <w:divsChild>
        <w:div w:id="523985122">
          <w:marLeft w:val="0"/>
          <w:marRight w:val="0"/>
          <w:marTop w:val="150"/>
          <w:marBottom w:val="150"/>
          <w:divBdr>
            <w:top w:val="none" w:sz="0" w:space="0" w:color="auto"/>
            <w:left w:val="none" w:sz="0" w:space="0" w:color="auto"/>
            <w:bottom w:val="none" w:sz="0" w:space="0" w:color="auto"/>
            <w:right w:val="none" w:sz="0" w:space="0" w:color="auto"/>
          </w:divBdr>
        </w:div>
      </w:divsChild>
    </w:div>
    <w:div w:id="1952124418">
      <w:bodyDiv w:val="1"/>
      <w:marLeft w:val="0"/>
      <w:marRight w:val="0"/>
      <w:marTop w:val="0"/>
      <w:marBottom w:val="0"/>
      <w:divBdr>
        <w:top w:val="none" w:sz="0" w:space="0" w:color="auto"/>
        <w:left w:val="none" w:sz="0" w:space="0" w:color="auto"/>
        <w:bottom w:val="none" w:sz="0" w:space="0" w:color="auto"/>
        <w:right w:val="none" w:sz="0" w:space="0" w:color="auto"/>
      </w:divBdr>
      <w:divsChild>
        <w:div w:id="1852405404">
          <w:marLeft w:val="0"/>
          <w:marRight w:val="0"/>
          <w:marTop w:val="150"/>
          <w:marBottom w:val="150"/>
          <w:divBdr>
            <w:top w:val="none" w:sz="0" w:space="0" w:color="auto"/>
            <w:left w:val="none" w:sz="0" w:space="0" w:color="auto"/>
            <w:bottom w:val="none" w:sz="0" w:space="0" w:color="auto"/>
            <w:right w:val="none" w:sz="0" w:space="0" w:color="auto"/>
          </w:divBdr>
        </w:div>
      </w:divsChild>
    </w:div>
    <w:div w:id="1954089704">
      <w:bodyDiv w:val="1"/>
      <w:marLeft w:val="0"/>
      <w:marRight w:val="0"/>
      <w:marTop w:val="0"/>
      <w:marBottom w:val="0"/>
      <w:divBdr>
        <w:top w:val="none" w:sz="0" w:space="0" w:color="auto"/>
        <w:left w:val="none" w:sz="0" w:space="0" w:color="auto"/>
        <w:bottom w:val="none" w:sz="0" w:space="0" w:color="auto"/>
        <w:right w:val="none" w:sz="0" w:space="0" w:color="auto"/>
      </w:divBdr>
      <w:divsChild>
        <w:div w:id="1491100465">
          <w:marLeft w:val="0"/>
          <w:marRight w:val="0"/>
          <w:marTop w:val="150"/>
          <w:marBottom w:val="150"/>
          <w:divBdr>
            <w:top w:val="none" w:sz="0" w:space="0" w:color="auto"/>
            <w:left w:val="none" w:sz="0" w:space="0" w:color="auto"/>
            <w:bottom w:val="none" w:sz="0" w:space="0" w:color="auto"/>
            <w:right w:val="none" w:sz="0" w:space="0" w:color="auto"/>
          </w:divBdr>
        </w:div>
      </w:divsChild>
    </w:div>
    <w:div w:id="1965304506">
      <w:bodyDiv w:val="1"/>
      <w:marLeft w:val="0"/>
      <w:marRight w:val="0"/>
      <w:marTop w:val="0"/>
      <w:marBottom w:val="0"/>
      <w:divBdr>
        <w:top w:val="none" w:sz="0" w:space="0" w:color="auto"/>
        <w:left w:val="none" w:sz="0" w:space="0" w:color="auto"/>
        <w:bottom w:val="none" w:sz="0" w:space="0" w:color="auto"/>
        <w:right w:val="none" w:sz="0" w:space="0" w:color="auto"/>
      </w:divBdr>
      <w:divsChild>
        <w:div w:id="1089696165">
          <w:marLeft w:val="0"/>
          <w:marRight w:val="0"/>
          <w:marTop w:val="150"/>
          <w:marBottom w:val="150"/>
          <w:divBdr>
            <w:top w:val="none" w:sz="0" w:space="0" w:color="auto"/>
            <w:left w:val="none" w:sz="0" w:space="0" w:color="auto"/>
            <w:bottom w:val="none" w:sz="0" w:space="0" w:color="auto"/>
            <w:right w:val="none" w:sz="0" w:space="0" w:color="auto"/>
          </w:divBdr>
        </w:div>
      </w:divsChild>
    </w:div>
    <w:div w:id="2083869925">
      <w:bodyDiv w:val="1"/>
      <w:marLeft w:val="0"/>
      <w:marRight w:val="0"/>
      <w:marTop w:val="0"/>
      <w:marBottom w:val="0"/>
      <w:divBdr>
        <w:top w:val="none" w:sz="0" w:space="0" w:color="auto"/>
        <w:left w:val="none" w:sz="0" w:space="0" w:color="auto"/>
        <w:bottom w:val="none" w:sz="0" w:space="0" w:color="auto"/>
        <w:right w:val="none" w:sz="0" w:space="0" w:color="auto"/>
      </w:divBdr>
      <w:divsChild>
        <w:div w:id="1733579445">
          <w:marLeft w:val="0"/>
          <w:marRight w:val="0"/>
          <w:marTop w:val="150"/>
          <w:marBottom w:val="150"/>
          <w:divBdr>
            <w:top w:val="none" w:sz="0" w:space="0" w:color="auto"/>
            <w:left w:val="none" w:sz="0" w:space="0" w:color="auto"/>
            <w:bottom w:val="none" w:sz="0" w:space="0" w:color="auto"/>
            <w:right w:val="none" w:sz="0" w:space="0" w:color="auto"/>
          </w:divBdr>
        </w:div>
      </w:divsChild>
    </w:div>
    <w:div w:id="2091151567">
      <w:bodyDiv w:val="1"/>
      <w:marLeft w:val="0"/>
      <w:marRight w:val="0"/>
      <w:marTop w:val="0"/>
      <w:marBottom w:val="0"/>
      <w:divBdr>
        <w:top w:val="none" w:sz="0" w:space="0" w:color="auto"/>
        <w:left w:val="none" w:sz="0" w:space="0" w:color="auto"/>
        <w:bottom w:val="none" w:sz="0" w:space="0" w:color="auto"/>
        <w:right w:val="none" w:sz="0" w:space="0" w:color="auto"/>
      </w:divBdr>
    </w:div>
    <w:div w:id="2119517802">
      <w:bodyDiv w:val="1"/>
      <w:marLeft w:val="0"/>
      <w:marRight w:val="0"/>
      <w:marTop w:val="0"/>
      <w:marBottom w:val="0"/>
      <w:divBdr>
        <w:top w:val="none" w:sz="0" w:space="0" w:color="auto"/>
        <w:left w:val="none" w:sz="0" w:space="0" w:color="auto"/>
        <w:bottom w:val="none" w:sz="0" w:space="0" w:color="auto"/>
        <w:right w:val="none" w:sz="0" w:space="0" w:color="auto"/>
      </w:divBdr>
      <w:divsChild>
        <w:div w:id="22388251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340844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http://www.ncbi.nlm.nih.gov/pubmed/253226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F06B-43AE-4366-9638-2C337824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6354</Words>
  <Characters>36219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Article Title:</vt:lpstr>
    </vt:vector>
  </TitlesOfParts>
  <Company/>
  <LinksUpToDate>false</LinksUpToDate>
  <CharactersWithSpaces>42489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Title:</dc:title>
  <dc:subject/>
  <dc:creator>Markus</dc:creator>
  <cp:keywords/>
  <dc:description/>
  <cp:lastModifiedBy>Markus C Elze</cp:lastModifiedBy>
  <cp:revision>28</cp:revision>
  <cp:lastPrinted>2015-01-10T14:26:00Z</cp:lastPrinted>
  <dcterms:created xsi:type="dcterms:W3CDTF">2015-08-02T06:19:00Z</dcterms:created>
  <dcterms:modified xsi:type="dcterms:W3CDTF">2015-10-22T12:49:00Z</dcterms:modified>
</cp:coreProperties>
</file>